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ind w:left="660"/>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jc w:val="center"/>
        <w:spacing w:line="360" w:lineRule="auto"/>
        <w:rPr>
          <w:rFonts w:asciiTheme="minorEastAsia" w:hAnsiTheme="minorEastAsia"/>
          <w:b/>
          <w:bCs/>
          <w:color w:val="000000" w:themeColor="text1"/>
          <w:sz w:val="28"/>
        </w:rPr>
      </w:pPr>
      <w:r>
        <w:rPr>
          <w:rFonts w:hint="eastAsia" w:asciiTheme="minorEastAsia" w:hAnsiTheme="minorEastAsia"/>
          <w:b/>
          <w:bCs/>
          <w:color w:val="000000" w:themeColor="text1"/>
          <w:spacing w:val="20"/>
          <w:sz w:val="56"/>
          <w:szCs w:val="72"/>
        </w:rPr>
        <w:t xml:space="preserve">无锡市滨湖区公共资源交易中心</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spacing w:line="360" w:lineRule="auto"/>
        <w:rPr>
          <w:rFonts w:asciiTheme="minorEastAsia" w:hAnsiTheme="minorEastAsia"/>
          <w:b/>
          <w:bCs/>
          <w:color w:val="000000" w:themeColor="text1"/>
          <w:sz w:val="30"/>
        </w:rPr>
      </w:pPr>
      <w:r>
        <w:rPr>
          <w:rFonts w:hint="eastAsia" w:asciiTheme="minorEastAsia" w:hAnsiTheme="minorEastAsia"/>
          <w:b/>
          <w:bCs/>
          <w:color w:val="000000" w:themeColor="text1"/>
          <w:sz w:val="30"/>
        </w:rPr>
        <w:t xml:space="preserve">（全流程电子化）</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spacing w:line="360" w:lineRule="auto"/>
        <w:rPr>
          <w:rFonts w:asciiTheme="minorEastAsia" w:hAnsiTheme="minorEastAsia"/>
          <w:b/>
          <w:bCs/>
          <w:color w:val="000000" w:themeColor="text1"/>
          <w:spacing w:val="20"/>
          <w:sz w:val="48"/>
          <w:szCs w:val="48"/>
        </w:rPr>
      </w:pPr>
      <w:r>
        <w:rPr>
          <w:rFonts w:hint="eastAsia" w:asciiTheme="minorEastAsia" w:hAnsiTheme="minorEastAsia"/>
          <w:b/>
          <w:bCs/>
          <w:color w:val="000000" w:themeColor="text1"/>
          <w:spacing w:val="20"/>
          <w:sz w:val="48"/>
          <w:szCs w:val="48"/>
        </w:rPr>
        <w:t xml:space="preserve">公开</w:t>
      </w:r>
      <w:r/>
    </w:p>
    <w:p>
      <w:pPr>
        <w:jc w:val="center"/>
        <w:spacing w:line="360" w:lineRule="auto"/>
        <w:rPr>
          <w:rFonts w:asciiTheme="minorEastAsia" w:hAnsiTheme="minorEastAsia"/>
          <w:b/>
          <w:bCs/>
          <w:color w:val="000000" w:themeColor="text1"/>
          <w:spacing w:val="20"/>
          <w:sz w:val="52"/>
          <w:szCs w:val="52"/>
        </w:rPr>
      </w:pPr>
      <w:r>
        <w:rPr>
          <w:rFonts w:asciiTheme="minorEastAsia" w:hAnsiTheme="minorEastAsia"/>
          <w:b/>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-114299</wp:posOffset>
                </wp:positionH>
                <wp:positionV relativeFrom="paragraph">
                  <wp:posOffset>197485</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2336;mso-wrap-distance-left:9.0pt;mso-wrap-distance-top:0.0pt;mso-wrap-distance-right:9.0pt;mso-wrap-distance-bottom:0.0pt;visibility:visible;" from="-9.0pt,15.5pt" to="-9.0pt,15.5pt" fillcolor="#FFFFFF" strokecolor="#000000"/>
            </w:pict>
          </mc:Fallback>
        </mc:AlternateContent>
      </w:r>
      <w:r>
        <w:rPr>
          <w:rFonts w:hint="eastAsia" w:asciiTheme="minorEastAsia" w:hAnsiTheme="minorEastAsia"/>
          <w:b/>
          <w:bCs/>
          <w:color w:val="000000" w:themeColor="text1"/>
          <w:spacing w:val="20"/>
          <w:sz w:val="52"/>
          <w:szCs w:val="52"/>
        </w:rPr>
        <w:t xml:space="preserve">招标文件</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pStyle w:val="1110"/>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t xml:space="preserve">（暗标）</w:t>
      </w:r>
      <w:r/>
    </w:p>
    <w:p>
      <w:pPr>
        <w:jc w:val="center"/>
        <w:spacing w:line="360" w:lineRule="auto"/>
        <w:tabs>
          <w:tab w:val="left" w:pos="9921" w:leader="none"/>
        </w:tabs>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采购项目编号：</w:t>
      </w:r>
      <w:r>
        <w:rPr>
          <w:rFonts w:asciiTheme="minorEastAsia" w:hAnsiTheme="minorEastAsia"/>
          <w:bCs/>
          <w:color w:val="000000" w:themeColor="text1"/>
          <w:sz w:val="30"/>
          <w:szCs w:val="30"/>
        </w:rPr>
        <w:t xml:space="preserve">JSZC-320211-JZCG-G2024-0038</w:t>
      </w:r>
      <w:r/>
    </w:p>
    <w:p>
      <w:pPr>
        <w:ind w:left="2100" w:hanging="2100"/>
        <w:jc w:val="left"/>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采购项目名称：无锡市滨湖区公共资源交易中心关于“数字滨湖”软件平台一期政务云服务项目</w:t>
      </w:r>
      <w:r/>
    </w:p>
    <w:p>
      <w:pPr>
        <w:jc w:val="left"/>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集中采购机构：无锡市滨湖区公共资源交易中心</w:t>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jc w:val="center"/>
        <w:spacing w:line="360" w:lineRule="auto"/>
        <w:rPr>
          <w:rFonts w:asciiTheme="minorEastAsia" w:hAnsiTheme="minorEastAsia"/>
          <w:bCs/>
          <w:color w:val="000000" w:themeColor="text1"/>
          <w:sz w:val="44"/>
          <w:szCs w:val="44"/>
        </w:rPr>
      </w:pPr>
      <w:r>
        <w:rPr>
          <w:rFonts w:hint="eastAsia" w:asciiTheme="minorEastAsia" w:hAnsiTheme="minorEastAsia"/>
          <w:bCs/>
          <w:color w:val="000000" w:themeColor="text1"/>
          <w:sz w:val="44"/>
          <w:szCs w:val="44"/>
        </w:rPr>
        <w:t xml:space="preserve">二○二四年八月</w:t>
      </w:r>
      <w:r/>
    </w:p>
    <w:p>
      <w:pPr>
        <w:spacing w:line="360" w:lineRule="auto"/>
        <w:rPr>
          <w:rStyle w:val="774"/>
          <w:rFonts w:asciiTheme="minorEastAsia" w:hAnsiTheme="minorEastAsia"/>
          <w:bCs/>
          <w:color w:val="000000" w:themeColor="text1"/>
          <w:sz w:val="48"/>
        </w:rPr>
      </w:pPr>
      <w:r>
        <w:rPr>
          <w:rFonts w:asciiTheme="minorEastAsia" w:hAnsiTheme="minorEastAsia"/>
          <w:bCs/>
          <w:color w:val="000000" w:themeColor="text1"/>
          <w:sz w:val="48"/>
        </w:rPr>
      </w:r>
      <w:r/>
    </w:p>
    <w:p>
      <w:pPr>
        <w:jc w:val="center"/>
        <w:spacing w:line="360" w:lineRule="auto"/>
        <w:rPr>
          <w:rStyle w:val="774"/>
          <w:rFonts w:asciiTheme="minorEastAsia" w:hAnsiTheme="minorEastAsia"/>
          <w:bCs/>
          <w:color w:val="000000" w:themeColor="text1"/>
          <w:sz w:val="48"/>
          <w:u w:val="none"/>
        </w:rPr>
      </w:pPr>
      <w:r>
        <w:rPr>
          <w:rFonts w:asciiTheme="minorEastAsia" w:hAnsiTheme="minorEastAsia"/>
          <w:bCs/>
          <w:color w:val="000000" w:themeColor="text1"/>
          <w:sz w:val="48"/>
          <w:u w:val="none"/>
        </w:rPr>
      </w:r>
      <w:r/>
    </w:p>
    <w:p>
      <w:pPr>
        <w:jc w:val="center"/>
        <w:spacing w:line="360" w:lineRule="auto"/>
        <w:rPr>
          <w:rStyle w:val="774"/>
          <w:rFonts w:asciiTheme="minorEastAsia" w:hAnsiTheme="minorEastAsia"/>
          <w:bCs/>
          <w:color w:val="000000" w:themeColor="text1"/>
          <w:sz w:val="48"/>
          <w:u w:val="none"/>
        </w:rPr>
      </w:pPr>
      <w:r>
        <w:rPr>
          <w:rFonts w:asciiTheme="minorEastAsia" w:hAnsiTheme="minorEastAsia"/>
          <w:bCs/>
          <w:color w:val="000000" w:themeColor="text1"/>
          <w:sz w:val="48"/>
          <w:u w:val="none"/>
        </w:rPr>
      </w:r>
      <w:r/>
    </w:p>
    <w:p>
      <w:pPr>
        <w:jc w:val="center"/>
        <w:spacing w:line="360" w:lineRule="auto"/>
        <w:rPr>
          <w:rStyle w:val="774"/>
          <w:rFonts w:asciiTheme="minorEastAsia" w:hAnsiTheme="minorEastAsia"/>
          <w:bCs/>
          <w:color w:val="000000" w:themeColor="text1"/>
          <w:sz w:val="48"/>
          <w:u w:val="none"/>
        </w:rPr>
      </w:pPr>
      <w:r>
        <w:rPr>
          <w:rFonts w:asciiTheme="minorEastAsia" w:hAnsiTheme="minorEastAsia"/>
          <w:bCs/>
          <w:color w:val="000000" w:themeColor="text1"/>
          <w:sz w:val="48"/>
          <w:u w:val="none"/>
        </w:rPr>
      </w:r>
      <w:r/>
    </w:p>
    <w:p>
      <w:pPr>
        <w:pStyle w:val="1110"/>
        <w:ind w:firstLine="0"/>
        <w:jc w:val="center"/>
        <w:spacing w:line="360" w:lineRule="auto"/>
        <w:rPr>
          <w:rFonts w:ascii="黑体" w:hAnsi="黑体" w:eastAsia="黑体"/>
          <w:sz w:val="36"/>
          <w:szCs w:val="36"/>
        </w:rPr>
      </w:pPr>
      <w:r>
        <w:rPr>
          <w:rFonts w:hint="eastAsia" w:ascii="黑体" w:hAnsi="黑体" w:eastAsia="黑体"/>
          <w:sz w:val="36"/>
          <w:szCs w:val="36"/>
        </w:rPr>
        <w:t xml:space="preserve">总  目  录</w:t>
      </w:r>
      <w:r/>
    </w:p>
    <w:p>
      <w:pPr>
        <w:jc w:val="center"/>
        <w:spacing w:line="360" w:lineRule="auto"/>
        <w:rPr>
          <w:rFonts w:ascii="黑体" w:hAnsi="Arial" w:eastAsia="黑体"/>
          <w:sz w:val="44"/>
        </w:rPr>
        <w:outlineLvl w:val="0"/>
      </w:pPr>
      <w:r>
        <w:rPr>
          <w:rFonts w:ascii="黑体" w:hAnsi="Arial" w:eastAsia="黑体"/>
          <w:sz w:val="44"/>
        </w:rPr>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投标邀请</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投标人须知</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合同文本</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采购需求</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投标文件内容与格式</w:t>
      </w:r>
      <w:r/>
    </w:p>
    <w:p>
      <w:pPr>
        <w:spacing w:line="360" w:lineRule="auto"/>
        <w:rPr>
          <w:rFonts w:asciiTheme="minorEastAsia" w:hAnsiTheme="minorEastAsia"/>
          <w:bCs/>
          <w:color w:val="000000" w:themeColor="text1"/>
          <w:sz w:val="28"/>
          <w:szCs w:val="28"/>
        </w:rPr>
      </w:pPr>
      <w:r>
        <w:rPr>
          <w:rFonts w:asciiTheme="minorEastAsia" w:hAnsiTheme="minorEastAsia"/>
          <w:bCs/>
          <w:color w:val="000000" w:themeColor="text1"/>
          <w:sz w:val="28"/>
          <w:szCs w:val="28"/>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hd w:val="nil" w:color="auto"/>
        <w:rPr>
          <w:rFonts w:asciiTheme="minorEastAsia" w:hAnsiTheme="minorEastAsia"/>
        </w:rPr>
      </w:pPr>
      <w:r>
        <w:rPr>
          <w:rFonts w:asciiTheme="minorEastAsia" w:hAnsiTheme="minorEastAsia"/>
        </w:rPr>
        <w:br w:type="page" w:clear="all"/>
      </w:r>
      <w:r>
        <w:rPr>
          <w:rFonts w:asciiTheme="minorEastAsia" w:hAnsiTheme="minorEastAsia"/>
        </w:rPr>
      </w:r>
      <w:r/>
    </w:p>
    <w:p>
      <w:pPr>
        <w:pStyle w:val="743"/>
        <w:ind w:firstLine="0"/>
        <w:jc w:val="both"/>
        <w:spacing w:line="360" w:lineRule="auto"/>
        <w:rPr>
          <w:rFonts w:asciiTheme="minorEastAsia" w:hAnsiTheme="minorEastAsia"/>
        </w:rPr>
      </w:pPr>
      <w:r/>
      <w:bookmarkStart w:id="0" w:name="报价方须知前附表"/>
      <w:r/>
      <w:bookmarkEnd w:id="0"/>
      <w:r/>
      <w:r/>
    </w:p>
    <w:p>
      <w:pPr>
        <w:jc w:val="center"/>
        <w:spacing w:line="360" w:lineRule="auto"/>
        <w:rPr>
          <w:rFonts w:asciiTheme="minorEastAsia" w:hAnsiTheme="minorEastAsia"/>
          <w:b/>
          <w:bCs/>
          <w:color w:val="000000" w:themeColor="text1"/>
          <w:sz w:val="28"/>
          <w:szCs w:val="28"/>
        </w:rPr>
      </w:pPr>
      <w:r>
        <w:rPr>
          <w:rFonts w:asciiTheme="minorEastAsia" w:hAnsiTheme="minorEastAsia"/>
          <w:b/>
          <w:bCs/>
          <w:color w:val="000000" w:themeColor="text1"/>
          <w:sz w:val="28"/>
          <w:szCs w:val="28"/>
        </w:rPr>
      </w:r>
      <w:r/>
    </w:p>
    <w:p>
      <w:pPr>
        <w:jc w:val="center"/>
        <w:spacing w:line="360" w:lineRule="auto"/>
        <w:rPr>
          <w:rFonts w:asciiTheme="minorEastAsia" w:hAnsiTheme="minorEastAsia"/>
          <w:b/>
          <w:bCs/>
          <w:color w:val="000000" w:themeColor="text1"/>
          <w:sz w:val="28"/>
          <w:szCs w:val="28"/>
        </w:rPr>
      </w:pPr>
      <w:r>
        <w:rPr>
          <w:rFonts w:hint="eastAsia" w:asciiTheme="minorEastAsia" w:hAnsiTheme="minorEastAsia"/>
          <w:b/>
          <w:bCs/>
          <w:color w:val="000000" w:themeColor="text1"/>
          <w:sz w:val="28"/>
          <w:szCs w:val="28"/>
        </w:rPr>
        <w:t xml:space="preserve">一．投标邀请函</w:t>
      </w:r>
      <w:r/>
    </w:p>
    <w:p>
      <w:pPr>
        <w:ind w:firstLine="480"/>
        <w:spacing w:line="360" w:lineRule="auto"/>
        <w:rPr>
          <w:rFonts w:asciiTheme="minorEastAsia" w:hAnsiTheme="minorEastAsia"/>
          <w:bCs/>
          <w:color w:val="000000"/>
          <w:sz w:val="24"/>
          <w:szCs w:val="24"/>
        </w:rPr>
      </w:pPr>
      <w:r>
        <w:rPr>
          <w:rFonts w:hint="eastAsia" w:asciiTheme="minorEastAsia" w:hAnsiTheme="minorEastAsia"/>
          <w:bCs/>
          <w:color w:val="000000"/>
          <w:sz w:val="24"/>
          <w:szCs w:val="24"/>
        </w:rPr>
        <w:t xml:space="preserve">我中心受无锡市滨湖区区域社会治理现代化指挥中心的委托，对“数字滨湖”软件平台一期政务云服务项目进行公开招标采购，欢迎符合相关条件的供应商参加投标。</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Theme="minorEastAsia" w:hAnsiTheme="minorEastAsia"/>
          <w:bCs/>
          <w:color w:val="000000"/>
          <w:sz w:val="24"/>
          <w:szCs w:val="24"/>
        </w:rPr>
        <w:t xml:space="preserve">“数字滨湖”软件平台一期政务云服务</w:t>
      </w:r>
      <w:r>
        <w:rPr>
          <w:rFonts w:hint="eastAsia" w:ascii="宋体" w:hAnsi="宋体"/>
          <w:sz w:val="24"/>
          <w:szCs w:val="24"/>
        </w:rPr>
        <w:t xml:space="preserve">采购项目的潜在投标人应在“无锡政府采购网”“江苏政府采购网”自行浏览招标文件，如有投标意向须在本招标文件有效获取期内通过登录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2024年09月26日09点30分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240"/>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w:t>
      </w:r>
      <w:r>
        <w:rPr>
          <w:rFonts w:hint="eastAsia" w:cs="宋体" w:asciiTheme="minorEastAsia" w:hAnsiTheme="minorEastAsia"/>
          <w:b/>
          <w:color w:val="000000" w:themeColor="text1"/>
          <w:sz w:val="24"/>
          <w:szCs w:val="24"/>
        </w:rPr>
        <w:t xml:space="preserve">招标项目信息</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1.项目名称：“数字滨湖”软件平台一期政务云服务项目</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2.项目编号：JSZC-320211-JZCG-G2024-0038</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rFonts w:cs="宋体" w:asciiTheme="minorEastAsia" w:hAnsiTheme="minorEastAsia"/>
          <w:color w:val="000000" w:themeColor="text1"/>
          <w:sz w:val="24"/>
          <w:szCs w:val="24"/>
        </w:rPr>
        <w:t xml:space="preserve">项目</w:t>
      </w:r>
      <w:r>
        <w:rPr>
          <w:rFonts w:hint="eastAsia" w:cs="宋体" w:asciiTheme="minorEastAsia" w:hAnsiTheme="minorEastAsia"/>
          <w:color w:val="000000" w:themeColor="text1"/>
          <w:sz w:val="24"/>
          <w:szCs w:val="24"/>
        </w:rPr>
        <w:t xml:space="preserve">预算金额：</w:t>
      </w:r>
      <w:r>
        <w:rPr>
          <w:rFonts w:hint="eastAsia" w:ascii="宋体" w:hAnsi="宋体" w:eastAsia="宋体" w:cs="Times New Roman"/>
          <w:sz w:val="24"/>
          <w:szCs w:val="24"/>
        </w:rPr>
        <w:t xml:space="preserve">427.21万元</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4.项目</w:t>
      </w:r>
      <w:r>
        <w:rPr>
          <w:rFonts w:hint="eastAsia" w:asciiTheme="minorEastAsia" w:hAnsiTheme="minorEastAsia"/>
          <w:color w:val="000000"/>
          <w:sz w:val="24"/>
          <w:szCs w:val="24"/>
        </w:rPr>
        <w:t xml:space="preserve">最高限价：</w:t>
      </w:r>
      <w:r>
        <w:rPr>
          <w:rFonts w:hint="eastAsia" w:ascii="宋体" w:hAnsi="宋体" w:eastAsia="宋体" w:cs="Times New Roman"/>
          <w:sz w:val="24"/>
          <w:szCs w:val="24"/>
        </w:rPr>
        <w:t xml:space="preserve">427.21万元</w:t>
      </w:r>
      <w:r>
        <w:rPr>
          <w:rFonts w:hint="eastAsia" w:asciiTheme="minorEastAsia" w:hAnsiTheme="minorEastAsia"/>
          <w:color w:val="000000"/>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5.采购需求：</w:t>
      </w:r>
      <w:r>
        <w:rPr>
          <w:rFonts w:hint="eastAsia" w:ascii="宋体" w:hAnsi="宋体" w:cs="宋体"/>
          <w:sz w:val="24"/>
          <w:szCs w:val="24"/>
        </w:rPr>
        <w:t xml:space="preserve">详见招标文件</w:t>
      </w:r>
      <w:r>
        <w:rPr>
          <w:rFonts w:hint="eastAsia" w:ascii="宋体" w:hAnsi="宋体" w:cs="宋体"/>
          <w:b/>
          <w:bCs/>
          <w:sz w:val="24"/>
          <w:szCs w:val="24"/>
        </w:rPr>
        <w:t xml:space="preserve">第四章《采购需求》</w:t>
      </w:r>
      <w:r>
        <w:rPr>
          <w:rFonts w:hint="eastAsia" w:asciiTheme="minorEastAsia" w:hAnsiTheme="minorEastAsia"/>
          <w:sz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rPr>
          <w:rFonts w:hint="eastAsia" w:asciiTheme="minorEastAsia" w:hAnsiTheme="minorEastAsia"/>
          <w:color w:val="000000"/>
          <w:sz w:val="24"/>
          <w:szCs w:val="24"/>
        </w:rPr>
        <w:t xml:space="preserve"> 合同履行期限：</w:t>
      </w:r>
      <w:r>
        <w:rPr>
          <w:rFonts w:hint="eastAsia" w:ascii="宋体" w:hAnsi="宋体" w:cs="宋体"/>
          <w:sz w:val="24"/>
          <w:szCs w:val="24"/>
        </w:rPr>
        <w:t xml:space="preserve">详见招标文件第四章</w:t>
      </w:r>
      <w:r>
        <w:rPr>
          <w:rFonts w:hint="eastAsia" w:ascii="宋体" w:hAnsi="宋体" w:cs="宋体"/>
          <w:b/>
          <w:bCs/>
          <w:sz w:val="24"/>
          <w:szCs w:val="24"/>
        </w:rPr>
        <w:t xml:space="preserve">《采购需求》</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 本项目是否专门面向中小微企业：</w:t>
      </w:r>
      <w:r>
        <w:rPr>
          <w:rFonts w:hint="eastAsia" w:ascii="宋体" w:hAnsi="宋体" w:eastAsia="宋体" w:cs="宋体"/>
          <w:b/>
          <w:color w:val="000000"/>
          <w:sz w:val="24"/>
          <w:szCs w:val="24"/>
        </w:rPr>
        <w:t xml:space="preserve">否</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 本项目的所属行业：</w:t>
      </w:r>
      <w:r>
        <w:rPr>
          <w:rFonts w:hint="eastAsia" w:ascii="宋体" w:hAnsi="宋体" w:eastAsia="宋体" w:cs="宋体"/>
          <w:sz w:val="24"/>
          <w:szCs w:val="24"/>
        </w:rPr>
        <w:t xml:space="preserve">软件和信息技术服务业</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asciiTheme="minorEastAsia" w:hAnsiTheme="minorEastAsia"/>
        </w:rPr>
      </w:pPr>
      <w:r>
        <w:rPr>
          <w:rFonts w:hint="eastAsia" w:cs="宋体" w:asciiTheme="minorEastAsia" w:hAnsiTheme="minorEastAsia"/>
          <w:color w:val="000000" w:themeColor="text1"/>
          <w:sz w:val="24"/>
          <w:szCs w:val="24"/>
        </w:rPr>
        <w:t xml:space="preserve">9. 本项目</w:t>
      </w:r>
      <w:r>
        <w:rPr>
          <w:rFonts w:hint="eastAsia" w:cs="宋体" w:asciiTheme="minorEastAsia" w:hAnsiTheme="minorEastAsia"/>
          <w:b/>
          <w:bCs/>
          <w:color w:val="000000" w:themeColor="text1"/>
          <w:sz w:val="24"/>
          <w:szCs w:val="24"/>
          <w:u w:val="single"/>
        </w:rPr>
        <w:t xml:space="preserve">不接受 </w:t>
      </w:r>
      <w:r>
        <w:rPr>
          <w:rFonts w:hint="eastAsia" w:cs="宋体" w:asciiTheme="minorEastAsia" w:hAnsiTheme="minorEastAsia"/>
          <w:color w:val="000000" w:themeColor="text1"/>
          <w:sz w:val="24"/>
          <w:szCs w:val="24"/>
        </w:rPr>
        <w:t xml:space="preserve">联合投标。</w:t>
      </w:r>
      <w:r/>
    </w:p>
    <w:p>
      <w:pPr>
        <w:ind w:firstLine="480"/>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（二）投标人资格要求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ascii="宋体" w:hAnsi="宋体"/>
          <w:sz w:val="24"/>
          <w:szCs w:val="24"/>
        </w:rPr>
      </w:pPr>
      <w:r>
        <w:rPr>
          <w:rFonts w:hint="eastAsia" w:ascii="宋体" w:hAnsi="宋体"/>
          <w:sz w:val="24"/>
          <w:szCs w:val="24"/>
        </w:rPr>
        <w:t xml:space="preserve">2.1中小企业政策：无</w:t>
      </w:r>
      <w:r/>
    </w:p>
    <w:p>
      <w:pPr>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sz w:val="24"/>
          <w:szCs w:val="24"/>
        </w:rPr>
      </w:pPr>
      <w:r>
        <w:rPr>
          <w:rFonts w:hint="eastAsia" w:ascii="宋体" w:hAnsi="宋体"/>
          <w:sz w:val="24"/>
          <w:szCs w:val="24"/>
        </w:rPr>
        <w:t xml:space="preserve">3.本项目的特定资格要求：无。</w:t>
      </w:r>
      <w:r/>
    </w:p>
    <w:p>
      <w:pPr>
        <w:ind w:firstLine="480"/>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（三）获取采购文件的时间期限</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360" w:lineRule="auto"/>
        <w:rPr>
          <w:rStyle w:val="777"/>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p>
    <w:p>
      <w:pPr>
        <w:ind w:firstLine="480"/>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（四）提交投标文件截止时间、开标时间和地点</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1.时间：</w:t>
      </w:r>
      <w:r>
        <w:rPr>
          <w:rFonts w:hint="eastAsia" w:cs="Times New Roman" w:asciiTheme="minorEastAsia" w:hAnsiTheme="minorEastAsia"/>
          <w:b/>
          <w:bCs/>
          <w:color w:val="0000ff"/>
          <w:sz w:val="24"/>
          <w:szCs w:val="24"/>
        </w:rPr>
        <w:t xml:space="preserve">2024年09月26日9点30分</w:t>
      </w:r>
      <w:r>
        <w:rPr>
          <w:rFonts w:hint="eastAsia" w:cs="Times New Roman" w:asciiTheme="minorEastAsia" w:hAnsiTheme="minorEastAsia"/>
          <w:bCs/>
          <w:sz w:val="24"/>
          <w:szCs w:val="24"/>
        </w:rPr>
        <w:t xml:space="preserve">（北京时间），截止时间后上传的任何投标文件恕不接受。</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861"/>
        <w:ind w:firstLine="452"/>
        <w:keepLines w:val="0"/>
        <w:keepNext w:val="0"/>
        <w:spacing w:before="0" w:after="0" w:line="360" w:lineRule="auto"/>
        <w:rPr>
          <w:rFonts w:cs="宋体" w:asciiTheme="minorEastAsia" w:hAnsiTheme="minorEastAsia" w:eastAsiaTheme="minorEastAsia"/>
          <w:bCs w:val="0"/>
          <w:color w:val="000000" w:themeColor="text1"/>
          <w:sz w:val="24"/>
          <w:szCs w:val="24"/>
          <w:lang w:eastAsia="zh-CN"/>
        </w:rPr>
      </w:pPr>
      <w:r>
        <w:rPr>
          <w:rFonts w:hint="eastAsia" w:cs="宋体" w:asciiTheme="minorEastAsia" w:hAnsiTheme="minorEastAsia" w:eastAsiaTheme="minorEastAsia"/>
          <w:bCs w:val="0"/>
          <w:color w:val="000000" w:themeColor="text1"/>
          <w:sz w:val="24"/>
          <w:szCs w:val="24"/>
          <w:lang w:eastAsia="zh-CN"/>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六、其他补充事宜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ind w:firstLine="480"/>
        <w:spacing w:line="360" w:lineRule="auto"/>
        <w:rPr>
          <w:rFonts w:asciiTheme="minorEastAsia" w:hAnsiTheme="minorEastAsia"/>
          <w:b/>
          <w:bCs/>
          <w:color w:val="000000" w:themeColor="text1"/>
          <w:sz w:val="24"/>
          <w:szCs w:val="24"/>
        </w:rPr>
      </w:pPr>
      <w:r>
        <w:rPr>
          <w:rFonts w:hint="eastAsia" w:cs="宋体" w:asciiTheme="minorEastAsia" w:hAnsiTheme="minorEastAsia"/>
          <w:b/>
          <w:color w:val="000000" w:themeColor="text1"/>
          <w:sz w:val="24"/>
          <w:szCs w:val="24"/>
        </w:rPr>
        <w:t xml:space="preserve">（七）</w:t>
      </w:r>
      <w:r>
        <w:rPr>
          <w:rFonts w:hint="eastAsia" w:asciiTheme="minorEastAsia" w:hAnsiTheme="minorEastAsia"/>
          <w:b/>
          <w:bCs/>
          <w:color w:val="000000" w:themeColor="text1"/>
          <w:sz w:val="24"/>
          <w:szCs w:val="24"/>
        </w:rPr>
        <w:t xml:space="preserve">本次招标联系方式</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项目联系人：曹宝柱  徐鹏飞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传真：0510-81173514</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名称：无锡市滨湖区区域社会治理现代化指挥中心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联系人：朱智威</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联系电话：15996673516</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联系地址：无锡市滨湖区金城西路500号</w:t>
      </w:r>
      <w:r/>
    </w:p>
    <w:p>
      <w:pPr>
        <w:ind w:firstLine="480"/>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（八）其他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（三）有关本次采购的事项若存在变动或修改，敬请及时关注无锡市滨湖区公共资源交易中心在“无锡政府采购网”“江苏政府采购网”发布的更正公告。</w:t>
      </w:r>
      <w:r/>
    </w:p>
    <w:p>
      <w:pPr>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ind w:firstLine="480"/>
        <w:jc w:val="left"/>
        <w:spacing w:line="360" w:lineRule="auto"/>
        <w:shd w:val="clear" w:color="auto" w:fill="ffffff"/>
        <w:widowControl/>
        <w:rPr>
          <w:rFonts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（五）其他事项</w:t>
      </w:r>
      <w:r/>
    </w:p>
    <w:p>
      <w:pPr>
        <w:ind w:firstLine="72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1）纸质投标文件：本项目为不见面开标，报价人无需递交纸质投标文件至现场，</w:t>
      </w:r>
      <w:r>
        <w:rPr>
          <w:rFonts w:hint="eastAsia" w:cs="Times New Roman" w:asciiTheme="minorEastAsia" w:hAnsiTheme="minorEastAsia"/>
          <w:b/>
          <w:sz w:val="24"/>
          <w:szCs w:val="24"/>
        </w:rPr>
        <w:t xml:space="preserve">中标后中标供应商向集中采购机构提供与电子投标文件完全一致的纸质投标文件（2份：一正、一副）。</w:t>
      </w:r>
      <w:r/>
    </w:p>
    <w:p>
      <w:pPr>
        <w:ind w:firstLine="72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2）供应商请仔细阅读供应商注册流程和招标文件中关于电子开评标等相关事项，如有问题可发送邮件或电话咨询。</w:t>
      </w:r>
      <w:bookmarkStart w:id="1" w:name="_Toc120614211"/>
      <w:r/>
      <w:r/>
    </w:p>
    <w:p>
      <w:pPr>
        <w:spacing w:line="360" w:lineRule="auto"/>
        <w:rPr>
          <w:rFonts w:asciiTheme="minorEastAsia" w:hAnsiTheme="minorEastAsia"/>
          <w:b/>
          <w:bCs/>
          <w:color w:val="000000" w:themeColor="text1"/>
          <w:sz w:val="28"/>
          <w:szCs w:val="28"/>
        </w:rPr>
      </w:pPr>
      <w:r>
        <w:rPr>
          <w:rFonts w:hint="eastAsia" w:ascii="黑体" w:hAnsi="黑体" w:eastAsia="黑体"/>
          <w:sz w:val="36"/>
          <w:szCs w:val="36"/>
        </w:rPr>
        <w:br w:type="page" w:clear="all"/>
      </w:r>
      <w:r>
        <w:rPr>
          <w:rFonts w:hint="eastAsia" w:ascii="黑体" w:hAnsi="黑体" w:eastAsia="黑体"/>
          <w:sz w:val="36"/>
          <w:szCs w:val="36"/>
        </w:rPr>
        <w:t xml:space="preserve">第二章  </w:t>
      </w:r>
      <w:bookmarkEnd w:id="1"/>
      <w:r/>
      <w:bookmarkStart w:id="2" w:name="_Toc513029202"/>
      <w:r/>
      <w:bookmarkStart w:id="3" w:name="_Toc20823274"/>
      <w:r/>
      <w:bookmarkStart w:id="4" w:name="_Toc16938518"/>
      <w:r/>
      <w:bookmarkStart w:id="5" w:name="_Toc120614213"/>
      <w:r>
        <w:rPr>
          <w:rFonts w:hint="eastAsia" w:ascii="黑体" w:hAnsi="黑体" w:eastAsia="黑体"/>
          <w:sz w:val="36"/>
          <w:szCs w:val="36"/>
        </w:rPr>
        <w:t xml:space="preserve">投标人须知</w:t>
      </w:r>
      <w:bookmarkEnd w:id="2"/>
      <w:r/>
      <w:bookmarkEnd w:id="3"/>
      <w:r/>
      <w:bookmarkEnd w:id="4"/>
      <w:r/>
      <w:bookmarkEnd w:id="5"/>
      <w:r/>
      <w:r/>
    </w:p>
    <w:p>
      <w:pPr>
        <w:pStyle w:val="861"/>
        <w:ind w:firstLine="452"/>
        <w:keepLines w:val="0"/>
        <w:keepNext w:val="0"/>
        <w:spacing w:before="0" w:after="0" w:line="360" w:lineRule="auto"/>
        <w:rPr>
          <w:sz w:val="30"/>
          <w:szCs w:val="30"/>
          <w:lang w:eastAsia="zh-CN"/>
        </w:rPr>
      </w:pPr>
      <w:r/>
      <w:bookmarkStart w:id="6" w:name="_Toc20823275"/>
      <w:r/>
      <w:bookmarkStart w:id="7" w:name="_Toc120614214"/>
      <w:r/>
      <w:bookmarkStart w:id="8" w:name="_Toc16938519"/>
      <w:r/>
      <w:bookmarkStart w:id="9" w:name="_Toc513029203"/>
      <w:r>
        <w:rPr>
          <w:rFonts w:hint="eastAsia"/>
          <w:sz w:val="30"/>
          <w:szCs w:val="30"/>
          <w:lang w:eastAsia="zh-CN"/>
        </w:rPr>
        <w:t xml:space="preserve">一、总则</w:t>
      </w:r>
      <w:bookmarkEnd w:id="6"/>
      <w:r/>
      <w:bookmarkEnd w:id="7"/>
      <w:r/>
      <w:bookmarkEnd w:id="8"/>
      <w:r/>
      <w:bookmarkEnd w:id="9"/>
      <w:r/>
      <w:r/>
    </w:p>
    <w:p>
      <w:pPr>
        <w:pStyle w:val="1038"/>
        <w:ind w:firstLine="422"/>
        <w:keepLines w:val="0"/>
        <w:keepNext w:val="0"/>
        <w:spacing w:before="0" w:after="0" w:line="360" w:lineRule="auto"/>
        <w:rPr>
          <w:rFonts w:ascii="宋体" w:hAnsi="宋体" w:eastAsia="宋体"/>
          <w:bCs w:val="0"/>
          <w:lang w:eastAsia="zh-CN"/>
        </w:rPr>
      </w:pPr>
      <w:r/>
      <w:bookmarkStart w:id="10" w:name="_Hlt16619475"/>
      <w:r/>
      <w:bookmarkEnd w:id="10"/>
      <w:r/>
      <w:bookmarkStart w:id="11" w:name="_Toc20823276"/>
      <w:r/>
      <w:bookmarkStart w:id="12" w:name="_Toc513029204"/>
      <w:r/>
      <w:bookmarkStart w:id="13" w:name="_Toc16938520"/>
      <w:r>
        <w:rPr>
          <w:rFonts w:hint="eastAsia" w:ascii="宋体" w:hAnsi="宋体" w:eastAsia="宋体"/>
          <w:bCs w:val="0"/>
          <w:lang w:eastAsia="zh-CN"/>
        </w:rPr>
        <w:t xml:space="preserve">1.招标方式</w:t>
      </w:r>
      <w:bookmarkEnd w:id="11"/>
      <w:r/>
      <w:bookmarkEnd w:id="12"/>
      <w:r/>
      <w:bookmarkEnd w:id="13"/>
      <w:r/>
      <w:r/>
    </w:p>
    <w:p>
      <w:pPr>
        <w:ind w:firstLine="480"/>
        <w:spacing w:line="360" w:lineRule="auto"/>
        <w:rPr>
          <w:rFonts w:ascii="宋体" w:hAnsi="宋体"/>
          <w:sz w:val="24"/>
        </w:rPr>
      </w:pPr>
      <w:r>
        <w:rPr>
          <w:rFonts w:hint="eastAsia" w:ascii="宋体" w:hAnsi="宋体"/>
          <w:sz w:val="24"/>
        </w:rPr>
        <w:t xml:space="preserve">1.1本次招标采取公开招标方式，本招标文件仅适用于招标公告中所述项目。</w:t>
      </w:r>
      <w:r/>
    </w:p>
    <w:p>
      <w:pPr>
        <w:pStyle w:val="1038"/>
        <w:ind w:firstLine="422"/>
        <w:keepLines w:val="0"/>
        <w:keepNext w:val="0"/>
        <w:spacing w:before="0" w:after="0" w:line="360" w:lineRule="auto"/>
        <w:rPr>
          <w:rFonts w:ascii="宋体" w:hAnsi="宋体" w:eastAsia="宋体"/>
          <w:bCs w:val="0"/>
          <w:lang w:eastAsia="zh-CN"/>
        </w:rPr>
      </w:pPr>
      <w:r/>
      <w:bookmarkStart w:id="14" w:name="_Toc20823277"/>
      <w:r/>
      <w:bookmarkStart w:id="15" w:name="_Toc16938521"/>
      <w:r/>
      <w:bookmarkStart w:id="16" w:name="_Toc513029205"/>
      <w:r>
        <w:rPr>
          <w:rFonts w:hint="eastAsia" w:ascii="宋体" w:hAnsi="宋体" w:eastAsia="宋体"/>
          <w:bCs w:val="0"/>
          <w:lang w:eastAsia="zh-CN"/>
        </w:rPr>
        <w:t xml:space="preserve">2.</w:t>
      </w:r>
      <w:bookmarkEnd w:id="14"/>
      <w:r/>
      <w:bookmarkEnd w:id="15"/>
      <w:r/>
      <w:bookmarkEnd w:id="16"/>
      <w:r>
        <w:rPr>
          <w:rFonts w:hint="eastAsia" w:ascii="宋体" w:hAnsi="宋体" w:eastAsia="宋体"/>
          <w:bCs w:val="0"/>
          <w:lang w:eastAsia="zh-CN"/>
        </w:rPr>
        <w:t xml:space="preserve">采购人、采购代理机构、投标人、联合体</w:t>
      </w:r>
      <w:r/>
    </w:p>
    <w:p>
      <w:pPr>
        <w:ind w:firstLine="480"/>
        <w:spacing w:line="360" w:lineRule="auto"/>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38"/>
        <w:ind w:firstLine="422"/>
        <w:keepLines w:val="0"/>
        <w:keepNext w:val="0"/>
        <w:spacing w:before="0" w:after="0" w:line="360" w:lineRule="auto"/>
        <w:rPr>
          <w:rFonts w:ascii="宋体" w:hAnsi="宋体" w:eastAsia="宋体"/>
          <w:bCs w:val="0"/>
          <w:lang w:eastAsia="zh-CN"/>
        </w:rPr>
      </w:pPr>
      <w:r/>
      <w:bookmarkStart w:id="17" w:name="_Toc16938522"/>
      <w:r/>
      <w:bookmarkStart w:id="18" w:name="_Toc20823278"/>
      <w:r/>
      <w:bookmarkStart w:id="19" w:name="_Toc513029206"/>
      <w:r>
        <w:rPr>
          <w:rFonts w:hint="eastAsia" w:ascii="宋体" w:hAnsi="宋体" w:eastAsia="宋体"/>
          <w:bCs w:val="0"/>
          <w:lang w:eastAsia="zh-CN"/>
        </w:rPr>
        <w:t xml:space="preserve">3.适用法律</w:t>
      </w:r>
      <w:bookmarkEnd w:id="17"/>
      <w:r/>
      <w:bookmarkEnd w:id="18"/>
      <w:r/>
      <w:bookmarkEnd w:id="19"/>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38"/>
        <w:ind w:firstLine="422"/>
        <w:keepLines w:val="0"/>
        <w:keepNext w:val="0"/>
        <w:spacing w:before="0" w:after="0" w:line="360" w:lineRule="auto"/>
        <w:rPr>
          <w:rFonts w:ascii="宋体" w:hAnsi="宋体" w:eastAsia="宋体"/>
          <w:bCs w:val="0"/>
          <w:lang w:eastAsia="zh-CN"/>
        </w:rPr>
      </w:pPr>
      <w:r/>
      <w:bookmarkStart w:id="20" w:name="_Toc16938523"/>
      <w:r/>
      <w:bookmarkStart w:id="21" w:name="_Toc462564067"/>
      <w:r/>
      <w:bookmarkStart w:id="22" w:name="_Toc513029207"/>
      <w:r/>
      <w:bookmarkStart w:id="23" w:name="_Toc20823279"/>
      <w:r>
        <w:rPr>
          <w:rFonts w:hint="eastAsia" w:ascii="宋体" w:hAnsi="宋体" w:eastAsia="宋体"/>
          <w:bCs w:val="0"/>
          <w:lang w:eastAsia="zh-CN"/>
        </w:rPr>
        <w:t xml:space="preserve">4.投标费用</w:t>
      </w:r>
      <w:bookmarkEnd w:id="20"/>
      <w:r/>
      <w:bookmarkEnd w:id="21"/>
      <w:r/>
      <w:bookmarkEnd w:id="22"/>
      <w:r/>
      <w:bookmarkEnd w:id="23"/>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360" w:lineRule="auto"/>
        <w:rPr>
          <w:rFonts w:ascii="宋体" w:hAnsi="宋体"/>
          <w:sz w:val="24"/>
        </w:rPr>
      </w:pPr>
      <w:r>
        <w:rPr>
          <w:rFonts w:hint="eastAsia" w:ascii="宋体" w:hAnsi="宋体"/>
          <w:sz w:val="24"/>
        </w:rPr>
        <w:t xml:space="preserve">4.2本次招标标书工本费、中标服务费、招标文件均免费。</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1"/>
        <w:ind w:firstLine="452"/>
        <w:keepLines w:val="0"/>
        <w:keepNext w:val="0"/>
        <w:spacing w:before="0" w:after="0" w:line="360" w:lineRule="auto"/>
        <w:rPr>
          <w:sz w:val="30"/>
          <w:szCs w:val="30"/>
          <w:lang w:eastAsia="zh-CN"/>
        </w:rPr>
      </w:pPr>
      <w:r/>
      <w:bookmarkStart w:id="24" w:name="_Toc16938525"/>
      <w:r/>
      <w:bookmarkStart w:id="25" w:name="_Toc20823281"/>
      <w:r/>
      <w:bookmarkStart w:id="26" w:name="_Toc513029209"/>
      <w:r/>
      <w:bookmarkStart w:id="27" w:name="_Toc120614215"/>
      <w:r>
        <w:rPr>
          <w:rFonts w:hint="eastAsia"/>
          <w:sz w:val="30"/>
          <w:szCs w:val="30"/>
          <w:lang w:eastAsia="zh-CN"/>
        </w:rPr>
        <w:t xml:space="preserve">二、招标文件</w:t>
      </w:r>
      <w:bookmarkEnd w:id="24"/>
      <w:r/>
      <w:bookmarkEnd w:id="25"/>
      <w:r/>
      <w:bookmarkEnd w:id="26"/>
      <w:r/>
      <w:bookmarkEnd w:id="27"/>
      <w:r/>
      <w:r/>
    </w:p>
    <w:p>
      <w:pPr>
        <w:pStyle w:val="1038"/>
        <w:ind w:firstLine="422"/>
        <w:keepLines w:val="0"/>
        <w:keepNext w:val="0"/>
        <w:spacing w:before="0" w:after="0" w:line="360" w:lineRule="auto"/>
        <w:rPr>
          <w:rFonts w:ascii="宋体" w:hAnsi="宋体" w:eastAsia="宋体"/>
          <w:bCs w:val="0"/>
          <w:lang w:eastAsia="zh-CN"/>
        </w:rPr>
      </w:pPr>
      <w:r/>
      <w:bookmarkStart w:id="28" w:name="_Toc16938526"/>
      <w:r/>
      <w:bookmarkStart w:id="29" w:name="_Toc513029210"/>
      <w:r/>
      <w:bookmarkStart w:id="30" w:name="_Toc20823282"/>
      <w:r>
        <w:rPr>
          <w:rFonts w:hint="eastAsia" w:ascii="宋体" w:hAnsi="宋体" w:eastAsia="宋体"/>
          <w:bCs w:val="0"/>
          <w:lang w:eastAsia="zh-CN"/>
        </w:rPr>
        <w:t xml:space="preserve">6.招标文件构成</w:t>
      </w:r>
      <w:bookmarkEnd w:id="28"/>
      <w:r/>
      <w:bookmarkEnd w:id="29"/>
      <w:r/>
      <w:bookmarkEnd w:id="30"/>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360" w:lineRule="auto"/>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360" w:lineRule="auto"/>
        <w:rPr>
          <w:rFonts w:ascii="宋体" w:hAnsi="宋体"/>
          <w:sz w:val="24"/>
          <w:szCs w:val="24"/>
        </w:rPr>
      </w:pPr>
      <w:r>
        <w:rPr>
          <w:rFonts w:hint="eastAsia" w:ascii="宋体" w:hAnsi="宋体"/>
          <w:sz w:val="24"/>
          <w:szCs w:val="24"/>
        </w:rPr>
        <w:t xml:space="preserve">（2）投标人须知</w:t>
      </w:r>
      <w:r/>
    </w:p>
    <w:p>
      <w:pPr>
        <w:ind w:firstLine="480"/>
        <w:spacing w:line="360" w:lineRule="auto"/>
        <w:rPr>
          <w:rFonts w:ascii="宋体" w:hAnsi="宋体"/>
          <w:sz w:val="24"/>
          <w:szCs w:val="24"/>
        </w:rPr>
      </w:pPr>
      <w:r>
        <w:rPr>
          <w:rFonts w:hint="eastAsia" w:ascii="宋体" w:hAnsi="宋体"/>
          <w:sz w:val="24"/>
          <w:szCs w:val="24"/>
        </w:rPr>
        <w:t xml:space="preserve">（3）合同文本</w:t>
      </w:r>
      <w:r/>
    </w:p>
    <w:p>
      <w:pPr>
        <w:ind w:firstLine="480"/>
        <w:spacing w:line="360" w:lineRule="auto"/>
        <w:rPr>
          <w:rFonts w:ascii="宋体" w:hAnsi="宋体"/>
          <w:sz w:val="24"/>
          <w:szCs w:val="24"/>
        </w:rPr>
      </w:pPr>
      <w:r>
        <w:rPr>
          <w:rFonts w:hint="eastAsia" w:ascii="宋体" w:hAnsi="宋体"/>
          <w:sz w:val="24"/>
          <w:szCs w:val="24"/>
        </w:rPr>
        <w:t xml:space="preserve">（4）采购需求</w:t>
      </w:r>
      <w:r/>
    </w:p>
    <w:p>
      <w:pPr>
        <w:ind w:firstLine="48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360" w:lineRule="auto"/>
        <w:rPr>
          <w:rFonts w:ascii="宋体" w:hAnsi="宋体"/>
          <w:sz w:val="24"/>
          <w:szCs w:val="24"/>
        </w:rPr>
      </w:pPr>
      <w:r>
        <w:rPr>
          <w:rFonts w:hint="eastAsia" w:ascii="宋体" w:hAnsi="宋体"/>
          <w:sz w:val="24"/>
          <w:szCs w:val="24"/>
        </w:rPr>
        <w:t xml:space="preserve">（6）投标文件内容与格式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360" w:lineRule="auto"/>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8"/>
        <w:ind w:firstLine="422"/>
        <w:keepLines w:val="0"/>
        <w:keepNext w:val="0"/>
        <w:spacing w:before="0" w:after="0" w:line="360" w:lineRule="auto"/>
        <w:rPr>
          <w:rFonts w:ascii="宋体" w:hAnsi="宋体" w:eastAsia="宋体"/>
          <w:bCs w:val="0"/>
          <w:lang w:eastAsia="zh-CN"/>
        </w:rPr>
      </w:pPr>
      <w:r/>
      <w:bookmarkStart w:id="31" w:name="_Toc513029211"/>
      <w:r/>
      <w:bookmarkStart w:id="32" w:name="_Toc462564070"/>
      <w:r/>
      <w:bookmarkStart w:id="33" w:name="_Toc16938527"/>
      <w:r/>
      <w:bookmarkStart w:id="34" w:name="_Toc20823283"/>
      <w:r>
        <w:rPr>
          <w:rFonts w:hint="eastAsia" w:ascii="宋体" w:hAnsi="宋体" w:eastAsia="宋体"/>
          <w:bCs w:val="0"/>
          <w:lang w:eastAsia="zh-CN"/>
        </w:rPr>
        <w:t xml:space="preserve">7.招标文件的澄清</w:t>
      </w:r>
      <w:bookmarkEnd w:id="31"/>
      <w:r/>
      <w:bookmarkEnd w:id="32"/>
      <w:r/>
      <w:bookmarkEnd w:id="33"/>
      <w:r/>
      <w:bookmarkEnd w:id="34"/>
      <w:r/>
      <w:r/>
    </w:p>
    <w:p>
      <w:pPr>
        <w:ind w:firstLine="480"/>
        <w:spacing w:line="360" w:lineRule="auto"/>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1038"/>
        <w:ind w:firstLine="422"/>
        <w:keepLines w:val="0"/>
        <w:keepNext w:val="0"/>
        <w:spacing w:before="0" w:after="0" w:line="360" w:lineRule="auto"/>
        <w:rPr>
          <w:rFonts w:ascii="宋体" w:hAnsi="宋体" w:eastAsia="宋体"/>
          <w:bCs w:val="0"/>
          <w:lang w:eastAsia="zh-CN"/>
        </w:rPr>
      </w:pPr>
      <w:r/>
      <w:bookmarkStart w:id="35" w:name="_Toc462564071"/>
      <w:r/>
      <w:bookmarkStart w:id="36" w:name="_Toc20823284"/>
      <w:r/>
      <w:bookmarkStart w:id="37" w:name="_Toc513029212"/>
      <w:r/>
      <w:bookmarkStart w:id="38" w:name="_Toc16938528"/>
      <w:r>
        <w:rPr>
          <w:rFonts w:hint="eastAsia" w:ascii="宋体" w:hAnsi="宋体" w:eastAsia="宋体"/>
          <w:bCs w:val="0"/>
          <w:lang w:eastAsia="zh-CN"/>
        </w:rPr>
        <w:t xml:space="preserve">8.招标文件的修改</w:t>
      </w:r>
      <w:bookmarkEnd w:id="35"/>
      <w:r/>
      <w:bookmarkEnd w:id="36"/>
      <w:r/>
      <w:bookmarkEnd w:id="37"/>
      <w:r/>
      <w:bookmarkEnd w:id="38"/>
      <w:r/>
      <w:r/>
    </w:p>
    <w:p>
      <w:pPr>
        <w:ind w:firstLine="480"/>
        <w:spacing w:line="360" w:lineRule="auto"/>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1"/>
        <w:ind w:firstLine="452"/>
        <w:keepLines w:val="0"/>
        <w:keepNext w:val="0"/>
        <w:spacing w:before="0" w:after="0" w:line="360" w:lineRule="auto"/>
        <w:rPr>
          <w:sz w:val="30"/>
          <w:szCs w:val="30"/>
          <w:lang w:eastAsia="zh-CN"/>
        </w:rPr>
      </w:pPr>
      <w:r/>
      <w:bookmarkStart w:id="39" w:name="_Toc120614216"/>
      <w:r/>
      <w:bookmarkStart w:id="40" w:name="_Toc462564072"/>
      <w:r/>
      <w:bookmarkStart w:id="41" w:name="_Toc513029213"/>
      <w:r/>
      <w:bookmarkStart w:id="42" w:name="_Toc20823285"/>
      <w:r/>
      <w:bookmarkStart w:id="43" w:name="_Toc16938529"/>
      <w:r>
        <w:rPr>
          <w:rFonts w:hint="eastAsia"/>
          <w:sz w:val="30"/>
          <w:szCs w:val="30"/>
          <w:lang w:eastAsia="zh-CN"/>
        </w:rPr>
        <w:t xml:space="preserve">三、投标文件的编制</w:t>
      </w:r>
      <w:bookmarkEnd w:id="39"/>
      <w:r/>
      <w:bookmarkEnd w:id="40"/>
      <w:r/>
      <w:bookmarkEnd w:id="41"/>
      <w:r/>
      <w:bookmarkEnd w:id="42"/>
      <w:r/>
      <w:bookmarkEnd w:id="43"/>
      <w:r/>
      <w:r/>
    </w:p>
    <w:p>
      <w:pPr>
        <w:pStyle w:val="1038"/>
        <w:ind w:firstLine="422"/>
        <w:keepLines w:val="0"/>
        <w:keepNext w:val="0"/>
        <w:spacing w:before="0" w:after="0" w:line="360" w:lineRule="auto"/>
        <w:rPr>
          <w:rFonts w:ascii="宋体" w:hAnsi="宋体" w:eastAsia="宋体"/>
          <w:bCs w:val="0"/>
          <w:lang w:eastAsia="zh-CN"/>
        </w:rPr>
      </w:pPr>
      <w:r/>
      <w:bookmarkStart w:id="44" w:name="_Toc462564073"/>
      <w:r/>
      <w:bookmarkStart w:id="45" w:name="_Toc20823286"/>
      <w:r/>
      <w:bookmarkStart w:id="46" w:name="_Toc16938530"/>
      <w:r/>
      <w:bookmarkStart w:id="47" w:name="_Toc513029214"/>
      <w:r>
        <w:rPr>
          <w:rFonts w:hint="eastAsia" w:ascii="宋体" w:hAnsi="宋体" w:eastAsia="宋体"/>
          <w:bCs w:val="0"/>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1038"/>
        <w:ind w:firstLine="422"/>
        <w:keepLines w:val="0"/>
        <w:keepNext w:val="0"/>
        <w:spacing w:before="0" w:after="0" w:line="360" w:lineRule="auto"/>
        <w:rPr>
          <w:rFonts w:ascii="宋体" w:hAnsi="宋体" w:eastAsia="宋体"/>
          <w:bCs w:val="0"/>
          <w:lang w:eastAsia="zh-CN"/>
        </w:rPr>
      </w:pPr>
      <w:r/>
      <w:bookmarkStart w:id="48" w:name="_Toc462564074"/>
      <w:r/>
      <w:bookmarkStart w:id="49" w:name="_Toc20823287"/>
      <w:r/>
      <w:bookmarkStart w:id="50" w:name="_Toc513029215"/>
      <w:r/>
      <w:bookmarkStart w:id="51" w:name="_Toc16938531"/>
      <w:r>
        <w:rPr>
          <w:rFonts w:hint="eastAsia" w:ascii="宋体" w:hAnsi="宋体" w:eastAsia="宋体"/>
          <w:bCs w:val="0"/>
          <w:lang w:eastAsia="zh-CN"/>
        </w:rPr>
        <w:t xml:space="preserve">10.投标文件构成</w:t>
      </w:r>
      <w:bookmarkEnd w:id="48"/>
      <w:r/>
      <w:bookmarkEnd w:id="49"/>
      <w:r/>
      <w:bookmarkEnd w:id="50"/>
      <w:r/>
      <w:bookmarkEnd w:id="51"/>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360" w:lineRule="auto"/>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u w:val="single"/>
        </w:rPr>
      </w:pPr>
      <w:r>
        <w:rPr>
          <w:rFonts w:hint="eastAsia" w:ascii="宋体" w:hAnsi="宋体"/>
          <w:b/>
          <w:sz w:val="24"/>
        </w:rPr>
        <w:t xml:space="preserve">不得有体现投标人身份的内容是指：</w:t>
      </w:r>
      <w:r/>
    </w:p>
    <w:p>
      <w:pPr>
        <w:ind w:firstLine="482"/>
        <w:spacing w:line="360" w:lineRule="auto"/>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360" w:lineRule="auto"/>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360" w:lineRule="auto"/>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rPr>
      </w:pPr>
      <w:r>
        <w:rPr>
          <w:rFonts w:hint="eastAsia" w:ascii="宋体" w:hAnsi="宋体"/>
          <w:b/>
          <w:sz w:val="24"/>
        </w:rPr>
        <w:t xml:space="preserve">10.4.4不得有其他体现投标人身份的内容。</w:t>
      </w:r>
      <w:r/>
    </w:p>
    <w:p>
      <w:pPr>
        <w:ind w:firstLine="360"/>
        <w:spacing w:line="360" w:lineRule="auto"/>
        <w:rPr>
          <w:rFonts w:ascii="宋体" w:hAnsi="宋体"/>
          <w:sz w:val="24"/>
        </w:rPr>
      </w:pPr>
      <w:r>
        <w:rPr>
          <w:rFonts w:hint="eastAsia" w:ascii="宋体" w:hAnsi="宋体" w:cs="宋体"/>
          <w:b/>
          <w:sz w:val="24"/>
          <w:szCs w:val="24"/>
        </w:rPr>
        <w:t xml:space="preserve">10.5</w:t>
      </w:r>
      <w:r>
        <w:rPr>
          <w:rFonts w:hint="eastAsia" w:ascii="宋体" w:hAnsi="宋体" w:eastAsia="宋体" w:cs="宋体"/>
          <w:b/>
          <w:sz w:val="24"/>
          <w:szCs w:val="24"/>
        </w:rPr>
        <w:t xml:space="preserve">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cs="宋体"/>
          <w:b/>
          <w:sz w:val="24"/>
          <w:szCs w:val="24"/>
        </w:rPr>
        <w:t xml:space="preserve">如有</w:t>
      </w:r>
      <w:r>
        <w:rPr>
          <w:rFonts w:hint="eastAsia" w:ascii="宋体" w:hAnsi="宋体" w:eastAsia="宋体" w:cs="宋体"/>
          <w:b/>
          <w:sz w:val="24"/>
          <w:szCs w:val="24"/>
        </w:rPr>
        <w:t xml:space="preserve">图片</w:t>
      </w:r>
      <w:r>
        <w:rPr>
          <w:rFonts w:hint="eastAsia" w:ascii="宋体" w:hAnsi="宋体" w:cs="宋体"/>
          <w:b/>
          <w:sz w:val="24"/>
          <w:szCs w:val="24"/>
        </w:rPr>
        <w:t xml:space="preserve">要</w:t>
      </w:r>
      <w:r>
        <w:rPr>
          <w:rFonts w:hint="eastAsia" w:ascii="宋体" w:hAnsi="宋体" w:eastAsia="宋体" w:cs="宋体"/>
          <w:b/>
          <w:sz w:val="24"/>
          <w:szCs w:val="24"/>
        </w:rPr>
        <w:t xml:space="preserve">为彩色，图片不得出现能显示企业特征或其他提示性的标记或标识。</w:t>
      </w:r>
      <w:r/>
    </w:p>
    <w:p>
      <w:pPr>
        <w:pStyle w:val="1038"/>
        <w:ind w:firstLine="422"/>
        <w:keepLines w:val="0"/>
        <w:keepNext w:val="0"/>
        <w:spacing w:before="0" w:after="0" w:line="360" w:lineRule="auto"/>
        <w:rPr>
          <w:rFonts w:ascii="宋体" w:hAnsi="宋体" w:eastAsia="宋体"/>
          <w:bCs w:val="0"/>
          <w:lang w:eastAsia="zh-CN"/>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9"/>
      <w:r/>
      <w:bookmarkStart w:id="57" w:name="_Toc49090509"/>
      <w:r/>
      <w:bookmarkStart w:id="58" w:name="_Toc49090507"/>
      <w:r/>
      <w:bookmarkStart w:id="59" w:name="_Toc14577354"/>
      <w:r/>
      <w:bookmarkStart w:id="60" w:name="_Toc513029216"/>
      <w:r>
        <w:rPr>
          <w:rFonts w:hint="eastAsia" w:ascii="宋体" w:hAnsi="宋体" w:eastAsia="宋体"/>
          <w:bCs w:val="0"/>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sz w:val="24"/>
        </w:rPr>
      </w:pPr>
      <w:r/>
      <w:bookmarkStart w:id="61" w:name="_Toc14577355"/>
      <w:r/>
      <w:bookmarkStart w:id="62"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38"/>
        <w:ind w:firstLine="422"/>
        <w:keepLines w:val="0"/>
        <w:keepNext w:val="0"/>
        <w:spacing w:before="0" w:after="0" w:line="360" w:lineRule="auto"/>
        <w:rPr>
          <w:rFonts w:ascii="宋体" w:hAnsi="宋体" w:eastAsia="宋体"/>
          <w:bCs w:val="0"/>
          <w:lang w:eastAsia="zh-CN"/>
        </w:rPr>
      </w:pPr>
      <w:r/>
      <w:bookmarkStart w:id="63" w:name="_Toc49090510"/>
      <w:r/>
      <w:bookmarkStart w:id="64" w:name="_Toc14577359"/>
      <w:r>
        <w:rPr>
          <w:rFonts w:hint="eastAsia" w:ascii="宋体" w:hAnsi="宋体" w:eastAsia="宋体"/>
          <w:bCs w:val="0"/>
          <w:lang w:eastAsia="zh-CN"/>
        </w:rPr>
        <w:t xml:space="preserve">12.投标函、承诺书和开标一览表</w:t>
      </w:r>
      <w:r/>
    </w:p>
    <w:p>
      <w:pPr>
        <w:ind w:firstLine="480"/>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13.</w:t>
      </w:r>
      <w:bookmarkEnd w:id="61"/>
      <w:r/>
      <w:bookmarkEnd w:id="62"/>
      <w:r>
        <w:rPr>
          <w:rFonts w:hint="eastAsia" w:ascii="宋体" w:hAnsi="宋体" w:eastAsia="宋体"/>
          <w:bCs w:val="0"/>
          <w:lang w:eastAsia="zh-CN"/>
        </w:rPr>
        <w:t xml:space="preserve">分项报价表</w:t>
      </w:r>
      <w:r/>
    </w:p>
    <w:p>
      <w:pPr>
        <w:ind w:firstLine="480"/>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5" w:name="_Hlt26954840"/>
      <w:r/>
      <w:bookmarkEnd w:id="65"/>
      <w:r>
        <w:rPr>
          <w:rFonts w:hint="eastAsia" w:ascii="宋体" w:hAnsi="宋体"/>
          <w:sz w:val="24"/>
        </w:rPr>
        <w:t xml:space="preserve">标人应按照招标文件规定格式填报</w:t>
      </w:r>
      <w:bookmarkStart w:id="66" w:name="_Hlt26670399"/>
      <w:r/>
      <w:bookmarkEnd w:id="66"/>
      <w:r>
        <w:rPr>
          <w:rFonts w:hint="eastAsia" w:ascii="宋体" w:hAnsi="宋体"/>
          <w:sz w:val="24"/>
        </w:rPr>
        <w:t xml:space="preserve">分项报价表。</w:t>
      </w:r>
      <w:r/>
    </w:p>
    <w:p>
      <w:pPr>
        <w:ind w:firstLine="480"/>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38"/>
        <w:ind w:firstLine="422"/>
        <w:keepLines w:val="0"/>
        <w:keepNext w:val="0"/>
        <w:spacing w:before="0" w:after="0" w:line="360" w:lineRule="auto"/>
        <w:rPr>
          <w:rFonts w:ascii="宋体" w:hAnsi="宋体" w:eastAsia="宋体"/>
          <w:bCs w:val="0"/>
          <w:lang w:eastAsia="zh-CN"/>
        </w:rPr>
      </w:pPr>
      <w:r/>
      <w:bookmarkStart w:id="67" w:name="_Hlt26954846"/>
      <w:r/>
      <w:bookmarkEnd w:id="67"/>
      <w:r/>
      <w:bookmarkStart w:id="68" w:name="_Hlt26670425"/>
      <w:r/>
      <w:bookmarkEnd w:id="68"/>
      <w:r/>
      <w:bookmarkStart w:id="69" w:name="_Hlt26668983"/>
      <w:r/>
      <w:bookmarkEnd w:id="69"/>
      <w:r/>
      <w:bookmarkStart w:id="70" w:name="_Hlt26954848"/>
      <w:r/>
      <w:bookmarkEnd w:id="70"/>
      <w:r/>
      <w:bookmarkStart w:id="71" w:name="_Hlt26670403"/>
      <w:r/>
      <w:bookmarkEnd w:id="71"/>
      <w:r/>
      <w:bookmarkStart w:id="72" w:name="_Hlt26670482"/>
      <w:r/>
      <w:bookmarkEnd w:id="72"/>
      <w:r/>
      <w:bookmarkStart w:id="73" w:name="_Hlt26954844"/>
      <w:r/>
      <w:bookmarkEnd w:id="73"/>
      <w:r/>
      <w:bookmarkStart w:id="74" w:name="_Hlt26954842"/>
      <w:r/>
      <w:bookmarkEnd w:id="74"/>
      <w:r/>
      <w:bookmarkStart w:id="75" w:name="_Hlt26670486"/>
      <w:r/>
      <w:bookmarkEnd w:id="75"/>
      <w:r/>
      <w:bookmarkStart w:id="76" w:name="_Hlt26954731"/>
      <w:r/>
      <w:bookmarkEnd w:id="76"/>
      <w:r>
        <w:rPr>
          <w:rFonts w:hint="eastAsia" w:ascii="宋体" w:hAnsi="宋体" w:eastAsia="宋体"/>
          <w:bCs w:val="0"/>
          <w:lang w:eastAsia="zh-CN"/>
        </w:rPr>
        <w:t xml:space="preserve">14.投标偏离表</w:t>
      </w:r>
      <w:r/>
    </w:p>
    <w:p>
      <w:pPr>
        <w:ind w:firstLine="480"/>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38"/>
        <w:ind w:firstLine="422"/>
        <w:keepLines w:val="0"/>
        <w:keepNext w:val="0"/>
        <w:spacing w:before="0" w:after="0" w:line="360" w:lineRule="auto"/>
        <w:rPr>
          <w:rFonts w:ascii="宋体" w:hAnsi="宋体" w:eastAsia="宋体"/>
          <w:bCs w:val="0"/>
          <w:lang w:eastAsia="zh-CN"/>
        </w:rPr>
      </w:pPr>
      <w:r/>
      <w:bookmarkStart w:id="77" w:name="_Hlt26954734"/>
      <w:r/>
      <w:bookmarkEnd w:id="77"/>
      <w:r/>
      <w:bookmarkStart w:id="78" w:name="_Hlt26954850"/>
      <w:r/>
      <w:bookmarkEnd w:id="78"/>
      <w:r/>
      <w:bookmarkStart w:id="79" w:name="_Hlt26670489"/>
      <w:r/>
      <w:bookmarkEnd w:id="79"/>
      <w:r/>
      <w:bookmarkStart w:id="80" w:name="_Toc14577360"/>
      <w:r/>
      <w:bookmarkStart w:id="81" w:name="_Toc49090511"/>
      <w:r>
        <w:rPr>
          <w:rFonts w:hint="eastAsia" w:ascii="宋体" w:hAnsi="宋体" w:eastAsia="宋体"/>
          <w:bCs w:val="0"/>
          <w:lang w:eastAsia="zh-CN"/>
        </w:rPr>
        <w:t xml:space="preserve">15.投标有效期</w:t>
      </w:r>
      <w:bookmarkEnd w:id="80"/>
      <w:r/>
      <w:bookmarkEnd w:id="81"/>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1"/>
        <w:ind w:firstLine="452"/>
        <w:keepLines w:val="0"/>
        <w:keepNext w:val="0"/>
        <w:spacing w:before="0" w:after="0" w:line="360" w:lineRule="auto"/>
        <w:rPr>
          <w:sz w:val="30"/>
          <w:szCs w:val="30"/>
          <w:lang w:eastAsia="zh-CN"/>
        </w:rPr>
      </w:pPr>
      <w:r/>
      <w:bookmarkStart w:id="82" w:name="_Hlt26954739"/>
      <w:r/>
      <w:bookmarkEnd w:id="82"/>
      <w:r/>
      <w:bookmarkStart w:id="83" w:name="_Hlt26954852"/>
      <w:r/>
      <w:bookmarkEnd w:id="83"/>
      <w:r/>
      <w:bookmarkStart w:id="84" w:name="_Toc513029224"/>
      <w:r/>
      <w:bookmarkStart w:id="85" w:name="_Toc16938540"/>
      <w:r/>
      <w:bookmarkStart w:id="86" w:name="_Toc120614217"/>
      <w:r/>
      <w:bookmarkStart w:id="87" w:name="_Toc20823296"/>
      <w:r>
        <w:rPr>
          <w:rFonts w:hint="eastAsia"/>
          <w:sz w:val="30"/>
          <w:szCs w:val="30"/>
          <w:lang w:eastAsia="zh-CN"/>
        </w:rPr>
        <w:t xml:space="preserve">四、投标文件的递交</w:t>
      </w:r>
      <w:bookmarkEnd w:id="84"/>
      <w:r/>
      <w:bookmarkEnd w:id="85"/>
      <w:r/>
      <w:bookmarkEnd w:id="86"/>
      <w:r/>
      <w:bookmarkEnd w:id="87"/>
      <w:r/>
      <w:r/>
    </w:p>
    <w:p>
      <w:pPr>
        <w:pStyle w:val="1038"/>
        <w:ind w:firstLine="422"/>
        <w:keepLines w:val="0"/>
        <w:keepNext w:val="0"/>
        <w:spacing w:before="0" w:after="0" w:line="360" w:lineRule="auto"/>
        <w:rPr>
          <w:rFonts w:ascii="宋体" w:hAnsi="宋体" w:eastAsia="宋体"/>
          <w:bCs w:val="0"/>
          <w:lang w:eastAsia="zh-CN"/>
        </w:rPr>
      </w:pPr>
      <w:r/>
      <w:bookmarkStart w:id="88" w:name="_Toc20823297"/>
      <w:r/>
      <w:bookmarkStart w:id="89" w:name="_Toc513029225"/>
      <w:r/>
      <w:bookmarkStart w:id="90" w:name="_Toc462564084"/>
      <w:r/>
      <w:bookmarkStart w:id="91" w:name="_Toc16938541"/>
      <w:r>
        <w:rPr>
          <w:rFonts w:hint="eastAsia" w:ascii="宋体" w:hAnsi="宋体" w:eastAsia="宋体"/>
          <w:bCs w:val="0"/>
          <w:lang w:eastAsia="zh-CN"/>
        </w:rPr>
        <w:t xml:space="preserve">17.投标文件</w:t>
      </w:r>
      <w:bookmarkEnd w:id="88"/>
      <w:r/>
      <w:bookmarkEnd w:id="89"/>
      <w:r/>
      <w:bookmarkEnd w:id="90"/>
      <w:r/>
      <w:bookmarkEnd w:id="91"/>
      <w:r>
        <w:rPr>
          <w:rFonts w:hint="eastAsia" w:ascii="宋体" w:hAnsi="宋体" w:eastAsia="宋体"/>
          <w:bCs w:val="0"/>
          <w:lang w:eastAsia="zh-CN"/>
        </w:rPr>
        <w:t xml:space="preserve">的递交</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24"/>
        <w:ind w:firstLine="480"/>
        <w:spacing w:line="360" w:lineRule="auto"/>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2" w:name="_Toc513029226"/>
      <w:r/>
      <w:bookmarkStart w:id="93" w:name="_Toc20823298"/>
      <w:r/>
      <w:bookmarkStart w:id="94" w:name="_Toc16938542"/>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18.投标截止</w:t>
      </w:r>
      <w:bookmarkEnd w:id="92"/>
      <w:r/>
      <w:bookmarkEnd w:id="93"/>
      <w:r/>
      <w:bookmarkEnd w:id="94"/>
      <w:r>
        <w:rPr>
          <w:rFonts w:hint="eastAsia" w:ascii="宋体" w:hAnsi="宋体" w:eastAsia="宋体"/>
          <w:bCs w:val="0"/>
          <w:lang w:eastAsia="zh-CN"/>
        </w:rPr>
        <w:t xml:space="preserve">时间</w:t>
      </w:r>
      <w:r/>
    </w:p>
    <w:p>
      <w:pPr>
        <w:ind w:firstLine="480"/>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1038"/>
        <w:ind w:firstLine="422"/>
        <w:keepLines w:val="0"/>
        <w:keepNext w:val="0"/>
        <w:spacing w:before="0" w:after="0" w:line="360" w:lineRule="auto"/>
        <w:rPr>
          <w:rFonts w:ascii="宋体" w:hAnsi="宋体" w:eastAsia="宋体"/>
          <w:bCs w:val="0"/>
          <w:lang w:eastAsia="zh-CN"/>
        </w:rPr>
      </w:pPr>
      <w:r/>
      <w:bookmarkStart w:id="95" w:name="_Toc20823299"/>
      <w:r/>
      <w:bookmarkStart w:id="96" w:name="_Toc513029227"/>
      <w:r/>
      <w:bookmarkStart w:id="97" w:name="_Toc16938543"/>
      <w:r>
        <w:rPr>
          <w:rFonts w:hint="eastAsia" w:ascii="宋体" w:hAnsi="宋体" w:eastAsia="宋体"/>
          <w:bCs w:val="0"/>
          <w:lang w:eastAsia="zh-CN"/>
        </w:rPr>
        <w:t xml:space="preserve">19.投标文件</w:t>
      </w:r>
      <w:bookmarkEnd w:id="95"/>
      <w:r/>
      <w:bookmarkEnd w:id="96"/>
      <w:r/>
      <w:bookmarkEnd w:id="97"/>
      <w:r>
        <w:rPr>
          <w:rFonts w:hint="eastAsia" w:ascii="宋体" w:hAnsi="宋体" w:eastAsia="宋体"/>
          <w:bCs w:val="0"/>
          <w:lang w:eastAsia="zh-CN"/>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1038"/>
        <w:ind w:firstLine="422"/>
        <w:keepLines w:val="0"/>
        <w:keepNext w:val="0"/>
        <w:spacing w:before="0" w:after="0" w:line="360" w:lineRule="auto"/>
        <w:rPr>
          <w:rFonts w:ascii="宋体" w:hAnsi="宋体" w:eastAsia="宋体"/>
          <w:bCs w:val="0"/>
          <w:lang w:eastAsia="zh-CN"/>
        </w:rPr>
      </w:pPr>
      <w:r/>
      <w:bookmarkStart w:id="98" w:name="_Toc20823300"/>
      <w:r/>
      <w:bookmarkStart w:id="99" w:name="_Toc513029228"/>
      <w:r/>
      <w:bookmarkStart w:id="100" w:name="_Toc16938544"/>
      <w:r>
        <w:rPr>
          <w:rFonts w:hint="eastAsia" w:ascii="宋体" w:hAnsi="宋体" w:eastAsia="宋体"/>
          <w:bCs w:val="0"/>
          <w:lang w:eastAsia="zh-CN"/>
        </w:rPr>
        <w:t xml:space="preserve">20.投标文件的撤回和修改</w:t>
      </w:r>
      <w:bookmarkEnd w:id="98"/>
      <w:r/>
      <w:bookmarkEnd w:id="99"/>
      <w:r/>
      <w:bookmarkEnd w:id="100"/>
      <w:r/>
      <w:r/>
    </w:p>
    <w:p>
      <w:pPr>
        <w:ind w:firstLine="480"/>
        <w:spacing w:line="360" w:lineRule="auto"/>
        <w:rPr>
          <w:rFonts w:ascii="宋体" w:hAnsi="宋体"/>
          <w:sz w:val="24"/>
        </w:rPr>
      </w:pPr>
      <w:r>
        <w:rPr>
          <w:rFonts w:hint="eastAsia" w:ascii="宋体" w:hAnsi="宋体"/>
          <w:sz w:val="24"/>
        </w:rPr>
        <w:t xml:space="preserve">20.1投标文件的撤回</w:t>
      </w:r>
      <w:r/>
    </w:p>
    <w:p>
      <w:pPr>
        <w:ind w:firstLine="480"/>
        <w:spacing w:line="360" w:lineRule="auto"/>
        <w:rPr>
          <w:rFonts w:ascii="宋体" w:hAnsi="宋体"/>
          <w:sz w:val="24"/>
        </w:rPr>
      </w:pPr>
      <w:r>
        <w:rPr>
          <w:rFonts w:hint="eastAsia" w:ascii="宋体" w:hAnsi="宋体"/>
          <w:sz w:val="24"/>
        </w:rPr>
        <w:t xml:space="preserve">21.1.1电子投标文件的撤回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20.2投标文件的修改</w:t>
      </w:r>
      <w:r/>
    </w:p>
    <w:p>
      <w:pPr>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1"/>
        <w:ind w:firstLine="452"/>
        <w:keepLines w:val="0"/>
        <w:keepNext w:val="0"/>
        <w:spacing w:before="0" w:after="0" w:line="360" w:lineRule="auto"/>
        <w:rPr>
          <w:sz w:val="30"/>
          <w:szCs w:val="30"/>
          <w:lang w:eastAsia="zh-CN"/>
        </w:rPr>
      </w:pPr>
      <w:r/>
      <w:bookmarkStart w:id="101" w:name="_Toc120614218"/>
      <w:r/>
      <w:bookmarkStart w:id="102" w:name="_Toc513029229"/>
      <w:r/>
      <w:bookmarkStart w:id="103" w:name="_Toc20823301"/>
      <w:r/>
      <w:bookmarkStart w:id="104" w:name="_Toc16938545"/>
      <w:r>
        <w:rPr>
          <w:rFonts w:hint="eastAsia"/>
          <w:sz w:val="30"/>
          <w:szCs w:val="30"/>
          <w:lang w:eastAsia="zh-CN"/>
        </w:rPr>
        <w:t xml:space="preserve">五、开标与评标</w:t>
      </w:r>
      <w:bookmarkEnd w:id="101"/>
      <w:r/>
      <w:bookmarkEnd w:id="102"/>
      <w:r/>
      <w:bookmarkEnd w:id="103"/>
      <w:r/>
      <w:bookmarkEnd w:id="104"/>
      <w:r/>
      <w:r/>
    </w:p>
    <w:p>
      <w:pPr>
        <w:pStyle w:val="1038"/>
        <w:ind w:firstLine="422"/>
        <w:keepLines w:val="0"/>
        <w:keepNext w:val="0"/>
        <w:spacing w:before="0" w:after="0" w:line="360" w:lineRule="auto"/>
        <w:rPr>
          <w:rFonts w:ascii="宋体" w:hAnsi="宋体" w:eastAsia="宋体"/>
          <w:bCs w:val="0"/>
          <w:lang w:eastAsia="zh-CN"/>
        </w:rPr>
      </w:pPr>
      <w:r/>
      <w:bookmarkStart w:id="105" w:name="_Toc16938546"/>
      <w:r/>
      <w:bookmarkStart w:id="106" w:name="_Toc20823302"/>
      <w:r/>
      <w:bookmarkStart w:id="107" w:name="_Toc513029230"/>
      <w:r>
        <w:rPr>
          <w:rFonts w:hint="eastAsia" w:ascii="宋体" w:hAnsi="宋体" w:eastAsia="宋体"/>
          <w:bCs w:val="0"/>
          <w:lang w:eastAsia="zh-CN"/>
        </w:rPr>
        <w:t xml:space="preserve">21.开标</w:t>
      </w:r>
      <w:bookmarkEnd w:id="105"/>
      <w:r/>
      <w:bookmarkEnd w:id="106"/>
      <w:r/>
      <w:bookmarkEnd w:id="107"/>
      <w:r/>
      <w:r/>
    </w:p>
    <w:p>
      <w:pPr>
        <w:ind w:firstLine="480"/>
        <w:spacing w:line="360" w:lineRule="auto"/>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360" w:lineRule="auto"/>
        <w:rPr>
          <w:rFonts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360" w:lineRule="auto"/>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038"/>
        <w:ind w:firstLine="422"/>
        <w:keepLines w:val="0"/>
        <w:keepNext w:val="0"/>
        <w:spacing w:before="0" w:after="0" w:line="360" w:lineRule="auto"/>
        <w:rPr>
          <w:rFonts w:ascii="宋体" w:hAnsi="宋体" w:eastAsia="宋体"/>
          <w:bCs w:val="0"/>
          <w:lang w:eastAsia="zh-CN"/>
        </w:rPr>
      </w:pPr>
      <w:r/>
      <w:bookmarkStart w:id="108" w:name="_Toc20823303"/>
      <w:r/>
      <w:bookmarkStart w:id="109" w:name="_Toc16938547"/>
      <w:r/>
      <w:bookmarkStart w:id="110" w:name="_Toc513029231"/>
      <w:r>
        <w:rPr>
          <w:rFonts w:hint="eastAsia" w:ascii="宋体" w:hAnsi="宋体" w:eastAsia="宋体"/>
          <w:bCs w:val="0"/>
          <w:lang w:eastAsia="zh-CN"/>
        </w:rPr>
        <w:t xml:space="preserve">22.评标委员会</w:t>
      </w:r>
      <w:r/>
    </w:p>
    <w:p>
      <w:pPr>
        <w:ind w:firstLine="480"/>
        <w:spacing w:line="360" w:lineRule="auto"/>
        <w:rPr>
          <w:rFonts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360" w:lineRule="auto"/>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23.评标过程的保密与公正</w:t>
      </w:r>
      <w:bookmarkEnd w:id="108"/>
      <w:r/>
      <w:bookmarkEnd w:id="109"/>
      <w:r/>
      <w:bookmarkEnd w:id="110"/>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凡是与审查、澄清、评价和比较投标的有关资料以及投标建议等，采购人、评委、交易中心均不得向投标人或与评标无关的其他人员透露。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038"/>
        <w:ind w:firstLine="422"/>
        <w:keepLines w:val="0"/>
        <w:keepNext w:val="0"/>
        <w:spacing w:before="0" w:after="0" w:line="360" w:lineRule="auto"/>
        <w:rPr>
          <w:rFonts w:ascii="宋体" w:hAnsi="宋体" w:eastAsia="宋体"/>
          <w:bCs w:val="0"/>
          <w:lang w:eastAsia="zh-CN"/>
        </w:rPr>
      </w:pPr>
      <w:r/>
      <w:bookmarkStart w:id="111" w:name="_Toc20823304"/>
      <w:r/>
      <w:bookmarkStart w:id="112" w:name="_Toc513029232"/>
      <w:r/>
      <w:bookmarkStart w:id="113" w:name="_Toc16938548"/>
      <w:r>
        <w:rPr>
          <w:rFonts w:hint="eastAsia" w:ascii="宋体" w:hAnsi="宋体" w:eastAsia="宋体"/>
          <w:bCs w:val="0"/>
          <w:lang w:eastAsia="zh-CN"/>
        </w:rPr>
        <w:t xml:space="preserve">24.投标文件的澄清</w:t>
      </w:r>
      <w:bookmarkEnd w:id="111"/>
      <w:r/>
      <w:bookmarkEnd w:id="112"/>
      <w:r/>
      <w:bookmarkEnd w:id="113"/>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742"/>
        <w:ind w:firstLine="480"/>
        <w:spacing w:line="360" w:lineRule="auto"/>
        <w:rPr>
          <w:rFonts w:ascii="宋体" w:hAnsi="宋体"/>
          <w:sz w:val="24"/>
          <w:szCs w:val="24"/>
        </w:rPr>
      </w:pPr>
      <w:r>
        <w:rPr>
          <w:rFonts w:hint="eastAsia" w:ascii="宋体" w:hAnsi="宋体" w:eastAsia="宋体"/>
          <w:sz w:val="24"/>
          <w:szCs w:val="24"/>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1038"/>
        <w:ind w:firstLine="422"/>
        <w:keepLines w:val="0"/>
        <w:keepNext w:val="0"/>
        <w:spacing w:before="0" w:after="0" w:line="360" w:lineRule="auto"/>
        <w:rPr>
          <w:rFonts w:ascii="宋体" w:hAnsi="宋体" w:eastAsia="宋体"/>
          <w:bCs w:val="0"/>
          <w:lang w:eastAsia="zh-CN"/>
        </w:rPr>
      </w:pPr>
      <w:r/>
      <w:bookmarkStart w:id="114" w:name="_Toc16938549"/>
      <w:r/>
      <w:bookmarkStart w:id="115" w:name="_Toc20823305"/>
      <w:r/>
      <w:bookmarkStart w:id="116" w:name="_Toc513029233"/>
      <w:r>
        <w:rPr>
          <w:rFonts w:hint="eastAsia" w:ascii="宋体" w:hAnsi="宋体" w:eastAsia="宋体"/>
          <w:bCs w:val="0"/>
          <w:lang w:eastAsia="zh-CN"/>
        </w:rPr>
        <w:t xml:space="preserve">25.对投标文件的初审</w:t>
      </w:r>
      <w:bookmarkEnd w:id="114"/>
      <w:r/>
      <w:bookmarkEnd w:id="115"/>
      <w:r/>
      <w:bookmarkEnd w:id="116"/>
      <w:r/>
      <w:r/>
    </w:p>
    <w:p>
      <w:pPr>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360" w:lineRule="auto"/>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26</w:t>
      </w:r>
      <w:bookmarkEnd w:id="117"/>
      <w:r/>
      <w:bookmarkEnd w:id="118"/>
      <w:r/>
      <w:bookmarkEnd w:id="119"/>
      <w:r>
        <w:rPr>
          <w:rFonts w:hint="eastAsia" w:ascii="宋体" w:hAnsi="宋体" w:eastAsia="宋体"/>
          <w:bCs w:val="0"/>
          <w:lang w:eastAsia="zh-CN"/>
        </w:rPr>
        <w:t xml:space="preserve">.无效投标条款和废标条款</w:t>
      </w:r>
      <w:r/>
    </w:p>
    <w:p>
      <w:pPr>
        <w:ind w:left="479"/>
        <w:spacing w:line="360" w:lineRule="auto"/>
        <w:rPr>
          <w:rFonts w:ascii="宋体" w:hAnsi="宋体"/>
          <w:bCs/>
          <w:sz w:val="24"/>
        </w:rPr>
      </w:pPr>
      <w:r/>
      <w:bookmarkStart w:id="120" w:name="_Toc16938551"/>
      <w:r/>
      <w:bookmarkStart w:id="121" w:name="_Toc513029235"/>
      <w:r/>
      <w:bookmarkStart w:id="122" w:name="_Toc20823307"/>
      <w:r>
        <w:rPr>
          <w:rFonts w:hint="eastAsia" w:ascii="宋体" w:hAnsi="宋体"/>
          <w:bCs/>
          <w:sz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360" w:lineRule="auto"/>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360" w:lineRule="auto"/>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360" w:lineRule="auto"/>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360" w:lineRule="auto"/>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360" w:lineRule="auto"/>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360" w:lineRule="auto"/>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项目（标项、标段、分包）投标总价超过本项目（本采购包、本标项、本标段）预算或最高限价的。</w:t>
      </w:r>
      <w:r/>
    </w:p>
    <w:p>
      <w:pPr>
        <w:ind w:firstLine="480"/>
        <w:spacing w:line="360" w:lineRule="auto"/>
        <w:rPr>
          <w:rFonts w:ascii="宋体" w:hAnsi="宋体"/>
          <w:bCs/>
          <w:sz w:val="24"/>
          <w:szCs w:val="24"/>
        </w:rPr>
      </w:pPr>
      <w:r>
        <w:rPr>
          <w:rFonts w:hint="eastAsia" w:ascii="宋体" w:hAnsi="宋体"/>
          <w:bCs/>
          <w:sz w:val="24"/>
          <w:szCs w:val="24"/>
        </w:rPr>
        <w:t xml:space="preserve">26.1.11未通过符合性审查的。</w:t>
      </w:r>
      <w:r/>
    </w:p>
    <w:p>
      <w:pPr>
        <w:ind w:firstLine="480"/>
        <w:spacing w:line="360" w:lineRule="auto"/>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360" w:lineRule="auto"/>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360" w:lineRule="auto"/>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360" w:lineRule="auto"/>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360" w:lineRule="auto"/>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360" w:lineRule="auto"/>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360" w:lineRule="auto"/>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360" w:lineRule="auto"/>
        <w:rPr>
          <w:rFonts w:ascii="宋体" w:hAnsi="宋体"/>
          <w:bCs/>
          <w:sz w:val="24"/>
        </w:rPr>
      </w:pPr>
      <w:r>
        <w:rPr>
          <w:rFonts w:hint="eastAsia" w:ascii="宋体" w:hAnsi="宋体"/>
          <w:bCs/>
          <w:sz w:val="24"/>
        </w:rPr>
        <w:t xml:space="preserve">26.1.24其他法律法规及本招标文件规定的属无效投标的情形。</w:t>
      </w:r>
      <w:r/>
    </w:p>
    <w:p>
      <w:pPr>
        <w:ind w:left="479"/>
        <w:spacing w:line="360" w:lineRule="auto"/>
        <w:rPr>
          <w:rFonts w:ascii="宋体" w:hAnsi="宋体"/>
          <w:bCs/>
          <w:sz w:val="24"/>
        </w:rPr>
      </w:pPr>
      <w:r>
        <w:rPr>
          <w:rFonts w:hint="eastAsia" w:ascii="宋体" w:hAnsi="宋体"/>
          <w:bCs/>
          <w:sz w:val="24"/>
        </w:rPr>
        <w:t xml:space="preserve">26.2废标条款</w:t>
      </w:r>
      <w:r/>
    </w:p>
    <w:p>
      <w:pPr>
        <w:ind w:left="479"/>
        <w:spacing w:line="360" w:lineRule="auto"/>
        <w:rPr>
          <w:rFonts w:ascii="宋体" w:hAnsi="宋体"/>
          <w:bCs/>
          <w:sz w:val="24"/>
        </w:rPr>
      </w:pPr>
      <w:r>
        <w:rPr>
          <w:rFonts w:hint="eastAsia" w:ascii="宋体" w:hAnsi="宋体"/>
          <w:bCs/>
          <w:sz w:val="24"/>
        </w:rPr>
        <w:t xml:space="preserve">26.2.1符合专业条件的供应商或者对招标文件做实质响应的供应商不足三家的。26.2.2出现影响采购公正的违法、违规行为的。</w:t>
      </w:r>
      <w:r/>
    </w:p>
    <w:p>
      <w:pPr>
        <w:ind w:left="479"/>
        <w:spacing w:line="360" w:lineRule="auto"/>
        <w:rPr>
          <w:rFonts w:ascii="宋体" w:hAnsi="宋体"/>
          <w:bCs/>
          <w:sz w:val="24"/>
        </w:rPr>
      </w:pPr>
      <w:r>
        <w:rPr>
          <w:rFonts w:hint="eastAsia" w:ascii="宋体" w:hAnsi="宋体"/>
          <w:bCs/>
          <w:sz w:val="24"/>
        </w:rPr>
        <w:t xml:space="preserve">26.2.3因重大变故，采购任务取消的。</w:t>
      </w:r>
      <w:r/>
    </w:p>
    <w:p>
      <w:pPr>
        <w:ind w:left="479"/>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360" w:lineRule="auto"/>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360" w:lineRule="auto"/>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bCs/>
          <w:sz w:val="24"/>
        </w:rPr>
      </w:pPr>
      <w:r>
        <w:rPr>
          <w:rFonts w:hint="eastAsia" w:ascii="宋体" w:hAnsi="宋体"/>
          <w:bCs/>
          <w:sz w:val="24"/>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bCs/>
          <w:sz w:val="24"/>
        </w:rPr>
      </w:pPr>
      <w:r>
        <w:rPr>
          <w:rFonts w:hint="eastAsia" w:ascii="宋体" w:hAnsi="宋体"/>
          <w:bCs/>
          <w:sz w:val="24"/>
        </w:rPr>
        <w:t xml:space="preserve">26.5商务标（明标）和技术标（暗标），其中某一标被本项目评委确认为无效响应文件的；</w:t>
      </w:r>
      <w:r/>
    </w:p>
    <w:p>
      <w:pPr>
        <w:ind w:firstLine="480"/>
        <w:spacing w:line="360" w:lineRule="auto"/>
        <w:rPr>
          <w:rFonts w:ascii="宋体" w:hAnsi="宋体"/>
          <w:bCs/>
          <w:sz w:val="24"/>
        </w:rPr>
      </w:pPr>
      <w:r>
        <w:rPr>
          <w:rFonts w:hint="eastAsia" w:ascii="宋体" w:hAnsi="宋体"/>
          <w:bCs/>
          <w:sz w:val="24"/>
        </w:rPr>
        <w:t xml:space="preserve">26.6暗标未按要求编制，编制粗糙、缺漏项、格式混乱、条理不清的；</w:t>
      </w:r>
      <w:r/>
    </w:p>
    <w:p>
      <w:pPr>
        <w:pStyle w:val="861"/>
        <w:ind w:firstLine="452"/>
        <w:keepLines w:val="0"/>
        <w:keepNext w:val="0"/>
        <w:spacing w:before="0" w:after="0" w:line="360" w:lineRule="auto"/>
        <w:rPr>
          <w:sz w:val="30"/>
          <w:szCs w:val="30"/>
          <w:lang w:eastAsia="zh-CN"/>
        </w:rPr>
      </w:pPr>
      <w:r/>
      <w:bookmarkStart w:id="123" w:name="_Toc120614219"/>
      <w:r>
        <w:rPr>
          <w:rFonts w:hint="eastAsia"/>
          <w:sz w:val="30"/>
          <w:szCs w:val="30"/>
          <w:lang w:eastAsia="zh-CN"/>
        </w:rPr>
        <w:t xml:space="preserve">六、</w:t>
      </w:r>
      <w:bookmarkEnd w:id="120"/>
      <w:r/>
      <w:bookmarkEnd w:id="121"/>
      <w:r/>
      <w:bookmarkEnd w:id="122"/>
      <w:r>
        <w:rPr>
          <w:rFonts w:hint="eastAsia"/>
          <w:sz w:val="30"/>
          <w:szCs w:val="30"/>
          <w:lang w:eastAsia="zh-CN"/>
        </w:rPr>
        <w:t xml:space="preserve">定标</w:t>
      </w:r>
      <w:bookmarkEnd w:id="123"/>
      <w:r/>
      <w:r/>
    </w:p>
    <w:p>
      <w:pPr>
        <w:pStyle w:val="1038"/>
        <w:ind w:firstLine="422"/>
        <w:keepLines w:val="0"/>
        <w:keepNext w:val="0"/>
        <w:spacing w:before="0" w:after="0" w:line="360" w:lineRule="auto"/>
        <w:rPr>
          <w:rFonts w:ascii="宋体" w:hAnsi="宋体" w:eastAsia="宋体"/>
          <w:bCs w:val="0"/>
          <w:lang w:eastAsia="zh-CN"/>
        </w:rPr>
      </w:pPr>
      <w:r/>
      <w:bookmarkStart w:id="124" w:name="_Toc513029238"/>
      <w:r/>
      <w:bookmarkStart w:id="125" w:name="_Toc20823310"/>
      <w:r/>
      <w:bookmarkStart w:id="126" w:name="_Toc16938554"/>
      <w:r>
        <w:rPr>
          <w:rFonts w:hint="eastAsia" w:ascii="宋体" w:hAnsi="宋体" w:eastAsia="宋体"/>
          <w:bCs w:val="0"/>
          <w:lang w:eastAsia="zh-CN"/>
        </w:rPr>
        <w:t xml:space="preserve">27</w:t>
      </w:r>
      <w:bookmarkEnd w:id="124"/>
      <w:r>
        <w:rPr>
          <w:rFonts w:hint="eastAsia" w:ascii="宋体" w:hAnsi="宋体" w:eastAsia="宋体"/>
          <w:bCs w:val="0"/>
          <w:lang w:eastAsia="zh-CN"/>
        </w:rPr>
        <w:t xml:space="preserve">.确定</w:t>
      </w:r>
      <w:bookmarkEnd w:id="125"/>
      <w:r/>
      <w:bookmarkEnd w:id="126"/>
      <w:r>
        <w:rPr>
          <w:rFonts w:hint="eastAsia" w:ascii="宋体" w:hAnsi="宋体" w:eastAsia="宋体"/>
          <w:bCs w:val="0"/>
          <w:lang w:eastAsia="zh-CN"/>
        </w:rPr>
        <w:t xml:space="preserve">中标单位</w:t>
      </w:r>
      <w:r/>
    </w:p>
    <w:p>
      <w:pPr>
        <w:ind w:firstLine="480"/>
        <w:spacing w:line="360" w:lineRule="auto"/>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27.4中标无效的确认</w:t>
      </w:r>
      <w:r/>
    </w:p>
    <w:p>
      <w:pPr>
        <w:ind w:firstLine="480"/>
        <w:spacing w:line="360" w:lineRule="auto"/>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2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360" w:lineRule="auto"/>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28.质疑处理</w:t>
      </w:r>
      <w:bookmarkEnd w:id="127"/>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360" w:lineRule="auto"/>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360" w:lineRule="auto"/>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1"/>
        <w:ind w:firstLine="452"/>
        <w:keepLines w:val="0"/>
        <w:keepNext w:val="0"/>
        <w:spacing w:before="0" w:after="0" w:line="360" w:lineRule="auto"/>
        <w:rPr>
          <w:sz w:val="30"/>
          <w:szCs w:val="30"/>
          <w:lang w:eastAsia="zh-CN"/>
        </w:rPr>
      </w:pPr>
      <w:r/>
      <w:bookmarkStart w:id="128" w:name="_Toc120614220"/>
      <w:r/>
      <w:bookmarkStart w:id="129" w:name="_Toc16938552"/>
      <w:r/>
      <w:bookmarkStart w:id="130" w:name="_Toc513029236"/>
      <w:r/>
      <w:bookmarkStart w:id="131" w:name="_Toc20823308"/>
      <w:r>
        <w:rPr>
          <w:rFonts w:hint="eastAsia"/>
          <w:sz w:val="30"/>
          <w:szCs w:val="30"/>
          <w:lang w:eastAsia="zh-CN"/>
        </w:rPr>
        <w:t xml:space="preserve">七、授予合同</w:t>
      </w:r>
      <w:bookmarkEnd w:id="128"/>
      <w:r/>
      <w:bookmarkEnd w:id="129"/>
      <w:r/>
      <w:bookmarkEnd w:id="130"/>
      <w:r/>
      <w:bookmarkEnd w:id="131"/>
      <w:r/>
      <w:r/>
    </w:p>
    <w:p>
      <w:pPr>
        <w:pStyle w:val="1038"/>
        <w:ind w:firstLine="422"/>
        <w:keepLines w:val="0"/>
        <w:keepNext w:val="0"/>
        <w:spacing w:before="0" w:after="0" w:line="360" w:lineRule="auto"/>
        <w:rPr>
          <w:rFonts w:ascii="宋体" w:hAnsi="宋体" w:eastAsia="宋体"/>
          <w:bCs w:val="0"/>
          <w:lang w:eastAsia="zh-CN"/>
        </w:rPr>
      </w:pPr>
      <w:r/>
      <w:bookmarkStart w:id="132" w:name="_Toc16938553"/>
      <w:r/>
      <w:bookmarkStart w:id="133" w:name="_Toc513029237"/>
      <w:r/>
      <w:bookmarkStart w:id="134" w:name="_Toc20823309"/>
      <w:r>
        <w:rPr>
          <w:rFonts w:hint="eastAsia" w:ascii="宋体" w:hAnsi="宋体" w:eastAsia="宋体"/>
          <w:bCs w:val="0"/>
          <w:lang w:eastAsia="zh-CN"/>
        </w:rPr>
        <w:t xml:space="preserve">30.签订合同</w:t>
      </w:r>
      <w:r/>
    </w:p>
    <w:p>
      <w:pPr>
        <w:ind w:firstLine="480"/>
        <w:spacing w:line="360" w:lineRule="auto"/>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38"/>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35"/>
        <w:jc w:val="center"/>
        <w:spacing w:line="360" w:lineRule="auto"/>
        <w:rPr>
          <w:rFonts w:ascii="黑体" w:eastAsia="黑体"/>
          <w:sz w:val="36"/>
          <w:szCs w:val="36"/>
          <w:lang w:eastAsia="zh-CN"/>
        </w:rPr>
      </w:pPr>
      <w:r>
        <w:rPr>
          <w:rFonts w:ascii="黑体" w:eastAsia="黑体"/>
          <w:sz w:val="36"/>
          <w:szCs w:val="36"/>
          <w:lang w:eastAsia="zh-CN"/>
        </w:rPr>
      </w:r>
      <w:r/>
    </w:p>
    <w:p>
      <w:pPr>
        <w:pStyle w:val="1035"/>
        <w:jc w:val="center"/>
        <w:spacing w:line="360" w:lineRule="auto"/>
        <w:rPr>
          <w:rFonts w:ascii="黑体" w:eastAsia="黑体"/>
          <w:sz w:val="36"/>
          <w:szCs w:val="36"/>
          <w:lang w:eastAsia="zh-CN"/>
        </w:rPr>
      </w:pPr>
      <w:r>
        <w:rPr>
          <w:rFonts w:ascii="黑体" w:eastAsia="黑体"/>
          <w:sz w:val="36"/>
          <w:szCs w:val="36"/>
          <w:lang w:eastAsia="zh-CN"/>
        </w:rPr>
      </w:r>
      <w:r/>
    </w:p>
    <w:p>
      <w:pPr>
        <w:pStyle w:val="1035"/>
        <w:jc w:val="center"/>
        <w:spacing w:line="360" w:lineRule="auto"/>
        <w:rPr>
          <w:rFonts w:ascii="黑体" w:eastAsia="黑体"/>
          <w:sz w:val="36"/>
          <w:szCs w:val="36"/>
          <w:lang w:eastAsia="zh-CN"/>
        </w:rPr>
      </w:pPr>
      <w:r>
        <w:rPr>
          <w:rFonts w:ascii="黑体" w:eastAsia="黑体"/>
          <w:sz w:val="36"/>
          <w:szCs w:val="36"/>
          <w:lang w:eastAsia="zh-CN"/>
        </w:rPr>
      </w:r>
      <w:bookmarkEnd w:id="132"/>
      <w:r/>
      <w:bookmarkEnd w:id="133"/>
      <w:r/>
      <w:bookmarkEnd w:id="134"/>
      <w:r/>
      <w:r/>
    </w:p>
    <w:p>
      <w:pPr>
        <w:pStyle w:val="1035"/>
        <w:ind w:firstLine="0"/>
        <w:spacing w:line="360" w:lineRule="auto"/>
        <w:rPr>
          <w:rFonts w:ascii="黑体" w:eastAsia="黑体"/>
          <w:bCs/>
          <w:sz w:val="36"/>
          <w:szCs w:val="36"/>
          <w:lang w:eastAsia="zh-CN"/>
        </w:rPr>
      </w:pPr>
      <w:r/>
      <w:bookmarkStart w:id="135" w:name="_Toc120614221"/>
      <w:r/>
      <w:bookmarkStart w:id="136" w:name="_Toc16938558"/>
      <w:r/>
      <w:bookmarkStart w:id="137" w:name="_Toc20823314"/>
      <w:r/>
      <w:bookmarkStart w:id="138" w:name="_Toc479757207"/>
      <w:r/>
      <w:bookmarkStart w:id="139" w:name="_Toc513029242"/>
      <w:r/>
      <w:r/>
    </w:p>
    <w:p>
      <w:pPr>
        <w:pStyle w:val="1035"/>
        <w:ind w:firstLine="0"/>
        <w:spacing w:line="360" w:lineRule="auto"/>
        <w:rPr>
          <w:rFonts w:ascii="黑体" w:eastAsia="黑体"/>
          <w:bCs/>
          <w:sz w:val="36"/>
          <w:szCs w:val="36"/>
          <w:lang w:eastAsia="zh-CN"/>
        </w:rPr>
      </w:pPr>
      <w:r>
        <w:rPr>
          <w:rFonts w:ascii="黑体" w:eastAsia="黑体"/>
          <w:bCs/>
          <w:sz w:val="36"/>
          <w:szCs w:val="36"/>
          <w:lang w:eastAsia="zh-CN"/>
        </w:rPr>
      </w:r>
      <w:r/>
    </w:p>
    <w:p>
      <w:pPr>
        <w:pStyle w:val="1035"/>
        <w:ind w:firstLine="0"/>
        <w:spacing w:line="360" w:lineRule="auto"/>
        <w:rPr>
          <w:rFonts w:ascii="黑体" w:eastAsia="黑体"/>
          <w:bCs/>
          <w:sz w:val="36"/>
          <w:szCs w:val="36"/>
          <w:lang w:eastAsia="zh-CN"/>
        </w:rPr>
      </w:pPr>
      <w:r>
        <w:rPr>
          <w:rFonts w:ascii="黑体" w:eastAsia="黑体"/>
          <w:bCs/>
          <w:sz w:val="36"/>
          <w:szCs w:val="36"/>
          <w:lang w:eastAsia="zh-CN"/>
        </w:rPr>
      </w:r>
      <w:r/>
    </w:p>
    <w:p>
      <w:pPr>
        <w:pStyle w:val="1035"/>
        <w:ind w:firstLine="0"/>
        <w:jc w:val="center"/>
        <w:spacing w:line="360" w:lineRule="auto"/>
        <w:rPr>
          <w:rFonts w:ascii="黑体" w:eastAsia="黑体"/>
          <w:sz w:val="36"/>
          <w:szCs w:val="36"/>
          <w:lang w:eastAsia="zh-CN"/>
        </w:rPr>
      </w:pPr>
      <w:r>
        <w:rPr>
          <w:rFonts w:hint="eastAsia" w:ascii="黑体" w:eastAsia="黑体"/>
          <w:bCs/>
          <w:sz w:val="36"/>
          <w:szCs w:val="36"/>
          <w:lang w:eastAsia="zh-CN"/>
        </w:rPr>
        <w:t xml:space="preserve">第三章  合同</w:t>
      </w:r>
      <w:bookmarkEnd w:id="135"/>
      <w:r/>
      <w:bookmarkEnd w:id="136"/>
      <w:r/>
      <w:bookmarkEnd w:id="137"/>
      <w:r/>
      <w:bookmarkEnd w:id="138"/>
      <w:r/>
      <w:bookmarkEnd w:id="139"/>
      <w:r>
        <w:rPr>
          <w:rFonts w:hint="eastAsia" w:ascii="黑体" w:eastAsia="黑体"/>
          <w:bCs/>
          <w:sz w:val="36"/>
          <w:szCs w:val="36"/>
          <w:lang w:eastAsia="zh-CN"/>
        </w:rPr>
        <w:t xml:space="preserve">文本</w:t>
      </w:r>
      <w:r/>
    </w:p>
    <w:p>
      <w:pPr>
        <w:ind w:firstLine="480"/>
        <w:spacing w:line="360" w:lineRule="auto"/>
        <w:rPr>
          <w:rFonts w:ascii="宋体" w:hAnsi="宋体"/>
          <w:bCs/>
          <w:sz w:val="24"/>
        </w:rPr>
      </w:pPr>
      <w:r/>
      <w:bookmarkStart w:id="140" w:name="_Toc513029243"/>
      <w:r/>
      <w:bookmarkStart w:id="141" w:name="_Toc20823315"/>
      <w:r/>
      <w:bookmarkStart w:id="142" w:name="_Toc16938559"/>
      <w:r>
        <w:rPr>
          <w:rFonts w:hint="eastAsia" w:ascii="宋体" w:hAnsi="宋体"/>
          <w:bCs/>
          <w:sz w:val="24"/>
        </w:rPr>
        <w:t xml:space="preserve">以下为中标后签订本项目合同的通用条款，中标人不得提出实质性的修改。</w:t>
      </w:r>
      <w:r/>
    </w:p>
    <w:p>
      <w:pPr>
        <w:jc w:val="center"/>
        <w:spacing w:line="360" w:lineRule="auto"/>
        <w:rPr>
          <w:rFonts w:ascii="宋体" w:hAnsi="宋体"/>
          <w:b/>
          <w:bCs/>
          <w:sz w:val="30"/>
          <w:szCs w:val="20"/>
        </w:rPr>
        <w:outlineLvl w:val="0"/>
      </w:pPr>
      <w:r>
        <w:rPr>
          <w:rFonts w:hint="eastAsia" w:ascii="宋体" w:hAnsi="宋体"/>
          <w:b/>
          <w:sz w:val="30"/>
        </w:rPr>
        <w:t xml:space="preserve">江苏省政府采购合同（服务）（合同编号）</w:t>
      </w:r>
      <w:r/>
    </w:p>
    <w:p>
      <w:pPr>
        <w:pStyle w:val="1067"/>
        <w:spacing w:line="360" w:lineRule="auto"/>
        <w:rPr>
          <w:rFonts w:hAnsi="宋体"/>
          <w:sz w:val="24"/>
          <w:szCs w:val="24"/>
          <w:lang w:eastAsia="zh-CN"/>
        </w:rPr>
      </w:pPr>
      <w:r>
        <w:rPr>
          <w:rFonts w:hAnsi="宋体"/>
          <w:sz w:val="24"/>
          <w:szCs w:val="24"/>
          <w:lang w:eastAsia="zh-CN"/>
        </w:rPr>
        <w:t xml:space="preserve">项目名称：                                       项目编号：</w:t>
      </w:r>
      <w:r/>
    </w:p>
    <w:p>
      <w:pPr>
        <w:pStyle w:val="1067"/>
        <w:spacing w:line="360" w:lineRule="auto"/>
        <w:rPr>
          <w:rFonts w:hAnsi="宋体"/>
          <w:sz w:val="24"/>
          <w:szCs w:val="24"/>
          <w:lang w:eastAsia="zh-CN"/>
        </w:rPr>
      </w:pPr>
      <w:r>
        <w:rPr>
          <w:rFonts w:hAnsi="宋体"/>
          <w:sz w:val="24"/>
          <w:szCs w:val="24"/>
          <w:lang w:eastAsia="zh-CN"/>
        </w:rPr>
        <w:t xml:space="preserve">甲方：（买方、需方、采购人）_________</w:t>
      </w:r>
      <w:r/>
    </w:p>
    <w:p>
      <w:pPr>
        <w:pStyle w:val="1067"/>
        <w:spacing w:line="360" w:lineRule="auto"/>
        <w:rPr>
          <w:rFonts w:hAnsi="宋体"/>
          <w:sz w:val="24"/>
          <w:szCs w:val="24"/>
          <w:lang w:eastAsia="zh-CN"/>
        </w:rPr>
      </w:pPr>
      <w:r>
        <w:rPr>
          <w:rFonts w:hAnsi="宋体"/>
          <w:sz w:val="24"/>
          <w:szCs w:val="24"/>
          <w:lang w:eastAsia="zh-CN"/>
        </w:rPr>
        <w:t xml:space="preserve">乙方：（卖方、供方、供应商）_________</w:t>
      </w:r>
      <w:r/>
    </w:p>
    <w:p>
      <w:pPr>
        <w:pStyle w:val="1067"/>
        <w:ind w:firstLine="480"/>
        <w:spacing w:line="360" w:lineRule="auto"/>
        <w:rPr>
          <w:rFonts w:hAnsi="宋体"/>
          <w:b/>
          <w:sz w:val="24"/>
          <w:szCs w:val="24"/>
          <w:lang w:eastAsia="zh-CN"/>
        </w:rPr>
      </w:pPr>
      <w:r>
        <w:rPr>
          <w:rFonts w:hAnsi="宋体"/>
          <w:sz w:val="24"/>
          <w:szCs w:val="24"/>
          <w:lang w:eastAsia="zh-CN"/>
        </w:rPr>
        <w:t xml:space="preserve">甲、乙双方根据</w:t>
      </w:r>
      <w:r>
        <w:rPr>
          <w:rFonts w:hint="eastAsia" w:hAnsi="宋体"/>
          <w:sz w:val="24"/>
          <w:szCs w:val="24"/>
          <w:lang w:eastAsia="zh-CN"/>
        </w:rPr>
        <w:t xml:space="preserve">无锡市滨湖区公共资源交易中心</w:t>
      </w:r>
      <w:r>
        <w:rPr>
          <w:rFonts w:hAnsi="宋体"/>
          <w:sz w:val="24"/>
          <w:szCs w:val="24"/>
          <w:lang w:eastAsia="zh-CN"/>
        </w:rPr>
        <w:t xml:space="preserve">项目公开招标的结果，签署本合同。</w:t>
      </w:r>
      <w:r/>
    </w:p>
    <w:p>
      <w:pPr>
        <w:pStyle w:val="1067"/>
        <w:ind w:firstLine="482"/>
        <w:spacing w:line="360" w:lineRule="auto"/>
        <w:rPr>
          <w:rFonts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1067"/>
        <w:ind w:firstLine="480"/>
        <w:spacing w:line="360" w:lineRule="auto"/>
        <w:rPr>
          <w:rFonts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p>
    <w:p>
      <w:pPr>
        <w:pStyle w:val="1067"/>
        <w:ind w:firstLine="480"/>
        <w:spacing w:line="360" w:lineRule="auto"/>
        <w:rPr>
          <w:rFonts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1.3 标的数量（规模）：</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1.4 履行时间（期限）：</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1.5 履行地点：</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pStyle w:val="1067"/>
        <w:ind w:firstLine="482"/>
        <w:spacing w:line="360" w:lineRule="auto"/>
        <w:rPr>
          <w:rFonts w:hAnsi="宋体"/>
          <w:b/>
          <w:sz w:val="24"/>
          <w:szCs w:val="24"/>
          <w:lang w:eastAsia="zh-CN"/>
        </w:rPr>
      </w:pPr>
      <w:r>
        <w:rPr>
          <w:rFonts w:hAnsi="宋体"/>
          <w:b/>
          <w:sz w:val="24"/>
          <w:szCs w:val="24"/>
          <w:lang w:eastAsia="zh-CN"/>
        </w:rPr>
        <w:t xml:space="preserve">二、合同金额</w:t>
      </w:r>
      <w:r/>
    </w:p>
    <w:p>
      <w:pPr>
        <w:pStyle w:val="1067"/>
        <w:ind w:firstLine="480"/>
        <w:spacing w:line="360" w:lineRule="auto"/>
        <w:rPr>
          <w:rFonts w:hAnsi="宋体"/>
          <w:sz w:val="24"/>
          <w:szCs w:val="24"/>
          <w:lang w:eastAsia="zh-CN"/>
        </w:rPr>
      </w:pPr>
      <w:r>
        <w:rPr>
          <w:rFonts w:hAnsi="宋体"/>
          <w:sz w:val="24"/>
          <w:szCs w:val="24"/>
          <w:lang w:eastAsia="zh-CN"/>
        </w:rPr>
        <w:t xml:space="preserve">2.1 本合同金额为（大写）： ____________</w:t>
      </w:r>
      <w:r>
        <w:rPr>
          <w:rFonts w:hint="eastAsia" w:hAnsi="宋体"/>
          <w:sz w:val="24"/>
          <w:szCs w:val="24"/>
          <w:lang w:eastAsia="zh-CN"/>
        </w:rPr>
        <w:t xml:space="preserve">元</w:t>
      </w:r>
      <w:r>
        <w:rPr>
          <w:rFonts w:hAnsi="宋体"/>
          <w:sz w:val="24"/>
          <w:szCs w:val="24"/>
          <w:lang w:eastAsia="zh-CN"/>
        </w:rPr>
        <w:t xml:space="preserve">（______元）人民币</w:t>
      </w:r>
      <w:r>
        <w:rPr>
          <w:rFonts w:hint="eastAsia" w:hAnsi="宋体"/>
          <w:sz w:val="24"/>
          <w:szCs w:val="24"/>
          <w:lang w:eastAsia="zh-CN"/>
        </w:rPr>
        <w:t xml:space="preserve">或其他币种</w:t>
      </w:r>
      <w:r>
        <w:rPr>
          <w:rFonts w:hAnsi="宋体"/>
          <w:sz w:val="24"/>
          <w:szCs w:val="24"/>
          <w:lang w:eastAsia="zh-CN"/>
        </w:rPr>
        <w:t xml:space="preserve">。</w:t>
      </w:r>
      <w:r/>
    </w:p>
    <w:p>
      <w:pPr>
        <w:pStyle w:val="1067"/>
        <w:ind w:firstLine="482"/>
        <w:spacing w:line="360" w:lineRule="auto"/>
        <w:rPr>
          <w:rFonts w:hAnsi="宋体"/>
          <w:b/>
          <w:sz w:val="24"/>
          <w:szCs w:val="24"/>
          <w:lang w:eastAsia="zh-CN"/>
        </w:rPr>
      </w:pPr>
      <w:r>
        <w:rPr>
          <w:rFonts w:hAnsi="宋体"/>
          <w:b/>
          <w:sz w:val="24"/>
          <w:szCs w:val="24"/>
          <w:lang w:eastAsia="zh-CN"/>
        </w:rPr>
        <w:t xml:space="preserve">三、技术资料</w:t>
      </w:r>
      <w:r/>
    </w:p>
    <w:p>
      <w:pPr>
        <w:pStyle w:val="1067"/>
        <w:ind w:firstLine="480"/>
        <w:spacing w:line="360" w:lineRule="auto"/>
        <w:rPr>
          <w:rFonts w:hAnsi="宋体"/>
          <w:sz w:val="24"/>
          <w:szCs w:val="24"/>
          <w:lang w:eastAsia="zh-CN"/>
        </w:rPr>
      </w:pPr>
      <w:r>
        <w:rPr>
          <w:rFonts w:hAnsi="宋体"/>
          <w:sz w:val="24"/>
          <w:szCs w:val="24"/>
          <w:lang w:eastAsia="zh-CN"/>
        </w:rPr>
        <w:t xml:space="preserve">3.1乙方应按招标文件规定的时间向甲方提供服务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1067"/>
        <w:ind w:firstLine="480"/>
        <w:spacing w:line="360" w:lineRule="auto"/>
        <w:rPr>
          <w:rFonts w:hAnsi="宋体"/>
          <w:sz w:val="24"/>
          <w:szCs w:val="24"/>
          <w:lang w:eastAsia="zh-CN"/>
        </w:rPr>
      </w:pPr>
      <w:r>
        <w:rPr>
          <w:rFonts w:hAnsi="宋体"/>
          <w:sz w:val="24"/>
          <w:szCs w:val="24"/>
          <w:lang w:eastAsia="zh-CN"/>
        </w:rPr>
        <w:t xml:space="preserve">3.2 没有甲方事先书面同意，乙方不得将由甲方提供的有关合同或任何合同条文、规格、计划、图纸、样品或资料</w:t>
      </w:r>
      <w:r>
        <w:rPr>
          <w:rFonts w:hint="eastAsia" w:hAnsi="宋体"/>
          <w:sz w:val="24"/>
          <w:szCs w:val="24"/>
          <w:lang w:eastAsia="zh-CN"/>
        </w:rPr>
        <w:t xml:space="preserve">提供基于</w:t>
      </w:r>
      <w:r>
        <w:rPr>
          <w:rFonts w:hAnsi="宋体"/>
          <w:sz w:val="24"/>
          <w:szCs w:val="24"/>
          <w:lang w:eastAsia="zh-CN"/>
        </w:rPr>
        <w:t xml:space="preserve">履行本合同无关的任何其他人。即使向履行本合同有关的人员提供，也应注意保密并限于履行合同的必需范围。</w:t>
      </w:r>
      <w:r/>
    </w:p>
    <w:p>
      <w:pPr>
        <w:pStyle w:val="1067"/>
        <w:ind w:firstLine="482"/>
        <w:spacing w:line="360" w:lineRule="auto"/>
        <w:rPr>
          <w:rFonts w:hAnsi="宋体"/>
          <w:b/>
          <w:sz w:val="24"/>
          <w:szCs w:val="24"/>
          <w:lang w:eastAsia="zh-CN"/>
        </w:rPr>
      </w:pPr>
      <w:r>
        <w:rPr>
          <w:rFonts w:hAnsi="宋体"/>
          <w:b/>
          <w:sz w:val="24"/>
          <w:szCs w:val="24"/>
          <w:lang w:eastAsia="zh-CN"/>
        </w:rPr>
        <w:t xml:space="preserve">四、知识产权</w:t>
      </w:r>
      <w:r/>
    </w:p>
    <w:p>
      <w:pPr>
        <w:pStyle w:val="1067"/>
        <w:ind w:firstLine="480"/>
        <w:spacing w:line="360" w:lineRule="auto"/>
        <w:rPr>
          <w:rFonts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65"/>
        <w:ind w:firstLine="480"/>
        <w:jc w:val="both"/>
        <w:spacing w:before="0" w:beforeAutospacing="0" w:after="0" w:afterAutospacing="0" w:line="360" w:lineRule="auto"/>
        <w:widowControl w:val="off"/>
      </w:pPr>
      <w:r>
        <w:rPr>
          <w:rFonts w:hint="eastAsia" w:cs="Times New Roman"/>
          <w:szCs w:val="21"/>
        </w:rPr>
        <w:t xml:space="preserve">4.2 乙方在为甲方按本合同履行义务过程中所形成的各类知识产权归甲方所有。</w:t>
      </w:r>
      <w:r/>
    </w:p>
    <w:p>
      <w:pPr>
        <w:pStyle w:val="1067"/>
        <w:spacing w:line="360" w:lineRule="auto"/>
        <w:rPr>
          <w:rFonts w:hAnsi="宋体"/>
          <w:sz w:val="24"/>
          <w:szCs w:val="24"/>
          <w:lang w:eastAsia="zh-CN"/>
        </w:rPr>
      </w:pPr>
      <w:r>
        <w:rPr>
          <w:rFonts w:hint="eastAsia" w:hAnsi="宋体"/>
          <w:sz w:val="24"/>
          <w:szCs w:val="24"/>
          <w:lang w:eastAsia="zh-CN"/>
        </w:rPr>
        <w:t xml:space="preserve">（注：采购项目如涉及采购标的的知识产权归属、处理的，如订购、设计、定制开发的信息化建设项目等，应当约定知识产权的归属和处理方式）</w:t>
      </w:r>
      <w:r/>
    </w:p>
    <w:p>
      <w:pPr>
        <w:pStyle w:val="1067"/>
        <w:ind w:firstLine="482"/>
        <w:spacing w:line="360" w:lineRule="auto"/>
        <w:rPr>
          <w:rFonts w:hAnsi="宋体"/>
          <w:sz w:val="24"/>
          <w:szCs w:val="24"/>
          <w:u w:val="single"/>
          <w:lang w:eastAsia="zh-CN"/>
        </w:rPr>
      </w:pPr>
      <w:r>
        <w:rPr>
          <w:rFonts w:hAnsi="宋体"/>
          <w:b/>
          <w:sz w:val="24"/>
          <w:szCs w:val="24"/>
          <w:lang w:eastAsia="zh-CN"/>
        </w:rPr>
        <w:t xml:space="preserve">五、产权担保</w:t>
      </w:r>
      <w:r/>
    </w:p>
    <w:p>
      <w:pPr>
        <w:pStyle w:val="1067"/>
        <w:ind w:firstLine="480"/>
        <w:spacing w:line="360" w:lineRule="auto"/>
        <w:rPr>
          <w:rFonts w:hAnsi="宋体"/>
          <w:sz w:val="24"/>
          <w:szCs w:val="24"/>
          <w:u w:val="single"/>
          <w:lang w:eastAsia="zh-CN"/>
        </w:rPr>
      </w:pPr>
      <w:r>
        <w:rPr>
          <w:rFonts w:hAnsi="宋体"/>
          <w:sz w:val="24"/>
          <w:szCs w:val="24"/>
          <w:lang w:eastAsia="zh-CN"/>
        </w:rPr>
        <w:t xml:space="preserve">5.1 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的所有权完全属于乙方且无任何抵押、查封等产权瑕疵。</w:t>
      </w:r>
      <w:r/>
    </w:p>
    <w:p>
      <w:pPr>
        <w:pStyle w:val="1067"/>
        <w:ind w:firstLine="482"/>
        <w:spacing w:line="360" w:lineRule="auto"/>
        <w:rPr>
          <w:rFonts w:hAnsi="宋体"/>
          <w:b/>
          <w:sz w:val="24"/>
          <w:szCs w:val="24"/>
          <w:lang w:eastAsia="zh-CN"/>
        </w:rPr>
      </w:pPr>
      <w:r>
        <w:rPr>
          <w:rFonts w:hAnsi="宋体"/>
          <w:b/>
          <w:sz w:val="24"/>
          <w:szCs w:val="24"/>
          <w:lang w:eastAsia="zh-CN"/>
        </w:rPr>
        <w:t xml:space="preserve">六、履约保证金</w:t>
      </w:r>
      <w:r/>
    </w:p>
    <w:p>
      <w:pPr>
        <w:pStyle w:val="1067"/>
        <w:ind w:firstLine="480"/>
        <w:spacing w:line="360" w:lineRule="auto"/>
        <w:rPr>
          <w:rFonts w:hAnsi="宋体"/>
          <w:sz w:val="24"/>
          <w:szCs w:val="24"/>
          <w:lang w:eastAsia="zh-CN"/>
        </w:rPr>
      </w:pPr>
      <w:r>
        <w:rPr>
          <w:rFonts w:hAnsi="宋体"/>
          <w:sz w:val="24"/>
          <w:szCs w:val="24"/>
          <w:lang w:eastAsia="zh-CN"/>
        </w:rPr>
        <w:t xml:space="preserve">6.1 乙方交纳人民币__元作为本合同的履约保证金。</w:t>
      </w:r>
      <w:r>
        <w:rPr>
          <w:rFonts w:hint="eastAsia" w:hAnsi="宋体"/>
          <w:sz w:val="24"/>
          <w:szCs w:val="24"/>
          <w:lang w:eastAsia="zh-CN"/>
        </w:rPr>
        <w:t xml:space="preserve">（不得超过合同金额的10%）</w:t>
      </w:r>
      <w:r/>
    </w:p>
    <w:p>
      <w:pPr>
        <w:pStyle w:val="1067"/>
        <w:ind w:firstLine="480"/>
        <w:spacing w:line="360" w:lineRule="auto"/>
        <w:rPr>
          <w:rFonts w:hAnsi="宋体"/>
          <w:sz w:val="24"/>
          <w:szCs w:val="24"/>
          <w:lang w:eastAsia="zh-CN"/>
        </w:rPr>
      </w:pPr>
      <w:r>
        <w:rPr>
          <w:rFonts w:hint="eastAsia" w:hAnsi="宋体"/>
          <w:sz w:val="24"/>
          <w:szCs w:val="24"/>
          <w:lang w:eastAsia="zh-CN"/>
        </w:rPr>
        <w:t xml:space="preserve">6.2合同履行结束后，甲方应及时退还交纳的履约保证金。</w:t>
      </w:r>
      <w:r/>
    </w:p>
    <w:p>
      <w:pPr>
        <w:pStyle w:val="1067"/>
        <w:ind w:firstLine="480"/>
        <w:spacing w:line="360" w:lineRule="auto"/>
        <w:rPr>
          <w:rFonts w:hAnsi="宋体"/>
          <w:sz w:val="24"/>
          <w:szCs w:val="24"/>
          <w:lang w:eastAsia="zh-CN"/>
        </w:rPr>
      </w:pPr>
      <w:r>
        <w:rPr>
          <w:rFonts w:hint="eastAsia" w:hAnsi="宋体"/>
          <w:sz w:val="24"/>
          <w:szCs w:val="24"/>
          <w:lang w:eastAsia="zh-CN"/>
        </w:rPr>
        <w:t xml:space="preserve">6.2.1履约保证金退还方式：</w:t>
      </w:r>
      <w:r/>
    </w:p>
    <w:p>
      <w:pPr>
        <w:pStyle w:val="1067"/>
        <w:ind w:firstLine="480"/>
        <w:spacing w:line="360" w:lineRule="auto"/>
        <w:rPr>
          <w:rFonts w:hAnsi="宋体"/>
          <w:sz w:val="24"/>
          <w:szCs w:val="24"/>
          <w:lang w:eastAsia="zh-CN"/>
        </w:rPr>
      </w:pPr>
      <w:r>
        <w:rPr>
          <w:rFonts w:hint="eastAsia" w:hAnsi="宋体"/>
          <w:sz w:val="24"/>
          <w:szCs w:val="24"/>
          <w:lang w:eastAsia="zh-CN"/>
        </w:rPr>
        <w:t xml:space="preserve">6.2.2履约保证金退还时间：</w:t>
      </w:r>
      <w:r/>
    </w:p>
    <w:p>
      <w:pPr>
        <w:pStyle w:val="1067"/>
        <w:ind w:firstLine="480"/>
        <w:spacing w:line="360" w:lineRule="auto"/>
        <w:rPr>
          <w:rFonts w:hAnsi="宋体"/>
          <w:sz w:val="24"/>
          <w:szCs w:val="24"/>
          <w:lang w:eastAsia="zh-CN"/>
        </w:rPr>
      </w:pPr>
      <w:r>
        <w:rPr>
          <w:rFonts w:hint="eastAsia" w:hAnsi="宋体"/>
          <w:sz w:val="24"/>
          <w:szCs w:val="24"/>
          <w:lang w:eastAsia="zh-CN"/>
        </w:rPr>
        <w:t xml:space="preserve">6.2.3履约保证金退还条件：</w:t>
      </w:r>
      <w:r/>
    </w:p>
    <w:p>
      <w:pPr>
        <w:pStyle w:val="1067"/>
        <w:ind w:firstLine="480"/>
        <w:spacing w:line="360" w:lineRule="auto"/>
        <w:rPr>
          <w:rFonts w:hAnsi="宋体"/>
          <w:sz w:val="24"/>
          <w:szCs w:val="24"/>
          <w:lang w:eastAsia="zh-CN"/>
        </w:rPr>
      </w:pPr>
      <w:r>
        <w:rPr>
          <w:rFonts w:hint="eastAsia" w:hAnsi="宋体"/>
          <w:sz w:val="24"/>
          <w:szCs w:val="24"/>
          <w:lang w:eastAsia="zh-CN"/>
        </w:rPr>
        <w:t xml:space="preserve">6.2.4履约保证金不予退还的情形：</w:t>
      </w:r>
      <w:r/>
    </w:p>
    <w:p>
      <w:pPr>
        <w:ind w:firstLine="482"/>
        <w:spacing w:line="360" w:lineRule="auto"/>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360" w:lineRule="auto"/>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360" w:lineRule="auto"/>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67"/>
        <w:ind w:firstLine="482"/>
        <w:spacing w:line="360" w:lineRule="auto"/>
        <w:rPr>
          <w:rFonts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1067"/>
        <w:ind w:firstLine="480"/>
        <w:spacing w:line="360" w:lineRule="auto"/>
        <w:rPr>
          <w:rFonts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pStyle w:val="1067"/>
        <w:ind w:firstLine="480"/>
        <w:spacing w:line="360" w:lineRule="auto"/>
        <w:rPr>
          <w:rFonts w:hAnsi="宋体"/>
          <w:sz w:val="24"/>
          <w:szCs w:val="24"/>
          <w:lang w:eastAsia="zh-CN"/>
        </w:rPr>
      </w:pPr>
      <w:r>
        <w:rPr>
          <w:rFonts w:hint="eastAsia" w:hAnsi="宋体"/>
          <w:sz w:val="24"/>
          <w:szCs w:val="24"/>
          <w:lang w:eastAsia="zh-CN"/>
        </w:rPr>
        <w:t xml:space="preserve">8.1.1 预付款支付时间：合同签订后日内，预付款支付比例：合同金额的%。</w:t>
      </w:r>
      <w:r/>
    </w:p>
    <w:p>
      <w:pPr>
        <w:pStyle w:val="1067"/>
        <w:ind w:firstLine="480"/>
        <w:spacing w:line="360" w:lineRule="auto"/>
        <w:rPr>
          <w:rFonts w:hAnsi="宋体"/>
          <w:sz w:val="24"/>
          <w:szCs w:val="24"/>
          <w:lang w:eastAsia="zh-CN"/>
        </w:rPr>
      </w:pPr>
      <w:r>
        <w:rPr>
          <w:rFonts w:hint="eastAsia" w:hAnsi="宋体"/>
          <w:sz w:val="24"/>
          <w:szCs w:val="24"/>
          <w:lang w:eastAsia="zh-CN"/>
        </w:rPr>
        <w:t xml:space="preserve">8.1.2 尾款支付时间：服务结束并验收合格，采购人收到发票后15日内，尾款支付比例：合同金额的%。</w:t>
      </w:r>
      <w:r/>
    </w:p>
    <w:p>
      <w:pPr>
        <w:pStyle w:val="1067"/>
        <w:spacing w:line="360" w:lineRule="auto"/>
        <w:rPr>
          <w:rFonts w:hAnsi="宋体"/>
          <w:bCs/>
          <w:sz w:val="24"/>
          <w:szCs w:val="24"/>
          <w:lang w:eastAsia="zh-CN"/>
        </w:rPr>
      </w:pPr>
      <w:r>
        <w:rPr>
          <w:rFonts w:hint="eastAsia" w:hAnsi="宋体"/>
          <w:bCs/>
          <w:sz w:val="24"/>
          <w:szCs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360" w:lineRule="auto"/>
        <w:rPr>
          <w:rFonts w:ascii="宋体" w:hAnsi="宋体" w:eastAsia="仿宋_GB2312"/>
          <w:b/>
          <w:sz w:val="24"/>
          <w:szCs w:val="24"/>
        </w:rPr>
      </w:pPr>
      <w:r>
        <w:rPr>
          <w:rFonts w:hint="eastAsia" w:ascii="宋体" w:hAnsi="宋体"/>
          <w:b/>
          <w:sz w:val="24"/>
          <w:szCs w:val="24"/>
        </w:rPr>
        <w:t xml:space="preserve">九、税费</w:t>
      </w:r>
      <w:r/>
    </w:p>
    <w:p>
      <w:pPr>
        <w:ind w:firstLine="480"/>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67"/>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10.1 甲方依法组织履约验收工作。</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10.3 对于实际使用人和甲方分离的项目，甲方邀请实际使用人参与验收。</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10.4 如有必要，甲方邀请参加本项目的其他供应商或第三方专业机构及专家参与验收，相关意见将作为验收书的参考资料。</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67"/>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总值的违约金。</w:t>
      </w:r>
      <w:r/>
    </w:p>
    <w:p>
      <w:pPr>
        <w:pStyle w:val="1067"/>
        <w:ind w:firstLine="480"/>
        <w:spacing w:line="360" w:lineRule="auto"/>
        <w:rPr>
          <w:rFonts w:hAnsi="宋体"/>
          <w:sz w:val="24"/>
          <w:szCs w:val="24"/>
          <w:highlight w:val="none"/>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w:t>
      </w:r>
      <w:r>
        <w:rPr>
          <w:rFonts w:hint="eastAsia" w:ascii="Calibri" w:hAnsi="宋体" w:eastAsia="宋体" w:cs="Times New Roman"/>
          <w:sz w:val="24"/>
          <w:szCs w:val="24"/>
          <w:lang w:val="en-US" w:eastAsia="zh-CN" w:bidi="ar"/>
        </w:rPr>
        <w:t xml:space="preserve">甲方无故逾期验收和办理合同款项支付手续的，</w:t>
      </w:r>
      <w:r>
        <w:rPr>
          <w:rFonts w:hint="eastAsia" w:ascii="Calibri" w:hAnsi="宋体" w:eastAsia="宋体" w:cs="Times New Roman"/>
          <w:sz w:val="24"/>
          <w:szCs w:val="24"/>
          <w:highlight w:val="none"/>
          <w:lang w:val="en-US" w:eastAsia="zh-CN" w:bidi="ar"/>
        </w:rPr>
        <w:t xml:space="preserve">甲方应按逾期付款总额每日</w:t>
      </w:r>
      <w:bookmarkStart w:id="143" w:name="_GoBack"/>
      <w:r>
        <w:rPr>
          <w:rFonts w:hint="eastAsia" w:ascii="Calibri" w:hAnsi="宋体" w:eastAsia="宋体" w:cs="Times New Roman"/>
          <w:sz w:val="24"/>
          <w:szCs w:val="24"/>
          <w:highlight w:val="none"/>
          <w:lang w:val="en-US" w:eastAsia="zh-CN" w:bidi="ar"/>
        </w:rPr>
        <w:t xml:space="preserve">千分之六</w:t>
      </w:r>
      <w:bookmarkEnd w:id="143"/>
      <w:r>
        <w:rPr>
          <w:rFonts w:hint="eastAsia" w:ascii="Calibri" w:hAnsi="宋体" w:eastAsia="宋体" w:cs="Times New Roman"/>
          <w:sz w:val="24"/>
          <w:szCs w:val="24"/>
          <w:highlight w:val="none"/>
          <w:lang w:val="en-US" w:eastAsia="zh-CN" w:bidi="ar"/>
        </w:rPr>
        <w:t xml:space="preserve">向乙方支付违约金</w:t>
      </w:r>
      <w:r>
        <w:rPr>
          <w:rFonts w:hAnsi="宋体"/>
          <w:sz w:val="24"/>
          <w:szCs w:val="24"/>
          <w:highlight w:val="none"/>
          <w:lang w:eastAsia="zh-CN"/>
        </w:rPr>
        <w:t xml:space="preserve">。</w:t>
      </w:r>
      <w:r/>
    </w:p>
    <w:p>
      <w:pPr>
        <w:pStyle w:val="1067"/>
        <w:ind w:firstLine="480"/>
        <w:spacing w:line="360" w:lineRule="auto"/>
        <w:rPr>
          <w:rFonts w:hAnsi="宋体"/>
          <w:sz w:val="24"/>
          <w:szCs w:val="24"/>
          <w:lang w:eastAsia="zh-CN"/>
        </w:rPr>
      </w:pPr>
      <w:r>
        <w:rPr>
          <w:rFonts w:hAnsi="宋体"/>
          <w:sz w:val="24"/>
          <w:szCs w:val="24"/>
          <w:highlight w:val="none"/>
          <w:lang w:eastAsia="zh-CN"/>
        </w:rPr>
        <w:t xml:space="preserve">1</w:t>
      </w:r>
      <w:r>
        <w:rPr>
          <w:rFonts w:hint="eastAsia" w:hAnsi="宋体"/>
          <w:sz w:val="24"/>
          <w:szCs w:val="24"/>
          <w:highlight w:val="none"/>
          <w:lang w:eastAsia="zh-CN"/>
        </w:rPr>
        <w:t xml:space="preserve">1</w:t>
      </w:r>
      <w:r>
        <w:rPr>
          <w:rFonts w:hAnsi="宋体"/>
          <w:sz w:val="24"/>
          <w:szCs w:val="24"/>
          <w:highlight w:val="none"/>
          <w:lang w:eastAsia="zh-CN"/>
        </w:rPr>
        <w:t xml:space="preserve">.3 乙方逾期</w:t>
      </w:r>
      <w:r>
        <w:rPr>
          <w:rFonts w:hint="eastAsia" w:hAnsi="宋体"/>
          <w:sz w:val="24"/>
          <w:szCs w:val="24"/>
          <w:highlight w:val="none"/>
          <w:lang w:eastAsia="zh-CN"/>
        </w:rPr>
        <w:t xml:space="preserve">提供服务</w:t>
      </w:r>
      <w:r>
        <w:rPr>
          <w:rFonts w:hAnsi="宋体"/>
          <w:sz w:val="24"/>
          <w:szCs w:val="24"/>
          <w:highlight w:val="none"/>
          <w:lang w:eastAsia="zh-CN"/>
        </w:rPr>
        <w:t xml:space="preserve">的，乙方应按逾期</w:t>
      </w:r>
      <w:r>
        <w:rPr>
          <w:rFonts w:hint="eastAsia" w:hAnsi="宋体"/>
          <w:sz w:val="24"/>
          <w:szCs w:val="24"/>
          <w:highlight w:val="none"/>
          <w:lang w:eastAsia="zh-CN"/>
        </w:rPr>
        <w:t xml:space="preserve">提供服务合同</w:t>
      </w:r>
      <w:r>
        <w:rPr>
          <w:rFonts w:hAnsi="宋体"/>
          <w:sz w:val="24"/>
          <w:szCs w:val="24"/>
          <w:highlight w:val="none"/>
          <w:lang w:eastAsia="zh-CN"/>
        </w:rPr>
        <w:t xml:space="preserve">总额每日千分之六向甲方支付</w:t>
      </w:r>
      <w:r>
        <w:rPr>
          <w:rFonts w:hAnsi="宋体"/>
          <w:sz w:val="24"/>
          <w:szCs w:val="24"/>
          <w:lang w:eastAsia="zh-CN"/>
        </w:rPr>
        <w:t xml:space="preserve">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Ansi="宋体"/>
          <w:sz w:val="24"/>
          <w:szCs w:val="24"/>
          <w:lang w:eastAsia="zh-CN"/>
        </w:rPr>
        <w:t xml:space="preserve">的违约金，如造成甲方损失超过违约金的，超出部分由乙方继续承担赔偿责任。 </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765"/>
        <w:ind w:firstLine="480"/>
        <w:jc w:val="both"/>
        <w:spacing w:before="0" w:beforeAutospacing="0" w:after="0" w:afterAutospacing="0" w:line="360" w:lineRule="auto"/>
        <w:widowControl w:val="off"/>
      </w:pPr>
      <w:r>
        <w:rPr>
          <w:rFonts w:hint="eastAsia" w:cs="Times New Roman"/>
        </w:rPr>
        <w:t xml:space="preserve">11.5 因采购人原因(包括采购人自身原因以及政策变动、规划调整等外部原因)导致变更、中止或终止政府采购合同的，双方按《中华人民共和国民法典》规定的承担违约责任的方式协商解决，结果以书面形式签订补充协议，且补充协议与本合同具有同等效力。</w:t>
      </w:r>
      <w:r/>
    </w:p>
    <w:p>
      <w:pPr>
        <w:pStyle w:val="1067"/>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在合同有效期内，任何一方因不可抗力事件导致不能履行合同，则合同履行期可延长，其延长期与不可抗力影响期相同。</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不可抗力事件发生后，应立即通知对方，并寄送有关权威机构出具的证明。</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不可抗力事件延续120天以上，双方应通过友好协商，确定是否继续履行合同。</w:t>
      </w:r>
      <w:r/>
    </w:p>
    <w:p>
      <w:pPr>
        <w:pStyle w:val="1067"/>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w:t>
      </w:r>
      <w:r>
        <w:rPr>
          <w:rFonts w:hint="eastAsia" w:hAnsi="宋体"/>
          <w:b/>
          <w:sz w:val="24"/>
          <w:szCs w:val="24"/>
          <w:lang w:eastAsia="zh-CN"/>
        </w:rPr>
        <w:t xml:space="preserve">解决争议的方法</w:t>
      </w:r>
      <w:r/>
    </w:p>
    <w:p>
      <w:pPr>
        <w:pStyle w:val="1067"/>
        <w:ind w:firstLine="480"/>
        <w:spacing w:line="360" w:lineRule="auto"/>
        <w:rPr>
          <w:rFonts w:hAnsi="宋体"/>
          <w:sz w:val="24"/>
          <w:szCs w:val="24"/>
          <w:lang w:eastAsia="zh-CN"/>
        </w:rPr>
      </w:pPr>
      <w:r>
        <w:rPr>
          <w:rFonts w:hint="eastAsia" w:hAnsi="宋体"/>
          <w:sz w:val="24"/>
          <w:szCs w:val="24"/>
          <w:lang w:eastAsia="zh-CN"/>
        </w:rPr>
        <w:t xml:space="preserve">13.1双方在签订、履行合同中所发生的一切争议，应通过友好协商解决。如协商不成，由甲方住所地人民法院管辖。</w:t>
      </w:r>
      <w:r/>
    </w:p>
    <w:p>
      <w:pPr>
        <w:pStyle w:val="1067"/>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、合同生效</w:t>
      </w:r>
      <w:r>
        <w:rPr>
          <w:rFonts w:hint="eastAsia" w:hAnsi="宋体"/>
          <w:b/>
          <w:sz w:val="24"/>
          <w:szCs w:val="24"/>
          <w:lang w:eastAsia="zh-CN"/>
        </w:rPr>
        <w:t xml:space="preserve">及其他</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人签字并加盖单位公章后生效。</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.2本合同未尽事宜，遵照</w:t>
      </w:r>
      <w:r>
        <w:rPr>
          <w:rFonts w:hint="eastAsia" w:hAnsi="宋体"/>
          <w:sz w:val="24"/>
          <w:szCs w:val="24"/>
          <w:lang w:eastAsia="zh-CN"/>
        </w:rPr>
        <w:t xml:space="preserve">《民法典》《政府采购法》</w:t>
      </w:r>
      <w:r>
        <w:rPr>
          <w:rFonts w:hAnsi="宋体"/>
          <w:sz w:val="24"/>
          <w:szCs w:val="24"/>
          <w:lang w:eastAsia="zh-CN"/>
        </w:rPr>
        <w:t xml:space="preserve">有关条文执行。</w:t>
      </w:r>
      <w:r/>
    </w:p>
    <w:p>
      <w:pPr>
        <w:pStyle w:val="1067"/>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本合同正本一式</w:t>
      </w:r>
      <w:r>
        <w:rPr>
          <w:rFonts w:hint="eastAsia" w:hAnsi="宋体"/>
          <w:sz w:val="24"/>
          <w:szCs w:val="24"/>
          <w:lang w:eastAsia="zh-CN"/>
        </w:rPr>
        <w:t xml:space="preserve">两</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乙方各执一份。</w:t>
      </w:r>
      <w:r/>
    </w:p>
    <w:p>
      <w:pPr>
        <w:pStyle w:val="1067"/>
        <w:ind w:left="480" w:hanging="480"/>
        <w:spacing w:line="360" w:lineRule="auto"/>
        <w:rPr>
          <w:rFonts w:hAnsi="宋体"/>
          <w:sz w:val="24"/>
          <w:szCs w:val="24"/>
        </w:rPr>
      </w:pPr>
      <w:r>
        <w:rPr>
          <w:rFonts w:hAnsi="宋体"/>
          <w:sz w:val="24"/>
          <w:szCs w:val="24"/>
        </w:rPr>
        <w:t xml:space="preserve">甲方：                        乙方： </w:t>
      </w:r>
      <w:r/>
    </w:p>
    <w:p>
      <w:pPr>
        <w:pStyle w:val="1067"/>
        <w:spacing w:line="360" w:lineRule="auto"/>
        <w:rPr>
          <w:rFonts w:hAnsi="宋体"/>
          <w:sz w:val="24"/>
          <w:szCs w:val="24"/>
        </w:rPr>
      </w:pPr>
      <w:r>
        <w:rPr>
          <w:rFonts w:hAnsi="宋体"/>
          <w:sz w:val="24"/>
          <w:szCs w:val="24"/>
        </w:rPr>
        <w:t xml:space="preserve">  地址：                       地址： </w:t>
      </w:r>
      <w:r/>
    </w:p>
    <w:p>
      <w:pPr>
        <w:pStyle w:val="1067"/>
        <w:spacing w:line="360" w:lineRule="auto"/>
        <w:rPr>
          <w:rFonts w:hAnsi="宋体"/>
          <w:sz w:val="24"/>
          <w:szCs w:val="24"/>
          <w:lang w:eastAsia="zh-CN"/>
        </w:rPr>
      </w:pP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        法定代表人</w:t>
      </w:r>
      <w:r>
        <w:rPr>
          <w:rFonts w:hint="eastAsia" w:hAnsi="宋体"/>
          <w:sz w:val="24"/>
          <w:szCs w:val="24"/>
          <w:lang w:eastAsia="zh-CN"/>
        </w:rPr>
        <w:t xml:space="preserve">或授权代表</w:t>
      </w:r>
      <w:r>
        <w:rPr>
          <w:rFonts w:hAnsi="宋体"/>
          <w:sz w:val="24"/>
          <w:szCs w:val="24"/>
          <w:lang w:eastAsia="zh-CN"/>
        </w:rPr>
        <w:t xml:space="preserve">：</w:t>
      </w:r>
      <w:r/>
    </w:p>
    <w:p>
      <w:pPr>
        <w:pStyle w:val="1067"/>
        <w:ind w:firstLine="240"/>
        <w:spacing w:line="360" w:lineRule="auto"/>
        <w:rPr>
          <w:lang w:eastAsia="zh-CN"/>
        </w:rPr>
      </w:pPr>
      <w:r>
        <w:rPr>
          <w:rFonts w:hint="eastAsia" w:hAnsi="宋体"/>
          <w:sz w:val="24"/>
          <w:szCs w:val="24"/>
          <w:lang w:eastAsia="zh-CN"/>
        </w:rPr>
        <w:t xml:space="preserve">联系电话：                    联系电话：          </w:t>
      </w:r>
      <w:r/>
    </w:p>
    <w:p>
      <w:pPr>
        <w:ind w:firstLine="480"/>
        <w:spacing w:line="360" w:lineRule="auto"/>
        <w:rPr>
          <w:rFonts w:ascii="Times New Roman" w:hAnsi="Times New Roman" w:cs="Times New Roman"/>
          <w:sz w:val="24"/>
          <w:szCs w:val="24"/>
        </w:rPr>
      </w:pPr>
      <w:r>
        <w:rPr>
          <w:sz w:val="24"/>
          <w:szCs w:val="24"/>
        </w:rPr>
        <w:t xml:space="preserve">签订日期：      年  月  日</w:t>
      </w:r>
      <w:r/>
    </w:p>
    <w:p>
      <w:pPr>
        <w:ind w:firstLine="480"/>
        <w:jc w:val="center"/>
        <w:spacing w:line="360" w:lineRule="auto"/>
        <w:rPr>
          <w:rFonts w:hAnsi="宋体"/>
          <w:sz w:val="36"/>
          <w:szCs w:val="36"/>
        </w:rPr>
      </w:pPr>
      <w:r>
        <w:rPr>
          <w:rFonts w:ascii="宋体" w:hAnsi="宋体"/>
          <w:bCs/>
          <w:sz w:val="24"/>
          <w:szCs w:val="24"/>
        </w:rPr>
        <w:br w:type="page" w:clear="all"/>
      </w:r>
      <w:bookmarkEnd w:id="140"/>
      <w:r/>
      <w:bookmarkEnd w:id="141"/>
      <w:r/>
      <w:bookmarkEnd w:id="142"/>
      <w:r/>
      <w:bookmarkStart w:id="144" w:name="_Hlt16619369"/>
      <w:r/>
      <w:bookmarkEnd w:id="144"/>
      <w:r/>
      <w:bookmarkStart w:id="145" w:name="_Hlt16619350"/>
      <w:r/>
      <w:bookmarkStart w:id="146" w:name="_Toc120614244"/>
      <w:r/>
      <w:bookmarkStart w:id="147" w:name="_Toc20823346"/>
      <w:r/>
      <w:bookmarkStart w:id="148" w:name="_Toc16938590"/>
      <w:r>
        <w:rPr>
          <w:rFonts w:hint="eastAsia" w:ascii="黑体" w:eastAsia="黑体"/>
          <w:bCs/>
          <w:sz w:val="36"/>
          <w:szCs w:val="36"/>
        </w:rPr>
        <w:t xml:space="preserve">第</w:t>
      </w:r>
      <w:bookmarkEnd w:id="145"/>
      <w:r>
        <w:rPr>
          <w:rFonts w:hint="eastAsia" w:ascii="黑体" w:eastAsia="黑体"/>
          <w:bCs/>
          <w:sz w:val="36"/>
          <w:szCs w:val="36"/>
        </w:rPr>
        <w:t xml:space="preserve">四章 采购需求</w:t>
      </w:r>
      <w:bookmarkEnd w:id="146"/>
      <w:r/>
      <w:bookmarkEnd w:id="147"/>
      <w:r/>
      <w:bookmarkEnd w:id="148"/>
      <w:r/>
      <w:r/>
    </w:p>
    <w:p>
      <w:pPr>
        <w:ind w:firstLine="480"/>
        <w:jc w:val="left"/>
        <w:spacing w:line="360" w:lineRule="auto"/>
        <w:rPr>
          <w:rFonts w:ascii="宋体" w:hAnsi="宋体"/>
          <w:sz w:val="24"/>
          <w:szCs w:val="24"/>
        </w:rPr>
      </w:pPr>
      <w:r/>
      <w:bookmarkStart w:id="149" w:name="_Toc26554093"/>
      <w:r/>
      <w:bookmarkStart w:id="150" w:name="_Toc49090575"/>
      <w:r>
        <w:rPr>
          <w:rFonts w:hint="eastAsia" w:ascii="宋体" w:hAnsi="宋体"/>
          <w:sz w:val="24"/>
          <w:szCs w:val="24"/>
        </w:rPr>
        <w:t xml:space="preserve">投标人所投内容必须满足以下要求，不得有负偏离。</w:t>
      </w:r>
      <w:r/>
    </w:p>
    <w:p>
      <w:pPr>
        <w:ind w:firstLine="602"/>
        <w:spacing w:line="360" w:lineRule="auto"/>
        <w:rPr>
          <w:rFonts w:ascii="宋体" w:hAnsi="宋体"/>
          <w:b/>
          <w:sz w:val="30"/>
          <w:szCs w:val="30"/>
        </w:rPr>
      </w:pPr>
      <w:r>
        <w:rPr>
          <w:rFonts w:hint="eastAsia" w:ascii="宋体" w:hAnsi="宋体"/>
          <w:b/>
          <w:sz w:val="30"/>
          <w:szCs w:val="30"/>
        </w:rPr>
        <w:t xml:space="preserve">第一部分  项目技术要求</w:t>
      </w:r>
      <w:r/>
    </w:p>
    <w:p>
      <w:pPr>
        <w:pStyle w:val="724"/>
        <w:ind w:firstLine="480"/>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1.采购内容</w:t>
      </w:r>
      <w:r/>
    </w:p>
    <w:p>
      <w:pPr>
        <w:pStyle w:val="725"/>
        <w:ind w:firstLine="480"/>
        <w:jc w:val="left"/>
        <w:keepNext w:val="0"/>
        <w:spacing w:line="360" w:lineRule="auto"/>
        <w:rPr>
          <w:rFonts w:ascii="宋体" w:hAnsi="宋体" w:eastAsia="宋体" w:cs="宋体"/>
          <w:sz w:val="24"/>
          <w:szCs w:val="24"/>
        </w:rPr>
      </w:pPr>
      <w:r>
        <w:rPr>
          <w:rFonts w:hint="eastAsia" w:ascii="宋体" w:hAnsi="宋体" w:eastAsia="宋体" w:cs="宋体"/>
          <w:sz w:val="24"/>
          <w:szCs w:val="24"/>
          <w:lang w:val="zh-CN"/>
        </w:rPr>
        <w:t xml:space="preserve">1.1</w:t>
      </w:r>
      <w:r>
        <w:rPr>
          <w:rFonts w:hint="eastAsia" w:ascii="宋体" w:hAnsi="宋体" w:eastAsia="宋体" w:cs="宋体"/>
          <w:sz w:val="24"/>
          <w:szCs w:val="24"/>
        </w:rPr>
        <w:t xml:space="preserve">总体建设需求</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提供一年期</w:t>
      </w:r>
      <w:r>
        <w:rPr>
          <w:rFonts w:hint="eastAsia" w:ascii="宋体" w:hAnsi="宋体" w:eastAsia="宋体" w:cs="宋体"/>
          <w:sz w:val="24"/>
          <w:szCs w:val="24"/>
        </w:rPr>
        <w:t xml:space="preserve">“数字滨湖”软件平台一期政务云</w:t>
      </w:r>
      <w:r>
        <w:rPr>
          <w:rFonts w:hint="eastAsia" w:ascii="宋体" w:hAnsi="宋体" w:eastAsia="宋体" w:cs="宋体"/>
          <w:color w:val="000000"/>
          <w:sz w:val="24"/>
          <w:szCs w:val="24"/>
        </w:rPr>
        <w:t xml:space="preserve">的全方位租赁服务，包括但不限于现有业务系统所需的IaaS 基础 资源、上云迁移支持、云数据安全保障等服务。提供网络、计算、存储、安全和各种云资源租用及服务，所提供基础资源类型包括但不限于：计算类资源、存储类资源、网络类资源、安全类资源。 </w:t>
      </w:r>
      <w:r/>
    </w:p>
    <w:p>
      <w:pPr>
        <w:pStyle w:val="1128"/>
        <w:ind w:firstLine="480"/>
        <w:spacing w:line="360" w:lineRule="auto"/>
        <w:widowControl/>
        <w:rPr>
          <w:rFonts w:hint="default" w:cs="宋体"/>
          <w:sz w:val="24"/>
        </w:rPr>
      </w:pPr>
      <w:r>
        <w:rPr>
          <w:rFonts w:cs="宋体"/>
          <w:sz w:val="24"/>
        </w:rPr>
        <w:t xml:space="preserve">需满足的政务云相关政策文件依据如下：</w:t>
      </w:r>
      <w:r/>
    </w:p>
    <w:p>
      <w:pPr>
        <w:pStyle w:val="1128"/>
        <w:ind w:firstLine="0"/>
        <w:spacing w:line="360" w:lineRule="auto"/>
        <w:widowControl/>
        <w:rPr>
          <w:rFonts w:hint="default" w:cs="宋体"/>
          <w:sz w:val="24"/>
        </w:rPr>
      </w:pPr>
      <w:r>
        <w:rPr>
          <w:rFonts w:cs="宋体"/>
          <w:sz w:val="24"/>
        </w:rPr>
        <w:t xml:space="preserve">1.《市政府办公室关于印发无锡市政务云平台管理办法（试行）的通知》（锡政办发〔2021〕5 号）</w:t>
      </w:r>
      <w:r/>
    </w:p>
    <w:p>
      <w:pPr>
        <w:pStyle w:val="1128"/>
        <w:ind w:firstLine="0"/>
        <w:spacing w:line="360" w:lineRule="auto"/>
        <w:widowControl/>
        <w:rPr>
          <w:rFonts w:hint="default" w:cs="宋体"/>
          <w:sz w:val="24"/>
        </w:rPr>
      </w:pPr>
      <w:r>
        <w:rPr>
          <w:rFonts w:cs="宋体"/>
          <w:sz w:val="24"/>
        </w:rPr>
        <w:t xml:space="preserve">2.《关于加快推进信息系统迁移上云工作的通知》（锡数发〔2021〕21 号）</w:t>
      </w:r>
      <w:r/>
    </w:p>
    <w:p>
      <w:pPr>
        <w:pStyle w:val="1128"/>
        <w:ind w:firstLine="0"/>
        <w:spacing w:line="360" w:lineRule="auto"/>
        <w:widowControl/>
        <w:rPr>
          <w:rFonts w:hint="default" w:cs="宋体"/>
          <w:sz w:val="24"/>
        </w:rPr>
      </w:pPr>
      <w:r>
        <w:rPr>
          <w:rFonts w:cs="宋体"/>
          <w:sz w:val="24"/>
        </w:rPr>
        <w:t xml:space="preserve">3.《无锡市市级政务信息化建设及运行维护项目支出预算标准（试行）》（锡财审综〔2023〕3号）；</w:t>
      </w:r>
      <w:r/>
    </w:p>
    <w:p>
      <w:pPr>
        <w:pStyle w:val="1128"/>
        <w:ind w:firstLine="0"/>
        <w:spacing w:line="360" w:lineRule="auto"/>
        <w:widowControl/>
        <w:rPr>
          <w:rFonts w:hint="default" w:cs="宋体"/>
          <w:sz w:val="24"/>
        </w:rPr>
      </w:pPr>
      <w:r>
        <w:rPr>
          <w:rFonts w:cs="宋体"/>
          <w:sz w:val="24"/>
        </w:rPr>
        <w:t xml:space="preserve">4.《无锡市市级政务信息化项目建设管理办法》(锡政办发〔2022〕96 号)；</w:t>
      </w:r>
      <w:r/>
    </w:p>
    <w:p>
      <w:pPr>
        <w:pStyle w:val="1128"/>
        <w:ind w:firstLine="0"/>
        <w:spacing w:line="360" w:lineRule="auto"/>
        <w:widowControl/>
        <w:rPr>
          <w:rFonts w:hint="default" w:cs="宋体"/>
          <w:sz w:val="24"/>
        </w:rPr>
      </w:pPr>
      <w:r>
        <w:rPr>
          <w:rFonts w:cs="宋体"/>
          <w:sz w:val="24"/>
        </w:rPr>
        <w:t xml:space="preserve">5.《滨湖区政务信息化项目管理办法（试行）》（锡滨政办发〔2023〕14号）。</w:t>
      </w:r>
      <w:r/>
    </w:p>
    <w:p>
      <w:pPr>
        <w:pStyle w:val="725"/>
        <w:ind w:firstLine="480"/>
        <w:jc w:val="left"/>
        <w:keepNext w:val="0"/>
        <w:spacing w:line="360" w:lineRule="auto"/>
        <w:rPr>
          <w:rFonts w:ascii="宋体" w:hAnsi="宋体" w:eastAsia="宋体" w:cs="宋体"/>
          <w:sz w:val="24"/>
          <w:szCs w:val="24"/>
        </w:rPr>
      </w:pPr>
      <w:r>
        <w:rPr>
          <w:rFonts w:hint="eastAsia" w:ascii="宋体" w:hAnsi="宋体" w:eastAsia="宋体" w:cs="宋体"/>
          <w:sz w:val="24"/>
          <w:szCs w:val="24"/>
        </w:rPr>
        <w:t xml:space="preserve">1.2云资源服务内容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无锡市滨湖区区域社会治理现代化指挥中心“数字滨湖”软件平台一期政务云服务包括计算资源、裸金属等服务器、安全组件等，并提供统一的云平台运维保障服务，保证用户现有的信息系统的正常运行，降低整体管理成本，提高信息系统的整体服务水平。其中涉及云主机170台，安全组件类型包括云防火墙、主机安全、云web应用防火墙、日志审计、业务数据备份服务、网页防篡改和堡垒机等;裸金属15台;vCPU数量3470核，内存9680GB，SAS硬盘容量374420GB，SSD硬盘容量91800GB。清单如下：</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765"/>
        <w:gridCol w:w="4442"/>
        <w:gridCol w:w="993"/>
        <w:gridCol w:w="106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资源类型</w:t>
            </w:r>
            <w:r/>
          </w:p>
        </w:tc>
        <w:tc>
          <w:tcPr>
            <w:shd w:val="clear" w:color="auto" w:fill="auto"/>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服务期</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云服务器</w:t>
            </w:r>
            <w:r/>
          </w:p>
        </w:tc>
        <w:tc>
          <w:tcPr>
            <w:shd w:val="clear" w:color="auto" w:fill="auto"/>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CPU3470核，内存9680GB。</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一年</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云存储</w:t>
            </w:r>
            <w:r/>
          </w:p>
        </w:tc>
        <w:tc>
          <w:tcPr>
            <w:shd w:val="clear" w:color="auto" w:fill="auto"/>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SAS硬盘容量374420GB，SSD硬盘容量91800GB。</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一年</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裸金属服务器</w:t>
            </w:r>
            <w:r/>
          </w:p>
        </w:tc>
        <w:tc>
          <w:tcPr>
            <w:shd w:val="clear" w:color="auto" w:fill="auto"/>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15台</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一年</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安全</w:t>
            </w:r>
            <w:r/>
          </w:p>
        </w:tc>
        <w:tc>
          <w:tcPr>
            <w:shd w:val="clear" w:color="auto" w:fill="auto"/>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云防火墙、主机安全、云web应用防火墙、日志审计、业务数据备份服务、漏洞扫描、网页防篡改和堡垒机等</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一年</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pStyle w:val="726"/>
        <w:ind w:firstLine="480"/>
        <w:keepNext w:val="0"/>
        <w:spacing w:line="360" w:lineRule="auto"/>
        <w:tabs>
          <w:tab w:val="left" w:pos="560" w:leader="none"/>
        </w:tabs>
        <w:rPr>
          <w:rFonts w:ascii="宋体" w:hAnsi="宋体" w:eastAsia="宋体" w:cs="宋体"/>
        </w:rPr>
      </w:pPr>
      <w:r/>
      <w:bookmarkStart w:id="151" w:name="_Toc29217"/>
      <w:r>
        <w:rPr>
          <w:rFonts w:hint="eastAsia" w:ascii="宋体" w:hAnsi="宋体" w:eastAsia="宋体" w:cs="宋体"/>
        </w:rPr>
        <w:t xml:space="preserve">1.2.1弹性云服务器服务</w:t>
      </w:r>
      <w:bookmarkEnd w:id="151"/>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ECS，即弹性云服务器，可以使用户可以在几分钟之内迅速地获得虚拟机设施，并且这些基础设施是弹性的，可以根据需求进行扩展和收缩。不同类型的弹性云服务器匹配不同的应用场景，可以根据业务诉求选择相应的云服务器。</w:t>
      </w:r>
      <w:r/>
    </w:p>
    <w:p>
      <w:pPr>
        <w:pStyle w:val="726"/>
        <w:ind w:firstLine="480"/>
        <w:keepNext w:val="0"/>
        <w:spacing w:line="360" w:lineRule="auto"/>
        <w:tabs>
          <w:tab w:val="left" w:pos="560" w:leader="none"/>
        </w:tabs>
        <w:rPr>
          <w:rFonts w:ascii="宋体" w:hAnsi="宋体" w:eastAsia="宋体" w:cs="宋体"/>
        </w:rPr>
      </w:pPr>
      <w:r/>
      <w:bookmarkStart w:id="152" w:name="_Toc21831"/>
      <w:r>
        <w:rPr>
          <w:rFonts w:hint="eastAsia" w:ascii="宋体" w:hAnsi="宋体" w:eastAsia="宋体" w:cs="宋体"/>
        </w:rPr>
        <w:t xml:space="preserve">1.2.2裸金属服务器服务</w:t>
      </w:r>
      <w:bookmarkEnd w:id="152"/>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BMS服务向用户提供裸金属服务器，裸金属服务器不运行虚拟化层，直接安装用户OS。</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裸金属服务器服务通过web管理控制台，让用户自主的完成服务的开通与关闭，让用户灵活使用裸金属服务器，达到即开即用，用完归还的目标。</w:t>
      </w:r>
      <w:r/>
    </w:p>
    <w:p>
      <w:pPr>
        <w:pStyle w:val="726"/>
        <w:ind w:firstLine="480"/>
        <w:keepNext w:val="0"/>
        <w:spacing w:line="360" w:lineRule="auto"/>
        <w:tabs>
          <w:tab w:val="left" w:pos="560" w:leader="none"/>
        </w:tabs>
        <w:rPr>
          <w:rFonts w:ascii="宋体" w:hAnsi="宋体" w:eastAsia="宋体" w:cs="宋体"/>
        </w:rPr>
      </w:pPr>
      <w:r/>
      <w:bookmarkStart w:id="153" w:name="_Toc30054"/>
      <w:r>
        <w:rPr>
          <w:rFonts w:hint="eastAsia" w:ascii="宋体" w:hAnsi="宋体" w:eastAsia="宋体" w:cs="宋体"/>
        </w:rPr>
        <w:t xml:space="preserve">1.2.3镜像服务服务</w:t>
      </w:r>
      <w:bookmarkEnd w:id="153"/>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镜像是虚拟机实例可选择的运行环境模板，一般包括操作系统和预装的软件(可包括公共应用软件以及用户私有应用软件)。镜像服务提供对公共镜像和私有镜像的自助管理能力。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镜像分类：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公共镜像：公共镜像由系统管理员制作并注册到系统中，一般提供常见的标准操作系统镜像，所有用户可见。包含操作系统以及预装的公共应用。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私有镜像：私有镜像用于满足用户个性化需求。选择私有镜像创建云主机，可以节省用户重复配置云主机的时间。私有镜像仅用户自己可见，包含操作系统、预装的公共应用以及用户的私有应用。用户可基于ECS实例或者已有的镜像文件创建的私有镜像。</w:t>
      </w:r>
      <w:r/>
    </w:p>
    <w:p>
      <w:pPr>
        <w:pStyle w:val="726"/>
        <w:ind w:firstLine="480"/>
        <w:keepNext w:val="0"/>
        <w:spacing w:line="360" w:lineRule="auto"/>
        <w:tabs>
          <w:tab w:val="left" w:pos="560" w:leader="none"/>
        </w:tabs>
        <w:rPr>
          <w:rFonts w:ascii="宋体" w:hAnsi="宋体" w:eastAsia="宋体" w:cs="宋体"/>
        </w:rPr>
      </w:pPr>
      <w:r/>
      <w:bookmarkStart w:id="154" w:name="_Toc32194"/>
      <w:r>
        <w:rPr>
          <w:rFonts w:hint="eastAsia" w:ascii="宋体" w:hAnsi="宋体" w:eastAsia="宋体" w:cs="宋体"/>
        </w:rPr>
        <w:t xml:space="preserve">1.2.4云硬盘服务</w:t>
      </w:r>
      <w:bookmarkEnd w:id="154"/>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EVS云硬盘是一种基于分布式架构的，可弹性扩展的虚拟块存储设备。可以在线进行操作，使用方式与传统服务器硬盘完全一致，可以对挂载到云服务器上的云硬盘做格式化、创建文件系统等操作，并对数据持久化存储。同时，云硬盘具有更高的数据可靠性，更高的I/O吞吐能力和更加简单易用等特点，适用于文件系统、数据库或者其他需要块存储设备的系统软件或应用。</w:t>
      </w:r>
      <w:r/>
    </w:p>
    <w:p>
      <w:pPr>
        <w:pStyle w:val="726"/>
        <w:ind w:firstLine="480"/>
        <w:keepNext w:val="0"/>
        <w:spacing w:line="360" w:lineRule="auto"/>
        <w:tabs>
          <w:tab w:val="left" w:pos="560" w:leader="none"/>
        </w:tabs>
        <w:rPr>
          <w:rFonts w:ascii="宋体" w:hAnsi="宋体" w:eastAsia="宋体" w:cs="宋体"/>
        </w:rPr>
      </w:pPr>
      <w:r/>
      <w:bookmarkStart w:id="155" w:name="_Toc6709"/>
      <w:r>
        <w:rPr>
          <w:rFonts w:hint="eastAsia" w:ascii="宋体" w:hAnsi="宋体" w:eastAsia="宋体" w:cs="宋体"/>
        </w:rPr>
        <w:t xml:space="preserve">1.2.5 VPC服务</w:t>
      </w:r>
      <w:bookmarkEnd w:id="155"/>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VPC即虚拟私有云，是通过逻辑方式进行网络隔离，提供安全、隔离的网络环境，提供与传统网络无差别的虚拟网络。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VPC服务通过web管理控制台，让用户自主的完成服务的开通与关闭，让用户灵活使用VPC服务，达到即开即用，用完归还的目标。</w:t>
      </w:r>
      <w:r/>
    </w:p>
    <w:p>
      <w:pPr>
        <w:pStyle w:val="726"/>
        <w:ind w:firstLine="480"/>
        <w:keepNext w:val="0"/>
        <w:spacing w:line="360" w:lineRule="auto"/>
        <w:tabs>
          <w:tab w:val="left" w:pos="560" w:leader="none"/>
        </w:tabs>
        <w:rPr>
          <w:rFonts w:ascii="宋体" w:hAnsi="宋体" w:eastAsia="宋体" w:cs="宋体"/>
        </w:rPr>
      </w:pPr>
      <w:r/>
      <w:bookmarkStart w:id="156" w:name="_Toc5431"/>
      <w:r>
        <w:rPr>
          <w:rFonts w:hint="eastAsia" w:ascii="宋体" w:hAnsi="宋体" w:eastAsia="宋体" w:cs="宋体"/>
        </w:rPr>
        <w:t xml:space="preserve">1.2.6安全组</w:t>
      </w:r>
      <w:bookmarkEnd w:id="156"/>
      <w:r>
        <w:rPr>
          <w:rFonts w:hint="eastAsia" w:ascii="宋体" w:hAnsi="宋体" w:eastAsia="宋体" w:cs="宋体"/>
        </w:rPr>
        <w:t xml:space="preserve">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安全组是一组对实例的访问规则的集合，为同一个VPC内具有相同安全保护需求并相互信任的实例提供访问策略。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安全组服务通过web管理控制台，让用户自主的完成服务的开通与关闭，让用户灵活使用安全组服务，达到即开即用，用完归还的目标。</w:t>
      </w:r>
      <w:r/>
    </w:p>
    <w:p>
      <w:pPr>
        <w:pStyle w:val="726"/>
        <w:ind w:firstLine="480"/>
        <w:keepNext w:val="0"/>
        <w:spacing w:line="360" w:lineRule="auto"/>
        <w:tabs>
          <w:tab w:val="left" w:pos="560" w:leader="none"/>
        </w:tabs>
        <w:rPr>
          <w:rFonts w:ascii="宋体" w:hAnsi="宋体" w:eastAsia="宋体" w:cs="宋体"/>
        </w:rPr>
      </w:pPr>
      <w:r/>
      <w:bookmarkStart w:id="157" w:name="_Toc8275"/>
      <w:r>
        <w:rPr>
          <w:rFonts w:hint="eastAsia" w:ascii="宋体" w:hAnsi="宋体" w:eastAsia="宋体" w:cs="宋体"/>
        </w:rPr>
        <w:t xml:space="preserve">1.2.7虚拟防火墙服务</w:t>
      </w:r>
      <w:bookmarkEnd w:id="157"/>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虚拟防火墙用于为租户提供南北向流量的访问控制，控制VPC与外网间流量的互访。</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VFW服务通过web管理控制台，让用户自主的完成服务的开通与关闭，让用户灵活使用VFW服务，达到即开即用，用完归还的目标。</w:t>
      </w:r>
      <w:r/>
    </w:p>
    <w:p>
      <w:pPr>
        <w:pStyle w:val="726"/>
        <w:ind w:firstLine="480"/>
        <w:keepNext w:val="0"/>
        <w:spacing w:line="360" w:lineRule="auto"/>
        <w:tabs>
          <w:tab w:val="left" w:pos="560" w:leader="none"/>
        </w:tabs>
        <w:rPr>
          <w:rFonts w:ascii="宋体" w:hAnsi="宋体" w:eastAsia="宋体" w:cs="宋体"/>
        </w:rPr>
      </w:pPr>
      <w:r/>
      <w:bookmarkStart w:id="158" w:name="_Toc774"/>
      <w:r>
        <w:rPr>
          <w:rFonts w:hint="eastAsia" w:ascii="宋体" w:hAnsi="宋体" w:eastAsia="宋体" w:cs="宋体"/>
        </w:rPr>
        <w:t xml:space="preserve">1.2.8云主机备份服务</w:t>
      </w:r>
      <w:bookmarkEnd w:id="158"/>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云主机备份服务可为云主机提供整机备份功能，支持基于多云硬盘一致性快照技术的本地备份，以及对备份数据的远程复制，并支持利用备份数据恢复云主机数据，最大限度保障用户数据的安全性和正确性，确保业务安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整个备份业务的运营通过云管理平台的服务中心实现。为用户提供备份管理平台，管理员登陆后，可以定义备份服务，在服务目录中添加备份服务，同时可以为用户申请和取消备份服务，查看所有用户备份服务的计量、配额信息。</w:t>
      </w:r>
      <w:r/>
    </w:p>
    <w:p>
      <w:pPr>
        <w:pStyle w:val="726"/>
        <w:ind w:firstLine="480"/>
        <w:keepNext w:val="0"/>
        <w:spacing w:line="360" w:lineRule="auto"/>
        <w:tabs>
          <w:tab w:val="left" w:pos="560" w:leader="none"/>
        </w:tabs>
        <w:rPr>
          <w:rFonts w:ascii="宋体" w:hAnsi="宋体" w:eastAsia="宋体" w:cs="宋体"/>
        </w:rPr>
      </w:pPr>
      <w:r/>
      <w:bookmarkStart w:id="159" w:name="_Toc9611"/>
      <w:r>
        <w:rPr>
          <w:rFonts w:hint="eastAsia" w:ascii="宋体" w:hAnsi="宋体" w:eastAsia="宋体" w:cs="宋体"/>
        </w:rPr>
        <w:t xml:space="preserve">1.2.9其他运维服务</w:t>
      </w:r>
      <w:bookmarkEnd w:id="159"/>
      <w:r/>
      <w:r/>
    </w:p>
    <w:p>
      <w:pPr>
        <w:ind w:firstLine="480"/>
        <w:jc w:val="left"/>
        <w:spacing w:line="360" w:lineRule="auto"/>
        <w:rPr>
          <w:rFonts w:ascii="宋体" w:hAnsi="宋体" w:eastAsia="宋体" w:cs="宋体"/>
          <w:sz w:val="24"/>
          <w:szCs w:val="24"/>
        </w:rPr>
      </w:pPr>
      <w:r/>
      <w:bookmarkStart w:id="160" w:name="_Toc405822844"/>
      <w:r/>
      <w:bookmarkStart w:id="161" w:name="_Toc6674"/>
      <w:r>
        <w:rPr>
          <w:rFonts w:hint="eastAsia" w:ascii="宋体" w:hAnsi="宋体" w:eastAsia="宋体" w:cs="宋体"/>
          <w:sz w:val="24"/>
          <w:szCs w:val="24"/>
        </w:rPr>
        <w:t xml:space="preserve">全面管控区城运中心云平台基础设施、信息资产等资源，实现前端业务的快速上线；运行故障等问题实现第一时间、一次性的完善解决。对在线业务从系统层到业务层实现全面的监控，从被动处理转变为主动预防，制定SLA考核指标，提升故障的快速定位和解决，保障业务稳定运行。形成网状结构全面梳理安全问题，保障业务的机密、完整和可用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1.具体服务要求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云平台管理与运维服务，运维服务实现标准流程化管理，统一调度，对服务进行调度管理。横向从人员、流程、制度、技术手段等方面，纵向从网络层、主机层、存储层、数据层、业务层等方面，形成网状结构全面梳理安全问题。提供 7*24 小时远程运维服务，使用多种监控工具，对云资源进行监控。运维管理裸金属、数据库、云管理平台，重大活动等的应急运维保障工作。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(一)服务需求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（1）云资源管理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按照审批后的资源申请单，开通相应云资源，资源开通后，运维团队参与该应用系统的部署，详细了解部署架构，提供云平台层面的部署及风险建议。制定出具《系统上线报告》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该运维人员名单，二线支撑团队明细及相对应 SLA；</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资源报告：该系统使用的资源情况，对应拓扑图，云平台备份策略等；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系统自身监控及备份情况说明；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压力测试报告；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安全测评报告；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评估总结，且对已发现，但不能立即解决的问题，阐明潜在风险点，给出建议。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（2）云平台监控管理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现场运维团队提供 7*24 小时远程服务，使用应用、日志等多种监控工具，对虚拟机、负载均衡等云资源进行监控，设置合理阈值，短信告警等通知方式。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（3）云资源备份策略管理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制定完整的云备份制度；对云上应用系统按要求进行分级，根据级别的制定不同的备份策略，一旦发生重大故障，可迅速切换。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（4）云平台安全策略管理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使用“主机安全策略”对云平台进行安全管控；私有云使用防火墙、WAF、IDS、IPS 等安全设备，制定合理安全策略。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（5）云资源账户及密码管理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按照安测要求，制定账户密码规则；使用云审计、日志等功能对云用户进行管理。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（6）云平台链路管理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云专线：云专线为政务网带宽链路，7*24 使用监控工具进行性能监控，保障线路稳定；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中心线路：提供区城运中心2条千兆政务网线路及1条千兆互联网线路并保障稳定使用。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（7）裸金属服务器运维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提供每周 2 次人工巡检服务，并使用检测软件对服务器进行全面诊断。</w:t>
      </w:r>
      <w:r/>
    </w:p>
    <w:p>
      <w:pPr>
        <w:ind w:firstLine="480"/>
        <w:spacing w:line="360" w:lineRule="auto"/>
        <w:rPr>
          <w:rFonts w:ascii="宋体" w:hAnsi="宋体" w:eastAsia="宋体" w:cs="宋体"/>
          <w:sz w:val="24"/>
          <w:szCs w:val="21"/>
        </w:rPr>
      </w:pPr>
      <w:r>
        <w:rPr>
          <w:rFonts w:hint="eastAsia" w:ascii="宋体" w:hAnsi="宋体" w:eastAsia="宋体" w:cs="宋体"/>
          <w:sz w:val="24"/>
          <w:szCs w:val="24"/>
        </w:rPr>
        <w:t xml:space="preserve">（8）</w:t>
      </w:r>
      <w:r>
        <w:rPr>
          <w:rFonts w:hint="eastAsia" w:ascii="宋体" w:hAnsi="宋体" w:eastAsia="宋体" w:cs="宋体"/>
          <w:sz w:val="24"/>
          <w:szCs w:val="21"/>
        </w:rPr>
        <w:t xml:space="preserve">资源变更服务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根据用户需求对CPU核数、内存空间、硬盘等计算资源进行变更。</w:t>
      </w:r>
      <w:r/>
    </w:p>
    <w:p>
      <w:pPr>
        <w:ind w:firstLine="480"/>
        <w:spacing w:line="360" w:lineRule="auto"/>
        <w:rPr>
          <w:rFonts w:ascii="宋体" w:hAnsi="宋体" w:eastAsia="宋体" w:cs="宋体"/>
          <w:sz w:val="24"/>
          <w:szCs w:val="21"/>
        </w:rPr>
      </w:pPr>
      <w:r>
        <w:rPr>
          <w:rFonts w:hint="eastAsia" w:ascii="宋体" w:hAnsi="宋体" w:eastAsia="宋体" w:cs="宋体"/>
          <w:sz w:val="24"/>
          <w:szCs w:val="24"/>
        </w:rPr>
        <w:t xml:space="preserve">（9）</w:t>
      </w:r>
      <w:r>
        <w:rPr>
          <w:rFonts w:hint="eastAsia" w:ascii="宋体" w:hAnsi="宋体" w:eastAsia="宋体" w:cs="宋体"/>
          <w:sz w:val="24"/>
          <w:szCs w:val="21"/>
        </w:rPr>
        <w:t xml:space="preserve">业务系统测试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1"/>
        </w:rPr>
        <w:t xml:space="preserve">支持用户进行业务系统的功能及性能测试，根据用户需求部署相应的测试环境。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（10）重大活动运维保障服务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根据区城运中心重大活动安排，提供 7X24 专项运维保障服务，确保重大活动顺利开展。</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2.服务指标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提供每周 2 次人工巡检服务，并使用检测软件对服务器进行全面诊断；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运维团队提供 7X24小时远程服务，使用应用、日志等多种监控工具，对虚拟机、负载均衡等云资源进行监控，设置合理阈值，短信告警等通知方式；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提供技术咨询服务、涉及可能的系统故障，现场支援服务；服务期内，法定节假日、国家重大活动期间，须根据采购人要求提供现场运维支持保障。</w:t>
      </w:r>
      <w:bookmarkEnd w:id="160"/>
      <w:r/>
      <w:bookmarkEnd w:id="161"/>
      <w:r/>
      <w:r/>
    </w:p>
    <w:p>
      <w:pPr>
        <w:pStyle w:val="725"/>
        <w:ind w:firstLine="480"/>
        <w:jc w:val="left"/>
        <w:keepNext w:val="0"/>
        <w:spacing w:line="360" w:lineRule="auto"/>
        <w:rPr>
          <w:rFonts w:ascii="宋体" w:hAnsi="宋体" w:eastAsia="宋体" w:cs="宋体"/>
          <w:sz w:val="24"/>
          <w:szCs w:val="24"/>
        </w:rPr>
      </w:pPr>
      <w:r>
        <w:rPr>
          <w:rFonts w:hint="eastAsia" w:ascii="宋体" w:hAnsi="宋体" w:eastAsia="宋体" w:cs="宋体"/>
          <w:sz w:val="24"/>
          <w:szCs w:val="24"/>
        </w:rPr>
        <w:t xml:space="preserve">1.3云计算服务清单</w:t>
      </w:r>
      <w:r/>
    </w:p>
    <w:p>
      <w:pPr>
        <w:numPr>
          <w:ilvl w:val="0"/>
          <w:numId w:val="6"/>
        </w:num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计算资源服务清单：</w:t>
      </w:r>
      <w:r/>
    </w:p>
    <w:tbl>
      <w:tblPr>
        <w:tblStyle w:val="734"/>
        <w:tblW w:w="8937" w:type="dxa"/>
        <w:tblInd w:w="93" w:type="dxa"/>
        <w:tblLayout w:type="autofit"/>
        <w:tblCellMar>
          <w:left w:w="108" w:type="dxa"/>
          <w:top w:w="0" w:type="dxa"/>
          <w:right w:w="108" w:type="dxa"/>
          <w:bottom w:w="0" w:type="dxa"/>
        </w:tblCellMar>
        <w:tblLook w:val="04A0" w:firstRow="1" w:lastRow="0" w:firstColumn="1" w:lastColumn="0" w:noHBand="0" w:noVBand="1"/>
      </w:tblPr>
      <w:tblGrid>
        <w:gridCol w:w="644"/>
        <w:gridCol w:w="1119"/>
        <w:gridCol w:w="3429"/>
        <w:gridCol w:w="902"/>
        <w:gridCol w:w="792"/>
        <w:gridCol w:w="1012"/>
        <w:gridCol w:w="1039"/>
      </w:tblGrid>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处理器（核）</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内存（G）</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SAS盘容量（GB）</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SSD盘容量（GB）</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城市事件平台互联网应用服务器1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ascii="Times New Roman" w:hAnsi="Times New Roman" w:eastAsia="宋体"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165" cy="201930"/>
                      <wp:effectExtent l="0" t="0" r="0" b="0"/>
                      <wp:wrapNone/>
                      <wp:docPr id="2" name="AutoShap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toShape_1"/>
                              <pic:cNvPicPr>
                                <a:picLocks noChangeAspect="1"/>
                              </pic:cNvPicPr>
                              <pic:nvPr/>
                            </pic:nvPicPr>
                            <pic:blipFill>
                              <a:blip r:embed="rId15"/>
                              <a:stretch/>
                            </pic:blipFill>
                            <pic:spPr bwMode="auto">
                              <a:xfrm>
                                <a:off x="0" y="0"/>
                                <a:ext cx="304165" cy="20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0pt;mso-position-horizontal:absolute;mso-position-vertical-relative:text;margin-top:0.0pt;mso-position-vertical:absolute;width:23.9pt;height:15.9pt;mso-wrap-distance-left:9.0pt;mso-wrap-distance-top:0.0pt;mso-wrap-distance-right:9.0pt;mso-wrap-distance-bottom:0.0pt;" stroked="f">
                      <v:path textboxrect="0,0,0,0"/>
                      <v:imagedata r:id="rId15" o:title=""/>
                    </v:shape>
                  </w:pict>
                </mc:Fallback>
              </mc:AlternateContent>
            </w:r>
            <w:r>
              <w:rPr>
                <w:rFonts w:ascii="Times New Roman" w:hAnsi="Times New Roman" w:eastAsia="宋体"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208280"/>
                      <wp:effectExtent l="0" t="0" r="0" b="0"/>
                      <wp:wrapNone/>
                      <wp:docPr id="3" name="AutoShape_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utoShape_1_SpCnt_1"/>
                              <pic:cNvPicPr>
                                <a:picLocks noChangeAspect="1"/>
                              </pic:cNvPicPr>
                              <pic:nvPr/>
                            </pic:nvPicPr>
                            <pic:blipFill>
                              <a:blip r:embed="rId15"/>
                              <a:stretch/>
                            </pic:blipFill>
                            <pic:spPr bwMode="auto">
                              <a:xfrm>
                                <a:off x="0" y="0"/>
                                <a:ext cx="304800"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24.0pt;height:16.4pt;mso-wrap-distance-left:9.0pt;mso-wrap-distance-top:0.0pt;mso-wrap-distance-right:9.0pt;mso-wrap-distance-bottom:0.0pt;" stroked="f">
                      <v:path textboxrect="0,0,0,0"/>
                      <v:imagedata r:id="rId15" o:title=""/>
                    </v:shape>
                  </w:pict>
                </mc:Fallback>
              </mc:AlternateContent>
            </w: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ascii="Times New Roman" w:hAnsi="Times New Roman" w:eastAsia="宋体"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165" cy="201930"/>
                      <wp:effectExtent l="0" t="0" r="0" b="0"/>
                      <wp:wrapNone/>
                      <wp:docPr id="4" name="AutoShap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toShape_2"/>
                              <pic:cNvPicPr>
                                <a:picLocks noChangeAspect="1"/>
                              </pic:cNvPicPr>
                              <pic:nvPr/>
                            </pic:nvPicPr>
                            <pic:blipFill>
                              <a:blip r:embed="rId15"/>
                              <a:stretch/>
                            </pic:blipFill>
                            <pic:spPr bwMode="auto">
                              <a:xfrm>
                                <a:off x="0" y="0"/>
                                <a:ext cx="304165" cy="20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23.9pt;height:15.9pt;mso-wrap-distance-left:9.0pt;mso-wrap-distance-top:0.0pt;mso-wrap-distance-right:9.0pt;mso-wrap-distance-bottom:0.0pt;" stroked="f">
                      <v:path textboxrect="0,0,0,0"/>
                      <v:imagedata r:id="rId15" o:title=""/>
                    </v:shape>
                  </w:pict>
                </mc:Fallback>
              </mc:AlternateContent>
            </w: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城市事件平台(测试)互联网服务器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Report）应用服务器1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里约网关-接入网关服务器1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YUM镜像服务器</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数据共享前置库FE1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数据共享前置库FE2</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数据共享前置库BE1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城市事件平台互联网应用服务器2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Report）数据库服务器1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Report）数据库服务器2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Report）数据库服务器3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里约网关-接入网关服务器2</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里约网关-接入网关服务器3</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项目管理服务器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数据接入LB-1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数据接入LB-2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数据接入LB-3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网域网关服务器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城市体征banber</w:t>
            </w:r>
            <w:r/>
          </w:p>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部署资源（Radata Report）服务器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城市事件平台rpa服务器001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城市事件平台rpa服务器002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城市事件平台rpa服务器003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城市事件平台rpa服务器004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城市事件平台rpa服务器005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数据支撑能力平台应用服务器1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数据支撑能力平台应用服务器2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数据支撑能力平台应用服务器3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数据支撑能力基础组件服务器1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数据支撑能力基础组件服务器2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数据支撑能力基础组件服务器3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数据支撑能力调度组件服务器1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数据支撑能力调度组件服务器2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数据支撑能力数据资源门户服务器1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数据支撑能力数据资源门户服务器2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CIM城市空间应用服务器1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CIM城市空间数据库服务器1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CIM城市空间文件存服务器1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城市事件平台应用服务器1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城市事件平台数据库服务器1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城市事件平台_测试_应用服务器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城市事件平台_测试_数据库服务器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城市运行平台应用服务器_主_</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城市运行平台_测试_应用服务器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城市运行平台_测试_视频对接服务器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国密应用-秘钥管理系统服务器1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国密应用-秘钥管理系统服务器2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国密应用-秘钥管理系统服务器3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国密应用-透明加密管理平台1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国密应用-透明加密管理平台2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国密应用-透明加密管理平台3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一网统管AI中台-管理节点1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一网统管AI中台-管理节点2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一网统管AI中台-管理节点3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一网统管AI中台-AI门户1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一网统管AI中台-AI门户2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一网统管AI中台-AI门户3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城市体征平台-前后台应用服务器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城市体征平台-应用中枢服务器1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城市体征平台-数据库主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城市体征平台-数据建模1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统一身份认证-生产环境-前置机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统一身份认证-生产环境-应用服务器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统一身份认证-生产环境-数据库服务器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底座应用能力-生产环境-应用服务器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全流程项目管理-中间件服务器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文明城市创建-中间件服务器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政务应用-应用服务器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wedata_tcs_master7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tchouse1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tchouse2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tchouse3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tchouse4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tchouse5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安全运营中心服务器1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安全运营中心服务器2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安全运营中心服务器3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数据安全管理中心大数据节点服务器1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数据安全管理中心大数据节点服务器3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数据安全管理中心-管理服务器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数据库安全审计系统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数据库防火墙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CIM城市空间数据库服务器2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CIM城市空间文件存服务器2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23900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城市事件平台数据库服务器2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城市事件平台数据库服务器3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里约网关-准入网关服务器1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里约网关-准入网关服务器2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里约网关-准入网关服务器3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里约网关-API网关服务器1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里约网关-API网关服务器2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里约网关-API网关服务器3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里约网关-数据库服务器1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里约网关-数据库服务器2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里约网关-数据库服务器3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里约网关-日志服务器1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里约网关-日志服务器2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里约网关-日志服务器3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一网统管AI中台-索引节点1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一网统管AI中台-索引节点2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一网统管AI中台-索引节点3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统一身份认证-生产环境-应用服务器2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政务应用-生产环境-数据库服务器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PaaS平台-消息队列1 broker+zk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PaaS平台-消息队列2 broker+zk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PaaS平台-消息队列3 broker+zk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PaaS平台-容器服务管控Master1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PaaS平台-容器服务管控Master2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PaaS平台-容器服务管控Master3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PaaS平台-容器服务支撑node节点1（ckafka+credis+tcs)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PaaS平台-容器服务支撑node节点2（ckafka+credis+tcs)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PaaS平台-容器服务支撑node节点3（ckafka+credis+tcs)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PaaS平台-缓存数据库Cache节点7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PaaS平台-缓存数据库Proxy节点1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PaaS平台-缓存数据库Proxy节点2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PaaS平台-缓存数据库管控虚拟机1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PaaS平台-缓存数据库管控虚拟机2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PaaS平台-分布式数据库冷备数据存储1 hdfs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PaaS平台-分布式数据库冷备数据存储2 hdfs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PaaS平台-分布式数据库冷备数据存储3 hdfs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PaaS-TCS子集群Node1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PaaS-TCS子集群Node2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PaaS-TCS子集群Node3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PaaS-TCS子集群Master1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PaaS-TCS子集群Master2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PaaS-TCS子集群Master3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数据支撑服务器1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AI视频分析文件存储服务器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应用发布服务器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轻流服务器1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轻流服务器2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公安合作项目-地图服务器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es集群节点2【统一运维ELK】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es集群节点3【统一运维ELK】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新增高可用容灾监控服务器【统一身份认证】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文件、图片持久化【文明办】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智能AI分析数据存储【文明办】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公安合作项目-应用服务器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公安合作项目-数据库服务器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运维审计系统服务器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tbds-manager+公共安全集群6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wedata_tcs_worker2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3100</w:t>
            </w:r>
            <w:r/>
          </w:p>
        </w:tc>
      </w:tr>
    </w:tbl>
    <w:p>
      <w:pPr>
        <w:spacing w:line="360" w:lineRule="auto"/>
        <w:tabs>
          <w:tab w:val="left" w:pos="1050" w:leader="none"/>
          <w:tab w:val="left" w:pos="1155"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105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2.裸金属服务清单：</w:t>
      </w:r>
      <w:r/>
    </w:p>
    <w:tbl>
      <w:tblPr>
        <w:tblStyle w:val="73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60"/>
        <w:gridCol w:w="930"/>
        <w:gridCol w:w="1155"/>
        <w:gridCol w:w="1278"/>
        <w:gridCol w:w="1309"/>
        <w:gridCol w:w="759"/>
        <w:gridCol w:w="664"/>
        <w:gridCol w:w="819"/>
        <w:gridCol w:w="754"/>
        <w:gridCol w:w="791"/>
        <w:gridCol w:w="1018"/>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云主机名称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GPU</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硬盘(容量)</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系统盘</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磁盘类型</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b/>
                <w:bCs/>
                <w:color w:val="000000"/>
              </w:rPr>
            </w:pPr>
            <w:r>
              <w:rPr>
                <w:rFonts w:hint="eastAsia" w:ascii="宋体" w:hAnsi="宋体" w:eastAsia="宋体" w:cs="宋体"/>
                <w:b/>
                <w:bCs/>
                <w:color w:val="000000"/>
                <w:szCs w:val="21"/>
              </w:rPr>
              <w:t xml:space="preserve">数据盘（GB）</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CIM城市空间高渲染服务器</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6354 处理器 *2 （单颗18核）3.6GHZ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 NVIDIA RTX™ A6000</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双万兆光口</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4*960</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CIM平台数据处理服务器</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2*4314（16核心）2.4GHz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 NVIDIA RTX™ A6000</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双万兆光口</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128GB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SAS</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3800</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AI中台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4*NVIDIA Tesla T4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2*1T</w:t>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AI中台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4*NVIDIA Tesla T4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2*1T</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AI中台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4*NVIDIA Tesla T4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2*1T</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AI中台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4*NVIDIA Tesla T4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2*1T</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AI中台</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4*NVIDIA Tesla T4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2*1T</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安全（全流量威胁检测）</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48960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6*8T</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安全（全流量威胁检测）</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2*6342 (24核心 2.8GHz)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256G</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48960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2*480G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6*8T</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管控节点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1*3.84T</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管控节点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1*3.84T</w:t>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管控节点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1*3.84T</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DN节点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16560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4*3.84T</w:t>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DN节点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16560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4*3.84T</w:t>
            </w:r>
            <w:r/>
          </w:p>
        </w:tc>
      </w:tr>
      <w:tr>
        <w:trPr>
          <w:trHeight w:val="798"/>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TDSQL DN节点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2*4316 (20核心 2.3GHz)</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不需要显卡</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10GE</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384GB</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16560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2*600G</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SSD raid1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4*3.84T</w:t>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3.安全组件服务清单：</w:t>
      </w:r>
      <w:r/>
    </w:p>
    <w:tbl>
      <w:tblPr>
        <w:tblStyle w:val="734"/>
        <w:tblW w:w="8955" w:type="dxa"/>
        <w:tblInd w:w="93" w:type="dxa"/>
        <w:tblLayout w:type="fixed"/>
        <w:tblCellMar>
          <w:left w:w="108" w:type="dxa"/>
          <w:top w:w="0" w:type="dxa"/>
          <w:right w:w="108" w:type="dxa"/>
          <w:bottom w:w="0" w:type="dxa"/>
        </w:tblCellMar>
        <w:tblLook w:val="04A0" w:firstRow="1" w:lastRow="0" w:firstColumn="1" w:lastColumn="0" w:noHBand="0" w:noVBand="1"/>
      </w:tblPr>
      <w:tblGrid>
        <w:gridCol w:w="642"/>
        <w:gridCol w:w="946"/>
        <w:gridCol w:w="1372"/>
        <w:gridCol w:w="5080"/>
        <w:gridCol w:w="915"/>
      </w:tblGrid>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安全组件</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数量</w:t>
            </w:r>
            <w:r/>
          </w:p>
        </w:tc>
      </w:tr>
      <w:tr>
        <w:trPr>
          <w:trHeight w:val="156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云防火墙</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可有效满足虚拟化云环境在云边界的安全域隔离、访问控制、威胁防护、失陷检测、IPS功能和安全管理等需求，同时通过可视化风险报表和自助化安全运维服务，帮助用户有效缓解安全风险，网络吞吐：1000Mbps，最大并发连接数：500000，最大新建连接数：15000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主机安全</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虚拟化主机安全；轻代理主机防病毒、主机防火墙、主机入侵防御、虚拟化加固、webshell检测、防暴力破解、安全基线、网卡流量统计8个功能；默认含：一年升级许可；包含系统升级、病毒库升级、规则库升级。</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164</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云web应用防火墙</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提供网站安全防护能力，支持基于源IP的负载均衡、支持对DoS攻击的攻击防护、支持对SQL注入的攻击防护、支持对信息泄露的攻击防护、支持对安全绕过的攻击防护等，网络吞吐：400Mbps，最多支持5个域名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w:t xml:space="preserve">提供</w:t>
            </w:r>
            <w:r>
              <w:rPr>
                <w:rStyle w:val="1129"/>
                <w:rFonts w:eastAsia="新宋体"/>
              </w:rPr>
              <w:t xml:space="preserve">500</w:t>
            </w:r>
            <w:r>
              <w:rPr>
                <w:rStyle w:val="1126"/>
                <w:rFonts w:hint="default"/>
              </w:rPr>
              <w:t xml:space="preserve">个资产授权，具有网域网关功能、并提供</w:t>
            </w:r>
            <w:r>
              <w:rPr>
                <w:rStyle w:val="1129"/>
                <w:rFonts w:eastAsia="新宋体"/>
              </w:rPr>
              <w:t xml:space="preserve">1</w:t>
            </w:r>
            <w:r>
              <w:rPr>
                <w:rStyle w:val="1126"/>
                <w:rFonts w:hint="default"/>
              </w:rPr>
              <w:t xml:space="preserve">年软件免费更新维保服务。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提供对操作系统、中间件、数据库、网络设备、安全设备等资产的日志收集、关联分析、日志存储和综合展示，最大支持5个节点、100GB日志存储空间。</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33</w:t>
            </w:r>
            <w:r/>
          </w:p>
        </w:tc>
      </w:tr>
      <w:tr>
        <w:trPr>
          <w:trHeight w:val="156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非DMZ区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业务数据备份服务</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为防止数据库误操作、关键文件误删除等操作导致业务系统崩溃，需提供业务数据备份服务。支持Oracle、SQL Server、MySQL等常见数据库，虚拟机镜像，操作系统等对象的定时备份，支持用户自定义备份频率及副本数。（费用中包含备份所用计算及存储等资源费用）</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26</w:t>
            </w:r>
            <w:r/>
          </w:p>
        </w:tc>
      </w:tr>
      <w:tr>
        <w:trPr>
          <w:trHeight w:val="156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云防火墙</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可有效满足虚拟化云环境在云边界的安全域隔离、访问控制、威胁防护、失陷检测、IPS功能和安全管理等需求，同时通过可视化风险报表和自助化安全运维服务，帮助用户有效缓解安全风险，网络吞吐：1000Mbps，最大并发连接数：500000，最大新建连接数：15000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主机安全</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虚拟化主机安全；轻代理主机防病毒、主机防火墙、主机入侵防御、虚拟化加固、webshell检测、防暴力破解、安全基线、网卡流量统计8个功能；默认含：一年升级许可；包含系统升级、病毒库升级、规则库升级。</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33</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云web应用防火墙</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提供网站安全防护能力，支持基于源IP的负载均衡、支持对DoS攻击的攻击防护、支持对SQL注入的攻击防护、支持对信息泄露的攻击防护、支持对安全绕过的攻击防护等，网络吞吐：400Mbps，最多支持5个域名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提供对操作系统、中间件、数据库、网络设备、安全设备等资产的日志收集、关联分析、日志存储和综合展示，最大支持5个节点、100GB日志存储空间。</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w:t>
            </w:r>
            <w:r/>
          </w:p>
        </w:tc>
      </w:tr>
      <w:tr>
        <w:trPr>
          <w:trHeight w:val="789"/>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网页防篡改</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采用系统底层文件过滤驱动技术，拦截与分析文件增、删、改操作，实现对网页文件的完整性检查和保护；支持windows/Linux系统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r>
      <w:tr>
        <w:trPr>
          <w:trHeight w:val="157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DMZ区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业务数据备份服务</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为防止数据库误操作、关键文件误删除等操作导致业务系统崩溃，需提供业务数据备份服务。支持Oracle、SQL Server、MySQL等常见数据库，虚拟机镜像，操作系统等对象的定时备份，支持用户自定义备份频率及副本数。（费用中包含备份所用计算及存储等资源费用）</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w:t>
            </w:r>
            <w:r/>
          </w:p>
        </w:tc>
      </w:tr>
    </w:tbl>
    <w:p>
      <w:pPr>
        <w:spacing w:line="360" w:lineRule="auto"/>
        <w:tabs>
          <w:tab w:val="left" w:pos="1050" w:leader="none"/>
          <w:tab w:val="left" w:pos="1155" w:leader="none"/>
        </w:tabs>
        <w:rPr>
          <w:rFonts w:ascii="宋体" w:hAnsi="宋体" w:eastAsia="宋体" w:cs="宋体"/>
          <w:sz w:val="24"/>
          <w:szCs w:val="24"/>
        </w:rPr>
      </w:pPr>
      <w:r>
        <w:rPr>
          <w:rFonts w:ascii="宋体" w:hAnsi="宋体" w:eastAsia="宋体" w:cs="宋体"/>
          <w:sz w:val="24"/>
          <w:szCs w:val="24"/>
        </w:rPr>
      </w:r>
      <w:r/>
    </w:p>
    <w:p>
      <w:pPr>
        <w:pStyle w:val="724"/>
        <w:numPr>
          <w:ilvl w:val="0"/>
          <w:numId w:val="7"/>
        </w:num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技术要求、服务期限、效率等要求</w:t>
      </w:r>
      <w:r/>
    </w:p>
    <w:p>
      <w:pPr>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（1）技术规格要求：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提供租用服务的政务云平台整体可用性应不低于 99.95%，数据可靠性应不低于 99.999%，具体要求如下： </w:t>
      </w:r>
      <w:r/>
    </w:p>
    <w:p>
      <w:pPr>
        <w:ind w:firstLine="480"/>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1）云管理平台服务基础功能要求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本次项目需要为租户提供云管平台，需要满足如下功能要求：</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1632"/>
        <w:gridCol w:w="6674"/>
      </w:tblGrid>
      <w:tr>
        <w:trPr>
          <w:jc w:val="center"/>
          <w:trHeight w:val="466"/>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功能模块</w:t>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功能要求</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平台整体要求</w:t>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可对平台租户资源进行监控，可查看CPU、内存、磁盘的使用率以及应用模块的使用情况；支持容器化部署。</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异构资源纳管要求</w:t>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支持私有云；支持以松耦合方式对接硬件SDN平台，软件SDN平台，可实现租户、VPC、路由器、子网、逻辑交换机、逻辑端口、用户端口的生命周期管理、EIP管理、NAT管理、防火墙管理等功能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资源管理要求</w:t>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支持对资源池管理列表进行增删改查等操作；支持跨平台统一的IP池管理，实现可控的IP分配；分配IP地址之前进行IP地址冲突检测。 IP分配策略可按照IP池、固定 IP 分配、DHCP 等方式进行。支持显示资源总量、使用容量、剩余容量等，实现云管平台统一管理数据中心各类资产。</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运营管理要求</w:t>
            </w:r>
            <w:r/>
          </w:p>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支持多级组织架构；支持不同组织的资源隔离。</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提供统一的管理界面，支持对账号的创建、修改、禁用、删除、重置密码、查看操作日志功能。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支持用户批量导入导出功能；支持LDAP对接；支持关键字搜索，匹配用户。</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支持为每个组织设置指定的资源配额；支持配额的修改；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支持对虚拟机的CPU、内存、存储进行计费</w:t>
            </w:r>
            <w:r/>
          </w:p>
        </w:tc>
      </w:tr>
      <w:tr>
        <w:trPr>
          <w:jc w:val="center"/>
          <w:trHeight w:val="455"/>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平台服务</w:t>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支持资源项的申请和审批，用户可以可视化实时了解资源的申请交付进度</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系统展示</w:t>
            </w:r>
            <w:r/>
          </w:p>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67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提供完善的资源统计分析功能，支持通过web方式查看及导出各项统计报表；支持对不同云厂商的云资源（CPU、内存、存储等）使用量和剩余量的展示；提供存储器详细信息、整体监控数据；支持根据集群、宿主机等维度显示所承载的虚拟机列表及监控数据</w:t>
            </w:r>
            <w:r/>
          </w:p>
        </w:tc>
      </w:tr>
    </w:tbl>
    <w:p>
      <w:pPr>
        <w:ind w:firstLine="480"/>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2）计算源服务要求 </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云服务供应商需通过构建计算资源池的方式为数字滨湖一期项目提供计算资源服务，提供的计算资源服务主要包括：虚拟主机以及按需配置的CPU、内存、硬盘、网络接口等。计算资源服务需要满足的要求如下（增强安全资源池使用符合国家和省相关要求的产品和技术，不受限于其他参数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1.虚拟主机要求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（1）提供可动态、弹性扩展的虚拟主机资源；</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（2）应可按照需求创建虚拟主机，安装操作系统；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（3）虚拟机能根据用户需求提供接入电子政务外网；</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（4）虚拟机模板设计应考虑计算能力、存储空间、快速部署和定制化要求；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（5）虚拟主机CPU主频不小于2.0GHz；</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（6）内存不允许复用方式分配资源，性能不低于DDR4 2133MHz。</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（7）系统盘不低于60G，数据盘按需可选；</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（8）支持虚拟机的日常管理操作，能够完全释放虚拟机资源；</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（9）支持某一宿主机发生故障时，虚拟机系统自动迁移至新宿主机；</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（10）支持虚拟机快照管理及回滚，支持虚拟机迁移，实现故障自动恢复。</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2.计算资源池技术要求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（1）虚拟化软件架构须采用裸金属架构，必须能直接安装在服务器硬件设备上，不能采用在服务器上先安装操作系统的方式，虚拟化软件要能直接管理硬件资源；</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支持虚拟机远程挂载光驱功能：支持虚拟机在运行情况下，管理员将本地PC、本地服务器或者本地虚拟机的光驱设备或者镜像文件（ISO9660格式）挂载到虚拟机中，进行虚拟机操作系统或者软件的安装、修复；</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（3）支持虚拟机CPU/内存热添加，当虚拟机操作系统不支持CPU/内存热添加时，支持重启虚拟机操作系统而不是停止启动虚拟机，使得热添加的CPU/内存生效；</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（4）删除用户磁盘时，支持选择是否彻底清除磁盘数据，避免利用工具对数据进行恢复，以保证数据的安全；</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（5）支持虚拟机HA功能：虚拟化系统在服务器硬件故障导致虚拟机宕机的情况下，可自动地将虚拟机在其它正常的服务器启动，尽快恢复虚拟机上业务运行；</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（6）支持存储迁移功能：支持虚拟机关机或开机情况下，虚拟机的卷迁移至其他存储单元中，可以在存储虚拟化管理下的同一个存储设备内、不同存储设备之间进行迁移。</w:t>
      </w:r>
      <w:r/>
    </w:p>
    <w:p>
      <w:pPr>
        <w:ind w:firstLine="480"/>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3）存储资源服务要求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云服务供应商需通过构建存储资源池的方式为滨湖区政务信息化项目提供存储资源服务，提供的存储资源服务主要包括：磁盘阵列存储、闪存高速存储等。存储资源服务需要满足的要求如下：</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1.磁盘阵列存储要求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（1）基于模块化设计、高可靠保障的磁盘阵列，以及全冗余光纤网络构建的存储系统；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（2）使用企业级高速硬盘提供高可靠、高性能的块存储空间；</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（3）采用全模块架构冗余设计，无单一故障点；</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（4）多控制器架构，最大支持16个控制器，控制器之间支持缓存镜像；</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（5）双控制器配置≥64GBCache（非SSD或者高速Flash充当缓存）；</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（6）支持SSD二级缓存技术，加上速数据读取速度，降低应用延迟；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（7）IOPS 读 （512b块全顺序读）≥600000；</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（8）IOPS 写 （512b块全顺序写）≥400000；</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（9）双控最大支持34个主机接口。</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2.闪存高速存储要求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（1）基于模块化设计、高可靠保障的磁盘阵列，以及全冗余光纤网络构建的存储系统；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（2）使用企业级高速固态硬盘（SSD）提供高可靠、高性能的全闪存块存储空间；</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（3）支持多控制器集群架构；</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（4）存储系统应为统一存储架构；</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（5）支持NAS、FC-SAN、IP-SAN（iSCSI）和FCoE数据访问功能；</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（6）NAS功能应为非网关实现方式；</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（7）IOPS 读 （512b块全顺序读）≥600000；</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（8）IOPS 写 （512b块全顺序写）≥400000；</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（9）硬件部件采用全冗余无单点故障设计。</w:t>
      </w:r>
      <w:r/>
    </w:p>
    <w:p>
      <w:pPr>
        <w:ind w:firstLine="480"/>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4）云平台裸金属服务要求</w:t>
      </w:r>
      <w:r/>
    </w:p>
    <w:tbl>
      <w:tblPr>
        <w:tblStyle w:val="734"/>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8333"/>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指标项</w:t>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指标要求</w:t>
            </w:r>
            <w:r/>
          </w:p>
        </w:tc>
      </w:tr>
      <w:tr>
        <w:trPr>
          <w:jc w:val="center"/>
          <w:trHeight w:val="333"/>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提供裸金属服务，用户可以通过管理界面申请物理服务器运行业务，支持常见的windows、Linux操作系统。用户可以指定要申请的物理服务器的规格、所使用的镜像、所使用的网络、网络所属的安全组、需要绑定的弹性IP以及指定服务器发放完成后登录信息。同时在申请过程中可以为裸金属增加多块数据盘，并设置部分数据盘为共享盘。</w:t>
            </w:r>
            <w:r/>
          </w:p>
        </w:tc>
      </w:tr>
      <w:tr>
        <w:trPr>
          <w:jc w:val="center"/>
          <w:trHeight w:val="333"/>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支持裸金属服务器的生命周期管理以及相关业务操作，包括裸金属服务器的开关机、重启、删除、监控以及重置密码等操作，同时可以自动完成服务器的操作系统安全、IP地址配置、弹性IP绑定等。</w:t>
            </w:r>
            <w:r/>
          </w:p>
        </w:tc>
      </w:tr>
      <w:tr>
        <w:trPr>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为裸金属提供云硬盘服务，用户可以在申请裸金属的同一个服务管理界面（不需要登录存储管理界面）自助为裸金属挂载存储空间并且支持同时挂载给两台不同的裸金属服务器，支持数据库等集群场景对共享存储的需求。</w:t>
            </w:r>
            <w:r/>
          </w:p>
        </w:tc>
      </w:tr>
      <w:tr>
        <w:trPr>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支持为裸金属配置高速网络。高速网络是裸金属内部网络，为同一租户的裸金属节点之间提供带宽不受限制的二层网络，支持部署高吞吐量或要求低时延的服务。裸金属服务器高速网络带宽支持的最大值为裸金属网卡实际带宽，如10Gbit/s，25Gbit/s。</w:t>
            </w:r>
            <w:r/>
          </w:p>
        </w:tc>
      </w:tr>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4225"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裸金属服务器支持用户通过控制台自助发放。</w:t>
            </w:r>
            <w:r/>
          </w:p>
        </w:tc>
      </w:tr>
      <w:tr>
        <w:trPr>
          <w:jc w:val="center"/>
          <w:trHeight w:val="469"/>
        </w:trPr>
        <w:tc>
          <w:tcPr>
            <w:shd w:val="clear" w:color="auto" w:fill="auto"/>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兼容性要求</w:t>
            </w:r>
            <w:r/>
          </w:p>
        </w:tc>
        <w:tc>
          <w:tcPr>
            <w:shd w:val="clear" w:color="auto" w:fill="auto"/>
            <w:tcBorders>
              <w:top w:val="single" w:color="auto" w:sz="4" w:space="0"/>
              <w:left w:val="single" w:color="auto" w:sz="4" w:space="0"/>
              <w:bottom w:val="single" w:color="auto" w:sz="4" w:space="0"/>
              <w:right w:val="single" w:color="auto" w:sz="4" w:space="0"/>
            </w:tcBorders>
            <w:tcW w:w="4225" w:type="pct"/>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需与现网云平台相兼容，基于现网云平台提供裸金属服务。</w:t>
            </w:r>
            <w:r/>
          </w:p>
        </w:tc>
      </w:tr>
    </w:tbl>
    <w:p>
      <w:pPr>
        <w:ind w:firstLine="480"/>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5）云安全服务要求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本项目提供云计算服务时，云服务供应商提供的云计算服务已满足信息安全等级保护（第叁级）的要求，通过信息安全等级保护（第叁级）评测。提供的安全服务主要包括：基础租户安全服务、增强租户安全服务、云平台安全服务和安全服务组合版。提供的安全服务需满足的要求如下：</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1.基础安全服务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可提供基础安全服务，主要包括主机防病毒服务。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2.增强租户安全服务要求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可提供增强租户安全服务，包括</w:t>
      </w:r>
      <w:r>
        <w:rPr>
          <w:rFonts w:hint="eastAsia" w:ascii="宋体" w:hAnsi="宋体" w:eastAsia="宋体" w:cs="宋体"/>
          <w:sz w:val="24"/>
          <w:szCs w:val="24"/>
        </w:rPr>
        <w:t xml:space="preserve">且不限于</w:t>
      </w:r>
      <w:r>
        <w:rPr>
          <w:rFonts w:hint="eastAsia" w:ascii="宋体" w:hAnsi="宋体" w:eastAsia="宋体" w:cs="宋体"/>
          <w:sz w:val="24"/>
          <w:szCs w:val="21"/>
        </w:rPr>
        <w:t xml:space="preserve">云防火墙服务、主机安全服务、云数据库审计服务、云web应用防火墙服务、日志审计服务和数据保护服务。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3.云平台安全服务要求</w:t>
      </w:r>
      <w:r/>
    </w:p>
    <w:p>
      <w:pPr>
        <w:ind w:firstLine="480"/>
        <w:jc w:val="left"/>
        <w:spacing w:line="360" w:lineRule="auto"/>
        <w:widowControl/>
        <w:rPr>
          <w:rFonts w:ascii="宋体" w:hAnsi="宋体" w:eastAsia="宋体" w:cs="宋体"/>
          <w:sz w:val="24"/>
          <w:szCs w:val="21"/>
        </w:rPr>
      </w:pPr>
      <w:r>
        <w:rPr>
          <w:rFonts w:hint="eastAsia" w:ascii="宋体" w:hAnsi="宋体" w:eastAsia="宋体" w:cs="宋体"/>
          <w:sz w:val="24"/>
          <w:szCs w:val="21"/>
        </w:rPr>
        <w:t xml:space="preserve">可提供云平台安全服务，主要提供漏洞扫描服务、网页防篡改服务和安全问题应急响应服务，网页防篡改服务支持Linux与windows操作系统，实现web管理功能和日志查询审计。</w:t>
      </w:r>
      <w:r/>
    </w:p>
    <w:p>
      <w:pPr>
        <w:ind w:firstLine="480"/>
        <w:jc w:val="left"/>
        <w:spacing w:line="360" w:lineRule="auto"/>
        <w:widowControl/>
        <w:rPr>
          <w:rFonts w:ascii="宋体" w:hAnsi="宋体" w:eastAsia="宋体" w:cs="宋体"/>
          <w:sz w:val="24"/>
          <w:szCs w:val="21"/>
        </w:rPr>
      </w:pPr>
      <w:r>
        <w:rPr>
          <w:rFonts w:hint="eastAsia" w:ascii="宋体" w:hAnsi="宋体" w:eastAsia="宋体" w:cs="宋体"/>
          <w:sz w:val="24"/>
          <w:szCs w:val="21"/>
        </w:rPr>
        <w:t xml:space="preserve">6）运维审计系统要求</w:t>
      </w:r>
      <w:r/>
    </w:p>
    <w:tbl>
      <w:tblPr>
        <w:tblStyle w:val="734"/>
        <w:tblW w:w="8304"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6564"/>
      </w:tblGrid>
      <w:tr>
        <w:trPr>
          <w:trHeight w:val="300"/>
        </w:trPr>
        <w:tc>
          <w:tcPr>
            <w:shd w:val="clear" w:color="auto" w:fill="bfbfbf"/>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jc w:val="center"/>
              <w:spacing w:line="360" w:lineRule="auto"/>
              <w:widowControl/>
              <w:rPr>
                <w:rFonts w:eastAsia="新宋体" w:cs="宋体"/>
                <w:b/>
                <w:bCs/>
                <w:color w:val="000000"/>
                <w:sz w:val="20"/>
                <w:szCs w:val="20"/>
              </w:rPr>
            </w:pPr>
            <w:r>
              <w:rPr>
                <w:rFonts w:hint="eastAsia" w:ascii="Times New Roman" w:hAnsi="Times New Roman" w:eastAsia="新宋体" w:cs="宋体"/>
                <w:b/>
                <w:bCs/>
                <w:color w:val="000000"/>
                <w:sz w:val="20"/>
                <w:szCs w:val="20"/>
              </w:rPr>
              <w:t xml:space="preserve">功能模块</w:t>
            </w:r>
            <w:r/>
          </w:p>
        </w:tc>
        <w:tc>
          <w:tcPr>
            <w:shd w:val="clear" w:color="auto" w:fill="bfbfbf"/>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jc w:val="center"/>
              <w:spacing w:line="360" w:lineRule="auto"/>
              <w:widowControl/>
              <w:rPr>
                <w:rFonts w:eastAsia="新宋体" w:cs="宋体"/>
                <w:b/>
                <w:bCs/>
                <w:color w:val="000000"/>
                <w:sz w:val="20"/>
                <w:szCs w:val="20"/>
              </w:rPr>
            </w:pPr>
            <w:r>
              <w:rPr>
                <w:rFonts w:hint="eastAsia" w:ascii="Times New Roman" w:hAnsi="Times New Roman" w:eastAsia="新宋体" w:cs="宋体"/>
                <w:b/>
                <w:bCs/>
                <w:color w:val="000000"/>
                <w:sz w:val="20"/>
                <w:szCs w:val="20"/>
              </w:rPr>
              <w:t xml:space="preserve">详细说明</w:t>
            </w:r>
            <w:r/>
          </w:p>
        </w:tc>
      </w:tr>
      <w:tr>
        <w:trPr>
          <w:trHeight w:val="223"/>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配置要求</w:t>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提供</w:t>
            </w:r>
            <w:r>
              <w:rPr>
                <w:rFonts w:ascii="Times New Roman" w:hAnsi="Times New Roman" w:eastAsia="新宋体" w:cs="宋体"/>
                <w:color w:val="000000"/>
                <w:sz w:val="20"/>
                <w:szCs w:val="20"/>
              </w:rPr>
              <w:t xml:space="preserve">500</w:t>
            </w:r>
            <w:r>
              <w:rPr>
                <w:rFonts w:hint="eastAsia" w:ascii="Times New Roman" w:hAnsi="Times New Roman" w:eastAsia="新宋体" w:cs="宋体"/>
                <w:color w:val="000000"/>
                <w:sz w:val="20"/>
                <w:szCs w:val="20"/>
              </w:rPr>
              <w:t xml:space="preserve">个资产授权，并提供</w:t>
            </w:r>
            <w:r>
              <w:rPr>
                <w:rFonts w:ascii="Times New Roman" w:hAnsi="Times New Roman" w:eastAsia="新宋体" w:cs="宋体"/>
                <w:color w:val="000000"/>
                <w:sz w:val="20"/>
                <w:szCs w:val="20"/>
              </w:rPr>
              <w:t xml:space="preserve">1</w:t>
            </w:r>
            <w:r>
              <w:rPr>
                <w:rFonts w:hint="eastAsia" w:ascii="Times New Roman" w:hAnsi="Times New Roman" w:eastAsia="新宋体" w:cs="宋体"/>
                <w:color w:val="000000"/>
                <w:sz w:val="20"/>
                <w:szCs w:val="20"/>
              </w:rPr>
              <w:t xml:space="preserve">年软件免费更新维保服务。</w:t>
            </w:r>
            <w:r/>
          </w:p>
        </w:tc>
      </w:tr>
      <w:tr>
        <w:trPr>
          <w:trHeight w:val="223"/>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开放要求</w:t>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基于自主可控的原则，需要系统的核心代码开放和</w:t>
            </w:r>
            <w:r>
              <w:rPr>
                <w:rFonts w:ascii="Times New Roman" w:hAnsi="Times New Roman" w:eastAsia="新宋体" w:cs="宋体"/>
                <w:color w:val="000000"/>
                <w:sz w:val="20"/>
                <w:szCs w:val="20"/>
              </w:rPr>
              <w:t xml:space="preserve">API</w:t>
            </w:r>
            <w:r>
              <w:rPr>
                <w:rFonts w:hint="eastAsia" w:ascii="Times New Roman" w:hAnsi="Times New Roman" w:eastAsia="新宋体" w:cs="宋体"/>
                <w:color w:val="000000"/>
                <w:sz w:val="20"/>
                <w:szCs w:val="20"/>
              </w:rPr>
              <w:t xml:space="preserve">开放，能提供相应的代码仓库。</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restart"/>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访问和权限控制</w:t>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采用资产树组织资产，管理起来方便。授权时采用资产树授权，当节点资产变化时，自动继承授权。</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bookmarkStart w:id="162" w:name="_Hlk99568238"/>
            <w:r>
              <w:rPr>
                <w:rFonts w:hint="eastAsia" w:ascii="Times New Roman" w:hAnsi="Times New Roman" w:eastAsia="新宋体" w:cs="宋体"/>
                <w:color w:val="000000"/>
                <w:sz w:val="20"/>
                <w:szCs w:val="20"/>
              </w:rPr>
              <w:t xml:space="preserve">支持控制台、审计台和工作台。控制台提供用户管理、资产管理等功能，审计台提供会话审计、日志审计等功能，工作台提供</w:t>
            </w:r>
            <w:r>
              <w:rPr>
                <w:rFonts w:ascii="Times New Roman" w:hAnsi="Times New Roman" w:eastAsia="新宋体" w:cs="宋体"/>
                <w:color w:val="000000"/>
                <w:sz w:val="20"/>
                <w:szCs w:val="20"/>
              </w:rPr>
              <w:t xml:space="preserve">Web</w:t>
            </w:r>
            <w:r>
              <w:rPr>
                <w:rFonts w:hint="eastAsia" w:ascii="Times New Roman" w:hAnsi="Times New Roman" w:eastAsia="新宋体" w:cs="宋体"/>
                <w:color w:val="000000"/>
                <w:sz w:val="20"/>
                <w:szCs w:val="20"/>
              </w:rPr>
              <w:t xml:space="preserve">终端访问、文件管理等功能。</w:t>
            </w:r>
            <w:bookmarkEnd w:id="162"/>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restart"/>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资产管理</w:t>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支持自动发现公有云（包括华为云、阿里云、腾讯云、</w:t>
            </w:r>
            <w:r>
              <w:rPr>
                <w:rFonts w:ascii="Times New Roman" w:hAnsi="Times New Roman" w:eastAsia="新宋体" w:cs="宋体"/>
                <w:color w:val="000000"/>
                <w:sz w:val="20"/>
                <w:szCs w:val="20"/>
              </w:rPr>
              <w:t xml:space="preserve">AWS</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Azure</w:t>
            </w:r>
            <w:r>
              <w:rPr>
                <w:rFonts w:hint="eastAsia" w:ascii="Times New Roman" w:hAnsi="Times New Roman" w:eastAsia="新宋体" w:cs="宋体"/>
                <w:color w:val="000000"/>
                <w:sz w:val="20"/>
                <w:szCs w:val="20"/>
              </w:rPr>
              <w:t xml:space="preserve">、百度云、京东云、金山云、谷歌云、</w:t>
            </w:r>
            <w:r>
              <w:rPr>
                <w:rFonts w:ascii="Times New Roman" w:hAnsi="Times New Roman" w:eastAsia="新宋体" w:cs="宋体"/>
                <w:color w:val="000000"/>
                <w:sz w:val="20"/>
                <w:szCs w:val="20"/>
              </w:rPr>
              <w:t xml:space="preserve">Ucloud</w:t>
            </w:r>
            <w:r>
              <w:rPr>
                <w:rFonts w:hint="eastAsia" w:ascii="Times New Roman" w:hAnsi="Times New Roman" w:eastAsia="新宋体" w:cs="宋体"/>
                <w:color w:val="000000"/>
                <w:sz w:val="20"/>
                <w:szCs w:val="20"/>
              </w:rPr>
              <w:t xml:space="preserve">、火山引擎）中的资产，并自动导入到堡垒机中。</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bookmarkStart w:id="163" w:name="_Hlk154402042"/>
            <w:r>
              <w:rPr>
                <w:rFonts w:hint="eastAsia" w:ascii="Times New Roman" w:hAnsi="Times New Roman" w:eastAsia="新宋体" w:cs="宋体"/>
                <w:color w:val="000000"/>
                <w:sz w:val="20"/>
                <w:szCs w:val="20"/>
              </w:rPr>
              <w:t xml:space="preserve">支持自动发现</w:t>
            </w:r>
            <w:r>
              <w:rPr>
                <w:rFonts w:ascii="Times New Roman" w:hAnsi="Times New Roman" w:eastAsia="新宋体" w:cs="宋体"/>
                <w:color w:val="000000"/>
                <w:sz w:val="20"/>
                <w:szCs w:val="20"/>
              </w:rPr>
              <w:t xml:space="preserve">VMware</w:t>
            </w:r>
            <w:r>
              <w:rPr>
                <w:rFonts w:hint="eastAsia" w:ascii="Times New Roman" w:hAnsi="Times New Roman" w:eastAsia="新宋体" w:cs="宋体"/>
                <w:color w:val="000000"/>
                <w:sz w:val="20"/>
                <w:szCs w:val="20"/>
              </w:rPr>
              <w:t xml:space="preserve">虚拟化、</w:t>
            </w:r>
            <w:r>
              <w:rPr>
                <w:rFonts w:ascii="Times New Roman" w:hAnsi="Times New Roman" w:eastAsia="新宋体" w:cs="宋体"/>
                <w:color w:val="000000"/>
                <w:sz w:val="20"/>
                <w:szCs w:val="20"/>
              </w:rPr>
              <w:t xml:space="preserve">Nutanix</w:t>
            </w:r>
            <w:r>
              <w:rPr>
                <w:rFonts w:hint="eastAsia" w:ascii="Times New Roman" w:hAnsi="Times New Roman" w:eastAsia="新宋体" w:cs="宋体"/>
                <w:color w:val="000000"/>
                <w:sz w:val="20"/>
                <w:szCs w:val="20"/>
              </w:rPr>
              <w:t xml:space="preserve">超融合、青云私有云、华为私有云、</w:t>
            </w:r>
            <w:r>
              <w:rPr>
                <w:rFonts w:ascii="Times New Roman" w:hAnsi="Times New Roman" w:eastAsia="新宋体" w:cs="宋体"/>
                <w:color w:val="000000"/>
                <w:sz w:val="20"/>
                <w:szCs w:val="20"/>
              </w:rPr>
              <w:t xml:space="preserve">OpenStack</w:t>
            </w:r>
            <w:r>
              <w:rPr>
                <w:rFonts w:hint="eastAsia" w:ascii="Times New Roman" w:hAnsi="Times New Roman" w:eastAsia="新宋体" w:cs="宋体"/>
                <w:color w:val="000000"/>
                <w:sz w:val="20"/>
                <w:szCs w:val="20"/>
              </w:rPr>
              <w:t xml:space="preserve">、天翼私有云、</w:t>
            </w:r>
            <w:r>
              <w:rPr>
                <w:rFonts w:ascii="Times New Roman" w:hAnsi="Times New Roman" w:eastAsia="新宋体" w:cs="宋体"/>
                <w:color w:val="000000"/>
                <w:sz w:val="20"/>
                <w:szCs w:val="20"/>
              </w:rPr>
              <w:t xml:space="preserve">Fusion Compute</w:t>
            </w:r>
            <w:r>
              <w:rPr>
                <w:rFonts w:hint="eastAsia" w:ascii="Times New Roman" w:hAnsi="Times New Roman" w:eastAsia="新宋体" w:cs="宋体"/>
                <w:color w:val="000000"/>
                <w:sz w:val="20"/>
                <w:szCs w:val="20"/>
              </w:rPr>
              <w:t xml:space="preserve">、深信服云平台、阿里云专有云、</w:t>
            </w:r>
            <w:r>
              <w:rPr>
                <w:rFonts w:ascii="Times New Roman" w:hAnsi="Times New Roman" w:eastAsia="新宋体" w:cs="宋体"/>
                <w:color w:val="000000"/>
                <w:sz w:val="20"/>
                <w:szCs w:val="20"/>
              </w:rPr>
              <w:t xml:space="preserve">ZStack</w:t>
            </w:r>
            <w:r>
              <w:rPr>
                <w:rFonts w:hint="eastAsia" w:ascii="Times New Roman" w:hAnsi="Times New Roman" w:eastAsia="新宋体" w:cs="宋体"/>
                <w:color w:val="000000"/>
                <w:sz w:val="20"/>
                <w:szCs w:val="20"/>
              </w:rPr>
              <w:t xml:space="preserve">云平台、局域网中的资产，并自动导入到堡垒机中。</w:t>
            </w:r>
            <w:bookmarkEnd w:id="163"/>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支持自动获取资源硬件信息，包括制造商、型号、</w:t>
            </w:r>
            <w:r>
              <w:rPr>
                <w:rFonts w:ascii="Times New Roman" w:hAnsi="Times New Roman" w:eastAsia="新宋体" w:cs="宋体"/>
                <w:color w:val="000000"/>
                <w:sz w:val="20"/>
                <w:szCs w:val="20"/>
              </w:rPr>
              <w:t xml:space="preserve">CPU</w:t>
            </w:r>
            <w:r>
              <w:rPr>
                <w:rFonts w:hint="eastAsia" w:ascii="Times New Roman" w:hAnsi="Times New Roman" w:eastAsia="新宋体" w:cs="宋体"/>
                <w:color w:val="000000"/>
                <w:sz w:val="20"/>
                <w:szCs w:val="20"/>
              </w:rPr>
              <w:t xml:space="preserve">规格、内存大小、硬盘大小等。</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restart"/>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运维方式</w:t>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支持会话共享和多用户协同操作，用户通过</w:t>
            </w:r>
            <w:r>
              <w:rPr>
                <w:rFonts w:ascii="Times New Roman" w:hAnsi="Times New Roman" w:eastAsia="新宋体" w:cs="宋体"/>
                <w:color w:val="000000"/>
                <w:sz w:val="20"/>
                <w:szCs w:val="20"/>
              </w:rPr>
              <w:t xml:space="preserve">Web Terminal</w:t>
            </w:r>
            <w:r>
              <w:rPr>
                <w:rFonts w:hint="eastAsia" w:ascii="Times New Roman" w:hAnsi="Times New Roman" w:eastAsia="新宋体" w:cs="宋体"/>
                <w:color w:val="000000"/>
                <w:sz w:val="20"/>
                <w:szCs w:val="20"/>
              </w:rPr>
              <w:t xml:space="preserve">连接</w:t>
            </w:r>
            <w:r>
              <w:rPr>
                <w:rFonts w:ascii="Times New Roman" w:hAnsi="Times New Roman" w:eastAsia="新宋体" w:cs="宋体"/>
                <w:color w:val="000000"/>
                <w:sz w:val="20"/>
                <w:szCs w:val="20"/>
              </w:rPr>
              <w:t xml:space="preserve">SSH/Telnet</w:t>
            </w:r>
            <w:r>
              <w:rPr>
                <w:rFonts w:hint="eastAsia" w:ascii="Times New Roman" w:hAnsi="Times New Roman" w:eastAsia="新宋体" w:cs="宋体"/>
                <w:color w:val="000000"/>
                <w:sz w:val="20"/>
                <w:szCs w:val="20"/>
              </w:rPr>
              <w:t xml:space="preserve">资产成功后，可以在页面中创建分享链接，并将分享链接和验证码发送给其他用户。</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hint="eastAsia" w:eastAsia="新宋体" w:cs="宋体"/>
                <w:color w:val="000000"/>
                <w:sz w:val="20"/>
                <w:szCs w:val="20"/>
                <w:lang w:val="en-US" w:eastAsia="zh-CN"/>
              </w:rPr>
            </w:pPr>
            <w:r>
              <w:rPr>
                <w:rFonts w:hint="eastAsia" w:ascii="Times New Roman" w:hAnsi="Times New Roman" w:eastAsia="新宋体" w:cs="宋体"/>
                <w:color w:val="000000"/>
                <w:sz w:val="20"/>
                <w:szCs w:val="20"/>
              </w:rPr>
              <w:t xml:space="preserve">支持</w:t>
            </w:r>
            <w:r>
              <w:rPr>
                <w:rFonts w:ascii="Times New Roman" w:hAnsi="Times New Roman" w:eastAsia="新宋体" w:cs="宋体"/>
                <w:color w:val="000000"/>
                <w:sz w:val="20"/>
                <w:szCs w:val="20"/>
              </w:rPr>
              <w:t xml:space="preserve">Oracle</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Postgresql</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MySQL</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SQL Server</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ClickHouse</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Mong</w:t>
            </w:r>
            <w:bookmarkStart w:id="177" w:name="_GoBack"/>
            <w:r/>
            <w:bookmarkEnd w:id="177"/>
            <w:r>
              <w:rPr>
                <w:rFonts w:ascii="Times New Roman" w:hAnsi="Times New Roman" w:eastAsia="新宋体" w:cs="宋体"/>
                <w:color w:val="000000"/>
                <w:sz w:val="20"/>
                <w:szCs w:val="20"/>
              </w:rPr>
              <w:t xml:space="preserve">oDB</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Redis</w:t>
            </w:r>
            <w:r>
              <w:rPr>
                <w:rFonts w:hint="eastAsia" w:ascii="Times New Roman" w:hAnsi="Times New Roman" w:eastAsia="新宋体" w:cs="宋体"/>
                <w:color w:val="000000"/>
                <w:sz w:val="20"/>
                <w:szCs w:val="20"/>
              </w:rPr>
              <w:t xml:space="preserve">、达梦数据库审计功能；支持对数据库命令进行阻断及审批。除支持本地客户端、远程应用发布方式连接数据库外，还需支持通过</w:t>
            </w:r>
            <w:r>
              <w:rPr>
                <w:rFonts w:ascii="Times New Roman" w:hAnsi="Times New Roman" w:eastAsia="新宋体" w:cs="宋体"/>
                <w:color w:val="000000"/>
                <w:sz w:val="20"/>
                <w:szCs w:val="20"/>
              </w:rPr>
              <w:t xml:space="preserve"> Web GUI</w:t>
            </w:r>
            <w:r>
              <w:rPr>
                <w:rFonts w:hint="eastAsia" w:ascii="Times New Roman" w:hAnsi="Times New Roman" w:eastAsia="新宋体" w:cs="宋体"/>
                <w:color w:val="000000"/>
                <w:sz w:val="20"/>
                <w:szCs w:val="20"/>
              </w:rPr>
              <w:t xml:space="preserve">方式直连数据库进行操作，对于使用</w:t>
            </w:r>
            <w:r>
              <w:rPr>
                <w:rFonts w:ascii="Times New Roman" w:hAnsi="Times New Roman" w:eastAsia="新宋体" w:cs="宋体"/>
                <w:color w:val="000000"/>
                <w:sz w:val="20"/>
                <w:szCs w:val="20"/>
              </w:rPr>
              <w:t xml:space="preserve">Web GUI</w:t>
            </w:r>
            <w:r>
              <w:rPr>
                <w:rFonts w:hint="eastAsia" w:ascii="Times New Roman" w:hAnsi="Times New Roman" w:eastAsia="新宋体" w:cs="宋体"/>
                <w:color w:val="000000"/>
                <w:sz w:val="20"/>
                <w:szCs w:val="20"/>
              </w:rPr>
              <w:t xml:space="preserve">方式连接的数据库，支持对表名和列名进行自动补全</w:t>
            </w:r>
            <w:r>
              <w:rPr>
                <w:rFonts w:hint="eastAsia" w:ascii="Times New Roman" w:hAnsi="Times New Roman" w:eastAsia="新宋体" w:cs="宋体"/>
                <w:color w:val="000000"/>
                <w:sz w:val="20"/>
                <w:szCs w:val="20"/>
                <w:lang w:eastAsia="zh-CN"/>
              </w:rPr>
              <w:t xml:space="preserve">。</w:t>
            </w:r>
            <w:r/>
          </w:p>
        </w:tc>
      </w:tr>
      <w:tr>
        <w:trPr>
          <w:trHeight w:val="406"/>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支持对容器</w:t>
            </w:r>
            <w:r>
              <w:rPr>
                <w:rFonts w:ascii="Times New Roman" w:hAnsi="Times New Roman" w:eastAsia="新宋体" w:cs="宋体"/>
                <w:color w:val="000000"/>
                <w:sz w:val="20"/>
                <w:szCs w:val="20"/>
              </w:rPr>
              <w:t xml:space="preserve">Kubernetes</w:t>
            </w:r>
            <w:r>
              <w:rPr>
                <w:rFonts w:hint="eastAsia" w:ascii="Times New Roman" w:hAnsi="Times New Roman" w:eastAsia="新宋体" w:cs="宋体"/>
                <w:color w:val="000000"/>
                <w:sz w:val="20"/>
                <w:szCs w:val="20"/>
              </w:rPr>
              <w:t xml:space="preserve">的审计，通过</w:t>
            </w:r>
            <w:r>
              <w:rPr>
                <w:rFonts w:ascii="Times New Roman" w:hAnsi="Times New Roman" w:eastAsia="新宋体" w:cs="宋体"/>
                <w:color w:val="000000"/>
                <w:sz w:val="20"/>
                <w:szCs w:val="20"/>
              </w:rPr>
              <w:t xml:space="preserve">WEB UI</w:t>
            </w:r>
            <w:r>
              <w:rPr>
                <w:rFonts w:hint="eastAsia" w:ascii="Times New Roman" w:hAnsi="Times New Roman" w:eastAsia="新宋体" w:cs="宋体"/>
                <w:color w:val="000000"/>
                <w:sz w:val="20"/>
                <w:szCs w:val="20"/>
              </w:rPr>
              <w:t xml:space="preserve">方式对操作容器的命令进行阻断、告警、审计。</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支持作业管理，包括命令作业和</w:t>
            </w:r>
            <w:r>
              <w:rPr>
                <w:rFonts w:ascii="Times New Roman" w:hAnsi="Times New Roman" w:eastAsia="新宋体" w:cs="宋体"/>
                <w:color w:val="000000"/>
                <w:sz w:val="20"/>
                <w:szCs w:val="20"/>
              </w:rPr>
              <w:t xml:space="preserve">Playbook</w:t>
            </w:r>
            <w:r>
              <w:rPr>
                <w:rFonts w:hint="eastAsia" w:ascii="Times New Roman" w:hAnsi="Times New Roman" w:eastAsia="新宋体" w:cs="宋体"/>
                <w:color w:val="000000"/>
                <w:sz w:val="20"/>
                <w:szCs w:val="20"/>
              </w:rPr>
              <w:t xml:space="preserve">作业，可以帮助用户批量对资产执行</w:t>
            </w:r>
            <w:r>
              <w:rPr>
                <w:rFonts w:ascii="Times New Roman" w:hAnsi="Times New Roman" w:eastAsia="新宋体" w:cs="宋体"/>
                <w:color w:val="000000"/>
                <w:sz w:val="20"/>
                <w:szCs w:val="20"/>
              </w:rPr>
              <w:t xml:space="preserve">Shell</w:t>
            </w:r>
            <w:r>
              <w:rPr>
                <w:rFonts w:hint="eastAsia" w:ascii="Times New Roman" w:hAnsi="Times New Roman" w:eastAsia="新宋体" w:cs="宋体"/>
                <w:color w:val="000000"/>
                <w:sz w:val="20"/>
                <w:szCs w:val="20"/>
              </w:rPr>
              <w:t xml:space="preserve">命令、</w:t>
            </w:r>
            <w:r>
              <w:rPr>
                <w:rFonts w:ascii="Times New Roman" w:hAnsi="Times New Roman" w:eastAsia="新宋体" w:cs="宋体"/>
                <w:color w:val="000000"/>
                <w:sz w:val="20"/>
                <w:szCs w:val="20"/>
              </w:rPr>
              <w:t xml:space="preserve">PowerShell</w:t>
            </w:r>
            <w:r>
              <w:rPr>
                <w:rFonts w:hint="eastAsia" w:ascii="Times New Roman" w:hAnsi="Times New Roman" w:eastAsia="新宋体" w:cs="宋体"/>
                <w:color w:val="000000"/>
                <w:sz w:val="20"/>
                <w:szCs w:val="20"/>
              </w:rPr>
              <w:t xml:space="preserve">命令、</w:t>
            </w:r>
            <w:r>
              <w:rPr>
                <w:rFonts w:ascii="Times New Roman" w:hAnsi="Times New Roman" w:eastAsia="新宋体" w:cs="宋体"/>
                <w:color w:val="000000"/>
                <w:sz w:val="20"/>
                <w:szCs w:val="20"/>
              </w:rPr>
              <w:t xml:space="preserve">Python</w:t>
            </w:r>
            <w:r>
              <w:rPr>
                <w:rFonts w:hint="eastAsia" w:ascii="Times New Roman" w:hAnsi="Times New Roman" w:eastAsia="新宋体" w:cs="宋体"/>
                <w:color w:val="000000"/>
                <w:sz w:val="20"/>
                <w:szCs w:val="20"/>
              </w:rPr>
              <w:t xml:space="preserve">代码或一个</w:t>
            </w:r>
            <w:r>
              <w:rPr>
                <w:rFonts w:ascii="Times New Roman" w:hAnsi="Times New Roman" w:eastAsia="新宋体" w:cs="宋体"/>
                <w:color w:val="000000"/>
                <w:sz w:val="20"/>
                <w:szCs w:val="20"/>
              </w:rPr>
              <w:t xml:space="preserve">Playbook</w:t>
            </w:r>
            <w:r>
              <w:rPr>
                <w:rFonts w:hint="eastAsia" w:ascii="Times New Roman" w:hAnsi="Times New Roman" w:eastAsia="新宋体" w:cs="宋体"/>
                <w:color w:val="000000"/>
                <w:sz w:val="20"/>
                <w:szCs w:val="20"/>
              </w:rPr>
              <w:t xml:space="preserve">脚本，支持对</w:t>
            </w:r>
            <w:r>
              <w:rPr>
                <w:rFonts w:ascii="Times New Roman" w:hAnsi="Times New Roman" w:eastAsia="新宋体" w:cs="宋体"/>
                <w:color w:val="000000"/>
                <w:sz w:val="20"/>
                <w:szCs w:val="20"/>
              </w:rPr>
              <w:t xml:space="preserve">MySQL</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PostgreSQL</w:t>
            </w:r>
            <w:r>
              <w:rPr>
                <w:rFonts w:hint="eastAsia" w:ascii="Times New Roman" w:hAnsi="Times New Roman" w:eastAsia="新宋体" w:cs="宋体"/>
                <w:color w:val="000000"/>
                <w:sz w:val="20"/>
                <w:szCs w:val="20"/>
              </w:rPr>
              <w:t xml:space="preserve">、</w:t>
            </w:r>
            <w:r>
              <w:rPr>
                <w:rFonts w:ascii="Times New Roman" w:hAnsi="Times New Roman" w:eastAsia="新宋体" w:cs="宋体"/>
                <w:color w:val="000000"/>
                <w:sz w:val="20"/>
                <w:szCs w:val="20"/>
              </w:rPr>
              <w:t xml:space="preserve">SQL Server</w:t>
            </w:r>
            <w:r>
              <w:rPr>
                <w:rFonts w:hint="eastAsia" w:ascii="Times New Roman" w:hAnsi="Times New Roman" w:eastAsia="新宋体" w:cs="宋体"/>
                <w:color w:val="000000"/>
                <w:sz w:val="20"/>
                <w:szCs w:val="20"/>
              </w:rPr>
              <w:t xml:space="preserve">数据库进行批量命令操作</w:t>
            </w:r>
            <w:r/>
          </w:p>
        </w:tc>
      </w:tr>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1740"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shd w:val="clear" w:color="auto" w:fill="auto"/>
            <w:tcBorders>
              <w:top w:val="single" w:color="000000" w:sz="8" w:space="0"/>
              <w:left w:val="single" w:color="000000" w:sz="8" w:space="0"/>
              <w:bottom w:val="single" w:color="000000" w:sz="8" w:space="0"/>
              <w:right w:val="single" w:color="000000" w:sz="8" w:space="0"/>
            </w:tcBorders>
            <w:tcW w:w="6564" w:type="dxa"/>
            <w:vAlign w:val="center"/>
            <w:textDirection w:val="lrTb"/>
            <w:noWrap w:val="false"/>
          </w:tcPr>
          <w:p>
            <w:pPr>
              <w:spacing w:line="360" w:lineRule="auto"/>
              <w:widowControl/>
              <w:rPr>
                <w:rFonts w:eastAsia="新宋体" w:cs="宋体"/>
                <w:color w:val="000000"/>
                <w:sz w:val="20"/>
                <w:szCs w:val="20"/>
              </w:rPr>
            </w:pPr>
            <w:r>
              <w:rPr>
                <w:rFonts w:hint="eastAsia" w:ascii="Times New Roman" w:hAnsi="Times New Roman" w:eastAsia="新宋体" w:cs="宋体"/>
                <w:color w:val="000000"/>
                <w:sz w:val="20"/>
                <w:szCs w:val="20"/>
              </w:rPr>
              <w:t xml:space="preserve">支持对运维操作会话的实时阻断、日志回放，包括起止时间、来源用户、来源</w:t>
            </w:r>
            <w:r>
              <w:rPr>
                <w:rFonts w:ascii="Times New Roman" w:hAnsi="Times New Roman" w:eastAsia="新宋体" w:cs="宋体"/>
                <w:color w:val="000000"/>
                <w:sz w:val="20"/>
                <w:szCs w:val="20"/>
              </w:rPr>
              <w:t xml:space="preserve">IP</w:t>
            </w:r>
            <w:r>
              <w:rPr>
                <w:rFonts w:hint="eastAsia" w:ascii="Times New Roman" w:hAnsi="Times New Roman" w:eastAsia="新宋体" w:cs="宋体"/>
                <w:color w:val="000000"/>
                <w:sz w:val="20"/>
                <w:szCs w:val="20"/>
              </w:rPr>
              <w:t xml:space="preserve">、目标设备、协议</w:t>
            </w:r>
            <w:r>
              <w:rPr>
                <w:rFonts w:ascii="Times New Roman" w:hAnsi="Times New Roman" w:eastAsia="新宋体" w:cs="宋体"/>
                <w:color w:val="000000"/>
                <w:sz w:val="20"/>
                <w:szCs w:val="20"/>
              </w:rPr>
              <w:t xml:space="preserve">/</w:t>
            </w:r>
            <w:r>
              <w:rPr>
                <w:rFonts w:hint="eastAsia" w:ascii="Times New Roman" w:hAnsi="Times New Roman" w:eastAsia="新宋体" w:cs="宋体"/>
                <w:color w:val="000000"/>
                <w:sz w:val="20"/>
                <w:szCs w:val="20"/>
              </w:rPr>
              <w:t xml:space="preserve">应用类型等日志内容。</w:t>
            </w:r>
            <w:r/>
          </w:p>
        </w:tc>
      </w:tr>
    </w:tbl>
    <w:p>
      <w:pPr>
        <w:ind w:firstLine="480"/>
        <w:jc w:val="left"/>
        <w:spacing w:line="360" w:lineRule="auto"/>
        <w:widowControl/>
        <w:rPr>
          <w:rFonts w:ascii="宋体" w:hAnsi="宋体" w:eastAsia="宋体" w:cs="宋体"/>
          <w:sz w:val="24"/>
          <w:szCs w:val="21"/>
        </w:rPr>
      </w:pPr>
      <w:r>
        <w:rPr>
          <w:rFonts w:ascii="宋体" w:hAnsi="宋体" w:eastAsia="宋体" w:cs="宋体"/>
          <w:sz w:val="24"/>
          <w:szCs w:val="21"/>
        </w:rPr>
      </w:r>
      <w:r/>
    </w:p>
    <w:p>
      <w:pPr>
        <w:ind w:firstLine="480"/>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7）其它要求：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逻辑隔离：云资源和网络应与服务商的公有云部分和其他私有云做到逻辑上的严格隔离，并可根据需求提供物理上与其他云资源相互隔离的云资源；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服务多样：服务商能提供按需可扩展、可计量、可定制的多种云服务，包括但不限于云主机、云空间、云数据库、云安全、云容灾备份、云运维、迁云服务等；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安全保障：服务商提供的产品/服务具有较高的安全性，能为用户提供完善的安全策略方案，并且具有实施安全防护方案的技术能力，提供包括但不限于DDOS 攻击防护、WEB 应用防火墙、数据库审计等服务；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数据安全：服务商应承诺对滨湖区“数字滨湖”一期项目业务系统上云数据负有保密责任，保证不窃取各类应用数据，也不将所有运行管理数据进行非授权使用；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开放性：云平台和云服务要求采用主流技术，并且兼容主流开源标准，以保证平台的无锁定，支持业务在云间进行迁移，可以提供迁入服务和迁出服务；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安全可信：云服务有明确的业务边界，必须尊重用户数据主权，不触碰用户数据，不能在任何时间以任何形式使用数据，并且说明是如何通过技术手段保障数据安全的；</w:t>
      </w:r>
      <w:r/>
    </w:p>
    <w:p>
      <w:pPr>
        <w:ind w:firstLine="480"/>
        <w:jc w:val="left"/>
        <w:spacing w:line="360" w:lineRule="auto"/>
        <w:rPr>
          <w:lang w:val="zh-CN"/>
        </w:rPr>
      </w:pPr>
      <w:r>
        <w:rPr>
          <w:rFonts w:hint="eastAsia" w:ascii="宋体" w:hAnsi="宋体" w:eastAsia="宋体" w:cs="宋体"/>
          <w:sz w:val="24"/>
          <w:szCs w:val="24"/>
        </w:rPr>
        <w:t xml:space="preserve">独立管理区域：具备独立的管理区域，管理节点与业务节点分离部署。</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（2）服务期限：自合同签订之日起1年。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（3）服务响应时间：服务期限内，</w:t>
      </w:r>
      <w:bookmarkStart w:id="164" w:name="_Hlk118209986"/>
      <w:r>
        <w:rPr>
          <w:rFonts w:hint="eastAsia" w:ascii="宋体" w:hAnsi="宋体" w:eastAsia="宋体" w:cs="宋体"/>
          <w:sz w:val="24"/>
          <w:szCs w:val="24"/>
        </w:rPr>
        <w:t xml:space="preserve">接到报障电话30分钟内响应，2小时内赶到现场，一般性故障在到达现场后1小时内排除，较为复杂故障在到达现场后4小时内排除。</w:t>
      </w:r>
      <w:bookmarkEnd w:id="164"/>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机房要求：云服务供应商提供的政务云云主机等服务所在机房具备无锡市政府政务外网接入条件，机房基础环境要求符合国家标准GB50174-2008《电子信息系统机房设计规范》中规定，同时满足不低于无锡市电子政务云服务机房建设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（5）运维服务要求</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云服务供应商需提供完善的技术服务及运维保障服务，包括标准规范、运维管理、运维技术团队、运维保障、定时巡检、应急管理、值守服务等服务。运维服务要求如下：</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1.标准规范</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针对政务云中心的维护管理、运维操作、应急管理以及云服务的申请、交付、保障、监督等流程制定相关规范和标准，并根据实际运行需求进行持续更新和优化。</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2.运维管理</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供应商根据政务云服务的特点，建立完备运维管理体系，标准规范的运维管理制度，明确项目组织管理措施和手段。具备对日常运维管理事务的支撑，包括事件管理、问题管理、变更管理、资产管理等服务管理机制，并根据管理需求的变化进行必要的更新，确保项目实施和运维服务的有效性和服务团队的稳定性。</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3.运维技术团队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供应商应提供专业的运行维护和技术支持本地团队，配置云计算、网络、存储、安全等方面的专业运维工程师和架构设计师，具备高效维护和持续优化的技术能力。</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4.运维保障</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针对政务云平台进行日常维护、故障处理以及性能优化，协助用户处理业务系统运行过程中遇到的各种故障与问题。</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5.应急管理</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制定完善的应急管理制度以及针对各种突发情况的应急预案。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其他要求：中标人承诺在提供政务云资源服务过程中，确保“数字滨湖”软件平台系统平台和业务数据的稳定、安全、不中断，采购人不额外支付相关系统迁移费用，中标人投标报价需包含所有费用，如造成业务中断和数据丢失，采购人由此产生的损失，由中标方承担。</w:t>
      </w:r>
      <w:r/>
    </w:p>
    <w:p>
      <w:pPr>
        <w:pStyle w:val="724"/>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3.验收标准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按行业通行标准、厂方出厂标准、招标文件要求和供方投标文件的承诺，并不低于国家相关标准。</w:t>
      </w:r>
      <w:r/>
    </w:p>
    <w:p>
      <w:pPr>
        <w:pStyle w:val="724"/>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4.其他技术、服务等要求：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投标总报价包括满足本项目要求的所有产品及其配件、包装、运杂、安装调试及售后服务等从项目中标起到项目正式交付以及质保期内所发生的一切费用。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通过中国海关报关验放进入中国境内且产自关境外的产品不在本项目的报价范围。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本项目中有信息安全产品的，必须选择经国家认证的信息安全产品，并提供由中国信息安全认证中心颁发的有效认证证书复印件。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投标人必须在满足招标文件要求的基础上进行报价，如有技术偏离请于投标偏离表中说明。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本项目合同履行地点为无锡市滨湖区，具体地点以采购人指定为准。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300"/>
        <w:spacing w:line="360" w:lineRule="auto"/>
        <w:rPr>
          <w:rFonts w:ascii="宋体" w:hAnsi="宋体"/>
          <w:b/>
          <w:sz w:val="30"/>
          <w:szCs w:val="30"/>
        </w:rPr>
      </w:pPr>
      <w:r>
        <w:rPr>
          <w:rFonts w:hint="eastAsia" w:ascii="宋体" w:hAnsi="宋体"/>
          <w:b/>
          <w:sz w:val="30"/>
          <w:szCs w:val="30"/>
        </w:rPr>
        <w:t xml:space="preserve">第二部分  有关说明</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eastAsia="宋体" w:cs="Times New Roman"/>
          <w:bCs/>
          <w:sz w:val="24"/>
          <w:szCs w:val="24"/>
        </w:rPr>
        <w:t xml:space="preserve">投标总报价包括满足本项目要求的所有产品及其配件、包装、运杂、安装调试及售后服务等从项目中标起到项目正式交付以及质保期内所发生的一切费用</w:t>
      </w:r>
      <w:r>
        <w:rPr>
          <w:rFonts w:hint="eastAsia" w:ascii="宋体" w:hAnsi="宋体"/>
          <w:bCs/>
          <w:color w:val="000000"/>
          <w:sz w:val="24"/>
          <w:szCs w:val="24"/>
        </w:rPr>
        <w:t xml:space="preserve">。</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通过中国海关报关验放进入中国境内且产自境外的产品不在本项目的报价范围。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8"/>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eastAsia="宋体" w:cs="宋体"/>
          <w:sz w:val="24"/>
          <w:szCs w:val="24"/>
        </w:rPr>
        <w:t xml:space="preserve">维护响应时间：中标人承诺提供7×24小时远程服务，确保1小时的服务响应时间。</w:t>
      </w:r>
      <w:r/>
    </w:p>
    <w:p>
      <w:pPr>
        <w:numPr>
          <w:ilvl w:val="1"/>
          <w:numId w:val="8"/>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服务期：1 年。</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
          <w:color w:val="000000"/>
          <w:sz w:val="24"/>
          <w:szCs w:val="24"/>
        </w:rPr>
      </w:pPr>
      <w:r>
        <w:rPr>
          <w:rFonts w:hint="eastAsia" w:ascii="宋体" w:hAnsi="宋体"/>
          <w:b/>
          <w:color w:val="000000"/>
          <w:sz w:val="24"/>
          <w:szCs w:val="24"/>
        </w:rPr>
        <w:t xml:space="preserve">付款方式：</w:t>
      </w:r>
      <w:r>
        <w:rPr>
          <w:rFonts w:hint="eastAsia" w:ascii="宋体" w:hAnsi="Times New Roman" w:eastAsia="宋体" w:cs="Times New Roman"/>
          <w:b/>
          <w:sz w:val="24"/>
          <w:szCs w:val="24"/>
        </w:rPr>
        <w:t xml:space="preserve">合同签订后30日内，支付合同金额的30%，采购人付款前乙方需提供等额发票。服务满六个月后，采购人向中标供应商支付合同总价的50%。尾款支付时间：中标供应商完成全部技术服务内容且服务期满，通过采购方考核后，采购人收到等额发票后30日内，尾款支付比例：合同金额的20%。具体以区财政拨付资金额度及时间为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 ，具体地点以合同书约定为准。中标方必须按采购人要求将本项目中货物送到指定地点（包括可能的分布范围），并分地实施安装调试。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中标、成交供应商可以采用电子履约保函形式，具体操作可登录江苏政府采购网的保险保函模块进行办理。</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bookmarkStart w:id="165"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1110"/>
        <w:ind w:firstLine="602"/>
        <w:spacing w:before="0" w:after="0" w:line="360" w:lineRule="auto"/>
        <w:rPr>
          <w:rFonts w:cs="Arial"/>
          <w:b/>
          <w:sz w:val="30"/>
          <w:szCs w:val="30"/>
        </w:rPr>
      </w:pPr>
      <w:r>
        <w:rPr>
          <w:rFonts w:hint="eastAsia" w:cs="Arial"/>
          <w:b/>
          <w:sz w:val="30"/>
          <w:szCs w:val="30"/>
        </w:rPr>
        <w:t xml:space="preserve">第一部分  评标方法</w:t>
      </w:r>
      <w:r/>
    </w:p>
    <w:p>
      <w:pPr>
        <w:pStyle w:val="1110"/>
        <w:spacing w:before="0" w:after="0" w:line="360" w:lineRule="auto"/>
        <w:rPr>
          <w:rFonts w:cs="Arial"/>
        </w:rPr>
      </w:pPr>
      <w:r>
        <w:rPr>
          <w:rFonts w:hint="eastAsia" w:cs="Arial"/>
        </w:rPr>
        <w:t xml:space="preserve">投标人通过初审的，方可进入比较与评价程序。</w:t>
      </w:r>
      <w:r/>
    </w:p>
    <w:p>
      <w:pPr>
        <w:pStyle w:val="1110"/>
        <w:spacing w:before="0" w:after="0" w:line="360" w:lineRule="auto"/>
        <w:rPr>
          <w:rFonts w:cs="Arial"/>
        </w:rPr>
      </w:pPr>
      <w:r>
        <w:rPr>
          <w:rFonts w:hint="eastAsia" w:cs="Arial"/>
        </w:rPr>
        <w:t xml:space="preserve">比较与评价采用综合评分法。</w:t>
      </w:r>
      <w:r/>
    </w:p>
    <w:p>
      <w:pPr>
        <w:pStyle w:val="1110"/>
        <w:spacing w:before="0" w:after="0" w:line="360" w:lineRule="auto"/>
        <w:rPr>
          <w:rStyle w:val="110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10"/>
        <w:spacing w:before="0" w:after="0" w:line="360" w:lineRule="auto"/>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spacing w:line="360" w:lineRule="auto"/>
        <w:widowControl/>
        <w:rPr>
          <w:rFonts w:ascii="Arial" w:hAnsi="Arial" w:eastAsia="宋体" w:cs="Arial"/>
          <w:b/>
          <w:sz w:val="30"/>
          <w:szCs w:val="30"/>
        </w:rPr>
      </w:pPr>
      <w:r>
        <w:rPr>
          <w:rFonts w:cs="Arial"/>
          <w:b/>
          <w:sz w:val="30"/>
          <w:szCs w:val="30"/>
        </w:rPr>
        <w:br w:type="page" w:clear="all"/>
      </w:r>
      <w:r/>
    </w:p>
    <w:p>
      <w:pPr>
        <w:pStyle w:val="1110"/>
        <w:ind w:firstLine="600"/>
        <w:spacing w:before="0" w:after="0" w:line="360" w:lineRule="auto"/>
        <w:rPr>
          <w:rFonts w:cs="Arial"/>
          <w:b/>
          <w:sz w:val="30"/>
          <w:szCs w:val="30"/>
        </w:rPr>
      </w:pPr>
      <w:r>
        <w:rPr>
          <w:rFonts w:hint="eastAsia" w:cs="Arial"/>
          <w:b/>
          <w:sz w:val="30"/>
          <w:szCs w:val="30"/>
        </w:rPr>
        <w:t xml:space="preserve">第二部分  评标标准</w:t>
      </w:r>
      <w:r/>
    </w:p>
    <w:p>
      <w:pPr>
        <w:pStyle w:val="1110"/>
        <w:ind w:firstLine="562"/>
        <w:spacing w:before="0" w:after="0" w:line="360" w:lineRule="auto"/>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ascii="宋体" w:hAnsi="宋体"/>
          <w:b/>
          <w:bCs/>
          <w:sz w:val="24"/>
          <w:szCs w:val="24"/>
        </w:rPr>
      </w:pPr>
      <w:r>
        <w:rPr>
          <w:rFonts w:hint="eastAsia" w:ascii="宋体" w:hAnsi="宋体"/>
          <w:b/>
          <w:bCs/>
          <w:sz w:val="24"/>
          <w:szCs w:val="24"/>
        </w:rPr>
        <w:t xml:space="preserve">小微型企业价格扣除：不专门面向中小/小微企业的项目，做价格扣除。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360" w:lineRule="auto"/>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1110"/>
        <w:ind w:firstLine="360"/>
        <w:spacing w:before="0" w:after="0" w:line="360" w:lineRule="auto"/>
        <w:rPr>
          <w:rFonts w:ascii="宋体" w:hAnsi="宋体"/>
          <w:b/>
          <w:bCs/>
          <w:i/>
          <w:sz w:val="28"/>
          <w:szCs w:val="28"/>
        </w:rPr>
      </w:pPr>
      <w:r>
        <w:rPr>
          <w:rFonts w:ascii="宋体" w:hAnsi="宋体"/>
          <w:b/>
          <w:bCs/>
          <w:i/>
          <w:sz w:val="28"/>
          <w:szCs w:val="28"/>
        </w:rPr>
      </w:r>
      <w:r/>
    </w:p>
    <w:p>
      <w:pPr>
        <w:jc w:val="left"/>
        <w:spacing w:line="360" w:lineRule="auto"/>
        <w:widowControl/>
        <w:rPr>
          <w:rFonts w:ascii="宋体" w:hAnsi="宋体" w:eastAsia="宋体" w:cs="Times New Roman"/>
          <w:b/>
          <w:sz w:val="28"/>
          <w:szCs w:val="28"/>
        </w:rPr>
      </w:pPr>
      <w:r>
        <w:rPr>
          <w:rFonts w:ascii="宋体" w:hAnsi="宋体"/>
          <w:b/>
          <w:sz w:val="28"/>
          <w:szCs w:val="28"/>
        </w:rPr>
        <w:br w:type="page" w:clear="all"/>
      </w:r>
      <w:r/>
    </w:p>
    <w:p>
      <w:pPr>
        <w:pStyle w:val="1110"/>
        <w:numPr>
          <w:ilvl w:val="0"/>
          <w:numId w:val="10"/>
        </w:numPr>
        <w:ind w:firstLine="360"/>
        <w:spacing w:before="0" w:after="0" w:line="360" w:lineRule="auto"/>
        <w:rPr>
          <w:rFonts w:ascii="宋体" w:hAnsi="宋体"/>
          <w:b/>
          <w:sz w:val="28"/>
          <w:szCs w:val="28"/>
        </w:rPr>
      </w:pPr>
      <w:r>
        <w:rPr>
          <w:rFonts w:hint="eastAsia" w:ascii="宋体" w:hAnsi="宋体"/>
          <w:b/>
          <w:sz w:val="28"/>
          <w:szCs w:val="28"/>
        </w:rPr>
        <w:t xml:space="preserve">评分标准</w:t>
      </w:r>
      <w:r/>
    </w:p>
    <w:p>
      <w:pPr>
        <w:pStyle w:val="1110"/>
        <w:ind w:firstLine="422"/>
        <w:spacing w:before="0" w:after="0" w:line="360" w:lineRule="auto"/>
        <w:rPr>
          <w:rFonts w:ascii="宋体" w:hAnsi="宋体"/>
          <w:b/>
          <w:sz w:val="28"/>
          <w:szCs w:val="28"/>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66" w:name="_Hlk165208115"/>
      <w:r>
        <w:rPr>
          <w:rFonts w:hint="eastAsia" w:cs="宋体" w:asciiTheme="minorEastAsia" w:hAnsiTheme="minorEastAsia"/>
          <w:sz w:val="24"/>
        </w:rPr>
        <w:t xml:space="preserve">（一）评分项目及总分（总分100分）</w:t>
      </w:r>
      <w:r/>
    </w:p>
    <w:p>
      <w:pPr>
        <w:ind w:firstLine="715"/>
        <w:spacing w:line="360" w:lineRule="auto"/>
        <w:rPr>
          <w:rFonts w:cs="宋体" w:asciiTheme="minorEastAsia" w:hAnsiTheme="minorEastAsia"/>
          <w:b/>
          <w:sz w:val="24"/>
        </w:rPr>
      </w:pPr>
      <w:r/>
      <w:bookmarkStart w:id="167" w:name="_Hlk165208094"/>
      <w:r>
        <w:rPr>
          <w:rFonts w:hint="eastAsia" w:cs="宋体" w:asciiTheme="minorEastAsia" w:hAnsiTheme="minorEastAsia"/>
          <w:b/>
          <w:sz w:val="24"/>
        </w:rPr>
        <w:t xml:space="preserve">1、报价                      30分</w:t>
      </w:r>
      <w:r/>
    </w:p>
    <w:p>
      <w:pPr>
        <w:ind w:firstLine="720"/>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ascii="宋体" w:hAnsi="宋体" w:eastAsia="宋体" w:cs="宋体"/>
          <w:b/>
          <w:sz w:val="24"/>
          <w:szCs w:val="21"/>
        </w:rPr>
        <w:t xml:space="preserve">投标供应商综合评价        15分</w:t>
      </w:r>
      <w:r/>
    </w:p>
    <w:p>
      <w:pPr>
        <w:ind w:firstLine="715"/>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ascii="宋体" w:hAnsi="宋体" w:eastAsia="宋体" w:cs="宋体"/>
          <w:b/>
          <w:sz w:val="24"/>
          <w:szCs w:val="24"/>
        </w:rPr>
        <w:t xml:space="preserve">产品技术                  15</w:t>
      </w:r>
      <w:r>
        <w:rPr>
          <w:rFonts w:hint="eastAsia" w:ascii="宋体" w:hAnsi="宋体" w:eastAsia="宋体" w:cs="宋体"/>
          <w:b/>
          <w:bCs/>
          <w:sz w:val="24"/>
          <w:szCs w:val="21"/>
        </w:rPr>
        <w:t xml:space="preserve">分</w:t>
      </w:r>
      <w:r/>
    </w:p>
    <w:p>
      <w:pPr>
        <w:ind w:firstLine="715"/>
        <w:spacing w:line="360" w:lineRule="auto"/>
        <w:rPr>
          <w:rFonts w:cs="宋体" w:asciiTheme="minorEastAsia" w:hAnsiTheme="minorEastAsia"/>
          <w:b/>
          <w:sz w:val="24"/>
        </w:rPr>
      </w:pPr>
      <w:r>
        <w:rPr>
          <w:rFonts w:hint="eastAsia" w:cs="宋体" w:asciiTheme="minorEastAsia" w:hAnsiTheme="minorEastAsia"/>
          <w:b/>
          <w:sz w:val="24"/>
        </w:rPr>
        <w:t xml:space="preserve">4、</w:t>
      </w:r>
      <w:r>
        <w:rPr>
          <w:rFonts w:hint="eastAsia" w:asciiTheme="minorEastAsia" w:hAnsiTheme="minorEastAsia"/>
          <w:b/>
          <w:bCs/>
          <w:sz w:val="24"/>
        </w:rPr>
        <w:t xml:space="preserve">服务方案（暗标)           40分</w:t>
      </w:r>
      <w:bookmarkEnd w:id="167"/>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166"/>
      <w:r/>
      <w:r/>
    </w:p>
    <w:p>
      <w:pPr>
        <w:pStyle w:val="1110"/>
        <w:ind w:firstLine="420"/>
        <w:spacing w:before="0" w:after="0" w:line="360" w:lineRule="auto"/>
        <w:rPr>
          <w:rFonts w:ascii="宋体" w:hAnsi="宋体"/>
          <w:b/>
          <w:bCs/>
        </w:rPr>
      </w:pPr>
      <w:r>
        <w:rPr>
          <w:rFonts w:hint="eastAsia" w:ascii="宋体" w:hAnsi="宋体"/>
          <w:bCs/>
          <w:sz w:val="28"/>
          <w:szCs w:val="28"/>
        </w:rPr>
        <w:t xml:space="preserve">1.</w:t>
      </w:r>
      <w:r>
        <w:rPr>
          <w:rFonts w:hint="eastAsia" w:ascii="宋体" w:hAnsi="宋体"/>
          <w:b/>
          <w:bCs/>
        </w:rPr>
        <w:t xml:space="preserve">价格（30分）：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left="482"/>
        <w:spacing w:line="360" w:lineRule="auto"/>
        <w:tabs>
          <w:tab w:val="left" w:pos="525" w:leader="none"/>
          <w:tab w:val="left" w:pos="945" w:leader="none"/>
          <w:tab w:val="left" w:pos="1155" w:leader="none"/>
          <w:tab w:val="left" w:pos="3823" w:leader="none"/>
        </w:tabs>
        <w:rPr>
          <w:rFonts w:ascii="宋体" w:hAnsi="宋体" w:eastAsia="宋体" w:cs="宋体"/>
          <w:b/>
          <w:bCs/>
          <w:sz w:val="24"/>
          <w:szCs w:val="24"/>
        </w:rPr>
      </w:pPr>
      <w:r>
        <w:rPr>
          <w:rFonts w:hint="eastAsia" w:ascii="宋体" w:hAnsi="宋体"/>
          <w:b/>
          <w:bCs/>
          <w:sz w:val="24"/>
          <w:szCs w:val="24"/>
        </w:rPr>
        <w:t xml:space="preserve">2.</w:t>
      </w:r>
      <w:r>
        <w:rPr>
          <w:rFonts w:hint="eastAsia" w:ascii="宋体" w:hAnsi="宋体" w:eastAsia="宋体" w:cs="宋体"/>
          <w:b/>
          <w:bCs/>
          <w:sz w:val="24"/>
          <w:szCs w:val="24"/>
        </w:rPr>
        <w:t xml:space="preserve">投标人综合情况（15分）：</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2.1  投标人业绩（2分）：投标人自2021年1月1日以来（以合同签订日期为准）具有与本项目同类项目案例的，每有一个得1分，最高2分；</w:t>
      </w:r>
      <w:r>
        <w:rPr>
          <w:rFonts w:hint="eastAsia" w:ascii="宋体" w:hAnsi="宋体" w:eastAsia="宋体" w:cs="宋体"/>
          <w:b/>
          <w:bCs/>
          <w:sz w:val="24"/>
          <w:szCs w:val="21"/>
        </w:rPr>
        <w:t xml:space="preserve">须提供相应有效合同原件扫描并上传，否则不得分。</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2.2  体系认证（4分）：</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投标人具有有效期内的：质量管理体系认证、环境管理体系认证、信息安全管理体系认证证书、信息技术服务管理体系认证证书的；每提供1个得1分，最高得4分。</w:t>
      </w:r>
      <w:r>
        <w:rPr>
          <w:rFonts w:hint="eastAsia" w:ascii="宋体" w:hAnsi="宋体" w:eastAsia="宋体" w:cs="宋体"/>
          <w:b/>
          <w:bCs/>
          <w:sz w:val="24"/>
          <w:szCs w:val="21"/>
        </w:rPr>
        <w:t xml:space="preserve">须提供相应有效认证证书原件扫描并上传，同时还须提供该证书在“国家市场监督管理总局－全国认证认可信息公共服务平台”网站查询到的有效认证截图并签章扫描并上传，否则不得分。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2.3  项目人员配置（9分）</w:t>
      </w:r>
      <w:r/>
    </w:p>
    <w:p>
      <w:pPr>
        <w:ind w:firstLine="482"/>
        <w:spacing w:line="360" w:lineRule="auto"/>
        <w:tabs>
          <w:tab w:val="left" w:pos="945" w:leader="none"/>
          <w:tab w:val="left" w:pos="1155" w:leader="none"/>
        </w:tabs>
        <w:rPr>
          <w:rFonts w:ascii="宋体" w:hAnsi="宋体" w:eastAsia="宋体" w:cs="宋体"/>
          <w:b/>
          <w:bCs/>
          <w:sz w:val="24"/>
          <w:szCs w:val="21"/>
        </w:rPr>
      </w:pPr>
      <w:r>
        <w:rPr>
          <w:rFonts w:hint="eastAsia" w:ascii="宋体" w:hAnsi="宋体" w:eastAsia="宋体" w:cs="宋体"/>
          <w:b/>
          <w:bCs/>
          <w:sz w:val="24"/>
          <w:szCs w:val="21"/>
        </w:rPr>
        <w:t xml:space="preserve">主要考察本项目实施及维护人员的配置情况，投标人</w:t>
      </w:r>
      <w:r>
        <w:rPr>
          <w:rFonts w:hint="eastAsia" w:ascii="宋体" w:hAnsi="宋体" w:eastAsia="宋体" w:cs="宋体"/>
          <w:b/>
          <w:bCs/>
          <w:sz w:val="24"/>
          <w:szCs w:val="21"/>
        </w:rPr>
        <w:t xml:space="preserve">填写</w:t>
      </w:r>
      <w:r>
        <w:rPr>
          <w:rFonts w:hint="eastAsia" w:ascii="宋体" w:hAnsi="宋体" w:eastAsia="宋体" w:cs="宋体"/>
          <w:b/>
          <w:bCs/>
          <w:sz w:val="24"/>
          <w:szCs w:val="21"/>
        </w:rPr>
        <w:t xml:space="preserve">《项目人员配置考察表》并按要求提供证明材料（人员证书和投标人为其缴纳的</w:t>
      </w:r>
      <w:r>
        <w:rPr>
          <w:rFonts w:hint="eastAsia" w:ascii="宋体" w:hAnsi="宋体" w:eastAsia="宋体" w:cs="宋体"/>
          <w:b/>
          <w:bCs/>
          <w:sz w:val="24"/>
          <w:szCs w:val="21"/>
        </w:rPr>
        <w:t xml:space="preserve">近一年中任意一个月份</w:t>
      </w:r>
      <w:r>
        <w:rPr>
          <w:rFonts w:hint="eastAsia" w:ascii="宋体" w:hAnsi="宋体" w:eastAsia="宋体" w:cs="宋体"/>
          <w:b/>
          <w:bCs/>
          <w:sz w:val="24"/>
          <w:szCs w:val="21"/>
        </w:rPr>
        <w:t xml:space="preserve">（不含开标当月)的社保缴纳证明材料）原件扫描上传系统中并签章，不提供或提供不全不得分。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①项目经理（2分）：投标人为本项目配备一名项目经理，具有智能化系统工程师证书的得1分；具有</w:t>
      </w:r>
      <w:r>
        <w:rPr>
          <w:rFonts w:ascii="宋体" w:hAnsi="宋体" w:eastAsia="宋体" w:cs="宋体"/>
          <w:sz w:val="24"/>
          <w:szCs w:val="21"/>
        </w:rPr>
        <w:t xml:space="preserve">ITSS IT</w:t>
      </w:r>
      <w:r>
        <w:rPr>
          <w:rFonts w:hint="eastAsia" w:ascii="宋体" w:hAnsi="宋体" w:eastAsia="宋体" w:cs="宋体"/>
          <w:sz w:val="24"/>
          <w:szCs w:val="21"/>
        </w:rPr>
        <w:t xml:space="preserve">服务项目经理证书的得1分；本项最高2分；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②项目技术负责人（2分）：投标人为本项目配备一名技术负责人，具有信息通信网络运</w:t>
      </w:r>
      <w:r>
        <w:rPr>
          <w:rFonts w:hint="eastAsia" w:ascii="Times New Roman" w:hAnsi="宋体" w:eastAsia="宋体" w:cs="宋体"/>
          <w:bCs/>
          <w:sz w:val="24"/>
          <w:szCs w:val="21"/>
        </w:rPr>
        <w:t xml:space="preserve">行管理员（信息系统运维）证书</w:t>
      </w:r>
      <w:r>
        <w:rPr>
          <w:rFonts w:hint="eastAsia" w:ascii="宋体" w:hAnsi="宋体" w:eastAsia="宋体" w:cs="宋体"/>
          <w:sz w:val="24"/>
          <w:szCs w:val="21"/>
        </w:rPr>
        <w:t xml:space="preserve">的得1分；具有</w:t>
      </w:r>
      <w:r>
        <w:rPr>
          <w:rFonts w:hint="eastAsia" w:ascii="Times New Roman" w:hAnsi="宋体" w:eastAsia="宋体" w:cs="宋体"/>
          <w:bCs/>
          <w:sz w:val="24"/>
          <w:szCs w:val="21"/>
        </w:rPr>
        <w:t xml:space="preserve">高级网络信息安全工程师证书</w:t>
      </w:r>
      <w:r>
        <w:rPr>
          <w:rFonts w:hint="eastAsia" w:ascii="宋体" w:hAnsi="宋体" w:eastAsia="宋体" w:cs="宋体"/>
          <w:sz w:val="24"/>
          <w:szCs w:val="21"/>
        </w:rPr>
        <w:t xml:space="preserve">的得1分，具有中</w:t>
      </w:r>
      <w:r>
        <w:rPr>
          <w:rFonts w:hint="eastAsia" w:ascii="Times New Roman" w:hAnsi="宋体" w:eastAsia="宋体" w:cs="宋体"/>
          <w:bCs/>
          <w:sz w:val="24"/>
          <w:szCs w:val="21"/>
        </w:rPr>
        <w:t xml:space="preserve">级网络信息安全工程师证书</w:t>
      </w:r>
      <w:r>
        <w:rPr>
          <w:rFonts w:hint="eastAsia" w:ascii="宋体" w:hAnsi="宋体" w:eastAsia="宋体" w:cs="宋体"/>
          <w:sz w:val="24"/>
          <w:szCs w:val="21"/>
        </w:rPr>
        <w:t xml:space="preserve">的得0.5分；本项最高2分；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③项目组成员（5分）：（注：一人多证不得重复计分）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a.拟针对本项目组成员具备系统分析师证书的得2分；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b.拟针对本项目组成员具备CISAW信息安全保障人员认证证书的得2分；</w:t>
      </w:r>
      <w:r/>
    </w:p>
    <w:p>
      <w:pPr>
        <w:ind w:firstLine="482"/>
        <w:spacing w:line="360" w:lineRule="auto"/>
        <w:tabs>
          <w:tab w:val="left" w:pos="945" w:leader="none"/>
          <w:tab w:val="left" w:pos="1155" w:leader="none"/>
        </w:tabs>
        <w:rPr>
          <w:rFonts w:ascii="宋体" w:hAnsi="宋体" w:eastAsia="宋体" w:cs="宋体"/>
          <w:sz w:val="24"/>
          <w:szCs w:val="21"/>
        </w:rPr>
      </w:pPr>
      <w:r>
        <w:rPr>
          <w:rFonts w:hint="eastAsia" w:ascii="宋体" w:hAnsi="宋体" w:eastAsia="宋体" w:cs="宋体"/>
          <w:sz w:val="24"/>
          <w:szCs w:val="21"/>
        </w:rPr>
        <w:t xml:space="preserve">c.拟针对本项目组成员具有网络规划设计师证书的得1分；</w:t>
      </w:r>
      <w:r/>
    </w:p>
    <w:p>
      <w:pPr>
        <w:ind w:firstLine="480"/>
        <w:spacing w:line="360" w:lineRule="auto"/>
        <w:tabs>
          <w:tab w:val="left" w:pos="525" w:leader="none"/>
          <w:tab w:val="left" w:pos="945" w:leader="none"/>
          <w:tab w:val="left" w:pos="1155" w:leader="none"/>
          <w:tab w:val="left" w:pos="3823" w:leader="none"/>
        </w:tabs>
        <w:rPr>
          <w:rFonts w:ascii="宋体" w:hAnsi="宋体" w:eastAsia="宋体" w:cs="宋体"/>
          <w:b/>
          <w:bCs/>
          <w:sz w:val="24"/>
          <w:szCs w:val="24"/>
        </w:rPr>
      </w:pPr>
      <w:r>
        <w:rPr>
          <w:rFonts w:hint="eastAsia" w:ascii="宋体" w:hAnsi="宋体" w:eastAsia="宋体" w:cs="宋体"/>
          <w:b/>
          <w:bCs/>
          <w:sz w:val="24"/>
          <w:szCs w:val="24"/>
        </w:rPr>
        <w:t xml:space="preserve">3.产品技术（15分）：主要考察投标人所投产品的性能指标，满足招标文件要求的基础上，针对以下产品保障和技术能力进行考察：</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（1）投标人所投云平台具有公安部门出具的信息系统安全等级保护备案证明（叁级及以上）</w:t>
      </w:r>
      <w:r>
        <w:rPr>
          <w:rFonts w:hint="eastAsia" w:ascii="宋体" w:hAnsi="宋体" w:eastAsia="宋体" w:cs="宋体"/>
          <w:b/>
          <w:bCs/>
          <w:sz w:val="24"/>
          <w:szCs w:val="21"/>
        </w:rPr>
        <w:t xml:space="preserve">得3分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提供证明材料加盖公章扫描并上传，不提供不得分。</w:t>
      </w:r>
      <w:r/>
    </w:p>
    <w:p>
      <w:pPr>
        <w:ind w:firstLine="480"/>
        <w:spacing w:line="360" w:lineRule="auto"/>
        <w:rPr>
          <w:rFonts w:ascii="宋体" w:hAnsi="宋体" w:eastAsia="宋体" w:cs="宋体"/>
          <w:b/>
          <w:bCs/>
          <w:sz w:val="24"/>
          <w:szCs w:val="21"/>
        </w:rPr>
      </w:pPr>
      <w:r>
        <w:rPr>
          <w:rFonts w:hint="eastAsia" w:ascii="宋体" w:hAnsi="宋体" w:eastAsia="宋体" w:cs="宋体"/>
          <w:sz w:val="24"/>
          <w:szCs w:val="21"/>
        </w:rPr>
        <w:t xml:space="preserve">（2）投标人所投云平台系统基于耦合设计产品架构；支持单独功能升级的同时不影响整体平台运行。如升级订单功能时，不影响云管整体运行，不需要重启整体平台，</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提供单独功能升级时平台仍在运行的截图证明材料扫描并上传，不提供不得分。</w:t>
      </w:r>
      <w:r/>
    </w:p>
    <w:p>
      <w:pPr>
        <w:ind w:firstLine="480"/>
        <w:spacing w:line="360" w:lineRule="auto"/>
        <w:rPr>
          <w:rFonts w:ascii="宋体" w:hAnsi="宋体" w:eastAsia="宋体" w:cs="宋体"/>
          <w:b/>
          <w:bCs/>
          <w:sz w:val="24"/>
          <w:szCs w:val="21"/>
        </w:rPr>
      </w:pPr>
      <w:r>
        <w:rPr>
          <w:rFonts w:hint="eastAsia" w:ascii="宋体" w:hAnsi="宋体" w:eastAsia="宋体" w:cs="宋体"/>
          <w:sz w:val="24"/>
          <w:szCs w:val="21"/>
        </w:rPr>
        <w:t xml:space="preserve">（3）投标人提供裸金属服务，用户可以通过管理界面申请物理服务器运行业务，支持常见的windows、Linux操作系统。用户可以指定要申请的物理服务器的规格、所使用的镜像、所使用的网络、网络所属的安全组、需要绑定的弹性IP以及指定服务器发放完成后登录信息。同时在申请过程中可以为裸金属增加多块数据盘，并设置部分数据盘为共享盘，</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提供功能截图证明材料扫描并上传，不提供不得分。</w:t>
      </w:r>
      <w:r/>
    </w:p>
    <w:p>
      <w:pPr>
        <w:ind w:firstLine="480"/>
        <w:spacing w:line="360" w:lineRule="auto"/>
        <w:rPr>
          <w:rFonts w:ascii="宋体" w:hAnsi="宋体" w:eastAsia="宋体" w:cs="宋体"/>
          <w:b/>
          <w:bCs/>
          <w:sz w:val="24"/>
          <w:szCs w:val="21"/>
        </w:rPr>
      </w:pPr>
      <w:r>
        <w:rPr>
          <w:rFonts w:hint="eastAsia" w:ascii="宋体" w:hAnsi="宋体" w:eastAsia="宋体" w:cs="宋体"/>
          <w:sz w:val="24"/>
          <w:szCs w:val="21"/>
        </w:rPr>
        <w:t xml:space="preserve">（4）投标人提供裸金属服务，支持裸金属服务器的生命周期管理以及相关业务操作，包括裸金属服务器的开关机、重启、删除、监控等操作，同时可以自动完成服务器的操作系统安全、IP地址配置、弹性IP绑定等，</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提供功能截图证明材料扫描并上传，不提供不得分。</w:t>
      </w:r>
      <w:r/>
    </w:p>
    <w:p>
      <w:pPr>
        <w:ind w:firstLine="480"/>
        <w:spacing w:line="360" w:lineRule="auto"/>
        <w:rPr>
          <w:rFonts w:ascii="宋体" w:hAnsi="宋体" w:eastAsia="宋体" w:cs="宋体"/>
          <w:b/>
          <w:bCs/>
          <w:sz w:val="24"/>
          <w:szCs w:val="21"/>
        </w:rPr>
      </w:pPr>
      <w:r>
        <w:rPr>
          <w:rFonts w:hint="eastAsia" w:ascii="宋体" w:hAnsi="宋体" w:eastAsia="宋体" w:cs="宋体"/>
          <w:sz w:val="24"/>
          <w:szCs w:val="21"/>
        </w:rPr>
        <w:t xml:space="preserve">（5）投标人提供裸金属服务，支持为裸金属提供云硬盘服务，用户可以在申请裸金属的同一个服务管理界面（不需要登录存储管理界面）自助为裸金属挂载存储空间并且支持同时挂载给两台不同的裸金属服务器，支持数据库等集群场景对共享存储的需求，</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提供功能截图证明材料扫描并上传，不提供不得分。</w:t>
      </w:r>
      <w:r/>
    </w:p>
    <w:p>
      <w:pPr>
        <w:ind w:firstLine="480"/>
        <w:spacing w:line="360" w:lineRule="auto"/>
        <w:rPr>
          <w:rFonts w:ascii="宋体" w:hAnsi="宋体" w:eastAsia="宋体" w:cs="宋体"/>
          <w:b/>
          <w:bCs/>
          <w:sz w:val="24"/>
          <w:szCs w:val="21"/>
        </w:rPr>
      </w:pPr>
      <w:r>
        <w:rPr>
          <w:rFonts w:hint="eastAsia" w:ascii="宋体" w:hAnsi="宋体" w:eastAsia="宋体" w:cs="宋体"/>
          <w:sz w:val="24"/>
          <w:szCs w:val="21"/>
        </w:rPr>
        <w:t xml:space="preserve">（6）投标人提供裸金属服务，支持为裸金属配置高速网络。高速网络是裸金属内部网络，为同一租户的裸金属节点之间提供带宽不受限制的二层网络。裸金属服务器高速网络带宽支持的最大值为裸金属网卡实际带宽，如10Gbit/s，25Gbit/s，</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提供功能截图证明材料，扫描并上传，不提供不得分。</w:t>
      </w:r>
      <w:r/>
    </w:p>
    <w:p>
      <w:pPr>
        <w:ind w:firstLine="480"/>
        <w:spacing w:line="360" w:lineRule="auto"/>
        <w:rPr>
          <w:rFonts w:ascii="宋体" w:hAnsi="宋体" w:cs="宋体"/>
          <w:sz w:val="24"/>
        </w:rPr>
      </w:pPr>
      <w:r>
        <w:rPr>
          <w:rFonts w:hint="eastAsia" w:ascii="宋体" w:hAnsi="宋体" w:eastAsia="宋体" w:cs="宋体"/>
          <w:sz w:val="24"/>
          <w:szCs w:val="21"/>
        </w:rPr>
        <w:t xml:space="preserve">（7）投标人提供裸金属服务，裸金属服务器支持用户通过控制台自助发放，</w:t>
      </w:r>
      <w:r>
        <w:rPr>
          <w:rFonts w:hint="eastAsia" w:ascii="宋体" w:hAnsi="宋体" w:eastAsia="宋体" w:cs="宋体"/>
          <w:b/>
          <w:bCs/>
          <w:sz w:val="24"/>
          <w:szCs w:val="21"/>
        </w:rPr>
        <w:t xml:space="preserve">得2分</w:t>
      </w:r>
      <w:r>
        <w:rPr>
          <w:rFonts w:hint="eastAsia" w:ascii="宋体" w:hAnsi="宋体" w:eastAsia="宋体" w:cs="宋体"/>
          <w:sz w:val="24"/>
          <w:szCs w:val="21"/>
        </w:rPr>
        <w:t xml:space="preserve">。</w:t>
      </w:r>
      <w:r>
        <w:rPr>
          <w:rFonts w:hint="eastAsia" w:ascii="宋体" w:hAnsi="宋体" w:eastAsia="宋体" w:cs="宋体"/>
          <w:b/>
          <w:bCs/>
          <w:sz w:val="24"/>
          <w:szCs w:val="21"/>
        </w:rPr>
        <w:t xml:space="preserve">提供功能截图证明材料扫描并上传，不提供不得分。</w:t>
      </w:r>
      <w:r/>
    </w:p>
    <w:p>
      <w:pPr>
        <w:ind w:firstLine="482"/>
        <w:spacing w:line="360" w:lineRule="auto"/>
        <w:tabs>
          <w:tab w:val="left" w:pos="945" w:leader="none"/>
          <w:tab w:val="left" w:pos="1155" w:leader="none"/>
          <w:tab w:val="left" w:pos="3823" w:leader="none"/>
        </w:tabs>
        <w:rPr>
          <w:rFonts w:ascii="宋体" w:hAnsi="宋体" w:cs="宋体"/>
          <w:b/>
          <w:bCs/>
          <w:sz w:val="24"/>
        </w:rPr>
      </w:pPr>
      <w:r>
        <w:rPr>
          <w:rFonts w:hint="eastAsia" w:ascii="宋体" w:hAnsi="宋体" w:cs="宋体"/>
          <w:b/>
          <w:bCs/>
          <w:sz w:val="24"/>
        </w:rPr>
        <w:t xml:space="preserve">4.服务方案（40分）（暗标)</w:t>
      </w:r>
      <w:r/>
    </w:p>
    <w:p>
      <w:pPr>
        <w:pStyle w:val="1110"/>
        <w:ind w:firstLine="422"/>
        <w:spacing w:before="0" w:after="0" w:line="360" w:lineRule="auto"/>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ind w:firstLine="482"/>
        <w:jc w:val="left"/>
        <w:spacing w:line="360" w:lineRule="auto"/>
        <w:tabs>
          <w:tab w:val="left" w:pos="945" w:leader="none"/>
          <w:tab w:val="left" w:pos="1155" w:leader="none"/>
          <w:tab w:val="left" w:pos="3823" w:leader="none"/>
        </w:tabs>
        <w:rPr>
          <w:rFonts w:ascii="宋体" w:hAnsi="宋体" w:eastAsia="宋体" w:cs="宋体"/>
          <w:b/>
          <w:bCs/>
          <w:sz w:val="24"/>
          <w:szCs w:val="24"/>
        </w:rPr>
      </w:pPr>
      <w:r>
        <w:rPr>
          <w:rFonts w:hint="eastAsia" w:ascii="宋体" w:hAnsi="宋体" w:eastAsia="宋体" w:cs="宋体"/>
          <w:bCs/>
          <w:sz w:val="24"/>
          <w:szCs w:val="24"/>
        </w:rPr>
        <w:t xml:space="preserve">考察投标人项目技术方案，在响应采购文件需求的基础上针对下列各部分进行评价，要求体现科学合理性、条理性、可行性、完善性、针对性，无方案不得分。</w:t>
      </w:r>
      <w:r/>
    </w:p>
    <w:p>
      <w:pPr>
        <w:pStyle w:val="765"/>
        <w:ind w:firstLine="482"/>
        <w:spacing w:before="0" w:beforeAutospacing="0" w:after="0" w:afterAutospacing="0" w:line="360" w:lineRule="auto"/>
        <w:widowControl w:val="off"/>
      </w:pPr>
      <w:r>
        <w:rPr>
          <w:rFonts w:hint="eastAsia"/>
        </w:rPr>
        <w:t xml:space="preserve">（1）政务云整体架构方案（6分）：根据投标人提供的政务云整体架构方案打分，考察其对项目整体架构需求理解是否全面深入，是否贴合采购人的需求、针对性强，对项目建设重点、难点的理解深刻并能给出解决对策。</w:t>
      </w:r>
      <w:r/>
    </w:p>
    <w:p>
      <w:pPr>
        <w:pStyle w:val="765"/>
        <w:ind w:firstLine="482"/>
        <w:spacing w:before="0" w:beforeAutospacing="0" w:after="0" w:afterAutospacing="0" w:line="360" w:lineRule="auto"/>
        <w:widowControl w:val="off"/>
      </w:pPr>
      <w:r>
        <w:rPr>
          <w:rFonts w:hint="eastAsia"/>
        </w:rPr>
        <w:t xml:space="preserve">整体架构方案详细清晰，全面性、科学性、针对性强的得6分；</w:t>
      </w:r>
      <w:r/>
    </w:p>
    <w:p>
      <w:pPr>
        <w:pStyle w:val="765"/>
        <w:ind w:firstLine="482"/>
        <w:spacing w:before="0" w:beforeAutospacing="0" w:after="0" w:afterAutospacing="0" w:line="360" w:lineRule="auto"/>
        <w:widowControl w:val="off"/>
      </w:pPr>
      <w:r>
        <w:rPr>
          <w:rFonts w:hint="eastAsia"/>
        </w:rPr>
        <w:t xml:space="preserve">整体架构方案较详细清晰，全面性、科学性、针对性较强的得4分；</w:t>
      </w:r>
      <w:r/>
    </w:p>
    <w:p>
      <w:pPr>
        <w:pStyle w:val="765"/>
        <w:ind w:firstLine="482"/>
        <w:spacing w:before="0" w:beforeAutospacing="0" w:after="0" w:afterAutospacing="0" w:line="360" w:lineRule="auto"/>
        <w:widowControl w:val="off"/>
      </w:pPr>
      <w:r>
        <w:rPr>
          <w:rFonts w:hint="eastAsia"/>
        </w:rPr>
        <w:t xml:space="preserve">整体架构方案一般的得2分；</w:t>
      </w:r>
      <w:r/>
    </w:p>
    <w:p>
      <w:pPr>
        <w:pStyle w:val="765"/>
        <w:ind w:firstLine="482"/>
        <w:spacing w:before="0" w:beforeAutospacing="0" w:after="0" w:afterAutospacing="0" w:line="360" w:lineRule="auto"/>
        <w:widowControl w:val="off"/>
      </w:pPr>
      <w:r>
        <w:rPr>
          <w:rFonts w:hint="eastAsia"/>
        </w:rPr>
        <w:t xml:space="preserve">未提供方案的不得分。</w:t>
      </w:r>
      <w:r/>
    </w:p>
    <w:p>
      <w:pPr>
        <w:pStyle w:val="765"/>
        <w:ind w:firstLine="482"/>
        <w:spacing w:before="0" w:beforeAutospacing="0" w:after="0" w:afterAutospacing="0" w:line="360" w:lineRule="auto"/>
        <w:widowControl w:val="off"/>
      </w:pPr>
      <w:r>
        <w:rPr>
          <w:rFonts w:hint="eastAsia"/>
        </w:rPr>
        <w:t xml:space="preserve">（2）云资源服务方案（8分）：根据投标人提供的本项目云资源服务方案打分，考察建设方案完整性，总体架构的科学合理性，技术路线的可行性、先进性、可扩展性，外部系统接口设计的完整性。</w:t>
      </w:r>
      <w:r/>
    </w:p>
    <w:p>
      <w:pPr>
        <w:pStyle w:val="765"/>
        <w:ind w:firstLine="482"/>
        <w:spacing w:before="0" w:beforeAutospacing="0" w:after="0" w:afterAutospacing="0" w:line="360" w:lineRule="auto"/>
        <w:widowControl w:val="off"/>
      </w:pPr>
      <w:r>
        <w:rPr>
          <w:rFonts w:hint="eastAsia"/>
        </w:rPr>
        <w:t xml:space="preserve">方案详细清晰，全面性、科学性、针对性强的得8分；</w:t>
      </w:r>
      <w:r/>
    </w:p>
    <w:p>
      <w:pPr>
        <w:pStyle w:val="765"/>
        <w:ind w:firstLine="482"/>
        <w:spacing w:before="0" w:beforeAutospacing="0" w:after="0" w:afterAutospacing="0" w:line="360" w:lineRule="auto"/>
        <w:widowControl w:val="off"/>
      </w:pPr>
      <w:r>
        <w:rPr>
          <w:rFonts w:hint="eastAsia"/>
        </w:rPr>
        <w:t xml:space="preserve">方案较详细清晰，全面性、科学性、针对性较强的得5分；</w:t>
      </w:r>
      <w:r/>
    </w:p>
    <w:p>
      <w:pPr>
        <w:pStyle w:val="765"/>
        <w:ind w:firstLine="482"/>
        <w:spacing w:before="0" w:beforeAutospacing="0" w:after="0" w:afterAutospacing="0" w:line="360" w:lineRule="auto"/>
        <w:widowControl w:val="off"/>
      </w:pPr>
      <w:r>
        <w:rPr>
          <w:rFonts w:hint="eastAsia"/>
        </w:rPr>
        <w:t xml:space="preserve">方案一般的得3分；</w:t>
      </w:r>
      <w:r/>
    </w:p>
    <w:p>
      <w:pPr>
        <w:pStyle w:val="765"/>
        <w:ind w:firstLine="482"/>
        <w:spacing w:before="0" w:beforeAutospacing="0" w:after="0" w:afterAutospacing="0" w:line="360" w:lineRule="auto"/>
        <w:widowControl w:val="off"/>
      </w:pPr>
      <w:r>
        <w:rPr>
          <w:rFonts w:hint="eastAsia"/>
        </w:rPr>
        <w:t xml:space="preserve">未提供方案的不得分。</w:t>
      </w:r>
      <w:r/>
    </w:p>
    <w:p>
      <w:pPr>
        <w:pStyle w:val="765"/>
        <w:ind w:firstLine="482"/>
        <w:spacing w:before="0" w:beforeAutospacing="0" w:after="0" w:afterAutospacing="0" w:line="360" w:lineRule="auto"/>
        <w:widowControl w:val="off"/>
      </w:pPr>
      <w:r>
        <w:rPr>
          <w:rFonts w:hint="eastAsia"/>
        </w:rPr>
        <w:t xml:space="preserve">（3）系统安全服务方案（8分）：根据投标人提供的本项目系统安全服务方案打分，考察项目应用安全、数据安全、主机安全、网络安全等内容。</w:t>
      </w:r>
      <w:r/>
    </w:p>
    <w:p>
      <w:pPr>
        <w:pStyle w:val="765"/>
        <w:ind w:firstLine="482"/>
        <w:spacing w:before="0" w:beforeAutospacing="0" w:after="0" w:afterAutospacing="0" w:line="360" w:lineRule="auto"/>
        <w:widowControl w:val="off"/>
      </w:pPr>
      <w:r>
        <w:rPr>
          <w:rFonts w:hint="eastAsia"/>
        </w:rPr>
        <w:t xml:space="preserve">方案详细清晰，全面性、科学性、针对性强的得8分；</w:t>
      </w:r>
      <w:r/>
    </w:p>
    <w:p>
      <w:pPr>
        <w:pStyle w:val="765"/>
        <w:ind w:firstLine="482"/>
        <w:spacing w:before="0" w:beforeAutospacing="0" w:after="0" w:afterAutospacing="0" w:line="360" w:lineRule="auto"/>
        <w:widowControl w:val="off"/>
      </w:pPr>
      <w:r>
        <w:rPr>
          <w:rFonts w:hint="eastAsia"/>
        </w:rPr>
        <w:t xml:space="preserve">方案较详细清晰，全面性、科学性、针对性较强的得5分；</w:t>
      </w:r>
      <w:r/>
    </w:p>
    <w:p>
      <w:pPr>
        <w:pStyle w:val="765"/>
        <w:ind w:firstLine="482"/>
        <w:spacing w:before="0" w:beforeAutospacing="0" w:after="0" w:afterAutospacing="0" w:line="360" w:lineRule="auto"/>
        <w:widowControl w:val="off"/>
      </w:pPr>
      <w:r>
        <w:rPr>
          <w:rFonts w:hint="eastAsia"/>
        </w:rPr>
        <w:t xml:space="preserve">方案一般的得3分；</w:t>
      </w:r>
      <w:r/>
    </w:p>
    <w:p>
      <w:pPr>
        <w:pStyle w:val="765"/>
        <w:ind w:firstLine="482"/>
        <w:spacing w:before="0" w:beforeAutospacing="0" w:after="0" w:afterAutospacing="0" w:line="360" w:lineRule="auto"/>
        <w:widowControl w:val="off"/>
      </w:pPr>
      <w:r>
        <w:rPr>
          <w:rFonts w:hint="eastAsia"/>
        </w:rPr>
        <w:t xml:space="preserve">未提供方案的不得分。</w:t>
      </w:r>
      <w:r/>
    </w:p>
    <w:p>
      <w:pPr>
        <w:pStyle w:val="765"/>
        <w:ind w:firstLine="482"/>
        <w:spacing w:before="0" w:beforeAutospacing="0" w:after="0" w:afterAutospacing="0" w:line="360" w:lineRule="auto"/>
        <w:widowControl w:val="off"/>
      </w:pPr>
      <w:r>
        <w:rPr>
          <w:rFonts w:hint="eastAsia"/>
        </w:rPr>
        <w:t xml:space="preserve">（4）验收方案（6分）：根据投标人针对本项目的验收方案及计划是否完善且可实施等方面综合评审；</w:t>
      </w:r>
      <w:r/>
    </w:p>
    <w:p>
      <w:pPr>
        <w:pStyle w:val="765"/>
        <w:ind w:firstLine="482"/>
        <w:spacing w:before="0" w:beforeAutospacing="0" w:after="0" w:afterAutospacing="0" w:line="360" w:lineRule="auto"/>
        <w:widowControl w:val="off"/>
      </w:pPr>
      <w:r>
        <w:rPr>
          <w:rFonts w:hint="eastAsia"/>
        </w:rPr>
        <w:t xml:space="preserve">方案详细清晰，全面性、科学性、针对性强的得6分；</w:t>
      </w:r>
      <w:r/>
    </w:p>
    <w:p>
      <w:pPr>
        <w:pStyle w:val="765"/>
        <w:ind w:firstLine="482"/>
        <w:spacing w:before="0" w:beforeAutospacing="0" w:after="0" w:afterAutospacing="0" w:line="360" w:lineRule="auto"/>
        <w:widowControl w:val="off"/>
      </w:pPr>
      <w:r>
        <w:rPr>
          <w:rFonts w:hint="eastAsia"/>
        </w:rPr>
        <w:t xml:space="preserve">方案较详细清晰，全面性、科学性、针对性较强的得4分；</w:t>
      </w:r>
      <w:r/>
    </w:p>
    <w:p>
      <w:pPr>
        <w:pStyle w:val="765"/>
        <w:ind w:firstLine="482"/>
        <w:spacing w:before="0" w:beforeAutospacing="0" w:after="0" w:afterAutospacing="0" w:line="360" w:lineRule="auto"/>
        <w:widowControl w:val="off"/>
      </w:pPr>
      <w:r>
        <w:rPr>
          <w:rFonts w:hint="eastAsia"/>
        </w:rPr>
        <w:t xml:space="preserve">方案一般的得2分；</w:t>
      </w:r>
      <w:r/>
    </w:p>
    <w:p>
      <w:pPr>
        <w:pStyle w:val="765"/>
        <w:ind w:firstLine="482"/>
        <w:spacing w:before="0" w:beforeAutospacing="0" w:after="0" w:afterAutospacing="0" w:line="360" w:lineRule="auto"/>
        <w:widowControl w:val="off"/>
      </w:pPr>
      <w:r>
        <w:rPr>
          <w:rFonts w:hint="eastAsia"/>
        </w:rPr>
        <w:t xml:space="preserve">未提供方案的不得分。</w:t>
      </w:r>
      <w:r/>
    </w:p>
    <w:p>
      <w:pPr>
        <w:pStyle w:val="765"/>
        <w:ind w:firstLine="482"/>
        <w:spacing w:before="0" w:beforeAutospacing="0" w:after="0" w:afterAutospacing="0" w:line="360" w:lineRule="auto"/>
        <w:widowControl w:val="off"/>
      </w:pPr>
      <w:r>
        <w:rPr>
          <w:rFonts w:hint="eastAsia"/>
        </w:rPr>
        <w:t xml:space="preserve">（5）培训方案（6分）：根据提供的免费培训服务，培训方案的针对性，培训内容及培训课程安排的合理性等方面综合评审；</w:t>
      </w:r>
      <w:r/>
    </w:p>
    <w:p>
      <w:pPr>
        <w:pStyle w:val="765"/>
        <w:ind w:firstLine="482"/>
        <w:spacing w:before="0" w:beforeAutospacing="0" w:after="0" w:afterAutospacing="0" w:line="360" w:lineRule="auto"/>
        <w:widowControl w:val="off"/>
      </w:pPr>
      <w:r>
        <w:rPr>
          <w:rFonts w:hint="eastAsia"/>
        </w:rPr>
        <w:t xml:space="preserve">方案详细清晰，全面性、科学性、针对性强的得6分；</w:t>
      </w:r>
      <w:r/>
    </w:p>
    <w:p>
      <w:pPr>
        <w:pStyle w:val="765"/>
        <w:ind w:firstLine="482"/>
        <w:spacing w:before="0" w:beforeAutospacing="0" w:after="0" w:afterAutospacing="0" w:line="360" w:lineRule="auto"/>
        <w:widowControl w:val="off"/>
      </w:pPr>
      <w:r>
        <w:rPr>
          <w:rFonts w:hint="eastAsia"/>
        </w:rPr>
        <w:t xml:space="preserve">方案较详细清晰，全面性、科学性、针对性较强的得4分；</w:t>
      </w:r>
      <w:r/>
    </w:p>
    <w:p>
      <w:pPr>
        <w:pStyle w:val="765"/>
        <w:ind w:firstLine="482"/>
        <w:spacing w:before="0" w:beforeAutospacing="0" w:after="0" w:afterAutospacing="0" w:line="360" w:lineRule="auto"/>
        <w:widowControl w:val="off"/>
      </w:pPr>
      <w:r>
        <w:rPr>
          <w:rFonts w:hint="eastAsia"/>
        </w:rPr>
        <w:t xml:space="preserve">方案一般的得2分；</w:t>
      </w:r>
      <w:r/>
    </w:p>
    <w:p>
      <w:pPr>
        <w:pStyle w:val="765"/>
        <w:ind w:firstLine="482"/>
        <w:spacing w:before="0" w:beforeAutospacing="0" w:after="0" w:afterAutospacing="0" w:line="360" w:lineRule="auto"/>
        <w:widowControl w:val="off"/>
      </w:pPr>
      <w:r>
        <w:rPr>
          <w:rFonts w:hint="eastAsia"/>
        </w:rPr>
        <w:t xml:space="preserve">未提供方案的不得分。</w:t>
      </w:r>
      <w:r/>
    </w:p>
    <w:p>
      <w:pPr>
        <w:pStyle w:val="765"/>
        <w:ind w:firstLine="482"/>
        <w:spacing w:before="0" w:beforeAutospacing="0" w:after="0" w:afterAutospacing="0" w:line="360" w:lineRule="auto"/>
        <w:widowControl w:val="off"/>
      </w:pPr>
      <w:r>
        <w:rPr>
          <w:rFonts w:hint="eastAsia"/>
        </w:rPr>
        <w:t xml:space="preserve">（6）售后服务方案（6分）：根据投标人提供的售后服务方案，包括售后服务的内容和详细方案合理性、科学性、备件备品、故障响应时间、重大故障的应急预案和措施等情况综合评审。</w:t>
      </w:r>
      <w:r/>
    </w:p>
    <w:p>
      <w:pPr>
        <w:pStyle w:val="765"/>
        <w:ind w:firstLine="482"/>
        <w:spacing w:before="0" w:beforeAutospacing="0" w:after="0" w:afterAutospacing="0" w:line="360" w:lineRule="auto"/>
        <w:widowControl w:val="off"/>
      </w:pPr>
      <w:r>
        <w:rPr>
          <w:rFonts w:hint="eastAsia"/>
        </w:rPr>
        <w:t xml:space="preserve">方案详细清晰，全面性、科学性、针对性强的得6分；</w:t>
      </w:r>
      <w:r/>
    </w:p>
    <w:p>
      <w:pPr>
        <w:pStyle w:val="765"/>
        <w:ind w:firstLine="482"/>
        <w:spacing w:before="0" w:beforeAutospacing="0" w:after="0" w:afterAutospacing="0" w:line="360" w:lineRule="auto"/>
        <w:widowControl w:val="off"/>
      </w:pPr>
      <w:r>
        <w:rPr>
          <w:rFonts w:hint="eastAsia"/>
        </w:rPr>
        <w:t xml:space="preserve">方案较详细清晰，全面性、科学性、针对性较强的得4分；</w:t>
      </w:r>
      <w:r/>
    </w:p>
    <w:p>
      <w:pPr>
        <w:pStyle w:val="765"/>
        <w:ind w:firstLine="482"/>
        <w:spacing w:before="0" w:beforeAutospacing="0" w:after="0" w:afterAutospacing="0" w:line="360" w:lineRule="auto"/>
        <w:widowControl w:val="off"/>
      </w:pPr>
      <w:r>
        <w:rPr>
          <w:rFonts w:hint="eastAsia"/>
        </w:rPr>
        <w:t xml:space="preserve">方案一般的得2分；</w:t>
      </w:r>
      <w:r/>
    </w:p>
    <w:p>
      <w:pPr>
        <w:jc w:val="left"/>
        <w:spacing w:line="360" w:lineRule="auto"/>
        <w:widowControl/>
      </w:pPr>
      <w:r>
        <w:rPr>
          <w:rFonts w:hint="eastAsia" w:ascii="宋体" w:hAnsi="宋体" w:eastAsia="宋体" w:cs="Times New Roman"/>
          <w:szCs w:val="21"/>
        </w:rPr>
        <w:t xml:space="preserve">未提供方案的不得分。</w:t>
      </w:r>
      <w:r/>
    </w:p>
    <w:p>
      <w:pPr>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
    </w:p>
    <w:p>
      <w:pPr>
        <w:ind w:firstLine="210"/>
        <w:spacing w:line="360" w:lineRule="auto"/>
        <w:pBdr>
          <w:top w:val="none" w:color="000000" w:sz="0" w:space="0"/>
          <w:left w:val="none" w:color="000000" w:sz="0" w:space="0"/>
          <w:bottom w:val="none" w:color="000000" w:sz="0" w:space="0"/>
          <w:right w:val="none" w:color="000000" w:sz="0" w:space="0"/>
        </w:pBdr>
      </w:pPr>
      <w:r/>
      <w:r/>
    </w:p>
    <w:p>
      <w:pPr>
        <w:spacing w:line="360" w:lineRule="auto"/>
        <w:rPr>
          <w:rFonts w:ascii="宋体" w:hAnsi="宋体"/>
          <w:sz w:val="24"/>
        </w:rPr>
      </w:pPr>
      <w:r>
        <w:rPr>
          <w:rFonts w:ascii="宋体" w:hAnsi="宋体"/>
          <w:sz w:val="24"/>
        </w:rPr>
      </w:r>
      <w:r/>
    </w:p>
    <w:p>
      <w:pPr>
        <w:jc w:val="center"/>
        <w:spacing w:line="360" w:lineRule="auto"/>
        <w:rPr>
          <w:rFonts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49"/>
      <w:r/>
      <w:bookmarkEnd w:id="150"/>
      <w:r/>
      <w:bookmarkEnd w:id="165"/>
      <w:r>
        <w:rPr>
          <w:rFonts w:hint="eastAsia" w:ascii="黑体" w:eastAsia="黑体"/>
          <w:bCs/>
          <w:sz w:val="36"/>
          <w:szCs w:val="36"/>
        </w:rPr>
        <w:t xml:space="preserve">投标文件内容与格式</w:t>
      </w:r>
      <w:r/>
    </w:p>
    <w:p>
      <w:pPr>
        <w:pStyle w:val="1110"/>
        <w:ind w:firstLine="602"/>
        <w:spacing w:before="0" w:after="0" w:line="360" w:lineRule="auto"/>
        <w:rPr>
          <w:rFonts w:cs="Arial"/>
          <w:b/>
          <w:sz w:val="30"/>
          <w:szCs w:val="30"/>
        </w:rPr>
      </w:pPr>
      <w:r/>
      <w:bookmarkStart w:id="168" w:name="_Hlt26671244"/>
      <w:r/>
      <w:bookmarkEnd w:id="168"/>
      <w:r/>
      <w:bookmarkStart w:id="169" w:name="_Hlt26955039"/>
      <w:r/>
      <w:bookmarkEnd w:id="169"/>
      <w:r>
        <w:rPr>
          <w:rFonts w:hint="eastAsia" w:cs="Arial"/>
          <w:b/>
          <w:sz w:val="30"/>
          <w:szCs w:val="30"/>
        </w:rPr>
        <w:t xml:space="preserve">第一部分  投标文件内容</w:t>
      </w:r>
      <w:r/>
    </w:p>
    <w:p>
      <w:pPr>
        <w:pStyle w:val="1110"/>
        <w:ind w:firstLine="0"/>
        <w:spacing w:before="0" w:after="0" w:line="360" w:lineRule="auto"/>
        <w:rPr>
          <w:rFonts w:cs="Arial"/>
          <w:b/>
          <w:sz w:val="28"/>
          <w:szCs w:val="28"/>
        </w:rPr>
      </w:pPr>
      <w:r>
        <w:rPr>
          <w:b/>
          <w:sz w:val="28"/>
          <w:szCs w:val="28"/>
        </w:rPr>
        <w:t xml:space="preserve">一、</w:t>
      </w:r>
      <w:r>
        <w:rPr>
          <w:rFonts w:hint="eastAsia"/>
          <w:b/>
          <w:sz w:val="28"/>
          <w:szCs w:val="28"/>
        </w:rPr>
        <w:t xml:space="preserve">资格证明文件</w:t>
      </w:r>
      <w:r/>
    </w:p>
    <w:tbl>
      <w:tblPr>
        <w:tblStyle w:val="7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10"/>
              <w:ind w:firstLine="0"/>
              <w:jc w:val="center"/>
              <w:spacing w:before="0" w:after="0" w:line="36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10"/>
              <w:jc w:val="center"/>
              <w:spacing w:before="0" w:after="0" w:line="36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10"/>
              <w:ind w:firstLine="0"/>
              <w:jc w:val="center"/>
              <w:spacing w:before="0" w:after="0" w:line="36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10"/>
              <w:ind w:firstLine="0"/>
              <w:spacing w:before="0" w:after="0" w:line="36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10"/>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04"/>
                <w:rFonts w:hint="eastAsia" w:ascii="宋体" w:hAnsi="宋体" w:cs="宋体"/>
              </w:rPr>
              <w:t xml:space="preserve">。</w:t>
            </w:r>
            <w:r/>
          </w:p>
        </w:tc>
        <w:tc>
          <w:tcPr>
            <w:tcW w:w="2449" w:type="dxa"/>
            <w:vAlign w:val="center"/>
            <w:vMerge w:val="continue"/>
            <w:textDirection w:val="lrTb"/>
            <w:noWrap w:val="false"/>
          </w:tcPr>
          <w:p>
            <w:pPr>
              <w:pStyle w:val="1110"/>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10"/>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10"/>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10"/>
              <w:ind w:firstLine="0"/>
              <w:jc w:val="both"/>
              <w:spacing w:before="0" w:after="0" w:line="36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10"/>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110"/>
              <w:ind w:firstLine="0"/>
              <w:jc w:val="center"/>
              <w:spacing w:before="0" w:after="0" w:line="360" w:lineRule="auto"/>
              <w:rPr>
                <w:rFonts w:ascii="宋体" w:hAnsi="宋体" w:cs="宋体"/>
              </w:rPr>
            </w:pPr>
            <w:r>
              <w:rPr>
                <w:rFonts w:hint="eastAsia" w:ascii="宋体" w:hAnsi="宋体" w:cs="宋体"/>
              </w:rPr>
              <w:t xml:space="preserve">7</w:t>
            </w:r>
            <w:r/>
          </w:p>
        </w:tc>
        <w:tc>
          <w:tcPr>
            <w:tcW w:w="6104" w:type="dxa"/>
            <w:vAlign w:val="center"/>
            <w:textDirection w:val="lrTb"/>
            <w:noWrap w:val="false"/>
          </w:tcPr>
          <w:p>
            <w:pPr>
              <w:pStyle w:val="1110"/>
              <w:ind w:firstLine="0"/>
              <w:spacing w:before="0" w:after="0" w:line="360" w:lineRule="auto"/>
              <w:rPr>
                <w:rFonts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110"/>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10"/>
              <w:ind w:firstLine="0"/>
              <w:jc w:val="center"/>
              <w:spacing w:before="0" w:after="0" w:line="36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10"/>
              <w:ind w:firstLine="0"/>
              <w:jc w:val="both"/>
              <w:spacing w:before="0" w:after="0" w:line="36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1110"/>
              <w:ind w:firstLine="0"/>
              <w:spacing w:before="0" w:after="0" w:line="36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10"/>
              <w:ind w:firstLine="0"/>
              <w:jc w:val="center"/>
              <w:spacing w:before="0" w:after="0" w:line="36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110"/>
              <w:ind w:firstLine="0"/>
              <w:spacing w:before="0" w:after="0" w:line="360" w:lineRule="auto"/>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11"/>
        </w:numPr>
        <w:ind w:firstLine="480"/>
        <w:spacing w:line="360" w:lineRule="auto"/>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360" w:lineRule="auto"/>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numPr>
          <w:ilvl w:val="0"/>
          <w:numId w:val="10"/>
        </w:numPr>
        <w:ind w:firstLine="360"/>
        <w:spacing w:line="360" w:lineRule="auto"/>
        <w:rPr>
          <w:b/>
          <w:sz w:val="28"/>
          <w:szCs w:val="28"/>
        </w:rPr>
      </w:pPr>
      <w:r>
        <w:rPr>
          <w:rFonts w:hint="eastAsia" w:ascii="宋体" w:hAnsi="宋体"/>
        </w:rPr>
        <w:br w:type="page" w:clear="all"/>
      </w:r>
      <w:r>
        <w:rPr>
          <w:rFonts w:hint="eastAsia"/>
          <w:b/>
          <w:sz w:val="28"/>
          <w:szCs w:val="28"/>
        </w:rPr>
        <w:t xml:space="preserve">符合性证明文件及其他证明文件</w:t>
      </w:r>
      <w:r/>
    </w:p>
    <w:p>
      <w:pPr>
        <w:spacing w:line="360" w:lineRule="auto"/>
        <w:rPr>
          <w:b/>
          <w:sz w:val="28"/>
          <w:szCs w:val="28"/>
        </w:rPr>
      </w:pPr>
      <w:r>
        <w:rPr>
          <w:rFonts w:hint="eastAsia"/>
          <w:b/>
          <w:color w:val="000000"/>
          <w:sz w:val="28"/>
          <w:szCs w:val="28"/>
        </w:rPr>
        <w:t xml:space="preserve">（一）符合性证明文件</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110"/>
              <w:ind w:firstLine="0"/>
              <w:jc w:val="center"/>
              <w:spacing w:before="0" w:after="0" w:line="360" w:lineRule="auto"/>
              <w:rPr>
                <w:rFonts w:cs="Arial"/>
                <w:b/>
                <w:color w:val="000000"/>
              </w:rPr>
            </w:pPr>
            <w:r>
              <w:rPr>
                <w:rFonts w:hint="eastAsia" w:cs="Arial"/>
                <w:b/>
                <w:color w:val="000000"/>
              </w:rPr>
              <w:t xml:space="preserve">序号</w:t>
            </w:r>
            <w:r/>
          </w:p>
        </w:tc>
        <w:tc>
          <w:tcPr>
            <w:tcW w:w="6095" w:type="dxa"/>
            <w:vAlign w:val="center"/>
            <w:textDirection w:val="lrTb"/>
            <w:noWrap/>
          </w:tcPr>
          <w:p>
            <w:pPr>
              <w:pStyle w:val="1110"/>
              <w:ind w:firstLine="0"/>
              <w:jc w:val="center"/>
              <w:spacing w:before="0" w:after="0" w:line="360" w:lineRule="auto"/>
              <w:rPr>
                <w:rFonts w:cs="Arial"/>
                <w:b/>
                <w:color w:val="000000"/>
              </w:rPr>
            </w:pPr>
            <w:r>
              <w:rPr>
                <w:rFonts w:hint="eastAsia" w:ascii="宋体" w:hAnsi="宋体" w:cs="宋体"/>
                <w:b/>
                <w:color w:val="000000"/>
              </w:rPr>
              <w:t xml:space="preserve">评审项目及评审要求</w:t>
            </w:r>
            <w:r/>
          </w:p>
        </w:tc>
        <w:tc>
          <w:tcPr>
            <w:tcW w:w="1979" w:type="dxa"/>
            <w:vAlign w:val="center"/>
            <w:textDirection w:val="lrTb"/>
            <w:noWrap/>
          </w:tcPr>
          <w:p>
            <w:pPr>
              <w:pStyle w:val="1110"/>
              <w:ind w:firstLine="0"/>
              <w:jc w:val="center"/>
              <w:spacing w:before="0" w:after="0" w:line="36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tcPr>
          <w:p>
            <w:pPr>
              <w:pStyle w:val="1110"/>
              <w:ind w:firstLine="0"/>
              <w:jc w:val="both"/>
              <w:spacing w:before="0" w:after="0" w:line="36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tcPr>
          <w:p>
            <w:pPr>
              <w:pStyle w:val="1110"/>
              <w:ind w:firstLine="0"/>
              <w:jc w:val="center"/>
              <w:spacing w:before="0" w:after="0" w:line="360" w:lineRule="auto"/>
              <w:rPr>
                <w:rFonts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tcPr>
          <w:p>
            <w:pPr>
              <w:pStyle w:val="1110"/>
              <w:ind w:firstLine="0"/>
              <w:jc w:val="both"/>
              <w:spacing w:before="0" w:after="0" w:line="36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tcPr>
          <w:p>
            <w:pPr>
              <w:pStyle w:val="11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tcPr>
          <w:p>
            <w:pPr>
              <w:pStyle w:val="1110"/>
              <w:ind w:firstLine="0"/>
              <w:jc w:val="both"/>
              <w:spacing w:before="0" w:after="0" w:line="360" w:lineRule="auto"/>
              <w:rPr>
                <w:rFonts w:ascii="宋体" w:hAnsi="宋体"/>
                <w:color w:val="000000"/>
              </w:rPr>
            </w:pPr>
            <w:r>
              <w:rPr>
                <w:rFonts w:hint="eastAsia" w:ascii="宋体" w:hAnsi="宋体"/>
                <w:color w:val="000000"/>
              </w:rPr>
              <w:t xml:space="preserve">项目人员配置考察表（给定格式）</w:t>
            </w:r>
            <w:r/>
          </w:p>
        </w:tc>
        <w:tc>
          <w:tcPr>
            <w:tcW w:w="1979" w:type="dxa"/>
            <w:vAlign w:val="center"/>
            <w:vMerge w:val="continue"/>
            <w:textDirection w:val="lrTb"/>
            <w:noWrap/>
          </w:tcPr>
          <w:p>
            <w:pPr>
              <w:pStyle w:val="1110"/>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tcPr>
          <w:p>
            <w:pPr>
              <w:pStyle w:val="1110"/>
              <w:ind w:firstLine="0"/>
              <w:jc w:val="both"/>
              <w:spacing w:before="0" w:after="0" w:line="36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tcPr>
          <w:p>
            <w:pPr>
              <w:pStyle w:val="1110"/>
              <w:ind w:firstLine="0"/>
              <w:jc w:val="center"/>
              <w:spacing w:before="0" w:after="0" w:line="360" w:lineRule="auto"/>
              <w:rPr>
                <w:rFonts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tcPr>
          <w:p>
            <w:pPr>
              <w:pStyle w:val="1110"/>
              <w:ind w:firstLine="0"/>
              <w:jc w:val="both"/>
              <w:spacing w:before="0" w:after="0" w:line="36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tcPr>
          <w:p>
            <w:pPr>
              <w:pStyle w:val="1110"/>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tcPr>
          <w:p>
            <w:pPr>
              <w:pStyle w:val="1110"/>
              <w:ind w:firstLine="0"/>
              <w:jc w:val="both"/>
              <w:spacing w:before="0" w:after="0" w:line="36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tcPr>
          <w:p>
            <w:pPr>
              <w:pStyle w:val="1110"/>
              <w:ind w:firstLine="0"/>
              <w:jc w:val="center"/>
              <w:spacing w:before="0" w:after="0" w:line="360" w:lineRule="auto"/>
              <w:rPr>
                <w:rFonts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tcPr>
          <w:p>
            <w:pPr>
              <w:pStyle w:val="1110"/>
              <w:ind w:firstLine="0"/>
              <w:jc w:val="center"/>
              <w:spacing w:before="0" w:after="0" w:line="36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tcPr>
          <w:p>
            <w:pPr>
              <w:pStyle w:val="1110"/>
              <w:ind w:firstLine="0"/>
              <w:jc w:val="both"/>
              <w:spacing w:before="0" w:after="0" w:line="360" w:lineRule="auto"/>
              <w:rPr>
                <w:rFonts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tcPr>
          <w:p>
            <w:pPr>
              <w:pStyle w:val="1110"/>
              <w:ind w:firstLine="0"/>
              <w:jc w:val="both"/>
              <w:spacing w:before="0" w:after="0" w:line="240" w:lineRule="auto"/>
              <w:rPr>
                <w:rFonts w:cs="Arial"/>
                <w:color w:val="000000"/>
              </w:rPr>
            </w:pPr>
            <w:r>
              <w:rPr>
                <w:rFonts w:cs="Arial"/>
                <w:color w:val="000000"/>
              </w:rPr>
            </w:r>
            <w:r/>
          </w:p>
        </w:tc>
      </w:tr>
    </w:tbl>
    <w:p>
      <w:pPr>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2"/>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p>
    <w:p>
      <w:pPr>
        <w:numPr>
          <w:ilvl w:val="0"/>
          <w:numId w:val="12"/>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ind w:left="480"/>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b/>
          <w:color w:val="000000"/>
          <w:sz w:val="28"/>
          <w:szCs w:val="28"/>
        </w:rPr>
      </w:pPr>
      <w:r>
        <w:rPr>
          <w:rFonts w:hint="eastAsia"/>
          <w:b/>
          <w:color w:val="000000"/>
          <w:sz w:val="28"/>
          <w:szCs w:val="28"/>
        </w:rPr>
        <w:t xml:space="preserve">（二）其他证明文件</w:t>
      </w:r>
      <w:r/>
    </w:p>
    <w:p>
      <w:pPr>
        <w:ind w:left="480"/>
        <w:spacing w:line="360" w:lineRule="auto"/>
        <w:rPr>
          <w:rFonts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360" w:lineRule="auto"/>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110"/>
        <w:ind w:firstLine="0"/>
        <w:spacing w:before="0" w:after="0" w:line="360" w:lineRule="auto"/>
        <w:rPr>
          <w:rFonts w:cs="Arial"/>
          <w:b/>
          <w:sz w:val="28"/>
          <w:szCs w:val="28"/>
        </w:rPr>
      </w:pPr>
      <w:r>
        <w:rPr>
          <w:rFonts w:hint="eastAsia" w:cs="Arial"/>
          <w:b/>
          <w:sz w:val="28"/>
          <w:szCs w:val="28"/>
        </w:rPr>
        <w:t xml:space="preserve">一、封面格式（参考格式）：</w:t>
      </w:r>
      <w:r/>
    </w:p>
    <w:p>
      <w:pPr>
        <w:jc w:val="left"/>
        <w:spacing w:line="360" w:lineRule="auto"/>
        <w:widowControl/>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投</w:t>
      </w:r>
      <w:r/>
    </w:p>
    <w:p>
      <w:pPr>
        <w:jc w:val="center"/>
        <w:spacing w:line="360" w:lineRule="auto"/>
        <w:rPr>
          <w:rFonts w:asciiTheme="minorEastAsia" w:hAnsiTheme="minorEastAsia"/>
          <w:bCs/>
          <w:color w:val="000000" w:themeColor="text1"/>
          <w:sz w:val="72"/>
        </w:rPr>
      </w:pPr>
      <w:r>
        <w:rPr>
          <w:rFonts w:asciiTheme="minorEastAsia" w:hAnsiTheme="minorEastAsia"/>
          <w:bCs/>
          <w:color w:val="000000" w:themeColor="text1"/>
          <w:sz w:val="7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标</w:t>
      </w:r>
      <w:r/>
    </w:p>
    <w:p>
      <w:pPr>
        <w:jc w:val="center"/>
        <w:spacing w:line="360" w:lineRule="auto"/>
        <w:rPr>
          <w:rFonts w:asciiTheme="minorEastAsia" w:hAnsiTheme="minorEastAsia"/>
          <w:bCs/>
          <w:color w:val="000000" w:themeColor="text1"/>
          <w:sz w:val="72"/>
        </w:rPr>
      </w:pPr>
      <w:r>
        <w:rPr>
          <w:rFonts w:asciiTheme="minorEastAsia" w:hAnsiTheme="minorEastAsia"/>
          <w:bCs/>
          <w:color w:val="000000" w:themeColor="text1"/>
          <w:sz w:val="7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文</w:t>
      </w:r>
      <w:r/>
    </w:p>
    <w:p>
      <w:pPr>
        <w:jc w:val="center"/>
        <w:spacing w:line="360" w:lineRule="auto"/>
        <w:rPr>
          <w:rFonts w:asciiTheme="minorEastAsia" w:hAnsiTheme="minorEastAsia"/>
          <w:bCs/>
          <w:color w:val="000000" w:themeColor="text1"/>
          <w:sz w:val="52"/>
          <w:szCs w:val="52"/>
        </w:rPr>
      </w:pPr>
      <w:r>
        <w:rPr>
          <w:rFonts w:asciiTheme="minorEastAsia" w:hAnsiTheme="minorEastAsia"/>
          <w:bCs/>
          <w:color w:val="000000" w:themeColor="text1"/>
          <w:sz w:val="52"/>
          <w:szCs w:val="5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件</w:t>
      </w:r>
      <w:r/>
    </w:p>
    <w:p>
      <w:pPr>
        <w:spacing w:line="360" w:lineRule="auto"/>
        <w:rPr>
          <w:rFonts w:asciiTheme="minorEastAsia" w:hAnsiTheme="minorEastAsia"/>
          <w:bCs/>
          <w:color w:val="000000" w:themeColor="text1"/>
          <w:sz w:val="28"/>
        </w:rPr>
      </w:pPr>
      <w:r>
        <w:rPr>
          <w:rFonts w:asciiTheme="minorEastAsia" w:hAnsiTheme="minorEastAsia"/>
          <w:bCs/>
          <w:color w:val="000000" w:themeColor="text1"/>
          <w:sz w:val="28"/>
        </w:rPr>
      </w:r>
      <w:r/>
    </w:p>
    <w:p>
      <w:pPr>
        <w:ind w:firstLine="2715"/>
        <w:spacing w:line="360" w:lineRule="auto"/>
        <w:rPr>
          <w:rFonts w:asciiTheme="minorEastAsia" w:hAnsiTheme="minorEastAsia"/>
          <w:bCs/>
          <w:color w:val="000000" w:themeColor="text1"/>
          <w:sz w:val="28"/>
          <w:szCs w:val="28"/>
        </w:rPr>
      </w:pPr>
      <w:r/>
      <w:bookmarkStart w:id="170" w:name="_Hlk165208193"/>
      <w:r>
        <w:rPr>
          <w:rFonts w:hint="eastAsia" w:asciiTheme="minorEastAsia" w:hAnsiTheme="minorEastAsia"/>
          <w:bCs/>
          <w:color w:val="000000" w:themeColor="text1"/>
          <w:sz w:val="28"/>
          <w:szCs w:val="28"/>
        </w:rPr>
        <w:t xml:space="preserve">采购项目编号： </w:t>
      </w:r>
      <w:r/>
    </w:p>
    <w:p>
      <w:pPr>
        <w:ind w:firstLine="2703"/>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采购项目名称： </w:t>
      </w:r>
      <w:r/>
    </w:p>
    <w:p>
      <w:pPr>
        <w:ind w:firstLine="2703"/>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投标人： </w:t>
      </w:r>
      <w:r/>
    </w:p>
    <w:p>
      <w:pPr>
        <w:jc w:val="center"/>
        <w:spacing w:line="360" w:lineRule="auto"/>
        <w:rPr>
          <w:rFonts w:asciiTheme="minorEastAsia" w:hAnsiTheme="minorEastAsia"/>
          <w:bCs/>
          <w:color w:val="000000" w:themeColor="text1"/>
          <w:sz w:val="36"/>
          <w:szCs w:val="36"/>
        </w:rPr>
      </w:pPr>
      <w:r>
        <w:rPr>
          <w:rFonts w:asciiTheme="minorEastAsia" w:hAnsiTheme="minorEastAsia"/>
          <w:bCs/>
          <w:color w:val="000000" w:themeColor="text1"/>
          <w:sz w:val="36"/>
          <w:szCs w:val="36"/>
        </w:rPr>
      </w:r>
      <w:r/>
    </w:p>
    <w:p>
      <w:pPr>
        <w:jc w:val="center"/>
        <w:spacing w:line="360" w:lineRule="auto"/>
        <w:rPr>
          <w:rFonts w:asciiTheme="minorEastAsia" w:hAnsiTheme="minorEastAsia"/>
          <w:bCs/>
          <w:color w:val="000000" w:themeColor="text1"/>
          <w:sz w:val="40"/>
          <w:szCs w:val="40"/>
        </w:rPr>
      </w:pPr>
      <w:r>
        <w:rPr>
          <w:rFonts w:asciiTheme="minorEastAsia" w:hAnsiTheme="minorEastAsia"/>
          <w:bCs/>
          <w:color w:val="000000" w:themeColor="text1"/>
          <w:sz w:val="40"/>
          <w:szCs w:val="40"/>
        </w:rPr>
      </w:r>
      <w:r/>
    </w:p>
    <w:p>
      <w:pPr>
        <w:jc w:val="center"/>
        <w:spacing w:line="360" w:lineRule="auto"/>
        <w:rPr>
          <w:rFonts w:asciiTheme="minorEastAsia" w:hAnsiTheme="minorEastAsia"/>
          <w:bCs/>
          <w:color w:val="000000" w:themeColor="text1"/>
          <w:sz w:val="28"/>
          <w:szCs w:val="28"/>
        </w:rPr>
        <w:outlineLvl w:val="0"/>
      </w:pPr>
      <w:r>
        <w:rPr>
          <w:rFonts w:hint="eastAsia" w:asciiTheme="minorEastAsia" w:hAnsiTheme="minorEastAsia"/>
          <w:bCs/>
          <w:color w:val="000000" w:themeColor="text1"/>
          <w:sz w:val="28"/>
          <w:szCs w:val="28"/>
        </w:rPr>
        <w:t xml:space="preserve">20   年   月</w:t>
      </w:r>
      <w:r/>
    </w:p>
    <w:p>
      <w:pPr>
        <w:spacing w:line="360" w:lineRule="auto"/>
        <w:rPr>
          <w:rFonts w:asciiTheme="minorEastAsia" w:hAnsiTheme="minorEastAsia"/>
          <w:bCs/>
          <w:color w:val="000000" w:themeColor="text1"/>
          <w:sz w:val="24"/>
          <w:szCs w:val="24"/>
        </w:rPr>
        <w:outlineLvl w:val="0"/>
      </w:pPr>
      <w:r>
        <w:rPr>
          <w:rFonts w:asciiTheme="minorEastAsia" w:hAnsiTheme="minorEastAsia"/>
          <w:bCs/>
          <w:color w:val="000000" w:themeColor="text1"/>
          <w:sz w:val="24"/>
          <w:szCs w:val="24"/>
        </w:rPr>
      </w:r>
      <w:bookmarkEnd w:id="170"/>
      <w:r/>
      <w:r/>
    </w:p>
    <w:p>
      <w:pPr>
        <w:spacing w:line="360" w:lineRule="auto"/>
        <w:rPr>
          <w:rFonts w:ascii="宋体" w:hAnsi="宋体" w:cs="宋体"/>
          <w:b/>
          <w:sz w:val="28"/>
          <w:szCs w:val="28"/>
        </w:rPr>
      </w:pPr>
      <w:r>
        <w:rPr>
          <w:rFonts w:hint="eastAsia" w:ascii="宋体" w:hAnsi="宋体" w:cs="宋体"/>
          <w:b/>
          <w:sz w:val="28"/>
          <w:szCs w:val="28"/>
        </w:rPr>
        <w:br w:type="page" w:clear="all"/>
      </w:r>
      <w:r/>
    </w:p>
    <w:p>
      <w:pPr>
        <w:spacing w:line="360" w:lineRule="auto"/>
        <w:rPr>
          <w:rFonts w:ascii="Arial" w:hAnsi="Arial"/>
          <w:b/>
          <w:sz w:val="28"/>
          <w:szCs w:val="28"/>
        </w:rPr>
      </w:pPr>
      <w:r>
        <w:rPr>
          <w:rFonts w:hint="eastAsia" w:ascii="宋体" w:hAnsi="宋体" w:cs="宋体"/>
          <w:b/>
          <w:sz w:val="28"/>
          <w:szCs w:val="28"/>
        </w:rPr>
        <w:t xml:space="preserve">二、授权委托书（给定格式）：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109"/>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编号项目，兹授权：</w:t>
      </w:r>
      <w:r/>
    </w:p>
    <w:p>
      <w:pPr>
        <w:pStyle w:val="1109"/>
        <w:ind w:firstLine="480"/>
        <w:spacing w:line="360" w:lineRule="auto"/>
        <w:rPr>
          <w:sz w:val="24"/>
          <w:szCs w:val="24"/>
        </w:rPr>
      </w:pPr>
      <w:r>
        <w:rPr>
          <w:rFonts w:hint="eastAsia"/>
          <w:sz w:val="24"/>
          <w:szCs w:val="24"/>
        </w:rPr>
        <w:t xml:space="preserve">被授权人的姓名：；性别：；年龄：；职务：；</w:t>
      </w:r>
      <w:r/>
    </w:p>
    <w:p>
      <w:pPr>
        <w:pStyle w:val="1109"/>
        <w:ind w:firstLine="480"/>
        <w:spacing w:line="360" w:lineRule="auto"/>
        <w:rPr>
          <w:sz w:val="24"/>
          <w:szCs w:val="24"/>
        </w:rPr>
      </w:pPr>
      <w:r>
        <w:rPr>
          <w:rFonts w:hint="eastAsia"/>
          <w:sz w:val="24"/>
          <w:szCs w:val="24"/>
        </w:rPr>
        <w:t xml:space="preserve">被授权人的身份证号码：；联系方式：；</w:t>
      </w:r>
      <w:r/>
    </w:p>
    <w:p>
      <w:pPr>
        <w:pStyle w:val="1109"/>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109"/>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109"/>
        <w:ind w:firstLine="480"/>
        <w:spacing w:line="360" w:lineRule="auto"/>
        <w:rPr>
          <w:sz w:val="24"/>
          <w:szCs w:val="24"/>
        </w:rPr>
      </w:pPr>
      <w:r>
        <w:rPr>
          <w:rFonts w:hint="eastAsia"/>
          <w:sz w:val="24"/>
          <w:szCs w:val="24"/>
        </w:rPr>
        <w:t xml:space="preserve">特此授权委托。</w:t>
      </w:r>
      <w:r/>
    </w:p>
    <w:p>
      <w:pPr>
        <w:pStyle w:val="1109"/>
        <w:ind w:firstLine="480"/>
        <w:spacing w:line="360" w:lineRule="auto"/>
        <w:rPr>
          <w:sz w:val="24"/>
          <w:szCs w:val="24"/>
        </w:rPr>
      </w:pPr>
      <w:r>
        <w:rPr>
          <w:sz w:val="24"/>
          <w:szCs w:val="24"/>
        </w:rPr>
      </w:r>
      <w:r/>
    </w:p>
    <w:p>
      <w:pPr>
        <w:pStyle w:val="1109"/>
        <w:ind w:firstLine="480"/>
        <w:spacing w:line="360" w:lineRule="auto"/>
        <w:rPr>
          <w:sz w:val="24"/>
          <w:szCs w:val="24"/>
        </w:rPr>
      </w:pPr>
      <w:r>
        <w:rPr>
          <w:sz w:val="24"/>
          <w:szCs w:val="24"/>
        </w:rPr>
      </w:r>
      <w:r/>
    </w:p>
    <w:p>
      <w:pPr>
        <w:pStyle w:val="1109"/>
        <w:ind w:firstLine="0"/>
        <w:spacing w:line="360" w:lineRule="auto"/>
        <w:rPr>
          <w:sz w:val="24"/>
          <w:szCs w:val="24"/>
        </w:rPr>
      </w:pPr>
      <w:r>
        <w:rPr>
          <w:rFonts w:hint="eastAsia"/>
          <w:sz w:val="24"/>
          <w:szCs w:val="24"/>
        </w:rPr>
        <w:t xml:space="preserve">授权日期：年月日                     投标人名称</w:t>
      </w:r>
      <w:r>
        <w:rPr>
          <w:rFonts w:hint="eastAsia" w:ascii="宋体" w:hAnsi="宋体"/>
          <w:bCs/>
          <w:sz w:val="24"/>
          <w:szCs w:val="24"/>
        </w:rPr>
        <w:t xml:space="preserve">（盖章）</w:t>
      </w:r>
      <w:r>
        <w:rPr>
          <w:rFonts w:hint="eastAsia"/>
          <w:sz w:val="24"/>
          <w:szCs w:val="24"/>
        </w:rPr>
        <w:t xml:space="preserve">：</w:t>
      </w:r>
      <w:r/>
    </w:p>
    <w:p>
      <w:pPr>
        <w:pStyle w:val="1109"/>
        <w:ind w:firstLine="0"/>
        <w:spacing w:line="360" w:lineRule="auto"/>
        <w:rPr>
          <w:sz w:val="24"/>
          <w:szCs w:val="24"/>
          <w:u w:val="single"/>
        </w:rPr>
      </w:pPr>
      <w:r>
        <w:rPr>
          <w:sz w:val="24"/>
          <w:szCs w:val="24"/>
          <w:u w:val="single"/>
        </w:rPr>
      </w:r>
      <w:r/>
    </w:p>
    <w:p>
      <w:pPr>
        <w:pStyle w:val="1109"/>
        <w:ind w:firstLine="0"/>
        <w:spacing w:line="360" w:lineRule="auto"/>
        <w:rPr>
          <w:sz w:val="24"/>
          <w:szCs w:val="24"/>
        </w:rPr>
      </w:pPr>
      <w:r>
        <w:rPr>
          <w:rFonts w:hint="eastAsia"/>
          <w:sz w:val="24"/>
          <w:szCs w:val="24"/>
        </w:rPr>
        <w:t xml:space="preserve">法定代表人签字或盖章：                 被授权人签字或盖章：</w:t>
      </w:r>
      <w:r/>
    </w:p>
    <w:p>
      <w:pPr>
        <w:pStyle w:val="1109"/>
        <w:ind w:firstLine="0"/>
        <w:spacing w:line="360" w:lineRule="auto"/>
        <w:rPr>
          <w:rFonts w:ascii="宋体" w:hAnsi="宋体" w:cs="宋体"/>
          <w:b/>
          <w:sz w:val="30"/>
        </w:rPr>
      </w:pPr>
      <w:r>
        <w:rPr>
          <w:rFonts w:ascii="宋体" w:hAnsi="宋体" w:cs="宋体"/>
          <w:b/>
          <w:sz w:val="30"/>
        </w:rPr>
      </w:r>
      <w:r/>
    </w:p>
    <w:p>
      <w:pPr>
        <w:pStyle w:val="1109"/>
        <w:ind w:firstLine="0"/>
        <w:spacing w:line="360" w:lineRule="auto"/>
        <w:rPr>
          <w:sz w:val="24"/>
          <w:szCs w:val="24"/>
        </w:rPr>
      </w:pPr>
      <w:r>
        <w:rPr>
          <w:rFonts w:hint="eastAsia" w:ascii="宋体" w:hAnsi="宋体" w:cs="宋体"/>
          <w:b/>
          <w:sz w:val="30"/>
        </w:rPr>
        <w:t xml:space="preserve">（被授权人身份证原件扫描件附后）</w:t>
      </w:r>
      <w:r/>
    </w:p>
    <w:p>
      <w:pPr>
        <w:pStyle w:val="1109"/>
        <w:ind w:firstLine="0"/>
        <w:spacing w:line="360" w:lineRule="auto"/>
        <w:rPr>
          <w:sz w:val="24"/>
          <w:szCs w:val="24"/>
        </w:rPr>
      </w:pPr>
      <w:r>
        <w:rPr>
          <w:rFonts w:hint="eastAsia"/>
          <w:sz w:val="24"/>
          <w:szCs w:val="24"/>
        </w:rPr>
        <w:t xml:space="preserve">说明：</w:t>
      </w:r>
      <w:r/>
    </w:p>
    <w:p>
      <w:pPr>
        <w:pStyle w:val="1109"/>
        <w:numPr>
          <w:ilvl w:val="0"/>
          <w:numId w:val="13"/>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109"/>
        <w:numPr>
          <w:ilvl w:val="0"/>
          <w:numId w:val="13"/>
        </w:numPr>
        <w:ind w:firstLine="480"/>
        <w:spacing w:line="360" w:lineRule="auto"/>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1109"/>
        <w:numPr>
          <w:ilvl w:val="0"/>
          <w:numId w:val="13"/>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109"/>
        <w:numPr>
          <w:ilvl w:val="0"/>
          <w:numId w:val="13"/>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109"/>
        <w:ind w:firstLine="0"/>
        <w:spacing w:line="360" w:lineRule="auto"/>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sz w:val="28"/>
          <w:szCs w:val="28"/>
        </w:rPr>
        <w:outlineLvl w:val="0"/>
      </w:pPr>
      <w:r/>
      <w:bookmarkStart w:id="171" w:name="报价方关于资格的声明函（格式）"/>
      <w:r/>
      <w:bookmarkEnd w:id="171"/>
      <w:r>
        <w:rPr>
          <w:rFonts w:hint="eastAsia" w:ascii="黑体" w:eastAsia="黑体"/>
          <w:bCs/>
          <w:sz w:val="28"/>
          <w:szCs w:val="28"/>
        </w:rPr>
        <w:t xml:space="preserve">资格声明函</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无锡市滨湖区公共资源交易中心：</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我公司（单位）针对本次项目编号进行投标，并做如下声明</w:t>
      </w:r>
      <w:r/>
    </w:p>
    <w:p>
      <w:pPr>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投标人名称（盖章）：</w:t>
      </w:r>
      <w:r/>
    </w:p>
    <w:p>
      <w:pPr>
        <w:spacing w:line="360" w:lineRule="auto"/>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sz w:val="28"/>
          <w:szCs w:val="28"/>
        </w:rPr>
      </w:pPr>
      <w:r>
        <w:rPr>
          <w:b/>
          <w:sz w:val="28"/>
          <w:szCs w:val="28"/>
        </w:rPr>
        <w:br w:type="page" w:clear="all"/>
      </w:r>
      <w:r/>
    </w:p>
    <w:p>
      <w:pPr>
        <w:spacing w:line="360" w:lineRule="auto"/>
        <w:rPr>
          <w:b/>
          <w:sz w:val="28"/>
          <w:szCs w:val="28"/>
        </w:rPr>
      </w:pPr>
      <w:r>
        <w:rPr>
          <w:b/>
          <w:sz w:val="28"/>
          <w:szCs w:val="28"/>
        </w:rPr>
      </w:r>
      <w:r/>
    </w:p>
    <w:p>
      <w:pPr>
        <w:spacing w:line="360" w:lineRule="auto"/>
        <w:rPr>
          <w:rFonts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单位名称（盖章）：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rFonts w:ascii="宋体"/>
          <w:bCs/>
          <w:sz w:val="24"/>
          <w:szCs w:val="24"/>
        </w:rPr>
      </w:pPr>
      <w:r>
        <w:rPr>
          <w:rFonts w:hint="eastAsia" w:ascii="黑体" w:eastAsia="黑体"/>
          <w:bCs/>
          <w:sz w:val="28"/>
          <w:szCs w:val="28"/>
        </w:rPr>
        <w:t xml:space="preserve">投标函</w:t>
      </w:r>
      <w:r/>
    </w:p>
    <w:p>
      <w:pPr>
        <w:spacing w:line="360" w:lineRule="auto"/>
        <w:rPr>
          <w:rFonts w:ascii="宋体"/>
          <w:bCs/>
          <w:sz w:val="24"/>
          <w:szCs w:val="24"/>
        </w:rPr>
      </w:pPr>
      <w:r>
        <w:rPr>
          <w:rFonts w:hint="eastAsia" w:ascii="宋体" w:hAnsi="宋体"/>
          <w:bCs/>
          <w:sz w:val="24"/>
          <w:szCs w:val="24"/>
        </w:rPr>
        <w:t xml:space="preserve">致无锡市滨湖区公共资源交易中心：</w:t>
      </w:r>
      <w:r/>
    </w:p>
    <w:p>
      <w:pPr>
        <w:ind w:firstLine="480"/>
        <w:spacing w:line="360" w:lineRule="auto"/>
        <w:rPr>
          <w:rFonts w:ascii="宋体"/>
          <w:bCs/>
          <w:sz w:val="24"/>
          <w:szCs w:val="24"/>
        </w:rPr>
      </w:pPr>
      <w:r>
        <w:rPr>
          <w:rFonts w:hint="eastAsia" w:ascii="宋体" w:hAnsi="宋体"/>
          <w:bCs/>
          <w:sz w:val="24"/>
          <w:szCs w:val="24"/>
        </w:rPr>
        <w:t xml:space="preserve">我方收到贵方编号招标文件，经仔细阅读和研究，我方决定参加此项目的投标。</w:t>
      </w:r>
      <w:r/>
    </w:p>
    <w:p>
      <w:pPr>
        <w:numPr>
          <w:ilvl w:val="0"/>
          <w:numId w:val="14"/>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02"/>
          <w:bCs/>
        </w:rPr>
      </w:pPr>
      <w:r>
        <w:rPr>
          <w:rFonts w:hint="eastAsia" w:ascii="宋体" w:hAnsi="宋体"/>
          <w:bCs/>
          <w:sz w:val="24"/>
          <w:szCs w:val="24"/>
        </w:rPr>
        <w:t xml:space="preserve">我方愿意提供无锡市滨湖区公共资源交易中心在招标文件中要求的文件、资料。</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bCs/>
          <w:sz w:val="24"/>
          <w:szCs w:val="24"/>
        </w:rPr>
      </w:pPr>
      <w:r>
        <w:rPr>
          <w:rFonts w:hint="eastAsia" w:ascii="宋体" w:hAnsi="宋体"/>
          <w:bCs/>
          <w:sz w:val="24"/>
          <w:szCs w:val="24"/>
        </w:rPr>
        <w:t xml:space="preserve">电话： ；传真：；邮编：</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u w:val="single"/>
        </w:rPr>
      </w:pPr>
      <w:r>
        <w:rPr>
          <w:rFonts w:hint="eastAsia" w:ascii="宋体" w:hAnsi="宋体"/>
          <w:bCs/>
          <w:sz w:val="24"/>
          <w:szCs w:val="24"/>
        </w:rPr>
        <w:t xml:space="preserve">通讯地址：</w:t>
      </w:r>
      <w:r/>
    </w:p>
    <w:p>
      <w:pPr>
        <w:spacing w:line="360" w:lineRule="auto"/>
        <w:rPr>
          <w:rFonts w:ascii="宋体" w:hAnsi="宋体"/>
          <w:bCs/>
          <w:sz w:val="24"/>
          <w:szCs w:val="24"/>
        </w:rPr>
      </w:pPr>
      <w:r>
        <w:rPr>
          <w:rFonts w:ascii="宋体" w:hAnsi="宋体"/>
          <w:bCs/>
          <w:sz w:val="24"/>
          <w:szCs w:val="24"/>
        </w:rPr>
      </w:r>
      <w:r/>
    </w:p>
    <w:p>
      <w:pPr>
        <w:jc w:val="right"/>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spacing w:line="360" w:lineRule="auto"/>
        <w:rPr>
          <w:rFonts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编号</w:t>
      </w:r>
      <w:r>
        <w:rPr>
          <w:rFonts w:hint="eastAsia" w:ascii="宋体" w:hAnsi="宋体"/>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rFonts w:ascii="宋体" w:hAnsi="宋体"/>
          <w:bCs/>
          <w:sz w:val="24"/>
          <w:szCs w:val="24"/>
        </w:rPr>
        <w:outlineLvl w:val="0"/>
      </w:pPr>
      <w:r>
        <w:rPr>
          <w:rFonts w:ascii="宋体" w:hAnsi="宋体"/>
          <w:bCs/>
          <w:sz w:val="24"/>
          <w:szCs w:val="24"/>
        </w:rPr>
      </w:r>
      <w:r/>
    </w:p>
    <w:p>
      <w:pPr>
        <w:spacing w:line="360" w:lineRule="auto"/>
        <w:rPr>
          <w:rFonts w:ascii="宋体" w:hAnsi="宋体"/>
          <w:bCs/>
          <w:sz w:val="24"/>
          <w:szCs w:val="24"/>
        </w:rPr>
        <w:outlineLvl w:val="0"/>
      </w:pPr>
      <w:r>
        <w:rPr>
          <w:rFonts w:ascii="宋体" w:hAnsi="宋体"/>
          <w:bCs/>
          <w:sz w:val="24"/>
          <w:szCs w:val="24"/>
        </w:rPr>
      </w:r>
      <w:r/>
    </w:p>
    <w:p>
      <w:pPr>
        <w:spacing w:line="360" w:lineRule="auto"/>
        <w:rPr>
          <w:b/>
          <w:sz w:val="28"/>
          <w:szCs w:val="28"/>
        </w:rPr>
      </w:pPr>
      <w:r>
        <w:rPr>
          <w:b/>
          <w:sz w:val="28"/>
          <w:szCs w:val="28"/>
        </w:rPr>
      </w:r>
      <w:r/>
    </w:p>
    <w:p>
      <w:pPr>
        <w:spacing w:line="360" w:lineRule="auto"/>
        <w:rPr>
          <w:b/>
          <w:sz w:val="28"/>
          <w:szCs w:val="28"/>
        </w:rPr>
      </w:pP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开标一览表</w:t>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w:t>
      </w:r>
      <w:r/>
    </w:p>
    <w:tbl>
      <w:tblPr>
        <w:tblStyle w:val="73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val="false"/>
          </w:tcPr>
          <w:p>
            <w:pPr>
              <w:pStyle w:val="842"/>
              <w:jc w:val="center"/>
              <w:spacing w:line="360" w:lineRule="auto"/>
              <w:rPr>
                <w:rFonts w:hAnsi="宋体"/>
                <w:bCs/>
                <w:szCs w:val="24"/>
              </w:rPr>
            </w:pPr>
            <w:r>
              <w:rPr>
                <w:rFonts w:hAnsi="宋体"/>
                <w:bCs/>
                <w:szCs w:val="24"/>
              </w:rPr>
            </w:r>
            <w:r/>
          </w:p>
        </w:tc>
        <w:tc>
          <w:tcPr>
            <w:tcW w:w="3188" w:type="dxa"/>
            <w:vAlign w:val="center"/>
            <w:textDirection w:val="lrTb"/>
            <w:noWrap w:val="false"/>
          </w:tcPr>
          <w:p>
            <w:pPr>
              <w:pStyle w:val="842"/>
              <w:spacing w:line="360" w:lineRule="auto"/>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spacing w:line="360" w:lineRule="auto"/>
              <w:rPr>
                <w:rFonts w:ascii="宋体" w:hAns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numPr>
          <w:ilvl w:val="0"/>
          <w:numId w:val="15"/>
        </w:numPr>
        <w:spacing w:line="360" w:lineRule="auto"/>
        <w:rPr>
          <w:b/>
          <w:sz w:val="28"/>
          <w:szCs w:val="28"/>
        </w:rPr>
      </w:pPr>
      <w:r>
        <w:rPr>
          <w:rFonts w:hint="eastAsia" w:ascii="黑体" w:eastAsia="黑体"/>
          <w:bCs/>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Start w:id="172" w:name="_Toc120614284"/>
      <w:r/>
      <w:r/>
    </w:p>
    <w:p>
      <w:pPr>
        <w:jc w:val="center"/>
        <w:spacing w:line="360" w:lineRule="auto"/>
        <w:rPr>
          <w:rFonts w:ascii="黑体" w:hAnsi="Times New Roman" w:eastAsia="黑体" w:cs="黑体"/>
          <w:bCs/>
          <w:sz w:val="28"/>
          <w:szCs w:val="28"/>
        </w:rPr>
        <w:outlineLvl w:val="0"/>
      </w:pPr>
      <w:r>
        <w:rPr>
          <w:rFonts w:hint="eastAsia" w:ascii="黑体" w:hAnsi="Times New Roman" w:eastAsia="黑体" w:cs="黑体"/>
          <w:bCs/>
          <w:sz w:val="28"/>
          <w:szCs w:val="28"/>
        </w:rPr>
        <w:t xml:space="preserve">分项报价表</w:t>
      </w:r>
      <w:r/>
    </w:p>
    <w:p>
      <w:pPr>
        <w:spacing w:line="360" w:lineRule="auto"/>
        <w:rPr>
          <w:rFonts w:ascii="黑体" w:hAnsi="Times New Roman" w:eastAsia="黑体" w:cs="黑体"/>
          <w:bCs/>
          <w:sz w:val="24"/>
          <w:szCs w:val="24"/>
        </w:rPr>
      </w:pPr>
      <w:r>
        <w:rPr>
          <w:rFonts w:hint="eastAsia" w:ascii="黑体" w:hAnsi="Times New Roman" w:eastAsia="黑体" w:cs="黑体"/>
          <w:bCs/>
          <w:sz w:val="24"/>
          <w:szCs w:val="24"/>
        </w:rPr>
        <w:t xml:space="preserve">项目编号：</w:t>
      </w:r>
      <w:r/>
    </w:p>
    <w:p>
      <w:pPr>
        <w:spacing w:before="5" w:line="360" w:lineRule="auto"/>
        <w:rPr>
          <w:b/>
          <w:bCs/>
          <w:sz w:val="24"/>
          <w:szCs w:val="24"/>
        </w:rPr>
      </w:pPr>
      <w:r>
        <w:rPr>
          <w:rFonts w:hint="eastAsia" w:ascii="Times New Roman" w:hAnsi="Times New Roman" w:eastAsia="宋体" w:cs="宋体"/>
          <w:b/>
          <w:bCs/>
          <w:sz w:val="24"/>
          <w:szCs w:val="24"/>
        </w:rPr>
        <w:t xml:space="preserve">计算资源服务部分：</w:t>
      </w:r>
      <w:r/>
    </w:p>
    <w:tbl>
      <w:tblPr>
        <w:tblStyle w:val="734"/>
        <w:tblW w:w="9810" w:type="dxa"/>
        <w:tblInd w:w="0" w:type="dxa"/>
        <w:tblLayout w:type="fixed"/>
        <w:tblCellMar>
          <w:left w:w="108" w:type="dxa"/>
          <w:top w:w="0" w:type="dxa"/>
          <w:right w:w="108" w:type="dxa"/>
          <w:bottom w:w="0" w:type="dxa"/>
        </w:tblCellMar>
        <w:tblLook w:val="04A0" w:firstRow="1" w:lastRow="0" w:firstColumn="1" w:lastColumn="0" w:noHBand="0" w:noVBand="1"/>
      </w:tblPr>
      <w:tblGrid>
        <w:gridCol w:w="639"/>
        <w:gridCol w:w="639"/>
        <w:gridCol w:w="872"/>
        <w:gridCol w:w="1293"/>
        <w:gridCol w:w="1041"/>
        <w:gridCol w:w="1138"/>
        <w:gridCol w:w="1419"/>
        <w:gridCol w:w="1073"/>
        <w:gridCol w:w="912"/>
        <w:gridCol w:w="784"/>
      </w:tblGrid>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处理器（核）</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内存（G）</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SAS盘容量（GB）</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SSD盘容量（GB）</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单报价（元/月）</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分项总报价（元）</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360" w:lineRule="auto"/>
              <w:widowControl/>
              <w:rPr>
                <w:rFonts w:ascii="宋体" w:hAnsi="宋体" w:eastAsia="宋体" w:cs="宋体"/>
                <w:color w:val="000000"/>
              </w:rPr>
            </w:pPr>
            <w:r>
              <w:rPr>
                <w:rFonts w:ascii="宋体" w:hAnsi="宋体" w:eastAsia="宋体" w:cs="宋体"/>
                <w:color w:val="000000"/>
              </w:rPr>
            </w:r>
            <w:r/>
          </w:p>
        </w:tc>
      </w:tr>
    </w:tbl>
    <w:p>
      <w:pPr>
        <w:spacing w:before="5" w:line="360" w:lineRule="auto"/>
        <w:rPr>
          <w:b/>
          <w:bCs/>
          <w:sz w:val="24"/>
          <w:szCs w:val="24"/>
        </w:rPr>
      </w:pPr>
      <w:r>
        <w:rPr>
          <w:rFonts w:hint="eastAsia" w:ascii="Times New Roman" w:hAnsi="Times New Roman" w:eastAsia="宋体" w:cs="宋体"/>
          <w:b/>
          <w:bCs/>
          <w:sz w:val="24"/>
          <w:szCs w:val="24"/>
        </w:rPr>
        <w:t xml:space="preserve">裸金属服务部分：</w:t>
      </w:r>
      <w:r/>
    </w:p>
    <w:tbl>
      <w:tblPr>
        <w:tblStyle w:val="73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79"/>
        <w:gridCol w:w="814"/>
        <w:gridCol w:w="775"/>
        <w:gridCol w:w="581"/>
        <w:gridCol w:w="514"/>
        <w:gridCol w:w="625"/>
        <w:gridCol w:w="638"/>
        <w:gridCol w:w="772"/>
        <w:gridCol w:w="683"/>
        <w:gridCol w:w="673"/>
        <w:gridCol w:w="807"/>
        <w:gridCol w:w="906"/>
        <w:gridCol w:w="829"/>
        <w:gridCol w:w="941"/>
      </w:tblGrid>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云主机名称</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GPU</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硬盘(容量)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系统盘</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磁盘类型</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数据盘（GB）</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单报价（元/月）</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分项总报价（元）</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r>
    </w:tbl>
    <w:p>
      <w:pPr>
        <w:spacing w:before="5" w:line="360" w:lineRule="auto"/>
        <w:rPr>
          <w:rFonts w:ascii="宋体" w:hAnsi="宋体" w:eastAsia="宋体" w:cs="宋体"/>
          <w:b/>
          <w:bCs/>
          <w:sz w:val="24"/>
          <w:szCs w:val="24"/>
        </w:rPr>
      </w:pPr>
      <w:r>
        <w:rPr>
          <w:rFonts w:hint="eastAsia" w:ascii="宋体" w:hAnsi="宋体" w:eastAsia="宋体" w:cs="宋体"/>
          <w:b/>
          <w:bCs/>
          <w:sz w:val="24"/>
          <w:szCs w:val="24"/>
        </w:rPr>
        <w:t xml:space="preserve">安全组件服务部分：</w:t>
      </w:r>
      <w:r/>
    </w:p>
    <w:tbl>
      <w:tblPr>
        <w:tblStyle w:val="734"/>
        <w:tblW w:w="10020"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915"/>
        <w:gridCol w:w="1155"/>
        <w:gridCol w:w="3820"/>
        <w:gridCol w:w="681"/>
        <w:gridCol w:w="819"/>
        <w:gridCol w:w="1061"/>
        <w:gridCol w:w="879"/>
      </w:tblGrid>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安全组件</w:t>
            </w:r>
            <w:r/>
          </w:p>
        </w:tc>
        <w:tc>
          <w:tcPr>
            <w:shd w:val="clear" w:color="auto" w:fill="auto"/>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单报价（元/月）</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分项总报价（元）</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ascii="宋体" w:hAnsi="宋体" w:eastAsia="宋体" w:cs="宋体"/>
                <w:color w:val="000000"/>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60" w:lineRule="auto"/>
              <w:widowControl/>
              <w:rPr>
                <w:rFonts w:ascii="宋体" w:hAnsi="宋体" w:eastAsia="宋体" w:cs="宋体"/>
                <w:color w:val="000000"/>
              </w:rPr>
            </w:pPr>
            <w:r>
              <w:rPr>
                <w:rFonts w:ascii="宋体" w:hAnsi="宋体" w:eastAsia="宋体" w:cs="宋体"/>
                <w:color w:val="000000"/>
              </w:rPr>
            </w:r>
            <w:r/>
          </w:p>
        </w:tc>
      </w:tr>
    </w:tbl>
    <w:p>
      <w:pPr>
        <w:spacing w:before="5" w:line="360" w:lineRule="auto"/>
        <w:rPr>
          <w:b/>
          <w:bCs/>
          <w:sz w:val="24"/>
          <w:szCs w:val="24"/>
        </w:rPr>
      </w:pPr>
      <w:r>
        <w:rPr>
          <w:rFonts w:hint="eastAsia" w:ascii="Times New Roman" w:hAnsi="Times New Roman" w:eastAsia="宋体" w:cs="宋体"/>
          <w:b/>
          <w:bCs/>
          <w:sz w:val="24"/>
          <w:szCs w:val="24"/>
        </w:rPr>
        <w:t xml:space="preserve">投标人名称（盖章）：</w:t>
      </w:r>
      <w:r/>
    </w:p>
    <w:p>
      <w:pPr>
        <w:spacing w:line="360" w:lineRule="auto"/>
        <w:rPr>
          <w:rFonts w:ascii="宋体" w:hAnsi="宋体" w:eastAsia="宋体" w:cs="宋体"/>
          <w:b/>
        </w:rPr>
        <w:outlineLvl w:val="0"/>
      </w:pPr>
      <w:r>
        <w:rPr>
          <w:rFonts w:ascii="宋体" w:hAnsi="宋体" w:eastAsia="宋体" w:cs="宋体"/>
          <w:b/>
        </w:rPr>
      </w:r>
      <w:r/>
    </w:p>
    <w:p>
      <w:pPr>
        <w:spacing w:line="360" w:lineRule="auto"/>
        <w:rPr>
          <w:rFonts w:ascii="宋体" w:hAnsi="Times New Roman" w:eastAsia="宋体" w:cs="宋体"/>
          <w:bCs/>
        </w:rPr>
        <w:outlineLvl w:val="0"/>
      </w:pPr>
      <w:r>
        <w:rPr>
          <w:rFonts w:hint="eastAsia" w:ascii="宋体" w:hAnsi="宋体" w:eastAsia="宋体" w:cs="宋体"/>
          <w:b/>
          <w:szCs w:val="21"/>
        </w:rPr>
        <w:t xml:space="preserve">注：</w:t>
      </w:r>
      <w:r>
        <w:rPr>
          <w:rFonts w:hint="eastAsia" w:ascii="宋体" w:hAnsi="宋体" w:eastAsia="宋体" w:cs="宋体"/>
          <w:bCs/>
          <w:szCs w:val="21"/>
        </w:rPr>
        <w:t xml:space="preserve">（1）</w:t>
      </w:r>
      <w:r>
        <w:rPr>
          <w:rFonts w:hint="eastAsia" w:ascii="宋体" w:hAnsi="Times New Roman" w:eastAsia="宋体" w:cs="宋体"/>
          <w:bCs/>
          <w:szCs w:val="21"/>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firstLine="315"/>
        <w:spacing w:line="360" w:lineRule="auto"/>
        <w:rPr>
          <w:rFonts w:ascii="宋体" w:hAnsi="Times New Roman" w:eastAsia="宋体" w:cs="宋体"/>
          <w:bCs/>
        </w:rPr>
        <w:outlineLvl w:val="0"/>
      </w:pPr>
      <w:r>
        <w:rPr>
          <w:rFonts w:hint="eastAsia" w:ascii="宋体" w:hAnsi="宋体" w:eastAsia="宋体" w:cs="宋体"/>
          <w:bCs/>
          <w:szCs w:val="21"/>
        </w:rPr>
        <w:t xml:space="preserve">（2）投标人应当根据“采购需求”的内容在上表中详细填写；</w:t>
      </w:r>
      <w:r/>
    </w:p>
    <w:p>
      <w:pPr>
        <w:ind w:firstLine="315"/>
        <w:spacing w:line="360" w:lineRule="auto"/>
        <w:rPr>
          <w:rFonts w:ascii="宋体" w:hAnsi="宋体" w:eastAsia="宋体" w:cs="宋体"/>
          <w:bCs/>
        </w:rPr>
        <w:outlineLvl w:val="0"/>
      </w:pPr>
      <w:r>
        <w:rPr>
          <w:rFonts w:hint="eastAsia" w:ascii="宋体" w:hAnsi="宋体" w:eastAsia="宋体" w:cs="宋体"/>
          <w:bCs/>
          <w:szCs w:val="21"/>
        </w:rPr>
        <w:t xml:space="preserve">（3）表格不够可自行延长。</w:t>
      </w:r>
      <w:r/>
    </w:p>
    <w:p>
      <w:pPr>
        <w:spacing w:line="360" w:lineRule="auto"/>
        <w:rPr>
          <w:b/>
          <w:sz w:val="28"/>
          <w:szCs w:val="28"/>
        </w:rPr>
      </w:pPr>
      <w:r>
        <w:rPr>
          <w:b/>
          <w:sz w:val="28"/>
          <w:szCs w:val="28"/>
        </w:rPr>
      </w:r>
      <w:r/>
    </w:p>
    <w:p>
      <w:pPr>
        <w:spacing w:line="360" w:lineRule="auto"/>
        <w:rPr>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w:t>
      </w:r>
      <w:r/>
    </w:p>
    <w:tbl>
      <w:tblPr>
        <w:tblStyle w:val="73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宋体" w:eastAsia="黑体"/>
          <w:b/>
          <w:sz w:val="24"/>
          <w:szCs w:val="24"/>
        </w:rPr>
      </w:pPr>
      <w:r>
        <w:rPr>
          <w:rFonts w:hint="eastAsia" w:ascii="黑体" w:eastAsia="黑体"/>
          <w:bCs/>
          <w:sz w:val="24"/>
          <w:szCs w:val="24"/>
        </w:rPr>
        <w:t xml:space="preserve">投标人名称（盖章）：</w:t>
      </w:r>
      <w:r/>
    </w:p>
    <w:p>
      <w:pPr>
        <w:spacing w:line="360" w:lineRule="auto"/>
        <w:rPr>
          <w:rFonts w:ascii="宋体"/>
          <w:bCs/>
          <w:sz w:val="30"/>
        </w:rPr>
      </w:pPr>
      <w:r>
        <w:rPr>
          <w:rFonts w:ascii="宋体"/>
          <w:bCs/>
          <w:sz w:val="30"/>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spacing w:line="360" w:lineRule="auto"/>
        <w:rPr>
          <w:rFonts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72"/>
      <w:r/>
      <w:bookmarkStart w:id="173" w:name="_Hlt26955066"/>
      <w:r/>
      <w:bookmarkEnd w:id="173"/>
      <w:r/>
      <w:bookmarkStart w:id="174" w:name="_Hlt26671374"/>
      <w:r/>
      <w:bookmarkEnd w:id="174"/>
      <w:r/>
      <w:bookmarkStart w:id="175" w:name="_Hlt26609389"/>
      <w:r/>
      <w:bookmarkEnd w:id="175"/>
      <w:r/>
      <w:bookmarkStart w:id="176" w:name="_格式2__法定代表人授权书"/>
      <w:r/>
      <w:bookmarkEnd w:id="176"/>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spacing w:line="360" w:lineRule="auto"/>
      </w:pPr>
      <w:r/>
      <w:r/>
    </w:p>
    <w:p>
      <w:pPr>
        <w:spacing w:line="360" w:lineRule="auto"/>
        <w:rPr>
          <w:b/>
          <w:sz w:val="28"/>
          <w:szCs w:val="28"/>
        </w:rPr>
        <w:outlineLvl w:val="0"/>
      </w:pPr>
      <w:r>
        <w:rPr>
          <w:rFonts w:ascii="宋体" w:hAnsi="宋体"/>
          <w:bCs/>
          <w:sz w:val="24"/>
          <w:szCs w:val="24"/>
        </w:rPr>
        <w:br w:type="page" w:clear="all"/>
      </w:r>
      <w:r>
        <w:rPr>
          <w:rFonts w:hint="eastAsia"/>
          <w:b/>
          <w:sz w:val="28"/>
          <w:szCs w:val="28"/>
        </w:rPr>
        <w:t xml:space="preserve">十一、项目人员配置考察表（格式）</w:t>
      </w:r>
      <w:r/>
    </w:p>
    <w:p>
      <w:pPr>
        <w:ind w:firstLine="420"/>
        <w:spacing w:line="360" w:lineRule="auto"/>
        <w:rPr>
          <w:rFonts w:ascii="黑体" w:hAnsi="宋体" w:eastAsia="黑体"/>
          <w:bCs/>
          <w:sz w:val="24"/>
          <w:szCs w:val="24"/>
        </w:rPr>
        <w:outlineLvl w:val="0"/>
      </w:pPr>
      <w:r>
        <w:rPr>
          <w:rFonts w:ascii="黑体" w:hAnsi="宋体" w:eastAsia="黑体"/>
          <w:bCs/>
          <w:sz w:val="24"/>
          <w:szCs w:val="24"/>
        </w:rPr>
      </w:r>
      <w:r/>
    </w:p>
    <w:p>
      <w:pPr>
        <w:ind w:firstLine="490"/>
        <w:jc w:val="center"/>
        <w:spacing w:line="360" w:lineRule="auto"/>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黑体" w:eastAsia="黑体"/>
          <w:bCs/>
          <w:sz w:val="24"/>
          <w:szCs w:val="24"/>
        </w:rPr>
      </w:pPr>
      <w:r>
        <w:rPr>
          <w:rFonts w:hint="eastAsia" w:ascii="黑体" w:eastAsia="黑体"/>
          <w:bCs/>
          <w:sz w:val="24"/>
          <w:szCs w:val="24"/>
        </w:rPr>
        <w:t xml:space="preserve">项目编号：</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sz w:val="24"/>
              </w:rPr>
            </w:pPr>
            <w:r>
              <w:rPr>
                <w:rFonts w:hint="eastAsia"/>
                <w:b/>
                <w:sz w:val="24"/>
              </w:rPr>
              <w:t xml:space="preserve">序号</w:t>
            </w:r>
            <w:r/>
          </w:p>
        </w:tc>
        <w:tc>
          <w:tcPr>
            <w:tcW w:w="1098" w:type="dxa"/>
            <w:vAlign w:val="center"/>
            <w:textDirection w:val="lrTb"/>
            <w:noWrap w:val="false"/>
          </w:tcPr>
          <w:p>
            <w:pPr>
              <w:jc w:val="center"/>
              <w:spacing w:line="360" w:lineRule="auto"/>
              <w:rPr>
                <w:b/>
                <w:sz w:val="24"/>
              </w:rPr>
            </w:pPr>
            <w:r>
              <w:rPr>
                <w:rFonts w:hint="eastAsia"/>
                <w:b/>
                <w:sz w:val="24"/>
              </w:rPr>
              <w:t xml:space="preserve">姓名</w:t>
            </w:r>
            <w:r/>
          </w:p>
        </w:tc>
        <w:tc>
          <w:tcPr>
            <w:tcW w:w="744" w:type="dxa"/>
            <w:vAlign w:val="center"/>
            <w:textDirection w:val="lrTb"/>
            <w:noWrap w:val="false"/>
          </w:tcPr>
          <w:p>
            <w:pPr>
              <w:jc w:val="center"/>
              <w:spacing w:line="360" w:lineRule="auto"/>
              <w:rPr>
                <w:b/>
                <w:sz w:val="24"/>
              </w:rPr>
            </w:pPr>
            <w:r>
              <w:rPr>
                <w:rFonts w:hint="eastAsia"/>
                <w:b/>
                <w:sz w:val="24"/>
              </w:rPr>
              <w:t xml:space="preserve">性别</w:t>
            </w:r>
            <w:r/>
          </w:p>
        </w:tc>
        <w:tc>
          <w:tcPr>
            <w:tcW w:w="709" w:type="dxa"/>
            <w:vAlign w:val="center"/>
            <w:textDirection w:val="lrTb"/>
            <w:noWrap w:val="false"/>
          </w:tcPr>
          <w:p>
            <w:pPr>
              <w:jc w:val="center"/>
              <w:spacing w:line="360" w:lineRule="auto"/>
              <w:rPr>
                <w:b/>
                <w:sz w:val="24"/>
              </w:rPr>
            </w:pPr>
            <w:r>
              <w:rPr>
                <w:rFonts w:hint="eastAsia"/>
                <w:b/>
                <w:sz w:val="24"/>
              </w:rPr>
              <w:t xml:space="preserve">年龄</w:t>
            </w:r>
            <w:r/>
          </w:p>
        </w:tc>
        <w:tc>
          <w:tcPr>
            <w:tcW w:w="834" w:type="dxa"/>
            <w:vAlign w:val="center"/>
            <w:textDirection w:val="lrTb"/>
            <w:noWrap w:val="false"/>
          </w:tcPr>
          <w:p>
            <w:pPr>
              <w:jc w:val="center"/>
              <w:spacing w:line="360" w:lineRule="auto"/>
              <w:rPr>
                <w:b/>
                <w:sz w:val="24"/>
              </w:rPr>
            </w:pPr>
            <w:r>
              <w:rPr>
                <w:rFonts w:hint="eastAsia"/>
                <w:b/>
                <w:sz w:val="24"/>
              </w:rPr>
              <w:t xml:space="preserve">学历</w:t>
            </w:r>
            <w:r/>
          </w:p>
        </w:tc>
        <w:tc>
          <w:tcPr>
            <w:tcW w:w="1276" w:type="dxa"/>
            <w:vAlign w:val="center"/>
            <w:textDirection w:val="lrTb"/>
            <w:noWrap w:val="false"/>
          </w:tcPr>
          <w:p>
            <w:pPr>
              <w:jc w:val="center"/>
              <w:spacing w:line="360" w:lineRule="auto"/>
              <w:rPr>
                <w:b/>
                <w:sz w:val="24"/>
              </w:rPr>
            </w:pPr>
            <w:r>
              <w:rPr>
                <w:rFonts w:hint="eastAsia"/>
                <w:b/>
                <w:sz w:val="24"/>
              </w:rPr>
              <w:t xml:space="preserve">岗位职责</w:t>
            </w:r>
            <w:r/>
          </w:p>
        </w:tc>
        <w:tc>
          <w:tcPr>
            <w:tcW w:w="1285" w:type="dxa"/>
            <w:vAlign w:val="center"/>
            <w:textDirection w:val="lrTb"/>
            <w:noWrap w:val="false"/>
          </w:tcPr>
          <w:p>
            <w:pPr>
              <w:jc w:val="center"/>
              <w:spacing w:line="360" w:lineRule="auto"/>
              <w:rPr>
                <w:b/>
                <w:sz w:val="24"/>
              </w:rPr>
            </w:pPr>
            <w:r>
              <w:rPr>
                <w:rFonts w:hint="eastAsia"/>
                <w:b/>
                <w:sz w:val="24"/>
              </w:rPr>
              <w:t xml:space="preserve">人员证书名称</w:t>
            </w:r>
            <w:r/>
          </w:p>
        </w:tc>
        <w:tc>
          <w:tcPr>
            <w:tcW w:w="1833" w:type="dxa"/>
            <w:vAlign w:val="center"/>
            <w:textDirection w:val="lrTb"/>
            <w:noWrap w:val="false"/>
          </w:tcPr>
          <w:p>
            <w:pPr>
              <w:jc w:val="center"/>
              <w:spacing w:line="360" w:lineRule="auto"/>
              <w:rPr>
                <w:b/>
                <w:sz w:val="24"/>
              </w:rPr>
            </w:pPr>
            <w:r>
              <w:rPr>
                <w:rFonts w:hint="eastAsia"/>
                <w:b/>
                <w:sz w:val="24"/>
              </w:rPr>
              <w:t xml:space="preserve">人员经验描述</w:t>
            </w:r>
            <w:r/>
          </w:p>
          <w:p>
            <w:pPr>
              <w:jc w:val="center"/>
              <w:spacing w:line="360" w:lineRule="auto"/>
              <w:rPr>
                <w:b/>
                <w:sz w:val="24"/>
              </w:rPr>
            </w:pPr>
            <w:r>
              <w:rPr>
                <w:rFonts w:hint="eastAsia"/>
                <w:b/>
                <w:sz w:val="24"/>
              </w:rPr>
              <w:t xml:space="preserve">（如有要求）</w:t>
            </w:r>
            <w:r/>
          </w:p>
        </w:tc>
        <w:tc>
          <w:tcPr>
            <w:tcW w:w="992" w:type="dxa"/>
            <w:vAlign w:val="center"/>
            <w:textDirection w:val="lrTb"/>
            <w:noWrap w:val="false"/>
          </w:tcPr>
          <w:p>
            <w:pPr>
              <w:jc w:val="center"/>
              <w:spacing w:line="360" w:lineRule="auto"/>
              <w:rPr>
                <w:b/>
                <w:sz w:val="24"/>
              </w:rPr>
            </w:pPr>
            <w:r>
              <w:rPr>
                <w:rFonts w:hint="eastAsia"/>
                <w:b/>
                <w:sz w:val="24"/>
              </w:rPr>
              <w:t xml:space="preserve">备注</w:t>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hint="eastAsia" w:ascii="宋体" w:hAnsi="宋体"/>
          <w:bCs/>
        </w:rPr>
        <w:t xml:space="preserve">注：1. 本表对应评分标准中的项目人员配置情况，表格不够可自行延长。</w:t>
      </w:r>
      <w:r/>
    </w:p>
    <w:p>
      <w:pPr>
        <w:ind w:firstLine="420"/>
        <w:spacing w:line="360" w:lineRule="auto"/>
        <w:rPr>
          <w:rFonts w:ascii="宋体" w:hAnsi="宋体"/>
          <w:bCs/>
        </w:rPr>
      </w:pPr>
      <w:r>
        <w:rPr>
          <w:rFonts w:hint="eastAsia" w:ascii="宋体" w:hAnsi="宋体"/>
          <w:bCs/>
        </w:rPr>
        <w:t xml:space="preserve">2.上表内容须按评分标准中的相关要求提供相应证明材料。</w:t>
      </w:r>
      <w:r/>
    </w:p>
    <w:p>
      <w:pPr>
        <w:ind w:firstLine="420"/>
        <w:spacing w:line="360" w:lineRule="auto"/>
        <w:rPr>
          <w:rFonts w:ascii="宋体" w:hAnsi="宋体"/>
          <w:bCs/>
        </w:rPr>
      </w:pPr>
      <w:r>
        <w:rPr>
          <w:rFonts w:hint="eastAsia" w:ascii="宋体" w:hAnsi="宋体"/>
          <w:bCs/>
        </w:rPr>
        <w:t xml:space="preserve">3.证明材料均请附在本表之后。</w:t>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sectPr>
      <w:headerReference w:type="first" r:id="rId9"/>
      <w:footerReference w:type="default" r:id="rId10"/>
      <w:footerReference w:type="even" r:id="rId11"/>
      <w:footerReference w:type="first" r:id="rId12"/>
      <w:footnotePr/>
      <w:endnotePr/>
      <w:type w:val="nextPage"/>
      <w:pgSz w:w="11906" w:h="16838" w:orient="portrait"/>
      <w:pgMar w:top="567" w:right="851" w:bottom="567" w:left="1134" w:header="624" w:footer="907"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777566"/>
      <w:rPr/>
    </w:sdtPr>
    <w:sdtContent>
      <w:p>
        <w:pPr>
          <w:pStyle w:val="752"/>
          <w:jc w:val="center"/>
        </w:pPr>
        <w:r>
          <w:fldChar w:fldCharType="begin"/>
        </w:r>
        <w:r>
          <w:instrText xml:space="preserve"> PAGE   \* MERGEFORMAT </w:instrText>
        </w:r>
        <w:r>
          <w:fldChar w:fldCharType="separate"/>
        </w:r>
        <w:r>
          <w:rPr>
            <w:lang w:val="zh-CN"/>
          </w:rPr>
          <w:t xml:space="preserve">43</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3"/>
      </w:rPr>
      <w:framePr w:wrap="around" w:vAnchor="text" w:hAnchor="margin" w:xAlign="center" w:y="1"/>
    </w:pPr>
    <w:r>
      <w:rPr>
        <w:rStyle w:val="773"/>
      </w:rPr>
      <w:fldChar w:fldCharType="begin"/>
    </w:r>
    <w:r>
      <w:rPr>
        <w:rStyle w:val="773"/>
      </w:rPr>
      <w:instrText xml:space="preserve">PAGE  </w:instrText>
    </w:r>
    <w:r>
      <w:rPr>
        <w:rStyle w:val="773"/>
      </w:rPr>
      <w:fldChar w:fldCharType="separate"/>
    </w:r>
    <w:r>
      <w:rPr>
        <w:rStyle w:val="773"/>
      </w:rPr>
      <w:t xml:space="preserve">1</w:t>
    </w:r>
    <w:r>
      <w:rPr>
        <w:rStyle w:val="773"/>
      </w:rPr>
      <w:fldChar w:fldCharType="end"/>
    </w:r>
    <w:r/>
  </w:p>
  <w:p>
    <w:pPr>
      <w:pStyle w:val="75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2"/>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2"/>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8"/>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1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upperLetter"/>
      <w:pStyle w:val="728"/>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4"/>
  </w:num>
  <w:num w:numId="2">
    <w:abstractNumId w:val="6"/>
  </w:num>
  <w:num w:numId="3">
    <w:abstractNumId w:val="10"/>
  </w:num>
  <w:num w:numId="4">
    <w:abstractNumId w:val="12"/>
  </w:num>
  <w:num w:numId="5">
    <w:abstractNumId w:val="11"/>
  </w:num>
  <w:num w:numId="6">
    <w:abstractNumId w:val="1"/>
  </w:num>
  <w:num w:numId="7">
    <w:abstractNumId w:val="4"/>
  </w:num>
  <w:num w:numId="8">
    <w:abstractNumId w:val="0"/>
  </w:num>
  <w:num w:numId="9">
    <w:abstractNumId w:val="3"/>
  </w:num>
  <w:num w:numId="10">
    <w:abstractNumId w:val="9"/>
  </w:num>
  <w:num w:numId="11">
    <w:abstractNumId w:val="13"/>
  </w:num>
  <w:num w:numId="12">
    <w:abstractNumId w:val="7"/>
  </w:num>
  <w:num w:numId="13">
    <w:abstractNumId w:val="8"/>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TOC Heading"/>
    <w:uiPriority w:val="39"/>
    <w:unhideWhenUsed/>
  </w:style>
  <w:style w:type="paragraph" w:styleId="72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4">
    <w:name w:val="Heading 1"/>
    <w:basedOn w:val="723"/>
    <w:next w:val="723"/>
    <w:link w:val="779"/>
    <w:uiPriority w:val="9"/>
    <w:qFormat/>
    <w:pPr>
      <w:jc w:val="center"/>
      <w:keepNext/>
      <w:outlineLvl w:val="0"/>
    </w:pPr>
    <w:rPr>
      <w:rFonts w:ascii="楷体_GB2312" w:hAnsi="Times New Roman" w:eastAsia="楷体_GB2312" w:cs="Times New Roman"/>
      <w:b/>
      <w:sz w:val="28"/>
      <w:szCs w:val="20"/>
    </w:rPr>
  </w:style>
  <w:style w:type="paragraph" w:styleId="725">
    <w:name w:val="Heading 2"/>
    <w:basedOn w:val="723"/>
    <w:next w:val="723"/>
    <w:link w:val="780"/>
    <w:uiPriority w:val="9"/>
    <w:qFormat/>
    <w:pPr>
      <w:jc w:val="center"/>
      <w:keepNext/>
      <w:outlineLvl w:val="1"/>
    </w:pPr>
    <w:rPr>
      <w:rFonts w:ascii="楷体_GB2312" w:hAnsi="Times New Roman" w:eastAsia="楷体_GB2312" w:cs="Times New Roman"/>
      <w:b/>
      <w:bCs/>
      <w:sz w:val="18"/>
      <w:szCs w:val="20"/>
    </w:rPr>
  </w:style>
  <w:style w:type="paragraph" w:styleId="726">
    <w:name w:val="Heading 3"/>
    <w:basedOn w:val="735"/>
    <w:next w:val="723"/>
    <w:link w:val="781"/>
    <w:uiPriority w:val="9"/>
    <w:qFormat/>
    <w:pPr>
      <w:jc w:val="left"/>
      <w:keepNext/>
    </w:pPr>
    <w:rPr>
      <w:rFonts w:asciiTheme="minorEastAsia" w:hAnsiTheme="minorEastAsia" w:eastAsiaTheme="minorEastAsia" w:cstheme="minorBidi"/>
      <w:bCs/>
      <w:sz w:val="24"/>
      <w:szCs w:val="24"/>
      <w:lang w:eastAsia="zh-CN"/>
    </w:rPr>
  </w:style>
  <w:style w:type="paragraph" w:styleId="727">
    <w:name w:val="Heading 4"/>
    <w:basedOn w:val="723"/>
    <w:next w:val="723"/>
    <w:link w:val="782"/>
    <w:uiPriority w:val="9"/>
    <w:qFormat/>
    <w:pPr>
      <w:keepNext/>
      <w:outlineLvl w:val="3"/>
    </w:pPr>
    <w:rPr>
      <w:rFonts w:ascii="Times New Roman" w:hAnsi="Times New Roman" w:eastAsia="楷体_GB2312" w:cs="Times New Roman"/>
      <w:b/>
      <w:bCs/>
      <w:sz w:val="15"/>
      <w:szCs w:val="20"/>
    </w:rPr>
  </w:style>
  <w:style w:type="paragraph" w:styleId="728">
    <w:name w:val="Heading 5"/>
    <w:basedOn w:val="723"/>
    <w:next w:val="723"/>
    <w:link w:val="783"/>
    <w:uiPriority w:val="9"/>
    <w:qFormat/>
    <w:pPr>
      <w:numPr>
        <w:ilvl w:val="0"/>
        <w:numId w:val="1"/>
      </w:numPr>
      <w:keepNext/>
      <w:outlineLvl w:val="4"/>
    </w:pPr>
    <w:rPr>
      <w:rFonts w:ascii="楷体_GB2312" w:hAnsi="Times New Roman" w:eastAsia="楷体_GB2312" w:cs="Times New Roman"/>
      <w:bCs/>
      <w:sz w:val="28"/>
      <w:szCs w:val="20"/>
    </w:rPr>
  </w:style>
  <w:style w:type="paragraph" w:styleId="729">
    <w:name w:val="Heading 6"/>
    <w:basedOn w:val="723"/>
    <w:next w:val="723"/>
    <w:link w:val="863"/>
    <w:uiPriority w:val="9"/>
    <w:qFormat/>
    <w:pPr>
      <w:keepLines/>
      <w:keepNext/>
      <w:spacing w:before="320" w:after="200"/>
      <w:outlineLvl w:val="5"/>
    </w:pPr>
    <w:rPr>
      <w:rFonts w:ascii="Arial" w:hAnsi="Arial" w:eastAsia="Arial" w:cs="Arial"/>
      <w:b/>
      <w:bCs/>
      <w:sz w:val="22"/>
    </w:rPr>
  </w:style>
  <w:style w:type="paragraph" w:styleId="730">
    <w:name w:val="Heading 7"/>
    <w:basedOn w:val="723"/>
    <w:next w:val="723"/>
    <w:link w:val="864"/>
    <w:uiPriority w:val="9"/>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65"/>
    <w:uiPriority w:val="9"/>
    <w:qFormat/>
    <w:pPr>
      <w:keepLines/>
      <w:keepNext/>
      <w:spacing w:before="320" w:after="200"/>
      <w:outlineLvl w:val="7"/>
    </w:pPr>
    <w:rPr>
      <w:rFonts w:ascii="Arial" w:hAnsi="Arial" w:eastAsia="Arial" w:cs="Arial"/>
      <w:i/>
      <w:iCs/>
      <w:sz w:val="22"/>
    </w:rPr>
  </w:style>
  <w:style w:type="paragraph" w:styleId="732">
    <w:name w:val="Heading 9"/>
    <w:basedOn w:val="723"/>
    <w:next w:val="723"/>
    <w:link w:val="866"/>
    <w:uiPriority w:val="9"/>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eastAsia="宋体" w:cs="Times New Roman"/>
      <w:sz w:val="21"/>
      <w:szCs w:val="22"/>
    </w:rPr>
    <w:tblPr>
      <w:tblCellMar>
        <w:left w:w="108" w:type="dxa"/>
        <w:top w:w="0" w:type="dxa"/>
        <w:right w:w="108" w:type="dxa"/>
        <w:bottom w:w="0" w:type="dxa"/>
      </w:tblCellMar>
    </w:tblPr>
  </w:style>
  <w:style w:type="paragraph" w:styleId="735" w:customStyle="1">
    <w:name w:val="Cn Heading3"/>
    <w:basedOn w:val="736"/>
    <w:uiPriority w:val="0"/>
    <w:qFormat/>
    <w:pPr>
      <w:ind w:firstLine="0"/>
      <w:spacing w:line="480" w:lineRule="auto"/>
      <w:outlineLvl w:val="2"/>
    </w:pPr>
    <w:rPr>
      <w:rFonts w:ascii="微软雅黑" w:hAnsi="微软雅黑" w:eastAsia="微软雅黑"/>
      <w:b/>
      <w:sz w:val="28"/>
      <w:szCs w:val="28"/>
      <w:lang w:eastAsia="ja-JP"/>
    </w:rPr>
  </w:style>
  <w:style w:type="paragraph" w:styleId="736" w:customStyle="1">
    <w:name w:val="列出段落1"/>
    <w:basedOn w:val="723"/>
    <w:link w:val="1107"/>
    <w:uiPriority w:val="0"/>
    <w:qFormat/>
    <w:pPr>
      <w:ind w:firstLine="420"/>
      <w:spacing w:before="120" w:after="120" w:line="360" w:lineRule="auto"/>
    </w:pPr>
    <w:rPr>
      <w:rFonts w:ascii="Calibri" w:hAnsi="Calibri" w:eastAsia="宋体" w:cs="Times New Roman"/>
      <w:sz w:val="24"/>
    </w:rPr>
  </w:style>
  <w:style w:type="paragraph" w:styleId="737">
    <w:name w:val="toc 7"/>
    <w:basedOn w:val="723"/>
    <w:next w:val="723"/>
    <w:uiPriority w:val="39"/>
    <w:unhideWhenUsed/>
    <w:qFormat/>
    <w:pPr>
      <w:ind w:left="1701"/>
      <w:spacing w:after="57"/>
    </w:pPr>
    <w:rPr>
      <w:rFonts w:ascii="Times New Roman" w:hAnsi="Times New Roman" w:eastAsia="宋体" w:cs="Times New Roman"/>
      <w:szCs w:val="21"/>
    </w:rPr>
  </w:style>
  <w:style w:type="paragraph" w:styleId="738">
    <w:name w:val="Normal Indent"/>
    <w:basedOn w:val="723"/>
    <w:next w:val="727"/>
    <w:uiPriority w:val="99"/>
    <w:qFormat/>
    <w:pPr>
      <w:ind w:firstLine="420"/>
    </w:pPr>
    <w:rPr>
      <w:rFonts w:ascii="Times New Roman" w:hAnsi="Times New Roman" w:eastAsia="宋体" w:cs="Times New Roman"/>
      <w:szCs w:val="20"/>
    </w:rPr>
  </w:style>
  <w:style w:type="paragraph" w:styleId="739">
    <w:name w:val="Caption"/>
    <w:basedOn w:val="723"/>
    <w:next w:val="723"/>
    <w:uiPriority w:val="35"/>
    <w:qFormat/>
    <w:pPr>
      <w:spacing w:line="276" w:lineRule="auto"/>
    </w:pPr>
    <w:rPr>
      <w:rFonts w:ascii="Times New Roman" w:hAnsi="Times New Roman" w:eastAsia="宋体" w:cs="Times New Roman"/>
      <w:b/>
      <w:bCs/>
      <w:color w:val="4f81bd"/>
      <w:sz w:val="18"/>
      <w:szCs w:val="18"/>
    </w:rPr>
  </w:style>
  <w:style w:type="paragraph" w:styleId="740">
    <w:name w:val="Document Map"/>
    <w:basedOn w:val="723"/>
    <w:link w:val="844"/>
    <w:uiPriority w:val="99"/>
    <w:semiHidden/>
    <w:qFormat/>
    <w:pPr>
      <w:shd w:val="clear" w:color="auto" w:fill="000080"/>
    </w:pPr>
    <w:rPr>
      <w:rFonts w:ascii="Times New Roman" w:hAnsi="Times New Roman" w:eastAsia="宋体" w:cs="Times New Roman"/>
      <w:sz w:val="20"/>
      <w:szCs w:val="20"/>
    </w:rPr>
  </w:style>
  <w:style w:type="paragraph" w:styleId="741">
    <w:name w:val="annotation text"/>
    <w:basedOn w:val="723"/>
    <w:link w:val="851"/>
    <w:uiPriority w:val="99"/>
    <w:semiHidden/>
    <w:unhideWhenUsed/>
    <w:qFormat/>
    <w:pPr>
      <w:jc w:val="left"/>
    </w:pPr>
  </w:style>
  <w:style w:type="paragraph" w:styleId="742">
    <w:name w:val="Body Text"/>
    <w:basedOn w:val="723"/>
    <w:next w:val="743"/>
    <w:link w:val="788"/>
    <w:uiPriority w:val="99"/>
    <w:qFormat/>
    <w:rPr>
      <w:rFonts w:ascii="华文中宋" w:hAnsi="Times New Roman" w:eastAsia="华文中宋" w:cs="Times New Roman"/>
      <w:bCs/>
      <w:sz w:val="28"/>
      <w:szCs w:val="20"/>
    </w:rPr>
  </w:style>
  <w:style w:type="paragraph" w:styleId="743">
    <w:name w:val="Subtitle"/>
    <w:basedOn w:val="723"/>
    <w:next w:val="723"/>
    <w:link w:val="900"/>
    <w:uiPriority w:val="11"/>
    <w:qFormat/>
    <w:pPr>
      <w:ind w:firstLine="471"/>
      <w:jc w:val="center"/>
      <w:spacing w:before="240" w:after="60" w:line="312" w:lineRule="atLeast"/>
      <w:outlineLvl w:val="1"/>
    </w:pPr>
    <w:rPr>
      <w:rFonts w:ascii="Arial" w:hAnsi="Arial"/>
      <w:b/>
      <w:bCs/>
      <w:sz w:val="32"/>
      <w:szCs w:val="32"/>
    </w:rPr>
  </w:style>
  <w:style w:type="paragraph" w:styleId="744">
    <w:name w:val="Body Text Indent"/>
    <w:basedOn w:val="723"/>
    <w:link w:val="785"/>
    <w:uiPriority w:val="99"/>
    <w:qFormat/>
    <w:pPr>
      <w:ind w:firstLine="576"/>
    </w:pPr>
    <w:rPr>
      <w:rFonts w:ascii="Times New Roman" w:hAnsi="Times New Roman" w:eastAsia="宋体" w:cs="Times New Roman"/>
      <w:b/>
      <w:sz w:val="30"/>
      <w:szCs w:val="20"/>
    </w:rPr>
  </w:style>
  <w:style w:type="paragraph" w:styleId="745">
    <w:name w:val="toc 5"/>
    <w:basedOn w:val="723"/>
    <w:next w:val="723"/>
    <w:uiPriority w:val="39"/>
    <w:unhideWhenUsed/>
    <w:qFormat/>
    <w:pPr>
      <w:ind w:left="1134"/>
      <w:spacing w:after="57"/>
    </w:pPr>
    <w:rPr>
      <w:rFonts w:ascii="Times New Roman" w:hAnsi="Times New Roman" w:eastAsia="宋体" w:cs="Times New Roman"/>
      <w:szCs w:val="21"/>
    </w:rPr>
  </w:style>
  <w:style w:type="paragraph" w:styleId="746">
    <w:name w:val="toc 3"/>
    <w:basedOn w:val="723"/>
    <w:next w:val="723"/>
    <w:uiPriority w:val="39"/>
    <w:unhideWhenUsed/>
    <w:qFormat/>
    <w:pPr>
      <w:ind w:left="567"/>
      <w:spacing w:after="57"/>
    </w:pPr>
    <w:rPr>
      <w:rFonts w:ascii="Times New Roman" w:hAnsi="Times New Roman" w:eastAsia="宋体" w:cs="Times New Roman"/>
      <w:szCs w:val="21"/>
    </w:rPr>
  </w:style>
  <w:style w:type="paragraph" w:styleId="747">
    <w:name w:val="toc 8"/>
    <w:basedOn w:val="723"/>
    <w:next w:val="723"/>
    <w:uiPriority w:val="39"/>
    <w:unhideWhenUsed/>
    <w:qFormat/>
    <w:pPr>
      <w:ind w:left="1984"/>
      <w:spacing w:after="57"/>
    </w:pPr>
    <w:rPr>
      <w:rFonts w:ascii="Times New Roman" w:hAnsi="Times New Roman" w:eastAsia="宋体" w:cs="Times New Roman"/>
      <w:szCs w:val="21"/>
    </w:rPr>
  </w:style>
  <w:style w:type="paragraph" w:styleId="748">
    <w:name w:val="Date"/>
    <w:basedOn w:val="723"/>
    <w:next w:val="723"/>
    <w:link w:val="784"/>
    <w:uiPriority w:val="99"/>
    <w:qFormat/>
    <w:rPr>
      <w:rFonts w:ascii="Times New Roman" w:hAnsi="Times New Roman" w:eastAsia="黑体" w:cs="Times New Roman"/>
      <w:b/>
      <w:sz w:val="36"/>
      <w:szCs w:val="20"/>
    </w:rPr>
  </w:style>
  <w:style w:type="paragraph" w:styleId="749">
    <w:name w:val="Body Text Indent 2"/>
    <w:basedOn w:val="723"/>
    <w:link w:val="789"/>
    <w:uiPriority w:val="99"/>
    <w:qFormat/>
    <w:pPr>
      <w:ind w:left="900"/>
    </w:pPr>
    <w:rPr>
      <w:rFonts w:ascii="楷体_GB2312" w:hAnsi="Times New Roman" w:eastAsia="楷体_GB2312" w:cs="Times New Roman"/>
      <w:b/>
      <w:sz w:val="28"/>
      <w:szCs w:val="20"/>
    </w:rPr>
  </w:style>
  <w:style w:type="paragraph" w:styleId="750">
    <w:name w:val="endnote text"/>
    <w:basedOn w:val="723"/>
    <w:link w:val="891"/>
    <w:uiPriority w:val="99"/>
    <w:unhideWhenUsed/>
    <w:qFormat/>
    <w:rPr>
      <w:rFonts w:ascii="Times New Roman" w:hAnsi="Times New Roman" w:eastAsia="宋体" w:cs="Times New Roman"/>
      <w:sz w:val="20"/>
      <w:szCs w:val="21"/>
    </w:rPr>
  </w:style>
  <w:style w:type="paragraph" w:styleId="751">
    <w:name w:val="Balloon Text"/>
    <w:basedOn w:val="723"/>
    <w:link w:val="850"/>
    <w:uiPriority w:val="99"/>
    <w:unhideWhenUsed/>
    <w:qFormat/>
    <w:rPr>
      <w:rFonts w:ascii="Times New Roman" w:hAnsi="Times New Roman" w:eastAsia="宋体" w:cs="Times New Roman"/>
      <w:sz w:val="18"/>
      <w:szCs w:val="18"/>
    </w:rPr>
  </w:style>
  <w:style w:type="paragraph" w:styleId="752">
    <w:name w:val="Footer"/>
    <w:basedOn w:val="723"/>
    <w:next w:val="753"/>
    <w:link w:val="786"/>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53" w:customStyle="1">
    <w:name w:val="明显引用1"/>
    <w:next w:val="723"/>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754">
    <w:name w:val="Header"/>
    <w:basedOn w:val="723"/>
    <w:link w:val="787"/>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55">
    <w:name w:val="toc 1"/>
    <w:basedOn w:val="723"/>
    <w:next w:val="723"/>
    <w:uiPriority w:val="39"/>
    <w:unhideWhenUsed/>
    <w:qFormat/>
    <w:pPr>
      <w:spacing w:after="57"/>
    </w:pPr>
    <w:rPr>
      <w:rFonts w:ascii="Times New Roman" w:hAnsi="Times New Roman" w:eastAsia="宋体" w:cs="Times New Roman"/>
      <w:szCs w:val="21"/>
    </w:rPr>
  </w:style>
  <w:style w:type="paragraph" w:styleId="756">
    <w:name w:val="toc 4"/>
    <w:basedOn w:val="723"/>
    <w:next w:val="723"/>
    <w:uiPriority w:val="39"/>
    <w:unhideWhenUsed/>
    <w:qFormat/>
    <w:pPr>
      <w:ind w:left="850"/>
      <w:spacing w:after="57"/>
    </w:pPr>
    <w:rPr>
      <w:rFonts w:ascii="Times New Roman" w:hAnsi="Times New Roman" w:eastAsia="宋体" w:cs="Times New Roman"/>
      <w:szCs w:val="21"/>
    </w:rPr>
  </w:style>
  <w:style w:type="paragraph" w:styleId="757">
    <w:name w:val="List"/>
    <w:basedOn w:val="723"/>
    <w:uiPriority w:val="0"/>
    <w:qFormat/>
    <w:pPr>
      <w:ind w:firstLine="480"/>
      <w:spacing w:after="20" w:line="360" w:lineRule="auto"/>
      <w:tabs>
        <w:tab w:val="left" w:pos="420" w:leader="none"/>
      </w:tabs>
    </w:pPr>
    <w:rPr>
      <w:rFonts w:ascii="宋体" w:hAnsi="宋体" w:eastAsia="宋体" w:cs="宋体"/>
      <w:sz w:val="24"/>
      <w:szCs w:val="24"/>
    </w:rPr>
  </w:style>
  <w:style w:type="paragraph" w:styleId="758">
    <w:name w:val="footnote text"/>
    <w:basedOn w:val="723"/>
    <w:link w:val="889"/>
    <w:uiPriority w:val="99"/>
    <w:unhideWhenUsed/>
    <w:qFormat/>
    <w:pPr>
      <w:spacing w:after="40"/>
    </w:pPr>
    <w:rPr>
      <w:rFonts w:ascii="Times New Roman" w:hAnsi="Times New Roman" w:eastAsia="宋体" w:cs="Times New Roman"/>
      <w:sz w:val="18"/>
      <w:szCs w:val="21"/>
    </w:rPr>
  </w:style>
  <w:style w:type="paragraph" w:styleId="759">
    <w:name w:val="toc 6"/>
    <w:basedOn w:val="723"/>
    <w:next w:val="723"/>
    <w:uiPriority w:val="39"/>
    <w:unhideWhenUsed/>
    <w:qFormat/>
    <w:pPr>
      <w:ind w:left="1417"/>
      <w:spacing w:after="57"/>
    </w:pPr>
    <w:rPr>
      <w:rFonts w:ascii="Times New Roman" w:hAnsi="Times New Roman" w:eastAsia="宋体" w:cs="Times New Roman"/>
      <w:szCs w:val="21"/>
    </w:rPr>
  </w:style>
  <w:style w:type="paragraph" w:styleId="760">
    <w:name w:val="Body Text Indent 3"/>
    <w:basedOn w:val="723"/>
    <w:link w:val="790"/>
    <w:uiPriority w:val="99"/>
    <w:qFormat/>
    <w:pPr>
      <w:ind w:left="359" w:firstLine="359"/>
    </w:pPr>
    <w:rPr>
      <w:rFonts w:ascii="Times New Roman" w:hAnsi="Times New Roman" w:eastAsia="宋体" w:cs="Times New Roman"/>
      <w:sz w:val="20"/>
      <w:szCs w:val="20"/>
    </w:rPr>
  </w:style>
  <w:style w:type="paragraph" w:styleId="761">
    <w:name w:val="table of figures"/>
    <w:basedOn w:val="723"/>
    <w:next w:val="723"/>
    <w:uiPriority w:val="99"/>
    <w:unhideWhenUsed/>
    <w:qFormat/>
    <w:rPr>
      <w:rFonts w:ascii="Times New Roman" w:hAnsi="Times New Roman" w:eastAsia="宋体" w:cs="Times New Roman"/>
      <w:szCs w:val="21"/>
    </w:rPr>
  </w:style>
  <w:style w:type="paragraph" w:styleId="762">
    <w:name w:val="toc 2"/>
    <w:basedOn w:val="723"/>
    <w:next w:val="723"/>
    <w:uiPriority w:val="39"/>
    <w:unhideWhenUsed/>
    <w:qFormat/>
    <w:pPr>
      <w:ind w:left="283"/>
      <w:spacing w:after="57"/>
    </w:pPr>
    <w:rPr>
      <w:rFonts w:ascii="Times New Roman" w:hAnsi="Times New Roman" w:eastAsia="宋体" w:cs="Times New Roman"/>
      <w:szCs w:val="21"/>
    </w:rPr>
  </w:style>
  <w:style w:type="paragraph" w:styleId="763">
    <w:name w:val="toc 9"/>
    <w:basedOn w:val="723"/>
    <w:next w:val="723"/>
    <w:uiPriority w:val="39"/>
    <w:unhideWhenUsed/>
    <w:qFormat/>
    <w:pPr>
      <w:ind w:left="2268"/>
      <w:spacing w:after="57"/>
    </w:pPr>
    <w:rPr>
      <w:rFonts w:ascii="Times New Roman" w:hAnsi="Times New Roman" w:eastAsia="宋体" w:cs="Times New Roman"/>
      <w:szCs w:val="21"/>
    </w:rPr>
  </w:style>
  <w:style w:type="paragraph" w:styleId="764">
    <w:name w:val="Body Text 2"/>
    <w:basedOn w:val="723"/>
    <w:link w:val="845"/>
    <w:uiPriority w:val="99"/>
    <w:qFormat/>
    <w:pPr>
      <w:spacing w:after="120" w:line="480" w:lineRule="auto"/>
    </w:pPr>
    <w:rPr>
      <w:rFonts w:ascii="Times New Roman" w:hAnsi="Times New Roman" w:eastAsia="宋体" w:cs="Times New Roman"/>
      <w:sz w:val="20"/>
      <w:szCs w:val="20"/>
    </w:rPr>
  </w:style>
  <w:style w:type="paragraph" w:styleId="765">
    <w:name w:val="Normal (Web)"/>
    <w:basedOn w:val="723"/>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66">
    <w:name w:val="Title"/>
    <w:basedOn w:val="723"/>
    <w:next w:val="723"/>
    <w:link w:val="877"/>
    <w:uiPriority w:val="10"/>
    <w:qFormat/>
    <w:pPr>
      <w:contextualSpacing/>
      <w:spacing w:before="300" w:after="200"/>
    </w:pPr>
    <w:rPr>
      <w:rFonts w:ascii="Times New Roman" w:hAnsi="Times New Roman" w:eastAsia="宋体" w:cs="Times New Roman"/>
      <w:sz w:val="48"/>
      <w:szCs w:val="48"/>
    </w:rPr>
  </w:style>
  <w:style w:type="paragraph" w:styleId="767">
    <w:name w:val="annotation subject"/>
    <w:basedOn w:val="741"/>
    <w:next w:val="741"/>
    <w:link w:val="852"/>
    <w:uiPriority w:val="99"/>
    <w:semiHidden/>
    <w:unhideWhenUsed/>
    <w:qFormat/>
    <w:rPr>
      <w:b/>
      <w:bCs/>
    </w:rPr>
  </w:style>
  <w:style w:type="paragraph" w:styleId="768">
    <w:name w:val="Body Text First Indent"/>
    <w:basedOn w:val="742"/>
    <w:uiPriority w:val="99"/>
    <w:unhideWhenUsed/>
    <w:qFormat/>
    <w:pPr>
      <w:ind w:firstLine="420"/>
      <w:spacing w:after="120"/>
    </w:pPr>
    <w:rPr>
      <w:rFonts w:ascii="Calibri" w:hAnsi="Calibri" w:eastAsia="宋体"/>
      <w:sz w:val="21"/>
      <w:szCs w:val="22"/>
    </w:rPr>
  </w:style>
  <w:style w:type="paragraph" w:styleId="769">
    <w:name w:val="Body Text First Indent 2"/>
    <w:basedOn w:val="744"/>
    <w:link w:val="855"/>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70">
    <w:name w:val="Table Grid"/>
    <w:basedOn w:val="734"/>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99"/>
    <w:qFormat/>
    <w:rPr>
      <w:rFonts w:cs="Times New Roman"/>
      <w:b/>
      <w:bCs/>
    </w:rPr>
  </w:style>
  <w:style w:type="character" w:styleId="772">
    <w:name w:val="endnote reference"/>
    <w:uiPriority w:val="99"/>
    <w:unhideWhenUsed/>
    <w:qFormat/>
    <w:rPr>
      <w:vertAlign w:val="superscript"/>
    </w:rPr>
  </w:style>
  <w:style w:type="character" w:styleId="773">
    <w:name w:val="page number"/>
    <w:uiPriority w:val="99"/>
    <w:qFormat/>
    <w:rPr>
      <w:rFonts w:cs="Times New Roman"/>
    </w:rPr>
  </w:style>
  <w:style w:type="character" w:styleId="774">
    <w:name w:val="FollowedHyperlink"/>
    <w:basedOn w:val="733"/>
    <w:uiPriority w:val="99"/>
    <w:semiHidden/>
    <w:unhideWhenUsed/>
    <w:qFormat/>
    <w:rPr>
      <w:color w:val="800080"/>
      <w:u w:val="single"/>
    </w:rPr>
  </w:style>
  <w:style w:type="character" w:styleId="775">
    <w:name w:val="HTML Typewriter"/>
    <w:uiPriority w:val="99"/>
    <w:qFormat/>
    <w:rPr>
      <w:rFonts w:ascii="宋体" w:hAnsi="宋体" w:eastAsia="宋体" w:cs="宋体"/>
      <w:sz w:val="24"/>
      <w:szCs w:val="24"/>
    </w:rPr>
  </w:style>
  <w:style w:type="character" w:styleId="776">
    <w:name w:val="Hyperlink"/>
    <w:uiPriority w:val="99"/>
    <w:qFormat/>
    <w:rPr>
      <w:rFonts w:cs="Times New Roman"/>
      <w:color w:val="auto"/>
      <w:u w:val="none"/>
    </w:rPr>
  </w:style>
  <w:style w:type="character" w:styleId="777">
    <w:name w:val="annotation reference"/>
    <w:basedOn w:val="733"/>
    <w:uiPriority w:val="0"/>
    <w:semiHidden/>
    <w:unhideWhenUsed/>
    <w:qFormat/>
    <w:rPr>
      <w:sz w:val="21"/>
      <w:szCs w:val="21"/>
    </w:rPr>
  </w:style>
  <w:style w:type="character" w:styleId="778">
    <w:name w:val="footnote reference"/>
    <w:uiPriority w:val="99"/>
    <w:unhideWhenUsed/>
    <w:qFormat/>
    <w:rPr>
      <w:vertAlign w:val="superscript"/>
    </w:rPr>
  </w:style>
  <w:style w:type="character" w:styleId="779" w:customStyle="1">
    <w:name w:val="标题 1 Char1"/>
    <w:basedOn w:val="733"/>
    <w:link w:val="724"/>
    <w:uiPriority w:val="9"/>
    <w:qFormat/>
    <w:rPr>
      <w:rFonts w:ascii="楷体_GB2312" w:hAnsi="Times New Roman" w:eastAsia="楷体_GB2312" w:cs="Times New Roman"/>
      <w:b/>
      <w:sz w:val="28"/>
      <w:szCs w:val="20"/>
    </w:rPr>
  </w:style>
  <w:style w:type="character" w:styleId="780" w:customStyle="1">
    <w:name w:val="标题 2 Char1"/>
    <w:basedOn w:val="733"/>
    <w:link w:val="725"/>
    <w:uiPriority w:val="9"/>
    <w:qFormat/>
    <w:rPr>
      <w:rFonts w:ascii="楷体_GB2312" w:hAnsi="Times New Roman" w:eastAsia="楷体_GB2312" w:cs="Times New Roman"/>
      <w:b/>
      <w:bCs/>
      <w:sz w:val="18"/>
      <w:szCs w:val="20"/>
    </w:rPr>
  </w:style>
  <w:style w:type="character" w:styleId="781" w:customStyle="1">
    <w:name w:val="标题 3 Char1"/>
    <w:basedOn w:val="733"/>
    <w:link w:val="726"/>
    <w:uiPriority w:val="9"/>
    <w:qFormat/>
    <w:rPr>
      <w:rFonts w:asciiTheme="minorEastAsia" w:hAnsiTheme="minorEastAsia"/>
      <w:b/>
      <w:bCs/>
      <w:sz w:val="24"/>
      <w:szCs w:val="24"/>
    </w:rPr>
  </w:style>
  <w:style w:type="character" w:styleId="782" w:customStyle="1">
    <w:name w:val="标题 4 Char1"/>
    <w:basedOn w:val="733"/>
    <w:link w:val="727"/>
    <w:uiPriority w:val="9"/>
    <w:qFormat/>
    <w:rPr>
      <w:rFonts w:ascii="Times New Roman" w:hAnsi="Times New Roman" w:eastAsia="楷体_GB2312" w:cs="Times New Roman"/>
      <w:b/>
      <w:bCs/>
      <w:sz w:val="15"/>
    </w:rPr>
  </w:style>
  <w:style w:type="character" w:styleId="783" w:customStyle="1">
    <w:name w:val="标题 5 Char1"/>
    <w:basedOn w:val="733"/>
    <w:link w:val="728"/>
    <w:uiPriority w:val="9"/>
    <w:qFormat/>
    <w:rPr>
      <w:rFonts w:ascii="楷体_GB2312" w:hAnsi="Times New Roman" w:eastAsia="楷体_GB2312" w:cs="Times New Roman"/>
      <w:bCs/>
      <w:sz w:val="28"/>
      <w:szCs w:val="20"/>
    </w:rPr>
  </w:style>
  <w:style w:type="character" w:styleId="784" w:customStyle="1">
    <w:name w:val="日期 Char1"/>
    <w:basedOn w:val="733"/>
    <w:link w:val="748"/>
    <w:uiPriority w:val="99"/>
    <w:qFormat/>
    <w:rPr>
      <w:rFonts w:ascii="Times New Roman" w:hAnsi="Times New Roman" w:eastAsia="黑体" w:cs="Times New Roman"/>
      <w:b/>
      <w:sz w:val="36"/>
      <w:szCs w:val="20"/>
    </w:rPr>
  </w:style>
  <w:style w:type="character" w:styleId="785" w:customStyle="1">
    <w:name w:val="正文文本缩进 Char1"/>
    <w:basedOn w:val="733"/>
    <w:link w:val="744"/>
    <w:uiPriority w:val="99"/>
    <w:qFormat/>
    <w:rPr>
      <w:rFonts w:ascii="Times New Roman" w:hAnsi="Times New Roman" w:eastAsia="宋体" w:cs="Times New Roman"/>
      <w:b/>
      <w:sz w:val="30"/>
      <w:szCs w:val="20"/>
    </w:rPr>
  </w:style>
  <w:style w:type="character" w:styleId="786" w:customStyle="1">
    <w:name w:val="页脚 Char1"/>
    <w:basedOn w:val="733"/>
    <w:link w:val="752"/>
    <w:uiPriority w:val="99"/>
    <w:qFormat/>
    <w:rPr>
      <w:rFonts w:ascii="Times New Roman" w:hAnsi="Times New Roman" w:eastAsia="宋体" w:cs="Times New Roman"/>
      <w:sz w:val="18"/>
      <w:szCs w:val="20"/>
    </w:rPr>
  </w:style>
  <w:style w:type="character" w:styleId="787" w:customStyle="1">
    <w:name w:val="页眉 Char1"/>
    <w:basedOn w:val="733"/>
    <w:link w:val="754"/>
    <w:uiPriority w:val="99"/>
    <w:qFormat/>
    <w:rPr>
      <w:rFonts w:ascii="Times New Roman" w:hAnsi="Times New Roman" w:eastAsia="宋体" w:cs="Times New Roman"/>
      <w:sz w:val="18"/>
      <w:szCs w:val="20"/>
    </w:rPr>
  </w:style>
  <w:style w:type="character" w:styleId="788" w:customStyle="1">
    <w:name w:val="正文文本 Char1"/>
    <w:basedOn w:val="733"/>
    <w:link w:val="742"/>
    <w:uiPriority w:val="99"/>
    <w:qFormat/>
    <w:rPr>
      <w:rFonts w:ascii="华文中宋" w:hAnsi="Times New Roman" w:eastAsia="华文中宋" w:cs="Times New Roman"/>
      <w:bCs/>
      <w:sz w:val="28"/>
      <w:szCs w:val="20"/>
    </w:rPr>
  </w:style>
  <w:style w:type="character" w:styleId="789" w:customStyle="1">
    <w:name w:val="正文文本缩进 2 Char1"/>
    <w:basedOn w:val="733"/>
    <w:link w:val="749"/>
    <w:uiPriority w:val="99"/>
    <w:qFormat/>
    <w:rPr>
      <w:rFonts w:ascii="楷体_GB2312" w:hAnsi="Times New Roman" w:eastAsia="楷体_GB2312" w:cs="Times New Roman"/>
      <w:b/>
      <w:sz w:val="28"/>
      <w:szCs w:val="20"/>
    </w:rPr>
  </w:style>
  <w:style w:type="character" w:styleId="790" w:customStyle="1">
    <w:name w:val="正文文本缩进 3 Char1"/>
    <w:basedOn w:val="733"/>
    <w:link w:val="760"/>
    <w:uiPriority w:val="99"/>
    <w:qFormat/>
    <w:rPr>
      <w:rFonts w:ascii="Times New Roman" w:hAnsi="Times New Roman" w:eastAsia="宋体" w:cs="Times New Roman"/>
      <w:sz w:val="20"/>
      <w:szCs w:val="20"/>
    </w:rPr>
  </w:style>
  <w:style w:type="paragraph" w:styleId="791" w:customStyle="1">
    <w:name w:val="font5"/>
    <w:basedOn w:val="723"/>
    <w:uiPriority w:val="0"/>
    <w:qFormat/>
    <w:pPr>
      <w:jc w:val="left"/>
      <w:spacing w:before="100" w:beforeAutospacing="1" w:after="100" w:afterAutospacing="1"/>
      <w:widowControl/>
    </w:pPr>
    <w:rPr>
      <w:rFonts w:ascii="宋体" w:hAnsi="宋体" w:eastAsia="宋体" w:cs="Times New Roman"/>
      <w:sz w:val="18"/>
      <w:szCs w:val="18"/>
    </w:rPr>
  </w:style>
  <w:style w:type="paragraph" w:styleId="792" w:customStyle="1">
    <w:name w:val="font6"/>
    <w:basedOn w:val="723"/>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793" w:customStyle="1">
    <w:name w:val="font7"/>
    <w:basedOn w:val="723"/>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794" w:customStyle="1">
    <w:name w:val="font8"/>
    <w:basedOn w:val="723"/>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795" w:customStyle="1">
    <w:name w:val="font9"/>
    <w:basedOn w:val="723"/>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796" w:customStyle="1">
    <w:name w:val="xl2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797" w:customStyle="1">
    <w:name w:val="xl25"/>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798" w:customStyle="1">
    <w:name w:val="xl2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799" w:customStyle="1">
    <w:name w:val="xl27"/>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00" w:customStyle="1">
    <w:name w:val="xl28"/>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01" w:customStyle="1">
    <w:name w:val="xl2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02" w:customStyle="1">
    <w:name w:val="xl30"/>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03" w:customStyle="1">
    <w:name w:val="xl31"/>
    <w:basedOn w:val="7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04" w:customStyle="1">
    <w:name w:val="xl32"/>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05" w:customStyle="1">
    <w:name w:val="xl33"/>
    <w:basedOn w:val="7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6" w:customStyle="1">
    <w:name w:val="xl34"/>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07" w:customStyle="1">
    <w:name w:val="xl35"/>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08" w:customStyle="1">
    <w:name w:val="xl36"/>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9" w:customStyle="1">
    <w:name w:val="xl37"/>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10" w:customStyle="1">
    <w:name w:val="xl38"/>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11" w:customStyle="1">
    <w:name w:val="xl39"/>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2" w:customStyle="1">
    <w:name w:val="xl40"/>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13" w:customStyle="1">
    <w:name w:val="xl41"/>
    <w:basedOn w:val="7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14" w:customStyle="1">
    <w:name w:val="xl42"/>
    <w:basedOn w:val="7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15" w:customStyle="1">
    <w:name w:val="xl43"/>
    <w:basedOn w:val="7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16" w:customStyle="1">
    <w:name w:val="xl44"/>
    <w:basedOn w:val="7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17" w:customStyle="1">
    <w:name w:val="xl45"/>
    <w:basedOn w:val="72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18" w:customStyle="1">
    <w:name w:val="xl46"/>
    <w:basedOn w:val="72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19" w:customStyle="1">
    <w:name w:val="xl47"/>
    <w:basedOn w:val="7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20" w:customStyle="1">
    <w:name w:val="xl48"/>
    <w:basedOn w:val="7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21" w:customStyle="1">
    <w:name w:val="xl49"/>
    <w:basedOn w:val="7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22" w:customStyle="1">
    <w:name w:val="xl50"/>
    <w:basedOn w:val="7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3" w:customStyle="1">
    <w:name w:val="xl51"/>
    <w:basedOn w:val="7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24" w:customStyle="1">
    <w:name w:val="xl52"/>
    <w:basedOn w:val="7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25" w:customStyle="1">
    <w:name w:val="xl53"/>
    <w:basedOn w:val="7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6" w:customStyle="1">
    <w:name w:val="xl54"/>
    <w:basedOn w:val="7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27" w:customStyle="1">
    <w:name w:val="xl55"/>
    <w:basedOn w:val="7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28" w:customStyle="1">
    <w:name w:val="xl56"/>
    <w:basedOn w:val="7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9" w:customStyle="1">
    <w:name w:val="xl57"/>
    <w:basedOn w:val="7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30" w:customStyle="1">
    <w:name w:val="xl58"/>
    <w:basedOn w:val="7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31" w:customStyle="1">
    <w:name w:val="xl59"/>
    <w:basedOn w:val="7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2" w:customStyle="1">
    <w:name w:val="xl60"/>
    <w:basedOn w:val="7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33" w:customStyle="1">
    <w:name w:val="xl61"/>
    <w:basedOn w:val="7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34" w:customStyle="1">
    <w:name w:val="xl62"/>
    <w:basedOn w:val="7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5" w:customStyle="1">
    <w:name w:val="xl63"/>
    <w:basedOn w:val="72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36" w:customStyle="1">
    <w:name w:val="font10"/>
    <w:basedOn w:val="723"/>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37" w:customStyle="1">
    <w:name w:val="font11"/>
    <w:basedOn w:val="723"/>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38" w:customStyle="1">
    <w:name w:val="font12"/>
    <w:basedOn w:val="723"/>
    <w:uiPriority w:val="99"/>
    <w:qFormat/>
    <w:pPr>
      <w:jc w:val="left"/>
      <w:spacing w:before="100" w:beforeAutospacing="1" w:after="100" w:afterAutospacing="1"/>
      <w:widowControl/>
    </w:pPr>
    <w:rPr>
      <w:rFonts w:ascii="宋体" w:hAnsi="宋体" w:eastAsia="宋体" w:cs="Times New Roman"/>
      <w:sz w:val="36"/>
      <w:szCs w:val="36"/>
    </w:rPr>
  </w:style>
  <w:style w:type="paragraph" w:styleId="839" w:customStyle="1">
    <w:name w:val="font13"/>
    <w:basedOn w:val="723"/>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40" w:customStyle="1">
    <w:name w:val="font14"/>
    <w:basedOn w:val="723"/>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41" w:customStyle="1">
    <w:name w:val="case31"/>
    <w:uiPriority w:val="99"/>
    <w:qFormat/>
    <w:rPr>
      <w:rFonts w:cs="Times New Roman"/>
      <w:spacing w:val="390"/>
      <w:sz w:val="21"/>
      <w:szCs w:val="21"/>
    </w:rPr>
  </w:style>
  <w:style w:type="paragraph" w:styleId="842" w:customStyle="1">
    <w:name w:val="普通文字"/>
    <w:basedOn w:val="723"/>
    <w:next w:val="723"/>
    <w:uiPriority w:val="99"/>
    <w:qFormat/>
    <w:rPr>
      <w:rFonts w:ascii="宋体" w:hAnsi="Times New Roman" w:eastAsia="宋体" w:cs="Times New Roman"/>
      <w:sz w:val="24"/>
      <w:szCs w:val="20"/>
    </w:rPr>
  </w:style>
  <w:style w:type="paragraph" w:styleId="843" w:customStyle="1">
    <w:name w:val="默认段落字体 Para Char"/>
    <w:basedOn w:val="723"/>
    <w:uiPriority w:val="99"/>
    <w:qFormat/>
    <w:pPr>
      <w:ind w:left="552" w:hanging="420"/>
      <w:tabs>
        <w:tab w:val="left" w:pos="552" w:leader="none"/>
      </w:tabs>
    </w:pPr>
    <w:rPr>
      <w:rFonts w:ascii="Times New Roman" w:hAnsi="Times New Roman" w:eastAsia="宋体" w:cs="Times New Roman"/>
      <w:sz w:val="24"/>
      <w:szCs w:val="24"/>
    </w:rPr>
  </w:style>
  <w:style w:type="character" w:styleId="844" w:customStyle="1">
    <w:name w:val="文档结构图 Char1"/>
    <w:basedOn w:val="733"/>
    <w:link w:val="740"/>
    <w:uiPriority w:val="99"/>
    <w:semiHidden/>
    <w:qFormat/>
    <w:rPr>
      <w:rFonts w:ascii="Times New Roman" w:hAnsi="Times New Roman" w:eastAsia="宋体" w:cs="Times New Roman"/>
      <w:sz w:val="20"/>
      <w:szCs w:val="20"/>
      <w:shd w:val="clear" w:color="auto" w:fill="000080"/>
    </w:rPr>
  </w:style>
  <w:style w:type="character" w:styleId="845" w:customStyle="1">
    <w:name w:val="正文文本 2 Char1"/>
    <w:basedOn w:val="733"/>
    <w:link w:val="764"/>
    <w:uiPriority w:val="99"/>
    <w:qFormat/>
    <w:rPr>
      <w:rFonts w:ascii="Times New Roman" w:hAnsi="Times New Roman" w:eastAsia="宋体" w:cs="Times New Roman"/>
      <w:sz w:val="20"/>
      <w:szCs w:val="20"/>
    </w:rPr>
  </w:style>
  <w:style w:type="paragraph" w:styleId="846" w:customStyle="1">
    <w:name w:val="Char Char Char Char"/>
    <w:basedOn w:val="740"/>
    <w:uiPriority w:val="0"/>
    <w:qFormat/>
    <w:pPr>
      <w:spacing w:line="360" w:lineRule="auto"/>
    </w:pPr>
    <w:rPr>
      <w:rFonts w:ascii="Tahoma" w:hAnsi="Tahoma"/>
      <w:sz w:val="24"/>
      <w:szCs w:val="24"/>
    </w:rPr>
  </w:style>
  <w:style w:type="paragraph" w:styleId="847" w:customStyle="1">
    <w:name w:val="Char Char1 Char Char Char Char"/>
    <w:basedOn w:val="740"/>
    <w:uiPriority w:val="99"/>
    <w:qFormat/>
    <w:pPr>
      <w:ind w:left="357"/>
      <w:jc w:val="left"/>
      <w:spacing w:line="436" w:lineRule="exact"/>
      <w:outlineLvl w:val="3"/>
    </w:pPr>
    <w:rPr>
      <w:rFonts w:ascii="Tahoma" w:hAnsi="Tahoma"/>
      <w:b/>
      <w:sz w:val="24"/>
      <w:szCs w:val="24"/>
    </w:rPr>
  </w:style>
  <w:style w:type="paragraph" w:styleId="848">
    <w:name w:val="List Paragraph"/>
    <w:basedOn w:val="723"/>
    <w:uiPriority w:val="34"/>
    <w:qFormat/>
    <w:pPr>
      <w:ind w:firstLine="420"/>
    </w:pPr>
    <w:rPr>
      <w:rFonts w:ascii="Times New Roman" w:hAnsi="Times New Roman" w:eastAsia="宋体" w:cs="Times New Roman"/>
      <w:szCs w:val="20"/>
    </w:rPr>
  </w:style>
  <w:style w:type="paragraph" w:styleId="849" w:customStyle="1">
    <w:name w:val="修订1"/>
    <w:hidden/>
    <w:uiPriority w:val="99"/>
    <w:semiHidden/>
    <w:qFormat/>
    <w:rPr>
      <w:rFonts w:ascii="Times New Roman" w:hAnsi="Times New Roman" w:eastAsia="宋体" w:cs="Times New Roman"/>
      <w:sz w:val="21"/>
      <w:lang w:val="en-US" w:eastAsia="zh-CN" w:bidi="ar-SA"/>
    </w:rPr>
  </w:style>
  <w:style w:type="character" w:styleId="850" w:customStyle="1">
    <w:name w:val="批注框文本 Char1"/>
    <w:basedOn w:val="733"/>
    <w:link w:val="751"/>
    <w:uiPriority w:val="99"/>
    <w:semiHidden/>
    <w:qFormat/>
    <w:rPr>
      <w:rFonts w:ascii="Times New Roman" w:hAnsi="Times New Roman" w:eastAsia="宋体" w:cs="Times New Roman"/>
      <w:sz w:val="18"/>
      <w:szCs w:val="18"/>
    </w:rPr>
  </w:style>
  <w:style w:type="character" w:styleId="851" w:customStyle="1">
    <w:name w:val="批注文字 Char1"/>
    <w:basedOn w:val="733"/>
    <w:link w:val="741"/>
    <w:uiPriority w:val="99"/>
    <w:semiHidden/>
    <w:qFormat/>
  </w:style>
  <w:style w:type="character" w:styleId="852" w:customStyle="1">
    <w:name w:val="批注主题 Char1"/>
    <w:basedOn w:val="851"/>
    <w:link w:val="767"/>
    <w:uiPriority w:val="99"/>
    <w:semiHidden/>
    <w:qFormat/>
    <w:rPr>
      <w:b/>
      <w:bCs/>
    </w:rPr>
  </w:style>
  <w:style w:type="paragraph" w:styleId="853" w:customStyle="1">
    <w:name w:val="列表段落1"/>
    <w:basedOn w:val="723"/>
    <w:uiPriority w:val="34"/>
    <w:qFormat/>
    <w:pPr>
      <w:ind w:firstLine="420"/>
    </w:pPr>
  </w:style>
  <w:style w:type="paragraph" w:styleId="854" w:customStyle="1">
    <w:name w:val="样式 小四 段前: 5 磅 段后: 5 磅 首行缩进:  2 字符"/>
    <w:basedOn w:val="723"/>
    <w:uiPriority w:val="0"/>
    <w:qFormat/>
    <w:pPr>
      <w:spacing w:line="360" w:lineRule="auto"/>
    </w:pPr>
    <w:rPr>
      <w:rFonts w:ascii="宋体" w:hAnsi="宋体"/>
      <w:szCs w:val="21"/>
    </w:rPr>
  </w:style>
  <w:style w:type="character" w:styleId="855" w:customStyle="1">
    <w:name w:val="正文首行缩进 2 Char1"/>
    <w:basedOn w:val="785"/>
    <w:link w:val="769"/>
    <w:uiPriority w:val="99"/>
    <w:semiHidden/>
    <w:qFormat/>
    <w:rPr>
      <w:rFonts w:ascii="Times New Roman" w:hAnsi="Times New Roman" w:eastAsia="宋体" w:cs="Times New Roman"/>
      <w:b w:val="0"/>
      <w:sz w:val="21"/>
      <w:szCs w:val="22"/>
    </w:rPr>
  </w:style>
  <w:style w:type="table" w:styleId="856" w:customStyle="1">
    <w:name w:val="网格型1"/>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customStyle="1">
    <w:name w:val="网格型2"/>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8" w:customStyle="1">
    <w:name w:val="网格型3"/>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customStyle="1">
    <w:name w:val="网格型4"/>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0" w:customStyle="1">
    <w:name w:val="List Paragraph1"/>
    <w:basedOn w:val="723"/>
    <w:uiPriority w:val="0"/>
    <w:qFormat/>
    <w:pPr>
      <w:ind w:firstLine="420"/>
    </w:pPr>
    <w:rPr>
      <w:szCs w:val="21"/>
    </w:rPr>
  </w:style>
  <w:style w:type="paragraph" w:styleId="861" w:customStyle="1">
    <w:name w:val="标题 31"/>
    <w:basedOn w:val="723"/>
    <w:next w:val="723"/>
    <w:link w:val="862"/>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62" w:customStyle="1">
    <w:name w:val="标题 3 Char"/>
    <w:link w:val="861"/>
    <w:uiPriority w:val="0"/>
    <w:qFormat/>
    <w:rPr>
      <w:rFonts w:ascii="Times New Roman" w:hAnsi="Times New Roman" w:eastAsia="宋体" w:cs="Times New Roman"/>
      <w:b/>
      <w:bCs/>
      <w:sz w:val="32"/>
      <w:szCs w:val="32"/>
      <w:lang w:eastAsia="en-US"/>
    </w:rPr>
  </w:style>
  <w:style w:type="character" w:styleId="863" w:customStyle="1">
    <w:name w:val="标题 6 Char1"/>
    <w:basedOn w:val="733"/>
    <w:link w:val="729"/>
    <w:uiPriority w:val="9"/>
    <w:qFormat/>
    <w:rPr>
      <w:rFonts w:ascii="Arial" w:hAnsi="Arial" w:eastAsia="Arial" w:cs="Arial"/>
      <w:b/>
      <w:bCs/>
      <w:sz w:val="22"/>
      <w:szCs w:val="22"/>
    </w:rPr>
  </w:style>
  <w:style w:type="character" w:styleId="864" w:customStyle="1">
    <w:name w:val="标题 7 Char1"/>
    <w:basedOn w:val="733"/>
    <w:link w:val="730"/>
    <w:uiPriority w:val="9"/>
    <w:qFormat/>
    <w:rPr>
      <w:rFonts w:ascii="Arial" w:hAnsi="Arial" w:eastAsia="Arial" w:cs="Arial"/>
      <w:b/>
      <w:bCs/>
      <w:i/>
      <w:iCs/>
      <w:sz w:val="22"/>
      <w:szCs w:val="22"/>
    </w:rPr>
  </w:style>
  <w:style w:type="character" w:styleId="865" w:customStyle="1">
    <w:name w:val="标题 8 Char1"/>
    <w:basedOn w:val="733"/>
    <w:link w:val="731"/>
    <w:uiPriority w:val="9"/>
    <w:qFormat/>
    <w:rPr>
      <w:rFonts w:ascii="Arial" w:hAnsi="Arial" w:eastAsia="Arial" w:cs="Arial"/>
      <w:i/>
      <w:iCs/>
      <w:sz w:val="22"/>
      <w:szCs w:val="22"/>
    </w:rPr>
  </w:style>
  <w:style w:type="character" w:styleId="866" w:customStyle="1">
    <w:name w:val="标题 9 Char1"/>
    <w:basedOn w:val="733"/>
    <w:link w:val="732"/>
    <w:uiPriority w:val="9"/>
    <w:qFormat/>
    <w:rPr>
      <w:rFonts w:ascii="Arial" w:hAnsi="Arial" w:eastAsia="Arial" w:cs="Arial"/>
      <w:i/>
      <w:iCs/>
      <w:sz w:val="21"/>
      <w:szCs w:val="21"/>
    </w:rPr>
  </w:style>
  <w:style w:type="character" w:styleId="867" w:customStyle="1">
    <w:name w:val="Heading 1 Char"/>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Heading 3 Char"/>
    <w:uiPriority w:val="9"/>
    <w:qFormat/>
    <w:rPr>
      <w:rFonts w:ascii="Arial" w:hAnsi="Arial" w:eastAsia="Arial" w:cs="Arial"/>
      <w:sz w:val="30"/>
      <w:szCs w:val="30"/>
    </w:rPr>
  </w:style>
  <w:style w:type="character" w:styleId="870" w:customStyle="1">
    <w:name w:val="Heading 4 Char"/>
    <w:uiPriority w:val="9"/>
    <w:qFormat/>
    <w:rPr>
      <w:rFonts w:ascii="Arial" w:hAnsi="Arial" w:eastAsia="Arial" w:cs="Arial"/>
      <w:b/>
      <w:bCs/>
      <w:sz w:val="26"/>
      <w:szCs w:val="26"/>
    </w:rPr>
  </w:style>
  <w:style w:type="character" w:styleId="871" w:customStyle="1">
    <w:name w:val="Heading 5 Char"/>
    <w:uiPriority w:val="9"/>
    <w:qFormat/>
    <w:rPr>
      <w:rFonts w:ascii="Arial" w:hAnsi="Arial" w:eastAsia="Arial" w:cs="Arial"/>
      <w:b/>
      <w:bCs/>
      <w:sz w:val="24"/>
      <w:szCs w:val="24"/>
    </w:rPr>
  </w:style>
  <w:style w:type="character" w:styleId="872" w:customStyle="1">
    <w:name w:val="Heading 6 Char"/>
    <w:uiPriority w:val="9"/>
    <w:qFormat/>
    <w:rPr>
      <w:rFonts w:ascii="Arial" w:hAnsi="Arial" w:eastAsia="Arial" w:cs="Arial"/>
      <w:b/>
      <w:bCs/>
      <w:sz w:val="22"/>
      <w:szCs w:val="22"/>
    </w:rPr>
  </w:style>
  <w:style w:type="character" w:styleId="873" w:customStyle="1">
    <w:name w:val="Heading 7 Char"/>
    <w:uiPriority w:val="9"/>
    <w:qFormat/>
    <w:rPr>
      <w:rFonts w:ascii="Arial" w:hAnsi="Arial" w:eastAsia="Arial" w:cs="Arial"/>
      <w:b/>
      <w:bCs/>
      <w:i/>
      <w:iCs/>
      <w:sz w:val="22"/>
      <w:szCs w:val="22"/>
    </w:rPr>
  </w:style>
  <w:style w:type="character" w:styleId="874" w:customStyle="1">
    <w:name w:val="Heading 8 Char"/>
    <w:uiPriority w:val="9"/>
    <w:qFormat/>
    <w:rPr>
      <w:rFonts w:ascii="Arial" w:hAnsi="Arial" w:eastAsia="Arial" w:cs="Arial"/>
      <w:i/>
      <w:iCs/>
      <w:sz w:val="22"/>
      <w:szCs w:val="22"/>
    </w:rPr>
  </w:style>
  <w:style w:type="character" w:styleId="875" w:customStyle="1">
    <w:name w:val="Heading 9 Char"/>
    <w:uiPriority w:val="9"/>
    <w:qFormat/>
    <w:rPr>
      <w:rFonts w:ascii="Arial" w:hAnsi="Arial" w:eastAsia="Arial" w:cs="Arial"/>
      <w:i/>
      <w:iCs/>
      <w:sz w:val="21"/>
      <w:szCs w:val="21"/>
    </w:rPr>
  </w:style>
  <w:style w:type="paragraph" w:styleId="876">
    <w:name w:val="No Spacing"/>
    <w:uiPriority w:val="1"/>
    <w:qFormat/>
    <w:rPr>
      <w:rFonts w:ascii="Calibri" w:hAnsi="Calibri" w:eastAsia="宋体" w:cs="Times New Roman"/>
      <w:lang w:val="en-US" w:eastAsia="zh-CN" w:bidi="ar-SA"/>
    </w:rPr>
  </w:style>
  <w:style w:type="character" w:styleId="877" w:customStyle="1">
    <w:name w:val="标题 Char"/>
    <w:basedOn w:val="733"/>
    <w:link w:val="766"/>
    <w:uiPriority w:val="10"/>
    <w:qFormat/>
    <w:rPr>
      <w:rFonts w:ascii="Times New Roman" w:hAnsi="Times New Roman" w:eastAsia="宋体" w:cs="Times New Roman"/>
      <w:sz w:val="48"/>
      <w:szCs w:val="48"/>
    </w:rPr>
  </w:style>
  <w:style w:type="character" w:styleId="878" w:customStyle="1">
    <w:name w:val="Title Char"/>
    <w:uiPriority w:val="10"/>
    <w:qFormat/>
    <w:rPr>
      <w:sz w:val="48"/>
      <w:szCs w:val="48"/>
    </w:rPr>
  </w:style>
  <w:style w:type="character" w:styleId="879" w:customStyle="1">
    <w:name w:val="Subtitle Char"/>
    <w:uiPriority w:val="11"/>
    <w:qFormat/>
    <w:rPr>
      <w:sz w:val="24"/>
      <w:szCs w:val="24"/>
    </w:rPr>
  </w:style>
  <w:style w:type="paragraph" w:styleId="880">
    <w:name w:val="Quote"/>
    <w:basedOn w:val="723"/>
    <w:next w:val="723"/>
    <w:link w:val="881"/>
    <w:uiPriority w:val="29"/>
    <w:qFormat/>
    <w:pPr>
      <w:ind w:left="720" w:right="720"/>
    </w:pPr>
    <w:rPr>
      <w:rFonts w:ascii="Times New Roman" w:hAnsi="Times New Roman" w:eastAsia="宋体" w:cs="Times New Roman"/>
      <w:i/>
      <w:szCs w:val="21"/>
    </w:rPr>
  </w:style>
  <w:style w:type="character" w:styleId="881" w:customStyle="1">
    <w:name w:val="引用 Char"/>
    <w:basedOn w:val="733"/>
    <w:link w:val="880"/>
    <w:uiPriority w:val="29"/>
    <w:qFormat/>
    <w:rPr>
      <w:rFonts w:ascii="Times New Roman" w:hAnsi="Times New Roman" w:eastAsia="宋体" w:cs="Times New Roman"/>
      <w:i/>
      <w:sz w:val="21"/>
      <w:szCs w:val="21"/>
    </w:rPr>
  </w:style>
  <w:style w:type="character" w:styleId="882" w:customStyle="1">
    <w:name w:val="Quote Char"/>
    <w:uiPriority w:val="29"/>
    <w:qFormat/>
    <w:rPr>
      <w:i/>
    </w:rPr>
  </w:style>
  <w:style w:type="paragraph" w:styleId="883">
    <w:name w:val="Intense Quote"/>
    <w:basedOn w:val="723"/>
    <w:next w:val="723"/>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884" w:customStyle="1">
    <w:name w:val="明显引用 Char"/>
    <w:basedOn w:val="733"/>
    <w:link w:val="883"/>
    <w:uiPriority w:val="30"/>
    <w:qFormat/>
    <w:rPr>
      <w:rFonts w:ascii="Times New Roman" w:hAnsi="Times New Roman" w:eastAsia="宋体" w:cs="Times New Roman"/>
      <w:i/>
      <w:sz w:val="21"/>
      <w:szCs w:val="21"/>
      <w:shd w:val="clear" w:color="auto" w:fill="f2f2f2"/>
    </w:rPr>
  </w:style>
  <w:style w:type="character" w:styleId="885" w:customStyle="1">
    <w:name w:val="Intense Quote Char"/>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Caption Char"/>
    <w:uiPriority w:val="99"/>
    <w:qFormat/>
  </w:style>
  <w:style w:type="character" w:styleId="889" w:customStyle="1">
    <w:name w:val="脚注文本 Char"/>
    <w:basedOn w:val="733"/>
    <w:link w:val="758"/>
    <w:uiPriority w:val="99"/>
    <w:qFormat/>
    <w:rPr>
      <w:rFonts w:ascii="Times New Roman" w:hAnsi="Times New Roman" w:eastAsia="宋体" w:cs="Times New Roman"/>
      <w:sz w:val="18"/>
      <w:szCs w:val="21"/>
    </w:rPr>
  </w:style>
  <w:style w:type="character" w:styleId="890" w:customStyle="1">
    <w:name w:val="Footnote Text Char"/>
    <w:uiPriority w:val="99"/>
    <w:qFormat/>
    <w:rPr>
      <w:sz w:val="18"/>
    </w:rPr>
  </w:style>
  <w:style w:type="character" w:styleId="891" w:customStyle="1">
    <w:name w:val="尾注文本 Char"/>
    <w:basedOn w:val="733"/>
    <w:link w:val="750"/>
    <w:uiPriority w:val="99"/>
    <w:qFormat/>
    <w:rPr>
      <w:rFonts w:ascii="Times New Roman" w:hAnsi="Times New Roman" w:eastAsia="宋体" w:cs="Times New Roman"/>
      <w:szCs w:val="21"/>
    </w:rPr>
  </w:style>
  <w:style w:type="character" w:styleId="892" w:customStyle="1">
    <w:name w:val="Endnote Text Char"/>
    <w:uiPriority w:val="99"/>
    <w:qFormat/>
    <w:rPr>
      <w:sz w:val="20"/>
    </w:rPr>
  </w:style>
  <w:style w:type="paragraph" w:styleId="893" w:customStyle="1">
    <w:name w:val="目录 711"/>
    <w:basedOn w:val="723"/>
    <w:next w:val="723"/>
    <w:uiPriority w:val="39"/>
    <w:unhideWhenUsed/>
    <w:qFormat/>
    <w:pPr>
      <w:ind w:left="1701"/>
      <w:spacing w:after="57"/>
    </w:pPr>
    <w:rPr>
      <w:rFonts w:ascii="Times New Roman" w:hAnsi="Times New Roman" w:eastAsia="宋体" w:cs="Times New Roman"/>
      <w:szCs w:val="21"/>
    </w:rPr>
  </w:style>
  <w:style w:type="paragraph" w:styleId="894" w:customStyle="1">
    <w:name w:val="目录 511"/>
    <w:basedOn w:val="723"/>
    <w:next w:val="723"/>
    <w:uiPriority w:val="39"/>
    <w:unhideWhenUsed/>
    <w:qFormat/>
    <w:pPr>
      <w:ind w:left="1134"/>
      <w:spacing w:after="57"/>
    </w:pPr>
    <w:rPr>
      <w:rFonts w:ascii="Times New Roman" w:hAnsi="Times New Roman" w:eastAsia="宋体" w:cs="Times New Roman"/>
      <w:szCs w:val="21"/>
    </w:rPr>
  </w:style>
  <w:style w:type="paragraph" w:styleId="895" w:customStyle="1">
    <w:name w:val="目录 311"/>
    <w:basedOn w:val="723"/>
    <w:next w:val="723"/>
    <w:uiPriority w:val="39"/>
    <w:unhideWhenUsed/>
    <w:qFormat/>
    <w:pPr>
      <w:ind w:left="567"/>
      <w:spacing w:after="57"/>
    </w:pPr>
    <w:rPr>
      <w:rFonts w:ascii="Times New Roman" w:hAnsi="Times New Roman" w:eastAsia="宋体" w:cs="Times New Roman"/>
      <w:szCs w:val="21"/>
    </w:rPr>
  </w:style>
  <w:style w:type="paragraph" w:styleId="896" w:customStyle="1">
    <w:name w:val="目录 811"/>
    <w:basedOn w:val="723"/>
    <w:next w:val="723"/>
    <w:uiPriority w:val="39"/>
    <w:unhideWhenUsed/>
    <w:qFormat/>
    <w:pPr>
      <w:ind w:left="1984"/>
      <w:spacing w:after="57"/>
    </w:pPr>
    <w:rPr>
      <w:rFonts w:ascii="Times New Roman" w:hAnsi="Times New Roman" w:eastAsia="宋体" w:cs="Times New Roman"/>
      <w:szCs w:val="21"/>
    </w:rPr>
  </w:style>
  <w:style w:type="character" w:styleId="897" w:customStyle="1">
    <w:name w:val="页脚 字符1"/>
    <w:uiPriority w:val="99"/>
    <w:qFormat/>
  </w:style>
  <w:style w:type="paragraph" w:styleId="898" w:customStyle="1">
    <w:name w:val="目录 1111"/>
    <w:basedOn w:val="723"/>
    <w:next w:val="723"/>
    <w:uiPriority w:val="39"/>
    <w:unhideWhenUsed/>
    <w:qFormat/>
    <w:pPr>
      <w:spacing w:after="57"/>
    </w:pPr>
    <w:rPr>
      <w:rFonts w:ascii="Times New Roman" w:hAnsi="Times New Roman" w:eastAsia="宋体" w:cs="Times New Roman"/>
      <w:szCs w:val="21"/>
    </w:rPr>
  </w:style>
  <w:style w:type="paragraph" w:styleId="899" w:customStyle="1">
    <w:name w:val="目录 411"/>
    <w:basedOn w:val="723"/>
    <w:next w:val="723"/>
    <w:uiPriority w:val="39"/>
    <w:unhideWhenUsed/>
    <w:qFormat/>
    <w:pPr>
      <w:ind w:left="850"/>
      <w:spacing w:after="57"/>
    </w:pPr>
    <w:rPr>
      <w:rFonts w:ascii="Times New Roman" w:hAnsi="Times New Roman" w:eastAsia="宋体" w:cs="Times New Roman"/>
      <w:szCs w:val="21"/>
    </w:rPr>
  </w:style>
  <w:style w:type="character" w:styleId="900" w:customStyle="1">
    <w:name w:val="副标题 Char"/>
    <w:link w:val="743"/>
    <w:uiPriority w:val="11"/>
    <w:qFormat/>
    <w:rPr>
      <w:rFonts w:ascii="Arial" w:hAnsi="Arial"/>
      <w:b/>
      <w:bCs/>
      <w:sz w:val="32"/>
      <w:szCs w:val="32"/>
    </w:rPr>
  </w:style>
  <w:style w:type="paragraph" w:styleId="901" w:customStyle="1">
    <w:name w:val="目录 611"/>
    <w:basedOn w:val="723"/>
    <w:next w:val="723"/>
    <w:uiPriority w:val="39"/>
    <w:unhideWhenUsed/>
    <w:qFormat/>
    <w:pPr>
      <w:ind w:left="1417"/>
      <w:spacing w:after="57"/>
    </w:pPr>
    <w:rPr>
      <w:rFonts w:ascii="Times New Roman" w:hAnsi="Times New Roman" w:eastAsia="宋体" w:cs="Times New Roman"/>
      <w:szCs w:val="21"/>
    </w:rPr>
  </w:style>
  <w:style w:type="paragraph" w:styleId="902" w:customStyle="1">
    <w:name w:val="目录 211"/>
    <w:basedOn w:val="723"/>
    <w:next w:val="723"/>
    <w:uiPriority w:val="39"/>
    <w:unhideWhenUsed/>
    <w:qFormat/>
    <w:pPr>
      <w:ind w:left="283"/>
      <w:spacing w:after="57"/>
    </w:pPr>
    <w:rPr>
      <w:rFonts w:ascii="Times New Roman" w:hAnsi="Times New Roman" w:eastAsia="宋体" w:cs="Times New Roman"/>
      <w:szCs w:val="21"/>
    </w:rPr>
  </w:style>
  <w:style w:type="paragraph" w:styleId="903" w:customStyle="1">
    <w:name w:val="目录 911"/>
    <w:basedOn w:val="723"/>
    <w:next w:val="723"/>
    <w:uiPriority w:val="39"/>
    <w:unhideWhenUsed/>
    <w:qFormat/>
    <w:pPr>
      <w:ind w:left="2268"/>
      <w:spacing w:after="57"/>
    </w:pPr>
    <w:rPr>
      <w:rFonts w:ascii="Times New Roman" w:hAnsi="Times New Roman" w:eastAsia="宋体" w:cs="Times New Roman"/>
      <w:szCs w:val="21"/>
    </w:rPr>
  </w:style>
  <w:style w:type="character" w:styleId="904" w:customStyle="1">
    <w:name w:val="font5 Char"/>
    <w:uiPriority w:val="0"/>
    <w:qFormat/>
    <w:rPr>
      <w:rFonts w:ascii="宋体" w:hAnsi="宋体" w:eastAsia="宋体"/>
      <w:sz w:val="28"/>
      <w:szCs w:val="28"/>
      <w:lang w:val="en-US" w:eastAsia="zh-CN" w:bidi="ar-SA"/>
    </w:rPr>
  </w:style>
  <w:style w:type="paragraph" w:styleId="905" w:customStyle="1">
    <w:name w:val="列出段落2"/>
    <w:basedOn w:val="723"/>
    <w:uiPriority w:val="34"/>
    <w:qFormat/>
    <w:pPr>
      <w:contextualSpacing/>
      <w:ind w:left="720"/>
    </w:pPr>
    <w:rPr>
      <w:rFonts w:ascii="Times New Roman" w:hAnsi="Times New Roman" w:eastAsia="宋体" w:cs="Times New Roman"/>
      <w:szCs w:val="21"/>
    </w:rPr>
  </w:style>
  <w:style w:type="table" w:styleId="906" w:customStyle="1">
    <w:name w:val="Table Grid Light"/>
    <w:basedOn w:val="734"/>
    <w:uiPriority w:val="59"/>
    <w:qFormat/>
    <w:rPr>
      <w:rFonts w:ascii="Calibri" w:hAnsi="Calibri"/>
    </w:rPr>
    <w:tblPr>
      <w:tblCellMar>
        <w:left w:w="0" w:type="dxa"/>
        <w:top w:w="0" w:type="dxa"/>
        <w:right w:w="0" w:type="dxa"/>
        <w:bottom w:w="0" w:type="dxa"/>
      </w:tblCellMar>
    </w:tblPr>
  </w:style>
  <w:style w:type="table" w:styleId="907" w:customStyle="1">
    <w:name w:val="Plain Table 1"/>
    <w:uiPriority w:val="59"/>
    <w:qFormat/>
    <w:rPr>
      <w:rFonts w:ascii="Calibri" w:hAnsi="Calibri"/>
    </w:rPr>
    <w:tblPr>
      <w:tblCellMar>
        <w:left w:w="0" w:type="dxa"/>
        <w:top w:w="0" w:type="dxa"/>
        <w:right w:w="0" w:type="dxa"/>
        <w:bottom w:w="0" w:type="dxa"/>
      </w:tblCellMar>
    </w:tblPr>
  </w:style>
  <w:style w:type="table" w:styleId="908" w:customStyle="1">
    <w:name w:val="Plain Table 2"/>
    <w:uiPriority w:val="59"/>
    <w:qFormat/>
    <w:rPr>
      <w:rFonts w:ascii="Calibri" w:hAnsi="Calibri"/>
    </w:rPr>
    <w:tblPr>
      <w:tblCellMar>
        <w:left w:w="0" w:type="dxa"/>
        <w:top w:w="0" w:type="dxa"/>
        <w:right w:w="0" w:type="dxa"/>
        <w:bottom w:w="0" w:type="dxa"/>
      </w:tblCellMar>
    </w:tblPr>
  </w:style>
  <w:style w:type="table" w:styleId="909" w:customStyle="1">
    <w:name w:val="Plain Table 3"/>
    <w:uiPriority w:val="99"/>
    <w:qFormat/>
    <w:rPr>
      <w:rFonts w:ascii="Calibri" w:hAnsi="Calibri"/>
    </w:rPr>
    <w:tblPr>
      <w:tblCellMar>
        <w:left w:w="0" w:type="dxa"/>
        <w:top w:w="0" w:type="dxa"/>
        <w:right w:w="0" w:type="dxa"/>
        <w:bottom w:w="0" w:type="dxa"/>
      </w:tblCellMar>
    </w:tblPr>
  </w:style>
  <w:style w:type="table" w:styleId="910" w:customStyle="1">
    <w:name w:val="Plain Table 4"/>
    <w:uiPriority w:val="99"/>
    <w:qFormat/>
    <w:rPr>
      <w:rFonts w:ascii="Calibri" w:hAnsi="Calibri"/>
    </w:rPr>
    <w:tblPr>
      <w:tblCellMar>
        <w:left w:w="0" w:type="dxa"/>
        <w:top w:w="0" w:type="dxa"/>
        <w:right w:w="0" w:type="dxa"/>
        <w:bottom w:w="0" w:type="dxa"/>
      </w:tblCellMar>
    </w:tblPr>
  </w:style>
  <w:style w:type="table" w:styleId="911" w:customStyle="1">
    <w:name w:val="Plain Table 5"/>
    <w:uiPriority w:val="99"/>
    <w:qFormat/>
    <w:rPr>
      <w:rFonts w:ascii="Calibri" w:hAnsi="Calibri"/>
    </w:rPr>
    <w:tblPr>
      <w:tblCellMar>
        <w:left w:w="0" w:type="dxa"/>
        <w:top w:w="0" w:type="dxa"/>
        <w:right w:w="0" w:type="dxa"/>
        <w:bottom w:w="0" w:type="dxa"/>
      </w:tblCellMar>
    </w:tblPr>
  </w:style>
  <w:style w:type="table" w:styleId="912" w:customStyle="1">
    <w:name w:val="Grid Table 1 Light"/>
    <w:uiPriority w:val="99"/>
    <w:qFormat/>
    <w:rPr>
      <w:rFonts w:ascii="Calibri" w:hAnsi="Calibri"/>
    </w:rPr>
    <w:tblPr>
      <w:tblCellMar>
        <w:left w:w="0" w:type="dxa"/>
        <w:top w:w="0" w:type="dxa"/>
        <w:right w:w="0" w:type="dxa"/>
        <w:bottom w:w="0" w:type="dxa"/>
      </w:tblCellMar>
    </w:tblPr>
  </w:style>
  <w:style w:type="table" w:styleId="913" w:customStyle="1">
    <w:name w:val="Grid Table 1 Light - Accent 1"/>
    <w:basedOn w:val="734"/>
    <w:uiPriority w:val="99"/>
    <w:qFormat/>
    <w:rPr>
      <w:rFonts w:ascii="Calibri" w:hAnsi="Calibri"/>
    </w:rPr>
    <w:tblPr>
      <w:tblCellMar>
        <w:left w:w="0" w:type="dxa"/>
        <w:top w:w="0" w:type="dxa"/>
        <w:right w:w="0" w:type="dxa"/>
        <w:bottom w:w="0" w:type="dxa"/>
      </w:tblCellMar>
    </w:tblPr>
  </w:style>
  <w:style w:type="table" w:styleId="914" w:customStyle="1">
    <w:name w:val="Grid Table 1 Light - Accent 2"/>
    <w:basedOn w:val="734"/>
    <w:uiPriority w:val="99"/>
    <w:qFormat/>
    <w:rPr>
      <w:rFonts w:ascii="Calibri" w:hAnsi="Calibri"/>
    </w:rPr>
    <w:tblPr>
      <w:tblCellMar>
        <w:left w:w="0" w:type="dxa"/>
        <w:top w:w="0" w:type="dxa"/>
        <w:right w:w="0" w:type="dxa"/>
        <w:bottom w:w="0" w:type="dxa"/>
      </w:tblCellMar>
    </w:tblPr>
  </w:style>
  <w:style w:type="table" w:styleId="915" w:customStyle="1">
    <w:name w:val="Grid Table 1 Light - Accent 3"/>
    <w:basedOn w:val="734"/>
    <w:uiPriority w:val="99"/>
    <w:qFormat/>
    <w:rPr>
      <w:rFonts w:ascii="Calibri" w:hAnsi="Calibri"/>
    </w:rPr>
    <w:tblPr>
      <w:tblCellMar>
        <w:left w:w="0" w:type="dxa"/>
        <w:top w:w="0" w:type="dxa"/>
        <w:right w:w="0" w:type="dxa"/>
        <w:bottom w:w="0" w:type="dxa"/>
      </w:tblCellMar>
    </w:tblPr>
  </w:style>
  <w:style w:type="table" w:styleId="916" w:customStyle="1">
    <w:name w:val="Grid Table 1 Light - Accent 4"/>
    <w:basedOn w:val="734"/>
    <w:uiPriority w:val="99"/>
    <w:qFormat/>
    <w:rPr>
      <w:rFonts w:ascii="Calibri" w:hAnsi="Calibri"/>
    </w:rPr>
    <w:tblPr>
      <w:tblCellMar>
        <w:left w:w="0" w:type="dxa"/>
        <w:top w:w="0" w:type="dxa"/>
        <w:right w:w="0" w:type="dxa"/>
        <w:bottom w:w="0" w:type="dxa"/>
      </w:tblCellMar>
    </w:tblPr>
  </w:style>
  <w:style w:type="table" w:styleId="917" w:customStyle="1">
    <w:name w:val="Grid Table 1 Light - Accent 5"/>
    <w:basedOn w:val="734"/>
    <w:uiPriority w:val="99"/>
    <w:qFormat/>
    <w:rPr>
      <w:rFonts w:ascii="Calibri" w:hAnsi="Calibri"/>
    </w:rPr>
    <w:tblPr>
      <w:tblCellMar>
        <w:left w:w="0" w:type="dxa"/>
        <w:top w:w="0" w:type="dxa"/>
        <w:right w:w="0" w:type="dxa"/>
        <w:bottom w:w="0" w:type="dxa"/>
      </w:tblCellMar>
    </w:tblPr>
  </w:style>
  <w:style w:type="table" w:styleId="918" w:customStyle="1">
    <w:name w:val="Grid Table 1 Light - Accent 6"/>
    <w:basedOn w:val="734"/>
    <w:uiPriority w:val="99"/>
    <w:qFormat/>
    <w:rPr>
      <w:rFonts w:ascii="Calibri" w:hAnsi="Calibri"/>
    </w:rPr>
    <w:tblPr>
      <w:tblCellMar>
        <w:left w:w="0" w:type="dxa"/>
        <w:top w:w="0" w:type="dxa"/>
        <w:right w:w="0" w:type="dxa"/>
        <w:bottom w:w="0" w:type="dxa"/>
      </w:tblCellMar>
    </w:tblPr>
  </w:style>
  <w:style w:type="table" w:styleId="919" w:customStyle="1">
    <w:name w:val="Grid Table 2"/>
    <w:uiPriority w:val="99"/>
    <w:qFormat/>
    <w:rPr>
      <w:rFonts w:ascii="Calibri" w:hAnsi="Calibri"/>
    </w:rPr>
    <w:tblPr>
      <w:tblCellMar>
        <w:left w:w="0" w:type="dxa"/>
        <w:top w:w="0" w:type="dxa"/>
        <w:right w:w="0" w:type="dxa"/>
        <w:bottom w:w="0" w:type="dxa"/>
      </w:tblCellMar>
    </w:tblPr>
  </w:style>
  <w:style w:type="table" w:styleId="920" w:customStyle="1">
    <w:name w:val="Grid Table 2 - Accent 1"/>
    <w:basedOn w:val="734"/>
    <w:uiPriority w:val="99"/>
    <w:qFormat/>
    <w:rPr>
      <w:rFonts w:ascii="Calibri" w:hAnsi="Calibri"/>
    </w:rPr>
    <w:tblPr>
      <w:tblCellMar>
        <w:left w:w="0" w:type="dxa"/>
        <w:top w:w="0" w:type="dxa"/>
        <w:right w:w="0" w:type="dxa"/>
        <w:bottom w:w="0" w:type="dxa"/>
      </w:tblCellMar>
    </w:tblPr>
  </w:style>
  <w:style w:type="table" w:styleId="921" w:customStyle="1">
    <w:name w:val="Grid Table 2 - Accent 2"/>
    <w:basedOn w:val="734"/>
    <w:uiPriority w:val="99"/>
    <w:qFormat/>
    <w:rPr>
      <w:rFonts w:ascii="Calibri" w:hAnsi="Calibri"/>
    </w:rPr>
    <w:tblPr>
      <w:tblCellMar>
        <w:left w:w="0" w:type="dxa"/>
        <w:top w:w="0" w:type="dxa"/>
        <w:right w:w="0" w:type="dxa"/>
        <w:bottom w:w="0" w:type="dxa"/>
      </w:tblCellMar>
    </w:tblPr>
  </w:style>
  <w:style w:type="table" w:styleId="922" w:customStyle="1">
    <w:name w:val="Grid Table 2 - Accent 3"/>
    <w:basedOn w:val="734"/>
    <w:uiPriority w:val="99"/>
    <w:qFormat/>
    <w:rPr>
      <w:rFonts w:ascii="Calibri" w:hAnsi="Calibri"/>
    </w:rPr>
    <w:tblPr>
      <w:tblCellMar>
        <w:left w:w="0" w:type="dxa"/>
        <w:top w:w="0" w:type="dxa"/>
        <w:right w:w="0" w:type="dxa"/>
        <w:bottom w:w="0" w:type="dxa"/>
      </w:tblCellMar>
    </w:tblPr>
  </w:style>
  <w:style w:type="table" w:styleId="923" w:customStyle="1">
    <w:name w:val="Grid Table 2 - Accent 4"/>
    <w:basedOn w:val="734"/>
    <w:uiPriority w:val="99"/>
    <w:qFormat/>
    <w:rPr>
      <w:rFonts w:ascii="Calibri" w:hAnsi="Calibri"/>
    </w:rPr>
    <w:tblPr>
      <w:tblCellMar>
        <w:left w:w="0" w:type="dxa"/>
        <w:top w:w="0" w:type="dxa"/>
        <w:right w:w="0" w:type="dxa"/>
        <w:bottom w:w="0" w:type="dxa"/>
      </w:tblCellMar>
    </w:tblPr>
  </w:style>
  <w:style w:type="table" w:styleId="924" w:customStyle="1">
    <w:name w:val="Grid Table 2 - Accent 5"/>
    <w:basedOn w:val="734"/>
    <w:uiPriority w:val="99"/>
    <w:qFormat/>
    <w:rPr>
      <w:rFonts w:ascii="Calibri" w:hAnsi="Calibri"/>
    </w:rPr>
    <w:tblPr>
      <w:tblCellMar>
        <w:left w:w="0" w:type="dxa"/>
        <w:top w:w="0" w:type="dxa"/>
        <w:right w:w="0" w:type="dxa"/>
        <w:bottom w:w="0" w:type="dxa"/>
      </w:tblCellMar>
    </w:tblPr>
  </w:style>
  <w:style w:type="table" w:styleId="925" w:customStyle="1">
    <w:name w:val="Grid Table 2 - Accent 6"/>
    <w:basedOn w:val="734"/>
    <w:uiPriority w:val="99"/>
    <w:qFormat/>
    <w:rPr>
      <w:rFonts w:ascii="Calibri" w:hAnsi="Calibri"/>
    </w:rPr>
    <w:tblPr>
      <w:tblCellMar>
        <w:left w:w="0" w:type="dxa"/>
        <w:top w:w="0" w:type="dxa"/>
        <w:right w:w="0" w:type="dxa"/>
        <w:bottom w:w="0" w:type="dxa"/>
      </w:tblCellMar>
    </w:tblPr>
  </w:style>
  <w:style w:type="table" w:styleId="926" w:customStyle="1">
    <w:name w:val="Grid Table 3"/>
    <w:uiPriority w:val="99"/>
    <w:qFormat/>
    <w:rPr>
      <w:rFonts w:ascii="Calibri" w:hAnsi="Calibri"/>
    </w:rPr>
    <w:tblPr>
      <w:tblCellMar>
        <w:left w:w="0" w:type="dxa"/>
        <w:top w:w="0" w:type="dxa"/>
        <w:right w:w="0" w:type="dxa"/>
        <w:bottom w:w="0" w:type="dxa"/>
      </w:tblCellMar>
    </w:tblPr>
  </w:style>
  <w:style w:type="table" w:styleId="927" w:customStyle="1">
    <w:name w:val="Grid Table 3 - Accent 1"/>
    <w:basedOn w:val="734"/>
    <w:uiPriority w:val="99"/>
    <w:qFormat/>
    <w:rPr>
      <w:rFonts w:ascii="Calibri" w:hAnsi="Calibri"/>
    </w:rPr>
    <w:tblPr>
      <w:tblCellMar>
        <w:left w:w="0" w:type="dxa"/>
        <w:top w:w="0" w:type="dxa"/>
        <w:right w:w="0" w:type="dxa"/>
        <w:bottom w:w="0" w:type="dxa"/>
      </w:tblCellMar>
    </w:tblPr>
  </w:style>
  <w:style w:type="table" w:styleId="928" w:customStyle="1">
    <w:name w:val="Grid Table 3 - Accent 2"/>
    <w:basedOn w:val="734"/>
    <w:uiPriority w:val="99"/>
    <w:qFormat/>
    <w:rPr>
      <w:rFonts w:ascii="Calibri" w:hAnsi="Calibri"/>
    </w:rPr>
    <w:tblPr>
      <w:tblCellMar>
        <w:left w:w="0" w:type="dxa"/>
        <w:top w:w="0" w:type="dxa"/>
        <w:right w:w="0" w:type="dxa"/>
        <w:bottom w:w="0" w:type="dxa"/>
      </w:tblCellMar>
    </w:tblPr>
  </w:style>
  <w:style w:type="table" w:styleId="929" w:customStyle="1">
    <w:name w:val="Grid Table 3 - Accent 3"/>
    <w:basedOn w:val="734"/>
    <w:uiPriority w:val="99"/>
    <w:qFormat/>
    <w:rPr>
      <w:rFonts w:ascii="Calibri" w:hAnsi="Calibri"/>
    </w:rPr>
    <w:tblPr>
      <w:tblCellMar>
        <w:left w:w="0" w:type="dxa"/>
        <w:top w:w="0" w:type="dxa"/>
        <w:right w:w="0" w:type="dxa"/>
        <w:bottom w:w="0" w:type="dxa"/>
      </w:tblCellMar>
    </w:tblPr>
  </w:style>
  <w:style w:type="table" w:styleId="930" w:customStyle="1">
    <w:name w:val="Grid Table 3 - Accent 4"/>
    <w:basedOn w:val="734"/>
    <w:uiPriority w:val="99"/>
    <w:qFormat/>
    <w:rPr>
      <w:rFonts w:ascii="Calibri" w:hAnsi="Calibri"/>
    </w:rPr>
    <w:tblPr>
      <w:tblCellMar>
        <w:left w:w="0" w:type="dxa"/>
        <w:top w:w="0" w:type="dxa"/>
        <w:right w:w="0" w:type="dxa"/>
        <w:bottom w:w="0" w:type="dxa"/>
      </w:tblCellMar>
    </w:tblPr>
  </w:style>
  <w:style w:type="table" w:styleId="931" w:customStyle="1">
    <w:name w:val="Grid Table 3 - Accent 5"/>
    <w:basedOn w:val="734"/>
    <w:uiPriority w:val="99"/>
    <w:qFormat/>
    <w:rPr>
      <w:rFonts w:ascii="Calibri" w:hAnsi="Calibri"/>
    </w:rPr>
    <w:tblPr>
      <w:tblCellMar>
        <w:left w:w="0" w:type="dxa"/>
        <w:top w:w="0" w:type="dxa"/>
        <w:right w:w="0" w:type="dxa"/>
        <w:bottom w:w="0" w:type="dxa"/>
      </w:tblCellMar>
    </w:tblPr>
  </w:style>
  <w:style w:type="table" w:styleId="932" w:customStyle="1">
    <w:name w:val="Grid Table 3 - Accent 6"/>
    <w:basedOn w:val="734"/>
    <w:uiPriority w:val="99"/>
    <w:qFormat/>
    <w:rPr>
      <w:rFonts w:ascii="Calibri" w:hAnsi="Calibri"/>
    </w:rPr>
    <w:tblPr>
      <w:tblCellMar>
        <w:left w:w="0" w:type="dxa"/>
        <w:top w:w="0" w:type="dxa"/>
        <w:right w:w="0" w:type="dxa"/>
        <w:bottom w:w="0" w:type="dxa"/>
      </w:tblCellMar>
    </w:tblPr>
  </w:style>
  <w:style w:type="table" w:styleId="933" w:customStyle="1">
    <w:name w:val="Grid Table 4"/>
    <w:uiPriority w:val="59"/>
    <w:qFormat/>
    <w:rPr>
      <w:rFonts w:ascii="Calibri" w:hAnsi="Calibri"/>
    </w:rPr>
    <w:tblPr>
      <w:tblCellMar>
        <w:left w:w="0" w:type="dxa"/>
        <w:top w:w="0" w:type="dxa"/>
        <w:right w:w="0" w:type="dxa"/>
        <w:bottom w:w="0" w:type="dxa"/>
      </w:tblCellMar>
    </w:tblPr>
  </w:style>
  <w:style w:type="table" w:styleId="934" w:customStyle="1">
    <w:name w:val="Grid Table 4 - Accent 1"/>
    <w:basedOn w:val="734"/>
    <w:uiPriority w:val="59"/>
    <w:qFormat/>
    <w:rPr>
      <w:rFonts w:ascii="Calibri" w:hAnsi="Calibri"/>
    </w:rPr>
    <w:tblPr>
      <w:tblCellMar>
        <w:left w:w="0" w:type="dxa"/>
        <w:top w:w="0" w:type="dxa"/>
        <w:right w:w="0" w:type="dxa"/>
        <w:bottom w:w="0" w:type="dxa"/>
      </w:tblCellMar>
    </w:tblPr>
  </w:style>
  <w:style w:type="table" w:styleId="935" w:customStyle="1">
    <w:name w:val="Grid Table 4 - Accent 2"/>
    <w:basedOn w:val="734"/>
    <w:uiPriority w:val="59"/>
    <w:qFormat/>
    <w:rPr>
      <w:rFonts w:ascii="Calibri" w:hAnsi="Calibri"/>
    </w:rPr>
    <w:tblPr>
      <w:tblCellMar>
        <w:left w:w="0" w:type="dxa"/>
        <w:top w:w="0" w:type="dxa"/>
        <w:right w:w="0" w:type="dxa"/>
        <w:bottom w:w="0" w:type="dxa"/>
      </w:tblCellMar>
    </w:tblPr>
  </w:style>
  <w:style w:type="table" w:styleId="936" w:customStyle="1">
    <w:name w:val="Grid Table 4 - Accent 3"/>
    <w:basedOn w:val="734"/>
    <w:uiPriority w:val="59"/>
    <w:qFormat/>
    <w:rPr>
      <w:rFonts w:ascii="Calibri" w:hAnsi="Calibri"/>
    </w:rPr>
    <w:tblPr>
      <w:tblCellMar>
        <w:left w:w="0" w:type="dxa"/>
        <w:top w:w="0" w:type="dxa"/>
        <w:right w:w="0" w:type="dxa"/>
        <w:bottom w:w="0" w:type="dxa"/>
      </w:tblCellMar>
    </w:tblPr>
  </w:style>
  <w:style w:type="table" w:styleId="937" w:customStyle="1">
    <w:name w:val="Grid Table 4 - Accent 4"/>
    <w:basedOn w:val="734"/>
    <w:uiPriority w:val="59"/>
    <w:qFormat/>
    <w:rPr>
      <w:rFonts w:ascii="Calibri" w:hAnsi="Calibri"/>
    </w:rPr>
    <w:tblPr>
      <w:tblCellMar>
        <w:left w:w="0" w:type="dxa"/>
        <w:top w:w="0" w:type="dxa"/>
        <w:right w:w="0" w:type="dxa"/>
        <w:bottom w:w="0" w:type="dxa"/>
      </w:tblCellMar>
    </w:tblPr>
  </w:style>
  <w:style w:type="table" w:styleId="938" w:customStyle="1">
    <w:name w:val="Grid Table 4 - Accent 5"/>
    <w:basedOn w:val="734"/>
    <w:uiPriority w:val="59"/>
    <w:qFormat/>
    <w:rPr>
      <w:rFonts w:ascii="Calibri" w:hAnsi="Calibri"/>
    </w:rPr>
    <w:tblPr>
      <w:tblCellMar>
        <w:left w:w="0" w:type="dxa"/>
        <w:top w:w="0" w:type="dxa"/>
        <w:right w:w="0" w:type="dxa"/>
        <w:bottom w:w="0" w:type="dxa"/>
      </w:tblCellMar>
    </w:tblPr>
  </w:style>
  <w:style w:type="table" w:styleId="939" w:customStyle="1">
    <w:name w:val="Grid Table 4 - Accent 6"/>
    <w:basedOn w:val="734"/>
    <w:uiPriority w:val="59"/>
    <w:qFormat/>
    <w:rPr>
      <w:rFonts w:ascii="Calibri" w:hAnsi="Calibri"/>
    </w:rPr>
    <w:tblPr>
      <w:tblCellMar>
        <w:left w:w="0" w:type="dxa"/>
        <w:top w:w="0" w:type="dxa"/>
        <w:right w:w="0" w:type="dxa"/>
        <w:bottom w:w="0" w:type="dxa"/>
      </w:tblCellMar>
    </w:tblPr>
  </w:style>
  <w:style w:type="table" w:styleId="940" w:customStyle="1">
    <w:name w:val="Grid Table 5 Dark"/>
    <w:uiPriority w:val="99"/>
    <w:qFormat/>
    <w:rPr>
      <w:rFonts w:ascii="Calibri" w:hAnsi="Calibri"/>
    </w:rPr>
    <w:tblPr>
      <w:tblCellMar>
        <w:left w:w="0" w:type="dxa"/>
        <w:top w:w="0" w:type="dxa"/>
        <w:right w:w="0" w:type="dxa"/>
        <w:bottom w:w="0" w:type="dxa"/>
      </w:tblCellMar>
    </w:tblPr>
  </w:style>
  <w:style w:type="table" w:styleId="941" w:customStyle="1">
    <w:name w:val="Grid Table 5 Dark- Accent 1"/>
    <w:basedOn w:val="734"/>
    <w:uiPriority w:val="99"/>
    <w:qFormat/>
    <w:rPr>
      <w:rFonts w:ascii="Calibri" w:hAnsi="Calibri"/>
    </w:rPr>
    <w:tblPr>
      <w:tblCellMar>
        <w:left w:w="0" w:type="dxa"/>
        <w:top w:w="0" w:type="dxa"/>
        <w:right w:w="0" w:type="dxa"/>
        <w:bottom w:w="0" w:type="dxa"/>
      </w:tblCellMar>
    </w:tblPr>
  </w:style>
  <w:style w:type="table" w:styleId="942" w:customStyle="1">
    <w:name w:val="Grid Table 5 Dark - Accent 2"/>
    <w:basedOn w:val="734"/>
    <w:uiPriority w:val="99"/>
    <w:qFormat/>
    <w:rPr>
      <w:rFonts w:ascii="Calibri" w:hAnsi="Calibri"/>
    </w:rPr>
    <w:tblPr>
      <w:tblCellMar>
        <w:left w:w="0" w:type="dxa"/>
        <w:top w:w="0" w:type="dxa"/>
        <w:right w:w="0" w:type="dxa"/>
        <w:bottom w:w="0" w:type="dxa"/>
      </w:tblCellMar>
    </w:tblPr>
  </w:style>
  <w:style w:type="table" w:styleId="943" w:customStyle="1">
    <w:name w:val="Grid Table 5 Dark - Accent 3"/>
    <w:basedOn w:val="734"/>
    <w:uiPriority w:val="99"/>
    <w:qFormat/>
    <w:rPr>
      <w:rFonts w:ascii="Calibri" w:hAnsi="Calibri"/>
    </w:rPr>
    <w:tblPr>
      <w:tblCellMar>
        <w:left w:w="0" w:type="dxa"/>
        <w:top w:w="0" w:type="dxa"/>
        <w:right w:w="0" w:type="dxa"/>
        <w:bottom w:w="0" w:type="dxa"/>
      </w:tblCellMar>
    </w:tblPr>
  </w:style>
  <w:style w:type="table" w:styleId="944" w:customStyle="1">
    <w:name w:val="Grid Table 5 Dark- Accent 4"/>
    <w:basedOn w:val="734"/>
    <w:uiPriority w:val="99"/>
    <w:qFormat/>
    <w:rPr>
      <w:rFonts w:ascii="Calibri" w:hAnsi="Calibri"/>
    </w:rPr>
    <w:tblPr>
      <w:tblCellMar>
        <w:left w:w="0" w:type="dxa"/>
        <w:top w:w="0" w:type="dxa"/>
        <w:right w:w="0" w:type="dxa"/>
        <w:bottom w:w="0" w:type="dxa"/>
      </w:tblCellMar>
    </w:tblPr>
  </w:style>
  <w:style w:type="table" w:styleId="945" w:customStyle="1">
    <w:name w:val="Grid Table 5 Dark - Accent 5"/>
    <w:basedOn w:val="734"/>
    <w:uiPriority w:val="99"/>
    <w:qFormat/>
    <w:rPr>
      <w:rFonts w:ascii="Calibri" w:hAnsi="Calibri"/>
    </w:rPr>
    <w:tblPr>
      <w:tblCellMar>
        <w:left w:w="0" w:type="dxa"/>
        <w:top w:w="0" w:type="dxa"/>
        <w:right w:w="0" w:type="dxa"/>
        <w:bottom w:w="0" w:type="dxa"/>
      </w:tblCellMar>
    </w:tblPr>
  </w:style>
  <w:style w:type="table" w:styleId="946" w:customStyle="1">
    <w:name w:val="Grid Table 5 Dark - Accent 6"/>
    <w:basedOn w:val="734"/>
    <w:uiPriority w:val="99"/>
    <w:qFormat/>
    <w:rPr>
      <w:rFonts w:ascii="Calibri" w:hAnsi="Calibri"/>
    </w:rPr>
    <w:tblPr>
      <w:tblCellMar>
        <w:left w:w="0" w:type="dxa"/>
        <w:top w:w="0" w:type="dxa"/>
        <w:right w:w="0" w:type="dxa"/>
        <w:bottom w:w="0" w:type="dxa"/>
      </w:tblCellMar>
    </w:tblPr>
  </w:style>
  <w:style w:type="table" w:styleId="947" w:customStyle="1">
    <w:name w:val="Grid Table 6 Colorful"/>
    <w:uiPriority w:val="99"/>
    <w:qFormat/>
    <w:rPr>
      <w:rFonts w:ascii="Calibri" w:hAnsi="Calibri"/>
    </w:rPr>
    <w:tblPr>
      <w:tblCellMar>
        <w:left w:w="0" w:type="dxa"/>
        <w:top w:w="0" w:type="dxa"/>
        <w:right w:w="0" w:type="dxa"/>
        <w:bottom w:w="0" w:type="dxa"/>
      </w:tblCellMar>
    </w:tblPr>
  </w:style>
  <w:style w:type="table" w:styleId="948" w:customStyle="1">
    <w:name w:val="Grid Table 6 Colorful - Accent 1"/>
    <w:basedOn w:val="734"/>
    <w:uiPriority w:val="99"/>
    <w:qFormat/>
    <w:rPr>
      <w:rFonts w:ascii="Calibri" w:hAnsi="Calibri"/>
    </w:rPr>
    <w:tblPr>
      <w:tblCellMar>
        <w:left w:w="0" w:type="dxa"/>
        <w:top w:w="0" w:type="dxa"/>
        <w:right w:w="0" w:type="dxa"/>
        <w:bottom w:w="0" w:type="dxa"/>
      </w:tblCellMar>
    </w:tblPr>
  </w:style>
  <w:style w:type="table" w:styleId="949" w:customStyle="1">
    <w:name w:val="Grid Table 6 Colorful - Accent 2"/>
    <w:basedOn w:val="734"/>
    <w:uiPriority w:val="99"/>
    <w:qFormat/>
    <w:rPr>
      <w:rFonts w:ascii="Calibri" w:hAnsi="Calibri"/>
    </w:rPr>
    <w:tblPr>
      <w:tblCellMar>
        <w:left w:w="0" w:type="dxa"/>
        <w:top w:w="0" w:type="dxa"/>
        <w:right w:w="0" w:type="dxa"/>
        <w:bottom w:w="0" w:type="dxa"/>
      </w:tblCellMar>
    </w:tblPr>
  </w:style>
  <w:style w:type="table" w:styleId="950" w:customStyle="1">
    <w:name w:val="Grid Table 6 Colorful - Accent 3"/>
    <w:basedOn w:val="734"/>
    <w:uiPriority w:val="99"/>
    <w:qFormat/>
    <w:rPr>
      <w:rFonts w:ascii="Calibri" w:hAnsi="Calibri"/>
    </w:rPr>
    <w:tblPr>
      <w:tblCellMar>
        <w:left w:w="0" w:type="dxa"/>
        <w:top w:w="0" w:type="dxa"/>
        <w:right w:w="0" w:type="dxa"/>
        <w:bottom w:w="0" w:type="dxa"/>
      </w:tblCellMar>
    </w:tblPr>
  </w:style>
  <w:style w:type="table" w:styleId="951" w:customStyle="1">
    <w:name w:val="Grid Table 6 Colorful - Accent 4"/>
    <w:basedOn w:val="734"/>
    <w:uiPriority w:val="99"/>
    <w:qFormat/>
    <w:rPr>
      <w:rFonts w:ascii="Calibri" w:hAnsi="Calibri"/>
    </w:rPr>
    <w:tblPr>
      <w:tblCellMar>
        <w:left w:w="0" w:type="dxa"/>
        <w:top w:w="0" w:type="dxa"/>
        <w:right w:w="0" w:type="dxa"/>
        <w:bottom w:w="0" w:type="dxa"/>
      </w:tblCellMar>
    </w:tblPr>
  </w:style>
  <w:style w:type="table" w:styleId="952" w:customStyle="1">
    <w:name w:val="Grid Table 6 Colorful - Accent 5"/>
    <w:basedOn w:val="734"/>
    <w:uiPriority w:val="99"/>
    <w:qFormat/>
    <w:rPr>
      <w:rFonts w:ascii="Calibri" w:hAnsi="Calibri"/>
    </w:rPr>
    <w:tblPr>
      <w:tblCellMar>
        <w:left w:w="0" w:type="dxa"/>
        <w:top w:w="0" w:type="dxa"/>
        <w:right w:w="0" w:type="dxa"/>
        <w:bottom w:w="0" w:type="dxa"/>
      </w:tblCellMar>
    </w:tblPr>
  </w:style>
  <w:style w:type="table" w:styleId="953" w:customStyle="1">
    <w:name w:val="Grid Table 6 Colorful - Accent 6"/>
    <w:basedOn w:val="734"/>
    <w:uiPriority w:val="99"/>
    <w:qFormat/>
    <w:rPr>
      <w:rFonts w:ascii="Calibri" w:hAnsi="Calibri"/>
    </w:rPr>
    <w:tblPr>
      <w:tblCellMar>
        <w:left w:w="0" w:type="dxa"/>
        <w:top w:w="0" w:type="dxa"/>
        <w:right w:w="0" w:type="dxa"/>
        <w:bottom w:w="0" w:type="dxa"/>
      </w:tblCellMar>
    </w:tblPr>
  </w:style>
  <w:style w:type="table" w:styleId="954" w:customStyle="1">
    <w:name w:val="Grid Table 7 Colorful"/>
    <w:uiPriority w:val="99"/>
    <w:qFormat/>
    <w:rPr>
      <w:rFonts w:ascii="Calibri" w:hAnsi="Calibri"/>
    </w:rPr>
    <w:tblPr>
      <w:tblCellMar>
        <w:left w:w="0" w:type="dxa"/>
        <w:top w:w="0" w:type="dxa"/>
        <w:right w:w="0" w:type="dxa"/>
        <w:bottom w:w="0" w:type="dxa"/>
      </w:tblCellMar>
    </w:tblPr>
  </w:style>
  <w:style w:type="table" w:styleId="955" w:customStyle="1">
    <w:name w:val="Grid Table 7 Colorful - Accent 1"/>
    <w:basedOn w:val="734"/>
    <w:uiPriority w:val="99"/>
    <w:qFormat/>
    <w:rPr>
      <w:rFonts w:ascii="Calibri" w:hAnsi="Calibri"/>
    </w:rPr>
    <w:tblPr>
      <w:tblCellMar>
        <w:left w:w="0" w:type="dxa"/>
        <w:top w:w="0" w:type="dxa"/>
        <w:right w:w="0" w:type="dxa"/>
        <w:bottom w:w="0" w:type="dxa"/>
      </w:tblCellMar>
    </w:tblPr>
  </w:style>
  <w:style w:type="table" w:styleId="956" w:customStyle="1">
    <w:name w:val="Grid Table 7 Colorful - Accent 2"/>
    <w:basedOn w:val="734"/>
    <w:uiPriority w:val="99"/>
    <w:qFormat/>
    <w:rPr>
      <w:rFonts w:ascii="Calibri" w:hAnsi="Calibri"/>
    </w:rPr>
    <w:tblPr>
      <w:tblCellMar>
        <w:left w:w="0" w:type="dxa"/>
        <w:top w:w="0" w:type="dxa"/>
        <w:right w:w="0" w:type="dxa"/>
        <w:bottom w:w="0" w:type="dxa"/>
      </w:tblCellMar>
    </w:tblPr>
  </w:style>
  <w:style w:type="table" w:styleId="957" w:customStyle="1">
    <w:name w:val="Grid Table 7 Colorful - Accent 3"/>
    <w:basedOn w:val="734"/>
    <w:uiPriority w:val="99"/>
    <w:qFormat/>
    <w:rPr>
      <w:rFonts w:ascii="Calibri" w:hAnsi="Calibri"/>
    </w:rPr>
    <w:tblPr>
      <w:tblCellMar>
        <w:left w:w="0" w:type="dxa"/>
        <w:top w:w="0" w:type="dxa"/>
        <w:right w:w="0" w:type="dxa"/>
        <w:bottom w:w="0" w:type="dxa"/>
      </w:tblCellMar>
    </w:tblPr>
  </w:style>
  <w:style w:type="table" w:styleId="958" w:customStyle="1">
    <w:name w:val="Grid Table 7 Colorful - Accent 4"/>
    <w:basedOn w:val="734"/>
    <w:uiPriority w:val="99"/>
    <w:qFormat/>
    <w:rPr>
      <w:rFonts w:ascii="Calibri" w:hAnsi="Calibri"/>
    </w:rPr>
    <w:tblPr>
      <w:tblCellMar>
        <w:left w:w="0" w:type="dxa"/>
        <w:top w:w="0" w:type="dxa"/>
        <w:right w:w="0" w:type="dxa"/>
        <w:bottom w:w="0" w:type="dxa"/>
      </w:tblCellMar>
    </w:tblPr>
  </w:style>
  <w:style w:type="table" w:styleId="959" w:customStyle="1">
    <w:name w:val="Grid Table 7 Colorful - Accent 5"/>
    <w:basedOn w:val="734"/>
    <w:uiPriority w:val="99"/>
    <w:qFormat/>
    <w:rPr>
      <w:rFonts w:ascii="Calibri" w:hAnsi="Calibri"/>
    </w:rPr>
    <w:tblPr>
      <w:tblCellMar>
        <w:left w:w="0" w:type="dxa"/>
        <w:top w:w="0" w:type="dxa"/>
        <w:right w:w="0" w:type="dxa"/>
        <w:bottom w:w="0" w:type="dxa"/>
      </w:tblCellMar>
    </w:tblPr>
  </w:style>
  <w:style w:type="table" w:styleId="960" w:customStyle="1">
    <w:name w:val="Grid Table 7 Colorful - Accent 6"/>
    <w:basedOn w:val="734"/>
    <w:uiPriority w:val="99"/>
    <w:qFormat/>
    <w:rPr>
      <w:rFonts w:ascii="Calibri" w:hAnsi="Calibri"/>
    </w:rPr>
    <w:tblPr>
      <w:tblCellMar>
        <w:left w:w="0" w:type="dxa"/>
        <w:top w:w="0" w:type="dxa"/>
        <w:right w:w="0" w:type="dxa"/>
        <w:bottom w:w="0" w:type="dxa"/>
      </w:tblCellMar>
    </w:tblPr>
  </w:style>
  <w:style w:type="table" w:styleId="961" w:customStyle="1">
    <w:name w:val="List Table 1 Light"/>
    <w:uiPriority w:val="99"/>
    <w:qFormat/>
    <w:rPr>
      <w:rFonts w:ascii="Calibri" w:hAnsi="Calibri"/>
    </w:rPr>
    <w:tblPr>
      <w:tblCellMar>
        <w:left w:w="0" w:type="dxa"/>
        <w:top w:w="0" w:type="dxa"/>
        <w:right w:w="0" w:type="dxa"/>
        <w:bottom w:w="0" w:type="dxa"/>
      </w:tblCellMar>
    </w:tblPr>
  </w:style>
  <w:style w:type="table" w:styleId="962" w:customStyle="1">
    <w:name w:val="List Table 1 Light - Accent 1"/>
    <w:basedOn w:val="734"/>
    <w:uiPriority w:val="99"/>
    <w:qFormat/>
    <w:rPr>
      <w:rFonts w:ascii="Calibri" w:hAnsi="Calibri"/>
    </w:rPr>
    <w:tblPr>
      <w:tblCellMar>
        <w:left w:w="0" w:type="dxa"/>
        <w:top w:w="0" w:type="dxa"/>
        <w:right w:w="0" w:type="dxa"/>
        <w:bottom w:w="0" w:type="dxa"/>
      </w:tblCellMar>
    </w:tblPr>
  </w:style>
  <w:style w:type="table" w:styleId="963" w:customStyle="1">
    <w:name w:val="List Table 1 Light - Accent 2"/>
    <w:basedOn w:val="734"/>
    <w:uiPriority w:val="99"/>
    <w:qFormat/>
    <w:rPr>
      <w:rFonts w:ascii="Calibri" w:hAnsi="Calibri"/>
    </w:rPr>
    <w:tblPr>
      <w:tblCellMar>
        <w:left w:w="0" w:type="dxa"/>
        <w:top w:w="0" w:type="dxa"/>
        <w:right w:w="0" w:type="dxa"/>
        <w:bottom w:w="0" w:type="dxa"/>
      </w:tblCellMar>
    </w:tblPr>
  </w:style>
  <w:style w:type="table" w:styleId="964" w:customStyle="1">
    <w:name w:val="List Table 1 Light - Accent 3"/>
    <w:basedOn w:val="734"/>
    <w:uiPriority w:val="99"/>
    <w:qFormat/>
    <w:rPr>
      <w:rFonts w:ascii="Calibri" w:hAnsi="Calibri"/>
    </w:rPr>
    <w:tblPr>
      <w:tblCellMar>
        <w:left w:w="0" w:type="dxa"/>
        <w:top w:w="0" w:type="dxa"/>
        <w:right w:w="0" w:type="dxa"/>
        <w:bottom w:w="0" w:type="dxa"/>
      </w:tblCellMar>
    </w:tblPr>
  </w:style>
  <w:style w:type="table" w:styleId="965" w:customStyle="1">
    <w:name w:val="List Table 1 Light - Accent 4"/>
    <w:basedOn w:val="734"/>
    <w:uiPriority w:val="99"/>
    <w:qFormat/>
    <w:rPr>
      <w:rFonts w:ascii="Calibri" w:hAnsi="Calibri"/>
    </w:rPr>
    <w:tblPr>
      <w:tblCellMar>
        <w:left w:w="0" w:type="dxa"/>
        <w:top w:w="0" w:type="dxa"/>
        <w:right w:w="0" w:type="dxa"/>
        <w:bottom w:w="0" w:type="dxa"/>
      </w:tblCellMar>
    </w:tblPr>
  </w:style>
  <w:style w:type="table" w:styleId="966" w:customStyle="1">
    <w:name w:val="List Table 1 Light - Accent 5"/>
    <w:basedOn w:val="734"/>
    <w:uiPriority w:val="99"/>
    <w:qFormat/>
    <w:rPr>
      <w:rFonts w:ascii="Calibri" w:hAnsi="Calibri"/>
    </w:rPr>
    <w:tblPr>
      <w:tblCellMar>
        <w:left w:w="0" w:type="dxa"/>
        <w:top w:w="0" w:type="dxa"/>
        <w:right w:w="0" w:type="dxa"/>
        <w:bottom w:w="0" w:type="dxa"/>
      </w:tblCellMar>
    </w:tblPr>
  </w:style>
  <w:style w:type="table" w:styleId="967" w:customStyle="1">
    <w:name w:val="List Table 1 Light - Accent 6"/>
    <w:basedOn w:val="734"/>
    <w:uiPriority w:val="99"/>
    <w:qFormat/>
    <w:rPr>
      <w:rFonts w:ascii="Calibri" w:hAnsi="Calibri"/>
    </w:rPr>
    <w:tblPr>
      <w:tblCellMar>
        <w:left w:w="0" w:type="dxa"/>
        <w:top w:w="0" w:type="dxa"/>
        <w:right w:w="0" w:type="dxa"/>
        <w:bottom w:w="0" w:type="dxa"/>
      </w:tblCellMar>
    </w:tblPr>
  </w:style>
  <w:style w:type="table" w:styleId="968" w:customStyle="1">
    <w:name w:val="List Table 2"/>
    <w:uiPriority w:val="99"/>
    <w:qFormat/>
    <w:rPr>
      <w:rFonts w:ascii="Calibri" w:hAnsi="Calibri"/>
    </w:rPr>
    <w:tblPr>
      <w:tblCellMar>
        <w:left w:w="0" w:type="dxa"/>
        <w:top w:w="0" w:type="dxa"/>
        <w:right w:w="0" w:type="dxa"/>
        <w:bottom w:w="0" w:type="dxa"/>
      </w:tblCellMar>
    </w:tblPr>
  </w:style>
  <w:style w:type="table" w:styleId="969" w:customStyle="1">
    <w:name w:val="List Table 2 - Accent 1"/>
    <w:basedOn w:val="734"/>
    <w:uiPriority w:val="99"/>
    <w:qFormat/>
    <w:rPr>
      <w:rFonts w:ascii="Calibri" w:hAnsi="Calibri"/>
    </w:rPr>
    <w:tblPr>
      <w:tblCellMar>
        <w:left w:w="0" w:type="dxa"/>
        <w:top w:w="0" w:type="dxa"/>
        <w:right w:w="0" w:type="dxa"/>
        <w:bottom w:w="0" w:type="dxa"/>
      </w:tblCellMar>
    </w:tblPr>
  </w:style>
  <w:style w:type="table" w:styleId="970" w:customStyle="1">
    <w:name w:val="List Table 2 - Accent 2"/>
    <w:basedOn w:val="734"/>
    <w:uiPriority w:val="99"/>
    <w:qFormat/>
    <w:rPr>
      <w:rFonts w:ascii="Calibri" w:hAnsi="Calibri"/>
    </w:rPr>
    <w:tblPr>
      <w:tblCellMar>
        <w:left w:w="0" w:type="dxa"/>
        <w:top w:w="0" w:type="dxa"/>
        <w:right w:w="0" w:type="dxa"/>
        <w:bottom w:w="0" w:type="dxa"/>
      </w:tblCellMar>
    </w:tblPr>
  </w:style>
  <w:style w:type="table" w:styleId="971" w:customStyle="1">
    <w:name w:val="List Table 2 - Accent 3"/>
    <w:basedOn w:val="734"/>
    <w:uiPriority w:val="99"/>
    <w:qFormat/>
    <w:rPr>
      <w:rFonts w:ascii="Calibri" w:hAnsi="Calibri"/>
    </w:rPr>
    <w:tblPr>
      <w:tblCellMar>
        <w:left w:w="0" w:type="dxa"/>
        <w:top w:w="0" w:type="dxa"/>
        <w:right w:w="0" w:type="dxa"/>
        <w:bottom w:w="0" w:type="dxa"/>
      </w:tblCellMar>
    </w:tblPr>
  </w:style>
  <w:style w:type="table" w:styleId="972" w:customStyle="1">
    <w:name w:val="List Table 2 - Accent 4"/>
    <w:basedOn w:val="734"/>
    <w:uiPriority w:val="99"/>
    <w:qFormat/>
    <w:rPr>
      <w:rFonts w:ascii="Calibri" w:hAnsi="Calibri"/>
    </w:rPr>
    <w:tblPr>
      <w:tblCellMar>
        <w:left w:w="0" w:type="dxa"/>
        <w:top w:w="0" w:type="dxa"/>
        <w:right w:w="0" w:type="dxa"/>
        <w:bottom w:w="0" w:type="dxa"/>
      </w:tblCellMar>
    </w:tblPr>
  </w:style>
  <w:style w:type="table" w:styleId="973" w:customStyle="1">
    <w:name w:val="List Table 2 - Accent 5"/>
    <w:basedOn w:val="734"/>
    <w:uiPriority w:val="99"/>
    <w:qFormat/>
    <w:rPr>
      <w:rFonts w:ascii="Calibri" w:hAnsi="Calibri"/>
    </w:rPr>
    <w:tblPr>
      <w:tblCellMar>
        <w:left w:w="0" w:type="dxa"/>
        <w:top w:w="0" w:type="dxa"/>
        <w:right w:w="0" w:type="dxa"/>
        <w:bottom w:w="0" w:type="dxa"/>
      </w:tblCellMar>
    </w:tblPr>
  </w:style>
  <w:style w:type="table" w:styleId="974" w:customStyle="1">
    <w:name w:val="List Table 2 - Accent 6"/>
    <w:basedOn w:val="734"/>
    <w:uiPriority w:val="99"/>
    <w:qFormat/>
    <w:rPr>
      <w:rFonts w:ascii="Calibri" w:hAnsi="Calibri"/>
    </w:rPr>
    <w:tblPr>
      <w:tblCellMar>
        <w:left w:w="0" w:type="dxa"/>
        <w:top w:w="0" w:type="dxa"/>
        <w:right w:w="0" w:type="dxa"/>
        <w:bottom w:w="0" w:type="dxa"/>
      </w:tblCellMar>
    </w:tblPr>
  </w:style>
  <w:style w:type="table" w:styleId="975" w:customStyle="1">
    <w:name w:val="List Table 3"/>
    <w:uiPriority w:val="99"/>
    <w:qFormat/>
    <w:rPr>
      <w:rFonts w:ascii="Calibri" w:hAnsi="Calibri"/>
    </w:rPr>
    <w:tblPr>
      <w:tblCellMar>
        <w:left w:w="0" w:type="dxa"/>
        <w:top w:w="0" w:type="dxa"/>
        <w:right w:w="0" w:type="dxa"/>
        <w:bottom w:w="0" w:type="dxa"/>
      </w:tblCellMar>
    </w:tblPr>
  </w:style>
  <w:style w:type="table" w:styleId="976" w:customStyle="1">
    <w:name w:val="List Table 3 - Accent 1"/>
    <w:basedOn w:val="734"/>
    <w:uiPriority w:val="99"/>
    <w:qFormat/>
    <w:rPr>
      <w:rFonts w:ascii="Calibri" w:hAnsi="Calibri"/>
    </w:rPr>
    <w:tblPr>
      <w:tblCellMar>
        <w:left w:w="0" w:type="dxa"/>
        <w:top w:w="0" w:type="dxa"/>
        <w:right w:w="0" w:type="dxa"/>
        <w:bottom w:w="0" w:type="dxa"/>
      </w:tblCellMar>
    </w:tblPr>
  </w:style>
  <w:style w:type="table" w:styleId="977" w:customStyle="1">
    <w:name w:val="List Table 3 - Accent 2"/>
    <w:basedOn w:val="734"/>
    <w:uiPriority w:val="99"/>
    <w:qFormat/>
    <w:rPr>
      <w:rFonts w:ascii="Calibri" w:hAnsi="Calibri"/>
    </w:rPr>
    <w:tblPr>
      <w:tblCellMar>
        <w:left w:w="0" w:type="dxa"/>
        <w:top w:w="0" w:type="dxa"/>
        <w:right w:w="0" w:type="dxa"/>
        <w:bottom w:w="0" w:type="dxa"/>
      </w:tblCellMar>
    </w:tblPr>
  </w:style>
  <w:style w:type="table" w:styleId="978" w:customStyle="1">
    <w:name w:val="List Table 3 - Accent 3"/>
    <w:basedOn w:val="734"/>
    <w:uiPriority w:val="99"/>
    <w:qFormat/>
    <w:rPr>
      <w:rFonts w:ascii="Calibri" w:hAnsi="Calibri"/>
    </w:rPr>
    <w:tblPr>
      <w:tblCellMar>
        <w:left w:w="0" w:type="dxa"/>
        <w:top w:w="0" w:type="dxa"/>
        <w:right w:w="0" w:type="dxa"/>
        <w:bottom w:w="0" w:type="dxa"/>
      </w:tblCellMar>
    </w:tblPr>
  </w:style>
  <w:style w:type="table" w:styleId="979" w:customStyle="1">
    <w:name w:val="List Table 3 - Accent 4"/>
    <w:basedOn w:val="734"/>
    <w:uiPriority w:val="99"/>
    <w:qFormat/>
    <w:rPr>
      <w:rFonts w:ascii="Calibri" w:hAnsi="Calibri"/>
    </w:rPr>
    <w:tblPr>
      <w:tblCellMar>
        <w:left w:w="0" w:type="dxa"/>
        <w:top w:w="0" w:type="dxa"/>
        <w:right w:w="0" w:type="dxa"/>
        <w:bottom w:w="0" w:type="dxa"/>
      </w:tblCellMar>
    </w:tblPr>
  </w:style>
  <w:style w:type="table" w:styleId="980" w:customStyle="1">
    <w:name w:val="List Table 3 - Accent 5"/>
    <w:basedOn w:val="734"/>
    <w:uiPriority w:val="99"/>
    <w:qFormat/>
    <w:rPr>
      <w:rFonts w:ascii="Calibri" w:hAnsi="Calibri"/>
    </w:rPr>
    <w:tblPr>
      <w:tblCellMar>
        <w:left w:w="0" w:type="dxa"/>
        <w:top w:w="0" w:type="dxa"/>
        <w:right w:w="0" w:type="dxa"/>
        <w:bottom w:w="0" w:type="dxa"/>
      </w:tblCellMar>
    </w:tblPr>
  </w:style>
  <w:style w:type="table" w:styleId="981" w:customStyle="1">
    <w:name w:val="List Table 3 - Accent 6"/>
    <w:basedOn w:val="734"/>
    <w:uiPriority w:val="99"/>
    <w:qFormat/>
    <w:rPr>
      <w:rFonts w:ascii="Calibri" w:hAnsi="Calibri"/>
    </w:rPr>
    <w:tblPr>
      <w:tblCellMar>
        <w:left w:w="0" w:type="dxa"/>
        <w:top w:w="0" w:type="dxa"/>
        <w:right w:w="0" w:type="dxa"/>
        <w:bottom w:w="0" w:type="dxa"/>
      </w:tblCellMar>
    </w:tblPr>
  </w:style>
  <w:style w:type="table" w:styleId="982" w:customStyle="1">
    <w:name w:val="List Table 4"/>
    <w:uiPriority w:val="99"/>
    <w:qFormat/>
    <w:rPr>
      <w:rFonts w:ascii="Calibri" w:hAnsi="Calibri"/>
    </w:rPr>
    <w:tblPr>
      <w:tblCellMar>
        <w:left w:w="0" w:type="dxa"/>
        <w:top w:w="0" w:type="dxa"/>
        <w:right w:w="0" w:type="dxa"/>
        <w:bottom w:w="0" w:type="dxa"/>
      </w:tblCellMar>
    </w:tblPr>
  </w:style>
  <w:style w:type="table" w:styleId="983" w:customStyle="1">
    <w:name w:val="List Table 4 - Accent 1"/>
    <w:basedOn w:val="734"/>
    <w:uiPriority w:val="99"/>
    <w:qFormat/>
    <w:rPr>
      <w:rFonts w:ascii="Calibri" w:hAnsi="Calibri"/>
    </w:rPr>
    <w:tblPr>
      <w:tblCellMar>
        <w:left w:w="0" w:type="dxa"/>
        <w:top w:w="0" w:type="dxa"/>
        <w:right w:w="0" w:type="dxa"/>
        <w:bottom w:w="0" w:type="dxa"/>
      </w:tblCellMar>
    </w:tblPr>
  </w:style>
  <w:style w:type="table" w:styleId="984" w:customStyle="1">
    <w:name w:val="List Table 4 - Accent 2"/>
    <w:basedOn w:val="734"/>
    <w:uiPriority w:val="99"/>
    <w:qFormat/>
    <w:rPr>
      <w:rFonts w:ascii="Calibri" w:hAnsi="Calibri"/>
    </w:rPr>
    <w:tblPr>
      <w:tblCellMar>
        <w:left w:w="0" w:type="dxa"/>
        <w:top w:w="0" w:type="dxa"/>
        <w:right w:w="0" w:type="dxa"/>
        <w:bottom w:w="0" w:type="dxa"/>
      </w:tblCellMar>
    </w:tblPr>
  </w:style>
  <w:style w:type="table" w:styleId="985" w:customStyle="1">
    <w:name w:val="List Table 4 - Accent 3"/>
    <w:basedOn w:val="734"/>
    <w:uiPriority w:val="99"/>
    <w:qFormat/>
    <w:rPr>
      <w:rFonts w:ascii="Calibri" w:hAnsi="Calibri"/>
    </w:rPr>
    <w:tblPr>
      <w:tblCellMar>
        <w:left w:w="0" w:type="dxa"/>
        <w:top w:w="0" w:type="dxa"/>
        <w:right w:w="0" w:type="dxa"/>
        <w:bottom w:w="0" w:type="dxa"/>
      </w:tblCellMar>
    </w:tblPr>
  </w:style>
  <w:style w:type="table" w:styleId="986" w:customStyle="1">
    <w:name w:val="List Table 4 - Accent 4"/>
    <w:basedOn w:val="734"/>
    <w:uiPriority w:val="99"/>
    <w:qFormat/>
    <w:rPr>
      <w:rFonts w:ascii="Calibri" w:hAnsi="Calibri"/>
    </w:rPr>
    <w:tblPr>
      <w:tblCellMar>
        <w:left w:w="0" w:type="dxa"/>
        <w:top w:w="0" w:type="dxa"/>
        <w:right w:w="0" w:type="dxa"/>
        <w:bottom w:w="0" w:type="dxa"/>
      </w:tblCellMar>
    </w:tblPr>
  </w:style>
  <w:style w:type="table" w:styleId="987" w:customStyle="1">
    <w:name w:val="List Table 4 - Accent 5"/>
    <w:basedOn w:val="734"/>
    <w:uiPriority w:val="99"/>
    <w:qFormat/>
    <w:rPr>
      <w:rFonts w:ascii="Calibri" w:hAnsi="Calibri"/>
    </w:rPr>
    <w:tblPr>
      <w:tblCellMar>
        <w:left w:w="0" w:type="dxa"/>
        <w:top w:w="0" w:type="dxa"/>
        <w:right w:w="0" w:type="dxa"/>
        <w:bottom w:w="0" w:type="dxa"/>
      </w:tblCellMar>
    </w:tblPr>
  </w:style>
  <w:style w:type="table" w:styleId="988" w:customStyle="1">
    <w:name w:val="List Table 4 - Accent 6"/>
    <w:basedOn w:val="734"/>
    <w:uiPriority w:val="99"/>
    <w:qFormat/>
    <w:rPr>
      <w:rFonts w:ascii="Calibri" w:hAnsi="Calibri"/>
    </w:rPr>
    <w:tblPr>
      <w:tblCellMar>
        <w:left w:w="0" w:type="dxa"/>
        <w:top w:w="0" w:type="dxa"/>
        <w:right w:w="0" w:type="dxa"/>
        <w:bottom w:w="0" w:type="dxa"/>
      </w:tblCellMar>
    </w:tblPr>
  </w:style>
  <w:style w:type="table" w:styleId="989" w:customStyle="1">
    <w:name w:val="List Table 5 Dark"/>
    <w:uiPriority w:val="99"/>
    <w:qFormat/>
    <w:rPr>
      <w:rFonts w:ascii="Calibri" w:hAnsi="Calibri"/>
    </w:rPr>
    <w:tblPr>
      <w:tblCellMar>
        <w:left w:w="0" w:type="dxa"/>
        <w:top w:w="0" w:type="dxa"/>
        <w:right w:w="0" w:type="dxa"/>
        <w:bottom w:w="0" w:type="dxa"/>
      </w:tblCellMar>
    </w:tblPr>
  </w:style>
  <w:style w:type="table" w:styleId="990" w:customStyle="1">
    <w:name w:val="List Table 5 Dark - Accent 1"/>
    <w:basedOn w:val="734"/>
    <w:uiPriority w:val="99"/>
    <w:qFormat/>
    <w:rPr>
      <w:rFonts w:ascii="Calibri" w:hAnsi="Calibri"/>
    </w:rPr>
    <w:tblPr>
      <w:tblCellMar>
        <w:left w:w="0" w:type="dxa"/>
        <w:top w:w="0" w:type="dxa"/>
        <w:right w:w="0" w:type="dxa"/>
        <w:bottom w:w="0" w:type="dxa"/>
      </w:tblCellMar>
    </w:tblPr>
  </w:style>
  <w:style w:type="table" w:styleId="991" w:customStyle="1">
    <w:name w:val="List Table 5 Dark - Accent 2"/>
    <w:basedOn w:val="734"/>
    <w:uiPriority w:val="99"/>
    <w:qFormat/>
    <w:rPr>
      <w:rFonts w:ascii="Calibri" w:hAnsi="Calibri"/>
    </w:rPr>
    <w:tblPr>
      <w:tblCellMar>
        <w:left w:w="0" w:type="dxa"/>
        <w:top w:w="0" w:type="dxa"/>
        <w:right w:w="0" w:type="dxa"/>
        <w:bottom w:w="0" w:type="dxa"/>
      </w:tblCellMar>
    </w:tblPr>
  </w:style>
  <w:style w:type="table" w:styleId="992" w:customStyle="1">
    <w:name w:val="List Table 5 Dark - Accent 3"/>
    <w:basedOn w:val="734"/>
    <w:uiPriority w:val="99"/>
    <w:qFormat/>
    <w:rPr>
      <w:rFonts w:ascii="Calibri" w:hAnsi="Calibri"/>
    </w:rPr>
    <w:tblPr>
      <w:tblCellMar>
        <w:left w:w="0" w:type="dxa"/>
        <w:top w:w="0" w:type="dxa"/>
        <w:right w:w="0" w:type="dxa"/>
        <w:bottom w:w="0" w:type="dxa"/>
      </w:tblCellMar>
    </w:tblPr>
  </w:style>
  <w:style w:type="table" w:styleId="993" w:customStyle="1">
    <w:name w:val="List Table 5 Dark - Accent 4"/>
    <w:basedOn w:val="734"/>
    <w:uiPriority w:val="99"/>
    <w:qFormat/>
    <w:rPr>
      <w:rFonts w:ascii="Calibri" w:hAnsi="Calibri"/>
    </w:rPr>
    <w:tblPr>
      <w:tblCellMar>
        <w:left w:w="0" w:type="dxa"/>
        <w:top w:w="0" w:type="dxa"/>
        <w:right w:w="0" w:type="dxa"/>
        <w:bottom w:w="0" w:type="dxa"/>
      </w:tblCellMar>
    </w:tblPr>
  </w:style>
  <w:style w:type="table" w:styleId="994" w:customStyle="1">
    <w:name w:val="List Table 5 Dark - Accent 5"/>
    <w:basedOn w:val="734"/>
    <w:uiPriority w:val="99"/>
    <w:qFormat/>
    <w:rPr>
      <w:rFonts w:ascii="Calibri" w:hAnsi="Calibri"/>
    </w:rPr>
    <w:tblPr>
      <w:tblCellMar>
        <w:left w:w="0" w:type="dxa"/>
        <w:top w:w="0" w:type="dxa"/>
        <w:right w:w="0" w:type="dxa"/>
        <w:bottom w:w="0" w:type="dxa"/>
      </w:tblCellMar>
    </w:tblPr>
  </w:style>
  <w:style w:type="table" w:styleId="995" w:customStyle="1">
    <w:name w:val="List Table 5 Dark - Accent 6"/>
    <w:basedOn w:val="734"/>
    <w:uiPriority w:val="99"/>
    <w:qFormat/>
    <w:rPr>
      <w:rFonts w:ascii="Calibri" w:hAnsi="Calibri"/>
    </w:rPr>
    <w:tblPr>
      <w:tblCellMar>
        <w:left w:w="0" w:type="dxa"/>
        <w:top w:w="0" w:type="dxa"/>
        <w:right w:w="0" w:type="dxa"/>
        <w:bottom w:w="0" w:type="dxa"/>
      </w:tblCellMar>
    </w:tblPr>
  </w:style>
  <w:style w:type="table" w:styleId="996" w:customStyle="1">
    <w:name w:val="List Table 6 Colorful"/>
    <w:uiPriority w:val="99"/>
    <w:qFormat/>
    <w:rPr>
      <w:rFonts w:ascii="Calibri" w:hAnsi="Calibri"/>
    </w:rPr>
    <w:tblPr>
      <w:tblCellMar>
        <w:left w:w="0" w:type="dxa"/>
        <w:top w:w="0" w:type="dxa"/>
        <w:right w:w="0" w:type="dxa"/>
        <w:bottom w:w="0" w:type="dxa"/>
      </w:tblCellMar>
    </w:tblPr>
  </w:style>
  <w:style w:type="table" w:styleId="997" w:customStyle="1">
    <w:name w:val="List Table 6 Colorful - Accent 1"/>
    <w:basedOn w:val="734"/>
    <w:uiPriority w:val="99"/>
    <w:qFormat/>
    <w:rPr>
      <w:rFonts w:ascii="Calibri" w:hAnsi="Calibri"/>
    </w:rPr>
    <w:tblPr>
      <w:tblCellMar>
        <w:left w:w="0" w:type="dxa"/>
        <w:top w:w="0" w:type="dxa"/>
        <w:right w:w="0" w:type="dxa"/>
        <w:bottom w:w="0" w:type="dxa"/>
      </w:tblCellMar>
    </w:tblPr>
  </w:style>
  <w:style w:type="table" w:styleId="998" w:customStyle="1">
    <w:name w:val="List Table 6 Colorful - Accent 2"/>
    <w:basedOn w:val="734"/>
    <w:uiPriority w:val="99"/>
    <w:qFormat/>
    <w:rPr>
      <w:rFonts w:ascii="Calibri" w:hAnsi="Calibri"/>
    </w:rPr>
    <w:tblPr>
      <w:tblCellMar>
        <w:left w:w="0" w:type="dxa"/>
        <w:top w:w="0" w:type="dxa"/>
        <w:right w:w="0" w:type="dxa"/>
        <w:bottom w:w="0" w:type="dxa"/>
      </w:tblCellMar>
    </w:tblPr>
  </w:style>
  <w:style w:type="table" w:styleId="999" w:customStyle="1">
    <w:name w:val="List Table 6 Colorful - Accent 3"/>
    <w:basedOn w:val="734"/>
    <w:uiPriority w:val="99"/>
    <w:qFormat/>
    <w:rPr>
      <w:rFonts w:ascii="Calibri" w:hAnsi="Calibri"/>
    </w:rPr>
    <w:tblPr>
      <w:tblCellMar>
        <w:left w:w="0" w:type="dxa"/>
        <w:top w:w="0" w:type="dxa"/>
        <w:right w:w="0" w:type="dxa"/>
        <w:bottom w:w="0" w:type="dxa"/>
      </w:tblCellMar>
    </w:tblPr>
  </w:style>
  <w:style w:type="table" w:styleId="1000" w:customStyle="1">
    <w:name w:val="List Table 6 Colorful - Accent 4"/>
    <w:basedOn w:val="734"/>
    <w:uiPriority w:val="99"/>
    <w:qFormat/>
    <w:rPr>
      <w:rFonts w:ascii="Calibri" w:hAnsi="Calibri"/>
    </w:rPr>
    <w:tblPr>
      <w:tblCellMar>
        <w:left w:w="0" w:type="dxa"/>
        <w:top w:w="0" w:type="dxa"/>
        <w:right w:w="0" w:type="dxa"/>
        <w:bottom w:w="0" w:type="dxa"/>
      </w:tblCellMar>
    </w:tblPr>
  </w:style>
  <w:style w:type="table" w:styleId="1001" w:customStyle="1">
    <w:name w:val="List Table 6 Colorful - Accent 5"/>
    <w:basedOn w:val="734"/>
    <w:uiPriority w:val="99"/>
    <w:qFormat/>
    <w:rPr>
      <w:rFonts w:ascii="Calibri" w:hAnsi="Calibri"/>
    </w:rPr>
    <w:tblPr>
      <w:tblCellMar>
        <w:left w:w="0" w:type="dxa"/>
        <w:top w:w="0" w:type="dxa"/>
        <w:right w:w="0" w:type="dxa"/>
        <w:bottom w:w="0" w:type="dxa"/>
      </w:tblCellMar>
    </w:tblPr>
  </w:style>
  <w:style w:type="table" w:styleId="1002" w:customStyle="1">
    <w:name w:val="List Table 6 Colorful - Accent 6"/>
    <w:basedOn w:val="734"/>
    <w:uiPriority w:val="99"/>
    <w:qFormat/>
    <w:rPr>
      <w:rFonts w:ascii="Calibri" w:hAnsi="Calibri"/>
    </w:rPr>
    <w:tblPr>
      <w:tblCellMar>
        <w:left w:w="0" w:type="dxa"/>
        <w:top w:w="0" w:type="dxa"/>
        <w:right w:w="0" w:type="dxa"/>
        <w:bottom w:w="0" w:type="dxa"/>
      </w:tblCellMar>
    </w:tblPr>
  </w:style>
  <w:style w:type="table" w:styleId="1003" w:customStyle="1">
    <w:name w:val="List Table 7 Colorful"/>
    <w:uiPriority w:val="99"/>
    <w:qFormat/>
    <w:rPr>
      <w:rFonts w:ascii="Calibri" w:hAnsi="Calibri"/>
    </w:rPr>
    <w:tblPr>
      <w:tblCellMar>
        <w:left w:w="0" w:type="dxa"/>
        <w:top w:w="0" w:type="dxa"/>
        <w:right w:w="0" w:type="dxa"/>
        <w:bottom w:w="0" w:type="dxa"/>
      </w:tblCellMar>
    </w:tblPr>
  </w:style>
  <w:style w:type="table" w:styleId="1004" w:customStyle="1">
    <w:name w:val="List Table 7 Colorful - Accent 1"/>
    <w:basedOn w:val="734"/>
    <w:uiPriority w:val="99"/>
    <w:qFormat/>
    <w:rPr>
      <w:rFonts w:ascii="Calibri" w:hAnsi="Calibri"/>
    </w:rPr>
    <w:tblPr>
      <w:tblCellMar>
        <w:left w:w="0" w:type="dxa"/>
        <w:top w:w="0" w:type="dxa"/>
        <w:right w:w="0" w:type="dxa"/>
        <w:bottom w:w="0" w:type="dxa"/>
      </w:tblCellMar>
    </w:tblPr>
  </w:style>
  <w:style w:type="table" w:styleId="1005" w:customStyle="1">
    <w:name w:val="List Table 7 Colorful - Accent 2"/>
    <w:basedOn w:val="734"/>
    <w:uiPriority w:val="99"/>
    <w:qFormat/>
    <w:rPr>
      <w:rFonts w:ascii="Calibri" w:hAnsi="Calibri"/>
    </w:rPr>
    <w:tblPr>
      <w:tblCellMar>
        <w:left w:w="0" w:type="dxa"/>
        <w:top w:w="0" w:type="dxa"/>
        <w:right w:w="0" w:type="dxa"/>
        <w:bottom w:w="0" w:type="dxa"/>
      </w:tblCellMar>
    </w:tblPr>
  </w:style>
  <w:style w:type="table" w:styleId="1006" w:customStyle="1">
    <w:name w:val="List Table 7 Colorful - Accent 3"/>
    <w:basedOn w:val="734"/>
    <w:uiPriority w:val="99"/>
    <w:qFormat/>
    <w:rPr>
      <w:rFonts w:ascii="Calibri" w:hAnsi="Calibri"/>
    </w:rPr>
    <w:tblPr>
      <w:tblCellMar>
        <w:left w:w="0" w:type="dxa"/>
        <w:top w:w="0" w:type="dxa"/>
        <w:right w:w="0" w:type="dxa"/>
        <w:bottom w:w="0" w:type="dxa"/>
      </w:tblCellMar>
    </w:tblPr>
  </w:style>
  <w:style w:type="table" w:styleId="1007" w:customStyle="1">
    <w:name w:val="List Table 7 Colorful - Accent 4"/>
    <w:basedOn w:val="734"/>
    <w:uiPriority w:val="99"/>
    <w:qFormat/>
    <w:rPr>
      <w:rFonts w:ascii="Calibri" w:hAnsi="Calibri"/>
    </w:rPr>
    <w:tblPr>
      <w:tblCellMar>
        <w:left w:w="0" w:type="dxa"/>
        <w:top w:w="0" w:type="dxa"/>
        <w:right w:w="0" w:type="dxa"/>
        <w:bottom w:w="0" w:type="dxa"/>
      </w:tblCellMar>
    </w:tblPr>
  </w:style>
  <w:style w:type="table" w:styleId="1008" w:customStyle="1">
    <w:name w:val="List Table 7 Colorful - Accent 5"/>
    <w:basedOn w:val="734"/>
    <w:uiPriority w:val="99"/>
    <w:qFormat/>
    <w:rPr>
      <w:rFonts w:ascii="Calibri" w:hAnsi="Calibri"/>
    </w:rPr>
    <w:tblPr>
      <w:tblCellMar>
        <w:left w:w="0" w:type="dxa"/>
        <w:top w:w="0" w:type="dxa"/>
        <w:right w:w="0" w:type="dxa"/>
        <w:bottom w:w="0" w:type="dxa"/>
      </w:tblCellMar>
    </w:tblPr>
  </w:style>
  <w:style w:type="table" w:styleId="1009" w:customStyle="1">
    <w:name w:val="List Table 7 Colorful - Accent 6"/>
    <w:basedOn w:val="734"/>
    <w:uiPriority w:val="99"/>
    <w:qFormat/>
    <w:rPr>
      <w:rFonts w:ascii="Calibri" w:hAnsi="Calibri"/>
    </w:rPr>
    <w:tblPr>
      <w:tblCellMar>
        <w:left w:w="0" w:type="dxa"/>
        <w:top w:w="0" w:type="dxa"/>
        <w:right w:w="0" w:type="dxa"/>
        <w:bottom w:w="0" w:type="dxa"/>
      </w:tblCellMar>
    </w:tblPr>
  </w:style>
  <w:style w:type="table" w:styleId="1010" w:customStyle="1">
    <w:name w:val="Lined - Accent"/>
    <w:basedOn w:val="734"/>
    <w:uiPriority w:val="99"/>
    <w:qFormat/>
    <w:rPr>
      <w:rFonts w:ascii="Calibri" w:hAnsi="Calibri"/>
      <w:color w:val="404040"/>
    </w:rPr>
    <w:tblPr>
      <w:tblCellMar>
        <w:left w:w="0" w:type="dxa"/>
        <w:top w:w="0" w:type="dxa"/>
        <w:right w:w="0" w:type="dxa"/>
        <w:bottom w:w="0" w:type="dxa"/>
      </w:tblCellMar>
    </w:tblPr>
  </w:style>
  <w:style w:type="table" w:styleId="1011" w:customStyle="1">
    <w:name w:val="Lined - Accent 1"/>
    <w:basedOn w:val="734"/>
    <w:uiPriority w:val="99"/>
    <w:qFormat/>
    <w:rPr>
      <w:rFonts w:ascii="Calibri" w:hAnsi="Calibri"/>
      <w:color w:val="404040"/>
    </w:rPr>
    <w:tblPr>
      <w:tblCellMar>
        <w:left w:w="0" w:type="dxa"/>
        <w:top w:w="0" w:type="dxa"/>
        <w:right w:w="0" w:type="dxa"/>
        <w:bottom w:w="0" w:type="dxa"/>
      </w:tblCellMar>
    </w:tblPr>
  </w:style>
  <w:style w:type="table" w:styleId="1012" w:customStyle="1">
    <w:name w:val="Lined - Accent 2"/>
    <w:basedOn w:val="734"/>
    <w:uiPriority w:val="99"/>
    <w:qFormat/>
    <w:rPr>
      <w:rFonts w:ascii="Calibri" w:hAnsi="Calibri"/>
      <w:color w:val="404040"/>
    </w:rPr>
    <w:tblPr>
      <w:tblCellMar>
        <w:left w:w="0" w:type="dxa"/>
        <w:top w:w="0" w:type="dxa"/>
        <w:right w:w="0" w:type="dxa"/>
        <w:bottom w:w="0" w:type="dxa"/>
      </w:tblCellMar>
    </w:tblPr>
  </w:style>
  <w:style w:type="table" w:styleId="1013" w:customStyle="1">
    <w:name w:val="Lined - Accent 3"/>
    <w:basedOn w:val="734"/>
    <w:uiPriority w:val="99"/>
    <w:qFormat/>
    <w:rPr>
      <w:rFonts w:ascii="Calibri" w:hAnsi="Calibri"/>
      <w:color w:val="404040"/>
    </w:rPr>
    <w:tblPr>
      <w:tblCellMar>
        <w:left w:w="0" w:type="dxa"/>
        <w:top w:w="0" w:type="dxa"/>
        <w:right w:w="0" w:type="dxa"/>
        <w:bottom w:w="0" w:type="dxa"/>
      </w:tblCellMar>
    </w:tblPr>
  </w:style>
  <w:style w:type="table" w:styleId="1014" w:customStyle="1">
    <w:name w:val="Lined - Accent 4"/>
    <w:basedOn w:val="734"/>
    <w:uiPriority w:val="99"/>
    <w:qFormat/>
    <w:rPr>
      <w:rFonts w:ascii="Calibri" w:hAnsi="Calibri"/>
      <w:color w:val="404040"/>
    </w:rPr>
    <w:tblPr>
      <w:tblCellMar>
        <w:left w:w="0" w:type="dxa"/>
        <w:top w:w="0" w:type="dxa"/>
        <w:right w:w="0" w:type="dxa"/>
        <w:bottom w:w="0" w:type="dxa"/>
      </w:tblCellMar>
    </w:tblPr>
  </w:style>
  <w:style w:type="table" w:styleId="1015" w:customStyle="1">
    <w:name w:val="Lined - Accent 5"/>
    <w:basedOn w:val="734"/>
    <w:uiPriority w:val="99"/>
    <w:qFormat/>
    <w:rPr>
      <w:rFonts w:ascii="Calibri" w:hAnsi="Calibri"/>
      <w:color w:val="404040"/>
    </w:rPr>
    <w:tblPr>
      <w:tblCellMar>
        <w:left w:w="0" w:type="dxa"/>
        <w:top w:w="0" w:type="dxa"/>
        <w:right w:w="0" w:type="dxa"/>
        <w:bottom w:w="0" w:type="dxa"/>
      </w:tblCellMar>
    </w:tblPr>
  </w:style>
  <w:style w:type="table" w:styleId="1016" w:customStyle="1">
    <w:name w:val="Lined - Accent 6"/>
    <w:basedOn w:val="734"/>
    <w:uiPriority w:val="99"/>
    <w:qFormat/>
    <w:rPr>
      <w:rFonts w:ascii="Calibri" w:hAnsi="Calibri"/>
      <w:color w:val="404040"/>
    </w:rPr>
    <w:tblPr>
      <w:tblCellMar>
        <w:left w:w="0" w:type="dxa"/>
        <w:top w:w="0" w:type="dxa"/>
        <w:right w:w="0" w:type="dxa"/>
        <w:bottom w:w="0" w:type="dxa"/>
      </w:tblCellMar>
    </w:tblPr>
  </w:style>
  <w:style w:type="table" w:styleId="1017" w:customStyle="1">
    <w:name w:val="Bordered &amp; Lined - Accent"/>
    <w:basedOn w:val="734"/>
    <w:uiPriority w:val="99"/>
    <w:qFormat/>
    <w:rPr>
      <w:rFonts w:ascii="Calibri" w:hAnsi="Calibri"/>
      <w:color w:val="404040"/>
    </w:rPr>
    <w:tblPr>
      <w:tblCellMar>
        <w:left w:w="0" w:type="dxa"/>
        <w:top w:w="0" w:type="dxa"/>
        <w:right w:w="0" w:type="dxa"/>
        <w:bottom w:w="0" w:type="dxa"/>
      </w:tblCellMar>
    </w:tblPr>
  </w:style>
  <w:style w:type="table" w:styleId="1018" w:customStyle="1">
    <w:name w:val="Bordered &amp; Lined - Accent 1"/>
    <w:basedOn w:val="734"/>
    <w:uiPriority w:val="99"/>
    <w:qFormat/>
    <w:rPr>
      <w:rFonts w:ascii="Calibri" w:hAnsi="Calibri"/>
      <w:color w:val="404040"/>
    </w:rPr>
    <w:tblPr>
      <w:tblCellMar>
        <w:left w:w="0" w:type="dxa"/>
        <w:top w:w="0" w:type="dxa"/>
        <w:right w:w="0" w:type="dxa"/>
        <w:bottom w:w="0" w:type="dxa"/>
      </w:tblCellMar>
    </w:tblPr>
  </w:style>
  <w:style w:type="table" w:styleId="1019" w:customStyle="1">
    <w:name w:val="Bordered &amp; Lined - Accent 2"/>
    <w:basedOn w:val="734"/>
    <w:uiPriority w:val="99"/>
    <w:qFormat/>
    <w:rPr>
      <w:rFonts w:ascii="Calibri" w:hAnsi="Calibri"/>
      <w:color w:val="404040"/>
    </w:rPr>
    <w:tblPr>
      <w:tblCellMar>
        <w:left w:w="0" w:type="dxa"/>
        <w:top w:w="0" w:type="dxa"/>
        <w:right w:w="0" w:type="dxa"/>
        <w:bottom w:w="0" w:type="dxa"/>
      </w:tblCellMar>
    </w:tblPr>
  </w:style>
  <w:style w:type="table" w:styleId="1020" w:customStyle="1">
    <w:name w:val="Bordered &amp; Lined - Accent 3"/>
    <w:basedOn w:val="734"/>
    <w:uiPriority w:val="99"/>
    <w:qFormat/>
    <w:rPr>
      <w:rFonts w:ascii="Calibri" w:hAnsi="Calibri"/>
      <w:color w:val="404040"/>
    </w:rPr>
    <w:tblPr>
      <w:tblCellMar>
        <w:left w:w="0" w:type="dxa"/>
        <w:top w:w="0" w:type="dxa"/>
        <w:right w:w="0" w:type="dxa"/>
        <w:bottom w:w="0" w:type="dxa"/>
      </w:tblCellMar>
    </w:tblPr>
  </w:style>
  <w:style w:type="table" w:styleId="1021" w:customStyle="1">
    <w:name w:val="Bordered &amp; Lined - Accent 4"/>
    <w:basedOn w:val="734"/>
    <w:uiPriority w:val="99"/>
    <w:qFormat/>
    <w:rPr>
      <w:rFonts w:ascii="Calibri" w:hAnsi="Calibri"/>
      <w:color w:val="404040"/>
    </w:rPr>
    <w:tblPr>
      <w:tblCellMar>
        <w:left w:w="0" w:type="dxa"/>
        <w:top w:w="0" w:type="dxa"/>
        <w:right w:w="0" w:type="dxa"/>
        <w:bottom w:w="0" w:type="dxa"/>
      </w:tblCellMar>
    </w:tblPr>
  </w:style>
  <w:style w:type="table" w:styleId="1022" w:customStyle="1">
    <w:name w:val="Bordered &amp; Lined - Accent 5"/>
    <w:basedOn w:val="734"/>
    <w:uiPriority w:val="99"/>
    <w:qFormat/>
    <w:rPr>
      <w:rFonts w:ascii="Calibri" w:hAnsi="Calibri"/>
      <w:color w:val="404040"/>
    </w:rPr>
    <w:tblPr>
      <w:tblCellMar>
        <w:left w:w="0" w:type="dxa"/>
        <w:top w:w="0" w:type="dxa"/>
        <w:right w:w="0" w:type="dxa"/>
        <w:bottom w:w="0" w:type="dxa"/>
      </w:tblCellMar>
    </w:tblPr>
  </w:style>
  <w:style w:type="table" w:styleId="1023" w:customStyle="1">
    <w:name w:val="Bordered &amp; Lined - Accent 6"/>
    <w:basedOn w:val="734"/>
    <w:uiPriority w:val="99"/>
    <w:qFormat/>
    <w:rPr>
      <w:rFonts w:ascii="Calibri" w:hAnsi="Calibri"/>
      <w:color w:val="404040"/>
    </w:rPr>
    <w:tblPr>
      <w:tblCellMar>
        <w:left w:w="0" w:type="dxa"/>
        <w:top w:w="0" w:type="dxa"/>
        <w:right w:w="0" w:type="dxa"/>
        <w:bottom w:w="0" w:type="dxa"/>
      </w:tblCellMar>
    </w:tblPr>
  </w:style>
  <w:style w:type="table" w:styleId="1024" w:customStyle="1">
    <w:name w:val="Bordered"/>
    <w:basedOn w:val="734"/>
    <w:uiPriority w:val="99"/>
    <w:qFormat/>
    <w:rPr>
      <w:rFonts w:ascii="Calibri" w:hAnsi="Calibri"/>
    </w:rPr>
    <w:tblPr>
      <w:tblCellMar>
        <w:left w:w="0" w:type="dxa"/>
        <w:top w:w="0" w:type="dxa"/>
        <w:right w:w="0" w:type="dxa"/>
        <w:bottom w:w="0" w:type="dxa"/>
      </w:tblCellMar>
    </w:tblPr>
  </w:style>
  <w:style w:type="table" w:styleId="1025" w:customStyle="1">
    <w:name w:val="Bordered - Accent 1"/>
    <w:basedOn w:val="734"/>
    <w:uiPriority w:val="99"/>
    <w:qFormat/>
    <w:rPr>
      <w:rFonts w:ascii="Calibri" w:hAnsi="Calibri"/>
    </w:rPr>
    <w:tblPr>
      <w:tblCellMar>
        <w:left w:w="0" w:type="dxa"/>
        <w:top w:w="0" w:type="dxa"/>
        <w:right w:w="0" w:type="dxa"/>
        <w:bottom w:w="0" w:type="dxa"/>
      </w:tblCellMar>
    </w:tblPr>
  </w:style>
  <w:style w:type="table" w:styleId="1026" w:customStyle="1">
    <w:name w:val="Bordered - Accent 2"/>
    <w:basedOn w:val="734"/>
    <w:uiPriority w:val="99"/>
    <w:qFormat/>
    <w:rPr>
      <w:rFonts w:ascii="Calibri" w:hAnsi="Calibri"/>
    </w:rPr>
    <w:tblPr>
      <w:tblCellMar>
        <w:left w:w="0" w:type="dxa"/>
        <w:top w:w="0" w:type="dxa"/>
        <w:right w:w="0" w:type="dxa"/>
        <w:bottom w:w="0" w:type="dxa"/>
      </w:tblCellMar>
    </w:tblPr>
  </w:style>
  <w:style w:type="table" w:styleId="1027" w:customStyle="1">
    <w:name w:val="Bordered - Accent 3"/>
    <w:basedOn w:val="734"/>
    <w:uiPriority w:val="99"/>
    <w:qFormat/>
    <w:rPr>
      <w:rFonts w:ascii="Calibri" w:hAnsi="Calibri"/>
    </w:rPr>
    <w:tblPr>
      <w:tblCellMar>
        <w:left w:w="0" w:type="dxa"/>
        <w:top w:w="0" w:type="dxa"/>
        <w:right w:w="0" w:type="dxa"/>
        <w:bottom w:w="0" w:type="dxa"/>
      </w:tblCellMar>
    </w:tblPr>
  </w:style>
  <w:style w:type="table" w:styleId="1028" w:customStyle="1">
    <w:name w:val="Bordered - Accent 4"/>
    <w:basedOn w:val="734"/>
    <w:uiPriority w:val="99"/>
    <w:qFormat/>
    <w:rPr>
      <w:rFonts w:ascii="Calibri" w:hAnsi="Calibri"/>
    </w:rPr>
    <w:tblPr>
      <w:tblCellMar>
        <w:left w:w="0" w:type="dxa"/>
        <w:top w:w="0" w:type="dxa"/>
        <w:right w:w="0" w:type="dxa"/>
        <w:bottom w:w="0" w:type="dxa"/>
      </w:tblCellMar>
    </w:tblPr>
  </w:style>
  <w:style w:type="table" w:styleId="1029" w:customStyle="1">
    <w:name w:val="Bordered - Accent 5"/>
    <w:basedOn w:val="734"/>
    <w:uiPriority w:val="99"/>
    <w:qFormat/>
    <w:rPr>
      <w:rFonts w:ascii="Calibri" w:hAnsi="Calibri"/>
    </w:rPr>
    <w:tblPr>
      <w:tblCellMar>
        <w:left w:w="0" w:type="dxa"/>
        <w:top w:w="0" w:type="dxa"/>
        <w:right w:w="0" w:type="dxa"/>
        <w:bottom w:w="0" w:type="dxa"/>
      </w:tblCellMar>
    </w:tblPr>
  </w:style>
  <w:style w:type="table" w:styleId="1030" w:customStyle="1">
    <w:name w:val="Bordered - Accent 6"/>
    <w:basedOn w:val="734"/>
    <w:uiPriority w:val="99"/>
    <w:qFormat/>
    <w:rPr>
      <w:rFonts w:ascii="Calibri" w:hAnsi="Calibri"/>
    </w:rPr>
    <w:tblPr>
      <w:tblCellMar>
        <w:left w:w="0" w:type="dxa"/>
        <w:top w:w="0" w:type="dxa"/>
        <w:right w:w="0" w:type="dxa"/>
        <w:bottom w:w="0" w:type="dxa"/>
      </w:tblCellMar>
    </w:tblPr>
  </w:style>
  <w:style w:type="paragraph" w:styleId="1031" w:customStyle="1">
    <w:name w:val="TOC 标题1"/>
    <w:uiPriority w:val="39"/>
    <w:unhideWhenUsed/>
    <w:qFormat/>
    <w:rPr>
      <w:rFonts w:ascii="Calibri" w:hAnsi="Calibri" w:eastAsia="宋体" w:cs="Times New Roman"/>
      <w:lang w:val="en-US" w:eastAsia="zh-CN" w:bidi="ar-SA"/>
    </w:rPr>
  </w:style>
  <w:style w:type="paragraph" w:styleId="1032" w:customStyle="1">
    <w:name w:val="标题 11"/>
    <w:basedOn w:val="723"/>
    <w:next w:val="723"/>
    <w:link w:val="1033"/>
    <w:uiPriority w:val="0"/>
    <w:qFormat/>
    <w:pPr>
      <w:jc w:val="center"/>
      <w:keepNext/>
      <w:outlineLvl w:val="0"/>
    </w:pPr>
    <w:rPr>
      <w:rFonts w:ascii="楷体_GB2312" w:hAnsi="Times New Roman" w:eastAsia="楷体_GB2312" w:cs="Times New Roman"/>
      <w:sz w:val="28"/>
      <w:szCs w:val="28"/>
      <w:lang w:eastAsia="en-US"/>
    </w:rPr>
  </w:style>
  <w:style w:type="character" w:styleId="1033" w:customStyle="1">
    <w:name w:val="标题 1 Char"/>
    <w:link w:val="1032"/>
    <w:uiPriority w:val="0"/>
    <w:qFormat/>
    <w:rPr>
      <w:rFonts w:ascii="楷体_GB2312" w:hAnsi="Times New Roman" w:eastAsia="楷体_GB2312" w:cs="Times New Roman"/>
      <w:sz w:val="28"/>
      <w:szCs w:val="28"/>
      <w:lang w:eastAsia="en-US"/>
    </w:rPr>
  </w:style>
  <w:style w:type="paragraph" w:styleId="1034" w:customStyle="1">
    <w:name w:val="标题 21"/>
    <w:basedOn w:val="723"/>
    <w:next w:val="1035"/>
    <w:link w:val="1036"/>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35" w:customStyle="1">
    <w:name w:val="正文缩进1"/>
    <w:basedOn w:val="723"/>
    <w:link w:val="1037"/>
    <w:uiPriority w:val="0"/>
    <w:qFormat/>
    <w:pPr>
      <w:ind w:firstLine="420"/>
    </w:pPr>
    <w:rPr>
      <w:rFonts w:ascii="Times New Roman" w:hAnsi="Times New Roman" w:eastAsia="宋体" w:cs="Times New Roman"/>
      <w:sz w:val="20"/>
      <w:szCs w:val="21"/>
      <w:lang w:eastAsia="en-US"/>
    </w:rPr>
  </w:style>
  <w:style w:type="character" w:styleId="1036" w:customStyle="1">
    <w:name w:val="标题 2 Char"/>
    <w:link w:val="1034"/>
    <w:uiPriority w:val="0"/>
    <w:qFormat/>
    <w:rPr>
      <w:rFonts w:ascii="Arial" w:hAnsi="Arial" w:eastAsia="幼圆" w:cs="Times New Roman"/>
      <w:b/>
      <w:bCs/>
      <w:sz w:val="44"/>
      <w:szCs w:val="44"/>
      <w:lang w:eastAsia="en-US"/>
    </w:rPr>
  </w:style>
  <w:style w:type="character" w:styleId="1037" w:customStyle="1">
    <w:name w:val="正文缩进 Char"/>
    <w:link w:val="1035"/>
    <w:uiPriority w:val="0"/>
    <w:qFormat/>
    <w:rPr>
      <w:rFonts w:ascii="Times New Roman" w:hAnsi="Times New Roman" w:eastAsia="宋体" w:cs="Times New Roman"/>
      <w:szCs w:val="21"/>
      <w:lang w:eastAsia="en-US"/>
    </w:rPr>
  </w:style>
  <w:style w:type="paragraph" w:styleId="1038" w:customStyle="1">
    <w:name w:val="标题 41"/>
    <w:basedOn w:val="723"/>
    <w:next w:val="1035"/>
    <w:link w:val="1039"/>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39" w:customStyle="1">
    <w:name w:val="标题 4 Char"/>
    <w:link w:val="1038"/>
    <w:uiPriority w:val="0"/>
    <w:qFormat/>
    <w:rPr>
      <w:rFonts w:ascii="Arial" w:hAnsi="Arial" w:eastAsia="黑体" w:cs="Times New Roman"/>
      <w:b/>
      <w:bCs/>
      <w:sz w:val="28"/>
      <w:szCs w:val="28"/>
      <w:lang w:eastAsia="en-US"/>
    </w:rPr>
  </w:style>
  <w:style w:type="paragraph" w:styleId="1040" w:customStyle="1">
    <w:name w:val="标题 51"/>
    <w:basedOn w:val="723"/>
    <w:next w:val="1035"/>
    <w:link w:val="1041"/>
    <w:uiPriority w:val="0"/>
    <w:qFormat/>
    <w:pPr>
      <w:keepNext/>
      <w:outlineLvl w:val="4"/>
    </w:pPr>
    <w:rPr>
      <w:rFonts w:ascii="宋体" w:hAnsi="Times New Roman" w:eastAsia="宋体" w:cs="Times New Roman"/>
      <w:color w:val="000000"/>
      <w:sz w:val="28"/>
      <w:szCs w:val="28"/>
      <w:lang w:eastAsia="en-US"/>
    </w:rPr>
  </w:style>
  <w:style w:type="character" w:styleId="1041" w:customStyle="1">
    <w:name w:val="标题 5 Char"/>
    <w:link w:val="1040"/>
    <w:uiPriority w:val="0"/>
    <w:qFormat/>
    <w:rPr>
      <w:rFonts w:ascii="宋体" w:hAnsi="Times New Roman" w:eastAsia="宋体" w:cs="Times New Roman"/>
      <w:color w:val="000000"/>
      <w:sz w:val="28"/>
      <w:szCs w:val="28"/>
      <w:lang w:eastAsia="en-US"/>
    </w:rPr>
  </w:style>
  <w:style w:type="paragraph" w:styleId="1042" w:customStyle="1">
    <w:name w:val="标题 61"/>
    <w:basedOn w:val="723"/>
    <w:next w:val="723"/>
    <w:link w:val="1043"/>
    <w:uiPriority w:val="0"/>
    <w:qFormat/>
    <w:pPr>
      <w:numPr>
        <w:ilvl w:val="5"/>
        <w:numId w:val="2"/>
      </w:numPr>
      <w:keepLines/>
      <w:keepNext/>
      <w:spacing w:before="240" w:after="64" w:line="320" w:lineRule="auto"/>
      <w:outlineLvl w:val="5"/>
    </w:pPr>
    <w:rPr>
      <w:rFonts w:ascii="Arial" w:hAnsi="Arial" w:eastAsia="黑体" w:cs="Times New Roman"/>
      <w:b/>
      <w:bCs/>
      <w:sz w:val="24"/>
      <w:szCs w:val="24"/>
      <w:lang w:eastAsia="en-US"/>
    </w:rPr>
  </w:style>
  <w:style w:type="character" w:styleId="1043" w:customStyle="1">
    <w:name w:val="标题 6 Char"/>
    <w:link w:val="1042"/>
    <w:uiPriority w:val="0"/>
    <w:qFormat/>
    <w:rPr>
      <w:rFonts w:ascii="Arial" w:hAnsi="Arial" w:eastAsia="黑体" w:cs="Times New Roman"/>
      <w:b/>
      <w:bCs/>
      <w:sz w:val="24"/>
      <w:szCs w:val="24"/>
      <w:lang w:eastAsia="en-US"/>
    </w:rPr>
  </w:style>
  <w:style w:type="paragraph" w:styleId="1044" w:customStyle="1">
    <w:name w:val="标题 71"/>
    <w:basedOn w:val="723"/>
    <w:next w:val="723"/>
    <w:link w:val="1045"/>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45" w:customStyle="1">
    <w:name w:val="标题 7 Char"/>
    <w:link w:val="1044"/>
    <w:uiPriority w:val="0"/>
    <w:qFormat/>
    <w:rPr>
      <w:rFonts w:ascii="Times New Roman" w:hAnsi="Times New Roman" w:eastAsia="宋体" w:cs="Times New Roman"/>
      <w:b/>
      <w:bCs/>
      <w:sz w:val="24"/>
      <w:szCs w:val="24"/>
      <w:lang w:eastAsia="en-US"/>
    </w:rPr>
  </w:style>
  <w:style w:type="paragraph" w:styleId="1046" w:customStyle="1">
    <w:name w:val="标题 81"/>
    <w:basedOn w:val="723"/>
    <w:next w:val="723"/>
    <w:link w:val="1047"/>
    <w:uiPriority w:val="0"/>
    <w:qFormat/>
    <w:pPr>
      <w:numPr>
        <w:ilvl w:val="7"/>
        <w:numId w:val="2"/>
      </w:numPr>
      <w:keepLines/>
      <w:keepNext/>
      <w:spacing w:before="240" w:after="64" w:line="320" w:lineRule="auto"/>
      <w:outlineLvl w:val="7"/>
    </w:pPr>
    <w:rPr>
      <w:rFonts w:ascii="Arial" w:hAnsi="Arial" w:eastAsia="黑体" w:cs="Times New Roman"/>
      <w:sz w:val="24"/>
      <w:szCs w:val="24"/>
      <w:lang w:eastAsia="en-US"/>
    </w:rPr>
  </w:style>
  <w:style w:type="character" w:styleId="1047" w:customStyle="1">
    <w:name w:val="标题 8 Char"/>
    <w:link w:val="1046"/>
    <w:uiPriority w:val="0"/>
    <w:qFormat/>
    <w:rPr>
      <w:rFonts w:ascii="Arial" w:hAnsi="Arial" w:eastAsia="黑体" w:cs="Times New Roman"/>
      <w:sz w:val="24"/>
      <w:szCs w:val="24"/>
      <w:lang w:eastAsia="en-US"/>
    </w:rPr>
  </w:style>
  <w:style w:type="paragraph" w:styleId="1048" w:customStyle="1">
    <w:name w:val="标题 91"/>
    <w:basedOn w:val="723"/>
    <w:next w:val="723"/>
    <w:link w:val="1049"/>
    <w:uiPriority w:val="0"/>
    <w:qFormat/>
    <w:pPr>
      <w:numPr>
        <w:ilvl w:val="8"/>
        <w:numId w:val="2"/>
      </w:numPr>
      <w:keepLines/>
      <w:keepNext/>
      <w:spacing w:before="240" w:after="64" w:line="320" w:lineRule="auto"/>
      <w:outlineLvl w:val="8"/>
    </w:pPr>
    <w:rPr>
      <w:rFonts w:ascii="Arial" w:hAnsi="Arial" w:eastAsia="黑体" w:cs="Times New Roman"/>
      <w:sz w:val="20"/>
      <w:szCs w:val="21"/>
      <w:lang w:eastAsia="en-US"/>
    </w:rPr>
  </w:style>
  <w:style w:type="character" w:styleId="1049" w:customStyle="1">
    <w:name w:val="标题 9 Char"/>
    <w:link w:val="1048"/>
    <w:uiPriority w:val="0"/>
    <w:qFormat/>
    <w:rPr>
      <w:rFonts w:ascii="Arial" w:hAnsi="Arial" w:eastAsia="黑体" w:cs="Times New Roman"/>
      <w:szCs w:val="21"/>
      <w:lang w:eastAsia="en-US"/>
    </w:rPr>
  </w:style>
  <w:style w:type="character" w:styleId="1050" w:customStyle="1">
    <w:name w:val="默认段落字体1"/>
    <w:uiPriority w:val="1"/>
    <w:unhideWhenUsed/>
    <w:qFormat/>
  </w:style>
  <w:style w:type="table" w:styleId="1051"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52" w:customStyle="1">
    <w:name w:val="列表 31"/>
    <w:basedOn w:val="723"/>
    <w:uiPriority w:val="0"/>
    <w:qFormat/>
    <w:pPr>
      <w:ind w:left="100" w:hanging="200"/>
    </w:pPr>
    <w:rPr>
      <w:rFonts w:ascii="Times New Roman" w:hAnsi="Times New Roman" w:eastAsia="宋体" w:cs="Times New Roman"/>
      <w:szCs w:val="21"/>
    </w:rPr>
  </w:style>
  <w:style w:type="paragraph" w:styleId="1053" w:customStyle="1">
    <w:name w:val="目录 71"/>
    <w:basedOn w:val="723"/>
    <w:next w:val="723"/>
    <w:uiPriority w:val="0"/>
    <w:semiHidden/>
    <w:qFormat/>
    <w:pPr>
      <w:ind w:left="1260"/>
      <w:jc w:val="left"/>
    </w:pPr>
    <w:rPr>
      <w:rFonts w:ascii="Times New Roman" w:hAnsi="Times New Roman" w:eastAsia="宋体" w:cs="Times New Roman"/>
      <w:szCs w:val="21"/>
    </w:rPr>
  </w:style>
  <w:style w:type="paragraph" w:styleId="1054" w:customStyle="1">
    <w:name w:val="文档结构图1"/>
    <w:basedOn w:val="723"/>
    <w:link w:val="1055"/>
    <w:uiPriority w:val="0"/>
    <w:semiHidden/>
    <w:qFormat/>
    <w:pPr>
      <w:shd w:val="clear" w:color="auto" w:fill="000080"/>
    </w:pPr>
    <w:rPr>
      <w:rFonts w:ascii="Times New Roman" w:hAnsi="Times New Roman" w:eastAsia="宋体" w:cs="Times New Roman"/>
      <w:sz w:val="20"/>
      <w:szCs w:val="21"/>
      <w:lang w:eastAsia="en-US"/>
    </w:rPr>
  </w:style>
  <w:style w:type="character" w:styleId="1055" w:customStyle="1">
    <w:name w:val="文档结构图 Char"/>
    <w:link w:val="1054"/>
    <w:uiPriority w:val="0"/>
    <w:semiHidden/>
    <w:qFormat/>
    <w:rPr>
      <w:rFonts w:ascii="Times New Roman" w:hAnsi="Times New Roman" w:eastAsia="宋体" w:cs="Times New Roman"/>
      <w:szCs w:val="21"/>
      <w:shd w:val="clear" w:color="auto" w:fill="000080"/>
      <w:lang w:eastAsia="en-US"/>
    </w:rPr>
  </w:style>
  <w:style w:type="paragraph" w:styleId="1056" w:customStyle="1">
    <w:name w:val="批注文字1"/>
    <w:basedOn w:val="723"/>
    <w:link w:val="1057"/>
    <w:uiPriority w:val="0"/>
    <w:semiHidden/>
    <w:qFormat/>
    <w:pPr>
      <w:jc w:val="left"/>
    </w:pPr>
    <w:rPr>
      <w:rFonts w:ascii="Times New Roman" w:hAnsi="Times New Roman" w:eastAsia="宋体" w:cs="Times New Roman"/>
      <w:sz w:val="20"/>
      <w:szCs w:val="21"/>
      <w:lang w:eastAsia="en-US"/>
    </w:rPr>
  </w:style>
  <w:style w:type="character" w:styleId="1057" w:customStyle="1">
    <w:name w:val="批注文字 Char"/>
    <w:link w:val="1056"/>
    <w:uiPriority w:val="0"/>
    <w:semiHidden/>
    <w:qFormat/>
    <w:rPr>
      <w:rFonts w:ascii="Times New Roman" w:hAnsi="Times New Roman" w:eastAsia="宋体" w:cs="Times New Roman"/>
      <w:szCs w:val="21"/>
      <w:lang w:eastAsia="en-US"/>
    </w:rPr>
  </w:style>
  <w:style w:type="paragraph" w:styleId="1058" w:customStyle="1">
    <w:name w:val="正文文本 31"/>
    <w:basedOn w:val="723"/>
    <w:link w:val="1059"/>
    <w:uiPriority w:val="0"/>
    <w:qFormat/>
    <w:rPr>
      <w:rFonts w:ascii="仿宋_GB2312" w:hAnsi="Arial" w:eastAsia="仿宋_GB2312" w:cs="Times New Roman"/>
      <w:sz w:val="32"/>
      <w:szCs w:val="32"/>
      <w:lang w:eastAsia="en-US"/>
    </w:rPr>
  </w:style>
  <w:style w:type="character" w:styleId="1059" w:customStyle="1">
    <w:name w:val="正文文本 3 Char"/>
    <w:link w:val="1058"/>
    <w:uiPriority w:val="0"/>
    <w:qFormat/>
    <w:rPr>
      <w:rFonts w:ascii="仿宋_GB2312" w:hAnsi="Arial" w:eastAsia="仿宋_GB2312" w:cs="Times New Roman"/>
      <w:sz w:val="32"/>
      <w:szCs w:val="32"/>
      <w:lang w:eastAsia="en-US"/>
    </w:rPr>
  </w:style>
  <w:style w:type="paragraph" w:styleId="1060" w:customStyle="1">
    <w:name w:val="正文文本1"/>
    <w:basedOn w:val="723"/>
    <w:link w:val="1061"/>
    <w:uiPriority w:val="0"/>
    <w:qFormat/>
    <w:rPr>
      <w:rFonts w:ascii="楷体_GB2312" w:hAnsi="Arial" w:eastAsia="楷体_GB2312" w:cs="Times New Roman"/>
      <w:sz w:val="28"/>
      <w:szCs w:val="28"/>
      <w:lang w:eastAsia="en-US"/>
    </w:rPr>
  </w:style>
  <w:style w:type="character" w:styleId="1061" w:customStyle="1">
    <w:name w:val="正文文本 Char"/>
    <w:link w:val="1060"/>
    <w:uiPriority w:val="0"/>
    <w:qFormat/>
    <w:rPr>
      <w:rFonts w:ascii="楷体_GB2312" w:hAnsi="Arial" w:eastAsia="楷体_GB2312" w:cs="Times New Roman"/>
      <w:sz w:val="28"/>
      <w:szCs w:val="28"/>
      <w:lang w:eastAsia="en-US"/>
    </w:rPr>
  </w:style>
  <w:style w:type="paragraph" w:styleId="1062" w:customStyle="1">
    <w:name w:val="正文文本缩进1"/>
    <w:basedOn w:val="723"/>
    <w:link w:val="1063"/>
    <w:uiPriority w:val="0"/>
    <w:qFormat/>
    <w:pPr>
      <w:ind w:firstLine="645"/>
    </w:pPr>
    <w:rPr>
      <w:rFonts w:ascii="楷体_GB2312" w:hAnsi="Times New Roman" w:eastAsia="楷体_GB2312" w:cs="Times New Roman"/>
      <w:sz w:val="32"/>
      <w:szCs w:val="32"/>
      <w:lang w:eastAsia="en-US"/>
    </w:rPr>
  </w:style>
  <w:style w:type="character" w:styleId="1063" w:customStyle="1">
    <w:name w:val="正文文本缩进 Char"/>
    <w:link w:val="1062"/>
    <w:uiPriority w:val="0"/>
    <w:qFormat/>
    <w:rPr>
      <w:rFonts w:ascii="楷体_GB2312" w:hAnsi="Times New Roman" w:eastAsia="楷体_GB2312" w:cs="Times New Roman"/>
      <w:sz w:val="32"/>
      <w:szCs w:val="32"/>
      <w:lang w:eastAsia="en-US"/>
    </w:rPr>
  </w:style>
  <w:style w:type="paragraph" w:styleId="1064" w:customStyle="1">
    <w:name w:val="列表 21"/>
    <w:basedOn w:val="723"/>
    <w:uiPriority w:val="0"/>
    <w:qFormat/>
    <w:pPr>
      <w:ind w:left="100" w:hanging="200"/>
    </w:pPr>
    <w:rPr>
      <w:rFonts w:ascii="Times New Roman" w:hAnsi="Times New Roman" w:eastAsia="宋体" w:cs="Times New Roman"/>
      <w:szCs w:val="21"/>
    </w:rPr>
  </w:style>
  <w:style w:type="paragraph" w:styleId="1065" w:customStyle="1">
    <w:name w:val="目录 51"/>
    <w:basedOn w:val="723"/>
    <w:next w:val="723"/>
    <w:uiPriority w:val="0"/>
    <w:semiHidden/>
    <w:qFormat/>
    <w:pPr>
      <w:ind w:left="840"/>
      <w:jc w:val="left"/>
    </w:pPr>
    <w:rPr>
      <w:rFonts w:ascii="Times New Roman" w:hAnsi="Times New Roman" w:eastAsia="宋体" w:cs="Times New Roman"/>
      <w:szCs w:val="21"/>
    </w:rPr>
  </w:style>
  <w:style w:type="paragraph" w:styleId="1066" w:customStyle="1">
    <w:name w:val="目录 31"/>
    <w:basedOn w:val="723"/>
    <w:next w:val="723"/>
    <w:uiPriority w:val="0"/>
    <w:semiHidden/>
    <w:qFormat/>
    <w:pPr>
      <w:ind w:left="420"/>
      <w:jc w:val="left"/>
    </w:pPr>
    <w:rPr>
      <w:rFonts w:ascii="Times New Roman" w:hAnsi="Times New Roman" w:eastAsia="宋体" w:cs="Times New Roman"/>
      <w:i/>
      <w:iCs/>
      <w:szCs w:val="24"/>
    </w:rPr>
  </w:style>
  <w:style w:type="paragraph" w:styleId="1067" w:customStyle="1">
    <w:name w:val="纯文本1"/>
    <w:basedOn w:val="723"/>
    <w:link w:val="1068"/>
    <w:uiPriority w:val="0"/>
    <w:qFormat/>
    <w:rPr>
      <w:rFonts w:ascii="宋体" w:hAnsi="Courier New" w:eastAsia="宋体" w:cs="Times New Roman"/>
      <w:sz w:val="20"/>
      <w:szCs w:val="21"/>
      <w:lang w:eastAsia="en-US"/>
    </w:rPr>
  </w:style>
  <w:style w:type="character" w:styleId="1068" w:customStyle="1">
    <w:name w:val="纯文本 Char"/>
    <w:link w:val="1067"/>
    <w:uiPriority w:val="0"/>
    <w:qFormat/>
    <w:rPr>
      <w:rFonts w:ascii="宋体" w:hAnsi="Courier New" w:eastAsia="宋体" w:cs="Times New Roman"/>
      <w:szCs w:val="21"/>
      <w:lang w:eastAsia="en-US"/>
    </w:rPr>
  </w:style>
  <w:style w:type="paragraph" w:styleId="1069" w:customStyle="1">
    <w:name w:val="目录 81"/>
    <w:basedOn w:val="723"/>
    <w:next w:val="723"/>
    <w:uiPriority w:val="0"/>
    <w:semiHidden/>
    <w:qFormat/>
    <w:pPr>
      <w:ind w:left="1470"/>
      <w:jc w:val="left"/>
    </w:pPr>
    <w:rPr>
      <w:rFonts w:ascii="Times New Roman" w:hAnsi="Times New Roman" w:eastAsia="宋体" w:cs="Times New Roman"/>
      <w:szCs w:val="21"/>
    </w:rPr>
  </w:style>
  <w:style w:type="paragraph" w:styleId="1070" w:customStyle="1">
    <w:name w:val="日期1"/>
    <w:basedOn w:val="723"/>
    <w:next w:val="723"/>
    <w:link w:val="1071"/>
    <w:uiPriority w:val="0"/>
    <w:qFormat/>
    <w:rPr>
      <w:rFonts w:ascii="Times New Roman" w:hAnsi="Times New Roman" w:eastAsia="宋体" w:cs="Times New Roman"/>
      <w:sz w:val="24"/>
      <w:szCs w:val="24"/>
      <w:lang w:eastAsia="en-US"/>
    </w:rPr>
  </w:style>
  <w:style w:type="character" w:styleId="1071" w:customStyle="1">
    <w:name w:val="日期 Char"/>
    <w:link w:val="1070"/>
    <w:uiPriority w:val="0"/>
    <w:qFormat/>
    <w:rPr>
      <w:rFonts w:ascii="Times New Roman" w:hAnsi="Times New Roman" w:eastAsia="宋体" w:cs="Times New Roman"/>
      <w:sz w:val="24"/>
      <w:szCs w:val="24"/>
      <w:lang w:eastAsia="en-US"/>
    </w:rPr>
  </w:style>
  <w:style w:type="paragraph" w:styleId="1072" w:customStyle="1">
    <w:name w:val="正文文本缩进 21"/>
    <w:basedOn w:val="723"/>
    <w:link w:val="1073"/>
    <w:uiPriority w:val="0"/>
    <w:qFormat/>
    <w:pPr>
      <w:ind w:left="630" w:firstLine="645"/>
    </w:pPr>
    <w:rPr>
      <w:rFonts w:ascii="Arial" w:hAnsi="Arial" w:eastAsia="仿宋_GB2312" w:cs="Times New Roman"/>
      <w:sz w:val="32"/>
      <w:szCs w:val="32"/>
      <w:lang w:eastAsia="en-US"/>
    </w:rPr>
  </w:style>
  <w:style w:type="character" w:styleId="1073" w:customStyle="1">
    <w:name w:val="正文文本缩进 2 Char"/>
    <w:link w:val="1072"/>
    <w:uiPriority w:val="0"/>
    <w:qFormat/>
    <w:rPr>
      <w:rFonts w:ascii="Arial" w:hAnsi="Arial" w:eastAsia="仿宋_GB2312" w:cs="Times New Roman"/>
      <w:sz w:val="32"/>
      <w:szCs w:val="32"/>
      <w:lang w:eastAsia="en-US"/>
    </w:rPr>
  </w:style>
  <w:style w:type="paragraph" w:styleId="1074" w:customStyle="1">
    <w:name w:val="批注框文本1"/>
    <w:basedOn w:val="723"/>
    <w:link w:val="1075"/>
    <w:uiPriority w:val="0"/>
    <w:semiHidden/>
    <w:qFormat/>
    <w:rPr>
      <w:rFonts w:ascii="Times New Roman" w:hAnsi="Times New Roman" w:eastAsia="宋体" w:cs="Times New Roman"/>
      <w:sz w:val="18"/>
      <w:szCs w:val="18"/>
      <w:lang w:eastAsia="en-US"/>
    </w:rPr>
  </w:style>
  <w:style w:type="character" w:styleId="1075" w:customStyle="1">
    <w:name w:val="批注框文本 Char"/>
    <w:link w:val="1074"/>
    <w:uiPriority w:val="0"/>
    <w:semiHidden/>
    <w:qFormat/>
    <w:rPr>
      <w:rFonts w:ascii="Times New Roman" w:hAnsi="Times New Roman" w:eastAsia="宋体" w:cs="Times New Roman"/>
      <w:sz w:val="18"/>
      <w:szCs w:val="18"/>
      <w:lang w:eastAsia="en-US"/>
    </w:rPr>
  </w:style>
  <w:style w:type="paragraph" w:styleId="1076" w:customStyle="1">
    <w:name w:val="页脚1"/>
    <w:basedOn w:val="723"/>
    <w:link w:val="1077"/>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077" w:customStyle="1">
    <w:name w:val="页脚 Char"/>
    <w:link w:val="1076"/>
    <w:uiPriority w:val="0"/>
    <w:qFormat/>
    <w:rPr>
      <w:rFonts w:ascii="Times New Roman" w:hAnsi="Times New Roman" w:eastAsia="宋体" w:cs="Times New Roman"/>
      <w:sz w:val="18"/>
      <w:szCs w:val="18"/>
      <w:lang w:eastAsia="en-US"/>
    </w:rPr>
  </w:style>
  <w:style w:type="paragraph" w:styleId="1078" w:customStyle="1">
    <w:name w:val="页眉1"/>
    <w:basedOn w:val="723"/>
    <w:link w:val="1079"/>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079" w:customStyle="1">
    <w:name w:val="页眉 Char"/>
    <w:link w:val="1078"/>
    <w:uiPriority w:val="99"/>
    <w:qFormat/>
    <w:rPr>
      <w:rFonts w:ascii="Times New Roman" w:hAnsi="Times New Roman" w:eastAsia="宋体" w:cs="Times New Roman"/>
      <w:sz w:val="18"/>
      <w:szCs w:val="18"/>
      <w:lang w:eastAsia="en-US"/>
    </w:rPr>
  </w:style>
  <w:style w:type="paragraph" w:styleId="1080" w:customStyle="1">
    <w:name w:val="目录 11"/>
    <w:basedOn w:val="723"/>
    <w:next w:val="72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1" w:customStyle="1">
    <w:name w:val="目录 41"/>
    <w:basedOn w:val="723"/>
    <w:next w:val="723"/>
    <w:uiPriority w:val="0"/>
    <w:semiHidden/>
    <w:qFormat/>
    <w:pPr>
      <w:ind w:left="630"/>
      <w:jc w:val="left"/>
    </w:pPr>
    <w:rPr>
      <w:rFonts w:ascii="Times New Roman" w:hAnsi="Times New Roman" w:eastAsia="宋体" w:cs="Times New Roman"/>
      <w:szCs w:val="21"/>
    </w:rPr>
  </w:style>
  <w:style w:type="paragraph" w:styleId="1082" w:customStyle="1">
    <w:name w:val="列表1"/>
    <w:basedOn w:val="723"/>
    <w:uiPriority w:val="0"/>
    <w:qFormat/>
    <w:pPr>
      <w:ind w:left="200" w:hanging="200"/>
    </w:pPr>
    <w:rPr>
      <w:rFonts w:ascii="Times New Roman" w:hAnsi="Times New Roman" w:eastAsia="宋体" w:cs="Times New Roman"/>
      <w:szCs w:val="21"/>
    </w:rPr>
  </w:style>
  <w:style w:type="paragraph" w:styleId="1083" w:customStyle="1">
    <w:name w:val="目录 61"/>
    <w:basedOn w:val="723"/>
    <w:next w:val="723"/>
    <w:uiPriority w:val="0"/>
    <w:semiHidden/>
    <w:qFormat/>
    <w:pPr>
      <w:ind w:left="1050"/>
      <w:jc w:val="left"/>
    </w:pPr>
    <w:rPr>
      <w:rFonts w:ascii="Times New Roman" w:hAnsi="Times New Roman" w:eastAsia="宋体" w:cs="Times New Roman"/>
      <w:szCs w:val="21"/>
    </w:rPr>
  </w:style>
  <w:style w:type="paragraph" w:styleId="1084" w:customStyle="1">
    <w:name w:val="正文文本缩进 31"/>
    <w:basedOn w:val="723"/>
    <w:link w:val="1085"/>
    <w:uiPriority w:val="0"/>
    <w:qFormat/>
    <w:pPr>
      <w:ind w:left="645" w:firstLine="645"/>
    </w:pPr>
    <w:rPr>
      <w:rFonts w:ascii="Arial" w:hAnsi="Arial" w:eastAsia="仿宋_GB2312" w:cs="Times New Roman"/>
      <w:color w:val="ffff00"/>
      <w:sz w:val="32"/>
      <w:szCs w:val="32"/>
      <w:lang w:eastAsia="en-US"/>
    </w:rPr>
  </w:style>
  <w:style w:type="character" w:styleId="1085" w:customStyle="1">
    <w:name w:val="正文文本缩进 3 Char"/>
    <w:link w:val="1084"/>
    <w:uiPriority w:val="0"/>
    <w:qFormat/>
    <w:rPr>
      <w:rFonts w:ascii="Arial" w:hAnsi="Arial" w:eastAsia="仿宋_GB2312" w:cs="Times New Roman"/>
      <w:color w:val="ffff00"/>
      <w:sz w:val="32"/>
      <w:szCs w:val="32"/>
      <w:lang w:eastAsia="en-US"/>
    </w:rPr>
  </w:style>
  <w:style w:type="paragraph" w:styleId="1086" w:customStyle="1">
    <w:name w:val="图表目录1"/>
    <w:basedOn w:val="723"/>
    <w:next w:val="723"/>
    <w:uiPriority w:val="0"/>
    <w:semiHidden/>
    <w:qFormat/>
    <w:pPr>
      <w:ind w:left="840" w:hanging="420"/>
    </w:pPr>
    <w:rPr>
      <w:rFonts w:ascii="Times New Roman" w:hAnsi="Times New Roman" w:eastAsia="宋体" w:cs="Times New Roman"/>
      <w:szCs w:val="21"/>
    </w:rPr>
  </w:style>
  <w:style w:type="paragraph" w:styleId="1087" w:customStyle="1">
    <w:name w:val="目录 21"/>
    <w:basedOn w:val="723"/>
    <w:next w:val="723"/>
    <w:uiPriority w:val="0"/>
    <w:semiHidden/>
    <w:qFormat/>
    <w:pPr>
      <w:ind w:left="210"/>
      <w:jc w:val="left"/>
    </w:pPr>
    <w:rPr>
      <w:rFonts w:ascii="Times New Roman" w:hAnsi="Times New Roman" w:eastAsia="宋体" w:cs="Times New Roman"/>
      <w:smallCaps/>
      <w:szCs w:val="24"/>
    </w:rPr>
  </w:style>
  <w:style w:type="paragraph" w:styleId="1088" w:customStyle="1">
    <w:name w:val="目录 91"/>
    <w:basedOn w:val="723"/>
    <w:next w:val="723"/>
    <w:uiPriority w:val="0"/>
    <w:semiHidden/>
    <w:qFormat/>
    <w:pPr>
      <w:ind w:left="1680"/>
      <w:jc w:val="left"/>
    </w:pPr>
    <w:rPr>
      <w:rFonts w:ascii="Times New Roman" w:hAnsi="Times New Roman" w:eastAsia="宋体" w:cs="Times New Roman"/>
      <w:szCs w:val="21"/>
    </w:rPr>
  </w:style>
  <w:style w:type="paragraph" w:styleId="1089" w:customStyle="1">
    <w:name w:val="正文文本 21"/>
    <w:basedOn w:val="723"/>
    <w:link w:val="1090"/>
    <w:uiPriority w:val="0"/>
    <w:qFormat/>
    <w:pPr>
      <w:jc w:val="center"/>
      <w:widowControl/>
    </w:pPr>
    <w:rPr>
      <w:rFonts w:ascii="楷体_GB2312" w:hAnsi="Times New Roman" w:eastAsia="楷体_GB2312" w:cs="Times New Roman"/>
      <w:sz w:val="28"/>
      <w:szCs w:val="28"/>
      <w:lang w:eastAsia="en-US"/>
    </w:rPr>
  </w:style>
  <w:style w:type="character" w:styleId="1090" w:customStyle="1">
    <w:name w:val="正文文本 2 Char"/>
    <w:link w:val="1089"/>
    <w:uiPriority w:val="0"/>
    <w:qFormat/>
    <w:rPr>
      <w:rFonts w:ascii="楷体_GB2312" w:hAnsi="Times New Roman" w:eastAsia="楷体_GB2312" w:cs="Times New Roman"/>
      <w:sz w:val="28"/>
      <w:szCs w:val="28"/>
      <w:lang w:eastAsia="en-US"/>
    </w:rPr>
  </w:style>
  <w:style w:type="paragraph" w:styleId="1091" w:customStyle="1">
    <w:name w:val="普通(网站)1"/>
    <w:basedOn w:val="723"/>
    <w:uiPriority w:val="99"/>
    <w:qFormat/>
    <w:pPr>
      <w:jc w:val="left"/>
      <w:spacing w:before="100" w:beforeAutospacing="1" w:after="100" w:afterAutospacing="1"/>
      <w:widowControl/>
    </w:pPr>
    <w:rPr>
      <w:rFonts w:ascii="宋体" w:hAnsi="宋体" w:eastAsia="宋体" w:cs="宋体"/>
      <w:sz w:val="24"/>
      <w:szCs w:val="24"/>
    </w:rPr>
  </w:style>
  <w:style w:type="paragraph" w:styleId="1092" w:customStyle="1">
    <w:name w:val="索引 11"/>
    <w:basedOn w:val="723"/>
    <w:next w:val="723"/>
    <w:uiPriority w:val="0"/>
    <w:semiHidden/>
    <w:qFormat/>
    <w:pPr>
      <w:spacing w:line="240" w:lineRule="atLeast"/>
    </w:pPr>
    <w:rPr>
      <w:rFonts w:ascii="Times New Roman" w:hAnsi="Times New Roman" w:eastAsia="宋体" w:cs="Times New Roman"/>
      <w:b/>
      <w:bCs/>
      <w:szCs w:val="21"/>
    </w:rPr>
  </w:style>
  <w:style w:type="paragraph" w:styleId="1093" w:customStyle="1">
    <w:name w:val="批注主题1"/>
    <w:basedOn w:val="1056"/>
    <w:next w:val="1056"/>
    <w:link w:val="1094"/>
    <w:uiPriority w:val="0"/>
    <w:semiHidden/>
    <w:qFormat/>
    <w:rPr>
      <w:b/>
      <w:bCs/>
    </w:rPr>
  </w:style>
  <w:style w:type="character" w:styleId="1094" w:customStyle="1">
    <w:name w:val="批注主题 Char"/>
    <w:link w:val="1093"/>
    <w:uiPriority w:val="0"/>
    <w:semiHidden/>
    <w:qFormat/>
    <w:rPr>
      <w:rFonts w:ascii="Times New Roman" w:hAnsi="Times New Roman" w:eastAsia="宋体" w:cs="Times New Roman"/>
      <w:b/>
      <w:bCs/>
      <w:szCs w:val="21"/>
      <w:lang w:eastAsia="en-US"/>
    </w:rPr>
  </w:style>
  <w:style w:type="paragraph" w:styleId="1095" w:customStyle="1">
    <w:name w:val="正文首行缩进1"/>
    <w:basedOn w:val="723"/>
    <w:link w:val="1096"/>
    <w:uiPriority w:val="0"/>
    <w:qFormat/>
    <w:pPr>
      <w:ind w:firstLine="200"/>
      <w:spacing w:line="360" w:lineRule="auto"/>
    </w:pPr>
    <w:rPr>
      <w:rFonts w:ascii="仿宋_GB2312" w:hAnsi="Times New Roman" w:eastAsia="仿宋_GB2312" w:cs="Times New Roman"/>
      <w:sz w:val="30"/>
      <w:szCs w:val="30"/>
      <w:lang w:eastAsia="en-US"/>
    </w:rPr>
  </w:style>
  <w:style w:type="character" w:styleId="1096" w:customStyle="1">
    <w:name w:val="正文首行缩进 Char"/>
    <w:link w:val="1095"/>
    <w:uiPriority w:val="0"/>
    <w:qFormat/>
    <w:rPr>
      <w:rFonts w:ascii="仿宋_GB2312" w:hAnsi="Times New Roman" w:eastAsia="仿宋_GB2312" w:cs="Times New Roman"/>
      <w:sz w:val="30"/>
      <w:szCs w:val="30"/>
      <w:lang w:eastAsia="en-US"/>
    </w:rPr>
  </w:style>
  <w:style w:type="paragraph" w:styleId="1097" w:customStyle="1">
    <w:name w:val="正文首行缩进 21"/>
    <w:basedOn w:val="1062"/>
    <w:link w:val="1098"/>
    <w:uiPriority w:val="0"/>
    <w:qFormat/>
    <w:pPr>
      <w:ind w:firstLine="420"/>
      <w:spacing w:line="360" w:lineRule="auto"/>
    </w:pPr>
    <w:rPr>
      <w:rFonts w:ascii="宋体" w:hAnsi="宋体" w:eastAsia="宋体"/>
      <w:szCs w:val="20"/>
    </w:rPr>
  </w:style>
  <w:style w:type="character" w:styleId="1098" w:customStyle="1">
    <w:name w:val="正文首行缩进 2 Char"/>
    <w:link w:val="1097"/>
    <w:uiPriority w:val="0"/>
    <w:qFormat/>
    <w:rPr>
      <w:rFonts w:ascii="宋体" w:hAnsi="宋体" w:eastAsia="宋体" w:cs="Times New Roman"/>
      <w:sz w:val="32"/>
      <w:lang w:eastAsia="en-US"/>
    </w:rPr>
  </w:style>
  <w:style w:type="character" w:styleId="1099" w:customStyle="1">
    <w:name w:val="要点1"/>
    <w:uiPriority w:val="0"/>
    <w:qFormat/>
    <w:rPr>
      <w:b/>
      <w:bCs/>
    </w:rPr>
  </w:style>
  <w:style w:type="character" w:styleId="1100" w:customStyle="1">
    <w:name w:val="页码1"/>
    <w:uiPriority w:val="0"/>
    <w:qFormat/>
  </w:style>
  <w:style w:type="character" w:styleId="1101" w:customStyle="1">
    <w:name w:val="已访问的超链接1"/>
    <w:uiPriority w:val="0"/>
    <w:qFormat/>
    <w:rPr>
      <w:color w:val="800080"/>
      <w:u w:val="single"/>
    </w:rPr>
  </w:style>
  <w:style w:type="character" w:styleId="1102" w:customStyle="1">
    <w:name w:val="HTML 打字机1"/>
    <w:uiPriority w:val="99"/>
    <w:qFormat/>
    <w:rPr>
      <w:rFonts w:ascii="宋体" w:hAnsi="宋体" w:eastAsia="宋体" w:cs="宋体"/>
      <w:sz w:val="24"/>
      <w:szCs w:val="24"/>
    </w:rPr>
  </w:style>
  <w:style w:type="character" w:styleId="1103" w:customStyle="1">
    <w:name w:val="超链接1"/>
    <w:uiPriority w:val="0"/>
    <w:qFormat/>
    <w:rPr>
      <w:color w:val="0000ff"/>
      <w:u w:val="single"/>
    </w:rPr>
  </w:style>
  <w:style w:type="character" w:styleId="1104" w:customStyle="1">
    <w:name w:val="批注引用1"/>
    <w:uiPriority w:val="0"/>
    <w:semiHidden/>
    <w:qFormat/>
    <w:rPr>
      <w:sz w:val="21"/>
      <w:szCs w:val="21"/>
    </w:rPr>
  </w:style>
  <w:style w:type="character" w:styleId="1105" w:customStyle="1">
    <w:name w:val="二级目录 Char"/>
    <w:link w:val="1106"/>
    <w:uiPriority w:val="0"/>
    <w:qFormat/>
    <w:rPr>
      <w:b/>
      <w:sz w:val="30"/>
      <w:szCs w:val="28"/>
    </w:rPr>
  </w:style>
  <w:style w:type="paragraph" w:styleId="1106" w:customStyle="1">
    <w:name w:val="二级目录"/>
    <w:next w:val="723"/>
    <w:link w:val="1105"/>
    <w:uiPriority w:val="0"/>
    <w:qFormat/>
    <w:pPr>
      <w:numPr>
        <w:ilvl w:val="0"/>
        <w:numId w:val="3"/>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1107" w:customStyle="1">
    <w:name w:val="列出段落 Char"/>
    <w:link w:val="736"/>
    <w:uiPriority w:val="0"/>
    <w:qFormat/>
    <w:rPr>
      <w:rFonts w:ascii="Calibri" w:hAnsi="Calibri" w:eastAsia="宋体" w:cs="Times New Roman"/>
      <w:sz w:val="24"/>
      <w:szCs w:val="22"/>
    </w:rPr>
  </w:style>
  <w:style w:type="paragraph" w:styleId="1108" w:customStyle="1">
    <w:name w:val="Body Text(ch)"/>
    <w:basedOn w:val="723"/>
    <w:next w:val="1060"/>
    <w:uiPriority w:val="0"/>
    <w:qFormat/>
    <w:pPr>
      <w:spacing w:after="120"/>
    </w:pPr>
    <w:rPr>
      <w:rFonts w:ascii="宋体" w:hAnsi="Arial" w:eastAsia="宋体" w:cs="Times New Roman"/>
      <w:bCs/>
      <w:iCs/>
      <w:szCs w:val="24"/>
    </w:rPr>
  </w:style>
  <w:style w:type="paragraph" w:styleId="1109" w:customStyle="1">
    <w:name w:val="Char"/>
    <w:basedOn w:val="723"/>
    <w:uiPriority w:val="0"/>
    <w:qFormat/>
    <w:pPr>
      <w:ind w:firstLine="200"/>
      <w:tabs>
        <w:tab w:val="left" w:pos="360" w:leader="none"/>
      </w:tabs>
    </w:pPr>
    <w:rPr>
      <w:rFonts w:ascii="Times New Roman" w:hAnsi="Times New Roman" w:eastAsia="宋体" w:cs="Times New Roman"/>
      <w:sz w:val="28"/>
      <w:szCs w:val="30"/>
    </w:rPr>
  </w:style>
  <w:style w:type="paragraph" w:styleId="1110" w:customStyle="1">
    <w:name w:val="普通正文"/>
    <w:basedOn w:val="723"/>
    <w:uiPriority w:val="0"/>
    <w:qFormat/>
    <w:pPr>
      <w:ind w:firstLine="480"/>
      <w:jc w:val="left"/>
      <w:spacing w:before="120" w:after="120" w:line="360" w:lineRule="auto"/>
    </w:pPr>
    <w:rPr>
      <w:rFonts w:ascii="Arial" w:hAnsi="Arial" w:eastAsia="宋体" w:cs="Times New Roman"/>
      <w:sz w:val="24"/>
      <w:szCs w:val="24"/>
    </w:rPr>
  </w:style>
  <w:style w:type="paragraph" w:styleId="1111" w:customStyle="1">
    <w:name w:val="table_lines"/>
    <w:basedOn w:val="723"/>
    <w:uiPriority w:val="0"/>
    <w:qFormat/>
    <w:pPr>
      <w:jc w:val="left"/>
      <w:widowControl/>
    </w:pPr>
    <w:rPr>
      <w:rFonts w:ascii="Times New Roman" w:hAnsi="Times New Roman" w:eastAsia="宋体" w:cs="Times New Roman"/>
      <w:sz w:val="20"/>
      <w:szCs w:val="20"/>
      <w:lang w:val="de-DE" w:eastAsia="de-DE"/>
    </w:rPr>
  </w:style>
  <w:style w:type="paragraph" w:styleId="111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3" w:customStyle="1">
    <w:name w:val="列出段落21"/>
    <w:basedOn w:val="723"/>
    <w:uiPriority w:val="99"/>
    <w:qFormat/>
    <w:pPr>
      <w:contextualSpacing/>
      <w:ind w:left="720"/>
      <w:jc w:val="left"/>
      <w:widowControl/>
    </w:pPr>
    <w:rPr>
      <w:rFonts w:ascii="Calibri" w:hAnsi="Calibri" w:eastAsia="宋体" w:cs="Times New Roman"/>
      <w:sz w:val="24"/>
      <w:szCs w:val="24"/>
      <w:lang w:eastAsia="en-US" w:bidi="en-US"/>
    </w:rPr>
  </w:style>
  <w:style w:type="paragraph" w:styleId="1114" w:customStyle="1">
    <w:name w:val="4"/>
    <w:basedOn w:val="723"/>
    <w:next w:val="1084"/>
    <w:uiPriority w:val="0"/>
    <w:qFormat/>
    <w:pPr>
      <w:ind w:firstLine="420"/>
      <w:spacing w:line="360" w:lineRule="auto"/>
    </w:pPr>
    <w:rPr>
      <w:rFonts w:ascii="Times New Roman" w:hAnsi="Times New Roman" w:eastAsia="宋体" w:cs="Times New Roman"/>
      <w:color w:val="ff0000"/>
      <w:sz w:val="24"/>
      <w:szCs w:val="24"/>
    </w:rPr>
  </w:style>
  <w:style w:type="paragraph" w:styleId="1115" w:customStyle="1">
    <w:name w:val="普通 (Web)"/>
    <w:basedOn w:val="723"/>
    <w:uiPriority w:val="0"/>
    <w:qFormat/>
    <w:pPr>
      <w:jc w:val="left"/>
      <w:spacing w:before="100" w:beforeAutospacing="1" w:after="100" w:afterAutospacing="1"/>
      <w:widowControl/>
    </w:pPr>
    <w:rPr>
      <w:rFonts w:ascii="宋体" w:hAnsi="宋体" w:eastAsia="宋体" w:cs="Times New Roman"/>
      <w:sz w:val="24"/>
      <w:szCs w:val="24"/>
    </w:rPr>
  </w:style>
  <w:style w:type="paragraph" w:styleId="1116" w:customStyle="1">
    <w:name w:val="Char Char Char Char Char Char Char Char Char Char"/>
    <w:basedOn w:val="723"/>
    <w:uiPriority w:val="0"/>
    <w:qFormat/>
    <w:pPr>
      <w:spacing w:line="360" w:lineRule="auto"/>
    </w:pPr>
    <w:rPr>
      <w:rFonts w:ascii="Times New Roman" w:hAnsi="Times New Roman" w:eastAsia="宋体" w:cs="Times New Roman"/>
      <w:sz w:val="24"/>
      <w:szCs w:val="20"/>
    </w:rPr>
  </w:style>
  <w:style w:type="paragraph" w:styleId="1117" w:customStyle="1">
    <w:name w:val="样式1"/>
    <w:basedOn w:val="723"/>
    <w:uiPriority w:val="0"/>
    <w:qFormat/>
    <w:pPr>
      <w:numPr>
        <w:ilvl w:val="0"/>
        <w:numId w:val="4"/>
      </w:numPr>
    </w:pPr>
    <w:rPr>
      <w:rFonts w:ascii="宋体" w:hAnsi="宋体" w:eastAsia="宋体" w:cs="Times New Roman"/>
      <w:szCs w:val="21"/>
    </w:rPr>
  </w:style>
  <w:style w:type="paragraph" w:styleId="1118"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9" w:customStyle="1">
    <w:name w:val="标题3"/>
    <w:basedOn w:val="723"/>
    <w:next w:val="723"/>
    <w:uiPriority w:val="0"/>
    <w:qFormat/>
    <w:pPr>
      <w:ind w:firstLine="624"/>
      <w:spacing w:line="590" w:lineRule="atLeast"/>
    </w:pPr>
    <w:rPr>
      <w:rFonts w:ascii="方正黑体_GBK" w:hAnsi="Times New Roman" w:eastAsia="方正黑体_GBK" w:cs="Times New Roman"/>
      <w:sz w:val="32"/>
      <w:szCs w:val="32"/>
    </w:rPr>
  </w:style>
  <w:style w:type="paragraph" w:styleId="1120" w:customStyle="1">
    <w:name w:val="Char Char Char Char Char Char Char Char"/>
    <w:basedOn w:val="723"/>
    <w:uiPriority w:val="0"/>
    <w:qFormat/>
    <w:pPr>
      <w:jc w:val="left"/>
      <w:spacing w:after="160" w:line="240" w:lineRule="exact"/>
      <w:widowControl/>
    </w:pPr>
    <w:rPr>
      <w:rFonts w:ascii="Verdana" w:hAnsi="Verdana" w:eastAsia="宋体" w:cs="Times New Roman"/>
      <w:sz w:val="20"/>
      <w:szCs w:val="20"/>
      <w:lang w:eastAsia="en-US"/>
    </w:rPr>
  </w:style>
  <w:style w:type="paragraph" w:styleId="1121" w:customStyle="1">
    <w:name w:val="table_1stline"/>
    <w:basedOn w:val="723"/>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2" w:customStyle="1">
    <w:name w:val="标题1"/>
    <w:basedOn w:val="723"/>
    <w:next w:val="72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3" w:customStyle="1">
    <w:name w:val="修订2"/>
    <w:uiPriority w:val="99"/>
    <w:semiHidden/>
    <w:qFormat/>
    <w:rPr>
      <w:rFonts w:ascii="Times New Roman" w:hAnsi="Times New Roman" w:eastAsia="宋体" w:cs="Times New Roman"/>
      <w:sz w:val="21"/>
      <w:szCs w:val="21"/>
      <w:lang w:val="en-US" w:eastAsia="zh-CN" w:bidi="ar-SA"/>
    </w:rPr>
  </w:style>
  <w:style w:type="paragraph" w:styleId="112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25" w:customStyle="1">
    <w:name w:val="目录 111"/>
    <w:basedOn w:val="723"/>
    <w:next w:val="723"/>
    <w:uiPriority w:val="39"/>
    <w:unhideWhenUsed/>
    <w:qFormat/>
    <w:pPr>
      <w:jc w:val="left"/>
      <w:spacing w:after="100" w:line="259" w:lineRule="auto"/>
      <w:widowControl/>
    </w:pPr>
    <w:rPr>
      <w:rFonts w:ascii="Calibri" w:hAnsi="Calibri" w:eastAsia="宋体" w:cs="Times New Roman"/>
      <w:sz w:val="22"/>
    </w:rPr>
  </w:style>
  <w:style w:type="character" w:styleId="1126" w:customStyle="1">
    <w:name w:val="font61"/>
    <w:basedOn w:val="733"/>
    <w:uiPriority w:val="0"/>
    <w:rPr>
      <w:rFonts w:hint="eastAsia" w:ascii="新宋体" w:hAnsi="新宋体" w:eastAsia="新宋体" w:cs="新宋体"/>
      <w:color w:val="000000"/>
      <w:sz w:val="20"/>
      <w:szCs w:val="20"/>
      <w:u w:val="none"/>
    </w:rPr>
  </w:style>
  <w:style w:type="character" w:styleId="1127" w:customStyle="1">
    <w:name w:val="列表段落 字符"/>
    <w:basedOn w:val="733"/>
    <w:uiPriority w:val="0"/>
    <w:rPr>
      <w:rFonts w:hint="default" w:ascii="Calibri" w:hAnsi="Calibri" w:cs="Calibri"/>
      <w:sz w:val="21"/>
      <w:szCs w:val="22"/>
    </w:rPr>
  </w:style>
  <w:style w:type="paragraph" w:styleId="1128" w:customStyle="1">
    <w:name w:val="*正文"/>
    <w:basedOn w:val="723"/>
    <w:uiPriority w:val="0"/>
    <w:pPr>
      <w:ind w:firstLine="200"/>
      <w:spacing w:line="360" w:lineRule="auto"/>
    </w:pPr>
    <w:rPr>
      <w:rFonts w:hint="eastAsia" w:ascii="宋体" w:hAnsi="宋体" w:eastAsia="宋体" w:cs="Times New Roman"/>
      <w:sz w:val="22"/>
      <w:szCs w:val="21"/>
    </w:rPr>
  </w:style>
  <w:style w:type="character" w:styleId="1129" w:customStyle="1">
    <w:name w:val="font91"/>
    <w:basedOn w:val="733"/>
    <w:uiPriority w:val="0"/>
    <w:rPr>
      <w:rFonts w:hint="default" w:ascii="Times New Roman" w:hAnsi="Times New Roman" w:cs="Times New Roman"/>
      <w:color w:val="000000"/>
      <w:sz w:val="20"/>
      <w:szCs w:val="20"/>
      <w:u w:val="none"/>
    </w:rPr>
  </w:style>
  <w:style w:type="table" w:styleId="1130" w:customStyle="1">
    <w:name w:val="网格表 1 浅色1"/>
    <w:basedOn w:val="734"/>
    <w:uiPriority w:val="0"/>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cPr>
      <w:tcBorders>
        <w:top w:val="single" w:color="989898" w:sz="4" w:space="0"/>
        <w:left w:val="single" w:color="989898" w:sz="4" w:space="0"/>
        <w:bottom w:val="single" w:color="989898" w:sz="4" w:space="0"/>
        <w:right w:val="single" w:color="989898" w:sz="4" w:space="0"/>
      </w:tcBorders>
    </w:tc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31" w:customStyle="1">
    <w:name w:val="网格表 21"/>
    <w:basedOn w:val="734"/>
    <w:uiPriority w:val="0"/>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132" w:customStyle="1">
    <w:name w:val="无格式表格 51"/>
    <w:basedOn w:val="734"/>
    <w:uiPriority w:val="0"/>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133" w:customStyle="1">
    <w:name w:val="清单表 6 彩色1"/>
    <w:basedOn w:val="734"/>
    <w:uiPriority w:val="0"/>
    <w:tblPr>
      <w:tblBorders>
        <w:top w:val="single" w:color="7F7F7F" w:sz="4" w:space="0"/>
        <w:bottom w:val="single" w:color="7F7F7F" w:sz="4" w:space="0"/>
      </w:tblBorders>
      <w:tblCellMar>
        <w:left w:w="0" w:type="dxa"/>
        <w:top w:w="0" w:type="dxa"/>
        <w:right w:w="0" w:type="dxa"/>
        <w:bottom w:w="0" w:type="dxa"/>
      </w:tblCellMar>
    </w:tblPr>
    <w:tcPr>
      <w:tcBorders>
        <w:top w:val="single" w:color="7F7F7F" w:sz="4" w:space="0"/>
        <w:left w:val="none" w:color="000000" w:sz="4" w:space="0"/>
        <w:bottom w:val="single" w:color="7F7F7F" w:sz="4" w:space="0"/>
        <w:right w:val="none" w:color="000000" w:sz="4" w:space="0"/>
      </w:tcBorders>
    </w:tc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4" w:customStyle="1">
    <w:name w:val="清单表 5 深色1"/>
    <w:basedOn w:val="734"/>
    <w:uiPriority w:val="0"/>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cPr>
      <w:tcBorders>
        <w:top w:val="single" w:color="7F7F7F" w:sz="36" w:space="0"/>
        <w:left w:val="single" w:color="7F7F7F" w:sz="36" w:space="0"/>
        <w:bottom w:val="single" w:color="7F7F7F" w:sz="36" w:space="0"/>
        <w:right w:val="single" w:color="7F7F7F" w:sz="36" w:space="0"/>
      </w:tcBorders>
    </w:tc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135" w:customStyle="1">
    <w:name w:val="清单表 31"/>
    <w:basedOn w:val="734"/>
    <w:uiPriority w:val="0"/>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136" w:customStyle="1">
    <w:name w:val="清单表 1 浅色1"/>
    <w:basedOn w:val="734"/>
    <w:uiPriority w:val="0"/>
    <w:tblPr>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7" w:customStyle="1">
    <w:name w:val="无格式表格 31"/>
    <w:basedOn w:val="734"/>
    <w:uiPriority w:val="0"/>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customStyle="1">
    <w:name w:val="网格表 41"/>
    <w:basedOn w:val="734"/>
    <w:uiPriority w:val="0"/>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cPr>
      <w:tcBorders>
        <w:top w:val="single" w:color="6F6F6F" w:sz="4" w:space="0"/>
        <w:left w:val="single" w:color="6F6F6F" w:sz="4" w:space="0"/>
        <w:bottom w:val="single" w:color="6F6F6F" w:sz="4" w:space="0"/>
        <w:right w:val="single" w:color="6F6F6F"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39" w:customStyle="1">
    <w:name w:val="网格表 5 深色1"/>
    <w:basedOn w:val="734"/>
    <w:uiPriority w:val="0"/>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140" w:customStyle="1">
    <w:name w:val="网格表 6 彩色1"/>
    <w:basedOn w:val="734"/>
    <w:uiPriority w:val="0"/>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op w:val="single" w:color="7F7F7F" w:sz="4" w:space="0"/>
        <w:left w:val="single" w:color="7F7F7F"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41" w:customStyle="1">
    <w:name w:val="无格式表格 21"/>
    <w:basedOn w:val="734"/>
    <w:uiPriority w:val="0"/>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tcPr>
      <w:tcBorders>
        <w:top w:val="single" w:color="000000" w:sz="4" w:space="0"/>
        <w:left w:val="none" w:color="000000" w:sz="4" w:space="0"/>
        <w:bottom w:val="single" w:color="000000" w:sz="4" w:space="0"/>
        <w:right w:val="none" w:color="000000" w:sz="4" w:space="0"/>
      </w:tcBorders>
    </w:tc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42" w:customStyle="1">
    <w:name w:val="无格式表格 11"/>
    <w:basedOn w:val="734"/>
    <w:uiPriority w:val="0"/>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cPr>
      <w:tcBorders>
        <w:top w:val="single" w:color="AFAFAF" w:sz="4" w:space="0"/>
        <w:left w:val="single" w:color="AFAFAF" w:sz="4" w:space="0"/>
        <w:bottom w:val="single" w:color="AFAFAF" w:sz="4" w:space="0"/>
        <w:right w:val="single" w:color="AFAFAF" w:sz="4" w:space="0"/>
      </w:tcBorders>
    </w:tc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43" w:customStyle="1">
    <w:name w:val="清单表 21"/>
    <w:basedOn w:val="734"/>
    <w:uiPriority w:val="0"/>
    <w:tblPr>
      <w:tblBorders>
        <w:top w:val="single" w:color="6F6F6F" w:sz="4" w:space="0"/>
        <w:bottom w:val="single" w:color="6F6F6F" w:sz="4" w:space="0"/>
        <w:insideH w:val="single" w:color="6F6F6F" w:sz="4" w:space="0"/>
      </w:tblBorders>
      <w:tblCellMar>
        <w:left w:w="0" w:type="dxa"/>
        <w:top w:w="0" w:type="dxa"/>
        <w:right w:w="0" w:type="dxa"/>
        <w:bottom w:w="0" w:type="dxa"/>
      </w:tblCellMar>
    </w:tblPr>
    <w:tcPr>
      <w:tcBorders>
        <w:top w:val="single" w:color="6F6F6F" w:sz="4" w:space="0"/>
        <w:left w:val="none" w:color="000000" w:sz="4" w:space="0"/>
        <w:bottom w:val="single" w:color="6F6F6F" w:sz="4" w:space="0"/>
        <w:right w:val="non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144" w:customStyle="1">
    <w:name w:val="无格式表格 41"/>
    <w:basedOn w:val="734"/>
    <w:uiPriority w:val="0"/>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5" w:customStyle="1">
    <w:name w:val="网格表 7 彩色1"/>
    <w:basedOn w:val="734"/>
    <w:uiPriority w:val="0"/>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op w:val="none" w:color="000000" w:sz="4" w:space="0"/>
        <w:left w:val="none" w:color="000000"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46" w:customStyle="1">
    <w:name w:val="网格表 31"/>
    <w:basedOn w:val="734"/>
    <w:uiPriority w:val="0"/>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147" w:customStyle="1">
    <w:name w:val="清单表 7 彩色1"/>
    <w:basedOn w:val="734"/>
    <w:uiPriority w:val="0"/>
    <w:tblPr>
      <w:tblBorders>
        <w:right w:val="single" w:color="7F7F7F" w:sz="4" w:space="0"/>
      </w:tblBorders>
      <w:tblCellMar>
        <w:left w:w="0" w:type="dxa"/>
        <w:top w:w="0" w:type="dxa"/>
        <w:right w:w="0" w:type="dxa"/>
        <w:bottom w:w="0" w:type="dxa"/>
      </w:tblCellMar>
    </w:tblPr>
    <w:tcPr>
      <w:tcBorders>
        <w:top w:val="none" w:color="000000" w:sz="4" w:space="0"/>
        <w:left w:val="none" w:color="000000" w:sz="4" w:space="0"/>
        <w:bottom w:val="none" w:color="000000" w:sz="4" w:space="0"/>
        <w:right w:val="single" w:color="7F7F7F" w:sz="4" w:space="0"/>
      </w:tcBorders>
    </w:tc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48" w:customStyle="1">
    <w:name w:val="清单表 41"/>
    <w:basedOn w:val="734"/>
    <w:uiPriority w:val="0"/>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曹宝柱</cp:lastModifiedBy>
  <cp:revision>16</cp:revision>
  <dcterms:created xsi:type="dcterms:W3CDTF">2024-04-28T03:01:00Z</dcterms:created>
  <dcterms:modified xsi:type="dcterms:W3CDTF">2024-08-30T03:27:30Z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D84D1D62D7E747F2A58F6A2DA59A02BD</vt:lpwstr>
  </property>
</Properties>
</file>