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ind w:firstLine="0"/>
        <w:rPr>
          <w:rFonts w:hint="eastAsia" w:eastAsia="黑体"/>
          <w:b/>
          <w:bCs/>
          <w:sz w:val="84"/>
        </w:rPr>
      </w:pPr>
      <w:r>
        <w:rPr>
          <w:rFonts w:hint="eastAsia" w:eastAsia="黑体"/>
          <w:b/>
          <w:bCs/>
          <w:sz w:val="84"/>
        </w:rPr>
      </w:r>
      <w:r/>
    </w:p>
    <w:p>
      <w:pPr>
        <w:pStyle w:val="74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6"/>
        <w:ind w:firstLine="2249"/>
        <w:rPr>
          <w:rFonts w:hint="eastAsia" w:ascii="Arial" w:hAnsi="Arial" w:eastAsia="宋体" w:cs="Times New Roman"/>
          <w:b/>
          <w:bCs/>
          <w:sz w:val="32"/>
        </w:rPr>
      </w:pPr>
      <w:r>
        <w:rPr>
          <w:rFonts w:hint="eastAsia"/>
          <w:b/>
          <w:bCs/>
          <w:sz w:val="32"/>
        </w:rPr>
        <w:t xml:space="preserve">项目名称：</w:t>
      </w:r>
      <w:r>
        <w:rPr>
          <w:rFonts w:hint="eastAsia" w:ascii="Arial" w:hAnsi="Arial" w:eastAsia="宋体" w:cs="Times New Roman"/>
          <w:b/>
          <w:bCs/>
          <w:sz w:val="32"/>
        </w:rPr>
        <w:t xml:space="preserve">南通市自然资源和规划局不动产登记“同市同标”建设（软件开发及软硬件采购）项目</w:t>
      </w:r>
      <w:r>
        <w:rPr>
          <w:rFonts w:hint="eastAsia" w:ascii="Arial" w:hAnsi="Arial" w:eastAsia="宋体" w:cs="Times New Roman"/>
          <w:b/>
          <w:bCs/>
          <w:sz w:val="32"/>
        </w:rPr>
      </w:r>
      <w:r/>
    </w:p>
    <w:p>
      <w:pPr>
        <w:pStyle w:val="660"/>
        <w:ind w:left="2100" w:firstLine="161"/>
        <w:rPr>
          <w:b/>
          <w:color w:val="000000"/>
          <w:sz w:val="30"/>
          <w:szCs w:val="30"/>
        </w:rPr>
      </w:pPr>
      <w:r>
        <w:rPr>
          <w:rFonts w:hint="eastAsia"/>
          <w:b/>
          <w:bCs/>
          <w:color w:val="000000"/>
          <w:sz w:val="32"/>
        </w:rPr>
        <w:t xml:space="preserve">项目编号：JSZC-320600-JZCG-G2024-0259</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660"/>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服务类项目，适用苏采云系统</w:t>
      </w:r>
      <w:r>
        <w:rPr>
          <w:b/>
          <w:color w:val="000000"/>
          <w:sz w:val="30"/>
          <w:szCs w:val="30"/>
        </w:rPr>
        <w:t xml:space="preserve">，</w:t>
      </w:r>
      <w:r>
        <w:rPr>
          <w:rFonts w:hint="eastAsia"/>
          <w:b/>
          <w:color w:val="000000"/>
          <w:sz w:val="30"/>
          <w:szCs w:val="30"/>
        </w:rPr>
        <w:t xml:space="preserve">）</w:t>
      </w:r>
      <w:r>
        <w:rPr>
          <w:rFonts w:hint="eastAsia"/>
          <w:b/>
          <w:color w:val="000000"/>
          <w:sz w:val="30"/>
          <w:szCs w:val="30"/>
        </w:rPr>
      </w:r>
      <w:r/>
    </w:p>
    <w:p>
      <w:pPr>
        <w:pStyle w:val="746"/>
        <w:ind w:firstLine="0"/>
        <w:spacing w:before="0" w:after="0"/>
        <w:rPr>
          <w:rFonts w:hint="eastAsia" w:ascii="宋体" w:hAnsi="宋体"/>
        </w:rPr>
      </w:pPr>
      <w:r>
        <w:rPr>
          <w:rFonts w:hint="eastAsia" w:ascii="宋体" w:hAnsi="宋体"/>
        </w:rPr>
      </w:r>
      <w:r/>
    </w:p>
    <w:p>
      <w:pPr>
        <w:pStyle w:val="746"/>
        <w:ind w:firstLine="0"/>
        <w:spacing w:before="0" w:after="0"/>
        <w:rPr>
          <w:rFonts w:hint="eastAsia" w:ascii="宋体" w:hAnsi="宋体"/>
        </w:rPr>
      </w:pPr>
      <w:r>
        <w:rPr>
          <w:rFonts w:hint="eastAsia" w:ascii="宋体" w:hAnsi="宋体"/>
        </w:rPr>
      </w:r>
      <w:r/>
    </w:p>
    <w:p>
      <w:pPr>
        <w:pStyle w:val="746"/>
        <w:ind w:firstLine="0"/>
        <w:spacing w:before="0" w:after="0"/>
        <w:rPr>
          <w:rFonts w:hint="eastAsia" w:ascii="宋体" w:hAnsi="宋体"/>
        </w:rPr>
      </w:pPr>
      <w:r>
        <w:rPr>
          <w:rFonts w:hint="eastAsia" w:ascii="宋体" w:hAnsi="宋体"/>
        </w:rPr>
      </w:r>
      <w:r/>
    </w:p>
    <w:p>
      <w:pPr>
        <w:pStyle w:val="746"/>
        <w:ind w:firstLine="0"/>
        <w:spacing w:before="0" w:after="0"/>
        <w:rPr>
          <w:rFonts w:hint="eastAsia" w:ascii="宋体" w:hAnsi="宋体"/>
        </w:rPr>
      </w:pPr>
      <w:r>
        <w:rPr>
          <w:rFonts w:hint="eastAsia" w:ascii="宋体" w:hAnsi="宋体"/>
        </w:rPr>
      </w:r>
      <w:r/>
    </w:p>
    <w:p>
      <w:pPr>
        <w:pStyle w:val="746"/>
        <w:ind w:firstLine="0"/>
        <w:spacing w:before="0" w:after="0"/>
        <w:rPr>
          <w:rFonts w:hint="eastAsia" w:ascii="宋体" w:hAnsi="宋体"/>
        </w:rPr>
      </w:pPr>
      <w:r>
        <w:rPr>
          <w:rFonts w:hint="eastAsia" w:ascii="宋体" w:hAnsi="宋体"/>
        </w:rPr>
      </w:r>
      <w:r/>
    </w:p>
    <w:p>
      <w:pPr>
        <w:pStyle w:val="746"/>
        <w:ind w:firstLine="0"/>
        <w:spacing w:before="0" w:after="0"/>
        <w:rPr>
          <w:rFonts w:hint="eastAsia" w:ascii="宋体" w:hAnsi="宋体"/>
        </w:rPr>
      </w:pPr>
      <w:r>
        <w:rPr>
          <w:rFonts w:hint="eastAsia" w:ascii="宋体" w:hAnsi="宋体"/>
        </w:rPr>
      </w:r>
      <w:r/>
    </w:p>
    <w:p>
      <w:pPr>
        <w:pStyle w:val="746"/>
        <w:ind w:firstLine="0"/>
        <w:spacing w:before="0" w:after="0"/>
        <w:rPr>
          <w:rFonts w:hint="eastAsia" w:ascii="宋体" w:hAnsi="宋体"/>
        </w:rPr>
      </w:pPr>
      <w:r>
        <w:rPr>
          <w:rFonts w:hint="eastAsia" w:ascii="宋体" w:hAnsi="宋体"/>
        </w:rPr>
      </w:r>
      <w:r/>
    </w:p>
    <w:p>
      <w:pPr>
        <w:pStyle w:val="746"/>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746"/>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746"/>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024</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2</w:t>
      </w:r>
      <w:r>
        <w:rPr>
          <w:rFonts w:hint="eastAsia"/>
          <w:b/>
          <w:bCs/>
          <w:sz w:val="32"/>
        </w:rPr>
        <w:t xml:space="preserve">月</w:t>
      </w:r>
      <w:r>
        <w:rPr>
          <w:rFonts w:hint="eastAsia"/>
          <w:b/>
          <w:bCs/>
          <w:sz w:val="32"/>
        </w:rPr>
      </w:r>
      <w:r/>
    </w:p>
    <w:p>
      <w:pPr>
        <w:pStyle w:val="746"/>
        <w:ind w:firstLine="0"/>
        <w:rPr>
          <w:rFonts w:hint="eastAsia"/>
          <w:u w:val="single"/>
        </w:rPr>
      </w:pPr>
      <w:r>
        <w:rPr>
          <w:rFonts w:hint="eastAsia"/>
        </w:rPr>
        <w:t xml:space="preserve">                        </w:t>
      </w:r>
      <w:r>
        <w:rPr>
          <w:rFonts w:hint="eastAsia"/>
          <w:u w:val="single"/>
        </w:rPr>
      </w:r>
      <w:r/>
    </w:p>
    <w:p>
      <w:pPr>
        <w:pStyle w:val="746"/>
        <w:ind w:firstLine="0"/>
        <w:jc w:val="center"/>
        <w:rPr>
          <w:rFonts w:hint="eastAsia"/>
        </w:rPr>
      </w:pPr>
      <w:r>
        <w:rPr>
          <w:rFonts w:hint="eastAsia"/>
        </w:rPr>
      </w:r>
      <w:r/>
    </w:p>
    <w:p>
      <w:pPr>
        <w:pStyle w:val="660"/>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60"/>
        <w:spacing w:line="480" w:lineRule="auto"/>
        <w:rPr>
          <w:rFonts w:hint="eastAsia" w:ascii="仿宋_GB2312" w:hAnsi="Arial" w:eastAsia="仿宋_GB2312"/>
          <w:b/>
          <w:sz w:val="28"/>
        </w:rPr>
      </w:pPr>
      <w:r>
        <w:rPr>
          <w:rFonts w:hint="eastAsia" w:ascii="仿宋_GB2312" w:hAnsi="Arial" w:eastAsia="仿宋_GB2312"/>
          <w:b/>
          <w:sz w:val="28"/>
        </w:rPr>
      </w:r>
      <w:r/>
    </w:p>
    <w:p>
      <w:pPr>
        <w:pStyle w:val="660"/>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2</w:t>
      </w:r>
      <w:r>
        <w:rPr>
          <w:rFonts w:hint="eastAsia" w:ascii="黑体" w:hAnsi="Showcard Gothic" w:eastAsia="黑体"/>
          <w:sz w:val="36"/>
        </w:rPr>
        <w:t xml:space="preserve"> </w:t>
      </w:r>
      <w:r>
        <w:rPr>
          <w:rFonts w:hint="eastAsia" w:ascii="黑体" w:hAnsi="Showcard Gothic" w:eastAsia="黑体"/>
          <w:sz w:val="32"/>
        </w:rPr>
      </w:r>
      <w:r/>
    </w:p>
    <w:p>
      <w:pPr>
        <w:pStyle w:val="66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66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66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22</w:t>
      </w:r>
      <w:r>
        <w:rPr>
          <w:rFonts w:hint="eastAsia" w:ascii="黑体" w:hAnsi="Showcard Gothic" w:eastAsia="黑体"/>
          <w:sz w:val="36"/>
        </w:rPr>
      </w:r>
      <w:r/>
    </w:p>
    <w:p>
      <w:pPr>
        <w:pStyle w:val="66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33</w:t>
      </w:r>
      <w:r>
        <w:rPr>
          <w:rFonts w:hint="eastAsia" w:ascii="黑体" w:hAnsi="Showcard Gothic" w:eastAsia="黑体"/>
          <w:sz w:val="36"/>
        </w:rPr>
      </w:r>
      <w:r/>
    </w:p>
    <w:p>
      <w:pPr>
        <w:pStyle w:val="660"/>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41</w:t>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1"/>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60"/>
        <w:ind w:firstLine="480"/>
        <w:rPr>
          <w:rFonts w:ascii="宋体" w:hAnsi="宋体"/>
          <w:sz w:val="24"/>
          <w:szCs w:val="24"/>
        </w:rPr>
      </w:pPr>
      <w:r>
        <w:rPr>
          <w:rFonts w:hint="eastAsia" w:ascii="宋体" w:hAnsi="宋体"/>
          <w:sz w:val="24"/>
          <w:szCs w:val="24"/>
        </w:rPr>
        <w:t xml:space="preserve">受[南通市自然资源和规划局]的委托，</w:t>
      </w:r>
      <w:r>
        <w:rPr>
          <w:rFonts w:hint="eastAsia" w:ascii="宋体" w:hAnsi="宋体"/>
          <w:sz w:val="24"/>
          <w:szCs w:val="24"/>
          <w:lang w:eastAsia="zh-CN"/>
        </w:rPr>
        <w:t xml:space="preserve">南通市</w:t>
      </w:r>
      <w:r>
        <w:rPr>
          <w:rFonts w:hint="eastAsia" w:ascii="宋体" w:hAnsi="宋体"/>
          <w:sz w:val="24"/>
          <w:szCs w:val="24"/>
        </w:rPr>
        <w:t xml:space="preserve">政府采购中心就[南通市自然资源和规划局不动产登记“同市同标”建设（软件开发及软硬件采购）项目]([JSZC-320600-JZCG-G2024-0259])项目进行公开招标采购，欢迎符合条件的供应商投标。</w:t>
      </w:r>
      <w:r>
        <w:rPr>
          <w:rFonts w:ascii="宋体" w:hAnsi="宋体"/>
          <w:sz w:val="24"/>
          <w:szCs w:val="24"/>
        </w:rPr>
      </w:r>
      <w:r/>
    </w:p>
    <w:p>
      <w:pPr>
        <w:pStyle w:val="660"/>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60"/>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南通市自然资源和规划局不动产登记“同市同标”建设（软件开发及软硬件采购）项目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2024</w:t>
      </w:r>
      <w:r>
        <w:rPr>
          <w:rFonts w:hint="eastAsia" w:ascii="宋体" w:hAnsi="宋体"/>
          <w:bCs/>
          <w:sz w:val="24"/>
          <w:szCs w:val="24"/>
          <w:u w:val="single"/>
        </w:rPr>
        <w:t xml:space="preserve">年</w:t>
      </w:r>
      <w:r>
        <w:rPr>
          <w:rFonts w:hint="eastAsia" w:ascii="宋体" w:hAnsi="宋体"/>
          <w:bCs/>
          <w:color w:val="000000" w:themeColor="text1"/>
          <w:sz w:val="24"/>
          <w:szCs w:val="24"/>
          <w:u w:val="single"/>
          <w:lang w:val="en-US" w:eastAsia="zh-CN"/>
        </w:rPr>
        <w:t xml:space="preserve">12</w:t>
      </w:r>
      <w:r>
        <w:rPr>
          <w:rFonts w:hint="eastAsia" w:ascii="宋体" w:hAnsi="宋体"/>
          <w:bCs/>
          <w:color w:val="000000" w:themeColor="text1"/>
          <w:sz w:val="24"/>
          <w:szCs w:val="24"/>
          <w:u w:val="single"/>
        </w:rPr>
        <w:t xml:space="preserve">月26日</w:t>
      </w:r>
      <w:r>
        <w:rPr>
          <w:rFonts w:hint="eastAsia" w:ascii="宋体" w:hAnsi="宋体"/>
          <w:bCs/>
          <w:color w:val="000000" w:themeColor="text1"/>
          <w:sz w:val="24"/>
          <w:szCs w:val="24"/>
          <w:u w:val="single"/>
          <w:lang w:val="en-US" w:eastAsia="zh-CN"/>
        </w:rPr>
        <w:t xml:space="preserve">1</w:t>
      </w:r>
      <w:r>
        <w:rPr>
          <w:rFonts w:hint="eastAsia" w:ascii="宋体" w:hAnsi="宋体"/>
          <w:bCs/>
          <w:color w:val="000000" w:themeColor="text1"/>
          <w:sz w:val="24"/>
          <w:szCs w:val="24"/>
          <w:u w:val="single"/>
          <w:lang w:val="en-US" w:eastAsia="zh-CN"/>
        </w:rPr>
        <w:t xml:space="preserve">4</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lang w:val="en-US" w:eastAsia="zh-CN"/>
        </w:rPr>
        <w:t xml:space="preserve">0</w:t>
      </w:r>
      <w:r>
        <w:rPr>
          <w:rFonts w:hint="eastAsia" w:ascii="宋体" w:hAnsi="宋体"/>
          <w:bCs/>
          <w:color w:val="000000" w:themeColor="text1"/>
          <w:sz w:val="24"/>
          <w:szCs w:val="24"/>
          <w:u w:val="single"/>
          <w:lang w:val="en-US" w:eastAsia="zh-CN"/>
        </w:rPr>
        <w:t xml:space="preserve">0</w:t>
      </w:r>
      <w:r>
        <w:rPr>
          <w:rFonts w:hint="eastAsia" w:ascii="宋体" w:hAnsi="宋体"/>
          <w:bCs/>
          <w:color w:val="000000" w:themeColor="text1"/>
          <w:sz w:val="24"/>
          <w:szCs w:val="24"/>
          <w:u w:val="single"/>
        </w:rPr>
        <w:t xml:space="preserve">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63"/>
        <w:ind w:firstLine="498"/>
        <w:spacing w:before="145" w:after="145" w:line="360" w:lineRule="auto"/>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660"/>
        <w:ind w:firstLine="480"/>
        <w:rPr>
          <w:rFonts w:ascii="宋体" w:hAnsi="宋体"/>
          <w:sz w:val="24"/>
          <w:szCs w:val="24"/>
        </w:rPr>
      </w:pPr>
      <w:r>
        <w:rPr>
          <w:rFonts w:hint="eastAsia" w:ascii="宋体" w:hAnsi="宋体"/>
          <w:sz w:val="24"/>
          <w:szCs w:val="24"/>
        </w:rPr>
        <w:t xml:space="preserve">1.项目编号：JSZC-320600-JZCG-G2024-0259</w:t>
      </w:r>
      <w:r>
        <w:rPr>
          <w:rFonts w:ascii="宋体" w:hAnsi="宋体"/>
          <w:sz w:val="24"/>
          <w:szCs w:val="24"/>
        </w:rPr>
      </w:r>
      <w:r/>
    </w:p>
    <w:p>
      <w:pPr>
        <w:pStyle w:val="660"/>
        <w:ind w:firstLine="480"/>
        <w:rPr>
          <w:rFonts w:ascii="宋体" w:hAnsi="宋体"/>
          <w:sz w:val="24"/>
          <w:szCs w:val="24"/>
        </w:rPr>
      </w:pPr>
      <w:r>
        <w:rPr>
          <w:rFonts w:hint="eastAsia" w:ascii="宋体" w:hAnsi="宋体"/>
          <w:sz w:val="24"/>
          <w:szCs w:val="24"/>
        </w:rPr>
        <w:t xml:space="preserve">2.项目名称：南通市自然资源和规划局不动产登记“同市同标”建设（软件开发及软硬件采购）项目</w:t>
      </w:r>
      <w:r>
        <w:rPr>
          <w:rFonts w:ascii="宋体" w:hAnsi="宋体"/>
          <w:sz w:val="24"/>
          <w:szCs w:val="24"/>
        </w:rPr>
      </w:r>
      <w:r/>
    </w:p>
    <w:p>
      <w:pPr>
        <w:pStyle w:val="660"/>
        <w:ind w:firstLine="480"/>
        <w:rPr>
          <w:rFonts w:hint="eastAsia" w:ascii="宋体" w:hAnsi="宋体" w:cs="宋体"/>
          <w:sz w:val="24"/>
          <w:szCs w:val="24"/>
          <w:highlight w:val="none"/>
        </w:rPr>
      </w:pPr>
      <w:r/>
      <w:bookmarkEnd w:id="11"/>
      <w:r>
        <w:rPr>
          <w:rFonts w:hint="eastAsia" w:ascii="宋体" w:hAnsi="宋体"/>
          <w:sz w:val="24"/>
          <w:szCs w:val="24"/>
          <w:highlight w:val="none"/>
        </w:rPr>
        <w:t xml:space="preserve">3.预算金额：674.45万元</w:t>
      </w:r>
      <w:r>
        <w:rPr>
          <w:rFonts w:hint="eastAsia" w:ascii="宋体" w:hAnsi="宋体" w:cs="宋体"/>
          <w:sz w:val="24"/>
          <w:szCs w:val="24"/>
          <w:highlight w:val="none"/>
        </w:rPr>
      </w:r>
      <w:r/>
    </w:p>
    <w:p>
      <w:pPr>
        <w:pStyle w:val="660"/>
        <w:numPr>
          <w:ilvl w:val="0"/>
          <w:numId w:val="5"/>
        </w:numPr>
        <w:ind w:firstLine="480"/>
        <w:tabs>
          <w:tab w:val="left" w:pos="312" w:leader="none"/>
        </w:tabs>
        <w:rPr>
          <w:rFonts w:hint="eastAsia" w:ascii="宋体" w:hAnsi="宋体" w:cs="宋体"/>
          <w:sz w:val="24"/>
          <w:szCs w:val="24"/>
          <w:highlight w:val="none"/>
        </w:rPr>
      </w:pPr>
      <w:r>
        <w:rPr>
          <w:rFonts w:hint="eastAsia" w:ascii="宋体" w:hAnsi="宋体"/>
          <w:sz w:val="24"/>
          <w:szCs w:val="24"/>
          <w:highlight w:val="none"/>
        </w:rPr>
        <w:t xml:space="preserve">本项目设定最高限价，最高限价为</w:t>
      </w:r>
      <w:r>
        <w:rPr>
          <w:rFonts w:hint="eastAsia" w:ascii="宋体" w:hAnsi="宋体"/>
          <w:sz w:val="24"/>
          <w:szCs w:val="24"/>
          <w:highlight w:val="none"/>
        </w:rPr>
        <w:t xml:space="preserve">674.45万元</w:t>
      </w:r>
      <w:r>
        <w:rPr>
          <w:rFonts w:hint="eastAsia" w:ascii="宋体" w:hAnsi="宋体"/>
          <w:sz w:val="24"/>
          <w:szCs w:val="24"/>
          <w:highlight w:val="none"/>
        </w:rPr>
        <w:t xml:space="preserve">。</w:t>
      </w:r>
      <w:r>
        <w:rPr>
          <w:rFonts w:hint="eastAsia" w:ascii="宋体" w:hAnsi="宋体" w:cs="宋体"/>
          <w:sz w:val="24"/>
          <w:szCs w:val="24"/>
          <w:highlight w:val="none"/>
        </w:rPr>
      </w:r>
      <w:r/>
    </w:p>
    <w:p>
      <w:pPr>
        <w:pStyle w:val="660"/>
        <w:ind w:firstLine="480"/>
        <w:rPr>
          <w:rFonts w:hint="eastAsia" w:ascii="宋体" w:hAnsi="宋体" w:eastAsia="宋体"/>
          <w:sz w:val="24"/>
          <w:szCs w:val="24"/>
          <w:u w:val="single"/>
          <w:lang w:val="en-US" w:eastAsia="zh-CN"/>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hint="eastAsia" w:ascii="宋体" w:hAnsi="宋体" w:cs="宋体"/>
          <w:sz w:val="24"/>
          <w:szCs w:val="24"/>
          <w:lang w:val="en-US" w:eastAsia="zh-CN"/>
        </w:rPr>
        <w:t xml:space="preserve">.</w:t>
      </w:r>
      <w:r>
        <w:rPr>
          <w:rFonts w:hint="eastAsia" w:ascii="宋体" w:hAnsi="宋体" w:eastAsia="宋体"/>
          <w:sz w:val="24"/>
          <w:szCs w:val="24"/>
          <w:u w:val="single"/>
          <w:lang w:val="en-US" w:eastAsia="zh-CN"/>
        </w:rPr>
      </w:r>
      <w:r/>
    </w:p>
    <w:p>
      <w:pPr>
        <w:pStyle w:val="660"/>
        <w:ind w:firstLine="480"/>
        <w:rPr>
          <w:rFonts w:ascii="宋体" w:hAnsi="宋体"/>
          <w:sz w:val="24"/>
          <w:szCs w:val="24"/>
          <w:u w:val="single"/>
        </w:rPr>
      </w:pPr>
      <w:r>
        <w:rPr>
          <w:rFonts w:hint="eastAsia" w:ascii="宋体" w:hAnsi="宋体"/>
          <w:sz w:val="24"/>
          <w:szCs w:val="24"/>
        </w:rPr>
        <w:t xml:space="preserve">6.合同履行期限：自合同签订之日起20个月完成项目建设工作。</w:t>
      </w:r>
      <w:r>
        <w:rPr>
          <w:rFonts w:ascii="宋体" w:hAnsi="宋体"/>
          <w:sz w:val="24"/>
          <w:szCs w:val="24"/>
          <w:u w:val="single"/>
        </w:rPr>
      </w:r>
      <w:r/>
    </w:p>
    <w:p>
      <w:pPr>
        <w:pStyle w:val="663"/>
        <w:ind w:firstLine="498"/>
        <w:spacing w:before="145" w:after="145" w:line="360" w:lineRule="auto"/>
      </w:pPr>
      <w:r/>
      <w:bookmarkStart w:id="12" w:name="_Toc35393791"/>
      <w:r/>
      <w:bookmarkStart w:id="13" w:name="_Toc35393622"/>
      <w:r/>
      <w:bookmarkStart w:id="14" w:name="_Toc28359003"/>
      <w:r/>
      <w:bookmarkStart w:id="15" w:name="_Toc28359080"/>
      <w:r/>
      <w:bookmarkStart w:id="16" w:name="_Toc38985264"/>
      <w:r>
        <w:rPr>
          <w:rFonts w:hint="eastAsia"/>
        </w:rPr>
        <w:t xml:space="preserve">二、申请人的资格要求：</w:t>
      </w:r>
      <w:bookmarkEnd w:id="12"/>
      <w:r/>
      <w:bookmarkEnd w:id="13"/>
      <w:r/>
      <w:bookmarkEnd w:id="14"/>
      <w:r/>
      <w:bookmarkEnd w:id="15"/>
      <w:r/>
      <w:bookmarkEnd w:id="16"/>
      <w:r/>
      <w:r/>
    </w:p>
    <w:p>
      <w:pPr>
        <w:pStyle w:val="660"/>
        <w:ind w:firstLine="480"/>
        <w:rPr>
          <w:rFonts w:hint="eastAsia" w:ascii="宋体" w:hAnsi="宋体"/>
          <w:sz w:val="24"/>
          <w:szCs w:val="24"/>
        </w:rPr>
      </w:pPr>
      <w:r/>
      <w:bookmarkStart w:id="17" w:name="_Toc28359081"/>
      <w:r/>
      <w:bookmarkStart w:id="18" w:name="_Toc28359004"/>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0"/>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660"/>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660"/>
        <w:ind w:firstLine="480"/>
        <w:rPr>
          <w:rFonts w:hint="eastAsia" w:ascii="宋体" w:hAnsi="宋体"/>
          <w:sz w:val="24"/>
          <w:szCs w:val="24"/>
          <w:highlight w:val="none"/>
        </w:rPr>
      </w:pPr>
      <w:r>
        <w:rPr>
          <w:rFonts w:hint="eastAsia" w:ascii="宋体" w:hAnsi="宋体"/>
          <w:sz w:val="24"/>
          <w:szCs w:val="24"/>
        </w:rPr>
        <w:t xml:space="preserve">3.落实政府采购政策需满足的资格要求：</w:t>
      </w:r>
      <w:r>
        <w:rPr>
          <w:rFonts w:hint="eastAsia" w:ascii="宋体" w:hAnsi="宋体"/>
          <w:sz w:val="24"/>
          <w:szCs w:val="24"/>
          <w:highlight w:val="none"/>
        </w:rPr>
        <w:t xml:space="preserve">本项目非专门面向中小企业采购，但预留部分采购项目预算专门面向中小企业采购。对于预留份额，提供的服务由符合政策要求的中小企业承接。预留份额通过以下措施进行，投标人可选择以下其中一种方式参与:</w:t>
      </w:r>
      <w:r>
        <w:rPr>
          <w:rFonts w:hint="eastAsia" w:ascii="宋体" w:hAnsi="宋体"/>
          <w:sz w:val="24"/>
          <w:szCs w:val="24"/>
          <w:highlight w:val="none"/>
        </w:rPr>
      </w:r>
      <w:r/>
    </w:p>
    <w:p>
      <w:pPr>
        <w:pStyle w:val="660"/>
        <w:ind w:firstLine="480"/>
        <w:rPr>
          <w:rFonts w:hint="eastAsia" w:ascii="宋体" w:hAnsi="宋体"/>
          <w:sz w:val="24"/>
          <w:szCs w:val="24"/>
          <w:highlight w:val="none"/>
        </w:rPr>
      </w:pPr>
      <w:r>
        <w:rPr>
          <w:rFonts w:hint="eastAsia" w:ascii="宋体" w:hAnsi="宋体"/>
          <w:sz w:val="24"/>
          <w:szCs w:val="24"/>
          <w:highlight w:val="none"/>
        </w:rPr>
        <w:t xml:space="preserve">①投标人属于大型企业的，必须将本标段合同分包给一家或者多家中小企业，中小企业承接的合同份额不低于该标段合同总金额30%（其中预留给小微企业的比例不低于60%）。</w:t>
      </w:r>
      <w:r>
        <w:rPr>
          <w:rFonts w:hint="eastAsia" w:ascii="宋体" w:hAnsi="宋体"/>
          <w:sz w:val="24"/>
          <w:szCs w:val="24"/>
          <w:highlight w:val="none"/>
        </w:rPr>
      </w:r>
      <w:r/>
    </w:p>
    <w:p>
      <w:pPr>
        <w:pStyle w:val="660"/>
        <w:ind w:firstLine="480"/>
        <w:rPr>
          <w:rFonts w:hint="eastAsia" w:ascii="宋体" w:hAnsi="宋体"/>
          <w:sz w:val="24"/>
          <w:szCs w:val="24"/>
          <w:highlight w:val="none"/>
        </w:rPr>
      </w:pPr>
      <w:r>
        <w:rPr>
          <w:rFonts w:hint="eastAsia" w:ascii="宋体" w:hAnsi="宋体"/>
          <w:sz w:val="24"/>
          <w:szCs w:val="24"/>
          <w:highlight w:val="none"/>
        </w:rPr>
        <w:t xml:space="preserve">②投标人属于中型企业的，必须将本标段合同分包给一家或者多家小微企业，小微企业承接的合同份额不低于该标段合同总金额的18%。</w:t>
      </w:r>
      <w:r>
        <w:rPr>
          <w:rFonts w:hint="eastAsia" w:ascii="宋体" w:hAnsi="宋体"/>
          <w:sz w:val="24"/>
          <w:szCs w:val="24"/>
          <w:highlight w:val="none"/>
        </w:rPr>
      </w:r>
      <w:r/>
    </w:p>
    <w:p>
      <w:pPr>
        <w:pStyle w:val="660"/>
        <w:ind w:firstLine="480"/>
        <w:rPr>
          <w:rFonts w:ascii="宋体" w:hAnsi="宋体" w:cs="宋体"/>
          <w:sz w:val="24"/>
          <w:szCs w:val="24"/>
        </w:rPr>
      </w:pPr>
      <w:r>
        <w:rPr>
          <w:rFonts w:hint="eastAsia" w:ascii="宋体" w:hAnsi="宋体"/>
          <w:sz w:val="24"/>
          <w:szCs w:val="24"/>
          <w:highlight w:val="none"/>
        </w:rPr>
        <w:t xml:space="preserve">投标人投标时应出具符合上述比例的分包意向协议书、所有接受分包的中小微企业《中小企业声明函》或由省级以上监狱管理局、戒毒管理局(含新疆生产建设兵团)出具的监狱企业证明文件或《残疾人福利性单位声明函》。</w:t>
      </w:r>
      <w:r>
        <w:rPr>
          <w:rFonts w:ascii="宋体" w:hAnsi="宋体" w:cs="宋体"/>
          <w:sz w:val="24"/>
          <w:szCs w:val="24"/>
        </w:rPr>
      </w:r>
      <w:r/>
    </w:p>
    <w:p>
      <w:pPr>
        <w:pStyle w:val="660"/>
        <w:numPr>
          <w:ilvl w:val="0"/>
          <w:numId w:val="0"/>
        </w:numPr>
        <w:ind w:firstLine="480"/>
        <w:spacing w:line="360" w:lineRule="auto"/>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rPr>
        <w:t xml:space="preserve">本项目</w:t>
      </w:r>
      <w:r>
        <w:rPr>
          <w:rFonts w:hint="eastAsia" w:ascii="宋体" w:hAnsi="宋体"/>
          <w:sz w:val="24"/>
          <w:szCs w:val="24"/>
        </w:rPr>
        <w:t xml:space="preserve">不接受</w:t>
      </w:r>
      <w:r>
        <w:rPr>
          <w:rFonts w:hint="eastAsia" w:ascii="宋体" w:hAnsi="宋体"/>
          <w:sz w:val="24"/>
          <w:szCs w:val="24"/>
        </w:rPr>
        <w:t xml:space="preserve">联合体投标</w:t>
      </w:r>
      <w:r>
        <w:rPr>
          <w:rFonts w:hint="eastAsia" w:ascii="宋体" w:hAnsi="宋体"/>
          <w:sz w:val="24"/>
          <w:szCs w:val="24"/>
          <w:lang w:eastAsia="zh-CN"/>
        </w:rPr>
        <w:t xml:space="preserve">。</w:t>
      </w:r>
      <w:r>
        <w:rPr>
          <w:rFonts w:hint="eastAsia" w:ascii="宋体" w:hAnsi="宋体" w:cs="宋体"/>
          <w:sz w:val="24"/>
          <w:szCs w:val="24"/>
          <w:highlight w:val="yellow"/>
        </w:rPr>
      </w:r>
      <w:r/>
    </w:p>
    <w:p>
      <w:pPr>
        <w:pStyle w:val="660"/>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本项目接受分包。</w:t>
      </w:r>
      <w:r>
        <w:rPr>
          <w:rFonts w:hint="eastAsia" w:ascii="宋体" w:hAnsi="宋体" w:eastAsia="宋体" w:cs="宋体"/>
          <w:sz w:val="24"/>
          <w:szCs w:val="24"/>
          <w:highlight w:val="none"/>
        </w:rPr>
      </w:r>
      <w:r/>
    </w:p>
    <w:p>
      <w:pPr>
        <w:pStyle w:val="66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60"/>
        <w:ind w:firstLine="480"/>
        <w:rPr>
          <w:rFonts w:hint="eastAsia" w:ascii="宋体" w:hAnsi="宋体" w:cs="宋体"/>
          <w:sz w:val="24"/>
          <w:szCs w:val="24"/>
          <w:highlight w:val="yellow"/>
        </w:rPr>
      </w:pPr>
      <w:r>
        <w:rPr>
          <w:rFonts w:hint="eastAsia" w:ascii="宋体" w:hAnsi="宋体"/>
          <w:sz w:val="24"/>
          <w:szCs w:val="24"/>
          <w:lang w:eastAsia="zh-CN"/>
        </w:rPr>
        <w:t xml:space="preserve">无。</w:t>
      </w:r>
      <w:r>
        <w:rPr>
          <w:rFonts w:hint="eastAsia" w:ascii="宋体" w:hAnsi="宋体" w:cs="宋体"/>
          <w:sz w:val="24"/>
          <w:szCs w:val="24"/>
          <w:highlight w:val="yellow"/>
        </w:rPr>
      </w:r>
      <w:r/>
    </w:p>
    <w:p>
      <w:pPr>
        <w:pStyle w:val="663"/>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660"/>
        <w:ind w:firstLine="540"/>
        <w:spacing w:line="360" w:lineRule="auto"/>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660"/>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663"/>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60"/>
        <w:ind w:firstLine="480"/>
        <w:rPr>
          <w:rFonts w:ascii="宋体" w:hAnsi="宋体"/>
          <w:bCs/>
          <w:color w:val="000000"/>
          <w:sz w:val="24"/>
          <w:szCs w:val="24"/>
          <w:u w:val="single"/>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024</w:t>
      </w:r>
      <w:r>
        <w:rPr>
          <w:rFonts w:hint="eastAsia" w:ascii="宋体" w:hAnsi="宋体"/>
          <w:bCs/>
          <w:sz w:val="24"/>
          <w:szCs w:val="24"/>
          <w:u w:val="single"/>
        </w:rPr>
        <w:t xml:space="preserve">年</w:t>
      </w:r>
      <w:r>
        <w:rPr>
          <w:rFonts w:hint="eastAsia" w:ascii="宋体" w:hAnsi="宋体"/>
          <w:bCs/>
          <w:color w:val="000000" w:themeColor="text1"/>
          <w:sz w:val="24"/>
          <w:szCs w:val="24"/>
          <w:u w:val="single"/>
          <w:lang w:val="en-US" w:eastAsia="zh-CN"/>
        </w:rPr>
        <w:t xml:space="preserve">1</w:t>
      </w:r>
      <w:r>
        <w:rPr>
          <w:rFonts w:hint="eastAsia" w:ascii="宋体" w:hAnsi="宋体"/>
          <w:bCs/>
          <w:color w:val="000000" w:themeColor="text1"/>
          <w:sz w:val="24"/>
          <w:szCs w:val="24"/>
          <w:u w:val="single"/>
          <w:lang w:val="en-US" w:eastAsia="zh-CN"/>
        </w:rPr>
        <w:t xml:space="preserve">2</w:t>
      </w:r>
      <w:r>
        <w:rPr>
          <w:rFonts w:hint="eastAsia" w:ascii="宋体" w:hAnsi="宋体"/>
          <w:bCs/>
          <w:color w:val="000000" w:themeColor="text1"/>
          <w:sz w:val="24"/>
          <w:szCs w:val="24"/>
          <w:u w:val="single"/>
        </w:rPr>
        <w:t xml:space="preserve">月26日</w:t>
      </w:r>
      <w:r>
        <w:rPr>
          <w:rFonts w:hint="eastAsia" w:ascii="宋体" w:hAnsi="宋体"/>
          <w:bCs/>
          <w:color w:val="000000" w:themeColor="text1"/>
          <w:sz w:val="24"/>
          <w:szCs w:val="24"/>
          <w:u w:val="single"/>
          <w:lang w:val="en-US" w:eastAsia="zh-CN"/>
        </w:rPr>
        <w:t xml:space="preserve">1</w:t>
      </w:r>
      <w:r>
        <w:rPr>
          <w:rFonts w:hint="eastAsia" w:ascii="宋体" w:hAnsi="宋体"/>
          <w:bCs/>
          <w:color w:val="000000" w:themeColor="text1"/>
          <w:sz w:val="24"/>
          <w:szCs w:val="24"/>
          <w:u w:val="single"/>
          <w:lang w:val="en-US" w:eastAsia="zh-CN"/>
        </w:rPr>
        <w:t xml:space="preserve">4</w:t>
      </w:r>
      <w:r>
        <w:rPr>
          <w:rFonts w:hint="eastAsia" w:ascii="宋体" w:hAnsi="宋体"/>
          <w:bCs/>
          <w:color w:val="000000" w:themeColor="text1"/>
          <w:sz w:val="24"/>
          <w:szCs w:val="24"/>
          <w:u w:val="single"/>
        </w:rPr>
        <w:t xml:space="preserve">点</w:t>
      </w:r>
      <w:r>
        <w:rPr>
          <w:rFonts w:hint="eastAsia" w:ascii="宋体" w:hAnsi="宋体"/>
          <w:bCs/>
          <w:color w:val="000000" w:themeColor="text1"/>
          <w:sz w:val="24"/>
          <w:szCs w:val="24"/>
          <w:u w:val="single"/>
          <w:lang w:val="en-US" w:eastAsia="zh-CN"/>
        </w:rPr>
        <w:t xml:space="preserve">0</w:t>
      </w:r>
      <w:r>
        <w:rPr>
          <w:rFonts w:hint="eastAsia" w:ascii="宋体" w:hAnsi="宋体"/>
          <w:bCs/>
          <w:color w:val="000000" w:themeColor="text1"/>
          <w:sz w:val="24"/>
          <w:szCs w:val="24"/>
          <w:u w:val="single"/>
          <w:lang w:val="en-US" w:eastAsia="zh-CN"/>
        </w:rPr>
        <w:t xml:space="preserve">0</w:t>
      </w:r>
      <w:r>
        <w:rPr>
          <w:rFonts w:hint="eastAsia" w:ascii="宋体" w:hAnsi="宋体"/>
          <w:bCs/>
          <w:color w:val="000000" w:themeColor="text1"/>
          <w:sz w:val="24"/>
          <w:szCs w:val="24"/>
          <w:u w:val="single"/>
        </w:rPr>
        <w:t xml:space="preserve">分</w:t>
      </w:r>
      <w:r>
        <w:rPr>
          <w:rFonts w:hint="eastAsia" w:ascii="宋体" w:hAnsi="宋体"/>
          <w:bCs/>
          <w:sz w:val="24"/>
          <w:szCs w:val="24"/>
        </w:rPr>
        <w:t xml:space="preserve">（北京时间）</w:t>
      </w:r>
      <w:r>
        <w:rPr>
          <w:rFonts w:ascii="宋体" w:hAnsi="宋体"/>
          <w:bCs/>
          <w:color w:val="000000"/>
          <w:sz w:val="24"/>
          <w:szCs w:val="24"/>
          <w:u w:val="single"/>
        </w:rPr>
      </w:r>
      <w:r/>
    </w:p>
    <w:p>
      <w:pPr>
        <w:pStyle w:val="660"/>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663"/>
        <w:ind w:firstLine="498"/>
        <w:spacing w:before="145" w:after="145" w:line="360" w:lineRule="auto"/>
      </w:pPr>
      <w:r/>
      <w:bookmarkStart w:id="27" w:name="_Toc35393625"/>
      <w:r/>
      <w:bookmarkStart w:id="28" w:name="_Toc28359007"/>
      <w:r/>
      <w:bookmarkStart w:id="29" w:name="_Toc38985267"/>
      <w:r/>
      <w:bookmarkStart w:id="30" w:name="_Toc35393794"/>
      <w:r/>
      <w:bookmarkStart w:id="31" w:name="_Toc28359084"/>
      <w:r>
        <w:rPr>
          <w:rFonts w:hint="eastAsia"/>
        </w:rPr>
        <w:t xml:space="preserve">五、公告期限</w:t>
      </w:r>
      <w:bookmarkEnd w:id="27"/>
      <w:r/>
      <w:bookmarkEnd w:id="28"/>
      <w:r/>
      <w:bookmarkEnd w:id="29"/>
      <w:r/>
      <w:bookmarkEnd w:id="30"/>
      <w:r/>
      <w:bookmarkEnd w:id="31"/>
      <w:r/>
      <w:r/>
    </w:p>
    <w:p>
      <w:pPr>
        <w:pStyle w:val="660"/>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63"/>
        <w:ind w:firstLine="498"/>
        <w:spacing w:before="145" w:after="145" w:line="360" w:lineRule="auto"/>
      </w:pPr>
      <w:r>
        <w:rPr>
          <w:rFonts w:hint="eastAsia"/>
        </w:rPr>
        <w:t xml:space="preserve">六、其他补充事宜</w:t>
      </w:r>
      <w:bookmarkEnd w:id="32"/>
      <w:r/>
      <w:bookmarkEnd w:id="33"/>
      <w:r/>
      <w:bookmarkEnd w:id="34"/>
      <w:r/>
      <w:r/>
    </w:p>
    <w:p>
      <w:pPr>
        <w:pStyle w:val="660"/>
        <w:ind w:firstLine="480"/>
        <w:spacing w:line="480" w:lineRule="exact"/>
        <w:rPr>
          <w:rFonts w:hint="eastAsia" w:ascii="宋体" w:hAnsi="宋体" w:eastAsia="宋体" w:cs="宋体"/>
          <w:sz w:val="24"/>
          <w:szCs w:val="24"/>
          <w:highlight w:val="none"/>
        </w:rPr>
      </w:pPr>
      <w:r/>
      <w:bookmarkStart w:id="35" w:name="_Toc35393796"/>
      <w:r/>
      <w:bookmarkStart w:id="36" w:name="_Toc28359008"/>
      <w:r/>
      <w:bookmarkStart w:id="37" w:name="_Toc28359085"/>
      <w:r/>
      <w:bookmarkStart w:id="38" w:name="_Toc38985269"/>
      <w:r/>
      <w:bookmarkStart w:id="39" w:name="_Toc35393627"/>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rPr>
        <w:t xml:space="preserve"> 投标保证金：免收</w:t>
      </w:r>
      <w:r>
        <w:rPr>
          <w:rFonts w:hint="eastAsia" w:ascii="宋体" w:hAnsi="宋体" w:eastAsia="宋体" w:cs="宋体"/>
          <w:sz w:val="24"/>
          <w:szCs w:val="24"/>
          <w:highlight w:val="none"/>
        </w:rPr>
      </w:r>
      <w:r/>
    </w:p>
    <w:p>
      <w:pPr>
        <w:pStyle w:val="660"/>
        <w:ind w:firstLine="48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 项目演示、样品、答辩等：</w:t>
      </w:r>
      <w:r>
        <w:rPr>
          <w:rFonts w:hint="eastAsia" w:ascii="宋体" w:hAnsi="宋体" w:eastAsia="宋体" w:cs="宋体"/>
          <w:sz w:val="24"/>
          <w:szCs w:val="24"/>
          <w:highlight w:val="none"/>
          <w:lang w:val="en-US" w:eastAsia="zh-CN"/>
        </w:rPr>
        <w:t xml:space="preserve">无/详见第四章采购需求。</w:t>
      </w:r>
      <w:r>
        <w:rPr>
          <w:rFonts w:hint="eastAsia" w:ascii="宋体" w:hAnsi="宋体" w:eastAsia="宋体" w:cs="宋体"/>
          <w:sz w:val="24"/>
          <w:szCs w:val="24"/>
          <w:highlight w:val="none"/>
          <w:lang w:val="en-US" w:eastAsia="zh-CN"/>
        </w:rPr>
      </w:r>
      <w:r/>
    </w:p>
    <w:p>
      <w:pPr>
        <w:pStyle w:val="660"/>
        <w:ind w:firstLine="480"/>
        <w:spacing w:line="48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宋体"/>
          <w:b/>
          <w:color w:val="000000"/>
          <w:sz w:val="24"/>
          <w:szCs w:val="24"/>
          <w:highlight w:val="none"/>
        </w:rPr>
      </w:r>
      <w:r/>
    </w:p>
    <w:p>
      <w:pPr>
        <w:pStyle w:val="660"/>
        <w:ind w:firstLine="480"/>
        <w:spacing w:line="480" w:lineRule="exact"/>
        <w:rPr>
          <w:rFonts w:hint="eastAsia" w:ascii="宋体" w:hAnsi="宋体" w:eastAsia="宋体" w:cs="宋体"/>
          <w:sz w:val="24"/>
          <w:szCs w:val="24"/>
          <w:highlight w:val="red"/>
          <w:lang w:val="en-US" w:eastAsia="zh-CN"/>
        </w:rPr>
      </w:pPr>
      <w:r>
        <w:rPr>
          <w:rFonts w:hint="eastAsia" w:ascii="宋体" w:hAnsi="宋体" w:eastAsia="宋体" w:cs="宋体"/>
          <w:sz w:val="24"/>
          <w:szCs w:val="24"/>
          <w:highlight w:val="none"/>
        </w:rPr>
        <w:t xml:space="preserve">系统操作过程</w:t>
      </w:r>
      <w:r>
        <w:rPr>
          <w:rFonts w:hint="eastAsia" w:ascii="宋体" w:hAnsi="宋体" w:eastAsia="宋体" w:cs="宋体"/>
          <w:sz w:val="24"/>
          <w:szCs w:val="24"/>
        </w:rPr>
        <w:t xml:space="preserve">中如遇问题，请致电“苏采云”客服0519-86722801。</w:t>
      </w:r>
      <w:r>
        <w:rPr>
          <w:rFonts w:hint="eastAsia" w:ascii="宋体" w:hAnsi="宋体" w:eastAsia="宋体" w:cs="宋体"/>
          <w:sz w:val="24"/>
          <w:szCs w:val="24"/>
          <w:highlight w:val="red"/>
          <w:lang w:val="en-US" w:eastAsia="zh-CN"/>
        </w:rPr>
      </w:r>
      <w:r/>
    </w:p>
    <w:p>
      <w:pPr>
        <w:pStyle w:val="660"/>
        <w:numPr>
          <w:ilvl w:val="0"/>
          <w:numId w:val="6"/>
        </w:num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有关本次招标的事项若存在变动或修改，</w:t>
      </w:r>
      <w:r>
        <w:rPr>
          <w:rFonts w:hint="eastAsia" w:ascii="宋体" w:hAnsi="宋体" w:eastAsia="宋体" w:cs="宋体"/>
          <w:sz w:val="24"/>
          <w:szCs w:val="24"/>
        </w:rPr>
        <w:t xml:space="preserve">均以江苏政府采购网发布的更正或补充通知为准，</w:t>
      </w:r>
      <w:r>
        <w:rPr>
          <w:rFonts w:hint="eastAsia" w:ascii="宋体" w:hAnsi="宋体" w:eastAsia="宋体" w:cs="宋体"/>
          <w:bCs/>
          <w:sz w:val="24"/>
          <w:szCs w:val="24"/>
        </w:rPr>
        <w:t xml:space="preserve">敬请及时关注。</w:t>
      </w:r>
      <w:r>
        <w:rPr>
          <w:rFonts w:hint="eastAsia" w:ascii="宋体" w:hAnsi="宋体" w:eastAsia="宋体" w:cs="宋体"/>
          <w:bCs/>
          <w:sz w:val="24"/>
          <w:szCs w:val="24"/>
        </w:rPr>
      </w:r>
      <w:r/>
    </w:p>
    <w:p>
      <w:pPr>
        <w:pStyle w:val="660"/>
        <w:numPr>
          <w:ilvl w:val="0"/>
          <w:numId w:val="6"/>
        </w:numPr>
        <w:ind w:firstLine="480"/>
        <w:spacing w:line="48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bCs/>
          <w:sz w:val="24"/>
          <w:szCs w:val="24"/>
          <w:highlight w:val="none"/>
        </w:rPr>
      </w:r>
      <w:r/>
    </w:p>
    <w:p>
      <w:pPr>
        <w:pStyle w:val="660"/>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660"/>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660"/>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660"/>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663"/>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660"/>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60"/>
        <w:ind w:firstLine="720"/>
        <w:jc w:val="left"/>
        <w:spacing w:line="360" w:lineRule="auto"/>
        <w:rPr>
          <w:rFonts w:hint="eastAsia" w:ascii="宋体" w:hAnsi="宋体"/>
          <w:sz w:val="24"/>
          <w:szCs w:val="24"/>
          <w:highlight w:val="none"/>
        </w:rPr>
      </w:pPr>
      <w:r/>
      <w:bookmarkStart w:id="40" w:name="_Toc28359009"/>
      <w:r/>
      <w:bookmarkStart w:id="41" w:name="_Toc28359086"/>
      <w:r>
        <w:rPr>
          <w:rFonts w:hint="eastAsia" w:ascii="宋体" w:hAnsi="宋体"/>
          <w:sz w:val="24"/>
          <w:szCs w:val="24"/>
          <w:highlight w:val="none"/>
        </w:rPr>
        <w:t xml:space="preserve">名 称：</w:t>
      </w:r>
      <w:r>
        <w:rPr>
          <w:rFonts w:hint="eastAsia" w:ascii="宋体" w:hAnsi="宋体"/>
          <w:sz w:val="24"/>
          <w:szCs w:val="24"/>
          <w:highlight w:val="none"/>
          <w:u w:val="single"/>
        </w:rPr>
        <w:t xml:space="preserve">南通市自然资源和规划局</w:t>
      </w:r>
      <w:r>
        <w:rPr>
          <w:rFonts w:hint="eastAsia" w:ascii="宋体" w:hAnsi="宋体"/>
          <w:sz w:val="24"/>
          <w:szCs w:val="24"/>
          <w:highlight w:val="none"/>
        </w:rPr>
      </w:r>
      <w:r/>
    </w:p>
    <w:p>
      <w:pPr>
        <w:pStyle w:val="660"/>
        <w:ind w:firstLine="720"/>
        <w:jc w:val="left"/>
        <w:spacing w:line="360" w:lineRule="auto"/>
        <w:rPr>
          <w:rFonts w:hint="eastAsia"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江苏省南通市崇川区工农南路101号</w:t>
      </w:r>
      <w:r>
        <w:rPr>
          <w:rFonts w:hint="eastAsia" w:ascii="宋体" w:hAnsi="宋体"/>
          <w:sz w:val="24"/>
          <w:szCs w:val="24"/>
          <w:highlight w:val="none"/>
        </w:rPr>
      </w:r>
      <w:r/>
    </w:p>
    <w:p>
      <w:pPr>
        <w:pStyle w:val="660"/>
        <w:ind w:firstLine="720"/>
        <w:jc w:val="left"/>
        <w:spacing w:line="360" w:lineRule="auto"/>
        <w:rPr>
          <w:rFonts w:hint="eastAsia"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李女士</w:t>
      </w:r>
      <w:r>
        <w:rPr>
          <w:rFonts w:hint="eastAsia" w:ascii="宋体" w:hAnsi="宋体"/>
          <w:sz w:val="24"/>
          <w:szCs w:val="24"/>
          <w:highlight w:val="none"/>
        </w:rPr>
      </w:r>
      <w:r/>
    </w:p>
    <w:p>
      <w:pPr>
        <w:pStyle w:val="660"/>
        <w:ind w:firstLine="720"/>
        <w:jc w:val="left"/>
        <w:spacing w:line="360" w:lineRule="auto"/>
        <w:rPr>
          <w:rFonts w:hint="eastAsia" w:ascii="宋体" w:hAnsi="宋体"/>
          <w:sz w:val="24"/>
          <w:szCs w:val="24"/>
          <w:highlight w:val="none"/>
          <w:u w:val="single"/>
        </w:rPr>
      </w:pPr>
      <w:r>
        <w:rPr>
          <w:rFonts w:hint="eastAsia" w:ascii="宋体" w:hAnsi="宋体"/>
          <w:sz w:val="24"/>
          <w:szCs w:val="24"/>
          <w:highlight w:val="none"/>
        </w:rPr>
        <w:t xml:space="preserve">联系方式：</w:t>
      </w:r>
      <w:r>
        <w:rPr>
          <w:rFonts w:ascii="宋体" w:hAnsi="宋体"/>
          <w:sz w:val="24"/>
          <w:szCs w:val="24"/>
          <w:highlight w:val="none"/>
          <w:u w:val="single"/>
        </w:rPr>
        <w:t xml:space="preserve">13962909864</w:t>
      </w:r>
      <w:r>
        <w:rPr>
          <w:rFonts w:hint="eastAsia" w:ascii="宋体" w:hAnsi="宋体"/>
          <w:sz w:val="24"/>
          <w:szCs w:val="24"/>
          <w:highlight w:val="none"/>
          <w:u w:val="single"/>
        </w:rPr>
        <w:t xml:space="preserve"> </w:t>
      </w:r>
      <w:r>
        <w:rPr>
          <w:rFonts w:hint="eastAsia" w:ascii="宋体" w:hAnsi="宋体"/>
          <w:sz w:val="24"/>
          <w:szCs w:val="24"/>
          <w:highlight w:val="none"/>
          <w:u w:val="single"/>
        </w:rPr>
      </w:r>
      <w:r/>
    </w:p>
    <w:p>
      <w:pPr>
        <w:pStyle w:val="660"/>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660"/>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660"/>
        <w:ind w:firstLine="720"/>
        <w:spacing w:line="360" w:lineRule="auto"/>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eastAsia="zh-CN"/>
        </w:rPr>
        <w:t xml:space="preserve">陈露</w:t>
      </w:r>
      <w:r>
        <w:rPr>
          <w:rFonts w:hint="eastAsia" w:ascii="宋体" w:hAnsi="宋体" w:eastAsia="宋体"/>
          <w:sz w:val="24"/>
          <w:szCs w:val="24"/>
          <w:lang w:eastAsia="zh-CN"/>
        </w:rPr>
      </w:r>
      <w:r/>
    </w:p>
    <w:p>
      <w:pPr>
        <w:pStyle w:val="660"/>
        <w:ind w:firstLine="720"/>
        <w:spacing w:line="360" w:lineRule="auto"/>
        <w:rPr>
          <w:rFonts w:ascii="宋体" w:hAnsi="宋体" w:eastAsia="宋体"/>
          <w:sz w:val="24"/>
          <w:szCs w:val="24"/>
          <w:u w:val="single"/>
          <w:lang w:val="en-US" w:eastAsia="zh-CN"/>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lang w:val="en-US" w:eastAsia="zh-CN"/>
        </w:rPr>
        <w:t xml:space="preserve">0513-59001986</w:t>
      </w:r>
      <w:r>
        <w:rPr>
          <w:rFonts w:ascii="宋体" w:hAnsi="宋体" w:eastAsia="宋体"/>
          <w:sz w:val="24"/>
          <w:szCs w:val="24"/>
          <w:u w:val="single"/>
          <w:lang w:val="en-US" w:eastAsia="zh-CN"/>
        </w:rPr>
      </w:r>
      <w:r/>
    </w:p>
    <w:p>
      <w:pPr>
        <w:pStyle w:val="660"/>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660"/>
        <w:ind w:left="1079" w:hanging="30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                        那</w:t>
      </w:r>
      <w:r>
        <w:rPr>
          <w:rFonts w:hint="eastAsia" w:ascii="宋体" w:hAnsi="宋体" w:eastAsia="宋体" w:cs="宋体"/>
          <w:sz w:val="24"/>
          <w:szCs w:val="24"/>
          <w:lang w:eastAsia="zh-CN"/>
        </w:rPr>
        <w:t xml:space="preserve">工</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660"/>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660"/>
        <w:ind w:firstLine="480"/>
        <w:spacing w:line="560" w:lineRule="exact"/>
        <w:rPr>
          <w:rFonts w:hint="eastAsia" w:ascii="宋体" w:hAnsi="宋体"/>
          <w:sz w:val="24"/>
        </w:rPr>
      </w:pPr>
      <w:r/>
      <w:bookmarkEnd w:id="42"/>
      <w:r/>
      <w:bookmarkEnd w:id="43"/>
      <w:r>
        <w:rPr>
          <w:rFonts w:hint="eastAsia" w:ascii="宋体" w:hAnsi="宋体"/>
          <w:sz w:val="24"/>
        </w:rPr>
      </w:r>
      <w:r/>
    </w:p>
    <w:p>
      <w:pPr>
        <w:pStyle w:val="660"/>
        <w:ind w:right="840"/>
        <w:rPr>
          <w:rFonts w:hint="eastAsia" w:ascii="宋体" w:hAnsi="宋体"/>
          <w:sz w:val="24"/>
          <w:szCs w:val="24"/>
        </w:rPr>
      </w:pPr>
      <w:r>
        <w:rPr>
          <w:rFonts w:hint="eastAsia" w:ascii="宋体" w:hAnsi="宋体"/>
          <w:sz w:val="24"/>
          <w:szCs w:val="24"/>
        </w:rPr>
      </w:r>
      <w:r/>
    </w:p>
    <w:p>
      <w:pPr>
        <w:pStyle w:val="672"/>
        <w:rPr>
          <w:rFonts w:hint="eastAsia" w:ascii="宋体" w:hAnsi="宋体"/>
          <w:sz w:val="24"/>
          <w:szCs w:val="24"/>
        </w:rPr>
      </w:pPr>
      <w:r>
        <w:rPr>
          <w:rFonts w:hint="eastAsia" w:ascii="宋体" w:hAnsi="宋体"/>
          <w:sz w:val="24"/>
          <w:szCs w:val="24"/>
        </w:rPr>
      </w:r>
      <w:r/>
    </w:p>
    <w:p>
      <w:pPr>
        <w:pStyle w:val="672"/>
        <w:ind w:left="0" w:firstLine="0"/>
        <w:rPr>
          <w:rFonts w:hint="eastAsia" w:ascii="宋体" w:hAnsi="宋体"/>
          <w:sz w:val="24"/>
          <w:szCs w:val="24"/>
        </w:rPr>
      </w:pPr>
      <w:r>
        <w:rPr>
          <w:rFonts w:hint="eastAsia" w:ascii="宋体" w:hAnsi="宋体"/>
          <w:sz w:val="24"/>
          <w:szCs w:val="24"/>
        </w:rPr>
      </w:r>
      <w:r/>
    </w:p>
    <w:p>
      <w:pPr>
        <w:pStyle w:val="662"/>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63"/>
        <w:ind w:firstLine="498"/>
        <w:spacing w:before="145" w:after="145" w:line="360" w:lineRule="auto"/>
        <w:rPr>
          <w:rFonts w:hint="eastAsia"/>
        </w:rPr>
      </w:pPr>
      <w:r/>
      <w:bookmarkStart w:id="49" w:name="_Toc120614214"/>
      <w:r/>
      <w:bookmarkStart w:id="50" w:name="_Toc20823275"/>
      <w:r/>
      <w:bookmarkStart w:id="51" w:name="_Toc16938519"/>
      <w:r/>
      <w:bookmarkStart w:id="52" w:name="_Toc513029203"/>
      <w:r>
        <w:rPr>
          <w:rFonts w:hint="eastAsia"/>
        </w:rPr>
        <w:t xml:space="preserve">一、总则</w:t>
      </w:r>
      <w:bookmarkEnd w:id="49"/>
      <w:r/>
      <w:bookmarkEnd w:id="50"/>
      <w:r/>
      <w:bookmarkEnd w:id="51"/>
      <w:r/>
      <w:bookmarkEnd w:id="52"/>
      <w:r>
        <w:rPr>
          <w:rFonts w:hint="eastAsia"/>
        </w:rPr>
      </w:r>
      <w:r/>
    </w:p>
    <w:p>
      <w:pPr>
        <w:pStyle w:val="664"/>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6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64"/>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66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6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664"/>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660"/>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64"/>
        <w:ind w:firstLine="420"/>
        <w:spacing w:before="0" w:after="0" w:line="240" w:lineRule="auto"/>
        <w:rPr>
          <w:rFonts w:hint="eastAsia"/>
          <w:b w:val="0"/>
          <w:bCs w:val="0"/>
        </w:rPr>
      </w:pPr>
      <w:r/>
      <w:bookmarkStart w:id="64" w:name="_Toc16938523"/>
      <w:r/>
      <w:bookmarkStart w:id="65" w:name="_Toc513029207"/>
      <w:r/>
      <w:bookmarkStart w:id="66" w:name="_Toc20823279"/>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66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660"/>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66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6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63"/>
        <w:ind w:firstLine="321"/>
        <w:spacing w:before="145" w:after="145" w:line="360" w:lineRule="auto"/>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664"/>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66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6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60"/>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6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6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4"/>
        <w:ind w:firstLine="560"/>
        <w:spacing w:before="0" w:after="0" w:line="240" w:lineRule="auto"/>
        <w:rPr>
          <w:rFonts w:hint="eastAsia"/>
          <w:b w:val="0"/>
          <w:bCs w:val="0"/>
        </w:rPr>
      </w:pPr>
      <w:r/>
      <w:bookmarkStart w:id="75" w:name="_Toc513029211"/>
      <w:r/>
      <w:bookmarkStart w:id="76" w:name="_Toc462564070"/>
      <w:r/>
      <w:bookmarkStart w:id="77" w:name="_Toc20823283"/>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660"/>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664"/>
        <w:ind w:firstLine="560"/>
        <w:spacing w:before="0" w:after="0" w:line="240" w:lineRule="auto"/>
        <w:rPr>
          <w:rFonts w:hint="eastAsia"/>
          <w:b w:val="0"/>
          <w:bCs w:val="0"/>
        </w:rPr>
      </w:pPr>
      <w:r/>
      <w:bookmarkStart w:id="79" w:name="_Toc513029212"/>
      <w:r/>
      <w:bookmarkStart w:id="80" w:name="_Toc16938528"/>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66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6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6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63"/>
        <w:ind w:firstLine="482"/>
        <w:spacing w:before="145" w:after="145" w:line="360" w:lineRule="auto"/>
        <w:rPr>
          <w:rFonts w:hint="eastAsia"/>
        </w:rPr>
      </w:pPr>
      <w:r/>
      <w:bookmarkStart w:id="83" w:name="_Toc120614216"/>
      <w:r/>
      <w:bookmarkStart w:id="84" w:name="_Toc20823285"/>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664"/>
        <w:ind w:firstLine="560"/>
        <w:spacing w:before="0" w:after="0" w:line="240" w:lineRule="auto"/>
        <w:rPr>
          <w:rFonts w:hint="eastAsia"/>
          <w:bCs w:val="0"/>
        </w:rPr>
      </w:pPr>
      <w:r/>
      <w:bookmarkStart w:id="88" w:name="_Toc20823286"/>
      <w:r/>
      <w:bookmarkStart w:id="89" w:name="_Toc462564073"/>
      <w:r/>
      <w:bookmarkStart w:id="90" w:name="_Toc513029214"/>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6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6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64"/>
        <w:ind w:firstLine="420"/>
        <w:spacing w:before="0" w:after="0" w:line="240" w:lineRule="auto"/>
        <w:rPr>
          <w:rFonts w:hint="eastAsia"/>
          <w:b w:val="0"/>
          <w:bCs w:val="0"/>
        </w:rPr>
      </w:pPr>
      <w:r/>
      <w:bookmarkStart w:id="92" w:name="_Toc462564074"/>
      <w:r/>
      <w:bookmarkStart w:id="93" w:name="_Toc20823287"/>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660"/>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660"/>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664"/>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49090509"/>
      <w:r/>
      <w:bookmarkStart w:id="100" w:name="_Toc513029219"/>
      <w:r/>
      <w:bookmarkStart w:id="101" w:name="_Toc14577357"/>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60"/>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64"/>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60"/>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6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64"/>
        <w:ind w:firstLine="420"/>
        <w:spacing w:before="0" w:after="0" w:line="240" w:lineRule="auto"/>
        <w:rPr>
          <w:rFonts w:hint="eastAsia"/>
          <w:b w:val="0"/>
          <w:bCs w:val="0"/>
        </w:rPr>
      </w:pPr>
      <w:r/>
      <w:bookmarkStart w:id="110" w:name="_Hlt26954846"/>
      <w:r/>
      <w:bookmarkEnd w:id="110"/>
      <w:r/>
      <w:bookmarkStart w:id="111" w:name="_Hlt26954844"/>
      <w:r/>
      <w:bookmarkEnd w:id="111"/>
      <w:r/>
      <w:bookmarkStart w:id="112" w:name="_Hlt26670425"/>
      <w:r/>
      <w:bookmarkEnd w:id="112"/>
      <w:r/>
      <w:bookmarkStart w:id="113" w:name="_Hlt26954731"/>
      <w:r/>
      <w:bookmarkEnd w:id="113"/>
      <w:r/>
      <w:bookmarkStart w:id="114" w:name="_Hlt26670482"/>
      <w:r/>
      <w:bookmarkEnd w:id="114"/>
      <w:r/>
      <w:bookmarkStart w:id="115" w:name="_Hlt26670403"/>
      <w:r/>
      <w:bookmarkEnd w:id="115"/>
      <w:r/>
      <w:bookmarkStart w:id="116" w:name="_Hlt26954842"/>
      <w:r/>
      <w:bookmarkEnd w:id="116"/>
      <w:r/>
      <w:bookmarkStart w:id="117" w:name="_Hlt26670486"/>
      <w:r/>
      <w:bookmarkEnd w:id="117"/>
      <w:r/>
      <w:bookmarkStart w:id="118" w:name="_Hlt26668983"/>
      <w:r/>
      <w:bookmarkEnd w:id="118"/>
      <w:r/>
      <w:bookmarkStart w:id="119" w:name="_Hlt26954848"/>
      <w:r/>
      <w:bookmarkEnd w:id="119"/>
      <w:r>
        <w:rPr>
          <w:rFonts w:hint="eastAsia"/>
          <w:b w:val="0"/>
          <w:bCs w:val="0"/>
        </w:rPr>
        <w:t xml:space="preserve">13、技术要求响应及偏离表、商务要求响应及偏离表</w:t>
      </w:r>
      <w:r>
        <w:rPr>
          <w:rFonts w:hint="eastAsia"/>
          <w:b w:val="0"/>
          <w:bCs w:val="0"/>
        </w:rPr>
      </w:r>
      <w:r/>
    </w:p>
    <w:p>
      <w:pPr>
        <w:pStyle w:val="66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6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64"/>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66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6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64"/>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66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64"/>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66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63"/>
        <w:ind w:firstLine="482"/>
        <w:spacing w:before="145" w:after="145" w:line="360" w:lineRule="auto"/>
        <w:rPr>
          <w:rFonts w:hint="eastAsia"/>
        </w:rPr>
      </w:pPr>
      <w:r/>
      <w:bookmarkStart w:id="127" w:name="_Hlt26954739"/>
      <w:r/>
      <w:bookmarkEnd w:id="127"/>
      <w:r/>
      <w:bookmarkStart w:id="128" w:name="_Hlt26954852"/>
      <w:r/>
      <w:bookmarkEnd w:id="128"/>
      <w:r/>
      <w:bookmarkStart w:id="129" w:name="_Toc20823296"/>
      <w:r/>
      <w:bookmarkStart w:id="130" w:name="_Toc513029224"/>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664"/>
        <w:ind w:firstLine="560"/>
        <w:spacing w:before="0" w:after="0" w:line="240" w:lineRule="auto"/>
        <w:rPr>
          <w:rFonts w:hint="eastAsia" w:ascii="黑体"/>
          <w:b w:val="0"/>
          <w:bCs w:val="0"/>
        </w:rPr>
      </w:pPr>
      <w:r/>
      <w:bookmarkStart w:id="133" w:name="_Toc20823297"/>
      <w:r/>
      <w:bookmarkStart w:id="134" w:name="_Toc462564084"/>
      <w:r/>
      <w:bookmarkStart w:id="135" w:name="_Toc16938541"/>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66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77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Pr>
          <w:rFonts w:hint="eastAsia" w:ascii="宋体" w:hAnsi="宋体"/>
          <w:bCs/>
          <w:sz w:val="24"/>
        </w:rPr>
      </w:r>
      <w:r/>
    </w:p>
    <w:p>
      <w:pPr>
        <w:pStyle w:val="664"/>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660"/>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66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66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664"/>
        <w:ind w:firstLine="420"/>
        <w:spacing w:before="0" w:after="0" w:line="240" w:lineRule="auto"/>
        <w:rPr>
          <w:rFonts w:hint="eastAsia"/>
          <w:b w:val="0"/>
          <w:bCs w:val="0"/>
        </w:rPr>
      </w:pPr>
      <w:r/>
      <w:bookmarkStart w:id="140" w:name="_Toc16938543"/>
      <w:r/>
      <w:bookmarkStart w:id="141" w:name="_Toc20823299"/>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66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664"/>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660"/>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660"/>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660"/>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660"/>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6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6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63"/>
        <w:ind w:firstLine="482"/>
        <w:spacing w:before="145" w:after="145" w:line="360" w:lineRule="auto"/>
        <w:rPr>
          <w:rFonts w:hint="eastAsia"/>
        </w:rPr>
      </w:pPr>
      <w:r/>
      <w:bookmarkStart w:id="146" w:name="_Toc20823301"/>
      <w:r/>
      <w:bookmarkStart w:id="147" w:name="_Toc120614218"/>
      <w:r/>
      <w:bookmarkStart w:id="148" w:name="_Toc513029229"/>
      <w:r/>
      <w:bookmarkStart w:id="149" w:name="_Toc16938545"/>
      <w:r>
        <w:rPr>
          <w:rFonts w:hint="eastAsia"/>
        </w:rPr>
        <w:t xml:space="preserve">五、开标与评标</w:t>
      </w:r>
      <w:bookmarkEnd w:id="146"/>
      <w:r/>
      <w:bookmarkEnd w:id="147"/>
      <w:r/>
      <w:bookmarkEnd w:id="148"/>
      <w:r/>
      <w:bookmarkEnd w:id="149"/>
      <w:r>
        <w:rPr>
          <w:rFonts w:hint="eastAsia"/>
        </w:rPr>
      </w:r>
      <w:r/>
    </w:p>
    <w:p>
      <w:pPr>
        <w:pStyle w:val="664"/>
        <w:ind w:firstLine="420"/>
        <w:spacing w:before="0" w:after="0" w:line="240" w:lineRule="auto"/>
        <w:rPr>
          <w:rFonts w:hint="eastAsia"/>
          <w:b w:val="0"/>
          <w:bCs w:val="0"/>
        </w:rPr>
      </w:pPr>
      <w:r/>
      <w:bookmarkStart w:id="150" w:name="_Toc513029230"/>
      <w:r/>
      <w:bookmarkStart w:id="151" w:name="_Toc20823302"/>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660"/>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660"/>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660"/>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660"/>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664"/>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rPr>
          <w:rFonts w:hint="eastAsia"/>
          <w:b w:val="0"/>
          <w:bCs w:val="0"/>
        </w:rPr>
      </w:r>
      <w:r/>
    </w:p>
    <w:p>
      <w:pPr>
        <w:pStyle w:val="66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6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66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664"/>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60"/>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6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664"/>
        <w:ind w:firstLine="420"/>
        <w:spacing w:before="0" w:after="0" w:line="240" w:lineRule="auto"/>
        <w:rPr>
          <w:rFonts w:hint="eastAsia"/>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66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6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664"/>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66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60"/>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66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60"/>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6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6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6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60"/>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6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6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60"/>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660"/>
        <w:ind w:firstLine="420"/>
        <w:spacing w:line="460" w:lineRule="exact"/>
        <w:rPr>
          <w:rFonts w:hint="eastAsia" w:ascii="宋体" w:hAnsi="宋体"/>
          <w:color w:val="000000"/>
          <w:sz w:val="24"/>
        </w:rPr>
      </w:pPr>
      <w:r/>
      <w:bookmarkStart w:id="162" w:name="_Toc20823306"/>
      <w:r/>
      <w:bookmarkStart w:id="163" w:name="_Toc16938550"/>
      <w:r/>
      <w:bookmarkStart w:id="164" w:name="_Toc513029234"/>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664"/>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660"/>
        <w:ind w:left="479"/>
        <w:spacing w:line="440" w:lineRule="exact"/>
        <w:rPr>
          <w:rFonts w:hint="eastAsia"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26.1无效投标条款</w:t>
      </w:r>
      <w:r>
        <w:rPr>
          <w:rFonts w:hint="eastAsia" w:ascii="宋体" w:hAnsi="宋体"/>
          <w:bCs/>
          <w:sz w:val="24"/>
        </w:rPr>
      </w:r>
      <w:r/>
    </w:p>
    <w:p>
      <w:pPr>
        <w:pStyle w:val="66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660"/>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660"/>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60"/>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66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60"/>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660"/>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6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6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63"/>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664"/>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6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660"/>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66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60"/>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6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6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66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6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6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6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60"/>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660"/>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6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6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63"/>
        <w:spacing w:before="145" w:after="145"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664"/>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66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6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66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66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64"/>
        <w:ind w:firstLine="600"/>
        <w:spacing w:before="0" w:after="0" w:line="240" w:lineRule="auto"/>
        <w:rPr>
          <w:rFonts w:ascii="黑体" w:hAnsi="宋体" w:cs="Times New Roman"/>
          <w:b w:val="0"/>
          <w:sz w:val="30"/>
          <w:szCs w:val="30"/>
        </w:rPr>
      </w:pPr>
      <w:r/>
      <w:bookmarkEnd w:id="177"/>
      <w:r/>
      <w:bookmarkEnd w:id="178"/>
      <w:r/>
      <w:bookmarkEnd w:id="179"/>
      <w:r/>
      <w:bookmarkStart w:id="180" w:name="_Toc513029242"/>
      <w:r/>
      <w:bookmarkStart w:id="181" w:name="_Toc16938558"/>
      <w:r/>
      <w:bookmarkStart w:id="182" w:name="_Toc20823314"/>
      <w:r/>
      <w:bookmarkStart w:id="183" w:name="_Toc479757207"/>
      <w:r/>
      <w:bookmarkStart w:id="184" w:name="_Toc120614221"/>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678"/>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678"/>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rPr>
          <w:rFonts w:hint="eastAsia"/>
        </w:rPr>
      </w:pPr>
      <w:r>
        <w:rPr>
          <w:rFonts w:hint="eastAsia"/>
        </w:rPr>
      </w:r>
      <w:r/>
    </w:p>
    <w:p>
      <w:pPr>
        <w:pStyle w:val="660"/>
      </w:pPr>
      <w:r/>
      <w:r/>
    </w:p>
    <w:p>
      <w:pPr>
        <w:pStyle w:val="661"/>
        <w:jc w:val="both"/>
        <w:rPr>
          <w:rFonts w:ascii="黑体" w:eastAsia="黑体"/>
          <w:bCs/>
          <w:sz w:val="44"/>
        </w:rPr>
      </w:pPr>
      <w:r>
        <w:rPr>
          <w:rFonts w:ascii="黑体" w:eastAsia="黑体"/>
          <w:bCs/>
          <w:sz w:val="44"/>
        </w:rPr>
      </w:r>
      <w:r/>
    </w:p>
    <w:p>
      <w:pPr>
        <w:pStyle w:val="660"/>
      </w:pPr>
      <w:r/>
      <w:r/>
    </w:p>
    <w:p>
      <w:pPr>
        <w:pStyle w:val="661"/>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660"/>
        <w:ind w:firstLine="480"/>
        <w:spacing w:line="500" w:lineRule="exact"/>
        <w:rPr>
          <w:rFonts w:hint="eastAsia"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660"/>
        <w:jc w:val="center"/>
        <w:spacing w:before="145" w:after="145"/>
        <w:rPr>
          <w:rFonts w:hint="eastAsia" w:ascii="宋体" w:hAnsi="宋体"/>
          <w:b/>
          <w:bCs/>
          <w:sz w:val="30"/>
          <w:szCs w:val="20"/>
          <w:highlight w:val="none"/>
        </w:rPr>
        <w:outlineLvl w:val="0"/>
      </w:pPr>
      <w:r/>
      <w:bookmarkEnd w:id="185"/>
      <w:r/>
      <w:bookmarkEnd w:id="186"/>
      <w:r/>
      <w:bookmarkEnd w:id="187"/>
      <w:r/>
      <w:bookmarkStart w:id="188" w:name="_Hlt16619350"/>
      <w:r/>
      <w:bookmarkStart w:id="189" w:name="_Toc16938590"/>
      <w:r/>
      <w:bookmarkStart w:id="190" w:name="_Toc120614244"/>
      <w:r/>
      <w:bookmarkStart w:id="191" w:name="_Toc20823346"/>
      <w:r/>
      <w:r/>
      <w:r>
        <w:rPr>
          <w:rFonts w:hint="eastAsia" w:ascii="宋体" w:hAnsi="宋体"/>
          <w:b/>
          <w:sz w:val="30"/>
          <w:highlight w:val="none"/>
        </w:rPr>
        <w:t xml:space="preserve">江苏省政府采购合同（服务）（合同编号）</w:t>
      </w:r>
      <w:r>
        <w:rPr>
          <w:rFonts w:hint="eastAsia" w:ascii="宋体" w:hAnsi="宋体"/>
          <w:b/>
          <w:bCs/>
          <w:sz w:val="30"/>
          <w:szCs w:val="20"/>
          <w:highlight w:val="none"/>
        </w:rPr>
      </w:r>
      <w:r/>
    </w:p>
    <w:p>
      <w:pPr>
        <w:pStyle w:val="700"/>
        <w:spacing w:before="120" w:after="120"/>
        <w:rPr>
          <w:rFonts w:hint="eastAsia" w:hAnsi="宋体"/>
          <w:sz w:val="24"/>
          <w:szCs w:val="24"/>
          <w:highlight w:val="none"/>
        </w:rPr>
      </w:pPr>
      <w:r>
        <w:rPr>
          <w:rFonts w:hAnsi="宋体"/>
          <w:sz w:val="24"/>
          <w:szCs w:val="24"/>
          <w:highlight w:val="none"/>
        </w:rPr>
        <w:t xml:space="preserve">项目名称：                                       项目编号：</w:t>
      </w:r>
      <w:r>
        <w:rPr>
          <w:rFonts w:hint="eastAsia" w:hAnsi="宋体"/>
          <w:sz w:val="24"/>
          <w:szCs w:val="24"/>
          <w:highlight w:val="none"/>
        </w:rPr>
      </w:r>
      <w:r/>
    </w:p>
    <w:p>
      <w:pPr>
        <w:pStyle w:val="700"/>
        <w:spacing w:before="120" w:after="120"/>
        <w:rPr>
          <w:rFonts w:hint="eastAsia" w:hAnsi="宋体"/>
          <w:sz w:val="24"/>
          <w:szCs w:val="24"/>
          <w:highlight w:val="none"/>
        </w:rPr>
      </w:pPr>
      <w:r>
        <w:rPr>
          <w:rFonts w:hAnsi="宋体"/>
          <w:sz w:val="24"/>
          <w:szCs w:val="24"/>
          <w:highlight w:val="none"/>
        </w:rPr>
        <w:t xml:space="preserve">甲方：（买方）_________</w:t>
      </w:r>
      <w:r>
        <w:rPr>
          <w:rFonts w:hint="eastAsia" w:hAnsi="宋体"/>
          <w:sz w:val="24"/>
          <w:szCs w:val="24"/>
          <w:highlight w:val="none"/>
        </w:rPr>
      </w:r>
      <w:r/>
    </w:p>
    <w:p>
      <w:pPr>
        <w:pStyle w:val="700"/>
        <w:spacing w:before="120" w:after="120"/>
        <w:rPr>
          <w:rFonts w:hint="eastAsia" w:hAnsi="宋体"/>
          <w:sz w:val="24"/>
          <w:szCs w:val="24"/>
          <w:highlight w:val="none"/>
        </w:rPr>
      </w:pPr>
      <w:r>
        <w:rPr>
          <w:rFonts w:hAnsi="宋体"/>
          <w:sz w:val="24"/>
          <w:szCs w:val="24"/>
          <w:highlight w:val="none"/>
        </w:rPr>
        <w:t xml:space="preserve">乙方：（卖方）_________</w:t>
      </w:r>
      <w:r>
        <w:rPr>
          <w:rFonts w:hint="eastAsia" w:hAnsi="宋体"/>
          <w:sz w:val="24"/>
          <w:szCs w:val="24"/>
          <w:highlight w:val="none"/>
        </w:rPr>
      </w:r>
      <w:r/>
    </w:p>
    <w:p>
      <w:pPr>
        <w:pStyle w:val="660"/>
        <w:spacing w:before="120" w:after="120" w:line="480" w:lineRule="exact"/>
        <w:rPr>
          <w:rFonts w:hint="eastAsia" w:ascii="仿宋" w:hAnsi="仿宋" w:eastAsia="仿宋" w:cs="Courier New"/>
          <w:sz w:val="28"/>
          <w:szCs w:val="28"/>
          <w:highlight w:val="none"/>
        </w:rPr>
      </w:pPr>
      <w:r>
        <w:rPr>
          <w:rFonts w:hint="eastAsia" w:ascii="仿宋" w:hAnsi="仿宋" w:eastAsia="仿宋" w:cs="Courier New"/>
          <w:sz w:val="28"/>
          <w:szCs w:val="28"/>
          <w:highlight w:val="none"/>
        </w:rPr>
        <w:t xml:space="preserve">分包号：*</w:t>
      </w:r>
      <w:r>
        <w:rPr>
          <w:rFonts w:ascii="仿宋" w:hAnsi="仿宋" w:eastAsia="仿宋" w:cs="Courier New"/>
          <w:sz w:val="28"/>
          <w:szCs w:val="28"/>
          <w:highlight w:val="none"/>
        </w:rPr>
        <w:t xml:space="preserve">****</w:t>
      </w:r>
      <w:r>
        <w:rPr>
          <w:rFonts w:hint="eastAsia" w:ascii="仿宋" w:hAnsi="仿宋" w:eastAsia="仿宋" w:cs="Courier New"/>
          <w:sz w:val="28"/>
          <w:szCs w:val="28"/>
          <w:highlight w:val="none"/>
        </w:rPr>
      </w:r>
      <w:r/>
    </w:p>
    <w:p>
      <w:pPr>
        <w:pStyle w:val="700"/>
        <w:spacing w:before="120" w:after="120"/>
        <w:rPr>
          <w:rFonts w:hint="eastAsia" w:hAnsi="宋体"/>
          <w:sz w:val="24"/>
          <w:szCs w:val="24"/>
          <w:highlight w:val="none"/>
        </w:rPr>
      </w:pPr>
      <w:r>
        <w:rPr>
          <w:rFonts w:hint="eastAsia" w:hAnsi="宋体"/>
          <w:sz w:val="24"/>
          <w:szCs w:val="24"/>
          <w:highlight w:val="none"/>
        </w:rPr>
      </w:r>
      <w:r/>
    </w:p>
    <w:p>
      <w:pPr>
        <w:pStyle w:val="700"/>
        <w:spacing w:before="120" w:after="120"/>
        <w:rPr>
          <w:rFonts w:hint="eastAsia" w:hAnsi="宋体"/>
          <w:b/>
          <w:sz w:val="24"/>
          <w:szCs w:val="24"/>
          <w:highlight w:val="none"/>
        </w:rPr>
      </w:pPr>
      <w:r>
        <w:rPr>
          <w:rFonts w:hAnsi="宋体"/>
          <w:b/>
          <w:sz w:val="24"/>
          <w:szCs w:val="24"/>
          <w:highlight w:val="none"/>
        </w:rPr>
        <w:t xml:space="preserve">   </w:t>
      </w:r>
      <w:r>
        <w:rPr>
          <w:rFonts w:hAnsi="宋体"/>
          <w:sz w:val="24"/>
          <w:szCs w:val="24"/>
          <w:highlight w:val="none"/>
        </w:rPr>
        <w:t xml:space="preserve">甲、乙双方根据</w:t>
      </w:r>
      <w:r>
        <w:rPr>
          <w:rFonts w:hint="eastAsia" w:hAnsi="宋体"/>
          <w:sz w:val="24"/>
          <w:szCs w:val="24"/>
          <w:highlight w:val="none"/>
        </w:rPr>
        <w:t xml:space="preserve">南通市政府采购中心</w:t>
      </w:r>
      <w:r>
        <w:rPr>
          <w:rFonts w:hint="eastAsia" w:hAnsi="宋体"/>
          <w:sz w:val="24"/>
          <w:szCs w:val="24"/>
          <w:highlight w:val="none"/>
          <w:u w:val="single"/>
        </w:rPr>
        <w:t xml:space="preserve">         </w:t>
      </w:r>
      <w:r>
        <w:rPr>
          <w:rFonts w:hAnsi="宋体"/>
          <w:sz w:val="24"/>
          <w:szCs w:val="24"/>
          <w:highlight w:val="none"/>
        </w:rPr>
        <w:t xml:space="preserve">项目</w:t>
      </w:r>
      <w:r>
        <w:rPr>
          <w:rFonts w:hint="eastAsia" w:ascii="仿宋" w:hAnsi="仿宋" w:eastAsia="仿宋"/>
          <w:sz w:val="28"/>
          <w:szCs w:val="28"/>
          <w:highlight w:val="none"/>
        </w:rPr>
        <w:t xml:space="preserve">（项目编号：JSZC-320000-***）</w:t>
      </w:r>
      <w:r>
        <w:rPr>
          <w:rFonts w:hAnsi="宋体"/>
          <w:sz w:val="24"/>
          <w:szCs w:val="24"/>
          <w:highlight w:val="none"/>
        </w:rPr>
        <w:t xml:space="preserve">公开招标的结果，签署本合同。</w:t>
      </w:r>
      <w:r>
        <w:rPr>
          <w:rFonts w:hint="eastAsia" w:hAnsi="宋体"/>
          <w:b/>
          <w:sz w:val="24"/>
          <w:szCs w:val="24"/>
          <w:highlight w:val="none"/>
        </w:rPr>
      </w:r>
      <w:r/>
    </w:p>
    <w:p>
      <w:pPr>
        <w:pStyle w:val="700"/>
        <w:spacing w:before="120" w:after="120"/>
        <w:rPr>
          <w:rFonts w:hint="eastAsia"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rPr>
          <w:rFonts w:hint="eastAsia" w:hAnsi="宋体"/>
          <w:b/>
          <w:sz w:val="24"/>
          <w:szCs w:val="24"/>
          <w:highlight w:val="none"/>
        </w:rPr>
      </w:r>
      <w:r/>
    </w:p>
    <w:p>
      <w:pPr>
        <w:pStyle w:val="700"/>
        <w:spacing w:before="120" w:after="120"/>
        <w:rPr>
          <w:rFonts w:hint="eastAsia"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rPr>
          <w:rFonts w:hint="eastAsia" w:hAnsi="宋体"/>
          <w:sz w:val="24"/>
          <w:szCs w:val="24"/>
          <w:highlight w:val="none"/>
        </w:rPr>
      </w:r>
      <w:r/>
    </w:p>
    <w:p>
      <w:pPr>
        <w:pStyle w:val="700"/>
        <w:spacing w:before="120" w:after="120"/>
        <w:rPr>
          <w:rFonts w:hint="eastAsia"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标的质量：</w:t>
      </w:r>
      <w:r>
        <w:rPr>
          <w:rFonts w:hint="eastAsia" w:hAnsi="宋体"/>
          <w:sz w:val="24"/>
          <w:szCs w:val="24"/>
          <w:highlight w:val="none"/>
        </w:rPr>
      </w:r>
      <w:r/>
    </w:p>
    <w:p>
      <w:pPr>
        <w:pStyle w:val="700"/>
        <w:spacing w:before="120" w:after="120"/>
        <w:rPr>
          <w:rFonts w:hint="eastAsia" w:hAnsi="宋体"/>
          <w:sz w:val="24"/>
          <w:szCs w:val="24"/>
          <w:highlight w:val="none"/>
        </w:rPr>
      </w:pPr>
      <w:r>
        <w:rPr>
          <w:rFonts w:hint="eastAsia" w:hAnsi="宋体"/>
          <w:sz w:val="24"/>
          <w:szCs w:val="24"/>
          <w:highlight w:val="none"/>
        </w:rPr>
        <w:t xml:space="preserve">1.3 标的数量（规模）：</w:t>
      </w:r>
      <w:r>
        <w:rPr>
          <w:rFonts w:hint="eastAsia" w:hAnsi="宋体"/>
          <w:sz w:val="24"/>
          <w:szCs w:val="24"/>
          <w:highlight w:val="none"/>
        </w:rPr>
      </w:r>
      <w:r/>
    </w:p>
    <w:p>
      <w:pPr>
        <w:pStyle w:val="700"/>
        <w:spacing w:before="120" w:after="120"/>
        <w:rPr>
          <w:rFonts w:hint="eastAsia" w:hAnsi="宋体"/>
          <w:sz w:val="24"/>
          <w:szCs w:val="24"/>
          <w:highlight w:val="none"/>
        </w:rPr>
      </w:pPr>
      <w:r>
        <w:rPr>
          <w:rFonts w:hint="eastAsia" w:hAnsi="宋体"/>
          <w:sz w:val="24"/>
          <w:szCs w:val="24"/>
          <w:highlight w:val="none"/>
        </w:rPr>
        <w:t xml:space="preserve">1.4 履行时间（期限）：</w:t>
      </w:r>
      <w:r>
        <w:rPr>
          <w:rFonts w:hint="eastAsia" w:hAnsi="宋体"/>
          <w:sz w:val="24"/>
          <w:szCs w:val="24"/>
          <w:highlight w:val="none"/>
        </w:rPr>
      </w:r>
      <w:r/>
    </w:p>
    <w:p>
      <w:pPr>
        <w:pStyle w:val="700"/>
        <w:spacing w:before="120" w:after="120"/>
        <w:rPr>
          <w:rFonts w:hint="eastAsia" w:hAnsi="宋体"/>
          <w:sz w:val="24"/>
          <w:szCs w:val="24"/>
          <w:highlight w:val="none"/>
        </w:rPr>
      </w:pPr>
      <w:r>
        <w:rPr>
          <w:rFonts w:hint="eastAsia" w:hAnsi="宋体"/>
          <w:sz w:val="24"/>
          <w:szCs w:val="24"/>
          <w:highlight w:val="none"/>
        </w:rPr>
        <w:t xml:space="preserve">1.5 履行地点：</w:t>
      </w:r>
      <w:r>
        <w:rPr>
          <w:rFonts w:hint="eastAsia" w:hAnsi="宋体"/>
          <w:sz w:val="24"/>
          <w:szCs w:val="24"/>
          <w:highlight w:val="none"/>
        </w:rPr>
      </w:r>
      <w:r/>
    </w:p>
    <w:p>
      <w:pPr>
        <w:pStyle w:val="70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6履行方式：</w:t>
      </w:r>
      <w:r>
        <w:rPr>
          <w:rFonts w:hint="eastAsia" w:hAnsi="宋体"/>
          <w:sz w:val="24"/>
          <w:szCs w:val="24"/>
          <w:highlight w:val="none"/>
        </w:rPr>
      </w:r>
      <w:r/>
    </w:p>
    <w:p>
      <w:pPr>
        <w:pStyle w:val="700"/>
        <w:spacing w:before="120" w:after="120"/>
        <w:rPr>
          <w:rFonts w:hint="eastAsia" w:hAnsi="宋体"/>
          <w:b/>
          <w:sz w:val="24"/>
          <w:szCs w:val="24"/>
          <w:highlight w:val="none"/>
        </w:rPr>
      </w:pPr>
      <w:r>
        <w:rPr>
          <w:rFonts w:hAnsi="宋体"/>
          <w:b/>
          <w:sz w:val="24"/>
          <w:szCs w:val="24"/>
          <w:highlight w:val="none"/>
        </w:rPr>
        <w:t xml:space="preserve">二、合同金额</w:t>
      </w:r>
      <w:r>
        <w:rPr>
          <w:rFonts w:hint="eastAsia" w:hAnsi="宋体"/>
          <w:b/>
          <w:sz w:val="24"/>
          <w:szCs w:val="24"/>
          <w:highlight w:val="none"/>
        </w:rPr>
      </w:r>
      <w:r/>
    </w:p>
    <w:p>
      <w:pPr>
        <w:pStyle w:val="700"/>
        <w:ind w:left="410" w:hanging="410"/>
        <w:spacing w:before="120" w:after="120"/>
        <w:rPr>
          <w:rFonts w:hint="eastAsia" w:hAnsi="宋体"/>
          <w:sz w:val="24"/>
          <w:szCs w:val="24"/>
          <w:highlight w:val="none"/>
        </w:rPr>
      </w:pPr>
      <w:r>
        <w:rPr>
          <w:rFonts w:hAnsi="宋体"/>
          <w:sz w:val="24"/>
          <w:szCs w:val="24"/>
          <w:highlight w:val="none"/>
        </w:rPr>
        <w:t xml:space="preserve">2.1 本合同金额为（大写）：____________________________________</w:t>
      </w:r>
      <w:r>
        <w:rPr>
          <w:rFonts w:hint="eastAsia" w:hAnsi="宋体"/>
          <w:sz w:val="24"/>
          <w:szCs w:val="24"/>
          <w:highlight w:val="none"/>
        </w:rPr>
        <w:t xml:space="preserve">圆</w:t>
      </w:r>
      <w:r>
        <w:rPr>
          <w:rFonts w:hAnsi="宋体"/>
          <w:sz w:val="24"/>
          <w:szCs w:val="24"/>
          <w:highlight w:val="none"/>
        </w:rPr>
        <w:t xml:space="preserve">（_______________元）人民币</w:t>
      </w:r>
      <w:r>
        <w:rPr>
          <w:rFonts w:hint="eastAsia" w:hAnsi="宋体"/>
          <w:sz w:val="24"/>
          <w:szCs w:val="24"/>
          <w:highlight w:val="none"/>
        </w:rPr>
        <w:t xml:space="preserve">或其他币种</w:t>
      </w:r>
      <w:r>
        <w:rPr>
          <w:rFonts w:hAnsi="宋体"/>
          <w:sz w:val="24"/>
          <w:szCs w:val="24"/>
          <w:highlight w:val="none"/>
        </w:rPr>
        <w:t xml:space="preserve">。</w:t>
      </w:r>
      <w:r>
        <w:rPr>
          <w:rFonts w:hint="eastAsia" w:hAnsi="宋体"/>
          <w:sz w:val="24"/>
          <w:szCs w:val="24"/>
          <w:highlight w:val="none"/>
        </w:rPr>
      </w:r>
      <w:r/>
    </w:p>
    <w:p>
      <w:pPr>
        <w:pStyle w:val="700"/>
        <w:spacing w:before="120" w:after="120"/>
        <w:rPr>
          <w:rFonts w:hint="eastAsia" w:hAnsi="宋体"/>
          <w:b/>
          <w:sz w:val="24"/>
          <w:szCs w:val="24"/>
          <w:highlight w:val="none"/>
        </w:rPr>
      </w:pPr>
      <w:r>
        <w:rPr>
          <w:rFonts w:hAnsi="宋体"/>
          <w:b/>
          <w:sz w:val="24"/>
          <w:szCs w:val="24"/>
          <w:highlight w:val="none"/>
        </w:rPr>
        <w:t xml:space="preserve">三、技术资料</w:t>
      </w:r>
      <w:r>
        <w:rPr>
          <w:rFonts w:hint="eastAsia" w:hAnsi="宋体"/>
          <w:b/>
          <w:sz w:val="24"/>
          <w:szCs w:val="24"/>
          <w:highlight w:val="none"/>
        </w:rPr>
      </w:r>
      <w:r/>
    </w:p>
    <w:p>
      <w:pPr>
        <w:pStyle w:val="700"/>
        <w:ind w:left="410" w:hanging="410"/>
        <w:spacing w:before="120" w:after="120"/>
        <w:rPr>
          <w:rFonts w:hint="eastAsia" w:hAnsi="宋体"/>
          <w:sz w:val="24"/>
          <w:szCs w:val="24"/>
          <w:highlight w:val="none"/>
        </w:rPr>
      </w:pPr>
      <w:r>
        <w:rPr>
          <w:rFonts w:hAnsi="宋体"/>
          <w:sz w:val="24"/>
          <w:szCs w:val="24"/>
          <w:highlight w:val="none"/>
        </w:rPr>
        <w:t xml:space="preserve">3.1乙方应按招标文件规定的时间向甲方提供服务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rPr>
          <w:rFonts w:hint="eastAsia" w:hAnsi="宋体"/>
          <w:sz w:val="24"/>
          <w:szCs w:val="24"/>
          <w:highlight w:val="none"/>
        </w:rPr>
      </w:r>
      <w:r/>
    </w:p>
    <w:p>
      <w:pPr>
        <w:pStyle w:val="700"/>
        <w:ind w:left="410" w:hanging="410"/>
        <w:spacing w:before="120" w:after="120"/>
        <w:rPr>
          <w:rFonts w:hint="eastAsia"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sz w:val="24"/>
          <w:szCs w:val="24"/>
          <w:highlight w:val="none"/>
        </w:rPr>
      </w:r>
      <w:r/>
    </w:p>
    <w:p>
      <w:pPr>
        <w:pStyle w:val="700"/>
        <w:ind w:left="412" w:hanging="412"/>
        <w:spacing w:before="120" w:after="120"/>
        <w:rPr>
          <w:rFonts w:hint="eastAsia" w:hAnsi="宋体"/>
          <w:b/>
          <w:sz w:val="24"/>
          <w:szCs w:val="24"/>
          <w:highlight w:val="none"/>
        </w:rPr>
      </w:pPr>
      <w:r>
        <w:rPr>
          <w:rFonts w:hAnsi="宋体"/>
          <w:b/>
          <w:sz w:val="24"/>
          <w:szCs w:val="24"/>
          <w:highlight w:val="none"/>
        </w:rPr>
        <w:t xml:space="preserve">四、知识产权</w:t>
      </w:r>
      <w:r>
        <w:rPr>
          <w:rFonts w:hint="eastAsia" w:hAnsi="宋体"/>
          <w:b/>
          <w:sz w:val="24"/>
          <w:szCs w:val="24"/>
          <w:highlight w:val="none"/>
        </w:rPr>
      </w:r>
      <w:r/>
    </w:p>
    <w:p>
      <w:pPr>
        <w:pStyle w:val="700"/>
        <w:ind w:left="408" w:hanging="408"/>
        <w:spacing w:before="120" w:after="120"/>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highlight w:val="none"/>
        </w:rPr>
      </w:r>
      <w:r/>
    </w:p>
    <w:p>
      <w:pPr>
        <w:pStyle w:val="700"/>
        <w:spacing w:before="120" w:after="120"/>
        <w:rPr>
          <w:rFonts w:hint="eastAsia" w:hAnsi="宋体"/>
          <w:sz w:val="24"/>
          <w:szCs w:val="24"/>
          <w:highlight w:val="none"/>
          <w:u w:val="single"/>
        </w:rPr>
      </w:pPr>
      <w:r>
        <w:rPr>
          <w:rFonts w:hAnsi="宋体"/>
          <w:b/>
          <w:sz w:val="24"/>
          <w:szCs w:val="24"/>
          <w:highlight w:val="none"/>
        </w:rPr>
        <w:t xml:space="preserve">五、产权担保</w:t>
      </w:r>
      <w:r>
        <w:rPr>
          <w:rFonts w:hint="eastAsia" w:hAnsi="宋体"/>
          <w:sz w:val="24"/>
          <w:szCs w:val="24"/>
          <w:highlight w:val="none"/>
          <w:u w:val="single"/>
        </w:rPr>
      </w:r>
      <w:r/>
    </w:p>
    <w:p>
      <w:pPr>
        <w:pStyle w:val="700"/>
        <w:ind w:left="408" w:hanging="408"/>
        <w:spacing w:before="120" w:after="120"/>
        <w:rPr>
          <w:rFonts w:hint="eastAsia"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rPr>
          <w:rFonts w:hint="eastAsia" w:hAnsi="宋体"/>
          <w:sz w:val="24"/>
          <w:szCs w:val="24"/>
          <w:highlight w:val="none"/>
          <w:u w:val="single"/>
        </w:rPr>
      </w:r>
      <w:r/>
    </w:p>
    <w:p>
      <w:pPr>
        <w:pStyle w:val="700"/>
        <w:ind w:left="410" w:hanging="410"/>
        <w:spacing w:before="120" w:after="120"/>
        <w:rPr>
          <w:rFonts w:hint="eastAsia" w:hAnsi="宋体"/>
          <w:b/>
          <w:sz w:val="24"/>
          <w:szCs w:val="24"/>
          <w:highlight w:val="none"/>
        </w:rPr>
      </w:pPr>
      <w:r>
        <w:rPr>
          <w:rFonts w:hAnsi="宋体"/>
          <w:b/>
          <w:sz w:val="24"/>
          <w:szCs w:val="24"/>
          <w:highlight w:val="none"/>
        </w:rPr>
        <w:t xml:space="preserve">六、履约保证金</w:t>
      </w:r>
      <w:r>
        <w:rPr>
          <w:rFonts w:hint="eastAsia" w:hAnsi="宋体"/>
          <w:b/>
          <w:sz w:val="24"/>
          <w:szCs w:val="24"/>
          <w:highlight w:val="none"/>
        </w:rPr>
      </w:r>
      <w:r/>
    </w:p>
    <w:p>
      <w:pPr>
        <w:pStyle w:val="772"/>
        <w:rPr>
          <w:rFonts w:hint="eastAsia" w:hAnsi="宋体"/>
          <w:sz w:val="24"/>
          <w:szCs w:val="24"/>
          <w:highlight w:val="none"/>
        </w:rPr>
      </w:pPr>
      <w:r>
        <w:rPr>
          <w:rFonts w:hAnsi="宋体"/>
          <w:sz w:val="24"/>
          <w:szCs w:val="24"/>
          <w:highlight w:val="none"/>
        </w:rPr>
        <w:t xml:space="preserve">6.1 </w:t>
      </w:r>
      <w:r>
        <w:rPr>
          <w:rFonts w:hint="eastAsia" w:ascii="宋体" w:hAnsi="宋体" w:eastAsia="宋体"/>
          <w:color w:val="000000"/>
          <w:sz w:val="24"/>
          <w:szCs w:val="24"/>
          <w:highlight w:val="none"/>
        </w:rPr>
        <w:t xml:space="preserve">本项目不收取履约保证金。</w:t>
      </w:r>
      <w:r>
        <w:rPr>
          <w:rFonts w:hint="eastAsia" w:hAnsi="宋体"/>
          <w:sz w:val="24"/>
          <w:szCs w:val="24"/>
          <w:highlight w:val="none"/>
        </w:rPr>
      </w:r>
      <w:r/>
    </w:p>
    <w:p>
      <w:pPr>
        <w:pStyle w:val="660"/>
        <w:spacing w:before="145" w:after="145"/>
        <w:rPr>
          <w:rFonts w:hint="eastAsia" w:ascii="宋体" w:hAnsi="宋体" w:eastAsia="仿宋_GB2312"/>
          <w:b/>
          <w:sz w:val="24"/>
          <w:szCs w:val="24"/>
          <w:highlight w:val="none"/>
        </w:rPr>
      </w:pPr>
      <w:r>
        <w:rPr>
          <w:rFonts w:hint="eastAsia" w:ascii="宋体" w:hAnsi="宋体"/>
          <w:b/>
          <w:sz w:val="24"/>
          <w:szCs w:val="24"/>
          <w:highlight w:val="none"/>
        </w:rPr>
        <w:t xml:space="preserve">七、合同转包或分包</w:t>
      </w:r>
      <w:r>
        <w:rPr>
          <w:rFonts w:hint="eastAsia" w:ascii="宋体" w:hAnsi="宋体" w:eastAsia="仿宋_GB2312"/>
          <w:b/>
          <w:sz w:val="24"/>
          <w:szCs w:val="24"/>
          <w:highlight w:val="none"/>
        </w:rPr>
      </w:r>
      <w:r/>
    </w:p>
    <w:p>
      <w:pPr>
        <w:pStyle w:val="660"/>
        <w:spacing w:before="145" w:after="145"/>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rPr>
          <w:rFonts w:hint="eastAsia" w:ascii="宋体" w:hAnsi="宋体"/>
          <w:sz w:val="24"/>
          <w:szCs w:val="24"/>
          <w:highlight w:val="none"/>
        </w:rPr>
      </w:r>
      <w:r/>
    </w:p>
    <w:p>
      <w:pPr>
        <w:pStyle w:val="660"/>
        <w:spacing w:before="145" w:after="145"/>
        <w:rPr>
          <w:rFonts w:hint="eastAsia" w:ascii="宋体" w:hAnsi="宋体"/>
          <w:sz w:val="24"/>
          <w:szCs w:val="24"/>
          <w:highlight w:val="none"/>
        </w:rPr>
      </w:pPr>
      <w:r>
        <w:rPr>
          <w:rFonts w:hint="eastAsia" w:ascii="宋体" w:hAnsi="宋体"/>
          <w:sz w:val="24"/>
          <w:szCs w:val="24"/>
          <w:highlight w:val="none"/>
        </w:rPr>
        <w:t xml:space="preserve">7.2乙方应当按照投标文件中提供的分包意向协议履行合同。</w:t>
      </w:r>
      <w:r>
        <w:rPr>
          <w:rFonts w:hint="eastAsia" w:ascii="宋体" w:hAnsi="宋体"/>
          <w:sz w:val="24"/>
          <w:szCs w:val="24"/>
          <w:highlight w:val="none"/>
        </w:rPr>
      </w:r>
      <w:r/>
    </w:p>
    <w:p>
      <w:pPr>
        <w:pStyle w:val="660"/>
        <w:spacing w:before="145" w:after="145"/>
        <w:rPr>
          <w:rFonts w:hint="eastAsia" w:ascii="宋体" w:hAnsi="宋体" w:eastAsia="仿宋_GB2312"/>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乙方如有转包或未经甲方同意的分包行为，甲方有权解除合同。</w:t>
      </w:r>
      <w:r>
        <w:rPr>
          <w:rFonts w:hint="eastAsia" w:ascii="宋体" w:hAnsi="宋体" w:eastAsia="仿宋_GB2312"/>
          <w:sz w:val="24"/>
          <w:szCs w:val="24"/>
          <w:highlight w:val="none"/>
        </w:rPr>
      </w:r>
      <w:r/>
    </w:p>
    <w:p>
      <w:pPr>
        <w:pStyle w:val="700"/>
        <w:spacing w:before="120" w:after="120"/>
        <w:rPr>
          <w:rFonts w:hint="eastAsia" w:hAnsi="宋体"/>
          <w:b/>
          <w:sz w:val="24"/>
          <w:szCs w:val="24"/>
          <w:highlight w:val="none"/>
        </w:rPr>
      </w:pPr>
      <w:r>
        <w:rPr>
          <w:rFonts w:hint="eastAsia" w:hAnsi="宋体"/>
          <w:b/>
          <w:sz w:val="24"/>
          <w:szCs w:val="24"/>
          <w:highlight w:val="none"/>
        </w:rPr>
        <w:t xml:space="preserve">八</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rPr>
          <w:rFonts w:hint="eastAsia" w:hAnsi="宋体"/>
          <w:b/>
          <w:sz w:val="24"/>
          <w:szCs w:val="24"/>
          <w:highlight w:val="none"/>
        </w:rPr>
      </w:r>
      <w:r/>
    </w:p>
    <w:p>
      <w:pPr>
        <w:pStyle w:val="700"/>
        <w:spacing w:before="120" w:after="120"/>
        <w:rPr>
          <w:rFonts w:hint="eastAsia" w:hAnsi="宋体"/>
          <w:bCs/>
          <w:sz w:val="24"/>
          <w:szCs w:val="24"/>
          <w:highlight w:val="none"/>
        </w:rPr>
      </w:pPr>
      <w:r>
        <w:rPr>
          <w:rFonts w:hint="eastAsia" w:hAnsi="宋体"/>
          <w:bCs/>
          <w:sz w:val="24"/>
          <w:szCs w:val="24"/>
          <w:highlight w:val="none"/>
        </w:rPr>
        <w:t xml:space="preserve">8</w:t>
      </w:r>
      <w:r>
        <w:rPr>
          <w:rFonts w:hAnsi="宋体"/>
          <w:bCs/>
          <w:sz w:val="24"/>
          <w:szCs w:val="24"/>
          <w:highlight w:val="none"/>
        </w:rPr>
        <w:t xml:space="preserve">.1</w:t>
      </w:r>
      <w:r>
        <w:rPr>
          <w:rFonts w:hint="eastAsia" w:hAnsi="宋体"/>
          <w:bCs/>
          <w:sz w:val="24"/>
          <w:szCs w:val="24"/>
          <w:highlight w:val="none"/>
        </w:rPr>
        <w:t xml:space="preserve">合同款项的支付方式及进度安排</w:t>
      </w:r>
      <w:r>
        <w:rPr>
          <w:rFonts w:hint="eastAsia" w:hAnsi="宋体"/>
          <w:bCs/>
          <w:sz w:val="24"/>
          <w:szCs w:val="24"/>
          <w:highlight w:val="none"/>
        </w:rPr>
      </w:r>
      <w:r/>
    </w:p>
    <w:p>
      <w:pPr>
        <w:pStyle w:val="700"/>
        <w:spacing w:before="120" w:after="120"/>
        <w:rPr>
          <w:rFonts w:hint="eastAsia" w:hAnsi="宋体"/>
          <w:sz w:val="24"/>
          <w:szCs w:val="24"/>
          <w:highlight w:val="none"/>
          <w:u w:val="single"/>
        </w:rPr>
      </w:pPr>
      <w:r>
        <w:rPr>
          <w:rFonts w:hint="eastAsia" w:hAnsi="宋体"/>
          <w:sz w:val="24"/>
          <w:szCs w:val="24"/>
          <w:highlight w:val="none"/>
          <w:u w:val="single"/>
        </w:rPr>
        <w:t xml:space="preserve">本项目费用由市本级与各县市区分摊支付，支付比例为：市本级18.95%、海安市12.60%、如东县10.95%、启东市12.60%、通州区12.60%、海门区12.60%、南通经济技术开发区4.74%、苏锡通科技产业园区1.18%、通州湾示范园区1.18%。另有县（市、区）部分涉及的第三方造价评估费用由中标单位直接支付。</w:t>
      </w:r>
      <w:r>
        <w:rPr>
          <w:rFonts w:hint="eastAsia" w:hAnsi="宋体"/>
          <w:sz w:val="24"/>
          <w:szCs w:val="24"/>
          <w:highlight w:val="none"/>
          <w:u w:val="single"/>
        </w:rPr>
      </w:r>
      <w:r/>
    </w:p>
    <w:p>
      <w:pPr>
        <w:pStyle w:val="700"/>
        <w:spacing w:before="120" w:after="120"/>
        <w:rPr>
          <w:rFonts w:hint="eastAsia" w:hAnsi="宋体"/>
          <w:sz w:val="24"/>
          <w:szCs w:val="24"/>
          <w:highlight w:val="none"/>
          <w:u w:val="single"/>
        </w:rPr>
      </w:pPr>
      <w:r>
        <w:rPr>
          <w:rFonts w:hint="eastAsia" w:hAnsi="宋体"/>
          <w:sz w:val="24"/>
          <w:szCs w:val="24"/>
          <w:highlight w:val="none"/>
          <w:u w:val="single"/>
        </w:rPr>
        <w:t xml:space="preserve">8.1.1 预付款支付时间：合同签订后15日内：市本级支付合同金额的30%；2025年3月31日前：各县（市、区）支付合同金额的30%。</w:t>
      </w:r>
      <w:r>
        <w:rPr>
          <w:rFonts w:hint="eastAsia" w:hAnsi="宋体"/>
          <w:sz w:val="24"/>
          <w:szCs w:val="24"/>
          <w:highlight w:val="none"/>
          <w:u w:val="single"/>
        </w:rPr>
      </w:r>
      <w:r/>
    </w:p>
    <w:p>
      <w:pPr>
        <w:pStyle w:val="700"/>
        <w:spacing w:before="120" w:after="120"/>
        <w:rPr>
          <w:rFonts w:hint="eastAsia" w:hAnsi="宋体"/>
          <w:sz w:val="24"/>
          <w:szCs w:val="24"/>
          <w:highlight w:val="none"/>
          <w:u w:val="single"/>
        </w:rPr>
      </w:pPr>
      <w:r>
        <w:rPr>
          <w:rFonts w:hint="eastAsia" w:hAnsi="宋体"/>
          <w:sz w:val="24"/>
          <w:szCs w:val="24"/>
          <w:highlight w:val="none"/>
          <w:u w:val="single"/>
        </w:rPr>
        <w:t xml:space="preserve">8.1.2 进度款支付时间：完成对应区域接入市本级系统，具备试运营条件后：市本级支付合同金额的20%，各县（市、区）支付合同金额的30%；完成项目验收后，市本级支付合同金额的20%，各各县（市、区）支付合同金额的40%。</w:t>
      </w:r>
      <w:r>
        <w:rPr>
          <w:rFonts w:hint="eastAsia" w:hAnsi="宋体"/>
          <w:sz w:val="24"/>
          <w:szCs w:val="24"/>
          <w:highlight w:val="none"/>
          <w:u w:val="single"/>
        </w:rPr>
      </w:r>
      <w:r/>
    </w:p>
    <w:p>
      <w:pPr>
        <w:pStyle w:val="700"/>
        <w:spacing w:before="120" w:after="120"/>
        <w:rPr>
          <w:rFonts w:hint="eastAsia" w:hAnsi="宋体"/>
          <w:sz w:val="24"/>
          <w:szCs w:val="24"/>
          <w:highlight w:val="none"/>
          <w:u w:val="single"/>
        </w:rPr>
      </w:pPr>
      <w:r>
        <w:rPr>
          <w:rFonts w:hint="eastAsia" w:hAnsi="宋体"/>
          <w:sz w:val="24"/>
          <w:szCs w:val="24"/>
          <w:highlight w:val="none"/>
          <w:u w:val="single"/>
        </w:rPr>
        <w:t xml:space="preserve">8.1.3 尾款支付时间：验收合格一年，采购人收到发票后15日，市本级支付合同金额的30%。</w:t>
      </w:r>
      <w:r>
        <w:rPr>
          <w:rFonts w:hint="eastAsia" w:hAnsi="宋体"/>
          <w:sz w:val="24"/>
          <w:szCs w:val="24"/>
          <w:highlight w:val="none"/>
          <w:u w:val="single"/>
        </w:rPr>
      </w:r>
      <w:r/>
    </w:p>
    <w:p>
      <w:pPr>
        <w:pStyle w:val="660"/>
        <w:spacing w:before="145" w:after="145"/>
        <w:rPr>
          <w:rFonts w:hint="eastAsia" w:ascii="宋体" w:hAnsi="宋体" w:eastAsia="仿宋_GB2312"/>
          <w:b/>
          <w:sz w:val="24"/>
          <w:szCs w:val="24"/>
          <w:highlight w:val="none"/>
        </w:rPr>
      </w:pPr>
      <w:r>
        <w:rPr>
          <w:rFonts w:hint="eastAsia" w:ascii="宋体" w:hAnsi="宋体"/>
          <w:b/>
          <w:sz w:val="24"/>
          <w:szCs w:val="24"/>
          <w:highlight w:val="none"/>
        </w:rPr>
        <w:t xml:space="preserve">九、税费</w:t>
      </w:r>
      <w:r>
        <w:rPr>
          <w:rFonts w:hint="eastAsia" w:ascii="宋体" w:hAnsi="宋体" w:eastAsia="仿宋_GB2312"/>
          <w:b/>
          <w:sz w:val="24"/>
          <w:szCs w:val="24"/>
          <w:highlight w:val="none"/>
        </w:rPr>
      </w:r>
      <w:r/>
    </w:p>
    <w:p>
      <w:pPr>
        <w:pStyle w:val="660"/>
        <w:spacing w:before="145" w:after="145"/>
        <w:rPr>
          <w:rFonts w:hint="eastAsia" w:ascii="宋体" w:hAnsi="宋体" w:eastAsia="仿宋_GB2312"/>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.1</w:t>
      </w:r>
      <w:r>
        <w:rPr>
          <w:rFonts w:hint="eastAsia" w:ascii="宋体" w:hAnsi="宋体"/>
          <w:sz w:val="24"/>
          <w:szCs w:val="24"/>
          <w:highlight w:val="none"/>
        </w:rPr>
        <w:t xml:space="preserve">本合同执行中相关的一切税费均由乙方负担。</w:t>
      </w:r>
      <w:r>
        <w:rPr>
          <w:rFonts w:hint="eastAsia" w:ascii="宋体" w:hAnsi="宋体" w:eastAsia="仿宋_GB2312"/>
          <w:sz w:val="24"/>
          <w:szCs w:val="24"/>
          <w:highlight w:val="none"/>
        </w:rPr>
      </w:r>
      <w:r/>
    </w:p>
    <w:p>
      <w:pPr>
        <w:pStyle w:val="700"/>
        <w:spacing w:before="120" w:after="120"/>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项目</w:t>
      </w:r>
      <w:r>
        <w:rPr>
          <w:rFonts w:hAnsi="宋体"/>
          <w:b/>
          <w:sz w:val="24"/>
          <w:szCs w:val="24"/>
          <w:highlight w:val="none"/>
        </w:rPr>
        <w:t xml:space="preserve">验收</w:t>
      </w:r>
      <w:r>
        <w:rPr>
          <w:rFonts w:hint="eastAsia" w:hAnsi="宋体"/>
          <w:b/>
          <w:sz w:val="24"/>
          <w:szCs w:val="24"/>
          <w:highlight w:val="none"/>
        </w:rPr>
      </w:r>
      <w:r/>
    </w:p>
    <w:p>
      <w:pPr>
        <w:pStyle w:val="700"/>
        <w:ind w:left="480" w:hanging="480"/>
        <w:spacing w:before="120" w:after="120"/>
        <w:rPr>
          <w:rFonts w:hint="eastAsia" w:hAnsi="宋体"/>
          <w:sz w:val="24"/>
          <w:szCs w:val="24"/>
          <w:highlight w:val="none"/>
        </w:rPr>
      </w:pPr>
      <w:r>
        <w:rPr>
          <w:rFonts w:hint="eastAsia" w:hAnsi="宋体"/>
          <w:sz w:val="24"/>
          <w:szCs w:val="24"/>
          <w:highlight w:val="none"/>
        </w:rPr>
        <w:t xml:space="preserve">10.1 甲方依法组织履约验收工作。</w:t>
      </w:r>
      <w:r>
        <w:rPr>
          <w:rFonts w:hint="eastAsia" w:hAnsi="宋体"/>
          <w:sz w:val="24"/>
          <w:szCs w:val="24"/>
          <w:highlight w:val="none"/>
        </w:rPr>
      </w:r>
      <w:r/>
    </w:p>
    <w:p>
      <w:pPr>
        <w:pStyle w:val="700"/>
        <w:ind w:left="480" w:hanging="480"/>
        <w:spacing w:before="120" w:after="120"/>
        <w:rPr>
          <w:rFonts w:hint="eastAsia" w:hAnsi="宋体"/>
          <w:sz w:val="24"/>
          <w:szCs w:val="24"/>
          <w:highlight w:val="none"/>
        </w:rPr>
      </w:pPr>
      <w:r>
        <w:rPr>
          <w:rFonts w:hint="eastAsia" w:hAnsi="宋体"/>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highlight w:val="none"/>
        </w:rPr>
      </w:r>
      <w:r/>
    </w:p>
    <w:p>
      <w:pPr>
        <w:pStyle w:val="700"/>
        <w:ind w:left="480" w:hanging="480"/>
        <w:spacing w:before="120" w:after="120"/>
        <w:rPr>
          <w:rFonts w:hint="eastAsia" w:hAnsi="宋体"/>
          <w:sz w:val="24"/>
          <w:szCs w:val="24"/>
          <w:highlight w:val="none"/>
        </w:rPr>
      </w:pPr>
      <w:r>
        <w:rPr>
          <w:rFonts w:hint="eastAsia" w:hAnsi="宋体"/>
          <w:sz w:val="24"/>
          <w:szCs w:val="24"/>
          <w:highlight w:val="none"/>
        </w:rPr>
        <w:t xml:space="preserve">10.3 对于实际使用人和甲方分离的项目，甲方邀请实际使用人参与验收。</w:t>
      </w:r>
      <w:r>
        <w:rPr>
          <w:rFonts w:hint="eastAsia" w:hAnsi="宋体"/>
          <w:sz w:val="24"/>
          <w:szCs w:val="24"/>
          <w:highlight w:val="none"/>
        </w:rPr>
      </w:r>
      <w:r/>
    </w:p>
    <w:p>
      <w:pPr>
        <w:pStyle w:val="700"/>
        <w:ind w:left="480" w:hanging="480"/>
        <w:spacing w:before="120" w:after="120"/>
        <w:rPr>
          <w:rFonts w:hint="eastAsia" w:hAnsi="宋体"/>
          <w:sz w:val="24"/>
          <w:szCs w:val="24"/>
          <w:highlight w:val="none"/>
        </w:rPr>
      </w:pPr>
      <w:r>
        <w:rPr>
          <w:rFonts w:hint="eastAsia" w:hAnsi="宋体"/>
          <w:sz w:val="24"/>
          <w:szCs w:val="24"/>
          <w:highlight w:val="none"/>
        </w:rPr>
        <w:t xml:space="preserve">10.4 如有必要，甲方邀请参加本项目的其他供应商或第三方专业机构及专家参与验收，相关意见将作为验收书的参考资料。</w:t>
      </w:r>
      <w:r>
        <w:rPr>
          <w:rFonts w:hint="eastAsia" w:hAnsi="宋体"/>
          <w:sz w:val="24"/>
          <w:szCs w:val="24"/>
          <w:highlight w:val="none"/>
        </w:rPr>
      </w:r>
      <w:r/>
    </w:p>
    <w:p>
      <w:pPr>
        <w:pStyle w:val="700"/>
        <w:ind w:left="480" w:hanging="480"/>
        <w:spacing w:before="120" w:after="120"/>
        <w:rPr>
          <w:rFonts w:hint="eastAsia" w:hAnsi="宋体"/>
          <w:sz w:val="24"/>
          <w:szCs w:val="24"/>
          <w:highlight w:val="none"/>
        </w:rPr>
      </w:pPr>
      <w:r>
        <w:rPr>
          <w:rFonts w:hint="eastAsia" w:hAnsi="宋体"/>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highlight w:val="none"/>
        </w:rPr>
      </w:r>
      <w:r/>
    </w:p>
    <w:p>
      <w:pPr>
        <w:pStyle w:val="700"/>
        <w:ind w:left="480" w:hanging="480"/>
        <w:spacing w:before="120" w:after="120"/>
        <w:rPr>
          <w:rFonts w:hint="eastAsia" w:hAnsi="宋体"/>
          <w:sz w:val="24"/>
          <w:szCs w:val="24"/>
          <w:highlight w:val="none"/>
        </w:rPr>
      </w:pPr>
      <w:r>
        <w:rPr>
          <w:rFonts w:hint="eastAsia" w:hAnsi="宋体"/>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highlight w:val="none"/>
        </w:rPr>
      </w:r>
      <w:r/>
    </w:p>
    <w:p>
      <w:pPr>
        <w:pStyle w:val="700"/>
        <w:spacing w:before="120" w:after="120"/>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一</w:t>
      </w:r>
      <w:r>
        <w:rPr>
          <w:rFonts w:hAnsi="宋体"/>
          <w:b/>
          <w:sz w:val="24"/>
          <w:szCs w:val="24"/>
          <w:highlight w:val="none"/>
        </w:rPr>
        <w:t xml:space="preserve">、违约责任</w:t>
      </w:r>
      <w:r>
        <w:rPr>
          <w:rFonts w:hint="eastAsia" w:hAnsi="宋体"/>
          <w:b/>
          <w:sz w:val="24"/>
          <w:szCs w:val="24"/>
          <w:highlight w:val="none"/>
        </w:rPr>
      </w:r>
      <w:r/>
    </w:p>
    <w:p>
      <w:pPr>
        <w:pStyle w:val="700"/>
        <w:ind w:left="410" w:hanging="41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.1 甲方无正当理由</w:t>
      </w:r>
      <w:r>
        <w:rPr>
          <w:rFonts w:hint="eastAsia" w:hAnsi="宋体"/>
          <w:sz w:val="24"/>
          <w:szCs w:val="24"/>
          <w:highlight w:val="none"/>
        </w:rPr>
        <w:t xml:space="preserve">拒绝接受乙方提供服务</w:t>
      </w:r>
      <w:r>
        <w:rPr>
          <w:rFonts w:hAnsi="宋体"/>
          <w:sz w:val="24"/>
          <w:szCs w:val="24"/>
          <w:highlight w:val="none"/>
        </w:rPr>
        <w:t xml:space="preserve">的，甲方向乙方偿付</w:t>
      </w:r>
      <w:r>
        <w:rPr>
          <w:rFonts w:hint="eastAsia" w:hAnsi="宋体"/>
          <w:sz w:val="24"/>
          <w:szCs w:val="24"/>
          <w:highlight w:val="none"/>
        </w:rPr>
        <w:t xml:space="preserve">拒绝接受服务合同价款</w:t>
      </w:r>
      <w:r>
        <w:rPr>
          <w:rFonts w:hAnsi="宋体"/>
          <w:sz w:val="24"/>
          <w:szCs w:val="24"/>
          <w:highlight w:val="none"/>
        </w:rPr>
        <w:t xml:space="preserve">总值</w:t>
      </w:r>
      <w:r>
        <w:rPr>
          <w:rFonts w:hint="eastAsia" w:hAnsi="宋体"/>
          <w:sz w:val="24"/>
          <w:szCs w:val="24"/>
          <w:highlight w:val="none"/>
          <w:u w:val="single"/>
        </w:rPr>
        <w:t xml:space="preserve">    </w:t>
      </w:r>
      <w:r>
        <w:rPr>
          <w:rFonts w:hAnsi="宋体"/>
          <w:sz w:val="24"/>
          <w:szCs w:val="24"/>
          <w:highlight w:val="none"/>
        </w:rPr>
        <w:t xml:space="preserve">的违约金。</w:t>
      </w:r>
      <w:r>
        <w:rPr>
          <w:rFonts w:hint="eastAsia" w:hAnsi="宋体"/>
          <w:sz w:val="24"/>
          <w:szCs w:val="24"/>
          <w:highlight w:val="none"/>
        </w:rPr>
      </w:r>
      <w:r/>
    </w:p>
    <w:p>
      <w:pPr>
        <w:pStyle w:val="700"/>
        <w:ind w:left="410" w:hanging="41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.2 甲方无故逾期验收和办理</w:t>
      </w:r>
      <w:r>
        <w:rPr>
          <w:rFonts w:hint="eastAsia" w:hAnsi="宋体"/>
          <w:sz w:val="24"/>
          <w:szCs w:val="24"/>
          <w:highlight w:val="none"/>
        </w:rPr>
        <w:t xml:space="preserve">合同款项</w:t>
      </w:r>
      <w:r>
        <w:rPr>
          <w:rFonts w:hAnsi="宋体"/>
          <w:sz w:val="24"/>
          <w:szCs w:val="24"/>
          <w:highlight w:val="none"/>
        </w:rPr>
        <w:t xml:space="preserve">支付手续的,甲方应按逾期付款总额</w:t>
      </w:r>
      <w:r>
        <w:rPr>
          <w:rFonts w:hint="eastAsia" w:hAnsi="宋体"/>
          <w:sz w:val="24"/>
          <w:szCs w:val="24"/>
          <w:highlight w:val="none"/>
          <w:u w:val="single"/>
        </w:rPr>
        <w:t xml:space="preserve">    </w:t>
      </w:r>
      <w:r>
        <w:rPr>
          <w:rFonts w:hAnsi="宋体"/>
          <w:sz w:val="24"/>
          <w:szCs w:val="24"/>
          <w:highlight w:val="none"/>
        </w:rPr>
        <w:t xml:space="preserve">每日向乙方支付违约金。</w:t>
      </w:r>
      <w:r>
        <w:rPr>
          <w:rFonts w:hint="eastAsia" w:hAnsi="宋体"/>
          <w:sz w:val="24"/>
          <w:szCs w:val="24"/>
          <w:highlight w:val="none"/>
        </w:rPr>
      </w:r>
      <w:r/>
    </w:p>
    <w:p>
      <w:pPr>
        <w:pStyle w:val="700"/>
        <w:ind w:left="410" w:hanging="41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.3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总额每日千分之六向甲方支付违约金，由甲方从待付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w:t>
      </w:r>
      <w:r>
        <w:rPr>
          <w:rFonts w:hint="eastAsia" w:hAnsi="宋体"/>
          <w:sz w:val="24"/>
          <w:szCs w:val="24"/>
          <w:highlight w:val="none"/>
        </w:rPr>
      </w:r>
      <w:r/>
    </w:p>
    <w:p>
      <w:pPr>
        <w:pStyle w:val="700"/>
        <w:ind w:left="410" w:hanging="41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.4 乙方</w:t>
      </w:r>
      <w:r>
        <w:rPr>
          <w:rFonts w:hint="eastAsia" w:hAnsi="宋体"/>
          <w:sz w:val="24"/>
          <w:szCs w:val="24"/>
          <w:highlight w:val="none"/>
        </w:rPr>
        <w:t xml:space="preserve">所提供服务的标准</w:t>
      </w:r>
      <w:r>
        <w:rPr>
          <w:rFonts w:hAnsi="宋体"/>
          <w:sz w:val="24"/>
          <w:szCs w:val="24"/>
          <w:highlight w:val="none"/>
        </w:rPr>
        <w:t xml:space="preserve">不符合合同规定及招标文件规定标准的，甲方有权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rPr>
          <w:rFonts w:hint="eastAsia" w:hAnsi="宋体"/>
          <w:sz w:val="24"/>
          <w:szCs w:val="24"/>
          <w:highlight w:val="none"/>
        </w:rPr>
      </w:r>
      <w:r/>
    </w:p>
    <w:p>
      <w:pPr>
        <w:pStyle w:val="700"/>
        <w:spacing w:before="120" w:after="120"/>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、不可抗力事件处理</w:t>
      </w:r>
      <w:r>
        <w:rPr>
          <w:rFonts w:hint="eastAsia" w:hAnsi="宋体"/>
          <w:b/>
          <w:sz w:val="24"/>
          <w:szCs w:val="24"/>
          <w:highlight w:val="none"/>
        </w:rPr>
      </w:r>
      <w:r/>
    </w:p>
    <w:p>
      <w:pPr>
        <w:pStyle w:val="700"/>
        <w:ind w:left="480" w:hanging="48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.1 在合同有效期内，任何一方因不可抗力事件导致不能履行合同，则合同履行期可延长，其延长期与不可抗力影响期相同。</w:t>
      </w:r>
      <w:r>
        <w:rPr>
          <w:rFonts w:hint="eastAsia" w:hAnsi="宋体"/>
          <w:sz w:val="24"/>
          <w:szCs w:val="24"/>
          <w:highlight w:val="none"/>
        </w:rPr>
      </w:r>
      <w:r/>
    </w:p>
    <w:p>
      <w:pPr>
        <w:pStyle w:val="70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.2 不可抗力事件发生后，应立即通知对方，并寄送有关权威机构出具的证明。</w:t>
      </w:r>
      <w:r>
        <w:rPr>
          <w:rFonts w:hint="eastAsia" w:hAnsi="宋体"/>
          <w:sz w:val="24"/>
          <w:szCs w:val="24"/>
          <w:highlight w:val="none"/>
        </w:rPr>
      </w:r>
      <w:r/>
    </w:p>
    <w:p>
      <w:pPr>
        <w:pStyle w:val="70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.3 不可抗力事件延续120天以上，双方应通过友好协商，确定是否继续履行合同。</w:t>
      </w:r>
      <w:r>
        <w:rPr>
          <w:rFonts w:hint="eastAsia" w:hAnsi="宋体"/>
          <w:sz w:val="24"/>
          <w:szCs w:val="24"/>
          <w:highlight w:val="none"/>
        </w:rPr>
      </w:r>
      <w:r/>
    </w:p>
    <w:p>
      <w:pPr>
        <w:pStyle w:val="700"/>
        <w:spacing w:before="120" w:after="120"/>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w:t>
      </w:r>
      <w:r>
        <w:rPr>
          <w:rFonts w:hint="eastAsia" w:hAnsi="宋体"/>
          <w:b/>
          <w:sz w:val="24"/>
          <w:szCs w:val="24"/>
          <w:highlight w:val="none"/>
        </w:rPr>
        <w:t xml:space="preserve">解决争议的方法</w:t>
      </w:r>
      <w:r>
        <w:rPr>
          <w:rFonts w:hint="eastAsia" w:hAnsi="宋体"/>
          <w:b/>
          <w:sz w:val="24"/>
          <w:szCs w:val="24"/>
          <w:highlight w:val="none"/>
        </w:rPr>
      </w:r>
      <w:r/>
    </w:p>
    <w:p>
      <w:pPr>
        <w:pStyle w:val="700"/>
        <w:spacing w:before="120" w:after="120"/>
        <w:rPr>
          <w:rFonts w:hint="eastAsia" w:hAnsi="宋体"/>
          <w:sz w:val="24"/>
          <w:szCs w:val="24"/>
          <w:highlight w:val="none"/>
        </w:rPr>
      </w:pPr>
      <w:r>
        <w:rPr>
          <w:rFonts w:hint="eastAsia" w:hAnsi="宋体"/>
          <w:sz w:val="24"/>
          <w:szCs w:val="24"/>
          <w:highlight w:val="none"/>
        </w:rPr>
        <w:t xml:space="preserve">13.1双方在签订、履行合同中所发生的一切争议，应通过友好协商解决。如协商不成，由甲方住所地仲裁委员会管辖。</w:t>
      </w:r>
      <w:r>
        <w:rPr>
          <w:rFonts w:hint="eastAsia" w:hAnsi="宋体"/>
          <w:sz w:val="24"/>
          <w:szCs w:val="24"/>
          <w:highlight w:val="none"/>
        </w:rPr>
      </w:r>
      <w:r/>
    </w:p>
    <w:p>
      <w:pPr>
        <w:pStyle w:val="700"/>
        <w:spacing w:before="120" w:after="120"/>
        <w:rPr>
          <w:rFonts w:hint="eastAsia"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、合同生效及其它</w:t>
      </w:r>
      <w:r>
        <w:rPr>
          <w:rFonts w:hint="eastAsia" w:hAnsi="宋体"/>
          <w:b/>
          <w:sz w:val="24"/>
          <w:szCs w:val="24"/>
          <w:highlight w:val="none"/>
        </w:rPr>
      </w:r>
      <w:r/>
    </w:p>
    <w:p>
      <w:pPr>
        <w:pStyle w:val="70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.1 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rPr>
          <w:rFonts w:hint="eastAsia" w:hAnsi="宋体"/>
          <w:sz w:val="24"/>
          <w:szCs w:val="24"/>
          <w:highlight w:val="none"/>
        </w:rPr>
      </w:r>
      <w:r/>
    </w:p>
    <w:p>
      <w:pPr>
        <w:pStyle w:val="70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.2本合同未尽事宜，遵照</w:t>
      </w:r>
      <w:r>
        <w:rPr>
          <w:rFonts w:hint="eastAsia" w:hAnsi="宋体"/>
          <w:sz w:val="24"/>
          <w:szCs w:val="24"/>
          <w:highlight w:val="none"/>
        </w:rPr>
        <w:t xml:space="preserve">中华人民共和国现行法律法规</w:t>
      </w:r>
      <w:r>
        <w:rPr>
          <w:rFonts w:hAnsi="宋体"/>
          <w:sz w:val="24"/>
          <w:szCs w:val="24"/>
          <w:highlight w:val="none"/>
        </w:rPr>
        <w:t xml:space="preserve">有关条文执行。</w:t>
      </w:r>
      <w:r>
        <w:rPr>
          <w:rFonts w:hint="eastAsia" w:hAnsi="宋体"/>
          <w:sz w:val="24"/>
          <w:szCs w:val="24"/>
          <w:highlight w:val="none"/>
        </w:rPr>
      </w:r>
      <w:r/>
    </w:p>
    <w:p>
      <w:pPr>
        <w:pStyle w:val="700"/>
        <w:ind w:left="480" w:hanging="480"/>
        <w:spacing w:before="120" w:after="120"/>
        <w:rPr>
          <w:rFonts w:hint="eastAsia"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本合同正本一式</w:t>
      </w:r>
      <w:r>
        <w:rPr>
          <w:rFonts w:hint="eastAsia" w:hAnsi="宋体"/>
          <w:sz w:val="24"/>
          <w:szCs w:val="24"/>
          <w:highlight w:val="none"/>
        </w:rPr>
        <w:t xml:space="preserve">两</w:t>
      </w:r>
      <w:r>
        <w:rPr>
          <w:rFonts w:hAnsi="宋体"/>
          <w:sz w:val="24"/>
          <w:szCs w:val="24"/>
          <w:highlight w:val="none"/>
        </w:rPr>
        <w:t xml:space="preserve">份，具有同等法律效力，甲</w:t>
      </w:r>
      <w:r>
        <w:rPr>
          <w:rFonts w:hint="eastAsia" w:hAnsi="宋体"/>
          <w:sz w:val="24"/>
          <w:szCs w:val="24"/>
          <w:highlight w:val="none"/>
        </w:rPr>
        <w:t xml:space="preserve">方、</w:t>
      </w:r>
      <w:r>
        <w:rPr>
          <w:rFonts w:hAnsi="宋体"/>
          <w:sz w:val="24"/>
          <w:szCs w:val="24"/>
          <w:highlight w:val="none"/>
        </w:rPr>
        <w:t xml:space="preserve">乙方各执一份。</w:t>
      </w:r>
      <w:r>
        <w:rPr>
          <w:rFonts w:hint="eastAsia" w:hAnsi="宋体"/>
          <w:sz w:val="24"/>
          <w:szCs w:val="24"/>
          <w:highlight w:val="none"/>
        </w:rPr>
      </w:r>
      <w:r/>
    </w:p>
    <w:p>
      <w:pPr>
        <w:pStyle w:val="700"/>
        <w:ind w:left="480" w:hanging="480"/>
        <w:spacing w:before="120" w:after="120" w:line="0" w:lineRule="atLeast"/>
        <w:rPr>
          <w:rFonts w:hint="eastAsia" w:hAnsi="宋体"/>
          <w:sz w:val="24"/>
          <w:szCs w:val="24"/>
          <w:highlight w:val="none"/>
        </w:rPr>
      </w:pPr>
      <w:r>
        <w:rPr>
          <w:rFonts w:hAnsi="宋体"/>
          <w:sz w:val="24"/>
          <w:szCs w:val="24"/>
          <w:highlight w:val="none"/>
        </w:rPr>
        <w:t xml:space="preserve">  甲方：                        乙方： </w:t>
      </w:r>
      <w:r>
        <w:rPr>
          <w:rFonts w:hint="eastAsia" w:hAnsi="宋体"/>
          <w:sz w:val="24"/>
          <w:szCs w:val="24"/>
          <w:highlight w:val="none"/>
        </w:rPr>
      </w:r>
      <w:r/>
    </w:p>
    <w:p>
      <w:pPr>
        <w:pStyle w:val="700"/>
        <w:spacing w:before="120" w:after="120" w:line="0" w:lineRule="atLeast"/>
        <w:rPr>
          <w:rFonts w:hint="eastAsia" w:hAnsi="宋体"/>
          <w:sz w:val="24"/>
          <w:szCs w:val="24"/>
          <w:highlight w:val="none"/>
        </w:rPr>
      </w:pPr>
      <w:r>
        <w:rPr>
          <w:rFonts w:hAnsi="宋体"/>
          <w:sz w:val="24"/>
          <w:szCs w:val="24"/>
          <w:highlight w:val="none"/>
        </w:rPr>
        <w:t xml:space="preserve">  地址：                       </w:t>
      </w:r>
      <w:r>
        <w:rPr>
          <w:rFonts w:hint="eastAsia" w:hAnsi="宋体"/>
          <w:sz w:val="24"/>
          <w:szCs w:val="24"/>
          <w:highlight w:val="none"/>
        </w:rPr>
        <w:t xml:space="preserve"> </w:t>
      </w:r>
      <w:r>
        <w:rPr>
          <w:rFonts w:hAnsi="宋体"/>
          <w:sz w:val="24"/>
          <w:szCs w:val="24"/>
          <w:highlight w:val="none"/>
        </w:rPr>
        <w:t xml:space="preserve">地址： </w:t>
      </w:r>
      <w:r>
        <w:rPr>
          <w:rFonts w:hint="eastAsia" w:hAnsi="宋体"/>
          <w:sz w:val="24"/>
          <w:szCs w:val="24"/>
          <w:highlight w:val="none"/>
        </w:rPr>
      </w:r>
      <w:r/>
    </w:p>
    <w:p>
      <w:pPr>
        <w:pStyle w:val="700"/>
        <w:spacing w:before="120" w:after="120" w:line="0" w:lineRule="atLeast"/>
        <w:rPr>
          <w:rFonts w:hint="eastAsia"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rPr>
          <w:rFonts w:hint="eastAsia" w:hAnsi="宋体"/>
          <w:sz w:val="24"/>
          <w:szCs w:val="24"/>
          <w:highlight w:val="none"/>
        </w:rPr>
      </w:r>
      <w:r/>
    </w:p>
    <w:p>
      <w:pPr>
        <w:pStyle w:val="700"/>
        <w:ind w:firstLine="240"/>
        <w:spacing w:before="120" w:after="120" w:line="0" w:lineRule="atLeast"/>
        <w:rPr>
          <w:highlight w:val="none"/>
        </w:rPr>
      </w:pPr>
      <w:r>
        <w:rPr>
          <w:rFonts w:hint="eastAsia" w:hAnsi="宋体"/>
          <w:sz w:val="24"/>
          <w:szCs w:val="24"/>
          <w:highlight w:val="none"/>
        </w:rPr>
        <w:t xml:space="preserve">联系电话：                    联系电话：          </w:t>
      </w:r>
      <w:r>
        <w:rPr>
          <w:highlight w:val="none"/>
        </w:rPr>
      </w:r>
      <w:r/>
    </w:p>
    <w:p>
      <w:pPr>
        <w:pStyle w:val="700"/>
        <w:jc w:val="center"/>
        <w:spacing w:before="120" w:after="120" w:line="0" w:lineRule="atLeast"/>
        <w:rPr>
          <w:rFonts w:hint="eastAsia" w:hAnsi="宋体"/>
          <w:sz w:val="24"/>
          <w:szCs w:val="24"/>
        </w:rPr>
      </w:pPr>
      <w:r>
        <w:rPr>
          <w:rFonts w:hint="eastAsia"/>
          <w:highlight w:val="none"/>
        </w:rPr>
        <w:t xml:space="preserve">                                        </w:t>
      </w:r>
      <w:r>
        <w:rPr>
          <w:rFonts w:hint="eastAsia" w:hAnsi="宋体"/>
          <w:sz w:val="24"/>
          <w:szCs w:val="24"/>
          <w:highlight w:val="none"/>
        </w:rPr>
        <w:t xml:space="preserve">  签订日期：      年    月   日</w:t>
      </w:r>
      <w:bookmarkStart w:id="194" w:name="_Hlt16619369"/>
      <w:r/>
      <w:bookmarkEnd w:id="194"/>
      <w:r>
        <w:rPr>
          <w:rFonts w:ascii="黑体" w:eastAsia="黑体"/>
          <w:bCs/>
          <w:sz w:val="44"/>
          <w:highlight w:val="none"/>
        </w:rPr>
        <w:br w:type="page" w:clear="all"/>
      </w:r>
      <w:r>
        <w:rPr>
          <w:rFonts w:hint="eastAsia" w:ascii="黑体" w:eastAsia="黑体"/>
          <w:bCs/>
          <w:sz w:val="44"/>
        </w:rPr>
        <w:t xml:space="preserve">第</w:t>
      </w:r>
      <w:bookmarkEnd w:id="188"/>
      <w:r>
        <w:rPr>
          <w:rFonts w:hint="eastAsia" w:ascii="黑体" w:eastAsia="黑体"/>
          <w:bCs/>
          <w:sz w:val="44"/>
        </w:rPr>
        <w:t xml:space="preserve">四章 采购需求</w:t>
      </w:r>
      <w:bookmarkEnd w:id="189"/>
      <w:r/>
      <w:bookmarkEnd w:id="190"/>
      <w:r/>
      <w:bookmarkEnd w:id="191"/>
      <w:r>
        <w:rPr>
          <w:rFonts w:hint="eastAsia" w:hAnsi="宋体"/>
          <w:sz w:val="24"/>
          <w:szCs w:val="24"/>
        </w:rPr>
      </w:r>
      <w:r/>
    </w:p>
    <w:p>
      <w:pPr>
        <w:pStyle w:val="660"/>
        <w:spacing w:line="0" w:lineRule="atLeast"/>
        <w:rPr>
          <w:rFonts w:hint="eastAsia" w:ascii="宋体" w:hAnsi="宋体"/>
          <w:color w:val="000000"/>
          <w:sz w:val="24"/>
          <w:szCs w:val="24"/>
          <w:highlight w:val="yellow"/>
        </w:rPr>
      </w:pPr>
      <w:r/>
      <w:bookmarkStart w:id="195" w:name="_Toc49090575"/>
      <w:r/>
      <w:bookmarkStart w:id="196" w:name="_Toc26554093"/>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660"/>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660"/>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2"/>
        <w:gridCol w:w="4779"/>
        <w:gridCol w:w="2897"/>
      </w:tblGrid>
      <w:tr>
        <w:trPr>
          <w:cantSplit/>
          <w:trHeight w:val="966"/>
        </w:trPr>
        <w:tc>
          <w:tcPr>
            <w:tcW w:w="1322"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序号</w:t>
            </w:r>
            <w:r>
              <w:rPr>
                <w:rFonts w:hint="eastAsia" w:ascii="仿宋" w:hAnsi="仿宋" w:eastAsia="仿宋"/>
                <w:sz w:val="24"/>
                <w:szCs w:val="24"/>
                <w:highlight w:val="none"/>
              </w:rPr>
            </w:r>
            <w:r/>
          </w:p>
        </w:tc>
        <w:tc>
          <w:tcPr>
            <w:tcW w:w="4779"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采购</w:t>
            </w:r>
            <w:r>
              <w:rPr>
                <w:rFonts w:ascii="仿宋" w:hAnsi="仿宋" w:eastAsia="仿宋"/>
                <w:sz w:val="24"/>
                <w:szCs w:val="24"/>
                <w:highlight w:val="none"/>
              </w:rPr>
              <w:t xml:space="preserve">标的</w:t>
            </w:r>
            <w:r>
              <w:rPr>
                <w:rFonts w:hint="eastAsia" w:ascii="仿宋" w:hAnsi="仿宋" w:eastAsia="仿宋"/>
                <w:sz w:val="24"/>
                <w:szCs w:val="24"/>
                <w:highlight w:val="none"/>
              </w:rPr>
            </w:r>
            <w:r/>
          </w:p>
        </w:tc>
        <w:tc>
          <w:tcPr>
            <w:tcW w:w="2897"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对应中</w:t>
            </w:r>
            <w:r>
              <w:rPr>
                <w:rFonts w:ascii="仿宋" w:hAnsi="仿宋" w:eastAsia="仿宋"/>
                <w:sz w:val="24"/>
                <w:szCs w:val="24"/>
                <w:highlight w:val="none"/>
              </w:rPr>
              <w:t xml:space="preserve">小企业划分标准所属行业</w:t>
            </w:r>
            <w:r>
              <w:rPr>
                <w:rFonts w:hint="eastAsia" w:ascii="仿宋" w:hAnsi="仿宋" w:eastAsia="仿宋"/>
                <w:sz w:val="24"/>
                <w:szCs w:val="24"/>
                <w:highlight w:val="none"/>
              </w:rPr>
            </w:r>
            <w:r/>
          </w:p>
        </w:tc>
      </w:tr>
      <w:tr>
        <w:trPr>
          <w:cantSplit/>
          <w:trHeight w:val="966"/>
        </w:trPr>
        <w:tc>
          <w:tcPr>
            <w:tcW w:w="1322"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1</w:t>
            </w:r>
            <w:r>
              <w:rPr>
                <w:rFonts w:hint="eastAsia" w:ascii="仿宋" w:hAnsi="仿宋" w:eastAsia="仿宋"/>
                <w:sz w:val="24"/>
                <w:szCs w:val="24"/>
                <w:highlight w:val="none"/>
              </w:rPr>
            </w:r>
            <w:r/>
          </w:p>
        </w:tc>
        <w:tc>
          <w:tcPr>
            <w:tcW w:w="4779" w:type="dxa"/>
            <w:vAlign w:val="center"/>
            <w:textDirection w:val="lrTb"/>
            <w:noWrap w:val="false"/>
          </w:tcPr>
          <w:p>
            <w:pPr>
              <w:pStyle w:val="660"/>
              <w:jc w:val="center"/>
              <w:spacing w:line="480" w:lineRule="exact"/>
              <w:tabs>
                <w:tab w:val="left" w:pos="2020" w:leader="none"/>
              </w:tabs>
              <w:rPr>
                <w:rFonts w:hint="eastAsia" w:ascii="仿宋" w:hAnsi="仿宋" w:eastAsia="仿宋"/>
                <w:sz w:val="24"/>
                <w:szCs w:val="24"/>
                <w:highlight w:val="none"/>
              </w:rPr>
            </w:pPr>
            <w:r>
              <w:rPr>
                <w:rFonts w:hint="eastAsia" w:ascii="宋体" w:hAnsi="宋体" w:cs="宋体"/>
                <w:sz w:val="22"/>
                <w:szCs w:val="22"/>
                <w:highlight w:val="none"/>
              </w:rPr>
              <w:t xml:space="preserve">基于市区不动产登记业务系统3.0版本升级改造为全市不动产登记业务平台</w:t>
            </w:r>
            <w:r>
              <w:rPr>
                <w:rFonts w:hint="eastAsia" w:ascii="仿宋" w:hAnsi="仿宋" w:eastAsia="仿宋"/>
                <w:sz w:val="24"/>
                <w:szCs w:val="24"/>
                <w:highlight w:val="none"/>
              </w:rPr>
            </w:r>
            <w:r/>
          </w:p>
        </w:tc>
        <w:tc>
          <w:tcPr>
            <w:tcW w:w="2897" w:type="dxa"/>
            <w:vAlign w:val="center"/>
            <w:textDirection w:val="lrTb"/>
            <w:noWrap w:val="false"/>
          </w:tcPr>
          <w:p>
            <w:pPr>
              <w:pStyle w:val="660"/>
              <w:jc w:val="center"/>
              <w:spacing w:line="480" w:lineRule="exact"/>
              <w:rPr>
                <w:rFonts w:hint="eastAsia" w:ascii="仿宋" w:hAnsi="仿宋" w:eastAsia="宋体"/>
                <w:sz w:val="24"/>
                <w:szCs w:val="24"/>
                <w:highlight w:val="none"/>
                <w:lang w:eastAsia="zh-CN"/>
              </w:rPr>
            </w:pPr>
            <w:r>
              <w:rPr>
                <w:rFonts w:hint="eastAsia" w:ascii="宋体" w:hAnsi="宋体" w:cs="宋体"/>
                <w:sz w:val="22"/>
                <w:szCs w:val="22"/>
                <w:highlight w:val="none"/>
              </w:rPr>
              <w:t xml:space="preserve">软件和信息技术服务</w:t>
            </w:r>
            <w:r>
              <w:rPr>
                <w:rFonts w:hint="eastAsia" w:ascii="宋体" w:hAnsi="宋体" w:cs="宋体"/>
                <w:sz w:val="22"/>
                <w:szCs w:val="22"/>
                <w:highlight w:val="none"/>
                <w:lang w:eastAsia="zh-CN"/>
              </w:rPr>
              <w:t xml:space="preserve">业</w:t>
            </w:r>
            <w:r>
              <w:rPr>
                <w:rFonts w:hint="eastAsia" w:ascii="仿宋" w:hAnsi="仿宋" w:eastAsia="宋体"/>
                <w:sz w:val="24"/>
                <w:szCs w:val="24"/>
                <w:highlight w:val="none"/>
                <w:lang w:eastAsia="zh-CN"/>
              </w:rPr>
            </w:r>
            <w:r/>
          </w:p>
        </w:tc>
      </w:tr>
      <w:tr>
        <w:trPr>
          <w:cantSplit/>
          <w:trHeight w:val="488"/>
        </w:trPr>
        <w:tc>
          <w:tcPr>
            <w:tcW w:w="1322"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2</w:t>
            </w:r>
            <w:r>
              <w:rPr>
                <w:rFonts w:hint="eastAsia" w:ascii="仿宋" w:hAnsi="仿宋" w:eastAsia="仿宋"/>
                <w:sz w:val="24"/>
                <w:szCs w:val="24"/>
                <w:highlight w:val="none"/>
              </w:rPr>
            </w:r>
            <w:r/>
          </w:p>
        </w:tc>
        <w:tc>
          <w:tcPr>
            <w:tcW w:w="4779"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不动产登记数据整合入库建设</w:t>
            </w:r>
            <w:r>
              <w:rPr>
                <w:rFonts w:hint="eastAsia" w:ascii="仿宋" w:hAnsi="仿宋" w:eastAsia="仿宋"/>
                <w:sz w:val="24"/>
                <w:szCs w:val="24"/>
                <w:highlight w:val="none"/>
              </w:rPr>
            </w:r>
            <w:r/>
          </w:p>
        </w:tc>
        <w:tc>
          <w:tcPr>
            <w:tcW w:w="2897" w:type="dxa"/>
            <w:vAlign w:val="center"/>
            <w:textDirection w:val="lrTb"/>
            <w:noWrap w:val="false"/>
          </w:tcPr>
          <w:p>
            <w:pPr>
              <w:pStyle w:val="660"/>
              <w:jc w:val="center"/>
              <w:spacing w:line="480" w:lineRule="exact"/>
              <w:rPr>
                <w:rFonts w:hint="eastAsia" w:ascii="仿宋" w:hAnsi="仿宋" w:eastAsia="宋体"/>
                <w:sz w:val="24"/>
                <w:szCs w:val="24"/>
                <w:highlight w:val="none"/>
                <w:lang w:eastAsia="zh-CN"/>
              </w:rPr>
            </w:pPr>
            <w:r>
              <w:rPr>
                <w:rFonts w:hint="eastAsia" w:ascii="宋体" w:hAnsi="宋体" w:cs="宋体"/>
                <w:sz w:val="22"/>
                <w:szCs w:val="22"/>
                <w:highlight w:val="none"/>
              </w:rPr>
              <w:t xml:space="preserve">软件和信息技术服务</w:t>
            </w:r>
            <w:r>
              <w:rPr>
                <w:rFonts w:hint="eastAsia" w:ascii="宋体" w:hAnsi="宋体" w:cs="宋体"/>
                <w:sz w:val="22"/>
                <w:szCs w:val="22"/>
                <w:highlight w:val="none"/>
                <w:lang w:eastAsia="zh-CN"/>
              </w:rPr>
              <w:t xml:space="preserve">业</w:t>
            </w:r>
            <w:r>
              <w:rPr>
                <w:rFonts w:hint="eastAsia" w:ascii="仿宋" w:hAnsi="仿宋" w:eastAsia="宋体"/>
                <w:sz w:val="24"/>
                <w:szCs w:val="24"/>
                <w:highlight w:val="none"/>
                <w:lang w:eastAsia="zh-CN"/>
              </w:rPr>
            </w:r>
            <w:r/>
          </w:p>
        </w:tc>
      </w:tr>
      <w:tr>
        <w:trPr>
          <w:cantSplit/>
          <w:trHeight w:val="966"/>
        </w:trPr>
        <w:tc>
          <w:tcPr>
            <w:tcW w:w="1322"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3</w:t>
            </w:r>
            <w:r>
              <w:rPr>
                <w:rFonts w:hint="eastAsia" w:ascii="仿宋" w:hAnsi="仿宋" w:eastAsia="仿宋"/>
                <w:sz w:val="24"/>
                <w:szCs w:val="24"/>
                <w:highlight w:val="none"/>
              </w:rPr>
            </w:r>
            <w:r/>
          </w:p>
        </w:tc>
        <w:tc>
          <w:tcPr>
            <w:tcW w:w="4779"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“互联网+不动产登记”系统新增业务模块</w:t>
            </w:r>
            <w:r>
              <w:rPr>
                <w:rFonts w:hint="eastAsia" w:ascii="仿宋" w:hAnsi="仿宋" w:eastAsia="仿宋"/>
                <w:sz w:val="24"/>
                <w:szCs w:val="24"/>
                <w:highlight w:val="none"/>
              </w:rPr>
            </w:r>
            <w:r/>
          </w:p>
        </w:tc>
        <w:tc>
          <w:tcPr>
            <w:tcW w:w="2897" w:type="dxa"/>
            <w:vAlign w:val="center"/>
            <w:textDirection w:val="lrTb"/>
            <w:noWrap w:val="false"/>
          </w:tcPr>
          <w:p>
            <w:pPr>
              <w:pStyle w:val="660"/>
              <w:jc w:val="center"/>
              <w:spacing w:line="480" w:lineRule="exact"/>
              <w:rPr>
                <w:rFonts w:hint="eastAsia" w:ascii="仿宋" w:hAnsi="仿宋" w:eastAsia="宋体"/>
                <w:sz w:val="24"/>
                <w:szCs w:val="24"/>
                <w:highlight w:val="none"/>
                <w:lang w:eastAsia="zh-CN"/>
              </w:rPr>
            </w:pPr>
            <w:r>
              <w:rPr>
                <w:rFonts w:hint="eastAsia" w:ascii="宋体" w:hAnsi="宋体" w:cs="宋体"/>
                <w:sz w:val="22"/>
                <w:szCs w:val="22"/>
                <w:highlight w:val="none"/>
              </w:rPr>
              <w:t xml:space="preserve">软件和信息技术服务</w:t>
            </w:r>
            <w:r>
              <w:rPr>
                <w:rFonts w:hint="eastAsia" w:ascii="宋体" w:hAnsi="宋体" w:cs="宋体"/>
                <w:sz w:val="22"/>
                <w:szCs w:val="22"/>
                <w:highlight w:val="none"/>
                <w:lang w:eastAsia="zh-CN"/>
              </w:rPr>
              <w:t xml:space="preserve">业</w:t>
            </w:r>
            <w:r>
              <w:rPr>
                <w:rFonts w:hint="eastAsia" w:ascii="仿宋" w:hAnsi="仿宋" w:eastAsia="宋体"/>
                <w:sz w:val="24"/>
                <w:szCs w:val="24"/>
                <w:highlight w:val="none"/>
                <w:lang w:eastAsia="zh-CN"/>
              </w:rPr>
            </w:r>
            <w:r/>
          </w:p>
        </w:tc>
      </w:tr>
      <w:tr>
        <w:trPr>
          <w:cantSplit/>
          <w:trHeight w:val="966"/>
        </w:trPr>
        <w:tc>
          <w:tcPr>
            <w:tcW w:w="1322"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4</w:t>
            </w:r>
            <w:r>
              <w:rPr>
                <w:rFonts w:hint="eastAsia" w:ascii="仿宋" w:hAnsi="仿宋" w:eastAsia="仿宋"/>
                <w:sz w:val="24"/>
                <w:szCs w:val="24"/>
                <w:highlight w:val="none"/>
              </w:rPr>
            </w:r>
            <w:r/>
          </w:p>
        </w:tc>
        <w:tc>
          <w:tcPr>
            <w:tcW w:w="4779"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不动产登记现有管理系统开展信创改造</w:t>
            </w:r>
            <w:r>
              <w:rPr>
                <w:rFonts w:hint="eastAsia" w:ascii="仿宋" w:hAnsi="仿宋" w:eastAsia="仿宋"/>
                <w:sz w:val="24"/>
                <w:szCs w:val="24"/>
                <w:highlight w:val="none"/>
              </w:rPr>
            </w:r>
            <w:r/>
          </w:p>
        </w:tc>
        <w:tc>
          <w:tcPr>
            <w:tcW w:w="2897" w:type="dxa"/>
            <w:vAlign w:val="center"/>
            <w:textDirection w:val="lrTb"/>
            <w:noWrap w:val="false"/>
          </w:tcPr>
          <w:p>
            <w:pPr>
              <w:pStyle w:val="660"/>
              <w:jc w:val="center"/>
              <w:spacing w:line="480" w:lineRule="exact"/>
              <w:rPr>
                <w:rFonts w:hint="eastAsia" w:ascii="仿宋" w:hAnsi="仿宋" w:eastAsia="宋体"/>
                <w:sz w:val="24"/>
                <w:szCs w:val="24"/>
                <w:highlight w:val="none"/>
                <w:lang w:eastAsia="zh-CN"/>
              </w:rPr>
            </w:pPr>
            <w:r>
              <w:rPr>
                <w:rFonts w:hint="eastAsia" w:ascii="宋体" w:hAnsi="宋体" w:cs="宋体"/>
                <w:sz w:val="22"/>
                <w:szCs w:val="22"/>
                <w:highlight w:val="none"/>
              </w:rPr>
              <w:t xml:space="preserve">软件和信息技术服务</w:t>
            </w:r>
            <w:r>
              <w:rPr>
                <w:rFonts w:hint="eastAsia" w:ascii="宋体" w:hAnsi="宋体" w:cs="宋体"/>
                <w:sz w:val="22"/>
                <w:szCs w:val="22"/>
                <w:highlight w:val="none"/>
                <w:lang w:eastAsia="zh-CN"/>
              </w:rPr>
              <w:t xml:space="preserve">业</w:t>
            </w:r>
            <w:r>
              <w:rPr>
                <w:rFonts w:hint="eastAsia" w:ascii="仿宋" w:hAnsi="仿宋" w:eastAsia="宋体"/>
                <w:sz w:val="24"/>
                <w:szCs w:val="24"/>
                <w:highlight w:val="none"/>
                <w:lang w:eastAsia="zh-CN"/>
              </w:rPr>
            </w:r>
            <w:r/>
          </w:p>
        </w:tc>
      </w:tr>
      <w:tr>
        <w:trPr>
          <w:cantSplit/>
          <w:trHeight w:val="498"/>
        </w:trPr>
        <w:tc>
          <w:tcPr>
            <w:tcW w:w="1322" w:type="dxa"/>
            <w:vAlign w:val="center"/>
            <w:textDirection w:val="lrTb"/>
            <w:noWrap w:val="false"/>
          </w:tcPr>
          <w:p>
            <w:pPr>
              <w:pStyle w:val="660"/>
              <w:jc w:val="center"/>
              <w:spacing w:line="480" w:lineRule="exact"/>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lang w:val="en-US" w:eastAsia="zh-CN"/>
              </w:rPr>
            </w:r>
            <w:r/>
          </w:p>
        </w:tc>
        <w:tc>
          <w:tcPr>
            <w:tcW w:w="4779" w:type="dxa"/>
            <w:vAlign w:val="center"/>
            <w:textDirection w:val="lrTb"/>
            <w:noWrap w:val="false"/>
          </w:tcPr>
          <w:p>
            <w:pPr>
              <w:pStyle w:val="660"/>
              <w:jc w:val="center"/>
              <w:spacing w:line="480" w:lineRule="exact"/>
              <w:rPr>
                <w:rFonts w:hint="eastAsia" w:ascii="仿宋" w:hAnsi="仿宋" w:eastAsia="仿宋"/>
                <w:sz w:val="24"/>
                <w:szCs w:val="24"/>
                <w:highlight w:val="none"/>
              </w:rPr>
            </w:pPr>
            <w:r>
              <w:rPr>
                <w:rFonts w:hint="eastAsia" w:ascii="仿宋" w:hAnsi="仿宋" w:eastAsia="仿宋"/>
                <w:sz w:val="24"/>
                <w:szCs w:val="24"/>
                <w:highlight w:val="none"/>
              </w:rPr>
              <w:t xml:space="preserve">软硬件采购</w:t>
            </w:r>
            <w:r>
              <w:rPr>
                <w:rFonts w:hint="eastAsia" w:ascii="仿宋" w:hAnsi="仿宋" w:eastAsia="仿宋"/>
                <w:sz w:val="24"/>
                <w:szCs w:val="24"/>
                <w:highlight w:val="none"/>
              </w:rPr>
            </w:r>
            <w:r/>
          </w:p>
        </w:tc>
        <w:tc>
          <w:tcPr>
            <w:tcW w:w="2897" w:type="dxa"/>
            <w:vAlign w:val="center"/>
            <w:textDirection w:val="lrTb"/>
            <w:noWrap w:val="false"/>
          </w:tcPr>
          <w:p>
            <w:pPr>
              <w:pStyle w:val="660"/>
              <w:jc w:val="center"/>
              <w:spacing w:line="480" w:lineRule="exact"/>
              <w:rPr>
                <w:rFonts w:hint="eastAsia" w:ascii="仿宋" w:hAnsi="仿宋" w:eastAsia="宋体"/>
                <w:sz w:val="24"/>
                <w:szCs w:val="24"/>
                <w:highlight w:val="none"/>
                <w:lang w:eastAsia="zh-CN"/>
              </w:rPr>
            </w:pPr>
            <w:r>
              <w:rPr>
                <w:rFonts w:hint="eastAsia" w:ascii="宋体" w:hAnsi="宋体" w:cs="宋体"/>
                <w:sz w:val="22"/>
                <w:szCs w:val="22"/>
                <w:highlight w:val="none"/>
              </w:rPr>
              <w:t xml:space="preserve">软件和信息技术服务</w:t>
            </w:r>
            <w:r>
              <w:rPr>
                <w:rFonts w:hint="eastAsia" w:ascii="宋体" w:hAnsi="宋体" w:cs="宋体"/>
                <w:sz w:val="22"/>
                <w:szCs w:val="22"/>
                <w:highlight w:val="none"/>
                <w:lang w:eastAsia="zh-CN"/>
              </w:rPr>
              <w:t xml:space="preserve">业</w:t>
            </w:r>
            <w:r>
              <w:rPr>
                <w:rFonts w:hint="eastAsia" w:ascii="仿宋" w:hAnsi="仿宋" w:eastAsia="宋体"/>
                <w:sz w:val="24"/>
                <w:szCs w:val="24"/>
                <w:highlight w:val="none"/>
                <w:lang w:eastAsia="zh-CN"/>
              </w:rPr>
            </w:r>
            <w:r/>
          </w:p>
        </w:tc>
      </w:tr>
    </w:tbl>
    <w:p>
      <w:pPr>
        <w:pStyle w:val="660"/>
        <w:spacing w:line="480" w:lineRule="exact"/>
        <w:rPr>
          <w:rFonts w:ascii="仿宋" w:hAnsi="仿宋" w:eastAsia="仿宋"/>
          <w:sz w:val="24"/>
          <w:szCs w:val="24"/>
          <w:highlight w:val="yellow"/>
        </w:rPr>
      </w:pPr>
      <w:r>
        <w:rPr>
          <w:rFonts w:ascii="仿宋" w:hAnsi="仿宋" w:eastAsia="仿宋"/>
          <w:sz w:val="24"/>
          <w:szCs w:val="24"/>
          <w:highlight w:val="yellow"/>
        </w:rPr>
      </w:r>
      <w:r/>
    </w:p>
    <w:p>
      <w:pPr>
        <w:pStyle w:val="660"/>
        <w:spacing w:line="480" w:lineRule="exact"/>
        <w:rPr>
          <w:rFonts w:hint="eastAsia" w:ascii="宋体" w:hAnsi="宋体"/>
          <w:color w:val="000000"/>
          <w:sz w:val="24"/>
          <w:szCs w:val="24"/>
          <w:highlight w:val="yellow"/>
        </w:rPr>
      </w:pPr>
      <w:r>
        <w:rPr>
          <w:rFonts w:hint="eastAsia" w:ascii="仿宋" w:hAnsi="仿宋" w:eastAsia="仿宋"/>
          <w:b/>
          <w:color w:val="000000"/>
          <w:sz w:val="24"/>
          <w:szCs w:val="24"/>
        </w:rPr>
        <w:t xml:space="preserve">二</w:t>
      </w:r>
      <w:r>
        <w:rPr>
          <w:rFonts w:ascii="仿宋" w:hAnsi="仿宋" w:eastAsia="仿宋"/>
          <w:b/>
          <w:color w:val="000000"/>
          <w:sz w:val="24"/>
          <w:szCs w:val="24"/>
        </w:rPr>
        <w:t xml:space="preserve">、技术要求</w:t>
      </w:r>
      <w:r>
        <w:rPr>
          <w:rFonts w:hint="eastAsia" w:ascii="宋体" w:hAnsi="宋体"/>
          <w:color w:val="000000"/>
          <w:sz w:val="24"/>
          <w:szCs w:val="24"/>
          <w:highlight w:val="yellow"/>
        </w:rPr>
      </w:r>
      <w:r/>
    </w:p>
    <w:p>
      <w:pPr>
        <w:pStyle w:val="660"/>
        <w:ind w:firstLine="480"/>
        <w:spacing w:line="0" w:lineRule="atLeast"/>
        <w:rPr>
          <w:rFonts w:hint="eastAsia" w:ascii="宋体" w:hAnsi="宋体"/>
          <w:bCs/>
          <w:sz w:val="24"/>
          <w:szCs w:val="24"/>
        </w:rPr>
      </w:pPr>
      <w:r>
        <w:rPr>
          <w:rFonts w:hint="eastAsia" w:ascii="宋体" w:hAnsi="宋体"/>
          <w:bCs/>
          <w:sz w:val="24"/>
          <w:szCs w:val="24"/>
        </w:rPr>
        <w:t xml:space="preserve">技术要求是指对采购标的功能和质量要求，包括性能、材料、结构、外观、安全，或者服务内容和标准等。</w:t>
      </w:r>
      <w:r>
        <w:rPr>
          <w:rFonts w:hint="eastAsia" w:ascii="宋体" w:hAnsi="宋体"/>
          <w:bCs/>
          <w:sz w:val="24"/>
          <w:szCs w:val="24"/>
        </w:rPr>
      </w:r>
      <w:r/>
    </w:p>
    <w:p>
      <w:pPr>
        <w:pStyle w:val="660"/>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Times New Roman"/>
          <w:bCs/>
          <w:sz w:val="24"/>
          <w:szCs w:val="24"/>
          <w:highlight w:val="none"/>
        </w:rPr>
        <w:t xml:space="preserve">〔202</w:t>
      </w: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en-US" w:eastAsia="zh-CN"/>
        </w:rPr>
        <w:t xml:space="preserve">65</w:t>
      </w:r>
      <w:r>
        <w:rPr>
          <w:rFonts w:hint="eastAsia" w:ascii="宋体" w:hAnsi="宋体" w:eastAsia="宋体" w:cs="Times New Roman"/>
          <w:bCs/>
          <w:sz w:val="24"/>
          <w:szCs w:val="24"/>
          <w:highlight w:val="none"/>
        </w:rPr>
        <w:t xml:space="preserve">号</w:t>
      </w:r>
      <w:r>
        <w:rPr>
          <w:rFonts w:hint="eastAsia" w:ascii="宋体" w:hAnsi="宋体" w:eastAsia="宋体"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hint="eastAsia" w:ascii="宋体" w:hAnsi="宋体" w:eastAsia="宋体" w:cs="Times New Roman"/>
          <w:bCs/>
          <w:sz w:val="24"/>
          <w:szCs w:val="24"/>
          <w:highlight w:val="none"/>
          <w:lang w:eastAsia="zh-CN"/>
        </w:rPr>
      </w:r>
      <w:r/>
    </w:p>
    <w:p>
      <w:pPr>
        <w:pStyle w:val="660"/>
        <w:ind w:firstLine="480"/>
        <w:spacing w:line="0" w:lineRule="atLeast"/>
        <w:rPr>
          <w:b/>
          <w:bCs/>
          <w:sz w:val="24"/>
          <w:szCs w:val="24"/>
          <w:highlight w:val="none"/>
        </w:rPr>
      </w:pPr>
      <w:r>
        <w:rPr>
          <w:rFonts w:hint="eastAsia"/>
          <w:b/>
          <w:bCs/>
          <w:sz w:val="24"/>
          <w:szCs w:val="24"/>
          <w:highlight w:val="none"/>
        </w:rPr>
        <w:t xml:space="preserve">1.建设任务</w:t>
      </w:r>
      <w:r>
        <w:rPr>
          <w:b/>
          <w:bCs/>
          <w:sz w:val="24"/>
          <w:szCs w:val="24"/>
          <w:highlight w:val="none"/>
        </w:rPr>
      </w:r>
      <w:r/>
    </w:p>
    <w:p>
      <w:pPr>
        <w:pStyle w:val="673"/>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通过本次不动产登记“同市同标”建设逐步统一南通市不动产登记标准化体系，实现全市大集中，一个系统、一套数据。同时结合信创要求，在同市同标过程中完成南通市不动产登记信息管理平台操作系统、数据库、中间件和GIS图形平台的信创适配替换，实现不动产登记信息平台自主可控。</w:t>
      </w:r>
      <w:r>
        <w:rPr>
          <w:rFonts w:ascii="Times New Roman" w:hAnsi="Times New Roman" w:eastAsia="宋体"/>
          <w:sz w:val="24"/>
          <w:szCs w:val="24"/>
          <w:highlight w:val="none"/>
        </w:rPr>
      </w:r>
      <w:r/>
    </w:p>
    <w:p>
      <w:pPr>
        <w:pStyle w:val="673"/>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项目建设平台拟部署于南通市政务信创云平台，此次项目采购的硬件资源将完全整合至市政务信创云平台中，支持不动产登记服务，相应的计算、存储、安全、网络等设备由南通市政务信创云平台提供，网络架构上涉及政务外网和互联网两种网络。</w:t>
      </w:r>
      <w:r>
        <w:rPr>
          <w:rFonts w:ascii="Times New Roman" w:hAnsi="Times New Roman" w:eastAsia="宋体"/>
          <w:sz w:val="24"/>
          <w:szCs w:val="24"/>
          <w:highlight w:val="none"/>
        </w:rPr>
      </w:r>
      <w:r/>
    </w:p>
    <w:p>
      <w:pPr>
        <w:pStyle w:val="660"/>
        <w:ind w:firstLine="480"/>
        <w:spacing w:line="0" w:lineRule="atLeast"/>
        <w:rPr>
          <w:b/>
          <w:bCs/>
          <w:sz w:val="24"/>
          <w:szCs w:val="24"/>
          <w:highlight w:val="none"/>
        </w:rPr>
      </w:pPr>
      <w:r>
        <w:rPr>
          <w:rFonts w:hint="eastAsia"/>
          <w:b/>
          <w:bCs/>
          <w:sz w:val="24"/>
          <w:szCs w:val="24"/>
          <w:highlight w:val="none"/>
        </w:rPr>
        <w:t xml:space="preserve">2.服务功能内容</w:t>
      </w:r>
      <w:r>
        <w:rPr>
          <w:b/>
          <w:bCs/>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本项目服务功能内容包括：</w:t>
      </w:r>
      <w:r>
        <w:rPr>
          <w:sz w:val="24"/>
          <w:szCs w:val="24"/>
          <w:highlight w:val="none"/>
        </w:rPr>
      </w:r>
      <w:r/>
    </w:p>
    <w:p>
      <w:pPr>
        <w:pStyle w:val="660"/>
        <w:ind w:firstLine="480"/>
        <w:spacing w:line="0" w:lineRule="atLeast"/>
        <w:rPr>
          <w:b/>
          <w:bCs/>
          <w:sz w:val="24"/>
          <w:szCs w:val="24"/>
          <w:highlight w:val="none"/>
        </w:rPr>
      </w:pPr>
      <w:r>
        <w:rPr>
          <w:rFonts w:hint="eastAsia"/>
          <w:b/>
          <w:bCs/>
          <w:sz w:val="24"/>
          <w:szCs w:val="24"/>
          <w:highlight w:val="none"/>
        </w:rPr>
        <w:t xml:space="preserve">2.1基于市区不动产登记业务系统3.0版本升级改造为全市不动产登记业务平台</w:t>
      </w:r>
      <w:r>
        <w:rPr>
          <w:b/>
          <w:bCs/>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制定全市统一的不动产登记需求规格说明书和数据库建设标准；按照全市统一的建设标准，将市区不动产登记业务系统3.0版本改造升级为全市不动产登记业务平台系统，实现全市一个登记平台。</w:t>
      </w:r>
      <w:r>
        <w:rPr>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（1）不动产需求说明书及数据库标准建设</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不动产需求说明书及数据库标准建设:梳理全市10个县（市、区）不动产登记业务类型、流程、收件材料及登记系统功能，制定全市统一的不动产登记需求规格说明书和数据库建设等标准</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（2）升级登记项目信息管理</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升级项目信息管理模块:包括权限管理、项目管理、自动派件、用户、组织及角色迁移整合等功能，支持全市全部县（市、区）的业务权限管理，实现项目受理、待办、在办、挂起、超期等分类管理和查看。使用颜色区分待办、在办、已办、挂起、超期等状态，并以可视化方式展示业务状态，对特殊状态进行醒目提示。实现按区域或跨区域的随机派件功能。模块升级后，整合各地区用户及权限。</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升级登记业务申请与流程管理</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ascii="宋体" w:hAnsi="宋体"/>
          <w:bCs/>
          <w:sz w:val="24"/>
          <w:szCs w:val="24"/>
          <w:highlight w:val="none"/>
        </w:rPr>
        <w:t xml:space="preserve">根据“同市同标”项目建立的全市统一的不动产登记需求规格说明书和数据库建设标准，基于市区不动产登记业务系统3.0版本，</w:t>
      </w:r>
      <w:r>
        <w:rPr>
          <w:rFonts w:hint="eastAsia" w:ascii="宋体" w:hAnsi="宋体"/>
          <w:bCs/>
          <w:sz w:val="24"/>
          <w:szCs w:val="24"/>
          <w:highlight w:val="none"/>
        </w:rPr>
        <w:t xml:space="preserve">根据“同市同标”项目需求规格说明书和数据库建设标准，对业务流程、系统表单页面、打印模板等进行调整，以满足全市各县（市、区）的使用需求。</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新建全市统一不动产登记数据统计模块</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基于合并后的全市不动产登记信息平台数据库，按照全市统一建设标准，开发定制全市业务和数据统计等功能，涵盖抵押、查询、信息共享、受理、审核、缮证、登簿等业务统计。</w:t>
      </w:r>
      <w:r>
        <w:rPr>
          <w:rFonts w:hint="eastAsia" w:ascii="宋体" w:hAnsi="宋体"/>
          <w:bCs/>
          <w:sz w:val="24"/>
          <w:szCs w:val="24"/>
          <w:highlight w:val="none"/>
        </w:rPr>
      </w:r>
      <w:r/>
    </w:p>
    <w:p>
      <w:pPr>
        <w:pStyle w:val="660"/>
        <w:ind w:firstLine="480"/>
        <w:spacing w:line="0" w:lineRule="atLeast"/>
        <w:rPr>
          <w:rFonts w:ascii="Arial" w:hAnsi="Arial" w:cs="Arial"/>
          <w:sz w:val="24"/>
          <w:highlight w:val="none"/>
        </w:rPr>
      </w:pPr>
      <w:r>
        <w:rPr>
          <w:rFonts w:hint="eastAsia" w:ascii="宋体" w:hAnsi="宋体"/>
          <w:bCs/>
          <w:sz w:val="24"/>
          <w:szCs w:val="24"/>
          <w:highlight w:val="none"/>
        </w:rPr>
        <w:t xml:space="preserve">（5）增加廉政风险管理模块，</w:t>
      </w:r>
      <w:r>
        <w:rPr>
          <w:rFonts w:hint="eastAsia" w:ascii="Arial" w:hAnsi="Arial" w:cs="Arial"/>
          <w:sz w:val="24"/>
          <w:highlight w:val="none"/>
        </w:rPr>
        <w:t xml:space="preserve">系统功能包括异常办件监控、收费异常预警、查询异常监管、职责权能监管、诚信异常记载，形成廉政风险识别、分析、预警与处置的闭环管理。</w:t>
      </w:r>
      <w:r>
        <w:rPr>
          <w:rFonts w:ascii="Arial" w:hAnsi="Arial" w:cs="Arial"/>
          <w:sz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（6）统一全市不动产信息查询模块</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基于不动产登记信息平台数据库，通过对数据的整理和查询，提供登记结果和登记过程数据的查询功能，包括项目信息查询、登记信息查询、不动产单元信息查询、不动产单元历史信息查询、业务历史信息查询、办件过程查询、发证情况查询等，支持在南通市域范围内单区县和多区县查询，并标注数据来源。</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（7）统一全市汇交上报模块</w:t>
      </w:r>
      <w:r>
        <w:rPr>
          <w:rFonts w:hint="eastAsia" w:ascii="宋体" w:hAnsi="宋体"/>
          <w:bCs/>
          <w:sz w:val="24"/>
          <w:szCs w:val="24"/>
          <w:highlight w:val="none"/>
        </w:rPr>
      </w:r>
      <w:r/>
    </w:p>
    <w:p>
      <w:pPr>
        <w:pStyle w:val="660"/>
        <w:ind w:firstLine="480"/>
        <w:spacing w:line="0" w:lineRule="atLeast"/>
        <w:rPr>
          <w:highlight w:val="none"/>
        </w:rPr>
      </w:pPr>
      <w:r>
        <w:rPr>
          <w:rFonts w:hint="eastAsia" w:ascii="宋体" w:hAnsi="宋体"/>
          <w:bCs/>
          <w:sz w:val="24"/>
          <w:szCs w:val="24"/>
          <w:highlight w:val="none"/>
        </w:rPr>
        <w:t xml:space="preserve">统一全市汇交上报模块：整合原有10个地区分散的汇交模块，全市全部县（市、区）不动产登记业务在业务审核登簿后，基于全市不动产登记业务平台实现全区域登记结果按照实际业务所属区县以及权利类型等实时汇交上报至省厅。</w:t>
      </w:r>
      <w:r>
        <w:rPr>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（8）统一省级共享查询客户端</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整合原有分散对接的省级共享应用查询平台，针对江苏省不动产登记省级平台下发的全省公安、民政、法院等部门批量查询业务，每日自动获取省级平台中的大量查询请求，自动执行查询，确保在查询时限反馈至省级平台，同时支持配置定时获取请求和查询台账等管理功能。</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（9）统一全市对外衔接模块</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根据“同市同标”项目建立的全市统一的不动产登记需求规格说明书和数据库建设标准，基于统一登记平台进行全面的接口适配和对接工作，包括包括内部应用系统、外部门对接、外接设备（相关设备需各区域自行购买）。</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（10）不动产登记业务平台信创适配</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升级改造适配信创的基础设施，主要包括操作系统适配、数据库适配、中间件适配、客户端适配等，完成信创适配工作。</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（11）嵌入地籍信息查询与统计</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通过接口调用或服务发布的方式提供支持，实现地籍信息查询和统计：功能涵盖宗地信息查询、自然幢信息查询等，并对查询结果进行空间定位及详情查看。支持宗地发证情况统计、宗地数量与面积统计、不动产单元数量与面积统计，统计结果数据能够以统计图表的形式直观展示地籍数据相关信息</w:t>
      </w:r>
      <w:r>
        <w:rPr>
          <w:rFonts w:hint="eastAsia" w:ascii="宋体" w:hAnsi="宋体"/>
          <w:bCs/>
          <w:sz w:val="24"/>
          <w:szCs w:val="24"/>
          <w:highlight w:val="none"/>
        </w:rPr>
      </w:r>
      <w:r/>
    </w:p>
    <w:p>
      <w:pPr>
        <w:pStyle w:val="660"/>
        <w:ind w:firstLine="480"/>
        <w:spacing w:line="0" w:lineRule="atLeast"/>
        <w:rPr>
          <w:rFonts w:hint="eastAsia" w:ascii="宋体" w:hAnsi="宋体"/>
          <w:b/>
          <w:sz w:val="24"/>
          <w:szCs w:val="24"/>
          <w:highlight w:val="none"/>
        </w:rPr>
      </w:pPr>
      <w:r>
        <w:rPr>
          <w:rFonts w:hint="eastAsia" w:ascii="宋体" w:hAnsi="宋体"/>
          <w:b/>
          <w:sz w:val="24"/>
          <w:szCs w:val="24"/>
          <w:highlight w:val="none"/>
        </w:rPr>
        <w:t xml:space="preserve">2.2不动产登记数据整合入库建设</w:t>
      </w:r>
      <w:r>
        <w:rPr>
          <w:rFonts w:hint="eastAsia" w:ascii="宋体" w:hAnsi="宋体"/>
          <w:b/>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建设全市统一的不动产登记数据库，包括登记库、电子证照库和共享库，并对并对全市所有县（市、区不动产登记数据库进行整理、转换并整体迁移入库。</w:t>
      </w:r>
      <w:r>
        <w:rPr>
          <w:rFonts w:hint="eastAsia" w:ascii="宋体" w:hAnsi="宋体"/>
          <w:bCs/>
          <w:sz w:val="24"/>
          <w:szCs w:val="24"/>
          <w:highlight w:val="none"/>
        </w:rPr>
      </w:r>
      <w:r/>
    </w:p>
    <w:p>
      <w:pPr>
        <w:pStyle w:val="660"/>
        <w:ind w:firstLine="480"/>
        <w:spacing w:line="0" w:lineRule="atLeast"/>
        <w:rPr>
          <w:rFonts w:hint="eastAsia" w:ascii="宋体" w:hAnsi="宋体"/>
          <w:b/>
          <w:sz w:val="24"/>
          <w:szCs w:val="24"/>
          <w:highlight w:val="none"/>
        </w:rPr>
      </w:pPr>
      <w:r>
        <w:rPr>
          <w:rFonts w:hint="eastAsia" w:ascii="宋体" w:hAnsi="宋体"/>
          <w:b/>
          <w:sz w:val="24"/>
          <w:szCs w:val="24"/>
          <w:highlight w:val="none"/>
        </w:rPr>
        <w:t xml:space="preserve">2.3“互联网+不动产登记”系统新增业务模块</w:t>
      </w:r>
      <w:r>
        <w:rPr>
          <w:rFonts w:hint="eastAsia" w:ascii="宋体" w:hAnsi="宋体"/>
          <w:b/>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在现有的</w:t>
      </w:r>
      <w:r>
        <w:rPr>
          <w:rFonts w:hint="eastAsia" w:ascii="宋体" w:hAnsi="宋体"/>
          <w:bCs/>
          <w:sz w:val="24"/>
          <w:szCs w:val="24"/>
          <w:highlight w:val="none"/>
        </w:rPr>
        <w:t xml:space="preserve">“互联网+不动产登记”系统基础上，对商品房按揭业务、存量房按揭业务、转移登记并抵押权登记业务等新增合并类业务办理功能，包括个人业务申请的信息校验、个人信息录入、住建信息共享、税务信息共享、电子签名；银行业务申请的信息校验、银行抵押信息录入、电子签名；信息合并审核的业务合并功能、审核功能以及办件信息接收；同时对金融接口进行升级，在现有的金融接口基础上，新增合并办理业务抵押类申请接口，实现由银行发起的抵押业务与个人发起的转移业务自动合并办理功能，根据使用反馈，对“互联网+不动产登记”系统已有的功能进行优化升级。</w:t>
      </w:r>
      <w:r>
        <w:rPr>
          <w:rFonts w:hint="eastAsia" w:ascii="宋体" w:hAnsi="宋体"/>
          <w:bCs/>
          <w:sz w:val="24"/>
          <w:szCs w:val="24"/>
          <w:highlight w:val="none"/>
        </w:rPr>
      </w:r>
      <w:r/>
    </w:p>
    <w:p>
      <w:pPr>
        <w:pStyle w:val="660"/>
        <w:ind w:firstLine="480"/>
        <w:spacing w:line="0" w:lineRule="atLeast"/>
        <w:rPr>
          <w:rFonts w:hint="eastAsia" w:ascii="宋体" w:hAnsi="宋体"/>
          <w:b/>
          <w:sz w:val="24"/>
          <w:szCs w:val="24"/>
          <w:highlight w:val="none"/>
        </w:rPr>
      </w:pPr>
      <w:r>
        <w:rPr>
          <w:rFonts w:hint="eastAsia" w:ascii="宋体" w:hAnsi="宋体"/>
          <w:b/>
          <w:sz w:val="24"/>
          <w:szCs w:val="24"/>
          <w:highlight w:val="none"/>
        </w:rPr>
        <w:t xml:space="preserve">2.4不动产登记现有管理系统开展信创改造</w:t>
      </w:r>
      <w:r>
        <w:rPr>
          <w:rFonts w:hint="eastAsia" w:ascii="宋体" w:hAnsi="宋体"/>
          <w:b/>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包括</w:t>
      </w:r>
      <w:r>
        <w:rPr>
          <w:rFonts w:hint="eastAsia" w:ascii="宋体" w:hAnsi="宋体"/>
          <w:b/>
          <w:sz w:val="24"/>
          <w:szCs w:val="24"/>
          <w:highlight w:val="none"/>
        </w:rPr>
        <w:t xml:space="preserve">“互联网+不动产登记”系统及市级监管与辅助决策系统适配</w:t>
      </w:r>
      <w:r>
        <w:rPr>
          <w:rFonts w:hint="eastAsia" w:ascii="宋体" w:hAnsi="宋体"/>
          <w:bCs/>
          <w:sz w:val="24"/>
          <w:szCs w:val="24"/>
          <w:highlight w:val="none"/>
        </w:rPr>
        <w:t xml:space="preserve">：对原有架构上进行升级改造适配信创的基础设施，国产CPU适配、操作系统内核适配、信创设备硬件适配、信创软件适配、中文字符集适配、兼容性适配、中间件适配、浏览器适配；</w:t>
      </w:r>
      <w:r>
        <w:rPr>
          <w:rFonts w:hint="eastAsia" w:ascii="宋体" w:hAnsi="宋体"/>
          <w:b/>
          <w:sz w:val="24"/>
          <w:szCs w:val="24"/>
          <w:highlight w:val="none"/>
        </w:rPr>
        <w:t xml:space="preserve">权籍调查管理系统适配</w:t>
      </w:r>
      <w:r>
        <w:rPr>
          <w:rFonts w:hint="eastAsia" w:ascii="宋体" w:hAnsi="宋体"/>
          <w:bCs/>
          <w:sz w:val="24"/>
          <w:szCs w:val="24"/>
          <w:highlight w:val="none"/>
        </w:rPr>
        <w:t xml:space="preserve">：对南通全部地区不动产权籍调查管理系统进行信创适配，实现数据采集、数据交换、调查表管理、楼盘表管理、数据处理、数据检查、数据符号化和数据制图等功能以及认证与授权、日志管理、数据字典和软件更新等；</w:t>
      </w:r>
      <w:r>
        <w:rPr>
          <w:rFonts w:hint="eastAsia" w:ascii="宋体" w:hAnsi="宋体"/>
          <w:b/>
          <w:sz w:val="24"/>
          <w:szCs w:val="24"/>
          <w:highlight w:val="none"/>
        </w:rPr>
        <w:t xml:space="preserve">自然资源确权登记数据管理系统适配</w:t>
      </w:r>
      <w:r>
        <w:rPr>
          <w:rFonts w:hint="eastAsia" w:ascii="宋体" w:hAnsi="宋体"/>
          <w:bCs/>
          <w:sz w:val="24"/>
          <w:szCs w:val="24"/>
          <w:highlight w:val="none"/>
        </w:rPr>
        <w:t xml:space="preserve">：对全市统建的自然资源确权登记数据管理系统进行信创适配，包括国产CPU适配、操作系统内核适配、信创设备硬件适配、信创软件适配、中文字符集适配、兼容性适配、中间件适配、浏览器适配；</w:t>
      </w:r>
      <w:r>
        <w:rPr>
          <w:rFonts w:hint="eastAsia" w:ascii="宋体" w:hAnsi="宋体"/>
          <w:b/>
          <w:sz w:val="24"/>
          <w:szCs w:val="24"/>
          <w:highlight w:val="none"/>
        </w:rPr>
        <w:t xml:space="preserve">矢量数据和属性数据信创数据库</w:t>
      </w:r>
      <w:r>
        <w:rPr>
          <w:rFonts w:hint="eastAsia" w:ascii="宋体" w:hAnsi="宋体"/>
          <w:bCs/>
          <w:sz w:val="24"/>
          <w:szCs w:val="24"/>
          <w:highlight w:val="none"/>
        </w:rPr>
        <w:t xml:space="preserve">：对本项目涉及的系统内空间数据库和非空间数据进行替换迁移，其中空间数据包括空间数据模型替换、地图文档迁移和空间数据库的迁移。非空间数据库替换迁移，包括数据迁移、函数转换、索引查询转换等工作。</w:t>
      </w:r>
      <w:r>
        <w:rPr>
          <w:rFonts w:hint="eastAsia" w:ascii="宋体" w:hAnsi="宋体"/>
          <w:bCs/>
          <w:sz w:val="24"/>
          <w:szCs w:val="24"/>
          <w:highlight w:val="none"/>
        </w:rPr>
      </w:r>
      <w:r/>
    </w:p>
    <w:p>
      <w:pPr>
        <w:pStyle w:val="660"/>
        <w:ind w:firstLine="480"/>
        <w:spacing w:line="0" w:lineRule="atLeast"/>
        <w:rPr>
          <w:rFonts w:hint="eastAsia" w:ascii="宋体" w:hAnsi="宋体"/>
          <w:b/>
          <w:sz w:val="24"/>
          <w:szCs w:val="24"/>
          <w:highlight w:val="none"/>
        </w:rPr>
      </w:pPr>
      <w:r>
        <w:rPr>
          <w:rFonts w:hint="eastAsia" w:ascii="宋体" w:hAnsi="宋体"/>
          <w:b/>
          <w:sz w:val="24"/>
          <w:szCs w:val="24"/>
          <w:highlight w:val="none"/>
        </w:rPr>
        <w:t xml:space="preserve">2.5软硬件采购</w:t>
      </w:r>
      <w:r>
        <w:rPr>
          <w:rFonts w:hint="eastAsia" w:ascii="宋体" w:hAnsi="宋体"/>
          <w:b/>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包括数据库服务器、存储设备、云GIS应用服务器平台及跨平台桌面GIS软件。</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bookmarkStart w:id="197" w:name="_Toc24241"/>
      <w:r>
        <w:rPr>
          <w:rFonts w:hint="eastAsia" w:ascii="宋体" w:hAnsi="宋体"/>
          <w:bCs/>
          <w:sz w:val="24"/>
          <w:szCs w:val="24"/>
          <w:highlight w:val="none"/>
        </w:rPr>
        <w:t xml:space="preserve">(1)数据库服务器</w:t>
      </w:r>
      <w:bookmarkEnd w:id="197"/>
      <w:r>
        <w:rPr>
          <w:rFonts w:hint="eastAsia" w:ascii="宋体" w:hAnsi="宋体"/>
          <w:bCs/>
          <w:sz w:val="24"/>
          <w:szCs w:val="24"/>
          <w:highlight w:val="none"/>
        </w:rPr>
        <w:t xml:space="preserve">及数据库软件</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本项目拟采购六台数据库物理服务器，使用信创品牌的服务器；数据库管理系统6套，数据库读写分离集群软件2套，参数要求如下：</w:t>
      </w:r>
      <w:r>
        <w:rPr>
          <w:rFonts w:hint="eastAsia" w:ascii="宋体" w:hAnsi="宋体"/>
          <w:bCs/>
          <w:sz w:val="24"/>
          <w:szCs w:val="24"/>
          <w:highlight w:val="none"/>
        </w:rPr>
      </w:r>
      <w:r/>
    </w:p>
    <w:p>
      <w:pPr>
        <w:pStyle w:val="660"/>
        <w:ind w:firstLine="480"/>
        <w:jc w:val="center"/>
        <w:spacing w:line="0" w:lineRule="atLeast"/>
        <w:rPr>
          <w:rFonts w:hint="eastAsia" w:ascii="宋体" w:hAnsi="宋体"/>
          <w:bCs/>
          <w:sz w:val="24"/>
          <w:szCs w:val="24"/>
          <w:highlight w:val="none"/>
        </w:rPr>
      </w:pPr>
      <w:r>
        <w:rPr>
          <w:rFonts w:hint="eastAsia" w:ascii="宋体" w:hAnsi="宋体"/>
          <w:bCs/>
          <w:sz w:val="24"/>
          <w:szCs w:val="24"/>
          <w:highlight w:val="none"/>
        </w:rPr>
        <w:t xml:space="preserve">表1 服务器参数</w:t>
      </w:r>
      <w:r>
        <w:rPr>
          <w:rFonts w:hint="eastAsia" w:ascii="宋体" w:hAnsi="宋体"/>
          <w:bCs/>
          <w:sz w:val="24"/>
          <w:szCs w:val="24"/>
          <w:highlight w:val="none"/>
        </w:rPr>
      </w:r>
      <w:r/>
    </w:p>
    <w:tbl>
      <w:tblPr>
        <w:tblW w:w="4997" w:type="pct"/>
        <w:tblInd w:w="10" w:type="dxa"/>
        <w:tblLayout w:type="fixed"/>
        <w:tblCellMar>
          <w:left w:w="108" w:type="dxa"/>
          <w:top w:w="0" w:type="dxa"/>
          <w:right w:w="108" w:type="dxa"/>
          <w:bottom w:w="0" w:type="dxa"/>
        </w:tblCellMar>
        <w:tblLook w:val="04A0" w:firstRow="1" w:lastRow="0" w:firstColumn="1" w:lastColumn="0" w:noHBand="0" w:noVBand="1"/>
      </w:tblPr>
      <w:tblGrid>
        <w:gridCol w:w="512"/>
        <w:gridCol w:w="1920"/>
        <w:gridCol w:w="385"/>
        <w:gridCol w:w="385"/>
        <w:gridCol w:w="1855"/>
        <w:gridCol w:w="1158"/>
        <w:gridCol w:w="1288"/>
        <w:gridCol w:w="1145"/>
        <w:gridCol w:w="515"/>
      </w:tblGrid>
      <w:tr>
        <w:trPr>
          <w:trHeight w:val="315"/>
          <w:tblHeader/>
        </w:trPr>
        <w:tc>
          <w:tcPr>
            <w:shd w:val="clear" w:color="auto" w:fill="f1f1f1"/>
            <w:tcBorders>
              <w:top w:val="single" w:color="000000" w:sz="8" w:space="0"/>
              <w:left w:val="single" w:color="000000" w:sz="8" w:space="0"/>
              <w:bottom w:val="single" w:color="000000" w:sz="8" w:space="0"/>
              <w:right w:val="single" w:color="000000" w:sz="8" w:space="0"/>
            </w:tcBorders>
            <w:tcW w:w="279" w:type="dxa"/>
            <w:vAlign w:val="center"/>
            <w:vMerge w:val="restart"/>
            <w:textDirection w:val="lrTb"/>
            <w:noWrap w:val="false"/>
          </w:tcPr>
          <w:p>
            <w:pPr>
              <w:pStyle w:val="66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序号</w:t>
            </w:r>
            <w:r>
              <w:rPr>
                <w:rFonts w:hint="eastAsia" w:ascii="宋体" w:hAnsi="宋体" w:cs="宋体"/>
                <w:b/>
                <w:bCs/>
                <w:color w:val="000000"/>
                <w:sz w:val="22"/>
                <w:szCs w:val="22"/>
                <w:highlight w:val="none"/>
              </w:rPr>
            </w:r>
            <w:r/>
          </w:p>
        </w:tc>
        <w:tc>
          <w:tcPr>
            <w:shd w:val="clear" w:color="auto" w:fill="f1f1f1"/>
            <w:tcBorders>
              <w:top w:val="single" w:color="000000" w:sz="8" w:space="0"/>
              <w:left w:val="single" w:color="000000" w:sz="8" w:space="0"/>
              <w:bottom w:val="single" w:color="000000" w:sz="8" w:space="0"/>
              <w:right w:val="single" w:color="000000" w:sz="8" w:space="0"/>
            </w:tcBorders>
            <w:tcW w:w="1046" w:type="dxa"/>
            <w:vAlign w:val="center"/>
            <w:vMerge w:val="restart"/>
            <w:textDirection w:val="lrTb"/>
            <w:noWrap w:val="false"/>
          </w:tcPr>
          <w:p>
            <w:pPr>
              <w:pStyle w:val="66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类型</w:t>
            </w:r>
            <w:r>
              <w:rPr>
                <w:rFonts w:hint="eastAsia" w:ascii="宋体" w:hAnsi="宋体" w:cs="宋体"/>
                <w:b/>
                <w:bCs/>
                <w:color w:val="000000"/>
                <w:sz w:val="22"/>
                <w:szCs w:val="22"/>
                <w:highlight w:val="none"/>
              </w:rPr>
            </w:r>
            <w:r/>
          </w:p>
        </w:tc>
        <w:tc>
          <w:tcPr>
            <w:gridSpan w:val="2"/>
            <w:shd w:val="clear" w:color="auto" w:fill="f1f1f1"/>
            <w:tcBorders>
              <w:top w:val="single" w:color="000000" w:sz="8" w:space="0"/>
              <w:left w:val="single" w:color="000000" w:sz="8" w:space="0"/>
              <w:bottom w:val="single" w:color="000000" w:sz="8" w:space="0"/>
              <w:right w:val="single" w:color="000000" w:sz="8" w:space="0"/>
            </w:tcBorders>
            <w:tcW w:w="770" w:type="dxa"/>
            <w:vAlign w:val="center"/>
            <w:vMerge w:val="restart"/>
            <w:textDirection w:val="lrTb"/>
            <w:noWrap w:val="false"/>
          </w:tcPr>
          <w:p>
            <w:pPr>
              <w:pStyle w:val="66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用途</w:t>
            </w:r>
            <w:r>
              <w:rPr>
                <w:rFonts w:hint="eastAsia" w:ascii="宋体" w:hAnsi="宋体" w:cs="宋体"/>
                <w:b/>
                <w:bCs/>
                <w:color w:val="000000"/>
                <w:sz w:val="22"/>
                <w:szCs w:val="22"/>
                <w:highlight w:val="none"/>
              </w:rPr>
            </w:r>
            <w:r/>
          </w:p>
        </w:tc>
        <w:tc>
          <w:tcPr>
            <w:gridSpan w:val="4"/>
            <w:shd w:val="clear" w:color="auto" w:fill="f1f1f1"/>
            <w:tcBorders>
              <w:top w:val="single" w:color="000000" w:sz="8" w:space="0"/>
              <w:left w:val="single" w:color="000000" w:sz="8" w:space="0"/>
              <w:bottom w:val="single" w:color="000000" w:sz="8" w:space="0"/>
              <w:right w:val="single" w:color="000000" w:sz="8" w:space="0"/>
            </w:tcBorders>
            <w:tcW w:w="5446" w:type="dxa"/>
            <w:vAlign w:val="center"/>
            <w:textDirection w:val="lrTb"/>
            <w:noWrap w:val="false"/>
          </w:tcPr>
          <w:p>
            <w:pPr>
              <w:pStyle w:val="660"/>
              <w:ind w:firstLine="482"/>
              <w:jc w:val="center"/>
              <w:widowControl/>
              <w:rPr>
                <w:rFonts w:hint="eastAsia"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参数要求</w:t>
            </w:r>
            <w:r>
              <w:rPr>
                <w:rFonts w:hint="eastAsia" w:ascii="宋体" w:hAnsi="宋体" w:cs="宋体"/>
                <w:b/>
                <w:bCs/>
                <w:color w:val="000000"/>
                <w:sz w:val="22"/>
                <w:szCs w:val="22"/>
                <w:highlight w:val="none"/>
                <w:lang w:bidi="ar"/>
              </w:rPr>
            </w:r>
            <w:r/>
          </w:p>
        </w:tc>
        <w:tc>
          <w:tcPr>
            <w:shd w:val="clear" w:color="auto" w:fill="f1f1f1"/>
            <w:tcBorders>
              <w:top w:val="single" w:color="000000" w:sz="8" w:space="0"/>
              <w:left w:val="single" w:color="000000" w:sz="8" w:space="0"/>
              <w:bottom w:val="single" w:color="000000" w:sz="8" w:space="0"/>
              <w:right w:val="single" w:color="000000" w:sz="8" w:space="0"/>
            </w:tcBorders>
            <w:tcW w:w="281" w:type="dxa"/>
            <w:vAlign w:val="center"/>
            <w:vMerge w:val="restart"/>
            <w:textDirection w:val="lrTb"/>
            <w:noWrap w:val="false"/>
          </w:tcPr>
          <w:p>
            <w:pPr>
              <w:pStyle w:val="660"/>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数量</w:t>
            </w:r>
            <w:r>
              <w:rPr>
                <w:rFonts w:hint="eastAsia" w:ascii="宋体" w:hAnsi="宋体" w:cs="宋体"/>
                <w:b/>
                <w:bCs/>
                <w:color w:val="000000"/>
                <w:sz w:val="22"/>
                <w:szCs w:val="22"/>
                <w:highlight w:val="none"/>
              </w:rPr>
            </w:r>
            <w:r/>
          </w:p>
        </w:tc>
      </w:tr>
      <w:tr>
        <w:trPr>
          <w:trHeight w:val="600"/>
          <w:tblHeader/>
        </w:trPr>
        <w:tc>
          <w:tcPr>
            <w:shd w:val="clear" w:color="auto" w:fill="f1f1f1"/>
            <w:tcBorders>
              <w:top w:val="single" w:color="000000" w:sz="8" w:space="0"/>
              <w:left w:val="single" w:color="000000" w:sz="8" w:space="0"/>
              <w:bottom w:val="single" w:color="000000" w:sz="8" w:space="0"/>
              <w:right w:val="single" w:color="000000" w:sz="8" w:space="0"/>
            </w:tcBorders>
            <w:tcW w:w="279" w:type="dxa"/>
            <w:vAlign w:val="center"/>
            <w:vMerge w:val="continue"/>
            <w:textDirection w:val="lrTb"/>
            <w:noWrap w:val="false"/>
          </w:tcPr>
          <w:p>
            <w:pPr>
              <w:pStyle w:val="660"/>
              <w:ind w:firstLine="48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shd w:val="clear" w:color="auto" w:fill="f1f1f1"/>
            <w:tcBorders>
              <w:top w:val="single" w:color="000000" w:sz="8" w:space="0"/>
              <w:left w:val="single" w:color="000000" w:sz="8" w:space="0"/>
              <w:bottom w:val="single" w:color="000000" w:sz="8" w:space="0"/>
              <w:right w:val="single" w:color="000000" w:sz="8" w:space="0"/>
            </w:tcBorders>
            <w:tcW w:w="1046" w:type="dxa"/>
            <w:vAlign w:val="center"/>
            <w:vMerge w:val="continue"/>
            <w:textDirection w:val="lrTb"/>
            <w:noWrap w:val="false"/>
          </w:tcPr>
          <w:p>
            <w:pPr>
              <w:pStyle w:val="660"/>
              <w:ind w:firstLine="48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gridSpan w:val="2"/>
            <w:shd w:val="clear" w:color="auto" w:fill="f1f1f1"/>
            <w:tcBorders>
              <w:top w:val="single" w:color="000000" w:sz="8" w:space="0"/>
              <w:left w:val="single" w:color="000000" w:sz="8" w:space="0"/>
              <w:bottom w:val="single" w:color="000000" w:sz="8" w:space="0"/>
              <w:right w:val="single" w:color="000000" w:sz="8" w:space="0"/>
            </w:tcBorders>
            <w:tcW w:w="770" w:type="dxa"/>
            <w:vAlign w:val="center"/>
            <w:vMerge w:val="continue"/>
            <w:textDirection w:val="lrTb"/>
            <w:noWrap w:val="false"/>
          </w:tcPr>
          <w:p>
            <w:pPr>
              <w:pStyle w:val="660"/>
              <w:ind w:firstLine="48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c>
          <w:tcPr>
            <w:shd w:val="clear" w:color="auto" w:fill="f1f1f1"/>
            <w:tcBorders>
              <w:top w:val="single" w:color="000000" w:sz="8" w:space="0"/>
              <w:left w:val="single" w:color="000000" w:sz="8" w:space="0"/>
              <w:bottom w:val="single" w:color="000000" w:sz="8" w:space="0"/>
              <w:right w:val="single" w:color="000000" w:sz="4" w:space="0"/>
            </w:tcBorders>
            <w:tcW w:w="1011" w:type="dxa"/>
            <w:vAlign w:val="center"/>
            <w:textDirection w:val="lrTb"/>
            <w:noWrap w:val="false"/>
          </w:tcPr>
          <w:p>
            <w:pPr>
              <w:pStyle w:val="66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操作系统</w:t>
            </w:r>
            <w:r>
              <w:rPr>
                <w:rFonts w:hint="eastAsia" w:ascii="宋体" w:hAnsi="宋体" w:cs="宋体"/>
                <w:b/>
                <w:bCs/>
                <w:color w:val="000000"/>
                <w:sz w:val="22"/>
                <w:szCs w:val="22"/>
                <w:highlight w:val="none"/>
              </w:rPr>
            </w:r>
            <w:r/>
          </w:p>
        </w:tc>
        <w:tc>
          <w:tcPr>
            <w:shd w:val="clear" w:color="auto" w:fill="f1f1f1"/>
            <w:tcBorders>
              <w:top w:val="single" w:color="000000" w:sz="8" w:space="0"/>
              <w:left w:val="single" w:color="000000" w:sz="4" w:space="0"/>
              <w:bottom w:val="single" w:color="000000" w:sz="8" w:space="0"/>
              <w:right w:val="single" w:color="000000" w:sz="4" w:space="0"/>
            </w:tcBorders>
            <w:tcW w:w="632" w:type="dxa"/>
            <w:vAlign w:val="center"/>
            <w:textDirection w:val="lrTb"/>
            <w:noWrap w:val="false"/>
          </w:tcPr>
          <w:p>
            <w:pPr>
              <w:pStyle w:val="66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CPU</w:t>
            </w:r>
            <w:r>
              <w:rPr>
                <w:rFonts w:hint="eastAsia" w:ascii="宋体" w:hAnsi="宋体" w:cs="宋体"/>
                <w:b/>
                <w:bCs/>
                <w:color w:val="000000"/>
                <w:sz w:val="22"/>
                <w:szCs w:val="22"/>
                <w:highlight w:val="none"/>
              </w:rPr>
            </w:r>
            <w:r/>
          </w:p>
        </w:tc>
        <w:tc>
          <w:tcPr>
            <w:shd w:val="clear" w:color="auto" w:fill="f1f1f1"/>
            <w:tcBorders>
              <w:top w:val="single" w:color="000000" w:sz="8" w:space="0"/>
              <w:left w:val="single" w:color="000000" w:sz="4" w:space="0"/>
              <w:bottom w:val="single" w:color="000000" w:sz="8" w:space="0"/>
              <w:right w:val="single" w:color="000000" w:sz="4" w:space="0"/>
            </w:tcBorders>
            <w:tcW w:w="703" w:type="dxa"/>
            <w:vAlign w:val="center"/>
            <w:textDirection w:val="lrTb"/>
            <w:noWrap w:val="false"/>
          </w:tcPr>
          <w:p>
            <w:pPr>
              <w:pStyle w:val="66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内存</w:t>
            </w:r>
            <w:r>
              <w:rPr>
                <w:rFonts w:hint="eastAsia" w:ascii="宋体" w:hAnsi="宋体" w:cs="宋体"/>
                <w:b/>
                <w:bCs/>
                <w:color w:val="000000"/>
                <w:sz w:val="22"/>
                <w:szCs w:val="22"/>
                <w:highlight w:val="none"/>
              </w:rPr>
            </w:r>
            <w:r/>
          </w:p>
        </w:tc>
        <w:tc>
          <w:tcPr>
            <w:shd w:val="clear" w:color="auto" w:fill="f1f1f1"/>
            <w:tcBorders>
              <w:top w:val="single" w:color="000000" w:sz="8" w:space="0"/>
              <w:left w:val="single" w:color="000000" w:sz="4" w:space="0"/>
              <w:bottom w:val="single" w:color="000000" w:sz="8" w:space="0"/>
              <w:right w:val="single" w:color="000000" w:sz="8" w:space="0"/>
            </w:tcBorders>
            <w:tcW w:w="623" w:type="dxa"/>
            <w:vAlign w:val="center"/>
            <w:textDirection w:val="lrTb"/>
            <w:noWrap w:val="false"/>
          </w:tcPr>
          <w:p>
            <w:pPr>
              <w:pStyle w:val="660"/>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硬盘</w:t>
            </w:r>
            <w:r>
              <w:rPr>
                <w:rFonts w:hint="eastAsia" w:ascii="宋体" w:hAnsi="宋体" w:cs="宋体"/>
                <w:b/>
                <w:bCs/>
                <w:color w:val="000000"/>
                <w:sz w:val="22"/>
                <w:szCs w:val="22"/>
                <w:highlight w:val="none"/>
              </w:rPr>
            </w:r>
            <w:r/>
          </w:p>
        </w:tc>
        <w:tc>
          <w:tcPr>
            <w:shd w:val="clear" w:color="auto" w:fill="f1f1f1"/>
            <w:tcBorders>
              <w:top w:val="single" w:color="000000" w:sz="8" w:space="0"/>
              <w:left w:val="single" w:color="000000" w:sz="8" w:space="0"/>
              <w:bottom w:val="single" w:color="000000" w:sz="8" w:space="0"/>
              <w:right w:val="single" w:color="000000" w:sz="8" w:space="0"/>
            </w:tcBorders>
            <w:tcW w:w="281" w:type="dxa"/>
            <w:vAlign w:val="center"/>
            <w:vMerge w:val="continue"/>
            <w:textDirection w:val="lrTb"/>
            <w:noWrap w:val="false"/>
          </w:tcPr>
          <w:p>
            <w:pPr>
              <w:pStyle w:val="660"/>
              <w:ind w:firstLine="482"/>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645"/>
        </w:trPr>
        <w:tc>
          <w:tcPr>
            <w:tcBorders>
              <w:top w:val="none" w:color="000000" w:sz="4" w:space="0"/>
              <w:left w:val="single" w:color="000000" w:sz="8" w:space="0"/>
              <w:bottom w:val="single" w:color="000000" w:sz="4" w:space="0"/>
              <w:right w:val="single" w:color="000000" w:sz="8" w:space="0"/>
            </w:tcBorders>
            <w:tcW w:w="279" w:type="dxa"/>
            <w:vAlign w:val="center"/>
            <w:textDirection w:val="lrTb"/>
            <w:noWrap w:val="false"/>
          </w:tcPr>
          <w:p>
            <w:pPr>
              <w:pStyle w:val="66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w:t>
            </w:r>
            <w:r>
              <w:rPr>
                <w:rFonts w:hint="eastAsia" w:ascii="宋体" w:hAnsi="宋体" w:cs="宋体"/>
                <w:color w:val="000000"/>
                <w:sz w:val="22"/>
                <w:szCs w:val="22"/>
                <w:highlight w:val="none"/>
              </w:rPr>
            </w:r>
            <w:r/>
          </w:p>
        </w:tc>
        <w:tc>
          <w:tcPr>
            <w:tcBorders>
              <w:top w:val="none" w:color="000000" w:sz="4" w:space="0"/>
              <w:left w:val="single" w:color="000000" w:sz="8" w:space="0"/>
              <w:bottom w:val="single" w:color="000000" w:sz="4" w:space="0"/>
              <w:right w:val="single" w:color="000000" w:sz="8" w:space="0"/>
            </w:tcBorders>
            <w:tcW w:w="1046" w:type="dxa"/>
            <w:vAlign w:val="center"/>
            <w:vMerge w:val="restart"/>
            <w:textDirection w:val="lrTb"/>
            <w:noWrap w:val="false"/>
          </w:tcPr>
          <w:p>
            <w:pPr>
              <w:pStyle w:val="66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数据库服务器</w:t>
            </w:r>
            <w:r>
              <w:rPr>
                <w:rFonts w:hint="eastAsia" w:ascii="宋体" w:hAnsi="宋体" w:cs="宋体"/>
                <w:color w:val="000000"/>
                <w:sz w:val="22"/>
                <w:szCs w:val="22"/>
                <w:highlight w:val="none"/>
              </w:rPr>
            </w:r>
            <w:r/>
          </w:p>
        </w:tc>
        <w:tc>
          <w:tcPr>
            <w:gridSpan w:val="2"/>
            <w:tcBorders>
              <w:top w:val="none" w:color="000000" w:sz="4" w:space="0"/>
              <w:left w:val="single" w:color="000000" w:sz="8" w:space="0"/>
              <w:bottom w:val="single" w:color="000000" w:sz="4" w:space="0"/>
              <w:right w:val="single" w:color="000000" w:sz="8" w:space="0"/>
            </w:tcBorders>
            <w:tcW w:w="770" w:type="dxa"/>
            <w:vAlign w:val="center"/>
            <w:textDirection w:val="lrTb"/>
            <w:noWrap w:val="false"/>
          </w:tcPr>
          <w:p>
            <w:pPr>
              <w:pStyle w:val="660"/>
              <w:jc w:val="center"/>
              <w:widowControl/>
              <w:rPr>
                <w:rFonts w:hint="eastAsia" w:ascii="宋体" w:hAnsi="宋体" w:cs="宋体"/>
                <w:color w:val="000000"/>
                <w:sz w:val="22"/>
                <w:szCs w:val="22"/>
                <w:highlight w:val="none"/>
              </w:rPr>
            </w:pPr>
            <w:r>
              <w:rPr>
                <w:rStyle w:val="773"/>
                <w:rFonts w:ascii="宋体" w:hAnsi="宋体" w:cs="宋体"/>
                <w:sz w:val="22"/>
                <w:szCs w:val="22"/>
                <w:highlight w:val="none"/>
                <w:lang w:bidi="ar"/>
              </w:rPr>
              <w:t xml:space="preserve">不动产登记数据库服务器</w:t>
            </w:r>
            <w:r>
              <w:rPr>
                <w:rFonts w:hint="eastAsia" w:ascii="宋体" w:hAnsi="宋体" w:cs="宋体"/>
                <w:color w:val="000000"/>
                <w:sz w:val="22"/>
                <w:szCs w:val="22"/>
                <w:highlight w:val="none"/>
              </w:rPr>
            </w:r>
            <w:r/>
          </w:p>
        </w:tc>
        <w:tc>
          <w:tcPr>
            <w:tcBorders>
              <w:top w:val="none" w:color="000000" w:sz="4" w:space="0"/>
              <w:left w:val="single" w:color="000000" w:sz="8" w:space="0"/>
              <w:bottom w:val="single" w:color="000000" w:sz="4" w:space="0"/>
              <w:right w:val="single" w:color="000000" w:sz="8" w:space="0"/>
            </w:tcBorders>
            <w:tcW w:w="1011" w:type="dxa"/>
            <w:vAlign w:val="center"/>
            <w:textDirection w:val="lrTb"/>
            <w:noWrap w:val="false"/>
          </w:tcPr>
          <w:p>
            <w:pPr>
              <w:pStyle w:val="66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主流信创操作系统最新版</w:t>
            </w:r>
            <w:r>
              <w:rPr>
                <w:rFonts w:hint="eastAsia" w:ascii="宋体" w:hAnsi="宋体" w:cs="宋体"/>
                <w:color w:val="000000"/>
                <w:sz w:val="22"/>
                <w:szCs w:val="22"/>
                <w:highlight w:val="none"/>
              </w:rPr>
            </w:r>
            <w:r/>
          </w:p>
        </w:tc>
        <w:tc>
          <w:tcPr>
            <w:tcBorders>
              <w:top w:val="none" w:color="000000" w:sz="4" w:space="0"/>
              <w:left w:val="single" w:color="000000" w:sz="8" w:space="0"/>
              <w:bottom w:val="single" w:color="000000" w:sz="4" w:space="0"/>
              <w:right w:val="single" w:color="000000" w:sz="8" w:space="0"/>
            </w:tcBorders>
            <w:tcW w:w="632" w:type="dxa"/>
            <w:vAlign w:val="center"/>
            <w:textDirection w:val="lrTb"/>
            <w:noWrap w:val="false"/>
          </w:tcPr>
          <w:p>
            <w:pPr>
              <w:pStyle w:val="66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国产CPU</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64核2.6GHz以上</w:t>
            </w:r>
            <w:r>
              <w:rPr>
                <w:rFonts w:hint="eastAsia" w:ascii="宋体" w:hAnsi="宋体" w:cs="宋体"/>
                <w:color w:val="000000"/>
                <w:sz w:val="22"/>
                <w:szCs w:val="22"/>
                <w:highlight w:val="none"/>
              </w:rPr>
            </w:r>
            <w:r/>
          </w:p>
        </w:tc>
        <w:tc>
          <w:tcPr>
            <w:tcBorders>
              <w:top w:val="none" w:color="000000" w:sz="4" w:space="0"/>
              <w:left w:val="single" w:color="000000" w:sz="8" w:space="0"/>
              <w:bottom w:val="single" w:color="000000" w:sz="4" w:space="0"/>
              <w:right w:val="single" w:color="000000" w:sz="8" w:space="0"/>
            </w:tcBorders>
            <w:tcW w:w="703" w:type="dxa"/>
            <w:vAlign w:val="center"/>
            <w:textDirection w:val="lrTb"/>
            <w:noWrap w:val="false"/>
          </w:tcPr>
          <w:p>
            <w:pPr>
              <w:pStyle w:val="660"/>
              <w:jc w:val="center"/>
              <w:widowControl/>
              <w:rPr>
                <w:rFonts w:hint="eastAsia" w:ascii="宋体" w:hAnsi="宋体" w:cs="宋体"/>
                <w:color w:val="000000"/>
                <w:sz w:val="22"/>
                <w:szCs w:val="22"/>
                <w:highlight w:val="none"/>
              </w:rPr>
            </w:pPr>
            <w:r>
              <w:rPr>
                <w:rStyle w:val="774"/>
                <w:rFonts w:ascii="宋体" w:hAnsi="宋体" w:cs="宋体"/>
                <w:sz w:val="22"/>
                <w:szCs w:val="22"/>
                <w:highlight w:val="none"/>
                <w:lang w:bidi="ar"/>
              </w:rPr>
              <w:t xml:space="preserve">大小： 256G     规格： DDR4    频率： 4800MHz</w:t>
            </w:r>
            <w:r>
              <w:rPr>
                <w:rFonts w:hint="eastAsia" w:ascii="宋体" w:hAnsi="宋体" w:cs="宋体"/>
                <w:color w:val="000000"/>
                <w:sz w:val="22"/>
                <w:szCs w:val="22"/>
                <w:highlight w:val="none"/>
              </w:rPr>
            </w:r>
            <w:r/>
          </w:p>
        </w:tc>
        <w:tc>
          <w:tcPr>
            <w:tcBorders>
              <w:top w:val="none" w:color="000000" w:sz="4" w:space="0"/>
              <w:left w:val="single" w:color="000000" w:sz="8" w:space="0"/>
              <w:bottom w:val="single" w:color="000000" w:sz="4" w:space="0"/>
              <w:right w:val="single" w:color="000000" w:sz="8" w:space="0"/>
            </w:tcBorders>
            <w:tcW w:w="623" w:type="dxa"/>
            <w:vAlign w:val="center"/>
            <w:textDirection w:val="lrTb"/>
            <w:noWrap w:val="false"/>
          </w:tcPr>
          <w:p>
            <w:pPr>
              <w:pStyle w:val="66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内置2块512GB M.2 SSD固态硬盘+一块SAS盘 2.4T 10K*2、要求：支持RAID，附带光纤卡</w:t>
            </w:r>
            <w:r>
              <w:rPr>
                <w:rFonts w:hint="eastAsia" w:ascii="宋体" w:hAnsi="宋体" w:cs="宋体"/>
                <w:color w:val="000000"/>
                <w:sz w:val="22"/>
                <w:szCs w:val="22"/>
                <w:highlight w:val="none"/>
              </w:rPr>
            </w:r>
            <w:r/>
          </w:p>
        </w:tc>
        <w:tc>
          <w:tcPr>
            <w:tcBorders>
              <w:top w:val="none" w:color="000000" w:sz="4" w:space="0"/>
              <w:left w:val="single" w:color="000000" w:sz="8" w:space="0"/>
              <w:bottom w:val="single" w:color="000000" w:sz="4" w:space="0"/>
              <w:right w:val="single" w:color="000000" w:sz="8" w:space="0"/>
            </w:tcBorders>
            <w:tcW w:w="281" w:type="dxa"/>
            <w:vAlign w:val="center"/>
            <w:textDirection w:val="lrTb"/>
            <w:noWrap w:val="false"/>
          </w:tcPr>
          <w:p>
            <w:pPr>
              <w:pStyle w:val="660"/>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rPr>
            </w:r>
            <w:r/>
          </w:p>
        </w:tc>
      </w:tr>
      <w:tr>
        <w:trPr>
          <w:trHeight w:val="645"/>
        </w:trPr>
        <w:tc>
          <w:tcPr>
            <w:tcBorders>
              <w:top w:val="none" w:color="000000" w:sz="4" w:space="0"/>
              <w:left w:val="single" w:color="000000" w:sz="8" w:space="0"/>
              <w:bottom w:val="single" w:color="000000" w:sz="4" w:space="0"/>
              <w:right w:val="single" w:color="000000" w:sz="8" w:space="0"/>
            </w:tcBorders>
            <w:tcW w:w="279"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1046" w:type="dxa"/>
            <w:vAlign w:val="center"/>
            <w:vMerge w:val="continue"/>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c>
          <w:tcPr>
            <w:gridSpan w:val="2"/>
            <w:tcBorders>
              <w:top w:val="none" w:color="000000" w:sz="4" w:space="0"/>
              <w:left w:val="single" w:color="000000" w:sz="8" w:space="0"/>
              <w:bottom w:val="single" w:color="000000" w:sz="4" w:space="0"/>
              <w:right w:val="single" w:color="000000" w:sz="8" w:space="0"/>
            </w:tcBorders>
            <w:tcW w:w="770" w:type="dxa"/>
            <w:vAlign w:val="center"/>
            <w:textDirection w:val="lrTb"/>
            <w:noWrap w:val="false"/>
          </w:tcPr>
          <w:p>
            <w:pPr>
              <w:pStyle w:val="660"/>
              <w:jc w:val="center"/>
              <w:widowControl/>
              <w:rPr>
                <w:rStyle w:val="773"/>
                <w:rFonts w:ascii="宋体" w:hAnsi="宋体" w:cs="宋体"/>
                <w:sz w:val="22"/>
                <w:szCs w:val="22"/>
                <w:highlight w:val="none"/>
                <w:lang w:bidi="ar"/>
              </w:rPr>
            </w:pPr>
            <w:r>
              <w:rPr>
                <w:rStyle w:val="773"/>
                <w:rFonts w:ascii="宋体" w:hAnsi="宋体" w:cs="宋体"/>
                <w:sz w:val="22"/>
                <w:szCs w:val="22"/>
                <w:highlight w:val="none"/>
                <w:lang w:bidi="ar"/>
              </w:rPr>
              <w:t xml:space="preserve">权籍管理系统应用数据库服务器</w:t>
            </w:r>
            <w:r>
              <w:rPr>
                <w:rStyle w:val="773"/>
                <w:rFonts w:ascii="宋体" w:hAnsi="宋体" w:cs="宋体"/>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1011"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主流信创操作系统最新版</w:t>
            </w:r>
            <w:r>
              <w:rPr>
                <w:rFonts w:hint="eastAsia" w:ascii="宋体" w:hAnsi="宋体" w:cs="宋体"/>
                <w:color w:val="000000"/>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632" w:type="dxa"/>
            <w:vAlign w:val="center"/>
            <w:textDirection w:val="lrTb"/>
            <w:noWrap w:val="false"/>
          </w:tcPr>
          <w:p>
            <w:pPr>
              <w:pStyle w:val="660"/>
              <w:jc w:val="center"/>
              <w:widowControl/>
              <w:rPr>
                <w:rStyle w:val="773"/>
                <w:rFonts w:ascii="宋体" w:hAnsi="宋体" w:cs="宋体"/>
                <w:sz w:val="22"/>
                <w:szCs w:val="22"/>
                <w:highlight w:val="none"/>
                <w:lang w:bidi="ar"/>
              </w:rPr>
            </w:pPr>
            <w:r>
              <w:rPr>
                <w:rFonts w:hint="eastAsia" w:ascii="宋体" w:hAnsi="宋体" w:cs="宋体"/>
                <w:color w:val="000000"/>
                <w:sz w:val="22"/>
                <w:szCs w:val="22"/>
                <w:highlight w:val="none"/>
                <w:lang w:bidi="ar"/>
              </w:rPr>
              <w:t xml:space="preserve">国产CPU</w:t>
            </w:r>
            <w:r>
              <w:rPr>
                <w:rFonts w:hint="eastAsia" w:ascii="宋体" w:hAnsi="宋体" w:cs="宋体"/>
                <w:color w:val="000000"/>
                <w:sz w:val="22"/>
                <w:szCs w:val="22"/>
                <w:highlight w:val="none"/>
                <w:lang w:bidi="ar"/>
              </w:rPr>
              <w:br w:type="textWrapping" w:clear="all"/>
            </w:r>
            <w:r>
              <w:rPr>
                <w:rFonts w:hint="eastAsia" w:ascii="宋体" w:hAnsi="宋体" w:cs="宋体"/>
                <w:color w:val="000000"/>
                <w:sz w:val="22"/>
                <w:szCs w:val="22"/>
                <w:highlight w:val="none"/>
                <w:lang w:bidi="ar"/>
              </w:rPr>
              <w:t xml:space="preserve">64核2.6GHz以上</w:t>
            </w:r>
            <w:r>
              <w:rPr>
                <w:rStyle w:val="773"/>
                <w:rFonts w:ascii="宋体" w:hAnsi="宋体" w:cs="宋体"/>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703" w:type="dxa"/>
            <w:vAlign w:val="center"/>
            <w:textDirection w:val="lrTb"/>
            <w:noWrap w:val="false"/>
          </w:tcPr>
          <w:p>
            <w:pPr>
              <w:pStyle w:val="660"/>
              <w:jc w:val="center"/>
              <w:widowControl/>
              <w:rPr>
                <w:rStyle w:val="773"/>
                <w:rFonts w:ascii="宋体" w:hAnsi="宋体" w:cs="宋体"/>
                <w:sz w:val="22"/>
                <w:szCs w:val="22"/>
                <w:highlight w:val="none"/>
                <w:lang w:bidi="ar"/>
              </w:rPr>
            </w:pPr>
            <w:r>
              <w:rPr>
                <w:rFonts w:hint="eastAsia" w:ascii="宋体" w:hAnsi="宋体" w:cs="宋体"/>
                <w:color w:val="000000"/>
                <w:sz w:val="22"/>
                <w:szCs w:val="22"/>
                <w:highlight w:val="none"/>
                <w:lang w:bidi="ar"/>
              </w:rPr>
              <w:t xml:space="preserve">大小： 256G     规格： DDR4    频率： 4800MHz</w:t>
            </w:r>
            <w:r>
              <w:rPr>
                <w:rStyle w:val="773"/>
                <w:rFonts w:ascii="宋体" w:hAnsi="宋体" w:cs="宋体"/>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623" w:type="dxa"/>
            <w:vAlign w:val="center"/>
            <w:textDirection w:val="lrTb"/>
            <w:noWrap w:val="false"/>
          </w:tcPr>
          <w:p>
            <w:pPr>
              <w:pStyle w:val="660"/>
              <w:jc w:val="center"/>
              <w:widowControl/>
              <w:rPr>
                <w:rStyle w:val="773"/>
                <w:rFonts w:ascii="宋体" w:hAnsi="宋体" w:cs="宋体"/>
                <w:sz w:val="22"/>
                <w:szCs w:val="22"/>
                <w:highlight w:val="none"/>
                <w:lang w:bidi="ar"/>
              </w:rPr>
            </w:pPr>
            <w:r>
              <w:rPr>
                <w:rFonts w:hint="eastAsia" w:ascii="宋体" w:hAnsi="宋体" w:cs="宋体"/>
                <w:color w:val="000000"/>
                <w:sz w:val="22"/>
                <w:szCs w:val="22"/>
                <w:highlight w:val="none"/>
                <w:lang w:bidi="ar"/>
              </w:rPr>
              <w:t xml:space="preserve">内置2块512GB M.2 SSD固态硬盘+一块SAS盘 2.4T 10K*2、要求：支持RAID，附带光纤卡</w:t>
            </w:r>
            <w:r>
              <w:rPr>
                <w:rStyle w:val="773"/>
                <w:rFonts w:ascii="宋体" w:hAnsi="宋体" w:cs="宋体"/>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281"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lang w:bidi="ar"/>
              </w:rPr>
            </w:r>
            <w:r/>
          </w:p>
        </w:tc>
      </w:tr>
      <w:tr>
        <w:trPr>
          <w:trHeight w:val="645"/>
        </w:trPr>
        <w:tc>
          <w:tcPr>
            <w:tcBorders>
              <w:top w:val="none" w:color="000000" w:sz="4" w:space="0"/>
              <w:left w:val="single" w:color="000000" w:sz="8" w:space="0"/>
              <w:bottom w:val="single" w:color="000000" w:sz="4" w:space="0"/>
              <w:right w:val="single" w:color="000000" w:sz="8" w:space="0"/>
            </w:tcBorders>
            <w:tcW w:w="279"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w:t>
            </w:r>
            <w:r>
              <w:rPr>
                <w:rFonts w:hint="eastAsia" w:ascii="宋体" w:hAnsi="宋体" w:cs="宋体"/>
                <w:color w:val="000000"/>
                <w:sz w:val="22"/>
                <w:szCs w:val="22"/>
                <w:highlight w:val="none"/>
                <w:lang w:bidi="ar"/>
              </w:rPr>
            </w:r>
            <w:r/>
          </w:p>
        </w:tc>
        <w:tc>
          <w:tcPr>
            <w:tcBorders>
              <w:top w:val="none" w:color="000000" w:sz="4" w:space="0"/>
              <w:left w:val="single" w:color="000000" w:sz="8" w:space="0"/>
              <w:bottom w:val="none" w:color="000000" w:sz="0" w:space="0"/>
              <w:right w:val="single" w:color="000000" w:sz="8" w:space="0"/>
            </w:tcBorders>
            <w:tcW w:w="1046" w:type="dxa"/>
            <w:vAlign w:val="center"/>
            <w:vMerge w:val="restart"/>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国产数据库</w:t>
            </w:r>
            <w:r>
              <w:rPr>
                <w:rFonts w:hint="eastAsia" w:ascii="宋体" w:hAnsi="宋体" w:cs="宋体"/>
                <w:color w:val="000000"/>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210"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数据库</w:t>
            </w:r>
            <w:r>
              <w:rPr>
                <w:rFonts w:hint="eastAsia" w:ascii="宋体" w:hAnsi="宋体" w:cs="宋体"/>
                <w:color w:val="000000"/>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210"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数据库管理系统</w:t>
            </w:r>
            <w:r>
              <w:rPr>
                <w:rFonts w:hint="eastAsia" w:ascii="宋体" w:hAnsi="宋体" w:cs="宋体"/>
                <w:color w:val="000000"/>
                <w:sz w:val="22"/>
                <w:szCs w:val="22"/>
                <w:highlight w:val="none"/>
                <w:lang w:bidi="ar"/>
              </w:rPr>
            </w:r>
            <w:r/>
          </w:p>
        </w:tc>
        <w:tc>
          <w:tcPr>
            <w:gridSpan w:val="4"/>
            <w:tcBorders>
              <w:top w:val="none" w:color="000000" w:sz="4" w:space="0"/>
              <w:left w:val="single" w:color="000000" w:sz="8" w:space="0"/>
              <w:bottom w:val="single" w:color="000000" w:sz="4" w:space="0"/>
              <w:right w:val="single" w:color="000000" w:sz="8" w:space="0"/>
            </w:tcBorders>
            <w:tcW w:w="5446" w:type="dxa"/>
            <w:vAlign w:val="center"/>
            <w:textDirection w:val="lrTb"/>
            <w:noWrap w:val="false"/>
          </w:tcPr>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1、支持自动负载信息库比对报告内容按库展示，支持以文本、网页形式输出，支持中文、英文两种语言，支持将报告自动保存为磁盘文件。                                                      </w:t>
            </w:r>
            <w:r>
              <w:rPr>
                <w:rFonts w:hint="eastAsia" w:ascii="宋体" w:hAnsi="宋体" w:cs="宋体"/>
                <w:color w:val="000000"/>
                <w:sz w:val="22"/>
                <w:szCs w:val="22"/>
                <w:highlight w:val="none"/>
                <w:lang w:bidi="ar"/>
              </w:rPr>
            </w:r>
            <w:r/>
          </w:p>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2、支持以动态性能视图的方式对数据库运行过程中的锁指标进行统计，包括：锁名称、加锁模式、加锁次数、等待获得次数、等待未获得次数、非等待获得次数、非等待未获得次数、锁等待时间等。</w:t>
            </w:r>
            <w:r>
              <w:rPr>
                <w:rFonts w:hint="eastAsia" w:ascii="宋体" w:hAnsi="宋体" w:cs="宋体"/>
                <w:color w:val="000000"/>
                <w:sz w:val="22"/>
                <w:szCs w:val="22"/>
                <w:highlight w:val="none"/>
                <w:lang w:bidi="ar"/>
              </w:rPr>
            </w:r>
            <w:r/>
          </w:p>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3、支持操作系统级数据保护功能，可以防止在操作系统层面使用rm命令误删除数据表空间目录或数据文件。</w:t>
            </w:r>
            <w:r>
              <w:rPr>
                <w:rFonts w:hint="eastAsia" w:ascii="宋体" w:hAnsi="宋体" w:cs="宋体"/>
                <w:color w:val="000000"/>
                <w:sz w:val="22"/>
                <w:szCs w:val="22"/>
                <w:highlight w:val="none"/>
                <w:lang w:bidi="ar"/>
              </w:rPr>
            </w:r>
            <w:r/>
          </w:p>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4、支持从日志文件离线修复文件坏块或表。</w:t>
            </w:r>
            <w:r>
              <w:rPr>
                <w:rFonts w:hint="eastAsia" w:ascii="宋体" w:hAnsi="宋体" w:cs="宋体"/>
                <w:color w:val="000000"/>
                <w:sz w:val="22"/>
                <w:szCs w:val="22"/>
                <w:highlight w:val="none"/>
                <w:lang w:bidi="ar"/>
              </w:rPr>
            </w:r>
            <w:r/>
          </w:p>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5、支持20个以上窗口函数可以支持distinct用法。</w:t>
            </w:r>
            <w:r>
              <w:rPr>
                <w:rFonts w:hint="eastAsia" w:ascii="宋体" w:hAnsi="宋体" w:cs="宋体"/>
                <w:color w:val="000000"/>
                <w:sz w:val="22"/>
                <w:szCs w:val="22"/>
                <w:highlight w:val="none"/>
                <w:lang w:bidi="ar"/>
              </w:rPr>
            </w:r>
            <w:r/>
          </w:p>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6、支持多种索引类型，包括： btree、hash、brin、bloom、位图索引。支持局部索引partial Indexes，支持创建不同于数据collate的索引、支持BRIN索引、支持BLOOM索引 、支持like变量表达式索引，位图索引中存储表中各列值的位图信息，当列取值少时，位图索引的占用空间要比B树索引更小。</w:t>
            </w:r>
            <w:r>
              <w:rPr>
                <w:rFonts w:hint="eastAsia" w:ascii="宋体" w:hAnsi="宋体" w:cs="宋体"/>
                <w:color w:val="000000"/>
                <w:sz w:val="22"/>
                <w:szCs w:val="22"/>
                <w:highlight w:val="none"/>
                <w:lang w:bidi="ar"/>
              </w:rPr>
            </w:r>
            <w:r/>
          </w:p>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7、支持以树状结构展示SQL语句之间的父子继承关系，并能逐层分解SQL语句的资源消耗。                                                                                   </w:t>
            </w:r>
            <w:r>
              <w:rPr>
                <w:rFonts w:hint="eastAsia" w:ascii="宋体" w:hAnsi="宋体" w:cs="宋体"/>
                <w:color w:val="000000"/>
                <w:sz w:val="22"/>
                <w:szCs w:val="22"/>
                <w:highlight w:val="none"/>
                <w:lang w:bidi="ar"/>
              </w:rPr>
            </w:r>
            <w:r/>
          </w:p>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8、兼容postgis空间数据引擎相关组件；支持对地理数据、矢量数据、拓扑数据、栅格数据的存储、计算、分析；支持对DEM数据相关操作；支持对空间数据的坐标系的相互转换；支持GIST等空间数据索引。                                                                                                                                                            </w:t>
            </w:r>
            <w:r>
              <w:rPr>
                <w:rFonts w:hint="eastAsia" w:ascii="宋体" w:hAnsi="宋体" w:cs="宋体"/>
                <w:color w:val="000000"/>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281"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6</w:t>
            </w:r>
            <w:r>
              <w:rPr>
                <w:rFonts w:hint="eastAsia" w:ascii="宋体" w:hAnsi="宋体" w:cs="宋体"/>
                <w:color w:val="000000"/>
                <w:sz w:val="22"/>
                <w:szCs w:val="22"/>
                <w:highlight w:val="none"/>
                <w:lang w:bidi="ar"/>
              </w:rPr>
            </w:r>
            <w:r/>
          </w:p>
        </w:tc>
      </w:tr>
      <w:tr>
        <w:trPr>
          <w:trHeight w:val="645"/>
        </w:trPr>
        <w:tc>
          <w:tcPr>
            <w:tcBorders>
              <w:top w:val="none" w:color="000000" w:sz="4" w:space="0"/>
              <w:left w:val="single" w:color="000000" w:sz="8" w:space="0"/>
              <w:bottom w:val="single" w:color="000000" w:sz="4" w:space="0"/>
              <w:right w:val="single" w:color="000000" w:sz="8" w:space="0"/>
            </w:tcBorders>
            <w:tcW w:w="279"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4</w:t>
            </w:r>
            <w:r>
              <w:rPr>
                <w:rFonts w:hint="eastAsia" w:ascii="宋体" w:hAnsi="宋体" w:cs="宋体"/>
                <w:color w:val="000000"/>
                <w:sz w:val="22"/>
                <w:szCs w:val="22"/>
                <w:highlight w:val="none"/>
                <w:lang w:bidi="ar"/>
              </w:rPr>
            </w:r>
            <w:r/>
          </w:p>
        </w:tc>
        <w:tc>
          <w:tcPr>
            <w:tcBorders>
              <w:top w:val="none" w:color="000000" w:sz="0" w:space="0"/>
              <w:left w:val="single" w:color="000000" w:sz="8" w:space="0"/>
              <w:bottom w:val="single" w:color="000000" w:sz="4" w:space="0"/>
              <w:right w:val="single" w:color="000000" w:sz="8" w:space="0"/>
            </w:tcBorders>
            <w:tcW w:w="1046" w:type="dxa"/>
            <w:vAlign w:val="center"/>
            <w:vMerge w:val="continue"/>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210"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数据库集群</w:t>
            </w:r>
            <w:r>
              <w:rPr>
                <w:rFonts w:hint="eastAsia" w:ascii="宋体" w:hAnsi="宋体" w:cs="宋体"/>
                <w:color w:val="000000"/>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210"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读写分离集群软件</w:t>
            </w:r>
            <w:r>
              <w:rPr>
                <w:rFonts w:hint="eastAsia" w:ascii="宋体" w:hAnsi="宋体" w:cs="宋体"/>
                <w:color w:val="000000"/>
                <w:sz w:val="22"/>
                <w:szCs w:val="22"/>
                <w:highlight w:val="none"/>
                <w:lang w:bidi="ar"/>
              </w:rPr>
            </w:r>
            <w:r/>
          </w:p>
        </w:tc>
        <w:tc>
          <w:tcPr>
            <w:gridSpan w:val="4"/>
            <w:tcBorders>
              <w:top w:val="none" w:color="000000" w:sz="4" w:space="0"/>
              <w:left w:val="single" w:color="000000" w:sz="8" w:space="0"/>
              <w:bottom w:val="single" w:color="000000" w:sz="4" w:space="0"/>
              <w:right w:val="single" w:color="000000" w:sz="8" w:space="0"/>
            </w:tcBorders>
            <w:tcW w:w="5446" w:type="dxa"/>
            <w:vAlign w:val="center"/>
            <w:textDirection w:val="lrTb"/>
            <w:noWrap w:val="false"/>
          </w:tcPr>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1、数据库集群支持读写分离，数据零丢失，支持主备集群，支持数据零丢失，即主库故障，备库自动切换为主库，且数据与原主库数据一致。</w:t>
            </w:r>
            <w:r>
              <w:rPr>
                <w:rFonts w:hint="eastAsia" w:ascii="宋体" w:hAnsi="宋体" w:cs="宋体"/>
                <w:color w:val="000000"/>
                <w:sz w:val="22"/>
                <w:szCs w:val="22"/>
                <w:highlight w:val="none"/>
                <w:lang w:bidi="ar"/>
              </w:rPr>
            </w:r>
            <w:r/>
          </w:p>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2、数据库集群支持按照读写进行路由，并实现读、写的任务分发，系统自动实现写操作在主机、读操作在备机。</w:t>
            </w:r>
            <w:r>
              <w:rPr>
                <w:rFonts w:hint="eastAsia" w:ascii="宋体" w:hAnsi="宋体" w:cs="宋体"/>
                <w:color w:val="000000"/>
                <w:sz w:val="22"/>
                <w:szCs w:val="22"/>
                <w:highlight w:val="none"/>
                <w:lang w:bidi="ar"/>
              </w:rPr>
            </w:r>
            <w:r/>
          </w:p>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3、集群支持在多网络段IP组网环境中部署，并做到软件层的冗余，在多网段有大部分故障的场景下，仍可以找寻可用的网络进行通信，而不会触发集群间的故障转移。</w:t>
            </w:r>
            <w:r>
              <w:rPr>
                <w:rFonts w:hint="eastAsia" w:ascii="宋体" w:hAnsi="宋体" w:cs="宋体"/>
                <w:color w:val="000000"/>
                <w:sz w:val="22"/>
                <w:szCs w:val="22"/>
                <w:highlight w:val="none"/>
                <w:lang w:bidi="ar"/>
              </w:rPr>
            </w:r>
            <w:r/>
          </w:p>
          <w:p>
            <w:pPr>
              <w:pStyle w:val="660"/>
              <w:jc w:val="left"/>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4、支持主备集群做自动故障转移，不依赖第三方节点部署额外程序或共享存储。</w:t>
            </w:r>
            <w:r>
              <w:rPr>
                <w:rFonts w:hint="eastAsia" w:ascii="宋体" w:hAnsi="宋体" w:cs="宋体"/>
                <w:color w:val="000000"/>
                <w:sz w:val="22"/>
                <w:szCs w:val="22"/>
                <w:highlight w:val="none"/>
                <w:lang w:bidi="ar"/>
              </w:rPr>
            </w:r>
            <w:r/>
          </w:p>
        </w:tc>
        <w:tc>
          <w:tcPr>
            <w:tcBorders>
              <w:top w:val="none" w:color="000000" w:sz="4" w:space="0"/>
              <w:left w:val="single" w:color="000000" w:sz="8" w:space="0"/>
              <w:bottom w:val="single" w:color="000000" w:sz="4" w:space="0"/>
              <w:right w:val="single" w:color="000000" w:sz="8" w:space="0"/>
            </w:tcBorders>
            <w:tcW w:w="281" w:type="dxa"/>
            <w:vAlign w:val="center"/>
            <w:textDirection w:val="lrTb"/>
            <w:noWrap w:val="false"/>
          </w:tcPr>
          <w:p>
            <w:pPr>
              <w:pStyle w:val="660"/>
              <w:jc w:val="center"/>
              <w:widowControl/>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w:t>
            </w:r>
            <w:r>
              <w:rPr>
                <w:rFonts w:hint="eastAsia" w:ascii="宋体" w:hAnsi="宋体" w:cs="宋体"/>
                <w:color w:val="000000"/>
                <w:sz w:val="22"/>
                <w:szCs w:val="22"/>
                <w:highlight w:val="none"/>
                <w:lang w:bidi="ar"/>
              </w:rPr>
            </w:r>
            <w:r/>
          </w:p>
        </w:tc>
      </w:tr>
    </w:tbl>
    <w:p>
      <w:pPr>
        <w:pStyle w:val="660"/>
        <w:ind w:firstLine="480"/>
        <w:spacing w:line="0" w:lineRule="atLeast"/>
        <w:rPr>
          <w:rFonts w:hint="eastAsia" w:ascii="宋体" w:hAnsi="宋体"/>
          <w:bCs/>
          <w:sz w:val="24"/>
          <w:szCs w:val="24"/>
          <w:highlight w:val="none"/>
        </w:rPr>
      </w:pPr>
      <w:r/>
      <w:bookmarkStart w:id="198" w:name="_Toc5553"/>
      <w:r/>
      <w:bookmarkStart w:id="199" w:name="_Toc14686"/>
      <w:r>
        <w:rPr>
          <w:rFonts w:hint="eastAsia" w:ascii="宋体" w:hAnsi="宋体"/>
          <w:bCs/>
          <w:sz w:val="24"/>
          <w:szCs w:val="24"/>
          <w:highlight w:val="none"/>
        </w:rPr>
        <w:t xml:space="preserve">(2)存储设备</w:t>
      </w:r>
      <w:bookmarkEnd w:id="198"/>
      <w:r/>
      <w:bookmarkEnd w:id="199"/>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信创存储设备50T，用于不动产登记附件存储，具体参数如下：</w:t>
      </w:r>
      <w:r>
        <w:rPr>
          <w:rFonts w:hint="eastAsia" w:ascii="宋体" w:hAnsi="宋体"/>
          <w:bCs/>
          <w:sz w:val="24"/>
          <w:szCs w:val="24"/>
          <w:highlight w:val="none"/>
        </w:rPr>
      </w:r>
      <w:r/>
    </w:p>
    <w:p>
      <w:pPr>
        <w:pStyle w:val="660"/>
        <w:ind w:firstLine="480"/>
        <w:spacing w:line="0" w:lineRule="atLeast"/>
        <w:rPr>
          <w:highlight w:val="none"/>
        </w:rPr>
      </w:pPr>
      <w:r>
        <w:rPr>
          <w:rFonts w:hint="eastAsia" w:ascii="宋体" w:hAnsi="宋体"/>
          <w:bCs/>
          <w:sz w:val="24"/>
          <w:szCs w:val="24"/>
          <w:highlight w:val="none"/>
        </w:rPr>
        <w:t xml:space="preserve">(2U，双控，SAS，交流\240V高压直流，32GB 缓存，8*1Gb ETH,4*10Gb ETH（含多模SFP+),4*SAS3.0端口，12*3.5英寸SAS,SPE26C0212) / 480GB SSD SAS硬盘单元（3.5")*2 / 8TB 7.2K RPM NL SAS硬盘单元（3.5")*7。</w:t>
      </w:r>
      <w:r>
        <w:rPr>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(3)GIS平台</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ascii="宋体" w:hAnsi="宋体"/>
          <w:bCs/>
          <w:sz w:val="24"/>
          <w:szCs w:val="24"/>
          <w:highlight w:val="none"/>
        </w:rPr>
        <w:t xml:space="preserve">云GIS应用服务器平台[iServer 11标准版+空间分析</w:t>
      </w:r>
      <w:r>
        <w:rPr>
          <w:rFonts w:hint="eastAsia" w:ascii="宋体" w:hAnsi="宋体"/>
          <w:bCs/>
          <w:sz w:val="24"/>
          <w:szCs w:val="24"/>
          <w:highlight w:val="none"/>
        </w:rPr>
        <w:t xml:space="preserve">模块</w:t>
      </w:r>
      <w:r>
        <w:rPr>
          <w:rFonts w:ascii="宋体" w:hAnsi="宋体"/>
          <w:bCs/>
          <w:sz w:val="24"/>
          <w:szCs w:val="24"/>
          <w:highlight w:val="none"/>
        </w:rPr>
        <w:t xml:space="preserve">+三维</w:t>
      </w:r>
      <w:r>
        <w:rPr>
          <w:rFonts w:hint="eastAsia" w:ascii="宋体" w:hAnsi="宋体"/>
          <w:bCs/>
          <w:sz w:val="24"/>
          <w:szCs w:val="24"/>
          <w:highlight w:val="none"/>
        </w:rPr>
        <w:t xml:space="preserve">模块</w:t>
      </w:r>
      <w:r>
        <w:rPr>
          <w:rFonts w:ascii="宋体" w:hAnsi="宋体"/>
          <w:bCs/>
          <w:sz w:val="24"/>
          <w:szCs w:val="24"/>
          <w:highlight w:val="none"/>
        </w:rPr>
        <w:t xml:space="preserve">]（1套）</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ascii="宋体" w:hAnsi="宋体"/>
          <w:bCs/>
          <w:sz w:val="24"/>
          <w:szCs w:val="24"/>
          <w:highlight w:val="none"/>
        </w:rPr>
        <w:t xml:space="preserve">跨平台桌面GIS软件[iDesktopX （标准版+空间分析</w:t>
      </w:r>
      <w:r>
        <w:rPr>
          <w:rFonts w:hint="eastAsia" w:ascii="宋体" w:hAnsi="宋体"/>
          <w:bCs/>
          <w:sz w:val="24"/>
          <w:szCs w:val="24"/>
          <w:highlight w:val="none"/>
        </w:rPr>
        <w:t xml:space="preserve">模块</w:t>
      </w:r>
      <w:r>
        <w:rPr>
          <w:rFonts w:ascii="宋体" w:hAnsi="宋体"/>
          <w:bCs/>
          <w:sz w:val="24"/>
          <w:szCs w:val="24"/>
          <w:highlight w:val="none"/>
        </w:rPr>
        <w:t xml:space="preserve">）]（50并发量）</w:t>
      </w:r>
      <w:r>
        <w:rPr>
          <w:rFonts w:hint="eastAsia" w:ascii="宋体" w:hAnsi="宋体"/>
          <w:bCs/>
          <w:sz w:val="24"/>
          <w:szCs w:val="24"/>
          <w:highlight w:val="none"/>
        </w:rPr>
      </w:r>
      <w:r/>
    </w:p>
    <w:p>
      <w:pPr>
        <w:pStyle w:val="660"/>
        <w:ind w:firstLine="480"/>
        <w:spacing w:line="0" w:lineRule="atLeast"/>
        <w:rPr>
          <w:rFonts w:hint="eastAsia" w:ascii="宋体" w:hAnsi="宋体"/>
          <w:bCs/>
          <w:sz w:val="24"/>
          <w:szCs w:val="24"/>
          <w:highlight w:val="none"/>
        </w:rPr>
      </w:pPr>
      <w:r>
        <w:rPr>
          <w:rFonts w:hint="eastAsia" w:ascii="宋体" w:hAnsi="宋体"/>
          <w:bCs/>
          <w:sz w:val="24"/>
          <w:szCs w:val="24"/>
          <w:highlight w:val="none"/>
        </w:rPr>
        <w:t xml:space="preserve">3.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rPr>
          <w:rFonts w:hint="eastAsia" w:ascii="宋体" w:hAnsi="宋体"/>
          <w:bCs/>
          <w:sz w:val="24"/>
          <w:szCs w:val="24"/>
          <w:highlight w:val="none"/>
        </w:rPr>
      </w:r>
      <w:r/>
    </w:p>
    <w:p>
      <w:pPr>
        <w:pStyle w:val="660"/>
        <w:ind w:firstLine="480"/>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注：另有21台应用服务器，1台数据库服务器，28套操作系统，1套国产数据库和4套中间件软件由市数据局提供</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lang w:eastAsia="zh-CN"/>
        </w:rPr>
      </w:r>
      <w:r/>
    </w:p>
    <w:p>
      <w:pPr>
        <w:pStyle w:val="672"/>
        <w:rPr>
          <w:rFonts w:hint="eastAsia"/>
        </w:rPr>
      </w:pPr>
      <w:r>
        <w:rPr>
          <w:rFonts w:hint="eastAsia"/>
        </w:rPr>
      </w:r>
      <w:r/>
    </w:p>
    <w:p>
      <w:pPr>
        <w:pStyle w:val="660"/>
        <w:spacing w:line="480" w:lineRule="exact"/>
        <w:rPr>
          <w:rFonts w:hint="eastAsia" w:ascii="仿宋" w:hAnsi="仿宋" w:eastAsia="仿宋" w:cs="Times New Roman"/>
          <w:b/>
          <w:color w:val="000000"/>
          <w:sz w:val="24"/>
          <w:szCs w:val="24"/>
          <w:lang w:eastAsia="zh-CN"/>
        </w:rPr>
      </w:pPr>
      <w:r>
        <w:rPr>
          <w:rFonts w:hint="eastAsia" w:ascii="仿宋" w:hAnsi="仿宋" w:eastAsia="仿宋" w:cs="Times New Roman"/>
          <w:b/>
          <w:color w:val="000000"/>
          <w:sz w:val="24"/>
          <w:szCs w:val="24"/>
          <w:lang w:eastAsia="zh-CN"/>
        </w:rPr>
        <w:t xml:space="preserve">三、商务要求</w:t>
      </w:r>
      <w:r>
        <w:rPr>
          <w:rFonts w:hint="eastAsia" w:ascii="仿宋" w:hAnsi="仿宋" w:eastAsia="仿宋" w:cs="Times New Roman"/>
          <w:b/>
          <w:color w:val="000000"/>
          <w:sz w:val="24"/>
          <w:szCs w:val="24"/>
          <w:lang w:eastAsia="zh-CN"/>
        </w:rPr>
      </w:r>
      <w:r/>
    </w:p>
    <w:p>
      <w:pPr>
        <w:pStyle w:val="660"/>
        <w:ind w:firstLine="480"/>
        <w:spacing w:line="0" w:lineRule="atLeast"/>
        <w:rPr>
          <w:rFonts w:ascii="宋体" w:hAnsi="宋体"/>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rPr>
          <w:rFonts w:ascii="宋体" w:hAnsi="宋体"/>
          <w:bCs/>
          <w:sz w:val="24"/>
          <w:szCs w:val="24"/>
        </w:rPr>
      </w:r>
      <w:r/>
    </w:p>
    <w:p>
      <w:pPr>
        <w:pStyle w:val="660"/>
        <w:ind w:firstLine="480"/>
        <w:spacing w:line="0" w:lineRule="atLeast"/>
        <w:rPr>
          <w:rFonts w:ascii="宋体" w:hAnsi="宋体"/>
          <w:bCs/>
          <w:sz w:val="24"/>
          <w:szCs w:val="24"/>
        </w:rPr>
      </w:pP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rPr>
          <w:rFonts w:ascii="宋体" w:hAnsi="宋体"/>
          <w:bCs/>
          <w:sz w:val="24"/>
          <w:szCs w:val="24"/>
        </w:rPr>
      </w:r>
      <w:r/>
    </w:p>
    <w:p>
      <w:pPr>
        <w:pStyle w:val="660"/>
        <w:spacing w:line="0" w:lineRule="atLeast"/>
        <w:rPr>
          <w:b/>
          <w:bCs/>
          <w:sz w:val="24"/>
          <w:szCs w:val="24"/>
          <w:highlight w:val="none"/>
        </w:rPr>
      </w:pPr>
      <w:r>
        <w:rPr>
          <w:rFonts w:hint="eastAsia"/>
          <w:b/>
          <w:bCs/>
          <w:sz w:val="24"/>
          <w:szCs w:val="24"/>
          <w:highlight w:val="none"/>
        </w:rPr>
        <w:t xml:space="preserve">1、采购标的需实现的功能或者目标，以及为落实政府采购政策需满足的要求；</w:t>
      </w:r>
      <w:r>
        <w:rPr>
          <w:b/>
          <w:bCs/>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为贯彻落实《优化营商环境条例》，进一步优化登记服务规范登记行为，提升登记质量，2021年3月25日，江苏省自然资源厅发布《关于开展不动产登记服务“同市同标”试点工作的通知》（苏自然资函〔2021〕273号），在无锡市、常州市、泰州市、宿迁市率先开展了“同市同标”试点建设，按照政务服务事项“四级四同”要求，优化不动产登记服务标准，实现设区市范围内不动产登记服务“同市同标”，为实现全省不动产登记服务标准统一探索经验。</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2022年3月10日，江苏省自然资源厅发布《关于深化不动产登记服务“同市同标”试点工作的通知》（苏自然资函〔2022〕367号），为贯彻落实《优化营商环境条例》，推动不动产登记“提质增效”，继续提升不动产登记标准化、规范化、便利化水平，打造全省不动产登记服务精品“一件事”，省厅决定进一步深化不动产登记服务“同市同标”试点工作，在无锡市等4个试点的基础上，新增徐州市、苏州市、连云港市、淮安市、盐城市、扬州市等6个试点地区，逐步推动实现全省范围内不动产登记服务标准统一。</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2023年2月6日，自然资源部确权登记局发布《自然资源确权登记局2023年工作要点》（自然资登记函〔2023〕4号），提出推动统一的不动产登记系统建设 ，深化业务标准化、规范化研究；2023年3月6日，江苏省自然资源厅发布《江苏省自然资源厅关于认真做好2023年度全省自然资源和不动产确权登记工作的通知》（苏自然资函〔2023〕142号），再次提出推进不动产登记“同市同标”全省覆盖，提升工作水平与应用成效，推动市级不动产登记信息基础平台统建。</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2023年4月6日，江苏省自然资源厅发布《关于在全省全面推行不动产登记“同市同标”服务的通知》，为贯彻落实全省机关作风建设暨优化营商环境大会和全省自然资源工作会议精神，深入开展不动产登记队伍作风常态化建设，持续提升不动产登记标准化、规范化、便利化水平，省厅决定在南京、南通、镇江3 市正式启动“同市同标”建设，按照政务服务事项“四级四同”“一件事一次办”的要求，深化不动产登记服务改革创新，持续优化不动产登记服务标准强化跨部门业务协同，实现设区市范围内不动产登记服务标准统一。</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2024年2月，自然资源部、国务院国有资产监督管理委员会、国家税务总局、国家金融监督管理总局联合印发的《关于进一步提升不动产登记便利度促进营商环境优化的通知》（自然资发〔2024〕9号）要求，强化登记和税务、金融高效协同，推进不动产交易、纳税和登记“一窗受理、集成服务”的工作。</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2024年2月2日，江苏省自然资源厅办公室发布《关于认真做好2024年度全省自然资源和不动产确权登记工作的通知》（苏自然资函〔2024〕13号），要求扎扎实实、踏踏实实推动江苏确权登记工作继续走在前、做示范，要求提出6大项17点工作任务。</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2024年6月27日，自然资源部办公厅发布《关于进一步加强不动产登记便民利民窗口建设的通知》（自然资办函〔2024〕1319号），要求因地制宜创新服务方式和手段，促进营商环境优化。拓展深化“交地即交证”“竣工即发证”“交房即交证”“带押过户”“税费一次收缴、后台自动清分”等创新服务以及帮办代表等便民举措，持续推动不动产登记提质增效。</w:t>
      </w:r>
      <w:r>
        <w:rPr>
          <w:sz w:val="24"/>
          <w:szCs w:val="24"/>
          <w:highlight w:val="none"/>
        </w:rPr>
      </w:r>
      <w:r/>
    </w:p>
    <w:p>
      <w:pPr>
        <w:pStyle w:val="660"/>
        <w:ind w:firstLine="480"/>
        <w:spacing w:line="0" w:lineRule="atLeast"/>
        <w:rPr>
          <w:rFonts w:hint="eastAsia"/>
          <w:sz w:val="24"/>
          <w:szCs w:val="24"/>
          <w:highlight w:val="none"/>
        </w:rPr>
      </w:pPr>
      <w:r>
        <w:rPr>
          <w:rFonts w:hint="eastAsia"/>
          <w:sz w:val="24"/>
          <w:szCs w:val="24"/>
          <w:highlight w:val="none"/>
        </w:rPr>
        <w:t xml:space="preserve">2024年7月2日江苏省自然资源厅发布《关于做好“线上苏小登”提质升级 进一步深化“全程网办”“跨省通办”工作的通知》，要求各地严格按照《规范》对“互联网+不动产登记”平台进行改版升级，统一“线上苏小登”PC端、移动端应用的品牌设计，形成全省界面统一、功能统一、流程统一的“互联网+不动产登记”服务，为用户提供更加直观，便捷的办事体验。</w:t>
      </w:r>
      <w:r>
        <w:rPr>
          <w:rFonts w:hint="eastAsia"/>
          <w:sz w:val="24"/>
          <w:szCs w:val="24"/>
          <w:highlight w:val="none"/>
        </w:rPr>
      </w:r>
      <w:r/>
    </w:p>
    <w:p>
      <w:pPr>
        <w:pStyle w:val="672"/>
      </w:pPr>
      <w:r/>
      <w:r/>
    </w:p>
    <w:p>
      <w:pPr>
        <w:pStyle w:val="660"/>
        <w:spacing w:line="0" w:lineRule="atLeast"/>
        <w:rPr>
          <w:b/>
          <w:bCs/>
          <w:sz w:val="24"/>
          <w:szCs w:val="24"/>
          <w:highlight w:val="none"/>
        </w:rPr>
      </w:pPr>
      <w:r>
        <w:rPr>
          <w:b/>
          <w:bCs/>
          <w:sz w:val="24"/>
          <w:szCs w:val="24"/>
          <w:highlight w:val="none"/>
        </w:rPr>
        <w:t xml:space="preserve">2</w:t>
      </w:r>
      <w:r>
        <w:rPr>
          <w:rFonts w:hint="eastAsia"/>
          <w:b/>
          <w:bCs/>
          <w:sz w:val="24"/>
          <w:szCs w:val="24"/>
          <w:highlight w:val="none"/>
        </w:rPr>
        <w:t xml:space="preserve">、采购标的需执行的国家相关标准、行业标准、地方标准或者其他标准、规范；</w:t>
      </w:r>
      <w:r>
        <w:rPr>
          <w:b/>
          <w:bCs/>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（1）《关于开展不动产登记服务“同市同标”试点工作的通知》（苏自然资函〔2021〕273号）</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（2）《关于深化不动产登记服务“同市同标”试点工作的通知》（苏自然资函〔2022〕367号）</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（3）《自然资源确权登记局2023年工作要点》（自然资登记函〔2023〕4号）</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（4）《江苏省自然资源厅关于认真做好2023年度全省自然资源和不动产确权登记工作的通知》（苏自然资函〔2023〕142号）</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（5）《关于在全省全面推行不动产登记“同市同标”服务的通知》</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（6）深化长三角区域不动产登记一体化“跨省通办”改革工作方案（自然资办函〔2024〕102号）</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（7）《关于进一步提升不动产登记便利度促进营商环境优化的通知》（自然资办发〔2024〕9号）</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（8）《关于认真做好2024年度全省自然资源和不动产确权登记工作的通知》（苏自然资函〔2024〕13号）</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（9）自然资源部办公厅《关于进一步加强不动产登记便民利民窗口建设的通知》（自然资办函〔2024〕1319号）</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（10）《关于做好“线上苏小登”提质升级 进一步深化“全程网办”“跨省通办”工作的通知》</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（11）《江苏省自然资源厅办公室关于认真做好2024年度全省自然资源和不动产确权登记工作的通知》（苏自然资办发〔2024〕13号）</w:t>
      </w:r>
      <w:r>
        <w:rPr>
          <w:rFonts w:ascii="Times New Roman" w:hAnsi="Times New Roman" w:eastAsia="宋体"/>
          <w:sz w:val="24"/>
          <w:szCs w:val="24"/>
          <w:highlight w:val="none"/>
        </w:rPr>
      </w:r>
      <w:r/>
    </w:p>
    <w:p>
      <w:pPr>
        <w:pStyle w:val="672"/>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（12）《南通市不动产登记服务“同市同标”工作实施方案》（通自然资规发〔2023〕311）</w:t>
      </w:r>
      <w:r>
        <w:rPr>
          <w:rFonts w:ascii="Times New Roman" w:hAnsi="Times New Roman" w:eastAsia="宋体"/>
          <w:sz w:val="24"/>
          <w:szCs w:val="24"/>
          <w:highlight w:val="none"/>
        </w:rPr>
      </w:r>
      <w:r/>
    </w:p>
    <w:p>
      <w:pPr>
        <w:pStyle w:val="672"/>
        <w:ind w:firstLine="480"/>
        <w:spacing w:line="0" w:lineRule="atLeas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（13）《南通市自然资源和规划局关于印发&lt;2024年度南通市自然资源和不动产确权登记工作要点&gt;的通知》（通自然资规发〔2024〕100号）</w:t>
      </w:r>
      <w:r>
        <w:rPr>
          <w:rFonts w:hint="eastAsia" w:ascii="Times New Roman" w:hAnsi="Times New Roman" w:eastAsia="宋体"/>
          <w:sz w:val="24"/>
          <w:szCs w:val="24"/>
          <w:highlight w:val="none"/>
        </w:rPr>
      </w:r>
      <w:r/>
    </w:p>
    <w:p>
      <w:pPr>
        <w:pStyle w:val="672"/>
        <w:ind w:firstLine="480"/>
        <w:spacing w:line="0" w:lineRule="atLeast"/>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r>
      <w:r/>
    </w:p>
    <w:p>
      <w:pPr>
        <w:pStyle w:val="660"/>
        <w:spacing w:line="0" w:lineRule="atLeast"/>
        <w:rPr>
          <w:b/>
          <w:bCs/>
          <w:sz w:val="24"/>
          <w:szCs w:val="24"/>
          <w:highlight w:val="none"/>
        </w:rPr>
      </w:pPr>
      <w:r>
        <w:rPr>
          <w:b/>
          <w:bCs/>
          <w:sz w:val="24"/>
          <w:szCs w:val="24"/>
          <w:highlight w:val="none"/>
        </w:rPr>
        <w:t xml:space="preserve">3</w:t>
      </w:r>
      <w:r>
        <w:rPr>
          <w:rFonts w:hint="eastAsia"/>
          <w:b/>
          <w:bCs/>
          <w:sz w:val="24"/>
          <w:szCs w:val="24"/>
          <w:highlight w:val="none"/>
        </w:rPr>
        <w:t xml:space="preserve">、采购标的需满足的质量、安全、技术规格、物理特性等要求；</w:t>
      </w:r>
      <w:r>
        <w:rPr>
          <w:b/>
          <w:bCs/>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rPr>
          <w:sz w:val="24"/>
          <w:szCs w:val="24"/>
          <w:highlight w:val="none"/>
        </w:rPr>
      </w:r>
      <w:r/>
    </w:p>
    <w:p>
      <w:pPr>
        <w:pStyle w:val="660"/>
        <w:ind w:firstLine="480"/>
        <w:spacing w:line="0" w:lineRule="atLeast"/>
        <w:rPr>
          <w:rFonts w:hint="eastAsia"/>
          <w:sz w:val="24"/>
          <w:szCs w:val="24"/>
          <w:highlight w:val="none"/>
        </w:rPr>
      </w:pPr>
      <w:r>
        <w:rPr>
          <w:rFonts w:hint="eastAsia"/>
          <w:sz w:val="24"/>
          <w:szCs w:val="24"/>
          <w:highlight w:val="none"/>
        </w:rPr>
        <w:t xml:space="preserve">因项目建设采用信创设备，为了满足用户对系统的日常使用需求，需对相关系统进行性能和兼容性测试，识别潜在的问题，优化系统性能，确保系统在不同终端下可以正常使用，提升用户体验感。</w:t>
      </w:r>
      <w:r>
        <w:rPr>
          <w:rFonts w:hint="eastAsia"/>
          <w:sz w:val="24"/>
          <w:szCs w:val="24"/>
          <w:highlight w:val="none"/>
        </w:rPr>
      </w:r>
      <w:r/>
    </w:p>
    <w:p>
      <w:pPr>
        <w:pStyle w:val="660"/>
        <w:spacing w:line="0" w:lineRule="atLeast"/>
        <w:rPr>
          <w:b/>
          <w:bCs/>
          <w:sz w:val="24"/>
          <w:szCs w:val="24"/>
          <w:highlight w:val="none"/>
        </w:rPr>
      </w:pPr>
      <w:r>
        <w:rPr>
          <w:b/>
          <w:bCs/>
          <w:sz w:val="24"/>
          <w:szCs w:val="24"/>
          <w:highlight w:val="none"/>
        </w:rPr>
      </w:r>
      <w:r/>
    </w:p>
    <w:p>
      <w:pPr>
        <w:pStyle w:val="660"/>
        <w:spacing w:line="0" w:lineRule="atLeast"/>
        <w:rPr>
          <w:b/>
          <w:bCs/>
          <w:sz w:val="24"/>
          <w:szCs w:val="24"/>
          <w:highlight w:val="none"/>
        </w:rPr>
      </w:pPr>
      <w:r>
        <w:rPr>
          <w:b/>
          <w:bCs/>
          <w:sz w:val="24"/>
          <w:szCs w:val="24"/>
          <w:highlight w:val="none"/>
        </w:rPr>
        <w:t xml:space="preserve">4</w:t>
      </w:r>
      <w:r>
        <w:rPr>
          <w:rFonts w:hint="eastAsia"/>
          <w:b/>
          <w:bCs/>
          <w:sz w:val="24"/>
          <w:szCs w:val="24"/>
          <w:highlight w:val="none"/>
        </w:rPr>
        <w:t xml:space="preserve">、采购标的的数量、采购项目交付或者实施的时间和地点；</w:t>
      </w:r>
      <w:r>
        <w:rPr>
          <w:b/>
          <w:bCs/>
          <w:sz w:val="24"/>
          <w:szCs w:val="24"/>
          <w:highlight w:val="none"/>
        </w:rPr>
      </w:r>
      <w:r/>
    </w:p>
    <w:p>
      <w:pPr>
        <w:pStyle w:val="660"/>
        <w:ind w:firstLine="480"/>
        <w:spacing w:line="0" w:lineRule="atLeast"/>
        <w:rPr>
          <w:highlight w:val="none"/>
        </w:rPr>
      </w:pPr>
      <w:r>
        <w:rPr>
          <w:rFonts w:hint="eastAsia"/>
          <w:highlight w:val="none"/>
        </w:rPr>
        <w:t xml:space="preserve">（1）采购标的数量：</w:t>
      </w:r>
      <w:r>
        <w:rPr>
          <w:highlight w:val="none"/>
        </w:rPr>
      </w:r>
      <w:r/>
    </w:p>
    <w:p>
      <w:pPr>
        <w:pStyle w:val="660"/>
        <w:ind w:firstLine="480"/>
        <w:spacing w:line="0" w:lineRule="atLeast"/>
        <w:rPr>
          <w:sz w:val="24"/>
          <w:szCs w:val="24"/>
          <w:highlight w:val="none"/>
        </w:rPr>
      </w:pPr>
      <w:r>
        <w:rPr>
          <w:rFonts w:hint="eastAsia"/>
          <w:sz w:val="24"/>
          <w:szCs w:val="24"/>
          <w:highlight w:val="none"/>
        </w:rPr>
        <w:t xml:space="preserve">此项目为一个标段</w:t>
      </w:r>
      <w:r>
        <w:rPr>
          <w:sz w:val="24"/>
          <w:szCs w:val="24"/>
          <w:highlight w:val="none"/>
        </w:rPr>
      </w:r>
      <w:r/>
    </w:p>
    <w:p>
      <w:pPr>
        <w:pStyle w:val="660"/>
        <w:ind w:firstLine="480"/>
        <w:spacing w:line="0" w:lineRule="atLeast"/>
        <w:rPr>
          <w:highlight w:val="none"/>
        </w:rPr>
      </w:pPr>
      <w:r>
        <w:rPr>
          <w:rFonts w:hint="eastAsia"/>
          <w:highlight w:val="none"/>
        </w:rPr>
        <w:t xml:space="preserve">（2）提交成果</w:t>
      </w:r>
      <w:r>
        <w:rPr>
          <w:highlight w:val="none"/>
        </w:rPr>
      </w:r>
      <w:r/>
    </w:p>
    <w:p>
      <w:pPr>
        <w:pStyle w:val="660"/>
        <w:ind w:firstLine="480"/>
        <w:spacing w:line="0" w:lineRule="atLeast"/>
        <w:rPr>
          <w:sz w:val="24"/>
          <w:szCs w:val="24"/>
          <w:highlight w:val="none"/>
        </w:rPr>
      </w:pPr>
      <w:r>
        <w:rPr>
          <w:rFonts w:hint="eastAsia"/>
          <w:sz w:val="24"/>
          <w:szCs w:val="24"/>
          <w:highlight w:val="none"/>
        </w:rPr>
        <w:t xml:space="preserve">a.软件成果</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①全市不动产登记业务平台；</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②优化升级后的“互联网+不动产登记”系统新增业务模块；</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③不动产登记现有管理系统开展信创改造：“互联网+不动产登记”系统、市级监管与辅助决策系统、权籍调查管理系统、自然资源确权登记数据管理系统的信创改造；</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b.硬件成果</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①数据库服务器6台，</w:t>
      </w:r>
      <w:r>
        <w:rPr>
          <w:rFonts w:hint="eastAsia" w:ascii="宋体" w:hAnsi="宋体"/>
          <w:bCs/>
          <w:sz w:val="24"/>
          <w:szCs w:val="24"/>
          <w:highlight w:val="none"/>
        </w:rPr>
        <w:t xml:space="preserve">数据库管理系统6套，数据库读写分离集群软件2套。</w:t>
      </w:r>
      <w:r>
        <w:rPr>
          <w:sz w:val="24"/>
          <w:szCs w:val="24"/>
          <w:highlight w:val="none"/>
        </w:rPr>
      </w:r>
      <w:r/>
    </w:p>
    <w:tbl>
      <w:tblPr>
        <w:tblW w:w="4997" w:type="pct"/>
        <w:tblInd w:w="10" w:type="dxa"/>
        <w:tblLayout w:type="fixed"/>
        <w:tblCellMar>
          <w:left w:w="108" w:type="dxa"/>
          <w:top w:w="0" w:type="dxa"/>
          <w:right w:w="108" w:type="dxa"/>
          <w:bottom w:w="0" w:type="dxa"/>
        </w:tblCellMar>
        <w:tblLook w:val="04A0" w:firstRow="1" w:lastRow="0" w:firstColumn="1" w:lastColumn="0" w:noHBand="0" w:noVBand="1"/>
      </w:tblPr>
      <w:tblGrid>
        <w:gridCol w:w="512"/>
        <w:gridCol w:w="1920"/>
        <w:gridCol w:w="385"/>
        <w:gridCol w:w="385"/>
        <w:gridCol w:w="1855"/>
        <w:gridCol w:w="1158"/>
        <w:gridCol w:w="1288"/>
        <w:gridCol w:w="1145"/>
        <w:gridCol w:w="515"/>
      </w:tblGrid>
      <w:tr>
        <w:trPr>
          <w:trHeight w:val="315"/>
          <w:tblHeader/>
        </w:trPr>
        <w:tc>
          <w:tcPr>
            <w:shd w:val="clear" w:color="auto" w:fill="f1f1f1"/>
            <w:tcBorders>
              <w:top w:val="single" w:color="000000" w:sz="8" w:space="0"/>
              <w:left w:val="single" w:color="000000" w:sz="8" w:space="0"/>
              <w:bottom w:val="single" w:color="000000" w:sz="8" w:space="0"/>
              <w:right w:val="single" w:color="000000" w:sz="8" w:space="0"/>
            </w:tcBorders>
            <w:tcW w:w="279" w:type="dxa"/>
            <w:vAlign w:val="center"/>
            <w:vMerge w:val="restart"/>
            <w:textDirection w:val="lrTb"/>
            <w:noWrap w:val="false"/>
          </w:tcPr>
          <w:p>
            <w:pPr>
              <w:pStyle w:val="660"/>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序号</w:t>
            </w:r>
            <w:r>
              <w:rPr>
                <w:rFonts w:hint="eastAsia" w:ascii="宋体" w:hAnsi="宋体" w:cs="宋体"/>
                <w:b/>
                <w:bCs/>
                <w:color w:val="000000"/>
                <w:highlight w:val="none"/>
              </w:rPr>
            </w:r>
            <w:r/>
          </w:p>
        </w:tc>
        <w:tc>
          <w:tcPr>
            <w:shd w:val="clear" w:color="auto" w:fill="f1f1f1"/>
            <w:tcBorders>
              <w:top w:val="single" w:color="000000" w:sz="8" w:space="0"/>
              <w:left w:val="single" w:color="000000" w:sz="8" w:space="0"/>
              <w:bottom w:val="single" w:color="000000" w:sz="8" w:space="0"/>
              <w:right w:val="single" w:color="000000" w:sz="8" w:space="0"/>
            </w:tcBorders>
            <w:tcW w:w="1046" w:type="dxa"/>
            <w:vAlign w:val="center"/>
            <w:vMerge w:val="restart"/>
            <w:textDirection w:val="lrTb"/>
            <w:noWrap w:val="false"/>
          </w:tcPr>
          <w:p>
            <w:pPr>
              <w:pStyle w:val="660"/>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类型</w:t>
            </w:r>
            <w:r>
              <w:rPr>
                <w:rFonts w:hint="eastAsia" w:ascii="宋体" w:hAnsi="宋体" w:cs="宋体"/>
                <w:b/>
                <w:bCs/>
                <w:color w:val="000000"/>
                <w:highlight w:val="none"/>
              </w:rPr>
            </w:r>
            <w:r/>
          </w:p>
        </w:tc>
        <w:tc>
          <w:tcPr>
            <w:gridSpan w:val="2"/>
            <w:shd w:val="clear" w:color="auto" w:fill="f1f1f1"/>
            <w:tcBorders>
              <w:top w:val="single" w:color="000000" w:sz="8" w:space="0"/>
              <w:left w:val="single" w:color="000000" w:sz="8" w:space="0"/>
              <w:bottom w:val="single" w:color="000000" w:sz="8" w:space="0"/>
              <w:right w:val="single" w:color="000000" w:sz="8" w:space="0"/>
            </w:tcBorders>
            <w:tcW w:w="770" w:type="dxa"/>
            <w:vAlign w:val="center"/>
            <w:vMerge w:val="restart"/>
            <w:textDirection w:val="lrTb"/>
            <w:noWrap w:val="false"/>
          </w:tcPr>
          <w:p>
            <w:pPr>
              <w:pStyle w:val="660"/>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用途</w:t>
            </w:r>
            <w:r>
              <w:rPr>
                <w:rFonts w:hint="eastAsia" w:ascii="宋体" w:hAnsi="宋体" w:cs="宋体"/>
                <w:b/>
                <w:bCs/>
                <w:color w:val="000000"/>
                <w:highlight w:val="none"/>
              </w:rPr>
            </w:r>
            <w:r/>
          </w:p>
        </w:tc>
        <w:tc>
          <w:tcPr>
            <w:gridSpan w:val="4"/>
            <w:shd w:val="clear" w:color="auto" w:fill="f1f1f1"/>
            <w:tcBorders>
              <w:top w:val="single" w:color="000000" w:sz="8" w:space="0"/>
              <w:left w:val="single" w:color="000000" w:sz="8" w:space="0"/>
              <w:bottom w:val="single" w:color="000000" w:sz="8" w:space="0"/>
              <w:right w:val="single" w:color="000000" w:sz="8" w:space="0"/>
            </w:tcBorders>
            <w:tcW w:w="5446" w:type="dxa"/>
            <w:vAlign w:val="center"/>
            <w:textDirection w:val="lrTb"/>
            <w:noWrap w:val="false"/>
          </w:tcPr>
          <w:p>
            <w:pPr>
              <w:pStyle w:val="660"/>
              <w:ind w:firstLine="482"/>
              <w:jc w:val="center"/>
              <w:widowControl/>
              <w:rPr>
                <w:rFonts w:hint="eastAsia" w:ascii="宋体" w:hAnsi="宋体" w:cs="宋体"/>
                <w:b/>
                <w:bCs/>
                <w:color w:val="000000"/>
                <w:highlight w:val="none"/>
                <w:lang w:bidi="ar"/>
              </w:rPr>
            </w:pPr>
            <w:r>
              <w:rPr>
                <w:rFonts w:hint="eastAsia" w:ascii="宋体" w:hAnsi="宋体" w:cs="宋体"/>
                <w:b/>
                <w:bCs/>
                <w:color w:val="000000"/>
                <w:highlight w:val="none"/>
                <w:lang w:bidi="ar"/>
              </w:rPr>
              <w:t xml:space="preserve">参数要求</w:t>
            </w:r>
            <w:r>
              <w:rPr>
                <w:rFonts w:hint="eastAsia" w:ascii="宋体" w:hAnsi="宋体" w:cs="宋体"/>
                <w:b/>
                <w:bCs/>
                <w:color w:val="000000"/>
                <w:highlight w:val="none"/>
                <w:lang w:bidi="ar"/>
              </w:rPr>
            </w:r>
            <w:r/>
          </w:p>
        </w:tc>
        <w:tc>
          <w:tcPr>
            <w:shd w:val="clear" w:color="auto" w:fill="f1f1f1"/>
            <w:tcBorders>
              <w:top w:val="single" w:color="000000" w:sz="8" w:space="0"/>
              <w:left w:val="single" w:color="000000" w:sz="8" w:space="0"/>
              <w:bottom w:val="single" w:color="000000" w:sz="8" w:space="0"/>
              <w:right w:val="single" w:color="000000" w:sz="8" w:space="0"/>
            </w:tcBorders>
            <w:tcW w:w="281" w:type="dxa"/>
            <w:vAlign w:val="center"/>
            <w:vMerge w:val="restart"/>
            <w:textDirection w:val="lrTb"/>
            <w:noWrap w:val="false"/>
          </w:tcPr>
          <w:p>
            <w:pPr>
              <w:pStyle w:val="660"/>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数量</w:t>
            </w:r>
            <w:r>
              <w:rPr>
                <w:rFonts w:hint="eastAsia" w:ascii="宋体" w:hAnsi="宋体" w:cs="宋体"/>
                <w:b/>
                <w:bCs/>
                <w:color w:val="000000"/>
                <w:highlight w:val="none"/>
              </w:rPr>
            </w:r>
            <w:r/>
          </w:p>
        </w:tc>
      </w:tr>
      <w:tr>
        <w:trPr>
          <w:trHeight w:val="600"/>
          <w:tblHeader/>
        </w:trPr>
        <w:tc>
          <w:tcPr>
            <w:shd w:val="clear" w:color="auto" w:fill="f1f1f1"/>
            <w:tcBorders>
              <w:top w:val="single" w:color="000000" w:sz="8" w:space="0"/>
              <w:left w:val="single" w:color="000000" w:sz="8" w:space="0"/>
              <w:bottom w:val="single" w:color="000000" w:sz="8" w:space="0"/>
              <w:right w:val="single" w:color="000000" w:sz="8" w:space="0"/>
            </w:tcBorders>
            <w:tcW w:w="279" w:type="dxa"/>
            <w:vAlign w:val="center"/>
            <w:vMerge w:val="continue"/>
            <w:textDirection w:val="lrTb"/>
            <w:noWrap w:val="false"/>
          </w:tcPr>
          <w:p>
            <w:pPr>
              <w:pStyle w:val="660"/>
              <w:ind w:firstLine="482"/>
              <w:jc w:val="center"/>
              <w:rPr>
                <w:rFonts w:hint="eastAsia" w:ascii="宋体" w:hAnsi="宋体" w:cs="宋体"/>
                <w:b/>
                <w:bCs/>
                <w:color w:val="000000"/>
                <w:highlight w:val="none"/>
              </w:rPr>
            </w:pPr>
            <w:r>
              <w:rPr>
                <w:rFonts w:hint="eastAsia" w:ascii="宋体" w:hAnsi="宋体" w:cs="宋体"/>
                <w:b/>
                <w:bCs/>
                <w:color w:val="000000"/>
                <w:highlight w:val="none"/>
              </w:rPr>
            </w:r>
            <w:r/>
          </w:p>
        </w:tc>
        <w:tc>
          <w:tcPr>
            <w:shd w:val="clear" w:color="auto" w:fill="f1f1f1"/>
            <w:tcBorders>
              <w:top w:val="single" w:color="000000" w:sz="8" w:space="0"/>
              <w:left w:val="single" w:color="000000" w:sz="8" w:space="0"/>
              <w:bottom w:val="single" w:color="000000" w:sz="8" w:space="0"/>
              <w:right w:val="single" w:color="000000" w:sz="8" w:space="0"/>
            </w:tcBorders>
            <w:tcW w:w="1046" w:type="dxa"/>
            <w:vAlign w:val="center"/>
            <w:vMerge w:val="continue"/>
            <w:textDirection w:val="lrTb"/>
            <w:noWrap w:val="false"/>
          </w:tcPr>
          <w:p>
            <w:pPr>
              <w:pStyle w:val="660"/>
              <w:ind w:firstLine="482"/>
              <w:jc w:val="center"/>
              <w:rPr>
                <w:rFonts w:hint="eastAsia" w:ascii="宋体" w:hAnsi="宋体" w:cs="宋体"/>
                <w:b/>
                <w:bCs/>
                <w:color w:val="000000"/>
                <w:highlight w:val="none"/>
              </w:rPr>
            </w:pPr>
            <w:r>
              <w:rPr>
                <w:rFonts w:hint="eastAsia" w:ascii="宋体" w:hAnsi="宋体" w:cs="宋体"/>
                <w:b/>
                <w:bCs/>
                <w:color w:val="000000"/>
                <w:highlight w:val="none"/>
              </w:rPr>
            </w:r>
            <w:r/>
          </w:p>
        </w:tc>
        <w:tc>
          <w:tcPr>
            <w:gridSpan w:val="2"/>
            <w:shd w:val="clear" w:color="auto" w:fill="f1f1f1"/>
            <w:tcBorders>
              <w:top w:val="single" w:color="000000" w:sz="8" w:space="0"/>
              <w:left w:val="single" w:color="000000" w:sz="8" w:space="0"/>
              <w:bottom w:val="single" w:color="000000" w:sz="8" w:space="0"/>
              <w:right w:val="single" w:color="000000" w:sz="8" w:space="0"/>
            </w:tcBorders>
            <w:tcW w:w="770" w:type="dxa"/>
            <w:vAlign w:val="center"/>
            <w:vMerge w:val="continue"/>
            <w:textDirection w:val="lrTb"/>
            <w:noWrap w:val="false"/>
          </w:tcPr>
          <w:p>
            <w:pPr>
              <w:pStyle w:val="660"/>
              <w:ind w:firstLine="482"/>
              <w:jc w:val="center"/>
              <w:rPr>
                <w:rFonts w:hint="eastAsia" w:ascii="宋体" w:hAnsi="宋体" w:cs="宋体"/>
                <w:b/>
                <w:bCs/>
                <w:color w:val="000000"/>
                <w:highlight w:val="none"/>
              </w:rPr>
            </w:pPr>
            <w:r>
              <w:rPr>
                <w:rFonts w:hint="eastAsia" w:ascii="宋体" w:hAnsi="宋体" w:cs="宋体"/>
                <w:b/>
                <w:bCs/>
                <w:color w:val="000000"/>
                <w:highlight w:val="none"/>
              </w:rPr>
            </w:r>
            <w:r/>
          </w:p>
        </w:tc>
        <w:tc>
          <w:tcPr>
            <w:shd w:val="clear" w:color="auto" w:fill="f1f1f1"/>
            <w:tcBorders>
              <w:top w:val="single" w:color="000000" w:sz="8" w:space="0"/>
              <w:left w:val="single" w:color="000000" w:sz="8" w:space="0"/>
              <w:bottom w:val="single" w:color="000000" w:sz="8" w:space="0"/>
              <w:right w:val="single" w:color="000000" w:sz="4" w:space="0"/>
            </w:tcBorders>
            <w:tcW w:w="1011" w:type="dxa"/>
            <w:vAlign w:val="center"/>
            <w:textDirection w:val="lrTb"/>
            <w:noWrap w:val="false"/>
          </w:tcPr>
          <w:p>
            <w:pPr>
              <w:pStyle w:val="660"/>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操作系统</w:t>
            </w:r>
            <w:r>
              <w:rPr>
                <w:rFonts w:hint="eastAsia" w:ascii="宋体" w:hAnsi="宋体" w:cs="宋体"/>
                <w:b/>
                <w:bCs/>
                <w:color w:val="000000"/>
                <w:highlight w:val="none"/>
              </w:rPr>
            </w:r>
            <w:r/>
          </w:p>
        </w:tc>
        <w:tc>
          <w:tcPr>
            <w:shd w:val="clear" w:color="auto" w:fill="f1f1f1"/>
            <w:tcBorders>
              <w:top w:val="single" w:color="000000" w:sz="8" w:space="0"/>
              <w:left w:val="single" w:color="000000" w:sz="4" w:space="0"/>
              <w:bottom w:val="single" w:color="000000" w:sz="8" w:space="0"/>
              <w:right w:val="single" w:color="000000" w:sz="4" w:space="0"/>
            </w:tcBorders>
            <w:tcW w:w="632" w:type="dxa"/>
            <w:vAlign w:val="center"/>
            <w:textDirection w:val="lrTb"/>
            <w:noWrap w:val="false"/>
          </w:tcPr>
          <w:p>
            <w:pPr>
              <w:pStyle w:val="660"/>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CPU</w:t>
            </w:r>
            <w:r>
              <w:rPr>
                <w:rFonts w:hint="eastAsia" w:ascii="宋体" w:hAnsi="宋体" w:cs="宋体"/>
                <w:b/>
                <w:bCs/>
                <w:color w:val="000000"/>
                <w:highlight w:val="none"/>
              </w:rPr>
            </w:r>
            <w:r/>
          </w:p>
        </w:tc>
        <w:tc>
          <w:tcPr>
            <w:shd w:val="clear" w:color="auto" w:fill="f1f1f1"/>
            <w:tcBorders>
              <w:top w:val="single" w:color="000000" w:sz="8" w:space="0"/>
              <w:left w:val="single" w:color="000000" w:sz="4" w:space="0"/>
              <w:bottom w:val="single" w:color="000000" w:sz="8" w:space="0"/>
              <w:right w:val="single" w:color="000000" w:sz="4" w:space="0"/>
            </w:tcBorders>
            <w:tcW w:w="703" w:type="dxa"/>
            <w:vAlign w:val="center"/>
            <w:textDirection w:val="lrTb"/>
            <w:noWrap w:val="false"/>
          </w:tcPr>
          <w:p>
            <w:pPr>
              <w:pStyle w:val="660"/>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内存</w:t>
            </w:r>
            <w:r>
              <w:rPr>
                <w:rFonts w:hint="eastAsia" w:ascii="宋体" w:hAnsi="宋体" w:cs="宋体"/>
                <w:b/>
                <w:bCs/>
                <w:color w:val="000000"/>
                <w:highlight w:val="none"/>
              </w:rPr>
            </w:r>
            <w:r/>
          </w:p>
        </w:tc>
        <w:tc>
          <w:tcPr>
            <w:shd w:val="clear" w:color="auto" w:fill="f1f1f1"/>
            <w:tcBorders>
              <w:top w:val="single" w:color="000000" w:sz="8" w:space="0"/>
              <w:left w:val="single" w:color="000000" w:sz="4" w:space="0"/>
              <w:bottom w:val="single" w:color="000000" w:sz="8" w:space="0"/>
              <w:right w:val="single" w:color="000000" w:sz="8" w:space="0"/>
            </w:tcBorders>
            <w:tcW w:w="623" w:type="dxa"/>
            <w:vAlign w:val="center"/>
            <w:textDirection w:val="lrTb"/>
            <w:noWrap w:val="false"/>
          </w:tcPr>
          <w:p>
            <w:pPr>
              <w:pStyle w:val="660"/>
              <w:jc w:val="center"/>
              <w:widowControl/>
              <w:rPr>
                <w:rFonts w:hint="eastAsia" w:ascii="宋体" w:hAnsi="宋体" w:cs="宋体"/>
                <w:b/>
                <w:bCs/>
                <w:color w:val="000000"/>
                <w:highlight w:val="none"/>
              </w:rPr>
            </w:pPr>
            <w:r>
              <w:rPr>
                <w:rFonts w:hint="eastAsia" w:ascii="宋体" w:hAnsi="宋体" w:cs="宋体"/>
                <w:b/>
                <w:bCs/>
                <w:color w:val="000000"/>
                <w:highlight w:val="none"/>
                <w:lang w:bidi="ar"/>
              </w:rPr>
              <w:t xml:space="preserve">硬盘</w:t>
            </w:r>
            <w:r>
              <w:rPr>
                <w:rFonts w:hint="eastAsia" w:ascii="宋体" w:hAnsi="宋体" w:cs="宋体"/>
                <w:b/>
                <w:bCs/>
                <w:color w:val="000000"/>
                <w:highlight w:val="none"/>
              </w:rPr>
            </w:r>
            <w:r/>
          </w:p>
        </w:tc>
        <w:tc>
          <w:tcPr>
            <w:shd w:val="clear" w:color="auto" w:fill="f1f1f1"/>
            <w:tcBorders>
              <w:top w:val="single" w:color="000000" w:sz="8" w:space="0"/>
              <w:left w:val="single" w:color="000000" w:sz="8" w:space="0"/>
              <w:bottom w:val="single" w:color="000000" w:sz="8" w:space="0"/>
              <w:right w:val="single" w:color="000000" w:sz="8" w:space="0"/>
            </w:tcBorders>
            <w:tcW w:w="281" w:type="dxa"/>
            <w:vAlign w:val="center"/>
            <w:vMerge w:val="continue"/>
            <w:textDirection w:val="lrTb"/>
            <w:noWrap w:val="false"/>
          </w:tcPr>
          <w:p>
            <w:pPr>
              <w:pStyle w:val="660"/>
              <w:ind w:firstLine="482"/>
              <w:jc w:val="center"/>
              <w:rPr>
                <w:rFonts w:hint="eastAsia" w:ascii="宋体" w:hAnsi="宋体" w:cs="宋体"/>
                <w:b/>
                <w:bCs/>
                <w:color w:val="000000"/>
                <w:highlight w:val="none"/>
              </w:rPr>
            </w:pPr>
            <w:r>
              <w:rPr>
                <w:rFonts w:hint="eastAsia" w:ascii="宋体" w:hAnsi="宋体" w:cs="宋体"/>
                <w:b/>
                <w:bCs/>
                <w:color w:val="000000"/>
                <w:highlight w:val="none"/>
              </w:rPr>
            </w:r>
            <w:r/>
          </w:p>
        </w:tc>
      </w:tr>
      <w:tr>
        <w:trPr>
          <w:trHeight w:val="645"/>
        </w:trPr>
        <w:tc>
          <w:tcPr>
            <w:tcBorders>
              <w:top w:val="none" w:color="000000" w:sz="4" w:space="0"/>
              <w:left w:val="single" w:color="000000" w:sz="8" w:space="0"/>
              <w:bottom w:val="single" w:color="000000" w:sz="4" w:space="0"/>
              <w:right w:val="single" w:color="000000" w:sz="8" w:space="0"/>
            </w:tcBorders>
            <w:tcW w:w="279" w:type="dxa"/>
            <w:vAlign w:val="center"/>
            <w:textDirection w:val="lrTb"/>
            <w:noWrap w:val="false"/>
          </w:tcPr>
          <w:p>
            <w:pPr>
              <w:pStyle w:val="660"/>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1</w:t>
            </w:r>
            <w:r>
              <w:rPr>
                <w:rFonts w:hint="eastAsia" w:ascii="宋体" w:hAnsi="宋体" w:cs="宋体"/>
                <w:color w:val="000000"/>
                <w:highlight w:val="none"/>
              </w:rPr>
            </w:r>
            <w:r/>
          </w:p>
        </w:tc>
        <w:tc>
          <w:tcPr>
            <w:tcBorders>
              <w:top w:val="none" w:color="000000" w:sz="4" w:space="0"/>
              <w:left w:val="single" w:color="000000" w:sz="8" w:space="0"/>
              <w:bottom w:val="single" w:color="000000" w:sz="4" w:space="0"/>
              <w:right w:val="single" w:color="000000" w:sz="8" w:space="0"/>
            </w:tcBorders>
            <w:tcW w:w="1046" w:type="dxa"/>
            <w:vAlign w:val="center"/>
            <w:vMerge w:val="restart"/>
            <w:textDirection w:val="lrTb"/>
            <w:noWrap w:val="false"/>
          </w:tcPr>
          <w:p>
            <w:pPr>
              <w:pStyle w:val="660"/>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数据库服务器</w:t>
            </w:r>
            <w:r>
              <w:rPr>
                <w:rFonts w:hint="eastAsia" w:ascii="宋体" w:hAnsi="宋体" w:cs="宋体"/>
                <w:color w:val="000000"/>
                <w:highlight w:val="none"/>
              </w:rPr>
            </w:r>
            <w:r/>
          </w:p>
        </w:tc>
        <w:tc>
          <w:tcPr>
            <w:gridSpan w:val="2"/>
            <w:tcBorders>
              <w:top w:val="none" w:color="000000" w:sz="4" w:space="0"/>
              <w:left w:val="single" w:color="000000" w:sz="8" w:space="0"/>
              <w:bottom w:val="single" w:color="000000" w:sz="4" w:space="0"/>
              <w:right w:val="single" w:color="000000" w:sz="8" w:space="0"/>
            </w:tcBorders>
            <w:tcW w:w="770" w:type="dxa"/>
            <w:vAlign w:val="center"/>
            <w:textDirection w:val="lrTb"/>
            <w:noWrap w:val="false"/>
          </w:tcPr>
          <w:p>
            <w:pPr>
              <w:pStyle w:val="660"/>
              <w:jc w:val="center"/>
              <w:widowControl/>
              <w:rPr>
                <w:rFonts w:hint="eastAsia" w:ascii="宋体" w:hAnsi="宋体" w:cs="宋体"/>
                <w:color w:val="000000"/>
                <w:highlight w:val="none"/>
              </w:rPr>
            </w:pPr>
            <w:r>
              <w:rPr>
                <w:rStyle w:val="773"/>
                <w:rFonts w:ascii="宋体" w:hAnsi="宋体" w:cs="宋体"/>
                <w:highlight w:val="none"/>
                <w:lang w:bidi="ar"/>
              </w:rPr>
              <w:t xml:space="preserve">不动产登记数据库服务器</w:t>
            </w:r>
            <w:r>
              <w:rPr>
                <w:rFonts w:hint="eastAsia" w:ascii="宋体" w:hAnsi="宋体" w:cs="宋体"/>
                <w:color w:val="000000"/>
                <w:highlight w:val="none"/>
              </w:rPr>
            </w:r>
            <w:r/>
          </w:p>
        </w:tc>
        <w:tc>
          <w:tcPr>
            <w:tcBorders>
              <w:top w:val="none" w:color="000000" w:sz="4" w:space="0"/>
              <w:left w:val="single" w:color="000000" w:sz="8" w:space="0"/>
              <w:bottom w:val="single" w:color="000000" w:sz="4" w:space="0"/>
              <w:right w:val="single" w:color="000000" w:sz="8" w:space="0"/>
            </w:tcBorders>
            <w:tcW w:w="1011" w:type="dxa"/>
            <w:vAlign w:val="center"/>
            <w:textDirection w:val="lrTb"/>
            <w:noWrap w:val="false"/>
          </w:tcPr>
          <w:p>
            <w:pPr>
              <w:pStyle w:val="660"/>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主流信创操作系统最新版</w:t>
            </w:r>
            <w:r>
              <w:rPr>
                <w:rFonts w:hint="eastAsia" w:ascii="宋体" w:hAnsi="宋体" w:cs="宋体"/>
                <w:color w:val="000000"/>
                <w:highlight w:val="none"/>
              </w:rPr>
            </w:r>
            <w:r/>
          </w:p>
        </w:tc>
        <w:tc>
          <w:tcPr>
            <w:tcBorders>
              <w:top w:val="none" w:color="000000" w:sz="4" w:space="0"/>
              <w:left w:val="single" w:color="000000" w:sz="8" w:space="0"/>
              <w:bottom w:val="single" w:color="000000" w:sz="4" w:space="0"/>
              <w:right w:val="single" w:color="000000" w:sz="8" w:space="0"/>
            </w:tcBorders>
            <w:tcW w:w="632" w:type="dxa"/>
            <w:vAlign w:val="center"/>
            <w:textDirection w:val="lrTb"/>
            <w:noWrap w:val="false"/>
          </w:tcPr>
          <w:p>
            <w:pPr>
              <w:pStyle w:val="660"/>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国产CPU</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64核2.6GHz以上</w:t>
            </w:r>
            <w:r>
              <w:rPr>
                <w:rFonts w:hint="eastAsia" w:ascii="宋体" w:hAnsi="宋体" w:cs="宋体"/>
                <w:color w:val="000000"/>
                <w:highlight w:val="none"/>
              </w:rPr>
            </w:r>
            <w:r/>
          </w:p>
        </w:tc>
        <w:tc>
          <w:tcPr>
            <w:tcBorders>
              <w:top w:val="none" w:color="000000" w:sz="4" w:space="0"/>
              <w:left w:val="single" w:color="000000" w:sz="8" w:space="0"/>
              <w:bottom w:val="single" w:color="000000" w:sz="4" w:space="0"/>
              <w:right w:val="single" w:color="000000" w:sz="8" w:space="0"/>
            </w:tcBorders>
            <w:tcW w:w="703" w:type="dxa"/>
            <w:vAlign w:val="center"/>
            <w:textDirection w:val="lrTb"/>
            <w:noWrap w:val="false"/>
          </w:tcPr>
          <w:p>
            <w:pPr>
              <w:pStyle w:val="660"/>
              <w:jc w:val="center"/>
              <w:widowControl/>
              <w:rPr>
                <w:rFonts w:hint="eastAsia" w:ascii="宋体" w:hAnsi="宋体" w:cs="宋体"/>
                <w:color w:val="000000"/>
                <w:highlight w:val="none"/>
              </w:rPr>
            </w:pPr>
            <w:r>
              <w:rPr>
                <w:rStyle w:val="774"/>
                <w:rFonts w:ascii="宋体" w:hAnsi="宋体" w:cs="宋体"/>
                <w:highlight w:val="none"/>
                <w:lang w:bidi="ar"/>
              </w:rPr>
              <w:t xml:space="preserve">大小： 256G     规格： DDR4    频率： 4800MHz</w:t>
            </w:r>
            <w:r>
              <w:rPr>
                <w:rFonts w:hint="eastAsia" w:ascii="宋体" w:hAnsi="宋体" w:cs="宋体"/>
                <w:color w:val="000000"/>
                <w:highlight w:val="none"/>
              </w:rPr>
            </w:r>
            <w:r/>
          </w:p>
        </w:tc>
        <w:tc>
          <w:tcPr>
            <w:tcBorders>
              <w:top w:val="none" w:color="000000" w:sz="4" w:space="0"/>
              <w:left w:val="single" w:color="000000" w:sz="8" w:space="0"/>
              <w:bottom w:val="single" w:color="000000" w:sz="4" w:space="0"/>
              <w:right w:val="single" w:color="000000" w:sz="8" w:space="0"/>
            </w:tcBorders>
            <w:tcW w:w="623" w:type="dxa"/>
            <w:vAlign w:val="center"/>
            <w:textDirection w:val="lrTb"/>
            <w:noWrap w:val="false"/>
          </w:tcPr>
          <w:p>
            <w:pPr>
              <w:pStyle w:val="660"/>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内置2块512GB M.2 SSD固态硬盘+一块SAS盘 2.4T 10K*2、要求：支持RAID，附带光纤卡</w:t>
            </w:r>
            <w:r>
              <w:rPr>
                <w:rFonts w:hint="eastAsia" w:ascii="宋体" w:hAnsi="宋体" w:cs="宋体"/>
                <w:color w:val="000000"/>
                <w:highlight w:val="none"/>
              </w:rPr>
            </w:r>
            <w:r/>
          </w:p>
        </w:tc>
        <w:tc>
          <w:tcPr>
            <w:tcBorders>
              <w:top w:val="none" w:color="000000" w:sz="4" w:space="0"/>
              <w:left w:val="single" w:color="000000" w:sz="8" w:space="0"/>
              <w:bottom w:val="single" w:color="000000" w:sz="4" w:space="0"/>
              <w:right w:val="single" w:color="000000" w:sz="8" w:space="0"/>
            </w:tcBorders>
            <w:tcW w:w="281" w:type="dxa"/>
            <w:vAlign w:val="center"/>
            <w:textDirection w:val="lrTb"/>
            <w:noWrap w:val="false"/>
          </w:tcPr>
          <w:p>
            <w:pPr>
              <w:pStyle w:val="660"/>
              <w:jc w:val="center"/>
              <w:widowControl/>
              <w:rPr>
                <w:rFonts w:hint="eastAsia" w:ascii="宋体" w:hAnsi="宋体" w:cs="宋体"/>
                <w:color w:val="000000"/>
                <w:highlight w:val="none"/>
              </w:rPr>
            </w:pPr>
            <w:r>
              <w:rPr>
                <w:rFonts w:hint="eastAsia" w:ascii="宋体" w:hAnsi="宋体" w:cs="宋体"/>
                <w:color w:val="000000"/>
                <w:highlight w:val="none"/>
                <w:lang w:bidi="ar"/>
              </w:rPr>
              <w:t xml:space="preserve">3</w:t>
            </w:r>
            <w:r>
              <w:rPr>
                <w:rFonts w:hint="eastAsia" w:ascii="宋体" w:hAnsi="宋体" w:cs="宋体"/>
                <w:color w:val="000000"/>
                <w:highlight w:val="none"/>
              </w:rPr>
            </w:r>
            <w:r/>
          </w:p>
        </w:tc>
      </w:tr>
      <w:tr>
        <w:trPr>
          <w:trHeight w:val="645"/>
        </w:trPr>
        <w:tc>
          <w:tcPr>
            <w:tcBorders>
              <w:top w:val="none" w:color="000000" w:sz="4" w:space="0"/>
              <w:left w:val="single" w:color="000000" w:sz="8" w:space="0"/>
              <w:bottom w:val="single" w:color="000000" w:sz="4" w:space="0"/>
              <w:right w:val="single" w:color="000000" w:sz="8" w:space="0"/>
            </w:tcBorders>
            <w:tcW w:w="279"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w:t>
            </w:r>
            <w:r>
              <w:rPr>
                <w:rFonts w:hint="eastAsia" w:ascii="宋体" w:hAnsi="宋体" w:cs="宋体"/>
                <w:color w:val="000000"/>
                <w:highlight w:val="none"/>
                <w:lang w:bidi="ar"/>
              </w:rPr>
            </w:r>
            <w:r/>
          </w:p>
        </w:tc>
        <w:tc>
          <w:tcPr>
            <w:tcBorders>
              <w:top w:val="none" w:color="000000" w:sz="4" w:space="0"/>
              <w:left w:val="single" w:color="000000" w:sz="8" w:space="0"/>
              <w:bottom w:val="single" w:color="000000" w:sz="4" w:space="0"/>
              <w:right w:val="single" w:color="000000" w:sz="8" w:space="0"/>
            </w:tcBorders>
            <w:tcW w:w="1046" w:type="dxa"/>
            <w:vAlign w:val="center"/>
            <w:vMerge w:val="continue"/>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r>
            <w:r/>
          </w:p>
        </w:tc>
        <w:tc>
          <w:tcPr>
            <w:gridSpan w:val="2"/>
            <w:tcBorders>
              <w:top w:val="none" w:color="000000" w:sz="4" w:space="0"/>
              <w:left w:val="single" w:color="000000" w:sz="8" w:space="0"/>
              <w:bottom w:val="single" w:color="000000" w:sz="4" w:space="0"/>
              <w:right w:val="single" w:color="000000" w:sz="8" w:space="0"/>
            </w:tcBorders>
            <w:tcW w:w="770" w:type="dxa"/>
            <w:vAlign w:val="center"/>
            <w:textDirection w:val="lrTb"/>
            <w:noWrap w:val="false"/>
          </w:tcPr>
          <w:p>
            <w:pPr>
              <w:pStyle w:val="660"/>
              <w:jc w:val="center"/>
              <w:widowControl/>
              <w:rPr>
                <w:rStyle w:val="773"/>
                <w:rFonts w:ascii="宋体" w:hAnsi="宋体" w:cs="宋体"/>
                <w:highlight w:val="none"/>
                <w:lang w:bidi="ar"/>
              </w:rPr>
            </w:pPr>
            <w:r>
              <w:rPr>
                <w:rStyle w:val="773"/>
                <w:rFonts w:ascii="宋体" w:hAnsi="宋体" w:cs="宋体"/>
                <w:highlight w:val="none"/>
                <w:lang w:bidi="ar"/>
              </w:rPr>
              <w:t xml:space="preserve">权籍管理系统应用数据库服务器</w:t>
            </w:r>
            <w:r>
              <w:rPr>
                <w:rStyle w:val="773"/>
                <w:rFonts w:ascii="宋体" w:hAnsi="宋体" w:cs="宋体"/>
                <w:highlight w:val="none"/>
                <w:lang w:bidi="ar"/>
              </w:rPr>
            </w:r>
            <w:r/>
          </w:p>
        </w:tc>
        <w:tc>
          <w:tcPr>
            <w:tcBorders>
              <w:top w:val="none" w:color="000000" w:sz="4" w:space="0"/>
              <w:left w:val="single" w:color="000000" w:sz="8" w:space="0"/>
              <w:bottom w:val="single" w:color="000000" w:sz="4" w:space="0"/>
              <w:right w:val="single" w:color="000000" w:sz="8" w:space="0"/>
            </w:tcBorders>
            <w:tcW w:w="1011"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主流信创操作系统最新版</w:t>
            </w:r>
            <w:r>
              <w:rPr>
                <w:rFonts w:hint="eastAsia" w:ascii="宋体" w:hAnsi="宋体" w:cs="宋体"/>
                <w:color w:val="000000"/>
                <w:highlight w:val="none"/>
                <w:lang w:bidi="ar"/>
              </w:rPr>
            </w:r>
            <w:r/>
          </w:p>
        </w:tc>
        <w:tc>
          <w:tcPr>
            <w:tcBorders>
              <w:top w:val="none" w:color="000000" w:sz="4" w:space="0"/>
              <w:left w:val="single" w:color="000000" w:sz="8" w:space="0"/>
              <w:bottom w:val="single" w:color="000000" w:sz="4" w:space="0"/>
              <w:right w:val="single" w:color="000000" w:sz="8" w:space="0"/>
            </w:tcBorders>
            <w:tcW w:w="632" w:type="dxa"/>
            <w:vAlign w:val="center"/>
            <w:textDirection w:val="lrTb"/>
            <w:noWrap w:val="false"/>
          </w:tcPr>
          <w:p>
            <w:pPr>
              <w:pStyle w:val="660"/>
              <w:jc w:val="center"/>
              <w:widowControl/>
              <w:rPr>
                <w:rStyle w:val="773"/>
                <w:rFonts w:ascii="宋体" w:hAnsi="宋体" w:cs="宋体"/>
                <w:highlight w:val="none"/>
                <w:lang w:bidi="ar"/>
              </w:rPr>
            </w:pPr>
            <w:r>
              <w:rPr>
                <w:rFonts w:hint="eastAsia" w:ascii="宋体" w:hAnsi="宋体" w:cs="宋体"/>
                <w:color w:val="000000"/>
                <w:highlight w:val="none"/>
                <w:lang w:bidi="ar"/>
              </w:rPr>
              <w:t xml:space="preserve">国产CPU</w:t>
            </w:r>
            <w:r>
              <w:rPr>
                <w:rFonts w:hint="eastAsia" w:ascii="宋体" w:hAnsi="宋体" w:cs="宋体"/>
                <w:color w:val="000000"/>
                <w:highlight w:val="none"/>
                <w:lang w:bidi="ar"/>
              </w:rPr>
              <w:br w:type="textWrapping" w:clear="all"/>
            </w:r>
            <w:r>
              <w:rPr>
                <w:rFonts w:hint="eastAsia" w:ascii="宋体" w:hAnsi="宋体" w:cs="宋体"/>
                <w:color w:val="000000"/>
                <w:highlight w:val="none"/>
                <w:lang w:bidi="ar"/>
              </w:rPr>
              <w:t xml:space="preserve">64核2.6GHz以上</w:t>
            </w:r>
            <w:r>
              <w:rPr>
                <w:rStyle w:val="773"/>
                <w:rFonts w:ascii="宋体" w:hAnsi="宋体" w:cs="宋体"/>
                <w:highlight w:val="none"/>
                <w:lang w:bidi="ar"/>
              </w:rPr>
            </w:r>
            <w:r/>
          </w:p>
        </w:tc>
        <w:tc>
          <w:tcPr>
            <w:tcBorders>
              <w:top w:val="none" w:color="000000" w:sz="4" w:space="0"/>
              <w:left w:val="single" w:color="000000" w:sz="8" w:space="0"/>
              <w:bottom w:val="single" w:color="000000" w:sz="4" w:space="0"/>
              <w:right w:val="single" w:color="000000" w:sz="8" w:space="0"/>
            </w:tcBorders>
            <w:tcW w:w="703" w:type="dxa"/>
            <w:vAlign w:val="center"/>
            <w:textDirection w:val="lrTb"/>
            <w:noWrap w:val="false"/>
          </w:tcPr>
          <w:p>
            <w:pPr>
              <w:pStyle w:val="660"/>
              <w:jc w:val="center"/>
              <w:widowControl/>
              <w:rPr>
                <w:rStyle w:val="773"/>
                <w:rFonts w:ascii="宋体" w:hAnsi="宋体" w:cs="宋体"/>
                <w:highlight w:val="none"/>
                <w:lang w:bidi="ar"/>
              </w:rPr>
            </w:pPr>
            <w:r>
              <w:rPr>
                <w:rFonts w:hint="eastAsia" w:ascii="宋体" w:hAnsi="宋体" w:cs="宋体"/>
                <w:color w:val="000000"/>
                <w:highlight w:val="none"/>
                <w:lang w:bidi="ar"/>
              </w:rPr>
              <w:t xml:space="preserve">大小： 256G     规格： DDR4    频率： 4800MHz</w:t>
            </w:r>
            <w:r>
              <w:rPr>
                <w:rStyle w:val="773"/>
                <w:rFonts w:ascii="宋体" w:hAnsi="宋体" w:cs="宋体"/>
                <w:highlight w:val="none"/>
                <w:lang w:bidi="ar"/>
              </w:rPr>
            </w:r>
            <w:r/>
          </w:p>
        </w:tc>
        <w:tc>
          <w:tcPr>
            <w:tcBorders>
              <w:top w:val="none" w:color="000000" w:sz="4" w:space="0"/>
              <w:left w:val="single" w:color="000000" w:sz="8" w:space="0"/>
              <w:bottom w:val="single" w:color="000000" w:sz="4" w:space="0"/>
              <w:right w:val="single" w:color="000000" w:sz="8" w:space="0"/>
            </w:tcBorders>
            <w:tcW w:w="623" w:type="dxa"/>
            <w:vAlign w:val="center"/>
            <w:textDirection w:val="lrTb"/>
            <w:noWrap w:val="false"/>
          </w:tcPr>
          <w:p>
            <w:pPr>
              <w:pStyle w:val="660"/>
              <w:jc w:val="center"/>
              <w:widowControl/>
              <w:rPr>
                <w:rStyle w:val="773"/>
                <w:rFonts w:ascii="宋体" w:hAnsi="宋体" w:cs="宋体"/>
                <w:highlight w:val="none"/>
                <w:lang w:bidi="ar"/>
              </w:rPr>
            </w:pPr>
            <w:r>
              <w:rPr>
                <w:rFonts w:hint="eastAsia" w:ascii="宋体" w:hAnsi="宋体" w:cs="宋体"/>
                <w:color w:val="000000"/>
                <w:highlight w:val="none"/>
                <w:lang w:bidi="ar"/>
              </w:rPr>
              <w:t xml:space="preserve">内置2块512GB M.2 SSD固态硬盘+一块SAS盘 2.4T 10K*2、要求：支持RAID，附带光纤卡</w:t>
            </w:r>
            <w:r>
              <w:rPr>
                <w:rStyle w:val="773"/>
                <w:rFonts w:ascii="宋体" w:hAnsi="宋体" w:cs="宋体"/>
                <w:highlight w:val="none"/>
                <w:lang w:bidi="ar"/>
              </w:rPr>
            </w:r>
            <w:r/>
          </w:p>
        </w:tc>
        <w:tc>
          <w:tcPr>
            <w:tcBorders>
              <w:top w:val="none" w:color="000000" w:sz="4" w:space="0"/>
              <w:left w:val="single" w:color="000000" w:sz="8" w:space="0"/>
              <w:bottom w:val="single" w:color="000000" w:sz="4" w:space="0"/>
              <w:right w:val="single" w:color="000000" w:sz="8" w:space="0"/>
            </w:tcBorders>
            <w:tcW w:w="281"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bidi="ar"/>
              </w:rPr>
            </w:r>
            <w:r/>
          </w:p>
        </w:tc>
      </w:tr>
      <w:tr>
        <w:trPr>
          <w:trHeight w:val="645"/>
        </w:trPr>
        <w:tc>
          <w:tcPr>
            <w:tcBorders>
              <w:top w:val="none" w:color="000000" w:sz="4" w:space="0"/>
              <w:left w:val="single" w:color="000000" w:sz="8" w:space="0"/>
              <w:bottom w:val="single" w:color="000000" w:sz="4" w:space="0"/>
              <w:right w:val="single" w:color="000000" w:sz="8" w:space="0"/>
            </w:tcBorders>
            <w:tcW w:w="279"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w:t>
            </w:r>
            <w:r>
              <w:rPr>
                <w:rFonts w:hint="eastAsia" w:ascii="宋体" w:hAnsi="宋体" w:cs="宋体"/>
                <w:color w:val="000000"/>
                <w:highlight w:val="none"/>
                <w:lang w:bidi="ar"/>
              </w:rPr>
            </w:r>
            <w:r/>
          </w:p>
        </w:tc>
        <w:tc>
          <w:tcPr>
            <w:tcBorders>
              <w:top w:val="none" w:color="000000" w:sz="4" w:space="0"/>
              <w:left w:val="single" w:color="000000" w:sz="8" w:space="0"/>
              <w:bottom w:val="none" w:color="000000" w:sz="0" w:space="0"/>
              <w:right w:val="single" w:color="000000" w:sz="8" w:space="0"/>
            </w:tcBorders>
            <w:tcW w:w="1046" w:type="dxa"/>
            <w:vAlign w:val="center"/>
            <w:vMerge w:val="restart"/>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国产数据库</w:t>
            </w:r>
            <w:r>
              <w:rPr>
                <w:rFonts w:hint="eastAsia" w:ascii="宋体" w:hAnsi="宋体" w:cs="宋体"/>
                <w:color w:val="000000"/>
                <w:highlight w:val="none"/>
                <w:lang w:bidi="ar"/>
              </w:rPr>
            </w:r>
            <w:r/>
          </w:p>
        </w:tc>
        <w:tc>
          <w:tcPr>
            <w:tcBorders>
              <w:top w:val="none" w:color="000000" w:sz="4" w:space="0"/>
              <w:left w:val="single" w:color="000000" w:sz="8" w:space="0"/>
              <w:bottom w:val="single" w:color="000000" w:sz="4" w:space="0"/>
              <w:right w:val="single" w:color="000000" w:sz="8" w:space="0"/>
            </w:tcBorders>
            <w:tcW w:w="210"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数据库</w:t>
            </w:r>
            <w:r>
              <w:rPr>
                <w:rFonts w:hint="eastAsia" w:ascii="宋体" w:hAnsi="宋体" w:cs="宋体"/>
                <w:color w:val="000000"/>
                <w:highlight w:val="none"/>
                <w:lang w:bidi="ar"/>
              </w:rPr>
            </w:r>
            <w:r/>
          </w:p>
        </w:tc>
        <w:tc>
          <w:tcPr>
            <w:tcBorders>
              <w:top w:val="none" w:color="000000" w:sz="4" w:space="0"/>
              <w:left w:val="single" w:color="000000" w:sz="8" w:space="0"/>
              <w:bottom w:val="single" w:color="000000" w:sz="4" w:space="0"/>
              <w:right w:val="single" w:color="000000" w:sz="8" w:space="0"/>
            </w:tcBorders>
            <w:tcW w:w="210"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数据库管理系统</w:t>
            </w:r>
            <w:r>
              <w:rPr>
                <w:rFonts w:hint="eastAsia" w:ascii="宋体" w:hAnsi="宋体" w:cs="宋体"/>
                <w:color w:val="000000"/>
                <w:highlight w:val="none"/>
                <w:lang w:bidi="ar"/>
              </w:rPr>
            </w:r>
            <w:r/>
          </w:p>
        </w:tc>
        <w:tc>
          <w:tcPr>
            <w:gridSpan w:val="4"/>
            <w:tcBorders>
              <w:top w:val="none" w:color="000000" w:sz="4" w:space="0"/>
              <w:left w:val="single" w:color="000000" w:sz="8" w:space="0"/>
              <w:bottom w:val="single" w:color="000000" w:sz="4" w:space="0"/>
              <w:right w:val="single" w:color="000000" w:sz="8" w:space="0"/>
            </w:tcBorders>
            <w:tcW w:w="5446" w:type="dxa"/>
            <w:vAlign w:val="center"/>
            <w:textDirection w:val="lrTb"/>
            <w:noWrap w:val="false"/>
          </w:tcPr>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1、支持自动负载信息库比对报告内容按库展示，支持以文本、网页形式输出，支持中文、英文两种语言，支持将报告自动保存为磁盘文件。                                                      </w:t>
            </w:r>
            <w:r>
              <w:rPr>
                <w:rFonts w:hint="eastAsia" w:ascii="宋体" w:hAnsi="宋体" w:cs="宋体"/>
                <w:color w:val="000000"/>
                <w:highlight w:val="none"/>
                <w:lang w:bidi="ar"/>
              </w:rPr>
            </w:r>
            <w:r/>
          </w:p>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2、支持以动态性能视图的方式对数据库运行过程中的锁指标进行统计，包括：锁名称、加锁模式、加锁次数、等待获得次数、等待未获得次数、非等待获得次数、非等待未获得次数、锁等待时间等。</w:t>
            </w:r>
            <w:r>
              <w:rPr>
                <w:rFonts w:hint="eastAsia" w:ascii="宋体" w:hAnsi="宋体" w:cs="宋体"/>
                <w:color w:val="000000"/>
                <w:highlight w:val="none"/>
                <w:lang w:bidi="ar"/>
              </w:rPr>
            </w:r>
            <w:r/>
          </w:p>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3、支持操作系统级数据保护功能，可以防止在操作系统层面使用rm命令误删除数据表空间目录或数据文件。</w:t>
            </w:r>
            <w:r>
              <w:rPr>
                <w:rFonts w:hint="eastAsia" w:ascii="宋体" w:hAnsi="宋体" w:cs="宋体"/>
                <w:color w:val="000000"/>
                <w:highlight w:val="none"/>
                <w:lang w:bidi="ar"/>
              </w:rPr>
            </w:r>
            <w:r/>
          </w:p>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4、支持从日志文件离线修复文件坏块或表。</w:t>
            </w:r>
            <w:r>
              <w:rPr>
                <w:rFonts w:hint="eastAsia" w:ascii="宋体" w:hAnsi="宋体" w:cs="宋体"/>
                <w:color w:val="000000"/>
                <w:highlight w:val="none"/>
                <w:lang w:bidi="ar"/>
              </w:rPr>
            </w:r>
            <w:r/>
          </w:p>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5、支持20个以上窗口函数可以支持distinct用法。</w:t>
            </w:r>
            <w:r>
              <w:rPr>
                <w:rFonts w:hint="eastAsia" w:ascii="宋体" w:hAnsi="宋体" w:cs="宋体"/>
                <w:color w:val="000000"/>
                <w:highlight w:val="none"/>
                <w:lang w:bidi="ar"/>
              </w:rPr>
            </w:r>
            <w:r/>
          </w:p>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6、支持多种索引类型，包括： btree、hash、brin、bloom、位图索引。支持局部索引partial Indexes，支持创建不同于数据collate的索引、支持BRIN索引、支持BLOOM索引 、支持like变量表达式索引，位图索引中存储表中各列值的位图信息，当列取值少时，位图索引的占用空间要比B树索引更小。</w:t>
            </w:r>
            <w:r>
              <w:rPr>
                <w:rFonts w:hint="eastAsia" w:ascii="宋体" w:hAnsi="宋体" w:cs="宋体"/>
                <w:color w:val="000000"/>
                <w:highlight w:val="none"/>
                <w:lang w:bidi="ar"/>
              </w:rPr>
            </w:r>
            <w:r/>
          </w:p>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7、支持以树状结构展示SQL语句之间的父子继承关系，并能逐层分解SQL语句的资源消耗。                                                                                   </w:t>
            </w:r>
            <w:r>
              <w:rPr>
                <w:rFonts w:hint="eastAsia" w:ascii="宋体" w:hAnsi="宋体" w:cs="宋体"/>
                <w:color w:val="000000"/>
                <w:highlight w:val="none"/>
                <w:lang w:bidi="ar"/>
              </w:rPr>
            </w:r>
            <w:r/>
          </w:p>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8、兼容postgis空间数据引擎相关组件；支持对地理数据、矢量数据、拓扑数据、栅格数据的存储、计算、分析；支持对DEM数据相关操作；支持对空间数据的坐标系的相互转换；支持GIST等空间数据索引。                                                                                                                                                            </w:t>
            </w:r>
            <w:r>
              <w:rPr>
                <w:rFonts w:hint="eastAsia" w:ascii="宋体" w:hAnsi="宋体" w:cs="宋体"/>
                <w:color w:val="000000"/>
                <w:highlight w:val="none"/>
                <w:lang w:bidi="ar"/>
              </w:rPr>
            </w:r>
            <w:r/>
          </w:p>
        </w:tc>
        <w:tc>
          <w:tcPr>
            <w:tcBorders>
              <w:top w:val="none" w:color="000000" w:sz="4" w:space="0"/>
              <w:left w:val="single" w:color="000000" w:sz="8" w:space="0"/>
              <w:bottom w:val="single" w:color="000000" w:sz="4" w:space="0"/>
              <w:right w:val="single" w:color="000000" w:sz="8" w:space="0"/>
            </w:tcBorders>
            <w:tcW w:w="281"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6</w:t>
            </w:r>
            <w:r>
              <w:rPr>
                <w:rFonts w:hint="eastAsia" w:ascii="宋体" w:hAnsi="宋体" w:cs="宋体"/>
                <w:color w:val="000000"/>
                <w:highlight w:val="none"/>
                <w:lang w:bidi="ar"/>
              </w:rPr>
            </w:r>
            <w:r/>
          </w:p>
        </w:tc>
      </w:tr>
      <w:tr>
        <w:trPr>
          <w:trHeight w:val="645"/>
        </w:trPr>
        <w:tc>
          <w:tcPr>
            <w:tcBorders>
              <w:top w:val="none" w:color="000000" w:sz="4" w:space="0"/>
              <w:left w:val="single" w:color="000000" w:sz="8" w:space="0"/>
              <w:bottom w:val="single" w:color="000000" w:sz="4" w:space="0"/>
              <w:right w:val="single" w:color="000000" w:sz="8" w:space="0"/>
            </w:tcBorders>
            <w:tcW w:w="279"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w:t>
            </w:r>
            <w:r>
              <w:rPr>
                <w:rFonts w:hint="eastAsia" w:ascii="宋体" w:hAnsi="宋体" w:cs="宋体"/>
                <w:color w:val="000000"/>
                <w:highlight w:val="none"/>
                <w:lang w:bidi="ar"/>
              </w:rPr>
            </w:r>
            <w:r/>
          </w:p>
        </w:tc>
        <w:tc>
          <w:tcPr>
            <w:tcBorders>
              <w:top w:val="none" w:color="000000" w:sz="0" w:space="0"/>
              <w:left w:val="single" w:color="000000" w:sz="8" w:space="0"/>
              <w:bottom w:val="single" w:color="000000" w:sz="4" w:space="0"/>
              <w:right w:val="single" w:color="000000" w:sz="8" w:space="0"/>
            </w:tcBorders>
            <w:tcW w:w="1046" w:type="dxa"/>
            <w:vAlign w:val="center"/>
            <w:vMerge w:val="continue"/>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r>
            <w:r/>
          </w:p>
        </w:tc>
        <w:tc>
          <w:tcPr>
            <w:tcBorders>
              <w:top w:val="none" w:color="000000" w:sz="4" w:space="0"/>
              <w:left w:val="single" w:color="000000" w:sz="8" w:space="0"/>
              <w:bottom w:val="single" w:color="000000" w:sz="4" w:space="0"/>
              <w:right w:val="single" w:color="000000" w:sz="8" w:space="0"/>
            </w:tcBorders>
            <w:tcW w:w="210"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数据库集群</w:t>
            </w:r>
            <w:r>
              <w:rPr>
                <w:rFonts w:hint="eastAsia" w:ascii="宋体" w:hAnsi="宋体" w:cs="宋体"/>
                <w:color w:val="000000"/>
                <w:highlight w:val="none"/>
                <w:lang w:bidi="ar"/>
              </w:rPr>
            </w:r>
            <w:r/>
          </w:p>
        </w:tc>
        <w:tc>
          <w:tcPr>
            <w:tcBorders>
              <w:top w:val="none" w:color="000000" w:sz="4" w:space="0"/>
              <w:left w:val="single" w:color="000000" w:sz="8" w:space="0"/>
              <w:bottom w:val="single" w:color="000000" w:sz="4" w:space="0"/>
              <w:right w:val="single" w:color="000000" w:sz="8" w:space="0"/>
            </w:tcBorders>
            <w:tcW w:w="210"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读写分离集群软件</w:t>
            </w:r>
            <w:r>
              <w:rPr>
                <w:rFonts w:hint="eastAsia" w:ascii="宋体" w:hAnsi="宋体" w:cs="宋体"/>
                <w:color w:val="000000"/>
                <w:highlight w:val="none"/>
                <w:lang w:bidi="ar"/>
              </w:rPr>
            </w:r>
            <w:r/>
          </w:p>
        </w:tc>
        <w:tc>
          <w:tcPr>
            <w:gridSpan w:val="4"/>
            <w:tcBorders>
              <w:top w:val="none" w:color="000000" w:sz="4" w:space="0"/>
              <w:left w:val="single" w:color="000000" w:sz="8" w:space="0"/>
              <w:bottom w:val="single" w:color="000000" w:sz="4" w:space="0"/>
              <w:right w:val="single" w:color="000000" w:sz="8" w:space="0"/>
            </w:tcBorders>
            <w:tcW w:w="5446" w:type="dxa"/>
            <w:vAlign w:val="center"/>
            <w:textDirection w:val="lrTb"/>
            <w:noWrap w:val="false"/>
          </w:tcPr>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1、数据库集群支持读写分离，数据零丢失，支持主备集群，支持数据零丢失，即主库故障，备库自动切换为主库，且数据与原主库数据一致。</w:t>
            </w:r>
            <w:r>
              <w:rPr>
                <w:rFonts w:hint="eastAsia" w:ascii="宋体" w:hAnsi="宋体" w:cs="宋体"/>
                <w:color w:val="000000"/>
                <w:highlight w:val="none"/>
                <w:lang w:bidi="ar"/>
              </w:rPr>
            </w:r>
            <w:r/>
          </w:p>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2、数据库集群支持按照读写进行路由，并实现读、写的任务分发，系统自动实现写操作在主机、读操作在备机。</w:t>
            </w:r>
            <w:r>
              <w:rPr>
                <w:rFonts w:hint="eastAsia" w:ascii="宋体" w:hAnsi="宋体" w:cs="宋体"/>
                <w:color w:val="000000"/>
                <w:highlight w:val="none"/>
                <w:lang w:bidi="ar"/>
              </w:rPr>
            </w:r>
            <w:r/>
          </w:p>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3、集群支持在多网络段IP组网环境中部署，并做到软件层的冗余，在多网段有大部分故障的场景下，仍可以找寻可用的网络进行通信，而不会触发集群间的故障转移。</w:t>
            </w:r>
            <w:r>
              <w:rPr>
                <w:rFonts w:hint="eastAsia" w:ascii="宋体" w:hAnsi="宋体" w:cs="宋体"/>
                <w:color w:val="000000"/>
                <w:highlight w:val="none"/>
                <w:lang w:bidi="ar"/>
              </w:rPr>
            </w:r>
            <w:r/>
          </w:p>
          <w:p>
            <w:pPr>
              <w:pStyle w:val="660"/>
              <w:jc w:val="left"/>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4、支持主备集群做自动故障转移，不依赖第三方节点部署额外程序或共享存储。</w:t>
            </w:r>
            <w:r>
              <w:rPr>
                <w:rFonts w:hint="eastAsia" w:ascii="宋体" w:hAnsi="宋体" w:cs="宋体"/>
                <w:color w:val="000000"/>
                <w:highlight w:val="none"/>
                <w:lang w:bidi="ar"/>
              </w:rPr>
            </w:r>
            <w:r/>
          </w:p>
        </w:tc>
        <w:tc>
          <w:tcPr>
            <w:tcBorders>
              <w:top w:val="none" w:color="000000" w:sz="4" w:space="0"/>
              <w:left w:val="single" w:color="000000" w:sz="8" w:space="0"/>
              <w:bottom w:val="single" w:color="000000" w:sz="4" w:space="0"/>
              <w:right w:val="single" w:color="000000" w:sz="8" w:space="0"/>
            </w:tcBorders>
            <w:tcW w:w="281" w:type="dxa"/>
            <w:vAlign w:val="center"/>
            <w:textDirection w:val="lrTb"/>
            <w:noWrap w:val="false"/>
          </w:tcPr>
          <w:p>
            <w:pPr>
              <w:pStyle w:val="660"/>
              <w:jc w:val="center"/>
              <w:widowControl/>
              <w:rPr>
                <w:rFonts w:hint="eastAsia" w:ascii="宋体" w:hAnsi="宋体" w:cs="宋体"/>
                <w:color w:val="000000"/>
                <w:highlight w:val="none"/>
                <w:lang w:bidi="ar"/>
              </w:rPr>
            </w:pPr>
            <w:r>
              <w:rPr>
                <w:rFonts w:hint="eastAsia" w:ascii="宋体" w:hAnsi="宋体" w:cs="宋体"/>
                <w:color w:val="000000"/>
                <w:highlight w:val="none"/>
                <w:lang w:bidi="ar"/>
              </w:rPr>
              <w:t xml:space="preserve">2</w:t>
            </w:r>
            <w:r>
              <w:rPr>
                <w:rFonts w:hint="eastAsia" w:ascii="宋体" w:hAnsi="宋体" w:cs="宋体"/>
                <w:color w:val="000000"/>
                <w:highlight w:val="none"/>
                <w:lang w:bidi="ar"/>
              </w:rPr>
            </w:r>
            <w:r/>
          </w:p>
        </w:tc>
      </w:tr>
    </w:tbl>
    <w:p>
      <w:pPr>
        <w:pStyle w:val="673"/>
        <w:ind w:firstLine="600"/>
        <w:rPr>
          <w:highlight w:val="none"/>
        </w:rPr>
      </w:pPr>
      <w:r>
        <w:rPr>
          <w:highlight w:val="none"/>
        </w:rPr>
      </w:r>
      <w:r/>
    </w:p>
    <w:p>
      <w:pPr>
        <w:pStyle w:val="660"/>
        <w:ind w:firstLine="480"/>
        <w:spacing w:line="0" w:lineRule="atLeast"/>
        <w:rPr>
          <w:sz w:val="24"/>
          <w:szCs w:val="24"/>
          <w:highlight w:val="none"/>
        </w:rPr>
      </w:pPr>
      <w:r>
        <w:rPr>
          <w:rFonts w:hint="eastAsia"/>
          <w:sz w:val="24"/>
          <w:szCs w:val="24"/>
          <w:highlight w:val="none"/>
        </w:rPr>
        <w:t xml:space="preserve">②存储设备</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信创存储设备50T，用于不动产登记附件存储，具体参数如下：</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(2U，双控，SAS，交流\240V高压直流，32GB 缓存，8*1Gb ETH,4*10Gb ETH（含多模SFP+),4*SAS3.0端口，12*3.5英寸SAS,SPE26C0212) / 480GB SSD SAS硬盘单元（3.5")*2 / 8TB 7.2K RPM NL SAS硬盘单元（3.5")*7。</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③GIS平台</w:t>
      </w:r>
      <w:r>
        <w:rPr>
          <w:sz w:val="24"/>
          <w:szCs w:val="24"/>
          <w:highlight w:val="none"/>
        </w:rPr>
      </w:r>
      <w:r/>
    </w:p>
    <w:p>
      <w:pPr>
        <w:pStyle w:val="660"/>
        <w:ind w:firstLine="480"/>
        <w:spacing w:line="0" w:lineRule="atLeast"/>
        <w:rPr>
          <w:sz w:val="24"/>
          <w:szCs w:val="24"/>
          <w:highlight w:val="none"/>
        </w:rPr>
      </w:pPr>
      <w:r>
        <w:rPr>
          <w:sz w:val="24"/>
          <w:szCs w:val="24"/>
          <w:highlight w:val="none"/>
        </w:rPr>
        <w:t xml:space="preserve">云GIS应用服务器平台[iServer 11标准版+空间分析</w:t>
      </w:r>
      <w:r>
        <w:rPr>
          <w:rFonts w:hint="eastAsia"/>
          <w:sz w:val="24"/>
          <w:szCs w:val="24"/>
          <w:highlight w:val="none"/>
        </w:rPr>
        <w:t xml:space="preserve">模块</w:t>
      </w:r>
      <w:r>
        <w:rPr>
          <w:sz w:val="24"/>
          <w:szCs w:val="24"/>
          <w:highlight w:val="none"/>
        </w:rPr>
        <w:t xml:space="preserve">+三维</w:t>
      </w:r>
      <w:r>
        <w:rPr>
          <w:rFonts w:hint="eastAsia"/>
          <w:sz w:val="24"/>
          <w:szCs w:val="24"/>
          <w:highlight w:val="none"/>
        </w:rPr>
        <w:t xml:space="preserve">模块</w:t>
      </w:r>
      <w:r>
        <w:rPr>
          <w:sz w:val="24"/>
          <w:szCs w:val="24"/>
          <w:highlight w:val="none"/>
        </w:rPr>
        <w:t xml:space="preserve">]（1套）、跨平台桌面GIS软件[iDesktopX （标准版+空间分析</w:t>
      </w:r>
      <w:r>
        <w:rPr>
          <w:rFonts w:hint="eastAsia"/>
          <w:sz w:val="24"/>
          <w:szCs w:val="24"/>
          <w:highlight w:val="none"/>
        </w:rPr>
        <w:t xml:space="preserve">模块</w:t>
      </w:r>
      <w:r>
        <w:rPr>
          <w:sz w:val="24"/>
          <w:szCs w:val="24"/>
          <w:highlight w:val="none"/>
        </w:rPr>
        <w:t xml:space="preserve">）]（50并发量）</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c.数据库成果：</w:t>
      </w:r>
      <w:r>
        <w:rPr>
          <w:sz w:val="24"/>
          <w:szCs w:val="24"/>
          <w:highlight w:val="none"/>
        </w:rPr>
      </w:r>
      <w:r/>
    </w:p>
    <w:p>
      <w:pPr>
        <w:pStyle w:val="660"/>
        <w:ind w:firstLine="480"/>
        <w:spacing w:line="0" w:lineRule="atLeast"/>
        <w:rPr>
          <w:sz w:val="24"/>
          <w:szCs w:val="24"/>
          <w:highlight w:val="none"/>
        </w:rPr>
      </w:pPr>
      <w:r>
        <w:rPr>
          <w:sz w:val="24"/>
          <w:szCs w:val="24"/>
          <w:highlight w:val="none"/>
        </w:rPr>
        <w:t xml:space="preserve">全市不动产登记数据库</w:t>
      </w:r>
      <w:r>
        <w:rPr>
          <w:rFonts w:hint="eastAsia"/>
          <w:sz w:val="24"/>
          <w:szCs w:val="24"/>
          <w:highlight w:val="none"/>
        </w:rPr>
        <w:t xml:space="preserve">（</w:t>
      </w:r>
      <w:r>
        <w:rPr>
          <w:sz w:val="24"/>
          <w:szCs w:val="24"/>
          <w:highlight w:val="none"/>
        </w:rPr>
        <w:t xml:space="preserve">全市的不动产登记数据库、共享数据库、电子证照数据库</w:t>
      </w:r>
      <w:r>
        <w:rPr>
          <w:rFonts w:hint="eastAsia"/>
          <w:sz w:val="24"/>
          <w:szCs w:val="24"/>
          <w:highlight w:val="none"/>
        </w:rPr>
        <w:t xml:space="preserve">）</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d.文字成果（包括但不仅限于以下内容）：</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①不动产登记“同市同标”项目建设方案；</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②不动产登记“同市同标”项目数据库设计说明书；</w:t>
      </w:r>
      <w:r>
        <w:rPr>
          <w:sz w:val="24"/>
          <w:szCs w:val="24"/>
          <w:highlight w:val="none"/>
        </w:rPr>
      </w:r>
      <w:r/>
    </w:p>
    <w:p>
      <w:pPr>
        <w:pStyle w:val="673"/>
        <w:ind w:firstLine="480"/>
        <w:spacing w:line="0" w:lineRule="atLeast"/>
        <w:rPr>
          <w:rFonts w:ascii="Times New Roman" w:hAnsi="Times New Roman" w:eastAsia="宋体"/>
          <w:sz w:val="24"/>
          <w:szCs w:val="24"/>
          <w:highlight w:val="none"/>
        </w:rPr>
      </w:pPr>
      <w:r>
        <w:rPr>
          <w:rFonts w:hint="eastAsia" w:ascii="Times New Roman" w:hAnsi="Times New Roman" w:eastAsia="宋体"/>
          <w:sz w:val="24"/>
          <w:szCs w:val="24"/>
          <w:highlight w:val="none"/>
        </w:rPr>
        <w:t xml:space="preserve">③不动产登记“同市同标”项目软件设计说明书；</w:t>
      </w:r>
      <w:r>
        <w:rPr>
          <w:rFonts w:ascii="Times New Roman" w:hAnsi="Times New Roman" w:eastAsia="宋体"/>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④不动产登记“同市同标”项目系统测试报告；</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⑤不动产登记“同市同标”项目系统部署手册；</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⑥不动产登记“同市同标”项目系统使用手册；</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⑦不动产登记“同市同标”项目技术总结报告；</w:t>
      </w:r>
      <w:r>
        <w:rPr>
          <w:sz w:val="24"/>
          <w:szCs w:val="24"/>
          <w:highlight w:val="none"/>
        </w:rPr>
      </w:r>
      <w:r/>
    </w:p>
    <w:p>
      <w:pPr>
        <w:pStyle w:val="660"/>
        <w:ind w:firstLine="480"/>
        <w:spacing w:line="0" w:lineRule="atLeast"/>
      </w:pPr>
      <w:r>
        <w:rPr>
          <w:rFonts w:hint="eastAsia"/>
          <w:sz w:val="24"/>
          <w:szCs w:val="24"/>
          <w:highlight w:val="none"/>
        </w:rPr>
        <w:t xml:space="preserve">⑧不动产登记“同市同标”项目工作总结报告。</w:t>
      </w:r>
      <w:r/>
    </w:p>
    <w:p>
      <w:pPr>
        <w:pStyle w:val="660"/>
        <w:spacing w:line="0" w:lineRule="atLeast"/>
        <w:rPr>
          <w:sz w:val="24"/>
          <w:szCs w:val="24"/>
          <w:highlight w:val="none"/>
        </w:rPr>
      </w:pPr>
      <w:r>
        <w:rPr>
          <w:sz w:val="24"/>
          <w:szCs w:val="24"/>
          <w:highlight w:val="none"/>
        </w:rPr>
      </w:r>
      <w:r/>
    </w:p>
    <w:p>
      <w:pPr>
        <w:pStyle w:val="660"/>
        <w:spacing w:line="0" w:lineRule="atLeast"/>
        <w:rPr>
          <w:b/>
          <w:bCs/>
          <w:sz w:val="24"/>
          <w:szCs w:val="24"/>
          <w:highlight w:val="none"/>
        </w:rPr>
      </w:pPr>
      <w:r>
        <w:rPr>
          <w:b/>
          <w:bCs/>
          <w:sz w:val="24"/>
          <w:szCs w:val="24"/>
          <w:highlight w:val="none"/>
        </w:rPr>
        <w:t xml:space="preserve">5</w:t>
      </w:r>
      <w:r>
        <w:rPr>
          <w:rFonts w:hint="eastAsia"/>
          <w:b/>
          <w:bCs/>
          <w:sz w:val="24"/>
          <w:szCs w:val="24"/>
          <w:highlight w:val="none"/>
        </w:rPr>
        <w:t xml:space="preserve">、采购标的需满足的服务标准、期限、效率等要求；</w:t>
      </w:r>
      <w:r>
        <w:rPr>
          <w:b/>
          <w:bCs/>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（1）时间要求</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本项目建设工期为20个月。</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项目前期准备阶段，实施周期1个月，完成项目启动、项目小组成立等。</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方案设计阶段，实施周期2个月，完成项目实施方案、技术方案编制及确定等。</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业务需求梳理阶段，实施周期3个月，根据南通市实际情况，细化补充制定各类技术标准，形成南通市自然资源和不动产登记信息平台标准规范。</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系统建设阶段，实施周期10个月，完成全市统一登记平台建设应用及信创适配的目标。</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数据库设计与迁移阶段，实施周期3个月，对各地不动产登记业务类型、数据库结构、业务逻辑关系分析，将问题数据进行罗列并由各区域进行排查整改，整改完成后对数据库进行转换和逻辑重构。</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集成调试阶段，实施周期8个月，完成系统的联动及与其他相关部门的共享交互。</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人员培训阶段，实施周期2个月，面向技术管理人员、领导人员以及本项目所涉及的所有工作人员进行系统功能培训。</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试运行阶段，实施周期4个月，在试运行的过程中不断完善各系统功能。</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竣工验收阶段，实施周期1个月，整理项目相关验收材料。</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（2）项目实施机构</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本项目的实施机构为通过招标确定的供应商，南通市自然资源局进行必要的协调工作。</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（3）产品保修期（维护期）</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所采购的软件产品维护期为一年（产品维护期从通过验收之日算起）。在产品维护期内，中标人提供免费的产品维护及技术支持服务，对于产品的安全问题应及时提供免费补丁。</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为适应最新的营商环境优化、政策法规调整要求，对因政策变化带来的系统和功能模块的调整，自项目建设起至维护期结束提供免费升级。如约定期间产生工作量较大的升级事项，由采购人和中标人协商处理。</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（4）服务标准及内容</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①技术培训</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中标人对招标单位和用户提供相关的技术培训，用户包括：管理人员、业务人员，系统管理人员等。</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②人员保障</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在项目实施期间投标人需成立项目组，项目组人员不得少于30人，其中不少于12人驻场。</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③服务标准</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中标人提供每周7x24小时服务，收到招标方要求现场技术服务电话或书面通知后，1小时之内做出响应</w:t>
      </w:r>
      <w:r>
        <w:rPr>
          <w:rFonts w:hint="eastAsia" w:ascii="宋体" w:hAnsi="宋体"/>
          <w:sz w:val="24"/>
          <w:szCs w:val="24"/>
          <w:highlight w:val="none"/>
        </w:rPr>
        <w:t xml:space="preserve">，根据平台在运行过程中出现影响用户使用的不同故障类型进行等级划分，一级故障：涉及系统严重瘫痪、数据丢失或关键业务中断等紧急情况；二级故障：影响部分关键业务或系统功能，需要尽快修复以恢复业务运行；三级故障：影响部分非关键业务或系统功能，但需要及时处理以避免影响扩大；四级故障：影响较小或不影响关键业务，但需要及时处理以避免潜在风险；五级故障：涉及非紧急或非关键的问题，但需要制定长期修复计划以防止类似问题再次发生。针对不同故障等级，分别采取不同的响应处置措施，必要时迅速到达本地现场进行诊断，解决系统软、硬件问题。</w:t>
      </w:r>
      <w:r>
        <w:rPr>
          <w:rFonts w:hint="eastAsia" w:ascii="宋体" w:hAnsi="宋体"/>
          <w:sz w:val="24"/>
          <w:szCs w:val="24"/>
          <w:highlight w:val="none"/>
        </w:rPr>
      </w:r>
      <w:r/>
    </w:p>
    <w:p>
      <w:pPr>
        <w:pStyle w:val="660"/>
        <w:ind w:firstLine="480"/>
        <w:jc w:val="center"/>
        <w:spacing w:line="0" w:lineRule="atLeast"/>
        <w:rPr>
          <w:rFonts w:hint="eastAsia" w:ascii="宋体" w:hAnsi="宋体"/>
          <w:bCs/>
          <w:sz w:val="24"/>
          <w:szCs w:val="24"/>
          <w:highlight w:val="none"/>
        </w:rPr>
      </w:pPr>
      <w:r>
        <w:rPr>
          <w:rFonts w:hint="eastAsia" w:ascii="宋体" w:hAnsi="宋体"/>
          <w:bCs/>
          <w:sz w:val="24"/>
          <w:szCs w:val="24"/>
          <w:highlight w:val="none"/>
        </w:rPr>
        <w:t xml:space="preserve">表 2系统</w:t>
      </w:r>
      <w:r>
        <w:rPr>
          <w:rFonts w:ascii="宋体" w:hAnsi="宋体"/>
          <w:bCs/>
          <w:sz w:val="24"/>
          <w:szCs w:val="24"/>
          <w:highlight w:val="none"/>
        </w:rPr>
        <w:t xml:space="preserve">故障及</w:t>
      </w:r>
      <w:r>
        <w:rPr>
          <w:rFonts w:hint="eastAsia" w:ascii="宋体" w:hAnsi="宋体"/>
          <w:bCs/>
          <w:sz w:val="24"/>
          <w:szCs w:val="24"/>
          <w:highlight w:val="none"/>
        </w:rPr>
        <w:t xml:space="preserve">其</w:t>
      </w:r>
      <w:r>
        <w:rPr>
          <w:rFonts w:ascii="宋体" w:hAnsi="宋体"/>
          <w:bCs/>
          <w:sz w:val="24"/>
          <w:szCs w:val="24"/>
          <w:highlight w:val="none"/>
        </w:rPr>
        <w:t xml:space="preserve">对应响应</w:t>
      </w:r>
      <w:r>
        <w:rPr>
          <w:rFonts w:hint="eastAsia" w:ascii="宋体" w:hAnsi="宋体"/>
          <w:bCs/>
          <w:sz w:val="24"/>
          <w:szCs w:val="24"/>
          <w:highlight w:val="none"/>
        </w:rPr>
        <w:t xml:space="preserve">要求</w:t>
      </w:r>
      <w:r>
        <w:rPr>
          <w:rFonts w:hint="eastAsia" w:ascii="宋体" w:hAnsi="宋体"/>
          <w:bCs/>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2729"/>
        <w:gridCol w:w="3794"/>
      </w:tblGrid>
      <w:tr>
        <w:trPr>
          <w:trHeight w:val="315"/>
        </w:trPr>
        <w:tc>
          <w:tcPr>
            <w:tcW w:w="1429" w:type="dxa"/>
            <w:vAlign w:val="center"/>
            <w:textDirection w:val="lrTb"/>
            <w:noWrap w:val="false"/>
          </w:tcPr>
          <w:p>
            <w:pPr>
              <w:pStyle w:val="660"/>
              <w:jc w:val="center"/>
              <w:spacing w:line="0" w:lineRule="atLeast"/>
              <w:rPr>
                <w:rFonts w:cs="Arial"/>
                <w:b/>
                <w:sz w:val="24"/>
                <w:szCs w:val="24"/>
                <w:highlight w:val="none"/>
              </w:rPr>
            </w:pPr>
            <w:r>
              <w:rPr>
                <w:rFonts w:ascii="宋体" w:hAnsi="宋体" w:cs="Arial"/>
                <w:b/>
                <w:sz w:val="24"/>
                <w:szCs w:val="24"/>
                <w:highlight w:val="none"/>
              </w:rPr>
              <w:t xml:space="preserve">故障类型</w:t>
            </w:r>
            <w:r>
              <w:rPr>
                <w:rFonts w:cs="Arial"/>
                <w:b/>
                <w:sz w:val="24"/>
                <w:szCs w:val="24"/>
                <w:highlight w:val="none"/>
              </w:rPr>
            </w:r>
            <w:r/>
          </w:p>
        </w:tc>
        <w:tc>
          <w:tcPr>
            <w:tcW w:w="2729" w:type="dxa"/>
            <w:vAlign w:val="center"/>
            <w:textDirection w:val="lrTb"/>
            <w:noWrap w:val="false"/>
          </w:tcPr>
          <w:p>
            <w:pPr>
              <w:pStyle w:val="660"/>
              <w:jc w:val="center"/>
              <w:spacing w:line="0" w:lineRule="atLeast"/>
              <w:rPr>
                <w:rFonts w:cs="Arial"/>
                <w:b/>
                <w:sz w:val="24"/>
                <w:szCs w:val="24"/>
                <w:highlight w:val="none"/>
              </w:rPr>
            </w:pPr>
            <w:r>
              <w:rPr>
                <w:rFonts w:ascii="宋体" w:hAnsi="宋体" w:cs="Arial"/>
                <w:b/>
                <w:sz w:val="24"/>
                <w:szCs w:val="24"/>
                <w:highlight w:val="none"/>
              </w:rPr>
              <w:t xml:space="preserve">响应要求</w:t>
            </w:r>
            <w:r>
              <w:rPr>
                <w:rFonts w:cs="Arial"/>
                <w:b/>
                <w:sz w:val="24"/>
                <w:szCs w:val="24"/>
                <w:highlight w:val="none"/>
              </w:rPr>
            </w:r>
            <w:r/>
          </w:p>
        </w:tc>
        <w:tc>
          <w:tcPr>
            <w:tcW w:w="3794" w:type="dxa"/>
            <w:vAlign w:val="center"/>
            <w:textDirection w:val="lrTb"/>
            <w:noWrap w:val="false"/>
          </w:tcPr>
          <w:p>
            <w:pPr>
              <w:pStyle w:val="660"/>
              <w:jc w:val="center"/>
              <w:spacing w:line="0" w:lineRule="atLeast"/>
              <w:rPr>
                <w:rFonts w:cs="Arial"/>
                <w:b/>
                <w:sz w:val="24"/>
                <w:szCs w:val="24"/>
                <w:highlight w:val="none"/>
              </w:rPr>
            </w:pPr>
            <w:r>
              <w:rPr>
                <w:rFonts w:ascii="宋体" w:hAnsi="宋体" w:cs="Arial"/>
                <w:b/>
                <w:sz w:val="24"/>
                <w:szCs w:val="24"/>
                <w:highlight w:val="none"/>
              </w:rPr>
              <w:t xml:space="preserve">修复时间</w:t>
            </w:r>
            <w:r>
              <w:rPr>
                <w:rFonts w:cs="Arial"/>
                <w:b/>
                <w:sz w:val="24"/>
                <w:szCs w:val="24"/>
                <w:highlight w:val="none"/>
              </w:rPr>
            </w:r>
            <w:r/>
          </w:p>
        </w:tc>
      </w:tr>
      <w:tr>
        <w:trPr>
          <w:trHeight w:val="418"/>
        </w:trPr>
        <w:tc>
          <w:tcPr>
            <w:tcW w:w="1429"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一级故障</w:t>
            </w:r>
            <w:r>
              <w:rPr>
                <w:rFonts w:cs="Arial"/>
                <w:sz w:val="24"/>
                <w:szCs w:val="24"/>
                <w:highlight w:val="none"/>
              </w:rPr>
            </w:r>
            <w:r/>
          </w:p>
        </w:tc>
        <w:tc>
          <w:tcPr>
            <w:tcW w:w="2729"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立即响应，在2小时内到现场，现场技术支持</w:t>
            </w:r>
            <w:r>
              <w:rPr>
                <w:rFonts w:cs="Arial"/>
                <w:sz w:val="24"/>
                <w:szCs w:val="24"/>
                <w:highlight w:val="none"/>
              </w:rPr>
            </w:r>
            <w:r/>
          </w:p>
        </w:tc>
        <w:tc>
          <w:tcPr>
            <w:tcW w:w="3794"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6小时内系统恢复运行，8小时内系统全部恢复正常</w:t>
            </w:r>
            <w:r>
              <w:rPr>
                <w:rFonts w:cs="Arial"/>
                <w:sz w:val="24"/>
                <w:szCs w:val="24"/>
                <w:highlight w:val="none"/>
              </w:rPr>
            </w:r>
            <w:r/>
          </w:p>
        </w:tc>
      </w:tr>
      <w:tr>
        <w:trPr>
          <w:trHeight w:val="416"/>
        </w:trPr>
        <w:tc>
          <w:tcPr>
            <w:tcW w:w="1429"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二级故障</w:t>
            </w:r>
            <w:r>
              <w:rPr>
                <w:rFonts w:cs="Arial"/>
                <w:sz w:val="24"/>
                <w:szCs w:val="24"/>
                <w:highlight w:val="none"/>
              </w:rPr>
            </w:r>
            <w:r/>
          </w:p>
        </w:tc>
        <w:tc>
          <w:tcPr>
            <w:tcW w:w="2729"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6小时内到现场，现场技术支持</w:t>
            </w:r>
            <w:r>
              <w:rPr>
                <w:rFonts w:cs="Arial"/>
                <w:sz w:val="24"/>
                <w:szCs w:val="24"/>
                <w:highlight w:val="none"/>
              </w:rPr>
            </w:r>
            <w:r/>
          </w:p>
        </w:tc>
        <w:tc>
          <w:tcPr>
            <w:tcW w:w="3794"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24小时内恢复运行，48小时内系统全部恢复正常</w:t>
            </w:r>
            <w:r>
              <w:rPr>
                <w:rFonts w:cs="Arial"/>
                <w:sz w:val="24"/>
                <w:szCs w:val="24"/>
                <w:highlight w:val="none"/>
              </w:rPr>
            </w:r>
            <w:r/>
          </w:p>
        </w:tc>
      </w:tr>
      <w:tr>
        <w:trPr>
          <w:trHeight w:val="420"/>
        </w:trPr>
        <w:tc>
          <w:tcPr>
            <w:tcW w:w="1429"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三级故障</w:t>
            </w:r>
            <w:r>
              <w:rPr>
                <w:rFonts w:cs="Arial"/>
                <w:sz w:val="24"/>
                <w:szCs w:val="24"/>
                <w:highlight w:val="none"/>
              </w:rPr>
            </w:r>
            <w:r/>
          </w:p>
        </w:tc>
        <w:tc>
          <w:tcPr>
            <w:tcW w:w="2729"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远程协助不能解决的，要求24小时内到现场</w:t>
            </w:r>
            <w:r>
              <w:rPr>
                <w:rFonts w:cs="Arial"/>
                <w:sz w:val="24"/>
                <w:szCs w:val="24"/>
                <w:highlight w:val="none"/>
              </w:rPr>
            </w:r>
            <w:r/>
          </w:p>
        </w:tc>
        <w:tc>
          <w:tcPr>
            <w:tcW w:w="3794"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48小时内系统全部恢复正常</w:t>
            </w:r>
            <w:r>
              <w:rPr>
                <w:rFonts w:cs="Arial"/>
                <w:sz w:val="24"/>
                <w:szCs w:val="24"/>
                <w:highlight w:val="none"/>
              </w:rPr>
            </w:r>
            <w:r/>
          </w:p>
        </w:tc>
      </w:tr>
      <w:tr>
        <w:trPr>
          <w:trHeight w:val="570"/>
        </w:trPr>
        <w:tc>
          <w:tcPr>
            <w:tcW w:w="1429"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四级故障</w:t>
            </w:r>
            <w:r>
              <w:rPr>
                <w:rFonts w:cs="Arial"/>
                <w:sz w:val="24"/>
                <w:szCs w:val="24"/>
                <w:highlight w:val="none"/>
              </w:rPr>
            </w:r>
            <w:r/>
          </w:p>
        </w:tc>
        <w:tc>
          <w:tcPr>
            <w:tcW w:w="2729"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远程协助不能解决的，要求36小时内到现场</w:t>
            </w:r>
            <w:r>
              <w:rPr>
                <w:rFonts w:cs="Arial"/>
                <w:sz w:val="24"/>
                <w:szCs w:val="24"/>
                <w:highlight w:val="none"/>
              </w:rPr>
            </w:r>
            <w:r/>
          </w:p>
        </w:tc>
        <w:tc>
          <w:tcPr>
            <w:tcW w:w="3794"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4小时内恢复系统运行，12小时内系统全部恢复正常</w:t>
            </w:r>
            <w:r>
              <w:rPr>
                <w:rFonts w:cs="Arial"/>
                <w:sz w:val="24"/>
                <w:szCs w:val="24"/>
                <w:highlight w:val="none"/>
              </w:rPr>
            </w:r>
            <w:r/>
          </w:p>
        </w:tc>
      </w:tr>
      <w:tr>
        <w:trPr>
          <w:trHeight w:val="345"/>
        </w:trPr>
        <w:tc>
          <w:tcPr>
            <w:tcW w:w="1429"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五级故障</w:t>
            </w:r>
            <w:r>
              <w:rPr>
                <w:rFonts w:cs="Arial"/>
                <w:sz w:val="24"/>
                <w:szCs w:val="24"/>
                <w:highlight w:val="none"/>
              </w:rPr>
            </w:r>
            <w:r/>
          </w:p>
        </w:tc>
        <w:tc>
          <w:tcPr>
            <w:tcW w:w="2729"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8小时内作出修复方案</w:t>
            </w:r>
            <w:r>
              <w:rPr>
                <w:rFonts w:cs="Arial"/>
                <w:sz w:val="24"/>
                <w:szCs w:val="24"/>
                <w:highlight w:val="none"/>
              </w:rPr>
            </w:r>
            <w:r/>
          </w:p>
        </w:tc>
        <w:tc>
          <w:tcPr>
            <w:tcW w:w="3794" w:type="dxa"/>
            <w:vAlign w:val="center"/>
            <w:textDirection w:val="lrTb"/>
            <w:noWrap w:val="false"/>
          </w:tcPr>
          <w:p>
            <w:pPr>
              <w:pStyle w:val="660"/>
              <w:spacing w:line="0" w:lineRule="atLeast"/>
              <w:rPr>
                <w:rFonts w:cs="Arial"/>
                <w:sz w:val="24"/>
                <w:szCs w:val="24"/>
                <w:highlight w:val="none"/>
              </w:rPr>
            </w:pPr>
            <w:r>
              <w:rPr>
                <w:rFonts w:ascii="宋体" w:hAnsi="宋体" w:cs="Arial"/>
                <w:sz w:val="24"/>
                <w:szCs w:val="24"/>
                <w:highlight w:val="none"/>
              </w:rPr>
              <w:t xml:space="preserve">3个工作日内完成系统修复工作</w:t>
            </w:r>
            <w:r>
              <w:rPr>
                <w:rFonts w:cs="Arial"/>
                <w:sz w:val="24"/>
                <w:szCs w:val="24"/>
                <w:highlight w:val="none"/>
              </w:rPr>
            </w:r>
            <w:r/>
          </w:p>
        </w:tc>
      </w:tr>
    </w:tbl>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④服务方式</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a.现场技术支持（此服务一年维护期内免费提供）</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根据问题的严重程度及用户的要求，在 4 小时内派遣技术支持工程师到用户现场帮助用户解决疑难问题。</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b.远程服务</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通过电话/传真、E-mail、在线产品论坛、QQ等，实时监测系统运行状况，维护系统中可能出现的故障，实现点对点的远程维护。</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c.热线电话服务（此服务终身提供）</w:t>
      </w:r>
      <w:r>
        <w:rPr>
          <w:rFonts w:hint="eastAsia" w:ascii="宋体" w:hAnsi="宋体"/>
          <w:sz w:val="24"/>
          <w:szCs w:val="24"/>
          <w:highlight w:val="none"/>
        </w:rPr>
      </w:r>
      <w:r/>
    </w:p>
    <w:p>
      <w:pPr>
        <w:pStyle w:val="660"/>
        <w:ind w:firstLine="480"/>
        <w:spacing w:line="0" w:lineRule="atLeast"/>
        <w:rPr>
          <w:rFonts w:hint="eastAsia" w:ascii="宋体" w:hAnsi="宋体"/>
          <w:sz w:val="24"/>
          <w:szCs w:val="24"/>
          <w:highlight w:val="none"/>
        </w:rPr>
      </w:pPr>
      <w:r>
        <w:rPr>
          <w:rFonts w:hint="eastAsia" w:ascii="宋体" w:hAnsi="宋体"/>
          <w:sz w:val="24"/>
          <w:szCs w:val="24"/>
          <w:highlight w:val="none"/>
        </w:rPr>
        <w:t xml:space="preserve">电话热线提供 7×24 的服务能力，技术支持工程师直接同用户对话，帮助解决用户提出的疑难问题。</w:t>
      </w:r>
      <w:r>
        <w:rPr>
          <w:rFonts w:hint="eastAsia" w:ascii="宋体" w:hAnsi="宋体"/>
          <w:sz w:val="24"/>
          <w:szCs w:val="24"/>
          <w:highlight w:val="none"/>
        </w:rPr>
      </w:r>
      <w:r/>
    </w:p>
    <w:p>
      <w:pPr>
        <w:pStyle w:val="660"/>
        <w:spacing w:line="0" w:lineRule="atLeast"/>
        <w:rPr>
          <w:rFonts w:hint="eastAsia"/>
          <w:sz w:val="24"/>
          <w:szCs w:val="24"/>
          <w:highlight w:val="none"/>
        </w:rPr>
      </w:pPr>
      <w:r>
        <w:rPr>
          <w:rFonts w:hint="eastAsia"/>
          <w:sz w:val="24"/>
          <w:szCs w:val="24"/>
          <w:highlight w:val="none"/>
        </w:rPr>
      </w:r>
      <w:r/>
    </w:p>
    <w:p>
      <w:pPr>
        <w:pStyle w:val="660"/>
        <w:spacing w:line="0" w:lineRule="atLeast"/>
        <w:rPr>
          <w:b/>
          <w:bCs/>
          <w:sz w:val="24"/>
          <w:szCs w:val="24"/>
          <w:highlight w:val="none"/>
        </w:rPr>
      </w:pPr>
      <w:r>
        <w:rPr>
          <w:rFonts w:hint="eastAsia"/>
          <w:b/>
          <w:bCs/>
          <w:sz w:val="24"/>
          <w:szCs w:val="24"/>
          <w:highlight w:val="none"/>
        </w:rPr>
        <w:t xml:space="preserve">6、采购标的的验收标准；</w:t>
      </w:r>
      <w:r>
        <w:rPr>
          <w:b/>
          <w:bCs/>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采购人自收到供应商提交的验收材料后经初验符合验收基本条件后即组织正式验收，验收标准为：</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（1）符合国家、江苏省的行业标准；</w:t>
      </w:r>
      <w:r>
        <w:rPr>
          <w:sz w:val="24"/>
          <w:szCs w:val="24"/>
          <w:highlight w:val="none"/>
        </w:rPr>
      </w:r>
      <w:r/>
    </w:p>
    <w:p>
      <w:pPr>
        <w:pStyle w:val="660"/>
        <w:ind w:firstLine="480"/>
        <w:spacing w:line="0" w:lineRule="atLeast"/>
        <w:rPr>
          <w:sz w:val="24"/>
          <w:szCs w:val="24"/>
          <w:highlight w:val="none"/>
        </w:rPr>
      </w:pPr>
      <w:r>
        <w:rPr>
          <w:rFonts w:hint="eastAsia"/>
          <w:sz w:val="24"/>
          <w:szCs w:val="24"/>
          <w:highlight w:val="none"/>
        </w:rPr>
        <w:t xml:space="preserve">（2）通过采购人组织的验收。</w:t>
      </w:r>
      <w:r>
        <w:rPr>
          <w:sz w:val="24"/>
          <w:szCs w:val="24"/>
          <w:highlight w:val="none"/>
        </w:rPr>
      </w:r>
      <w:r/>
    </w:p>
    <w:p>
      <w:pPr>
        <w:pStyle w:val="660"/>
        <w:spacing w:line="0" w:lineRule="atLeast"/>
        <w:rPr>
          <w:rFonts w:hint="eastAsia"/>
          <w:sz w:val="24"/>
          <w:szCs w:val="24"/>
          <w:highlight w:val="none"/>
        </w:rPr>
      </w:pPr>
      <w:r>
        <w:rPr>
          <w:rFonts w:hint="eastAsia"/>
          <w:sz w:val="24"/>
          <w:szCs w:val="24"/>
          <w:highlight w:val="none"/>
        </w:rPr>
      </w:r>
      <w:r/>
    </w:p>
    <w:p>
      <w:pPr>
        <w:pStyle w:val="660"/>
        <w:spacing w:line="0" w:lineRule="atLeast"/>
        <w:rPr>
          <w:b/>
          <w:bCs/>
          <w:sz w:val="24"/>
          <w:szCs w:val="24"/>
          <w:highlight w:val="none"/>
        </w:rPr>
      </w:pPr>
      <w:r>
        <w:rPr>
          <w:rFonts w:hint="eastAsia"/>
          <w:b/>
          <w:bCs/>
          <w:sz w:val="24"/>
          <w:szCs w:val="24"/>
          <w:highlight w:val="none"/>
        </w:rPr>
        <w:t xml:space="preserve">7、非单一产品采购项目，采购标的中的核心产品。</w:t>
      </w:r>
      <w:r>
        <w:rPr>
          <w:b/>
          <w:bCs/>
          <w:sz w:val="24"/>
          <w:szCs w:val="24"/>
          <w:highlight w:val="none"/>
        </w:rPr>
      </w:r>
      <w:r/>
    </w:p>
    <w:p>
      <w:pPr>
        <w:pStyle w:val="660"/>
        <w:ind w:firstLine="480"/>
        <w:spacing w:line="480" w:lineRule="exact"/>
        <w:rPr>
          <w:rFonts w:ascii="宋体" w:hAnsi="宋体" w:eastAsia="宋体"/>
          <w:iCs/>
          <w:sz w:val="24"/>
          <w:szCs w:val="24"/>
          <w:highlight w:val="none"/>
          <w:lang w:val="en-US" w:eastAsia="zh-CN"/>
        </w:rPr>
      </w:pPr>
      <w:r>
        <w:rPr>
          <w:rFonts w:hint="eastAsia" w:ascii="宋体" w:hAnsi="宋体"/>
          <w:iCs/>
          <w:sz w:val="24"/>
          <w:szCs w:val="24"/>
          <w:highlight w:val="none"/>
          <w:lang w:val="en-US" w:eastAsia="zh-CN"/>
        </w:rPr>
        <w:t xml:space="preserve">本项目为整体服务采购项目，不涉及具体核心产品。</w:t>
      </w:r>
      <w:r>
        <w:rPr>
          <w:rFonts w:ascii="宋体" w:hAnsi="宋体" w:eastAsia="宋体"/>
          <w:iCs/>
          <w:sz w:val="24"/>
          <w:szCs w:val="24"/>
          <w:highlight w:val="none"/>
          <w:lang w:val="en-US" w:eastAsia="zh-CN"/>
        </w:rPr>
      </w:r>
      <w:r/>
    </w:p>
    <w:p>
      <w:pPr>
        <w:pStyle w:val="660"/>
        <w:spacing w:line="480" w:lineRule="exact"/>
        <w:rPr>
          <w:rFonts w:hint="eastAsia" w:ascii="宋体" w:hAnsi="宋体"/>
          <w:iCs/>
          <w:sz w:val="24"/>
          <w:szCs w:val="24"/>
          <w:highlight w:val="none"/>
          <w:lang w:val="en-US" w:eastAsia="zh-CN"/>
        </w:rPr>
      </w:pPr>
      <w:r>
        <w:rPr>
          <w:rFonts w:hint="eastAsia" w:ascii="宋体" w:hAnsi="宋体"/>
          <w:iCs/>
          <w:sz w:val="24"/>
          <w:szCs w:val="24"/>
          <w:highlight w:val="none"/>
          <w:lang w:val="en-US" w:eastAsia="zh-CN"/>
        </w:rPr>
      </w:r>
      <w:r/>
    </w:p>
    <w:p>
      <w:pPr>
        <w:pStyle w:val="660"/>
        <w:spacing w:line="480" w:lineRule="exact"/>
        <w:rPr>
          <w:rFonts w:hint="eastAsia" w:ascii="仿宋" w:hAnsi="仿宋" w:eastAsia="仿宋"/>
          <w:b/>
          <w:bCs/>
          <w:color w:val="ff0000"/>
          <w:sz w:val="28"/>
          <w:szCs w:val="28"/>
          <w:highlight w:val="none"/>
        </w:rPr>
      </w:pPr>
      <w:r>
        <w:rPr>
          <w:rFonts w:hint="eastAsia" w:ascii="宋体" w:hAnsi="宋体"/>
          <w:b/>
          <w:bCs/>
          <w:iCs/>
          <w:sz w:val="24"/>
          <w:szCs w:val="24"/>
          <w:highlight w:val="none"/>
          <w:lang w:val="en-US" w:eastAsia="zh-CN"/>
        </w:rPr>
        <w:t xml:space="preserve">8</w:t>
      </w:r>
      <w:r>
        <w:rPr>
          <w:rFonts w:hint="eastAsia" w:ascii="宋体" w:hAnsi="宋体"/>
          <w:b/>
          <w:bCs/>
          <w:iCs/>
          <w:sz w:val="24"/>
          <w:szCs w:val="24"/>
          <w:highlight w:val="none"/>
        </w:rPr>
        <w:t xml:space="preserve">、</w:t>
      </w:r>
      <w:r>
        <w:rPr>
          <w:rFonts w:hint="eastAsia" w:ascii="宋体" w:hAnsi="宋体"/>
          <w:b/>
          <w:bCs/>
          <w:i/>
          <w:iCs w:val="0"/>
          <w:sz w:val="24"/>
          <w:szCs w:val="24"/>
          <w:highlight w:val="none"/>
          <w:u w:val="single"/>
        </w:rPr>
        <w:t xml:space="preserve">本项目</w:t>
      </w:r>
      <w:r>
        <w:rPr>
          <w:rFonts w:hint="eastAsia" w:ascii="宋体" w:hAnsi="宋体"/>
          <w:b/>
          <w:bCs/>
          <w:i/>
          <w:iCs w:val="0"/>
          <w:sz w:val="24"/>
          <w:szCs w:val="24"/>
          <w:highlight w:val="none"/>
          <w:u w:val="single"/>
        </w:rPr>
        <w:t xml:space="preserve"> 不接受  进口产品投标。</w:t>
      </w:r>
      <w:r>
        <w:rPr>
          <w:rFonts w:hint="eastAsia" w:ascii="仿宋" w:hAnsi="仿宋" w:eastAsia="仿宋"/>
          <w:b/>
          <w:bCs/>
          <w:color w:val="ff0000"/>
          <w:sz w:val="28"/>
          <w:szCs w:val="28"/>
          <w:highlight w:val="none"/>
        </w:rPr>
      </w:r>
      <w:r/>
    </w:p>
    <w:p>
      <w:pPr>
        <w:pStyle w:val="660"/>
        <w:spacing w:line="0" w:lineRule="atLeas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r>
      <w:r/>
    </w:p>
    <w:p>
      <w:pPr>
        <w:pStyle w:val="660"/>
        <w:spacing w:line="0" w:lineRule="atLeas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val="en-US" w:eastAsia="zh-CN"/>
        </w:rPr>
        <w:t xml:space="preserve">9</w:t>
      </w:r>
      <w:r>
        <w:rPr>
          <w:rFonts w:hint="eastAsia" w:ascii="Times New Roman" w:hAnsi="Times New Roman" w:eastAsia="宋体" w:cs="Times New Roman"/>
          <w:b/>
          <w:bCs/>
          <w:sz w:val="24"/>
          <w:szCs w:val="24"/>
          <w:highlight w:val="none"/>
        </w:rPr>
        <w:t xml:space="preserve">、付款方式：</w:t>
      </w:r>
      <w:r>
        <w:rPr>
          <w:rFonts w:hint="eastAsia" w:ascii="Times New Roman" w:hAnsi="Times New Roman" w:eastAsia="宋体" w:cs="Times New Roman"/>
          <w:b/>
          <w:bCs/>
          <w:sz w:val="24"/>
          <w:szCs w:val="24"/>
          <w:highlight w:val="none"/>
        </w:rPr>
      </w:r>
      <w:r/>
    </w:p>
    <w:p>
      <w:pPr>
        <w:pStyle w:val="660"/>
        <w:ind w:firstLine="480"/>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项目费用由市本级与各县市区分摊支付，支付比例为：市本级18.95%、海安市12.60%、如东县10.95%、启东市12.60%、通州区12.60%、海门区12.60%、南通经济技术开发区4.74%、苏锡通科技产业园区1.18%、通州湾示范园区1.18%。另有县（市、区）部分涉及的第三方造价评估费用由中标单位直接支付。</w:t>
      </w:r>
      <w:r>
        <w:rPr>
          <w:rFonts w:hint="eastAsia" w:ascii="宋体" w:hAnsi="宋体" w:eastAsia="宋体" w:cs="Times New Roman"/>
          <w:sz w:val="24"/>
          <w:szCs w:val="24"/>
          <w:highlight w:val="none"/>
        </w:rPr>
      </w:r>
      <w:r/>
    </w:p>
    <w:p>
      <w:pPr>
        <w:pStyle w:val="660"/>
        <w:ind w:firstLine="480"/>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1、预付款支付时间：合同签订后15日内：市本级支付合同金额的30%；2025年3月31日前：各县（市、区）支付合同金额的30%。</w:t>
      </w:r>
      <w:r>
        <w:rPr>
          <w:rFonts w:hint="eastAsia" w:ascii="宋体" w:hAnsi="宋体" w:eastAsia="宋体" w:cs="Times New Roman"/>
          <w:sz w:val="24"/>
          <w:szCs w:val="24"/>
          <w:highlight w:val="none"/>
        </w:rPr>
      </w:r>
      <w:r/>
    </w:p>
    <w:p>
      <w:pPr>
        <w:pStyle w:val="660"/>
        <w:ind w:firstLine="480"/>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进度款支付时间：完成对应区域接入市本级系统，具备试运营条件后：市本级支付合同金额的20%，各县（市、区）支付合同金额的30%；完成项目验收后，市本级支付合同金额的20%，各各县（市、区）支付合同金额的40%。</w:t>
      </w:r>
      <w:r>
        <w:rPr>
          <w:rFonts w:hint="eastAsia" w:ascii="宋体" w:hAnsi="宋体" w:eastAsia="宋体" w:cs="Times New Roman"/>
          <w:sz w:val="24"/>
          <w:szCs w:val="24"/>
          <w:highlight w:val="none"/>
        </w:rPr>
      </w:r>
      <w:r/>
    </w:p>
    <w:p>
      <w:pPr>
        <w:pStyle w:val="660"/>
        <w:ind w:firstLine="480"/>
        <w:spacing w:line="0" w:lineRule="atLeas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3、尾款支付时间：验收合格一年，采购人收到发票后15日，市本级支付合同金额的30%。</w:t>
      </w:r>
      <w:r>
        <w:rPr>
          <w:rFonts w:hint="eastAsia" w:ascii="宋体" w:hAnsi="宋体" w:eastAsia="宋体" w:cs="Times New Roman"/>
          <w:sz w:val="24"/>
          <w:szCs w:val="24"/>
          <w:highlight w:val="none"/>
        </w:rPr>
      </w:r>
      <w:r/>
    </w:p>
    <w:p>
      <w:pPr>
        <w:pStyle w:val="660"/>
        <w:spacing w:line="0" w:lineRule="atLeas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r>
      <w:r/>
    </w:p>
    <w:p>
      <w:pPr>
        <w:pStyle w:val="660"/>
        <w:spacing w:line="0" w:lineRule="atLeast"/>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10、履约保证金：</w:t>
      </w:r>
      <w:r>
        <w:rPr>
          <w:rFonts w:hint="eastAsia" w:ascii="Times New Roman" w:hAnsi="Times New Roman" w:eastAsia="宋体" w:cs="Times New Roman"/>
          <w:b/>
          <w:bCs/>
          <w:sz w:val="24"/>
          <w:szCs w:val="24"/>
          <w:highlight w:val="none"/>
          <w:lang w:val="en-US" w:eastAsia="zh-CN"/>
        </w:rPr>
      </w:r>
      <w:r/>
    </w:p>
    <w:p>
      <w:pPr>
        <w:pStyle w:val="77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本项目不收取履约保证金。</w:t>
      </w:r>
      <w:r>
        <w:rPr>
          <w:rFonts w:hint="eastAsia" w:ascii="宋体" w:hAnsi="宋体" w:eastAsia="宋体"/>
          <w:color w:val="000000"/>
          <w:sz w:val="24"/>
          <w:szCs w:val="24"/>
          <w:highlight w:val="none"/>
        </w:rPr>
      </w:r>
      <w:r/>
    </w:p>
    <w:p>
      <w:pPr>
        <w:pStyle w:val="672"/>
        <w:rPr>
          <w:rFonts w:hint="eastAsia"/>
        </w:rPr>
      </w:pPr>
      <w:r>
        <w:rPr>
          <w:rFonts w:hint="eastAsia"/>
        </w:rPr>
      </w:r>
      <w:r/>
    </w:p>
    <w:p>
      <w:pPr>
        <w:pStyle w:val="660"/>
        <w:spacing w:line="480" w:lineRule="exact"/>
        <w:rPr>
          <w:rFonts w:hint="eastAsia" w:ascii="仿宋" w:hAnsi="仿宋" w:eastAsia="仿宋"/>
          <w:b/>
          <w:i/>
          <w:color w:val="000000"/>
          <w:sz w:val="28"/>
          <w:szCs w:val="28"/>
          <w:highlight w:val="yellow"/>
          <w:u w:val="single"/>
        </w:rPr>
      </w:pPr>
      <w:r>
        <w:rPr>
          <w:rFonts w:hint="eastAsia" w:ascii="仿宋" w:hAnsi="仿宋" w:eastAsia="仿宋"/>
          <w:color w:val="000000"/>
          <w:sz w:val="28"/>
          <w:szCs w:val="28"/>
          <w:highlight w:val="yellow"/>
        </w:rPr>
        <w:t xml:space="preserve">四、</w:t>
      </w:r>
      <w:r>
        <w:rPr>
          <w:rFonts w:hint="eastAsia" w:ascii="仿宋" w:hAnsi="仿宋" w:eastAsia="仿宋"/>
          <w:b/>
          <w:i/>
          <w:color w:val="000000"/>
          <w:sz w:val="28"/>
          <w:szCs w:val="28"/>
          <w:highlight w:val="yellow"/>
          <w:u w:val="single"/>
        </w:rPr>
        <w:t xml:space="preserve">采购需求中必须满足的实质性要求。</w:t>
      </w:r>
      <w:r>
        <w:rPr>
          <w:rFonts w:hint="eastAsia" w:ascii="仿宋" w:hAnsi="仿宋" w:eastAsia="仿宋"/>
          <w:b/>
          <w:i/>
          <w:color w:val="000000"/>
          <w:sz w:val="28"/>
          <w:szCs w:val="28"/>
          <w:highlight w:val="yellow"/>
          <w:u w:val="single"/>
        </w:rPr>
      </w:r>
      <w:r/>
    </w:p>
    <w:p>
      <w:pPr>
        <w:pStyle w:val="660"/>
        <w:ind w:firstLine="560"/>
        <w:spacing w:line="480" w:lineRule="exact"/>
        <w:rPr>
          <w:rFonts w:hint="eastAsia" w:ascii="宋体" w:hAnsi="宋体" w:eastAsia="宋体" w:cs="宋体"/>
          <w:i/>
          <w:sz w:val="24"/>
          <w:szCs w:val="24"/>
          <w:highlight w:val="none"/>
          <w:u w:val="single"/>
        </w:rPr>
      </w:pPr>
      <w:r/>
      <w:bookmarkStart w:id="200" w:name="_Toc120614281"/>
      <w:r>
        <w:rPr>
          <w:rFonts w:hint="eastAsia" w:ascii="宋体" w:hAnsi="宋体" w:eastAsia="宋体" w:cs="宋体"/>
          <w:i/>
          <w:sz w:val="24"/>
          <w:szCs w:val="24"/>
          <w:highlight w:val="none"/>
          <w:u w:val="single"/>
        </w:rPr>
        <w:t xml:space="preserve">4.1技术部分实质性要求</w:t>
      </w:r>
      <w:r>
        <w:rPr>
          <w:rFonts w:hint="eastAsia" w:ascii="宋体" w:hAnsi="宋体" w:eastAsia="宋体" w:cs="宋体"/>
          <w:i/>
          <w:sz w:val="24"/>
          <w:szCs w:val="24"/>
          <w:highlight w:val="none"/>
          <w:u w:val="single"/>
        </w:rPr>
      </w:r>
      <w:r/>
    </w:p>
    <w:p>
      <w:pPr>
        <w:pStyle w:val="660"/>
        <w:ind w:firstLine="560"/>
        <w:spacing w:line="480" w:lineRule="exact"/>
        <w:rPr>
          <w:rFonts w:hint="eastAsia" w:ascii="宋体" w:hAnsi="宋体" w:eastAsia="宋体" w:cs="宋体"/>
          <w:i/>
          <w:sz w:val="24"/>
          <w:szCs w:val="24"/>
          <w:highlight w:val="none"/>
          <w:u w:val="single"/>
        </w:rPr>
      </w:pPr>
      <w:r>
        <w:rPr>
          <w:rFonts w:hint="eastAsia" w:ascii="宋体" w:hAnsi="宋体" w:eastAsia="宋体" w:cs="宋体"/>
          <w:i/>
          <w:sz w:val="24"/>
          <w:szCs w:val="24"/>
          <w:highlight w:val="none"/>
          <w:u w:val="single"/>
        </w:rPr>
        <w:t xml:space="preserve">4.1.1响应供应商须承诺本项目在合同签订后20个月内完成实施部署。</w:t>
      </w:r>
      <w:r>
        <w:rPr>
          <w:rFonts w:hint="eastAsia" w:ascii="宋体" w:hAnsi="宋体" w:eastAsia="宋体" w:cs="宋体"/>
          <w:i/>
          <w:sz w:val="24"/>
          <w:szCs w:val="24"/>
          <w:highlight w:val="none"/>
          <w:u w:val="single"/>
        </w:rPr>
      </w:r>
      <w:r/>
    </w:p>
    <w:p>
      <w:pPr>
        <w:pStyle w:val="660"/>
        <w:ind w:firstLine="560"/>
        <w:spacing w:line="480" w:lineRule="exact"/>
        <w:rPr>
          <w:rFonts w:hint="eastAsia" w:ascii="宋体" w:hAnsi="宋体" w:eastAsia="宋体" w:cs="宋体"/>
          <w:i/>
          <w:sz w:val="24"/>
          <w:szCs w:val="24"/>
          <w:highlight w:val="none"/>
          <w:u w:val="single"/>
        </w:rPr>
      </w:pPr>
      <w:r>
        <w:rPr>
          <w:rFonts w:hint="eastAsia" w:ascii="宋体" w:hAnsi="宋体" w:eastAsia="宋体" w:cs="宋体"/>
          <w:i/>
          <w:sz w:val="24"/>
          <w:szCs w:val="24"/>
          <w:highlight w:val="none"/>
          <w:u w:val="single"/>
        </w:rPr>
        <w:t xml:space="preserve">4.2商务部分实质性要求</w:t>
      </w:r>
      <w:r>
        <w:rPr>
          <w:rFonts w:hint="eastAsia" w:ascii="宋体" w:hAnsi="宋体" w:eastAsia="宋体" w:cs="宋体"/>
          <w:i/>
          <w:sz w:val="24"/>
          <w:szCs w:val="24"/>
          <w:highlight w:val="none"/>
          <w:u w:val="single"/>
        </w:rPr>
      </w:r>
      <w:r/>
    </w:p>
    <w:p>
      <w:pPr>
        <w:pStyle w:val="660"/>
        <w:ind w:firstLine="480"/>
        <w:spacing w:line="480" w:lineRule="exact"/>
        <w:rPr>
          <w:rFonts w:hint="eastAsia" w:ascii="宋体" w:hAnsi="宋体" w:eastAsia="宋体" w:cs="宋体"/>
          <w:bCs/>
          <w:sz w:val="44"/>
        </w:rPr>
      </w:pPr>
      <w:r>
        <w:rPr>
          <w:rFonts w:hint="eastAsia" w:ascii="宋体" w:hAnsi="宋体" w:eastAsia="宋体" w:cs="宋体"/>
          <w:i/>
          <w:iCs/>
          <w:sz w:val="24"/>
          <w:szCs w:val="24"/>
          <w:highlight w:val="none"/>
          <w:u w:val="single"/>
        </w:rPr>
        <w:t xml:space="preserve">4.2.1响应供应商须具有行政部门颁发的测绘资质乙级及以上资质证书，业务范围须包含界限与不动产测绘、地理信息系统工程两项。</w:t>
      </w:r>
      <w:r>
        <w:rPr>
          <w:rFonts w:hint="eastAsia" w:ascii="宋体" w:hAnsi="宋体" w:eastAsia="宋体" w:cs="宋体"/>
          <w:bCs/>
          <w:sz w:val="44"/>
        </w:rPr>
      </w:r>
      <w:r/>
    </w:p>
    <w:p>
      <w:pPr>
        <w:pStyle w:val="661"/>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60"/>
        <w:rPr>
          <w:rFonts w:hint="eastAsia"/>
        </w:rPr>
      </w:pPr>
      <w:r>
        <w:rPr>
          <w:rFonts w:hint="eastAsia"/>
        </w:rPr>
      </w:r>
      <w:r/>
    </w:p>
    <w:p>
      <w:pPr>
        <w:pStyle w:val="74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。本项目分包选取1名中标候选人。</w:t>
      </w:r>
      <w:r>
        <w:rPr>
          <w:rFonts w:hint="eastAsia" w:cs="Arial"/>
        </w:rPr>
      </w:r>
      <w:r/>
    </w:p>
    <w:p>
      <w:pPr>
        <w:pStyle w:val="74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660"/>
        <w:ind w:firstLine="420"/>
        <w:jc w:val="left"/>
        <w:spacing w:before="120" w:after="120" w:line="480" w:lineRule="exact"/>
        <w:rPr>
          <w:rFonts w:hint="eastAsia" w:ascii="宋体" w:hAnsi="宋体"/>
          <w:highlight w:val="yellow"/>
        </w:rPr>
      </w:pPr>
      <w:r>
        <w:rPr>
          <w:rFonts w:hint="eastAsia" w:ascii="宋体" w:hAnsi="宋体"/>
        </w:rPr>
        <w:t xml:space="preserve">1、小微型企业价格扣除</w:t>
      </w:r>
      <w:r>
        <w:rPr>
          <w:rFonts w:hint="eastAsia" w:ascii="宋体" w:hAnsi="宋体"/>
          <w:highlight w:val="yellow"/>
        </w:rPr>
      </w:r>
      <w:r/>
    </w:p>
    <w:p>
      <w:pPr>
        <w:pStyle w:val="74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highlight w:val="yellow"/>
          <w:u w:val="single"/>
          <w:lang w:val="en-US" w:eastAsia="zh-CN"/>
        </w:rPr>
        <w:t xml:space="preserve">10</w:t>
      </w:r>
      <w:r>
        <w:rPr>
          <w:rFonts w:hint="eastAsia" w:ascii="宋体" w:hAnsi="宋体"/>
          <w:highlight w:val="yellow"/>
          <w:u w:val="single"/>
        </w:rPr>
        <w:t xml:space="preserve">%</w:t>
      </w:r>
      <w:r>
        <w:rPr>
          <w:rFonts w:hint="eastAsia" w:ascii="宋体" w:hAnsi="宋体"/>
        </w:rPr>
        <w:t xml:space="preserve">的扣除价格，用扣除后的价格参与评审。</w:t>
      </w:r>
      <w:r>
        <w:rPr>
          <w:rFonts w:hint="eastAsia" w:ascii="宋体" w:hAnsi="宋体"/>
        </w:rPr>
      </w:r>
      <w:r/>
    </w:p>
    <w:p>
      <w:pPr>
        <w:pStyle w:val="746"/>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746"/>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746"/>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74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highlight w:val="yellow"/>
          <w:u w:val="single"/>
          <w:lang w:val="en-US" w:eastAsia="zh-CN"/>
        </w:rPr>
        <w:t xml:space="preserve">10</w:t>
      </w:r>
      <w:r>
        <w:rPr>
          <w:rFonts w:hint="eastAsia" w:ascii="宋体" w:hAnsi="宋体"/>
          <w:highlight w:val="yellow"/>
          <w:u w:val="single"/>
        </w:rPr>
        <w:t xml:space="preserve">%</w:t>
      </w:r>
      <w:r>
        <w:rPr>
          <w:rFonts w:hint="eastAsia" w:ascii="宋体" w:hAnsi="宋体"/>
        </w:rPr>
        <w:t xml:space="preserve">的价格扣除，用扣除后的价格参与评审。</w:t>
      </w:r>
      <w:r>
        <w:rPr>
          <w:rFonts w:hint="eastAsia" w:ascii="宋体" w:hAnsi="宋体"/>
        </w:rPr>
      </w:r>
      <w:r/>
    </w:p>
    <w:p>
      <w:pPr>
        <w:pStyle w:val="74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74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46"/>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74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highlight w:val="yellow"/>
          <w:u w:val="single"/>
          <w:lang w:val="en-US" w:eastAsia="zh-CN"/>
        </w:rPr>
        <w:t xml:space="preserve">10</w:t>
      </w:r>
      <w:r>
        <w:rPr>
          <w:rFonts w:hint="eastAsia" w:ascii="宋体" w:hAnsi="宋体"/>
          <w:highlight w:val="yellow"/>
          <w:u w:val="single"/>
        </w:rPr>
        <w:t xml:space="preserve">%</w:t>
      </w:r>
      <w:r>
        <w:rPr>
          <w:rFonts w:hint="eastAsia" w:ascii="宋体" w:hAnsi="宋体"/>
        </w:rPr>
        <w:t xml:space="preserve">的价格扣除，用扣除后的价格参与评审。</w:t>
      </w:r>
      <w:r>
        <w:rPr>
          <w:rFonts w:hint="eastAsia" w:ascii="宋体" w:hAnsi="宋体"/>
        </w:rPr>
      </w:r>
      <w:r/>
    </w:p>
    <w:p>
      <w:pPr>
        <w:pStyle w:val="74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4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746"/>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746"/>
        <w:spacing w:line="400" w:lineRule="exact"/>
        <w:rPr>
          <w:rFonts w:hint="eastAsia" w:ascii="宋体" w:hAnsi="宋体"/>
        </w:rPr>
      </w:pPr>
      <w:r>
        <w:rPr>
          <w:rFonts w:hint="eastAsia" w:ascii="宋体" w:hAnsi="宋体"/>
        </w:rPr>
        <w:t xml:space="preserve">5、如果本项目同意分包履行合同的,大中型企业向一家或多家小微型企业分包，分包意向协议中约定小微型企业（残疾人福利单位、监狱企业）的合同份额占到合同总金额30%以上的，给予大中型企业</w:t>
      </w:r>
      <w:r>
        <w:rPr>
          <w:rFonts w:hint="eastAsia" w:ascii="宋体" w:hAnsi="宋体"/>
          <w:u w:val="single"/>
          <w:lang w:val="en-US" w:eastAsia="zh-CN"/>
        </w:rPr>
        <w:t xml:space="preserve">6</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746"/>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746"/>
        <w:numPr>
          <w:ilvl w:val="0"/>
          <w:numId w:val="7"/>
        </w:numPr>
        <w:ind w:firstLine="482"/>
        <w:spacing w:line="0" w:lineRule="atLeast"/>
        <w:tabs>
          <w:tab w:val="left" w:pos="312" w:leader="none"/>
        </w:tabs>
        <w:rPr>
          <w:rFonts w:hint="eastAsia" w:ascii="宋体" w:hAnsi="宋体"/>
          <w:b/>
          <w:highlight w:val="none"/>
          <w:lang w:val="en-US" w:eastAsia="zh-CN"/>
        </w:rPr>
      </w:pPr>
      <w:r>
        <w:rPr>
          <w:rFonts w:hint="eastAsia" w:ascii="宋体" w:hAnsi="宋体"/>
          <w:b/>
          <w:highlight w:val="none"/>
          <w:lang w:val="en-US" w:eastAsia="zh-CN"/>
        </w:rPr>
        <w:t xml:space="preserve">价格分：10分</w:t>
      </w:r>
      <w:r>
        <w:rPr>
          <w:rFonts w:hint="eastAsia" w:ascii="宋体" w:hAnsi="宋体"/>
          <w:b/>
          <w:highlight w:val="none"/>
          <w:lang w:val="en-US" w:eastAsia="zh-CN"/>
        </w:rPr>
      </w:r>
      <w:r/>
    </w:p>
    <w:p>
      <w:pPr>
        <w:pStyle w:val="660"/>
        <w:ind w:firstLine="422"/>
        <w:spacing w:line="500" w:lineRule="exact"/>
        <w:rPr>
          <w:rFonts w:eastAsia="方正仿宋_GBK"/>
          <w:sz w:val="28"/>
          <w:szCs w:val="28"/>
        </w:rPr>
      </w:pPr>
      <w:r>
        <w:rPr>
          <w:rFonts w:hint="eastAsia" w:ascii="宋体" w:hAnsi="宋体"/>
          <w:b/>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660"/>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746"/>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746"/>
        <w:numPr>
          <w:ilvl w:val="0"/>
          <w:numId w:val="7"/>
        </w:numPr>
        <w:ind w:firstLine="482"/>
        <w:spacing w:line="0" w:lineRule="atLeast"/>
        <w:tabs>
          <w:tab w:val="left" w:pos="312" w:leader="none"/>
        </w:tabs>
        <w:rPr>
          <w:rFonts w:ascii="宋体" w:hAnsi="宋体"/>
          <w:b/>
          <w:highlight w:val="none"/>
          <w:lang w:val="en-US" w:eastAsia="zh-CN"/>
        </w:rPr>
      </w:pPr>
      <w:r>
        <w:rPr>
          <w:rFonts w:hint="eastAsia" w:ascii="宋体" w:hAnsi="宋体"/>
          <w:b/>
          <w:highlight w:val="none"/>
          <w:lang w:val="en-US" w:eastAsia="zh-CN"/>
        </w:rPr>
        <w:t xml:space="preserve">技术分：50分</w:t>
      </w:r>
      <w:r>
        <w:rPr>
          <w:rFonts w:ascii="宋体" w:hAnsi="宋体"/>
          <w:b/>
          <w:highlight w:val="none"/>
          <w:lang w:val="en-US" w:eastAsia="zh-CN"/>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top"/>
            <w:textDirection w:val="lrTb"/>
            <w:noWrap w:val="false"/>
          </w:tcPr>
          <w:p>
            <w:pPr>
              <w:pStyle w:val="660"/>
              <w:jc w:val="left"/>
              <w:spacing w:before="120" w:after="120"/>
              <w:rPr>
                <w:rFonts w:hint="eastAsia" w:ascii="仿宋" w:hAnsi="仿宋" w:eastAsia="仿宋"/>
                <w:b/>
                <w:sz w:val="28"/>
                <w:szCs w:val="28"/>
                <w:highlight w:val="none"/>
              </w:rPr>
            </w:pPr>
            <w:r>
              <w:rPr>
                <w:rFonts w:hint="eastAsia" w:ascii="仿宋" w:hAnsi="仿宋" w:eastAsia="仿宋"/>
                <w:b/>
                <w:sz w:val="28"/>
                <w:szCs w:val="28"/>
                <w:highlight w:val="none"/>
              </w:rPr>
              <w:t xml:space="preserve">序号</w:t>
            </w:r>
            <w:r>
              <w:rPr>
                <w:rFonts w:hint="eastAsia" w:ascii="仿宋" w:hAnsi="仿宋" w:eastAsia="仿宋"/>
                <w:b/>
                <w:sz w:val="28"/>
                <w:szCs w:val="28"/>
                <w:highlight w:val="none"/>
              </w:rPr>
            </w:r>
            <w:r/>
          </w:p>
        </w:tc>
        <w:tc>
          <w:tcPr>
            <w:tcW w:w="1701" w:type="dxa"/>
            <w:vAlign w:val="top"/>
            <w:textDirection w:val="lrTb"/>
            <w:noWrap w:val="false"/>
          </w:tcPr>
          <w:p>
            <w:pPr>
              <w:pStyle w:val="660"/>
              <w:jc w:val="left"/>
              <w:spacing w:before="120" w:after="120"/>
              <w:rPr>
                <w:rFonts w:hint="eastAsia" w:ascii="仿宋" w:hAnsi="仿宋" w:eastAsia="仿宋"/>
                <w:b/>
                <w:sz w:val="28"/>
                <w:szCs w:val="28"/>
                <w:highlight w:val="none"/>
              </w:rPr>
            </w:pPr>
            <w:r>
              <w:rPr>
                <w:rFonts w:hint="eastAsia" w:ascii="仿宋" w:hAnsi="仿宋" w:eastAsia="仿宋"/>
                <w:b/>
                <w:sz w:val="28"/>
                <w:szCs w:val="28"/>
                <w:highlight w:val="none"/>
              </w:rPr>
              <w:t xml:space="preserve">评分点名称</w:t>
            </w:r>
            <w:r>
              <w:rPr>
                <w:rFonts w:hint="eastAsia" w:ascii="仿宋" w:hAnsi="仿宋" w:eastAsia="仿宋"/>
                <w:b/>
                <w:sz w:val="28"/>
                <w:szCs w:val="28"/>
                <w:highlight w:val="none"/>
              </w:rPr>
            </w:r>
            <w:r/>
          </w:p>
        </w:tc>
        <w:tc>
          <w:tcPr>
            <w:tcW w:w="2835" w:type="dxa"/>
            <w:vAlign w:val="top"/>
            <w:textDirection w:val="lrTb"/>
            <w:noWrap w:val="false"/>
          </w:tcPr>
          <w:p>
            <w:pPr>
              <w:pStyle w:val="660"/>
              <w:jc w:val="center"/>
              <w:spacing w:before="120" w:after="120"/>
              <w:rPr>
                <w:rFonts w:hint="eastAsia" w:ascii="仿宋" w:hAnsi="仿宋" w:eastAsia="仿宋"/>
                <w:b/>
                <w:sz w:val="28"/>
                <w:szCs w:val="28"/>
                <w:highlight w:val="none"/>
              </w:rPr>
            </w:pPr>
            <w:r>
              <w:rPr>
                <w:rFonts w:hint="eastAsia" w:ascii="仿宋" w:hAnsi="仿宋" w:eastAsia="仿宋"/>
                <w:b/>
                <w:sz w:val="28"/>
                <w:szCs w:val="28"/>
                <w:highlight w:val="none"/>
              </w:rPr>
              <w:t xml:space="preserve">评审标准</w:t>
            </w:r>
            <w:r>
              <w:rPr>
                <w:rFonts w:hint="eastAsia" w:ascii="仿宋" w:hAnsi="仿宋" w:eastAsia="仿宋"/>
                <w:b/>
                <w:sz w:val="28"/>
                <w:szCs w:val="28"/>
                <w:highlight w:val="none"/>
              </w:rPr>
            </w:r>
            <w:r/>
          </w:p>
        </w:tc>
        <w:tc>
          <w:tcPr>
            <w:tcW w:w="1241" w:type="dxa"/>
            <w:vAlign w:val="top"/>
            <w:textDirection w:val="lrTb"/>
            <w:noWrap w:val="false"/>
          </w:tcPr>
          <w:p>
            <w:pPr>
              <w:pStyle w:val="660"/>
              <w:jc w:val="left"/>
              <w:spacing w:before="120" w:after="120"/>
              <w:rPr>
                <w:rFonts w:hint="eastAsia" w:ascii="仿宋" w:hAnsi="仿宋" w:eastAsia="仿宋"/>
                <w:b/>
                <w:sz w:val="28"/>
                <w:szCs w:val="28"/>
                <w:highlight w:val="none"/>
              </w:rPr>
            </w:pPr>
            <w:r>
              <w:rPr>
                <w:rFonts w:hint="eastAsia" w:ascii="仿宋" w:hAnsi="仿宋" w:eastAsia="仿宋"/>
                <w:b/>
                <w:sz w:val="28"/>
                <w:szCs w:val="28"/>
                <w:highlight w:val="none"/>
              </w:rPr>
              <w:t xml:space="preserve">最高分</w:t>
            </w:r>
            <w:r>
              <w:rPr>
                <w:rFonts w:hint="eastAsia" w:ascii="仿宋" w:hAnsi="仿宋" w:eastAsia="仿宋"/>
                <w:b/>
                <w:sz w:val="28"/>
                <w:szCs w:val="28"/>
                <w:highlight w:val="none"/>
              </w:rPr>
            </w:r>
            <w:r/>
          </w:p>
        </w:tc>
        <w:tc>
          <w:tcPr>
            <w:tcW w:w="1110" w:type="dxa"/>
            <w:vAlign w:val="top"/>
            <w:textDirection w:val="lrTb"/>
            <w:noWrap w:val="false"/>
          </w:tcPr>
          <w:p>
            <w:pPr>
              <w:pStyle w:val="660"/>
              <w:jc w:val="left"/>
              <w:spacing w:before="120" w:after="120"/>
              <w:rPr>
                <w:rFonts w:hint="eastAsia" w:ascii="仿宋" w:hAnsi="仿宋" w:eastAsia="仿宋"/>
                <w:b/>
                <w:sz w:val="28"/>
                <w:szCs w:val="28"/>
                <w:highlight w:val="none"/>
              </w:rPr>
            </w:pPr>
            <w:r>
              <w:rPr>
                <w:rFonts w:hint="eastAsia" w:ascii="仿宋" w:hAnsi="仿宋" w:eastAsia="仿宋"/>
                <w:b/>
                <w:sz w:val="28"/>
                <w:szCs w:val="28"/>
                <w:highlight w:val="none"/>
              </w:rPr>
              <w:t xml:space="preserve">最低分</w:t>
            </w:r>
            <w:r>
              <w:rPr>
                <w:rFonts w:hint="eastAsia" w:ascii="仿宋" w:hAnsi="仿宋" w:eastAsia="仿宋"/>
                <w:b/>
                <w:sz w:val="28"/>
                <w:szCs w:val="28"/>
                <w:highlight w:val="none"/>
              </w:rPr>
            </w:r>
            <w:r/>
          </w:p>
        </w:tc>
        <w:tc>
          <w:tcPr>
            <w:tcW w:w="1618" w:type="dxa"/>
            <w:vAlign w:val="top"/>
            <w:textDirection w:val="lrTb"/>
            <w:noWrap w:val="false"/>
          </w:tcPr>
          <w:p>
            <w:pPr>
              <w:pStyle w:val="660"/>
              <w:jc w:val="left"/>
              <w:spacing w:before="120" w:after="120"/>
              <w:rPr>
                <w:rFonts w:hint="eastAsia" w:ascii="仿宋" w:hAnsi="仿宋" w:eastAsia="仿宋"/>
                <w:b/>
                <w:sz w:val="28"/>
                <w:szCs w:val="28"/>
                <w:highlight w:val="none"/>
              </w:rPr>
            </w:pPr>
            <w:r>
              <w:rPr>
                <w:rFonts w:hint="eastAsia" w:ascii="仿宋" w:hAnsi="仿宋" w:eastAsia="仿宋"/>
                <w:b/>
                <w:sz w:val="28"/>
                <w:szCs w:val="28"/>
                <w:highlight w:val="none"/>
              </w:rPr>
              <w:t xml:space="preserve">主/客观分</w:t>
            </w:r>
            <w:r>
              <w:rPr>
                <w:rFonts w:hint="eastAsia" w:ascii="仿宋" w:hAnsi="仿宋" w:eastAsia="仿宋"/>
                <w:b/>
                <w:sz w:val="28"/>
                <w:szCs w:val="28"/>
                <w:highlight w:val="none"/>
              </w:rPr>
            </w:r>
            <w:r/>
          </w:p>
        </w:tc>
      </w:tr>
      <w:tr>
        <w:trPr/>
        <w:tc>
          <w:tcPr>
            <w:tcW w:w="959" w:type="dxa"/>
            <w:vAlign w:val="top"/>
            <w:textDirection w:val="lrTb"/>
            <w:noWrap w:val="false"/>
          </w:tcPr>
          <w:p>
            <w:pPr>
              <w:pStyle w:val="660"/>
              <w:jc w:val="left"/>
              <w:spacing w:before="120" w:after="120"/>
              <w:rPr>
                <w:rFonts w:hint="eastAsia" w:ascii="仿宋" w:hAnsi="仿宋" w:eastAsia="仿宋"/>
                <w:b/>
                <w:sz w:val="28"/>
                <w:szCs w:val="28"/>
                <w:highlight w:val="none"/>
              </w:rPr>
            </w:pPr>
            <w:r>
              <w:rPr>
                <w:rFonts w:hint="eastAsia" w:ascii="仿宋" w:hAnsi="仿宋" w:eastAsia="仿宋"/>
                <w:b/>
                <w:sz w:val="28"/>
                <w:szCs w:val="28"/>
                <w:highlight w:val="none"/>
              </w:rPr>
              <w:t xml:space="preserve">1</w:t>
            </w:r>
            <w:r>
              <w:rPr>
                <w:rFonts w:hint="eastAsia" w:ascii="仿宋" w:hAnsi="仿宋" w:eastAsia="仿宋"/>
                <w:b/>
                <w:sz w:val="28"/>
                <w:szCs w:val="28"/>
                <w:highlight w:val="none"/>
              </w:rPr>
            </w:r>
            <w:r/>
          </w:p>
        </w:tc>
        <w:tc>
          <w:tcPr>
            <w:tcW w:w="1701"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总体方案</w:t>
            </w:r>
            <w:r>
              <w:rPr>
                <w:rFonts w:hint="eastAsia" w:ascii="仿宋" w:hAnsi="仿宋" w:eastAsia="仿宋"/>
                <w:b/>
                <w:sz w:val="28"/>
                <w:szCs w:val="28"/>
                <w:highlight w:val="none"/>
              </w:rPr>
            </w:r>
            <w:r/>
          </w:p>
        </w:tc>
        <w:tc>
          <w:tcPr>
            <w:tcW w:w="2835" w:type="dxa"/>
            <w:vAlign w:val="center"/>
            <w:textDirection w:val="lrTb"/>
            <w:noWrap w:val="false"/>
          </w:tcPr>
          <w:p>
            <w:pPr>
              <w:pStyle w:val="660"/>
              <w:rPr>
                <w:rFonts w:hint="eastAsia" w:ascii="仿宋" w:hAnsi="仿宋" w:eastAsia="仿宋" w:cs="仿宋"/>
                <w:sz w:val="24"/>
                <w:highlight w:val="none"/>
              </w:rPr>
            </w:pPr>
            <w:r>
              <w:rPr>
                <w:rFonts w:hint="eastAsia" w:ascii="仿宋" w:hAnsi="仿宋" w:eastAsia="仿宋" w:cs="仿宋"/>
                <w:sz w:val="24"/>
                <w:szCs w:val="24"/>
                <w:highlight w:val="none"/>
                <w:lang w:bidi="ar"/>
              </w:rPr>
              <w:t xml:space="preserve">提供根据用户需求和建设目标制定满足项目要求的总体方案。包括但不限于以下内容：</w:t>
            </w:r>
            <w:r>
              <w:rPr>
                <w:rFonts w:hint="eastAsia" w:ascii="仿宋" w:hAnsi="仿宋" w:eastAsia="仿宋" w:cs="仿宋"/>
                <w:sz w:val="24"/>
                <w:highlight w:val="none"/>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（1）项目背景分析；</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（2）项目任务及目标；</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（3）项目现状分析；</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（4）业务需求分析；</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（5）总体架构设计。</w:t>
            </w:r>
            <w:r>
              <w:rPr>
                <w:rFonts w:hint="eastAsia" w:ascii="仿宋" w:hAnsi="仿宋" w:eastAsia="仿宋" w:cs="仿宋"/>
                <w:highlight w:val="none"/>
                <w:lang w:bidi="ar"/>
              </w:rPr>
            </w:r>
            <w:r/>
          </w:p>
          <w:p>
            <w:pPr>
              <w:pStyle w:val="660"/>
              <w:jc w:val="left"/>
              <w:widowControl/>
              <w:rPr>
                <w:rFonts w:hint="eastAsia" w:ascii="仿宋" w:hAnsi="仿宋" w:eastAsia="仿宋" w:cs="仿宋"/>
                <w:b/>
                <w:bCs/>
                <w:sz w:val="24"/>
                <w:highlight w:val="none"/>
                <w:lang w:bidi="ar"/>
              </w:rPr>
            </w:pPr>
            <w:r>
              <w:rPr>
                <w:rFonts w:hint="eastAsia" w:ascii="仿宋" w:hAnsi="仿宋" w:eastAsia="仿宋" w:cs="仿宋"/>
                <w:b/>
                <w:bCs/>
                <w:sz w:val="24"/>
                <w:szCs w:val="24"/>
                <w:highlight w:val="none"/>
                <w:lang w:bidi="ar"/>
              </w:rPr>
              <w:t xml:space="preserve">上述5方面内容中每缺少一项内容扣3分，每有一处需求分析内容存在缺陷或不足的扣1分，扣完为止。(本项最多得15分)</w:t>
            </w:r>
            <w:r>
              <w:rPr>
                <w:rFonts w:hint="eastAsia" w:ascii="仿宋" w:hAnsi="仿宋" w:eastAsia="仿宋" w:cs="仿宋"/>
                <w:b/>
                <w:bCs/>
                <w:sz w:val="24"/>
                <w:highlight w:val="none"/>
                <w:lang w:bidi="ar"/>
              </w:rPr>
            </w:r>
            <w:r/>
          </w:p>
          <w:p>
            <w:pPr>
              <w:pStyle w:val="660"/>
              <w:jc w:val="left"/>
              <w:rPr>
                <w:rFonts w:hint="eastAsia" w:ascii="仿宋" w:hAnsi="仿宋" w:eastAsia="仿宋"/>
                <w:b/>
                <w:sz w:val="28"/>
                <w:szCs w:val="28"/>
                <w:highlight w:val="none"/>
              </w:rPr>
            </w:pPr>
            <w:r>
              <w:rPr>
                <w:rFonts w:hint="eastAsia" w:ascii="仿宋" w:hAnsi="仿宋" w:eastAsia="仿宋" w:cs="仿宋"/>
                <w:b/>
                <w:bCs/>
                <w:highlight w:val="none"/>
                <w:lang w:bidi="ar"/>
              </w:rPr>
              <w:t xml:space="preserve">注：总体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b/>
                <w:sz w:val="28"/>
                <w:szCs w:val="28"/>
                <w:highlight w:val="none"/>
              </w:rPr>
            </w:r>
            <w:r/>
          </w:p>
        </w:tc>
        <w:tc>
          <w:tcPr>
            <w:tcW w:w="1241"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15</w:t>
            </w:r>
            <w:r>
              <w:rPr>
                <w:rFonts w:hint="eastAsia" w:ascii="仿宋" w:hAnsi="仿宋" w:eastAsia="仿宋"/>
                <w:b/>
                <w:sz w:val="28"/>
                <w:szCs w:val="28"/>
                <w:highlight w:val="none"/>
              </w:rPr>
            </w:r>
            <w:r/>
          </w:p>
        </w:tc>
        <w:tc>
          <w:tcPr>
            <w:tcW w:w="1110"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0</w:t>
            </w:r>
            <w:r>
              <w:rPr>
                <w:rFonts w:hint="eastAsia" w:ascii="仿宋" w:hAnsi="仿宋" w:eastAsia="仿宋"/>
                <w:b/>
                <w:sz w:val="28"/>
                <w:szCs w:val="28"/>
                <w:highlight w:val="none"/>
              </w:rPr>
            </w:r>
            <w:r/>
          </w:p>
        </w:tc>
        <w:tc>
          <w:tcPr>
            <w:tcW w:w="1618" w:type="dxa"/>
            <w:vAlign w:val="top"/>
            <w:textDirection w:val="lrTb"/>
            <w:noWrap w:val="false"/>
          </w:tcPr>
          <w:p>
            <w:pPr>
              <w:pStyle w:val="660"/>
              <w:jc w:val="left"/>
              <w:spacing w:before="120" w:after="120"/>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t xml:space="preserve">主观分</w:t>
            </w:r>
            <w:r>
              <w:rPr>
                <w:rFonts w:hint="eastAsia" w:ascii="仿宋" w:hAnsi="仿宋" w:eastAsia="仿宋"/>
                <w:b/>
                <w:sz w:val="28"/>
                <w:szCs w:val="28"/>
                <w:highlight w:val="none"/>
                <w:lang w:eastAsia="zh-CN"/>
              </w:rPr>
            </w:r>
            <w:r/>
          </w:p>
        </w:tc>
      </w:tr>
      <w:tr>
        <w:trPr/>
        <w:tc>
          <w:tcPr>
            <w:tcW w:w="959" w:type="dxa"/>
            <w:vAlign w:val="top"/>
            <w:textDirection w:val="lrTb"/>
            <w:noWrap w:val="false"/>
          </w:tcPr>
          <w:p>
            <w:pPr>
              <w:pStyle w:val="660"/>
              <w:jc w:val="left"/>
              <w:spacing w:before="120" w:after="120"/>
              <w:rPr>
                <w:rFonts w:hint="eastAsia" w:ascii="仿宋" w:hAnsi="仿宋" w:eastAsia="仿宋"/>
                <w:b/>
                <w:sz w:val="28"/>
                <w:szCs w:val="28"/>
                <w:highlight w:val="none"/>
              </w:rPr>
            </w:pPr>
            <w:r>
              <w:rPr>
                <w:rFonts w:hint="eastAsia" w:ascii="仿宋" w:hAnsi="仿宋" w:eastAsia="仿宋"/>
                <w:b/>
                <w:sz w:val="28"/>
                <w:szCs w:val="28"/>
                <w:highlight w:val="none"/>
              </w:rPr>
              <w:t xml:space="preserve">2</w:t>
            </w:r>
            <w:r>
              <w:rPr>
                <w:rFonts w:hint="eastAsia" w:ascii="仿宋" w:hAnsi="仿宋" w:eastAsia="仿宋"/>
                <w:b/>
                <w:sz w:val="28"/>
                <w:szCs w:val="28"/>
                <w:highlight w:val="none"/>
              </w:rPr>
            </w:r>
            <w:r/>
          </w:p>
        </w:tc>
        <w:tc>
          <w:tcPr>
            <w:tcW w:w="1701"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工作方案</w:t>
            </w:r>
            <w:r>
              <w:rPr>
                <w:rFonts w:hint="eastAsia" w:ascii="仿宋" w:hAnsi="仿宋" w:eastAsia="仿宋"/>
                <w:b/>
                <w:sz w:val="28"/>
                <w:szCs w:val="28"/>
                <w:highlight w:val="none"/>
              </w:rPr>
            </w:r>
            <w:r/>
          </w:p>
        </w:tc>
        <w:tc>
          <w:tcPr>
            <w:tcW w:w="2835" w:type="dxa"/>
            <w:vAlign w:val="center"/>
            <w:textDirection w:val="lrTb"/>
            <w:noWrap w:val="false"/>
          </w:tcPr>
          <w:p>
            <w:pPr>
              <w:pStyle w:val="660"/>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提供根据用户需求和建设内容制定满足项目要求的工作方案。包括但不限于以下内容：</w:t>
            </w:r>
            <w:r>
              <w:rPr>
                <w:rFonts w:hint="eastAsia" w:ascii="仿宋" w:hAnsi="仿宋" w:eastAsia="仿宋" w:cs="仿宋"/>
                <w:sz w:val="24"/>
                <w:szCs w:val="24"/>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（1）项目建设内容；</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（2）项目实施方案；</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（3）重难点分析及解决方案；</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（4）系统安全设计；</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（5）试运行及验收方案。</w:t>
            </w:r>
            <w:r>
              <w:rPr>
                <w:rFonts w:hint="eastAsia" w:ascii="仿宋" w:hAnsi="仿宋" w:eastAsia="仿宋" w:cs="仿宋"/>
                <w:highlight w:val="none"/>
                <w:lang w:bidi="ar"/>
              </w:rPr>
            </w:r>
            <w:r/>
          </w:p>
          <w:p>
            <w:pPr>
              <w:pStyle w:val="660"/>
              <w:jc w:val="left"/>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上述5方面内容中每缺少一项内容扣3分，每有一处需求分析内容存在缺陷或不足的扣1分，扣完为止。(本项最多得15分)</w:t>
            </w:r>
            <w:r>
              <w:rPr>
                <w:rFonts w:hint="eastAsia" w:ascii="仿宋" w:hAnsi="仿宋" w:eastAsia="仿宋" w:cs="仿宋"/>
                <w:sz w:val="24"/>
                <w:szCs w:val="24"/>
                <w:highlight w:val="none"/>
                <w:lang w:bidi="ar"/>
              </w:rPr>
            </w:r>
            <w:r/>
          </w:p>
          <w:p>
            <w:pPr>
              <w:pStyle w:val="660"/>
              <w:jc w:val="left"/>
              <w:spacing w:before="120" w:after="120"/>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sz w:val="24"/>
                <w:szCs w:val="24"/>
                <w:highlight w:val="none"/>
                <w:lang w:bidi="ar"/>
              </w:rPr>
            </w:r>
            <w:r/>
          </w:p>
        </w:tc>
        <w:tc>
          <w:tcPr>
            <w:tcW w:w="1241"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15</w:t>
            </w:r>
            <w:r>
              <w:rPr>
                <w:rFonts w:hint="eastAsia" w:ascii="仿宋" w:hAnsi="仿宋" w:eastAsia="仿宋"/>
                <w:b/>
                <w:sz w:val="28"/>
                <w:szCs w:val="28"/>
                <w:highlight w:val="none"/>
              </w:rPr>
            </w:r>
            <w:r/>
          </w:p>
        </w:tc>
        <w:tc>
          <w:tcPr>
            <w:tcW w:w="1110"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0</w:t>
            </w:r>
            <w:r>
              <w:rPr>
                <w:rFonts w:hint="eastAsia" w:ascii="仿宋" w:hAnsi="仿宋" w:eastAsia="仿宋"/>
                <w:b/>
                <w:sz w:val="28"/>
                <w:szCs w:val="28"/>
                <w:highlight w:val="none"/>
              </w:rPr>
            </w:r>
            <w:r/>
          </w:p>
        </w:tc>
        <w:tc>
          <w:tcPr>
            <w:tcW w:w="1618" w:type="dxa"/>
            <w:vAlign w:val="top"/>
            <w:textDirection w:val="lrTb"/>
            <w:noWrap w:val="false"/>
          </w:tcPr>
          <w:p>
            <w:pPr>
              <w:pStyle w:val="660"/>
              <w:jc w:val="left"/>
              <w:spacing w:before="120" w:after="120"/>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t xml:space="preserve">主观分</w:t>
            </w:r>
            <w:r>
              <w:rPr>
                <w:rFonts w:hint="eastAsia" w:ascii="仿宋" w:hAnsi="仿宋" w:eastAsia="仿宋"/>
                <w:b/>
                <w:sz w:val="28"/>
                <w:szCs w:val="28"/>
                <w:highlight w:val="none"/>
                <w:lang w:eastAsia="zh-CN"/>
              </w:rPr>
            </w:r>
            <w:r/>
          </w:p>
        </w:tc>
      </w:tr>
      <w:tr>
        <w:trPr/>
        <w:tc>
          <w:tcPr>
            <w:tcW w:w="959" w:type="dxa"/>
            <w:vAlign w:val="top"/>
            <w:textDirection w:val="lrTb"/>
            <w:noWrap w:val="false"/>
          </w:tcPr>
          <w:p>
            <w:pPr>
              <w:pStyle w:val="660"/>
              <w:jc w:val="left"/>
              <w:spacing w:before="120" w:after="120"/>
              <w:rPr>
                <w:rFonts w:hint="eastAsia" w:ascii="仿宋" w:hAnsi="仿宋" w:eastAsia="仿宋"/>
                <w:b/>
                <w:sz w:val="28"/>
                <w:szCs w:val="28"/>
                <w:highlight w:val="none"/>
              </w:rPr>
            </w:pPr>
            <w:r>
              <w:rPr>
                <w:rFonts w:hint="eastAsia" w:ascii="仿宋" w:hAnsi="仿宋" w:eastAsia="仿宋"/>
                <w:b/>
                <w:sz w:val="28"/>
                <w:szCs w:val="28"/>
                <w:highlight w:val="none"/>
              </w:rPr>
              <w:t xml:space="preserve">3</w:t>
            </w:r>
            <w:r>
              <w:rPr>
                <w:rFonts w:hint="eastAsia" w:ascii="仿宋" w:hAnsi="仿宋" w:eastAsia="仿宋"/>
                <w:b/>
                <w:sz w:val="28"/>
                <w:szCs w:val="28"/>
                <w:highlight w:val="none"/>
              </w:rPr>
            </w:r>
            <w:r/>
          </w:p>
        </w:tc>
        <w:tc>
          <w:tcPr>
            <w:tcW w:w="1701"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质量管理</w:t>
            </w:r>
            <w:r>
              <w:rPr>
                <w:rFonts w:hint="eastAsia" w:ascii="仿宋" w:hAnsi="仿宋" w:eastAsia="仿宋"/>
                <w:b/>
                <w:sz w:val="28"/>
                <w:szCs w:val="28"/>
                <w:highlight w:val="none"/>
              </w:rPr>
            </w:r>
            <w:r/>
          </w:p>
        </w:tc>
        <w:tc>
          <w:tcPr>
            <w:tcW w:w="2835" w:type="dxa"/>
            <w:vAlign w:val="center"/>
            <w:textDirection w:val="lrTb"/>
            <w:noWrap w:val="false"/>
          </w:tcPr>
          <w:p>
            <w:pPr>
              <w:pStyle w:val="660"/>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提供根据用户需求和建设任务制定满足项目要求的质量管理方案。包括但不限于以下内容：</w:t>
            </w:r>
            <w:r>
              <w:rPr>
                <w:rFonts w:hint="eastAsia" w:ascii="仿宋" w:hAnsi="仿宋" w:eastAsia="仿宋" w:cs="仿宋"/>
                <w:sz w:val="24"/>
                <w:szCs w:val="24"/>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（1）项目管理制度；</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（2）质量保障计划；</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（3）质量保障机制；</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（4）培训计划。</w:t>
            </w:r>
            <w:r>
              <w:rPr>
                <w:rFonts w:hint="eastAsia" w:ascii="仿宋" w:hAnsi="仿宋" w:eastAsia="仿宋" w:cs="仿宋"/>
                <w:highlight w:val="none"/>
                <w:lang w:bidi="ar"/>
              </w:rPr>
            </w:r>
            <w:r/>
          </w:p>
          <w:p>
            <w:pPr>
              <w:pStyle w:val="660"/>
              <w:jc w:val="left"/>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上述4方面内容中每缺少一项内容扣2.5分，每有一处需求分析内容存在缺陷或不足的扣1分，扣完为止。(本项最多得10分)</w:t>
            </w:r>
            <w:r>
              <w:rPr>
                <w:rFonts w:hint="eastAsia" w:ascii="仿宋" w:hAnsi="仿宋" w:eastAsia="仿宋" w:cs="仿宋"/>
                <w:sz w:val="24"/>
                <w:szCs w:val="24"/>
                <w:highlight w:val="none"/>
                <w:lang w:bidi="ar"/>
              </w:rPr>
            </w:r>
            <w:r/>
          </w:p>
          <w:p>
            <w:pPr>
              <w:pStyle w:val="660"/>
              <w:jc w:val="left"/>
              <w:spacing w:before="120" w:after="120"/>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sz w:val="24"/>
                <w:szCs w:val="24"/>
                <w:highlight w:val="none"/>
                <w:lang w:bidi="ar"/>
              </w:rPr>
            </w:r>
            <w:r/>
          </w:p>
        </w:tc>
        <w:tc>
          <w:tcPr>
            <w:tcW w:w="1241"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10</w:t>
            </w:r>
            <w:r>
              <w:rPr>
                <w:rFonts w:hint="eastAsia" w:ascii="仿宋" w:hAnsi="仿宋" w:eastAsia="仿宋"/>
                <w:b/>
                <w:sz w:val="28"/>
                <w:szCs w:val="28"/>
                <w:highlight w:val="none"/>
              </w:rPr>
            </w:r>
            <w:r/>
          </w:p>
        </w:tc>
        <w:tc>
          <w:tcPr>
            <w:tcW w:w="1110"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0</w:t>
            </w:r>
            <w:r>
              <w:rPr>
                <w:rFonts w:hint="eastAsia" w:ascii="仿宋" w:hAnsi="仿宋" w:eastAsia="仿宋"/>
                <w:b/>
                <w:sz w:val="28"/>
                <w:szCs w:val="28"/>
                <w:highlight w:val="none"/>
              </w:rPr>
            </w:r>
            <w:r/>
          </w:p>
        </w:tc>
        <w:tc>
          <w:tcPr>
            <w:tcW w:w="1618" w:type="dxa"/>
            <w:vAlign w:val="top"/>
            <w:textDirection w:val="lrTb"/>
            <w:noWrap w:val="false"/>
          </w:tcPr>
          <w:p>
            <w:pPr>
              <w:pStyle w:val="660"/>
              <w:jc w:val="left"/>
              <w:spacing w:before="120" w:after="120"/>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t xml:space="preserve">主观分</w:t>
            </w:r>
            <w:r>
              <w:rPr>
                <w:rFonts w:hint="eastAsia" w:ascii="仿宋" w:hAnsi="仿宋" w:eastAsia="仿宋"/>
                <w:b/>
                <w:sz w:val="28"/>
                <w:szCs w:val="28"/>
                <w:highlight w:val="none"/>
                <w:lang w:eastAsia="zh-CN"/>
              </w:rPr>
            </w:r>
            <w:r/>
          </w:p>
        </w:tc>
      </w:tr>
      <w:tr>
        <w:trPr/>
        <w:tc>
          <w:tcPr>
            <w:tcW w:w="959" w:type="dxa"/>
            <w:vAlign w:val="top"/>
            <w:textDirection w:val="lrTb"/>
            <w:noWrap w:val="false"/>
          </w:tcPr>
          <w:p>
            <w:pPr>
              <w:pStyle w:val="660"/>
              <w:jc w:val="left"/>
              <w:spacing w:before="120" w:after="120"/>
              <w:rPr>
                <w:rFonts w:hint="eastAsia" w:ascii="仿宋" w:hAnsi="仿宋" w:eastAsia="仿宋"/>
                <w:b/>
                <w:sz w:val="28"/>
                <w:szCs w:val="28"/>
                <w:highlight w:val="none"/>
              </w:rPr>
            </w:pPr>
            <w:r>
              <w:rPr>
                <w:rFonts w:hint="eastAsia" w:ascii="仿宋" w:hAnsi="仿宋" w:eastAsia="仿宋"/>
                <w:b/>
                <w:sz w:val="28"/>
                <w:szCs w:val="28"/>
                <w:highlight w:val="none"/>
              </w:rPr>
              <w:t xml:space="preserve">4</w:t>
            </w:r>
            <w:r>
              <w:rPr>
                <w:rFonts w:hint="eastAsia" w:ascii="仿宋" w:hAnsi="仿宋" w:eastAsia="仿宋"/>
                <w:b/>
                <w:sz w:val="28"/>
                <w:szCs w:val="28"/>
                <w:highlight w:val="none"/>
              </w:rPr>
            </w:r>
            <w:r/>
          </w:p>
        </w:tc>
        <w:tc>
          <w:tcPr>
            <w:tcW w:w="1701"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进度安排及售后</w:t>
            </w:r>
            <w:r>
              <w:rPr>
                <w:rFonts w:hint="eastAsia" w:ascii="仿宋" w:hAnsi="仿宋" w:eastAsia="仿宋"/>
                <w:b/>
                <w:sz w:val="28"/>
                <w:szCs w:val="28"/>
                <w:highlight w:val="none"/>
              </w:rPr>
            </w:r>
            <w:r/>
          </w:p>
        </w:tc>
        <w:tc>
          <w:tcPr>
            <w:tcW w:w="2835" w:type="dxa"/>
            <w:vAlign w:val="center"/>
            <w:textDirection w:val="lrTb"/>
            <w:noWrap w:val="false"/>
          </w:tcPr>
          <w:p>
            <w:pPr>
              <w:pStyle w:val="660"/>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提供根据用户需求和建设目标制定满足项目要求的进度安排及售后服务方案。包括但不限于以下内容：</w:t>
            </w:r>
            <w:r>
              <w:rPr>
                <w:rFonts w:hint="eastAsia" w:ascii="仿宋" w:hAnsi="仿宋" w:eastAsia="仿宋" w:cs="仿宋"/>
                <w:sz w:val="24"/>
                <w:szCs w:val="24"/>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（1）项目进度安排；</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（2）工期保障计划；</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（3）售后服务方案；</w:t>
            </w:r>
            <w:r>
              <w:rPr>
                <w:rFonts w:hint="eastAsia" w:ascii="仿宋" w:hAnsi="仿宋" w:eastAsia="仿宋" w:cs="仿宋"/>
                <w:highlight w:val="none"/>
                <w:lang w:bidi="ar"/>
              </w:rPr>
            </w:r>
            <w:r/>
          </w:p>
          <w:p>
            <w:pPr>
              <w:pStyle w:val="775"/>
              <w:jc w:val="both"/>
              <w:spacing w:before="0" w:beforeAutospacing="0" w:after="0" w:afterAutospacing="0"/>
              <w:widowControl w:val="off"/>
              <w:rPr>
                <w:rFonts w:hint="eastAsia" w:ascii="仿宋" w:hAnsi="仿宋" w:eastAsia="仿宋" w:cs="仿宋"/>
                <w:highlight w:val="none"/>
                <w:lang w:bidi="ar"/>
              </w:rPr>
            </w:pPr>
            <w:r>
              <w:rPr>
                <w:rFonts w:hint="eastAsia" w:ascii="仿宋" w:hAnsi="仿宋" w:eastAsia="仿宋" w:cs="仿宋"/>
                <w:highlight w:val="none"/>
                <w:lang w:bidi="ar"/>
              </w:rPr>
              <w:t xml:space="preserve">（4）售后服务承诺。</w:t>
            </w:r>
            <w:r>
              <w:rPr>
                <w:rFonts w:hint="eastAsia" w:ascii="仿宋" w:hAnsi="仿宋" w:eastAsia="仿宋" w:cs="仿宋"/>
                <w:highlight w:val="none"/>
                <w:lang w:bidi="ar"/>
              </w:rPr>
            </w:r>
            <w:r/>
          </w:p>
          <w:p>
            <w:pPr>
              <w:pStyle w:val="660"/>
              <w:jc w:val="left"/>
              <w:widowControl/>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上述4方面内容中每缺少一项内容扣2.5分，每有一处需求分析内容存在缺陷或不足的扣1分，扣完为止。(本项最多得10分)</w:t>
            </w:r>
            <w:r>
              <w:rPr>
                <w:rFonts w:hint="eastAsia" w:ascii="仿宋" w:hAnsi="仿宋" w:eastAsia="仿宋" w:cs="仿宋"/>
                <w:sz w:val="24"/>
                <w:szCs w:val="24"/>
                <w:highlight w:val="none"/>
                <w:lang w:bidi="ar"/>
              </w:rPr>
            </w:r>
            <w:r/>
          </w:p>
          <w:p>
            <w:pPr>
              <w:pStyle w:val="660"/>
              <w:jc w:val="left"/>
              <w:spacing w:before="120" w:after="120"/>
              <w:rPr>
                <w:rFonts w:hint="eastAsia"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仿宋" w:hAnsi="仿宋" w:eastAsia="仿宋" w:cs="仿宋"/>
                <w:sz w:val="24"/>
                <w:szCs w:val="24"/>
                <w:highlight w:val="none"/>
                <w:lang w:bidi="ar"/>
              </w:rPr>
            </w:r>
            <w:r/>
          </w:p>
        </w:tc>
        <w:tc>
          <w:tcPr>
            <w:tcW w:w="1241"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10</w:t>
            </w:r>
            <w:r>
              <w:rPr>
                <w:rFonts w:hint="eastAsia" w:ascii="仿宋" w:hAnsi="仿宋" w:eastAsia="仿宋"/>
                <w:b/>
                <w:sz w:val="28"/>
                <w:szCs w:val="28"/>
                <w:highlight w:val="none"/>
              </w:rPr>
            </w:r>
            <w:r/>
          </w:p>
        </w:tc>
        <w:tc>
          <w:tcPr>
            <w:tcW w:w="1110"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0</w:t>
            </w:r>
            <w:r>
              <w:rPr>
                <w:rFonts w:hint="eastAsia" w:ascii="仿宋" w:hAnsi="仿宋" w:eastAsia="仿宋"/>
                <w:b/>
                <w:sz w:val="28"/>
                <w:szCs w:val="28"/>
                <w:highlight w:val="none"/>
              </w:rPr>
            </w:r>
            <w:r/>
          </w:p>
        </w:tc>
        <w:tc>
          <w:tcPr>
            <w:tcW w:w="1618" w:type="dxa"/>
            <w:vAlign w:val="top"/>
            <w:textDirection w:val="lrTb"/>
            <w:noWrap w:val="false"/>
          </w:tcPr>
          <w:p>
            <w:pPr>
              <w:pStyle w:val="660"/>
              <w:jc w:val="left"/>
              <w:spacing w:before="120" w:after="120"/>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t xml:space="preserve">主观分</w:t>
            </w:r>
            <w:r>
              <w:rPr>
                <w:rFonts w:hint="eastAsia" w:ascii="仿宋" w:hAnsi="仿宋" w:eastAsia="仿宋"/>
                <w:b/>
                <w:sz w:val="28"/>
                <w:szCs w:val="28"/>
                <w:highlight w:val="none"/>
                <w:lang w:eastAsia="zh-CN"/>
              </w:rPr>
            </w:r>
            <w:r/>
          </w:p>
        </w:tc>
      </w:tr>
    </w:tbl>
    <w:p>
      <w:pPr>
        <w:pStyle w:val="746"/>
        <w:numPr>
          <w:ilvl w:val="0"/>
          <w:numId w:val="0"/>
        </w:numPr>
        <w:spacing w:line="0" w:lineRule="atLeast"/>
        <w:rPr>
          <w:rFonts w:ascii="宋体" w:hAnsi="宋体"/>
          <w:b/>
          <w:highlight w:val="none"/>
          <w:lang w:val="en-US" w:eastAsia="zh-CN"/>
        </w:rPr>
      </w:pPr>
      <w:r>
        <w:rPr>
          <w:rFonts w:ascii="宋体" w:hAnsi="宋体"/>
          <w:b/>
          <w:highlight w:val="none"/>
          <w:lang w:val="en-US" w:eastAsia="zh-CN"/>
        </w:rPr>
      </w:r>
      <w:r/>
    </w:p>
    <w:p>
      <w:pPr>
        <w:pStyle w:val="746"/>
        <w:numPr>
          <w:ilvl w:val="0"/>
          <w:numId w:val="7"/>
        </w:numPr>
        <w:ind w:firstLine="482"/>
        <w:spacing w:line="0" w:lineRule="atLeast"/>
        <w:tabs>
          <w:tab w:val="left" w:pos="312" w:leader="none"/>
        </w:tabs>
        <w:rPr>
          <w:rFonts w:hint="eastAsia"/>
          <w:highlight w:val="none"/>
        </w:rPr>
      </w:pPr>
      <w:r>
        <w:rPr>
          <w:rFonts w:hint="eastAsia" w:ascii="宋体" w:hAnsi="宋体"/>
          <w:b/>
          <w:highlight w:val="none"/>
          <w:lang w:val="en-US" w:eastAsia="zh-CN"/>
        </w:rPr>
        <w:t xml:space="preserve">商务分：40分</w:t>
      </w:r>
      <w:r>
        <w:rPr>
          <w:rFonts w:hint="eastAsia"/>
          <w:highlight w:val="none"/>
        </w:rPr>
      </w:r>
      <w:r/>
    </w:p>
    <w:tbl>
      <w:tblPr>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701"/>
        <w:gridCol w:w="2835"/>
        <w:gridCol w:w="1241"/>
        <w:gridCol w:w="1110"/>
        <w:gridCol w:w="1618"/>
      </w:tblGrid>
      <w:tr>
        <w:trPr/>
        <w:tc>
          <w:tcPr>
            <w:tcW w:w="959" w:type="dxa"/>
            <w:vAlign w:val="top"/>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序号</w:t>
            </w:r>
            <w:r>
              <w:rPr>
                <w:rFonts w:hint="eastAsia" w:ascii="仿宋" w:hAnsi="仿宋" w:eastAsia="仿宋"/>
                <w:b/>
                <w:sz w:val="28"/>
                <w:szCs w:val="28"/>
                <w:highlight w:val="none"/>
              </w:rPr>
            </w:r>
            <w:r/>
          </w:p>
        </w:tc>
        <w:tc>
          <w:tcPr>
            <w:tcW w:w="1701" w:type="dxa"/>
            <w:vAlign w:val="top"/>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评分点名称</w:t>
            </w:r>
            <w:r>
              <w:rPr>
                <w:rFonts w:hint="eastAsia" w:ascii="仿宋" w:hAnsi="仿宋" w:eastAsia="仿宋"/>
                <w:b/>
                <w:sz w:val="28"/>
                <w:szCs w:val="28"/>
                <w:highlight w:val="none"/>
              </w:rPr>
            </w:r>
            <w:r/>
          </w:p>
        </w:tc>
        <w:tc>
          <w:tcPr>
            <w:tcW w:w="2835" w:type="dxa"/>
            <w:vAlign w:val="top"/>
            <w:textDirection w:val="lrTb"/>
            <w:noWrap w:val="false"/>
          </w:tcPr>
          <w:p>
            <w:pPr>
              <w:pStyle w:val="660"/>
              <w:jc w:val="center"/>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评审标准</w:t>
            </w:r>
            <w:r>
              <w:rPr>
                <w:rFonts w:hint="eastAsia" w:ascii="仿宋" w:hAnsi="仿宋" w:eastAsia="仿宋"/>
                <w:b/>
                <w:sz w:val="28"/>
                <w:szCs w:val="28"/>
                <w:highlight w:val="none"/>
              </w:rPr>
            </w:r>
            <w:r/>
          </w:p>
        </w:tc>
        <w:tc>
          <w:tcPr>
            <w:tcW w:w="1241" w:type="dxa"/>
            <w:vAlign w:val="top"/>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最高分</w:t>
            </w:r>
            <w:r>
              <w:rPr>
                <w:rFonts w:hint="eastAsia" w:ascii="仿宋" w:hAnsi="仿宋" w:eastAsia="仿宋"/>
                <w:b/>
                <w:sz w:val="28"/>
                <w:szCs w:val="28"/>
                <w:highlight w:val="none"/>
              </w:rPr>
            </w:r>
            <w:r/>
          </w:p>
        </w:tc>
        <w:tc>
          <w:tcPr>
            <w:tcW w:w="1110" w:type="dxa"/>
            <w:vAlign w:val="top"/>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最低分</w:t>
            </w:r>
            <w:r>
              <w:rPr>
                <w:rFonts w:hint="eastAsia" w:ascii="仿宋" w:hAnsi="仿宋" w:eastAsia="仿宋"/>
                <w:b/>
                <w:sz w:val="28"/>
                <w:szCs w:val="28"/>
                <w:highlight w:val="none"/>
              </w:rPr>
            </w:r>
            <w:r/>
          </w:p>
        </w:tc>
        <w:tc>
          <w:tcPr>
            <w:tcW w:w="1618" w:type="dxa"/>
            <w:vAlign w:val="top"/>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主/客观分</w:t>
            </w:r>
            <w:r>
              <w:rPr>
                <w:rFonts w:hint="eastAsia" w:ascii="仿宋" w:hAnsi="仿宋" w:eastAsia="仿宋"/>
                <w:b/>
                <w:sz w:val="28"/>
                <w:szCs w:val="28"/>
                <w:highlight w:val="none"/>
              </w:rPr>
            </w:r>
            <w:r/>
          </w:p>
        </w:tc>
      </w:tr>
      <w:tr>
        <w:trPr/>
        <w:tc>
          <w:tcPr>
            <w:tcW w:w="959" w:type="dxa"/>
            <w:vAlign w:val="center"/>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宋体" w:hAnsi="宋体"/>
                <w:b/>
                <w:highlight w:val="none"/>
              </w:rPr>
              <w:t xml:space="preserve">1</w:t>
            </w:r>
            <w:r>
              <w:rPr>
                <w:rFonts w:hint="eastAsia" w:ascii="仿宋" w:hAnsi="仿宋" w:eastAsia="仿宋"/>
                <w:b/>
                <w:sz w:val="28"/>
                <w:szCs w:val="28"/>
                <w:highlight w:val="none"/>
              </w:rPr>
            </w:r>
            <w:r/>
          </w:p>
        </w:tc>
        <w:tc>
          <w:tcPr>
            <w:tcW w:w="1701" w:type="dxa"/>
            <w:vAlign w:val="center"/>
            <w:textDirection w:val="lrTb"/>
            <w:noWrap w:val="false"/>
          </w:tcPr>
          <w:p>
            <w:pPr>
              <w:pStyle w:val="660"/>
              <w:jc w:val="left"/>
              <w:spacing w:before="120" w:after="120"/>
              <w:rPr>
                <w:rFonts w:hint="eastAsia" w:ascii="宋体" w:hAnsi="宋体"/>
                <w:b/>
                <w:highlight w:val="none"/>
              </w:rPr>
            </w:pPr>
            <w:r>
              <w:rPr>
                <w:rFonts w:hint="eastAsia" w:ascii="宋体" w:hAnsi="宋体"/>
                <w:b/>
                <w:highlight w:val="none"/>
              </w:rPr>
              <w:t xml:space="preserve">响应供应商综合实力</w:t>
            </w:r>
            <w:r>
              <w:rPr>
                <w:rFonts w:hint="eastAsia" w:ascii="宋体" w:hAnsi="宋体"/>
                <w:b/>
                <w:highlight w:val="none"/>
              </w:rPr>
            </w:r>
            <w:r/>
          </w:p>
        </w:tc>
        <w:tc>
          <w:tcPr>
            <w:tcW w:w="2835" w:type="dxa"/>
            <w:vAlign w:val="center"/>
            <w:textDirection w:val="lrTb"/>
            <w:noWrap w:val="false"/>
          </w:tcPr>
          <w:p>
            <w:pPr>
              <w:pStyle w:val="746"/>
              <w:ind w:firstLine="0"/>
              <w:spacing w:before="0" w:after="0" w:line="300" w:lineRule="exact"/>
              <w:rPr>
                <w:rFonts w:hint="eastAsia" w:ascii="仿宋" w:hAnsi="仿宋" w:eastAsia="仿宋" w:cs="仿宋"/>
                <w:highlight w:val="none"/>
                <w:lang w:bidi="ar"/>
              </w:rPr>
            </w:pPr>
            <w:r>
              <w:rPr>
                <w:rFonts w:hint="eastAsia" w:ascii="仿宋" w:hAnsi="仿宋" w:eastAsia="仿宋" w:cs="仿宋"/>
                <w:highlight w:val="none"/>
                <w:lang w:bidi="ar"/>
              </w:rPr>
              <w:t xml:space="preserve">1、响应供应商具有“互联网+不动产登记”类、不动产统一登记平台类、不动产登记监管类、不动产登记信息共享类、不动产登记一窗受理类等不动产登记相关软件著作权登记证书的，每提供一个得1分，最高得5分。（需提供软件著作权证明原件的复印件加盖投标人公章否则不得分）</w:t>
            </w:r>
            <w:r>
              <w:rPr>
                <w:rFonts w:hint="eastAsia" w:ascii="仿宋" w:hAnsi="仿宋" w:eastAsia="仿宋" w:cs="仿宋"/>
                <w:highlight w:val="none"/>
                <w:lang w:bidi="ar"/>
              </w:rPr>
            </w:r>
            <w:r/>
          </w:p>
          <w:p>
            <w:pPr>
              <w:pStyle w:val="746"/>
              <w:ind w:firstLine="0"/>
              <w:spacing w:before="0" w:after="0" w:line="300" w:lineRule="exact"/>
              <w:rPr>
                <w:rFonts w:hint="eastAsia" w:ascii="仿宋" w:hAnsi="仿宋" w:eastAsia="仿宋" w:cs="仿宋"/>
                <w:highlight w:val="none"/>
                <w:lang w:bidi="ar"/>
              </w:rPr>
            </w:pPr>
            <w:r>
              <w:rPr>
                <w:rFonts w:hint="eastAsia" w:ascii="仿宋" w:hAnsi="仿宋" w:eastAsia="仿宋" w:cs="仿宋"/>
                <w:highlight w:val="none"/>
                <w:lang w:bidi="ar"/>
              </w:rPr>
              <w:t xml:space="preserve">2、响应供应商具有信息安全管理体系认证、质量管理体系认证、信息技术服务管理体系认证、职业健康安全管理体系认证、每满足一项得1分，本项最高得4分。</w:t>
            </w:r>
            <w:r>
              <w:rPr>
                <w:rFonts w:hint="eastAsia" w:ascii="仿宋" w:hAnsi="仿宋" w:eastAsia="仿宋" w:cs="仿宋"/>
                <w:highlight w:val="none"/>
                <w:lang w:bidi="ar"/>
              </w:rPr>
            </w:r>
            <w:r/>
          </w:p>
        </w:tc>
        <w:tc>
          <w:tcPr>
            <w:tcW w:w="1241" w:type="dxa"/>
            <w:vAlign w:val="center"/>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宋体" w:hAnsi="宋体"/>
                <w:b/>
                <w:highlight w:val="none"/>
              </w:rPr>
              <w:t xml:space="preserve">9</w:t>
            </w:r>
            <w:r>
              <w:rPr>
                <w:rFonts w:hint="eastAsia" w:ascii="仿宋" w:hAnsi="仿宋" w:eastAsia="仿宋"/>
                <w:b/>
                <w:sz w:val="28"/>
                <w:szCs w:val="28"/>
                <w:highlight w:val="none"/>
              </w:rPr>
            </w:r>
            <w:r/>
          </w:p>
        </w:tc>
        <w:tc>
          <w:tcPr>
            <w:tcW w:w="1110" w:type="dxa"/>
            <w:vAlign w:val="center"/>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宋体" w:hAnsi="宋体"/>
                <w:b/>
                <w:highlight w:val="none"/>
              </w:rPr>
              <w:t xml:space="preserve">0</w:t>
            </w:r>
            <w:r>
              <w:rPr>
                <w:rFonts w:hint="eastAsia" w:ascii="仿宋" w:hAnsi="仿宋" w:eastAsia="仿宋"/>
                <w:b/>
                <w:sz w:val="28"/>
                <w:szCs w:val="28"/>
                <w:highlight w:val="none"/>
              </w:rPr>
            </w:r>
            <w:r/>
          </w:p>
        </w:tc>
        <w:tc>
          <w:tcPr>
            <w:tcW w:w="1618" w:type="dxa"/>
            <w:vAlign w:val="top"/>
            <w:textDirection w:val="lrTb"/>
            <w:noWrap w:val="false"/>
          </w:tcPr>
          <w:p>
            <w:pPr>
              <w:pStyle w:val="660"/>
              <w:jc w:val="left"/>
              <w:spacing w:before="120" w:after="120" w:line="480" w:lineRule="exact"/>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t xml:space="preserve">客观分</w:t>
            </w:r>
            <w:r>
              <w:rPr>
                <w:rFonts w:hint="eastAsia" w:ascii="仿宋" w:hAnsi="仿宋" w:eastAsia="仿宋"/>
                <w:b/>
                <w:sz w:val="28"/>
                <w:szCs w:val="28"/>
                <w:highlight w:val="none"/>
                <w:lang w:eastAsia="zh-CN"/>
              </w:rPr>
            </w:r>
            <w:r/>
          </w:p>
        </w:tc>
      </w:tr>
      <w:tr>
        <w:trPr/>
        <w:tc>
          <w:tcPr>
            <w:tcW w:w="959" w:type="dxa"/>
            <w:vAlign w:val="center"/>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宋体" w:hAnsi="宋体"/>
                <w:b/>
                <w:highlight w:val="none"/>
              </w:rPr>
              <w:t xml:space="preserve">2</w:t>
            </w:r>
            <w:r>
              <w:rPr>
                <w:rFonts w:hint="eastAsia" w:ascii="仿宋" w:hAnsi="仿宋" w:eastAsia="仿宋"/>
                <w:b/>
                <w:sz w:val="28"/>
                <w:szCs w:val="28"/>
                <w:highlight w:val="none"/>
              </w:rPr>
            </w:r>
            <w:r/>
          </w:p>
        </w:tc>
        <w:tc>
          <w:tcPr>
            <w:tcW w:w="1701"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响应供应商业绩及荣誉</w:t>
            </w:r>
            <w:r>
              <w:rPr>
                <w:rFonts w:hint="eastAsia" w:ascii="仿宋" w:hAnsi="仿宋" w:eastAsia="仿宋"/>
                <w:b/>
                <w:sz w:val="28"/>
                <w:szCs w:val="28"/>
                <w:highlight w:val="none"/>
              </w:rPr>
            </w:r>
            <w:r/>
          </w:p>
        </w:tc>
        <w:tc>
          <w:tcPr>
            <w:tcW w:w="2835" w:type="dxa"/>
            <w:vAlign w:val="center"/>
            <w:textDirection w:val="lrTb"/>
            <w:noWrap w:val="false"/>
          </w:tcPr>
          <w:p>
            <w:pPr>
              <w:pStyle w:val="746"/>
              <w:ind w:firstLine="0"/>
              <w:spacing w:before="0" w:after="0" w:line="300" w:lineRule="exact"/>
              <w:rPr>
                <w:rFonts w:ascii="仿宋" w:hAnsi="仿宋" w:eastAsia="仿宋" w:cs="仿宋"/>
                <w:highlight w:val="none"/>
                <w:lang w:bidi="ar"/>
              </w:rPr>
            </w:pPr>
            <w:r>
              <w:rPr>
                <w:rFonts w:hint="eastAsia" w:ascii="仿宋" w:hAnsi="仿宋" w:eastAsia="仿宋" w:cs="仿宋"/>
                <w:highlight w:val="none"/>
                <w:lang w:bidi="ar"/>
              </w:rPr>
              <w:t xml:space="preserve">1．响应供应商承担过同市同标相关业绩的，每有1个得2分，本项最高得4分。（投标人必须提供合同复印件加盖公章）；</w:t>
            </w:r>
            <w:r>
              <w:rPr>
                <w:rFonts w:ascii="仿宋" w:hAnsi="仿宋" w:eastAsia="仿宋" w:cs="仿宋"/>
                <w:highlight w:val="none"/>
                <w:lang w:bidi="ar"/>
              </w:rPr>
            </w:r>
            <w:r/>
          </w:p>
          <w:p>
            <w:pPr>
              <w:pStyle w:val="746"/>
              <w:ind w:firstLine="0"/>
              <w:spacing w:before="0" w:after="0" w:line="300" w:lineRule="exact"/>
              <w:rPr>
                <w:rFonts w:hint="eastAsia" w:ascii="仿宋" w:hAnsi="仿宋" w:eastAsia="仿宋" w:cs="仿宋"/>
                <w:highlight w:val="none"/>
                <w:lang w:bidi="ar"/>
              </w:rPr>
            </w:pPr>
            <w:r>
              <w:rPr>
                <w:rFonts w:hint="eastAsia" w:ascii="仿宋" w:hAnsi="仿宋" w:eastAsia="仿宋" w:cs="仿宋"/>
                <w:highlight w:val="none"/>
                <w:lang w:bidi="ar"/>
              </w:rPr>
              <w:t xml:space="preserve">2. 响应供应商承担过全市统一登记平台类项目的，每有1个得1分，本项最高得2分。（投标人必须提供合同复印件加盖公章）；</w:t>
            </w:r>
            <w:r>
              <w:rPr>
                <w:rFonts w:hint="eastAsia" w:ascii="仿宋" w:hAnsi="仿宋" w:eastAsia="仿宋" w:cs="仿宋"/>
                <w:highlight w:val="none"/>
                <w:lang w:bidi="ar"/>
              </w:rPr>
            </w:r>
            <w:r/>
          </w:p>
          <w:p>
            <w:pPr>
              <w:pStyle w:val="746"/>
              <w:ind w:firstLine="0"/>
              <w:spacing w:before="0" w:after="0" w:line="300" w:lineRule="exact"/>
              <w:rPr>
                <w:rFonts w:hint="eastAsia" w:ascii="仿宋" w:hAnsi="仿宋" w:eastAsia="仿宋" w:cs="仿宋"/>
                <w:highlight w:val="none"/>
                <w:lang w:bidi="ar"/>
              </w:rPr>
            </w:pPr>
            <w:r>
              <w:rPr>
                <w:rFonts w:hint="eastAsia" w:ascii="仿宋" w:hAnsi="仿宋" w:eastAsia="仿宋" w:cs="仿宋"/>
                <w:highlight w:val="none"/>
                <w:lang w:bidi="ar"/>
              </w:rPr>
              <w:t xml:space="preserve">3</w:t>
            </w:r>
            <w:r>
              <w:rPr>
                <w:rFonts w:ascii="仿宋" w:hAnsi="仿宋" w:eastAsia="仿宋" w:cs="仿宋"/>
                <w:highlight w:val="none"/>
                <w:lang w:bidi="ar"/>
              </w:rPr>
              <w:t xml:space="preserve">.</w:t>
            </w:r>
            <w:r>
              <w:rPr>
                <w:rFonts w:hint="eastAsia" w:ascii="仿宋" w:hAnsi="仿宋" w:eastAsia="仿宋" w:cs="仿宋"/>
                <w:highlight w:val="none"/>
                <w:lang w:bidi="ar"/>
              </w:rPr>
              <w:t xml:space="preserve">响应供应商承担的软件项目获得政府部门（非协会、学会）颁发的奖项的得1分，满分2分；获得政府部门（非协会、学会）颁发的其他奖项的有一个得1分，满分2分；本项满分4分。（投标人必须提供奖项复印件加盖公章）；</w:t>
            </w:r>
            <w:r>
              <w:rPr>
                <w:rFonts w:hint="eastAsia" w:ascii="仿宋" w:hAnsi="仿宋" w:eastAsia="仿宋" w:cs="仿宋"/>
                <w:highlight w:val="none"/>
                <w:lang w:bidi="ar"/>
              </w:rPr>
            </w:r>
            <w:r/>
          </w:p>
        </w:tc>
        <w:tc>
          <w:tcPr>
            <w:tcW w:w="1241" w:type="dxa"/>
            <w:vAlign w:val="center"/>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宋体" w:hAnsi="宋体"/>
                <w:b/>
                <w:highlight w:val="none"/>
              </w:rPr>
              <w:t xml:space="preserve">10</w:t>
            </w:r>
            <w:r>
              <w:rPr>
                <w:rFonts w:hint="eastAsia" w:ascii="仿宋" w:hAnsi="仿宋" w:eastAsia="仿宋"/>
                <w:b/>
                <w:sz w:val="28"/>
                <w:szCs w:val="28"/>
                <w:highlight w:val="none"/>
              </w:rPr>
            </w:r>
            <w:r/>
          </w:p>
        </w:tc>
        <w:tc>
          <w:tcPr>
            <w:tcW w:w="1110" w:type="dxa"/>
            <w:vAlign w:val="center"/>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宋体" w:hAnsi="宋体"/>
                <w:b/>
                <w:highlight w:val="none"/>
              </w:rPr>
              <w:t xml:space="preserve">0</w:t>
            </w:r>
            <w:r>
              <w:rPr>
                <w:rFonts w:hint="eastAsia" w:ascii="仿宋" w:hAnsi="仿宋" w:eastAsia="仿宋"/>
                <w:b/>
                <w:sz w:val="28"/>
                <w:szCs w:val="28"/>
                <w:highlight w:val="none"/>
              </w:rPr>
            </w:r>
            <w:r/>
          </w:p>
        </w:tc>
        <w:tc>
          <w:tcPr>
            <w:tcW w:w="1618" w:type="dxa"/>
            <w:vAlign w:val="top"/>
            <w:textDirection w:val="lrTb"/>
            <w:noWrap w:val="false"/>
          </w:tcPr>
          <w:p>
            <w:pPr>
              <w:pStyle w:val="660"/>
              <w:jc w:val="left"/>
              <w:spacing w:before="120" w:after="120" w:line="480" w:lineRule="exact"/>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t xml:space="preserve">客观分</w:t>
            </w:r>
            <w:r>
              <w:rPr>
                <w:rFonts w:hint="eastAsia" w:ascii="仿宋" w:hAnsi="仿宋" w:eastAsia="仿宋"/>
                <w:b/>
                <w:sz w:val="28"/>
                <w:szCs w:val="28"/>
                <w:highlight w:val="none"/>
                <w:lang w:eastAsia="zh-CN"/>
              </w:rPr>
            </w:r>
            <w:r/>
          </w:p>
        </w:tc>
      </w:tr>
      <w:tr>
        <w:trPr/>
        <w:tc>
          <w:tcPr>
            <w:tcW w:w="959" w:type="dxa"/>
            <w:vAlign w:val="center"/>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宋体" w:hAnsi="宋体"/>
                <w:b/>
                <w:highlight w:val="none"/>
              </w:rPr>
              <w:t xml:space="preserve">3</w:t>
            </w:r>
            <w:r>
              <w:rPr>
                <w:rFonts w:hint="eastAsia" w:ascii="仿宋" w:hAnsi="仿宋" w:eastAsia="仿宋"/>
                <w:b/>
                <w:sz w:val="28"/>
                <w:szCs w:val="28"/>
                <w:highlight w:val="none"/>
              </w:rPr>
            </w:r>
            <w:r/>
          </w:p>
        </w:tc>
        <w:tc>
          <w:tcPr>
            <w:tcW w:w="1701" w:type="dxa"/>
            <w:vAlign w:val="center"/>
            <w:textDirection w:val="lrTb"/>
            <w:noWrap w:val="false"/>
          </w:tcPr>
          <w:p>
            <w:pPr>
              <w:pStyle w:val="660"/>
              <w:jc w:val="left"/>
              <w:spacing w:before="120" w:after="120"/>
              <w:rPr>
                <w:rFonts w:hint="eastAsia" w:ascii="仿宋" w:hAnsi="仿宋" w:eastAsia="仿宋"/>
                <w:b/>
                <w:sz w:val="28"/>
                <w:szCs w:val="28"/>
                <w:highlight w:val="none"/>
              </w:rPr>
            </w:pPr>
            <w:r>
              <w:rPr>
                <w:rFonts w:hint="eastAsia" w:ascii="宋体" w:hAnsi="宋体"/>
                <w:b/>
                <w:highlight w:val="none"/>
              </w:rPr>
              <w:t xml:space="preserve">项目配备的人员技术力量</w:t>
            </w:r>
            <w:r>
              <w:rPr>
                <w:rFonts w:hint="eastAsia" w:ascii="仿宋" w:hAnsi="仿宋" w:eastAsia="仿宋"/>
                <w:b/>
                <w:sz w:val="28"/>
                <w:szCs w:val="28"/>
                <w:highlight w:val="none"/>
              </w:rPr>
            </w:r>
            <w:r/>
          </w:p>
        </w:tc>
        <w:tc>
          <w:tcPr>
            <w:tcW w:w="2835" w:type="dxa"/>
            <w:vAlign w:val="center"/>
            <w:textDirection w:val="lrTb"/>
            <w:noWrap w:val="false"/>
          </w:tcPr>
          <w:p>
            <w:pPr>
              <w:pStyle w:val="746"/>
              <w:ind w:firstLine="0"/>
              <w:spacing w:before="0" w:after="0" w:line="300" w:lineRule="exact"/>
              <w:rPr>
                <w:rFonts w:hint="eastAsia" w:ascii="仿宋" w:hAnsi="仿宋" w:eastAsia="仿宋" w:cs="仿宋"/>
                <w:highlight w:val="none"/>
                <w:lang w:bidi="ar"/>
              </w:rPr>
            </w:pPr>
            <w:r>
              <w:rPr>
                <w:rFonts w:hint="eastAsia" w:ascii="仿宋" w:hAnsi="仿宋" w:eastAsia="仿宋" w:cs="仿宋"/>
                <w:highlight w:val="none"/>
                <w:lang w:bidi="ar"/>
              </w:rPr>
              <w:t xml:space="preserve">1.项目负责人具有土地高级工程师证书、测绘高级工程师证书、电子信息工程高级工程师证书的每有一项得1分，满分3分；</w:t>
            </w:r>
            <w:r>
              <w:rPr>
                <w:rFonts w:hint="eastAsia" w:ascii="仿宋" w:hAnsi="仿宋" w:eastAsia="仿宋" w:cs="仿宋"/>
                <w:highlight w:val="none"/>
                <w:lang w:bidi="ar"/>
              </w:rPr>
            </w:r>
            <w:r/>
          </w:p>
          <w:p>
            <w:pPr>
              <w:pStyle w:val="746"/>
              <w:ind w:firstLine="0"/>
              <w:spacing w:before="0" w:after="0" w:line="300" w:lineRule="exact"/>
              <w:rPr>
                <w:rFonts w:hint="eastAsia" w:ascii="仿宋" w:hAnsi="仿宋" w:eastAsia="仿宋" w:cs="仿宋"/>
                <w:highlight w:val="none"/>
                <w:lang w:bidi="ar"/>
              </w:rPr>
            </w:pPr>
            <w:r>
              <w:rPr>
                <w:rFonts w:hint="eastAsia" w:ascii="仿宋" w:hAnsi="仿宋" w:eastAsia="仿宋" w:cs="仿宋"/>
                <w:highlight w:val="none"/>
                <w:lang w:bidi="ar"/>
              </w:rPr>
              <w:t xml:space="preserve">2.项目技术负责人具有土地高级工程师证书、电子信息工程高级工程师证书和系统集成项目管理工程师证书的每有一项得1分，满分3分；</w:t>
            </w:r>
            <w:r>
              <w:rPr>
                <w:rFonts w:hint="eastAsia" w:ascii="仿宋" w:hAnsi="仿宋" w:eastAsia="仿宋" w:cs="仿宋"/>
                <w:highlight w:val="none"/>
                <w:lang w:bidi="ar"/>
              </w:rPr>
            </w:r>
            <w:r/>
          </w:p>
          <w:p>
            <w:pPr>
              <w:pStyle w:val="746"/>
              <w:ind w:firstLine="0"/>
              <w:spacing w:before="0" w:after="0" w:line="300" w:lineRule="exact"/>
              <w:rPr>
                <w:rFonts w:hint="eastAsia" w:ascii="仿宋" w:hAnsi="仿宋" w:eastAsia="仿宋" w:cs="仿宋"/>
                <w:highlight w:val="none"/>
                <w:lang w:bidi="ar"/>
              </w:rPr>
            </w:pPr>
            <w:r>
              <w:rPr>
                <w:rFonts w:hint="eastAsia" w:ascii="仿宋" w:hAnsi="仿宋" w:eastAsia="仿宋" w:cs="仿宋"/>
                <w:highlight w:val="none"/>
                <w:lang w:bidi="ar"/>
              </w:rPr>
              <w:t xml:space="preserve">3.项目数据库负责人具有电子信息工程高级工程师证书、高级信息系统项目管理师证书，每有一项得1分，满分2分</w:t>
            </w:r>
            <w:r>
              <w:rPr>
                <w:rFonts w:hint="eastAsia" w:ascii="仿宋" w:hAnsi="仿宋" w:eastAsia="仿宋" w:cs="仿宋"/>
                <w:highlight w:val="none"/>
                <w:lang w:bidi="ar"/>
              </w:rPr>
            </w:r>
            <w:r/>
          </w:p>
          <w:p>
            <w:pPr>
              <w:pStyle w:val="746"/>
              <w:ind w:firstLine="0"/>
              <w:spacing w:before="0" w:after="0" w:line="300" w:lineRule="exact"/>
              <w:rPr>
                <w:rFonts w:hint="eastAsia" w:ascii="仿宋" w:hAnsi="仿宋" w:eastAsia="仿宋" w:cs="仿宋"/>
                <w:highlight w:val="none"/>
                <w:lang w:bidi="ar"/>
              </w:rPr>
            </w:pPr>
            <w:r>
              <w:rPr>
                <w:rFonts w:hint="eastAsia" w:ascii="仿宋" w:hAnsi="仿宋" w:eastAsia="仿宋" w:cs="仿宋"/>
                <w:highlight w:val="none"/>
                <w:lang w:bidi="ar"/>
              </w:rPr>
              <w:t xml:space="preserve">4.拟投入本项目的项目组人员(不含项目负责人、技术负责人、数据库负责人)具有软件设计师、数据库系统工程师、软件评测师、信息系统项目管理师、系统集成项目管理师证书中级及以上证书的，每有1个得1分，每缺少一类扣1分，本项最高得13分；</w:t>
            </w:r>
            <w:r>
              <w:rPr>
                <w:rFonts w:hint="eastAsia" w:ascii="仿宋" w:hAnsi="仿宋" w:eastAsia="仿宋" w:cs="仿宋"/>
                <w:highlight w:val="none"/>
                <w:lang w:bidi="ar"/>
              </w:rPr>
            </w:r>
            <w:r/>
          </w:p>
          <w:p>
            <w:pPr>
              <w:pStyle w:val="746"/>
              <w:ind w:firstLine="0"/>
              <w:spacing w:before="0" w:after="0" w:line="300" w:lineRule="exact"/>
              <w:rPr>
                <w:rFonts w:hint="eastAsia" w:ascii="仿宋" w:hAnsi="仿宋" w:eastAsia="仿宋" w:cs="仿宋"/>
                <w:highlight w:val="none"/>
                <w:lang w:bidi="ar"/>
              </w:rPr>
            </w:pPr>
            <w:r>
              <w:rPr>
                <w:rFonts w:hint="eastAsia" w:ascii="仿宋" w:hAnsi="仿宋" w:eastAsia="仿宋" w:cs="仿宋"/>
                <w:highlight w:val="none"/>
                <w:lang w:bidi="ar"/>
              </w:rPr>
              <w:t xml:space="preserve">注：（1）以上1-4条款人员根据不同的评分要求须提供相关证书原件复印件，同时提供社会保障部门出具的近一个月在本单位连续缴纳社会养老保险的缴费清单，可提供官网打印的具有二维码或验证码的缴费清单扫描件，或机关事业单位社会保险基金管理中心出具的缴费清单复印件，以上未提供不予得分。</w:t>
            </w:r>
            <w:r>
              <w:rPr>
                <w:rFonts w:hint="eastAsia" w:ascii="仿宋" w:hAnsi="仿宋" w:eastAsia="仿宋" w:cs="仿宋"/>
                <w:highlight w:val="none"/>
                <w:lang w:bidi="ar"/>
              </w:rPr>
            </w:r>
            <w:r/>
          </w:p>
          <w:p>
            <w:pPr>
              <w:pStyle w:val="746"/>
              <w:ind w:firstLine="0"/>
              <w:spacing w:before="0" w:after="0" w:line="300" w:lineRule="exact"/>
              <w:rPr>
                <w:rFonts w:hint="eastAsia" w:ascii="仿宋" w:hAnsi="仿宋" w:eastAsia="仿宋" w:cs="仿宋"/>
                <w:highlight w:val="none"/>
                <w:lang w:bidi="ar"/>
              </w:rPr>
            </w:pPr>
            <w:r>
              <w:rPr>
                <w:rFonts w:hint="eastAsia" w:ascii="仿宋" w:hAnsi="仿宋" w:eastAsia="仿宋" w:cs="仿宋"/>
                <w:highlight w:val="none"/>
                <w:lang w:bidi="ar"/>
              </w:rPr>
              <w:t xml:space="preserve">（2）项目负责人与项目技术负责人不可为同一人，人员不可重复得分。</w:t>
            </w:r>
            <w:r>
              <w:rPr>
                <w:rFonts w:hint="eastAsia" w:ascii="仿宋" w:hAnsi="仿宋" w:eastAsia="仿宋" w:cs="仿宋"/>
                <w:highlight w:val="none"/>
                <w:lang w:bidi="ar"/>
              </w:rPr>
            </w:r>
            <w:r/>
          </w:p>
        </w:tc>
        <w:tc>
          <w:tcPr>
            <w:tcW w:w="1241" w:type="dxa"/>
            <w:vAlign w:val="center"/>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宋体" w:hAnsi="宋体"/>
                <w:b/>
                <w:highlight w:val="none"/>
              </w:rPr>
              <w:t xml:space="preserve">21</w:t>
            </w:r>
            <w:r>
              <w:rPr>
                <w:rFonts w:hint="eastAsia" w:ascii="仿宋" w:hAnsi="仿宋" w:eastAsia="仿宋"/>
                <w:b/>
                <w:sz w:val="28"/>
                <w:szCs w:val="28"/>
                <w:highlight w:val="none"/>
              </w:rPr>
            </w:r>
            <w:r/>
          </w:p>
        </w:tc>
        <w:tc>
          <w:tcPr>
            <w:tcW w:w="1110" w:type="dxa"/>
            <w:vAlign w:val="center"/>
            <w:textDirection w:val="lrTb"/>
            <w:noWrap w:val="false"/>
          </w:tcPr>
          <w:p>
            <w:pPr>
              <w:pStyle w:val="660"/>
              <w:jc w:val="left"/>
              <w:spacing w:before="120" w:after="120" w:line="480" w:lineRule="exact"/>
              <w:rPr>
                <w:rFonts w:hint="eastAsia" w:ascii="仿宋" w:hAnsi="仿宋" w:eastAsia="仿宋"/>
                <w:b/>
                <w:sz w:val="28"/>
                <w:szCs w:val="28"/>
                <w:highlight w:val="none"/>
              </w:rPr>
            </w:pPr>
            <w:r>
              <w:rPr>
                <w:rFonts w:hint="eastAsia" w:ascii="宋体" w:hAnsi="宋体"/>
                <w:b/>
                <w:highlight w:val="none"/>
              </w:rPr>
              <w:t xml:space="preserve">0</w:t>
            </w:r>
            <w:r>
              <w:rPr>
                <w:rFonts w:hint="eastAsia" w:ascii="仿宋" w:hAnsi="仿宋" w:eastAsia="仿宋"/>
                <w:b/>
                <w:sz w:val="28"/>
                <w:szCs w:val="28"/>
                <w:highlight w:val="none"/>
              </w:rPr>
            </w:r>
            <w:r/>
          </w:p>
        </w:tc>
        <w:tc>
          <w:tcPr>
            <w:tcW w:w="1618" w:type="dxa"/>
            <w:vAlign w:val="top"/>
            <w:textDirection w:val="lrTb"/>
            <w:noWrap w:val="false"/>
          </w:tcPr>
          <w:p>
            <w:pPr>
              <w:pStyle w:val="660"/>
              <w:jc w:val="left"/>
              <w:spacing w:before="120" w:after="120" w:line="480" w:lineRule="exact"/>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t xml:space="preserve">客观分</w:t>
            </w:r>
            <w:r>
              <w:rPr>
                <w:rFonts w:hint="eastAsia" w:ascii="仿宋" w:hAnsi="仿宋" w:eastAsia="仿宋"/>
                <w:b/>
                <w:sz w:val="28"/>
                <w:szCs w:val="28"/>
                <w:highlight w:val="none"/>
                <w:lang w:eastAsia="zh-CN"/>
              </w:rPr>
            </w:r>
            <w:r/>
          </w:p>
        </w:tc>
      </w:tr>
    </w:tbl>
    <w:p>
      <w:pPr>
        <w:pStyle w:val="660"/>
        <w:rPr>
          <w:rFonts w:hint="eastAsia"/>
        </w:rPr>
      </w:pPr>
      <w:r>
        <w:rPr>
          <w:rFonts w:hint="eastAsia"/>
        </w:rPr>
      </w:r>
      <w:r/>
    </w:p>
    <w:p>
      <w:pPr>
        <w:pStyle w:val="660"/>
        <w:rPr>
          <w:rFonts w:hint="eastAsia"/>
        </w:rPr>
      </w:pPr>
      <w:r>
        <w:rPr>
          <w:rFonts w:hint="eastAsia"/>
        </w:rPr>
      </w:r>
      <w:r/>
    </w:p>
    <w:p>
      <w:pPr>
        <w:pStyle w:val="661"/>
        <w:rPr>
          <w:rFonts w:hint="eastAsia" w:ascii="黑体" w:eastAsia="黑体"/>
          <w:bCs/>
          <w:sz w:val="44"/>
        </w:rPr>
      </w:pPr>
      <w:r>
        <w:rPr>
          <w:rFonts w:hint="eastAsia" w:ascii="黑体" w:eastAsia="黑体"/>
          <w:bCs/>
          <w:sz w:val="44"/>
        </w:rPr>
      </w:r>
      <w:r/>
    </w:p>
    <w:p>
      <w:pPr>
        <w:pStyle w:val="661"/>
        <w:rPr>
          <w:rFonts w:hint="eastAsia" w:ascii="黑体" w:eastAsia="黑体"/>
          <w:bCs/>
          <w:sz w:val="44"/>
        </w:rPr>
      </w:pPr>
      <w:r>
        <w:rPr>
          <w:rFonts w:hint="eastAsia" w:ascii="黑体" w:eastAsia="黑体"/>
          <w:bCs/>
          <w:sz w:val="44"/>
        </w:rPr>
      </w:r>
      <w:r/>
    </w:p>
    <w:p>
      <w:pPr>
        <w:pStyle w:val="661"/>
        <w:rPr>
          <w:rFonts w:hint="eastAsia" w:ascii="黑体" w:eastAsia="黑体"/>
          <w:bCs/>
          <w:sz w:val="44"/>
        </w:rPr>
      </w:pPr>
      <w:r>
        <w:rPr>
          <w:rFonts w:hint="eastAsia" w:ascii="黑体" w:eastAsia="黑体"/>
          <w:bCs/>
          <w:sz w:val="44"/>
        </w:rPr>
      </w:r>
      <w:r/>
    </w:p>
    <w:p>
      <w:pPr>
        <w:pStyle w:val="661"/>
        <w:rPr>
          <w:rFonts w:hint="eastAsia" w:ascii="黑体" w:eastAsia="黑体"/>
          <w:bCs/>
          <w:sz w:val="44"/>
        </w:rPr>
      </w:pPr>
      <w:r>
        <w:rPr>
          <w:rFonts w:hint="eastAsia" w:ascii="黑体" w:eastAsia="黑体"/>
          <w:bCs/>
          <w:sz w:val="44"/>
        </w:rPr>
      </w:r>
      <w:r/>
    </w:p>
    <w:p>
      <w:pPr>
        <w:pStyle w:val="661"/>
        <w:jc w:val="both"/>
        <w:rPr>
          <w:rFonts w:hint="eastAsia" w:ascii="黑体" w:eastAsia="黑体"/>
          <w:bCs/>
          <w:sz w:val="44"/>
        </w:rPr>
      </w:pPr>
      <w:r>
        <w:rPr>
          <w:rFonts w:hint="eastAsia" w:ascii="黑体" w:eastAsia="黑体"/>
          <w:bCs/>
          <w:sz w:val="44"/>
        </w:rPr>
      </w:r>
      <w:r/>
    </w:p>
    <w:p>
      <w:pPr>
        <w:pStyle w:val="660"/>
        <w:rPr>
          <w:rFonts w:hint="eastAsia"/>
        </w:rPr>
      </w:pPr>
      <w:r>
        <w:rPr>
          <w:rFonts w:hint="eastAsia"/>
        </w:rPr>
      </w:r>
      <w:r/>
    </w:p>
    <w:p>
      <w:pPr>
        <w:pStyle w:val="661"/>
        <w:rPr>
          <w:rFonts w:hint="eastAsia" w:ascii="黑体" w:eastAsia="黑体"/>
          <w:bCs/>
          <w:sz w:val="44"/>
        </w:rPr>
      </w:pPr>
      <w:r>
        <w:rPr>
          <w:rFonts w:hint="eastAsia" w:ascii="黑体" w:eastAsia="黑体"/>
          <w:bCs/>
          <w:sz w:val="44"/>
        </w:rPr>
      </w:r>
      <w:r/>
    </w:p>
    <w:p>
      <w:pPr>
        <w:pStyle w:val="661"/>
        <w:rPr>
          <w:rFonts w:hint="eastAsia" w:ascii="黑体" w:eastAsia="黑体"/>
          <w:bCs/>
          <w:sz w:val="44"/>
        </w:rPr>
      </w:pPr>
      <w:r>
        <w:rPr>
          <w:rFonts w:hint="eastAsia" w:ascii="黑体" w:eastAsia="黑体"/>
          <w:bCs/>
          <w:sz w:val="44"/>
        </w:rPr>
        <w:t xml:space="preserve">第六章  投标</w:t>
      </w:r>
      <w:bookmarkEnd w:id="195"/>
      <w:r/>
      <w:bookmarkEnd w:id="196"/>
      <w:r/>
      <w:bookmarkEnd w:id="200"/>
      <w:r>
        <w:rPr>
          <w:rFonts w:hint="eastAsia" w:ascii="黑体" w:eastAsia="黑体"/>
          <w:bCs/>
          <w:sz w:val="44"/>
        </w:rPr>
        <w:t xml:space="preserve">文件格式 </w:t>
      </w:r>
      <w:r>
        <w:rPr>
          <w:rFonts w:hint="eastAsia" w:ascii="黑体" w:eastAsia="黑体"/>
          <w:bCs/>
          <w:sz w:val="44"/>
        </w:rPr>
      </w:r>
      <w:r/>
    </w:p>
    <w:p>
      <w:pPr>
        <w:pStyle w:val="660"/>
        <w:jc w:val="center"/>
        <w:rPr>
          <w:rFonts w:hint="eastAsia" w:ascii="宋体" w:hAnsi="宋体"/>
          <w:b/>
          <w:sz w:val="72"/>
        </w:rPr>
      </w:pPr>
      <w:r/>
      <w:bookmarkStart w:id="201" w:name="_Hlt26955039"/>
      <w:r/>
      <w:bookmarkEnd w:id="201"/>
      <w:r/>
      <w:bookmarkStart w:id="202" w:name="_Hlt26671244"/>
      <w:r/>
      <w:bookmarkEnd w:id="202"/>
      <w:r/>
      <w:bookmarkStart w:id="203" w:name="_Toc49090576"/>
      <w:r/>
      <w:bookmarkStart w:id="204" w:name="_Toc120614282"/>
      <w:r/>
      <w:bookmarkStart w:id="205" w:name="_Toc26554094"/>
      <w:r>
        <w:rPr>
          <w:rFonts w:hint="eastAsia" w:ascii="宋体" w:hAnsi="宋体"/>
          <w:b/>
          <w:sz w:val="72"/>
        </w:rPr>
      </w:r>
      <w:r/>
    </w:p>
    <w:p>
      <w:pPr>
        <w:pStyle w:val="660"/>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60"/>
        <w:jc w:val="center"/>
        <w:rPr>
          <w:rFonts w:hint="eastAsia" w:ascii="宋体" w:hAnsi="宋体"/>
          <w:b/>
          <w:sz w:val="72"/>
        </w:rPr>
      </w:pPr>
      <w:r>
        <w:rPr>
          <w:rFonts w:hint="eastAsia" w:ascii="宋体" w:hAnsi="宋体"/>
          <w:b/>
          <w:sz w:val="72"/>
        </w:rPr>
      </w:r>
      <w:r/>
    </w:p>
    <w:p>
      <w:pPr>
        <w:pStyle w:val="660"/>
        <w:jc w:val="center"/>
        <w:rPr>
          <w:rFonts w:hint="eastAsia" w:ascii="宋体" w:hAnsi="宋体"/>
          <w:b/>
          <w:sz w:val="72"/>
        </w:rPr>
      </w:pPr>
      <w:r>
        <w:rPr>
          <w:rFonts w:hint="eastAsia" w:ascii="宋体" w:hAnsi="宋体"/>
          <w:b/>
          <w:sz w:val="72"/>
        </w:rPr>
      </w:r>
      <w:r/>
    </w:p>
    <w:p>
      <w:pPr>
        <w:pStyle w:val="660"/>
        <w:jc w:val="center"/>
        <w:rPr>
          <w:rFonts w:hint="eastAsia" w:ascii="宋体" w:hAnsi="宋体"/>
          <w:b/>
          <w:sz w:val="36"/>
        </w:rPr>
      </w:pPr>
      <w:r>
        <w:rPr>
          <w:rFonts w:hint="eastAsia" w:ascii="宋体" w:hAnsi="宋体"/>
          <w:b/>
          <w:sz w:val="36"/>
        </w:rPr>
      </w:r>
      <w:r/>
    </w:p>
    <w:p>
      <w:pPr>
        <w:pStyle w:val="660"/>
        <w:jc w:val="center"/>
        <w:rPr>
          <w:rFonts w:hint="eastAsia" w:ascii="宋体" w:hAnsi="宋体"/>
          <w:b/>
          <w:sz w:val="36"/>
        </w:rPr>
      </w:pPr>
      <w:r>
        <w:rPr>
          <w:rFonts w:hint="eastAsia" w:ascii="宋体" w:hAnsi="宋体"/>
          <w:b/>
          <w:sz w:val="36"/>
        </w:rPr>
      </w:r>
      <w:r/>
    </w:p>
    <w:p>
      <w:pPr>
        <w:pStyle w:val="660"/>
        <w:jc w:val="center"/>
        <w:rPr>
          <w:rFonts w:hint="eastAsia" w:ascii="宋体" w:hAnsi="宋体"/>
          <w:b/>
          <w:sz w:val="36"/>
        </w:rPr>
      </w:pPr>
      <w:r>
        <w:rPr>
          <w:rFonts w:hint="eastAsia" w:ascii="宋体" w:hAnsi="宋体"/>
          <w:b/>
          <w:sz w:val="36"/>
        </w:rPr>
      </w:r>
      <w:r/>
    </w:p>
    <w:p>
      <w:pPr>
        <w:pStyle w:val="66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60"/>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6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60"/>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60"/>
        <w:jc w:val="center"/>
        <w:spacing w:line="440" w:lineRule="exact"/>
        <w:rPr>
          <w:rFonts w:hint="eastAsia" w:ascii="宋体" w:hAnsi="宋体"/>
          <w:b/>
          <w:bCs/>
          <w:sz w:val="32"/>
          <w:szCs w:val="32"/>
        </w:rPr>
      </w:pPr>
      <w:r>
        <w:rPr>
          <w:rFonts w:hint="eastAsia" w:ascii="宋体" w:hAnsi="宋体"/>
          <w:b/>
          <w:bCs/>
          <w:sz w:val="32"/>
          <w:szCs w:val="32"/>
        </w:rPr>
      </w:r>
      <w:r/>
    </w:p>
    <w:p>
      <w:pPr>
        <w:pStyle w:val="660"/>
        <w:spacing w:line="440" w:lineRule="exact"/>
        <w:rPr>
          <w:rFonts w:ascii="宋体" w:hAnsi="宋体"/>
        </w:rPr>
      </w:pPr>
      <w:r>
        <w:rPr>
          <w:rFonts w:ascii="宋体" w:hAnsi="宋体"/>
        </w:rPr>
      </w:r>
      <w:r/>
    </w:p>
    <w:p>
      <w:pPr>
        <w:pStyle w:val="660"/>
        <w:rPr>
          <w:rFonts w:ascii="宋体" w:hAnsi="宋体"/>
          <w:b/>
          <w:bCs/>
          <w:sz w:val="32"/>
          <w:szCs w:val="32"/>
        </w:rPr>
      </w:pPr>
      <w:r>
        <w:rPr>
          <w:rFonts w:ascii="宋体" w:hAnsi="宋体"/>
          <w:b/>
          <w:bCs/>
          <w:sz w:val="32"/>
          <w:szCs w:val="32"/>
        </w:rPr>
      </w:r>
      <w:r/>
    </w:p>
    <w:p>
      <w:pPr>
        <w:pStyle w:val="672"/>
        <w:rPr>
          <w:rFonts w:ascii="宋体" w:hAnsi="宋体"/>
          <w:b/>
          <w:bCs/>
          <w:sz w:val="32"/>
          <w:szCs w:val="32"/>
        </w:rPr>
      </w:pPr>
      <w:r>
        <w:rPr>
          <w:rFonts w:ascii="宋体" w:hAnsi="宋体"/>
          <w:b/>
          <w:bCs/>
          <w:sz w:val="32"/>
          <w:szCs w:val="32"/>
        </w:rPr>
      </w:r>
      <w:r/>
    </w:p>
    <w:p>
      <w:pPr>
        <w:pStyle w:val="672"/>
        <w:rPr>
          <w:rFonts w:ascii="宋体" w:hAnsi="宋体"/>
          <w:b/>
          <w:bCs/>
          <w:sz w:val="32"/>
          <w:szCs w:val="32"/>
        </w:rPr>
      </w:pPr>
      <w:r>
        <w:rPr>
          <w:rFonts w:ascii="宋体" w:hAnsi="宋体"/>
          <w:b/>
          <w:bCs/>
          <w:sz w:val="32"/>
          <w:szCs w:val="32"/>
        </w:rPr>
      </w:r>
      <w:r/>
    </w:p>
    <w:p>
      <w:pPr>
        <w:pStyle w:val="672"/>
        <w:rPr>
          <w:rFonts w:ascii="宋体" w:hAnsi="宋体"/>
          <w:b/>
          <w:bCs/>
          <w:sz w:val="32"/>
          <w:szCs w:val="32"/>
        </w:rPr>
      </w:pPr>
      <w:r>
        <w:rPr>
          <w:rFonts w:ascii="宋体" w:hAnsi="宋体"/>
          <w:b/>
          <w:bCs/>
          <w:sz w:val="32"/>
          <w:szCs w:val="32"/>
        </w:rPr>
      </w:r>
      <w:r/>
    </w:p>
    <w:p>
      <w:pPr>
        <w:pStyle w:val="672"/>
        <w:rPr>
          <w:rFonts w:ascii="宋体" w:hAnsi="宋体"/>
          <w:b/>
          <w:bCs/>
          <w:sz w:val="32"/>
          <w:szCs w:val="32"/>
        </w:rPr>
      </w:pPr>
      <w:r>
        <w:rPr>
          <w:rFonts w:ascii="宋体" w:hAnsi="宋体"/>
          <w:b/>
          <w:bCs/>
          <w:sz w:val="32"/>
          <w:szCs w:val="32"/>
        </w:rPr>
      </w:r>
      <w:r/>
    </w:p>
    <w:p>
      <w:pPr>
        <w:pStyle w:val="672"/>
        <w:rPr>
          <w:rFonts w:ascii="宋体" w:hAnsi="宋体"/>
          <w:b/>
          <w:bCs/>
          <w:sz w:val="32"/>
          <w:szCs w:val="32"/>
        </w:rPr>
      </w:pPr>
      <w:r>
        <w:rPr>
          <w:rFonts w:ascii="宋体" w:hAnsi="宋体"/>
          <w:b/>
          <w:bCs/>
          <w:sz w:val="32"/>
          <w:szCs w:val="32"/>
        </w:rPr>
      </w:r>
      <w:r/>
    </w:p>
    <w:p>
      <w:pPr>
        <w:pStyle w:val="660"/>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660"/>
        <w:jc w:val="center"/>
        <w:spacing w:line="440" w:lineRule="exact"/>
        <w:rPr>
          <w:rFonts w:hint="eastAsia" w:ascii="宋体" w:hAnsi="宋体"/>
          <w:b/>
          <w:bCs/>
          <w:sz w:val="32"/>
          <w:szCs w:val="32"/>
        </w:rPr>
      </w:pPr>
      <w:r>
        <w:rPr>
          <w:rFonts w:hint="eastAsia" w:ascii="宋体" w:hAnsi="宋体"/>
          <w:b/>
          <w:bCs/>
          <w:sz w:val="32"/>
          <w:szCs w:val="32"/>
        </w:rPr>
      </w:r>
      <w:r/>
    </w:p>
    <w:p>
      <w:pPr>
        <w:pStyle w:val="660"/>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660"/>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0"/>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60"/>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60"/>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60"/>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660"/>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660"/>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660"/>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0"/>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0"/>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0"/>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0"/>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660"/>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660"/>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10）</w:t>
      </w:r>
      <w:r>
        <w:rPr>
          <w:rFonts w:ascii="仿宋" w:hAnsi="仿宋" w:eastAsia="仿宋"/>
          <w:b/>
          <w:bCs/>
          <w:color w:val="000000"/>
          <w:sz w:val="24"/>
          <w:szCs w:val="24"/>
          <w:lang w:val="en-US" w:eastAsia="zh-CN"/>
        </w:rPr>
      </w:r>
      <w:r/>
    </w:p>
    <w:p>
      <w:pPr>
        <w:pStyle w:val="660"/>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660"/>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60"/>
        <w:ind w:firstLine="480"/>
        <w:spacing w:line="480" w:lineRule="exact"/>
        <w:rPr>
          <w:rFonts w:hint="eastAsia" w:ascii="宋体" w:hAnsi="宋体"/>
          <w:b/>
          <w:bCs/>
          <w:color w:val="000000"/>
          <w:sz w:val="32"/>
          <w:szCs w:val="32"/>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宋体" w:hAnsi="宋体"/>
          <w:b/>
          <w:bCs/>
          <w:color w:val="000000"/>
          <w:sz w:val="32"/>
          <w:szCs w:val="32"/>
        </w:rPr>
      </w:r>
      <w:r/>
    </w:p>
    <w:p>
      <w:pPr>
        <w:pStyle w:val="660"/>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660"/>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660"/>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60"/>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660"/>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0"/>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746"/>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660"/>
        <w:ind w:firstLine="480"/>
        <w:rPr>
          <w:rFonts w:hint="eastAsia" w:ascii="宋体" w:hAnsi="宋体"/>
          <w:color w:val="000000"/>
          <w:sz w:val="24"/>
          <w:szCs w:val="24"/>
        </w:rPr>
      </w:pPr>
      <w:r>
        <w:rPr>
          <w:rFonts w:hint="eastAsia" w:ascii="宋体" w:hAnsi="宋体"/>
          <w:color w:val="000000"/>
          <w:sz w:val="24"/>
          <w:szCs w:val="24"/>
        </w:rPr>
      </w:r>
      <w:r/>
    </w:p>
    <w:p>
      <w:pPr>
        <w:pStyle w:val="660"/>
        <w:rPr>
          <w:rFonts w:ascii="宋体" w:hAnsi="宋体"/>
          <w:color w:val="000000"/>
          <w:sz w:val="24"/>
          <w:szCs w:val="24"/>
        </w:rPr>
      </w:pPr>
      <w:r>
        <w:rPr>
          <w:rFonts w:ascii="宋体" w:hAnsi="宋体"/>
          <w:color w:val="000000"/>
          <w:sz w:val="24"/>
          <w:szCs w:val="24"/>
        </w:rPr>
      </w:r>
      <w:r/>
    </w:p>
    <w:p>
      <w:pPr>
        <w:pStyle w:val="660"/>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0"/>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660"/>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660"/>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660"/>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60"/>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660"/>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660"/>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660"/>
        <w:jc w:val="both"/>
        <w:rPr>
          <w:rFonts w:hint="eastAsia" w:ascii="黑体" w:hAnsi="黑体" w:eastAsia="黑体"/>
          <w:b/>
          <w:sz w:val="32"/>
          <w:szCs w:val="32"/>
        </w:rPr>
      </w:pPr>
      <w:r>
        <w:rPr>
          <w:rFonts w:hint="eastAsia" w:ascii="黑体" w:hAnsi="黑体" w:eastAsia="黑体"/>
          <w:b/>
          <w:sz w:val="32"/>
          <w:szCs w:val="32"/>
        </w:rPr>
      </w:r>
      <w:r/>
    </w:p>
    <w:p>
      <w:pPr>
        <w:pStyle w:val="660"/>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60"/>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0"/>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60"/>
        <w:spacing w:line="400" w:lineRule="exact"/>
        <w:rPr>
          <w:rFonts w:ascii="宋体" w:hAnsi="宋体"/>
          <w:color w:val="000000"/>
          <w:sz w:val="24"/>
          <w:szCs w:val="24"/>
        </w:rPr>
      </w:pPr>
      <w:r>
        <w:rPr>
          <w:rFonts w:ascii="宋体" w:hAnsi="宋体"/>
          <w:color w:val="000000"/>
          <w:sz w:val="24"/>
          <w:szCs w:val="24"/>
        </w:rPr>
      </w:r>
      <w:r/>
    </w:p>
    <w:p>
      <w:pPr>
        <w:pStyle w:val="66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60"/>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60"/>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60"/>
        <w:spacing w:line="400" w:lineRule="exact"/>
        <w:rPr>
          <w:rFonts w:hint="eastAsia" w:ascii="宋体" w:hAnsi="宋体"/>
          <w:color w:val="000000"/>
          <w:sz w:val="24"/>
          <w:szCs w:val="24"/>
        </w:rPr>
      </w:pPr>
      <w:r>
        <w:rPr>
          <w:rFonts w:hint="eastAsia" w:ascii="宋体" w:hAnsi="宋体"/>
          <w:color w:val="000000"/>
          <w:sz w:val="24"/>
          <w:szCs w:val="24"/>
        </w:rPr>
      </w:r>
      <w:r/>
    </w:p>
    <w:p>
      <w:pPr>
        <w:pStyle w:val="660"/>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60"/>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0"/>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60"/>
        <w:spacing w:line="400" w:lineRule="exact"/>
        <w:rPr>
          <w:rFonts w:ascii="宋体" w:hAnsi="宋体"/>
          <w:color w:val="000000"/>
          <w:sz w:val="24"/>
          <w:szCs w:val="24"/>
        </w:rPr>
      </w:pPr>
      <w:r>
        <w:rPr>
          <w:rFonts w:ascii="宋体" w:hAnsi="宋体"/>
          <w:color w:val="000000"/>
          <w:sz w:val="24"/>
          <w:szCs w:val="24"/>
        </w:rPr>
      </w:r>
      <w:r/>
    </w:p>
    <w:p>
      <w:pPr>
        <w:pStyle w:val="66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60"/>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60"/>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672"/>
        <w:rPr>
          <w:rFonts w:hint="eastAsia" w:ascii="宋体" w:hAnsi="宋体"/>
          <w:b/>
          <w:bCs/>
          <w:sz w:val="32"/>
          <w:szCs w:val="32"/>
        </w:rPr>
      </w:pPr>
      <w:r>
        <w:rPr>
          <w:rFonts w:hint="eastAsia" w:ascii="宋体" w:hAnsi="宋体"/>
          <w:b/>
          <w:bCs/>
          <w:sz w:val="32"/>
          <w:szCs w:val="32"/>
        </w:rPr>
      </w:r>
      <w:r/>
    </w:p>
    <w:p>
      <w:pPr>
        <w:pStyle w:val="672"/>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660"/>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660"/>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66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66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66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66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660"/>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672"/>
        <w:ind w:left="0" w:firstLine="0"/>
        <w:rPr>
          <w:rFonts w:hint="eastAsia" w:ascii="宋体" w:hAnsi="宋体"/>
          <w:color w:val="000000"/>
          <w:sz w:val="24"/>
          <w:highlight w:val="none"/>
        </w:rPr>
      </w:pPr>
      <w:r>
        <w:rPr>
          <w:rFonts w:hint="eastAsia" w:ascii="宋体" w:hAnsi="宋体"/>
          <w:color w:val="000000"/>
          <w:sz w:val="24"/>
          <w:highlight w:val="none"/>
        </w:rPr>
      </w:r>
      <w:r/>
    </w:p>
    <w:p>
      <w:pPr>
        <w:pStyle w:val="672"/>
        <w:ind w:left="0" w:firstLine="0"/>
        <w:rPr>
          <w:rFonts w:hint="eastAsia" w:ascii="宋体" w:hAnsi="宋体"/>
          <w:color w:val="000000"/>
          <w:sz w:val="24"/>
          <w:highlight w:val="none"/>
        </w:rPr>
      </w:pPr>
      <w:r>
        <w:rPr>
          <w:rFonts w:hint="eastAsia" w:ascii="宋体" w:hAnsi="宋体"/>
          <w:color w:val="000000"/>
          <w:sz w:val="24"/>
          <w:highlight w:val="none"/>
        </w:rPr>
      </w:r>
      <w:r/>
    </w:p>
    <w:p>
      <w:pPr>
        <w:pStyle w:val="672"/>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744"/>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44"/>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44"/>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44"/>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44"/>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44"/>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44"/>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78"/>
        <w:rPr>
          <w:rFonts w:hint="eastAsia"/>
          <w:i/>
          <w:sz w:val="24"/>
          <w:szCs w:val="24"/>
          <w:u w:val="single"/>
        </w:rPr>
      </w:pPr>
      <w:r>
        <w:rPr>
          <w:rFonts w:hint="eastAsia"/>
          <w:i/>
          <w:sz w:val="24"/>
          <w:szCs w:val="24"/>
          <w:u w:val="single"/>
        </w:rPr>
      </w:r>
      <w:r/>
    </w:p>
    <w:p>
      <w:pPr>
        <w:pStyle w:val="678"/>
        <w:ind w:firstLine="0"/>
        <w:rPr>
          <w:rFonts w:hint="eastAsia"/>
        </w:rPr>
      </w:pPr>
      <w:r>
        <w:rPr>
          <w:rFonts w:hint="eastAsia"/>
        </w:rPr>
      </w:r>
      <w:r/>
    </w:p>
    <w:p>
      <w:pPr>
        <w:pStyle w:val="660"/>
        <w:spacing w:line="460" w:lineRule="exact"/>
        <w:rPr>
          <w:rFonts w:hint="eastAsia" w:ascii="楷体" w:hAnsi="楷体" w:eastAsia="楷体"/>
          <w:bCs/>
          <w:sz w:val="24"/>
          <w:szCs w:val="24"/>
        </w:rPr>
      </w:pPr>
      <w:r>
        <w:rPr>
          <w:rFonts w:hint="eastAsia" w:ascii="楷体" w:hAnsi="楷体" w:eastAsia="楷体"/>
          <w:bCs/>
          <w:sz w:val="24"/>
          <w:szCs w:val="24"/>
        </w:rPr>
      </w:r>
      <w:r/>
    </w:p>
    <w:p>
      <w:pPr>
        <w:pStyle w:val="672"/>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746"/>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74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74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4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4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4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4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4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4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46"/>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46"/>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46"/>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46"/>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46"/>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46"/>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46"/>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72"/>
        <w:rPr>
          <w:rFonts w:ascii="宋体" w:hAnsi="宋体"/>
          <w:b w:val="0"/>
          <w:bCs w:val="0"/>
          <w:sz w:val="32"/>
          <w:szCs w:val="32"/>
          <w:lang w:val="en-US" w:eastAsia="zh-CN"/>
        </w:rPr>
      </w:pPr>
      <w:r>
        <w:rPr>
          <w:rFonts w:ascii="宋体" w:hAnsi="宋体"/>
          <w:b w:val="0"/>
          <w:bCs w:val="0"/>
          <w:sz w:val="32"/>
          <w:szCs w:val="32"/>
          <w:lang w:val="en-US" w:eastAsia="zh-CN"/>
        </w:rPr>
      </w:r>
      <w:r/>
    </w:p>
    <w:p>
      <w:pPr>
        <w:pStyle w:val="672"/>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6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660"/>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60"/>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6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660"/>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660"/>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660"/>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660"/>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660"/>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660"/>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60"/>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660"/>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60"/>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672"/>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rPr>
          <w:rFonts w:hint="eastAsia" w:ascii="宋体" w:hAnsi="宋体" w:eastAsia="宋体" w:cs="Times New Roman"/>
          <w:b/>
          <w:color w:val="000000"/>
          <w:sz w:val="24"/>
          <w:szCs w:val="24"/>
          <w:lang w:val="en-US" w:eastAsia="zh-CN" w:bidi="ar-SA"/>
        </w:rPr>
      </w:r>
      <w:r/>
    </w:p>
    <w:p>
      <w:pPr>
        <w:pStyle w:val="66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66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60"/>
        <w:ind w:firstLine="480"/>
        <w:spacing w:line="588" w:lineRule="exact"/>
        <w:rPr>
          <w:rFonts w:hint="eastAsia" w:ascii="宋体" w:hAnsi="宋体"/>
          <w:sz w:val="24"/>
        </w:rPr>
      </w:pPr>
      <w:r>
        <w:rPr>
          <w:rFonts w:hint="eastAsia" w:ascii="宋体" w:hAnsi="宋体"/>
          <w:sz w:val="24"/>
        </w:rPr>
      </w:r>
      <w:r/>
    </w:p>
    <w:p>
      <w:pPr>
        <w:pStyle w:val="66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6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6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6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60"/>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60"/>
        <w:ind w:firstLine="645"/>
        <w:spacing w:line="560" w:lineRule="exact"/>
        <w:rPr>
          <w:rFonts w:hint="eastAsia" w:ascii="宋体" w:hAnsi="宋体"/>
          <w:sz w:val="24"/>
        </w:rPr>
      </w:pPr>
      <w:r>
        <w:rPr>
          <w:rFonts w:hint="eastAsia" w:ascii="宋体" w:hAnsi="宋体"/>
          <w:sz w:val="24"/>
        </w:rPr>
      </w:r>
      <w:r/>
    </w:p>
    <w:p>
      <w:pPr>
        <w:pStyle w:val="660"/>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附件10、实质性要求响应及偏离表（分包号：**）</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60"/>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60"/>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60"/>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0</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660"/>
        <w:spacing w:line="400" w:lineRule="exact"/>
        <w:rPr>
          <w:rFonts w:ascii="宋体" w:hAnsi="宋体"/>
          <w:color w:val="000000"/>
          <w:sz w:val="24"/>
          <w:szCs w:val="24"/>
        </w:rPr>
      </w:pPr>
      <w:r>
        <w:rPr>
          <w:rFonts w:ascii="宋体" w:hAnsi="宋体"/>
          <w:color w:val="000000"/>
          <w:sz w:val="24"/>
          <w:szCs w:val="24"/>
        </w:rPr>
      </w:r>
      <w:r/>
    </w:p>
    <w:p>
      <w:pPr>
        <w:pStyle w:val="66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60"/>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660"/>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60"/>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660"/>
        <w:spacing w:line="400" w:lineRule="exact"/>
        <w:rPr>
          <w:rFonts w:hint="eastAsia" w:ascii="宋体" w:hAnsi="宋体"/>
          <w:color w:val="000000"/>
          <w:sz w:val="24"/>
          <w:szCs w:val="24"/>
        </w:rPr>
      </w:pPr>
      <w:r>
        <w:rPr>
          <w:rFonts w:hint="eastAsia" w:ascii="宋体" w:hAnsi="宋体"/>
          <w:color w:val="000000"/>
          <w:sz w:val="24"/>
          <w:szCs w:val="24"/>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60"/>
        <w:spacing w:line="300" w:lineRule="auto"/>
        <w:rPr>
          <w:rFonts w:eastAsia="方正黑体_GBK"/>
          <w:sz w:val="32"/>
          <w:szCs w:val="32"/>
          <w:highlight w:val="green"/>
        </w:rPr>
        <w:outlineLvl w:val="0"/>
      </w:pPr>
      <w:r>
        <w:rPr>
          <w:rFonts w:eastAsia="方正黑体_GBK"/>
          <w:sz w:val="32"/>
          <w:szCs w:val="32"/>
          <w:highlight w:val="green"/>
        </w:rPr>
      </w:r>
      <w:r/>
    </w:p>
    <w:p>
      <w:pPr>
        <w:pStyle w:val="6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2"/>
        <w:rPr>
          <w:rFonts w:hint="eastAsia" w:ascii="宋体" w:hAnsi="宋体"/>
          <w:b/>
          <w:bCs/>
          <w:sz w:val="32"/>
          <w:szCs w:val="32"/>
        </w:rPr>
      </w:pPr>
      <w:r>
        <w:rPr>
          <w:rFonts w:hint="eastAsia" w:ascii="宋体" w:hAnsi="宋体"/>
          <w:b/>
          <w:bCs/>
          <w:sz w:val="32"/>
          <w:szCs w:val="32"/>
        </w:rPr>
      </w:r>
      <w:r/>
    </w:p>
    <w:p>
      <w:pPr>
        <w:pStyle w:val="672"/>
        <w:rPr>
          <w:rFonts w:hint="eastAsia" w:ascii="宋体" w:hAnsi="宋体"/>
          <w:b/>
          <w:bCs/>
          <w:sz w:val="32"/>
          <w:szCs w:val="32"/>
        </w:rPr>
      </w:pPr>
      <w:r>
        <w:rPr>
          <w:rFonts w:hint="eastAsia" w:ascii="宋体" w:hAnsi="宋体"/>
          <w:b/>
          <w:bCs/>
          <w:sz w:val="32"/>
          <w:szCs w:val="32"/>
        </w:rPr>
      </w:r>
      <w:r/>
    </w:p>
    <w:p>
      <w:pPr>
        <w:pStyle w:val="660"/>
        <w:jc w:val="center"/>
        <w:rPr>
          <w:rFonts w:hint="eastAsia" w:ascii="宋体" w:hAnsi="宋体" w:cs="仿宋"/>
          <w:b/>
          <w:bCs/>
          <w:sz w:val="32"/>
          <w:szCs w:val="32"/>
        </w:rPr>
      </w:pPr>
      <w:r/>
      <w:bookmarkEnd w:id="203"/>
      <w:r/>
      <w:bookmarkEnd w:id="204"/>
      <w:r/>
      <w:bookmarkEnd w:id="205"/>
      <w:r/>
      <w:r>
        <w:rPr>
          <w:rFonts w:hint="eastAsia" w:ascii="宋体" w:hAnsi="宋体" w:cs="仿宋"/>
          <w:b/>
          <w:bCs/>
          <w:sz w:val="32"/>
          <w:szCs w:val="32"/>
        </w:rPr>
      </w:r>
      <w:r/>
    </w:p>
    <w:p>
      <w:pPr>
        <w:pStyle w:val="672"/>
        <w:rPr>
          <w:rFonts w:hint="eastAsia"/>
        </w:rPr>
      </w:pPr>
      <w:r>
        <w:rPr>
          <w:rFonts w:hint="eastAsia"/>
        </w:rPr>
      </w:r>
      <w:r/>
    </w:p>
    <w:p>
      <w:pPr>
        <w:pStyle w:val="66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6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6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6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6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78"/>
        <w:rPr>
          <w:rFonts w:hint="eastAsia"/>
          <w:sz w:val="24"/>
          <w:szCs w:val="24"/>
        </w:rPr>
      </w:pPr>
      <w:r>
        <w:rPr>
          <w:rFonts w:hint="eastAsia"/>
          <w:sz w:val="24"/>
          <w:szCs w:val="24"/>
        </w:rPr>
      </w:r>
      <w:r/>
    </w:p>
    <w:p>
      <w:pPr>
        <w:pStyle w:val="678"/>
        <w:rPr>
          <w:sz w:val="24"/>
          <w:szCs w:val="24"/>
        </w:rPr>
      </w:pPr>
      <w:r>
        <w:rPr>
          <w:sz w:val="24"/>
          <w:szCs w:val="24"/>
        </w:rPr>
      </w:r>
      <w:r/>
    </w:p>
    <w:p>
      <w:pPr>
        <w:pStyle w:val="660"/>
      </w:pPr>
      <w:r/>
      <w:r/>
    </w:p>
    <w:p>
      <w:pPr>
        <w:pStyle w:val="660"/>
        <w:jc w:val="center"/>
        <w:rPr>
          <w:rFonts w:hint="eastAsia" w:ascii="黑体" w:hAnsi="黑体" w:eastAsia="黑体"/>
          <w:b/>
          <w:sz w:val="32"/>
          <w:szCs w:val="32"/>
        </w:rPr>
      </w:pPr>
      <w:r>
        <w:rPr>
          <w:rFonts w:hint="eastAsia" w:ascii="黑体" w:hAnsi="黑体" w:eastAsia="黑体"/>
          <w:b/>
          <w:sz w:val="32"/>
          <w:szCs w:val="32"/>
        </w:rPr>
      </w:r>
      <w:r/>
    </w:p>
    <w:p>
      <w:pPr>
        <w:pStyle w:val="660"/>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32"/>
        <w:rFonts w:ascii="宋体" w:hAnsi="宋体"/>
      </w:rPr>
      <w:framePr w:wrap="around" w:vAnchor="text" w:hAnchor="margin" w:xAlign="center" w:y="1"/>
    </w:pPr>
    <w:r>
      <w:rPr>
        <w:rFonts w:ascii="宋体" w:hAnsi="宋体"/>
      </w:rPr>
      <w:fldChar w:fldCharType="begin"/>
    </w:r>
    <w:r>
      <w:rPr>
        <w:rStyle w:val="732"/>
        <w:rFonts w:ascii="宋体" w:hAnsi="宋体"/>
      </w:rPr>
      <w:instrText xml:space="preserve">PAGE  </w:instrText>
    </w:r>
    <w:r>
      <w:rPr>
        <w:rFonts w:ascii="宋体" w:hAnsi="宋体"/>
      </w:rPr>
      <w:fldChar w:fldCharType="separate"/>
    </w:r>
    <w:r>
      <w:rPr>
        <w:rStyle w:val="732"/>
        <w:rFonts w:ascii="宋体" w:hAnsi="宋体"/>
      </w:rPr>
      <w:t xml:space="preserve">３５</w:t>
    </w:r>
    <w:r>
      <w:rPr>
        <w:rFonts w:ascii="宋体" w:hAnsi="宋体"/>
      </w:rPr>
      <w:fldChar w:fldCharType="end"/>
    </w:r>
    <w:r>
      <w:rPr>
        <w:rStyle w:val="732"/>
        <w:rFonts w:ascii="宋体" w:hAnsi="宋体"/>
      </w:rPr>
    </w:r>
    <w:r/>
  </w:p>
  <w:p>
    <w:pPr>
      <w:pStyle w:val="70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right" w:pos="8306" w:leader="none"/>
      </w:tabs>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1</w:t>
    </w:r>
    <w:r>
      <w:fldChar w:fldCharType="end"/>
    </w:r>
    <w:r>
      <w:rPr>
        <w:rStyle w:val="732"/>
      </w:rPr>
    </w:r>
    <w:r/>
  </w:p>
  <w:p>
    <w:pPr>
      <w:pStyle w:val="7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pStyle w:val="6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38"/>
      <w:isLgl w:val="false"/>
      <w:suff w:val="tab"/>
      <w:lvlText w:val="附录%1."/>
      <w:lvlJc w:val="left"/>
      <w:pPr>
        <w:pStyle w:val="6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pStyle w:val="66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5"/>
      <w:isLgl w:val="false"/>
      <w:suff w:val="tab"/>
      <w:lvlText w:val="%1."/>
      <w:lvlJc w:val="left"/>
      <w:pPr>
        <w:pStyle w:val="660"/>
        <w:ind w:left="709" w:hanging="709"/>
        <w:tabs>
          <w:tab w:val="num" w:pos="709" w:leader="none"/>
        </w:tabs>
      </w:pPr>
      <w:rPr>
        <w:rFonts w:hint="eastAsia"/>
      </w:rPr>
    </w:lvl>
    <w:lvl w:ilvl="1">
      <w:start w:val="1"/>
      <w:numFmt w:val="decimal"/>
      <w:isLgl w:val="false"/>
      <w:suff w:val="tab"/>
      <w:lvlText w:val="%1.%2"/>
      <w:lvlJc w:val="left"/>
      <w:pPr>
        <w:pStyle w:val="660"/>
        <w:ind w:left="709" w:hanging="709"/>
        <w:tabs>
          <w:tab w:val="num" w:pos="709" w:leader="none"/>
        </w:tabs>
      </w:pPr>
      <w:rPr>
        <w:rFonts w:hint="eastAsia"/>
      </w:rPr>
    </w:lvl>
    <w:lvl w:ilvl="2">
      <w:start w:val="1"/>
      <w:numFmt w:val="decimal"/>
      <w:isLgl w:val="false"/>
      <w:suff w:val="tab"/>
      <w:lvlText w:val="%1.%2.%3."/>
      <w:lvlJc w:val="left"/>
      <w:pPr>
        <w:pStyle w:val="660"/>
        <w:ind w:left="425" w:hanging="425"/>
        <w:tabs>
          <w:tab w:val="num" w:pos="425" w:leader="none"/>
        </w:tabs>
      </w:pPr>
      <w:rPr>
        <w:rFonts w:hint="eastAsia"/>
      </w:rPr>
    </w:lvl>
    <w:lvl w:ilvl="3">
      <w:start w:val="1"/>
      <w:numFmt w:val="decimal"/>
      <w:isLgl w:val="false"/>
      <w:suff w:val="tab"/>
      <w:lvlText w:val="%1.%2.%3.%4."/>
      <w:lvlJc w:val="left"/>
      <w:pPr>
        <w:pStyle w:val="660"/>
        <w:ind w:left="851" w:hanging="851"/>
        <w:tabs>
          <w:tab w:val="num" w:pos="851" w:leader="none"/>
        </w:tabs>
      </w:pPr>
      <w:rPr>
        <w:rFonts w:hint="eastAsia"/>
      </w:rPr>
    </w:lvl>
    <w:lvl w:ilvl="4">
      <w:start w:val="1"/>
      <w:numFmt w:val="decimal"/>
      <w:isLgl w:val="false"/>
      <w:suff w:val="tab"/>
      <w:lvlText w:val="%1.%2.%3.%4.%5."/>
      <w:lvlJc w:val="left"/>
      <w:pPr>
        <w:pStyle w:val="660"/>
        <w:ind w:left="992" w:hanging="992"/>
        <w:tabs>
          <w:tab w:val="num" w:pos="992" w:leader="none"/>
        </w:tabs>
      </w:pPr>
      <w:rPr>
        <w:rFonts w:hint="eastAsia"/>
      </w:rPr>
    </w:lvl>
    <w:lvl w:ilvl="5">
      <w:start w:val="1"/>
      <w:numFmt w:val="decimal"/>
      <w:isLgl w:val="false"/>
      <w:suff w:val="tab"/>
      <w:lvlText w:val="%1.%2.%3.%4.%5.%6."/>
      <w:lvlJc w:val="left"/>
      <w:pPr>
        <w:pStyle w:val="660"/>
        <w:ind w:left="1134" w:hanging="1134"/>
        <w:tabs>
          <w:tab w:val="num" w:pos="1134" w:leader="none"/>
        </w:tabs>
      </w:pPr>
      <w:rPr>
        <w:rFonts w:hint="eastAsia"/>
      </w:rPr>
    </w:lvl>
    <w:lvl w:ilvl="6">
      <w:start w:val="1"/>
      <w:numFmt w:val="decimal"/>
      <w:isLgl w:val="false"/>
      <w:suff w:val="tab"/>
      <w:lvlText w:val="%1.%2.%3.%4.%5.%6.%7."/>
      <w:lvlJc w:val="left"/>
      <w:pPr>
        <w:pStyle w:val="660"/>
        <w:ind w:left="1276" w:hanging="1276"/>
        <w:tabs>
          <w:tab w:val="num" w:pos="1276" w:leader="none"/>
        </w:tabs>
      </w:pPr>
      <w:rPr>
        <w:rFonts w:hint="eastAsia"/>
      </w:rPr>
    </w:lvl>
    <w:lvl w:ilvl="7">
      <w:start w:val="1"/>
      <w:numFmt w:val="decimal"/>
      <w:isLgl w:val="false"/>
      <w:suff w:val="tab"/>
      <w:lvlText w:val="%1.%2.%3.%4.%5.%6.%7.%8."/>
      <w:lvlJc w:val="left"/>
      <w:pPr>
        <w:pStyle w:val="660"/>
        <w:ind w:left="1418" w:hanging="1418"/>
        <w:tabs>
          <w:tab w:val="num" w:pos="1418" w:leader="none"/>
        </w:tabs>
      </w:pPr>
      <w:rPr>
        <w:rFonts w:hint="eastAsia"/>
      </w:rPr>
    </w:lvl>
    <w:lvl w:ilvl="8">
      <w:start w:val="1"/>
      <w:numFmt w:val="decimal"/>
      <w:isLgl w:val="false"/>
      <w:suff w:val="tab"/>
      <w:lvlText w:val="%1.%2.%3.%4.%5.%6.%7.%8.%9."/>
      <w:lvlJc w:val="left"/>
      <w:pPr>
        <w:pStyle w:val="660"/>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60"/>
        <w:ind w:left="0" w:firstLine="0"/>
      </w:pPr>
      <w:rPr>
        <w:rFonts w:hint="eastAsia"/>
      </w:rPr>
    </w:lvl>
    <w:lvl w:ilvl="1">
      <w:start w:val="1"/>
      <w:numFmt w:val="decimal"/>
      <w:isLgl w:val="false"/>
      <w:suff w:val="nothing"/>
      <w:lvlText w:val="%2、"/>
      <w:lvlJc w:val="left"/>
      <w:pPr>
        <w:pStyle w:val="660"/>
        <w:ind w:left="0" w:firstLine="0"/>
      </w:pPr>
      <w:rPr>
        <w:rFonts w:hint="eastAsia"/>
      </w:rPr>
    </w:lvl>
    <w:lvl w:ilvl="2">
      <w:start w:val="1"/>
      <w:numFmt w:val="decimal"/>
      <w:isLgl w:val="false"/>
      <w:suff w:val="nothing"/>
      <w:lvlText w:val="%2.%3 "/>
      <w:lvlJc w:val="left"/>
      <w:pPr>
        <w:pStyle w:val="660"/>
        <w:ind w:left="0" w:firstLine="0"/>
      </w:pPr>
      <w:rPr>
        <w:rFonts w:hint="eastAsia"/>
      </w:rPr>
    </w:lvl>
    <w:lvl w:ilvl="3">
      <w:start w:val="1"/>
      <w:numFmt w:val="decimal"/>
      <w:isLgl w:val="false"/>
      <w:suff w:val="nothing"/>
      <w:lvlText w:val="%2.%3.%4 "/>
      <w:lvlJc w:val="left"/>
      <w:pPr>
        <w:pStyle w:val="660"/>
        <w:ind w:left="0" w:firstLine="0"/>
      </w:pPr>
      <w:rPr>
        <w:rFonts w:hint="eastAsia"/>
      </w:rPr>
    </w:lvl>
    <w:lvl w:ilvl="4">
      <w:start w:val="1"/>
      <w:numFmt w:val="decimal"/>
      <w:isLgl w:val="false"/>
      <w:suff w:val="nothing"/>
      <w:lvlText w:val="%2.%3.%4.%5 "/>
      <w:lvlJc w:val="left"/>
      <w:pPr>
        <w:pStyle w:val="660"/>
        <w:ind w:left="0" w:firstLine="0"/>
      </w:pPr>
      <w:rPr>
        <w:rFonts w:hint="eastAsia"/>
      </w:rPr>
    </w:lvl>
    <w:lvl w:ilvl="5">
      <w:start w:val="1"/>
      <w:numFmt w:val="decimal"/>
      <w:pStyle w:val="666"/>
      <w:isLgl w:val="false"/>
      <w:suff w:val="nothing"/>
      <w:lvlText w:val=""/>
      <w:lvlJc w:val="left"/>
      <w:pPr>
        <w:pStyle w:val="660"/>
        <w:ind w:left="0" w:firstLine="0"/>
      </w:pPr>
      <w:rPr>
        <w:rFonts w:hint="eastAsia"/>
      </w:rPr>
    </w:lvl>
    <w:lvl w:ilvl="6">
      <w:start w:val="1"/>
      <w:numFmt w:val="decimal"/>
      <w:pStyle w:val="667"/>
      <w:isLgl w:val="false"/>
      <w:suff w:val="nothing"/>
      <w:lvlText w:val=""/>
      <w:lvlJc w:val="left"/>
      <w:pPr>
        <w:pStyle w:val="660"/>
        <w:ind w:left="0" w:firstLine="0"/>
      </w:pPr>
      <w:rPr>
        <w:rFonts w:hint="eastAsia"/>
      </w:rPr>
    </w:lvl>
    <w:lvl w:ilvl="7">
      <w:start w:val="1"/>
      <w:numFmt w:val="decimal"/>
      <w:pStyle w:val="668"/>
      <w:isLgl w:val="false"/>
      <w:suff w:val="nothing"/>
      <w:lvlText w:val=""/>
      <w:lvlJc w:val="left"/>
      <w:pPr>
        <w:pStyle w:val="660"/>
        <w:ind w:left="0" w:firstLine="0"/>
      </w:pPr>
      <w:rPr>
        <w:rFonts w:hint="eastAsia"/>
      </w:rPr>
    </w:lvl>
    <w:lvl w:ilvl="8">
      <w:start w:val="1"/>
      <w:numFmt w:val="decimal"/>
      <w:pStyle w:val="669"/>
      <w:isLgl w:val="false"/>
      <w:suff w:val="nothing"/>
      <w:lvlText w:val=""/>
      <w:lvlJc w:val="left"/>
      <w:pPr>
        <w:pStyle w:val="660"/>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0"/>
    <w:next w:val="6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0"/>
    <w:next w:val="6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0"/>
    <w:next w:val="6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next w:val="672"/>
    <w:link w:val="660"/>
    <w:qFormat/>
    <w:pPr>
      <w:jc w:val="both"/>
      <w:widowControl w:val="off"/>
    </w:pPr>
    <w:rPr>
      <w:rFonts w:ascii="Times New Roman" w:hAnsi="Times New Roman"/>
      <w:sz w:val="21"/>
      <w:szCs w:val="21"/>
      <w:lang w:val="en-US" w:eastAsia="zh-CN" w:bidi="ar-SA"/>
    </w:rPr>
  </w:style>
  <w:style w:type="paragraph" w:styleId="661">
    <w:name w:val="标题 1"/>
    <w:basedOn w:val="660"/>
    <w:next w:val="660"/>
    <w:link w:val="676"/>
    <w:qFormat/>
    <w:pPr>
      <w:jc w:val="center"/>
      <w:keepNext/>
      <w:outlineLvl w:val="0"/>
    </w:pPr>
    <w:rPr>
      <w:rFonts w:ascii="楷体_GB2312" w:eastAsia="楷体_GB2312"/>
      <w:sz w:val="28"/>
      <w:szCs w:val="28"/>
    </w:rPr>
  </w:style>
  <w:style w:type="paragraph" w:styleId="662">
    <w:name w:val="标题 2"/>
    <w:basedOn w:val="660"/>
    <w:next w:val="678"/>
    <w:link w:val="677"/>
    <w:qFormat/>
    <w:pPr>
      <w:jc w:val="center"/>
      <w:keepLines/>
      <w:keepNext/>
      <w:spacing w:before="260" w:after="260" w:line="416" w:lineRule="auto"/>
      <w:outlineLvl w:val="1"/>
    </w:pPr>
    <w:rPr>
      <w:rFonts w:ascii="Arial" w:hAnsi="Arial" w:eastAsia="幼圆" w:cs="Arial"/>
      <w:b/>
      <w:bCs/>
      <w:sz w:val="44"/>
      <w:szCs w:val="44"/>
    </w:rPr>
  </w:style>
  <w:style w:type="paragraph" w:styleId="663">
    <w:name w:val="标题 3"/>
    <w:basedOn w:val="660"/>
    <w:next w:val="678"/>
    <w:link w:val="680"/>
    <w:qFormat/>
    <w:pPr>
      <w:keepLines/>
      <w:keepNext/>
      <w:spacing w:before="260" w:after="260" w:line="416" w:lineRule="auto"/>
      <w:outlineLvl w:val="2"/>
    </w:pPr>
    <w:rPr>
      <w:b/>
      <w:bCs/>
      <w:sz w:val="32"/>
      <w:szCs w:val="32"/>
    </w:rPr>
  </w:style>
  <w:style w:type="paragraph" w:styleId="664">
    <w:name w:val="标题 4"/>
    <w:basedOn w:val="660"/>
    <w:next w:val="678"/>
    <w:link w:val="681"/>
    <w:qFormat/>
    <w:pPr>
      <w:keepLines/>
      <w:keepNext/>
      <w:spacing w:before="280" w:after="290" w:line="376" w:lineRule="auto"/>
      <w:outlineLvl w:val="3"/>
    </w:pPr>
    <w:rPr>
      <w:rFonts w:ascii="Arial" w:hAnsi="Arial" w:eastAsia="黑体" w:cs="Arial"/>
      <w:b/>
      <w:bCs/>
      <w:sz w:val="28"/>
      <w:szCs w:val="28"/>
    </w:rPr>
  </w:style>
  <w:style w:type="paragraph" w:styleId="665">
    <w:name w:val="标题 5"/>
    <w:basedOn w:val="660"/>
    <w:next w:val="678"/>
    <w:link w:val="682"/>
    <w:qFormat/>
    <w:pPr>
      <w:keepNext/>
      <w:outlineLvl w:val="4"/>
    </w:pPr>
    <w:rPr>
      <w:rFonts w:ascii="宋体"/>
      <w:color w:val="000000"/>
      <w:sz w:val="28"/>
      <w:szCs w:val="28"/>
    </w:rPr>
  </w:style>
  <w:style w:type="paragraph" w:styleId="666">
    <w:name w:val="标题 6"/>
    <w:basedOn w:val="660"/>
    <w:next w:val="660"/>
    <w:link w:val="683"/>
    <w:qFormat/>
    <w:pPr>
      <w:numPr>
        <w:ilvl w:val="5"/>
        <w:numId w:val="1"/>
      </w:numPr>
      <w:keepLines/>
      <w:keepNext/>
      <w:spacing w:before="240" w:after="64" w:line="320" w:lineRule="auto"/>
      <w:outlineLvl w:val="5"/>
    </w:pPr>
    <w:rPr>
      <w:rFonts w:ascii="Arial" w:hAnsi="Arial" w:eastAsia="黑体"/>
      <w:b/>
      <w:bCs/>
      <w:sz w:val="24"/>
      <w:szCs w:val="24"/>
    </w:rPr>
  </w:style>
  <w:style w:type="paragraph" w:styleId="667">
    <w:name w:val="标题 7"/>
    <w:basedOn w:val="660"/>
    <w:next w:val="660"/>
    <w:link w:val="684"/>
    <w:qFormat/>
    <w:pPr>
      <w:numPr>
        <w:ilvl w:val="6"/>
        <w:numId w:val="1"/>
      </w:numPr>
      <w:keepLines/>
      <w:keepNext/>
      <w:spacing w:before="240" w:after="64" w:line="320" w:lineRule="auto"/>
      <w:outlineLvl w:val="6"/>
    </w:pPr>
    <w:rPr>
      <w:b/>
      <w:bCs/>
      <w:sz w:val="24"/>
      <w:szCs w:val="24"/>
    </w:rPr>
  </w:style>
  <w:style w:type="paragraph" w:styleId="668">
    <w:name w:val="标题 8"/>
    <w:basedOn w:val="660"/>
    <w:next w:val="660"/>
    <w:link w:val="685"/>
    <w:qFormat/>
    <w:pPr>
      <w:numPr>
        <w:ilvl w:val="7"/>
        <w:numId w:val="1"/>
      </w:numPr>
      <w:keepLines/>
      <w:keepNext/>
      <w:spacing w:before="240" w:after="64" w:line="320" w:lineRule="auto"/>
      <w:outlineLvl w:val="7"/>
    </w:pPr>
    <w:rPr>
      <w:rFonts w:ascii="Arial" w:hAnsi="Arial" w:eastAsia="黑体"/>
      <w:sz w:val="24"/>
      <w:szCs w:val="24"/>
    </w:rPr>
  </w:style>
  <w:style w:type="paragraph" w:styleId="669">
    <w:name w:val="标题 9"/>
    <w:basedOn w:val="660"/>
    <w:next w:val="660"/>
    <w:link w:val="686"/>
    <w:qFormat/>
    <w:pPr>
      <w:numPr>
        <w:ilvl w:val="8"/>
        <w:numId w:val="1"/>
      </w:numPr>
      <w:keepLines/>
      <w:keepNext/>
      <w:spacing w:before="240" w:after="64" w:line="320" w:lineRule="auto"/>
      <w:outlineLvl w:val="8"/>
    </w:pPr>
    <w:rPr>
      <w:rFonts w:ascii="Arial" w:hAnsi="Arial" w:eastAsia="黑体"/>
    </w:rPr>
  </w:style>
  <w:style w:type="character" w:styleId="670">
    <w:name w:val="默认段落字体"/>
    <w:next w:val="670"/>
    <w:link w:val="660"/>
    <w:uiPriority w:val="1"/>
    <w:unhideWhenUsed/>
  </w:style>
  <w:style w:type="table" w:styleId="671">
    <w:name w:val="普通表格"/>
    <w:next w:val="671"/>
    <w:link w:val="660"/>
    <w:uiPriority w:val="99"/>
    <w:unhideWhenUsed/>
    <w:tblPr/>
  </w:style>
  <w:style w:type="paragraph" w:styleId="672">
    <w:name w:val="正文首行缩进"/>
    <w:basedOn w:val="673"/>
    <w:next w:val="672"/>
    <w:link w:val="675"/>
    <w:pPr>
      <w:ind w:firstLine="200"/>
      <w:spacing w:line="360" w:lineRule="auto"/>
    </w:pPr>
    <w:rPr>
      <w:rFonts w:ascii="仿宋_GB2312" w:eastAsia="仿宋_GB2312"/>
      <w:sz w:val="30"/>
      <w:szCs w:val="30"/>
    </w:rPr>
  </w:style>
  <w:style w:type="paragraph" w:styleId="673">
    <w:name w:val="正文文本"/>
    <w:basedOn w:val="660"/>
    <w:next w:val="660"/>
    <w:link w:val="674"/>
    <w:rPr>
      <w:rFonts w:ascii="楷体_GB2312" w:hAnsi="Arial" w:eastAsia="楷体_GB2312"/>
      <w:sz w:val="28"/>
      <w:szCs w:val="28"/>
    </w:rPr>
  </w:style>
  <w:style w:type="character" w:styleId="674">
    <w:name w:val="正文文本 Char"/>
    <w:next w:val="674"/>
    <w:link w:val="673"/>
    <w:rPr>
      <w:rFonts w:ascii="楷体_GB2312" w:hAnsi="Arial" w:eastAsia="楷体_GB2312" w:cs="Times New Roman"/>
      <w:sz w:val="28"/>
      <w:szCs w:val="28"/>
    </w:rPr>
  </w:style>
  <w:style w:type="character" w:styleId="675">
    <w:name w:val="正文首行缩进 Char"/>
    <w:next w:val="675"/>
    <w:link w:val="672"/>
    <w:rPr>
      <w:rFonts w:ascii="仿宋_GB2312" w:hAnsi="Times New Roman" w:eastAsia="仿宋_GB2312" w:cs="Times New Roman"/>
      <w:sz w:val="30"/>
      <w:szCs w:val="30"/>
    </w:rPr>
  </w:style>
  <w:style w:type="character" w:styleId="676">
    <w:name w:val="标题 1 Char"/>
    <w:next w:val="676"/>
    <w:link w:val="661"/>
    <w:rPr>
      <w:rFonts w:ascii="楷体_GB2312" w:hAnsi="Times New Roman" w:eastAsia="楷体_GB2312" w:cs="Times New Roman"/>
      <w:sz w:val="28"/>
      <w:szCs w:val="28"/>
    </w:rPr>
  </w:style>
  <w:style w:type="character" w:styleId="677">
    <w:name w:val="标题 2 Char"/>
    <w:next w:val="677"/>
    <w:link w:val="662"/>
    <w:rPr>
      <w:rFonts w:ascii="Arial" w:hAnsi="Arial" w:eastAsia="幼圆" w:cs="Arial"/>
      <w:b/>
      <w:bCs/>
      <w:sz w:val="44"/>
      <w:szCs w:val="44"/>
    </w:rPr>
  </w:style>
  <w:style w:type="paragraph" w:styleId="678">
    <w:name w:val="正文缩进"/>
    <w:basedOn w:val="660"/>
    <w:next w:val="678"/>
    <w:link w:val="679"/>
    <w:pPr>
      <w:ind w:firstLine="420"/>
    </w:pPr>
  </w:style>
  <w:style w:type="character" w:styleId="679">
    <w:name w:val="正文缩进 Char"/>
    <w:next w:val="679"/>
    <w:link w:val="678"/>
    <w:rPr>
      <w:rFonts w:ascii="Times New Roman" w:hAnsi="Times New Roman" w:eastAsia="宋体" w:cs="Times New Roman"/>
      <w:szCs w:val="21"/>
    </w:rPr>
  </w:style>
  <w:style w:type="character" w:styleId="680">
    <w:name w:val="标题 3 Char"/>
    <w:next w:val="680"/>
    <w:link w:val="663"/>
    <w:rPr>
      <w:rFonts w:ascii="Times New Roman" w:hAnsi="Times New Roman" w:eastAsia="宋体" w:cs="Times New Roman"/>
      <w:b/>
      <w:bCs/>
      <w:sz w:val="32"/>
      <w:szCs w:val="32"/>
    </w:rPr>
  </w:style>
  <w:style w:type="character" w:styleId="681">
    <w:name w:val="标题 4 Char"/>
    <w:next w:val="681"/>
    <w:link w:val="664"/>
    <w:rPr>
      <w:rFonts w:ascii="Arial" w:hAnsi="Arial" w:eastAsia="黑体" w:cs="Arial"/>
      <w:b/>
      <w:bCs/>
      <w:sz w:val="28"/>
      <w:szCs w:val="28"/>
    </w:rPr>
  </w:style>
  <w:style w:type="character" w:styleId="682">
    <w:name w:val="标题 5 Char"/>
    <w:next w:val="682"/>
    <w:link w:val="665"/>
    <w:rPr>
      <w:rFonts w:ascii="宋体" w:hAnsi="Times New Roman" w:eastAsia="宋体" w:cs="Times New Roman"/>
      <w:color w:val="000000"/>
      <w:sz w:val="28"/>
      <w:szCs w:val="28"/>
    </w:rPr>
  </w:style>
  <w:style w:type="character" w:styleId="683">
    <w:name w:val="标题 6 Char"/>
    <w:next w:val="683"/>
    <w:link w:val="666"/>
    <w:rPr>
      <w:rFonts w:ascii="Arial" w:hAnsi="Arial" w:eastAsia="黑体" w:cs="Times New Roman"/>
      <w:b/>
      <w:bCs/>
      <w:sz w:val="24"/>
      <w:szCs w:val="24"/>
    </w:rPr>
  </w:style>
  <w:style w:type="character" w:styleId="684">
    <w:name w:val="标题 7 Char"/>
    <w:next w:val="684"/>
    <w:link w:val="667"/>
    <w:rPr>
      <w:rFonts w:ascii="Times New Roman" w:hAnsi="Times New Roman" w:eastAsia="宋体" w:cs="Times New Roman"/>
      <w:b/>
      <w:bCs/>
      <w:sz w:val="24"/>
      <w:szCs w:val="24"/>
    </w:rPr>
  </w:style>
  <w:style w:type="character" w:styleId="685">
    <w:name w:val="标题 8 Char"/>
    <w:next w:val="685"/>
    <w:link w:val="668"/>
    <w:rPr>
      <w:rFonts w:ascii="Arial" w:hAnsi="Arial" w:eastAsia="黑体" w:cs="Times New Roman"/>
      <w:sz w:val="24"/>
      <w:szCs w:val="24"/>
    </w:rPr>
  </w:style>
  <w:style w:type="character" w:styleId="686">
    <w:name w:val="标题 9 Char"/>
    <w:next w:val="686"/>
    <w:link w:val="669"/>
    <w:rPr>
      <w:rFonts w:ascii="Arial" w:hAnsi="Arial" w:eastAsia="黑体" w:cs="Times New Roman"/>
      <w:szCs w:val="21"/>
    </w:rPr>
  </w:style>
  <w:style w:type="paragraph" w:styleId="687">
    <w:name w:val="列表 3"/>
    <w:basedOn w:val="660"/>
    <w:next w:val="687"/>
    <w:link w:val="660"/>
    <w:pPr>
      <w:ind w:left="100" w:hanging="200"/>
    </w:pPr>
  </w:style>
  <w:style w:type="paragraph" w:styleId="688">
    <w:name w:val="目录 7"/>
    <w:basedOn w:val="660"/>
    <w:next w:val="660"/>
    <w:link w:val="660"/>
    <w:semiHidden/>
    <w:pPr>
      <w:ind w:left="1260"/>
      <w:jc w:val="left"/>
    </w:pPr>
  </w:style>
  <w:style w:type="paragraph" w:styleId="689">
    <w:name w:val="文档结构图"/>
    <w:basedOn w:val="660"/>
    <w:next w:val="689"/>
    <w:link w:val="690"/>
    <w:semiHidden/>
    <w:pPr>
      <w:shd w:val="clear" w:color="auto" w:fill="000080"/>
    </w:pPr>
  </w:style>
  <w:style w:type="character" w:styleId="690">
    <w:name w:val="文档结构图 Char"/>
    <w:next w:val="690"/>
    <w:link w:val="689"/>
    <w:semiHidden/>
    <w:rPr>
      <w:rFonts w:ascii="Times New Roman" w:hAnsi="Times New Roman" w:eastAsia="宋体" w:cs="Times New Roman"/>
      <w:szCs w:val="21"/>
      <w:shd w:val="clear" w:color="auto" w:fill="000080"/>
    </w:rPr>
  </w:style>
  <w:style w:type="paragraph" w:styleId="691">
    <w:name w:val="批注文字"/>
    <w:basedOn w:val="660"/>
    <w:next w:val="691"/>
    <w:link w:val="692"/>
    <w:semiHidden/>
    <w:pPr>
      <w:jc w:val="left"/>
    </w:pPr>
  </w:style>
  <w:style w:type="character" w:styleId="692">
    <w:name w:val="批注文字 Char"/>
    <w:next w:val="692"/>
    <w:link w:val="691"/>
    <w:semiHidden/>
    <w:rPr>
      <w:rFonts w:ascii="Times New Roman" w:hAnsi="Times New Roman" w:eastAsia="宋体" w:cs="Times New Roman"/>
      <w:szCs w:val="21"/>
    </w:rPr>
  </w:style>
  <w:style w:type="paragraph" w:styleId="693">
    <w:name w:val="正文文本 3"/>
    <w:basedOn w:val="660"/>
    <w:next w:val="693"/>
    <w:link w:val="694"/>
    <w:rPr>
      <w:rFonts w:ascii="仿宋_GB2312" w:hAnsi="Arial" w:eastAsia="仿宋_GB2312"/>
      <w:sz w:val="32"/>
      <w:szCs w:val="32"/>
    </w:rPr>
  </w:style>
  <w:style w:type="character" w:styleId="694">
    <w:name w:val="正文文本 3 Char"/>
    <w:next w:val="694"/>
    <w:link w:val="693"/>
    <w:rPr>
      <w:rFonts w:ascii="仿宋_GB2312" w:hAnsi="Arial" w:eastAsia="仿宋_GB2312" w:cs="Times New Roman"/>
      <w:sz w:val="32"/>
      <w:szCs w:val="32"/>
    </w:rPr>
  </w:style>
  <w:style w:type="paragraph" w:styleId="695">
    <w:name w:val="正文文本缩进"/>
    <w:basedOn w:val="660"/>
    <w:next w:val="695"/>
    <w:link w:val="696"/>
    <w:pPr>
      <w:ind w:firstLine="645"/>
    </w:pPr>
    <w:rPr>
      <w:rFonts w:ascii="楷体_GB2312" w:eastAsia="楷体_GB2312"/>
      <w:sz w:val="32"/>
      <w:szCs w:val="32"/>
    </w:rPr>
  </w:style>
  <w:style w:type="character" w:styleId="696">
    <w:name w:val="正文文本缩进 Char"/>
    <w:next w:val="696"/>
    <w:link w:val="695"/>
    <w:rPr>
      <w:rFonts w:ascii="楷体_GB2312" w:hAnsi="Times New Roman" w:eastAsia="楷体_GB2312" w:cs="Times New Roman"/>
      <w:sz w:val="32"/>
      <w:szCs w:val="32"/>
    </w:rPr>
  </w:style>
  <w:style w:type="paragraph" w:styleId="697">
    <w:name w:val="列表 2"/>
    <w:basedOn w:val="660"/>
    <w:next w:val="697"/>
    <w:link w:val="660"/>
    <w:pPr>
      <w:ind w:left="100" w:hanging="200"/>
    </w:pPr>
  </w:style>
  <w:style w:type="paragraph" w:styleId="698">
    <w:name w:val="目录 5"/>
    <w:basedOn w:val="660"/>
    <w:next w:val="660"/>
    <w:link w:val="660"/>
    <w:semiHidden/>
    <w:pPr>
      <w:ind w:left="840"/>
      <w:jc w:val="left"/>
    </w:pPr>
  </w:style>
  <w:style w:type="paragraph" w:styleId="699">
    <w:name w:val="目录 3"/>
    <w:basedOn w:val="660"/>
    <w:next w:val="660"/>
    <w:link w:val="660"/>
    <w:semiHidden/>
    <w:pPr>
      <w:ind w:left="420"/>
      <w:jc w:val="left"/>
    </w:pPr>
    <w:rPr>
      <w:i/>
      <w:iCs/>
      <w:szCs w:val="24"/>
    </w:rPr>
  </w:style>
  <w:style w:type="paragraph" w:styleId="700">
    <w:name w:val="纯文本"/>
    <w:basedOn w:val="660"/>
    <w:next w:val="700"/>
    <w:link w:val="701"/>
    <w:rPr>
      <w:rFonts w:ascii="宋体" w:hAnsi="Courier New" w:cs="Courier New"/>
    </w:rPr>
  </w:style>
  <w:style w:type="character" w:styleId="701">
    <w:name w:val="纯文本 Char"/>
    <w:next w:val="701"/>
    <w:link w:val="700"/>
    <w:rPr>
      <w:rFonts w:ascii="宋体" w:hAnsi="Courier New" w:eastAsia="宋体" w:cs="Courier New"/>
      <w:szCs w:val="21"/>
    </w:rPr>
  </w:style>
  <w:style w:type="paragraph" w:styleId="702">
    <w:name w:val="目录 8"/>
    <w:basedOn w:val="660"/>
    <w:next w:val="660"/>
    <w:link w:val="660"/>
    <w:semiHidden/>
    <w:pPr>
      <w:ind w:left="1470"/>
      <w:jc w:val="left"/>
    </w:pPr>
  </w:style>
  <w:style w:type="paragraph" w:styleId="703">
    <w:name w:val="日期"/>
    <w:basedOn w:val="660"/>
    <w:next w:val="660"/>
    <w:link w:val="704"/>
    <w:rPr>
      <w:sz w:val="24"/>
      <w:szCs w:val="24"/>
    </w:rPr>
  </w:style>
  <w:style w:type="character" w:styleId="704">
    <w:name w:val="日期 Char"/>
    <w:next w:val="704"/>
    <w:link w:val="703"/>
    <w:rPr>
      <w:rFonts w:ascii="Times New Roman" w:hAnsi="Times New Roman" w:eastAsia="宋体" w:cs="Times New Roman"/>
      <w:sz w:val="24"/>
      <w:szCs w:val="24"/>
    </w:rPr>
  </w:style>
  <w:style w:type="paragraph" w:styleId="705">
    <w:name w:val="正文文本缩进 2"/>
    <w:basedOn w:val="660"/>
    <w:next w:val="705"/>
    <w:link w:val="706"/>
    <w:pPr>
      <w:ind w:left="630" w:firstLine="645"/>
    </w:pPr>
    <w:rPr>
      <w:rFonts w:ascii="Arial" w:hAnsi="Arial" w:eastAsia="仿宋_GB2312" w:cs="Arial"/>
      <w:sz w:val="32"/>
      <w:szCs w:val="32"/>
    </w:rPr>
  </w:style>
  <w:style w:type="character" w:styleId="706">
    <w:name w:val="正文文本缩进 2 Char"/>
    <w:next w:val="706"/>
    <w:link w:val="705"/>
    <w:rPr>
      <w:rFonts w:ascii="Arial" w:hAnsi="Arial" w:eastAsia="仿宋_GB2312" w:cs="Arial"/>
      <w:sz w:val="32"/>
      <w:szCs w:val="32"/>
    </w:rPr>
  </w:style>
  <w:style w:type="paragraph" w:styleId="707">
    <w:name w:val="批注框文本"/>
    <w:basedOn w:val="660"/>
    <w:next w:val="707"/>
    <w:link w:val="708"/>
    <w:semiHidden/>
    <w:rPr>
      <w:sz w:val="18"/>
      <w:szCs w:val="18"/>
    </w:rPr>
  </w:style>
  <w:style w:type="character" w:styleId="708">
    <w:name w:val="批注框文本 Char"/>
    <w:next w:val="708"/>
    <w:link w:val="707"/>
    <w:semiHidden/>
    <w:rPr>
      <w:rFonts w:ascii="Times New Roman" w:hAnsi="Times New Roman" w:eastAsia="宋体" w:cs="Times New Roman"/>
      <w:sz w:val="18"/>
      <w:szCs w:val="18"/>
    </w:rPr>
  </w:style>
  <w:style w:type="paragraph" w:styleId="709">
    <w:name w:val="页脚"/>
    <w:basedOn w:val="660"/>
    <w:next w:val="709"/>
    <w:link w:val="710"/>
    <w:pPr>
      <w:jc w:val="left"/>
      <w:tabs>
        <w:tab w:val="center" w:pos="4153" w:leader="none"/>
        <w:tab w:val="right" w:pos="8306" w:leader="none"/>
      </w:tabs>
    </w:pPr>
    <w:rPr>
      <w:sz w:val="18"/>
      <w:szCs w:val="18"/>
    </w:rPr>
  </w:style>
  <w:style w:type="character" w:styleId="710">
    <w:name w:val="页脚 Char"/>
    <w:next w:val="710"/>
    <w:link w:val="709"/>
    <w:rPr>
      <w:rFonts w:ascii="Times New Roman" w:hAnsi="Times New Roman" w:eastAsia="宋体" w:cs="Times New Roman"/>
      <w:sz w:val="18"/>
      <w:szCs w:val="18"/>
    </w:rPr>
  </w:style>
  <w:style w:type="paragraph" w:styleId="711">
    <w:name w:val="页眉"/>
    <w:basedOn w:val="660"/>
    <w:next w:val="711"/>
    <w:link w:val="712"/>
    <w:pPr>
      <w:jc w:val="center"/>
      <w:tabs>
        <w:tab w:val="center" w:pos="4153" w:leader="none"/>
        <w:tab w:val="right" w:pos="8306" w:leader="none"/>
      </w:tabs>
      <w:pBdr>
        <w:bottom w:val="single" w:color="000000" w:sz="6" w:space="1"/>
      </w:pBdr>
    </w:pPr>
    <w:rPr>
      <w:sz w:val="18"/>
      <w:szCs w:val="18"/>
    </w:rPr>
  </w:style>
  <w:style w:type="character" w:styleId="712">
    <w:name w:val="页眉 Char"/>
    <w:next w:val="712"/>
    <w:link w:val="711"/>
    <w:rPr>
      <w:rFonts w:ascii="Times New Roman" w:hAnsi="Times New Roman" w:eastAsia="宋体" w:cs="Times New Roman"/>
      <w:sz w:val="18"/>
      <w:szCs w:val="18"/>
    </w:rPr>
  </w:style>
  <w:style w:type="paragraph" w:styleId="713">
    <w:name w:val="目录 1"/>
    <w:basedOn w:val="660"/>
    <w:next w:val="660"/>
    <w:link w:val="660"/>
    <w:semiHidden/>
    <w:pPr>
      <w:jc w:val="left"/>
      <w:spacing w:before="120" w:after="120" w:line="400" w:lineRule="exact"/>
      <w:tabs>
        <w:tab w:val="right" w:pos="8720" w:leader="dot"/>
      </w:tabs>
    </w:pPr>
    <w:rPr>
      <w:rFonts w:ascii="宋体" w:hAnsi="宋体"/>
      <w:caps/>
      <w:sz w:val="24"/>
      <w:szCs w:val="24"/>
    </w:rPr>
  </w:style>
  <w:style w:type="paragraph" w:styleId="714">
    <w:name w:val="目录 4"/>
    <w:basedOn w:val="660"/>
    <w:next w:val="660"/>
    <w:link w:val="660"/>
    <w:semiHidden/>
    <w:pPr>
      <w:ind w:left="630"/>
      <w:jc w:val="left"/>
    </w:pPr>
  </w:style>
  <w:style w:type="paragraph" w:styleId="715">
    <w:name w:val="列表"/>
    <w:basedOn w:val="660"/>
    <w:next w:val="715"/>
    <w:link w:val="660"/>
    <w:pPr>
      <w:ind w:left="200" w:hanging="200"/>
    </w:pPr>
  </w:style>
  <w:style w:type="paragraph" w:styleId="716">
    <w:name w:val="目录 6"/>
    <w:basedOn w:val="660"/>
    <w:next w:val="660"/>
    <w:link w:val="660"/>
    <w:semiHidden/>
    <w:pPr>
      <w:ind w:left="1050"/>
      <w:jc w:val="left"/>
    </w:pPr>
  </w:style>
  <w:style w:type="paragraph" w:styleId="717">
    <w:name w:val="正文文本缩进 3"/>
    <w:basedOn w:val="660"/>
    <w:next w:val="717"/>
    <w:link w:val="718"/>
    <w:pPr>
      <w:ind w:left="645" w:firstLine="645"/>
    </w:pPr>
    <w:rPr>
      <w:rFonts w:ascii="Arial" w:hAnsi="Arial" w:eastAsia="仿宋_GB2312" w:cs="Arial"/>
      <w:color w:val="ffff00"/>
      <w:sz w:val="32"/>
      <w:szCs w:val="32"/>
    </w:rPr>
  </w:style>
  <w:style w:type="character" w:styleId="718">
    <w:name w:val="正文文本缩进 3 Char"/>
    <w:next w:val="718"/>
    <w:link w:val="717"/>
    <w:rPr>
      <w:rFonts w:ascii="Arial" w:hAnsi="Arial" w:eastAsia="仿宋_GB2312" w:cs="Arial"/>
      <w:color w:val="ffff00"/>
      <w:sz w:val="32"/>
      <w:szCs w:val="32"/>
    </w:rPr>
  </w:style>
  <w:style w:type="paragraph" w:styleId="719">
    <w:name w:val="图表目录"/>
    <w:basedOn w:val="660"/>
    <w:next w:val="660"/>
    <w:link w:val="660"/>
    <w:semiHidden/>
    <w:pPr>
      <w:ind w:left="840" w:hanging="420"/>
    </w:pPr>
  </w:style>
  <w:style w:type="paragraph" w:styleId="720">
    <w:name w:val="目录 2"/>
    <w:basedOn w:val="660"/>
    <w:next w:val="660"/>
    <w:link w:val="660"/>
    <w:semiHidden/>
    <w:pPr>
      <w:ind w:left="210"/>
      <w:jc w:val="left"/>
    </w:pPr>
    <w:rPr>
      <w:smallCaps/>
      <w:szCs w:val="24"/>
    </w:rPr>
  </w:style>
  <w:style w:type="paragraph" w:styleId="721">
    <w:name w:val="目录 9"/>
    <w:basedOn w:val="660"/>
    <w:next w:val="660"/>
    <w:link w:val="660"/>
    <w:semiHidden/>
    <w:pPr>
      <w:ind w:left="1680"/>
      <w:jc w:val="left"/>
    </w:pPr>
  </w:style>
  <w:style w:type="paragraph" w:styleId="722">
    <w:name w:val="正文文本 2"/>
    <w:basedOn w:val="660"/>
    <w:next w:val="722"/>
    <w:link w:val="723"/>
    <w:pPr>
      <w:jc w:val="center"/>
      <w:widowControl/>
    </w:pPr>
    <w:rPr>
      <w:rFonts w:ascii="楷体_GB2312" w:eastAsia="楷体_GB2312"/>
      <w:sz w:val="28"/>
      <w:szCs w:val="28"/>
    </w:rPr>
  </w:style>
  <w:style w:type="character" w:styleId="723">
    <w:name w:val="正文文本 2 Char"/>
    <w:next w:val="723"/>
    <w:link w:val="722"/>
    <w:rPr>
      <w:rFonts w:ascii="楷体_GB2312" w:hAnsi="Times New Roman" w:eastAsia="楷体_GB2312" w:cs="Times New Roman"/>
      <w:sz w:val="28"/>
      <w:szCs w:val="28"/>
    </w:rPr>
  </w:style>
  <w:style w:type="paragraph" w:styleId="724">
    <w:name w:val="普通(网站)"/>
    <w:basedOn w:val="660"/>
    <w:next w:val="724"/>
    <w:link w:val="660"/>
    <w:uiPriority w:val="99"/>
    <w:pPr>
      <w:jc w:val="left"/>
      <w:spacing w:before="100" w:beforeAutospacing="1" w:after="100" w:afterAutospacing="1"/>
      <w:widowControl/>
    </w:pPr>
    <w:rPr>
      <w:rFonts w:ascii="宋体" w:hAnsi="宋体" w:cs="宋体"/>
      <w:sz w:val="24"/>
      <w:szCs w:val="24"/>
    </w:rPr>
  </w:style>
  <w:style w:type="paragraph" w:styleId="725">
    <w:name w:val="索引 1"/>
    <w:basedOn w:val="660"/>
    <w:next w:val="660"/>
    <w:link w:val="660"/>
    <w:semiHidden/>
    <w:pPr>
      <w:spacing w:line="240" w:lineRule="atLeast"/>
    </w:pPr>
    <w:rPr>
      <w:b/>
      <w:bCs/>
    </w:rPr>
  </w:style>
  <w:style w:type="paragraph" w:styleId="726">
    <w:name w:val="批注主题"/>
    <w:basedOn w:val="691"/>
    <w:next w:val="691"/>
    <w:link w:val="727"/>
    <w:semiHidden/>
    <w:rPr>
      <w:b/>
      <w:bCs/>
    </w:rPr>
  </w:style>
  <w:style w:type="character" w:styleId="727">
    <w:name w:val="批注主题 Char"/>
    <w:next w:val="727"/>
    <w:link w:val="726"/>
    <w:semiHidden/>
    <w:rPr>
      <w:rFonts w:ascii="Times New Roman" w:hAnsi="Times New Roman" w:eastAsia="宋体" w:cs="Times New Roman"/>
      <w:b/>
      <w:bCs/>
      <w:szCs w:val="21"/>
    </w:rPr>
  </w:style>
  <w:style w:type="paragraph" w:styleId="728">
    <w:name w:val="正文首行缩进 2"/>
    <w:basedOn w:val="695"/>
    <w:next w:val="728"/>
    <w:link w:val="729"/>
    <w:pPr>
      <w:ind w:firstLine="420"/>
      <w:spacing w:line="360" w:lineRule="auto"/>
    </w:pPr>
    <w:rPr>
      <w:rFonts w:ascii="宋体" w:hAnsi="宋体" w:eastAsia="宋体"/>
      <w:sz w:val="21"/>
      <w:szCs w:val="20"/>
    </w:rPr>
  </w:style>
  <w:style w:type="character" w:styleId="729">
    <w:name w:val="正文首行缩进 2 Char"/>
    <w:next w:val="729"/>
    <w:link w:val="728"/>
    <w:rPr>
      <w:rFonts w:ascii="宋体" w:hAnsi="宋体" w:eastAsia="宋体" w:cs="Times New Roman"/>
      <w:sz w:val="32"/>
      <w:szCs w:val="20"/>
    </w:rPr>
  </w:style>
  <w:style w:type="table" w:styleId="730">
    <w:name w:val="网格型"/>
    <w:basedOn w:val="671"/>
    <w:next w:val="730"/>
    <w:link w:val="660"/>
    <w:pPr>
      <w:jc w:val="both"/>
      <w:widowControl w:val="off"/>
    </w:pPr>
    <w:rPr>
      <w:rFonts w:ascii="Times New Roman" w:hAnsi="Times New Roman" w:eastAsia="宋体" w:cs="Times New Roman"/>
      <w:sz w:val="20"/>
      <w:szCs w:val="20"/>
    </w:rPr>
    <w:tblPr/>
  </w:style>
  <w:style w:type="character" w:styleId="731">
    <w:name w:val="要点"/>
    <w:next w:val="731"/>
    <w:link w:val="660"/>
    <w:qFormat/>
    <w:rPr>
      <w:b/>
      <w:bCs/>
    </w:rPr>
  </w:style>
  <w:style w:type="character" w:styleId="732">
    <w:name w:val="页码"/>
    <w:next w:val="732"/>
    <w:link w:val="660"/>
  </w:style>
  <w:style w:type="character" w:styleId="733">
    <w:name w:val="已访问的超链接"/>
    <w:next w:val="733"/>
    <w:link w:val="660"/>
    <w:rPr>
      <w:color w:val="800080"/>
      <w:u w:val="single"/>
    </w:rPr>
  </w:style>
  <w:style w:type="character" w:styleId="734">
    <w:name w:val="超链接"/>
    <w:next w:val="734"/>
    <w:link w:val="660"/>
    <w:rPr>
      <w:color w:val="0000ff"/>
      <w:u w:val="single"/>
    </w:rPr>
  </w:style>
  <w:style w:type="character" w:styleId="735">
    <w:name w:val="批注引用"/>
    <w:next w:val="735"/>
    <w:link w:val="660"/>
    <w:semiHidden/>
    <w:rPr>
      <w:sz w:val="21"/>
      <w:szCs w:val="21"/>
    </w:rPr>
  </w:style>
  <w:style w:type="character" w:styleId="736">
    <w:name w:val="font5 Char"/>
    <w:next w:val="736"/>
    <w:link w:val="660"/>
    <w:rPr>
      <w:rFonts w:ascii="宋体" w:hAnsi="宋体" w:eastAsia="宋体"/>
      <w:sz w:val="28"/>
      <w:szCs w:val="28"/>
      <w:lang w:val="en-US" w:eastAsia="zh-CN" w:bidi="ar-SA"/>
    </w:rPr>
  </w:style>
  <w:style w:type="character" w:styleId="737">
    <w:name w:val="二级目录 Char"/>
    <w:next w:val="737"/>
    <w:link w:val="738"/>
    <w:rPr>
      <w:b/>
      <w:sz w:val="30"/>
      <w:szCs w:val="28"/>
    </w:rPr>
  </w:style>
  <w:style w:type="paragraph" w:styleId="738">
    <w:name w:val="二级目录"/>
    <w:next w:val="660"/>
    <w:link w:val="737"/>
    <w:pPr>
      <w:numPr>
        <w:ilvl w:val="0"/>
        <w:numId w:val="2"/>
      </w:numPr>
      <w:tabs>
        <w:tab w:val="left" w:pos="907" w:leader="none"/>
        <w:tab w:val="left" w:pos="1145" w:leader="none"/>
      </w:tabs>
      <w:outlineLvl w:val="1"/>
    </w:pPr>
    <w:rPr>
      <w:b/>
      <w:sz w:val="30"/>
      <w:szCs w:val="28"/>
      <w:lang w:val="en-US" w:eastAsia="zh-CN" w:bidi="ar-SA"/>
    </w:rPr>
  </w:style>
  <w:style w:type="character" w:styleId="739">
    <w:name w:val="列出段落 Char,Bullet List Char,numbered Char,FooterText Char,List Paragraph1 Char,Paragraphe de liste1 Char"/>
    <w:next w:val="739"/>
    <w:link w:val="740"/>
    <w:rPr>
      <w:rFonts w:ascii="Calibri" w:hAnsi="Calibri"/>
      <w:sz w:val="24"/>
      <w:szCs w:val="24"/>
      <w:lang w:eastAsia="en-US" w:bidi="en-US"/>
    </w:rPr>
  </w:style>
  <w:style w:type="paragraph" w:styleId="740">
    <w:name w:val="列出段落1"/>
    <w:basedOn w:val="660"/>
    <w:next w:val="740"/>
    <w:link w:val="739"/>
    <w:qFormat/>
    <w:pPr>
      <w:contextualSpacing/>
      <w:ind w:left="720"/>
      <w:jc w:val="left"/>
      <w:widowControl/>
    </w:pPr>
    <w:rPr>
      <w:rFonts w:ascii="Calibri" w:hAnsi="Calibri" w:eastAsia="宋体" w:cs="Times New Roman"/>
      <w:sz w:val="24"/>
      <w:szCs w:val="24"/>
      <w:lang w:eastAsia="en-US" w:bidi="en-US"/>
    </w:rPr>
  </w:style>
  <w:style w:type="paragraph" w:styleId="741">
    <w:name w:val="Body Text(ch)"/>
    <w:basedOn w:val="660"/>
    <w:next w:val="673"/>
    <w:link w:val="660"/>
    <w:pPr>
      <w:spacing w:after="120"/>
    </w:pPr>
    <w:rPr>
      <w:rFonts w:ascii="宋体" w:hAnsi="Arial"/>
      <w:bCs/>
      <w:iCs/>
      <w:szCs w:val="24"/>
    </w:rPr>
  </w:style>
  <w:style w:type="paragraph" w:styleId="742">
    <w:name w:val="xl27"/>
    <w:basedOn w:val="660"/>
    <w:next w:val="742"/>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3">
    <w:name w:val="xl26"/>
    <w:basedOn w:val="660"/>
    <w:next w:val="743"/>
    <w:link w:val="6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4">
    <w:name w:val="Char"/>
    <w:basedOn w:val="660"/>
    <w:next w:val="744"/>
    <w:link w:val="660"/>
    <w:pPr>
      <w:ind w:firstLine="200"/>
      <w:tabs>
        <w:tab w:val="left" w:pos="360" w:leader="none"/>
      </w:tabs>
    </w:pPr>
    <w:rPr>
      <w:sz w:val="28"/>
      <w:szCs w:val="30"/>
    </w:rPr>
  </w:style>
  <w:style w:type="paragraph" w:styleId="745">
    <w:name w:val=" Char"/>
    <w:basedOn w:val="689"/>
    <w:next w:val="745"/>
    <w:link w:val="660"/>
    <w:rPr>
      <w:rFonts w:ascii="Tahoma" w:hAnsi="Tahoma"/>
      <w:sz w:val="24"/>
      <w:szCs w:val="24"/>
    </w:rPr>
  </w:style>
  <w:style w:type="paragraph" w:styleId="746">
    <w:name w:val="普通正文"/>
    <w:basedOn w:val="660"/>
    <w:next w:val="746"/>
    <w:link w:val="660"/>
    <w:pPr>
      <w:ind w:firstLine="480"/>
      <w:jc w:val="left"/>
      <w:spacing w:before="120" w:after="120" w:line="360" w:lineRule="auto"/>
    </w:pPr>
    <w:rPr>
      <w:rFonts w:ascii="Arial" w:hAnsi="Arial"/>
      <w:sz w:val="24"/>
      <w:szCs w:val="24"/>
    </w:rPr>
  </w:style>
  <w:style w:type="paragraph" w:styleId="747">
    <w:name w:val="table_lines"/>
    <w:basedOn w:val="660"/>
    <w:next w:val="747"/>
    <w:link w:val="660"/>
    <w:pPr>
      <w:jc w:val="left"/>
      <w:widowControl/>
    </w:pPr>
    <w:rPr>
      <w:sz w:val="20"/>
      <w:szCs w:val="20"/>
      <w:lang w:val="de-DE" w:eastAsia="de-DE"/>
    </w:rPr>
  </w:style>
  <w:style w:type="paragraph" w:styleId="748">
    <w:name w:val="附录1"/>
    <w:next w:val="748"/>
    <w:link w:val="66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9">
    <w:name w:val="font7"/>
    <w:basedOn w:val="660"/>
    <w:next w:val="749"/>
    <w:link w:val="660"/>
    <w:pPr>
      <w:jc w:val="left"/>
      <w:spacing w:before="100" w:beforeAutospacing="1" w:after="100" w:afterAutospacing="1"/>
      <w:widowControl/>
    </w:pPr>
    <w:rPr>
      <w:rFonts w:hint="eastAsia" w:ascii="宋体" w:hAnsi="宋体"/>
      <w:sz w:val="18"/>
      <w:szCs w:val="18"/>
    </w:rPr>
  </w:style>
  <w:style w:type="paragraph" w:styleId="750">
    <w:name w:val=" Char Char Char Char"/>
    <w:basedOn w:val="689"/>
    <w:next w:val="750"/>
    <w:link w:val="660"/>
    <w:pPr>
      <w:spacing w:line="360" w:lineRule="auto"/>
    </w:pPr>
    <w:rPr>
      <w:rFonts w:ascii="Tahoma" w:hAnsi="Tahoma"/>
      <w:sz w:val="24"/>
      <w:szCs w:val="24"/>
    </w:rPr>
  </w:style>
  <w:style w:type="paragraph" w:styleId="751">
    <w:name w:val="列出段落"/>
    <w:basedOn w:val="660"/>
    <w:next w:val="751"/>
    <w:link w:val="660"/>
    <w:qFormat/>
    <w:pPr>
      <w:contextualSpacing/>
      <w:ind w:left="720"/>
      <w:jc w:val="left"/>
      <w:widowControl/>
    </w:pPr>
    <w:rPr>
      <w:rFonts w:ascii="Calibri" w:hAnsi="Calibri"/>
      <w:sz w:val="24"/>
      <w:szCs w:val="24"/>
      <w:lang w:eastAsia="en-US" w:bidi="en-US"/>
    </w:rPr>
  </w:style>
  <w:style w:type="paragraph" w:styleId="752">
    <w:name w:val="4"/>
    <w:basedOn w:val="660"/>
    <w:next w:val="717"/>
    <w:link w:val="660"/>
    <w:pPr>
      <w:ind w:firstLine="420"/>
      <w:spacing w:line="360" w:lineRule="auto"/>
    </w:pPr>
    <w:rPr>
      <w:color w:val="ff0000"/>
      <w:sz w:val="24"/>
      <w:szCs w:val="24"/>
    </w:rPr>
  </w:style>
  <w:style w:type="paragraph" w:styleId="753">
    <w:name w:val="普通 (Web)"/>
    <w:basedOn w:val="660"/>
    <w:next w:val="753"/>
    <w:link w:val="660"/>
    <w:pPr>
      <w:jc w:val="left"/>
      <w:spacing w:before="100" w:beforeAutospacing="1" w:after="100" w:afterAutospacing="1"/>
      <w:widowControl/>
    </w:pPr>
    <w:rPr>
      <w:rFonts w:ascii="宋体" w:hAnsi="宋体"/>
      <w:sz w:val="24"/>
      <w:szCs w:val="24"/>
    </w:rPr>
  </w:style>
  <w:style w:type="paragraph" w:styleId="754">
    <w:name w:val=" Char Char Char Char Char Char Char Char Char Char"/>
    <w:basedOn w:val="660"/>
    <w:next w:val="754"/>
    <w:link w:val="660"/>
    <w:pPr>
      <w:spacing w:line="360" w:lineRule="auto"/>
    </w:pPr>
    <w:rPr>
      <w:sz w:val="24"/>
      <w:szCs w:val="20"/>
    </w:rPr>
  </w:style>
  <w:style w:type="paragraph" w:styleId="755">
    <w:name w:val="样式1"/>
    <w:basedOn w:val="660"/>
    <w:next w:val="755"/>
    <w:link w:val="660"/>
    <w:pPr>
      <w:numPr>
        <w:ilvl w:val="0"/>
        <w:numId w:val="3"/>
      </w:numPr>
      <w:tabs>
        <w:tab w:val="left" w:pos="709" w:leader="none"/>
      </w:tabs>
    </w:pPr>
    <w:rPr>
      <w:rFonts w:ascii="宋体" w:hAnsi="宋体"/>
    </w:rPr>
  </w:style>
  <w:style w:type="paragraph" w:styleId="756">
    <w:name w:val="font6"/>
    <w:basedOn w:val="660"/>
    <w:next w:val="756"/>
    <w:link w:val="660"/>
    <w:pPr>
      <w:jc w:val="left"/>
      <w:spacing w:before="100" w:beforeAutospacing="1" w:after="100" w:afterAutospacing="1"/>
      <w:widowControl/>
    </w:pPr>
    <w:rPr>
      <w:rFonts w:hint="eastAsia" w:ascii="宋体" w:hAnsi="宋体"/>
      <w:sz w:val="28"/>
      <w:szCs w:val="28"/>
      <w:u w:val="single"/>
    </w:rPr>
  </w:style>
  <w:style w:type="paragraph" w:styleId="757">
    <w:name w:val="xl25"/>
    <w:basedOn w:val="660"/>
    <w:next w:val="757"/>
    <w:link w:val="6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8">
    <w:name w:val="图标"/>
    <w:basedOn w:val="660"/>
    <w:next w:val="660"/>
    <w:link w:val="66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59">
    <w:name w:val="标题3"/>
    <w:basedOn w:val="660"/>
    <w:next w:val="660"/>
    <w:link w:val="660"/>
    <w:pPr>
      <w:ind w:firstLine="624"/>
      <w:spacing w:line="590" w:lineRule="atLeast"/>
    </w:pPr>
    <w:rPr>
      <w:rFonts w:ascii="方正黑体_GBK" w:eastAsia="方正黑体_GBK"/>
      <w:sz w:val="32"/>
      <w:szCs w:val="32"/>
    </w:rPr>
  </w:style>
  <w:style w:type="paragraph" w:styleId="760">
    <w:name w:val="xl24"/>
    <w:basedOn w:val="660"/>
    <w:next w:val="760"/>
    <w:link w:val="6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1">
    <w:name w:val="xl29"/>
    <w:basedOn w:val="660"/>
    <w:next w:val="761"/>
    <w:link w:val="66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2">
    <w:name w:val="Char Char Char Char Char Char Char Char"/>
    <w:basedOn w:val="660"/>
    <w:next w:val="762"/>
    <w:link w:val="660"/>
    <w:pPr>
      <w:jc w:val="left"/>
      <w:spacing w:after="160" w:line="240" w:lineRule="exact"/>
      <w:widowControl/>
    </w:pPr>
    <w:rPr>
      <w:rFonts w:ascii="Verdana" w:hAnsi="Verdana"/>
      <w:sz w:val="20"/>
      <w:szCs w:val="20"/>
      <w:lang w:eastAsia="en-US"/>
    </w:rPr>
  </w:style>
  <w:style w:type="paragraph" w:styleId="763">
    <w:name w:val="xl28"/>
    <w:basedOn w:val="660"/>
    <w:next w:val="763"/>
    <w:link w:val="6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4">
    <w:name w:val=" Char Char Char Char Char Char Char Char"/>
    <w:basedOn w:val="660"/>
    <w:next w:val="764"/>
    <w:link w:val="660"/>
    <w:pPr>
      <w:jc w:val="left"/>
      <w:spacing w:after="160" w:line="240" w:lineRule="exact"/>
      <w:widowControl/>
    </w:pPr>
    <w:rPr>
      <w:rFonts w:ascii="Verdana" w:hAnsi="Verdana"/>
      <w:sz w:val="20"/>
      <w:szCs w:val="20"/>
      <w:lang w:eastAsia="en-US"/>
    </w:rPr>
  </w:style>
  <w:style w:type="paragraph" w:styleId="765">
    <w:name w:val="xl30"/>
    <w:basedOn w:val="660"/>
    <w:next w:val="765"/>
    <w:link w:val="660"/>
    <w:pPr>
      <w:jc w:val="center"/>
      <w:spacing w:before="100" w:beforeAutospacing="1" w:after="100" w:afterAutospacing="1"/>
      <w:widowControl/>
    </w:pPr>
    <w:rPr>
      <w:rFonts w:ascii="宋体" w:hAnsi="宋体"/>
      <w:b/>
      <w:bCs/>
      <w:sz w:val="36"/>
      <w:szCs w:val="36"/>
    </w:rPr>
  </w:style>
  <w:style w:type="paragraph" w:styleId="766">
    <w:name w:val="Char Char Char Char"/>
    <w:basedOn w:val="689"/>
    <w:next w:val="766"/>
    <w:link w:val="660"/>
    <w:pPr>
      <w:spacing w:line="360" w:lineRule="auto"/>
    </w:pPr>
    <w:rPr>
      <w:rFonts w:ascii="Tahoma" w:hAnsi="Tahoma"/>
      <w:sz w:val="24"/>
      <w:szCs w:val="24"/>
    </w:rPr>
  </w:style>
  <w:style w:type="paragraph" w:styleId="767">
    <w:name w:val="table_1stline"/>
    <w:basedOn w:val="660"/>
    <w:next w:val="767"/>
    <w:link w:val="660"/>
    <w:pPr>
      <w:jc w:val="left"/>
      <w:spacing w:before="120"/>
      <w:widowControl/>
    </w:pPr>
    <w:rPr>
      <w:bCs/>
      <w:sz w:val="20"/>
      <w:szCs w:val="20"/>
      <w:lang w:val="de-DE" w:eastAsia="de-DE"/>
    </w:rPr>
  </w:style>
  <w:style w:type="paragraph" w:styleId="768">
    <w:name w:val="font5"/>
    <w:basedOn w:val="660"/>
    <w:next w:val="768"/>
    <w:link w:val="660"/>
    <w:pPr>
      <w:jc w:val="left"/>
      <w:spacing w:before="100" w:beforeAutospacing="1" w:after="100" w:afterAutospacing="1"/>
      <w:widowControl/>
    </w:pPr>
    <w:rPr>
      <w:rFonts w:hint="eastAsia" w:ascii="宋体" w:hAnsi="宋体"/>
      <w:sz w:val="28"/>
      <w:szCs w:val="28"/>
    </w:rPr>
  </w:style>
  <w:style w:type="paragraph" w:styleId="769">
    <w:name w:val="标题1"/>
    <w:basedOn w:val="660"/>
    <w:next w:val="660"/>
    <w:link w:val="660"/>
    <w:pPr>
      <w:jc w:val="center"/>
      <w:spacing w:line="700" w:lineRule="atLeast"/>
      <w:tabs>
        <w:tab w:val="left" w:pos="9193" w:leader="none"/>
        <w:tab w:val="left" w:pos="9827" w:leader="none"/>
      </w:tabs>
    </w:pPr>
    <w:rPr>
      <w:rFonts w:ascii="方正小标宋_GBK" w:eastAsia="方正小标宋_GBK"/>
      <w:sz w:val="44"/>
      <w:szCs w:val="20"/>
    </w:rPr>
  </w:style>
  <w:style w:type="paragraph" w:styleId="770">
    <w:name w:val="修订"/>
    <w:next w:val="770"/>
    <w:link w:val="660"/>
    <w:uiPriority w:val="99"/>
    <w:semiHidden/>
    <w:rPr>
      <w:rFonts w:ascii="Times New Roman" w:hAnsi="Times New Roman"/>
      <w:sz w:val="21"/>
      <w:szCs w:val="21"/>
      <w:lang w:val="en-US" w:eastAsia="zh-CN" w:bidi="ar-SA"/>
    </w:rPr>
  </w:style>
  <w:style w:type="paragraph" w:styleId="771">
    <w:name w:val="无间隔"/>
    <w:next w:val="771"/>
    <w:link w:val="660"/>
    <w:uiPriority w:val="99"/>
    <w:qFormat/>
    <w:pPr>
      <w:jc w:val="both"/>
      <w:widowControl w:val="off"/>
    </w:pPr>
    <w:rPr>
      <w:rFonts w:ascii="Times New Roman" w:hAnsi="Times New Roman"/>
      <w:sz w:val="21"/>
      <w:szCs w:val="21"/>
      <w:lang w:val="en-US" w:eastAsia="zh-CN" w:bidi="ar-SA"/>
    </w:rPr>
  </w:style>
  <w:style w:type="paragraph" w:styleId="772">
    <w:name w:val="正文首行缩进1"/>
    <w:basedOn w:val="660"/>
    <w:next w:val="772"/>
    <w:link w:val="660"/>
    <w:qFormat/>
    <w:pPr>
      <w:ind w:firstLine="200"/>
      <w:spacing w:line="360" w:lineRule="auto"/>
    </w:pPr>
    <w:rPr>
      <w:rFonts w:ascii="仿宋_GB2312" w:hAnsi="Arial" w:eastAsia="仿宋_GB2312"/>
      <w:sz w:val="30"/>
      <w:szCs w:val="30"/>
    </w:rPr>
  </w:style>
  <w:style w:type="character" w:styleId="773">
    <w:name w:val="font21"/>
    <w:next w:val="773"/>
    <w:link w:val="660"/>
    <w:qFormat/>
    <w:rPr>
      <w:rFonts w:hint="eastAsia" w:ascii="仿宋" w:hAnsi="仿宋" w:eastAsia="仿宋" w:cs="仿宋"/>
      <w:color w:val="000000"/>
      <w:sz w:val="24"/>
      <w:szCs w:val="24"/>
      <w:u w:val="none"/>
    </w:rPr>
  </w:style>
  <w:style w:type="character" w:styleId="774">
    <w:name w:val="font11"/>
    <w:next w:val="774"/>
    <w:link w:val="660"/>
    <w:qFormat/>
    <w:rPr>
      <w:rFonts w:hint="eastAsia" w:ascii="仿宋" w:hAnsi="仿宋" w:eastAsia="仿宋" w:cs="仿宋"/>
      <w:color w:val="000000"/>
      <w:sz w:val="24"/>
      <w:szCs w:val="24"/>
      <w:u w:val="none"/>
    </w:rPr>
  </w:style>
  <w:style w:type="paragraph" w:styleId="775">
    <w:name w:val="普通(网站)1"/>
    <w:basedOn w:val="660"/>
    <w:next w:val="775"/>
    <w:link w:val="660"/>
    <w:uiPriority w:val="99"/>
    <w:qFormat/>
    <w:pPr>
      <w:jc w:val="left"/>
      <w:spacing w:before="100" w:beforeAutospacing="1" w:after="100" w:afterAutospacing="1"/>
      <w:widowControl/>
    </w:pPr>
    <w:rPr>
      <w:rFonts w:ascii="宋体" w:hAnsi="宋体" w:cs="宋体"/>
      <w:sz w:val="24"/>
      <w:szCs w:val="24"/>
    </w:rPr>
  </w:style>
  <w:style w:type="character" w:styleId="9028" w:default="1">
    <w:name w:val="Default Paragraph Font"/>
    <w:uiPriority w:val="1"/>
    <w:semiHidden/>
    <w:unhideWhenUsed/>
  </w:style>
  <w:style w:type="numbering" w:styleId="9029" w:default="1">
    <w:name w:val="No List"/>
    <w:uiPriority w:val="99"/>
    <w:semiHidden/>
    <w:unhideWhenUsed/>
  </w:style>
  <w:style w:type="table" w:styleId="9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3</cp:revision>
  <dcterms:created xsi:type="dcterms:W3CDTF">2023-03-16T02:16:00Z</dcterms:created>
  <dcterms:modified xsi:type="dcterms:W3CDTF">2024-12-02T05:47:16Z</dcterms:modified>
</cp:coreProperties>
</file>