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rFonts w:hint="eastAsia" w:eastAsia="黑体"/>
          <w:color w:val="auto"/>
          <w:highlight w:val="none"/>
          <w:lang w:eastAsia="zh-CN"/>
        </w:rPr>
        <w:pBdr>
          <w:top w:val="none" w:color="000000" w:sz="0" w:space="0"/>
          <w:left w:val="none" w:color="000000" w:sz="0" w:space="0"/>
          <w:bottom w:val="none" w:color="000000" w:sz="0" w:space="0"/>
          <w:right w:val="none" w:color="000000" w:sz="0" w:space="0"/>
        </w:pBdr>
      </w:pPr>
      <w:r>
        <w:rPr>
          <w:sz w:val="21"/>
        </w:rPr>
        <mc:AlternateContent>
          <mc:Choice Requires="wpg">
            <w:drawing>
              <wp:inline xmlns:wp="http://schemas.openxmlformats.org/drawingml/2006/wordprocessingDrawing" distT="0" distB="0" distL="0" distR="0">
                <wp:extent cx="5501640" cy="8799195"/>
                <wp:effectExtent l="0" t="0" r="3810" b="1905"/>
                <wp:docPr id="1" name="图片 2" descr="171860800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718608001760"/>
                        <pic:cNvPicPr>
                          <a:picLocks noChangeAspect="1"/>
                        </pic:cNvPicPr>
                        <pic:nvPr/>
                      </pic:nvPicPr>
                      <pic:blipFill>
                        <a:blip r:embed="rId13"/>
                        <a:stretch/>
                      </pic:blipFill>
                      <pic:spPr bwMode="auto">
                        <a:xfrm>
                          <a:off x="0" y="0"/>
                          <a:ext cx="5501640" cy="879919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33.2pt;height:692.9pt;mso-wrap-distance-left:0.0pt;mso-wrap-distance-top:0.0pt;mso-wrap-distance-right:0.0pt;mso-wrap-distance-bottom:0.0pt;" stroked="false">
                <v:path textboxrect="0,0,0,0"/>
                <v:imagedata r:id="rId13" o:title=""/>
              </v:shape>
            </w:pict>
          </mc:Fallback>
        </mc:AlternateContent>
      </w: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2080260</wp:posOffset>
                </wp:positionH>
                <wp:positionV relativeFrom="paragraph">
                  <wp:posOffset>-3493770</wp:posOffset>
                </wp:positionV>
                <wp:extent cx="3180080" cy="314325"/>
                <wp:effectExtent l="0" t="0" r="1270" b="9525"/>
                <wp:wrapNone/>
                <wp:docPr id="2" name="文本框 3"/>
                <wp:cNvGraphicFramePr/>
                <a:graphic xmlns:a="http://schemas.openxmlformats.org/drawingml/2006/main">
                  <a:graphicData uri="http://schemas.microsoft.com/office/word/2010/wordprocessingShape">
                    <wps:wsp>
                      <wps:cNvPr id="0" name=""/>
                      <wps:cNvSpPr txBox="1"/>
                      <wps:spPr bwMode="auto">
                        <a:xfrm>
                          <a:off x="2937510" y="5782945"/>
                          <a:ext cx="3180080" cy="314325"/>
                        </a:xfrm>
                        <a:prstGeom prst="rect">
                          <a:avLst/>
                        </a:prstGeom>
                        <a:solidFill>
                          <a:schemeClr val="lt1"/>
                        </a:solidFill>
                        <a:ln w="6350">
                          <a:noFill/>
                        </a:ln>
                      </wps:spPr>
                      <wps:style>
                        <a:lnRef idx="0">
                          <a:schemeClr val="accent1"/>
                        </a:lnRef>
                        <a:fillRef idx="0">
                          <a:schemeClr val="accent1"/>
                        </a:fillRef>
                        <a:effectRef idx="0">
                          <a:schemeClr val="accent1"/>
                        </a:effectRef>
                        <a:fontRef idx="minor">
                          <a:schemeClr val="dk1"/>
                        </a:fontRef>
                      </wps:style>
                      <wps:txbx>
                        <w:txbxContent>
                          <w:p>
                            <w:pPr>
                              <w:rPr>
                                <w:highlight w:val="none"/>
                              </w:rPr>
                            </w:pPr>
                            <w:r>
                              <w:rPr>
                                <w:rFonts w:hint="default" w:ascii="宋体" w:hAnsi="宋体" w:cs="宋体"/>
                                <w:b/>
                                <w:color w:val="auto"/>
                                <w:sz w:val="32"/>
                                <w:highlight w:val="none"/>
                              </w:rPr>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text;margin-left:163.8pt;mso-position-horizontal:absolute;mso-position-vertical-relative:text;margin-top:-275.1pt;mso-position-vertical:absolute;width:250.4pt;height:24.8pt;mso-wrap-distance-left:9.0pt;mso-wrap-distance-top:0.0pt;mso-wrap-distance-right:9.0pt;mso-wrap-distance-bottom:0.0pt;v-text-anchor:top;visibility:visible;" fillcolor="#FFFFFF" stroked="f" strokeweight="0.50pt">
                <v:textbox inset="0,0,0,0">
                  <w:txbxContent>
                    <w:p>
                      <w:pPr>
                        <w:rPr>
                          <w:highlight w:val="none"/>
                        </w:rPr>
                      </w:pPr>
                      <w:r>
                        <w:rPr>
                          <w:rFonts w:hint="default" w:ascii="宋体" w:hAnsi="宋体" w:cs="宋体"/>
                          <w:b/>
                          <w:color w:val="auto"/>
                          <w:sz w:val="32"/>
                          <w:highlight w:val="none"/>
                        </w:rPr>
                      </w:r>
                      <w:r/>
                    </w:p>
                  </w:txbxContent>
                </v:textbox>
              </v:shape>
            </w:pict>
          </mc:Fallback>
        </mc:AlternateContent>
      </w:r>
      <w:r>
        <w:rPr>
          <w:rFonts w:ascii="黑体" w:hAnsi="黑体" w:eastAsia="黑体" w:cs="黑体"/>
          <w:b/>
          <w:color w:val="auto"/>
          <w:sz w:val="84"/>
          <w:highlight w:val="none"/>
        </w:rPr>
        <w:t xml:space="preserve">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84"/>
          <w:highlight w:val="none"/>
        </w:rPr>
        <w:t xml:space="preserve"> </w:t>
      </w:r>
      <w:r>
        <w:rPr>
          <w:color w:val="auto"/>
          <w:highlight w:val="none"/>
        </w:rPr>
        <w:t xml:space="preserve">   </w:t>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mc:AlternateContent>
          <mc:Choice Requires="wpg">
            <w:drawing>
              <wp:inline xmlns:wp="http://schemas.openxmlformats.org/drawingml/2006/wordprocessingDrawing" distT="0" distB="0" distL="0" distR="0">
                <wp:extent cx="5687060" cy="938530"/>
                <wp:effectExtent l="0" t="0" r="8890" b="139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5687060" cy="938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47.8pt;height:73.9pt;mso-wrap-distance-left:0.0pt;mso-wrap-distance-top:0.0pt;mso-wrap-distance-right:0.0pt;mso-wrap-distance-bottom:0.0pt;" stroked="f">
                <v:path textboxrect="0,0,0,0"/>
                <v:imagedata r:id="rId14" o:title=""/>
              </v:shape>
            </w:pict>
          </mc:Fallback>
        </mc:AlternateConten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spacing w:before="240" w:after="240"/>
        <w:rPr>
          <w:color w:val="auto"/>
          <w:sz w:val="24"/>
          <w:szCs w:val="24"/>
          <w:highlight w:val="none"/>
        </w:rPr>
        <w:pBdr>
          <w:top w:val="none" w:color="000000" w:sz="0" w:space="0"/>
          <w:left w:val="none" w:color="000000" w:sz="0" w:space="0"/>
          <w:bottom w:val="none" w:color="000000" w:sz="0" w:space="0"/>
          <w:right w:val="none" w:color="000000" w:sz="0" w:space="0"/>
        </w:pBdr>
      </w:pPr>
      <w:r>
        <w:rPr>
          <w:color w:val="auto"/>
          <w:sz w:val="24"/>
          <w:szCs w:val="24"/>
          <w:highlight w:val="none"/>
        </w:rPr>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ind w:firstLine="2088"/>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ind w:left="3158" w:hanging="160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项目名称：</w:t>
      </w:r>
      <w:r>
        <w:rPr>
          <w:rFonts w:hint="eastAsia" w:ascii="宋体" w:hAnsi="宋体" w:cs="宋体"/>
          <w:b/>
          <w:color w:val="auto"/>
          <w:sz w:val="30"/>
          <w:highlight w:val="none"/>
          <w:lang w:eastAsia="zh-CN"/>
        </w:rPr>
        <w:t xml:space="preserve">同兴镇和圩、玉兴、李庄等16个村村庄规划编制项目（专门面向中小微企业）</w:t>
      </w:r>
      <w:r/>
    </w:p>
    <w:p>
      <w:pPr>
        <w:ind w:left="1558" w:firstLine="2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项目编号：JSZC-320723-XHGS-G2024-0008</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7"/>
        <w:gridCol w:w="3300"/>
        <w:gridCol w:w="5582"/>
      </w:tblGrid>
      <w:tr>
        <w:trPr>
          <w:trHeight w:val="717"/>
        </w:trPr>
        <w:tc>
          <w:tcPr>
            <w:shd w:val="clear" w:color="auto" w:fill="auto"/>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28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tc>
        <w:tc>
          <w:tcPr>
            <w:shd w:val="clear" w:color="auto" w:fill="auto"/>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330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采购人：</w:t>
            </w:r>
            <w:r/>
          </w:p>
        </w:tc>
        <w:tc>
          <w:tcPr>
            <w:shd w:val="clear" w:color="auto" w:fill="auto"/>
            <w:tcBorders>
              <w:top w:val="single" w:color="000000" w:sz="18" w:space="0"/>
              <w:left w:val="none" w:color="000000" w:sz="4" w:space="0"/>
              <w:bottom w:val="none" w:color="000000" w:sz="4" w:space="0"/>
              <w:right w:val="none" w:color="000000" w:sz="4" w:space="0"/>
            </w:tcBorders>
            <w:tcMar>
              <w:left w:w="108" w:type="dxa"/>
              <w:top w:w="0" w:type="dxa"/>
              <w:right w:w="108" w:type="dxa"/>
              <w:bottom w:w="0" w:type="dxa"/>
            </w:tcMar>
            <w:tcW w:w="5582" w:type="dxa"/>
            <w:vAlign w:val="center"/>
            <w:textDirection w:val="lrTb"/>
            <w:noWrap w:val="false"/>
          </w:tcPr>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pacing w:val="20"/>
                <w:sz w:val="32"/>
                <w:highlight w:val="none"/>
                <w:lang w:eastAsia="zh-CN"/>
              </w:rPr>
              <w:t xml:space="preserve">灌云县同兴镇人民政府</w:t>
            </w:r>
            <w:r/>
          </w:p>
        </w:tc>
      </w:tr>
      <w:tr>
        <w:trPr>
          <w:trHeight w:val="865"/>
        </w:trPr>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8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30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采购代理机构：</w:t>
            </w:r>
            <w:r/>
          </w:p>
        </w:tc>
        <w:tc>
          <w:tcPr>
            <w:shd w:val="clear" w:color="auto" w:fill="auto"/>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582" w:type="dxa"/>
            <w:vAlign w:val="center"/>
            <w:textDirection w:val="lrTb"/>
            <w:noWrap w:val="false"/>
          </w:tcPr>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楷体" w:hAnsi="楷体" w:eastAsia="楷体" w:cs="楷体"/>
                <w:b/>
                <w:color w:val="auto"/>
                <w:spacing w:val="20"/>
                <w:sz w:val="32"/>
                <w:highlight w:val="none"/>
                <w:lang w:eastAsia="zh-CN"/>
              </w:rPr>
              <w:t xml:space="preserve"> 连云港新宏项目管理有限公司</w:t>
            </w:r>
            <w:r/>
          </w:p>
        </w:tc>
      </w:tr>
    </w:tbl>
    <w:p>
      <w:pPr>
        <w:jc w:val="center"/>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rFonts w:ascii="黑体" w:hAnsi="黑体" w:eastAsia="黑体" w:cs="黑体"/>
          <w:b/>
          <w:color w:val="auto"/>
          <w:sz w:val="44"/>
          <w:highlight w:val="none"/>
        </w:rPr>
        <w:t xml:space="preserve">总目录</w:t>
      </w:r>
      <w:r/>
    </w:p>
    <w:p>
      <w:p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auto"/>
          <w:sz w:val="28"/>
          <w:highlight w:val="none"/>
        </w:rPr>
        <w:t xml:space="preserve"> </w:t>
      </w:r>
      <w:r/>
    </w:p>
    <w:p>
      <w:pPr>
        <w:numPr>
          <w:ilvl w:val="0"/>
          <w:numId w:val="4"/>
        </w:num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投标邀请……………………………………3</w:t>
      </w:r>
      <w:r/>
    </w:p>
    <w:p>
      <w:pPr>
        <w:numPr>
          <w:ilvl w:val="0"/>
          <w:numId w:val="4"/>
        </w:num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投标人须知…………………………………10  </w:t>
      </w:r>
      <w:r/>
    </w:p>
    <w:p>
      <w:pPr>
        <w:numPr>
          <w:ilvl w:val="0"/>
          <w:numId w:val="4"/>
        </w:num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合同文本……………………………………22</w:t>
      </w:r>
      <w:r/>
    </w:p>
    <w:p>
      <w:pPr>
        <w:numPr>
          <w:ilvl w:val="0"/>
          <w:numId w:val="4"/>
        </w:num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采购需求……………………………………28</w:t>
      </w:r>
      <w:r/>
    </w:p>
    <w:p>
      <w:pPr>
        <w:numPr>
          <w:ilvl w:val="0"/>
          <w:numId w:val="4"/>
        </w:num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评标方法与评标标准………………………33</w:t>
      </w:r>
      <w:r/>
    </w:p>
    <w:p>
      <w:pPr>
        <w:numPr>
          <w:ilvl w:val="0"/>
          <w:numId w:val="4"/>
        </w:numPr>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6"/>
          <w:highlight w:val="none"/>
        </w:rPr>
        <w:t xml:space="preserve">投标文件格式………………………………40</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pStyle w:val="657"/>
        <w:jc w:val="center"/>
        <w:spacing w:before="0" w:after="0"/>
        <w:rPr>
          <w:rFonts w:ascii="黑体" w:hAnsi="黑体" w:eastAsia="黑体" w:cs="黑体"/>
          <w:b/>
          <w:color w:val="auto"/>
          <w:sz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r>
      <w:r/>
    </w:p>
    <w:p>
      <w:pPr>
        <w:rPr>
          <w:rFonts w:ascii="黑体" w:hAnsi="黑体" w:eastAsia="黑体" w:cs="黑体"/>
          <w:b/>
          <w:color w:val="auto"/>
          <w:sz w:val="44"/>
          <w:highlight w:val="none"/>
        </w:rPr>
      </w:pPr>
      <w:r>
        <w:rPr>
          <w:rFonts w:ascii="黑体" w:hAnsi="黑体" w:eastAsia="黑体" w:cs="黑体"/>
          <w:b/>
          <w:color w:val="auto"/>
          <w:sz w:val="44"/>
          <w:highlight w:val="none"/>
        </w:rPr>
        <w:br w:type="page" w:clear="all"/>
      </w:r>
      <w:r/>
    </w:p>
    <w:p>
      <w:pPr>
        <w:pStyle w:val="657"/>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t xml:space="preserve">第一章投标邀请</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受[</w:t>
      </w:r>
      <w:r>
        <w:rPr>
          <w:rFonts w:hint="eastAsia" w:ascii="宋体" w:hAnsi="宋体" w:cs="宋体"/>
          <w:color w:val="auto"/>
          <w:sz w:val="24"/>
          <w:highlight w:val="none"/>
          <w:lang w:eastAsia="zh-CN"/>
        </w:rPr>
        <w:t xml:space="preserve">灌云县同兴镇人民政府</w:t>
      </w:r>
      <w:r>
        <w:rPr>
          <w:rFonts w:hint="eastAsia" w:ascii="宋体" w:hAnsi="宋体" w:cs="宋体"/>
          <w:color w:val="auto"/>
          <w:sz w:val="24"/>
          <w:highlight w:val="none"/>
        </w:rPr>
        <w:t xml:space="preserve"> </w:t>
      </w:r>
      <w:r>
        <w:rPr>
          <w:rFonts w:ascii="宋体" w:hAnsi="宋体" w:cs="宋体"/>
          <w:color w:val="auto"/>
          <w:sz w:val="24"/>
          <w:highlight w:val="none"/>
        </w:rPr>
        <w:t xml:space="preserve">]的委托，</w:t>
      </w:r>
      <w:r>
        <w:rPr>
          <w:rFonts w:hint="eastAsia" w:ascii="宋体" w:hAnsi="宋体" w:cs="宋体"/>
          <w:color w:val="auto"/>
          <w:sz w:val="24"/>
          <w:highlight w:val="none"/>
          <w:lang w:eastAsia="zh-CN"/>
        </w:rPr>
        <w:t xml:space="preserve">连云港新宏项目管理有限公司</w:t>
      </w:r>
      <w:r>
        <w:rPr>
          <w:rFonts w:ascii="宋体" w:hAnsi="宋体" w:cs="宋体"/>
          <w:color w:val="auto"/>
          <w:sz w:val="24"/>
          <w:highlight w:val="none"/>
        </w:rPr>
        <w:t xml:space="preserve">就</w:t>
      </w:r>
      <w:r>
        <w:rPr>
          <w:rFonts w:hint="eastAsia" w:ascii="宋体" w:hAnsi="宋体" w:cs="宋体"/>
          <w:color w:val="auto"/>
          <w:sz w:val="24"/>
          <w:highlight w:val="none"/>
          <w:lang w:eastAsia="zh-CN"/>
        </w:rPr>
        <w:t xml:space="preserve">同兴镇和圩、玉兴、李庄等16个村村庄规划编制项目（专门面向中小微企业）</w:t>
      </w:r>
      <w:r>
        <w:rPr>
          <w:rFonts w:ascii="宋体" w:hAnsi="宋体" w:cs="宋体"/>
          <w:color w:val="auto"/>
          <w:sz w:val="24"/>
          <w:highlight w:val="none"/>
        </w:rPr>
        <w:t xml:space="preserve">([</w:t>
      </w:r>
      <w:r>
        <w:rPr>
          <w:rFonts w:ascii="Segoe UI" w:hAnsi="Segoe UI" w:eastAsia="Segoe UI" w:cs="Segoe UI"/>
          <w:i w:val="0"/>
          <w:iCs w:val="0"/>
          <w:caps w:val="0"/>
          <w:spacing w:val="0"/>
          <w:sz w:val="21"/>
          <w:szCs w:val="21"/>
          <w:shd w:val="clear" w:color="auto" w:fill="ffffff"/>
        </w:rPr>
        <w:t xml:space="preserve">JSZC-320723-XHGS-G2024-0008</w:t>
      </w:r>
      <w:r>
        <w:rPr>
          <w:rFonts w:ascii="宋体" w:hAnsi="宋体" w:cs="宋体"/>
          <w:color w:val="auto"/>
          <w:sz w:val="24"/>
          <w:highlight w:val="none"/>
        </w:rPr>
        <w:t xml:space="preserve">])项目进行公开招标采购，欢迎符合条件的供应商投标。</w:t>
      </w:r>
      <w:r/>
    </w:p>
    <w:p>
      <w:pPr>
        <w:ind w:firstLine="480"/>
        <w:spacing w:line="360" w:lineRule="auto"/>
        <w:rPr>
          <w:color w:val="auto"/>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auto"/>
          <w:sz w:val="24"/>
          <w:highlight w:val="none"/>
        </w:rPr>
        <w:t xml:space="preserve">项目概况</w:t>
      </w:r>
      <w:r/>
    </w:p>
    <w:p>
      <w:pPr>
        <w:ind w:firstLine="480"/>
        <w:spacing w:line="360" w:lineRule="auto"/>
        <w:rPr>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 w:val="24"/>
          <w:highlight w:val="none"/>
          <w:u w:val="single"/>
          <w:lang w:eastAsia="zh-CN"/>
        </w:rPr>
        <w:t xml:space="preserve">同兴镇和圩、玉兴、李庄等16个村村庄规划编制项目（专门面向中小微企业）</w:t>
      </w:r>
      <w:r>
        <w:rPr>
          <w:rFonts w:ascii="宋体" w:hAnsi="宋体" w:cs="宋体"/>
          <w:color w:val="auto"/>
          <w:sz w:val="24"/>
          <w:highlight w:val="none"/>
        </w:rPr>
        <w:t xml:space="preserve">招标项目的潜在投标人可在</w:t>
      </w:r>
      <w:r>
        <w:rPr>
          <w:rFonts w:ascii="宋体" w:hAnsi="宋体" w:cs="宋体"/>
          <w:color w:val="auto"/>
          <w:sz w:val="24"/>
          <w:highlight w:val="none"/>
          <w:u w:val="single"/>
        </w:rPr>
        <w:t xml:space="preserve">“江苏政府采购网”自行免费下载</w:t>
      </w:r>
      <w:r>
        <w:rPr>
          <w:rFonts w:ascii="宋体" w:hAnsi="宋体" w:cs="宋体"/>
          <w:color w:val="auto"/>
          <w:sz w:val="24"/>
          <w:highlight w:val="none"/>
        </w:rPr>
        <w:t xml:space="preserve">招标文件，并于</w:t>
      </w:r>
      <w:r>
        <w:rPr>
          <w:rFonts w:ascii="宋体" w:hAnsi="宋体" w:cs="宋体"/>
          <w:color w:val="auto"/>
          <w:sz w:val="24"/>
          <w:highlight w:val="none"/>
          <w:u w:val="single"/>
        </w:rPr>
        <w:t xml:space="preserve">2024年</w:t>
      </w:r>
      <w:r>
        <w:rPr>
          <w:rFonts w:hint="eastAsia" w:ascii="宋体" w:hAnsi="宋体" w:cs="宋体"/>
          <w:color w:val="auto"/>
          <w:sz w:val="24"/>
          <w:highlight w:val="none"/>
          <w:u w:val="single"/>
          <w:lang w:val="en-US" w:eastAsia="zh-CN"/>
        </w:rPr>
        <w:t xml:space="preserve">07</w:t>
      </w:r>
      <w:r>
        <w:rPr>
          <w:rFonts w:ascii="宋体" w:hAnsi="宋体" w:cs="宋体"/>
          <w:color w:val="auto"/>
          <w:sz w:val="24"/>
          <w:highlight w:val="none"/>
          <w:u w:val="single"/>
        </w:rPr>
        <w:t xml:space="preserve">月</w:t>
      </w:r>
      <w:r>
        <w:rPr>
          <w:rFonts w:hint="eastAsia" w:ascii="宋体" w:hAnsi="宋体" w:cs="宋体"/>
          <w:color w:val="auto"/>
          <w:sz w:val="24"/>
          <w:highlight w:val="none"/>
          <w:u w:val="single"/>
          <w:lang w:val="en-US" w:eastAsia="zh-CN"/>
        </w:rPr>
        <w:t xml:space="preserve">09</w:t>
      </w:r>
      <w:r>
        <w:rPr>
          <w:rFonts w:ascii="宋体" w:hAnsi="宋体" w:cs="宋体"/>
          <w:color w:val="auto"/>
          <w:sz w:val="24"/>
          <w:highlight w:val="none"/>
          <w:u w:val="single"/>
        </w:rPr>
        <w:t xml:space="preserve">日10点00分（</w:t>
      </w:r>
      <w:r>
        <w:rPr>
          <w:rFonts w:ascii="宋体" w:hAnsi="宋体" w:cs="宋体"/>
          <w:color w:val="auto"/>
          <w:sz w:val="24"/>
          <w:highlight w:val="none"/>
        </w:rPr>
        <w:t xml:space="preserve">北京时间）前递交投标文件。</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一、项目基本情况</w:t>
      </w:r>
      <w:r/>
    </w:p>
    <w:p>
      <w:pPr>
        <w:ind w:firstLine="480"/>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1.项目编号：JSZC-320723-XHGS-G2024-0008</w:t>
      </w:r>
      <w:r/>
    </w:p>
    <w:p>
      <w:pPr>
        <w:ind w:firstLine="480"/>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同兴镇和圩、玉兴、李庄等16个村村庄规划编制项目（专门面向中小微企业）</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3.预算金额：</w:t>
      </w:r>
      <w:r>
        <w:rPr>
          <w:rFonts w:hint="eastAsia" w:ascii="宋体" w:hAnsi="宋体" w:cs="宋体"/>
          <w:color w:val="auto"/>
          <w:sz w:val="24"/>
          <w:highlight w:val="none"/>
          <w:lang w:val="en-US" w:eastAsia="zh-CN"/>
        </w:rPr>
        <w:t xml:space="preserve">76.8</w:t>
      </w:r>
      <w:r>
        <w:rPr>
          <w:rFonts w:hint="eastAsia" w:ascii="宋体" w:hAnsi="宋体" w:cs="宋体"/>
          <w:color w:val="auto"/>
          <w:sz w:val="24"/>
          <w:highlight w:val="none"/>
        </w:rPr>
        <w:t xml:space="preserve">万元</w:t>
      </w:r>
      <w:r>
        <w:rPr>
          <w:rFonts w:ascii="宋体" w:hAnsi="宋体" w:cs="宋体"/>
          <w:color w:val="auto"/>
          <w:sz w:val="24"/>
          <w:highlight w:val="none"/>
        </w:rPr>
        <w:t xml:space="preserve">，高于此限价的投标文件将作为无效标处理</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4.本项目设定最高限价，最高限价为</w:t>
      </w:r>
      <w:r>
        <w:rPr>
          <w:rFonts w:hint="eastAsia" w:ascii="宋体" w:hAnsi="宋体" w:cs="宋体"/>
          <w:color w:val="auto"/>
          <w:sz w:val="24"/>
          <w:highlight w:val="none"/>
          <w:u w:val="single"/>
          <w:lang w:val="en-US" w:eastAsia="zh-CN"/>
        </w:rPr>
        <w:t xml:space="preserve">76.8</w:t>
      </w:r>
      <w:r>
        <w:rPr>
          <w:rFonts w:hint="eastAsia" w:ascii="宋体" w:hAnsi="宋体" w:cs="宋体"/>
          <w:color w:val="auto"/>
          <w:sz w:val="24"/>
          <w:highlight w:val="none"/>
          <w:u w:val="single"/>
        </w:rPr>
        <w:t xml:space="preserve">万元</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5.采购需求：</w:t>
      </w:r>
      <w:r>
        <w:rPr>
          <w:rFonts w:hint="eastAsia" w:ascii="宋体" w:hAnsi="宋体" w:cs="宋体"/>
          <w:color w:val="auto"/>
          <w:sz w:val="24"/>
          <w:highlight w:val="none"/>
        </w:rPr>
        <w:t xml:space="preserve">玉兴村、玉山村、兴高村、毛场村、膘头村、和圩村、济永村、山北村、亚芦村、闸南村、团荡村、徐庄村、先进村、金跳村、头队村、小圩村，共计</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个行政村编制村庄规划</w:t>
      </w:r>
      <w:r>
        <w:rPr>
          <w:rFonts w:ascii="宋体" w:hAnsi="宋体" w:cs="宋体"/>
          <w:color w:val="auto"/>
          <w:sz w:val="24"/>
          <w:highlight w:val="none"/>
        </w:rPr>
        <w:t xml:space="preserve">，具体详见第四章采购需求。</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6.服务期：合同签订后</w:t>
      </w:r>
      <w:r>
        <w:rPr>
          <w:rFonts w:hint="eastAsia" w:ascii="宋体" w:hAnsi="宋体" w:cs="宋体"/>
          <w:color w:val="auto"/>
          <w:sz w:val="24"/>
          <w:highlight w:val="none"/>
          <w:lang w:val="en-US" w:eastAsia="zh-CN"/>
        </w:rPr>
        <w:t xml:space="preserve">60</w:t>
      </w:r>
      <w:r>
        <w:rPr>
          <w:rFonts w:ascii="宋体" w:hAnsi="宋体" w:cs="宋体"/>
          <w:color w:val="auto"/>
          <w:sz w:val="24"/>
          <w:highlight w:val="none"/>
        </w:rPr>
        <w:t xml:space="preserve">日历天内完成规划</w:t>
      </w:r>
      <w:r>
        <w:rPr>
          <w:rFonts w:hint="eastAsia" w:ascii="宋体" w:hAnsi="宋体" w:cs="宋体"/>
          <w:color w:val="auto"/>
          <w:sz w:val="24"/>
          <w:highlight w:val="none"/>
          <w:lang w:val="en-US" w:eastAsia="zh-CN"/>
        </w:rPr>
        <w:t xml:space="preserve">编制</w:t>
      </w:r>
      <w:r>
        <w:rPr>
          <w:rFonts w:ascii="宋体" w:hAnsi="宋体" w:cs="宋体"/>
          <w:color w:val="auto"/>
          <w:sz w:val="24"/>
          <w:highlight w:val="none"/>
        </w:rPr>
        <w:t xml:space="preserve">。</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二、申请人的资格要求：</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（一）通用资格要求</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1.满足《中华人民共和国政府采购法》第二十二条规定，并提供下列材料：</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 具有独立承担民事责任的能力（提供法人或者其他组织的营业执照等证明文件）；</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 具有良好的商业信誉和健全的财务会计制度；</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 具备履行合同所必需的设备和专业技术能力的声明；</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 依法缴纳税收和社会保障资金的良好记录；</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 参加政府采购活动前三年内在经营活动中没有重大违法记录的声明；</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(6)法律、行政法规规定的其他条件。</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注：根据连财购〔2023〕4号文件精神，第（2）、（4）项可以提供《财务状况报告及税收、社会保障资金缴纳情况承诺函》，详见采购文件投标文件格式。</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 投标文件递交截止前被“信用中国”网站列入失信执行人、重大税收违法案件当事人名单、政府采购严重违法失信行为记录名单的供应商，拒绝其参与政府采购活动（采购人或采购代理机构通过信用中国网站（www.creditchina.gov.cn），对供应商信用记录情况进行查询，查询结果页面打印留存）。</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3.落实政府采购政策需满足的资格要求：</w:t>
      </w:r>
      <w:r/>
    </w:p>
    <w:p>
      <w:pPr>
        <w:ind w:firstLine="480"/>
        <w:spacing w:line="36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项目只接受中小企业投标，中小企业以外的供应商投标将会被拒绝（本采购所称中小企业，是指在中华人民共和国境内依法设立，依据国务院批准的中小企业划分标准确定的中型企业、小型企业和微型企业，但与大企业的负责人为同一人，或者与大企业存在直接控股、管理关系的除外）。本项目所属行业为</w:t>
      </w:r>
      <w:r>
        <w:rPr>
          <w:rFonts w:hint="eastAsia" w:ascii="宋体" w:hAnsi="宋体" w:cs="宋体"/>
          <w:color w:val="auto"/>
          <w:sz w:val="24"/>
          <w:highlight w:val="none"/>
          <w:lang w:eastAsia="zh-CN"/>
        </w:rPr>
        <w:t xml:space="preserve">其他未列明行业</w:t>
      </w:r>
      <w:r>
        <w:rPr>
          <w:rFonts w:ascii="宋体" w:hAnsi="宋体" w:cs="宋体"/>
          <w:color w:val="auto"/>
          <w:sz w:val="24"/>
          <w:highlight w:val="none"/>
        </w:rPr>
        <w:t xml:space="preserve">，项目属性为服务，供应商提供中小企业声明函。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4.本项目</w:t>
      </w:r>
      <w:r>
        <w:rPr>
          <w:rFonts w:ascii="宋体" w:hAnsi="宋体" w:cs="宋体"/>
          <w:color w:val="auto"/>
          <w:sz w:val="24"/>
          <w:highlight w:val="none"/>
          <w:u w:val="single"/>
        </w:rPr>
        <w:t xml:space="preserve">不接受</w:t>
      </w:r>
      <w:r>
        <w:rPr>
          <w:rFonts w:ascii="宋体" w:hAnsi="宋体" w:cs="宋体"/>
          <w:color w:val="auto"/>
          <w:sz w:val="24"/>
          <w:highlight w:val="none"/>
        </w:rPr>
        <w:t xml:space="preserve">联合体投标。</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（二）本项目的特定资格要求</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（1）若投标人的法定代表人参与投标，需提供投标人法定代表人身份证；若授权代表参与投标，需提供企业法人授权委托书及代理人身份证；</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投标人须具备乙级及以上城乡规划编制单位资质（有效期内）</w:t>
      </w:r>
      <w:r>
        <w:rPr>
          <w:rFonts w:ascii="宋体" w:hAnsi="宋体" w:cs="宋体"/>
          <w:color w:val="auto"/>
          <w:sz w:val="24"/>
          <w:highlight w:val="none"/>
        </w:rPr>
        <w:t xml:space="preserve">；</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（3）投标人具有企业基本户开户许可证或企业基本存款账户信息证明；</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（4）参加该招投标活动中无弄虚作假或串通投标等违法行为、投标人无借牌挂靠行为的承诺；</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（5）本项目中标后不得分包或者转包；单位负责人为同一人或者存在直接控股、管理关系的不同投标人，不得参加同一合同项下的政府采购活动；</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（6）具备法律、行政法规规定的其他条件的证明材料。</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三、获取招标文件</w:t>
      </w:r>
      <w:r/>
    </w:p>
    <w:p>
      <w:pPr>
        <w:ind w:firstLine="5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1.时间：2024年</w:t>
      </w:r>
      <w:r>
        <w:rPr>
          <w:rFonts w:hint="eastAsia" w:ascii="宋体" w:hAnsi="宋体" w:cs="宋体"/>
          <w:color w:val="auto"/>
          <w:sz w:val="24"/>
          <w:highlight w:val="none"/>
          <w:lang w:val="en-US" w:eastAsia="zh-CN"/>
        </w:rPr>
        <w:t xml:space="preserve">06</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19</w:t>
      </w:r>
      <w:r>
        <w:rPr>
          <w:rFonts w:ascii="宋体" w:hAnsi="宋体" w:cs="宋体"/>
          <w:color w:val="auto"/>
          <w:sz w:val="24"/>
          <w:highlight w:val="none"/>
        </w:rPr>
        <w:t xml:space="preserve">日至2024年</w:t>
      </w:r>
      <w:r>
        <w:rPr>
          <w:rFonts w:hint="eastAsia" w:ascii="宋体" w:hAnsi="宋体" w:cs="宋体"/>
          <w:color w:val="auto"/>
          <w:sz w:val="24"/>
          <w:highlight w:val="none"/>
          <w:lang w:val="en-US" w:eastAsia="zh-CN"/>
        </w:rPr>
        <w:t xml:space="preserve">06</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26</w:t>
      </w:r>
      <w:r>
        <w:rPr>
          <w:rFonts w:ascii="宋体" w:hAnsi="宋体" w:cs="宋体"/>
          <w:color w:val="auto"/>
          <w:sz w:val="24"/>
          <w:highlight w:val="none"/>
        </w:rPr>
        <w:t xml:space="preserve">日。</w:t>
      </w:r>
      <w:r/>
    </w:p>
    <w:p>
      <w:pPr>
        <w:ind w:firstLine="54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2.方式：在“江苏政府采购网”自行免费下载招标文件。</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（1）潜在投标人访问电子招标投标交易平台的网络地址和方法：</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①登录http://jszfcg.jsczt.cn/ ，或进入江苏政府采购网，点击“苏采云”进入系统。</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③潜在投标人访问“苏采云”系统的网络地址和方法:“苏采云”系统的网址:http://jszfcg.jsczt.cn/。</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⑤采购文件(后缀名为“.kedt”)、供应商操作手册及政府采购客户端工具可通过“苏采云”系统--已报名项目--报名详情页面内相应链接进行下载。</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⑥采购代理机构将数据电文形式的采购文件加载至“苏采云”系统，供潜在投标人下载或者查阅。</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⑦请潜在投标人提前安装相应的控件(详见《江苏省政府采购管理交易系统(苏采云)供应商操作手册&gt;)并使用谷歌浏览器登录“苏采云”系统参与不见面开评标。</w:t>
      </w:r>
      <w:r/>
    </w:p>
    <w:p>
      <w:pPr>
        <w:ind w:firstLine="5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注:如潜在投标人未按上述要求操作，将自行承担所产生的风险。</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四、提交投标文件截止时间、开标时间和地点</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时间：2024年</w:t>
      </w:r>
      <w:r>
        <w:rPr>
          <w:rFonts w:hint="eastAsia" w:ascii="宋体" w:hAnsi="宋体" w:cs="宋体"/>
          <w:color w:val="auto"/>
          <w:sz w:val="24"/>
          <w:highlight w:val="none"/>
          <w:lang w:val="en-US" w:eastAsia="zh-CN"/>
        </w:rPr>
        <w:t xml:space="preserve">07</w:t>
      </w:r>
      <w:r>
        <w:rPr>
          <w:rFonts w:hint="eastAsia"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09</w:t>
      </w:r>
      <w:r>
        <w:rPr>
          <w:rFonts w:ascii="宋体" w:hAnsi="宋体" w:cs="宋体"/>
          <w:color w:val="auto"/>
          <w:sz w:val="24"/>
          <w:highlight w:val="none"/>
        </w:rPr>
        <w:t xml:space="preserve"> 日10时00分（北京时间）；</w:t>
      </w:r>
      <w:r/>
    </w:p>
    <w:p>
      <w:pPr>
        <w:ind w:firstLine="480"/>
        <w:spacing w:line="360" w:lineRule="auto"/>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地址：“苏采云”政府采购交易系统网上开标大厅。</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五、公告期限</w:t>
      </w:r>
      <w:bookmarkStart w:id="0" w:name="_GoBack"/>
      <w:r/>
      <w:bookmarkEnd w:id="0"/>
      <w:r/>
      <w:r/>
    </w:p>
    <w:p>
      <w:pPr>
        <w:ind w:firstLine="48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自本公告发布之日起</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个工作日。</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六、其他补充事宜</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1、本采购文件中标注★的款项为实质性响应要求和条件，如不满足将按无效响应处理。</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无论出于何种原因，采购人在采购活动开始前可对采购文件进行修改、补充或变更，其内容作为采购文件的重要组成部分，请各供应商关注江苏政府采购网。若因投标人自身原因未及时关注本项目有关修改、补充或变更信息，导致投标文件编制或提交失误，由此造成的一切损失由投标人自行承担。</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3、投标人制作投标文件时如遇投标工具中投标格式与采购文件不一致，请投标人按照采购文件中投标格式要求编制一份投标文件资料添加在投标工具其他材料中。</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4、根据苏财购[2020]52号规定，本项目不收取投标保证金。</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5、投标文件相关要求：</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①本项目采用不见面远程模式，投标人在各自地点通过不见面交易系统参加开标会；</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②请各投标人充分考虑项目周期，谨慎参与交易，中标后不得以任何理由放弃中标资格或不按规定履约；</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③逾期上传投标文件的，采购人不予受理；</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④中标后中标人按以下要求提供书面投标文件：</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中标人提供的书面投标文件必须与网络上传投标文件（加密文件）一致，纸质与电子标书内容不一致的，以电子标书为准；</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供应商的法定代表人或其授权的代理人签字确认；</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投标文件正本一份，副本四份，电子标书一份（U盘形式、不加密无毒），中标后提供。正本和副本的封面上应清楚地标记“正本”或“副本”的字样。</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本项目的采购代理费用由中标人在领取中标通知书时一次性支付，投标人须将此部分费用综合考虑在投标报价中，具体要求详见采购文件。</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为保证交互效果，建议投标人选择封闭安静的地点参与远程交互。因投标人自身软硬件配备不齐全或发生故障等问题而导致在交互过程中出现不稳定或中断等情况的，由投标人自身承担一切后果。</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注：投标人在签到时，需填写单位名称、项目负责人姓名，手机号码（手机号码务必能打通，否则答疑联系不上产生的所有后果由投标人自行承担）。</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七、本次招标联系方式</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1.采购人信息</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名称：</w:t>
      </w:r>
      <w:r>
        <w:rPr>
          <w:rFonts w:hint="eastAsia" w:ascii="宋体" w:hAnsi="宋体" w:cs="宋体"/>
          <w:color w:val="auto"/>
          <w:sz w:val="24"/>
          <w:highlight w:val="none"/>
          <w:lang w:eastAsia="zh-CN"/>
        </w:rPr>
        <w:t xml:space="preserve">灌云县同兴镇人民政府</w:t>
      </w: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地址：灌云县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13851398685</w:t>
      </w: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2.采购代理机构信息</w:t>
      </w:r>
      <w:r/>
    </w:p>
    <w:p>
      <w:pPr>
        <w:ind w:firstLine="480"/>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名称：</w:t>
      </w:r>
      <w:r>
        <w:rPr>
          <w:rFonts w:hint="eastAsia" w:ascii="宋体" w:hAnsi="宋体" w:cs="宋体"/>
          <w:color w:val="auto"/>
          <w:sz w:val="24"/>
          <w:highlight w:val="none"/>
          <w:lang w:eastAsia="zh-CN"/>
        </w:rPr>
        <w:t xml:space="preserve"> 连云港新宏项目管理有限公司</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　　址：灌云县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rPr>
          <w:rFonts w:hint="eastAsia" w:ascii="宋体" w:hAnsi="宋体" w:cs="宋体"/>
          <w:color w:val="auto"/>
          <w:sz w:val="24"/>
          <w:highlight w:val="none"/>
          <w:lang w:eastAsia="zh-CN"/>
        </w:rPr>
        <w:t xml:space="preserve">13851222330</w:t>
      </w: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3.项目联系方式</w:t>
      </w:r>
      <w:r/>
    </w:p>
    <w:p>
      <w:pPr>
        <w:ind w:firstLine="480"/>
        <w:spacing w:line="360" w:lineRule="auto"/>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项目联系人：</w:t>
      </w:r>
      <w:r>
        <w:rPr>
          <w:rFonts w:hint="eastAsia" w:ascii="宋体" w:hAnsi="宋体" w:cs="宋体"/>
          <w:color w:val="auto"/>
          <w:sz w:val="24"/>
          <w:highlight w:val="none"/>
          <w:lang w:eastAsia="zh-CN"/>
        </w:rPr>
        <w:t xml:space="preserve">徐工</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　　 话：</w:t>
      </w:r>
      <w:r>
        <w:rPr>
          <w:rFonts w:hint="eastAsia" w:ascii="宋体" w:hAnsi="宋体" w:cs="宋体"/>
          <w:color w:val="auto"/>
          <w:sz w:val="24"/>
          <w:highlight w:val="none"/>
          <w:lang w:eastAsia="zh-CN"/>
        </w:rPr>
        <w:t xml:space="preserve">13851222330</w:t>
      </w:r>
      <w:r>
        <w:rPr>
          <w:rFonts w:ascii="宋体" w:hAnsi="宋体" w:cs="宋体"/>
          <w:color w:val="auto"/>
          <w:sz w:val="24"/>
          <w:highlight w:val="none"/>
        </w:rPr>
        <w:t xml:space="preserve">　</w:t>
      </w:r>
      <w:r/>
    </w:p>
    <w:p>
      <w:pPr>
        <w:pStyle w:val="659"/>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八、其他</w:t>
      </w:r>
      <w:r/>
    </w:p>
    <w:p>
      <w:pPr>
        <w:ind w:firstLine="482"/>
        <w:keepLines w:val="0"/>
        <w:keepNext w:val="0"/>
        <w:pageBreakBefore w:val="0"/>
        <w:spacing w:line="559"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 根据省财政厅《关于</w:t>
      </w:r>
      <w:r>
        <w:rPr>
          <w:rFonts w:ascii="宋体" w:hAnsi="宋体" w:cs="宋体"/>
          <w:color w:val="auto"/>
          <w:sz w:val="24"/>
          <w:highlight w:val="none"/>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领取CA和办理电子签章</w:t>
      </w:r>
      <w:r>
        <w:rPr>
          <w:rFonts w:hint="eastAsia" w:ascii="宋体" w:hAnsi="宋体" w:cs="宋体"/>
          <w:color w:val="auto"/>
          <w:sz w:val="24"/>
          <w:highlight w:val="none"/>
          <w:lang w:eastAsia="zh-CN"/>
        </w:rPr>
        <w:t xml:space="preserve">，</w:t>
      </w:r>
      <w:r>
        <w:rPr>
          <w:rFonts w:ascii="宋体" w:hAnsi="宋体" w:cs="宋体"/>
          <w:color w:val="auto"/>
          <w:sz w:val="24"/>
          <w:highlight w:val="none"/>
        </w:rPr>
        <w:t xml:space="preserve">具体联系方式见《苏采云系统供应商操作手册》（以下简称《操作手册》）、进行注册并按《操作手册》要求制作、上传电子响应文件。</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 有关本次采购的事项若存在变动或修改，敬请及时关注</w:t>
      </w:r>
      <w:r>
        <w:rPr>
          <w:rFonts w:hint="eastAsia" w:ascii="宋体" w:hAnsi="宋体" w:cs="宋体"/>
          <w:color w:val="auto"/>
          <w:sz w:val="24"/>
          <w:highlight w:val="none"/>
          <w:lang w:eastAsia="zh-CN"/>
        </w:rPr>
        <w:t xml:space="preserve"> 连云港新宏项目管理有限公司</w:t>
      </w:r>
      <w:r>
        <w:rPr>
          <w:rFonts w:ascii="宋体" w:hAnsi="宋体" w:cs="宋体"/>
          <w:color w:val="auto"/>
          <w:sz w:val="24"/>
          <w:highlight w:val="none"/>
        </w:rPr>
        <w:t xml:space="preserve">在“江苏政府采购网”发布的更正公告。</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right="8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rFonts w:ascii="黑体" w:hAnsi="黑体" w:eastAsia="黑体" w:cs="黑体"/>
          <w:b/>
          <w:color w:val="auto"/>
          <w:sz w:val="44"/>
          <w:highlight w:val="none"/>
        </w:rPr>
      </w:pPr>
      <w:r>
        <w:rPr>
          <w:rFonts w:ascii="黑体" w:hAnsi="黑体" w:eastAsia="黑体" w:cs="黑体"/>
          <w:b/>
          <w:color w:val="auto"/>
          <w:sz w:val="44"/>
          <w:highlight w:val="none"/>
        </w:rPr>
        <w:br w:type="page" w:clear="all"/>
      </w:r>
      <w:r/>
    </w:p>
    <w:p>
      <w:pPr>
        <w:pStyle w:val="658"/>
        <w:ind w:firstLine="2429"/>
        <w:spacing w:before="260" w:after="260" w:line="761"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t xml:space="preserve">第二章投标人须知</w:t>
      </w:r>
      <w:r/>
    </w:p>
    <w:p>
      <w:pPr>
        <w:pStyle w:val="659"/>
        <w:ind w:firstLine="498"/>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一、总则</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w:t>
      </w:r>
      <w:r>
        <w:rPr>
          <w:rFonts w:ascii="黑体" w:hAnsi="黑体" w:eastAsia="黑体" w:cs="黑体"/>
          <w:color w:val="auto"/>
          <w:sz w:val="28"/>
          <w:highlight w:val="none"/>
        </w:rPr>
        <w:t xml:space="preserve">、招标方式</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 本次招标采取公开招标方式，本采购文件仅适用于招标公告中所述项目。</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2</w:t>
      </w:r>
      <w:r>
        <w:rPr>
          <w:rFonts w:ascii="黑体" w:hAnsi="黑体" w:eastAsia="黑体" w:cs="黑体"/>
          <w:color w:val="auto"/>
          <w:sz w:val="28"/>
          <w:highlight w:val="none"/>
        </w:rPr>
        <w:t xml:space="preserve">、合格的投标人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 满足招标公告中供应商的资格要求的规定。</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2.2 满足本文件实质性要求和条件的规定。</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3</w:t>
      </w:r>
      <w:r>
        <w:rPr>
          <w:rFonts w:ascii="黑体" w:hAnsi="黑体" w:eastAsia="黑体" w:cs="黑体"/>
          <w:color w:val="auto"/>
          <w:sz w:val="28"/>
          <w:highlight w:val="none"/>
        </w:rPr>
        <w:t xml:space="preserve">、适用法律</w:t>
      </w:r>
      <w:r/>
    </w:p>
    <w:p>
      <w:pPr>
        <w:ind w:firstLine="42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 本次采购及由此产生的合同受中华人民共和国有关的法律法规制约和保护。</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4</w:t>
      </w:r>
      <w:r>
        <w:rPr>
          <w:rFonts w:ascii="黑体" w:hAnsi="黑体" w:eastAsia="黑体" w:cs="黑体"/>
          <w:color w:val="auto"/>
          <w:sz w:val="28"/>
          <w:highlight w:val="none"/>
        </w:rPr>
        <w:t xml:space="preserve">、投标费用</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4.1 投标人应自行承担所有与参加投标有关的费用，无论投标过程中的做法和结果如何，</w:t>
      </w:r>
      <w:r>
        <w:rPr>
          <w:rFonts w:hint="eastAsia" w:ascii="宋体" w:hAnsi="宋体" w:cs="宋体"/>
          <w:color w:val="auto"/>
          <w:sz w:val="24"/>
          <w:highlight w:val="none"/>
          <w:lang w:eastAsia="zh-CN"/>
        </w:rPr>
        <w:t xml:space="preserve">连云港新宏项目管理有限公司</w:t>
      </w:r>
      <w:r>
        <w:rPr>
          <w:rFonts w:ascii="宋体" w:hAnsi="宋体" w:cs="宋体"/>
          <w:color w:val="auto"/>
          <w:sz w:val="24"/>
          <w:highlight w:val="none"/>
        </w:rPr>
        <w:t xml:space="preserve">（以下简称采购代理机构）在任何情况下均无义务和责任承担这些费用。</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4.2本次采购采购代理机构和采购人不收取标书工本费。</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4.3本项目采购代理费用的收费基准价按苏招协[2022]002号文“服务招标”相关费率计取（以中标价为基数），由中标人在领取中标通知书时一次性支付，投标人综合考虑在投标报价中。</w:t>
      </w:r>
      <w:r/>
    </w:p>
    <w:p>
      <w:pPr>
        <w:pStyle w:val="660"/>
        <w:ind w:firstLine="420"/>
        <w:spacing w:before="0" w:after="0" w:line="436" w:lineRule="atLeast"/>
        <w:rPr>
          <w:color w:val="auto"/>
          <w:sz w:val="28"/>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5、招标文件的约束力</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5.1 投标人一旦参加本项目采购活动，即被认为接受了本采购文件的规定和约束。</w:t>
      </w:r>
      <w:r/>
    </w:p>
    <w:p>
      <w:pPr>
        <w:pStyle w:val="659"/>
        <w:ind w:firstLine="321"/>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二、招标文件</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6</w:t>
      </w:r>
      <w:r>
        <w:rPr>
          <w:rFonts w:ascii="黑体" w:hAnsi="黑体" w:eastAsia="黑体" w:cs="黑体"/>
          <w:color w:val="auto"/>
          <w:sz w:val="28"/>
          <w:highlight w:val="none"/>
        </w:rPr>
        <w:t xml:space="preserve">、采购文件构成</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6.1 采购文件由以下部分组成：</w:t>
      </w:r>
      <w:r/>
    </w:p>
    <w:p>
      <w:pPr>
        <w:ind w:firstLine="36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（1）投标邀请</w:t>
      </w:r>
      <w:r/>
    </w:p>
    <w:p>
      <w:pPr>
        <w:ind w:firstLine="36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（2）投标人须知</w:t>
      </w:r>
      <w:r/>
    </w:p>
    <w:p>
      <w:pPr>
        <w:ind w:firstLine="36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（3）合同文本</w:t>
      </w:r>
      <w:r/>
    </w:p>
    <w:p>
      <w:pPr>
        <w:ind w:firstLine="36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（4）采购需求</w:t>
      </w:r>
      <w:r/>
    </w:p>
    <w:p>
      <w:pPr>
        <w:ind w:firstLine="360"/>
        <w:spacing w:line="400"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（5）评标方法与评标标准</w:t>
      </w:r>
      <w:r/>
    </w:p>
    <w:p>
      <w:pPr>
        <w:ind w:firstLine="360"/>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（6）投标文件格式</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请仔细检查采购文件是否齐全，如有缺漏请立即与采购代理机构联系解决。</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6.2 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660"/>
        <w:ind w:firstLine="56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7</w:t>
      </w:r>
      <w:r>
        <w:rPr>
          <w:rFonts w:ascii="黑体" w:hAnsi="黑体" w:eastAsia="黑体" w:cs="黑体"/>
          <w:color w:val="auto"/>
          <w:sz w:val="28"/>
          <w:highlight w:val="none"/>
        </w:rPr>
        <w:t xml:space="preserve">、采购文件的澄清</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7.1 任何要求对采购文件进行澄清的投标人，应在投标截止期</w:t>
      </w:r>
      <w:r>
        <w:rPr>
          <w:rFonts w:ascii="宋体" w:hAnsi="宋体" w:cs="宋体"/>
          <w:b/>
          <w:color w:val="auto"/>
          <w:sz w:val="24"/>
          <w:highlight w:val="none"/>
        </w:rPr>
        <w:t xml:space="preserve">十日</w:t>
      </w:r>
      <w:r>
        <w:rPr>
          <w:rFonts w:ascii="宋体" w:hAnsi="宋体" w:cs="宋体"/>
          <w:color w:val="auto"/>
          <w:sz w:val="24"/>
          <w:highlight w:val="none"/>
        </w:rPr>
        <w:t xml:space="preserve">前按采购公告中的通讯地址，以书面形式通知采购代理机构。</w:t>
      </w:r>
      <w:r/>
    </w:p>
    <w:p>
      <w:pPr>
        <w:pStyle w:val="660"/>
        <w:ind w:firstLine="56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8</w:t>
      </w:r>
      <w:r>
        <w:rPr>
          <w:rFonts w:ascii="黑体" w:hAnsi="黑体" w:eastAsia="黑体" w:cs="黑体"/>
          <w:color w:val="auto"/>
          <w:sz w:val="28"/>
          <w:highlight w:val="none"/>
        </w:rPr>
        <w:t xml:space="preserve">、招标文件的修改</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8.1 在投标截止时间前，采购代理机构可以对采购文件进行修改。</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8.2 采购代理机构有权按照法定的要求推迟投标截止日期和开标日期。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8.3 采购文件的修改将在江苏政府采购网公布，补充文件将作为采购文件的组成部分，并对投标人具有约束力。</w:t>
      </w:r>
      <w:r/>
    </w:p>
    <w:p>
      <w:pPr>
        <w:pStyle w:val="659"/>
        <w:ind w:firstLine="482"/>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三、投标文件的编制</w:t>
      </w:r>
      <w:r/>
    </w:p>
    <w:p>
      <w:pPr>
        <w:pStyle w:val="660"/>
        <w:ind w:firstLine="56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9</w:t>
      </w:r>
      <w:r>
        <w:rPr>
          <w:rFonts w:ascii="黑体" w:hAnsi="黑体" w:eastAsia="黑体" w:cs="黑体"/>
          <w:color w:val="auto"/>
          <w:sz w:val="28"/>
          <w:highlight w:val="none"/>
        </w:rPr>
        <w:t xml:space="preserve">、投标文件的语言及度量衡单位</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9.1 投标人提交的投标文件以及投标人与采购代理机构就有关投标的所有来往通知、函件和文件均应使用</w:t>
      </w:r>
      <w:r>
        <w:rPr>
          <w:rFonts w:ascii="宋体" w:hAnsi="宋体" w:cs="宋体"/>
          <w:b/>
          <w:color w:val="auto"/>
          <w:sz w:val="24"/>
          <w:highlight w:val="none"/>
        </w:rPr>
        <w:t xml:space="preserve">简体中文</w:t>
      </w:r>
      <w:r>
        <w:rPr>
          <w:rFonts w:ascii="宋体" w:hAnsi="宋体" w:cs="宋体"/>
          <w:color w:val="auto"/>
          <w:sz w:val="24"/>
          <w:highlight w:val="none"/>
        </w:rPr>
        <w:t xml:space="preserve">。</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9.2 除技术性能另有规定外，投标文件所使用的度量衡单位，均须采用国家法定计量单位。</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10</w:t>
      </w:r>
      <w:r>
        <w:rPr>
          <w:rFonts w:ascii="黑体" w:hAnsi="黑体" w:eastAsia="黑体" w:cs="黑体"/>
          <w:color w:val="auto"/>
          <w:sz w:val="28"/>
          <w:highlight w:val="none"/>
        </w:rPr>
        <w:t xml:space="preserve">、投标文件构成</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10.2 如标书制作工具中格式和内容与“江苏政府采购网”发布的采购文件不一致，请以“江苏政府采购网”发布的采购文件为准。</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11</w:t>
      </w:r>
      <w:r>
        <w:rPr>
          <w:rFonts w:ascii="黑体" w:hAnsi="黑体" w:eastAsia="黑体" w:cs="黑体"/>
          <w:color w:val="auto"/>
          <w:sz w:val="28"/>
          <w:highlight w:val="none"/>
        </w:rPr>
        <w:t xml:space="preserve">、证明投标人及投标标的符合采购文件规定的文件</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11.1 投标人应按照法律、法规、规章和规范性文件以及采购文件要求提交证明文件，证明其及投标标的符合采购文件规定。</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11.2采购文件对证明文件无明确形式要求的，证明文件可以以文字资料、图纸和数据等形式提交。</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12</w:t>
      </w:r>
      <w:r>
        <w:rPr>
          <w:rFonts w:ascii="黑体" w:hAnsi="黑体" w:eastAsia="黑体" w:cs="黑体"/>
          <w:color w:val="auto"/>
          <w:sz w:val="28"/>
          <w:highlight w:val="none"/>
        </w:rPr>
        <w:t xml:space="preserve">、投标分项报价表</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12.1 投标人应按照采购文件规定格式填报投标分项报价表。</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12.2投标货币。投标文件中的单价和总价无特殊规定的采用人民币报价，以元为单位标注。采购文件中另有规定的按规定执行。</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13</w:t>
      </w:r>
      <w:r>
        <w:rPr>
          <w:rFonts w:ascii="黑体" w:hAnsi="黑体" w:eastAsia="黑体" w:cs="黑体"/>
          <w:color w:val="auto"/>
          <w:sz w:val="28"/>
          <w:highlight w:val="none"/>
        </w:rPr>
        <w:t xml:space="preserve">、技术要求响应及偏离表、商务要求响应及偏离表</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13.1 投标人需对采购文件中的技术要求与商务要求逐项作出响应或偏离，并说明原因。</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13.2 投标人可在投标文件中提供认为需要的其他技术文件或说明。</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14</w:t>
      </w:r>
      <w:r>
        <w:rPr>
          <w:rFonts w:ascii="黑体" w:hAnsi="黑体" w:eastAsia="黑体" w:cs="黑体"/>
          <w:color w:val="auto"/>
          <w:sz w:val="28"/>
          <w:highlight w:val="none"/>
        </w:rPr>
        <w:t xml:space="preserve">、投标函和开标一览表</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14.1 投标人应按照采购文件中提供的格式完整、正确填写投标函、开标一览表。</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14.2 对于采用货币报价的项目，开标一览表中的投标总报价应与投标分项报价表中的投标总报价一致，如不一致，不作为无效投标处理，但评标时按开标一览表中价格为准</w:t>
      </w:r>
      <w:r>
        <w:rPr>
          <w:rFonts w:ascii="宋体" w:hAnsi="宋体" w:cs="宋体"/>
          <w:b/>
          <w:color w:val="auto"/>
          <w:sz w:val="24"/>
          <w:highlight w:val="none"/>
        </w:rPr>
        <w:t xml:space="preserve">。</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15</w:t>
      </w:r>
      <w:r>
        <w:rPr>
          <w:rFonts w:ascii="黑体" w:hAnsi="黑体" w:eastAsia="黑体" w:cs="黑体"/>
          <w:color w:val="auto"/>
          <w:sz w:val="28"/>
          <w:highlight w:val="none"/>
        </w:rPr>
        <w:t xml:space="preserve">、投标有效期</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15.1 投标有效期为采购代理机构规定的开标之日后</w:t>
      </w:r>
      <w:r>
        <w:rPr>
          <w:rFonts w:ascii="宋体" w:hAnsi="宋体" w:cs="宋体"/>
          <w:b/>
          <w:color w:val="auto"/>
          <w:sz w:val="24"/>
          <w:highlight w:val="none"/>
          <w:u w:val="single"/>
        </w:rPr>
        <w:t xml:space="preserve">六十（</w:t>
      </w:r>
      <w:r>
        <w:rPr>
          <w:rFonts w:ascii="仿宋" w:hAnsi="仿宋" w:eastAsia="仿宋" w:cs="仿宋"/>
          <w:b/>
          <w:color w:val="auto"/>
          <w:sz w:val="24"/>
          <w:highlight w:val="none"/>
          <w:u w:val="single"/>
        </w:rPr>
        <w:t xml:space="preserve">60</w:t>
      </w:r>
      <w:r>
        <w:rPr>
          <w:rFonts w:ascii="宋体" w:hAnsi="宋体" w:cs="宋体"/>
          <w:b/>
          <w:color w:val="auto"/>
          <w:sz w:val="24"/>
          <w:highlight w:val="none"/>
          <w:u w:val="single"/>
        </w:rPr>
        <w:t xml:space="preserve">）天</w:t>
      </w:r>
      <w:r>
        <w:rPr>
          <w:rFonts w:ascii="宋体" w:hAnsi="宋体" w:cs="宋体"/>
          <w:color w:val="auto"/>
          <w:sz w:val="24"/>
          <w:highlight w:val="none"/>
        </w:rPr>
        <w:t xml:space="preserve">。投标有效期比规定短的将被视为未实质性响应采购文件而予以拒绝。</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16</w:t>
      </w:r>
      <w:r>
        <w:rPr>
          <w:rFonts w:ascii="黑体" w:hAnsi="黑体" w:eastAsia="黑体" w:cs="黑体"/>
          <w:color w:val="auto"/>
          <w:sz w:val="28"/>
          <w:highlight w:val="none"/>
        </w:rPr>
        <w:t xml:space="preserve">、投标有效期的延长</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659"/>
        <w:ind w:firstLine="482"/>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四、投标文件的递交</w:t>
      </w:r>
      <w:r/>
    </w:p>
    <w:p>
      <w:pPr>
        <w:pStyle w:val="660"/>
        <w:ind w:firstLine="56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17</w:t>
      </w:r>
      <w:r>
        <w:rPr>
          <w:rFonts w:ascii="黑体" w:hAnsi="黑体" w:eastAsia="黑体" w:cs="黑体"/>
          <w:color w:val="auto"/>
          <w:sz w:val="28"/>
          <w:highlight w:val="none"/>
        </w:rPr>
        <w:t xml:space="preserve">、投标文件的递交</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17.1 电子投标文件的递交</w:t>
      </w:r>
      <w:r/>
    </w:p>
    <w:p>
      <w:pPr>
        <w:ind w:left="525"/>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投标人应当按照《操作手册》规定，在投标截止时间前制作并上传电子投标文件。</w:t>
      </w:r>
      <w:r/>
    </w:p>
    <w:p>
      <w:pPr>
        <w:pStyle w:val="660"/>
        <w:ind w:firstLine="420"/>
        <w:spacing w:before="280" w:after="29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18</w:t>
      </w:r>
      <w:r>
        <w:rPr>
          <w:rFonts w:ascii="黑体" w:hAnsi="黑体" w:eastAsia="黑体" w:cs="黑体"/>
          <w:color w:val="auto"/>
          <w:sz w:val="28"/>
          <w:highlight w:val="none"/>
        </w:rPr>
        <w:t xml:space="preserve">、投标截止时间</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18.1 投标人上传电子投标文件的时间不得迟于采购公告中规定的投标截止时间。</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投标人应充分考虑到网络环境、网络带宽等风险因素，如因投标人自身原因造成的电子投标文件上传不成功的按照本采购文件第二章第26.1.2条规定做无效投标处理。</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18.2 采购代理机构可以按照规定，通过修改采购文件酌情延长投标截止时间，在此情况下，投标人的所有权利和义务以及投标人受制的截止时间均应以延长后新的截止时间为准。</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19</w:t>
      </w:r>
      <w:r>
        <w:rPr>
          <w:rFonts w:ascii="黑体" w:hAnsi="黑体" w:eastAsia="黑体" w:cs="黑体"/>
          <w:color w:val="auto"/>
          <w:sz w:val="28"/>
          <w:highlight w:val="none"/>
        </w:rPr>
        <w:t xml:space="preserve">、投标文件的拒收</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19.1采购代理机构拒绝接收在其规定的投标截止时间后上传的任何投标文件。</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20</w:t>
      </w:r>
      <w:r>
        <w:rPr>
          <w:rFonts w:ascii="黑体" w:hAnsi="黑体" w:eastAsia="黑体" w:cs="黑体"/>
          <w:color w:val="auto"/>
          <w:sz w:val="28"/>
          <w:highlight w:val="none"/>
        </w:rPr>
        <w:t xml:space="preserve">、投标文件的撤回和修改</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20.1 投标文件的撤回</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21.1.1 电子投标文件的撤回</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投标人可在投标截止时间前，撤回其电子投标文件，具体操作方法见《操作手册》。</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21.1.2 投标人撤回电子投标文件，则认为其不再参与本项目投标活动。</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 投标文件的修改</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20.2.1投标人可在投标截止时间前，对其电子投标文件进行修改，具体操作方法见《操作手册》。</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20.2.2 在投标截止时间之后，投标人不得对其电子投标文件作任何修改。</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20.3 在投标截止时间至采购文件中规定的投标有效期满之间的这段时间内，投标人不得撤回其投标。</w:t>
      </w:r>
      <w:r/>
    </w:p>
    <w:p>
      <w:pPr>
        <w:pStyle w:val="659"/>
        <w:ind w:firstLine="482"/>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五、开标与评标</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21</w:t>
      </w:r>
      <w:r>
        <w:rPr>
          <w:rFonts w:ascii="黑体" w:hAnsi="黑体" w:eastAsia="黑体" w:cs="黑体"/>
          <w:color w:val="auto"/>
          <w:sz w:val="28"/>
          <w:highlight w:val="none"/>
        </w:rPr>
        <w:t xml:space="preserve">、开标</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21.1 采购代理机构将在采购公告中规定的时间和地点组织公开开标。投标人应当按照《操作手册》规定，参加开标活动和在苏采云系统规定的时间内对投标文件进行解密。</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21.2开标仪式由采购代理机构组织。苏采云系统将自动对项目进行开标，并宣布各投标人名称和投标价格。</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21.3投标人在开标过程中涉及到的投标文件解密、开标结果确认等工作，应按照《操作手册》规定执行。</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21.4投标人如果对开标过程和开标记录有疑义，应当根据《操作手册》规定提出，如苏采云系统中《开标记录表》宣布后5分钟内未提出的，视同认可开标结果。</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22</w:t>
      </w:r>
      <w:r>
        <w:rPr>
          <w:rFonts w:ascii="黑体" w:hAnsi="黑体" w:eastAsia="黑体" w:cs="黑体"/>
          <w:color w:val="auto"/>
          <w:sz w:val="28"/>
          <w:highlight w:val="none"/>
        </w:rPr>
        <w:t xml:space="preserve">、评标委员会</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rPr>
          <w:rFonts w:ascii="宋体" w:hAnsi="宋体" w:cs="宋体"/>
          <w:color w:val="auto"/>
          <w:sz w:val="24"/>
          <w:highlight w:val="none"/>
        </w:rPr>
        <w:t xml:space="preserve"> 22.1</w:t>
      </w:r>
      <w:r>
        <w:rPr>
          <w:rFonts w:ascii="宋体" w:hAnsi="宋体" w:cs="宋体"/>
          <w:b/>
          <w:color w:val="auto"/>
          <w:sz w:val="24"/>
          <w:highlight w:val="none"/>
        </w:rPr>
        <w:t xml:space="preserve"> </w:t>
      </w:r>
      <w:r>
        <w:rPr>
          <w:rFonts w:ascii="宋体" w:hAnsi="宋体" w:cs="宋体"/>
          <w:color w:val="auto"/>
          <w:sz w:val="24"/>
          <w:highlight w:val="none"/>
        </w:rPr>
        <w:t xml:space="preserve">开标后，采购代理机构将立即组织评标委员会（以下简称评委会）进行评标。</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rPr>
          <w:rFonts w:ascii="宋体" w:hAnsi="宋体" w:cs="宋体"/>
          <w:color w:val="auto"/>
          <w:sz w:val="24"/>
          <w:highlight w:val="none"/>
        </w:rPr>
        <w:t xml:space="preserve"> 22.2 评委会由采购人代表和有关技术、经济等方面的专家组成，且人员构成符合政府采购有关规定。</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rPr>
          <w:rFonts w:ascii="宋体" w:hAnsi="宋体" w:cs="宋体"/>
          <w:color w:val="auto"/>
          <w:sz w:val="24"/>
          <w:highlight w:val="none"/>
        </w:rPr>
        <w:t xml:space="preserve"> 22.3评委会独立工作，负责评审所有投标文件并确定中标侯选人。</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highlight w:val="none"/>
        </w:rPr>
        <w:t xml:space="preserve">23、评标过程的保密与公正</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23.1凡是与审查、澄清、评价和比较投标的有关资料以及授标建议等，采购人、评委、采购代理机构均不得向投标人或与评标无关的其他人员透露。</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23.2在评标过程中，投标人不得以任何行为影响评标过程，否则其投标文件将被作为无效投标文件。</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23.3 采购代理机构和评标委员会不向未中标的投标人解释未中标原因，也不公布评标过程中的相关细节。</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23.4 采用综合评分法的项目，未中标的投标人可于中标结果公告期限届满之日起通过苏采云系统查看自己的评审得分及排序情况。</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24</w:t>
      </w:r>
      <w:r>
        <w:rPr>
          <w:rFonts w:ascii="黑体" w:hAnsi="黑体" w:eastAsia="黑体" w:cs="黑体"/>
          <w:color w:val="auto"/>
          <w:sz w:val="28"/>
          <w:highlight w:val="none"/>
        </w:rPr>
        <w:t xml:space="preserve">、投标文件的澄清</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投标人的澄清、说明或者补正不得超出投标文件的范围或者改变投标文件的实质性内容。</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评标委员会并非对每个投标人都做澄清要求。</w:t>
      </w:r>
      <w:r/>
    </w:p>
    <w:p>
      <w:pPr>
        <w:ind w:firstLine="48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24.3 接到评委会澄清、说明和补正要求的投标人如未按规定做出澄清、说明和补正，其风险由投标人自行承担。</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25</w:t>
      </w:r>
      <w:r>
        <w:rPr>
          <w:rFonts w:ascii="黑体" w:hAnsi="黑体" w:eastAsia="黑体" w:cs="黑体"/>
          <w:color w:val="auto"/>
          <w:sz w:val="28"/>
          <w:highlight w:val="none"/>
        </w:rPr>
        <w:t xml:space="preserve">、对投标文件的初审</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25.1投标文件初审分为资格审查和符合性审查。</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2"/>
        <w:keepLines w:val="0"/>
        <w:keepNext w:val="0"/>
        <w:pageBreakBefore w:val="0"/>
        <w:spacing w:line="460" w:lineRule="atLeast"/>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25.1.2 符合性审查：依据采购文件的规定，由评委会从投标文件的有效性、完整性和对采购文件的响应程度进行审查，以确定是否对采购文件的实质性要求作出响应。</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25.1.3 未通过资格审查或符合性审查的投标人，采购代理机构将在苏采云系统中告知未通过资格审查或符合性审查的原因，评标结束后，采购代理机构将不再告知未通过资格审查和符合性审查的原因。</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25.3如果投标文件实质上没有响应采购文件的要求，评委会将予以拒绝，投标人不得通过修改或撤销不合要求的偏离或保留而使其投标成为实质性响应的投标。</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25.4评委会将对确定为实质性响应的投标进行进一步审核，确定其是否有计算上或累加上的算术错误，修正错误的原则如下：</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（1）投标文件中开标一览表内容与投标文件中相应内容不一致的，以开标一览表为准。</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（2）大写金额和小写金额不一致的，以大写金额为准。</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（3）单价金额小数点或者百分比有明显错位的，以开标一览表的总价为准，并修改单价。</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（4）总价金额与按单价汇总金额不一致的，以单价金额计算结果为准。</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同时出现两种以上错误的，按照前款规定的顺序修正。</w:t>
      </w:r>
      <w:r/>
    </w:p>
    <w:p>
      <w:pPr>
        <w:ind w:firstLine="48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25.6投标人在开、评标全过程中应保持通讯畅通，及时登录苏采云系统查阅、答复相关信息，并安排专人与采购代理机构及评标委员会联系。</w:t>
      </w:r>
      <w:r/>
    </w:p>
    <w:p>
      <w:pPr>
        <w:pStyle w:val="660"/>
        <w:ind w:firstLine="42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color w:val="auto"/>
          <w:sz w:val="28"/>
          <w:highlight w:val="none"/>
        </w:rPr>
        <w:t xml:space="preserve">26</w:t>
      </w:r>
      <w:r>
        <w:rPr>
          <w:rFonts w:ascii="黑体" w:hAnsi="黑体" w:eastAsia="黑体" w:cs="黑体"/>
          <w:color w:val="auto"/>
          <w:sz w:val="28"/>
          <w:highlight w:val="none"/>
        </w:rPr>
        <w:t xml:space="preserve">、无效投标条款和废标条款</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26.1无效投标条款</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26.1.1 投标人在苏采云系统规定的时间内未成功解密电子投标文件的。</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26.1.2 投标人未按照招标文件要求上传电子投标文件的。</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26.1.3同一投标人提交两个（含两个）以上不同的投标报价的。</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26.1.4投标人不具备采购文件中规定资格要求的。</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26.1.5投标人的报价超过了采购预算或最高限价的。</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26.1.6未通过符合性审查的。</w:t>
      </w:r>
      <w:r/>
    </w:p>
    <w:p>
      <w:pPr>
        <w:ind w:firstLine="36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26.1.7不符合采购文件中规定的实质性要求和条件的</w:t>
      </w:r>
      <w:r>
        <w:rPr>
          <w:rFonts w:ascii="宋体" w:hAnsi="宋体" w:cs="宋体"/>
          <w:color w:val="auto"/>
          <w:sz w:val="24"/>
          <w:highlight w:val="none"/>
          <w:u w:val="single"/>
        </w:rPr>
        <w:t xml:space="preserve">（本采购文件中标★部分为实质性要求和条件）</w:t>
      </w:r>
      <w:r>
        <w:rPr>
          <w:rFonts w:ascii="宋体" w:hAnsi="宋体" w:cs="宋体"/>
          <w:color w:val="auto"/>
          <w:sz w:val="24"/>
          <w:highlight w:val="none"/>
        </w:rPr>
        <w:t xml:space="preserve">。</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26.1.9 投标文件含有采购人不能接受的附加条件的。</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26.1.11 投标文件未按照采购文件要求加盖CA电子公章的。</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26.1.12其他法律、法规及本采购文件规定的属无效投标的情形。</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26.2废标条款</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26.2.1符合专业条件的投标人或者对采购文件作实质响应的投标人不足三家的。26.2.2出现影响采购公正的违法、违规行为的。</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26.2.3因重大变故，采购任务取消的。</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26.2.4评标委员会认定采购文件存在歧义、重大缺陷导致评审工作无法进行。</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26.2.5 因苏采云系统系统故障原因造成开标不成功的。</w:t>
      </w:r>
      <w:r/>
    </w:p>
    <w:p>
      <w:pPr>
        <w:ind w:left="479"/>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26.3 投标截止时间结束后参加投标的投标人不足三家的处理：</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26.3.1如出现投标截止时间结束后参加投标的投标人或者在评标期间对采购文件做出实质响应的投标人不足三家情况，按政府采购相关规定执行。</w:t>
      </w:r>
      <w:r/>
    </w:p>
    <w:p>
      <w:pPr>
        <w:pStyle w:val="659"/>
        <w:ind w:firstLine="482"/>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六、定标</w:t>
      </w:r>
      <w:r/>
    </w:p>
    <w:p>
      <w:pPr>
        <w:pStyle w:val="660"/>
        <w:ind w:firstLine="60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27、确定中标单位</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27.1中标候选人的选取原则和数量见采购文件第五章规定。 </w:t>
      </w:r>
      <w:r/>
    </w:p>
    <w:p>
      <w:pPr>
        <w:ind w:firstLine="48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27.2 采购人应根据评委会推荐的中标候选人确定中标人。</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27.3 采购代理机构将在“江苏政府采购网”发布中标公告，公告期限为1个工作日。</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27.4 若有充分证据证明，中标人出现下列情况之一的，一经查实，将被取消中标资格：</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27.4.1提供虚假材料谋取中标的。</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27.4.2向采购人、采购代理机构行贿或者提供其他不正当利益的。</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27.4.3属于本文件规定的无效条件，但在评标过程中又未被评委会发现的。</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27.4.4与采购人或者其他供应商恶意串通的。</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27.4.5采取不正当手段诋毁、排挤其他供应商的。</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 有下列情形之一的，视为投标人串通投标，投标无效：</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27.5.1不同投标人的投标文件由同一单位或者个人编制。</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27.5.2不同投标人委托同一单位或者个人办理投标事宜。</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27.5.3 不同投标人的投标文件载明的项目管理成员或者联系人员为同一人。</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27.5.4不同投标人的投标文件异常一致或者投标报价呈规律性差异。</w:t>
      </w:r>
      <w:r/>
    </w:p>
    <w:p>
      <w:pPr>
        <w:pStyle w:val="660"/>
        <w:ind w:firstLine="60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28、质疑处理</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28.1 提出质疑的投标人应当是参与所质疑项目采购活动的投标人。潜在投标人依法获取其可质疑的采购文件的，可以对采购文件提出质疑。</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28.2投标人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28.2.1对可以质疑的采购文件提出质疑的，为收到采购文件之日或者采购文件公告期限届满之日；</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28.2.2对采购过程提出质疑的，为各采购程序环节结束之日；</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28.2.3对中标或者成交结果提出质疑的，为中标或者成交结果公告期限届满之日。</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28.3质疑函必须按照本采购文件中《质疑函范本》要求的格式和内容进行填写。投标人如组成联合体参加投标，则《质疑函范本》中要求签字、盖章、加盖公章之处，联合体各方均须按要求签字、盖章、加盖公章。</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投标人（含潜在投标人）对与本项目有关的所有询问、质疑均请向采购人提出，由采购人负责答复。</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采购代理机构及采购人只接收以纸质原件形式送达的质疑。</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采购人质疑接收人及联系方式见采购文件第一章。</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28.5 以下情形的质疑不予受理</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28.5.1 内容不符合《政府采购质疑和投诉办法》第十二条规定的质疑。</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28.5.2 超出政府采购法定期限的质疑。</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28.5.3 以传真、电子邮件等方式递交的非原件形式的质疑。</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28.5.4 未参加投标活动的投标人或在投标活动中自身权益未受到损害的投标人所提出的质疑。</w:t>
      </w:r>
      <w:r/>
    </w:p>
    <w:p>
      <w:pPr>
        <w:ind w:firstLine="48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28.5.5投标人组成联合体参加投标，联合体中任何一方或多方未按要求签字、盖章、加盖公章的质疑。</w:t>
      </w:r>
      <w:r/>
    </w:p>
    <w:p>
      <w:pPr>
        <w:ind w:firstLine="468"/>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28.6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pStyle w:val="660"/>
        <w:ind w:firstLine="60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29、中标通知书</w:t>
      </w:r>
      <w:r/>
    </w:p>
    <w:p>
      <w:pPr>
        <w:ind w:firstLine="60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29.l</w:t>
      </w:r>
      <w:r>
        <w:rPr>
          <w:rFonts w:ascii="宋体" w:hAnsi="宋体" w:cs="宋体"/>
          <w:b/>
          <w:color w:val="auto"/>
          <w:sz w:val="24"/>
          <w:highlight w:val="none"/>
        </w:rPr>
        <w:t xml:space="preserve"> </w:t>
      </w:r>
      <w:r>
        <w:rPr>
          <w:rFonts w:ascii="宋体" w:hAnsi="宋体" w:cs="宋体"/>
          <w:color w:val="auto"/>
          <w:sz w:val="24"/>
          <w:highlight w:val="none"/>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659"/>
        <w:spacing w:before="145" w:after="145"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七、授予合同</w:t>
      </w:r>
      <w:r/>
    </w:p>
    <w:p>
      <w:pPr>
        <w:pStyle w:val="660"/>
        <w:ind w:firstLine="600"/>
        <w:spacing w:before="0" w:after="0" w:line="436"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30. 签订合同</w:t>
      </w:r>
      <w:r/>
    </w:p>
    <w:p>
      <w:pPr>
        <w:ind w:firstLine="60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30.l中标人应当在中标通知书发出之日起三十日内，按照采购文件确定的事项与采购人签订政府采购合同。</w:t>
      </w:r>
      <w:r/>
    </w:p>
    <w:p>
      <w:pPr>
        <w:ind w:firstLine="60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30.2</w:t>
      </w:r>
      <w:r>
        <w:rPr>
          <w:rFonts w:ascii="宋体" w:hAnsi="宋体" w:cs="宋体"/>
          <w:b/>
          <w:color w:val="auto"/>
          <w:sz w:val="24"/>
          <w:highlight w:val="none"/>
        </w:rPr>
        <w:t xml:space="preserve"> </w:t>
      </w:r>
      <w:r>
        <w:rPr>
          <w:rFonts w:ascii="宋体" w:hAnsi="宋体" w:cs="宋体"/>
          <w:color w:val="auto"/>
          <w:sz w:val="24"/>
          <w:highlight w:val="none"/>
        </w:rPr>
        <w:t xml:space="preserve">采购文件、中标人的投标文件及招标过程中有关澄清、承诺文件均应作为合同附件。</w:t>
      </w:r>
      <w:r/>
    </w:p>
    <w:p>
      <w:pPr>
        <w:ind w:firstLine="60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660"/>
        <w:ind w:firstLine="600"/>
        <w:spacing w:before="0" w:after="0" w:line="436" w:lineRule="atLeast"/>
        <w:rPr>
          <w:rFonts w:ascii="黑体" w:hAnsi="黑体" w:eastAsia="黑体" w:cs="黑体"/>
          <w:color w:val="auto"/>
          <w:sz w:val="30"/>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0"/>
          <w:highlight w:val="none"/>
        </w:rPr>
        <w:t xml:space="preserve">31、服务（包含与服务相关的货物）的追加</w:t>
      </w:r>
      <w:r/>
    </w:p>
    <w:p>
      <w:pPr>
        <w:ind w:firstLine="60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600"/>
        <w:spacing w:line="479" w:lineRule="atLeast"/>
        <w:rPr>
          <w:rFonts w:hint="default" w:ascii="黑体" w:hAnsi="黑体" w:eastAsia="黑体" w:cs="黑体"/>
          <w:b/>
          <w:bCs/>
          <w:color w:val="auto"/>
          <w:sz w:val="30"/>
          <w:szCs w:val="26"/>
          <w:highlight w:val="none"/>
          <w:lang w:val="en-US" w:eastAsia="zh-CN" w:bidi="ar-SA"/>
        </w:rPr>
        <w:pBdr>
          <w:top w:val="none" w:color="000000" w:sz="0" w:space="0"/>
          <w:left w:val="none" w:color="000000" w:sz="0" w:space="0"/>
          <w:bottom w:val="none" w:color="000000" w:sz="0" w:space="0"/>
          <w:right w:val="none" w:color="000000" w:sz="0" w:space="0"/>
        </w:pBdr>
      </w:pPr>
      <w:r>
        <w:rPr>
          <w:rFonts w:hint="default" w:ascii="黑体" w:hAnsi="黑体" w:eastAsia="黑体" w:cs="黑体"/>
          <w:b/>
          <w:bCs/>
          <w:color w:val="auto"/>
          <w:sz w:val="30"/>
          <w:szCs w:val="26"/>
          <w:highlight w:val="none"/>
          <w:lang w:val="en-US" w:eastAsia="zh-CN" w:bidi="ar-SA"/>
        </w:rPr>
        <w:t xml:space="preserve">32、政府采购履约资金扶持政策</w:t>
      </w:r>
      <w:r/>
    </w:p>
    <w:p>
      <w:pPr>
        <w:ind w:firstLine="60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中标人可凭政府采购合同办理融资贷款，详情请见江苏政府采购网“政采贷”专栏。</w:t>
      </w:r>
      <w:r/>
    </w:p>
    <w:p>
      <w:pPr>
        <w:pStyle w:val="659"/>
        <w:spacing w:before="145" w:after="145" w:line="85" w:lineRule="atLeast"/>
        <w:rPr>
          <w:rFonts w:hint="eastAsia" w:ascii="宋体" w:hAnsi="宋体" w:eastAsia="宋体" w:cs="Times New Roman"/>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lang w:val="en-US" w:eastAsia="zh-CN"/>
        </w:rPr>
        <w:t xml:space="preserve">八、</w:t>
      </w:r>
      <w:r>
        <w:rPr>
          <w:rFonts w:hint="eastAsia" w:ascii="宋体" w:hAnsi="宋体" w:eastAsia="宋体" w:cs="宋体"/>
          <w:b/>
          <w:color w:val="auto"/>
          <w:sz w:val="32"/>
          <w:highlight w:val="none"/>
        </w:rPr>
        <w:t xml:space="preserve">政策功能</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rFonts w:hint="eastAsia" w:ascii="宋体" w:hAnsi="宋体" w:cs="宋体"/>
          <w:color w:val="auto"/>
          <w:sz w:val="24"/>
          <w:highlight w:val="none"/>
        </w:rPr>
        <w:t xml:space="preserve">根据财政部、工业和信息化部关于印发《政府采购促进中小企业发展管理办法》的通知（财库〔2020〕46号），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中小企业参加政府采购活动，应当出具本办法规定的《中小企业声明函》，否则不得享受相关中小企业扶持政策。</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供应商按照本办法规定提供声明函内容不实的，属于提供虚假材料谋取中标、成交，依照《中华人民共和国政府采购法》等国家有关规定追究相应责任。</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在政府采购活动中，供应商提供的货物、工程或者服务符合下列情形的，享受本办法规定的中小企业扶持政策：</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（一）在货物采购项目中，货物由中小企业制造，即货物由中小企业生产且使用该中小企业商号或者注册商标；</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（二）在工程采购项目中，工程由中小企业承建，即工程施工单位为中小企业；</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（三）在服务采购项目中，服务由中小企业承接，即提供服务的人员为中小企业依照《中华人民共和国劳动合同法》订立劳动合同的从业人员。</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在货物采购项目中，供应商提供的货物既有中小企业制造货物，也有大型企业制造货物的，不享受本办法规定的中小企业扶持政策。</w:t>
      </w:r>
      <w:r/>
    </w:p>
    <w:p>
      <w:pPr>
        <w:ind w:firstLine="600"/>
        <w:spacing w:line="479" w:lineRule="atLeas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ind w:firstLine="600"/>
        <w:spacing w:line="47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《中小企业声明函》应上传至电子投标文件中，否则不予认可。</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57"/>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t xml:space="preserve">第</w:t>
      </w:r>
      <w:r>
        <w:rPr>
          <w:rFonts w:hint="eastAsia" w:ascii="黑体" w:hAnsi="黑体" w:eastAsia="黑体" w:cs="黑体"/>
          <w:b/>
          <w:color w:val="auto"/>
          <w:sz w:val="44"/>
          <w:highlight w:val="none"/>
        </w:rPr>
        <w:t xml:space="preserve">三</w:t>
      </w:r>
      <w:r>
        <w:rPr>
          <w:rFonts w:ascii="黑体" w:hAnsi="黑体" w:eastAsia="黑体" w:cs="黑体"/>
          <w:b/>
          <w:color w:val="auto"/>
          <w:sz w:val="44"/>
          <w:highlight w:val="none"/>
        </w:rPr>
        <w:t xml:space="preserve">章</w:t>
      </w:r>
      <w:r>
        <w:rPr>
          <w:rFonts w:ascii="黑体" w:hAnsi="黑体" w:eastAsia="黑体" w:cs="黑体"/>
          <w:color w:val="auto"/>
          <w:sz w:val="44"/>
          <w:highlight w:val="none"/>
        </w:rPr>
        <w:t xml:space="preserve"> 合同文本</w:t>
      </w:r>
      <w:r/>
    </w:p>
    <w:p>
      <w:pP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52"/>
          <w:highlight w:val="none"/>
        </w:rPr>
        <w:t xml:space="preserve">灌 云 县 政 府 采 购 合 同</w:t>
      </w:r>
      <w:r/>
    </w:p>
    <w:p>
      <w:pPr>
        <w:ind w:firstLine="3507"/>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 </w:t>
      </w:r>
      <w:r/>
    </w:p>
    <w:p>
      <w:pPr>
        <w:ind w:firstLine="3507"/>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 </w:t>
      </w:r>
      <w:r/>
    </w:p>
    <w:p>
      <w:pPr>
        <w:ind w:firstLine="13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合同编号：</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 </w:t>
      </w:r>
      <w:r/>
    </w:p>
    <w:p>
      <w:pPr>
        <w:ind w:firstLine="119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采购人：</w:t>
      </w:r>
      <w:r/>
    </w:p>
    <w:p>
      <w:pPr>
        <w:ind w:firstLine="119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ind w:firstLine="119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中标人：</w:t>
      </w:r>
      <w:r/>
    </w:p>
    <w:p>
      <w:pPr>
        <w:ind w:firstLine="980"/>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firstLine="9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52"/>
          <w:highlight w:val="none"/>
        </w:rPr>
        <w:t xml:space="preserve">灌 云 县 政 府 采 购 合 同</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13"/>
          <w:highlight w:val="none"/>
        </w:rPr>
        <w:t xml:space="preserve">（本合同为中小企业专门预留合同）</w:t>
      </w:r>
      <w:r/>
    </w:p>
    <w:p>
      <w:pPr>
        <w:ind w:firstLine="3507"/>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 </w:t>
      </w:r>
      <w:r/>
    </w:p>
    <w:p>
      <w:pPr>
        <w:ind w:firstLine="3507"/>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44"/>
          <w:highlight w:val="none"/>
        </w:rPr>
        <w:t xml:space="preserve"> </w:t>
      </w:r>
      <w:r/>
    </w:p>
    <w:p>
      <w:pPr>
        <w:ind w:firstLine="134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合同编号：</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 </w:t>
      </w:r>
      <w:r/>
    </w:p>
    <w:p>
      <w:pPr>
        <w:ind w:firstLine="60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30"/>
          <w:highlight w:val="none"/>
        </w:rPr>
        <w:t xml:space="preserve"> </w:t>
      </w:r>
      <w:r/>
    </w:p>
    <w:p>
      <w:pPr>
        <w:ind w:firstLine="119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采购人：</w:t>
      </w:r>
      <w:r/>
    </w:p>
    <w:p>
      <w:pPr>
        <w:ind w:firstLine="119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ind w:firstLine="119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ind w:firstLine="119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中标人：</w:t>
      </w:r>
      <w:r/>
    </w:p>
    <w:p>
      <w:pPr>
        <w:ind w:firstLine="42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p>
      <w:pPr>
        <w:ind w:firstLine="56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ind w:firstLine="5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以下为中标后签订本项目合同的通用条款，中标人不得提出实质性的修改，关于专用条款将由采购人与中标人结合本项目具体情况协商后签订。</w:t>
      </w:r>
      <w:r/>
    </w:p>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2"/>
          <w:highlight w:val="none"/>
        </w:rPr>
        <w:t xml:space="preserve"> </w:t>
      </w:r>
      <w:r/>
    </w:p>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政府采购合同</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项目名称：</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项目编号：</w:t>
      </w:r>
      <w:r>
        <w:rPr>
          <w:rFonts w:ascii="宋体" w:hAnsi="宋体" w:cs="宋体"/>
          <w:color w:val="auto"/>
          <w:highlight w:val="none"/>
        </w:rPr>
        <w:t xml:space="preserve"> </w:t>
      </w:r>
      <w:r/>
    </w:p>
    <w:p>
      <w:pPr>
        <w:ind w:firstLine="420"/>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63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甲、乙双方根据</w:t>
      </w:r>
      <w:r>
        <w:rPr>
          <w:rFonts w:ascii="宋体" w:hAnsi="宋体" w:cs="宋体"/>
          <w:color w:val="auto"/>
          <w:sz w:val="22"/>
          <w:highlight w:val="none"/>
          <w:u w:val="single"/>
        </w:rPr>
        <w:t xml:space="preserve">2024</w:t>
      </w:r>
      <w:r>
        <w:rPr>
          <w:rFonts w:ascii="宋体" w:hAnsi="宋体" w:cs="宋体"/>
          <w:color w:val="auto"/>
          <w:sz w:val="22"/>
          <w:highlight w:val="none"/>
        </w:rPr>
        <w:t xml:space="preserve">年</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月</w:t>
      </w:r>
      <w:r>
        <w:rPr>
          <w:rFonts w:hint="eastAsia" w:ascii="宋体" w:hAnsi="宋体" w:cs="宋体"/>
          <w:color w:val="auto"/>
          <w:sz w:val="22"/>
          <w:highlight w:val="none"/>
          <w:u w:val="single"/>
          <w:lang w:val="en-US" w:eastAsia="zh-CN"/>
        </w:rPr>
        <w:t xml:space="preserve">   </w:t>
      </w:r>
      <w:r>
        <w:rPr>
          <w:rFonts w:ascii="宋体" w:hAnsi="宋体" w:cs="宋体"/>
          <w:color w:val="auto"/>
          <w:sz w:val="22"/>
          <w:highlight w:val="none"/>
        </w:rPr>
        <w:t xml:space="preserve">日灌云县政府采购项目的采购结果，甲方接收乙方为所做的投标文件，乙方必须完全按中标通知书中的要求履行义务。根据《中华人民共和国民法典》《中华人民共和国政府采购法》等相关法律法规之规定，按照平等、自愿、公平和诚实信用的原则，经</w:t>
      </w:r>
      <w:r>
        <w:rPr>
          <w:rFonts w:hint="eastAsia" w:ascii="宋体" w:hAnsi="宋体" w:cs="宋体"/>
          <w:color w:val="auto"/>
          <w:sz w:val="22"/>
          <w:highlight w:val="none"/>
          <w:u w:val="single"/>
          <w:lang w:eastAsia="zh-CN"/>
        </w:rPr>
        <w:t xml:space="preserve">灌云县同兴镇人民政府</w:t>
      </w:r>
      <w:r>
        <w:rPr>
          <w:rFonts w:ascii="宋体" w:hAnsi="宋体" w:cs="宋体"/>
          <w:color w:val="auto"/>
          <w:sz w:val="22"/>
          <w:highlight w:val="none"/>
        </w:rPr>
        <w:t xml:space="preserve">(以下简称：甲方)和</w:t>
      </w:r>
      <w:r>
        <w:rPr>
          <w:rFonts w:ascii="宋体" w:hAnsi="宋体" w:cs="宋体"/>
          <w:color w:val="auto"/>
          <w:sz w:val="22"/>
          <w:highlight w:val="none"/>
          <w:u w:val="single"/>
        </w:rPr>
        <w:t xml:space="preserve">（中标人名称）</w:t>
      </w:r>
      <w:r>
        <w:rPr>
          <w:rFonts w:ascii="宋体" w:hAnsi="宋体" w:cs="宋体"/>
          <w:color w:val="auto"/>
          <w:sz w:val="22"/>
          <w:highlight w:val="none"/>
        </w:rPr>
        <w:t xml:space="preserve">(以下简称：乙方)协商一致，约定以下合同条款，以兹共同遵守、全面履行。</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一、采购标的</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1.1 服务内容：</w:t>
      </w:r>
      <w:r>
        <w:rPr>
          <w:rFonts w:hint="eastAsia" w:ascii="宋体" w:hAnsi="宋体" w:cs="宋体"/>
          <w:color w:val="auto"/>
          <w:sz w:val="22"/>
          <w:highlight w:val="none"/>
        </w:rPr>
        <w:t xml:space="preserve">玉兴村、玉山村、兴高村、毛场村、膘头村、和圩村、济永村、山北村、亚芦村、闸南村、团荡村、徐庄村、先进村、金跳村、头队村、小圩村，共计16个行政村编制村庄规划，具体以采购需求为准。</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1.2 服务期限：</w:t>
      </w:r>
      <w:r>
        <w:rPr>
          <w:rFonts w:ascii="宋体" w:hAnsi="宋体" w:cs="宋体"/>
          <w:color w:val="auto"/>
          <w:sz w:val="22"/>
          <w:highlight w:val="none"/>
        </w:rPr>
        <w:t xml:space="preserve">合同签订后</w:t>
      </w:r>
      <w:r>
        <w:rPr>
          <w:rFonts w:hint="eastAsia" w:ascii="宋体" w:hAnsi="宋体" w:cs="宋体"/>
          <w:color w:val="auto"/>
          <w:sz w:val="22"/>
          <w:highlight w:val="none"/>
          <w:lang w:val="en-US" w:eastAsia="zh-CN"/>
        </w:rPr>
        <w:t xml:space="preserve">60</w:t>
      </w:r>
      <w:r>
        <w:rPr>
          <w:rFonts w:ascii="宋体" w:hAnsi="宋体" w:cs="宋体"/>
          <w:color w:val="auto"/>
          <w:sz w:val="22"/>
          <w:highlight w:val="none"/>
        </w:rPr>
        <w:t xml:space="preserve">日历天内完成规划设计并通过专家论证。</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1.3质量验收标准：合格，通过采购人及县规划主管部门审批，最终完成江苏省自然资源厅备案。</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4</w:t>
      </w:r>
      <w:r>
        <w:rPr>
          <w:rFonts w:ascii="宋体" w:hAnsi="宋体" w:cs="宋体"/>
          <w:color w:val="auto"/>
          <w:highlight w:val="none"/>
        </w:rPr>
        <w:t xml:space="preserve"> </w:t>
      </w:r>
      <w:r>
        <w:rPr>
          <w:rFonts w:ascii="宋体" w:hAnsi="宋体" w:cs="宋体"/>
          <w:color w:val="auto"/>
          <w:sz w:val="22"/>
          <w:highlight w:val="none"/>
        </w:rPr>
        <w:t xml:space="preserve">补充条款：</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二、合同金额</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2.1 本合同金额为（大写）：_________________元整（</w:t>
      </w:r>
      <w:r>
        <w:rPr>
          <w:rFonts w:ascii="宋体" w:hAnsi="宋体" w:cs="宋体"/>
          <w:color w:val="auto"/>
          <w:sz w:val="22"/>
          <w:highlight w:val="none"/>
        </w:rPr>
        <w:t xml:space="preserve">¥</w:t>
      </w:r>
      <w:r>
        <w:rPr>
          <w:rFonts w:ascii="宋体" w:hAnsi="宋体" w:cs="宋体"/>
          <w:color w:val="auto"/>
          <w:highlight w:val="none"/>
        </w:rPr>
        <w:t xml:space="preserve">__________）人民币。</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价款包含所有乙方提供合同约定产品和服务的报酬及乙方提供合同中产品和服务所支出的必要费用（包括但不限于开展产生的人员费、调研费、资料印刷费、专家论证费、交通费、技术服务费、税金、利润、管理费、验收会务等费用），甲方在上述合同价款之外不再向乙方支付其他任何费用。</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2.2乙方按照甲方要求提供信息开具发票。</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三、技术资料</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3.1乙方应按采购文件规定的时间向甲方提供有关技术资料。</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四、知识产权</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应保证甲方在使用、接受本合同中产品和服务或其任何一部分时不受第三方提出侵犯其专利权、版权、商标权和工业设计权等知识产权的起诉。一旦出现侵权，由乙方负全部责任。乙方交付甲方的成果文件产权属于甲方所有。</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五、产权担保</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乙方保证所交付标的的所有权完全属于乙方且无任何抵押、查封等产权瑕疵。</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六、履约保证金</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本项目不收取履约保证金。</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七、转包或分包</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本合同范围内产品或服务，应由乙方直接供应，不得转让他人供应；如有转让和未经甲方同意的分包行为，甲方有权给予终止合同。</w:t>
      </w:r>
      <w:r>
        <w:rPr>
          <w:rFonts w:ascii="宋体" w:hAnsi="宋体" w:cs="宋体"/>
          <w:color w:val="auto"/>
          <w:highlight w:val="none"/>
        </w:rPr>
        <w:t xml:space="preserve"> </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八、项目组织与工作方式</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8.1甲乙双方分别派出相应工作人员共同组成项目组，联合开展项目有关工作。甲乙双方建立联系沟通机制，分别指定一名项目联系人，负责日常的沟通协调。</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8.2项目运行中，甲方向乙方提供项目所需的信息，向乙方咨询人员开放已有的资料文件，甲方有保密义务的信息和资料文件除外。</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九、合同款支付</w:t>
      </w:r>
      <w:r/>
    </w:p>
    <w:p>
      <w:pPr>
        <w:ind w:firstLine="434"/>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9.1</w:t>
      </w:r>
      <w:r>
        <w:rPr>
          <w:rFonts w:hint="eastAsia" w:ascii="宋体" w:hAnsi="宋体" w:cs="宋体"/>
          <w:color w:val="auto"/>
          <w:sz w:val="22"/>
          <w:highlight w:val="none"/>
        </w:rPr>
        <w:t xml:space="preserve">乙方提交最终成果并通过县规划主管部门审批及江苏省自然资源厅备案后付款。</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十、税费</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本合同执行中相关的一切税费均由乙方负担。</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十一、质量保证及售后服务</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11</w:t>
      </w:r>
      <w:r>
        <w:rPr>
          <w:rFonts w:ascii="宋体" w:hAnsi="宋体" w:cs="宋体"/>
          <w:color w:val="auto"/>
          <w:highlight w:val="none"/>
        </w:rPr>
        <w:t xml:space="preserve">.1乙方应按采购文件规定和响应文件承诺的性能、技术要求、质量标准向甲方提供产品或服务。</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1</w:t>
      </w:r>
      <w:r>
        <w:rPr>
          <w:rFonts w:ascii="宋体" w:hAnsi="宋体" w:cs="宋体"/>
          <w:color w:val="auto"/>
          <w:highlight w:val="none"/>
        </w:rPr>
        <w:t xml:space="preserve">.2乙方提供的产品或服务在质保期内因其本身出现质量问题，根据实际情况，经双方协商，可按以下办法处理：</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ascii="宋体" w:hAnsi="宋体" w:cs="宋体"/>
          <w:color w:val="auto"/>
          <w:highlight w:val="none"/>
        </w:rPr>
        <w:t xml:space="preserve">1）更换：由乙方承担所发生的全部费用。</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w:t>
      </w:r>
      <w:r>
        <w:rPr>
          <w:rFonts w:ascii="宋体" w:hAnsi="宋体" w:cs="宋体"/>
          <w:color w:val="auto"/>
          <w:highlight w:val="none"/>
        </w:rPr>
        <w:t xml:space="preserve">2）合同终止处理：合同终止，并退还甲方支付的合同款，同时应承担由此产生的所有费用，甲方不承担发生任何费用。</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1</w:t>
      </w:r>
      <w:r>
        <w:rPr>
          <w:rFonts w:ascii="宋体" w:hAnsi="宋体" w:cs="宋体"/>
          <w:color w:val="auto"/>
          <w:highlight w:val="none"/>
        </w:rPr>
        <w:t xml:space="preserve">.3如在使用过程中发生质量问题，乙方在接到甲方通知后在</w:t>
      </w:r>
      <w:r>
        <w:rPr>
          <w:rFonts w:hint="eastAsia" w:ascii="宋体" w:hAnsi="宋体" w:cs="宋体"/>
          <w:color w:val="auto"/>
          <w:highlight w:val="none"/>
          <w:u w:val="single"/>
          <w:lang w:val="en-US" w:eastAsia="zh-CN"/>
        </w:rPr>
        <w:t xml:space="preserve">   </w:t>
      </w:r>
      <w:r>
        <w:rPr>
          <w:rFonts w:ascii="宋体" w:hAnsi="宋体" w:cs="宋体"/>
          <w:color w:val="auto"/>
          <w:highlight w:val="none"/>
        </w:rPr>
        <w:t xml:space="preserve">小时内到达甲方现场。</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1</w:t>
      </w:r>
      <w:r>
        <w:rPr>
          <w:rFonts w:ascii="宋体" w:hAnsi="宋体" w:cs="宋体"/>
          <w:color w:val="auto"/>
          <w:highlight w:val="none"/>
        </w:rPr>
        <w:t xml:space="preserve">.4在质保期内，乙方应对产品或服务出现的质量及安全问题负责处理解决并承担一切费用。</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十二、验收</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2</w:t>
      </w:r>
      <w:r>
        <w:rPr>
          <w:rFonts w:ascii="宋体" w:hAnsi="宋体" w:cs="宋体"/>
          <w:color w:val="auto"/>
          <w:highlight w:val="none"/>
        </w:rPr>
        <w:t xml:space="preserve">.1甲方对乙方提交的产品或服务依据采购文件上的项目需求要求、乙方</w:t>
      </w:r>
      <w:r>
        <w:rPr>
          <w:rFonts w:ascii="宋体" w:hAnsi="宋体" w:cs="宋体"/>
          <w:color w:val="auto"/>
          <w:sz w:val="22"/>
          <w:highlight w:val="none"/>
        </w:rPr>
        <w:t xml:space="preserve">投标文件及国家有关质量标准进行验收。</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2</w:t>
      </w:r>
      <w:r>
        <w:rPr>
          <w:rFonts w:ascii="宋体" w:hAnsi="宋体" w:cs="宋体"/>
          <w:color w:val="auto"/>
          <w:highlight w:val="none"/>
        </w:rPr>
        <w:t xml:space="preserve">.2乙方交货前应对产品或服务作出全面检查和对验收文件进行整理，并列出清单，作为甲方验收和使用的技术条件依据，检验的结果应随服务一起提交甲方。</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十三、合同内容的交付</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3</w:t>
      </w:r>
      <w:r>
        <w:rPr>
          <w:rFonts w:ascii="宋体" w:hAnsi="宋体" w:cs="宋体"/>
          <w:color w:val="auto"/>
          <w:highlight w:val="none"/>
        </w:rPr>
        <w:t xml:space="preserve">.1乙方应保证合同标的安全运达甲方指定地点</w:t>
      </w:r>
      <w:r>
        <w:rPr>
          <w:rFonts w:ascii="宋体" w:hAnsi="宋体" w:cs="宋体"/>
          <w:color w:val="auto"/>
          <w:sz w:val="22"/>
          <w:highlight w:val="none"/>
        </w:rPr>
        <w:t xml:space="preserve">，乙方在合同标的交付甲方</w:t>
      </w:r>
      <w:r>
        <w:rPr>
          <w:rFonts w:ascii="宋体" w:hAnsi="宋体" w:cs="宋体"/>
          <w:color w:val="auto"/>
          <w:highlight w:val="none"/>
        </w:rPr>
        <w:t xml:space="preserve">48小时前通知甲方准备接收。</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3</w:t>
      </w:r>
      <w:r>
        <w:rPr>
          <w:rFonts w:ascii="宋体" w:hAnsi="宋体" w:cs="宋体"/>
          <w:color w:val="auto"/>
          <w:highlight w:val="none"/>
        </w:rPr>
        <w:t xml:space="preserve">.</w:t>
      </w:r>
      <w:r>
        <w:rPr>
          <w:rFonts w:ascii="宋体" w:hAnsi="宋体" w:cs="宋体"/>
          <w:color w:val="auto"/>
          <w:sz w:val="22"/>
          <w:highlight w:val="none"/>
        </w:rPr>
        <w:t xml:space="preserve">2</w:t>
      </w:r>
      <w:r>
        <w:rPr>
          <w:rFonts w:ascii="宋体" w:hAnsi="宋体" w:cs="宋体"/>
          <w:color w:val="auto"/>
          <w:highlight w:val="none"/>
        </w:rPr>
        <w:t xml:space="preserve"> </w:t>
      </w:r>
      <w:r>
        <w:rPr>
          <w:rFonts w:ascii="宋体" w:hAnsi="宋体" w:cs="宋体"/>
          <w:color w:val="auto"/>
          <w:sz w:val="22"/>
          <w:highlight w:val="none"/>
        </w:rPr>
        <w:t xml:space="preserve">合同标的在交付甲方前发生的风险均由乙方负责。</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1</w:t>
      </w:r>
      <w:r>
        <w:rPr>
          <w:rFonts w:ascii="宋体" w:hAnsi="宋体" w:cs="宋体"/>
          <w:color w:val="auto"/>
          <w:sz w:val="22"/>
          <w:highlight w:val="none"/>
        </w:rPr>
        <w:t xml:space="preserve">3</w:t>
      </w:r>
      <w:r>
        <w:rPr>
          <w:rFonts w:ascii="宋体" w:hAnsi="宋体" w:cs="宋体"/>
          <w:color w:val="auto"/>
          <w:highlight w:val="none"/>
        </w:rPr>
        <w:t xml:space="preserve">.</w:t>
      </w:r>
      <w:r>
        <w:rPr>
          <w:rFonts w:ascii="宋体" w:hAnsi="宋体" w:cs="宋体"/>
          <w:color w:val="auto"/>
          <w:sz w:val="22"/>
          <w:highlight w:val="none"/>
        </w:rPr>
        <w:t xml:space="preserve">3</w:t>
      </w:r>
      <w:r>
        <w:rPr>
          <w:rFonts w:ascii="宋体" w:hAnsi="宋体" w:cs="宋体"/>
          <w:color w:val="auto"/>
          <w:highlight w:val="none"/>
        </w:rPr>
        <w:t xml:space="preserve"> </w:t>
      </w:r>
      <w:r>
        <w:rPr>
          <w:rFonts w:ascii="宋体" w:hAnsi="宋体" w:cs="宋体"/>
          <w:color w:val="auto"/>
          <w:sz w:val="22"/>
          <w:highlight w:val="none"/>
        </w:rPr>
        <w:t xml:space="preserve">合同标的在规定的交付期限内由乙方送达甲方指定的地点视为交付，乙方同时需通知甲方已送达。</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十四、违约责任</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w:t>
      </w:r>
      <w:r>
        <w:rPr>
          <w:rFonts w:ascii="宋体" w:hAnsi="宋体" w:cs="宋体"/>
          <w:color w:val="auto"/>
          <w:highlight w:val="none"/>
        </w:rPr>
        <w:t xml:space="preserve">.1 </w:t>
      </w:r>
      <w:r>
        <w:rPr>
          <w:rFonts w:ascii="宋体" w:hAnsi="宋体" w:cs="宋体"/>
          <w:color w:val="auto"/>
          <w:sz w:val="22"/>
          <w:highlight w:val="none"/>
        </w:rPr>
        <w:t xml:space="preserve">乙方应在合同约定的时间内向甲方提供合格的设计成果，因不可抗力需延迟提供的，应向甲方申请延期并征得甲方同意。否则每延迟一天需向甲方承担合同总额千分之一的违约金额，迟延履行违约金不超过5%，逾期超期一个月的，甲方有权解除合同并不支付后续费用，乙方应向甲方赔偿因此造成的损失。</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14</w:t>
      </w:r>
      <w:r>
        <w:rPr>
          <w:rFonts w:ascii="宋体" w:hAnsi="宋体" w:cs="宋体"/>
          <w:color w:val="auto"/>
          <w:highlight w:val="none"/>
        </w:rPr>
        <w:t xml:space="preserve">.2 </w:t>
      </w:r>
      <w:r>
        <w:rPr>
          <w:rFonts w:ascii="宋体" w:hAnsi="宋体" w:cs="宋体"/>
          <w:color w:val="auto"/>
          <w:sz w:val="22"/>
          <w:highlight w:val="none"/>
        </w:rPr>
        <w:t xml:space="preserve">甲方因不可抗力未按本合同约定时间向乙方付款的，应向乙方作书面通知，经双方协商一致可延期付款。甲方未经协商延期付款超期一个月后，每延迟一天需向乙方承担合同总额千分之一的违约金额，迟延履行违约金不超过5%，且乙方有权暂停研究工作并不承担任何违约责任，待甲方阶段性款项到位后，乙方继续开展研究，相应研究工作时间顺延；甲方拒不付款的，乙方有权解除合同，同时甲方应向乙方赔偿因此造成的损失。</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十五、不可抗力事件处理</w:t>
      </w:r>
      <w:r/>
    </w:p>
    <w:p>
      <w:pPr>
        <w:ind w:firstLine="420"/>
        <w:spacing w:line="43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15.1 在合同有效期内，任何一方因不可抗力事件导致不能履行合同，则合同履行期延长，其延长期与不可抗力影响期相同。</w:t>
      </w:r>
      <w:r/>
    </w:p>
    <w:p>
      <w:pPr>
        <w:ind w:firstLine="420"/>
        <w:spacing w:line="43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15.2 不可抗力事件发生后，应立即通知对方，并寄送有关权威机构出具的证明。</w:t>
      </w:r>
      <w:r/>
    </w:p>
    <w:p>
      <w:pPr>
        <w:ind w:firstLine="420"/>
        <w:spacing w:line="43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15.3不可抗力事件延续120天以上，双方应通过友好协商，确定是否继续履行合同。</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十六、争议解决</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双方在执行合同中所发生的一切争议，应通过协商解决。如协商不成，按下列第</w:t>
      </w:r>
      <w:r>
        <w:rPr>
          <w:rFonts w:ascii="宋体" w:hAnsi="宋体" w:cs="宋体"/>
          <w:color w:val="auto"/>
          <w:sz w:val="22"/>
          <w:highlight w:val="none"/>
          <w:u w:val="single"/>
        </w:rPr>
        <w:t xml:space="preserve">（2）</w:t>
      </w:r>
      <w:r>
        <w:rPr>
          <w:rFonts w:ascii="宋体" w:hAnsi="宋体" w:cs="宋体"/>
          <w:color w:val="auto"/>
          <w:sz w:val="22"/>
          <w:highlight w:val="none"/>
        </w:rPr>
        <w:t xml:space="preserve">种方式解决：</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（1）向连云港仲裁委员会申请仲裁。</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（2）向合同签订地法院起诉，合同签订地在此约定为连云港市</w:t>
      </w:r>
      <w:r>
        <w:rPr>
          <w:rFonts w:hint="eastAsia" w:ascii="宋体" w:hAnsi="宋体" w:cs="宋体"/>
          <w:color w:val="auto"/>
          <w:sz w:val="22"/>
          <w:highlight w:val="none"/>
          <w:lang w:val="en-US" w:eastAsia="zh-CN"/>
        </w:rPr>
        <w:t xml:space="preserve">灌云县</w:t>
      </w:r>
      <w:r>
        <w:rPr>
          <w:rFonts w:ascii="宋体" w:hAnsi="宋体" w:cs="宋体"/>
          <w:color w:val="auto"/>
          <w:sz w:val="22"/>
          <w:highlight w:val="none"/>
        </w:rPr>
        <w:t xml:space="preserve">。</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十七、其他事项</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乙方及乙方员工应严格保守甲方的商业秘密，甲方及甲方员工也应严格保守乙方的商业秘密，保密期为一年。甲乙双方未经对方同意不得向任何第三方泄漏对方所提供的相关信息。任何一方对所获知的对方未向社会公开的所有信息资料、技术情况和商业秘密负有保密义务，未经双方书面许可，任何一方不得将其泄露给第三方。</w:t>
      </w:r>
      <w:r/>
    </w:p>
    <w:p>
      <w:pPr>
        <w:ind w:firstLine="422"/>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十八、合同生效及其它</w:t>
      </w:r>
      <w:r/>
    </w:p>
    <w:p>
      <w:pPr>
        <w:ind w:firstLine="420"/>
        <w:spacing w:line="43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18.1 合同经双方法定代表人或委托代理人签字并加盖单位公章后生效。</w:t>
      </w:r>
      <w:r/>
    </w:p>
    <w:p>
      <w:pPr>
        <w:ind w:firstLine="420"/>
        <w:spacing w:line="43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18.2本合同未尽事宜，遵照《中华人民共和国民法典》有关条文执行，双方可签订补充协议作为附件，补充协议与本合同具有同等效力。</w:t>
      </w:r>
      <w:r/>
    </w:p>
    <w:p>
      <w:pPr>
        <w:ind w:firstLine="420"/>
        <w:spacing w:line="43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18.3本合同正本一式陆份，具有同等法律效力，甲方贰份、乙方贰份、见证方及财政监管部门各执一份。</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甲方：乙方：</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地址：地址：</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法定代表人：法定代表人：</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委托代理人：委托代理人：</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电话：电话：</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传真：传真：</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签订日期：年月日</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120" w:after="12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44"/>
          <w:highlight w:val="none"/>
        </w:rPr>
        <w:t xml:space="preserve">第四章 采购需求</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说明：本项目属性为</w:t>
      </w:r>
      <w:r>
        <w:rPr>
          <w:rFonts w:ascii="宋体" w:hAnsi="宋体" w:cs="宋体"/>
          <w:b/>
          <w:color w:val="auto"/>
          <w:sz w:val="24"/>
          <w:highlight w:val="none"/>
          <w:u w:val="single"/>
        </w:rPr>
        <w:t xml:space="preserve">服务</w:t>
      </w:r>
      <w:r>
        <w:rPr>
          <w:rFonts w:ascii="宋体" w:hAnsi="宋体" w:cs="宋体"/>
          <w:b/>
          <w:color w:val="auto"/>
          <w:sz w:val="24"/>
          <w:highlight w:val="none"/>
        </w:rPr>
        <w:t xml:space="preserve">，采购标的对应的中小企业划分标准所属行业为</w:t>
      </w:r>
      <w:r>
        <w:rPr>
          <w:rFonts w:hint="eastAsia" w:ascii="宋体" w:hAnsi="宋体" w:cs="宋体"/>
          <w:b/>
          <w:color w:val="auto"/>
          <w:sz w:val="24"/>
          <w:highlight w:val="none"/>
          <w:lang w:eastAsia="zh-CN"/>
        </w:rPr>
        <w:t xml:space="preserve">其他未列明行业</w:t>
      </w:r>
      <w:r>
        <w:rPr>
          <w:rFonts w:ascii="宋体" w:hAnsi="宋体" w:cs="宋体"/>
          <w:b/>
          <w:color w:val="auto"/>
          <w:sz w:val="24"/>
          <w:highlight w:val="none"/>
        </w:rPr>
        <w:t xml:space="preserve">。</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采购金额：本项目不接受超过</w:t>
      </w:r>
      <w:r>
        <w:rPr>
          <w:rFonts w:hint="eastAsia" w:ascii="宋体" w:hAnsi="宋体" w:cs="宋体"/>
          <w:b/>
          <w:color w:val="auto"/>
          <w:sz w:val="24"/>
          <w:highlight w:val="none"/>
          <w:lang w:val="en-US" w:eastAsia="zh-CN"/>
        </w:rPr>
        <w:t xml:space="preserve">76.8</w:t>
      </w:r>
      <w:r>
        <w:rPr>
          <w:rFonts w:hint="eastAsia" w:ascii="宋体" w:hAnsi="宋体" w:cs="宋体"/>
          <w:b/>
          <w:color w:val="auto"/>
          <w:sz w:val="24"/>
          <w:highlight w:val="none"/>
        </w:rPr>
        <w:t xml:space="preserve">万元</w:t>
      </w:r>
      <w:r>
        <w:rPr>
          <w:rFonts w:ascii="宋体" w:hAnsi="宋体" w:cs="宋体"/>
          <w:b/>
          <w:color w:val="auto"/>
          <w:sz w:val="24"/>
          <w:highlight w:val="none"/>
        </w:rPr>
        <w:t xml:space="preserve">人民币（采购项目预算金额）的投标报价。</w:t>
      </w:r>
      <w:r/>
    </w:p>
    <w:p>
      <w:pPr>
        <w:ind w:left="410" w:hanging="41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一、项目背景 </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在全面建成小康社会的发展战略指导下，整体推动农村地区的发展，应该加强村庄规划编制。实施乡村振兴战略，要强化规划引领，乡村振兴需要通过村庄规划加强空间优化和资源保障。村庄规划编制是一项科学系统的工作，在村庄编制过程中，应该依托于科学的编制思路，同时运用有效的编制方法以此来提升村庄规划编制的成效，整体推动村庄的发展与振兴。在此背景下，</w:t>
      </w:r>
      <w:r>
        <w:rPr>
          <w:rFonts w:hint="eastAsia" w:ascii="宋体" w:hAnsi="宋体" w:cs="宋体"/>
          <w:color w:val="auto"/>
          <w:sz w:val="24"/>
          <w:highlight w:val="none"/>
          <w:lang w:eastAsia="zh-CN"/>
        </w:rPr>
        <w:t xml:space="preserve">灌云县同兴镇人民政府</w:t>
      </w:r>
      <w:r>
        <w:rPr>
          <w:rFonts w:hint="eastAsia" w:ascii="宋体" w:hAnsi="宋体" w:cs="宋体"/>
          <w:color w:val="auto"/>
          <w:sz w:val="24"/>
          <w:highlight w:val="none"/>
        </w:rPr>
        <w:t xml:space="preserve">落实战略指导，</w:t>
      </w:r>
      <w:r>
        <w:rPr>
          <w:rFonts w:hint="eastAsia" w:ascii="宋体" w:hAnsi="宋体" w:cs="宋体"/>
          <w:color w:val="auto"/>
          <w:sz w:val="24"/>
          <w:highlight w:val="none"/>
          <w:lang w:val="en-US" w:eastAsia="zh-CN"/>
        </w:rPr>
        <w:t xml:space="preserve">对</w:t>
      </w:r>
      <w:r>
        <w:rPr>
          <w:rFonts w:hint="eastAsia" w:ascii="宋体" w:hAnsi="宋体" w:cs="宋体"/>
          <w:color w:val="auto"/>
          <w:sz w:val="24"/>
          <w:highlight w:val="none"/>
        </w:rPr>
        <w:t xml:space="preserve">玉兴村、玉山村、兴高村、毛场村、膘头村、和圩村、济永村、山北村、亚芦村、闸南村、团荡村、徐庄村、先进村、金跳村、头队村、小圩村，共计</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个行政村编制村庄规划。</w:t>
      </w:r>
      <w:r/>
    </w:p>
    <w:p>
      <w:pPr>
        <w:ind w:left="410" w:hanging="41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二、项目基本情况</w:t>
      </w:r>
      <w:r/>
    </w:p>
    <w:p>
      <w:pPr>
        <w:ind w:firstLine="480"/>
        <w:spacing w:before="145"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1、项目名称：</w:t>
      </w:r>
      <w:r>
        <w:rPr>
          <w:rFonts w:hint="eastAsia" w:ascii="宋体" w:hAnsi="宋体" w:cs="宋体"/>
          <w:color w:val="auto"/>
          <w:sz w:val="24"/>
          <w:highlight w:val="none"/>
          <w:lang w:eastAsia="zh-CN"/>
        </w:rPr>
        <w:t xml:space="preserve">同兴镇和圩、玉兴、李庄等16个村村庄规划编制项目（专门面向中小微企业）</w:t>
      </w:r>
      <w:r>
        <w:rPr>
          <w:rFonts w:ascii="宋体" w:hAnsi="宋体" w:cs="宋体"/>
          <w:color w:val="auto"/>
          <w:sz w:val="24"/>
          <w:highlight w:val="none"/>
        </w:rPr>
        <w:t xml:space="preserve">。</w:t>
      </w:r>
      <w:r/>
    </w:p>
    <w:p>
      <w:pPr>
        <w:ind w:firstLine="480"/>
        <w:spacing w:before="145" w:line="499" w:lineRule="atLeast"/>
        <w:rPr>
          <w:rFonts w:hint="eastAsia" w:ascii="宋体" w:hAnsi="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项目规模：玉兴村、玉山村、兴高村、毛场村、膘头村、和圩村、济永村、山北村、亚芦村、闸南村、团荡村、徐庄村、先进村、金跳村、头队村、小圩村，共计</w:t>
      </w: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个行政村编制村庄规划</w:t>
      </w:r>
      <w:r>
        <w:rPr>
          <w:rFonts w:hint="eastAsia" w:ascii="宋体" w:hAnsi="宋体" w:cs="宋体"/>
          <w:color w:val="auto"/>
          <w:sz w:val="24"/>
          <w:highlight w:val="none"/>
          <w:lang w:eastAsia="zh-CN"/>
        </w:rPr>
        <w:t xml:space="preserve">。</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3、项目划分：根据村庄实</w:t>
      </w:r>
      <w:r>
        <w:rPr>
          <w:rFonts w:ascii="宋体" w:hAnsi="宋体" w:cs="宋体"/>
          <w:color w:val="auto"/>
          <w:sz w:val="24"/>
          <w:highlight w:val="none"/>
        </w:rPr>
        <w:t xml:space="preserve">际需求进行划分，中标后经采购人同意也可联合编制。</w:t>
      </w:r>
      <w:r/>
    </w:p>
    <w:p>
      <w:pPr>
        <w:ind w:left="410" w:hanging="41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三、规划重点</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1、现状分析与研判</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全面认知规划范围村庄发展现状，聚焦乡村自然、人口、产业、文化等要素，挖掘片区村庄特色，梳理村庄发展的核心问题。遵循以人为本的根本原则，充分尊重和了解村民意愿，切实解决村庄发展需求。</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2、总体发展规划</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（1）制定村庄发展目标</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规划需要优先明确村庄发展的重点目标，具体包括人口规模、建设用地规模、其他约束性指标等。其中，人口规模预测包含户籍人口和常住人口，预测结果应科学合理，符合人口迁移和产业发展等客观趋势。确需增加规模的，应符合上级规划、村庄分类和发展实际需要，并不得突破上级国土空间规划的约束性指标要求。耕地保有量、永久基本农田保护面积等约束性指标，要严格落实上级规划确定的指标分解要求。</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（2）发展策划与产业空间引导</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对现状产业发展优势和特色进行梳理，加强产业发展策划研究，明确主导产业发展方向，因地制宜发展优势特色产业，促进村庄产业发展与用地布局相衔接。</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3、优化村庄空间布局</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（1）优化村庄用地布局</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落实上级规划要求，在不改变上级国土空间规划主要控制指标的前提下，按照村庄发展目标和发展方向，优化调整村域用地布局，明确各类土地规划用途。适当细化居住、产业发展、公共设施、市政公用设施等建设用地布局，落实重大工程、建设项目的规模和边界。明确需要搬迁调整和拟复垦的现状建设用地，并合理确定具体范围和规模。</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（2）划定国土空间用途管制</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落实上级国土空间规划和用途管制要求，按照“农业空间规模高效、生态空间山清水秀、建设空间宜居适度”的总体原则，以用地布局规划为依据，将村域划分为农业空间、生态空间和建设空间，在此基础上制定相应的用途管制规则，引导各类土地合理保护和开发利用。</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（3）耕地与永久基本农田保护</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依据“三区三线”划定的成果，落实耕地保护任务和补充任务，守好耕地红线，明确保护范围、保护要求和保护措施。</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4、完善村庄配套设施</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（1）公共服务设施规划</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落实上级规划和相关公共服务设施配置要求，按照“基本公共服务均等化供给、设施分类差别化布局”的原则，统筹考虑行政村管辖范围、自然村庄分类、服务人口规模、设施服务半径和村民实际需求等因素，合理确定必要的公共服务设施的规划建设内容和要求。</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（2）道路交通规划</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落实上级规划确定的各类道路交通设施安排，做好用地预留和布局衔接。细化村域道路网布局，明确道路等级，综合考虑停车场等交通设施布局。对于一些有特色的或者有特殊功能的村庄，因地制宜地设置相关设施。</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（3）公用设施规划</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落实上级规划和相关公用设施建设要求，根据需要明确必要的村庄给水、排水、供电、通信、燃气、环卫等市政公用设施规划建设要求，加强相关用地的规划保障落实，并合理确定规划内容和深度。</w:t>
      </w:r>
      <w:r/>
    </w:p>
    <w:p>
      <w:pPr>
        <w:ind w:left="410" w:hanging="41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四、成果要求</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江苏省村庄规划编制指南（2023年版）》要求，本次规划最终成果应结合上位国土空间规划编制时序和2020年度国土变更调查城镇村不打开口径成果进行完善，主要包含“两图、两表、一库、一清单”。“两图”包括村域土地利用现状图和规划图，“两表”包括规划指标表和土地用途结构调整表，“一库”即规划数据库，“一清单”即规划项目清单。</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规划成果原则上应包含文本、图件和数据库，以及必要的附件（数量以最终采购人要求提供的数量为准）。</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文本包括规划总则、规划内容、附表等。其中，附表包括规划指标表、村庄分类一览表、土地用途结构调整表、设施配套一览表、近期实施项目表等。</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图件包括土地利用现状图、土地利用规划图、近期实施项目图等。</w:t>
      </w:r>
      <w:r/>
    </w:p>
    <w:p>
      <w:pPr>
        <w:ind w:firstLine="480"/>
        <w:spacing w:before="145"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附件包括村委会审议意见和村民会议或村民代表会议讨论通过的决议、专家论证意见、规划公示及相关意见采纳情况说明。</w:t>
      </w:r>
      <w:r/>
    </w:p>
    <w:p>
      <w:pPr>
        <w:ind w:left="410" w:hanging="41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五、服务期限的其他要求</w:t>
      </w:r>
      <w:r/>
    </w:p>
    <w:p>
      <w:pPr>
        <w:ind w:left="-4" w:firstLine="535"/>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合同签订后</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0</w:t>
      </w:r>
      <w:r>
        <w:rPr>
          <w:rFonts w:ascii="宋体" w:hAnsi="宋体" w:cs="宋体"/>
          <w:color w:val="auto"/>
          <w:sz w:val="24"/>
          <w:highlight w:val="none"/>
        </w:rPr>
        <w:t xml:space="preserve">日历天内完成规划设计，并进行规划成果论证且通过专家论证；规划通过评审后完成成果的修改完善，经</w:t>
      </w:r>
      <w:r>
        <w:rPr>
          <w:rFonts w:hint="eastAsia" w:ascii="宋体" w:hAnsi="宋体" w:cs="宋体"/>
          <w:color w:val="auto"/>
          <w:sz w:val="24"/>
          <w:highlight w:val="none"/>
          <w:lang w:val="en-US" w:eastAsia="zh-CN"/>
        </w:rPr>
        <w:t xml:space="preserve">同兴镇</w:t>
      </w:r>
      <w:r>
        <w:rPr>
          <w:rFonts w:ascii="宋体" w:hAnsi="宋体" w:cs="宋体"/>
          <w:color w:val="auto"/>
          <w:sz w:val="24"/>
          <w:highlight w:val="none"/>
        </w:rPr>
        <w:t xml:space="preserve">人民政府确认成果后将规划报请灌云县人民政府批复，在规划批复后根据灌云县自然资源和规划局的时间安排完成江苏省自然资源厅备案。</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六、验收要求：</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1、验收主体：采购人；</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2、验收程序：由采购人组织中标人开展验收工作，验收完成共同签署项目验收单；</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3、验收内容：采购文件中的全部内容；</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验收标准：规划设计需符合国家、省、市相关规范与要求。设计方案科学、合理，满足可持续性发展的要求，并充分考虑甲方意见，达到合格，通过采购人及县规划主管部门审批，最终完成江苏省自然资源厅备案。</w:t>
      </w:r>
      <w:r/>
    </w:p>
    <w:p>
      <w:pPr>
        <w:ind w:left="410" w:hanging="41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七、其他要求：</w:t>
      </w:r>
      <w:r/>
    </w:p>
    <w:p>
      <w:pPr>
        <w:ind w:left="408" w:hanging="408"/>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项目实施人员配备要求：至少为本项目配备7人（含项目负责人）。</w:t>
      </w:r>
      <w:r/>
    </w:p>
    <w:p>
      <w:pPr>
        <w:ind w:left="408" w:hanging="408"/>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售后服务要求：投标人提供售后服务及维保方案。</w:t>
      </w:r>
      <w:r/>
    </w:p>
    <w:p>
      <w:pPr>
        <w:ind w:right="-4"/>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right="-4"/>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八、本次采用资格后审，资格审查所需资料如下：提供投标人最新且有效的</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53"/>
        <w:gridCol w:w="5030"/>
        <w:gridCol w:w="3586"/>
      </w:tblGrid>
      <w:tr>
        <w:trP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ind w:left="-92" w:right="-107"/>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资料名称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备</w:t>
            </w:r>
            <w:r>
              <w:rPr>
                <w:rFonts w:ascii="宋体" w:hAnsi="宋体" w:cs="宋体"/>
                <w:color w:val="auto"/>
                <w:highlight w:val="none"/>
              </w:rPr>
              <w:t xml:space="preserve"> </w:t>
            </w:r>
            <w:r>
              <w:rPr>
                <w:rFonts w:ascii="宋体" w:hAnsi="宋体" w:cs="宋体"/>
                <w:color w:val="auto"/>
                <w:sz w:val="22"/>
                <w:highlight w:val="none"/>
              </w:rPr>
              <w:t xml:space="preserve"> 注</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营业执照</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56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具有良好的商业信誉和健全的财务会计制度的承诺</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5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具备履行合同所必需的设备和专业技术能力的声明</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4</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依法缴纳税收和社会保障资金的承诺书</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02"/>
        </w:trPr>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5</w:t>
            </w:r>
            <w:r/>
          </w:p>
        </w:tc>
        <w:tc>
          <w:tcPr>
            <w:shd w:val="clear" w:color="auto" w:fill="auto"/>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参加政府采购活动前三年内在经营活动中没有重大违法记录的声明</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535"/>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6</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企业基本户开户行许可证或企业基本存款账户信息证明</w:t>
            </w:r>
            <w:r/>
          </w:p>
        </w:tc>
        <w:tc>
          <w:tcPr>
            <w:shd w:val="clear" w:color="auto" w:fill="auto"/>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81"/>
        </w:trPr>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53" w:type="dxa"/>
            <w:vAlign w:val="center"/>
            <w:vMerge w:val="restart"/>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7</w:t>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投标人法定代表人身份证</w:t>
            </w:r>
            <w:r/>
          </w:p>
        </w:tc>
        <w:tc>
          <w:tcPr>
            <w:shd w:val="clear" w:color="auto" w:fill="auto"/>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法定代表人参加投标时提供此项</w:t>
            </w:r>
            <w:r/>
          </w:p>
        </w:tc>
      </w:tr>
      <w:tr>
        <w:trPr>
          <w:trHeight w:val="536"/>
        </w:trPr>
        <w:tc>
          <w:tcPr>
            <w:shd w:val="clear" w:color="auto" w:fill="auto"/>
            <w:tcBorders>
              <w:top w:val="single" w:color="auto" w:sz="4" w:space="0"/>
              <w:left w:val="single" w:color="auto" w:sz="4" w:space="0"/>
              <w:bottom w:val="single" w:color="auto" w:sz="4" w:space="0"/>
              <w:right w:val="single" w:color="auto" w:sz="4" w:space="0"/>
            </w:tcBorders>
            <w:tcW w:w="553" w:type="dxa"/>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授权代表人身份证</w:t>
            </w:r>
            <w:r/>
          </w:p>
        </w:tc>
        <w:tc>
          <w:tcPr>
            <w:shd w:val="clear" w:color="auto" w:fill="auto"/>
            <w:tcBorders>
              <w:top w:val="none" w:color="000000" w:sz="4" w:space="0"/>
              <w:left w:val="single" w:color="auto" w:sz="4" w:space="0"/>
              <w:bottom w:val="single" w:color="000000" w:sz="8" w:space="0"/>
              <w:right w:val="single" w:color="auto" w:sz="4" w:space="0"/>
            </w:tcBorders>
            <w:tcMar>
              <w:left w:w="108" w:type="dxa"/>
              <w:top w:w="0" w:type="dxa"/>
              <w:right w:w="108" w:type="dxa"/>
              <w:bottom w:w="0" w:type="dxa"/>
            </w:tcMar>
            <w:tcW w:w="3586" w:type="dxa"/>
            <w:vAlign w:val="center"/>
            <w:vMerge w:val="restart"/>
            <w:textDirection w:val="lrTb"/>
            <w:noWrap w:val="false"/>
          </w:tcPr>
          <w:p>
            <w:pPr>
              <w:jc w:val="center"/>
              <w:spacing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授权代表参加投标时提供此两项</w:t>
            </w:r>
            <w:r/>
          </w:p>
        </w:tc>
      </w:tr>
      <w:tr>
        <w:trPr>
          <w:trHeight w:val="396"/>
        </w:trPr>
        <w:tc>
          <w:tcPr>
            <w:shd w:val="clear" w:color="auto" w:fill="auto"/>
            <w:tcBorders>
              <w:top w:val="single" w:color="auto" w:sz="4" w:space="0"/>
              <w:left w:val="single" w:color="auto" w:sz="4" w:space="0"/>
              <w:bottom w:val="single" w:color="auto" w:sz="4" w:space="0"/>
              <w:right w:val="single" w:color="auto" w:sz="4" w:space="0"/>
            </w:tcBorders>
            <w:tcW w:w="553" w:type="dxa"/>
            <w:vMerge w:val="continue"/>
            <w:textDirection w:val="lrTb"/>
            <w:noWrap w:val="false"/>
          </w:tcPr>
          <w:p>
            <w:pPr>
              <w:rPr>
                <w:color w:val="auto"/>
                <w:highlight w:val="none"/>
              </w:rPr>
            </w:pPr>
            <w:r>
              <w:rPr>
                <w:color w:val="auto"/>
                <w:highlight w:val="none"/>
              </w:rPr>
            </w:r>
            <w:r/>
          </w:p>
        </w:tc>
        <w:tc>
          <w:tcPr>
            <w:shd w:val="clear" w:color="auto" w:fill="auto"/>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030"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法人代表授权委托书</w:t>
            </w:r>
            <w:r/>
          </w:p>
        </w:tc>
        <w:tc>
          <w:tcPr>
            <w:shd w:val="clear" w:color="auto" w:fill="auto"/>
            <w:tcBorders>
              <w:left w:val="single" w:color="auto" w:sz="4" w:space="0"/>
              <w:bottom w:val="single" w:color="auto" w:sz="4" w:space="0"/>
              <w:right w:val="single" w:color="auto" w:sz="4" w:space="0"/>
            </w:tcBorders>
            <w:tcW w:w="3586" w:type="dxa"/>
            <w:vMerge w:val="continue"/>
            <w:textDirection w:val="lrTb"/>
            <w:noWrap w:val="false"/>
          </w:tcPr>
          <w:p>
            <w:pPr>
              <w:rPr>
                <w:color w:val="auto"/>
                <w:highlight w:val="none"/>
              </w:rPr>
            </w:pPr>
            <w:r>
              <w:rPr>
                <w:color w:val="auto"/>
                <w:highlight w:val="none"/>
              </w:rPr>
            </w:r>
            <w:r/>
          </w:p>
        </w:tc>
      </w:tr>
      <w:tr>
        <w:trPr>
          <w:trHeight w:val="815"/>
        </w:trPr>
        <w:tc>
          <w:tcPr>
            <w:shd w:val="clear" w:color="auto" w:fill="auto"/>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8</w:t>
            </w:r>
            <w:r/>
          </w:p>
        </w:tc>
        <w:tc>
          <w:tcPr>
            <w:shd w:val="clear" w:color="auto" w:fill="auto"/>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投标人无弄虚作假或串通投标等违法行为、无借牌挂靠行为的承诺</w:t>
            </w:r>
            <w:r/>
          </w:p>
        </w:tc>
        <w:tc>
          <w:tcPr>
            <w:shd w:val="clear" w:color="auto" w:fill="auto"/>
            <w:tcBorders>
              <w:top w:val="single" w:color="auto" w:sz="4" w:space="0"/>
              <w:left w:val="single" w:color="000000" w:sz="8" w:space="0"/>
              <w:bottom w:val="single" w:color="000000" w:sz="8" w:space="0"/>
              <w:right w:val="single" w:color="auto" w:sz="4" w:space="0"/>
            </w:tcBorders>
            <w:tcMar>
              <w:left w:w="108" w:type="dxa"/>
              <w:top w:w="0" w:type="dxa"/>
              <w:right w:w="108" w:type="dxa"/>
              <w:bottom w:w="0" w:type="dxa"/>
            </w:tcMar>
            <w:tcW w:w="3586" w:type="dxa"/>
            <w:vAlign w:val="center"/>
            <w:textDirection w:val="lrTb"/>
            <w:noWrap w:val="false"/>
          </w:tcPr>
          <w:p>
            <w:pPr>
              <w:jc w:val="center"/>
              <w:spacing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15"/>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9</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投标人资质证书</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40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3" w:type="dxa"/>
            <w:vAlign w:val="center"/>
            <w:textDirection w:val="lrTb"/>
            <w:noWrap w:val="false"/>
          </w:tcPr>
          <w:p>
            <w:pPr>
              <w:jc w:val="center"/>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10</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30"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中小企业声明函</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86" w:type="dxa"/>
            <w:vAlign w:val="center"/>
            <w:textDirection w:val="lrTb"/>
            <w:noWrap w:val="false"/>
          </w:tcPr>
          <w:p>
            <w:pPr>
              <w:jc w:val="center"/>
              <w:spacing w:line="32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bl>
    <w:p>
      <w:pPr>
        <w:ind w:right="-4"/>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firstLine="482"/>
        <w:spacing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投标申请人资格的审查将依据：资格审查应提供上述资料的原件的扫描件用投标文件制作工具生成的投标文件上传为准。如果因上传原件的扫描件不完善、不齐全、不完整或无法清晰辨认或未提供都将视为资格审查不合格。</w:t>
      </w:r>
      <w:r/>
    </w:p>
    <w:p>
      <w:pPr>
        <w:pStyle w:val="657"/>
        <w:spacing w:before="0" w:after="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57"/>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t xml:space="preserve">第五章评标方法与评标标准</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left="358" w:hanging="358"/>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 </w:t>
      </w:r>
      <w:r/>
    </w:p>
    <w:p>
      <w:pPr>
        <w:ind w:left="410" w:hanging="410"/>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一、评标委员会构成</w:t>
      </w:r>
      <w:r>
        <w:rPr>
          <w:rFonts w:ascii="宋体" w:hAnsi="宋体" w:cs="宋体"/>
          <w:color w:val="auto"/>
          <w:sz w:val="24"/>
          <w:highlight w:val="none"/>
        </w:rPr>
        <w:t xml:space="preserve">：本采购项目评标委员会的评委由评审专家（采购人代表，如有）组成。</w:t>
      </w:r>
      <w:r/>
    </w:p>
    <w:p>
      <w:pPr>
        <w:ind w:left="410" w:hanging="410"/>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二、评标原则</w:t>
      </w:r>
      <w:r>
        <w:rPr>
          <w:rFonts w:ascii="宋体" w:hAnsi="宋体" w:cs="宋体"/>
          <w:color w:val="auto"/>
          <w:sz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三、评标办法</w:t>
      </w:r>
      <w:r>
        <w:rPr>
          <w:rFonts w:ascii="宋体" w:hAnsi="宋体" w:cs="宋体"/>
          <w:color w:val="auto"/>
          <w:sz w:val="24"/>
          <w:highlight w:val="none"/>
        </w:rPr>
        <w:t xml:space="preserve">：</w:t>
      </w:r>
      <w:r/>
    </w:p>
    <w:p>
      <w:pPr>
        <w:ind w:left="1" w:firstLine="62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采用综合评分法，评标结果按评审后得分由高到低顺序排列。评委将以采购文件为评标依据，对投标人的响应报价、技术部分及商务部分等三部分内容按百分制打分，分为：价格部分A（10分）、商务部分B（</w:t>
      </w:r>
      <w:r>
        <w:rPr>
          <w:rFonts w:hint="eastAsia" w:ascii="宋体" w:hAnsi="宋体" w:cs="宋体"/>
          <w:color w:val="auto"/>
          <w:sz w:val="24"/>
          <w:highlight w:val="none"/>
          <w:lang w:val="en-US" w:eastAsia="zh-CN"/>
        </w:rPr>
        <w:t xml:space="preserve">32</w:t>
      </w:r>
      <w:r>
        <w:rPr>
          <w:rFonts w:ascii="宋体" w:hAnsi="宋体" w:cs="宋体"/>
          <w:color w:val="auto"/>
          <w:sz w:val="24"/>
          <w:highlight w:val="none"/>
        </w:rPr>
        <w:t xml:space="preserve">分）、技术部分C（</w:t>
      </w:r>
      <w:r>
        <w:rPr>
          <w:rFonts w:hint="eastAsia" w:ascii="宋体" w:hAnsi="宋体" w:cs="宋体"/>
          <w:color w:val="auto"/>
          <w:sz w:val="24"/>
          <w:highlight w:val="none"/>
          <w:lang w:val="en-US" w:eastAsia="zh-CN"/>
        </w:rPr>
        <w:t xml:space="preserve">58</w:t>
      </w:r>
      <w:r>
        <w:rPr>
          <w:rFonts w:ascii="宋体" w:hAnsi="宋体" w:cs="宋体"/>
          <w:color w:val="auto"/>
          <w:sz w:val="24"/>
          <w:highlight w:val="none"/>
        </w:rPr>
        <w:t xml:space="preserve">分）；最终得分=A+B+C。综合得分相同的，按投标报价由低到高顺序排列；得分且投标报价相同的并列。投标文件满足采购文件全部实质性要求，且按照评审因素的量化指标评审得分最高的投标人为排名第一的中标候选人。</w:t>
      </w:r>
      <w:r/>
    </w:p>
    <w:p>
      <w:pPr>
        <w:ind w:left="1" w:firstLine="55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jc w:val="center"/>
        <w:tabs>
          <w:tab w:val="left" w:pos="0" w:leader="none"/>
        </w:tabs>
        <w:rPr>
          <w:color w:val="auto"/>
          <w:highlight w:val="none"/>
        </w:rPr>
      </w:pPr>
      <w:r>
        <w:rPr>
          <w:color w:val="auto"/>
          <w:highlight w:val="none"/>
        </w:rPr>
        <w:br w:type="page" w:clear="all"/>
      </w:r>
      <w:r>
        <w:rPr>
          <w:rFonts w:hint="eastAsia" w:ascii="黑体" w:hAnsi="黑体" w:eastAsia="黑体" w:cs="宋体"/>
          <w:b/>
          <w:bCs/>
          <w:color w:val="auto"/>
          <w:sz w:val="24"/>
          <w:szCs w:val="24"/>
        </w:rPr>
        <w:t xml:space="preserve">一、价格分（</w:t>
      </w:r>
      <w:r>
        <w:rPr>
          <w:rFonts w:hint="eastAsia" w:ascii="宋体" w:hAnsi="宋体" w:cs="宋体"/>
          <w:b/>
          <w:bCs/>
          <w:color w:val="auto"/>
          <w:sz w:val="24"/>
          <w:szCs w:val="24"/>
        </w:rPr>
        <w:t xml:space="preserve">10</w:t>
      </w:r>
      <w:r>
        <w:rPr>
          <w:rFonts w:hint="eastAsia" w:ascii="黑体" w:hAnsi="黑体" w:eastAsia="黑体" w:cs="宋体"/>
          <w:b/>
          <w:bCs/>
          <w:color w:val="auto"/>
          <w:sz w:val="24"/>
          <w:szCs w:val="24"/>
        </w:rPr>
        <w:t xml:space="preserve">分）</w:t>
      </w:r>
      <w:r/>
    </w:p>
    <w:tbl>
      <w:tblPr>
        <w:tblStyle w:val="667"/>
        <w:tblpPr w:horzAnchor="page" w:tblpX="786" w:vertAnchor="text" w:tblpY="297" w:leftFromText="180" w:topFromText="0" w:rightFromText="180" w:bottomFromText="0"/>
        <w:tblW w:w="103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1418"/>
        <w:gridCol w:w="6945"/>
        <w:gridCol w:w="851"/>
      </w:tblGrid>
      <w:tr>
        <w:trPr>
          <w:trHeight w:val="417"/>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项目</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分项名称</w:t>
            </w:r>
            <w:r/>
          </w:p>
        </w:tc>
        <w:tc>
          <w:tcPr>
            <w:tcBorders>
              <w:top w:val="single" w:color="auto" w:sz="4" w:space="0"/>
              <w:left w:val="none" w:color="000000" w:sz="4" w:space="0"/>
              <w:bottom w:val="single" w:color="auto" w:sz="4" w:space="0"/>
              <w:right w:val="single" w:color="auto" w:sz="4" w:space="0"/>
            </w:tcBorders>
            <w:tcW w:w="6945" w:type="dxa"/>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评分标准</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满分</w:t>
            </w:r>
            <w:r/>
          </w:p>
        </w:tc>
      </w:tr>
      <w:tr>
        <w:trPr>
          <w:trHeight w:val="743"/>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报价部分（10分）</w:t>
            </w:r>
            <w:r/>
          </w:p>
        </w:tc>
        <w:tc>
          <w:tcPr>
            <w:tcBorders>
              <w:top w:val="single" w:color="auto" w:sz="4" w:space="0"/>
              <w:left w:val="none" w:color="000000" w:sz="4" w:space="0"/>
              <w:bottom w:val="single" w:color="auto" w:sz="4" w:space="0"/>
              <w:right w:val="single" w:color="auto" w:sz="4" w:space="0"/>
            </w:tcBorders>
            <w:tcW w:w="1418" w:type="dxa"/>
            <w:vAlign w:val="center"/>
            <w:textDirection w:val="lrTb"/>
            <w:noWrap w:val="false"/>
          </w:tcPr>
          <w:p>
            <w:pPr>
              <w:jc w:val="left"/>
              <w:spacing w:line="320" w:lineRule="exact"/>
              <w:widowControl/>
              <w:rPr>
                <w:rFonts w:hint="eastAsia" w:ascii="宋体" w:hAnsi="宋体" w:eastAsia="宋体"/>
                <w:color w:val="auto"/>
                <w:szCs w:val="21"/>
                <w:lang w:eastAsia="zh-CN"/>
              </w:rPr>
            </w:pPr>
            <w:r>
              <w:rPr>
                <w:rFonts w:hint="eastAsia" w:ascii="宋体" w:hAnsi="宋体"/>
                <w:color w:val="auto"/>
                <w:szCs w:val="21"/>
              </w:rPr>
              <w:t xml:space="preserve">投标报价</w:t>
            </w:r>
            <w:r>
              <w:rPr>
                <w:rFonts w:hint="eastAsia" w:ascii="宋体" w:hAnsi="宋体"/>
                <w:color w:val="auto"/>
                <w:szCs w:val="21"/>
                <w:lang w:eastAsia="zh-CN"/>
              </w:rPr>
              <w:t xml:space="preserve">（</w:t>
            </w:r>
            <w:r>
              <w:rPr>
                <w:rFonts w:hint="eastAsia" w:ascii="宋体" w:hAnsi="宋体"/>
                <w:color w:val="auto"/>
                <w:szCs w:val="21"/>
                <w:lang w:val="en-US" w:eastAsia="zh-CN"/>
              </w:rPr>
              <w:t xml:space="preserve">10分</w:t>
            </w:r>
            <w:r>
              <w:rPr>
                <w:rFonts w:hint="eastAsia" w:ascii="宋体" w:hAnsi="宋体"/>
                <w:color w:val="auto"/>
                <w:szCs w:val="21"/>
                <w:lang w:eastAsia="zh-CN"/>
              </w:rPr>
              <w:t xml:space="preserve">）</w:t>
            </w:r>
            <w:r/>
          </w:p>
        </w:tc>
        <w:tc>
          <w:tcPr>
            <w:tcBorders>
              <w:top w:val="single" w:color="auto" w:sz="4" w:space="0"/>
              <w:left w:val="none" w:color="000000" w:sz="4" w:space="0"/>
              <w:bottom w:val="single" w:color="auto" w:sz="4" w:space="0"/>
              <w:right w:val="single" w:color="auto" w:sz="4" w:space="0"/>
            </w:tcBorders>
            <w:tcW w:w="6945"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满足招标文件要求且最后报价最低的供应商的价格为投标基准价，其价格分为满分。其他供应商的价格分统一按照下列公式计算：投标报价得分= (投标基准价/最后投标报价) × 10</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10分</w:t>
            </w:r>
            <w:r/>
          </w:p>
        </w:tc>
      </w:tr>
    </w:tbl>
    <w:p>
      <w:pPr>
        <w:jc w:val="center"/>
        <w:tabs>
          <w:tab w:val="left" w:pos="0" w:leader="none"/>
        </w:tabs>
        <w:rPr>
          <w:rFonts w:ascii="宋体" w:hAnsi="宋体" w:eastAsia="黑体" w:cs="宋体"/>
          <w:b/>
          <w:bCs/>
          <w:color w:val="auto"/>
          <w:sz w:val="24"/>
          <w:szCs w:val="24"/>
        </w:rPr>
      </w:pPr>
      <w:r>
        <w:rPr>
          <w:rFonts w:hint="eastAsia" w:ascii="黑体" w:hAnsi="黑体" w:eastAsia="黑体" w:cs="宋体"/>
          <w:b/>
          <w:bCs/>
          <w:color w:val="auto"/>
          <w:sz w:val="24"/>
          <w:szCs w:val="24"/>
        </w:rPr>
        <w:t xml:space="preserve">二、商务分（</w:t>
      </w:r>
      <w:r>
        <w:rPr>
          <w:rFonts w:hint="eastAsia" w:ascii="宋体" w:hAnsi="宋体" w:cs="宋体"/>
          <w:b/>
          <w:bCs/>
          <w:color w:val="auto"/>
          <w:sz w:val="24"/>
          <w:szCs w:val="24"/>
        </w:rPr>
        <w:t xml:space="preserve">32</w:t>
      </w:r>
      <w:r>
        <w:rPr>
          <w:rFonts w:hint="eastAsia" w:ascii="黑体" w:hAnsi="黑体" w:eastAsia="黑体" w:cs="宋体"/>
          <w:b/>
          <w:bCs/>
          <w:color w:val="auto"/>
          <w:sz w:val="24"/>
          <w:szCs w:val="24"/>
        </w:rPr>
        <w:t xml:space="preserve">分）</w:t>
      </w:r>
      <w:r/>
    </w:p>
    <w:tbl>
      <w:tblPr>
        <w:tblStyle w:val="667"/>
        <w:tblW w:w="10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435"/>
        <w:gridCol w:w="6928"/>
        <w:gridCol w:w="938"/>
      </w:tblGrid>
      <w:tr>
        <w:trPr>
          <w:jc w:val="center"/>
          <w:trHeight w:val="387"/>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项目</w:t>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分项名称</w:t>
            </w:r>
            <w:r/>
          </w:p>
        </w:tc>
        <w:tc>
          <w:tcPr>
            <w:tcBorders>
              <w:top w:val="single" w:color="auto" w:sz="4" w:space="0"/>
              <w:left w:val="none" w:color="000000" w:sz="4" w:space="0"/>
              <w:bottom w:val="single" w:color="auto" w:sz="4" w:space="0"/>
              <w:right w:val="single" w:color="auto" w:sz="4" w:space="0"/>
            </w:tcBorders>
            <w:tcW w:w="6928" w:type="dxa"/>
            <w:vAlign w:val="center"/>
            <w:textDirection w:val="lrTb"/>
            <w:noWrap w:val="false"/>
          </w:tcPr>
          <w:p>
            <w:pPr>
              <w:jc w:val="center"/>
              <w:widowControl/>
              <w:rPr>
                <w:rFonts w:ascii="宋体" w:hAnsi="宋体"/>
                <w:color w:val="auto"/>
                <w:szCs w:val="21"/>
              </w:rPr>
            </w:pPr>
            <w:r>
              <w:rPr>
                <w:rFonts w:hint="eastAsia" w:ascii="宋体" w:hAnsi="宋体"/>
                <w:color w:val="auto"/>
                <w:szCs w:val="21"/>
              </w:rPr>
              <w:t xml:space="preserve">评分标准</w:t>
            </w:r>
            <w:r/>
          </w:p>
        </w:tc>
        <w:tc>
          <w:tcPr>
            <w:tcBorders>
              <w:top w:val="single" w:color="auto" w:sz="4" w:space="0"/>
              <w:left w:val="none" w:color="000000" w:sz="4" w:space="0"/>
              <w:bottom w:val="single" w:color="auto" w:sz="4" w:space="0"/>
              <w:right w:val="single" w:color="auto" w:sz="4" w:space="0"/>
            </w:tcBorders>
            <w:tcW w:w="938" w:type="dxa"/>
            <w:vAlign w:val="center"/>
            <w:textDirection w:val="lrTb"/>
            <w:noWrap w:val="false"/>
          </w:tcPr>
          <w:p>
            <w:pPr>
              <w:jc w:val="left"/>
              <w:widowControl/>
              <w:rPr>
                <w:rFonts w:ascii="宋体" w:hAnsi="宋体"/>
                <w:color w:val="auto"/>
                <w:szCs w:val="21"/>
              </w:rPr>
            </w:pPr>
            <w:r>
              <w:rPr>
                <w:rFonts w:hint="eastAsia" w:ascii="宋体" w:hAnsi="宋体"/>
                <w:color w:val="auto"/>
                <w:szCs w:val="21"/>
              </w:rPr>
              <w:t xml:space="preserve">满分</w:t>
            </w:r>
            <w:r/>
          </w:p>
        </w:tc>
      </w:tr>
      <w:tr>
        <w:trPr>
          <w:jc w:val="center"/>
          <w:trHeight w:val="494"/>
        </w:trPr>
        <w:tc>
          <w:tcPr>
            <w:tcBorders>
              <w:top w:val="none" w:color="000000" w:sz="4" w:space="0"/>
              <w:left w:val="single" w:color="auto" w:sz="4" w:space="0"/>
              <w:right w:val="single" w:color="auto" w:sz="4" w:space="0"/>
            </w:tcBorders>
            <w:tcW w:w="1101" w:type="dxa"/>
            <w:vAlign w:val="center"/>
            <w:vMerge w:val="restart"/>
            <w:textDirection w:val="lrTb"/>
            <w:noWrap w:val="false"/>
          </w:tcPr>
          <w:p>
            <w:pPr>
              <w:jc w:val="left"/>
              <w:widowControl/>
              <w:rPr>
                <w:rFonts w:ascii="宋体" w:hAnsi="宋体"/>
                <w:color w:val="auto"/>
                <w:szCs w:val="21"/>
              </w:rPr>
            </w:pPr>
            <w:r>
              <w:rPr>
                <w:rFonts w:hint="eastAsia" w:ascii="宋体" w:hAnsi="宋体"/>
                <w:color w:val="auto"/>
                <w:szCs w:val="21"/>
              </w:rPr>
              <w:t xml:space="preserve">商务部分（32分）</w:t>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left"/>
              <w:spacing w:line="320" w:lineRule="exact"/>
              <w:widowControl/>
              <w:rPr>
                <w:rFonts w:hint="eastAsia" w:ascii="宋体" w:hAnsi="宋体" w:eastAsia="宋体"/>
                <w:color w:val="auto"/>
                <w:szCs w:val="21"/>
                <w:lang w:eastAsia="zh-CN"/>
              </w:rPr>
            </w:pPr>
            <w:r>
              <w:rPr>
                <w:rFonts w:hint="eastAsia" w:ascii="宋体" w:hAnsi="宋体"/>
                <w:color w:val="auto"/>
                <w:szCs w:val="21"/>
              </w:rPr>
              <w:t xml:space="preserve">综合实力</w:t>
            </w:r>
            <w:r>
              <w:rPr>
                <w:rFonts w:hint="eastAsia" w:ascii="宋体" w:hAnsi="宋体"/>
                <w:color w:val="auto"/>
                <w:szCs w:val="21"/>
                <w:lang w:eastAsia="zh-CN"/>
              </w:rPr>
              <w:t xml:space="preserve">（</w:t>
            </w:r>
            <w:r>
              <w:rPr>
                <w:rFonts w:hint="eastAsia" w:ascii="宋体" w:hAnsi="宋体"/>
                <w:color w:val="auto"/>
                <w:szCs w:val="21"/>
                <w:lang w:val="en-US" w:eastAsia="zh-CN"/>
              </w:rPr>
              <w:t xml:space="preserve">12分</w:t>
            </w:r>
            <w:r>
              <w:rPr>
                <w:rFonts w:hint="eastAsia" w:ascii="宋体" w:hAnsi="宋体"/>
                <w:color w:val="auto"/>
                <w:szCs w:val="21"/>
                <w:lang w:eastAsia="zh-CN"/>
              </w:rPr>
              <w:t xml:space="preserve">）</w:t>
            </w:r>
            <w:r/>
          </w:p>
        </w:tc>
        <w:tc>
          <w:tcPr>
            <w:tcBorders>
              <w:top w:val="single" w:color="auto" w:sz="4" w:space="0"/>
              <w:left w:val="none" w:color="000000" w:sz="4" w:space="0"/>
              <w:bottom w:val="single" w:color="auto" w:sz="4" w:space="0"/>
              <w:right w:val="single" w:color="auto" w:sz="4" w:space="0"/>
            </w:tcBorders>
            <w:tcW w:w="6928" w:type="dxa"/>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1、具有</w:t>
            </w:r>
            <w:r>
              <w:rPr>
                <w:rFonts w:hint="eastAsia" w:ascii="宋体" w:hAnsi="宋体"/>
                <w:color w:val="auto"/>
                <w:szCs w:val="21"/>
                <w:lang w:val="en-US" w:eastAsia="zh-CN"/>
              </w:rPr>
              <w:t xml:space="preserve">有效的</w:t>
            </w:r>
            <w:r>
              <w:rPr>
                <w:rFonts w:hint="eastAsia" w:ascii="宋体" w:hAnsi="宋体"/>
                <w:color w:val="auto"/>
                <w:szCs w:val="21"/>
              </w:rPr>
              <w:t xml:space="preserve">质量管理体系认证</w:t>
            </w:r>
            <w:r>
              <w:rPr>
                <w:rFonts w:hint="eastAsia" w:ascii="宋体" w:hAnsi="宋体"/>
                <w:color w:val="auto"/>
                <w:szCs w:val="21"/>
                <w:lang w:val="en-US" w:eastAsia="zh-CN"/>
              </w:rPr>
              <w:t xml:space="preserve">证书</w:t>
            </w:r>
            <w:r>
              <w:rPr>
                <w:rFonts w:hint="eastAsia" w:ascii="宋体" w:hAnsi="宋体"/>
                <w:color w:val="auto"/>
                <w:szCs w:val="21"/>
              </w:rPr>
              <w:t xml:space="preserve">、环境管理体系认证</w:t>
            </w:r>
            <w:r>
              <w:rPr>
                <w:rFonts w:hint="eastAsia" w:ascii="宋体" w:hAnsi="宋体"/>
                <w:color w:val="auto"/>
                <w:szCs w:val="21"/>
                <w:lang w:val="en-US" w:eastAsia="zh-CN"/>
              </w:rPr>
              <w:t xml:space="preserve">证书</w:t>
            </w:r>
            <w:r>
              <w:rPr>
                <w:rFonts w:hint="eastAsia" w:ascii="宋体" w:hAnsi="宋体"/>
                <w:color w:val="auto"/>
                <w:szCs w:val="21"/>
              </w:rPr>
              <w:t xml:space="preserve">、职业健康安全管理体系认证证书，有一个得2分，最高得6分。</w:t>
            </w:r>
            <w:r/>
          </w:p>
          <w:p>
            <w:pPr>
              <w:jc w:val="left"/>
              <w:spacing w:line="320" w:lineRule="exact"/>
              <w:widowControl/>
              <w:rPr>
                <w:rFonts w:ascii="宋体" w:hAnsi="宋体"/>
                <w:color w:val="auto"/>
                <w:szCs w:val="21"/>
              </w:rPr>
            </w:pPr>
            <w:r>
              <w:rPr>
                <w:rFonts w:hint="eastAsia" w:ascii="宋体" w:hAnsi="宋体"/>
                <w:color w:val="auto"/>
                <w:szCs w:val="21"/>
              </w:rPr>
              <w:t xml:space="preserve">2.供应商自2019年1月1日起</w:t>
            </w:r>
            <w:r>
              <w:rPr>
                <w:rFonts w:hint="eastAsia" w:ascii="宋体" w:hAnsi="宋体"/>
                <w:color w:val="auto"/>
                <w:szCs w:val="21"/>
                <w:lang w:eastAsia="zh-CN"/>
              </w:rPr>
              <w:t xml:space="preserve">（</w:t>
            </w:r>
            <w:r>
              <w:rPr>
                <w:rFonts w:hint="eastAsia" w:ascii="宋体" w:hAnsi="宋体"/>
                <w:color w:val="auto"/>
                <w:szCs w:val="21"/>
                <w:lang w:val="en-US" w:eastAsia="zh-CN"/>
              </w:rPr>
              <w:t xml:space="preserve">以获奖证明材料时间为准</w:t>
            </w:r>
            <w:r>
              <w:rPr>
                <w:rFonts w:hint="eastAsia" w:ascii="宋体" w:hAnsi="宋体"/>
                <w:color w:val="auto"/>
                <w:szCs w:val="21"/>
                <w:lang w:eastAsia="zh-CN"/>
              </w:rPr>
              <w:t xml:space="preserve">）</w:t>
            </w:r>
            <w:r>
              <w:rPr>
                <w:rFonts w:hint="eastAsia" w:ascii="宋体" w:hAnsi="宋体"/>
                <w:color w:val="auto"/>
                <w:szCs w:val="21"/>
              </w:rPr>
              <w:t xml:space="preserve">，获得市级</w:t>
            </w:r>
            <w:r>
              <w:rPr>
                <w:rFonts w:hint="eastAsia" w:ascii="宋体" w:hAnsi="宋体"/>
                <w:color w:val="auto"/>
                <w:szCs w:val="21"/>
                <w:lang w:val="en-US" w:eastAsia="zh-CN"/>
              </w:rPr>
              <w:t xml:space="preserve">及</w:t>
            </w:r>
            <w:r>
              <w:rPr>
                <w:rFonts w:hint="eastAsia" w:ascii="宋体" w:hAnsi="宋体"/>
                <w:color w:val="auto"/>
                <w:szCs w:val="21"/>
              </w:rPr>
              <w:t xml:space="preserve">以上类似奖项的，每提供一个得3分，本项最高得6分（同一项目只计一次分）。</w:t>
            </w:r>
            <w:r/>
          </w:p>
          <w:p>
            <w:pPr>
              <w:jc w:val="left"/>
              <w:spacing w:line="320" w:lineRule="exact"/>
              <w:widowControl/>
              <w:rPr>
                <w:rFonts w:ascii="宋体" w:hAnsi="宋体"/>
                <w:color w:val="auto"/>
                <w:szCs w:val="21"/>
              </w:rPr>
            </w:pPr>
            <w:r>
              <w:rPr>
                <w:rFonts w:hint="eastAsia" w:ascii="宋体" w:hAnsi="宋体"/>
                <w:color w:val="auto"/>
                <w:szCs w:val="21"/>
              </w:rPr>
              <w:t xml:space="preserve">注：提供证书（有效期内）原件</w:t>
            </w:r>
            <w:r>
              <w:rPr>
                <w:rFonts w:hint="eastAsia" w:ascii="宋体" w:hAnsi="宋体"/>
                <w:color w:val="auto"/>
                <w:szCs w:val="21"/>
                <w:lang w:val="en-US" w:eastAsia="zh-CN"/>
              </w:rPr>
              <w:t xml:space="preserve">彩色</w:t>
            </w:r>
            <w:r>
              <w:rPr>
                <w:rFonts w:hint="eastAsia" w:ascii="宋体" w:hAnsi="宋体"/>
                <w:color w:val="auto"/>
                <w:szCs w:val="21"/>
              </w:rPr>
              <w:t xml:space="preserve">的扫描件上传在电子投标文件中，不提供不得分。</w:t>
            </w:r>
            <w:r/>
          </w:p>
        </w:tc>
        <w:tc>
          <w:tcPr>
            <w:tcBorders>
              <w:top w:val="single" w:color="auto" w:sz="4" w:space="0"/>
              <w:left w:val="none" w:color="000000" w:sz="4" w:space="0"/>
              <w:bottom w:val="single" w:color="auto" w:sz="4" w:space="0"/>
              <w:right w:val="single" w:color="auto" w:sz="4" w:space="0"/>
            </w:tcBorders>
            <w:tcW w:w="938"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12分</w:t>
            </w:r>
            <w:r/>
          </w:p>
        </w:tc>
      </w:tr>
      <w:tr>
        <w:trPr>
          <w:jc w:val="center"/>
          <w:trHeight w:val="494"/>
        </w:trPr>
        <w:tc>
          <w:tcPr>
            <w:tcBorders>
              <w:left w:val="single" w:color="auto" w:sz="4" w:space="0"/>
              <w:right w:val="single" w:color="auto" w:sz="4" w:space="0"/>
            </w:tcBorders>
            <w:tcW w:w="11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bottom w:val="single" w:color="auto" w:sz="4" w:space="0"/>
              <w:right w:val="single" w:color="auto" w:sz="4" w:space="0"/>
            </w:tcBorders>
            <w:tcW w:w="1435"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项目负责人</w:t>
            </w:r>
            <w:r>
              <w:rPr>
                <w:rFonts w:hint="eastAsia" w:ascii="宋体" w:hAnsi="宋体"/>
                <w:color w:val="auto"/>
                <w:szCs w:val="21"/>
                <w:lang w:eastAsia="zh-CN"/>
              </w:rPr>
              <w:t xml:space="preserve">（</w:t>
            </w:r>
            <w:r>
              <w:rPr>
                <w:rFonts w:hint="eastAsia" w:ascii="宋体" w:hAnsi="宋体"/>
                <w:color w:val="auto"/>
                <w:szCs w:val="21"/>
                <w:lang w:val="en-US" w:eastAsia="zh-CN"/>
              </w:rPr>
              <w:t xml:space="preserve">10</w:t>
            </w:r>
            <w:r>
              <w:rPr>
                <w:rFonts w:hint="eastAsia" w:ascii="宋体" w:hAnsi="宋体"/>
                <w:color w:val="auto"/>
                <w:szCs w:val="21"/>
                <w:lang w:eastAsia="zh-CN"/>
              </w:rPr>
              <w:t xml:space="preserve">）</w:t>
            </w:r>
            <w:r>
              <w:rPr>
                <w:rFonts w:hint="eastAsia" w:ascii="宋体" w:hAnsi="宋体"/>
                <w:color w:val="auto"/>
                <w:szCs w:val="21"/>
              </w:rPr>
              <w:t xml:space="preserve">  </w:t>
            </w:r>
            <w:r/>
          </w:p>
        </w:tc>
        <w:tc>
          <w:tcPr>
            <w:tcBorders>
              <w:top w:val="single" w:color="auto" w:sz="4" w:space="0"/>
              <w:left w:val="none" w:color="000000" w:sz="4" w:space="0"/>
              <w:bottom w:val="single" w:color="auto" w:sz="4" w:space="0"/>
              <w:right w:val="single" w:color="auto" w:sz="4" w:space="0"/>
            </w:tcBorders>
            <w:tcW w:w="6928" w:type="dxa"/>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项目负责人具有国家注册规划师证书的得5分；具有高级职称的得5分；本项最高得10分 </w:t>
            </w:r>
            <w:r/>
          </w:p>
          <w:p>
            <w:pPr>
              <w:jc w:val="left"/>
              <w:spacing w:line="320" w:lineRule="exact"/>
              <w:widowControl/>
              <w:rPr>
                <w:rFonts w:ascii="宋体" w:hAnsi="宋体"/>
                <w:color w:val="auto"/>
                <w:szCs w:val="21"/>
              </w:rPr>
            </w:pPr>
            <w:r>
              <w:rPr>
                <w:rFonts w:hint="eastAsia" w:ascii="宋体" w:hAnsi="宋体"/>
                <w:color w:val="auto"/>
                <w:szCs w:val="21"/>
              </w:rPr>
              <w:t xml:space="preserve">注：提供证书原件的扫描件，同时提供2023年12月至2024年0</w:t>
            </w:r>
            <w:r>
              <w:rPr>
                <w:rFonts w:hint="eastAsia" w:ascii="宋体" w:hAnsi="宋体"/>
                <w:color w:val="auto"/>
                <w:szCs w:val="21"/>
                <w:lang w:val="en-US" w:eastAsia="zh-CN"/>
              </w:rPr>
              <w:t xml:space="preserve">5</w:t>
            </w:r>
            <w:r>
              <w:rPr>
                <w:rFonts w:hint="eastAsia" w:ascii="宋体" w:hAnsi="宋体"/>
                <w:color w:val="auto"/>
                <w:szCs w:val="21"/>
              </w:rPr>
              <w:t xml:space="preserve">月由社保机构出具社保缴纳证明材料并上传在电子投标文件中，未提供不得分；</w:t>
            </w:r>
            <w:r/>
          </w:p>
        </w:tc>
        <w:tc>
          <w:tcPr>
            <w:tcBorders>
              <w:top w:val="single" w:color="auto" w:sz="4" w:space="0"/>
              <w:left w:val="none" w:color="000000" w:sz="4" w:space="0"/>
              <w:bottom w:val="single" w:color="auto" w:sz="4" w:space="0"/>
              <w:right w:val="single" w:color="auto" w:sz="4" w:space="0"/>
            </w:tcBorders>
            <w:tcW w:w="938"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10分</w:t>
            </w:r>
            <w:r/>
          </w:p>
        </w:tc>
      </w:tr>
      <w:tr>
        <w:trPr>
          <w:jc w:val="center"/>
          <w:trHeight w:val="1600"/>
        </w:trPr>
        <w:tc>
          <w:tcPr>
            <w:tcBorders>
              <w:left w:val="single" w:color="auto" w:sz="4" w:space="0"/>
              <w:right w:val="single" w:color="auto" w:sz="4" w:space="0"/>
            </w:tcBorders>
            <w:tcW w:w="11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right w:val="single" w:color="auto" w:sz="4" w:space="0"/>
            </w:tcBorders>
            <w:tcW w:w="1435"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项目组成员</w:t>
            </w:r>
            <w:r>
              <w:rPr>
                <w:rFonts w:hint="eastAsia" w:ascii="宋体" w:hAnsi="宋体"/>
                <w:color w:val="auto"/>
                <w:szCs w:val="21"/>
                <w:lang w:eastAsia="zh-CN"/>
              </w:rPr>
              <w:t xml:space="preserve">（</w:t>
            </w:r>
            <w:r>
              <w:rPr>
                <w:rFonts w:hint="eastAsia" w:ascii="宋体" w:hAnsi="宋体"/>
                <w:color w:val="auto"/>
                <w:szCs w:val="21"/>
                <w:lang w:val="en-US" w:eastAsia="zh-CN"/>
              </w:rPr>
              <w:t xml:space="preserve">10</w:t>
            </w:r>
            <w:r>
              <w:rPr>
                <w:rFonts w:hint="eastAsia" w:ascii="宋体" w:hAnsi="宋体"/>
                <w:color w:val="auto"/>
                <w:szCs w:val="21"/>
                <w:lang w:eastAsia="zh-CN"/>
              </w:rPr>
              <w:t xml:space="preserve">）</w:t>
            </w:r>
            <w:r>
              <w:rPr>
                <w:rFonts w:hint="eastAsia" w:ascii="宋体" w:hAnsi="宋体"/>
                <w:color w:val="auto"/>
                <w:szCs w:val="21"/>
              </w:rPr>
              <w:t xml:space="preserve">          </w:t>
            </w:r>
            <w:r/>
          </w:p>
        </w:tc>
        <w:tc>
          <w:tcPr>
            <w:tcBorders>
              <w:top w:val="single" w:color="auto" w:sz="4" w:space="0"/>
              <w:left w:val="none" w:color="000000" w:sz="4" w:space="0"/>
              <w:right w:val="single" w:color="auto" w:sz="4" w:space="0"/>
            </w:tcBorders>
            <w:tcW w:w="6928" w:type="dxa"/>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项目组成员（不含项目负责人）具有国家注册规划师证书的，每提供一个得5分，本项最高得10分。</w:t>
            </w:r>
            <w:r/>
          </w:p>
          <w:p>
            <w:pPr>
              <w:jc w:val="left"/>
              <w:spacing w:line="320" w:lineRule="exact"/>
              <w:widowControl/>
              <w:rPr>
                <w:rFonts w:ascii="宋体" w:hAnsi="宋体"/>
                <w:color w:val="auto"/>
                <w:szCs w:val="21"/>
              </w:rPr>
            </w:pPr>
            <w:r>
              <w:rPr>
                <w:rFonts w:hint="eastAsia" w:ascii="宋体" w:hAnsi="宋体"/>
                <w:color w:val="auto"/>
                <w:szCs w:val="21"/>
              </w:rPr>
              <w:t xml:space="preserve">注：提供证书原件扫描件，同时提供202</w:t>
            </w:r>
            <w:r>
              <w:rPr>
                <w:rFonts w:hint="eastAsia" w:ascii="宋体" w:hAnsi="宋体"/>
                <w:color w:val="auto"/>
                <w:szCs w:val="21"/>
                <w:lang w:val="en-US" w:eastAsia="zh-CN"/>
              </w:rPr>
              <w:t xml:space="preserve">3</w:t>
            </w:r>
            <w:r>
              <w:rPr>
                <w:rFonts w:hint="eastAsia" w:ascii="宋体" w:hAnsi="宋体"/>
                <w:color w:val="auto"/>
                <w:szCs w:val="21"/>
              </w:rPr>
              <w:t xml:space="preserve">年1</w:t>
            </w:r>
            <w:r>
              <w:rPr>
                <w:rFonts w:hint="eastAsia" w:ascii="宋体" w:hAnsi="宋体"/>
                <w:color w:val="auto"/>
                <w:szCs w:val="21"/>
                <w:lang w:val="en-US" w:eastAsia="zh-CN"/>
              </w:rPr>
              <w:t xml:space="preserve">2</w:t>
            </w:r>
            <w:r>
              <w:rPr>
                <w:rFonts w:hint="eastAsia" w:ascii="宋体" w:hAnsi="宋体"/>
                <w:color w:val="auto"/>
                <w:szCs w:val="21"/>
              </w:rPr>
              <w:t xml:space="preserve">月至2024年0</w:t>
            </w:r>
            <w:r>
              <w:rPr>
                <w:rFonts w:hint="eastAsia" w:ascii="宋体" w:hAnsi="宋体"/>
                <w:color w:val="auto"/>
                <w:szCs w:val="21"/>
                <w:lang w:val="en-US" w:eastAsia="zh-CN"/>
              </w:rPr>
              <w:t xml:space="preserve">5</w:t>
            </w:r>
            <w:r>
              <w:rPr>
                <w:rFonts w:hint="eastAsia" w:ascii="宋体" w:hAnsi="宋体"/>
                <w:color w:val="auto"/>
                <w:szCs w:val="21"/>
              </w:rPr>
              <w:t xml:space="preserve">月由社保机构出具社保缴纳证明材料并上传在电子投标文件中，未提供不得分；</w:t>
            </w:r>
            <w:r/>
          </w:p>
        </w:tc>
        <w:tc>
          <w:tcPr>
            <w:tcBorders>
              <w:top w:val="single" w:color="auto" w:sz="4" w:space="0"/>
              <w:left w:val="none" w:color="000000" w:sz="4" w:space="0"/>
              <w:right w:val="single" w:color="auto" w:sz="4" w:space="0"/>
            </w:tcBorders>
            <w:tcW w:w="938"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10分</w:t>
            </w:r>
            <w:r/>
          </w:p>
        </w:tc>
      </w:tr>
    </w:tbl>
    <w:p>
      <w:pPr>
        <w:jc w:val="center"/>
        <w:tabs>
          <w:tab w:val="left" w:pos="0" w:leader="none"/>
        </w:tabs>
        <w:rPr>
          <w:rFonts w:ascii="宋体" w:hAnsi="宋体" w:cs="宋体"/>
          <w:color w:val="auto"/>
          <w:sz w:val="24"/>
          <w:szCs w:val="24"/>
        </w:rPr>
      </w:pPr>
      <w:r>
        <w:rPr>
          <w:rFonts w:hint="eastAsia" w:ascii="黑体" w:hAnsi="黑体" w:eastAsia="黑体" w:cs="宋体"/>
          <w:b/>
          <w:bCs/>
          <w:color w:val="auto"/>
          <w:sz w:val="24"/>
          <w:szCs w:val="24"/>
        </w:rPr>
        <w:t xml:space="preserve">三、技术分（</w:t>
      </w:r>
      <w:r>
        <w:rPr>
          <w:rFonts w:hint="eastAsia" w:ascii="宋体" w:hAnsi="宋体" w:cs="宋体"/>
          <w:b/>
          <w:bCs/>
          <w:color w:val="auto"/>
          <w:sz w:val="24"/>
          <w:szCs w:val="24"/>
        </w:rPr>
        <w:t xml:space="preserve">58</w:t>
      </w:r>
      <w:r>
        <w:rPr>
          <w:rFonts w:hint="eastAsia" w:ascii="黑体" w:hAnsi="黑体" w:eastAsia="黑体" w:cs="宋体"/>
          <w:b/>
          <w:bCs/>
          <w:color w:val="auto"/>
          <w:sz w:val="24"/>
          <w:szCs w:val="24"/>
        </w:rPr>
        <w:t xml:space="preserve">分）</w:t>
      </w:r>
      <w:r/>
    </w:p>
    <w:tbl>
      <w:tblPr>
        <w:tblStyle w:val="667"/>
        <w:tblW w:w="103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443"/>
        <w:gridCol w:w="7062"/>
        <w:gridCol w:w="780"/>
      </w:tblGrid>
      <w:tr>
        <w:trPr>
          <w:jc w:val="center"/>
          <w:trHeight w:val="387"/>
        </w:trPr>
        <w:tc>
          <w:tcPr>
            <w:tcBorders>
              <w:top w:val="single" w:color="auto" w:sz="4" w:space="0"/>
              <w:left w:val="single" w:color="auto" w:sz="4" w:space="0"/>
              <w:bottom w:val="single" w:color="auto" w:sz="4" w:space="0"/>
              <w:right w:val="single" w:color="auto" w:sz="4" w:space="0"/>
            </w:tcBorders>
            <w:tcW w:w="1101"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项目</w:t>
            </w:r>
            <w:r/>
          </w:p>
        </w:tc>
        <w:tc>
          <w:tcPr>
            <w:tcBorders>
              <w:top w:val="single" w:color="auto" w:sz="4" w:space="0"/>
              <w:left w:val="none" w:color="000000" w:sz="4" w:space="0"/>
              <w:bottom w:val="single" w:color="auto" w:sz="4" w:space="0"/>
              <w:right w:val="single" w:color="auto" w:sz="4" w:space="0"/>
            </w:tcBorders>
            <w:tcW w:w="1443"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分项名称</w:t>
            </w:r>
            <w:r/>
          </w:p>
        </w:tc>
        <w:tc>
          <w:tcPr>
            <w:tcBorders>
              <w:top w:val="single" w:color="auto" w:sz="4" w:space="0"/>
              <w:left w:val="none" w:color="000000" w:sz="4" w:space="0"/>
              <w:bottom w:val="single" w:color="auto" w:sz="4" w:space="0"/>
              <w:right w:val="single" w:color="auto" w:sz="4" w:space="0"/>
            </w:tcBorders>
            <w:tcW w:w="7062"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评分标准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满分</w:t>
            </w:r>
            <w:r/>
          </w:p>
        </w:tc>
      </w:tr>
      <w:tr>
        <w:trPr>
          <w:jc w:val="center"/>
          <w:trHeight w:val="90"/>
        </w:trPr>
        <w:tc>
          <w:tcPr>
            <w:tcBorders>
              <w:top w:val="none" w:color="000000" w:sz="4" w:space="0"/>
              <w:left w:val="single" w:color="auto" w:sz="4" w:space="0"/>
              <w:bottom w:val="single" w:color="auto" w:sz="4" w:space="0"/>
              <w:right w:val="single" w:color="auto" w:sz="4" w:space="0"/>
            </w:tcBorders>
            <w:tcW w:w="1101" w:type="dxa"/>
            <w:vAlign w:val="center"/>
            <w:vMerge w:val="restart"/>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技术部分（58分）</w:t>
            </w:r>
            <w:r/>
          </w:p>
        </w:tc>
        <w:tc>
          <w:tcPr>
            <w:tcBorders>
              <w:top w:val="single" w:color="auto" w:sz="4" w:space="0"/>
              <w:left w:val="none" w:color="000000" w:sz="4" w:space="0"/>
              <w:bottom w:val="single" w:color="auto" w:sz="4" w:space="0"/>
              <w:right w:val="single" w:color="auto" w:sz="4" w:space="0"/>
            </w:tcBorders>
            <w:tcW w:w="1443" w:type="dxa"/>
            <w:vAlign w:val="center"/>
            <w:textDirection w:val="lrTb"/>
            <w:noWrap w:val="false"/>
          </w:tcPr>
          <w:p>
            <w:pPr>
              <w:jc w:val="left"/>
              <w:spacing w:line="320" w:lineRule="exact"/>
              <w:widowControl/>
              <w:rPr>
                <w:rFonts w:hint="eastAsia" w:ascii="宋体" w:hAnsi="宋体" w:eastAsia="宋体"/>
                <w:color w:val="auto"/>
                <w:szCs w:val="21"/>
                <w:lang w:eastAsia="zh-CN"/>
              </w:rPr>
            </w:pPr>
            <w:r>
              <w:rPr>
                <w:rFonts w:hint="eastAsia" w:ascii="宋体" w:hAnsi="宋体"/>
                <w:color w:val="auto"/>
                <w:szCs w:val="21"/>
              </w:rPr>
              <w:t xml:space="preserve">项目理解</w:t>
            </w:r>
            <w:r>
              <w:rPr>
                <w:rFonts w:hint="eastAsia" w:ascii="宋体" w:hAnsi="宋体"/>
                <w:color w:val="auto"/>
                <w:szCs w:val="21"/>
                <w:lang w:eastAsia="zh-CN"/>
              </w:rPr>
              <w:t xml:space="preserve">（</w:t>
            </w:r>
            <w:r>
              <w:rPr>
                <w:rFonts w:hint="eastAsia" w:ascii="宋体" w:hAnsi="宋体"/>
                <w:color w:val="auto"/>
                <w:szCs w:val="21"/>
                <w:lang w:val="en-US" w:eastAsia="zh-CN"/>
              </w:rPr>
              <w:t xml:space="preserve">15分</w:t>
            </w:r>
            <w:r>
              <w:rPr>
                <w:rFonts w:hint="eastAsia" w:ascii="宋体" w:hAnsi="宋体"/>
                <w:color w:val="auto"/>
                <w:szCs w:val="21"/>
                <w:lang w:eastAsia="zh-CN"/>
              </w:rPr>
              <w:t xml:space="preserve">）</w:t>
            </w:r>
            <w:r/>
          </w:p>
        </w:tc>
        <w:tc>
          <w:tcPr>
            <w:tcBorders>
              <w:top w:val="single" w:color="auto" w:sz="4" w:space="0"/>
              <w:left w:val="none" w:color="000000" w:sz="4" w:space="0"/>
              <w:bottom w:val="single" w:color="auto" w:sz="4" w:space="0"/>
              <w:right w:val="single" w:color="auto" w:sz="4" w:space="0"/>
            </w:tcBorders>
            <w:tcW w:w="7062"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对项目背景、每个村庄诉求和每个村庄现场调研分析情况评分。</w:t>
            </w:r>
            <w:r/>
          </w:p>
          <w:p>
            <w:pPr>
              <w:jc w:val="left"/>
              <w:spacing w:line="320" w:lineRule="exact"/>
              <w:widowControl/>
              <w:rPr>
                <w:rFonts w:ascii="宋体" w:hAnsi="宋体"/>
                <w:color w:val="auto"/>
                <w:szCs w:val="21"/>
              </w:rPr>
            </w:pPr>
            <w:r>
              <w:rPr>
                <w:rFonts w:hint="eastAsia" w:ascii="宋体" w:hAnsi="宋体"/>
                <w:color w:val="auto"/>
                <w:szCs w:val="21"/>
              </w:rPr>
              <w:t xml:space="preserve">解读透彻、每个村庄诉求梳理清晰、调研充分且提供每个村调研照片的得</w:t>
            </w:r>
            <w:r>
              <w:rPr>
                <w:rFonts w:hint="eastAsia" w:ascii="宋体" w:hAnsi="宋体"/>
                <w:color w:val="auto"/>
                <w:szCs w:val="21"/>
                <w:lang w:val="en-US" w:eastAsia="zh-CN"/>
              </w:rPr>
              <w:t xml:space="preserve">11-</w:t>
            </w:r>
            <w:r>
              <w:rPr>
                <w:rFonts w:hint="eastAsia" w:ascii="宋体" w:hAnsi="宋体"/>
                <w:color w:val="auto"/>
                <w:szCs w:val="21"/>
              </w:rPr>
              <w:t xml:space="preserve">15分；解读较透彻、仅提供个别村庄的调研照片和诉求的，得</w:t>
            </w:r>
            <w:r>
              <w:rPr>
                <w:rFonts w:hint="eastAsia" w:ascii="宋体" w:hAnsi="宋体"/>
                <w:color w:val="auto"/>
                <w:szCs w:val="21"/>
                <w:lang w:val="en-US" w:eastAsia="zh-CN"/>
              </w:rPr>
              <w:t xml:space="preserve">6-</w:t>
            </w:r>
            <w:r>
              <w:rPr>
                <w:rFonts w:hint="eastAsia" w:ascii="宋体" w:hAnsi="宋体"/>
                <w:color w:val="auto"/>
                <w:szCs w:val="21"/>
              </w:rPr>
              <w:t xml:space="preserve">10分；解读程度一般，未提供调研照片的得</w:t>
            </w:r>
            <w:r>
              <w:rPr>
                <w:rFonts w:hint="eastAsia" w:ascii="宋体" w:hAnsi="宋体"/>
                <w:color w:val="auto"/>
                <w:szCs w:val="21"/>
                <w:lang w:val="en-US" w:eastAsia="zh-CN"/>
              </w:rPr>
              <w:t xml:space="preserve">1-</w:t>
            </w:r>
            <w:r>
              <w:rPr>
                <w:rFonts w:hint="eastAsia" w:ascii="宋体" w:hAnsi="宋体"/>
                <w:color w:val="auto"/>
                <w:szCs w:val="21"/>
              </w:rPr>
              <w:t xml:space="preserve">5分；未见阐述不得分。 </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15分</w:t>
            </w:r>
            <w:r/>
          </w:p>
        </w:tc>
      </w:tr>
      <w:tr>
        <w:trPr>
          <w:jc w:val="center"/>
          <w:trHeight w:val="334"/>
        </w:trPr>
        <w:tc>
          <w:tcPr>
            <w:tcBorders>
              <w:top w:val="none" w:color="000000" w:sz="4" w:space="0"/>
              <w:left w:val="single" w:color="auto" w:sz="4" w:space="0"/>
              <w:bottom w:val="single" w:color="auto" w:sz="4" w:space="0"/>
              <w:right w:val="single" w:color="auto" w:sz="4" w:space="0"/>
            </w:tcBorders>
            <w:tcW w:w="11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bottom w:val="single" w:color="auto" w:sz="4" w:space="0"/>
              <w:right w:val="single" w:color="auto" w:sz="4" w:space="0"/>
            </w:tcBorders>
            <w:tcW w:w="1443" w:type="dxa"/>
            <w:vAlign w:val="center"/>
            <w:textDirection w:val="lrTb"/>
            <w:noWrap w:val="false"/>
          </w:tcPr>
          <w:p>
            <w:pPr>
              <w:jc w:val="left"/>
              <w:spacing w:line="320" w:lineRule="exact"/>
              <w:widowControl/>
              <w:rPr>
                <w:rFonts w:hint="eastAsia" w:ascii="宋体" w:hAnsi="宋体" w:eastAsia="宋体"/>
                <w:color w:val="auto"/>
                <w:szCs w:val="21"/>
                <w:lang w:eastAsia="zh-CN"/>
              </w:rPr>
            </w:pPr>
            <w:r>
              <w:rPr>
                <w:rFonts w:hint="eastAsia" w:ascii="宋体" w:hAnsi="宋体"/>
                <w:color w:val="auto"/>
                <w:szCs w:val="21"/>
              </w:rPr>
              <w:t xml:space="preserve">技术路线和编制思路</w:t>
            </w:r>
            <w:r>
              <w:rPr>
                <w:rFonts w:hint="eastAsia" w:ascii="宋体" w:hAnsi="宋体"/>
                <w:color w:val="auto"/>
                <w:szCs w:val="21"/>
                <w:lang w:eastAsia="zh-CN"/>
              </w:rPr>
              <w:t xml:space="preserve">（</w:t>
            </w:r>
            <w:r>
              <w:rPr>
                <w:rFonts w:hint="eastAsia" w:ascii="宋体" w:hAnsi="宋体"/>
                <w:color w:val="auto"/>
                <w:szCs w:val="21"/>
                <w:lang w:val="en-US" w:eastAsia="zh-CN"/>
              </w:rPr>
              <w:t xml:space="preserve">6分</w:t>
            </w:r>
            <w:r>
              <w:rPr>
                <w:rFonts w:hint="eastAsia" w:ascii="宋体" w:hAnsi="宋体"/>
                <w:color w:val="auto"/>
                <w:szCs w:val="21"/>
                <w:lang w:eastAsia="zh-CN"/>
              </w:rPr>
              <w:t xml:space="preserve">）</w:t>
            </w:r>
            <w:r/>
          </w:p>
        </w:tc>
        <w:tc>
          <w:tcPr>
            <w:tcBorders>
              <w:top w:val="single" w:color="auto" w:sz="4" w:space="0"/>
              <w:left w:val="none" w:color="000000" w:sz="4" w:space="0"/>
              <w:bottom w:val="single" w:color="auto" w:sz="4" w:space="0"/>
              <w:right w:val="single" w:color="auto" w:sz="4" w:space="0"/>
            </w:tcBorders>
            <w:tcW w:w="7062"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对规划编制思路、技术路线情况评分。</w:t>
            </w:r>
            <w:r/>
          </w:p>
          <w:p>
            <w:pPr>
              <w:jc w:val="left"/>
              <w:spacing w:line="320" w:lineRule="exact"/>
              <w:widowControl/>
              <w:rPr>
                <w:rFonts w:ascii="宋体" w:hAnsi="宋体"/>
                <w:color w:val="auto"/>
                <w:szCs w:val="21"/>
              </w:rPr>
            </w:pPr>
            <w:r>
              <w:rPr>
                <w:rFonts w:hint="eastAsia" w:ascii="宋体" w:hAnsi="宋体"/>
                <w:color w:val="auto"/>
                <w:szCs w:val="21"/>
              </w:rPr>
              <w:t xml:space="preserve">规划思路清晰、技术路线完整、合理、可行，得</w:t>
            </w:r>
            <w:r>
              <w:rPr>
                <w:rFonts w:hint="eastAsia" w:ascii="宋体" w:hAnsi="宋体"/>
                <w:color w:val="auto"/>
                <w:szCs w:val="21"/>
                <w:lang w:val="en-US" w:eastAsia="zh-CN"/>
              </w:rPr>
              <w:t xml:space="preserve">5-</w:t>
            </w:r>
            <w:r>
              <w:rPr>
                <w:rFonts w:hint="eastAsia" w:ascii="宋体" w:hAnsi="宋体"/>
                <w:color w:val="auto"/>
                <w:szCs w:val="21"/>
              </w:rPr>
              <w:t xml:space="preserve">6分；思路和路线较完整、合理较清晰得</w:t>
            </w:r>
            <w:r>
              <w:rPr>
                <w:rFonts w:hint="eastAsia" w:ascii="宋体" w:hAnsi="宋体"/>
                <w:color w:val="auto"/>
                <w:szCs w:val="21"/>
                <w:lang w:val="en-US" w:eastAsia="zh-CN"/>
              </w:rPr>
              <w:t xml:space="preserve">3-</w:t>
            </w:r>
            <w:r>
              <w:rPr>
                <w:rFonts w:hint="eastAsia" w:ascii="宋体" w:hAnsi="宋体"/>
                <w:color w:val="auto"/>
                <w:szCs w:val="21"/>
              </w:rPr>
              <w:t xml:space="preserve">4分；仅提出初步研究方向，思路不太清晰得</w:t>
            </w:r>
            <w:r>
              <w:rPr>
                <w:rFonts w:hint="eastAsia" w:ascii="宋体" w:hAnsi="宋体"/>
                <w:color w:val="auto"/>
                <w:szCs w:val="21"/>
                <w:lang w:val="en-US" w:eastAsia="zh-CN"/>
              </w:rPr>
              <w:t xml:space="preserve">1-</w:t>
            </w:r>
            <w:r>
              <w:rPr>
                <w:rFonts w:hint="eastAsia" w:ascii="宋体" w:hAnsi="宋体"/>
                <w:color w:val="auto"/>
                <w:szCs w:val="21"/>
              </w:rPr>
              <w:t xml:space="preserve">2分；未见阐述不得分。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6分</w:t>
            </w:r>
            <w:r/>
          </w:p>
        </w:tc>
      </w:tr>
      <w:tr>
        <w:trPr>
          <w:jc w:val="center"/>
          <w:trHeight w:val="334"/>
        </w:trPr>
        <w:tc>
          <w:tcPr>
            <w:tcBorders>
              <w:top w:val="none" w:color="000000" w:sz="4" w:space="0"/>
              <w:left w:val="single" w:color="auto" w:sz="4" w:space="0"/>
              <w:bottom w:val="single" w:color="auto" w:sz="4" w:space="0"/>
              <w:right w:val="single" w:color="auto" w:sz="4" w:space="0"/>
            </w:tcBorders>
            <w:tcW w:w="11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bottom w:val="single" w:color="auto" w:sz="4" w:space="0"/>
              <w:right w:val="single" w:color="auto" w:sz="4" w:space="0"/>
            </w:tcBorders>
            <w:tcW w:w="1443" w:type="dxa"/>
            <w:vAlign w:val="center"/>
            <w:textDirection w:val="lrTb"/>
            <w:noWrap w:val="false"/>
          </w:tcPr>
          <w:p>
            <w:pPr>
              <w:jc w:val="left"/>
              <w:spacing w:line="320" w:lineRule="exact"/>
              <w:widowControl/>
              <w:rPr>
                <w:rFonts w:hint="eastAsia" w:ascii="宋体" w:hAnsi="宋体" w:eastAsia="宋体"/>
                <w:color w:val="auto"/>
                <w:szCs w:val="21"/>
                <w:lang w:eastAsia="zh-CN"/>
              </w:rPr>
            </w:pPr>
            <w:r>
              <w:rPr>
                <w:rFonts w:hint="eastAsia" w:ascii="宋体" w:hAnsi="宋体"/>
                <w:color w:val="auto"/>
                <w:szCs w:val="21"/>
              </w:rPr>
              <w:t xml:space="preserve">用地布局及居民点规划方案</w:t>
            </w:r>
            <w:r>
              <w:rPr>
                <w:rFonts w:hint="eastAsia" w:ascii="宋体" w:hAnsi="宋体"/>
                <w:color w:val="auto"/>
                <w:szCs w:val="21"/>
                <w:lang w:eastAsia="zh-CN"/>
              </w:rPr>
              <w:t xml:space="preserve">（</w:t>
            </w:r>
            <w:r>
              <w:rPr>
                <w:rFonts w:hint="eastAsia" w:ascii="宋体" w:hAnsi="宋体"/>
                <w:color w:val="auto"/>
                <w:szCs w:val="21"/>
                <w:lang w:val="en-US" w:eastAsia="zh-CN"/>
              </w:rPr>
              <w:t xml:space="preserve">25</w:t>
            </w:r>
            <w:r>
              <w:rPr>
                <w:rFonts w:hint="eastAsia" w:ascii="宋体" w:hAnsi="宋体"/>
                <w:color w:val="auto"/>
                <w:szCs w:val="21"/>
                <w:lang w:eastAsia="zh-CN"/>
              </w:rPr>
              <w:t xml:space="preserve">）</w:t>
            </w:r>
            <w:r/>
          </w:p>
        </w:tc>
        <w:tc>
          <w:tcPr>
            <w:tcBorders>
              <w:top w:val="single" w:color="auto" w:sz="4" w:space="0"/>
              <w:left w:val="none" w:color="000000" w:sz="4" w:space="0"/>
              <w:bottom w:val="single" w:color="auto" w:sz="4" w:space="0"/>
              <w:right w:val="single" w:color="auto" w:sz="4" w:space="0"/>
            </w:tcBorders>
            <w:tcW w:w="7062"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对本次招标所有村庄（</w:t>
            </w:r>
            <w:r>
              <w:rPr>
                <w:rFonts w:hint="eastAsia" w:ascii="宋体" w:hAnsi="宋体"/>
                <w:color w:val="auto"/>
                <w:szCs w:val="21"/>
                <w:lang w:val="en-US" w:eastAsia="zh-CN"/>
              </w:rPr>
              <w:t xml:space="preserve">16</w:t>
            </w:r>
            <w:r>
              <w:rPr>
                <w:rFonts w:hint="eastAsia" w:ascii="宋体" w:hAnsi="宋体"/>
                <w:color w:val="auto"/>
                <w:szCs w:val="21"/>
              </w:rPr>
              <w:t xml:space="preserve">个行政村）用地布局</w:t>
            </w:r>
            <w:r>
              <w:rPr>
                <w:rFonts w:hint="eastAsia" w:ascii="宋体" w:hAnsi="宋体"/>
                <w:color w:val="auto"/>
                <w:szCs w:val="21"/>
                <w:lang w:val="en-US" w:eastAsia="zh-CN"/>
              </w:rPr>
              <w:t xml:space="preserve">和重点地块用地规划</w:t>
            </w:r>
            <w:r>
              <w:rPr>
                <w:rFonts w:hint="eastAsia" w:ascii="宋体" w:hAnsi="宋体"/>
                <w:color w:val="auto"/>
                <w:szCs w:val="21"/>
              </w:rPr>
              <w:t xml:space="preserve">方案设计进行评分。</w:t>
            </w:r>
            <w:r/>
          </w:p>
          <w:p>
            <w:pPr>
              <w:jc w:val="left"/>
              <w:spacing w:line="320" w:lineRule="exact"/>
              <w:widowControl/>
              <w:rPr>
                <w:rFonts w:ascii="宋体" w:hAnsi="宋体"/>
                <w:color w:val="auto"/>
                <w:szCs w:val="21"/>
              </w:rPr>
            </w:pPr>
            <w:r>
              <w:rPr>
                <w:rFonts w:hint="eastAsia" w:ascii="宋体" w:hAnsi="宋体"/>
                <w:color w:val="auto"/>
                <w:szCs w:val="21"/>
              </w:rPr>
              <w:t xml:space="preserve">规划用地布局规划设计方案完整、合理、可行，得</w:t>
            </w:r>
            <w:r>
              <w:rPr>
                <w:rFonts w:hint="eastAsia" w:ascii="宋体" w:hAnsi="宋体"/>
                <w:color w:val="auto"/>
                <w:szCs w:val="21"/>
                <w:lang w:val="en-US" w:eastAsia="zh-CN"/>
              </w:rPr>
              <w:t xml:space="preserve">21-</w:t>
            </w:r>
            <w:r>
              <w:rPr>
                <w:rFonts w:hint="eastAsia" w:ascii="宋体" w:hAnsi="宋体"/>
                <w:color w:val="auto"/>
                <w:szCs w:val="21"/>
              </w:rPr>
              <w:t xml:space="preserve">25分；布局和方案较完整、合理较清晰得</w:t>
            </w:r>
            <w:r>
              <w:rPr>
                <w:rFonts w:hint="eastAsia" w:ascii="宋体" w:hAnsi="宋体"/>
                <w:color w:val="auto"/>
                <w:szCs w:val="21"/>
                <w:lang w:val="en-US" w:eastAsia="zh-CN"/>
              </w:rPr>
              <w:t xml:space="preserve">11-</w:t>
            </w:r>
            <w:r>
              <w:rPr>
                <w:rFonts w:hint="eastAsia" w:ascii="宋体" w:hAnsi="宋体"/>
                <w:color w:val="auto"/>
                <w:szCs w:val="21"/>
              </w:rPr>
              <w:t xml:space="preserve">20分；仅提出初步布局方向，思路不太清晰得</w:t>
            </w:r>
            <w:r>
              <w:rPr>
                <w:rFonts w:hint="eastAsia" w:ascii="宋体" w:hAnsi="宋体"/>
                <w:color w:val="auto"/>
                <w:szCs w:val="21"/>
                <w:lang w:val="en-US" w:eastAsia="zh-CN"/>
              </w:rPr>
              <w:t xml:space="preserve">1-</w:t>
            </w:r>
            <w:r>
              <w:rPr>
                <w:rFonts w:hint="eastAsia" w:ascii="宋体" w:hAnsi="宋体"/>
                <w:color w:val="auto"/>
                <w:szCs w:val="21"/>
              </w:rPr>
              <w:t xml:space="preserve">10分；未见阐述不得分。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25分</w:t>
            </w:r>
            <w:r/>
          </w:p>
        </w:tc>
      </w:tr>
      <w:tr>
        <w:trPr>
          <w:jc w:val="center"/>
          <w:trHeight w:val="1199"/>
        </w:trPr>
        <w:tc>
          <w:tcPr>
            <w:tcBorders>
              <w:top w:val="none" w:color="000000" w:sz="4" w:space="0"/>
              <w:left w:val="single" w:color="auto" w:sz="4" w:space="0"/>
              <w:bottom w:val="single" w:color="auto" w:sz="4" w:space="0"/>
              <w:right w:val="single" w:color="auto" w:sz="4" w:space="0"/>
            </w:tcBorders>
            <w:tcW w:w="11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bottom w:val="single" w:color="auto" w:sz="4" w:space="0"/>
              <w:right w:val="single" w:color="auto" w:sz="4" w:space="0"/>
            </w:tcBorders>
            <w:tcW w:w="1443" w:type="dxa"/>
            <w:vAlign w:val="center"/>
            <w:textDirection w:val="lrTb"/>
            <w:noWrap w:val="false"/>
          </w:tcPr>
          <w:p>
            <w:pPr>
              <w:jc w:val="left"/>
              <w:spacing w:line="320" w:lineRule="exact"/>
              <w:widowControl/>
              <w:rPr>
                <w:rFonts w:hint="eastAsia" w:ascii="宋体" w:hAnsi="宋体" w:eastAsia="宋体"/>
                <w:color w:val="auto"/>
                <w:szCs w:val="21"/>
                <w:lang w:eastAsia="zh-CN"/>
              </w:rPr>
            </w:pPr>
            <w:r>
              <w:rPr>
                <w:rFonts w:hint="eastAsia" w:ascii="宋体" w:hAnsi="宋体"/>
                <w:color w:val="auto"/>
                <w:szCs w:val="21"/>
              </w:rPr>
              <w:t xml:space="preserve">重难点分析</w:t>
            </w:r>
            <w:r>
              <w:rPr>
                <w:rFonts w:hint="eastAsia" w:ascii="宋体" w:hAnsi="宋体"/>
                <w:color w:val="auto"/>
                <w:szCs w:val="21"/>
                <w:lang w:eastAsia="zh-CN"/>
              </w:rPr>
              <w:t xml:space="preserve">（</w:t>
            </w:r>
            <w:r>
              <w:rPr>
                <w:rFonts w:hint="eastAsia" w:ascii="宋体" w:hAnsi="宋体"/>
                <w:color w:val="auto"/>
                <w:szCs w:val="21"/>
                <w:lang w:val="en-US" w:eastAsia="zh-CN"/>
              </w:rPr>
              <w:t xml:space="preserve">6分</w:t>
            </w:r>
            <w:r>
              <w:rPr>
                <w:rFonts w:hint="eastAsia" w:ascii="宋体" w:hAnsi="宋体"/>
                <w:color w:val="auto"/>
                <w:szCs w:val="21"/>
                <w:lang w:eastAsia="zh-CN"/>
              </w:rPr>
              <w:t xml:space="preserve">）</w:t>
            </w:r>
            <w:r/>
          </w:p>
        </w:tc>
        <w:tc>
          <w:tcPr>
            <w:tcBorders>
              <w:top w:val="single" w:color="auto" w:sz="4" w:space="0"/>
              <w:left w:val="none" w:color="000000" w:sz="4" w:space="0"/>
              <w:bottom w:val="single" w:color="auto" w:sz="4" w:space="0"/>
              <w:right w:val="single" w:color="auto" w:sz="4" w:space="0"/>
            </w:tcBorders>
            <w:tcW w:w="7062"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对本规划开展的难点、重点分析情况评分。</w:t>
            </w:r>
            <w:r/>
          </w:p>
          <w:p>
            <w:pPr>
              <w:jc w:val="left"/>
              <w:spacing w:line="320" w:lineRule="exact"/>
              <w:widowControl/>
              <w:rPr>
                <w:rFonts w:ascii="宋体" w:hAnsi="宋体"/>
                <w:color w:val="auto"/>
                <w:szCs w:val="21"/>
              </w:rPr>
            </w:pPr>
            <w:r>
              <w:rPr>
                <w:rFonts w:hint="eastAsia" w:ascii="宋体" w:hAnsi="宋体"/>
                <w:color w:val="auto"/>
                <w:szCs w:val="21"/>
              </w:rPr>
              <w:t xml:space="preserve">提出明确的针对性工作方法，同时对项目的最后实施提出实施意见分析的好得</w:t>
            </w:r>
            <w:r>
              <w:rPr>
                <w:rFonts w:hint="eastAsia" w:ascii="宋体" w:hAnsi="宋体"/>
                <w:color w:val="auto"/>
                <w:szCs w:val="21"/>
                <w:lang w:val="en-US" w:eastAsia="zh-CN"/>
              </w:rPr>
              <w:t xml:space="preserve">5-</w:t>
            </w:r>
            <w:r>
              <w:rPr>
                <w:rFonts w:hint="eastAsia" w:ascii="宋体" w:hAnsi="宋体"/>
                <w:color w:val="auto"/>
                <w:szCs w:val="21"/>
              </w:rPr>
              <w:t xml:space="preserve">6分；分析较好得</w:t>
            </w:r>
            <w:r>
              <w:rPr>
                <w:rFonts w:hint="eastAsia" w:ascii="宋体" w:hAnsi="宋体"/>
                <w:color w:val="auto"/>
                <w:szCs w:val="21"/>
                <w:lang w:val="en-US" w:eastAsia="zh-CN"/>
              </w:rPr>
              <w:t xml:space="preserve">3-</w:t>
            </w:r>
            <w:r>
              <w:rPr>
                <w:rFonts w:hint="eastAsia" w:ascii="宋体" w:hAnsi="宋体"/>
                <w:color w:val="auto"/>
                <w:szCs w:val="21"/>
              </w:rPr>
              <w:t xml:space="preserve">4分；分析一般得</w:t>
            </w:r>
            <w:r>
              <w:rPr>
                <w:rFonts w:hint="eastAsia" w:ascii="宋体" w:hAnsi="宋体"/>
                <w:color w:val="auto"/>
                <w:szCs w:val="21"/>
                <w:lang w:val="en-US" w:eastAsia="zh-CN"/>
              </w:rPr>
              <w:t xml:space="preserve">1-</w:t>
            </w:r>
            <w:r>
              <w:rPr>
                <w:rFonts w:hint="eastAsia" w:ascii="宋体" w:hAnsi="宋体"/>
                <w:color w:val="auto"/>
                <w:szCs w:val="21"/>
              </w:rPr>
              <w:t xml:space="preserve">2分；未见阐述不得分。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6分</w:t>
            </w:r>
            <w:r/>
          </w:p>
        </w:tc>
      </w:tr>
      <w:tr>
        <w:trPr>
          <w:jc w:val="center"/>
          <w:trHeight w:val="1004"/>
        </w:trPr>
        <w:tc>
          <w:tcPr>
            <w:tcBorders>
              <w:top w:val="none" w:color="000000" w:sz="4" w:space="0"/>
              <w:left w:val="single" w:color="auto" w:sz="4" w:space="0"/>
              <w:bottom w:val="single" w:color="auto" w:sz="4" w:space="0"/>
              <w:right w:val="single" w:color="auto" w:sz="4" w:space="0"/>
            </w:tcBorders>
            <w:tcW w:w="1101" w:type="dxa"/>
            <w:vAlign w:val="center"/>
            <w:vMerge w:val="continue"/>
            <w:textDirection w:val="lrTb"/>
            <w:noWrap w:val="false"/>
          </w:tcPr>
          <w:p>
            <w:pPr>
              <w:jc w:val="lef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bottom w:val="single" w:color="auto" w:sz="4" w:space="0"/>
              <w:right w:val="single" w:color="auto" w:sz="4" w:space="0"/>
            </w:tcBorders>
            <w:tcW w:w="1443" w:type="dxa"/>
            <w:vAlign w:val="center"/>
            <w:textDirection w:val="lrTb"/>
            <w:noWrap w:val="false"/>
          </w:tcPr>
          <w:p>
            <w:pPr>
              <w:jc w:val="left"/>
              <w:spacing w:line="320" w:lineRule="exact"/>
              <w:widowControl/>
              <w:rPr>
                <w:rFonts w:hint="default" w:ascii="宋体" w:hAnsi="宋体" w:eastAsia="宋体"/>
                <w:color w:val="auto"/>
                <w:szCs w:val="21"/>
                <w:lang w:val="en-US" w:eastAsia="zh-CN"/>
              </w:rPr>
            </w:pPr>
            <w:r>
              <w:rPr>
                <w:rFonts w:hint="eastAsia" w:ascii="宋体" w:hAnsi="宋体"/>
                <w:color w:val="auto"/>
                <w:szCs w:val="21"/>
              </w:rPr>
              <w:t xml:space="preserve">项目工作进度计划</w:t>
            </w:r>
            <w:r>
              <w:rPr>
                <w:rFonts w:hint="eastAsia" w:ascii="宋体" w:hAnsi="宋体"/>
                <w:color w:val="auto"/>
                <w:szCs w:val="21"/>
                <w:lang w:val="en-US" w:eastAsia="zh-CN"/>
              </w:rPr>
              <w:t xml:space="preserve">及保障措施（6分）</w:t>
            </w:r>
            <w:r/>
          </w:p>
          <w:p>
            <w:pPr>
              <w:jc w:val="left"/>
              <w:spacing w:line="320" w:lineRule="exact"/>
              <w:widowControl/>
              <w:rPr>
                <w:rFonts w:ascii="宋体" w:hAnsi="宋体"/>
                <w:color w:val="auto"/>
                <w:szCs w:val="21"/>
              </w:rPr>
            </w:pPr>
            <w:r>
              <w:rPr>
                <w:rFonts w:ascii="宋体" w:hAnsi="宋体"/>
                <w:color w:val="auto"/>
                <w:szCs w:val="21"/>
              </w:rPr>
            </w:r>
            <w:r/>
          </w:p>
        </w:tc>
        <w:tc>
          <w:tcPr>
            <w:tcBorders>
              <w:top w:val="single" w:color="auto" w:sz="4" w:space="0"/>
              <w:left w:val="none" w:color="000000" w:sz="4" w:space="0"/>
              <w:bottom w:val="single" w:color="auto" w:sz="4" w:space="0"/>
              <w:right w:val="single" w:color="auto" w:sz="4" w:space="0"/>
            </w:tcBorders>
            <w:tcW w:w="7062"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针对本项目工作进度计划</w:t>
            </w:r>
            <w:r>
              <w:rPr>
                <w:rFonts w:hint="eastAsia" w:ascii="宋体" w:hAnsi="宋体"/>
                <w:color w:val="auto"/>
                <w:szCs w:val="21"/>
                <w:lang w:val="en-US" w:eastAsia="zh-CN"/>
              </w:rPr>
              <w:t xml:space="preserve">及保障措施情况评分</w:t>
            </w:r>
            <w:r>
              <w:rPr>
                <w:rFonts w:hint="eastAsia" w:ascii="宋体" w:hAnsi="宋体"/>
                <w:color w:val="auto"/>
                <w:szCs w:val="21"/>
              </w:rPr>
              <w:t xml:space="preserve">。</w:t>
            </w:r>
            <w:r/>
          </w:p>
          <w:p>
            <w:pPr>
              <w:jc w:val="left"/>
              <w:spacing w:line="320" w:lineRule="exact"/>
              <w:widowControl/>
              <w:rPr>
                <w:rFonts w:ascii="宋体" w:hAnsi="宋体"/>
                <w:color w:val="auto"/>
                <w:szCs w:val="21"/>
              </w:rPr>
            </w:pPr>
            <w:r>
              <w:rPr>
                <w:rFonts w:hint="eastAsia" w:ascii="宋体" w:hAnsi="宋体"/>
                <w:color w:val="auto"/>
                <w:szCs w:val="21"/>
              </w:rPr>
              <w:t xml:space="preserve">进度计划</w:t>
            </w:r>
            <w:r>
              <w:rPr>
                <w:rFonts w:hint="eastAsia" w:ascii="宋体" w:hAnsi="宋体"/>
                <w:color w:val="auto"/>
                <w:szCs w:val="21"/>
                <w:lang w:val="en-US" w:eastAsia="zh-CN"/>
              </w:rPr>
              <w:t xml:space="preserve">和保障措施</w:t>
            </w:r>
            <w:r>
              <w:rPr>
                <w:rFonts w:hint="eastAsia" w:ascii="宋体" w:hAnsi="宋体"/>
                <w:color w:val="auto"/>
                <w:szCs w:val="21"/>
              </w:rPr>
              <w:t xml:space="preserve">完整合理、可行性强的，得</w:t>
            </w:r>
            <w:r>
              <w:rPr>
                <w:rFonts w:hint="eastAsia" w:ascii="宋体" w:hAnsi="宋体"/>
                <w:color w:val="auto"/>
                <w:szCs w:val="21"/>
                <w:lang w:val="en-US" w:eastAsia="zh-CN"/>
              </w:rPr>
              <w:t xml:space="preserve">5-6</w:t>
            </w:r>
            <w:r>
              <w:rPr>
                <w:rFonts w:hint="eastAsia" w:ascii="宋体" w:hAnsi="宋体"/>
                <w:color w:val="auto"/>
                <w:szCs w:val="21"/>
              </w:rPr>
              <w:t xml:space="preserve">分；</w:t>
            </w:r>
            <w:r/>
          </w:p>
          <w:p>
            <w:pPr>
              <w:jc w:val="left"/>
              <w:spacing w:line="320" w:lineRule="exact"/>
              <w:widowControl/>
              <w:rPr>
                <w:rFonts w:ascii="宋体" w:hAnsi="宋体"/>
                <w:color w:val="auto"/>
                <w:szCs w:val="21"/>
              </w:rPr>
            </w:pPr>
            <w:r>
              <w:rPr>
                <w:rFonts w:hint="eastAsia" w:ascii="宋体" w:hAnsi="宋体"/>
                <w:color w:val="auto"/>
                <w:szCs w:val="21"/>
              </w:rPr>
              <w:t xml:space="preserve">进度计划</w:t>
            </w:r>
            <w:r>
              <w:rPr>
                <w:rFonts w:hint="eastAsia" w:ascii="宋体" w:hAnsi="宋体"/>
                <w:color w:val="auto"/>
                <w:szCs w:val="21"/>
                <w:lang w:val="en-US" w:eastAsia="zh-CN"/>
              </w:rPr>
              <w:t xml:space="preserve">和保障措施</w:t>
            </w:r>
            <w:r>
              <w:rPr>
                <w:rFonts w:hint="eastAsia" w:ascii="宋体" w:hAnsi="宋体"/>
                <w:color w:val="auto"/>
                <w:szCs w:val="21"/>
              </w:rPr>
              <w:t xml:space="preserve">较合理的、可行性较强的，得</w:t>
            </w:r>
            <w:r>
              <w:rPr>
                <w:rFonts w:hint="eastAsia" w:ascii="宋体" w:hAnsi="宋体"/>
                <w:color w:val="auto"/>
                <w:szCs w:val="21"/>
                <w:lang w:val="en-US" w:eastAsia="zh-CN"/>
              </w:rPr>
              <w:t xml:space="preserve">3-4</w:t>
            </w:r>
            <w:r>
              <w:rPr>
                <w:rFonts w:hint="eastAsia" w:ascii="宋体" w:hAnsi="宋体"/>
                <w:color w:val="auto"/>
                <w:szCs w:val="21"/>
              </w:rPr>
              <w:t xml:space="preserve">分；</w:t>
            </w:r>
            <w:r/>
          </w:p>
          <w:p>
            <w:pPr>
              <w:jc w:val="left"/>
              <w:spacing w:line="320" w:lineRule="exact"/>
              <w:widowControl/>
              <w:rPr>
                <w:rFonts w:ascii="宋体" w:hAnsi="宋体"/>
                <w:color w:val="auto"/>
                <w:szCs w:val="21"/>
              </w:rPr>
            </w:pPr>
            <w:r>
              <w:rPr>
                <w:rFonts w:hint="eastAsia" w:ascii="宋体" w:hAnsi="宋体"/>
                <w:color w:val="auto"/>
                <w:szCs w:val="21"/>
              </w:rPr>
              <w:t xml:space="preserve">进度计划</w:t>
            </w:r>
            <w:r>
              <w:rPr>
                <w:rFonts w:hint="eastAsia" w:ascii="宋体" w:hAnsi="宋体"/>
                <w:color w:val="auto"/>
                <w:szCs w:val="21"/>
                <w:lang w:val="en-US" w:eastAsia="zh-CN"/>
              </w:rPr>
              <w:t xml:space="preserve">和保障措施</w:t>
            </w:r>
            <w:r>
              <w:rPr>
                <w:rFonts w:hint="eastAsia" w:ascii="宋体" w:hAnsi="宋体"/>
                <w:color w:val="auto"/>
                <w:szCs w:val="21"/>
              </w:rPr>
              <w:t xml:space="preserve">不够合理、欠缺可行性的，得1</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jc w:val="left"/>
              <w:spacing w:line="320" w:lineRule="exact"/>
              <w:widowControl/>
              <w:rPr>
                <w:rFonts w:ascii="宋体" w:hAnsi="宋体"/>
                <w:color w:val="auto"/>
                <w:szCs w:val="21"/>
              </w:rPr>
            </w:pPr>
            <w:r>
              <w:rPr>
                <w:rFonts w:hint="eastAsia" w:ascii="宋体" w:hAnsi="宋体"/>
                <w:color w:val="auto"/>
                <w:szCs w:val="21"/>
              </w:rPr>
              <w:t xml:space="preserve">未提供相应方案，得0分。</w:t>
            </w:r>
            <w:r/>
          </w:p>
        </w:tc>
        <w:tc>
          <w:tcPr>
            <w:tcBorders>
              <w:top w:val="single" w:color="auto" w:sz="4" w:space="0"/>
              <w:left w:val="none" w:color="000000" w:sz="4" w:space="0"/>
              <w:bottom w:val="single" w:color="auto" w:sz="4" w:space="0"/>
              <w:right w:val="single" w:color="auto" w:sz="4" w:space="0"/>
            </w:tcBorders>
            <w:tcW w:w="780" w:type="dxa"/>
            <w:vAlign w:val="center"/>
            <w:textDirection w:val="lrTb"/>
            <w:noWrap w:val="false"/>
          </w:tcPr>
          <w:p>
            <w:pPr>
              <w:jc w:val="left"/>
              <w:spacing w:line="320" w:lineRule="exact"/>
              <w:widowControl/>
              <w:rPr>
                <w:rFonts w:ascii="宋体" w:hAnsi="宋体"/>
                <w:color w:val="auto"/>
                <w:szCs w:val="21"/>
              </w:rPr>
            </w:pPr>
            <w:r>
              <w:rPr>
                <w:rFonts w:hint="eastAsia" w:ascii="宋体" w:hAnsi="宋体"/>
                <w:color w:val="auto"/>
                <w:szCs w:val="21"/>
              </w:rPr>
              <w:t xml:space="preserve">6分</w:t>
            </w:r>
            <w:r/>
          </w:p>
        </w:tc>
      </w:tr>
    </w:tbl>
    <w:p>
      <w:pPr>
        <w:ind w:firstLine="480"/>
        <w:spacing w:line="499" w:lineRule="atLeast"/>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注：总得分=价格分+商务分+技术分，评标办法涉及的所有内容均以系统中上传的以投标文件制作工具生成的电子标书内容为准，否则相应得分项不予计分。</w:t>
      </w:r>
      <w:r/>
    </w:p>
    <w:p>
      <w:pPr>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2"/>
          <w:highlight w:val="none"/>
        </w:rPr>
        <w:t xml:space="preserve"> </w:t>
      </w:r>
      <w:r/>
    </w:p>
    <w:p>
      <w:pPr>
        <w:rPr>
          <w:color w:val="0000ff"/>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2"/>
          <w:highlight w:val="none"/>
        </w:rPr>
        <w:t xml:space="preserve"> </w:t>
      </w:r>
      <w:r/>
    </w:p>
    <w:p>
      <w:pPr>
        <w:rPr>
          <w:rFonts w:ascii="宋体" w:hAnsi="宋体" w:cs="宋体"/>
          <w:color w:val="0000ff"/>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ff"/>
          <w:sz w:val="22"/>
          <w:highlight w:val="none"/>
        </w:rPr>
        <w:t xml:space="preserve"> </w:t>
      </w:r>
      <w:r/>
    </w:p>
    <w:p>
      <w:pPr>
        <w:pStyle w:val="668"/>
        <w:rPr>
          <w:rFonts w:ascii="宋体" w:hAnsi="宋体" w:cs="宋体"/>
          <w:color w:val="0000ff"/>
          <w:sz w:val="22"/>
          <w:highlight w:val="none"/>
        </w:rPr>
      </w:pPr>
      <w:r>
        <w:rPr>
          <w:rFonts w:ascii="宋体" w:hAnsi="宋体" w:cs="宋体"/>
          <w:color w:val="0000ff"/>
          <w:sz w:val="22"/>
          <w:highlight w:val="none"/>
        </w:rPr>
      </w:r>
      <w:r/>
    </w:p>
    <w:p>
      <w:pPr>
        <w:rPr>
          <w:rFonts w:ascii="宋体" w:hAnsi="宋体" w:cs="宋体"/>
          <w:color w:val="0000ff"/>
          <w:sz w:val="22"/>
          <w:highlight w:val="none"/>
        </w:rPr>
      </w:pPr>
      <w:r>
        <w:rPr>
          <w:rFonts w:ascii="宋体" w:hAnsi="宋体" w:cs="宋体"/>
          <w:color w:val="0000ff"/>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rPr>
          <w:rFonts w:ascii="宋体" w:hAnsi="宋体" w:cs="宋体"/>
          <w:color w:val="auto"/>
          <w:sz w:val="22"/>
          <w:highlight w:val="none"/>
        </w:rPr>
      </w:pPr>
      <w:r>
        <w:rPr>
          <w:rFonts w:ascii="宋体" w:hAnsi="宋体" w:cs="宋体"/>
          <w:color w:val="auto"/>
          <w:sz w:val="22"/>
          <w:highlight w:val="none"/>
        </w:rPr>
      </w:r>
      <w:r/>
    </w:p>
    <w:p>
      <w:pPr>
        <w:rPr>
          <w:rFonts w:ascii="宋体" w:hAnsi="宋体" w:cs="宋体"/>
          <w:color w:val="auto"/>
          <w:sz w:val="22"/>
          <w:highlight w:val="none"/>
        </w:rPr>
      </w:pPr>
      <w:r>
        <w:rPr>
          <w:rFonts w:ascii="宋体" w:hAnsi="宋体" w:cs="宋体"/>
          <w:color w:val="auto"/>
          <w:sz w:val="22"/>
          <w:highlight w:val="none"/>
        </w:rPr>
      </w:r>
      <w:r/>
    </w:p>
    <w:p>
      <w:pPr>
        <w:pStyle w:val="668"/>
      </w:p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pStyle w:val="657"/>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44"/>
          <w:highlight w:val="none"/>
        </w:rPr>
        <w:t xml:space="preserve">第六章投标文件格式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投标文件</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7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w:t>
      </w:r>
      <w:r/>
    </w:p>
    <w:p>
      <w:pPr>
        <w:ind w:firstLine="1084"/>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项 目 名 称：</w:t>
      </w:r>
      <w:r>
        <w:rPr>
          <w:rFonts w:ascii="宋体" w:hAnsi="宋体" w:cs="宋体"/>
          <w:b/>
          <w:color w:val="auto"/>
          <w:sz w:val="36"/>
          <w:highlight w:val="none"/>
          <w:u w:val="single"/>
        </w:rPr>
        <w:t xml:space="preserve">               </w:t>
      </w:r>
      <w:r/>
    </w:p>
    <w:p>
      <w:pPr>
        <w:ind w:firstLine="1084"/>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项 目 编 号：</w:t>
      </w:r>
      <w:r>
        <w:rPr>
          <w:rFonts w:ascii="宋体" w:hAnsi="宋体" w:cs="宋体"/>
          <w:b/>
          <w:color w:val="auto"/>
          <w:sz w:val="36"/>
          <w:highlight w:val="none"/>
          <w:u w:val="singl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投标人名称 ：</w:t>
      </w:r>
      <w:r>
        <w:rPr>
          <w:rFonts w:ascii="宋体" w:hAnsi="宋体" w:cs="宋体"/>
          <w:b/>
          <w:color w:val="auto"/>
          <w:sz w:val="36"/>
          <w:highlight w:val="none"/>
          <w:u w:val="single"/>
        </w:rPr>
        <w:t xml:space="preserve">（加盖CA电子公章）</w:t>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6"/>
          <w:highlight w:val="none"/>
        </w:rPr>
        <w:t xml:space="preserve">     </w:t>
      </w:r>
      <w:r>
        <w:rPr>
          <w:rFonts w:hint="eastAsia" w:ascii="宋体" w:hAnsi="宋体" w:cs="宋体"/>
          <w:b/>
          <w:color w:val="auto"/>
          <w:sz w:val="36"/>
          <w:highlight w:val="none"/>
          <w:lang w:val="en-US" w:eastAsia="zh-CN"/>
        </w:rPr>
        <w:t xml:space="preserve">  </w:t>
      </w:r>
      <w:r>
        <w:rPr>
          <w:rFonts w:ascii="宋体" w:hAnsi="宋体" w:cs="宋体"/>
          <w:b/>
          <w:color w:val="auto"/>
          <w:sz w:val="36"/>
          <w:highlight w:val="none"/>
        </w:rPr>
        <w:t xml:space="preserve">日期 ：</w:t>
      </w:r>
      <w:r>
        <w:rPr>
          <w:rFonts w:ascii="宋体" w:hAnsi="宋体" w:cs="宋体"/>
          <w:b/>
          <w:color w:val="auto"/>
          <w:sz w:val="36"/>
          <w:highlight w:val="none"/>
          <w:u w:val="single"/>
        </w:rPr>
        <w:t xml:space="preserve">               </w:t>
      </w:r>
      <w:r/>
    </w:p>
    <w:p>
      <w:pPr>
        <w:jc w:val="cente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2"/>
          <w:highlight w:val="none"/>
        </w:rPr>
        <w:t xml:space="preserve"> </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投标函（格式）</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致： </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根据贵方（项目编号：），正式授权下述签字人全权代表投标人参加贵方组织的有关采购活动，并提交下述文件。</w:t>
      </w:r>
      <w:r/>
    </w:p>
    <w:p>
      <w:pPr>
        <w:ind w:firstLine="482"/>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中标后提交纸质投标文件正本</w:t>
      </w:r>
      <w:r>
        <w:rPr>
          <w:rFonts w:ascii="宋体" w:hAnsi="宋体" w:cs="宋体"/>
          <w:color w:val="auto"/>
          <w:sz w:val="24"/>
          <w:highlight w:val="none"/>
          <w:u w:val="single"/>
        </w:rPr>
        <w:t xml:space="preserve">一</w:t>
      </w:r>
      <w:r>
        <w:rPr>
          <w:rFonts w:ascii="宋体" w:hAnsi="宋体" w:cs="宋体"/>
          <w:color w:val="auto"/>
          <w:sz w:val="24"/>
          <w:highlight w:val="none"/>
        </w:rPr>
        <w:t xml:space="preserve">份，副本</w:t>
      </w:r>
      <w:r>
        <w:rPr>
          <w:rFonts w:ascii="宋体" w:hAnsi="宋体" w:cs="宋体"/>
          <w:color w:val="auto"/>
          <w:sz w:val="24"/>
          <w:highlight w:val="none"/>
          <w:u w:val="single"/>
        </w:rPr>
        <w:t xml:space="preserve">四</w:t>
      </w:r>
      <w:r>
        <w:rPr>
          <w:rFonts w:ascii="宋体" w:hAnsi="宋体" w:cs="宋体"/>
          <w:color w:val="auto"/>
          <w:sz w:val="24"/>
          <w:highlight w:val="none"/>
        </w:rPr>
        <w:t xml:space="preserve">份（投标人须知第14.1.1条要求投标人提交的全部文件）</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据此函，签字人兹宣布同意如下：</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1．我方同意在投标人须知规定的开标日期起遵循本投标函，并在投标人须知第18条规定的投标文件有效期满之前均具有约束力，并有可能中标。</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 如果我们的投标文件被接受，我们将履行采购文件中规定的每项要求，并按我们投标文件中的承诺按期、按质、按量交付履约方。</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3．我方承诺已经具备《中华人民共和国政府采购法》中规定的参加政府采购活动的投标人应当具备的条件：</w:t>
      </w:r>
      <w:r/>
    </w:p>
    <w:p>
      <w:pPr>
        <w:numPr>
          <w:ilvl w:val="0"/>
          <w:numId w:val="5"/>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具有独立承担民事责任的能力；</w:t>
      </w:r>
      <w:r/>
    </w:p>
    <w:p>
      <w:pPr>
        <w:numPr>
          <w:ilvl w:val="0"/>
          <w:numId w:val="5"/>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具有良好的商业信誉和健全的财务会计制度；</w:t>
      </w:r>
      <w:r/>
    </w:p>
    <w:p>
      <w:pPr>
        <w:numPr>
          <w:ilvl w:val="0"/>
          <w:numId w:val="5"/>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具有履行合同所必需的设备和专业技术能力；</w:t>
      </w:r>
      <w:r/>
    </w:p>
    <w:p>
      <w:pPr>
        <w:numPr>
          <w:ilvl w:val="0"/>
          <w:numId w:val="5"/>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有依法缴纳税收和社会保障资金的良好记录；</w:t>
      </w:r>
      <w:r/>
    </w:p>
    <w:p>
      <w:pPr>
        <w:numPr>
          <w:ilvl w:val="0"/>
          <w:numId w:val="5"/>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参加此项采购活动前三年内，在经营活动中没有重大违法记录。</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4．我方根据采购文件的规定，承担完成合同的责任和义务。</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5．我方已详细审核采购文件，我方知道必须放弃提出含糊不清或误解问题的权利。</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6．如果在投标文件有效期内撤回投标或者有其他违约行为，我方的投标保证金可被贵方全部或部分没收。</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7．同意应贵方要求提供与本投标有关的任何数据或资料。</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8．我方完全理解贵方不一定要接受最低报价的投标人为中标投标人的行为。</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9．若贵方需要，我方愿意提供我方作出的一切承诺的证明材料。</w:t>
      </w:r>
      <w:r/>
    </w:p>
    <w:p>
      <w:pPr>
        <w:ind w:firstLine="386"/>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10．我方将严格遵守《中华人民共和国政府采购法》第七十七条规定，投标人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numPr>
          <w:ilvl w:val="0"/>
          <w:numId w:val="6"/>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提供虚假材料谋取中标、成交的；</w:t>
      </w:r>
      <w:r/>
    </w:p>
    <w:p>
      <w:pPr>
        <w:numPr>
          <w:ilvl w:val="0"/>
          <w:numId w:val="6"/>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采取不正当手段诋毁、排挤其他投标人的；</w:t>
      </w:r>
      <w:r/>
    </w:p>
    <w:p>
      <w:pPr>
        <w:numPr>
          <w:ilvl w:val="0"/>
          <w:numId w:val="6"/>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与采购人、其他投标人或者采购代理机构恶意串通的；</w:t>
      </w:r>
      <w:r/>
    </w:p>
    <w:p>
      <w:pPr>
        <w:numPr>
          <w:ilvl w:val="0"/>
          <w:numId w:val="6"/>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向采购人、采购代理机构行贿或者提供其他不正当利益的；</w:t>
      </w:r>
      <w:r/>
    </w:p>
    <w:p>
      <w:pPr>
        <w:numPr>
          <w:ilvl w:val="0"/>
          <w:numId w:val="6"/>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在招标采购过程中与采购人进行协商谈判的；</w:t>
      </w:r>
      <w:r/>
    </w:p>
    <w:p>
      <w:pPr>
        <w:numPr>
          <w:ilvl w:val="0"/>
          <w:numId w:val="6"/>
        </w:num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拒绝有关部门监督检查或提供虚假情况的。</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与本投标有关的正式通讯地址为：</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地址： 邮政编码：</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rPr>
          <w:rFonts w:ascii="宋体" w:hAnsi="宋体" w:cs="宋体"/>
          <w:color w:val="auto"/>
          <w:sz w:val="24"/>
          <w:highlight w:val="none"/>
          <w:u w:val="single"/>
        </w:rPr>
        <w:t xml:space="preserve">      </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传真：</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开户名称：</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开户银行：</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帐号：</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法定代表人或其委托代理人签字（或盖章）：</w:t>
      </w:r>
      <w:r/>
    </w:p>
    <w:p>
      <w:pPr>
        <w:ind w:firstLine="42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投标人盖公章：</w:t>
      </w:r>
      <w:r/>
    </w:p>
    <w:p>
      <w:pPr>
        <w:ind w:firstLine="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投标日期：</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注：未按照本投标函的格式要求填写投标函的，将造成非实质响应投标，从而导致该投标人投标无效。</w:t>
      </w:r>
      <w:r>
        <w:rPr>
          <w:rFonts w:ascii="宋体" w:hAnsi="宋体" w:cs="宋体"/>
          <w:color w:val="auto"/>
          <w:sz w:val="24"/>
          <w:highlight w:val="none"/>
        </w:rPr>
        <w:br w:type="page" w:clear="all"/>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格式2：</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开 标 一 览 表（格式）</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3"/>
        <w:gridCol w:w="7056"/>
      </w:tblGrid>
      <w:tr>
        <w:trPr>
          <w:trHeight w:val="78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项目编号及名称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1039"/>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投标报价</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rFonts w:eastAsia="Times New Roman"/>
                <w:color w:val="auto"/>
                <w:sz w:val="24"/>
                <w:highlight w:val="none"/>
              </w:rPr>
              <w:t xml:space="preserve">  </w:t>
            </w:r>
            <w:r>
              <w:rPr>
                <w:rFonts w:ascii="宋体" w:hAnsi="宋体" w:cs="宋体"/>
                <w:color w:val="auto"/>
                <w:sz w:val="24"/>
                <w:highlight w:val="none"/>
              </w:rPr>
              <w:t xml:space="preserve">万元，</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人民币（大写）：</w:t>
            </w:r>
            <w:r/>
          </w:p>
        </w:tc>
      </w:tr>
      <w:tr>
        <w:trPr>
          <w:trHeight w:val="972"/>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服务期</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98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39"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 注</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47" w:type="dxa"/>
            <w:vAlign w:val="center"/>
            <w:textDirection w:val="lrTb"/>
            <w:noWrap w:val="false"/>
          </w:tcPr>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after="156"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 ① 投标报价应包括采购文件所规定的招标范围的全部内容； </w:t>
      </w:r>
      <w:r/>
    </w:p>
    <w:p>
      <w:pPr>
        <w:ind w:firstLine="480"/>
        <w:spacing w:after="156"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②开标一览表格式不得自行改动。</w:t>
      </w:r>
      <w:r/>
    </w:p>
    <w:p>
      <w:pPr>
        <w:ind w:firstLine="480"/>
        <w:spacing w:after="156"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③投标报价最多保留小数点后两位数（可为整数）。</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法定代表人或其委托代理人（签名或盖章或签章）：</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投标人（加盖公章或签章）：</w:t>
      </w:r>
      <w:r/>
    </w:p>
    <w:p>
      <w:pPr>
        <w:ind w:firstLine="480"/>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格式3：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报价明细表</w:t>
      </w:r>
      <w:r/>
    </w:p>
    <w:p>
      <w:pPr>
        <w:spacing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 </w:t>
      </w:r>
      <w:r/>
    </w:p>
    <w:p>
      <w:pPr>
        <w:jc w:val="center"/>
        <w:spacing w:after="12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（格式可自拟，至少包含项目需求中所有内容）</w:t>
      </w:r>
      <w:r/>
    </w:p>
    <w:p>
      <w:pPr>
        <w:ind w:firstLine="420"/>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2"/>
          <w:highlight w:val="none"/>
        </w:rPr>
        <w:t xml:space="preserve"> </w:t>
      </w:r>
      <w:r/>
    </w:p>
    <w:p>
      <w:pPr>
        <w:spacing w:after="1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格式4：</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商务条款偏离表</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right="-365" w:firstLine="11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项目编号：标段号（如有时）：</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4"/>
        <w:gridCol w:w="2383"/>
        <w:gridCol w:w="2200"/>
        <w:gridCol w:w="2356"/>
        <w:gridCol w:w="1286"/>
      </w:tblGrid>
      <w:tr>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序</w:t>
            </w:r>
            <w:r>
              <w:rPr>
                <w:rFonts w:ascii="宋体" w:hAnsi="宋体" w:cs="宋体"/>
                <w:color w:val="auto"/>
                <w:highlight w:val="none"/>
              </w:rPr>
              <w:t xml:space="preserve"> </w:t>
            </w:r>
            <w:r>
              <w:rPr>
                <w:rFonts w:ascii="宋体" w:hAnsi="宋体" w:cs="宋体"/>
                <w:color w:val="auto"/>
                <w:sz w:val="22"/>
                <w:highlight w:val="none"/>
              </w:rPr>
              <w:t xml:space="preserve">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28" w:type="dxa"/>
            <w:vAlign w:val="bottom"/>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采购文件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条目号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40" w:type="dxa"/>
            <w:vAlign w:val="bottom"/>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采购文件的</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商务条款</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bottom"/>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投标文件的</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商务条款</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5"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说明</w:t>
            </w:r>
            <w:r/>
          </w:p>
        </w:tc>
      </w:tr>
      <w:tr>
        <w:trPr>
          <w:trHeight w:val="74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6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7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74"/>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70"/>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66"/>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63"/>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72"/>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6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r>
        <w:trPr>
          <w:trHeight w:val="768"/>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2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4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5"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tc>
      </w:tr>
    </w:tbl>
    <w:p>
      <w:pPr>
        <w:ind w:left="571" w:hanging="361"/>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18"/>
          <w:highlight w:val="none"/>
        </w:rPr>
        <w:t xml:space="preserve">注：投标人必须对采购文件的主要商务条款（服务期、付款方式、质保期、履约保证金等），须实质性响应，允许正偏离，不允许负偏离，否则视为明显不符合技术规范、技术标准的要求。</w:t>
      </w:r>
      <w:r/>
    </w:p>
    <w:p>
      <w:pPr>
        <w:ind w:firstLine="4139"/>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right="42" w:firstLine="4725"/>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投标人(加盖公章或签章)：</w:t>
      </w:r>
      <w:r/>
    </w:p>
    <w:p>
      <w:pPr>
        <w:ind w:right="42" w:firstLine="1365"/>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right="42" w:firstLine="1365"/>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法人代表人或授权委托人（签名或盖章或签章）：</w:t>
      </w:r>
      <w:r/>
    </w:p>
    <w:p>
      <w:pPr>
        <w:ind w:firstLine="525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日期：</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格式5：</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法定代表人授权委托书</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授权委托书声明：我（姓名）系（投标人名称）的法定代表人，现授权委托（投标人名称）的（姓名）为我公司代理人，以本公司的名义参加（招标人）的工程的投标活动。授权委托人在开标、评标、合同谈判过程中所签署的一切文件和处理与之有关的一切事务，我均予以承认。</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代理人无转委权。特此委托。 </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代理人：</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性别：</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年龄：</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单位：</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部门：</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职务：</w:t>
      </w:r>
      <w:r/>
    </w:p>
    <w:p>
      <w:pPr>
        <w:ind w:firstLine="60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 (加盖公章或签章)</w:t>
      </w:r>
      <w:r/>
    </w:p>
    <w:p>
      <w:pPr>
        <w:ind w:firstLine="60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 (签名或盖章或签章)</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说明：</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1．委托书内容填写要明确，涂改无效。</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2．委托代理人根据授权范围，以委托单位的名义签订合同，并将此委托书提交给对方作为合同附件。</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格式6：</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投标申请人基本情况</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highlight w:val="none"/>
        </w:rPr>
        <w:t xml:space="preserve"> </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56"/>
        <w:gridCol w:w="1122"/>
        <w:gridCol w:w="85"/>
        <w:gridCol w:w="1206"/>
        <w:gridCol w:w="1011"/>
        <w:gridCol w:w="1360"/>
        <w:gridCol w:w="1087"/>
        <w:gridCol w:w="1542"/>
      </w:tblGrid>
      <w:tr>
        <w:trPr>
          <w:trHeight w:val="567"/>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申请人名称</w:t>
            </w:r>
            <w:r/>
          </w:p>
        </w:tc>
        <w:tc>
          <w:tcPr>
            <w:gridSpan w:val="7"/>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注册地址</w:t>
            </w:r>
            <w:r/>
          </w:p>
        </w:tc>
        <w:tc>
          <w:tcPr>
            <w:gridSpan w:val="4"/>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邮编</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vMerge w:val="restart"/>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联系方式</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联系人</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W w:w="0" w:type="auto"/>
            <w:vMerge w:val="continue"/>
            <w:textDirection w:val="lrTb"/>
            <w:noWrap w:val="false"/>
          </w:tcPr>
          <w:p>
            <w:pPr>
              <w:rPr>
                <w:color w:val="auto"/>
                <w:highlight w:val="none"/>
              </w:rPr>
            </w:pPr>
            <w:r>
              <w:rPr>
                <w:color w:val="auto"/>
                <w:highlight w:val="none"/>
              </w:rPr>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传真</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25"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网址</w:t>
            </w:r>
            <w:r/>
          </w:p>
        </w:tc>
        <w:tc>
          <w:tcPr>
            <w:gridSpan w:val="2"/>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0"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组织结构</w:t>
            </w:r>
            <w:r/>
          </w:p>
        </w:tc>
        <w:tc>
          <w:tcPr>
            <w:gridSpan w:val="7"/>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2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p>
        </w:tc>
        <w:tc>
          <w:tcPr>
            <w:gridSpan w:val="2"/>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职称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6"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1"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电话</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49"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成立时间</w:t>
            </w:r>
            <w:r/>
          </w:p>
        </w:tc>
        <w:tc>
          <w:tcPr>
            <w:gridSpan w:val="3"/>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22"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gridSpan w:val="4"/>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020"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员工总人数：</w:t>
            </w:r>
            <w:r/>
          </w:p>
        </w:tc>
      </w:tr>
      <w:tr>
        <w:trPr>
          <w:trHeight w:val="206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经营范围</w:t>
            </w:r>
            <w:r/>
          </w:p>
        </w:tc>
        <w:tc>
          <w:tcPr>
            <w:gridSpan w:val="7"/>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114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64" w:type="dxa"/>
            <w:vAlign w:val="center"/>
            <w:textDirection w:val="lrTb"/>
            <w:noWrap w:val="false"/>
          </w:tcPr>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c>
          <w:tcPr>
            <w:gridSpan w:val="7"/>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42" w:type="dxa"/>
            <w:vAlign w:val="center"/>
            <w:textDirection w:val="lrTb"/>
            <w:noWrap w:val="false"/>
          </w:tcPr>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ind w:left="480" w:hanging="480"/>
        <w:spacing w:line="49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注：投标人应将</w:t>
      </w:r>
      <w:r>
        <w:rPr>
          <w:rFonts w:ascii="宋体" w:hAnsi="宋体" w:cs="宋体"/>
          <w:color w:val="auto"/>
          <w:sz w:val="24"/>
          <w:highlight w:val="none"/>
          <w:u w:val="single"/>
        </w:rPr>
        <w:t xml:space="preserve">企业营业执照</w:t>
      </w:r>
      <w:r>
        <w:rPr>
          <w:rFonts w:ascii="宋体" w:hAnsi="宋体" w:cs="宋体"/>
          <w:color w:val="auto"/>
          <w:sz w:val="24"/>
          <w:highlight w:val="none"/>
        </w:rPr>
        <w:t xml:space="preserve">作为本表的附件，否则不予认可。</w:t>
      </w:r>
      <w:r/>
    </w:p>
    <w:p>
      <w:pPr>
        <w:ind w:firstLine="600"/>
        <w:spacing w:line="7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投标人(加盖公章或签章)：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法定代表人或委托代理人(签名或盖章或签章)：</w:t>
      </w:r>
      <w:r/>
    </w:p>
    <w:p>
      <w:pPr>
        <w:ind w:firstLine="480"/>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格式7：</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人员配备一览表</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7"/>
        <w:gridCol w:w="1502"/>
        <w:gridCol w:w="1858"/>
        <w:gridCol w:w="2098"/>
        <w:gridCol w:w="1767"/>
        <w:gridCol w:w="997"/>
      </w:tblGrid>
      <w:tr>
        <w:trPr>
          <w:trHeight w:val="1271"/>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姓名</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专业或岗位名称</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证书名称及编号</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类似工作经验</w:t>
            </w:r>
            <w:r/>
          </w:p>
        </w:tc>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trHeight w:val="567"/>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4"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82"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2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0"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6" w:type="dxa"/>
            <w:vAlign w:val="center"/>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注：1、如投标人中标，本项目团队人员必须按本表承诺人员实际操作，不得随意更换，擅自更换属违约行为；</w:t>
      </w:r>
      <w:r/>
    </w:p>
    <w:p>
      <w:pPr>
        <w:ind w:firstLine="361"/>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2、参与本项目人员的资格证书等证明材料附后。</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投标人(加盖公章或签章)：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法定代表人或委托代理人(签名或盖章或签章)：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p>
    <w:p>
      <w:pPr>
        <w:spacing w:before="145" w:after="290" w:line="85"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格式8：</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技术参数响应表</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项目名称：</w:t>
      </w:r>
      <w:r/>
    </w:p>
    <w:tbl>
      <w:tblPr>
        <w:tblStyle w:val="66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506"/>
        <w:gridCol w:w="2268"/>
        <w:gridCol w:w="1399"/>
        <w:gridCol w:w="1422"/>
        <w:gridCol w:w="1477"/>
        <w:gridCol w:w="6"/>
      </w:tblGrid>
      <w:tr>
        <w:trPr>
          <w:trHeight w:val="589"/>
        </w:trPr>
        <w:tc>
          <w:tcPr>
            <w:shd w:val="clear" w:color="auto" w:fill="auto"/>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产品名称</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技术参数及要求</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招标要求</w:t>
            </w:r>
            <w:r/>
          </w:p>
        </w:tc>
        <w:tc>
          <w:tcPr>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投标响应</w:t>
            </w:r>
            <w:r/>
          </w:p>
        </w:tc>
        <w:tc>
          <w:tcPr>
            <w:gridSpan w:val="2"/>
            <w:shd w:val="clear" w:color="auto" w:fill="auto"/>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3"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r>
        <w:trPr>
          <w:gridAfter w:val="1"/>
        </w:trPr>
        <w:tc>
          <w:tcPr>
            <w:shd w:val="clear" w:color="auto" w:fill="auto"/>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0"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06"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9"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22"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c>
          <w:tcPr>
            <w:shd w:val="clear" w:color="auto" w:fill="auto"/>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7" w:type="dxa"/>
            <w:textDirection w:val="lrTb"/>
            <w:noWrap w:val="false"/>
          </w:tcPr>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tc>
      </w:tr>
    </w:tbl>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注：投标人应按招标文件第六章项目需求中“规格参数”的要求的品目号分别填写，逐点应答，须实质性响应（可以正偏离），否则视为明显不符合技术规范、技术标准的要求。</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Arial" w:hAnsi="Arial" w:eastAsia="Arial" w:cs="Arial"/>
          <w:b/>
          <w:color w:val="auto"/>
          <w:sz w:val="24"/>
          <w:highlight w:val="none"/>
        </w:rPr>
        <w:t xml:space="preserve"> </w:t>
      </w:r>
      <w:r/>
    </w:p>
    <w:p>
      <w:pPr>
        <w:ind w:right="42" w:firstLine="336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投标人(加盖公章或签章)：</w:t>
      </w:r>
      <w:r/>
    </w:p>
    <w:p>
      <w:pPr>
        <w:ind w:right="42" w:firstLine="156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法人代表人或授权委托人（签名或盖章或签章）：</w:t>
      </w:r>
      <w:r/>
    </w:p>
    <w:p>
      <w:pPr>
        <w:ind w:firstLine="336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w:t>
      </w:r>
      <w:r>
        <w:rPr>
          <w:rFonts w:hint="eastAsia" w:ascii="宋体" w:hAnsi="宋体" w:cs="宋体"/>
          <w:color w:val="auto"/>
          <w:sz w:val="22"/>
          <w:highlight w:val="none"/>
          <w:lang w:val="en-US" w:eastAsia="zh-CN"/>
        </w:rPr>
        <w:t xml:space="preserve">9</w:t>
      </w:r>
      <w:r>
        <w:rPr>
          <w:rFonts w:ascii="宋体" w:hAnsi="宋体" w:cs="宋体"/>
          <w:color w:val="auto"/>
          <w:sz w:val="22"/>
          <w:highlight w:val="none"/>
        </w:rPr>
        <w:t xml:space="preserve">：</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相关方案</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 </w:t>
      </w:r>
      <w:r/>
    </w:p>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（格式自定，根据采购文件及评标标准要求自行提供）</w:t>
      </w:r>
      <w:r/>
    </w:p>
    <w:p>
      <w:pPr>
        <w:jc w:val="center"/>
        <w:spacing w:before="10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t xml:space="preserve"> </w:t>
      </w:r>
      <w:r/>
    </w:p>
    <w:p>
      <w:pPr>
        <w:jc w:val="center"/>
        <w:spacing w:before="100"/>
        <w:rPr>
          <w:color w:val="auto"/>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24"/>
          <w:highlight w:val="none"/>
        </w:rPr>
        <w:t xml:space="preserve"> </w:t>
      </w:r>
      <w:r/>
    </w:p>
    <w:p>
      <w:pPr>
        <w:jc w:val="center"/>
        <w:spacing w:before="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spacing w:before="10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投标人(加盖公章或签章)：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法定代表人或委托代理人(签名或盖章或签章)：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　年　月　日</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w:t>
      </w:r>
      <w:r>
        <w:rPr>
          <w:rFonts w:hint="eastAsia" w:ascii="宋体" w:hAnsi="宋体" w:cs="宋体"/>
          <w:color w:val="auto"/>
          <w:sz w:val="22"/>
          <w:highlight w:val="none"/>
          <w:lang w:val="en-US" w:eastAsia="zh-CN"/>
        </w:rPr>
        <w:t xml:space="preserve">0</w:t>
      </w:r>
      <w:r>
        <w:rPr>
          <w:rFonts w:ascii="宋体" w:hAnsi="宋体" w:cs="宋体"/>
          <w:color w:val="auto"/>
          <w:sz w:val="22"/>
          <w:highlight w:val="none"/>
        </w:rPr>
        <w:t xml:space="preserve">：</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参加政府采购活动前3年内在经营活动中没有重大违法记录的声明</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left="72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我公司郑重声明：参加本次政府采购活动前</w:t>
      </w:r>
      <w:r>
        <w:rPr>
          <w:rFonts w:ascii="Calibri" w:hAnsi="Calibri" w:eastAsia="Calibri" w:cs="Calibri"/>
          <w:color w:val="auto"/>
          <w:sz w:val="24"/>
          <w:highlight w:val="none"/>
        </w:rPr>
        <w:t xml:space="preserve"> 3 </w:t>
      </w:r>
      <w:r>
        <w:rPr>
          <w:rFonts w:ascii="宋体" w:hAnsi="宋体" w:cs="宋体"/>
          <w:color w:val="auto"/>
          <w:sz w:val="24"/>
          <w:highlight w:val="none"/>
        </w:rPr>
        <w:t xml:space="preserve">年内，我公司在经营活动中没有重大违法记录。</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投标人（加盖公章或签章）：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法定代表人或委托代理人（签名或盖章或签章）：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日期：年月日</w:t>
      </w:r>
      <w:r/>
    </w:p>
    <w:p>
      <w:pPr>
        <w:ind w:firstLine="2804"/>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2"/>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w:t>
      </w:r>
      <w:r>
        <w:rPr>
          <w:rFonts w:hint="eastAsia" w:ascii="宋体" w:hAnsi="宋体" w:cs="宋体"/>
          <w:color w:val="auto"/>
          <w:sz w:val="22"/>
          <w:highlight w:val="none"/>
          <w:lang w:val="en-US" w:eastAsia="zh-CN"/>
        </w:rPr>
        <w:t xml:space="preserve">1</w:t>
      </w:r>
      <w:r>
        <w:rPr>
          <w:rFonts w:ascii="宋体" w:hAnsi="宋体" w:cs="宋体"/>
          <w:color w:val="auto"/>
          <w:sz w:val="22"/>
          <w:highlight w:val="none"/>
        </w:rPr>
        <w:t xml:space="preserve">：</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具备履行合同所必需的设备和专业技术能力的声明</w:t>
      </w:r>
      <w:r/>
    </w:p>
    <w:p>
      <w:pPr>
        <w:ind w:left="72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spacing w:after="12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2"/>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（投标人名称）</w:t>
      </w:r>
      <w:r>
        <w:rPr>
          <w:rFonts w:ascii="宋体" w:hAnsi="宋体" w:cs="宋体"/>
          <w:color w:val="auto"/>
          <w:sz w:val="24"/>
          <w:highlight w:val="none"/>
        </w:rPr>
        <w:t xml:space="preserve">郑重声明：我单位具备履行本项采购合同所必需的设备和专业技术能力，为履行本项采购合同我单位具备如下主要设备和主要专业技术能力：</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主要设备有：。</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主要专业技术能力有：。</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spacing w:after="12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spacing w:after="12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spacing w:after="120"/>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color w:val="auto"/>
          <w:sz w:val="24"/>
          <w:highlight w:val="none"/>
        </w:rPr>
        <w:t xml:space="preserve"> </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声明人（加盖公章或签章）：</w:t>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日</w:t>
      </w:r>
      <w:r/>
    </w:p>
    <w:p>
      <w:pPr>
        <w:ind w:firstLine="4006"/>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30"/>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w:t>
      </w:r>
      <w:r>
        <w:rPr>
          <w:rFonts w:hint="eastAsia" w:ascii="宋体" w:hAnsi="宋体" w:cs="宋体"/>
          <w:color w:val="auto"/>
          <w:sz w:val="22"/>
          <w:highlight w:val="none"/>
          <w:lang w:val="en-US" w:eastAsia="zh-CN"/>
        </w:rPr>
        <w:t xml:space="preserve">2</w:t>
      </w:r>
      <w:r>
        <w:rPr>
          <w:rFonts w:ascii="宋体" w:hAnsi="宋体" w:cs="宋体"/>
          <w:color w:val="auto"/>
          <w:sz w:val="22"/>
          <w:highlight w:val="none"/>
        </w:rPr>
        <w:t xml:space="preserve">：</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投标人承诺书</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在招投标活动中无弄虚作假或串通投标（或视为串通投标）、借牌挂靠等违法行为，否则愿意无条件接受被取消投标或中标（候选人）资格、合同解除及清除出场，一切损失由我单位自行承担，同时愿意接受相关处罚；</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2、无借牌挂靠行为；</w:t>
      </w:r>
      <w:r/>
    </w:p>
    <w:p>
      <w:pPr>
        <w:ind w:firstLine="480"/>
        <w:spacing w:line="5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本次提交的所有投标文件或资料的内容是准确、真实的。上述文件及资料如有失实之处，我单位及文件签署人愿承担因此而引起的一切法律责任和后果。</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特此承诺！</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264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投标人名称（加盖公章或签章）：</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法定代表人或授权代表签字（签名或盖章或签章）：</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cs="宋体"/>
          <w:color w:val="auto"/>
          <w:sz w:val="24"/>
          <w:highlight w:val="none"/>
        </w:rPr>
        <w:t xml:space="preserve">日期：____年__月__日</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w:t>
      </w:r>
      <w:r>
        <w:rPr>
          <w:rFonts w:hint="eastAsia" w:ascii="宋体" w:hAnsi="宋体" w:cs="宋体"/>
          <w:color w:val="auto"/>
          <w:sz w:val="22"/>
          <w:highlight w:val="none"/>
          <w:lang w:val="en-US" w:eastAsia="zh-CN"/>
        </w:rPr>
        <w:t xml:space="preserve">3</w:t>
      </w:r>
      <w:r>
        <w:rPr>
          <w:rFonts w:ascii="宋体" w:hAnsi="宋体" w:cs="宋体"/>
          <w:color w:val="auto"/>
          <w:sz w:val="22"/>
          <w:highlight w:val="none"/>
        </w:rPr>
        <w:t xml:space="preserve">：</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15"/>
          <w:sz w:val="28"/>
          <w:highlight w:val="none"/>
        </w:rPr>
        <w:t xml:space="preserve">中小企业声明函</w:t>
      </w:r>
      <w:r/>
    </w:p>
    <w:p>
      <w:pPr>
        <w:ind w:firstLine="525"/>
        <w:spacing w:line="720"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本公司郑重声明，根据《政府采购促进中小企业发展管理办法》（财库﹝2020﹞46 号）的规定，本公司参加（单位名称）的（项目名称）采购活动，服务全部由符合政策要求的中小企业承接，具体情况如下：</w:t>
      </w:r>
      <w:r/>
    </w:p>
    <w:p>
      <w:pPr>
        <w:ind w:firstLine="525"/>
        <w:spacing w:line="720"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1.（标的名称） ，属于（采购文件中明确的所属行业）承接企业为（企业名称），从业人员人，营业收入为万元，资产总额为万元，属于（中型企业、小型企业、微型企业）。</w:t>
      </w:r>
      <w:r/>
    </w:p>
    <w:p>
      <w:pPr>
        <w:ind w:firstLine="525"/>
        <w:spacing w:line="720"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525"/>
        <w:spacing w:line="720"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本企业对上述声明内容的真实性负责。如有虚假，将依法承担相应责任。</w:t>
      </w:r>
      <w:r/>
    </w:p>
    <w:p>
      <w:pPr>
        <w:ind w:firstLine="420"/>
        <w:jc w:val="right"/>
        <w:spacing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 </w:t>
      </w:r>
      <w:r/>
    </w:p>
    <w:p>
      <w:pPr>
        <w:ind w:firstLine="420"/>
        <w:jc w:val="right"/>
        <w:spacing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 </w:t>
      </w:r>
      <w:r/>
    </w:p>
    <w:p>
      <w:pPr>
        <w:ind w:firstLine="420"/>
        <w:jc w:val="right"/>
        <w:spacing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投标人(加盖公章或签章)：</w:t>
      </w:r>
      <w:r/>
    </w:p>
    <w:p>
      <w:pPr>
        <w:ind w:firstLine="420"/>
        <w:jc w:val="right"/>
        <w:spacing w:line="85"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法定代表人或委托代理人(签名或盖章或签章)：</w:t>
      </w:r>
      <w:r/>
    </w:p>
    <w:p>
      <w:pPr>
        <w:ind w:right="-58" w:firstLine="420"/>
        <w:jc w:val="right"/>
        <w:spacing w:line="760"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日期：年月日</w:t>
      </w:r>
      <w:r/>
    </w:p>
    <w:p>
      <w:pPr>
        <w:ind w:right="420" w:firstLine="9555"/>
        <w:spacing w:line="720" w:lineRule="atLeast"/>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 </w:t>
      </w:r>
      <w:r/>
    </w:p>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szCs w:val="24"/>
          <w:highlight w:val="none"/>
        </w:rPr>
        <w:t xml:space="preserve"> </w:t>
      </w:r>
      <w:r/>
    </w:p>
    <w:p>
      <w:pPr>
        <w:jc w:val="center"/>
        <w:rPr>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rPr>
        <w:t xml:space="preserve">从业人员、营业收入、资产总额填报上一年度数据，无上一年度数据的新成立企业可不填报。</w:t>
      </w:r>
      <w:r/>
    </w:p>
    <w:p>
      <w:pPr>
        <w:ind w:firstLine="420"/>
        <w:jc w:val="right"/>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0"/>
          <w:highlight w:val="none"/>
        </w:rPr>
        <w:t xml:space="preserve"> </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spacing w:line="559" w:lineRule="atLeast"/>
        <w:rPr>
          <w:rFonts w:ascii="宋体" w:hAnsi="宋体" w:cs="宋体"/>
          <w:b/>
          <w:color w:val="auto"/>
          <w:spacing w:val="6"/>
          <w:sz w:val="24"/>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rPr>
          <w:rFonts w:ascii="宋体" w:hAnsi="宋体" w:cs="宋体"/>
          <w:b/>
          <w:color w:val="auto"/>
          <w:spacing w:val="6"/>
          <w:sz w:val="24"/>
          <w:highlight w:val="none"/>
        </w:rPr>
      </w:pPr>
      <w:r>
        <w:rPr>
          <w:rFonts w:ascii="宋体" w:hAnsi="宋体" w:cs="宋体"/>
          <w:b/>
          <w:color w:val="auto"/>
          <w:spacing w:val="6"/>
          <w:sz w:val="24"/>
          <w:highlight w:val="none"/>
        </w:rPr>
        <w:br w:type="page" w:clear="all"/>
      </w:r>
      <w:r/>
    </w:p>
    <w:p>
      <w:pPr>
        <w:jc w:val="left"/>
        <w:spacing w:line="587" w:lineRule="atLeast"/>
        <w:rPr>
          <w:rFonts w:hint="eastAsia" w:ascii="宋体" w:hAnsi="宋体" w:cs="宋体"/>
          <w:color w:val="auto"/>
          <w:sz w:val="2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w:t>
      </w:r>
      <w:r>
        <w:rPr>
          <w:rFonts w:hint="eastAsia" w:ascii="宋体" w:hAnsi="宋体" w:cs="宋体"/>
          <w:color w:val="auto"/>
          <w:sz w:val="22"/>
          <w:highlight w:val="none"/>
          <w:lang w:val="en-US" w:eastAsia="zh-CN"/>
        </w:rPr>
        <w:t xml:space="preserve">4</w:t>
      </w:r>
      <w:r/>
    </w:p>
    <w:p>
      <w:pPr>
        <w:jc w:val="center"/>
        <w:spacing w:line="587"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pacing w:val="6"/>
          <w:sz w:val="24"/>
          <w:highlight w:val="none"/>
        </w:rPr>
        <w:t xml:space="preserve">残疾人福利性单位声明函</w:t>
      </w:r>
      <w:r>
        <w:rPr>
          <w:rFonts w:ascii="宋体" w:hAnsi="宋体" w:cs="宋体"/>
          <w:b/>
          <w:color w:val="auto"/>
          <w:sz w:val="22"/>
          <w:highlight w:val="none"/>
        </w:rPr>
        <w:t xml:space="preserve">（如有）</w:t>
      </w:r>
      <w:r/>
    </w:p>
    <w:p>
      <w:pPr>
        <w:rPr>
          <w:color w:val="auto"/>
          <w:highlight w:val="none"/>
        </w:rPr>
        <w:pBdr>
          <w:top w:val="none" w:color="000000" w:sz="0" w:space="0"/>
          <w:left w:val="none" w:color="000000" w:sz="0" w:space="0"/>
          <w:bottom w:val="none" w:color="000000" w:sz="0" w:space="0"/>
          <w:right w:val="none" w:color="000000" w:sz="0" w:space="0"/>
        </w:pBdr>
      </w:pPr>
      <w:r>
        <w:rPr>
          <w:rFonts w:ascii="MS Mincho" w:hAnsi="MS Mincho" w:eastAsia="MS Mincho" w:cs="MS Mincho"/>
          <w:color w:val="auto"/>
          <w:sz w:val="22"/>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服务，或者提供其他残疾人福利性单位服务。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企业名称(盖章)：</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日期：年月日</w:t>
      </w:r>
      <w:r/>
    </w:p>
    <w:p>
      <w:pPr>
        <w:ind w:firstLine="48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4"/>
          <w:highlight w:val="none"/>
        </w:rPr>
        <w:t xml:space="preserve"> </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2"/>
          <w:highlight w:val="none"/>
        </w:rPr>
        <w:t xml:space="preserve"> </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2"/>
          <w:highlight w:val="none"/>
        </w:rPr>
        <w:t xml:space="preserve"> </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2"/>
          <w:highlight w:val="none"/>
        </w:rPr>
        <w:t xml:space="preserve"> </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2"/>
          <w:highlight w:val="none"/>
        </w:rPr>
        <w:t xml:space="preserve"> </w:t>
      </w:r>
      <w:r/>
    </w:p>
    <w:p>
      <w:pPr>
        <w:ind w:firstLine="422"/>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Calibri" w:hAnsi="Calibri" w:eastAsia="Calibri" w:cs="Calibri"/>
          <w:b/>
          <w:color w:val="auto"/>
          <w:sz w:val="22"/>
          <w:highlight w:val="none"/>
        </w:rPr>
        <w:t xml:space="preserve"> </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填报说明：</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1、请投标人如实填写，所填内容将作为评审的依据。其内容填写须与报价明细表一致，如填写不完整或不一致，将不享受扶持政策。</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2、中标人的《残疾人福利性单位声明函》随中标结果公开。</w:t>
      </w:r>
      <w:r/>
    </w:p>
    <w:p>
      <w:pPr>
        <w:spacing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格式15：</w:t>
      </w:r>
      <w:r/>
    </w:p>
    <w:p>
      <w:pPr>
        <w:ind w:left="72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left="72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ind w:left="72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财务状况报告及税收、社会保障资金</w:t>
      </w:r>
      <w:r/>
    </w:p>
    <w:p>
      <w:pPr>
        <w:ind w:left="72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缴纳情况承诺函</w:t>
      </w:r>
      <w:r/>
    </w:p>
    <w:p>
      <w:pPr>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u w:val="single"/>
        </w:rPr>
        <w:t xml:space="preserve">致：采购人名称</w:t>
      </w:r>
      <w:r/>
    </w:p>
    <w:p>
      <w:pPr>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我方</w:t>
      </w:r>
      <w:r>
        <w:rPr>
          <w:rFonts w:ascii="宋体" w:hAnsi="宋体" w:cs="宋体"/>
          <w:color w:val="auto"/>
          <w:sz w:val="24"/>
          <w:highlight w:val="none"/>
          <w:u w:val="single"/>
        </w:rPr>
        <w:t xml:space="preserve"> （投标人名称）</w:t>
      </w:r>
      <w:r>
        <w:rPr>
          <w:rFonts w:ascii="宋体" w:hAnsi="宋体" w:cs="宋体"/>
          <w:color w:val="auto"/>
          <w:sz w:val="24"/>
          <w:highlight w:val="none"/>
        </w:rPr>
        <w:t xml:space="preserve">参加项目名称（项目编号：项目编号）采购，根据《关于简化政府采购投标人资格审查有关事项的通知》，我方承诺具备《中华人民共和国政府采购法》第二十二条第（二）、第（四）项，《中华人民共和国政府采购法实施条例》第十七条第（二）项规定条件的，具体包括：</w:t>
      </w:r>
      <w:r/>
    </w:p>
    <w:p>
      <w:pPr>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（1）具有良好的商业信誉和健全的财务会计制度（财务状况报告）；</w:t>
      </w:r>
      <w:r/>
    </w:p>
    <w:p>
      <w:pPr>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（2）有依法缴纳税收和社会保障资金的良好记录。</w:t>
      </w:r>
      <w:r/>
    </w:p>
    <w:p>
      <w:pPr>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我方对上述承诺的真实性负责，如有虚假，将依法承担提供虚假材料谋取中标、成交责任，同时同意有关主管部门将相关失信信息记入公共信用信息系统并在相关政府门户网站公开。</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特此承诺</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投标人（公章）：</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法定代表人或其委托代理人（签名或签章）：</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808"/>
        <w:spacing w:line="6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日期：</w:t>
      </w:r>
      <w:r/>
    </w:p>
    <w:p>
      <w:pPr>
        <w:ind w:left="720"/>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格式16：</w:t>
      </w:r>
      <w:r/>
    </w:p>
    <w:p>
      <w:pP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jc w:val="center"/>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其他材料</w:t>
      </w:r>
      <w:r/>
    </w:p>
    <w:p>
      <w:pPr>
        <w:ind w:firstLine="315"/>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2"/>
          <w:highlight w:val="none"/>
        </w:rPr>
        <w:t xml:space="preserve"> </w:t>
      </w:r>
      <w:r/>
    </w:p>
    <w:p>
      <w:pPr>
        <w:ind w:firstLine="420"/>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spacing w:line="559" w:lineRule="atLeast"/>
        <w:rPr>
          <w:rFonts w:ascii="宋体" w:hAnsi="宋体" w:cs="宋体"/>
          <w:color w:val="auto"/>
          <w:sz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2"/>
          <w:highlight w:val="none"/>
        </w:rPr>
        <w:t xml:space="preserve">格式17：</w:t>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360" w:lineRule="auto"/>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auto"/>
          <w:sz w:val="24"/>
          <w:highlight w:val="none"/>
        </w:rPr>
        <w:t xml:space="preserve">。</w:t>
      </w:r>
      <w:r/>
    </w:p>
    <w:p>
      <w:pPr>
        <w:ind w:firstLine="420"/>
        <w:spacing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p>
    <w:p>
      <w:pPr>
        <w:ind w:firstLine="420"/>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4"/>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rFonts w:eastAsia="Times New Roman"/>
          <w:color w:val="auto"/>
          <w:sz w:val="22"/>
          <w:highlight w:val="none"/>
        </w:rPr>
        <w:t xml:space="preserve"> </w:t>
      </w:r>
      <w:r/>
    </w:p>
    <w:p>
      <w:pPr>
        <w:pStyle w:val="962"/>
        <w:ind w:firstLine="0"/>
        <w:rPr>
          <w:rFonts w:eastAsia="黑体"/>
          <w:b/>
          <w:bCs/>
          <w:color w:val="auto"/>
          <w:sz w:val="84"/>
          <w:highlight w:val="none"/>
        </w:rPr>
      </w:pPr>
      <w:r>
        <w:rPr>
          <w:rFonts w:eastAsia="黑体"/>
          <w:b/>
          <w:bCs/>
          <w:color w:val="auto"/>
          <w:sz w:val="84"/>
          <w:highlight w:val="none"/>
        </w:rPr>
      </w:r>
      <w:r/>
    </w:p>
    <w:p>
      <w:pPr>
        <w:rPr>
          <w:color w:val="auto"/>
          <w:sz w:val="24"/>
          <w:szCs w:val="24"/>
          <w:highlight w:val="none"/>
        </w:rPr>
      </w:pPr>
      <w:r>
        <w:rPr>
          <w:color w:val="auto"/>
          <w:sz w:val="24"/>
          <w:szCs w:val="24"/>
          <w:highlight w:val="none"/>
        </w:rPr>
      </w:r>
      <w:r/>
    </w:p>
    <w:sectPr>
      <w:headerReference w:type="default" r:id="rId9"/>
      <w:footerReference w:type="default" r:id="rId10"/>
      <w:footerReference w:type="even" r:id="rId11"/>
      <w:footnotePr/>
      <w:endnotePr/>
      <w:type w:val="nextPage"/>
      <w:pgSz w:w="11906" w:h="16838" w:orient="portrait"/>
      <w:pgMar w:top="0"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楷体">
    <w:panose1 w:val="02010609060101010101"/>
  </w:font>
  <w:font w:name="Symbol">
    <w:panose1 w:val="05050102010706020507"/>
  </w:font>
  <w:font w:name="Wingdings">
    <w:panose1 w:val="05000000000000000000"/>
  </w:font>
  <w:font w:name="MS Mincho">
    <w:panose1 w:val="02020603050405090304"/>
  </w:font>
  <w:font w:name="Tahoma">
    <w:panose1 w:val="020B0604030504040204"/>
  </w:font>
  <w:font w:name="Adobe 仿宋 Std R">
    <w:panose1 w:val="020B0503020202020204"/>
  </w:font>
  <w:font w:name="方正黑体_GBK">
    <w:panose1 w:val="020B050302020202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６６</w:t>
    </w:r>
    <w:r>
      <w:rPr>
        <w:rFonts w:ascii="宋体" w:hAnsi="宋体"/>
      </w:rPr>
      <w:fldChar w:fldCharType="end"/>
    </w:r>
    <w:r/>
  </w:p>
  <w:p>
    <w:pPr>
      <w:pStyle w:val="922"/>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140" w:hanging="720"/>
      </w:pPr>
      <w:rPr>
        <w:rFonts w:ascii="宋体" w:hAnsi="宋体" w:eastAsia="宋体" w:cs="宋体"/>
      </w:r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1140" w:hanging="720"/>
      </w:pPr>
      <w:rPr>
        <w:rFonts w:ascii="宋体" w:hAnsi="宋体" w:eastAsia="宋体" w:cs="宋体"/>
      </w:rPr>
    </w:lvl>
    <w:lvl w:ilvl="1">
      <w:start w:val="1"/>
      <w:numFmt w:val="lowerLetter"/>
      <w:isLgl w:val="false"/>
      <w:suff w:val="tab"/>
      <w:lvlText w:val="%2)"/>
      <w:lvlJc w:val="left"/>
      <w:pPr>
        <w:ind w:left="1260" w:hanging="420"/>
      </w:pPr>
    </w:lvl>
    <w:lvl w:ilvl="2">
      <w:start w:val="1"/>
      <w:numFmt w:val="decimal"/>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decimal"/>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decimal"/>
      <w:isLgl w:val="false"/>
      <w:suff w:val="tab"/>
      <w:lvlText w:val="%9."/>
      <w:lvlJc w:val="right"/>
      <w:pPr>
        <w:ind w:left="4200" w:hanging="420"/>
      </w:pPr>
    </w:lvl>
  </w:abstractNum>
  <w:abstractNum w:abstractNumId="4">
    <w:multiLevelType w:val="hybridMultilevel"/>
    <w:lvl w:ilvl="0">
      <w:start w:val="1"/>
      <w:numFmt w:val="decimal"/>
      <w:pStyle w:val="9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82"/>
      <w:isLgl w:val="false"/>
      <w:suff w:val="nothing"/>
      <w:lvlText w:val=""/>
      <w:lvlJc w:val="left"/>
      <w:pPr>
        <w:ind w:left="0" w:firstLine="0"/>
      </w:pPr>
      <w:rPr>
        <w:rFonts w:hint="eastAsia"/>
      </w:rPr>
    </w:lvl>
    <w:lvl w:ilvl="6">
      <w:start w:val="1"/>
      <w:numFmt w:val="decimal"/>
      <w:pStyle w:val="883"/>
      <w:isLgl w:val="false"/>
      <w:suff w:val="nothing"/>
      <w:lvlText w:val=""/>
      <w:lvlJc w:val="left"/>
      <w:pPr>
        <w:ind w:left="0" w:firstLine="0"/>
      </w:pPr>
      <w:rPr>
        <w:rFonts w:hint="eastAsia"/>
      </w:rPr>
    </w:lvl>
    <w:lvl w:ilvl="7">
      <w:start w:val="1"/>
      <w:numFmt w:val="decimal"/>
      <w:pStyle w:val="884"/>
      <w:isLgl w:val="false"/>
      <w:suff w:val="nothing"/>
      <w:lvlText w:val=""/>
      <w:lvlJc w:val="left"/>
      <w:pPr>
        <w:ind w:left="0" w:firstLine="0"/>
      </w:pPr>
      <w:rPr>
        <w:rFonts w:hint="eastAsia"/>
      </w:rPr>
    </w:lvl>
    <w:lvl w:ilvl="8">
      <w:start w:val="1"/>
      <w:numFmt w:val="decimal"/>
      <w:pStyle w:val="885"/>
      <w:isLgl w:val="false"/>
      <w:suff w:val="nothing"/>
      <w:lvlText w:val=""/>
      <w:lvlJc w:val="left"/>
      <w:pPr>
        <w:ind w:left="0" w:firstLine="0"/>
      </w:pPr>
      <w:rPr>
        <w:rFonts w:hint="eastAsia"/>
      </w:rPr>
    </w:lvl>
  </w:abstractNum>
  <w:num w:numId="1">
    <w:abstractNumId w:val="5"/>
  </w:num>
  <w:num w:numId="2">
    <w:abstractNumId w:val="0"/>
  </w:num>
  <w:num w:numId="3">
    <w:abstractNumId w:val="4"/>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6" w:default="1">
    <w:name w:val="Normal"/>
    <w:next w:val="66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57">
    <w:name w:val="Heading 1"/>
    <w:basedOn w:val="656"/>
    <w:next w:val="656"/>
    <w:link w:val="728"/>
    <w:uiPriority w:val="9"/>
    <w:qFormat/>
    <w:pPr>
      <w:keepLines/>
      <w:keepNext/>
      <w:spacing w:before="480" w:after="200"/>
      <w:outlineLvl w:val="0"/>
    </w:pPr>
    <w:rPr>
      <w:rFonts w:ascii="Arial" w:hAnsi="Arial" w:eastAsia="Arial" w:cs="Arial"/>
      <w:sz w:val="40"/>
      <w:szCs w:val="40"/>
    </w:rPr>
  </w:style>
  <w:style w:type="paragraph" w:styleId="658">
    <w:name w:val="Heading 2"/>
    <w:basedOn w:val="656"/>
    <w:next w:val="656"/>
    <w:link w:val="729"/>
    <w:uiPriority w:val="9"/>
    <w:unhideWhenUsed/>
    <w:qFormat/>
    <w:pPr>
      <w:keepLines/>
      <w:keepNext/>
      <w:spacing w:before="360" w:after="200"/>
      <w:outlineLvl w:val="1"/>
    </w:pPr>
    <w:rPr>
      <w:rFonts w:ascii="Arial" w:hAnsi="Arial" w:eastAsia="Arial" w:cs="Arial"/>
      <w:sz w:val="34"/>
    </w:rPr>
  </w:style>
  <w:style w:type="paragraph" w:styleId="659">
    <w:name w:val="Heading 3"/>
    <w:basedOn w:val="656"/>
    <w:next w:val="656"/>
    <w:link w:val="730"/>
    <w:uiPriority w:val="9"/>
    <w:unhideWhenUsed/>
    <w:qFormat/>
    <w:pPr>
      <w:keepLines/>
      <w:keepNext/>
      <w:spacing w:before="320" w:after="200"/>
      <w:outlineLvl w:val="2"/>
    </w:pPr>
    <w:rPr>
      <w:rFonts w:ascii="Arial" w:hAnsi="Arial" w:eastAsia="Arial" w:cs="Arial"/>
      <w:sz w:val="30"/>
      <w:szCs w:val="30"/>
    </w:rPr>
  </w:style>
  <w:style w:type="paragraph" w:styleId="660">
    <w:name w:val="Heading 4"/>
    <w:basedOn w:val="656"/>
    <w:next w:val="656"/>
    <w:link w:val="731"/>
    <w:uiPriority w:val="9"/>
    <w:unhideWhenUsed/>
    <w:qFormat/>
    <w:pPr>
      <w:keepLines/>
      <w:keepNext/>
      <w:spacing w:before="320" w:after="200"/>
      <w:outlineLvl w:val="3"/>
    </w:pPr>
    <w:rPr>
      <w:rFonts w:ascii="Arial" w:hAnsi="Arial" w:eastAsia="Arial" w:cs="Arial"/>
      <w:b/>
      <w:bCs/>
      <w:sz w:val="26"/>
      <w:szCs w:val="26"/>
    </w:rPr>
  </w:style>
  <w:style w:type="paragraph" w:styleId="661">
    <w:name w:val="Heading 5"/>
    <w:basedOn w:val="656"/>
    <w:next w:val="656"/>
    <w:link w:val="732"/>
    <w:uiPriority w:val="9"/>
    <w:unhideWhenUsed/>
    <w:qFormat/>
    <w:pPr>
      <w:keepLines/>
      <w:keepNext/>
      <w:spacing w:before="320" w:after="200"/>
      <w:outlineLvl w:val="4"/>
    </w:pPr>
    <w:rPr>
      <w:rFonts w:ascii="Arial" w:hAnsi="Arial" w:eastAsia="Arial" w:cs="Arial"/>
      <w:b/>
      <w:bCs/>
      <w:sz w:val="24"/>
      <w:szCs w:val="24"/>
    </w:rPr>
  </w:style>
  <w:style w:type="paragraph" w:styleId="662">
    <w:name w:val="Heading 6"/>
    <w:basedOn w:val="656"/>
    <w:next w:val="656"/>
    <w:link w:val="733"/>
    <w:uiPriority w:val="9"/>
    <w:unhideWhenUsed/>
    <w:qFormat/>
    <w:pPr>
      <w:keepLines/>
      <w:keepNext/>
      <w:spacing w:before="320" w:after="200"/>
      <w:outlineLvl w:val="5"/>
    </w:pPr>
    <w:rPr>
      <w:rFonts w:ascii="Arial" w:hAnsi="Arial" w:eastAsia="Arial" w:cs="Arial"/>
      <w:b/>
      <w:bCs/>
      <w:sz w:val="22"/>
      <w:szCs w:val="22"/>
    </w:rPr>
  </w:style>
  <w:style w:type="paragraph" w:styleId="663">
    <w:name w:val="Heading 7"/>
    <w:basedOn w:val="656"/>
    <w:next w:val="656"/>
    <w:link w:val="734"/>
    <w:uiPriority w:val="9"/>
    <w:unhideWhenUsed/>
    <w:qFormat/>
    <w:pPr>
      <w:keepLines/>
      <w:keepNext/>
      <w:spacing w:before="320" w:after="200"/>
      <w:outlineLvl w:val="6"/>
    </w:pPr>
    <w:rPr>
      <w:rFonts w:ascii="Arial" w:hAnsi="Arial" w:eastAsia="Arial" w:cs="Arial"/>
      <w:b/>
      <w:bCs/>
      <w:i/>
      <w:iCs/>
      <w:sz w:val="22"/>
      <w:szCs w:val="22"/>
    </w:rPr>
  </w:style>
  <w:style w:type="paragraph" w:styleId="664">
    <w:name w:val="Heading 8"/>
    <w:basedOn w:val="656"/>
    <w:next w:val="656"/>
    <w:link w:val="735"/>
    <w:uiPriority w:val="9"/>
    <w:unhideWhenUsed/>
    <w:qFormat/>
    <w:pPr>
      <w:keepLines/>
      <w:keepNext/>
      <w:spacing w:before="320" w:after="200"/>
      <w:outlineLvl w:val="7"/>
    </w:pPr>
    <w:rPr>
      <w:rFonts w:ascii="Arial" w:hAnsi="Arial" w:eastAsia="Arial" w:cs="Arial"/>
      <w:i/>
      <w:iCs/>
      <w:sz w:val="22"/>
      <w:szCs w:val="22"/>
    </w:rPr>
  </w:style>
  <w:style w:type="paragraph" w:styleId="665">
    <w:name w:val="Heading 9"/>
    <w:basedOn w:val="656"/>
    <w:next w:val="656"/>
    <w:link w:val="736"/>
    <w:uiPriority w:val="9"/>
    <w:unhideWhenUsed/>
    <w:qFormat/>
    <w:pPr>
      <w:keepLines/>
      <w:keepNext/>
      <w:spacing w:before="320" w:after="200"/>
      <w:outlineLvl w:val="8"/>
    </w:pPr>
    <w:rPr>
      <w:rFonts w:ascii="Arial" w:hAnsi="Arial" w:eastAsia="Arial" w:cs="Arial"/>
      <w:i/>
      <w:iCs/>
    </w:rPr>
  </w:style>
  <w:style w:type="character" w:styleId="666" w:default="1">
    <w:name w:val="Default Paragraph Font"/>
    <w:uiPriority w:val="1"/>
    <w:semiHidden/>
    <w:unhideWhenUsed/>
    <w:qFormat/>
  </w:style>
  <w:style w:type="table" w:styleId="667" w:default="1">
    <w:name w:val="Normal Table"/>
    <w:uiPriority w:val="99"/>
    <w:semiHidden/>
    <w:unhideWhenUsed/>
    <w:qFormat/>
    <w:tblPr>
      <w:tblCellMar>
        <w:left w:w="108" w:type="dxa"/>
        <w:top w:w="0" w:type="dxa"/>
        <w:right w:w="108" w:type="dxa"/>
        <w:bottom w:w="0" w:type="dxa"/>
      </w:tblCellMar>
    </w:tblPr>
  </w:style>
  <w:style w:type="paragraph" w:styleId="668" w:customStyle="1">
    <w:name w:val="段"/>
    <w:next w:val="656"/>
    <w:uiPriority w:val="0"/>
    <w:qFormat/>
    <w:pPr>
      <w:ind w:firstLine="200"/>
      <w:jc w:val="both"/>
      <w:spacing w:line="360" w:lineRule="auto"/>
    </w:pPr>
    <w:rPr>
      <w:rFonts w:hint="default" w:ascii="宋体" w:hAnsi="Calibri" w:eastAsia="宋体" w:cs="Times New Roman"/>
      <w:sz w:val="24"/>
      <w:szCs w:val="22"/>
      <w:lang w:val="en-US" w:eastAsia="zh-CN" w:bidi="ar-SA"/>
    </w:rPr>
  </w:style>
  <w:style w:type="paragraph" w:styleId="669">
    <w:name w:val="toc 7"/>
    <w:basedOn w:val="656"/>
    <w:next w:val="656"/>
    <w:uiPriority w:val="39"/>
    <w:unhideWhenUsed/>
    <w:qFormat/>
    <w:pPr>
      <w:ind w:left="1701"/>
      <w:spacing w:after="57"/>
    </w:pPr>
  </w:style>
  <w:style w:type="paragraph" w:styleId="670">
    <w:name w:val="Caption"/>
    <w:basedOn w:val="656"/>
    <w:next w:val="656"/>
    <w:uiPriority w:val="35"/>
    <w:semiHidden/>
    <w:unhideWhenUsed/>
    <w:qFormat/>
    <w:pPr>
      <w:spacing w:line="276" w:lineRule="auto"/>
    </w:pPr>
    <w:rPr>
      <w:b/>
      <w:bCs/>
      <w:color w:val="4f81bd"/>
      <w:sz w:val="18"/>
      <w:szCs w:val="18"/>
    </w:rPr>
  </w:style>
  <w:style w:type="paragraph" w:styleId="671">
    <w:name w:val="Block Text"/>
    <w:basedOn w:val="656"/>
    <w:uiPriority w:val="0"/>
    <w:qFormat/>
    <w:pPr>
      <w:ind w:left="256" w:right="6" w:firstLine="624"/>
    </w:pPr>
    <w:rPr>
      <w:rFonts w:eastAsia="仿宋_GB2312"/>
      <w:sz w:val="28"/>
    </w:rPr>
  </w:style>
  <w:style w:type="paragraph" w:styleId="672">
    <w:name w:val="toc 5"/>
    <w:basedOn w:val="656"/>
    <w:next w:val="656"/>
    <w:uiPriority w:val="39"/>
    <w:unhideWhenUsed/>
    <w:qFormat/>
    <w:pPr>
      <w:ind w:left="1134"/>
      <w:spacing w:after="57"/>
    </w:pPr>
  </w:style>
  <w:style w:type="paragraph" w:styleId="673">
    <w:name w:val="toc 3"/>
    <w:basedOn w:val="656"/>
    <w:next w:val="656"/>
    <w:uiPriority w:val="39"/>
    <w:unhideWhenUsed/>
    <w:qFormat/>
    <w:pPr>
      <w:ind w:left="567"/>
      <w:spacing w:after="57"/>
    </w:pPr>
  </w:style>
  <w:style w:type="paragraph" w:styleId="674">
    <w:name w:val="toc 8"/>
    <w:basedOn w:val="656"/>
    <w:next w:val="656"/>
    <w:uiPriority w:val="39"/>
    <w:unhideWhenUsed/>
    <w:qFormat/>
    <w:pPr>
      <w:ind w:left="1984"/>
      <w:spacing w:after="57"/>
    </w:pPr>
  </w:style>
  <w:style w:type="paragraph" w:styleId="675">
    <w:name w:val="endnote text"/>
    <w:basedOn w:val="656"/>
    <w:link w:val="874"/>
    <w:uiPriority w:val="99"/>
    <w:semiHidden/>
    <w:unhideWhenUsed/>
    <w:qFormat/>
    <w:rPr>
      <w:sz w:val="20"/>
    </w:rPr>
  </w:style>
  <w:style w:type="paragraph" w:styleId="676">
    <w:name w:val="Footer"/>
    <w:basedOn w:val="656"/>
    <w:link w:val="747"/>
    <w:uiPriority w:val="99"/>
    <w:unhideWhenUsed/>
    <w:qFormat/>
    <w:pPr>
      <w:tabs>
        <w:tab w:val="center" w:pos="7143" w:leader="none"/>
        <w:tab w:val="right" w:pos="14287" w:leader="none"/>
      </w:tabs>
    </w:pPr>
  </w:style>
  <w:style w:type="paragraph" w:styleId="677">
    <w:name w:val="Header"/>
    <w:basedOn w:val="656"/>
    <w:link w:val="745"/>
    <w:uiPriority w:val="99"/>
    <w:unhideWhenUsed/>
    <w:qFormat/>
    <w:pPr>
      <w:tabs>
        <w:tab w:val="center" w:pos="7143" w:leader="none"/>
        <w:tab w:val="right" w:pos="14287" w:leader="none"/>
      </w:tabs>
    </w:pPr>
  </w:style>
  <w:style w:type="paragraph" w:styleId="678">
    <w:name w:val="toc 1"/>
    <w:basedOn w:val="656"/>
    <w:next w:val="656"/>
    <w:uiPriority w:val="39"/>
    <w:unhideWhenUsed/>
    <w:qFormat/>
    <w:pPr>
      <w:spacing w:after="57"/>
    </w:pPr>
  </w:style>
  <w:style w:type="paragraph" w:styleId="679">
    <w:name w:val="toc 4"/>
    <w:basedOn w:val="656"/>
    <w:next w:val="656"/>
    <w:uiPriority w:val="39"/>
    <w:unhideWhenUsed/>
    <w:qFormat/>
    <w:pPr>
      <w:ind w:left="850"/>
      <w:spacing w:after="57"/>
    </w:pPr>
  </w:style>
  <w:style w:type="paragraph" w:styleId="680">
    <w:name w:val="Subtitle"/>
    <w:basedOn w:val="656"/>
    <w:next w:val="656"/>
    <w:link w:val="740"/>
    <w:uiPriority w:val="11"/>
    <w:qFormat/>
    <w:pPr>
      <w:spacing w:before="200" w:after="200"/>
    </w:pPr>
    <w:rPr>
      <w:sz w:val="24"/>
      <w:szCs w:val="24"/>
    </w:rPr>
  </w:style>
  <w:style w:type="paragraph" w:styleId="681">
    <w:name w:val="footnote text"/>
    <w:basedOn w:val="656"/>
    <w:link w:val="873"/>
    <w:uiPriority w:val="99"/>
    <w:semiHidden/>
    <w:unhideWhenUsed/>
    <w:qFormat/>
    <w:pPr>
      <w:spacing w:after="40"/>
    </w:pPr>
    <w:rPr>
      <w:sz w:val="18"/>
    </w:rPr>
  </w:style>
  <w:style w:type="paragraph" w:styleId="682">
    <w:name w:val="toc 6"/>
    <w:basedOn w:val="656"/>
    <w:next w:val="656"/>
    <w:uiPriority w:val="39"/>
    <w:unhideWhenUsed/>
    <w:qFormat/>
    <w:pPr>
      <w:ind w:left="1417"/>
      <w:spacing w:after="57"/>
    </w:pPr>
  </w:style>
  <w:style w:type="paragraph" w:styleId="683">
    <w:name w:val="table of figures"/>
    <w:basedOn w:val="656"/>
    <w:next w:val="656"/>
    <w:uiPriority w:val="99"/>
    <w:unhideWhenUsed/>
    <w:qFormat/>
  </w:style>
  <w:style w:type="paragraph" w:styleId="684">
    <w:name w:val="toc 2"/>
    <w:basedOn w:val="656"/>
    <w:next w:val="656"/>
    <w:uiPriority w:val="39"/>
    <w:unhideWhenUsed/>
    <w:qFormat/>
    <w:pPr>
      <w:ind w:left="283"/>
      <w:spacing w:after="57"/>
    </w:pPr>
  </w:style>
  <w:style w:type="paragraph" w:styleId="685">
    <w:name w:val="toc 9"/>
    <w:basedOn w:val="656"/>
    <w:next w:val="656"/>
    <w:uiPriority w:val="39"/>
    <w:unhideWhenUsed/>
    <w:qFormat/>
    <w:pPr>
      <w:ind w:left="2268"/>
      <w:spacing w:after="57"/>
    </w:pPr>
  </w:style>
  <w:style w:type="paragraph" w:styleId="686">
    <w:name w:val="Title"/>
    <w:basedOn w:val="656"/>
    <w:next w:val="656"/>
    <w:link w:val="739"/>
    <w:uiPriority w:val="10"/>
    <w:qFormat/>
    <w:pPr>
      <w:contextualSpacing/>
      <w:spacing w:before="300" w:after="200"/>
    </w:pPr>
    <w:rPr>
      <w:sz w:val="48"/>
      <w:szCs w:val="48"/>
    </w:rPr>
  </w:style>
  <w:style w:type="table" w:styleId="68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8">
    <w:name w:val="endnote reference"/>
    <w:uiPriority w:val="99"/>
    <w:semiHidden/>
    <w:unhideWhenUsed/>
    <w:qFormat/>
    <w:rPr>
      <w:vertAlign w:val="superscript"/>
    </w:rPr>
  </w:style>
  <w:style w:type="character" w:styleId="689">
    <w:name w:val="Hyperlink"/>
    <w:uiPriority w:val="99"/>
    <w:unhideWhenUsed/>
    <w:qFormat/>
    <w:rPr>
      <w:color w:val="0000ff"/>
      <w:u w:val="single"/>
    </w:rPr>
  </w:style>
  <w:style w:type="character" w:styleId="690">
    <w:name w:val="footnote reference"/>
    <w:uiPriority w:val="99"/>
    <w:unhideWhenUsed/>
    <w:qFormat/>
    <w:rPr>
      <w:vertAlign w:val="superscript"/>
    </w:rPr>
  </w:style>
  <w:style w:type="character" w:styleId="691" w:customStyle="1">
    <w:name w:val="Heading 1 Char"/>
    <w:basedOn w:val="666"/>
    <w:uiPriority w:val="9"/>
    <w:qFormat/>
    <w:rPr>
      <w:rFonts w:ascii="Arial" w:hAnsi="Arial" w:eastAsia="Arial" w:cs="Arial"/>
      <w:sz w:val="40"/>
      <w:szCs w:val="40"/>
    </w:rPr>
  </w:style>
  <w:style w:type="character" w:styleId="692" w:customStyle="1">
    <w:name w:val="Heading 2 Char"/>
    <w:basedOn w:val="666"/>
    <w:uiPriority w:val="9"/>
    <w:qFormat/>
    <w:rPr>
      <w:rFonts w:ascii="Arial" w:hAnsi="Arial" w:eastAsia="Arial" w:cs="Arial"/>
      <w:sz w:val="34"/>
    </w:rPr>
  </w:style>
  <w:style w:type="character" w:styleId="693" w:customStyle="1">
    <w:name w:val="Heading 3 Char"/>
    <w:basedOn w:val="666"/>
    <w:uiPriority w:val="9"/>
    <w:qFormat/>
    <w:rPr>
      <w:rFonts w:ascii="Arial" w:hAnsi="Arial" w:eastAsia="Arial" w:cs="Arial"/>
      <w:sz w:val="30"/>
      <w:szCs w:val="30"/>
    </w:rPr>
  </w:style>
  <w:style w:type="character" w:styleId="694" w:customStyle="1">
    <w:name w:val="Heading 4 Char"/>
    <w:basedOn w:val="666"/>
    <w:uiPriority w:val="9"/>
    <w:qFormat/>
    <w:rPr>
      <w:rFonts w:ascii="Arial" w:hAnsi="Arial" w:eastAsia="Arial" w:cs="Arial"/>
      <w:b/>
      <w:bCs/>
      <w:sz w:val="26"/>
      <w:szCs w:val="26"/>
    </w:rPr>
  </w:style>
  <w:style w:type="character" w:styleId="695" w:customStyle="1">
    <w:name w:val="Heading 5 Char"/>
    <w:basedOn w:val="666"/>
    <w:uiPriority w:val="9"/>
    <w:qFormat/>
    <w:rPr>
      <w:rFonts w:ascii="Arial" w:hAnsi="Arial" w:eastAsia="Arial" w:cs="Arial"/>
      <w:b/>
      <w:bCs/>
      <w:sz w:val="24"/>
      <w:szCs w:val="24"/>
    </w:rPr>
  </w:style>
  <w:style w:type="character" w:styleId="696" w:customStyle="1">
    <w:name w:val="Heading 6 Char"/>
    <w:basedOn w:val="666"/>
    <w:uiPriority w:val="9"/>
    <w:qFormat/>
    <w:rPr>
      <w:rFonts w:ascii="Arial" w:hAnsi="Arial" w:eastAsia="Arial" w:cs="Arial"/>
      <w:b/>
      <w:bCs/>
      <w:sz w:val="22"/>
      <w:szCs w:val="22"/>
    </w:rPr>
  </w:style>
  <w:style w:type="character" w:styleId="697" w:customStyle="1">
    <w:name w:val="Heading 7 Char"/>
    <w:basedOn w:val="666"/>
    <w:uiPriority w:val="9"/>
    <w:qFormat/>
    <w:rPr>
      <w:rFonts w:ascii="Arial" w:hAnsi="Arial" w:eastAsia="Arial" w:cs="Arial"/>
      <w:b/>
      <w:bCs/>
      <w:i/>
      <w:iCs/>
      <w:sz w:val="22"/>
      <w:szCs w:val="22"/>
    </w:rPr>
  </w:style>
  <w:style w:type="character" w:styleId="698" w:customStyle="1">
    <w:name w:val="Heading 8 Char"/>
    <w:basedOn w:val="666"/>
    <w:uiPriority w:val="9"/>
    <w:qFormat/>
    <w:rPr>
      <w:rFonts w:ascii="Arial" w:hAnsi="Arial" w:eastAsia="Arial" w:cs="Arial"/>
      <w:i/>
      <w:iCs/>
      <w:sz w:val="22"/>
      <w:szCs w:val="22"/>
    </w:rPr>
  </w:style>
  <w:style w:type="character" w:styleId="699" w:customStyle="1">
    <w:name w:val="Heading 9 Char"/>
    <w:basedOn w:val="666"/>
    <w:uiPriority w:val="9"/>
    <w:qFormat/>
    <w:rPr>
      <w:rFonts w:ascii="Arial" w:hAnsi="Arial" w:eastAsia="Arial" w:cs="Arial"/>
      <w:i/>
      <w:iCs/>
      <w:sz w:val="21"/>
      <w:szCs w:val="21"/>
    </w:rPr>
  </w:style>
  <w:style w:type="character" w:styleId="700" w:customStyle="1">
    <w:name w:val="Title Char"/>
    <w:basedOn w:val="666"/>
    <w:uiPriority w:val="10"/>
    <w:qFormat/>
    <w:rPr>
      <w:sz w:val="48"/>
      <w:szCs w:val="48"/>
    </w:rPr>
  </w:style>
  <w:style w:type="character" w:styleId="701" w:customStyle="1">
    <w:name w:val="Subtitle Char"/>
    <w:basedOn w:val="666"/>
    <w:uiPriority w:val="11"/>
    <w:qFormat/>
    <w:rPr>
      <w:sz w:val="24"/>
      <w:szCs w:val="24"/>
    </w:rPr>
  </w:style>
  <w:style w:type="character" w:styleId="702" w:customStyle="1">
    <w:name w:val="Quote Char"/>
    <w:uiPriority w:val="29"/>
    <w:qFormat/>
    <w:rPr>
      <w:i/>
    </w:rPr>
  </w:style>
  <w:style w:type="character" w:styleId="703" w:customStyle="1">
    <w:name w:val="Intense Quote Char"/>
    <w:uiPriority w:val="30"/>
    <w:qFormat/>
    <w:rPr>
      <w:i/>
    </w:rPr>
  </w:style>
  <w:style w:type="character" w:styleId="704" w:customStyle="1">
    <w:name w:val="Header Char"/>
    <w:basedOn w:val="666"/>
    <w:uiPriority w:val="99"/>
    <w:qFormat/>
  </w:style>
  <w:style w:type="character" w:styleId="705" w:customStyle="1">
    <w:name w:val="Caption Char"/>
    <w:uiPriority w:val="99"/>
    <w:qFormat/>
  </w:style>
  <w:style w:type="table" w:styleId="706" w:customStyle="1">
    <w:name w:val="Plain Table 1"/>
    <w:basedOn w:val="66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customStyle="1">
    <w:name w:val="Plain Table 2"/>
    <w:basedOn w:val="66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customStyle="1">
    <w:name w:val="Plain Table 3"/>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customStyle="1">
    <w:name w:val="Plain Table 4"/>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customStyle="1">
    <w:name w:val="Plain Table 5"/>
    <w:basedOn w:val="66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11" w:customStyle="1">
    <w:name w:val="Grid Table 1 Light"/>
    <w:basedOn w:val="66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12" w:customStyle="1">
    <w:name w:val="Grid Table 2"/>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3" w:customStyle="1">
    <w:name w:val="Grid Table 3"/>
    <w:basedOn w:val="66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4"/>
    <w:basedOn w:val="66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5" w:customStyle="1">
    <w:name w:val="Grid Table 5 Dark"/>
    <w:basedOn w:val="66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6" w:customStyle="1">
    <w:name w:val="Grid Table 6 Colorful"/>
    <w:basedOn w:val="66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17" w:customStyle="1">
    <w:name w:val="Grid Table 7 Colorful"/>
    <w:basedOn w:val="66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18" w:customStyle="1">
    <w:name w:val="List Table 1 Light"/>
    <w:basedOn w:val="66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9" w:customStyle="1">
    <w:name w:val="List Table 2"/>
    <w:basedOn w:val="66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20" w:customStyle="1">
    <w:name w:val="List Table 3"/>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1" w:customStyle="1">
    <w:name w:val="List Table 4"/>
    <w:basedOn w:val="66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22" w:customStyle="1">
    <w:name w:val="List Table 5 Dark"/>
    <w:basedOn w:val="66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23" w:customStyle="1">
    <w:name w:val="List Table 6 Colorful"/>
    <w:basedOn w:val="66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24" w:customStyle="1">
    <w:name w:val="List Table 7 Colorful"/>
    <w:basedOn w:val="66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25" w:customStyle="1">
    <w:name w:val="Footnote Text Char"/>
    <w:uiPriority w:val="99"/>
    <w:qFormat/>
    <w:rPr>
      <w:sz w:val="18"/>
    </w:rPr>
  </w:style>
  <w:style w:type="character" w:styleId="726" w:customStyle="1">
    <w:name w:val="Endnote Text Char"/>
    <w:uiPriority w:val="99"/>
    <w:qFormat/>
    <w:rPr>
      <w:sz w:val="20"/>
    </w:rPr>
  </w:style>
  <w:style w:type="paragraph" w:styleId="727" w:customStyle="1">
    <w:name w:val="TOC Heading"/>
    <w:uiPriority w:val="39"/>
    <w:unhideWhenUsed/>
    <w:qFormat/>
    <w:rPr>
      <w:rFonts w:hint="default" w:ascii="Times New Roman" w:hAnsi="Times New Roman" w:eastAsia="宋体" w:cs="Times New Roman"/>
    </w:rPr>
  </w:style>
  <w:style w:type="character" w:styleId="728" w:customStyle="1">
    <w:name w:val="标题 1 字符1"/>
    <w:link w:val="657"/>
    <w:uiPriority w:val="9"/>
    <w:qFormat/>
    <w:rPr>
      <w:rFonts w:ascii="Arial" w:hAnsi="Arial" w:eastAsia="Arial" w:cs="Arial"/>
      <w:sz w:val="40"/>
      <w:szCs w:val="40"/>
    </w:rPr>
  </w:style>
  <w:style w:type="character" w:styleId="729" w:customStyle="1">
    <w:name w:val="标题 2 字符1"/>
    <w:link w:val="658"/>
    <w:uiPriority w:val="9"/>
    <w:qFormat/>
    <w:rPr>
      <w:rFonts w:ascii="Arial" w:hAnsi="Arial" w:eastAsia="Arial" w:cs="Arial"/>
      <w:sz w:val="34"/>
    </w:rPr>
  </w:style>
  <w:style w:type="character" w:styleId="730" w:customStyle="1">
    <w:name w:val="标题 3 字符1"/>
    <w:link w:val="659"/>
    <w:uiPriority w:val="9"/>
    <w:qFormat/>
    <w:rPr>
      <w:rFonts w:ascii="Arial" w:hAnsi="Arial" w:eastAsia="Arial" w:cs="Arial"/>
      <w:sz w:val="30"/>
      <w:szCs w:val="30"/>
    </w:rPr>
  </w:style>
  <w:style w:type="character" w:styleId="731" w:customStyle="1">
    <w:name w:val="标题 4 字符1"/>
    <w:link w:val="660"/>
    <w:uiPriority w:val="9"/>
    <w:qFormat/>
    <w:rPr>
      <w:rFonts w:ascii="Arial" w:hAnsi="Arial" w:eastAsia="Arial" w:cs="Arial"/>
      <w:b/>
      <w:bCs/>
      <w:sz w:val="26"/>
      <w:szCs w:val="26"/>
    </w:rPr>
  </w:style>
  <w:style w:type="character" w:styleId="732" w:customStyle="1">
    <w:name w:val="标题 5 字符1"/>
    <w:link w:val="661"/>
    <w:uiPriority w:val="9"/>
    <w:qFormat/>
    <w:rPr>
      <w:rFonts w:ascii="Arial" w:hAnsi="Arial" w:eastAsia="Arial" w:cs="Arial"/>
      <w:b/>
      <w:bCs/>
      <w:sz w:val="24"/>
      <w:szCs w:val="24"/>
    </w:rPr>
  </w:style>
  <w:style w:type="character" w:styleId="733" w:customStyle="1">
    <w:name w:val="标题 6 字符1"/>
    <w:link w:val="662"/>
    <w:uiPriority w:val="9"/>
    <w:qFormat/>
    <w:rPr>
      <w:rFonts w:ascii="Arial" w:hAnsi="Arial" w:eastAsia="Arial" w:cs="Arial"/>
      <w:b/>
      <w:bCs/>
      <w:sz w:val="22"/>
      <w:szCs w:val="22"/>
    </w:rPr>
  </w:style>
  <w:style w:type="character" w:styleId="734" w:customStyle="1">
    <w:name w:val="标题 7 字符1"/>
    <w:link w:val="663"/>
    <w:uiPriority w:val="9"/>
    <w:qFormat/>
    <w:rPr>
      <w:rFonts w:ascii="Arial" w:hAnsi="Arial" w:eastAsia="Arial" w:cs="Arial"/>
      <w:b/>
      <w:bCs/>
      <w:i/>
      <w:iCs/>
      <w:sz w:val="22"/>
      <w:szCs w:val="22"/>
    </w:rPr>
  </w:style>
  <w:style w:type="character" w:styleId="735" w:customStyle="1">
    <w:name w:val="标题 8 字符1"/>
    <w:link w:val="664"/>
    <w:uiPriority w:val="9"/>
    <w:qFormat/>
    <w:rPr>
      <w:rFonts w:ascii="Arial" w:hAnsi="Arial" w:eastAsia="Arial" w:cs="Arial"/>
      <w:i/>
      <w:iCs/>
      <w:sz w:val="22"/>
      <w:szCs w:val="22"/>
    </w:rPr>
  </w:style>
  <w:style w:type="character" w:styleId="736" w:customStyle="1">
    <w:name w:val="标题 9 字符1"/>
    <w:link w:val="665"/>
    <w:uiPriority w:val="9"/>
    <w:qFormat/>
    <w:rPr>
      <w:rFonts w:ascii="Arial" w:hAnsi="Arial" w:eastAsia="Arial" w:cs="Arial"/>
      <w:i/>
      <w:iCs/>
      <w:sz w:val="21"/>
      <w:szCs w:val="21"/>
    </w:rPr>
  </w:style>
  <w:style w:type="paragraph" w:styleId="737">
    <w:name w:val="List Paragraph"/>
    <w:basedOn w:val="656"/>
    <w:uiPriority w:val="34"/>
    <w:qFormat/>
    <w:pPr>
      <w:contextualSpacing/>
      <w:ind w:left="720"/>
    </w:pPr>
  </w:style>
  <w:style w:type="paragraph" w:styleId="738">
    <w:name w:val="No Spacing"/>
    <w:uiPriority w:val="1"/>
    <w:qFormat/>
    <w:rPr>
      <w:rFonts w:hint="default" w:ascii="Times New Roman" w:hAnsi="Times New Roman" w:eastAsia="宋体" w:cs="Times New Roman"/>
      <w:lang w:val="en-US" w:eastAsia="zh-CN" w:bidi="ar-SA"/>
    </w:rPr>
  </w:style>
  <w:style w:type="character" w:styleId="739" w:customStyle="1">
    <w:name w:val="标题 字符"/>
    <w:link w:val="686"/>
    <w:uiPriority w:val="10"/>
    <w:qFormat/>
    <w:rPr>
      <w:sz w:val="48"/>
      <w:szCs w:val="48"/>
    </w:rPr>
  </w:style>
  <w:style w:type="character" w:styleId="740" w:customStyle="1">
    <w:name w:val="副标题 字符"/>
    <w:link w:val="680"/>
    <w:uiPriority w:val="11"/>
    <w:qFormat/>
    <w:rPr>
      <w:sz w:val="24"/>
      <w:szCs w:val="24"/>
    </w:rPr>
  </w:style>
  <w:style w:type="paragraph" w:styleId="741">
    <w:name w:val="Quote"/>
    <w:basedOn w:val="656"/>
    <w:next w:val="656"/>
    <w:link w:val="742"/>
    <w:uiPriority w:val="29"/>
    <w:qFormat/>
    <w:pPr>
      <w:ind w:left="720" w:right="720"/>
    </w:pPr>
    <w:rPr>
      <w:i/>
    </w:rPr>
  </w:style>
  <w:style w:type="character" w:styleId="742" w:customStyle="1">
    <w:name w:val="引用 字符"/>
    <w:link w:val="741"/>
    <w:uiPriority w:val="29"/>
    <w:qFormat/>
    <w:rPr>
      <w:i/>
    </w:rPr>
  </w:style>
  <w:style w:type="paragraph" w:styleId="743">
    <w:name w:val="Intense Quote"/>
    <w:basedOn w:val="656"/>
    <w:next w:val="656"/>
    <w:link w:val="7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customStyle="1">
    <w:name w:val="明显引用 字符"/>
    <w:link w:val="743"/>
    <w:uiPriority w:val="30"/>
    <w:qFormat/>
    <w:rPr>
      <w:i/>
    </w:rPr>
  </w:style>
  <w:style w:type="character" w:styleId="745" w:customStyle="1">
    <w:name w:val="页眉 字符1"/>
    <w:link w:val="677"/>
    <w:uiPriority w:val="99"/>
    <w:qFormat/>
  </w:style>
  <w:style w:type="character" w:styleId="746" w:customStyle="1">
    <w:name w:val="Footer Char"/>
    <w:uiPriority w:val="99"/>
    <w:qFormat/>
  </w:style>
  <w:style w:type="character" w:styleId="747" w:customStyle="1">
    <w:name w:val="页脚 字符1"/>
    <w:link w:val="676"/>
    <w:uiPriority w:val="99"/>
    <w:qFormat/>
  </w:style>
  <w:style w:type="table" w:styleId="74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9"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50"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51" w:customStyle="1">
    <w:name w:val="无格式表格 31"/>
    <w:uiPriority w:val="99"/>
    <w:qFormat/>
    <w:tblPr>
      <w:tblCellMar>
        <w:left w:w="0" w:type="dxa"/>
        <w:top w:w="0" w:type="dxa"/>
        <w:right w:w="0" w:type="dxa"/>
        <w:bottom w:w="0" w:type="dxa"/>
      </w:tblCellMar>
    </w:tblPr>
  </w:style>
  <w:style w:type="table" w:styleId="752" w:customStyle="1">
    <w:name w:val="无格式表格 41"/>
    <w:uiPriority w:val="99"/>
    <w:qFormat/>
    <w:tblPr>
      <w:tblCellMar>
        <w:left w:w="0" w:type="dxa"/>
        <w:top w:w="0" w:type="dxa"/>
        <w:right w:w="0" w:type="dxa"/>
        <w:bottom w:w="0" w:type="dxa"/>
      </w:tblCellMar>
    </w:tblPr>
  </w:style>
  <w:style w:type="table" w:styleId="753" w:customStyle="1">
    <w:name w:val="无格式表格 51"/>
    <w:uiPriority w:val="99"/>
    <w:qFormat/>
    <w:tblPr>
      <w:tblCellMar>
        <w:left w:w="0" w:type="dxa"/>
        <w:top w:w="0" w:type="dxa"/>
        <w:right w:w="0" w:type="dxa"/>
        <w:bottom w:w="0" w:type="dxa"/>
      </w:tblCellMar>
    </w:tblPr>
  </w:style>
  <w:style w:type="table" w:styleId="754"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6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61"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8"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7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7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5"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8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8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2"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9"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6"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0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0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3" w:customStyle="1">
    <w:name w:val="清单表 1 浅色1"/>
    <w:uiPriority w:val="99"/>
    <w:qFormat/>
    <w:tblPr>
      <w:tblCellMar>
        <w:left w:w="0" w:type="dxa"/>
        <w:top w:w="0" w:type="dxa"/>
        <w:right w:w="0" w:type="dxa"/>
        <w:bottom w:w="0" w:type="dxa"/>
      </w:tblCellMar>
    </w:tblPr>
  </w:style>
  <w:style w:type="table" w:styleId="804" w:customStyle="1">
    <w:name w:val="List Table 1 Light - Accent 1"/>
    <w:uiPriority w:val="99"/>
    <w:qFormat/>
    <w:tblPr>
      <w:tblCellMar>
        <w:left w:w="0" w:type="dxa"/>
        <w:top w:w="0" w:type="dxa"/>
        <w:right w:w="0" w:type="dxa"/>
        <w:bottom w:w="0" w:type="dxa"/>
      </w:tblCellMar>
    </w:tblPr>
  </w:style>
  <w:style w:type="table" w:styleId="805" w:customStyle="1">
    <w:name w:val="List Table 1 Light - Accent 2"/>
    <w:uiPriority w:val="99"/>
    <w:qFormat/>
    <w:tblPr>
      <w:tblCellMar>
        <w:left w:w="0" w:type="dxa"/>
        <w:top w:w="0" w:type="dxa"/>
        <w:right w:w="0" w:type="dxa"/>
        <w:bottom w:w="0" w:type="dxa"/>
      </w:tblCellMar>
    </w:tblPr>
  </w:style>
  <w:style w:type="table" w:styleId="806" w:customStyle="1">
    <w:name w:val="List Table 1 Light - Accent 3"/>
    <w:uiPriority w:val="99"/>
    <w:qFormat/>
    <w:tblPr>
      <w:tblCellMar>
        <w:left w:w="0" w:type="dxa"/>
        <w:top w:w="0" w:type="dxa"/>
        <w:right w:w="0" w:type="dxa"/>
        <w:bottom w:w="0" w:type="dxa"/>
      </w:tblCellMar>
    </w:tblPr>
  </w:style>
  <w:style w:type="table" w:styleId="807" w:customStyle="1">
    <w:name w:val="List Table 1 Light - Accent 4"/>
    <w:uiPriority w:val="99"/>
    <w:qFormat/>
    <w:tblPr>
      <w:tblCellMar>
        <w:left w:w="0" w:type="dxa"/>
        <w:top w:w="0" w:type="dxa"/>
        <w:right w:w="0" w:type="dxa"/>
        <w:bottom w:w="0" w:type="dxa"/>
      </w:tblCellMar>
    </w:tblPr>
  </w:style>
  <w:style w:type="table" w:styleId="808" w:customStyle="1">
    <w:name w:val="List Table 1 Light - Accent 5"/>
    <w:uiPriority w:val="99"/>
    <w:qFormat/>
    <w:tblPr>
      <w:tblCellMar>
        <w:left w:w="0" w:type="dxa"/>
        <w:top w:w="0" w:type="dxa"/>
        <w:right w:w="0" w:type="dxa"/>
        <w:bottom w:w="0" w:type="dxa"/>
      </w:tblCellMar>
    </w:tblPr>
  </w:style>
  <w:style w:type="table" w:styleId="809" w:customStyle="1">
    <w:name w:val="List Table 1 Light - Accent 6"/>
    <w:uiPriority w:val="99"/>
    <w:qFormat/>
    <w:tblPr>
      <w:tblCellMar>
        <w:left w:w="0" w:type="dxa"/>
        <w:top w:w="0" w:type="dxa"/>
        <w:right w:w="0" w:type="dxa"/>
        <w:bottom w:w="0" w:type="dxa"/>
      </w:tblCellMar>
    </w:tblPr>
  </w:style>
  <w:style w:type="table" w:styleId="810"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1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7"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2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2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4"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3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31"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8"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4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4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5"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2" w:customStyle="1">
    <w:name w:val="Lined - Accent"/>
    <w:uiPriority w:val="99"/>
    <w:qFormat/>
    <w:rPr>
      <w:color w:val="404040"/>
    </w:rPr>
    <w:tblPr>
      <w:tblCellMar>
        <w:left w:w="0" w:type="dxa"/>
        <w:top w:w="0" w:type="dxa"/>
        <w:right w:w="0" w:type="dxa"/>
        <w:bottom w:w="0" w:type="dxa"/>
      </w:tblCellMar>
    </w:tblPr>
  </w:style>
  <w:style w:type="table" w:styleId="853" w:customStyle="1">
    <w:name w:val="Lined - Accent 1"/>
    <w:uiPriority w:val="99"/>
    <w:qFormat/>
    <w:rPr>
      <w:color w:val="404040"/>
    </w:rPr>
    <w:tblPr>
      <w:tblCellMar>
        <w:left w:w="0" w:type="dxa"/>
        <w:top w:w="0" w:type="dxa"/>
        <w:right w:w="0" w:type="dxa"/>
        <w:bottom w:w="0" w:type="dxa"/>
      </w:tblCellMar>
    </w:tblPr>
  </w:style>
  <w:style w:type="table" w:styleId="854" w:customStyle="1">
    <w:name w:val="Lined - Accent 2"/>
    <w:uiPriority w:val="99"/>
    <w:qFormat/>
    <w:rPr>
      <w:color w:val="404040"/>
    </w:rPr>
    <w:tblPr>
      <w:tblCellMar>
        <w:left w:w="0" w:type="dxa"/>
        <w:top w:w="0" w:type="dxa"/>
        <w:right w:w="0" w:type="dxa"/>
        <w:bottom w:w="0" w:type="dxa"/>
      </w:tblCellMar>
    </w:tblPr>
  </w:style>
  <w:style w:type="table" w:styleId="855" w:customStyle="1">
    <w:name w:val="Lined - Accent 3"/>
    <w:uiPriority w:val="99"/>
    <w:qFormat/>
    <w:rPr>
      <w:color w:val="404040"/>
    </w:rPr>
    <w:tblPr>
      <w:tblCellMar>
        <w:left w:w="0" w:type="dxa"/>
        <w:top w:w="0" w:type="dxa"/>
        <w:right w:w="0" w:type="dxa"/>
        <w:bottom w:w="0" w:type="dxa"/>
      </w:tblCellMar>
    </w:tblPr>
  </w:style>
  <w:style w:type="table" w:styleId="856" w:customStyle="1">
    <w:name w:val="Lined - Accent 4"/>
    <w:uiPriority w:val="99"/>
    <w:qFormat/>
    <w:rPr>
      <w:color w:val="404040"/>
    </w:rPr>
    <w:tblPr>
      <w:tblCellMar>
        <w:left w:w="0" w:type="dxa"/>
        <w:top w:w="0" w:type="dxa"/>
        <w:right w:w="0" w:type="dxa"/>
        <w:bottom w:w="0" w:type="dxa"/>
      </w:tblCellMar>
    </w:tblPr>
  </w:style>
  <w:style w:type="table" w:styleId="857" w:customStyle="1">
    <w:name w:val="Lined - Accent 5"/>
    <w:uiPriority w:val="99"/>
    <w:qFormat/>
    <w:rPr>
      <w:color w:val="404040"/>
    </w:rPr>
    <w:tblPr>
      <w:tblCellMar>
        <w:left w:w="0" w:type="dxa"/>
        <w:top w:w="0" w:type="dxa"/>
        <w:right w:w="0" w:type="dxa"/>
        <w:bottom w:w="0" w:type="dxa"/>
      </w:tblCellMar>
    </w:tblPr>
  </w:style>
  <w:style w:type="table" w:styleId="858" w:customStyle="1">
    <w:name w:val="Lined - Accent 6"/>
    <w:uiPriority w:val="99"/>
    <w:qFormat/>
    <w:rPr>
      <w:color w:val="404040"/>
    </w:rPr>
    <w:tblPr>
      <w:tblCellMar>
        <w:left w:w="0" w:type="dxa"/>
        <w:top w:w="0" w:type="dxa"/>
        <w:right w:w="0" w:type="dxa"/>
        <w:bottom w:w="0" w:type="dxa"/>
      </w:tblCellMar>
    </w:tblPr>
  </w:style>
  <w:style w:type="table" w:styleId="8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3" w:customStyle="1">
    <w:name w:val="脚注文本 字符"/>
    <w:link w:val="681"/>
    <w:uiPriority w:val="99"/>
    <w:qFormat/>
    <w:rPr>
      <w:sz w:val="18"/>
    </w:rPr>
  </w:style>
  <w:style w:type="character" w:styleId="874" w:customStyle="1">
    <w:name w:val="尾注文本 字符"/>
    <w:link w:val="675"/>
    <w:uiPriority w:val="99"/>
    <w:qFormat/>
    <w:rPr>
      <w:sz w:val="20"/>
    </w:rPr>
  </w:style>
  <w:style w:type="paragraph" w:styleId="875" w:customStyle="1">
    <w:name w:val="TOC 标题1"/>
    <w:uiPriority w:val="39"/>
    <w:unhideWhenUsed/>
    <w:qFormat/>
    <w:rPr>
      <w:rFonts w:hint="default" w:ascii="Times New Roman" w:hAnsi="Times New Roman" w:eastAsia="宋体" w:cs="Times New Roman"/>
      <w:lang w:val="en-US" w:eastAsia="zh-CN" w:bidi="ar-SA"/>
    </w:rPr>
  </w:style>
  <w:style w:type="paragraph" w:styleId="876" w:customStyle="1">
    <w:name w:val="标题 11"/>
    <w:basedOn w:val="656"/>
    <w:next w:val="656"/>
    <w:link w:val="888"/>
    <w:uiPriority w:val="0"/>
    <w:qFormat/>
    <w:pPr>
      <w:jc w:val="center"/>
      <w:keepNext/>
      <w:outlineLvl w:val="0"/>
    </w:pPr>
    <w:rPr>
      <w:rFonts w:ascii="楷体_GB2312" w:eastAsia="楷体_GB2312"/>
      <w:sz w:val="28"/>
      <w:szCs w:val="28"/>
    </w:rPr>
  </w:style>
  <w:style w:type="paragraph" w:styleId="877" w:customStyle="1">
    <w:name w:val="标题 21"/>
    <w:basedOn w:val="656"/>
    <w:next w:val="878"/>
    <w:link w:val="889"/>
    <w:uiPriority w:val="0"/>
    <w:qFormat/>
    <w:pPr>
      <w:jc w:val="center"/>
      <w:keepLines/>
      <w:keepNext/>
      <w:spacing w:before="260" w:after="260" w:line="416" w:lineRule="auto"/>
      <w:outlineLvl w:val="1"/>
    </w:pPr>
    <w:rPr>
      <w:rFonts w:ascii="Arial" w:hAnsi="Arial" w:eastAsia="幼圆"/>
      <w:b/>
      <w:bCs/>
      <w:sz w:val="44"/>
      <w:szCs w:val="44"/>
    </w:rPr>
  </w:style>
  <w:style w:type="paragraph" w:styleId="878" w:customStyle="1">
    <w:name w:val="正文缩进1"/>
    <w:basedOn w:val="656"/>
    <w:link w:val="890"/>
    <w:uiPriority w:val="0"/>
    <w:qFormat/>
    <w:pPr>
      <w:ind w:firstLine="420"/>
    </w:pPr>
    <w:rPr>
      <w:sz w:val="20"/>
    </w:rPr>
  </w:style>
  <w:style w:type="paragraph" w:styleId="879" w:customStyle="1">
    <w:name w:val="标题 31"/>
    <w:basedOn w:val="656"/>
    <w:next w:val="878"/>
    <w:link w:val="891"/>
    <w:uiPriority w:val="0"/>
    <w:qFormat/>
    <w:pPr>
      <w:keepLines/>
      <w:keepNext/>
      <w:spacing w:before="260" w:after="260" w:line="416" w:lineRule="auto"/>
      <w:outlineLvl w:val="2"/>
    </w:pPr>
    <w:rPr>
      <w:b/>
      <w:bCs/>
      <w:sz w:val="32"/>
      <w:szCs w:val="32"/>
    </w:rPr>
  </w:style>
  <w:style w:type="paragraph" w:styleId="880" w:customStyle="1">
    <w:name w:val="标题 41"/>
    <w:basedOn w:val="656"/>
    <w:next w:val="878"/>
    <w:link w:val="892"/>
    <w:uiPriority w:val="0"/>
    <w:qFormat/>
    <w:pPr>
      <w:keepLines/>
      <w:keepNext/>
      <w:spacing w:before="280" w:after="290" w:line="376" w:lineRule="auto"/>
      <w:outlineLvl w:val="3"/>
    </w:pPr>
    <w:rPr>
      <w:rFonts w:ascii="Arial" w:hAnsi="Arial" w:eastAsia="黑体"/>
      <w:b/>
      <w:bCs/>
      <w:sz w:val="28"/>
      <w:szCs w:val="28"/>
    </w:rPr>
  </w:style>
  <w:style w:type="paragraph" w:styleId="881" w:customStyle="1">
    <w:name w:val="标题 51"/>
    <w:basedOn w:val="656"/>
    <w:next w:val="878"/>
    <w:link w:val="893"/>
    <w:uiPriority w:val="0"/>
    <w:qFormat/>
    <w:pPr>
      <w:keepNext/>
      <w:outlineLvl w:val="4"/>
    </w:pPr>
    <w:rPr>
      <w:rFonts w:ascii="宋体"/>
      <w:color w:val="000000"/>
      <w:sz w:val="28"/>
      <w:szCs w:val="28"/>
    </w:rPr>
  </w:style>
  <w:style w:type="paragraph" w:styleId="882" w:customStyle="1">
    <w:name w:val="标题 61"/>
    <w:basedOn w:val="656"/>
    <w:next w:val="656"/>
    <w:link w:val="89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83" w:customStyle="1">
    <w:name w:val="标题 71"/>
    <w:basedOn w:val="656"/>
    <w:next w:val="656"/>
    <w:link w:val="895"/>
    <w:uiPriority w:val="0"/>
    <w:qFormat/>
    <w:pPr>
      <w:numPr>
        <w:ilvl w:val="6"/>
        <w:numId w:val="1"/>
      </w:numPr>
      <w:keepLines/>
      <w:keepNext/>
      <w:spacing w:before="240" w:after="64" w:line="320" w:lineRule="auto"/>
      <w:outlineLvl w:val="6"/>
    </w:pPr>
    <w:rPr>
      <w:b/>
      <w:bCs/>
      <w:sz w:val="24"/>
      <w:szCs w:val="24"/>
    </w:rPr>
  </w:style>
  <w:style w:type="paragraph" w:styleId="884" w:customStyle="1">
    <w:name w:val="标题 81"/>
    <w:basedOn w:val="656"/>
    <w:next w:val="656"/>
    <w:link w:val="89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85" w:customStyle="1">
    <w:name w:val="标题 91"/>
    <w:basedOn w:val="656"/>
    <w:next w:val="656"/>
    <w:link w:val="897"/>
    <w:uiPriority w:val="0"/>
    <w:qFormat/>
    <w:pPr>
      <w:numPr>
        <w:ilvl w:val="8"/>
        <w:numId w:val="1"/>
      </w:numPr>
      <w:keepLines/>
      <w:keepNext/>
      <w:spacing w:before="240" w:after="64" w:line="320" w:lineRule="auto"/>
      <w:outlineLvl w:val="8"/>
    </w:pPr>
    <w:rPr>
      <w:rFonts w:ascii="Arial" w:hAnsi="Arial" w:eastAsia="黑体"/>
      <w:sz w:val="20"/>
    </w:rPr>
  </w:style>
  <w:style w:type="character" w:styleId="886" w:customStyle="1">
    <w:name w:val="默认段落字体1"/>
    <w:uiPriority w:val="1"/>
    <w:unhideWhenUsed/>
    <w:qFormat/>
  </w:style>
  <w:style w:type="table" w:styleId="887" w:customStyle="1">
    <w:name w:val="普通表格1"/>
    <w:uiPriority w:val="99"/>
    <w:unhideWhenUsed/>
    <w:qFormat/>
    <w:tblPr>
      <w:tblCellMar>
        <w:left w:w="0" w:type="dxa"/>
        <w:top w:w="0" w:type="dxa"/>
        <w:right w:w="0" w:type="dxa"/>
        <w:bottom w:w="0" w:type="dxa"/>
      </w:tblCellMar>
    </w:tblPr>
  </w:style>
  <w:style w:type="character" w:styleId="888" w:customStyle="1">
    <w:name w:val="标题 1 字符"/>
    <w:link w:val="876"/>
    <w:uiPriority w:val="0"/>
    <w:qFormat/>
    <w:rPr>
      <w:rFonts w:ascii="楷体_GB2312" w:hAnsi="Times New Roman" w:eastAsia="楷体_GB2312" w:cs="Times New Roman"/>
      <w:sz w:val="28"/>
      <w:szCs w:val="28"/>
    </w:rPr>
  </w:style>
  <w:style w:type="character" w:styleId="889" w:customStyle="1">
    <w:name w:val="标题 2 字符"/>
    <w:link w:val="877"/>
    <w:uiPriority w:val="0"/>
    <w:qFormat/>
    <w:rPr>
      <w:rFonts w:ascii="Arial" w:hAnsi="Arial" w:eastAsia="幼圆" w:cs="Arial"/>
      <w:b/>
      <w:bCs/>
      <w:sz w:val="44"/>
      <w:szCs w:val="44"/>
    </w:rPr>
  </w:style>
  <w:style w:type="character" w:styleId="890" w:customStyle="1">
    <w:name w:val="正文缩进 字符"/>
    <w:link w:val="878"/>
    <w:uiPriority w:val="0"/>
    <w:qFormat/>
    <w:rPr>
      <w:rFonts w:ascii="Times New Roman" w:hAnsi="Times New Roman" w:eastAsia="宋体" w:cs="Times New Roman"/>
      <w:szCs w:val="21"/>
    </w:rPr>
  </w:style>
  <w:style w:type="character" w:styleId="891" w:customStyle="1">
    <w:name w:val="标题 3 字符"/>
    <w:link w:val="879"/>
    <w:uiPriority w:val="0"/>
    <w:qFormat/>
    <w:rPr>
      <w:rFonts w:ascii="Times New Roman" w:hAnsi="Times New Roman" w:eastAsia="宋体" w:cs="Times New Roman"/>
      <w:b/>
      <w:bCs/>
      <w:sz w:val="32"/>
      <w:szCs w:val="32"/>
    </w:rPr>
  </w:style>
  <w:style w:type="character" w:styleId="892" w:customStyle="1">
    <w:name w:val="标题 4 字符"/>
    <w:link w:val="880"/>
    <w:uiPriority w:val="0"/>
    <w:qFormat/>
    <w:rPr>
      <w:rFonts w:ascii="Arial" w:hAnsi="Arial" w:eastAsia="黑体" w:cs="Arial"/>
      <w:b/>
      <w:bCs/>
      <w:sz w:val="28"/>
      <w:szCs w:val="28"/>
    </w:rPr>
  </w:style>
  <w:style w:type="character" w:styleId="893" w:customStyle="1">
    <w:name w:val="标题 5 字符"/>
    <w:link w:val="881"/>
    <w:uiPriority w:val="0"/>
    <w:qFormat/>
    <w:rPr>
      <w:rFonts w:ascii="宋体" w:hAnsi="Times New Roman" w:eastAsia="宋体" w:cs="Times New Roman"/>
      <w:color w:val="000000"/>
      <w:sz w:val="28"/>
      <w:szCs w:val="28"/>
    </w:rPr>
  </w:style>
  <w:style w:type="character" w:styleId="894" w:customStyle="1">
    <w:name w:val="标题 6 字符"/>
    <w:link w:val="882"/>
    <w:uiPriority w:val="0"/>
    <w:qFormat/>
    <w:rPr>
      <w:rFonts w:ascii="Arial" w:hAnsi="Arial" w:eastAsia="黑体" w:cs="Times New Roman"/>
      <w:b/>
      <w:bCs/>
      <w:sz w:val="24"/>
      <w:szCs w:val="24"/>
    </w:rPr>
  </w:style>
  <w:style w:type="character" w:styleId="895" w:customStyle="1">
    <w:name w:val="标题 7 字符"/>
    <w:link w:val="883"/>
    <w:uiPriority w:val="0"/>
    <w:qFormat/>
    <w:rPr>
      <w:rFonts w:ascii="Times New Roman" w:hAnsi="Times New Roman" w:eastAsia="宋体" w:cs="Times New Roman"/>
      <w:b/>
      <w:bCs/>
      <w:sz w:val="24"/>
      <w:szCs w:val="24"/>
    </w:rPr>
  </w:style>
  <w:style w:type="character" w:styleId="896" w:customStyle="1">
    <w:name w:val="标题 8 字符"/>
    <w:link w:val="884"/>
    <w:uiPriority w:val="0"/>
    <w:qFormat/>
    <w:rPr>
      <w:rFonts w:ascii="Arial" w:hAnsi="Arial" w:eastAsia="黑体" w:cs="Times New Roman"/>
      <w:sz w:val="24"/>
      <w:szCs w:val="24"/>
    </w:rPr>
  </w:style>
  <w:style w:type="character" w:styleId="897" w:customStyle="1">
    <w:name w:val="标题 9 字符"/>
    <w:link w:val="885"/>
    <w:uiPriority w:val="0"/>
    <w:qFormat/>
    <w:rPr>
      <w:rFonts w:ascii="Arial" w:hAnsi="Arial" w:eastAsia="黑体" w:cs="Times New Roman"/>
      <w:szCs w:val="21"/>
    </w:rPr>
  </w:style>
  <w:style w:type="paragraph" w:styleId="898" w:customStyle="1">
    <w:name w:val="列表 31"/>
    <w:basedOn w:val="656"/>
    <w:uiPriority w:val="0"/>
    <w:qFormat/>
    <w:pPr>
      <w:ind w:left="100" w:hanging="200"/>
    </w:pPr>
  </w:style>
  <w:style w:type="paragraph" w:styleId="899" w:customStyle="1">
    <w:name w:val="目录 71"/>
    <w:basedOn w:val="656"/>
    <w:next w:val="656"/>
    <w:uiPriority w:val="0"/>
    <w:semiHidden/>
    <w:qFormat/>
    <w:pPr>
      <w:ind w:left="1260"/>
      <w:jc w:val="left"/>
    </w:pPr>
  </w:style>
  <w:style w:type="paragraph" w:styleId="900" w:customStyle="1">
    <w:name w:val="文档结构图1"/>
    <w:basedOn w:val="656"/>
    <w:link w:val="901"/>
    <w:uiPriority w:val="0"/>
    <w:semiHidden/>
    <w:qFormat/>
    <w:pPr>
      <w:shd w:val="clear" w:color="auto" w:fill="000080"/>
    </w:pPr>
    <w:rPr>
      <w:sz w:val="20"/>
    </w:rPr>
  </w:style>
  <w:style w:type="character" w:styleId="901" w:customStyle="1">
    <w:name w:val="文档结构图 字符"/>
    <w:link w:val="900"/>
    <w:uiPriority w:val="0"/>
    <w:semiHidden/>
    <w:qFormat/>
    <w:rPr>
      <w:rFonts w:ascii="Times New Roman" w:hAnsi="Times New Roman" w:eastAsia="宋体" w:cs="Times New Roman"/>
      <w:szCs w:val="21"/>
      <w:shd w:val="clear" w:color="auto" w:fill="000080"/>
    </w:rPr>
  </w:style>
  <w:style w:type="paragraph" w:styleId="902" w:customStyle="1">
    <w:name w:val="批注文字1"/>
    <w:basedOn w:val="656"/>
    <w:link w:val="903"/>
    <w:uiPriority w:val="0"/>
    <w:semiHidden/>
    <w:qFormat/>
    <w:pPr>
      <w:jc w:val="left"/>
    </w:pPr>
    <w:rPr>
      <w:sz w:val="20"/>
    </w:rPr>
  </w:style>
  <w:style w:type="character" w:styleId="903" w:customStyle="1">
    <w:name w:val="批注文字 字符"/>
    <w:link w:val="902"/>
    <w:uiPriority w:val="0"/>
    <w:semiHidden/>
    <w:qFormat/>
    <w:rPr>
      <w:rFonts w:ascii="Times New Roman" w:hAnsi="Times New Roman" w:eastAsia="宋体" w:cs="Times New Roman"/>
      <w:szCs w:val="21"/>
    </w:rPr>
  </w:style>
  <w:style w:type="paragraph" w:styleId="904" w:customStyle="1">
    <w:name w:val="正文文本 31"/>
    <w:basedOn w:val="656"/>
    <w:link w:val="905"/>
    <w:uiPriority w:val="0"/>
    <w:qFormat/>
    <w:rPr>
      <w:rFonts w:ascii="仿宋_GB2312" w:hAnsi="Arial" w:eastAsia="仿宋_GB2312"/>
      <w:sz w:val="32"/>
      <w:szCs w:val="32"/>
    </w:rPr>
  </w:style>
  <w:style w:type="character" w:styleId="905" w:customStyle="1">
    <w:name w:val="正文文本 3 字符"/>
    <w:link w:val="904"/>
    <w:uiPriority w:val="0"/>
    <w:qFormat/>
    <w:rPr>
      <w:rFonts w:ascii="仿宋_GB2312" w:hAnsi="Arial" w:eastAsia="仿宋_GB2312" w:cs="Times New Roman"/>
      <w:sz w:val="32"/>
      <w:szCs w:val="32"/>
    </w:rPr>
  </w:style>
  <w:style w:type="paragraph" w:styleId="906" w:customStyle="1">
    <w:name w:val="正文文本1"/>
    <w:basedOn w:val="656"/>
    <w:link w:val="907"/>
    <w:uiPriority w:val="0"/>
    <w:qFormat/>
    <w:rPr>
      <w:rFonts w:ascii="楷体_GB2312" w:hAnsi="Arial" w:eastAsia="楷体_GB2312"/>
      <w:sz w:val="28"/>
      <w:szCs w:val="28"/>
    </w:rPr>
  </w:style>
  <w:style w:type="character" w:styleId="907" w:customStyle="1">
    <w:name w:val="正文文本 字符"/>
    <w:link w:val="906"/>
    <w:uiPriority w:val="0"/>
    <w:qFormat/>
    <w:rPr>
      <w:rFonts w:ascii="楷体_GB2312" w:hAnsi="Arial" w:eastAsia="楷体_GB2312" w:cs="Times New Roman"/>
      <w:sz w:val="28"/>
      <w:szCs w:val="28"/>
    </w:rPr>
  </w:style>
  <w:style w:type="paragraph" w:styleId="908" w:customStyle="1">
    <w:name w:val="正文文本缩进1"/>
    <w:basedOn w:val="656"/>
    <w:link w:val="909"/>
    <w:uiPriority w:val="0"/>
    <w:qFormat/>
    <w:pPr>
      <w:ind w:firstLine="645"/>
    </w:pPr>
    <w:rPr>
      <w:rFonts w:ascii="楷体_GB2312" w:eastAsia="楷体_GB2312"/>
      <w:sz w:val="32"/>
      <w:szCs w:val="32"/>
    </w:rPr>
  </w:style>
  <w:style w:type="character" w:styleId="909" w:customStyle="1">
    <w:name w:val="正文文本缩进 字符"/>
    <w:link w:val="908"/>
    <w:uiPriority w:val="0"/>
    <w:qFormat/>
    <w:rPr>
      <w:rFonts w:ascii="楷体_GB2312" w:hAnsi="Times New Roman" w:eastAsia="楷体_GB2312" w:cs="Times New Roman"/>
      <w:sz w:val="32"/>
      <w:szCs w:val="32"/>
    </w:rPr>
  </w:style>
  <w:style w:type="paragraph" w:styleId="910" w:customStyle="1">
    <w:name w:val="列表 21"/>
    <w:basedOn w:val="656"/>
    <w:uiPriority w:val="0"/>
    <w:qFormat/>
    <w:pPr>
      <w:ind w:left="100" w:hanging="200"/>
    </w:pPr>
  </w:style>
  <w:style w:type="paragraph" w:styleId="911" w:customStyle="1">
    <w:name w:val="目录 51"/>
    <w:basedOn w:val="656"/>
    <w:next w:val="656"/>
    <w:uiPriority w:val="0"/>
    <w:semiHidden/>
    <w:qFormat/>
    <w:pPr>
      <w:ind w:left="840"/>
      <w:jc w:val="left"/>
    </w:pPr>
  </w:style>
  <w:style w:type="paragraph" w:styleId="912" w:customStyle="1">
    <w:name w:val="目录 31"/>
    <w:basedOn w:val="656"/>
    <w:next w:val="656"/>
    <w:uiPriority w:val="0"/>
    <w:semiHidden/>
    <w:qFormat/>
    <w:pPr>
      <w:ind w:left="420"/>
      <w:jc w:val="left"/>
    </w:pPr>
    <w:rPr>
      <w:i/>
      <w:iCs/>
      <w:szCs w:val="24"/>
    </w:rPr>
  </w:style>
  <w:style w:type="paragraph" w:styleId="913" w:customStyle="1">
    <w:name w:val="纯文本1"/>
    <w:basedOn w:val="656"/>
    <w:link w:val="914"/>
    <w:uiPriority w:val="0"/>
    <w:qFormat/>
    <w:rPr>
      <w:rFonts w:ascii="宋体" w:hAnsi="Courier New"/>
      <w:sz w:val="20"/>
    </w:rPr>
  </w:style>
  <w:style w:type="character" w:styleId="914" w:customStyle="1">
    <w:name w:val="纯文本 字符"/>
    <w:link w:val="913"/>
    <w:uiPriority w:val="0"/>
    <w:qFormat/>
    <w:rPr>
      <w:rFonts w:ascii="宋体" w:hAnsi="Courier New" w:eastAsia="宋体" w:cs="Courier New"/>
      <w:szCs w:val="21"/>
    </w:rPr>
  </w:style>
  <w:style w:type="paragraph" w:styleId="915" w:customStyle="1">
    <w:name w:val="目录 81"/>
    <w:basedOn w:val="656"/>
    <w:next w:val="656"/>
    <w:uiPriority w:val="0"/>
    <w:semiHidden/>
    <w:qFormat/>
    <w:pPr>
      <w:ind w:left="1470"/>
      <w:jc w:val="left"/>
    </w:pPr>
  </w:style>
  <w:style w:type="paragraph" w:styleId="916" w:customStyle="1">
    <w:name w:val="日期1"/>
    <w:basedOn w:val="656"/>
    <w:next w:val="656"/>
    <w:link w:val="917"/>
    <w:uiPriority w:val="0"/>
    <w:qFormat/>
    <w:rPr>
      <w:sz w:val="24"/>
      <w:szCs w:val="24"/>
    </w:rPr>
  </w:style>
  <w:style w:type="character" w:styleId="917" w:customStyle="1">
    <w:name w:val="日期 字符"/>
    <w:link w:val="916"/>
    <w:uiPriority w:val="0"/>
    <w:qFormat/>
    <w:rPr>
      <w:rFonts w:ascii="Times New Roman" w:hAnsi="Times New Roman" w:eastAsia="宋体" w:cs="Times New Roman"/>
      <w:sz w:val="24"/>
      <w:szCs w:val="24"/>
    </w:rPr>
  </w:style>
  <w:style w:type="paragraph" w:styleId="918" w:customStyle="1">
    <w:name w:val="正文文本缩进 21"/>
    <w:basedOn w:val="656"/>
    <w:link w:val="919"/>
    <w:uiPriority w:val="0"/>
    <w:qFormat/>
    <w:pPr>
      <w:ind w:left="630" w:firstLine="645"/>
    </w:pPr>
    <w:rPr>
      <w:rFonts w:ascii="Arial" w:hAnsi="Arial" w:eastAsia="仿宋_GB2312"/>
      <w:sz w:val="32"/>
      <w:szCs w:val="32"/>
    </w:rPr>
  </w:style>
  <w:style w:type="character" w:styleId="919" w:customStyle="1">
    <w:name w:val="正文文本缩进 2 字符"/>
    <w:link w:val="918"/>
    <w:uiPriority w:val="0"/>
    <w:qFormat/>
    <w:rPr>
      <w:rFonts w:ascii="Arial" w:hAnsi="Arial" w:eastAsia="仿宋_GB2312" w:cs="Arial"/>
      <w:sz w:val="32"/>
      <w:szCs w:val="32"/>
    </w:rPr>
  </w:style>
  <w:style w:type="paragraph" w:styleId="920" w:customStyle="1">
    <w:name w:val="批注框文本1"/>
    <w:basedOn w:val="656"/>
    <w:link w:val="921"/>
    <w:uiPriority w:val="0"/>
    <w:semiHidden/>
    <w:qFormat/>
    <w:rPr>
      <w:sz w:val="18"/>
      <w:szCs w:val="18"/>
    </w:rPr>
  </w:style>
  <w:style w:type="character" w:styleId="921" w:customStyle="1">
    <w:name w:val="批注框文本 字符"/>
    <w:link w:val="920"/>
    <w:uiPriority w:val="0"/>
    <w:semiHidden/>
    <w:qFormat/>
    <w:rPr>
      <w:rFonts w:ascii="Times New Roman" w:hAnsi="Times New Roman" w:eastAsia="宋体" w:cs="Times New Roman"/>
      <w:sz w:val="18"/>
      <w:szCs w:val="18"/>
    </w:rPr>
  </w:style>
  <w:style w:type="paragraph" w:styleId="922" w:customStyle="1">
    <w:name w:val="页脚1"/>
    <w:basedOn w:val="656"/>
    <w:link w:val="923"/>
    <w:uiPriority w:val="0"/>
    <w:qFormat/>
    <w:pPr>
      <w:jc w:val="left"/>
      <w:tabs>
        <w:tab w:val="center" w:pos="4153" w:leader="none"/>
        <w:tab w:val="right" w:pos="8306" w:leader="none"/>
      </w:tabs>
    </w:pPr>
    <w:rPr>
      <w:sz w:val="18"/>
      <w:szCs w:val="18"/>
    </w:rPr>
  </w:style>
  <w:style w:type="character" w:styleId="923" w:customStyle="1">
    <w:name w:val="页脚 字符"/>
    <w:link w:val="922"/>
    <w:uiPriority w:val="0"/>
    <w:qFormat/>
    <w:rPr>
      <w:rFonts w:ascii="Times New Roman" w:hAnsi="Times New Roman" w:eastAsia="宋体" w:cs="Times New Roman"/>
      <w:sz w:val="18"/>
      <w:szCs w:val="18"/>
    </w:rPr>
  </w:style>
  <w:style w:type="paragraph" w:styleId="924" w:customStyle="1">
    <w:name w:val="页眉1"/>
    <w:basedOn w:val="656"/>
    <w:link w:val="925"/>
    <w:uiPriority w:val="0"/>
    <w:qFormat/>
    <w:pPr>
      <w:jc w:val="center"/>
      <w:tabs>
        <w:tab w:val="center" w:pos="4153" w:leader="none"/>
        <w:tab w:val="right" w:pos="8306" w:leader="none"/>
      </w:tabs>
      <w:pBdr>
        <w:bottom w:val="single" w:color="000000" w:sz="6" w:space="1"/>
      </w:pBdr>
    </w:pPr>
    <w:rPr>
      <w:sz w:val="18"/>
      <w:szCs w:val="18"/>
    </w:rPr>
  </w:style>
  <w:style w:type="character" w:styleId="925" w:customStyle="1">
    <w:name w:val="页眉 字符"/>
    <w:link w:val="924"/>
    <w:uiPriority w:val="0"/>
    <w:qFormat/>
    <w:rPr>
      <w:rFonts w:ascii="Times New Roman" w:hAnsi="Times New Roman" w:eastAsia="宋体" w:cs="Times New Roman"/>
      <w:sz w:val="18"/>
      <w:szCs w:val="18"/>
    </w:rPr>
  </w:style>
  <w:style w:type="paragraph" w:styleId="926" w:customStyle="1">
    <w:name w:val="目录 11"/>
    <w:basedOn w:val="656"/>
    <w:next w:val="656"/>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customStyle="1">
    <w:name w:val="目录 41"/>
    <w:basedOn w:val="656"/>
    <w:next w:val="656"/>
    <w:uiPriority w:val="0"/>
    <w:semiHidden/>
    <w:qFormat/>
    <w:pPr>
      <w:ind w:left="630"/>
      <w:jc w:val="left"/>
    </w:pPr>
  </w:style>
  <w:style w:type="paragraph" w:styleId="928" w:customStyle="1">
    <w:name w:val="列表1"/>
    <w:basedOn w:val="656"/>
    <w:uiPriority w:val="0"/>
    <w:qFormat/>
    <w:pPr>
      <w:ind w:left="200" w:hanging="200"/>
    </w:pPr>
  </w:style>
  <w:style w:type="paragraph" w:styleId="929" w:customStyle="1">
    <w:name w:val="目录 61"/>
    <w:basedOn w:val="656"/>
    <w:next w:val="656"/>
    <w:uiPriority w:val="0"/>
    <w:semiHidden/>
    <w:qFormat/>
    <w:pPr>
      <w:ind w:left="1050"/>
      <w:jc w:val="left"/>
    </w:pPr>
  </w:style>
  <w:style w:type="paragraph" w:styleId="930" w:customStyle="1">
    <w:name w:val="正文文本缩进 31"/>
    <w:basedOn w:val="656"/>
    <w:link w:val="931"/>
    <w:uiPriority w:val="0"/>
    <w:qFormat/>
    <w:pPr>
      <w:ind w:left="645" w:firstLine="645"/>
    </w:pPr>
    <w:rPr>
      <w:rFonts w:ascii="Arial" w:hAnsi="Arial" w:eastAsia="仿宋_GB2312"/>
      <w:color w:val="ffff00"/>
      <w:sz w:val="32"/>
      <w:szCs w:val="32"/>
    </w:rPr>
  </w:style>
  <w:style w:type="character" w:styleId="931" w:customStyle="1">
    <w:name w:val="正文文本缩进 3 字符"/>
    <w:link w:val="930"/>
    <w:uiPriority w:val="0"/>
    <w:qFormat/>
    <w:rPr>
      <w:rFonts w:ascii="Arial" w:hAnsi="Arial" w:eastAsia="仿宋_GB2312" w:cs="Arial"/>
      <w:color w:val="ffff00"/>
      <w:sz w:val="32"/>
      <w:szCs w:val="32"/>
    </w:rPr>
  </w:style>
  <w:style w:type="paragraph" w:styleId="932" w:customStyle="1">
    <w:name w:val="图表目录1"/>
    <w:basedOn w:val="656"/>
    <w:next w:val="656"/>
    <w:uiPriority w:val="0"/>
    <w:semiHidden/>
    <w:qFormat/>
    <w:pPr>
      <w:ind w:left="840" w:hanging="420"/>
    </w:pPr>
  </w:style>
  <w:style w:type="paragraph" w:styleId="933" w:customStyle="1">
    <w:name w:val="目录 21"/>
    <w:basedOn w:val="656"/>
    <w:next w:val="656"/>
    <w:uiPriority w:val="0"/>
    <w:semiHidden/>
    <w:qFormat/>
    <w:pPr>
      <w:ind w:left="210"/>
      <w:jc w:val="left"/>
    </w:pPr>
    <w:rPr>
      <w:smallCaps/>
      <w:szCs w:val="24"/>
    </w:rPr>
  </w:style>
  <w:style w:type="paragraph" w:styleId="934" w:customStyle="1">
    <w:name w:val="目录 91"/>
    <w:basedOn w:val="656"/>
    <w:next w:val="656"/>
    <w:uiPriority w:val="0"/>
    <w:semiHidden/>
    <w:qFormat/>
    <w:pPr>
      <w:ind w:left="1680"/>
      <w:jc w:val="left"/>
    </w:pPr>
  </w:style>
  <w:style w:type="paragraph" w:styleId="935" w:customStyle="1">
    <w:name w:val="正文文本 21"/>
    <w:basedOn w:val="656"/>
    <w:link w:val="936"/>
    <w:uiPriority w:val="0"/>
    <w:qFormat/>
    <w:pPr>
      <w:jc w:val="center"/>
      <w:widowControl/>
    </w:pPr>
    <w:rPr>
      <w:rFonts w:ascii="楷体_GB2312" w:eastAsia="楷体_GB2312"/>
      <w:sz w:val="28"/>
      <w:szCs w:val="28"/>
    </w:rPr>
  </w:style>
  <w:style w:type="character" w:styleId="936" w:customStyle="1">
    <w:name w:val="正文文本 2 字符"/>
    <w:link w:val="935"/>
    <w:uiPriority w:val="0"/>
    <w:qFormat/>
    <w:rPr>
      <w:rFonts w:ascii="楷体_GB2312" w:hAnsi="Times New Roman" w:eastAsia="楷体_GB2312" w:cs="Times New Roman"/>
      <w:sz w:val="28"/>
      <w:szCs w:val="28"/>
    </w:rPr>
  </w:style>
  <w:style w:type="paragraph" w:styleId="937" w:customStyle="1">
    <w:name w:val="普通(网站)1"/>
    <w:basedOn w:val="656"/>
    <w:uiPriority w:val="99"/>
    <w:qFormat/>
    <w:pPr>
      <w:jc w:val="left"/>
      <w:spacing w:before="100" w:beforeAutospacing="1" w:after="100" w:afterAutospacing="1"/>
      <w:widowControl/>
    </w:pPr>
    <w:rPr>
      <w:rFonts w:ascii="宋体" w:hAnsi="宋体" w:cs="宋体"/>
      <w:sz w:val="24"/>
      <w:szCs w:val="24"/>
    </w:rPr>
  </w:style>
  <w:style w:type="paragraph" w:styleId="938" w:customStyle="1">
    <w:name w:val="索引 11"/>
    <w:basedOn w:val="656"/>
    <w:next w:val="656"/>
    <w:uiPriority w:val="0"/>
    <w:semiHidden/>
    <w:qFormat/>
    <w:pPr>
      <w:spacing w:line="240" w:lineRule="atLeast"/>
    </w:pPr>
    <w:rPr>
      <w:b/>
      <w:bCs/>
    </w:rPr>
  </w:style>
  <w:style w:type="paragraph" w:styleId="939" w:customStyle="1">
    <w:name w:val="批注主题1"/>
    <w:basedOn w:val="902"/>
    <w:next w:val="902"/>
    <w:link w:val="940"/>
    <w:uiPriority w:val="0"/>
    <w:semiHidden/>
    <w:qFormat/>
    <w:rPr>
      <w:b/>
      <w:bCs/>
    </w:rPr>
  </w:style>
  <w:style w:type="character" w:styleId="940" w:customStyle="1">
    <w:name w:val="批注主题 字符"/>
    <w:link w:val="939"/>
    <w:uiPriority w:val="0"/>
    <w:semiHidden/>
    <w:qFormat/>
    <w:rPr>
      <w:rFonts w:ascii="Times New Roman" w:hAnsi="Times New Roman" w:eastAsia="宋体" w:cs="Times New Roman"/>
      <w:b/>
      <w:bCs/>
      <w:szCs w:val="21"/>
    </w:rPr>
  </w:style>
  <w:style w:type="paragraph" w:styleId="941" w:customStyle="1">
    <w:name w:val="正文首行缩进1"/>
    <w:basedOn w:val="656"/>
    <w:link w:val="942"/>
    <w:uiPriority w:val="0"/>
    <w:qFormat/>
    <w:pPr>
      <w:ind w:firstLine="200"/>
      <w:spacing w:line="360" w:lineRule="auto"/>
    </w:pPr>
    <w:rPr>
      <w:rFonts w:ascii="仿宋_GB2312" w:eastAsia="仿宋_GB2312"/>
      <w:sz w:val="30"/>
      <w:szCs w:val="30"/>
    </w:rPr>
  </w:style>
  <w:style w:type="character" w:styleId="942" w:customStyle="1">
    <w:name w:val="正文文本首行缩进 字符"/>
    <w:link w:val="941"/>
    <w:uiPriority w:val="0"/>
    <w:qFormat/>
    <w:rPr>
      <w:rFonts w:ascii="仿宋_GB2312" w:hAnsi="Times New Roman" w:eastAsia="仿宋_GB2312" w:cs="Times New Roman"/>
      <w:sz w:val="30"/>
      <w:szCs w:val="30"/>
    </w:rPr>
  </w:style>
  <w:style w:type="paragraph" w:styleId="943" w:customStyle="1">
    <w:name w:val="正文首行缩进 21"/>
    <w:basedOn w:val="908"/>
    <w:link w:val="944"/>
    <w:uiPriority w:val="0"/>
    <w:qFormat/>
    <w:pPr>
      <w:ind w:firstLine="420"/>
      <w:spacing w:line="360" w:lineRule="auto"/>
    </w:pPr>
    <w:rPr>
      <w:rFonts w:ascii="宋体" w:hAnsi="宋体" w:eastAsia="宋体"/>
      <w:szCs w:val="20"/>
    </w:rPr>
  </w:style>
  <w:style w:type="character" w:styleId="944" w:customStyle="1">
    <w:name w:val="正文文本首行缩进 2 字符"/>
    <w:link w:val="943"/>
    <w:uiPriority w:val="0"/>
    <w:qFormat/>
    <w:rPr>
      <w:rFonts w:ascii="宋体" w:hAnsi="宋体" w:eastAsia="宋体" w:cs="Times New Roman"/>
      <w:sz w:val="32"/>
      <w:szCs w:val="20"/>
    </w:rPr>
  </w:style>
  <w:style w:type="table" w:styleId="945" w:customStyle="1">
    <w:name w:val="网格型1"/>
    <w:basedOn w:val="887"/>
    <w:uiPriority w:val="0"/>
    <w:qFormat/>
    <w:pPr>
      <w:jc w:val="both"/>
      <w:widowControl w:val="off"/>
    </w:pPr>
    <w:tblPr/>
  </w:style>
  <w:style w:type="character" w:styleId="946" w:customStyle="1">
    <w:name w:val="要点1"/>
    <w:uiPriority w:val="0"/>
    <w:qFormat/>
    <w:rPr>
      <w:b/>
      <w:bCs/>
    </w:rPr>
  </w:style>
  <w:style w:type="character" w:styleId="947" w:customStyle="1">
    <w:name w:val="页码1"/>
    <w:uiPriority w:val="0"/>
    <w:qFormat/>
  </w:style>
  <w:style w:type="character" w:styleId="948" w:customStyle="1">
    <w:name w:val="已访问的超链接1"/>
    <w:uiPriority w:val="0"/>
    <w:qFormat/>
    <w:rPr>
      <w:color w:val="800080"/>
      <w:u w:val="single"/>
    </w:rPr>
  </w:style>
  <w:style w:type="character" w:styleId="949" w:customStyle="1">
    <w:name w:val="超链接1"/>
    <w:uiPriority w:val="0"/>
    <w:qFormat/>
    <w:rPr>
      <w:color w:val="0000ff"/>
      <w:u w:val="single"/>
    </w:rPr>
  </w:style>
  <w:style w:type="character" w:styleId="950" w:customStyle="1">
    <w:name w:val="批注引用1"/>
    <w:uiPriority w:val="0"/>
    <w:semiHidden/>
    <w:qFormat/>
    <w:rPr>
      <w:sz w:val="21"/>
      <w:szCs w:val="21"/>
    </w:rPr>
  </w:style>
  <w:style w:type="paragraph" w:styleId="951"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952" w:customStyle="1">
    <w:name w:val="font5 Char"/>
    <w:uiPriority w:val="0"/>
    <w:qFormat/>
    <w:rPr>
      <w:rFonts w:ascii="宋体" w:hAnsi="宋体" w:eastAsia="宋体"/>
      <w:sz w:val="28"/>
      <w:szCs w:val="28"/>
      <w:lang w:val="en-US" w:eastAsia="zh-CN" w:bidi="ar-SA"/>
    </w:rPr>
  </w:style>
  <w:style w:type="character" w:styleId="953" w:customStyle="1">
    <w:name w:val="二级目录 Char"/>
    <w:link w:val="954"/>
    <w:uiPriority w:val="0"/>
    <w:qFormat/>
    <w:rPr>
      <w:b/>
      <w:sz w:val="30"/>
      <w:szCs w:val="28"/>
    </w:rPr>
  </w:style>
  <w:style w:type="paragraph" w:styleId="954" w:customStyle="1">
    <w:name w:val="二级目录"/>
    <w:next w:val="656"/>
    <w:link w:val="953"/>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55" w:customStyle="1">
    <w:name w:val="列出段落 Char"/>
    <w:link w:val="956"/>
    <w:uiPriority w:val="0"/>
    <w:qFormat/>
    <w:rPr>
      <w:rFonts w:ascii="Calibri" w:hAnsi="Calibri"/>
      <w:sz w:val="24"/>
      <w:szCs w:val="24"/>
      <w:lang w:eastAsia="en-US" w:bidi="en-US"/>
    </w:rPr>
  </w:style>
  <w:style w:type="paragraph" w:styleId="956" w:customStyle="1">
    <w:name w:val="列出段落1"/>
    <w:basedOn w:val="656"/>
    <w:link w:val="955"/>
    <w:uiPriority w:val="0"/>
    <w:qFormat/>
    <w:pPr>
      <w:contextualSpacing/>
      <w:ind w:left="720"/>
      <w:jc w:val="left"/>
      <w:widowControl/>
    </w:pPr>
    <w:rPr>
      <w:rFonts w:ascii="Calibri" w:hAnsi="Calibri"/>
      <w:sz w:val="24"/>
      <w:szCs w:val="24"/>
      <w:lang w:eastAsia="en-US" w:bidi="en-US"/>
    </w:rPr>
  </w:style>
  <w:style w:type="paragraph" w:styleId="957" w:customStyle="1">
    <w:name w:val="Body Text(ch)"/>
    <w:basedOn w:val="656"/>
    <w:next w:val="906"/>
    <w:uiPriority w:val="0"/>
    <w:qFormat/>
    <w:pPr>
      <w:spacing w:after="120"/>
    </w:pPr>
    <w:rPr>
      <w:rFonts w:ascii="宋体" w:hAnsi="Arial"/>
      <w:bCs/>
      <w:iCs/>
      <w:szCs w:val="24"/>
    </w:rPr>
  </w:style>
  <w:style w:type="paragraph" w:styleId="958" w:customStyle="1">
    <w:name w:val="xl27"/>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9" w:customStyle="1">
    <w:name w:val="xl26"/>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0" w:customStyle="1">
    <w:name w:val="Char"/>
    <w:basedOn w:val="656"/>
    <w:uiPriority w:val="0"/>
    <w:qFormat/>
    <w:pPr>
      <w:ind w:firstLine="200"/>
      <w:tabs>
        <w:tab w:val="left" w:pos="360" w:leader="none"/>
      </w:tabs>
    </w:pPr>
    <w:rPr>
      <w:sz w:val="28"/>
      <w:szCs w:val="30"/>
    </w:rPr>
  </w:style>
  <w:style w:type="paragraph" w:styleId="961" w:customStyle="1">
    <w:name w:val="Char1"/>
    <w:basedOn w:val="900"/>
    <w:uiPriority w:val="0"/>
    <w:qFormat/>
    <w:rPr>
      <w:rFonts w:ascii="Tahoma" w:hAnsi="Tahoma"/>
      <w:sz w:val="24"/>
      <w:szCs w:val="24"/>
    </w:rPr>
  </w:style>
  <w:style w:type="paragraph" w:styleId="962" w:customStyle="1">
    <w:name w:val="普通正文"/>
    <w:basedOn w:val="656"/>
    <w:uiPriority w:val="0"/>
    <w:qFormat/>
    <w:pPr>
      <w:ind w:firstLine="480"/>
      <w:jc w:val="left"/>
      <w:spacing w:before="120" w:after="120" w:line="360" w:lineRule="auto"/>
    </w:pPr>
    <w:rPr>
      <w:rFonts w:ascii="Arial" w:hAnsi="Arial"/>
      <w:sz w:val="24"/>
      <w:szCs w:val="24"/>
    </w:rPr>
  </w:style>
  <w:style w:type="paragraph" w:styleId="963" w:customStyle="1">
    <w:name w:val="table_lines"/>
    <w:basedOn w:val="656"/>
    <w:uiPriority w:val="0"/>
    <w:qFormat/>
    <w:pPr>
      <w:jc w:val="left"/>
      <w:widowControl/>
    </w:pPr>
    <w:rPr>
      <w:sz w:val="20"/>
      <w:szCs w:val="20"/>
      <w:lang w:val="de-DE" w:eastAsia="de-DE"/>
    </w:rPr>
  </w:style>
  <w:style w:type="paragraph" w:styleId="964"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65" w:customStyle="1">
    <w:name w:val="font7"/>
    <w:basedOn w:val="656"/>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Char Char Char Char"/>
    <w:basedOn w:val="900"/>
    <w:uiPriority w:val="0"/>
    <w:qFormat/>
    <w:pPr>
      <w:spacing w:line="360" w:lineRule="auto"/>
    </w:pPr>
    <w:rPr>
      <w:rFonts w:ascii="Tahoma" w:hAnsi="Tahoma"/>
      <w:sz w:val="24"/>
      <w:szCs w:val="24"/>
    </w:rPr>
  </w:style>
  <w:style w:type="paragraph" w:styleId="967" w:customStyle="1">
    <w:name w:val="列表段落1"/>
    <w:basedOn w:val="656"/>
    <w:uiPriority w:val="0"/>
    <w:qFormat/>
    <w:pPr>
      <w:contextualSpacing/>
      <w:ind w:left="720"/>
      <w:jc w:val="left"/>
      <w:widowControl/>
    </w:pPr>
    <w:rPr>
      <w:rFonts w:ascii="Calibri" w:hAnsi="Calibri"/>
      <w:sz w:val="24"/>
      <w:szCs w:val="24"/>
      <w:lang w:eastAsia="en-US" w:bidi="en-US"/>
    </w:rPr>
  </w:style>
  <w:style w:type="paragraph" w:styleId="968" w:customStyle="1">
    <w:name w:val="4"/>
    <w:basedOn w:val="656"/>
    <w:next w:val="930"/>
    <w:uiPriority w:val="0"/>
    <w:qFormat/>
    <w:pPr>
      <w:ind w:firstLine="420"/>
      <w:spacing w:line="360" w:lineRule="auto"/>
    </w:pPr>
    <w:rPr>
      <w:color w:val="ff0000"/>
      <w:sz w:val="24"/>
      <w:szCs w:val="24"/>
    </w:rPr>
  </w:style>
  <w:style w:type="paragraph" w:styleId="969" w:customStyle="1">
    <w:name w:val="普通 (Web)"/>
    <w:basedOn w:val="656"/>
    <w:uiPriority w:val="0"/>
    <w:qFormat/>
    <w:pPr>
      <w:jc w:val="left"/>
      <w:spacing w:before="100" w:beforeAutospacing="1" w:after="100" w:afterAutospacing="1"/>
      <w:widowControl/>
    </w:pPr>
    <w:rPr>
      <w:rFonts w:ascii="宋体" w:hAnsi="宋体"/>
      <w:sz w:val="24"/>
      <w:szCs w:val="24"/>
    </w:rPr>
  </w:style>
  <w:style w:type="paragraph" w:styleId="970" w:customStyle="1">
    <w:name w:val="Char Char Char Char Char Char Char Char Char Char"/>
    <w:basedOn w:val="656"/>
    <w:uiPriority w:val="0"/>
    <w:qFormat/>
    <w:pPr>
      <w:spacing w:line="360" w:lineRule="auto"/>
    </w:pPr>
    <w:rPr>
      <w:sz w:val="24"/>
      <w:szCs w:val="20"/>
    </w:rPr>
  </w:style>
  <w:style w:type="paragraph" w:styleId="971" w:customStyle="1">
    <w:name w:val="样式1"/>
    <w:basedOn w:val="656"/>
    <w:uiPriority w:val="0"/>
    <w:qFormat/>
    <w:pPr>
      <w:numPr>
        <w:ilvl w:val="0"/>
        <w:numId w:val="3"/>
      </w:numPr>
    </w:pPr>
    <w:rPr>
      <w:rFonts w:ascii="宋体" w:hAnsi="宋体"/>
    </w:rPr>
  </w:style>
  <w:style w:type="paragraph" w:styleId="972" w:customStyle="1">
    <w:name w:val="font6"/>
    <w:basedOn w:val="656"/>
    <w:uiPriority w:val="0"/>
    <w:qFormat/>
    <w:pPr>
      <w:jc w:val="left"/>
      <w:spacing w:before="100" w:beforeAutospacing="1" w:after="100" w:afterAutospacing="1"/>
      <w:widowControl/>
    </w:pPr>
    <w:rPr>
      <w:rFonts w:hint="eastAsia" w:ascii="宋体" w:hAnsi="宋体"/>
      <w:sz w:val="28"/>
      <w:szCs w:val="28"/>
      <w:u w:val="single"/>
    </w:rPr>
  </w:style>
  <w:style w:type="paragraph" w:styleId="973" w:customStyle="1">
    <w:name w:val="xl25"/>
    <w:basedOn w:val="65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customStyle="1">
    <w:name w:val="图标"/>
    <w:basedOn w:val="656"/>
    <w:next w:val="65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75" w:customStyle="1">
    <w:name w:val="标题3"/>
    <w:basedOn w:val="656"/>
    <w:next w:val="656"/>
    <w:uiPriority w:val="0"/>
    <w:qFormat/>
    <w:pPr>
      <w:ind w:firstLine="624"/>
      <w:spacing w:line="590" w:lineRule="atLeast"/>
    </w:pPr>
    <w:rPr>
      <w:rFonts w:ascii="方正黑体_GBK" w:eastAsia="方正黑体_GBK"/>
      <w:sz w:val="32"/>
      <w:szCs w:val="32"/>
    </w:rPr>
  </w:style>
  <w:style w:type="paragraph" w:styleId="976" w:customStyle="1">
    <w:name w:val="xl24"/>
    <w:basedOn w:val="65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7" w:customStyle="1">
    <w:name w:val="xl29"/>
    <w:basedOn w:val="65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78" w:customStyle="1">
    <w:name w:val="Char Char Char Char Char Char Char Char"/>
    <w:basedOn w:val="656"/>
    <w:uiPriority w:val="0"/>
    <w:qFormat/>
    <w:pPr>
      <w:jc w:val="left"/>
      <w:spacing w:after="160" w:line="240" w:lineRule="exact"/>
      <w:widowControl/>
    </w:pPr>
    <w:rPr>
      <w:rFonts w:ascii="Verdana" w:hAnsi="Verdana"/>
      <w:sz w:val="20"/>
      <w:szCs w:val="20"/>
      <w:lang w:eastAsia="en-US"/>
    </w:rPr>
  </w:style>
  <w:style w:type="paragraph" w:styleId="979" w:customStyle="1">
    <w:name w:val="xl28"/>
    <w:basedOn w:val="65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0" w:customStyle="1">
    <w:name w:val="Char Char Char Char Char Char Char Char1"/>
    <w:basedOn w:val="656"/>
    <w:uiPriority w:val="0"/>
    <w:qFormat/>
    <w:pPr>
      <w:jc w:val="left"/>
      <w:spacing w:after="160" w:line="240" w:lineRule="exact"/>
      <w:widowControl/>
    </w:pPr>
    <w:rPr>
      <w:rFonts w:ascii="Verdana" w:hAnsi="Verdana"/>
      <w:sz w:val="20"/>
      <w:szCs w:val="20"/>
      <w:lang w:eastAsia="en-US"/>
    </w:rPr>
  </w:style>
  <w:style w:type="paragraph" w:styleId="981" w:customStyle="1">
    <w:name w:val="xl30"/>
    <w:basedOn w:val="656"/>
    <w:uiPriority w:val="0"/>
    <w:qFormat/>
    <w:pPr>
      <w:jc w:val="center"/>
      <w:spacing w:before="100" w:beforeAutospacing="1" w:after="100" w:afterAutospacing="1"/>
      <w:widowControl/>
    </w:pPr>
    <w:rPr>
      <w:rFonts w:ascii="宋体" w:hAnsi="宋体"/>
      <w:b/>
      <w:bCs/>
      <w:sz w:val="36"/>
      <w:szCs w:val="36"/>
    </w:rPr>
  </w:style>
  <w:style w:type="paragraph" w:styleId="982" w:customStyle="1">
    <w:name w:val="Char Char Char Char1"/>
    <w:basedOn w:val="900"/>
    <w:uiPriority w:val="0"/>
    <w:qFormat/>
    <w:pPr>
      <w:spacing w:line="360" w:lineRule="auto"/>
    </w:pPr>
    <w:rPr>
      <w:rFonts w:ascii="Tahoma" w:hAnsi="Tahoma"/>
      <w:sz w:val="24"/>
      <w:szCs w:val="24"/>
    </w:rPr>
  </w:style>
  <w:style w:type="paragraph" w:styleId="983" w:customStyle="1">
    <w:name w:val="table_1stline"/>
    <w:basedOn w:val="656"/>
    <w:uiPriority w:val="0"/>
    <w:qFormat/>
    <w:pPr>
      <w:jc w:val="left"/>
      <w:spacing w:before="120"/>
      <w:widowControl/>
    </w:pPr>
    <w:rPr>
      <w:bCs/>
      <w:sz w:val="20"/>
      <w:szCs w:val="20"/>
      <w:lang w:val="de-DE" w:eastAsia="de-DE"/>
    </w:rPr>
  </w:style>
  <w:style w:type="paragraph" w:styleId="984" w:customStyle="1">
    <w:name w:val="font5"/>
    <w:basedOn w:val="656"/>
    <w:uiPriority w:val="0"/>
    <w:qFormat/>
    <w:pPr>
      <w:jc w:val="left"/>
      <w:spacing w:before="100" w:beforeAutospacing="1" w:after="100" w:afterAutospacing="1"/>
      <w:widowControl/>
    </w:pPr>
    <w:rPr>
      <w:rFonts w:hint="eastAsia" w:ascii="宋体" w:hAnsi="宋体"/>
      <w:sz w:val="28"/>
      <w:szCs w:val="28"/>
    </w:rPr>
  </w:style>
  <w:style w:type="paragraph" w:styleId="985" w:customStyle="1">
    <w:name w:val="标题1"/>
    <w:basedOn w:val="656"/>
    <w:next w:val="65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86"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987"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988" w:customStyle="1">
    <w:name w:val="Table Normal"/>
    <w:uiPriority w:val="2"/>
    <w:unhideWhenUsed/>
    <w:qFormat/>
    <w:pPr>
      <w:widowControl w:val="off"/>
    </w:pPr>
    <w:rPr>
      <w:rFonts w:ascii="Calibri" w:hAnsi="Calibri" w:eastAsia="黑体" w:cs="Tahoma"/>
      <w:sz w:val="22"/>
      <w:lang w:eastAsia="en-US"/>
    </w:rPr>
    <w:tblPr>
      <w:tblCellMar>
        <w:left w:w="0" w:type="dxa"/>
        <w:top w:w="0" w:type="dxa"/>
        <w:right w:w="0" w:type="dxa"/>
        <w:bottom w:w="0" w:type="dxa"/>
      </w:tblCellMar>
    </w:tblPr>
  </w:style>
  <w:style w:type="paragraph" w:styleId="989" w:customStyle="1">
    <w:name w:val="首行缩进"/>
    <w:basedOn w:val="656"/>
    <w:next w:val="906"/>
    <w:uiPriority w:val="0"/>
    <w:qFormat/>
    <w:pPr>
      <w:ind w:firstLine="480"/>
      <w:spacing w:line="360" w:lineRule="auto"/>
    </w:pPr>
    <w:rPr>
      <w:rFonts w:ascii="Calibri" w:hAnsi="Calibri"/>
      <w:sz w:val="24"/>
      <w:lang w:val="zh-CN"/>
    </w:rPr>
  </w:style>
  <w:style w:type="paragraph" w:styleId="990" w:customStyle="1">
    <w:name w:val="列出段落12"/>
    <w:basedOn w:val="656"/>
    <w:uiPriority w:val="34"/>
    <w:qFormat/>
    <w:pPr>
      <w:ind w:firstLine="420"/>
    </w:pPr>
    <w:rPr>
      <w:rFonts w:ascii="Calibri" w:hAnsi="Calibri"/>
    </w:rPr>
  </w:style>
  <w:style w:type="paragraph" w:styleId="991" w:customStyle="1">
    <w:name w:val="正文文本_0"/>
    <w:basedOn w:val="992"/>
    <w:uiPriority w:val="0"/>
    <w:unhideWhenUsed/>
    <w:qFormat/>
    <w:pPr>
      <w:ind w:left="72" w:right="30"/>
      <w:jc w:val="center"/>
      <w:spacing w:after="60" w:line="360" w:lineRule="atLeast"/>
    </w:pPr>
    <w:rPr>
      <w:sz w:val="20"/>
      <w:szCs w:val="20"/>
    </w:rPr>
  </w:style>
  <w:style w:type="paragraph" w:styleId="992"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993" w:customStyle="1">
    <w:name w:val="Table Paragraph"/>
    <w:basedOn w:val="656"/>
    <w:uiPriority w:val="1"/>
    <w:qFormat/>
    <w:pPr>
      <w:jc w:val="left"/>
    </w:pPr>
    <w:rPr>
      <w:sz w:val="24"/>
    </w:rPr>
  </w:style>
  <w:style w:type="character" w:styleId="994" w:customStyle="1">
    <w:name w:val="font11"/>
    <w:uiPriority w:val="0"/>
    <w:qFormat/>
    <w:rPr>
      <w:rFonts w:hint="eastAsia" w:ascii="宋体" w:hAnsi="宋体" w:eastAsia="宋体" w:cs="宋体"/>
      <w:color w:val="000000"/>
      <w:sz w:val="18"/>
      <w:szCs w:val="18"/>
      <w:u w:val="none"/>
    </w:rPr>
  </w:style>
  <w:style w:type="character" w:styleId="995" w:customStyle="1">
    <w:name w:val="NormalCharacter1"/>
    <w:uiPriority w:val="0"/>
    <w:semiHidden/>
    <w:qFormat/>
  </w:style>
  <w:style w:type="numbering" w:styleId="81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 Id="rId14"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WPS_168</dc:creator>
  <cp:lastModifiedBy>于晓丹</cp:lastModifiedBy>
  <cp:revision>13</cp:revision>
  <dcterms:created xsi:type="dcterms:W3CDTF">2023-03-16T02:16:00Z</dcterms:created>
  <dcterms:modified xsi:type="dcterms:W3CDTF">2024-06-18T02:14:50Z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2052-12.1.0.17133</vt:lpwstr>
  </property>
  <property fmtid="{D5CDD505-2E9C-101B-9397-08002B2CF9AE}" pid="3" name="ICV">
    <vt:lpwstr>540681423B4C4D50B654A923C6259A21_13</vt:lpwstr>
  </property>
</Properties>
</file>