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spacing w:before="120" w:beforeAutospacing="0" w:after="120" w:afterAutospacing="0" w:line="360" w:lineRule="auto"/>
      </w:pPr>
      <w:r>
        <w:t xml:space="preserve"> </w:t>
      </w:r>
      <w:r/>
    </w:p>
    <w:p>
      <w:pPr>
        <w:pStyle w:val="1052"/>
        <w:ind w:firstLine="84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1052"/>
        <w:ind w:firstLine="84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1052"/>
        <w:ind w:firstLine="843"/>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1052"/>
        <w:ind w:firstLine="321"/>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盐城体育运动学校厨房设备采购及安装项目</w:t>
      </w:r>
      <w:r/>
    </w:p>
    <w:p>
      <w:pPr>
        <w:pStyle w:val="1052"/>
        <w:ind w:firstLine="321"/>
        <w:jc w:val="center"/>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JSZC-320900-JSHX-G2025-0008</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spacing w:beforeAutospacing="0" w:afterAutospacing="0" w:line="360" w:lineRule="auto"/>
      </w:pPr>
      <w:r>
        <w:t xml:space="preserve"> </w:t>
      </w:r>
      <w:r/>
    </w:p>
    <w:p>
      <w:pPr>
        <w:pStyle w:val="1052"/>
        <w:ind w:firstLine="321"/>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盐城体育运动学校</w:t>
      </w:r>
      <w:r/>
    </w:p>
    <w:p>
      <w:pPr>
        <w:pStyle w:val="1052"/>
        <w:ind w:firstLine="321"/>
        <w:jc w:val="center"/>
        <w:spacing w:before="120" w:beforeAutospacing="0" w:after="120" w:afterAutospacing="0" w:line="360" w:lineRule="auto"/>
      </w:pPr>
      <w:r>
        <w:rPr>
          <w:rFonts w:ascii="Arial" w:hAnsi="Arial" w:cs="Arial"/>
          <w:b/>
          <w:color w:val="000000"/>
          <w:sz w:val="32"/>
          <w:szCs w:val="32"/>
        </w:rPr>
        <w:t xml:space="preserve">2025</w:t>
      </w:r>
      <w:r>
        <w:rPr>
          <w:rFonts w:ascii="Arial" w:hAnsi="Arial" w:cs="Arial"/>
          <w:b/>
          <w:color w:val="000000"/>
          <w:sz w:val="32"/>
          <w:szCs w:val="32"/>
        </w:rPr>
        <w:t xml:space="preserve">年</w:t>
      </w:r>
      <w:r>
        <w:rPr>
          <w:rFonts w:ascii="Arial" w:hAnsi="Arial" w:cs="Arial"/>
          <w:b/>
          <w:color w:val="000000"/>
          <w:sz w:val="32"/>
          <w:szCs w:val="32"/>
        </w:rPr>
        <w:t xml:space="preserve">9</w:t>
      </w:r>
      <w:r>
        <w:rPr>
          <w:rFonts w:ascii="Arial" w:hAnsi="Arial" w:cs="Arial"/>
          <w:b/>
          <w:color w:val="000000"/>
          <w:sz w:val="32"/>
          <w:szCs w:val="32"/>
        </w:rPr>
        <w:t xml:space="preserve">月</w:t>
      </w:r>
      <w:r/>
    </w:p>
    <w:p>
      <w:pPr>
        <w:pStyle w:val="1052"/>
        <w:spacing w:before="120" w:beforeAutospacing="0" w:after="120" w:afterAutospacing="0" w:line="360" w:lineRule="auto"/>
      </w:pPr>
      <w:r>
        <w:rPr>
          <w:rFonts w:ascii="Arial" w:hAnsi="Arial" w:cs="Arial"/>
          <w:color w:val="000000"/>
        </w:rPr>
        <w:t xml:space="preserve">                        </w:t>
      </w:r>
      <w:r/>
    </w:p>
    <w:p>
      <w:pPr>
        <w:pStyle w:val="1052"/>
        <w:jc w:val="center"/>
        <w:spacing w:before="120" w:beforeAutospacing="0" w:after="120" w:afterAutospacing="0" w:line="360" w:lineRule="auto"/>
      </w:pPr>
      <w:r>
        <w:t xml:space="preserve"> </w:t>
      </w:r>
      <w:r/>
    </w:p>
    <w:p>
      <w:pPr>
        <w:pStyle w:val="1052"/>
        <w:ind w:firstLine="21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20823272"/>
      <w:r/>
      <w:bookmarkStart w:id="2" w:name="_Toc120614210"/>
      <w:r/>
      <w:bookmarkStart w:id="3" w:name="_Toc523127445"/>
      <w:r/>
      <w:bookmarkStart w:id="4" w:name="_Toc513029200"/>
      <w:r/>
      <w:bookmarkStart w:id="5" w:name="_Toc16938516"/>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1052"/>
        <w:jc w:val="both"/>
        <w:spacing w:beforeAutospacing="0" w:afterAutospacing="0" w:line="480" w:lineRule="auto"/>
      </w:pPr>
      <w:r>
        <w:t xml:space="preserve"> </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ascii="黑体" w:hAnsi="宋体" w:eastAsia="黑体" w:cs="黑体"/>
          <w:color w:val="000000"/>
          <w:sz w:val="36"/>
          <w:szCs w:val="36"/>
        </w:rPr>
        <w:t xml:space="preserve">3</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ascii="黑体" w:hAnsi="宋体" w:eastAsia="黑体" w:cs="黑体"/>
          <w:color w:val="000000"/>
          <w:sz w:val="36"/>
          <w:szCs w:val="36"/>
        </w:rPr>
        <w:t xml:space="preserve">7</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合同条款……………………………………2</w:t>
      </w:r>
      <w:r>
        <w:rPr>
          <w:rFonts w:ascii="黑体" w:hAnsi="宋体" w:eastAsia="黑体" w:cs="黑体"/>
          <w:color w:val="000000"/>
          <w:sz w:val="36"/>
          <w:szCs w:val="36"/>
        </w:rPr>
        <w:t xml:space="preserve">2</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采购需求……………………………………4</w:t>
      </w:r>
      <w:r>
        <w:rPr>
          <w:rFonts w:ascii="黑体" w:hAnsi="宋体" w:eastAsia="黑体" w:cs="黑体"/>
          <w:color w:val="000000"/>
          <w:sz w:val="36"/>
          <w:szCs w:val="36"/>
        </w:rPr>
        <w:t xml:space="preserve">6</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评标方法与评标标准………………………9</w:t>
      </w:r>
      <w:r>
        <w:rPr>
          <w:rFonts w:ascii="黑体" w:hAnsi="宋体" w:eastAsia="黑体" w:cs="黑体"/>
          <w:color w:val="000000"/>
          <w:sz w:val="36"/>
          <w:szCs w:val="36"/>
        </w:rPr>
        <w:t xml:space="preserve">9</w:t>
      </w:r>
      <w:r/>
    </w:p>
    <w:p>
      <w:pPr>
        <w:pStyle w:val="105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投标文件格式………………………………1</w:t>
      </w:r>
      <w:r>
        <w:rPr>
          <w:rFonts w:ascii="黑体" w:hAnsi="宋体" w:eastAsia="黑体" w:cs="黑体"/>
          <w:color w:val="000000"/>
          <w:sz w:val="36"/>
          <w:szCs w:val="36"/>
        </w:rPr>
        <w:t xml:space="preserve">03</w:t>
      </w:r>
      <w:r/>
    </w:p>
    <w:p>
      <w:pPr>
        <w:pStyle w:val="1052"/>
        <w:jc w:val="both"/>
        <w:spacing w:beforeAutospacing="0" w:afterAutospacing="0"/>
      </w:pPr>
      <w:r>
        <w:t xml:space="preserve"> </w:t>
      </w:r>
      <w:r/>
    </w:p>
    <w:p>
      <w:pPr>
        <w:pStyle w:val="1052"/>
        <w:jc w:val="both"/>
        <w:spacing w:beforeAutospacing="0" w:afterAutospacing="0"/>
      </w:pPr>
      <w:r>
        <w:t xml:space="preserve"> </w:t>
      </w:r>
      <w:r/>
    </w:p>
    <w:p>
      <w:pPr>
        <w:pStyle w:val="1052"/>
        <w:jc w:val="both"/>
        <w:spacing w:beforeAutospacing="0" w:afterAutospacing="0"/>
      </w:pPr>
      <w:r>
        <w:t xml:space="preserve"> </w:t>
      </w:r>
      <w:r/>
    </w:p>
    <w:p>
      <w:pPr>
        <w:ind w:firstLine="440"/>
        <w:jc w:val="left"/>
        <w:widowControl/>
        <w:rPr>
          <w:rFonts w:ascii="黑体" w:hAnsi="宋体" w:eastAsia="黑体" w:cs="黑体"/>
          <w:color w:val="000000"/>
          <w:sz w:val="44"/>
          <w:szCs w:val="44"/>
        </w:rPr>
      </w:pPr>
      <w:r/>
      <w:bookmarkStart w:id="6" w:name="_Toc28359086"/>
      <w:r>
        <w:rPr>
          <w:rFonts w:ascii="黑体" w:hAnsi="宋体" w:eastAsia="黑体" w:cs="黑体"/>
          <w:color w:val="000000"/>
          <w:sz w:val="44"/>
          <w:szCs w:val="44"/>
        </w:rPr>
        <w:br w:type="page" w:clear="all"/>
      </w:r>
      <w:r/>
    </w:p>
    <w:p>
      <w:pPr>
        <w:pStyle w:val="1052"/>
        <w:ind w:firstLine="440"/>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1052"/>
        <w:ind w:firstLine="24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1052"/>
        <w:ind w:firstLine="24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盐城体育运动学校厨房设备采购及安装项目</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u w:val="single"/>
        </w:rPr>
        <w:t xml:space="preserve">2025</w:t>
      </w:r>
      <w:r>
        <w:rPr>
          <w:rFonts w:hint="eastAsia" w:ascii="宋体" w:hAnsi="宋体" w:eastAsia="宋体" w:cs="宋体"/>
          <w:color w:val="000000"/>
          <w:u w:val="single"/>
        </w:rPr>
        <w:t xml:space="preserve">年</w:t>
      </w:r>
      <w:r>
        <w:rPr>
          <w:rFonts w:ascii="宋体" w:hAnsi="宋体" w:eastAsia="宋体" w:cs="宋体"/>
          <w:color w:val="000000"/>
          <w:u w:val="single"/>
        </w:rPr>
        <w:t xml:space="preserve">10</w:t>
      </w:r>
      <w:r>
        <w:rPr>
          <w:rFonts w:hint="eastAsia" w:ascii="宋体" w:hAnsi="宋体" w:eastAsia="宋体" w:cs="宋体"/>
          <w:color w:val="000000"/>
          <w:u w:val="single"/>
        </w:rPr>
        <w:t xml:space="preserve">月11</w:t>
      </w:r>
      <w:r>
        <w:rPr>
          <w:rFonts w:hint="eastAsia" w:ascii="宋体" w:hAnsi="宋体" w:eastAsia="宋体" w:cs="宋体"/>
          <w:color w:val="000000"/>
          <w:u w:val="single"/>
        </w:rPr>
        <w:t xml:space="preserve">日15</w:t>
      </w:r>
      <w:r>
        <w:rPr>
          <w:rFonts w:hint="eastAsia" w:ascii="宋体" w:hAnsi="宋体" w:eastAsia="宋体" w:cs="宋体"/>
          <w:color w:val="000000"/>
          <w:u w:val="single"/>
        </w:rPr>
        <w:t xml:space="preserve">点</w:t>
      </w:r>
      <w:r>
        <w:rPr>
          <w:rFonts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1052"/>
        <w:ind w:firstLine="241"/>
        <w:jc w:val="both"/>
        <w:keepLines/>
        <w:keepNext/>
        <w:spacing w:before="145" w:beforeAutospacing="0" w:after="145" w:afterAutospacing="0" w:line="360" w:lineRule="auto"/>
        <w:rPr>
          <w:rFonts w:ascii="宋体" w:hAnsi="宋体" w:eastAsia="宋体" w:cs="宋体"/>
        </w:rPr>
      </w:pPr>
      <w:r/>
      <w:bookmarkStart w:id="7" w:name="_Toc28359002"/>
      <w:r/>
      <w:bookmarkStart w:id="8" w:name="_Toc28359079"/>
      <w:r/>
      <w:bookmarkStart w:id="9" w:name="_Toc35393790"/>
      <w:r/>
      <w:bookmarkStart w:id="10" w:name="_Hlk24379207"/>
      <w:r/>
      <w:bookmarkStart w:id="11" w:name="_Toc35393621"/>
      <w:r/>
      <w:bookmarkStart w:id="12" w:name="_Toc38985263"/>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1052"/>
        <w:ind w:firstLine="240"/>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JSZC-320900-JSHX-G2025-0008</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2.项目名称：盐城体育运动学校厨房设备采购及安装项目</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4.预算金额：1</w:t>
      </w:r>
      <w:r>
        <w:rPr>
          <w:rFonts w:ascii="宋体" w:hAnsi="宋体" w:eastAsia="宋体" w:cs="宋体"/>
          <w:color w:val="000000"/>
        </w:rPr>
        <w:t xml:space="preserve">80</w:t>
      </w:r>
      <w:r>
        <w:rPr>
          <w:rFonts w:hint="eastAsia" w:ascii="宋体" w:hAnsi="宋体" w:eastAsia="宋体" w:cs="宋体"/>
          <w:color w:val="000000"/>
        </w:rPr>
        <w:t xml:space="preserve">万元</w:t>
      </w:r>
      <w:r/>
    </w:p>
    <w:p>
      <w:pPr>
        <w:pStyle w:val="1052"/>
        <w:ind w:firstLine="240"/>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w:t>
      </w:r>
      <w:r>
        <w:rPr>
          <w:rFonts w:hint="eastAsia" w:ascii="宋体" w:hAnsi="宋体" w:eastAsia="宋体" w:cs="宋体"/>
          <w:color w:val="000000"/>
        </w:rPr>
        <w:t xml:space="preserve">1</w:t>
      </w:r>
      <w:r>
        <w:rPr>
          <w:rFonts w:ascii="宋体" w:hAnsi="宋体" w:eastAsia="宋体" w:cs="宋体"/>
          <w:color w:val="000000"/>
        </w:rPr>
        <w:t xml:space="preserve">80</w:t>
      </w:r>
      <w:r>
        <w:rPr>
          <w:rFonts w:hint="eastAsia" w:ascii="宋体" w:hAnsi="宋体" w:eastAsia="宋体" w:cs="宋体"/>
          <w:color w:val="000000"/>
        </w:rPr>
        <w:t xml:space="preserve">万元</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6.采购需求（简介）：盐城体育运动学校厨房设备采购及安装，详细内容详见项目需求</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7.合同履行期限：合同签订后</w:t>
      </w:r>
      <w:r>
        <w:rPr>
          <w:rFonts w:ascii="宋体" w:hAnsi="宋体" w:eastAsia="宋体" w:cs="宋体"/>
          <w:color w:val="000000"/>
        </w:rPr>
        <w:t xml:space="preserve">40</w:t>
      </w:r>
      <w:r>
        <w:rPr>
          <w:rFonts w:hint="eastAsia" w:ascii="宋体" w:hAnsi="宋体" w:eastAsia="宋体" w:cs="宋体"/>
          <w:color w:val="000000"/>
        </w:rPr>
        <w:t xml:space="preserve">天内完成供货（安装、调试）并交付使用。</w:t>
      </w:r>
      <w:r/>
    </w:p>
    <w:p>
      <w:pPr>
        <w:pStyle w:val="1052"/>
        <w:ind w:firstLine="240"/>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8.本项目（</w:t>
      </w:r>
      <w:r>
        <w:rPr>
          <w:rFonts w:hint="eastAsia" w:ascii="宋体" w:hAnsi="宋体" w:eastAsia="宋体" w:cs="宋体"/>
          <w:i/>
          <w:iCs/>
          <w:color w:val="333333"/>
          <w:shd w:val="clear" w:color="auto" w:fill="ffffff"/>
        </w:rPr>
        <w:t xml:space="preserve">是/否</w:t>
      </w:r>
      <w:r>
        <w:rPr>
          <w:rFonts w:hint="eastAsia" w:ascii="宋体" w:hAnsi="宋体" w:eastAsia="宋体" w:cs="宋体"/>
          <w:color w:val="333333"/>
          <w:shd w:val="clear" w:color="auto" w:fill="ffffff"/>
        </w:rPr>
        <w:t xml:space="preserve">）接受联合体</w:t>
      </w:r>
      <w:r>
        <w:rPr>
          <w:rFonts w:hint="eastAsia" w:ascii="宋体" w:hAnsi="宋体" w:eastAsia="宋体" w:cs="宋体"/>
          <w:color w:val="000000"/>
        </w:rPr>
        <w:t xml:space="preserve">参与招标：否</w:t>
      </w:r>
      <w:r/>
    </w:p>
    <w:p>
      <w:pPr>
        <w:pStyle w:val="1052"/>
        <w:ind w:firstLine="241"/>
        <w:jc w:val="both"/>
        <w:keepLines/>
        <w:keepNext/>
        <w:spacing w:before="145" w:beforeAutospacing="0" w:after="145" w:afterAutospacing="0" w:line="360" w:lineRule="auto"/>
        <w:rPr>
          <w:rFonts w:ascii="宋体" w:hAnsi="宋体" w:eastAsia="宋体" w:cs="宋体"/>
        </w:rPr>
      </w:pPr>
      <w:r/>
      <w:bookmarkStart w:id="13" w:name="_Toc28359080"/>
      <w:r/>
      <w:bookmarkStart w:id="14" w:name="_Toc38985264"/>
      <w:r/>
      <w:bookmarkStart w:id="15" w:name="_Toc35393622"/>
      <w:r/>
      <w:bookmarkStart w:id="16" w:name="_Toc28359003"/>
      <w:r/>
      <w:bookmarkStart w:id="17" w:name="_Toc35393791"/>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落实政府采购政策需满足的资格要求：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投标人根据采购文件要求提供《中小企业声明函》。</w:t>
      </w:r>
      <w:r/>
    </w:p>
    <w:p>
      <w:pPr>
        <w:pStyle w:val="1052"/>
        <w:ind w:firstLine="24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000000"/>
        </w:rPr>
        <w:t xml:space="preserve">3.本项目的特定资格要求：无</w:t>
      </w:r>
      <w:r/>
    </w:p>
    <w:p>
      <w:pPr>
        <w:pStyle w:val="1052"/>
        <w:ind w:firstLine="241"/>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bookmarkStart w:id="18" w:name="_Toc35393793"/>
      <w:r/>
      <w:bookmarkStart w:id="19" w:name="_Toc28359005"/>
      <w:r/>
      <w:bookmarkStart w:id="20" w:name="_Toc35393624"/>
      <w:r/>
      <w:bookmarkStart w:id="21" w:name="_Toc28359082"/>
      <w:r/>
      <w:bookmarkStart w:id="22" w:name="_Toc38985266"/>
      <w:r>
        <w:rPr>
          <w:rFonts w:hint="eastAsia" w:ascii="宋体" w:hAnsi="宋体" w:eastAsia="宋体" w:cs="宋体"/>
          <w:color w:val="000000"/>
        </w:rPr>
        <w:t xml:space="preserve">1.时间：</w:t>
      </w:r>
      <w:bookmarkEnd w:id="18"/>
      <w:r/>
      <w:bookmarkEnd w:id="19"/>
      <w:r/>
      <w:bookmarkEnd w:id="20"/>
      <w:r/>
      <w:bookmarkEnd w:id="21"/>
      <w:r/>
      <w:bookmarkEnd w:id="22"/>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1052"/>
        <w:ind w:firstLine="241"/>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1052"/>
        <w:ind w:firstLine="2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ascii="宋体" w:hAnsi="宋体" w:eastAsia="宋体" w:cs="宋体"/>
          <w:color w:val="333333"/>
          <w:u w:val="single"/>
        </w:rPr>
        <w:t xml:space="preserve">2025</w:t>
      </w:r>
      <w:r>
        <w:rPr>
          <w:rFonts w:hint="eastAsia" w:ascii="宋体" w:hAnsi="宋体" w:eastAsia="宋体" w:cs="宋体"/>
          <w:color w:val="333333"/>
          <w:u w:val="single"/>
        </w:rPr>
        <w:t xml:space="preserve">年10月11日15：0</w:t>
      </w:r>
      <w:r>
        <w:rPr>
          <w:rFonts w:ascii="宋体" w:hAnsi="宋体" w:eastAsia="宋体" w:cs="宋体"/>
          <w:color w:val="333333"/>
          <w:u w:val="single"/>
        </w:rPr>
        <w:t xml:space="preserve">0</w:t>
      </w:r>
      <w:r>
        <w:rPr>
          <w:rFonts w:hint="eastAsia" w:ascii="宋体" w:hAnsi="宋体" w:eastAsia="宋体" w:cs="宋体"/>
          <w:color w:val="000000"/>
        </w:rPr>
        <w:t xml:space="preserve">（北京时间）。</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2.地点：苏采云“不见面”开标大厅 。</w:t>
      </w:r>
      <w:r/>
    </w:p>
    <w:p>
      <w:pPr>
        <w:pStyle w:val="1052"/>
        <w:ind w:firstLine="241"/>
        <w:jc w:val="both"/>
        <w:keepLines/>
        <w:keepNext/>
        <w:spacing w:before="145" w:beforeAutospacing="0" w:after="145" w:afterAutospacing="0" w:line="360" w:lineRule="auto"/>
        <w:rPr>
          <w:rFonts w:ascii="宋体" w:hAnsi="宋体" w:eastAsia="宋体" w:cs="宋体"/>
        </w:rPr>
      </w:pPr>
      <w:r/>
      <w:bookmarkStart w:id="23" w:name="_Toc35393625"/>
      <w:r/>
      <w:bookmarkStart w:id="24" w:name="_Toc38985267"/>
      <w:r/>
      <w:bookmarkStart w:id="25" w:name="_Toc28359084"/>
      <w:r/>
      <w:bookmarkStart w:id="26" w:name="_Toc35393794"/>
      <w:r/>
      <w:bookmarkStart w:id="27" w:name="_Toc28359007"/>
      <w:r>
        <w:rPr>
          <w:rFonts w:hint="eastAsia" w:ascii="宋体" w:hAnsi="宋体" w:eastAsia="宋体" w:cs="宋体"/>
          <w:b/>
          <w:color w:val="000000"/>
        </w:rPr>
        <w:t xml:space="preserve">五、公告期限</w:t>
      </w:r>
      <w:bookmarkEnd w:id="23"/>
      <w:r/>
      <w:bookmarkEnd w:id="24"/>
      <w:r/>
      <w:bookmarkEnd w:id="25"/>
      <w:r/>
      <w:bookmarkEnd w:id="26"/>
      <w:r/>
      <w:bookmarkEnd w:id="27"/>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28" w:name="_Toc38985268"/>
      <w:r/>
      <w:bookmarkStart w:id="29" w:name="_Toc35393626"/>
      <w:r/>
      <w:bookmarkStart w:id="30" w:name="_Toc35393795"/>
      <w:r>
        <w:rPr>
          <w:rFonts w:hint="eastAsia" w:ascii="宋体" w:hAnsi="宋体" w:eastAsia="宋体" w:cs="宋体"/>
          <w:color w:val="333333"/>
          <w:shd w:val="clear" w:color="auto" w:fill="ffffff"/>
        </w:rPr>
        <w:t xml:space="preserve">自本公告发布之日起5个工作日。</w:t>
      </w:r>
      <w:bookmarkEnd w:id="28"/>
      <w:r/>
      <w:bookmarkEnd w:id="29"/>
      <w:r/>
      <w:bookmarkEnd w:id="30"/>
      <w:r/>
      <w:r/>
    </w:p>
    <w:p>
      <w:pPr>
        <w:pStyle w:val="1052"/>
        <w:ind w:firstLine="241"/>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1"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1052"/>
        <w:ind w:firstLine="2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3.有关本次招标的事项若存在变动或修改，敬请及时关注采购代理机构在“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57"/>
        <w:ind w:firstLine="480"/>
        <w:jc w:val="both"/>
        <w:spacing w:beforeAutospacing="0" w:afterAutospacing="0" w:line="360" w:lineRule="auto"/>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1"/>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000000"/>
        </w:rPr>
        <w:t xml:space="preserve">  </w:t>
      </w:r>
      <w:r>
        <w:rPr>
          <w:rFonts w:hint="eastAsia" w:ascii="宋体" w:hAnsi="宋体" w:eastAsia="宋体" w:cs="宋体"/>
          <w:color w:val="333333"/>
          <w:shd w:val="clear" w:color="auto" w:fill="ffffff"/>
        </w:rPr>
        <w:t xml:space="preserve">1.采购人信息</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称：盐城体育运动学校</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地址：盐城市大丰区丰华北路12号 </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联系人：吴先生</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18962088586</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称：江苏和信工程咨询有限公司</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址：盐城市亭湖区长亭路3号长亭商厦1号楼南楼6</w:t>
      </w:r>
      <w:r>
        <w:rPr>
          <w:rFonts w:ascii="宋体" w:hAnsi="宋体" w:eastAsia="宋体" w:cs="宋体"/>
          <w:color w:val="333333"/>
          <w:shd w:val="clear" w:color="auto" w:fill="ffffff"/>
        </w:rPr>
        <w:t xml:space="preserve">01</w:t>
      </w:r>
      <w:r>
        <w:rPr>
          <w:rFonts w:hint="eastAsia" w:ascii="宋体" w:hAnsi="宋体" w:eastAsia="宋体" w:cs="宋体"/>
          <w:color w:val="333333"/>
          <w:shd w:val="clear" w:color="auto" w:fill="ffffff"/>
        </w:rPr>
        <w:t xml:space="preserve">室</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联系人：陈先生</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15905100092</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2" w:name="_Toc28359021"/>
      <w:r>
        <w:rPr>
          <w:rFonts w:hint="eastAsia" w:ascii="宋体" w:hAnsi="宋体" w:eastAsia="宋体" w:cs="宋体"/>
          <w:color w:val="333333"/>
          <w:shd w:val="clear" w:color="auto" w:fill="ffffff"/>
        </w:rPr>
        <w:t xml:space="preserve">3.</w:t>
      </w:r>
      <w:bookmarkEnd w:id="32"/>
      <w:r>
        <w:rPr>
          <w:rFonts w:hint="eastAsia" w:ascii="宋体" w:hAnsi="宋体" w:eastAsia="宋体" w:cs="宋体"/>
          <w:color w:val="333333"/>
          <w:shd w:val="clear" w:color="auto" w:fill="ffffff"/>
        </w:rPr>
        <w:t xml:space="preserve">项目联系方式</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项目联系人：陈先生</w:t>
      </w:r>
      <w:r/>
    </w:p>
    <w:p>
      <w:pPr>
        <w:pStyle w:val="1052"/>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话：1</w:t>
      </w:r>
      <w:r>
        <w:rPr>
          <w:rFonts w:ascii="宋体" w:hAnsi="宋体" w:eastAsia="宋体" w:cs="宋体"/>
          <w:color w:val="333333"/>
          <w:shd w:val="clear" w:color="auto" w:fill="ffffff"/>
        </w:rPr>
        <w:t xml:space="preserve">5905100092</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33" w:name="_Toc120614211"/>
      <w:r/>
      <w:r/>
    </w:p>
    <w:p>
      <w:pPr>
        <w:pStyle w:val="1052"/>
        <w:ind w:firstLine="442"/>
        <w:jc w:val="center"/>
        <w:keepLines/>
        <w:keepNext/>
        <w:spacing w:before="260"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4" w:name="_Toc120614213"/>
      <w:r/>
      <w:bookmarkStart w:id="35" w:name="_Toc20823274"/>
      <w:r/>
      <w:bookmarkStart w:id="36" w:name="_Toc513029202"/>
      <w:r/>
      <w:bookmarkStart w:id="37" w:name="_Toc16938518"/>
      <w:r/>
      <w:bookmarkEnd w:id="33"/>
      <w:r>
        <w:rPr>
          <w:rFonts w:hint="eastAsia" w:ascii="黑体" w:hAnsi="宋体" w:eastAsia="黑体" w:cs="黑体"/>
          <w:b/>
          <w:color w:val="000000"/>
          <w:sz w:val="44"/>
          <w:szCs w:val="44"/>
        </w:rPr>
        <w:t xml:space="preserve">投标人须知</w:t>
      </w:r>
      <w:bookmarkEnd w:id="34"/>
      <w:r/>
      <w:bookmarkEnd w:id="35"/>
      <w:r/>
      <w:bookmarkEnd w:id="36"/>
      <w:r/>
      <w:bookmarkEnd w:id="37"/>
      <w:r/>
      <w:r/>
    </w:p>
    <w:p>
      <w:pPr>
        <w:pStyle w:val="1052"/>
        <w:ind w:firstLine="241"/>
        <w:jc w:val="both"/>
        <w:keepLines/>
        <w:keepNext/>
        <w:spacing w:before="145" w:beforeAutospacing="0" w:after="145" w:afterAutospacing="0" w:line="360" w:lineRule="auto"/>
        <w:rPr>
          <w:rFonts w:ascii="宋体" w:hAnsi="宋体" w:eastAsia="宋体" w:cs="宋体"/>
        </w:rPr>
      </w:pPr>
      <w:r/>
      <w:bookmarkStart w:id="38" w:name="_Toc16938519"/>
      <w:r/>
      <w:bookmarkStart w:id="39" w:name="_Toc120614214"/>
      <w:r/>
      <w:bookmarkStart w:id="40" w:name="_Toc20823275"/>
      <w:r/>
      <w:bookmarkStart w:id="41" w:name="_Toc513029203"/>
      <w:r>
        <w:rPr>
          <w:rFonts w:hint="eastAsia" w:ascii="宋体" w:hAnsi="宋体" w:eastAsia="宋体" w:cs="宋体"/>
          <w:b/>
          <w:color w:val="000000"/>
        </w:rPr>
        <w:t xml:space="preserve">一、总则</w:t>
      </w:r>
      <w:bookmarkEnd w:id="38"/>
      <w:r/>
      <w:bookmarkEnd w:id="39"/>
      <w:r/>
      <w:bookmarkEnd w:id="40"/>
      <w:r/>
      <w:bookmarkEnd w:id="41"/>
      <w:r/>
      <w:r/>
    </w:p>
    <w:p>
      <w:pPr>
        <w:pStyle w:val="1052"/>
        <w:ind w:firstLine="240"/>
        <w:jc w:val="both"/>
        <w:keepLines/>
        <w:keepNext/>
        <w:spacing w:beforeAutospacing="0" w:afterAutospacing="0" w:line="360" w:lineRule="auto"/>
        <w:rPr>
          <w:rFonts w:ascii="宋体" w:hAnsi="宋体" w:eastAsia="宋体" w:cs="宋体"/>
        </w:rPr>
      </w:pPr>
      <w:r/>
      <w:bookmarkStart w:id="42" w:name="_Toc20823276"/>
      <w:r/>
      <w:bookmarkStart w:id="43" w:name="_Toc513029204"/>
      <w:r/>
      <w:bookmarkStart w:id="44" w:name="_Toc458694821"/>
      <w:r/>
      <w:bookmarkStart w:id="45" w:name="_Toc16938520"/>
      <w:r/>
      <w:bookmarkStart w:id="46" w:name="_Hlt16619475"/>
      <w:r>
        <w:rPr>
          <w:rFonts w:hint="eastAsia" w:ascii="宋体" w:hAnsi="宋体" w:eastAsia="宋体" w:cs="宋体"/>
          <w:color w:val="000000"/>
        </w:rPr>
        <w:t xml:space="preserve">1</w:t>
      </w:r>
      <w:bookmarkEnd w:id="42"/>
      <w:r>
        <w:rPr>
          <w:rFonts w:hint="eastAsia" w:ascii="宋体" w:hAnsi="宋体" w:eastAsia="宋体" w:cs="宋体"/>
          <w:color w:val="000000"/>
        </w:rPr>
        <w:t xml:space="preserve">、招标方式</w:t>
      </w:r>
      <w:bookmarkEnd w:id="43"/>
      <w:r/>
      <w:bookmarkEnd w:id="44"/>
      <w:r/>
      <w:bookmarkEnd w:id="45"/>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1052"/>
        <w:ind w:firstLine="240"/>
        <w:jc w:val="both"/>
        <w:keepLines/>
        <w:keepNext/>
        <w:spacing w:beforeAutospacing="0" w:afterAutospacing="0" w:line="360" w:lineRule="auto"/>
        <w:rPr>
          <w:rFonts w:ascii="宋体" w:hAnsi="宋体" w:eastAsia="宋体" w:cs="宋体"/>
        </w:rPr>
      </w:pPr>
      <w:r/>
      <w:bookmarkStart w:id="47" w:name="_Toc16938521"/>
      <w:r/>
      <w:bookmarkStart w:id="48" w:name="_Toc20823277"/>
      <w:r/>
      <w:bookmarkStart w:id="49" w:name="_Toc513029205"/>
      <w:r>
        <w:rPr>
          <w:rFonts w:hint="eastAsia" w:ascii="宋体" w:hAnsi="宋体" w:eastAsia="宋体" w:cs="宋体"/>
          <w:color w:val="000000"/>
        </w:rPr>
        <w:t xml:space="preserve">2、合格的投标人</w:t>
      </w:r>
      <w:bookmarkEnd w:id="47"/>
      <w:r/>
      <w:bookmarkEnd w:id="48"/>
      <w:r/>
      <w:bookmarkEnd w:id="49"/>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pStyle w:val="1052"/>
        <w:ind w:firstLine="240"/>
        <w:jc w:val="both"/>
        <w:keepLines/>
        <w:keepNext/>
        <w:spacing w:beforeAutospacing="0" w:afterAutospacing="0" w:line="360" w:lineRule="auto"/>
        <w:rPr>
          <w:rFonts w:ascii="宋体" w:hAnsi="宋体" w:eastAsia="宋体" w:cs="宋体"/>
        </w:rPr>
      </w:pPr>
      <w:r/>
      <w:bookmarkStart w:id="50" w:name="_Toc20823278"/>
      <w:r/>
      <w:bookmarkStart w:id="51" w:name="_Toc16938522"/>
      <w:r/>
      <w:bookmarkStart w:id="52" w:name="_Toc513029206"/>
      <w:r>
        <w:rPr>
          <w:rFonts w:hint="eastAsia" w:ascii="宋体" w:hAnsi="宋体" w:eastAsia="宋体" w:cs="宋体"/>
          <w:color w:val="000000"/>
        </w:rPr>
        <w:t xml:space="preserve">3、适用法律</w:t>
      </w:r>
      <w:bookmarkEnd w:id="50"/>
      <w:r/>
      <w:bookmarkEnd w:id="51"/>
      <w:r/>
      <w:bookmarkEnd w:id="52"/>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1052"/>
        <w:ind w:firstLine="240"/>
        <w:jc w:val="both"/>
        <w:keepLines/>
        <w:keepNext/>
        <w:spacing w:beforeAutospacing="0" w:afterAutospacing="0" w:line="360" w:lineRule="auto"/>
        <w:rPr>
          <w:rFonts w:ascii="宋体" w:hAnsi="宋体" w:eastAsia="宋体" w:cs="宋体"/>
        </w:rPr>
      </w:pPr>
      <w:r/>
      <w:bookmarkStart w:id="53" w:name="_Toc462564067"/>
      <w:r/>
      <w:bookmarkStart w:id="54" w:name="_Toc16938523"/>
      <w:r/>
      <w:bookmarkStart w:id="55" w:name="_Toc513029207"/>
      <w:r/>
      <w:bookmarkStart w:id="56" w:name="_Toc20823279"/>
      <w:r>
        <w:rPr>
          <w:rFonts w:hint="eastAsia" w:ascii="宋体" w:hAnsi="宋体" w:eastAsia="宋体" w:cs="宋体"/>
          <w:color w:val="000000"/>
        </w:rPr>
        <w:t xml:space="preserve">4、投标费用</w:t>
      </w:r>
      <w:bookmarkEnd w:id="53"/>
      <w:r/>
      <w:bookmarkEnd w:id="54"/>
      <w:r/>
      <w:bookmarkEnd w:id="55"/>
      <w:r/>
      <w:bookmarkEnd w:id="56"/>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盐城体育运动学校（以下简称采购人）和江苏和信工程咨询有限公司（以下简称采购代理机构）在任何情况下均无义务和责任承担这些费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w:t>
      </w:r>
      <w:r>
        <w:rPr>
          <w:rFonts w:hint="eastAsia" w:ascii="宋体" w:hAnsi="宋体" w:eastAsia="宋体" w:cs="宋体"/>
          <w:color w:val="000000"/>
        </w:rPr>
        <w:t xml:space="preserve">本项目的招标代理费由采购人承担，招标代理费按招标代理合同签订金额（1</w:t>
      </w:r>
      <w:r>
        <w:rPr>
          <w:rFonts w:ascii="宋体" w:hAnsi="宋体" w:eastAsia="宋体" w:cs="宋体"/>
          <w:color w:val="000000"/>
        </w:rPr>
        <w:t xml:space="preserve">0000</w:t>
      </w:r>
      <w:r>
        <w:rPr>
          <w:rFonts w:hint="eastAsia" w:ascii="宋体" w:hAnsi="宋体" w:eastAsia="宋体" w:cs="宋体"/>
          <w:color w:val="000000"/>
        </w:rPr>
        <w:t xml:space="preserve">元）计取</w:t>
      </w:r>
      <w:r>
        <w:rPr>
          <w:rFonts w:hint="eastAsia" w:ascii="宋体" w:hAnsi="宋体" w:eastAsia="宋体" w:cs="宋体"/>
          <w:color w:val="000000"/>
        </w:rPr>
        <w:t xml:space="preserve">。</w:t>
      </w:r>
      <w:r/>
    </w:p>
    <w:p>
      <w:pPr>
        <w:pStyle w:val="1052"/>
        <w:ind w:firstLine="241"/>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1052"/>
        <w:ind w:firstLine="241"/>
        <w:jc w:val="both"/>
        <w:keepLines/>
        <w:keepNext/>
        <w:spacing w:before="145" w:beforeAutospacing="0" w:after="145" w:afterAutospacing="0" w:line="360" w:lineRule="auto"/>
        <w:rPr>
          <w:rFonts w:ascii="宋体" w:hAnsi="宋体" w:eastAsia="宋体" w:cs="宋体"/>
        </w:rPr>
      </w:pPr>
      <w:r/>
      <w:bookmarkStart w:id="57" w:name="_Toc513029209"/>
      <w:r/>
      <w:bookmarkStart w:id="58" w:name="_Toc120614215"/>
      <w:r/>
      <w:bookmarkStart w:id="59" w:name="_Toc20823281"/>
      <w:r/>
      <w:bookmarkStart w:id="60" w:name="_Toc16938525"/>
      <w:r>
        <w:rPr>
          <w:rFonts w:hint="eastAsia" w:ascii="宋体" w:hAnsi="宋体" w:eastAsia="宋体" w:cs="宋体"/>
          <w:b/>
          <w:color w:val="000000"/>
        </w:rPr>
        <w:t xml:space="preserve">二、招标文件</w:t>
      </w:r>
      <w:bookmarkEnd w:id="57"/>
      <w:r/>
      <w:bookmarkEnd w:id="58"/>
      <w:r/>
      <w:bookmarkEnd w:id="59"/>
      <w:r/>
      <w:bookmarkEnd w:id="60"/>
      <w:r/>
      <w:r/>
    </w:p>
    <w:p>
      <w:pPr>
        <w:pStyle w:val="1052"/>
        <w:ind w:firstLine="240"/>
        <w:jc w:val="both"/>
        <w:keepLines/>
        <w:keepNext/>
        <w:spacing w:beforeAutospacing="0" w:afterAutospacing="0" w:line="360" w:lineRule="auto"/>
        <w:rPr>
          <w:rFonts w:ascii="宋体" w:hAnsi="宋体" w:eastAsia="宋体" w:cs="宋体"/>
        </w:rPr>
      </w:pPr>
      <w:r/>
      <w:bookmarkStart w:id="61" w:name="_Toc513029210"/>
      <w:r/>
      <w:bookmarkStart w:id="62" w:name="_Toc16938526"/>
      <w:r/>
      <w:bookmarkStart w:id="63" w:name="_Toc20823282"/>
      <w:r>
        <w:rPr>
          <w:rFonts w:hint="eastAsia" w:ascii="宋体" w:hAnsi="宋体" w:eastAsia="宋体" w:cs="宋体"/>
          <w:color w:val="000000"/>
        </w:rPr>
        <w:t xml:space="preserve">6、招标文件构成</w:t>
      </w:r>
      <w:bookmarkEnd w:id="61"/>
      <w:r/>
      <w:bookmarkEnd w:id="62"/>
      <w:r/>
      <w:bookmarkEnd w:id="63"/>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1052"/>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2"/>
        <w:ind w:firstLine="240"/>
        <w:jc w:val="both"/>
        <w:keepLines/>
        <w:keepNext/>
        <w:spacing w:beforeAutospacing="0" w:afterAutospacing="0" w:line="360" w:lineRule="auto"/>
        <w:rPr>
          <w:rFonts w:ascii="宋体" w:hAnsi="宋体" w:eastAsia="宋体" w:cs="宋体"/>
        </w:rPr>
      </w:pPr>
      <w:r/>
      <w:bookmarkStart w:id="64" w:name="_Toc462564070"/>
      <w:r/>
      <w:bookmarkStart w:id="65" w:name="_Toc20823283"/>
      <w:r/>
      <w:bookmarkStart w:id="66" w:name="_Toc513029211"/>
      <w:r/>
      <w:bookmarkStart w:id="67" w:name="_Toc16938527"/>
      <w:r>
        <w:rPr>
          <w:rFonts w:hint="eastAsia" w:ascii="宋体" w:hAnsi="宋体" w:eastAsia="宋体" w:cs="宋体"/>
          <w:color w:val="000000"/>
        </w:rPr>
        <w:t xml:space="preserve">7、招标文件的澄清</w:t>
      </w:r>
      <w:bookmarkEnd w:id="64"/>
      <w:r/>
      <w:bookmarkEnd w:id="65"/>
      <w:r/>
      <w:bookmarkEnd w:id="66"/>
      <w:r/>
      <w:bookmarkEnd w:id="67"/>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前按招标公告中的通讯地址，以书面形式通知采购代理机构。</w:t>
      </w:r>
      <w:r/>
    </w:p>
    <w:p>
      <w:pPr>
        <w:pStyle w:val="1052"/>
        <w:ind w:firstLine="240"/>
        <w:jc w:val="both"/>
        <w:keepLines/>
        <w:keepNext/>
        <w:spacing w:beforeAutospacing="0" w:afterAutospacing="0" w:line="360" w:lineRule="auto"/>
        <w:rPr>
          <w:rFonts w:ascii="宋体" w:hAnsi="宋体" w:eastAsia="宋体" w:cs="宋体"/>
        </w:rPr>
      </w:pPr>
      <w:r/>
      <w:bookmarkStart w:id="68" w:name="_Toc16938528"/>
      <w:r/>
      <w:bookmarkStart w:id="69" w:name="_Toc20823284"/>
      <w:r/>
      <w:bookmarkStart w:id="70" w:name="_Toc462564071"/>
      <w:r/>
      <w:bookmarkStart w:id="71" w:name="_Toc513029212"/>
      <w:r>
        <w:rPr>
          <w:rFonts w:hint="eastAsia" w:ascii="宋体" w:hAnsi="宋体" w:eastAsia="宋体" w:cs="宋体"/>
          <w:color w:val="000000"/>
        </w:rPr>
        <w:t xml:space="preserve">8、招标文件的修改</w:t>
      </w:r>
      <w:bookmarkEnd w:id="68"/>
      <w:r/>
      <w:bookmarkEnd w:id="69"/>
      <w:r/>
      <w:bookmarkEnd w:id="70"/>
      <w:r/>
      <w:bookmarkEnd w:id="71"/>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在投标截止时间前，采购人和采购代理机构可以对招标文件进行修改。</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采购人有权按照法定的要求推迟投标截止日期和开标日期。</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1052"/>
        <w:ind w:firstLine="241"/>
        <w:jc w:val="both"/>
        <w:keepLines/>
        <w:keepNext/>
        <w:spacing w:before="145" w:beforeAutospacing="0" w:after="145" w:afterAutospacing="0" w:line="360" w:lineRule="auto"/>
        <w:rPr>
          <w:rFonts w:ascii="宋体" w:hAnsi="宋体" w:eastAsia="宋体" w:cs="宋体"/>
        </w:rPr>
      </w:pPr>
      <w:r/>
      <w:bookmarkStart w:id="72" w:name="_Toc120614216"/>
      <w:r/>
      <w:bookmarkStart w:id="73" w:name="_Toc20823285"/>
      <w:r/>
      <w:bookmarkStart w:id="74" w:name="_Toc462564072"/>
      <w:r/>
      <w:bookmarkStart w:id="75" w:name="_Toc16938529"/>
      <w:r/>
      <w:bookmarkStart w:id="76" w:name="_Toc513029213"/>
      <w:r>
        <w:rPr>
          <w:rFonts w:hint="eastAsia" w:ascii="宋体" w:hAnsi="宋体" w:eastAsia="宋体" w:cs="宋体"/>
          <w:b/>
          <w:color w:val="000000"/>
        </w:rPr>
        <w:t xml:space="preserve">三、投标文件的编制</w:t>
      </w:r>
      <w:bookmarkEnd w:id="72"/>
      <w:r/>
      <w:bookmarkEnd w:id="73"/>
      <w:r/>
      <w:bookmarkEnd w:id="74"/>
      <w:r/>
      <w:bookmarkEnd w:id="75"/>
      <w:r/>
      <w:bookmarkEnd w:id="76"/>
      <w:r/>
      <w:r/>
    </w:p>
    <w:p>
      <w:pPr>
        <w:pStyle w:val="1052"/>
        <w:ind w:firstLine="240"/>
        <w:jc w:val="both"/>
        <w:keepLines/>
        <w:keepNext/>
        <w:spacing w:beforeAutospacing="0" w:afterAutospacing="0" w:line="360" w:lineRule="auto"/>
        <w:rPr>
          <w:rFonts w:ascii="宋体" w:hAnsi="宋体" w:eastAsia="宋体" w:cs="宋体"/>
        </w:rPr>
      </w:pPr>
      <w:r/>
      <w:bookmarkStart w:id="77" w:name="_Toc513029214"/>
      <w:r/>
      <w:bookmarkStart w:id="78" w:name="_Toc16938530"/>
      <w:r/>
      <w:bookmarkStart w:id="79" w:name="_Toc462564073"/>
      <w:r/>
      <w:bookmarkStart w:id="80" w:name="_Toc20823286"/>
      <w:r>
        <w:rPr>
          <w:rFonts w:hint="eastAsia" w:ascii="宋体" w:hAnsi="宋体" w:eastAsia="宋体" w:cs="宋体"/>
          <w:color w:val="000000"/>
        </w:rPr>
        <w:t xml:space="preserve">9、投标文件的语言及度量衡单位</w:t>
      </w:r>
      <w:bookmarkEnd w:id="77"/>
      <w:r/>
      <w:bookmarkEnd w:id="78"/>
      <w:r/>
      <w:bookmarkEnd w:id="79"/>
      <w:r/>
      <w:bookmarkEnd w:id="80"/>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1052"/>
        <w:ind w:firstLine="240"/>
        <w:jc w:val="both"/>
        <w:keepLines/>
        <w:keepNext/>
        <w:spacing w:beforeAutospacing="0" w:afterAutospacing="0" w:line="360" w:lineRule="auto"/>
        <w:rPr>
          <w:rFonts w:ascii="宋体" w:hAnsi="宋体" w:eastAsia="宋体" w:cs="宋体"/>
        </w:rPr>
      </w:pPr>
      <w:r/>
      <w:bookmarkStart w:id="81" w:name="_Toc513029215"/>
      <w:r/>
      <w:bookmarkStart w:id="82" w:name="_Toc20823287"/>
      <w:r/>
      <w:bookmarkStart w:id="83" w:name="_Toc462564074"/>
      <w:r/>
      <w:bookmarkStart w:id="84" w:name="_Toc16938531"/>
      <w:r>
        <w:rPr>
          <w:rFonts w:hint="eastAsia" w:ascii="宋体" w:hAnsi="宋体" w:eastAsia="宋体" w:cs="宋体"/>
          <w:color w:val="000000"/>
        </w:rPr>
        <w:t xml:space="preserve">10、投标文件构成</w:t>
      </w:r>
      <w:bookmarkEnd w:id="81"/>
      <w:r/>
      <w:bookmarkEnd w:id="82"/>
      <w:r/>
      <w:bookmarkEnd w:id="83"/>
      <w:r/>
      <w:bookmarkEnd w:id="84"/>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1052"/>
        <w:ind w:firstLine="240"/>
        <w:jc w:val="both"/>
        <w:keepLines/>
        <w:keepNext/>
        <w:spacing w:beforeAutospacing="0" w:afterAutospacing="0" w:line="360" w:lineRule="auto"/>
        <w:rPr>
          <w:rFonts w:ascii="宋体" w:hAnsi="宋体" w:eastAsia="宋体" w:cs="宋体"/>
        </w:rPr>
      </w:pPr>
      <w:r/>
      <w:bookmarkStart w:id="85" w:name="_Toc14577354"/>
      <w:r/>
      <w:bookmarkStart w:id="86" w:name="_Toc14577355"/>
      <w:r/>
      <w:bookmarkStart w:id="87" w:name="_Toc513029216"/>
      <w:r/>
      <w:bookmarkStart w:id="88" w:name="_Toc49090507"/>
      <w:r/>
      <w:bookmarkStart w:id="89" w:name="_Toc49090508"/>
      <w:r/>
      <w:bookmarkStart w:id="90" w:name="_Toc513029219"/>
      <w:r/>
      <w:bookmarkStart w:id="91" w:name="_Toc49090509"/>
      <w:r/>
      <w:bookmarkStart w:id="92" w:name="_Toc14577357"/>
      <w:r/>
      <w:bookmarkStart w:id="93" w:name="_Hlt26668975"/>
      <w:r/>
      <w:bookmarkStart w:id="94" w:name="_Hlt26670360"/>
      <w:r/>
      <w:bookmarkStart w:id="95" w:name="_Hlt26954838"/>
      <w:r>
        <w:rPr>
          <w:rFonts w:hint="eastAsia" w:ascii="宋体" w:hAnsi="宋体" w:eastAsia="宋体" w:cs="宋体"/>
          <w:color w:val="000000"/>
        </w:rPr>
        <w:t xml:space="preserve">11、证明投标人及投标标的符合招标文件规定的文件</w:t>
      </w:r>
      <w:bookmarkEnd w:id="85"/>
      <w:r/>
      <w:bookmarkEnd w:id="86"/>
      <w:r/>
      <w:bookmarkEnd w:id="87"/>
      <w:r/>
      <w:bookmarkEnd w:id="88"/>
      <w:r/>
      <w:bookmarkEnd w:id="89"/>
      <w:r/>
      <w:bookmarkEnd w:id="90"/>
      <w:r/>
      <w:bookmarkEnd w:id="91"/>
      <w:r/>
      <w:bookmarkEnd w:id="92"/>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12、投标分项报价表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1052"/>
        <w:ind w:firstLine="240"/>
        <w:jc w:val="both"/>
        <w:keepLines/>
        <w:keepNext/>
        <w:spacing w:beforeAutospacing="0" w:afterAutospacing="0" w:line="360" w:lineRule="auto"/>
        <w:rPr>
          <w:rFonts w:ascii="宋体" w:hAnsi="宋体" w:eastAsia="宋体" w:cs="宋体"/>
        </w:rPr>
      </w:pPr>
      <w:r/>
      <w:bookmarkStart w:id="96" w:name="_Hlt26954848"/>
      <w:r/>
      <w:bookmarkStart w:id="97" w:name="_Hlt26954731"/>
      <w:r/>
      <w:bookmarkStart w:id="98" w:name="_Hlt26670486"/>
      <w:r/>
      <w:bookmarkStart w:id="99" w:name="_Hlt26670482"/>
      <w:r/>
      <w:bookmarkStart w:id="100" w:name="_Hlt26954846"/>
      <w:r>
        <w:rPr>
          <w:rFonts w:hint="eastAsia" w:ascii="宋体" w:hAnsi="宋体" w:eastAsia="宋体" w:cs="宋体"/>
        </w:rPr>
        <w:t xml:space="preserve">13、技术要求响应及偏离表、商务要求响应及偏离表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14、服务承诺、培训计划、人员安排及其他</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14.2 投标人需根据招标文件要求提供培训计划。</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14.3  投标人需根据招标文件要求提供所投标的的主要组成部分、功能设计、实现思路及关键技术等。</w:t>
      </w:r>
      <w:r/>
    </w:p>
    <w:p>
      <w:pPr>
        <w:pStyle w:val="1052"/>
        <w:ind w:firstLine="240"/>
        <w:jc w:val="both"/>
        <w:keepLines/>
        <w:keepNext/>
        <w:spacing w:beforeAutospacing="0" w:afterAutospacing="0" w:line="360" w:lineRule="auto"/>
        <w:rPr>
          <w:rFonts w:ascii="宋体" w:hAnsi="宋体" w:eastAsia="宋体" w:cs="宋体"/>
        </w:rPr>
      </w:pPr>
      <w:r/>
      <w:bookmarkStart w:id="101" w:name="_Toc49090510"/>
      <w:r/>
      <w:bookmarkStart w:id="102" w:name="_Toc14577359"/>
      <w:r>
        <w:rPr>
          <w:rFonts w:hint="eastAsia" w:ascii="宋体" w:hAnsi="宋体" w:eastAsia="宋体" w:cs="宋体"/>
        </w:rPr>
        <w:t xml:space="preserve">15、投标函和开标一览表</w:t>
      </w:r>
      <w:bookmarkEnd w:id="101"/>
      <w:r/>
      <w:bookmarkEnd w:id="102"/>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1052"/>
        <w:ind w:firstLine="240"/>
        <w:jc w:val="both"/>
        <w:keepLines/>
        <w:keepNext/>
        <w:spacing w:beforeAutospacing="0" w:afterAutospacing="0" w:line="360" w:lineRule="auto"/>
        <w:rPr>
          <w:rFonts w:ascii="宋体" w:hAnsi="宋体" w:eastAsia="宋体" w:cs="宋体"/>
        </w:rPr>
      </w:pPr>
      <w:r/>
      <w:bookmarkStart w:id="103" w:name="_Toc49090511"/>
      <w:r/>
      <w:bookmarkStart w:id="104" w:name="_Toc14577360"/>
      <w:r>
        <w:rPr>
          <w:rFonts w:hint="eastAsia" w:ascii="宋体" w:hAnsi="宋体" w:eastAsia="宋体" w:cs="宋体"/>
        </w:rPr>
        <w:t xml:space="preserve">16、投标有效期</w:t>
      </w:r>
      <w:bookmarkEnd w:id="103"/>
      <w:r/>
      <w:bookmarkEnd w:id="104"/>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16.1投标有效期为采购代理机构规定的开标之日后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17、投标有效期的延长</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1052"/>
        <w:ind w:firstLine="241"/>
        <w:jc w:val="both"/>
        <w:keepLines/>
        <w:keepNext/>
        <w:spacing w:before="145" w:beforeAutospacing="0" w:after="145" w:afterAutospacing="0" w:line="360" w:lineRule="auto"/>
        <w:rPr>
          <w:rFonts w:ascii="宋体" w:hAnsi="宋体" w:eastAsia="宋体" w:cs="宋体"/>
        </w:rPr>
      </w:pPr>
      <w:r/>
      <w:bookmarkStart w:id="105" w:name="_Toc16938540"/>
      <w:r/>
      <w:bookmarkStart w:id="106" w:name="_Toc513029224"/>
      <w:r/>
      <w:bookmarkStart w:id="107" w:name="_Toc120614217"/>
      <w:r/>
      <w:bookmarkStart w:id="108" w:name="_Toc20823296"/>
      <w:r/>
      <w:bookmarkStart w:id="109" w:name="_Hlt26954852"/>
      <w:r/>
      <w:bookmarkStart w:id="110" w:name="_Hlt26954739"/>
      <w:r>
        <w:rPr>
          <w:rFonts w:hint="eastAsia" w:ascii="宋体" w:hAnsi="宋体" w:eastAsia="宋体" w:cs="宋体"/>
          <w:b/>
        </w:rPr>
        <w:t xml:space="preserve">四、投标文件的递交</w:t>
      </w:r>
      <w:bookmarkEnd w:id="105"/>
      <w:r/>
      <w:bookmarkEnd w:id="106"/>
      <w:r/>
      <w:bookmarkEnd w:id="107"/>
      <w:r/>
      <w:bookmarkEnd w:id="108"/>
      <w:r/>
      <w:r/>
    </w:p>
    <w:p>
      <w:pPr>
        <w:pStyle w:val="1052"/>
        <w:ind w:firstLine="240"/>
        <w:jc w:val="both"/>
        <w:keepLines/>
        <w:keepNext/>
        <w:spacing w:beforeAutospacing="0" w:afterAutospacing="0" w:line="360" w:lineRule="auto"/>
        <w:rPr>
          <w:rFonts w:ascii="宋体" w:hAnsi="宋体" w:eastAsia="宋体" w:cs="宋体"/>
        </w:rPr>
      </w:pPr>
      <w:r/>
      <w:bookmarkStart w:id="111" w:name="_Toc20823297"/>
      <w:r/>
      <w:bookmarkStart w:id="112" w:name="_Toc462564084"/>
      <w:r/>
      <w:bookmarkStart w:id="113" w:name="_Toc16938541"/>
      <w:r/>
      <w:bookmarkStart w:id="114" w:name="_Toc513029225"/>
      <w:r>
        <w:rPr>
          <w:rFonts w:hint="eastAsia" w:ascii="宋体" w:hAnsi="宋体" w:eastAsia="宋体" w:cs="宋体"/>
        </w:rPr>
        <w:t xml:space="preserve">18、电子投标文件</w:t>
      </w:r>
      <w:bookmarkEnd w:id="111"/>
      <w:r/>
      <w:bookmarkEnd w:id="112"/>
      <w:r/>
      <w:bookmarkEnd w:id="113"/>
      <w:r/>
      <w:bookmarkEnd w:id="114"/>
      <w:r>
        <w:rPr>
          <w:rFonts w:hint="eastAsia" w:ascii="宋体" w:hAnsi="宋体" w:eastAsia="宋体" w:cs="宋体"/>
        </w:rPr>
        <w:t xml:space="preserve">的递交</w:t>
      </w:r>
      <w:r/>
    </w:p>
    <w:p>
      <w:pPr>
        <w:pStyle w:val="1052"/>
        <w:ind w:left="525"/>
        <w:jc w:val="both"/>
        <w:spacing w:beforeAutospacing="0" w:afterAutospacing="0" w:line="360" w:lineRule="auto"/>
        <w:rPr>
          <w:rFonts w:ascii="宋体" w:hAnsi="宋体" w:eastAsia="宋体" w:cs="宋体"/>
        </w:rPr>
      </w:pPr>
      <w:r>
        <w:rPr>
          <w:rFonts w:hint="eastAsia" w:ascii="宋体" w:hAnsi="宋体" w:eastAsia="宋体" w:cs="宋体"/>
        </w:rPr>
        <w:t xml:space="preserve">18.1投标人应当按照《操作手册》规定，在投标截止时间前制作并上传电子投标</w:t>
      </w:r>
      <w:r/>
    </w:p>
    <w:p>
      <w:pPr>
        <w:pStyle w:val="1052"/>
        <w:jc w:val="both"/>
        <w:spacing w:beforeAutospacing="0" w:afterAutospacing="0" w:line="360" w:lineRule="auto"/>
        <w:rPr>
          <w:rFonts w:ascii="宋体" w:hAnsi="宋体" w:eastAsia="宋体" w:cs="宋体"/>
        </w:rPr>
      </w:pPr>
      <w:r>
        <w:rPr>
          <w:rFonts w:hint="eastAsia" w:ascii="宋体" w:hAnsi="宋体" w:eastAsia="宋体" w:cs="宋体"/>
        </w:rPr>
        <w:t xml:space="preserve">文件。</w:t>
      </w:r>
      <w:bookmarkStart w:id="115" w:name="_Toc16938542"/>
      <w:r/>
      <w:bookmarkStart w:id="116" w:name="_Toc20823298"/>
      <w:r/>
      <w:bookmarkStart w:id="117" w:name="_Toc513029226"/>
      <w:r/>
      <w:bookmarkEnd w:id="115"/>
      <w:r/>
      <w:bookmarkEnd w:id="116"/>
      <w:r/>
      <w:r/>
    </w:p>
    <w:p>
      <w:pPr>
        <w:pStyle w:val="1052"/>
        <w:ind w:firstLine="240"/>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rPr>
        <w:t xml:space="preserve">19、投标截止日期</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1052"/>
        <w:ind w:firstLine="240"/>
        <w:jc w:val="both"/>
        <w:keepLines/>
        <w:keepNext/>
        <w:spacing w:beforeAutospacing="0" w:afterAutospacing="0" w:line="360" w:lineRule="auto"/>
        <w:rPr>
          <w:rFonts w:ascii="宋体" w:hAnsi="宋体" w:eastAsia="宋体" w:cs="宋体"/>
        </w:rPr>
      </w:pPr>
      <w:r/>
      <w:bookmarkStart w:id="118" w:name="_Toc16938543"/>
      <w:r/>
      <w:bookmarkStart w:id="119" w:name="_Toc513029227"/>
      <w:r/>
      <w:bookmarkStart w:id="120" w:name="_Toc20823299"/>
      <w:r>
        <w:rPr>
          <w:rFonts w:hint="eastAsia" w:ascii="宋体" w:hAnsi="宋体" w:eastAsia="宋体" w:cs="宋体"/>
        </w:rPr>
        <w:t xml:space="preserve">20、投标文件</w:t>
      </w:r>
      <w:bookmarkEnd w:id="118"/>
      <w:r/>
      <w:bookmarkEnd w:id="119"/>
      <w:r/>
      <w:bookmarkEnd w:id="120"/>
      <w:r>
        <w:rPr>
          <w:rFonts w:hint="eastAsia" w:ascii="宋体" w:hAnsi="宋体" w:eastAsia="宋体" w:cs="宋体"/>
        </w:rPr>
        <w:t xml:space="preserve">的拒收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20.1 采购代理机构拒绝接收在其规定的投标截止时间后上传的任何投标文件。</w:t>
      </w:r>
      <w:r/>
    </w:p>
    <w:p>
      <w:pPr>
        <w:pStyle w:val="1052"/>
        <w:ind w:firstLine="240"/>
        <w:jc w:val="both"/>
        <w:keepLines/>
        <w:keepNext/>
        <w:spacing w:beforeAutospacing="0" w:afterAutospacing="0" w:line="360" w:lineRule="auto"/>
        <w:rPr>
          <w:rFonts w:ascii="宋体" w:hAnsi="宋体" w:eastAsia="宋体" w:cs="宋体"/>
        </w:rPr>
      </w:pPr>
      <w:r/>
      <w:bookmarkStart w:id="121" w:name="_Toc20823300"/>
      <w:r/>
      <w:bookmarkStart w:id="122" w:name="_Toc16938544"/>
      <w:r/>
      <w:bookmarkStart w:id="123" w:name="_Toc513029228"/>
      <w:r>
        <w:rPr>
          <w:rFonts w:hint="eastAsia" w:ascii="宋体" w:hAnsi="宋体" w:eastAsia="宋体" w:cs="宋体"/>
        </w:rPr>
        <w:t xml:space="preserve">21、投标文件的撤回和修改</w:t>
      </w:r>
      <w:bookmarkEnd w:id="121"/>
      <w:r/>
      <w:bookmarkEnd w:id="122"/>
      <w:r/>
      <w:bookmarkEnd w:id="123"/>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 投标文件的撤回</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21.1.1 电子投标文件的撤回</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 投标文件的修改</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1052"/>
        <w:ind w:firstLine="241"/>
        <w:jc w:val="both"/>
        <w:keepLines/>
        <w:keepNext/>
        <w:spacing w:before="145" w:beforeAutospacing="0" w:after="145" w:afterAutospacing="0" w:line="360" w:lineRule="auto"/>
        <w:rPr>
          <w:rFonts w:ascii="宋体" w:hAnsi="宋体" w:eastAsia="宋体" w:cs="宋体"/>
        </w:rPr>
      </w:pPr>
      <w:r/>
      <w:bookmarkStart w:id="124" w:name="_Toc16938545"/>
      <w:r/>
      <w:bookmarkStart w:id="125" w:name="_Toc20823301"/>
      <w:r/>
      <w:bookmarkStart w:id="126" w:name="_Toc513029229"/>
      <w:r/>
      <w:bookmarkStart w:id="127" w:name="_Toc120614218"/>
      <w:r>
        <w:rPr>
          <w:rFonts w:hint="eastAsia" w:ascii="宋体" w:hAnsi="宋体" w:eastAsia="宋体" w:cs="宋体"/>
          <w:b/>
        </w:rPr>
        <w:t xml:space="preserve">五、开标与评标</w:t>
      </w:r>
      <w:bookmarkEnd w:id="124"/>
      <w:r/>
      <w:bookmarkEnd w:id="125"/>
      <w:r/>
      <w:bookmarkEnd w:id="126"/>
      <w:r/>
      <w:bookmarkEnd w:id="127"/>
      <w:r/>
      <w:r/>
    </w:p>
    <w:p>
      <w:pPr>
        <w:pStyle w:val="1052"/>
        <w:ind w:firstLine="240"/>
        <w:jc w:val="both"/>
        <w:keepLines/>
        <w:keepNext/>
        <w:spacing w:beforeAutospacing="0" w:afterAutospacing="0" w:line="360" w:lineRule="auto"/>
        <w:rPr>
          <w:rFonts w:ascii="宋体" w:hAnsi="宋体" w:eastAsia="宋体" w:cs="宋体"/>
        </w:rPr>
      </w:pPr>
      <w:r/>
      <w:bookmarkStart w:id="128" w:name="_Toc20823302"/>
      <w:r/>
      <w:bookmarkStart w:id="129" w:name="_Toc513029230"/>
      <w:r/>
      <w:bookmarkStart w:id="130" w:name="_Toc16938546"/>
      <w:r>
        <w:rPr>
          <w:rFonts w:hint="eastAsia" w:ascii="宋体" w:hAnsi="宋体" w:eastAsia="宋体" w:cs="宋体"/>
        </w:rPr>
        <w:t xml:space="preserve">22、开标</w:t>
      </w:r>
      <w:bookmarkEnd w:id="128"/>
      <w:r/>
      <w:bookmarkEnd w:id="129"/>
      <w:r/>
      <w:bookmarkEnd w:id="130"/>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22.1 采购代理机构将在招标公告中规定的时间和地点组织公开开标。投标人应当按照《操作手册》规定，参加开标活动和在苏采云系统规定的时间内对投标文件进行解密。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1052"/>
        <w:ind w:firstLine="240"/>
        <w:jc w:val="both"/>
        <w:keepLines/>
        <w:keepNext/>
        <w:spacing w:beforeAutospacing="0" w:afterAutospacing="0" w:line="360" w:lineRule="auto"/>
        <w:rPr>
          <w:rFonts w:ascii="宋体" w:hAnsi="宋体" w:eastAsia="宋体" w:cs="宋体"/>
        </w:rPr>
      </w:pPr>
      <w:r/>
      <w:bookmarkStart w:id="131" w:name="_Toc20823303"/>
      <w:r/>
      <w:bookmarkStart w:id="132" w:name="_Toc513029231"/>
      <w:r/>
      <w:bookmarkStart w:id="133" w:name="_Toc16938547"/>
      <w:r>
        <w:rPr>
          <w:rFonts w:hint="eastAsia" w:ascii="宋体" w:hAnsi="宋体" w:eastAsia="宋体" w:cs="宋体"/>
        </w:rPr>
        <w:t xml:space="preserve">23、评标委员会</w:t>
      </w:r>
      <w:bookmarkEnd w:id="131"/>
      <w:r/>
      <w:bookmarkEnd w:id="132"/>
      <w:r/>
      <w:bookmarkEnd w:id="133"/>
      <w:r/>
      <w:r/>
    </w:p>
    <w:p>
      <w:pPr>
        <w:pStyle w:val="1052"/>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开标后，采购代理机构将立即组织评标委员会（以下简称评委会）进行评标。</w:t>
      </w:r>
      <w:r/>
    </w:p>
    <w:p>
      <w:pPr>
        <w:pStyle w:val="1052"/>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评委会由采购人代表和有关技术、经济等方面的专家组成，且人员构成符合政府采购有关规定。</w:t>
      </w:r>
      <w:r/>
    </w:p>
    <w:p>
      <w:pPr>
        <w:pStyle w:val="1052"/>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23.3评委会独立工作，负责评审所有投标文件并确定中标候选人。</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24．评标过程的保密与公正</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24.3 采购代理机构和评标委员会不向未中标的投标人解释未中标原因，也不公布评标过程中的相关细节。</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1052"/>
        <w:ind w:firstLine="240"/>
        <w:jc w:val="both"/>
        <w:keepLines/>
        <w:keepNext/>
        <w:spacing w:beforeAutospacing="0" w:afterAutospacing="0" w:line="360" w:lineRule="auto"/>
        <w:rPr>
          <w:rFonts w:ascii="宋体" w:hAnsi="宋体" w:eastAsia="宋体" w:cs="宋体"/>
        </w:rPr>
      </w:pPr>
      <w:r/>
      <w:bookmarkStart w:id="134" w:name="_Toc16938548"/>
      <w:r/>
      <w:bookmarkStart w:id="135" w:name="_Toc513029232"/>
      <w:r/>
      <w:bookmarkStart w:id="136" w:name="_Toc20823304"/>
      <w:r>
        <w:rPr>
          <w:rFonts w:hint="eastAsia" w:ascii="宋体" w:hAnsi="宋体" w:eastAsia="宋体" w:cs="宋体"/>
        </w:rPr>
        <w:t xml:space="preserve">25．投标文件的澄清</w:t>
      </w:r>
      <w:bookmarkEnd w:id="134"/>
      <w:r/>
      <w:bookmarkEnd w:id="135"/>
      <w:r/>
      <w:bookmarkEnd w:id="136"/>
      <w:r/>
      <w:r/>
    </w:p>
    <w:p>
      <w:pPr>
        <w:pStyle w:val="1052"/>
        <w:ind w:firstLine="240"/>
        <w:jc w:val="both"/>
        <w:spacing w:beforeAutospacing="0" w:afterAutospacing="0" w:line="360" w:lineRule="auto"/>
        <w:rPr>
          <w:rFonts w:ascii="宋体" w:hAnsi="宋体" w:eastAsia="宋体" w:cs="宋体"/>
        </w:rPr>
      </w:pPr>
      <w:r/>
      <w:bookmarkStart w:id="137" w:name="_Toc16938549"/>
      <w:r/>
      <w:bookmarkStart w:id="138" w:name="_Toc513029233"/>
      <w:r/>
      <w:bookmarkStart w:id="139" w:name="_Toc20823305"/>
      <w:r>
        <w:rPr>
          <w:rFonts w:hint="eastAsia" w:ascii="宋体" w:hAnsi="宋体" w:eastAsia="宋体" w:cs="宋体"/>
        </w:rPr>
        <w:t xml:space="preserve">25.1评标期间，评委会对投标文件中含义不明确、同类问题表述不一致或者有明显文字和计算错误的内容 ，有权要求投标人作出必要的澄清、说明或者补正。</w:t>
      </w:r>
      <w:bookmarkEnd w:id="137"/>
      <w:r/>
      <w:bookmarkEnd w:id="138"/>
      <w:r/>
      <w:bookmarkEnd w:id="139"/>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26、对投标文件的初审</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26.1投标文件初审分为资格审查和符合性审查。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（2）大写金额和小写金额不一致的，以大写金额为准。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052"/>
        <w:ind w:firstLine="240"/>
        <w:jc w:val="both"/>
        <w:spacing w:beforeAutospacing="0" w:afterAutospacing="0" w:line="360" w:lineRule="auto"/>
        <w:rPr>
          <w:rFonts w:ascii="宋体" w:hAnsi="宋体" w:eastAsia="宋体" w:cs="宋体"/>
        </w:rPr>
      </w:pPr>
      <w:r/>
      <w:bookmarkStart w:id="140" w:name="_Toc16938550"/>
      <w:r/>
      <w:bookmarkStart w:id="141" w:name="_Toc20823306"/>
      <w:r/>
      <w:bookmarkStart w:id="142"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1052"/>
        <w:ind w:left="479"/>
        <w:jc w:val="both"/>
        <w:spacing w:beforeAutospacing="0" w:afterAutospacing="0" w:line="360" w:lineRule="auto"/>
        <w:rPr>
          <w:rFonts w:ascii="宋体" w:hAnsi="宋体" w:eastAsia="宋体" w:cs="宋体"/>
        </w:rPr>
      </w:pPr>
      <w:r/>
      <w:bookmarkStart w:id="143" w:name="_Toc20823307"/>
      <w:r/>
      <w:bookmarkStart w:id="144" w:name="_Toc513029235"/>
      <w:r/>
      <w:bookmarkStart w:id="145" w:name="_Toc16938551"/>
      <w:r>
        <w:rPr>
          <w:rFonts w:hint="eastAsia" w:ascii="宋体" w:hAnsi="宋体" w:eastAsia="宋体" w:cs="宋体"/>
        </w:rPr>
        <w:t xml:space="preserve">27.1无效投标条款</w:t>
      </w:r>
      <w:bookmarkEnd w:id="143"/>
      <w:r/>
      <w:bookmarkEnd w:id="144"/>
      <w:r/>
      <w:bookmarkEnd w:id="145"/>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27.1.4投标人不具备招标文件中规定资格要求的。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27.1.5投标人的报价超过了采购预算或最高限价的。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27.1.6未通过符合性审查的。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27.1.9  投标文件含有采购人不能接受的附加条件的。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1.投标报价低于采购项目预算50%的，即投标报价&lt;采购项目预算×50%；</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2.投标报价低于采购项目最高限价45%的，即投标报价&lt;采购项目最高限价×45%；</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105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1052"/>
        <w:ind w:firstLine="241"/>
        <w:jc w:val="both"/>
        <w:keepLines/>
        <w:keepNext/>
        <w:spacing w:before="145" w:beforeAutospacing="0" w:after="145" w:afterAutospacing="0" w:line="360" w:lineRule="auto"/>
        <w:rPr>
          <w:rFonts w:ascii="宋体" w:hAnsi="宋体" w:eastAsia="宋体" w:cs="宋体"/>
        </w:rPr>
      </w:pPr>
      <w:r/>
      <w:bookmarkStart w:id="146" w:name="_Toc120614219"/>
      <w:r>
        <w:rPr>
          <w:rFonts w:hint="eastAsia" w:ascii="宋体" w:hAnsi="宋体" w:eastAsia="宋体" w:cs="宋体"/>
          <w:b/>
        </w:rPr>
        <w:t xml:space="preserve">六、定标</w:t>
      </w:r>
      <w:bookmarkEnd w:id="146"/>
      <w:r/>
      <w:r/>
    </w:p>
    <w:p>
      <w:pPr>
        <w:pStyle w:val="1052"/>
        <w:ind w:firstLine="240"/>
        <w:jc w:val="both"/>
        <w:keepLines/>
        <w:keepNext/>
        <w:spacing w:beforeAutospacing="0" w:afterAutospacing="0" w:line="360" w:lineRule="auto"/>
        <w:rPr>
          <w:rFonts w:ascii="宋体" w:hAnsi="宋体" w:eastAsia="宋体" w:cs="宋体"/>
        </w:rPr>
      </w:pPr>
      <w:r/>
      <w:bookmarkStart w:id="147" w:name="_Toc20823310"/>
      <w:r/>
      <w:bookmarkStart w:id="148" w:name="_Toc16938554"/>
      <w:r/>
      <w:bookmarkStart w:id="149" w:name="_Toc513029238"/>
      <w:r>
        <w:rPr>
          <w:rFonts w:hint="eastAsia" w:ascii="宋体" w:hAnsi="宋体" w:eastAsia="宋体" w:cs="宋体"/>
        </w:rPr>
        <w:t xml:space="preserve">28、</w:t>
      </w:r>
      <w:bookmarkEnd w:id="147"/>
      <w:r>
        <w:rPr>
          <w:rFonts w:hint="eastAsia" w:ascii="宋体" w:hAnsi="宋体" w:eastAsia="宋体" w:cs="宋体"/>
        </w:rPr>
        <w:t xml:space="preserve">确定</w:t>
      </w:r>
      <w:bookmarkEnd w:id="148"/>
      <w:r/>
      <w:bookmarkEnd w:id="149"/>
      <w:r>
        <w:rPr>
          <w:rFonts w:hint="eastAsia" w:ascii="宋体" w:hAnsi="宋体" w:eastAsia="宋体" w:cs="宋体"/>
        </w:rPr>
        <w:t xml:space="preserve">中标单位</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28.4.1提供虚假材料谋取中标的。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28.4.4与采购人或者其他供应商恶意串通的。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28.4.5采取不正当手段诋毁、排挤其他供应商的。</w:t>
      </w:r>
      <w:r/>
    </w:p>
    <w:p>
      <w:pPr>
        <w:pStyle w:val="1052"/>
        <w:ind w:firstLine="240"/>
        <w:jc w:val="both"/>
        <w:spacing w:beforeAutospacing="0" w:afterAutospacing="0" w:line="360" w:lineRule="auto"/>
        <w:rPr>
          <w:rFonts w:ascii="宋体" w:hAnsi="宋体" w:eastAsia="宋体" w:cs="宋体"/>
        </w:rPr>
      </w:pPr>
      <w:r/>
      <w:bookmarkStart w:id="150" w:name="_Toc200451960"/>
      <w:r>
        <w:rPr>
          <w:rFonts w:hint="eastAsia" w:ascii="宋体" w:hAnsi="宋体" w:eastAsia="宋体" w:cs="宋体"/>
        </w:rPr>
        <w:t xml:space="preserve">28.5. 有下列情形之一的，视为投标人串通投标，投标无效：</w:t>
      </w:r>
      <w:bookmarkEnd w:id="150"/>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29、质疑处理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   29.2.2对采购过程提出质疑的，为各采购程序环节结束之日；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   29.2.3对中标或者成交结果提出质疑的，为中标或者成交结果公告期限届满之日。</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 以下情形的质疑不予受理</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29.5.2 超出政府采购法定期限的质疑。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30、中标通知书</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30.l</w:t>
      </w:r>
      <w:r>
        <w:rPr>
          <w:rFonts w:hint="eastAsia" w:ascii="宋体" w:hAnsi="宋体" w:eastAsia="宋体" w:cs="宋体"/>
          <w:b/>
        </w:rPr>
        <w:t xml:space="preserve"> </w:t>
      </w:r>
      <w:r>
        <w:rPr>
          <w:rFonts w:hint="eastAsia" w:ascii="宋体" w:hAnsi="宋体" w:eastAsia="宋体" w:cs="宋体"/>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052"/>
        <w:ind w:firstLine="241"/>
        <w:jc w:val="both"/>
        <w:keepLines/>
        <w:keepNext/>
        <w:spacing w:before="145" w:beforeAutospacing="0" w:after="145" w:afterAutospacing="0" w:line="360" w:lineRule="auto"/>
        <w:rPr>
          <w:rFonts w:ascii="宋体" w:hAnsi="宋体" w:eastAsia="宋体" w:cs="宋体"/>
        </w:rPr>
      </w:pPr>
      <w:r/>
      <w:bookmarkStart w:id="151" w:name="_Toc120614220"/>
      <w:r/>
      <w:bookmarkStart w:id="152" w:name="_Toc16938552"/>
      <w:r/>
      <w:bookmarkStart w:id="153" w:name="_Toc513029236"/>
      <w:r/>
      <w:bookmarkStart w:id="154" w:name="_Toc20823308"/>
      <w:r>
        <w:rPr>
          <w:rFonts w:hint="eastAsia" w:ascii="宋体" w:hAnsi="宋体" w:eastAsia="宋体" w:cs="宋体"/>
          <w:b/>
        </w:rPr>
        <w:t xml:space="preserve">七、授予合同</w:t>
      </w:r>
      <w:bookmarkEnd w:id="151"/>
      <w:r/>
      <w:bookmarkEnd w:id="152"/>
      <w:r/>
      <w:bookmarkEnd w:id="153"/>
      <w:r/>
      <w:bookmarkEnd w:id="154"/>
      <w:r/>
      <w:r/>
    </w:p>
    <w:p>
      <w:pPr>
        <w:pStyle w:val="1052"/>
        <w:ind w:firstLine="240"/>
        <w:jc w:val="both"/>
        <w:keepLines/>
        <w:keepNext/>
        <w:spacing w:beforeAutospacing="0" w:afterAutospacing="0" w:line="360" w:lineRule="auto"/>
        <w:rPr>
          <w:rFonts w:ascii="宋体" w:hAnsi="宋体" w:eastAsia="宋体" w:cs="宋体"/>
        </w:rPr>
      </w:pPr>
      <w:r/>
      <w:bookmarkStart w:id="155" w:name="_Toc20823309"/>
      <w:r/>
      <w:bookmarkStart w:id="156" w:name="_Toc16938553"/>
      <w:r/>
      <w:bookmarkStart w:id="157" w:name="_Toc513029237"/>
      <w:r>
        <w:rPr>
          <w:rFonts w:hint="eastAsia" w:ascii="宋体" w:hAnsi="宋体" w:eastAsia="宋体" w:cs="宋体"/>
        </w:rPr>
        <w:t xml:space="preserve">31. 签订合同</w:t>
      </w:r>
      <w:bookmarkEnd w:id="155"/>
      <w:r/>
      <w:bookmarkEnd w:id="156"/>
      <w:r/>
      <w:bookmarkEnd w:id="157"/>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（备注：项目经办人在发标前应与采购人商定是否允许中标人分包履行合同，确定后该备注删除）</w:t>
      </w:r>
      <w:r/>
    </w:p>
    <w:p>
      <w:pPr>
        <w:pStyle w:val="1052"/>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32、货物（包含与货物相关的服务）的追加</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5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1052"/>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24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1052"/>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24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1057"/>
        <w:ind w:left="0" w:firstLine="240"/>
        <w:spacing w:after="0" w:line="360" w:lineRule="auto"/>
        <w:rPr>
          <w:rFonts w:ascii="宋体" w:hAnsi="宋体" w:eastAsia="宋体" w:cs="宋体"/>
          <w:sz w:val="24"/>
        </w:rPr>
      </w:pPr>
      <w:r>
        <w:rPr>
          <w:rFonts w:hint="eastAsia" w:ascii="宋体" w:hAnsi="宋体" w:eastAsia="宋体" w:cs="宋体"/>
          <w:sz w:val="24"/>
        </w:rPr>
        <w:t xml:space="preserve">本项目履约保证金的缴纳形式：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sz w:val="36"/>
          <w:szCs w:val="4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_</w:t>
      </w:r>
      <w:r>
        <w:rPr>
          <w:rFonts w:ascii="宋体" w:hAnsi="宋体" w:eastAsia="宋体" w:cs="宋体"/>
          <w:sz w:val="24"/>
          <w:u w:val="single"/>
        </w:rPr>
        <w:t xml:space="preserve">30</w:t>
      </w:r>
      <w:r>
        <w:rPr>
          <w:rFonts w:hint="eastAsia" w:ascii="宋体" w:hAnsi="宋体" w:eastAsia="宋体" w:cs="宋体"/>
          <w:sz w:val="24"/>
          <w:u w:val="single"/>
        </w:rPr>
        <w:t xml:space="preserve">_</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bookmarkStart w:id="158" w:name="_Toc479757211"/>
      <w:r/>
      <w:bookmarkStart w:id="159" w:name="_Toc16938590"/>
      <w:r/>
      <w:bookmarkStart w:id="160" w:name="_Toc20823346"/>
      <w:r/>
      <w:bookmarkStart w:id="161" w:name="_Hlt16619350"/>
      <w:r/>
      <w:bookmarkStart w:id="162" w:name="_Toc462564139"/>
      <w:r/>
      <w:bookmarkStart w:id="163" w:name="_Toc120614244"/>
      <w:r/>
      <w:bookmarkStart w:id="164" w:name="_Hlt16619369"/>
      <w:r>
        <w:rPr>
          <w:sz w:val="36"/>
          <w:szCs w:val="44"/>
        </w:rPr>
        <w:br w:type="page" w:clear="all"/>
      </w:r>
      <w:r/>
    </w:p>
    <w:p>
      <w:pPr>
        <w:ind w:firstLine="482"/>
        <w:jc w:val="center"/>
        <w:spacing w:line="360" w:lineRule="auto"/>
        <w:widowControl/>
        <w:rPr>
          <w:rFonts w:ascii="宋体" w:hAnsi="宋体" w:cs="宋体"/>
          <w:b/>
          <w:sz w:val="48"/>
          <w:szCs w:val="44"/>
        </w:rPr>
      </w:pPr>
      <w:r>
        <w:rPr>
          <w:rFonts w:hint="eastAsia" w:ascii="宋体" w:hAnsi="宋体" w:cs="宋体"/>
          <w:b/>
          <w:sz w:val="48"/>
          <w:szCs w:val="44"/>
        </w:rPr>
        <w:t xml:space="preserve">第三章  合同条款</w:t>
      </w:r>
      <w:r/>
    </w:p>
    <w:p>
      <w:pPr>
        <w:rPr>
          <w:rFonts w:ascii="宋体" w:hAnsi="宋体" w:cs="宋体"/>
        </w:rPr>
      </w:pPr>
      <w:r/>
      <w:bookmarkStart w:id="165" w:name="EB6d2006462e294de090c16e672cecc3bd"/>
      <w:r/>
      <w:r/>
    </w:p>
    <w:p>
      <w:pPr>
        <w:ind w:firstLine="442"/>
        <w:jc w:val="center"/>
        <w:rPr>
          <w:rFonts w:ascii="宋体" w:hAnsi="宋体" w:cs="宋体"/>
          <w:b/>
          <w:bCs/>
          <w:spacing w:val="-20"/>
          <w:sz w:val="48"/>
          <w:szCs w:val="48"/>
        </w:rPr>
      </w:pPr>
      <w:r/>
      <w:bookmarkStart w:id="166" w:name="_Toc3995"/>
      <w:r/>
      <w:bookmarkEnd w:id="165"/>
      <w:r/>
      <w:r/>
    </w:p>
    <w:p>
      <w:pPr>
        <w:ind w:firstLine="442"/>
        <w:jc w:val="center"/>
        <w:rPr>
          <w:rFonts w:ascii="宋体" w:hAnsi="宋体" w:cs="宋体"/>
          <w:b/>
          <w:bCs/>
          <w:spacing w:val="-20"/>
          <w:sz w:val="48"/>
          <w:szCs w:val="48"/>
        </w:rPr>
      </w:pPr>
      <w:r>
        <w:rPr>
          <w:rFonts w:ascii="宋体" w:hAnsi="宋体" w:cs="宋体"/>
          <w:b/>
          <w:bCs/>
          <w:spacing w:val="-20"/>
          <w:sz w:val="48"/>
          <w:szCs w:val="48"/>
        </w:rPr>
      </w:r>
      <w:r/>
    </w:p>
    <w:p>
      <w:pPr>
        <w:ind w:firstLine="442"/>
        <w:jc w:val="center"/>
        <w:rPr>
          <w:rFonts w:ascii="宋体" w:hAnsi="宋体" w:cs="宋体"/>
          <w:b/>
          <w:bCs/>
          <w:spacing w:val="-20"/>
          <w:sz w:val="48"/>
          <w:szCs w:val="48"/>
        </w:rPr>
      </w:pPr>
      <w:r>
        <w:rPr>
          <w:rFonts w:ascii="宋体" w:hAnsi="宋体" w:cs="宋体"/>
          <w:b/>
          <w:bCs/>
          <w:spacing w:val="-20"/>
          <w:sz w:val="48"/>
          <w:szCs w:val="48"/>
        </w:rPr>
      </w:r>
      <w:r/>
    </w:p>
    <w:p>
      <w:pPr>
        <w:ind w:firstLine="442"/>
        <w:jc w:val="center"/>
        <w:rPr>
          <w:rFonts w:ascii="宋体" w:hAnsi="宋体" w:cs="宋体"/>
          <w:b/>
          <w:bCs/>
          <w:spacing w:val="-20"/>
          <w:sz w:val="48"/>
          <w:szCs w:val="48"/>
        </w:rPr>
      </w:pPr>
      <w:r>
        <w:rPr>
          <w:rFonts w:ascii="宋体" w:hAnsi="宋体" w:cs="宋体"/>
          <w:b/>
          <w:bCs/>
          <w:spacing w:val="-20"/>
          <w:sz w:val="48"/>
          <w:szCs w:val="48"/>
        </w:rPr>
      </w:r>
      <w:r/>
    </w:p>
    <w:p>
      <w:pPr>
        <w:ind w:firstLine="300"/>
        <w:jc w:val="center"/>
        <w:rPr>
          <w:rFonts w:ascii="宋体" w:hAnsi="宋体" w:cs="宋体"/>
          <w:sz w:val="30"/>
        </w:rPr>
      </w:pPr>
      <w:r>
        <w:rPr>
          <w:rFonts w:ascii="宋体" w:hAnsi="宋体" w:cs="宋体"/>
          <w:sz w:val="30"/>
        </w:rPr>
      </w:r>
      <w:r/>
    </w:p>
    <w:p>
      <w:pPr>
        <w:ind w:firstLine="321"/>
        <w:jc w:val="center"/>
        <w:rPr>
          <w:rFonts w:ascii="宋体" w:hAnsi="宋体" w:cs="宋体"/>
          <w:b/>
          <w:sz w:val="32"/>
        </w:rPr>
      </w:pPr>
      <w:r>
        <w:rPr>
          <w:rFonts w:hint="eastAsia" w:ascii="宋体" w:hAnsi="宋体" w:cs="宋体"/>
          <w:b/>
          <w:sz w:val="32"/>
        </w:rPr>
        <w:t xml:space="preserve">政府采购货物买卖合同</w:t>
      </w:r>
      <w:r/>
    </w:p>
    <w:p>
      <w:pPr>
        <w:ind w:firstLine="300"/>
        <w:jc w:val="center"/>
        <w:rPr>
          <w:rFonts w:ascii="宋体" w:hAnsi="宋体" w:cs="宋体"/>
          <w:sz w:val="30"/>
        </w:rPr>
      </w:pPr>
      <w:r>
        <w:rPr>
          <w:rFonts w:ascii="宋体" w:hAnsi="宋体" w:cs="宋体"/>
          <w:sz w:val="30"/>
        </w:rPr>
      </w:r>
      <w:r/>
    </w:p>
    <w:p>
      <w:pPr>
        <w:ind w:firstLine="300"/>
        <w:rPr>
          <w:rFonts w:ascii="宋体" w:hAnsi="宋体" w:cs="宋体"/>
          <w:sz w:val="30"/>
        </w:rPr>
      </w:pPr>
      <w:r>
        <w:rPr>
          <w:rFonts w:ascii="宋体" w:hAnsi="宋体" w:cs="宋体"/>
          <w:sz w:val="30"/>
        </w:rPr>
      </w:r>
      <w:r/>
    </w:p>
    <w:p>
      <w:pPr>
        <w:ind w:firstLine="300"/>
        <w:rPr>
          <w:rFonts w:ascii="宋体" w:hAnsi="宋体" w:cs="宋体"/>
          <w:sz w:val="30"/>
        </w:rPr>
      </w:pPr>
      <w:r>
        <w:rPr>
          <w:rFonts w:ascii="宋体" w:hAnsi="宋体" w:cs="宋体"/>
          <w:sz w:val="30"/>
        </w:rPr>
      </w:r>
      <w:r/>
    </w:p>
    <w:p>
      <w:pPr>
        <w:ind w:firstLine="300"/>
        <w:rPr>
          <w:rFonts w:ascii="宋体" w:hAnsi="宋体" w:cs="宋体"/>
          <w:sz w:val="30"/>
        </w:rPr>
      </w:pPr>
      <w:r>
        <w:rPr>
          <w:rFonts w:ascii="宋体" w:hAnsi="宋体" w:cs="宋体"/>
          <w:sz w:val="30"/>
        </w:rPr>
      </w:r>
      <w:r/>
    </w:p>
    <w:p>
      <w:pPr>
        <w:ind w:firstLine="300"/>
        <w:jc w:val="center"/>
        <w:spacing w:line="360" w:lineRule="auto"/>
        <w:rPr>
          <w:rFonts w:ascii="宋体" w:hAnsi="宋体" w:cs="宋体"/>
          <w:sz w:val="30"/>
        </w:rPr>
      </w:pPr>
      <w:r>
        <w:rPr>
          <w:rFonts w:hint="eastAsia" w:ascii="宋体" w:hAnsi="宋体" w:cs="宋体"/>
          <w:sz w:val="30"/>
        </w:rPr>
        <w:t xml:space="preserve">项目名称：盐城体育运动学校新校区厨房设备采购及安装项目</w:t>
      </w:r>
      <w:r/>
    </w:p>
    <w:p>
      <w:pPr>
        <w:ind w:left="420" w:firstLine="300"/>
        <w:spacing w:line="360" w:lineRule="auto"/>
        <w:rPr>
          <w:rFonts w:ascii="宋体" w:hAnsi="宋体" w:cs="宋体"/>
          <w:sz w:val="30"/>
        </w:rPr>
      </w:pPr>
      <w:r>
        <w:rPr>
          <w:rFonts w:hint="eastAsia" w:ascii="宋体" w:hAnsi="宋体" w:cs="宋体"/>
          <w:sz w:val="30"/>
        </w:rPr>
        <w:t xml:space="preserve">合同编号：</w:t>
      </w:r>
      <w:r/>
    </w:p>
    <w:p>
      <w:pPr>
        <w:ind w:left="420" w:firstLine="300"/>
        <w:spacing w:line="360" w:lineRule="auto"/>
        <w:rPr>
          <w:rFonts w:ascii="宋体" w:hAnsi="宋体" w:cs="宋体"/>
          <w:sz w:val="30"/>
        </w:rPr>
      </w:pPr>
      <w:r>
        <w:rPr>
          <w:rFonts w:hint="eastAsia" w:ascii="宋体" w:hAnsi="宋体" w:cs="宋体"/>
          <w:sz w:val="30"/>
        </w:rPr>
        <w:t xml:space="preserve">甲    方：盐城体育运动学校</w:t>
      </w:r>
      <w:r/>
    </w:p>
    <w:p>
      <w:pPr>
        <w:ind w:left="420" w:firstLine="300"/>
        <w:spacing w:line="360" w:lineRule="auto"/>
        <w:rPr>
          <w:rFonts w:ascii="宋体" w:hAnsi="宋体" w:cs="宋体"/>
          <w:sz w:val="30"/>
        </w:rPr>
      </w:pPr>
      <w:r>
        <w:rPr>
          <w:rFonts w:hint="eastAsia" w:ascii="宋体" w:hAnsi="宋体" w:cs="宋体"/>
          <w:sz w:val="30"/>
        </w:rPr>
        <w:t xml:space="preserve">乙    方：</w:t>
      </w:r>
      <w:r/>
    </w:p>
    <w:p>
      <w:pPr>
        <w:ind w:left="420" w:firstLine="300"/>
        <w:spacing w:line="360" w:lineRule="auto"/>
        <w:rPr>
          <w:rFonts w:ascii="宋体" w:hAnsi="宋体" w:cs="宋体"/>
          <w:sz w:val="30"/>
        </w:rPr>
      </w:pPr>
      <w:r>
        <w:rPr>
          <w:rFonts w:hint="eastAsia" w:ascii="宋体" w:hAnsi="宋体" w:cs="宋体"/>
          <w:sz w:val="30"/>
        </w:rPr>
        <w:t xml:space="preserve">签订时间：</w:t>
      </w:r>
      <w:r/>
    </w:p>
    <w:p>
      <w:r/>
      <w:r/>
    </w:p>
    <w:p>
      <w:pPr>
        <w:ind w:firstLine="440"/>
        <w:rPr>
          <w:rFonts w:eastAsia="黑体"/>
          <w:sz w:val="44"/>
          <w:szCs w:val="44"/>
        </w:rPr>
      </w:pPr>
      <w:r>
        <w:rPr>
          <w:rFonts w:eastAsia="黑体"/>
          <w:sz w:val="44"/>
          <w:szCs w:val="44"/>
        </w:rPr>
        <w:br w:type="page" w:clear="all"/>
      </w:r>
      <w:r/>
    </w:p>
    <w:p>
      <w:pPr>
        <w:ind w:firstLine="440"/>
        <w:jc w:val="center"/>
        <w:rPr>
          <w:rFonts w:eastAsia="黑体"/>
          <w:sz w:val="44"/>
          <w:szCs w:val="44"/>
        </w:rPr>
      </w:pPr>
      <w:r>
        <w:rPr>
          <w:rFonts w:hint="eastAsia" w:eastAsia="黑体"/>
          <w:sz w:val="44"/>
          <w:szCs w:val="44"/>
        </w:rPr>
        <w:t xml:space="preserve">使用说明</w:t>
      </w:r>
      <w:r/>
    </w:p>
    <w:p>
      <w:pPr>
        <w:ind w:firstLine="32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32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32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32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44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ind w:firstLine="281"/>
        <w:jc w:val="center"/>
        <w:keepLines/>
        <w:keepNext/>
        <w:spacing w:line="400" w:lineRule="exact"/>
        <w:rPr>
          <w:rFonts w:ascii="黑体" w:hAnsi="黑体" w:eastAsia="黑体"/>
          <w:b/>
          <w:bCs/>
          <w:sz w:val="28"/>
          <w:szCs w:val="28"/>
        </w:rPr>
        <w:outlineLvl w:val="1"/>
      </w:pPr>
      <w:r/>
      <w:bookmarkStart w:id="167" w:name="_Toc22209"/>
      <w:r/>
      <w:bookmarkEnd w:id="166"/>
      <w:r/>
      <w:r/>
    </w:p>
    <w:p>
      <w:pPr>
        <w:ind w:firstLine="280"/>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7"/>
      <w:r/>
      <w:r/>
    </w:p>
    <w:p>
      <w:pPr>
        <w:ind w:firstLine="280"/>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甲方（全称）：盐城体育运动学校</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24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
        </w:numPr>
        <w:ind w:firstLine="241"/>
        <w:spacing w:line="360" w:lineRule="auto"/>
        <w:rPr>
          <w:rFonts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ascii="宋体" w:hAnsi="宋体"/>
          <w:sz w:val="24"/>
          <w:u w:val="single"/>
        </w:rPr>
      </w:pPr>
      <w:r>
        <w:rPr>
          <w:rFonts w:hint="eastAsia" w:ascii="宋体" w:hAnsi="宋体"/>
          <w:sz w:val="24"/>
        </w:rPr>
        <w:t xml:space="preserve">采购项目名称：盐城体育运动学校新校区厨房设备采购及安装项目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240"/>
        <w:spacing w:line="360" w:lineRule="auto"/>
        <w:rPr>
          <w:rFonts w:ascii="宋体" w:hAnsi="宋体"/>
          <w:sz w:val="24"/>
        </w:rPr>
      </w:pPr>
      <w:r>
        <w:rPr>
          <w:rFonts w:hint="eastAsia" w:ascii="宋体" w:hAnsi="宋体"/>
          <w:sz w:val="24"/>
        </w:rPr>
        <w:t xml:space="preserve">（2）采购计划编号：</w:t>
      </w:r>
      <w:r/>
    </w:p>
    <w:p>
      <w:pPr>
        <w:ind w:firstLine="240"/>
        <w:spacing w:line="360" w:lineRule="auto"/>
        <w:rPr>
          <w:rFonts w:ascii="宋体" w:hAnsi="宋体"/>
          <w:sz w:val="24"/>
        </w:rPr>
      </w:pPr>
      <w:r>
        <w:rPr>
          <w:rFonts w:hint="eastAsia" w:ascii="宋体" w:hAnsi="宋体"/>
          <w:sz w:val="24"/>
        </w:rPr>
        <w:t xml:space="preserve">（3）项目内容：盐城体育运动学校新校区厨房设备采购及安装项目</w:t>
      </w:r>
      <w:r/>
    </w:p>
    <w:p>
      <w:pPr>
        <w:ind w:firstLine="24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 </w:t>
      </w:r>
      <w:r>
        <w:rPr>
          <w:rFonts w:ascii="宋体" w:hAnsi="宋体" w:cs="宋体"/>
          <w:sz w:val="24"/>
        </w:rPr>
        <w:t xml:space="preserve">        </w:t>
      </w:r>
      <w:r>
        <w:rPr>
          <w:rFonts w:hint="eastAsia" w:ascii="宋体" w:hAnsi="宋体" w:cs="宋体"/>
          <w:sz w:val="24"/>
        </w:rPr>
        <w:t xml:space="preserve">规格型号：</w:t>
      </w:r>
      <w:r/>
    </w:p>
    <w:p>
      <w:pPr>
        <w:ind w:firstLine="240"/>
        <w:spacing w:line="360" w:lineRule="auto"/>
        <w:rPr>
          <w:rFonts w:ascii="宋体" w:hAnsi="宋体"/>
          <w:sz w:val="24"/>
          <w:u w:val="single"/>
        </w:rPr>
      </w:pPr>
      <w:r>
        <w:rPr>
          <w:rFonts w:hint="eastAsia" w:ascii="宋体" w:hAnsi="宋体"/>
          <w:sz w:val="24"/>
        </w:rPr>
        <w:t xml:space="preserve">采购标的的技术要求、商务要求具体见附件。</w:t>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若本项目不专门面向中小企业采购，是否给予小微企业评审优惠：</w:t>
      </w:r>
      <w:r>
        <w:rPr>
          <w:rFonts w:ascii="Wingdings" w:hAnsi="Wingdings" w:eastAsia="Wingdings" w:cs="Wingding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24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24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ascii="宋体" w:hAnsi="宋体"/>
          <w:sz w:val="24"/>
        </w:rPr>
      </w:pPr>
      <w:r>
        <w:rPr>
          <w:rFonts w:hint="eastAsia" w:ascii="宋体" w:hAnsi="宋体" w:cs="宋体"/>
          <w:sz w:val="24"/>
        </w:rPr>
        <w:t xml:space="preserve">        国别：品牌： 规格型号：</w:t>
      </w:r>
      <w:r/>
    </w:p>
    <w:p>
      <w:pPr>
        <w:ind w:firstLine="24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24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24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241"/>
        <w:spacing w:line="360" w:lineRule="auto"/>
        <w:rPr>
          <w:rFonts w:ascii="宋体" w:hAnsi="宋体"/>
          <w:b/>
          <w:sz w:val="24"/>
        </w:rPr>
      </w:pPr>
      <w:r>
        <w:rPr>
          <w:rFonts w:hint="eastAsia" w:ascii="宋体" w:hAnsi="宋体"/>
          <w:b/>
          <w:sz w:val="24"/>
        </w:rPr>
        <w:t xml:space="preserve">合同金额</w:t>
      </w:r>
      <w:r/>
    </w:p>
    <w:p>
      <w:pPr>
        <w:ind w:firstLine="240"/>
        <w:spacing w:line="360" w:lineRule="auto"/>
        <w:rPr>
          <w:rFonts w:ascii="宋体" w:hAnsi="宋体"/>
          <w:sz w:val="24"/>
        </w:rPr>
      </w:pPr>
      <w:r>
        <w:rPr>
          <w:rFonts w:hint="eastAsia" w:ascii="宋体" w:hAnsi="宋体"/>
          <w:sz w:val="24"/>
        </w:rPr>
        <w:t xml:space="preserve">（1）合同金额小写：</w:t>
      </w:r>
      <w:r/>
    </w:p>
    <w:p>
      <w:pPr>
        <w:ind w:firstLine="240"/>
        <w:spacing w:line="360" w:lineRule="auto"/>
        <w:rPr>
          <w:rFonts w:ascii="宋体" w:hAnsi="宋体"/>
          <w:sz w:val="24"/>
          <w:u w:val="single"/>
        </w:rPr>
      </w:pPr>
      <w:r>
        <w:rPr>
          <w:rFonts w:hint="eastAsia" w:ascii="宋体" w:hAnsi="宋体"/>
          <w:sz w:val="24"/>
        </w:rPr>
        <w:t xml:space="preserve">大写：</w:t>
      </w:r>
      <w:r/>
    </w:p>
    <w:p>
      <w:pPr>
        <w:ind w:firstLine="240"/>
        <w:spacing w:line="360" w:lineRule="auto"/>
        <w:rPr>
          <w:rFonts w:ascii="宋体" w:hAnsi="宋体"/>
          <w:sz w:val="24"/>
        </w:rPr>
      </w:pPr>
      <w:r>
        <w:rPr>
          <w:rFonts w:hint="eastAsia" w:ascii="宋体" w:hAnsi="宋体"/>
          <w:sz w:val="24"/>
        </w:rPr>
        <w:t xml:space="preserve">分包金额（如有）小写：</w:t>
      </w:r>
      <w:r/>
    </w:p>
    <w:p>
      <w:pPr>
        <w:ind w:firstLine="240"/>
        <w:spacing w:line="360" w:lineRule="auto"/>
        <w:rPr>
          <w:rFonts w:ascii="宋体" w:hAnsi="宋体"/>
          <w:sz w:val="24"/>
          <w:u w:val="single"/>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 （2）付款方式（按项目实际勾选填写，具体详见专用条款第二节</w:t>
      </w:r>
      <w:r/>
    </w:p>
    <w:p>
      <w:pPr>
        <w:spacing w:line="360" w:lineRule="auto"/>
        <w:rPr>
          <w:rFonts w:ascii="宋体" w:hAnsi="宋体"/>
          <w:sz w:val="24"/>
        </w:rPr>
      </w:pPr>
      <w:r>
        <w:rPr>
          <w:rFonts w:hint="eastAsia" w:ascii="宋体" w:hAnsi="宋体"/>
          <w:sz w:val="24"/>
        </w:rPr>
        <w:t xml:space="preserve">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720"/>
        <w:spacing w:line="400" w:lineRule="exact"/>
      </w:pPr>
      <w:r>
        <w:rPr>
          <w:rFonts w:ascii="Wingdings" w:hAnsi="Wingdings" w:eastAsia="Wingdings" w:cs="Wingdings"/>
          <w:sz w:val="24"/>
        </w:rPr>
        <w:t xml:space="preserve"></w:t>
      </w:r>
      <w:r>
        <w:rPr>
          <w:rFonts w:hint="eastAsia" w:ascii="宋体" w:hAnsi="宋体"/>
          <w:szCs w:val="21"/>
        </w:rPr>
        <w:t xml:space="preserve">分期付款：</w:t>
      </w:r>
      <w:r>
        <w:rPr>
          <w:rFonts w:hint="eastAsia"/>
          <w:u w:val="single"/>
        </w:rPr>
        <w:t xml:space="preserve">（具体详见专用条款第二节第</w:t>
      </w:r>
      <w:r>
        <w:rPr>
          <w:rFonts w:hint="eastAsia"/>
          <w:u w:val="single"/>
        </w:rPr>
        <w:t xml:space="preserve">12.2</w:t>
      </w:r>
      <w:r>
        <w:rPr>
          <w:rFonts w:hint="eastAsia"/>
          <w:u w:val="single"/>
        </w:rPr>
        <w:t xml:space="preserve">款）</w:t>
      </w:r>
      <w:r>
        <w:rPr>
          <w:rFonts w:hint="eastAsia"/>
        </w:rPr>
        <w:t xml:space="preserve">，其中涉及预付款的：</w:t>
      </w:r>
      <w:r>
        <w:rPr>
          <w:rFonts w:hint="eastAsia"/>
          <w:u w:val="single"/>
        </w:rPr>
        <w:t xml:space="preserve">（具体详见专用条款第二节第</w:t>
      </w:r>
      <w:r>
        <w:rPr>
          <w:rFonts w:hint="eastAsia"/>
          <w:u w:val="single"/>
        </w:rPr>
        <w:t xml:space="preserve">12.2</w:t>
      </w:r>
      <w:r>
        <w:rPr>
          <w:rFonts w:hint="eastAsia"/>
          <w:u w:val="single"/>
        </w:rPr>
        <w:t xml:space="preserve">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241"/>
        <w:spacing w:line="360" w:lineRule="auto"/>
        <w:rPr>
          <w:rFonts w:ascii="宋体" w:hAnsi="宋体"/>
          <w:b/>
          <w:sz w:val="24"/>
          <w:u w:val="single"/>
        </w:rPr>
      </w:pPr>
      <w:r>
        <w:rPr>
          <w:rFonts w:hint="eastAsia" w:ascii="宋体" w:hAnsi="宋体"/>
          <w:b/>
          <w:sz w:val="24"/>
        </w:rPr>
        <w:t xml:space="preserve">合同履行</w:t>
      </w:r>
      <w:r/>
    </w:p>
    <w:p>
      <w:pPr>
        <w:ind w:firstLine="24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24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bCs/>
          <w:sz w:val="24"/>
          <w:u w:val="single"/>
        </w:rPr>
        <w:t xml:space="preserve">同专用条款</w:t>
      </w:r>
      <w:r>
        <w:rPr>
          <w:rFonts w:hint="eastAsia"/>
          <w:bCs/>
          <w:sz w:val="24"/>
          <w:u w:val="single"/>
        </w:rPr>
        <w:t xml:space="preserve"> </w:t>
      </w:r>
      <w:r>
        <w:rPr>
          <w:rFonts w:hint="eastAsia"/>
          <w:bCs/>
          <w:sz w:val="24"/>
          <w:u w:val="single"/>
        </w:rPr>
        <w:t xml:space="preserve">第二节</w:t>
      </w:r>
      <w:r>
        <w:rPr>
          <w:rFonts w:hint="eastAsia"/>
          <w:bCs/>
          <w:sz w:val="24"/>
          <w:u w:val="single"/>
        </w:rPr>
        <w:t xml:space="preserve"> </w:t>
      </w:r>
      <w:r>
        <w:rPr>
          <w:rFonts w:hint="eastAsia"/>
          <w:bCs/>
          <w:sz w:val="24"/>
          <w:u w:val="single"/>
        </w:rPr>
        <w:t xml:space="preserve">第</w:t>
      </w:r>
      <w:r>
        <w:rPr>
          <w:bCs/>
          <w:sz w:val="24"/>
          <w:u w:val="single"/>
        </w:rPr>
        <w:t xml:space="preserve">23.1</w:t>
      </w:r>
      <w:r>
        <w:rPr>
          <w:bCs/>
          <w:sz w:val="24"/>
          <w:u w:val="single"/>
        </w:rPr>
        <w:t xml:space="preserve">款</w:t>
      </w:r>
      <w:r/>
    </w:p>
    <w:p>
      <w:pPr>
        <w:ind w:firstLine="24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240"/>
        <w:spacing w:line="360" w:lineRule="auto"/>
        <w:rPr>
          <w:sz w:val="24"/>
          <w:szCs w:val="20"/>
          <w:u w:val="single"/>
        </w:rPr>
      </w:pPr>
      <w:r>
        <w:rPr>
          <w:rFonts w:hint="eastAsia" w:ascii="宋体" w:hAnsi="宋体" w:cs="宋体"/>
          <w:sz w:val="24"/>
        </w:rPr>
        <w:t xml:space="preserve">     收取履约保证金形式：</w:t>
      </w:r>
      <w:r>
        <w:rPr>
          <w:sz w:val="24"/>
          <w:szCs w:val="20"/>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240"/>
        <w:spacing w:line="360" w:lineRule="auto"/>
        <w:rPr>
          <w:sz w:val="24"/>
          <w:szCs w:val="20"/>
          <w:u w:val="single"/>
        </w:rPr>
      </w:pPr>
      <w:r>
        <w:rPr>
          <w:rFonts w:hint="eastAsia" w:ascii="宋体" w:hAnsi="宋体" w:cs="宋体"/>
          <w:sz w:val="24"/>
        </w:rPr>
        <w:t xml:space="preserve">     </w:t>
      </w:r>
      <w:r>
        <w:rPr>
          <w:rFonts w:ascii="宋体" w:hAnsi="宋体" w:cs="宋体"/>
          <w:sz w:val="24"/>
        </w:rPr>
        <w:t xml:space="preserve">  </w:t>
      </w:r>
      <w:r>
        <w:rPr>
          <w:rFonts w:hint="eastAsia"/>
          <w:sz w:val="24"/>
          <w:szCs w:val="20"/>
          <w:u w:val="single"/>
        </w:rPr>
        <w:t xml:space="preserve">如以履约保函（保险）形式缴纳履约保证金，供应商可通过政府采购电子履约保函（保险）平台（</w:t>
      </w:r>
      <w:r>
        <w:rPr>
          <w:rFonts w:hint="eastAsia"/>
          <w:sz w:val="24"/>
          <w:szCs w:val="20"/>
          <w:u w:val="single"/>
        </w:rPr>
        <w:t xml:space="preserve">www.jsdzbh.com</w:t>
      </w:r>
      <w:r>
        <w:rPr>
          <w:rFonts w:hint="eastAsia"/>
          <w:sz w:val="24"/>
          <w:szCs w:val="20"/>
          <w:u w:val="single"/>
        </w:rPr>
        <w:t xml:space="preserve">）在线申请履约保函（保险）。</w:t>
      </w:r>
      <w:r/>
    </w:p>
    <w:p>
      <w:pPr>
        <w:ind w:firstLine="240"/>
        <w:spacing w:line="360" w:lineRule="auto"/>
        <w:rPr>
          <w:rFonts w:ascii="宋体" w:hAnsi="宋体" w:cs="宋体"/>
          <w:bCs/>
          <w:sz w:val="24"/>
          <w:u w:val="single"/>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合同金额的10%，采购人应当对AA评级及以上政府采购供应商（需提供信用管理部门备案的第三方信用报告）降低履约保证金缴纳比例至5%。</w:t>
      </w:r>
      <w:r/>
    </w:p>
    <w:p>
      <w:pPr>
        <w:ind w:firstLine="240"/>
        <w:spacing w:line="360" w:lineRule="auto"/>
        <w:rPr>
          <w:rFonts w:ascii="宋体" w:hAnsi="宋体" w:cs="宋体"/>
          <w:bCs/>
          <w:sz w:val="24"/>
          <w:u w:val="single"/>
        </w:rPr>
      </w:pPr>
      <w:r>
        <w:rPr>
          <w:rFonts w:hint="eastAsia" w:ascii="宋体" w:hAnsi="宋体" w:cs="宋体"/>
          <w:sz w:val="24"/>
        </w:rPr>
        <w:t xml:space="preserve">     履约担保期限：验收合格且采购人收到发票后30日内。</w:t>
      </w:r>
      <w:r/>
    </w:p>
    <w:p>
      <w:pPr>
        <w:ind w:firstLine="240"/>
        <w:spacing w:line="360" w:lineRule="auto"/>
        <w:rPr>
          <w:rFonts w:ascii="宋体" w:hAnsi="宋体" w:cs="宋体"/>
          <w:bCs/>
          <w:sz w:val="24"/>
        </w:rPr>
      </w:pPr>
      <w:r>
        <w:rPr>
          <w:rFonts w:hint="eastAsia" w:ascii="宋体" w:hAnsi="宋体" w:cs="宋体"/>
          <w:bCs/>
          <w:sz w:val="24"/>
        </w:rPr>
        <w:t xml:space="preserve">（4）合同履行结束后，甲方应及时退还交纳的履约保证金。</w:t>
      </w:r>
      <w:r/>
    </w:p>
    <w:p>
      <w:pPr>
        <w:ind w:firstLine="240"/>
        <w:spacing w:line="360" w:lineRule="auto"/>
        <w:rPr>
          <w:rFonts w:ascii="宋体" w:hAnsi="宋体" w:cs="宋体"/>
          <w:bCs/>
          <w:sz w:val="24"/>
        </w:rPr>
      </w:pPr>
      <w:r>
        <w:rPr>
          <w:rFonts w:hint="eastAsia" w:ascii="宋体" w:hAnsi="宋体" w:cs="宋体"/>
          <w:bCs/>
          <w:sz w:val="24"/>
        </w:rPr>
        <w:t xml:space="preserve">（5）履约保证金的退还：</w:t>
      </w:r>
      <w:r/>
    </w:p>
    <w:p>
      <w:pPr>
        <w:ind w:firstLine="240"/>
        <w:spacing w:line="360" w:lineRule="auto"/>
        <w:rPr>
          <w:rFonts w:ascii="宋体" w:hAnsi="宋体" w:cs="宋体"/>
          <w:bCs/>
          <w:sz w:val="24"/>
        </w:rPr>
      </w:pPr>
      <w:r>
        <w:rPr>
          <w:rFonts w:hint="eastAsia" w:ascii="宋体" w:hAnsi="宋体" w:cs="宋体"/>
          <w:bCs/>
          <w:sz w:val="24"/>
        </w:rPr>
        <w:t xml:space="preserve">1.方式：无息退还至投标人缴纳履约保证金的账户。如为保函，在到期时自行失效。</w:t>
      </w:r>
      <w:r/>
    </w:p>
    <w:p>
      <w:pPr>
        <w:ind w:firstLine="240"/>
        <w:spacing w:line="360" w:lineRule="auto"/>
        <w:rPr>
          <w:rFonts w:ascii="宋体" w:hAnsi="宋体" w:cs="宋体"/>
          <w:bCs/>
          <w:sz w:val="24"/>
        </w:rPr>
      </w:pPr>
      <w:r>
        <w:rPr>
          <w:rFonts w:hint="eastAsia" w:ascii="宋体" w:hAnsi="宋体" w:cs="宋体"/>
          <w:bCs/>
          <w:sz w:val="24"/>
        </w:rPr>
        <w:t xml:space="preserve">2.时间：验收合格且采购人收到发票后30日内。</w:t>
      </w:r>
      <w:r/>
    </w:p>
    <w:p>
      <w:pPr>
        <w:ind w:firstLine="240"/>
        <w:spacing w:line="360" w:lineRule="auto"/>
        <w:rPr>
          <w:rFonts w:ascii="宋体" w:hAnsi="宋体" w:cs="宋体"/>
          <w:bCs/>
          <w:sz w:val="24"/>
        </w:rPr>
      </w:pPr>
      <w:r>
        <w:rPr>
          <w:rFonts w:hint="eastAsia" w:ascii="宋体" w:hAnsi="宋体" w:cs="宋体"/>
          <w:bCs/>
          <w:sz w:val="24"/>
        </w:rPr>
        <w:t xml:space="preserve">3.条件：按合同要求全部履约完成并经采购人验收合格，且采购人收到中标人出具的发票。</w:t>
      </w:r>
      <w:r/>
    </w:p>
    <w:p>
      <w:pPr>
        <w:ind w:firstLine="240"/>
        <w:spacing w:line="360" w:lineRule="auto"/>
        <w:rPr>
          <w:rFonts w:ascii="宋体" w:hAnsi="宋体" w:cs="宋体"/>
          <w:bCs/>
          <w:sz w:val="24"/>
        </w:rPr>
      </w:pPr>
      <w:r>
        <w:rPr>
          <w:rFonts w:hint="eastAsia" w:ascii="宋体" w:hAnsi="宋体" w:cs="宋体"/>
          <w:bCs/>
          <w:sz w:val="24"/>
        </w:rPr>
        <w:t xml:space="preserve">4.不予退还情形：</w:t>
      </w:r>
      <w:r/>
    </w:p>
    <w:p>
      <w:pPr>
        <w:ind w:firstLine="240"/>
        <w:spacing w:line="360" w:lineRule="auto"/>
        <w:rPr>
          <w:rFonts w:ascii="宋体" w:hAnsi="宋体" w:cs="宋体"/>
          <w:bCs/>
          <w:sz w:val="24"/>
        </w:rPr>
      </w:pPr>
      <w:r>
        <w:rPr>
          <w:rFonts w:hint="eastAsia" w:ascii="宋体" w:hAnsi="宋体" w:cs="宋体"/>
          <w:bCs/>
          <w:sz w:val="24"/>
        </w:rPr>
        <w:t xml:space="preserve">除不可抗力情况外，投标人出现下列情形之一的，其履约保证金，招标人将视情节决定不予退还或部分不予退还。</w:t>
      </w:r>
      <w:r/>
    </w:p>
    <w:p>
      <w:pPr>
        <w:ind w:firstLine="240"/>
        <w:spacing w:line="360" w:lineRule="auto"/>
        <w:rPr>
          <w:rFonts w:ascii="宋体" w:hAnsi="宋体" w:cs="宋体"/>
          <w:bCs/>
          <w:sz w:val="24"/>
        </w:rPr>
      </w:pPr>
      <w:r>
        <w:rPr>
          <w:rFonts w:hint="eastAsia" w:ascii="宋体" w:hAnsi="宋体" w:cs="宋体"/>
          <w:bCs/>
          <w:sz w:val="24"/>
        </w:rPr>
        <w:t xml:space="preserve">1）中标人无正当理由拒绝签订合同的，或者在签订合同时向采购人提出附加条件或者更改合同实质性内容要求的；</w:t>
      </w:r>
      <w:r/>
    </w:p>
    <w:p>
      <w:pPr>
        <w:ind w:firstLine="240"/>
        <w:spacing w:line="360" w:lineRule="auto"/>
        <w:rPr>
          <w:rFonts w:ascii="宋体" w:hAnsi="宋体" w:cs="宋体"/>
          <w:bCs/>
          <w:sz w:val="24"/>
        </w:rPr>
      </w:pPr>
      <w:r>
        <w:rPr>
          <w:rFonts w:hint="eastAsia" w:ascii="宋体" w:hAnsi="宋体" w:cs="宋体"/>
          <w:bCs/>
          <w:sz w:val="24"/>
        </w:rPr>
        <w:t xml:space="preserve">2）中标人不履行与采购人订立的合同的；</w:t>
      </w:r>
      <w:r/>
    </w:p>
    <w:p>
      <w:pPr>
        <w:ind w:firstLine="240"/>
        <w:spacing w:line="360" w:lineRule="auto"/>
        <w:rPr>
          <w:rFonts w:ascii="宋体" w:hAnsi="宋体" w:cs="宋体"/>
          <w:bCs/>
          <w:sz w:val="24"/>
        </w:rPr>
      </w:pPr>
      <w:r>
        <w:rPr>
          <w:rFonts w:hint="eastAsia" w:ascii="宋体" w:hAnsi="宋体" w:cs="宋体"/>
          <w:bCs/>
          <w:sz w:val="24"/>
        </w:rPr>
        <w:t xml:space="preserve">3）中标人所供货物或服务不符合招标文件规定要求的；</w:t>
      </w:r>
      <w:r/>
    </w:p>
    <w:p>
      <w:pPr>
        <w:ind w:firstLine="240"/>
        <w:spacing w:line="360" w:lineRule="auto"/>
        <w:rPr>
          <w:rFonts w:ascii="宋体" w:hAnsi="宋体" w:cs="宋体"/>
          <w:bCs/>
          <w:sz w:val="24"/>
        </w:rPr>
      </w:pPr>
      <w:r>
        <w:rPr>
          <w:rFonts w:hint="eastAsia" w:ascii="宋体" w:hAnsi="宋体" w:cs="宋体"/>
          <w:bCs/>
          <w:sz w:val="24"/>
        </w:rPr>
        <w:t xml:space="preserve">4）中标人采取欺骗、弄虚作假方式投标的或与其它投标人串通投标的；</w:t>
      </w:r>
      <w:r/>
    </w:p>
    <w:p>
      <w:pPr>
        <w:ind w:firstLine="240"/>
        <w:spacing w:line="360" w:lineRule="auto"/>
        <w:rPr>
          <w:rFonts w:ascii="宋体" w:hAnsi="宋体" w:cs="宋体"/>
          <w:bCs/>
          <w:sz w:val="24"/>
        </w:rPr>
      </w:pPr>
      <w:r>
        <w:rPr>
          <w:rFonts w:hint="eastAsia" w:ascii="宋体" w:hAnsi="宋体" w:cs="宋体"/>
          <w:bCs/>
          <w:sz w:val="24"/>
        </w:rPr>
        <w:t xml:space="preserve">5）中标人将合同内容转包、违法分包的；</w:t>
      </w:r>
      <w:r/>
    </w:p>
    <w:p>
      <w:pPr>
        <w:ind w:firstLine="240"/>
        <w:spacing w:line="360" w:lineRule="auto"/>
        <w:rPr>
          <w:rFonts w:ascii="宋体" w:hAnsi="宋体" w:cs="宋体"/>
          <w:bCs/>
          <w:sz w:val="24"/>
        </w:rPr>
      </w:pPr>
      <w:r>
        <w:rPr>
          <w:rFonts w:hint="eastAsia" w:ascii="宋体" w:hAnsi="宋体" w:cs="宋体"/>
          <w:bCs/>
          <w:sz w:val="24"/>
        </w:rPr>
        <w:t xml:space="preserve">6）中标人故意捏造事实或伪造证明材料，进行虚假恶意投诉或反映的。</w:t>
      </w:r>
      <w:r/>
    </w:p>
    <w:p>
      <w:pPr>
        <w:ind w:firstLine="240"/>
        <w:spacing w:line="360" w:lineRule="auto"/>
        <w:rPr>
          <w:rFonts w:ascii="宋体" w:hAnsi="宋体" w:cs="宋体"/>
          <w:bCs/>
          <w:sz w:val="24"/>
        </w:rPr>
      </w:pPr>
      <w:r>
        <w:rPr>
          <w:rFonts w:hint="eastAsia" w:ascii="宋体" w:hAnsi="宋体" w:cs="宋体"/>
          <w:bCs/>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240"/>
        <w:spacing w:line="360" w:lineRule="auto"/>
        <w:rPr>
          <w:rFonts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241"/>
        <w:spacing w:line="360" w:lineRule="auto"/>
        <w:rPr>
          <w:rFonts w:ascii="宋体" w:hAnsi="宋体"/>
          <w:b/>
          <w:sz w:val="24"/>
        </w:rPr>
      </w:pPr>
      <w:r>
        <w:rPr>
          <w:rFonts w:hint="eastAsia" w:ascii="宋体" w:hAnsi="宋体"/>
          <w:b/>
          <w:sz w:val="24"/>
        </w:rPr>
        <w:t xml:space="preserve">合同验收</w:t>
      </w:r>
      <w:r/>
    </w:p>
    <w:p>
      <w:pPr>
        <w:numPr>
          <w:ilvl w:val="0"/>
          <w:numId w:val="4"/>
        </w:numPr>
        <w:ind w:firstLine="24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szCs w:val="20"/>
          <w:lang w:val="zh-CN"/>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u w:val="single"/>
        </w:rPr>
        <w:t xml:space="preserve"> 盐城体育运动学校 </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24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240"/>
        <w:spacing w:line="360" w:lineRule="auto"/>
        <w:rPr>
          <w:rFonts w:ascii="宋体" w:hAnsi="宋体"/>
          <w:bCs/>
          <w:sz w:val="24"/>
        </w:rPr>
      </w:pP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240"/>
        <w:spacing w:line="360" w:lineRule="auto"/>
        <w:rPr>
          <w:rFonts w:ascii="宋体" w:hAnsi="宋体"/>
          <w:bCs/>
          <w:sz w:val="24"/>
          <w:u w:val="single"/>
        </w:rPr>
      </w:pPr>
      <w:r>
        <w:rPr>
          <w:rFonts w:hint="eastAsia" w:ascii="宋体" w:hAnsi="宋体"/>
          <w:bCs/>
          <w:sz w:val="24"/>
        </w:rPr>
        <w:t xml:space="preserve">验收组织的其他事项：</w:t>
      </w:r>
      <w:r/>
    </w:p>
    <w:p>
      <w:pPr>
        <w:ind w:firstLine="24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同专用条款 第二节 第23.1款。</w:t>
      </w:r>
      <w:r/>
    </w:p>
    <w:p>
      <w:pPr>
        <w:ind w:firstLine="24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szCs w:val="20"/>
          <w:lang w:val="zh-CN"/>
        </w:rPr>
        <w:t xml:space="preserve"></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240"/>
        <w:spacing w:line="360" w:lineRule="auto"/>
        <w:rPr>
          <w:rFonts w:ascii="宋体" w:hAnsi="宋体"/>
          <w:bCs/>
          <w:sz w:val="24"/>
        </w:rPr>
      </w:pPr>
      <w:r>
        <w:rPr>
          <w:rFonts w:hint="eastAsia" w:ascii="宋体" w:hAnsi="宋体"/>
          <w:bCs/>
          <w:sz w:val="24"/>
        </w:rPr>
        <w:t xml:space="preserve">（4）履约验收程序：</w:t>
      </w:r>
      <w:r/>
    </w:p>
    <w:p>
      <w:pPr>
        <w:ind w:firstLine="24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包括每一项技术和商务要求的履约情况</w:t>
      </w:r>
      <w:r/>
    </w:p>
    <w:p>
      <w:pPr>
        <w:ind w:firstLine="240"/>
        <w:spacing w:line="360" w:lineRule="auto"/>
        <w:rPr>
          <w:rFonts w:ascii="宋体" w:hAnsi="宋体"/>
          <w:bCs/>
          <w:sz w:val="24"/>
          <w:u w:val="single"/>
        </w:rPr>
      </w:pPr>
      <w:r>
        <w:rPr>
          <w:rFonts w:hint="eastAsia" w:ascii="宋体" w:hAnsi="宋体"/>
          <w:bCs/>
          <w:sz w:val="24"/>
        </w:rPr>
        <w:t xml:space="preserve">（6）履约验收标准：合格</w:t>
      </w:r>
      <w:r/>
    </w:p>
    <w:p>
      <w:pPr>
        <w:ind w:firstLine="24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24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241"/>
        <w:spacing w:line="360" w:lineRule="auto"/>
        <w:rPr>
          <w:rFonts w:ascii="宋体" w:hAnsi="宋体"/>
          <w:b/>
          <w:sz w:val="24"/>
        </w:rPr>
      </w:pPr>
      <w:r>
        <w:rPr>
          <w:rFonts w:hint="eastAsia" w:ascii="宋体" w:hAnsi="宋体"/>
          <w:b/>
          <w:sz w:val="24"/>
        </w:rPr>
        <w:t xml:space="preserve">组成合同的文件</w:t>
      </w:r>
      <w:r/>
    </w:p>
    <w:p>
      <w:pPr>
        <w:ind w:firstLine="24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（6）采购文件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firstLine="241"/>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24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firstLine="241"/>
        <w:spacing w:line="360" w:lineRule="auto"/>
        <w:rPr>
          <w:rFonts w:ascii="宋体" w:hAnsi="宋体"/>
          <w:b/>
          <w:sz w:val="24"/>
        </w:rPr>
      </w:pPr>
      <w:r>
        <w:rPr>
          <w:rFonts w:hint="eastAsia" w:ascii="宋体" w:hAnsi="宋体"/>
          <w:b/>
          <w:sz w:val="24"/>
        </w:rPr>
        <w:t xml:space="preserve">7.合同份数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24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240"/>
        <w:jc w:val="left"/>
        <w:spacing w:line="360" w:lineRule="auto"/>
        <w:rPr>
          <w:rFonts w:ascii="宋体" w:hAnsi="宋体"/>
          <w:sz w:val="24"/>
          <w:u w:val="single"/>
        </w:rPr>
      </w:pPr>
      <w:r>
        <w:rPr>
          <w:rFonts w:hint="eastAsia"/>
          <w:sz w:val="24"/>
        </w:rPr>
        <w:br w:type="page" w:clear="all"/>
      </w:r>
      <w:r/>
    </w:p>
    <w:p>
      <w:pPr>
        <w:ind w:firstLine="24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774"/>
        <w:gridCol w:w="2727"/>
        <w:gridCol w:w="1848"/>
        <w:gridCol w:w="1826"/>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rFonts w:hint="eastAsia"/>
                <w:sz w:val="24"/>
              </w:rPr>
              <w:t xml:space="preserve">盐城体育运动学校</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240"/>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rFonts w:hint="eastAsia"/>
                <w:sz w:val="24"/>
              </w:rPr>
              <w:t xml:space="preserve">盐城市大丰区丰华北路</w:t>
            </w:r>
            <w:r>
              <w:rPr>
                <w:rFonts w:hint="eastAsia"/>
                <w:sz w:val="24"/>
              </w:rPr>
              <w:t xml:space="preserve">12</w:t>
            </w:r>
            <w:r>
              <w:rPr>
                <w:rFonts w:hint="eastAsia"/>
                <w:sz w:val="24"/>
              </w:rPr>
              <w:t xml:space="preserve">号</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rFonts w:hint="eastAsia"/>
                <w:sz w:val="24"/>
              </w:rPr>
              <w:t xml:space="preserve">2</w:t>
            </w:r>
            <w:r>
              <w:rPr>
                <w:sz w:val="24"/>
              </w:rPr>
              <w:t xml:space="preserve">24100</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t xml:space="preserve">12320900468214266W</w:t>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ind w:firstLine="280"/>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57"/>
        <w:ind w:firstLine="361"/>
        <w:jc w:val="center"/>
        <w:spacing w:before="156"/>
        <w:rPr>
          <w:rFonts w:hint="default" w:ascii="黑体" w:hAnsi="黑体" w:eastAsia="黑体"/>
          <w:sz w:val="28"/>
          <w:szCs w:val="28"/>
        </w:rPr>
      </w:pPr>
      <w:r>
        <w:rPr>
          <w:u w:val="single"/>
        </w:rPr>
        <w:br w:type="page" w:clear="all"/>
      </w:r>
      <w:bookmarkStart w:id="168" w:name="_Toc27624"/>
      <w:r/>
      <w:bookmarkStart w:id="169" w:name="_Toc20313"/>
      <w:r>
        <w:rPr>
          <w:rFonts w:ascii="黑体" w:hAnsi="黑体" w:eastAsia="黑体"/>
          <w:b w:val="0"/>
          <w:bCs w:val="0"/>
          <w:sz w:val="28"/>
          <w:szCs w:val="28"/>
        </w:rPr>
        <w:t xml:space="preserve">第二节 政府采购合同通用条款</w:t>
      </w:r>
      <w:bookmarkEnd w:id="168"/>
      <w:r/>
      <w:r/>
    </w:p>
    <w:p>
      <w:pPr>
        <w:ind w:firstLine="241"/>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包括软件）及相关的备品备件、工具、手册及</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5"/>
        </w:numPr>
        <w:ind w:firstLine="241"/>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ind w:firstLine="241"/>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ind w:firstLine="241"/>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ind w:firstLine="241"/>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46"/>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5.3乙方有权</w:t>
      </w:r>
      <w:r>
        <w:rPr>
          <w:rFonts w:hint="eastAsia" w:ascii="宋体" w:hAnsi="宋体" w:cs="宋体"/>
          <w:color w:val="000000" w:themeColor="text1"/>
          <w:szCs w:val="21"/>
        </w:rPr>
        <w:t xml:space="preserve">根据合同约定向甲方收取合同价款。</w:t>
      </w:r>
      <w:r/>
    </w:p>
    <w:p>
      <w:pPr>
        <w:pStyle w:val="1046"/>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6"/>
        </w:numPr>
        <w:ind w:firstLine="241"/>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241"/>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54"/>
        <w:ind w:firstLine="420"/>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ind w:firstLine="241"/>
        <w:jc w:val="left"/>
        <w:spacing w:line="400" w:lineRule="exact"/>
        <w:rPr>
          <w:rFonts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104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4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ind w:firstLine="241"/>
        <w:jc w:val="left"/>
        <w:spacing w:line="400" w:lineRule="exact"/>
        <w:rPr>
          <w:rFonts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ind w:firstLine="241"/>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7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szCs w:val="21"/>
        </w:rPr>
        <w:t xml:space="preserve">。</w:t>
      </w:r>
      <w:r/>
    </w:p>
    <w:p>
      <w:pPr>
        <w:ind w:firstLine="241"/>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ind w:firstLine="241"/>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857"/>
        <w:ind w:firstLine="420"/>
        <w:spacing w:line="400" w:lineRule="exact"/>
        <w:rPr>
          <w:rFonts w:hint="default"/>
        </w:rPr>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1046"/>
        <w:ind w:firstLine="241"/>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24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ind w:firstLine="241"/>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5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ind w:firstLine="241"/>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ind w:firstLine="241"/>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5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5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241"/>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ind w:firstLine="241"/>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41"/>
        <w:jc w:val="left"/>
        <w:spacing w:line="400" w:lineRule="exact"/>
        <w:rPr>
          <w:rFonts w:ascii="宋体" w:hAnsi="宋体"/>
          <w:b/>
          <w:bCs/>
          <w:sz w:val="24"/>
        </w:rPr>
      </w:pPr>
      <w:r>
        <w:rPr>
          <w:rFonts w:hint="eastAsia" w:ascii="宋体" w:hAnsi="宋体"/>
          <w:b/>
          <w:bCs/>
          <w:sz w:val="24"/>
        </w:rPr>
        <w:t xml:space="preserve">19. 解决争议的方法</w:t>
      </w:r>
      <w:r/>
    </w:p>
    <w:p>
      <w:pPr>
        <w:pStyle w:val="105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5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ind w:firstLine="241"/>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1046"/>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241"/>
        <w:jc w:val="left"/>
        <w:spacing w:line="400" w:lineRule="exact"/>
        <w:rPr>
          <w:rFonts w:ascii="宋体" w:hAnsi="宋体"/>
          <w:b/>
          <w:sz w:val="24"/>
        </w:rPr>
      </w:pPr>
      <w:r>
        <w:rPr>
          <w:rFonts w:hint="eastAsia" w:ascii="宋体" w:hAnsi="宋体"/>
          <w:b/>
          <w:sz w:val="24"/>
        </w:rPr>
        <w:t xml:space="preserve">21. 法律适用</w:t>
      </w:r>
      <w:r/>
    </w:p>
    <w:p>
      <w:pPr>
        <w:pStyle w:val="105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5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ind w:firstLine="241"/>
        <w:jc w:val="left"/>
        <w:spacing w:line="400" w:lineRule="exact"/>
        <w:rPr>
          <w:rFonts w:ascii="宋体" w:hAnsi="宋体"/>
          <w:b/>
          <w:sz w:val="24"/>
        </w:rPr>
      </w:pPr>
      <w:r>
        <w:rPr>
          <w:rFonts w:hint="eastAsia" w:ascii="宋体" w:hAnsi="宋体"/>
          <w:b/>
          <w:sz w:val="24"/>
        </w:rPr>
        <w:t xml:space="preserve">22. 通知</w:t>
      </w:r>
      <w:r/>
    </w:p>
    <w:p>
      <w:pPr>
        <w:pStyle w:val="105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5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ind w:firstLine="241"/>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69"/>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sz w:val="24"/>
              </w:rPr>
              <w:t xml:space="preserve">同招标公告及文件</w:t>
            </w:r>
            <w:r/>
          </w:p>
        </w:tc>
      </w:tr>
      <w:tr>
        <w:trPr>
          <w:trHeight w:val="60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十五个工作日内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同协议书</w:t>
            </w:r>
            <w:r/>
          </w:p>
        </w:tc>
      </w:tr>
      <w:tr>
        <w:trPr>
          <w:cantSplit/>
          <w:trHeight w:val="667"/>
        </w:trPr>
        <w:tc>
          <w:tcPr>
            <w:tcW w:w="1560"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sz w:val="24"/>
                <w:szCs w:val="20"/>
                <w:lang w:val="zh-CN"/>
              </w:rPr>
              <w:t xml:space="preserve">同协议书</w:t>
            </w:r>
            <w:r/>
          </w:p>
        </w:tc>
      </w:tr>
      <w:tr>
        <w:trPr>
          <w:trHeight w:val="772"/>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1054"/>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1054"/>
              <w:ind w:firstLine="0"/>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1052"/>
              <w:jc w:val="both"/>
              <w:spacing w:before="120" w:beforeAutospacing="0" w:after="120" w:afterAutospacing="0"/>
              <w:rPr>
                <w:rFonts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质保期内，全年提供</w:t>
            </w:r>
            <w:r>
              <w:rPr>
                <w:rFonts w:hint="eastAsia" w:ascii="宋体" w:hAnsi="宋体"/>
                <w:sz w:val="24"/>
              </w:rPr>
              <w:t xml:space="preserve"> 24 小时技术咨询服务，乙方在接到甲方要求对所购设备进行维修通知时，应在4小时内给予答复，并派出设备制造商的专门维修人员2个工作日内到达甲方现场进行故障确认并维修，12小时内处理完毕。超过质保期的设备，终生维修（含维护），全年提供 24 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1052"/>
              <w:spacing w:before="120" w:beforeAutospacing="0" w:after="120" w:afterAutospacing="0"/>
              <w:rPr>
                <w:rFonts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p>
            <w:pPr>
              <w:pStyle w:val="1052"/>
              <w:spacing w:before="120" w:beforeAutospacing="0" w:after="120" w:afterAutospacing="0"/>
              <w:rPr>
                <w:rFonts w:ascii="宋体" w:hAnsi="宋体"/>
              </w:rPr>
            </w:pPr>
            <w:r>
              <w:rPr>
                <w:rFonts w:hint="eastAsia" w:ascii="宋体" w:hAnsi="宋体"/>
              </w:rPr>
              <w:t xml:space="preserve">9. 如因本项目乙方原因达不到质量目标，必须及时（限期）整改至符合质量要求。否则甲方有权安排其他单位进行整改到位，所需费用直接从乙方价款中代付，乙方有义务按结算价的2%向甲方支付违约金，并在结算时扣除，给甲方造成实际损失的还将承担经济赔偿责任。</w:t>
            </w:r>
            <w:r/>
          </w:p>
        </w:tc>
      </w:tr>
      <w:tr>
        <w:trPr>
          <w:trHeight w:val="736"/>
        </w:trPr>
        <w:tc>
          <w:tcPr>
            <w:tcW w:w="1560"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jc w:val="left"/>
              <w:rPr>
                <w:rFonts w:ascii="宋体" w:hAnsi="宋体"/>
                <w:sz w:val="24"/>
              </w:rPr>
            </w:pPr>
            <w:r>
              <w:rPr>
                <w:rFonts w:hint="eastAsia" w:ascii="宋体" w:hAnsi="宋体"/>
                <w:sz w:val="24"/>
              </w:rPr>
              <w:t xml:space="preserve">①自合同签订生效之日起，收到乙方发票10个工作日内，甲方向乙方支付合同总价的_</w:t>
            </w:r>
            <w:r>
              <w:rPr>
                <w:rFonts w:ascii="宋体" w:hAnsi="宋体"/>
                <w:sz w:val="24"/>
              </w:rPr>
              <w:t xml:space="preserve">30</w:t>
            </w:r>
            <w:r>
              <w:rPr>
                <w:rFonts w:hint="eastAsia" w:ascii="宋体" w:hAnsi="宋体"/>
                <w:sz w:val="24"/>
              </w:rPr>
              <w:t xml:space="preserve">%_款项作为预付款；</w:t>
            </w:r>
            <w:r/>
          </w:p>
          <w:p>
            <w:pPr>
              <w:jc w:val="left"/>
            </w:pPr>
            <w:r>
              <w:rPr>
                <w:rFonts w:hint="eastAsia" w:ascii="宋体" w:hAnsi="宋体"/>
                <w:sz w:val="24"/>
              </w:rPr>
              <w:t xml:space="preserve">②所有货物安装并调试完毕，经甲方（采购方）验收合格后，单据齐全，一次性付清余款。甲方在收到发票后10个工作日内将合同价款支付到合同约定的乙方账户。注：以上付款均不计任何利息和相关费用，付款一律通过银行结转。</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（2）中标人不履行与采购人订立的合同的；</w:t>
            </w:r>
            <w:r/>
          </w:p>
          <w:p>
            <w:pPr>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ascii="宋体" w:hAnsi="宋体" w:cs="宋体"/>
                <w:sz w:val="24"/>
              </w:rPr>
            </w:pPr>
            <w:r>
              <w:rPr>
                <w:rFonts w:hint="eastAsia" w:ascii="宋体" w:hAnsi="宋体" w:cs="宋体"/>
                <w:sz w:val="24"/>
              </w:rPr>
              <w:t xml:space="preserve">（4）中标人采取欺骗、弄虚作假方式投标的或与其他投标人串通投标的；</w:t>
            </w:r>
            <w:r/>
          </w:p>
          <w:p>
            <w:pPr>
              <w:spacing w:line="360" w:lineRule="auto"/>
              <w:rPr>
                <w:rFonts w:ascii="宋体" w:hAnsi="宋体" w:cs="宋体"/>
                <w:sz w:val="24"/>
              </w:rPr>
            </w:pPr>
            <w:r>
              <w:rPr>
                <w:rFonts w:hint="eastAsia" w:ascii="宋体" w:hAnsi="宋体" w:cs="宋体"/>
                <w:sz w:val="24"/>
              </w:rPr>
              <w:t xml:space="preserve">（5）中标人将合同内容转包、违法分包的；</w:t>
            </w:r>
            <w:r/>
          </w:p>
          <w:p>
            <w:pPr>
              <w:spacing w:line="360" w:lineRule="auto"/>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hint="eastAsia"/>
                <w:sz w:val="24"/>
              </w:rPr>
              <w:t xml:space="preserve">整机免费保修期为</w:t>
            </w:r>
            <w:r>
              <w:rPr>
                <w:rFonts w:hint="eastAsia"/>
                <w:sz w:val="24"/>
                <w:u w:val="single"/>
              </w:rPr>
              <w:t xml:space="preserve">    </w:t>
            </w:r>
            <w:r>
              <w:rPr>
                <w:rFonts w:hint="eastAsia"/>
                <w:sz w:val="24"/>
              </w:rPr>
              <w:t xml:space="preserve">年。（自项目交付验收合格之日起计；最终以乙方承诺时间为准）。</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hint="eastAsia"/>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ascii="宋体" w:hAnsi="宋体"/>
                <w:sz w:val="24"/>
              </w:rPr>
            </w:pPr>
            <w:r>
              <w:rPr>
                <w:rFonts w:hint="eastAsia"/>
                <w:sz w:val="24"/>
              </w:rPr>
              <w:t xml:space="preserve">超过质保期的设备，终生维修（含维护），全年提供</w:t>
            </w:r>
            <w:r>
              <w:rPr>
                <w:rFonts w:hint="eastAsia"/>
                <w:sz w:val="24"/>
              </w:rPr>
              <w:t xml:space="preserve"> 24 </w:t>
            </w:r>
            <w:r>
              <w:rPr>
                <w:rFonts w:hint="eastAsia"/>
                <w:sz w:val="24"/>
              </w:rPr>
              <w:t xml:space="preserve">小时技术咨询服务，乙方在接到甲方要求对所购设备进行维修通知时，应在</w:t>
            </w:r>
            <w:r>
              <w:rPr>
                <w:rFonts w:hint="eastAsia"/>
                <w:sz w:val="24"/>
              </w:rPr>
              <w:t xml:space="preserve">4</w:t>
            </w:r>
            <w:r>
              <w:rPr>
                <w:rFonts w:hint="eastAsia"/>
                <w:sz w:val="24"/>
              </w:rPr>
              <w:t xml:space="preserve">小时内给予答复，并派出设备制造商的专门维修人员</w:t>
            </w:r>
            <w:r>
              <w:rPr>
                <w:rFonts w:hint="eastAsia"/>
                <w:sz w:val="24"/>
              </w:rPr>
              <w:t xml:space="preserve">2</w:t>
            </w:r>
            <w:r>
              <w:rPr>
                <w:rFonts w:hint="eastAsia"/>
                <w:sz w:val="24"/>
              </w:rPr>
              <w:t xml:space="preserve">个工作日内到达甲方现场进行故障确认并维修，</w:t>
            </w:r>
            <w:r>
              <w:rPr>
                <w:rFonts w:hint="eastAsia"/>
                <w:sz w:val="24"/>
              </w:rPr>
              <w:t xml:space="preserve">12</w:t>
            </w:r>
            <w:r>
              <w:rPr>
                <w:rFonts w:hint="eastAsia"/>
                <w:sz w:val="24"/>
              </w:rPr>
              <w:t xml:space="preserve">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9"/>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rPr>
                <w:rFonts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spacing w:line="320" w:lineRule="exact"/>
              <w:rPr>
                <w:sz w:val="24"/>
              </w:rPr>
            </w:pPr>
            <w:r>
              <w:rPr>
                <w:rFonts w:hint="eastAsia"/>
                <w:sz w:val="24"/>
              </w:rPr>
              <w:t xml:space="preserve">1.</w:t>
            </w:r>
            <w:r>
              <w:rPr>
                <w:rFonts w:hint="eastAsia"/>
                <w:sz w:val="24"/>
              </w:rPr>
              <w:t xml:space="preserve">乙方应按照“开标（报价）一览表”中规定的交货期或承诺交货和提供服务，并交付甲方验收使用。</w:t>
            </w:r>
            <w:r/>
          </w:p>
          <w:p>
            <w:pPr>
              <w:spacing w:line="320" w:lineRule="exact"/>
              <w:rPr>
                <w:sz w:val="24"/>
              </w:rPr>
            </w:pPr>
            <w:r>
              <w:rPr>
                <w:rFonts w:hint="eastAsia"/>
                <w:sz w:val="24"/>
              </w:rPr>
              <w:t xml:space="preserve">2.</w:t>
            </w:r>
            <w:r>
              <w:rPr>
                <w:rFonts w:hint="eastAsia"/>
                <w:sz w:val="24"/>
              </w:rPr>
              <w:t xml:space="preserve">如果乙方无正当理由拖延交货，将受到以下制裁：加收误期赔偿或终止合同。</w:t>
            </w:r>
            <w:r/>
          </w:p>
          <w:p>
            <w:pPr>
              <w:spacing w:line="320" w:lineRule="exact"/>
              <w:rPr>
                <w:sz w:val="24"/>
              </w:rPr>
            </w:pPr>
            <w:r>
              <w:rPr>
                <w:rFonts w:hint="eastAsia"/>
                <w:sz w:val="24"/>
              </w:rPr>
              <w:t xml:space="preserve">3. </w:t>
            </w:r>
            <w:r>
              <w:rPr>
                <w:rFonts w:hint="eastAsia"/>
                <w:sz w:val="24"/>
              </w:rPr>
              <w:t xml:space="preserve">乙方逾期交付货物的，乙方应按逾期交货总额每日</w:t>
            </w:r>
            <w:r>
              <w:rPr>
                <w:sz w:val="24"/>
                <w:u w:val="single"/>
              </w:rPr>
              <w:t xml:space="preserve">6‰</w:t>
            </w:r>
            <w:r>
              <w:rPr>
                <w:rFonts w:hint="eastAsia"/>
                <w:sz w:val="24"/>
              </w:rPr>
              <w:t xml:space="preserve">向甲方支付违约金，由甲方从待付货款中扣除。逾期超过约定日期</w:t>
            </w:r>
            <w:r>
              <w:rPr>
                <w:rFonts w:hint="eastAsia"/>
                <w:sz w:val="24"/>
                <w:u w:val="single"/>
              </w:rPr>
              <w:t xml:space="preserve">10</w:t>
            </w:r>
            <w:r>
              <w:rPr>
                <w:rFonts w:hint="eastAsia"/>
                <w:sz w:val="24"/>
              </w:rPr>
              <w:t xml:space="preserve">个工作日不能交货的，甲方可解除本合同。乙方因逾期交货或因其他违约行为导致甲方解除合同的，乙方应向甲方支付合同总值</w:t>
            </w:r>
            <w:r>
              <w:rPr>
                <w:rFonts w:hint="eastAsia"/>
                <w:sz w:val="24"/>
                <w:szCs w:val="20"/>
                <w:lang w:val="zh-CN"/>
              </w:rPr>
              <w:t xml:space="preserve">5%</w:t>
            </w:r>
            <w:r>
              <w:rPr>
                <w:rFonts w:hint="eastAsia"/>
                <w:sz w:val="24"/>
              </w:rPr>
              <w:t xml:space="preserve">的违约金，如造成甲方损失超过违约金的，超出部分由乙方继续承担赔偿责任。</w:t>
            </w:r>
            <w:r>
              <w:rPr>
                <w:rFonts w:hint="eastAsia"/>
                <w:sz w:val="24"/>
              </w:rPr>
              <w:t xml:space="preserve"> </w:t>
            </w:r>
            <w:r/>
          </w:p>
          <w:p>
            <w:pPr>
              <w:jc w:val="left"/>
              <w:rPr>
                <w:rFonts w:ascii="宋体" w:hAnsi="宋体"/>
                <w:sz w:val="24"/>
              </w:rPr>
            </w:pPr>
            <w:r>
              <w:rPr>
                <w:rFonts w:hint="eastAsia"/>
                <w:sz w:val="24"/>
              </w:rPr>
              <w:t xml:space="preserve">4.</w:t>
            </w:r>
            <w:r>
              <w:rPr>
                <w:rFonts w:hint="eastAsia"/>
                <w:sz w:val="24"/>
              </w:rPr>
              <w:t xml:space="preserve">如乙方不能交付货物，或者有违法转包他人情形，乙方应向甲方支付合同总价</w:t>
            </w:r>
            <w:r>
              <w:rPr>
                <w:rFonts w:hint="eastAsia"/>
                <w:sz w:val="24"/>
                <w:szCs w:val="20"/>
                <w:lang w:val="zh-CN"/>
              </w:rPr>
              <w:t xml:space="preserve">5%</w:t>
            </w:r>
            <w:r>
              <w:rPr>
                <w:rFonts w:hint="eastAsia"/>
                <w:sz w:val="24"/>
              </w:rPr>
              <w:t xml:space="preserve">的滞纳金。</w:t>
            </w:r>
            <w:r/>
          </w:p>
          <w:p>
            <w:pPr>
              <w:jc w:val="left"/>
              <w:rPr>
                <w:rFonts w:ascii="宋体" w:hAnsi="宋体"/>
                <w:sz w:val="24"/>
                <w:u w:val="single"/>
              </w:rPr>
            </w:pPr>
            <w:r>
              <w:rPr>
                <w:rFonts w:ascii="宋体" w:hAnsi="宋体"/>
                <w:sz w:val="24"/>
                <w:u w:val="single"/>
              </w:rPr>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1052"/>
              <w:jc w:val="both"/>
              <w:spacing w:before="120" w:beforeAutospacing="0" w:after="120" w:afterAutospacing="0"/>
              <w:rPr>
                <w:rFonts w:ascii="宋体" w:hAnsi="宋体"/>
                <w:u w:val="single"/>
              </w:rPr>
            </w:pPr>
            <w:r>
              <w:rPr>
                <w:rFonts w:hint="eastAsia"/>
              </w:rPr>
              <w:t xml:space="preserve">按照银行同期存款利息计算</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hint="eastAsia"/>
                <w:sz w:val="24"/>
                <w:lang w:val="zh-CN"/>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jc w:val="lef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ascii="宋体" w:hAnsi="宋体"/>
                <w:sz w:val="24"/>
                <w:u w:val="single"/>
              </w:rPr>
              <w:t xml:space="preserve">3</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ascii="宋体" w:hAnsi="宋体"/>
                <w:sz w:val="24"/>
                <w:u w:val="single"/>
              </w:rPr>
              <w:t xml:space="preserve">5</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ascii="宋体" w:hAnsi="宋体"/>
                <w:sz w:val="24"/>
              </w:rPr>
            </w:pPr>
            <w:r>
              <w:rPr>
                <w:rFonts w:hint="eastAsia" w:ascii="宋体" w:hAnsi="宋体"/>
                <w:sz w:val="24"/>
              </w:rPr>
              <w:t xml:space="preserve">交货地点：盐城体育运动学校新校园内（盐城市大丰区丰华北路12号）。</w:t>
            </w:r>
            <w:r/>
          </w:p>
          <w:p>
            <w:pPr>
              <w:jc w:val="left"/>
              <w:rPr>
                <w:rFonts w:ascii="宋体" w:hAnsi="宋体"/>
                <w:sz w:val="24"/>
              </w:rPr>
            </w:pPr>
            <w:r>
              <w:rPr>
                <w:rFonts w:hint="eastAsia" w:ascii="宋体" w:hAnsi="宋体"/>
                <w:sz w:val="24"/>
              </w:rPr>
              <w:t xml:space="preserve">（5）甲方应在全部货物到货安装完毕后的十五个工作日内进行验收，验收包括：型号、规格、数量、外观是否完好，安装调试是否合格等。验收合格后甲方应在验收报告上签字盖章</w:t>
            </w:r>
            <w:r/>
          </w:p>
          <w:p>
            <w:pPr>
              <w:jc w:val="lef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ind w:firstLine="241"/>
              <w:jc w:val="left"/>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合同生效及其他</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jc w:val="left"/>
        <w:widowControl/>
        <w:rPr>
          <w:rFonts w:ascii="黑体" w:hAnsi="宋体" w:eastAsia="黑体" w:cs="黑体"/>
          <w:color w:val="000000"/>
          <w:sz w:val="44"/>
          <w:szCs w:val="44"/>
        </w:rPr>
      </w:pPr>
      <w:r>
        <w:rPr>
          <w:rFonts w:ascii="黑体" w:hAnsi="宋体" w:eastAsia="黑体" w:cs="黑体"/>
          <w:color w:val="000000"/>
          <w:sz w:val="44"/>
          <w:szCs w:val="44"/>
        </w:rPr>
      </w:r>
      <w:r/>
    </w:p>
    <w:p>
      <w:pPr>
        <w:pStyle w:val="1052"/>
        <w:ind w:firstLine="440"/>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58"/>
      <w:r>
        <w:rPr>
          <w:rFonts w:hint="eastAsia" w:ascii="黑体" w:hAnsi="宋体" w:eastAsia="黑体" w:cs="黑体"/>
          <w:color w:val="000000"/>
          <w:sz w:val="44"/>
          <w:szCs w:val="44"/>
        </w:rPr>
        <w:t xml:space="preserve">四章 采购需求</w:t>
      </w:r>
      <w:bookmarkEnd w:id="159"/>
      <w:r/>
      <w:bookmarkEnd w:id="160"/>
      <w:r/>
      <w:bookmarkEnd w:id="161"/>
      <w:r/>
      <w:bookmarkEnd w:id="162"/>
      <w:r/>
      <w:bookmarkEnd w:id="163"/>
      <w:r/>
      <w:r/>
    </w:p>
    <w:p>
      <w:pPr>
        <w:pStyle w:val="1052"/>
        <w:jc w:val="both"/>
        <w:spacing w:beforeAutospacing="0" w:afterAutospacing="0" w:line="0" w:lineRule="atLeast"/>
        <w:rPr>
          <w:rFonts w:ascii="宋体" w:hAnsi="宋体" w:eastAsia="宋体" w:cs="宋体"/>
        </w:rPr>
      </w:pPr>
      <w:r/>
      <w:bookmarkStart w:id="171" w:name="_Toc26554093"/>
      <w:r/>
      <w:bookmarkStart w:id="172" w:name="_Toc49090575"/>
      <w:r>
        <w:rPr>
          <w:rFonts w:hint="eastAsia" w:ascii="宋体" w:hAnsi="宋体" w:eastAsia="宋体" w:cs="宋体"/>
          <w:color w:val="000000"/>
        </w:rPr>
        <w:t xml:space="preserve">项目属性:货物类项目。</w:t>
      </w:r>
      <w:bookmarkEnd w:id="171"/>
      <w:r/>
      <w:bookmarkEnd w:id="172"/>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一、项目概况及要求</w:t>
      </w:r>
      <w:r/>
    </w:p>
    <w:p>
      <w:pPr>
        <w:ind w:firstLine="480"/>
        <w:spacing w:line="500" w:lineRule="exact"/>
        <w:rPr>
          <w:rFonts w:ascii="宋体" w:hAnsi="宋体" w:cs="宋体"/>
          <w:sz w:val="24"/>
          <w:u w:val="single"/>
        </w:rPr>
      </w:pPr>
      <w:r>
        <w:rPr>
          <w:rFonts w:hint="eastAsia" w:ascii="宋体" w:hAnsi="宋体" w:cs="宋体"/>
          <w:sz w:val="24"/>
        </w:rPr>
        <w:t xml:space="preserve">1、项目名称：盐城体育运动学校新校区厨房设备采购及安装项目</w:t>
      </w:r>
      <w:r/>
    </w:p>
    <w:p>
      <w:pPr>
        <w:ind w:firstLine="480"/>
        <w:spacing w:line="500" w:lineRule="exact"/>
        <w:rPr>
          <w:rFonts w:ascii="宋体" w:hAnsi="宋体" w:cs="宋体"/>
          <w:sz w:val="24"/>
        </w:rPr>
      </w:pPr>
      <w:r>
        <w:rPr>
          <w:rFonts w:hint="eastAsia" w:ascii="宋体" w:hAnsi="宋体" w:cs="宋体"/>
          <w:sz w:val="24"/>
        </w:rPr>
        <w:t xml:space="preserve">2、预算金额（最高限价）：</w:t>
      </w:r>
      <w:r>
        <w:rPr>
          <w:rFonts w:ascii="宋体" w:hAnsi="宋体" w:cs="宋体"/>
          <w:sz w:val="24"/>
        </w:rPr>
        <w:t xml:space="preserve">180</w:t>
      </w:r>
      <w:r>
        <w:rPr>
          <w:rFonts w:hint="eastAsia" w:ascii="宋体" w:hAnsi="宋体" w:cs="宋体"/>
          <w:sz w:val="24"/>
        </w:rPr>
        <w:t xml:space="preserve">万元</w:t>
      </w:r>
      <w:r/>
    </w:p>
    <w:p>
      <w:pPr>
        <w:ind w:firstLine="480"/>
        <w:spacing w:line="500" w:lineRule="exact"/>
        <w:rPr>
          <w:rFonts w:ascii="宋体" w:hAnsi="宋体" w:cs="宋体"/>
          <w:sz w:val="24"/>
        </w:rPr>
      </w:pPr>
      <w:r>
        <w:rPr>
          <w:rFonts w:hint="eastAsia" w:ascii="宋体" w:hAnsi="宋体" w:cs="宋体"/>
          <w:sz w:val="24"/>
        </w:rPr>
        <w:t xml:space="preserve">3、合同履行期限（供货期）：合同签订后40天内完成供货（安装、调试）并交付使用。</w:t>
      </w:r>
      <w:r/>
    </w:p>
    <w:p>
      <w:pPr>
        <w:ind w:firstLine="480"/>
        <w:spacing w:line="500" w:lineRule="exact"/>
        <w:rPr>
          <w:rFonts w:ascii="宋体" w:hAnsi="宋体" w:cs="宋体"/>
          <w:bCs/>
          <w:sz w:val="24"/>
        </w:rPr>
      </w:pPr>
      <w:r>
        <w:rPr>
          <w:rFonts w:ascii="宋体" w:hAnsi="宋体" w:cs="宋体"/>
          <w:sz w:val="24"/>
        </w:rPr>
        <w:t xml:space="preserve">4</w:t>
      </w:r>
      <w:r>
        <w:rPr>
          <w:rFonts w:hint="eastAsia" w:ascii="宋体" w:hAnsi="宋体" w:cs="宋体"/>
          <w:sz w:val="24"/>
        </w:rPr>
        <w:t xml:space="preserve">、</w:t>
      </w:r>
      <w:r>
        <w:rPr>
          <w:rFonts w:hint="eastAsia" w:ascii="宋体" w:hAnsi="宋体" w:cs="宋体"/>
          <w:bCs/>
          <w:sz w:val="24"/>
        </w:rPr>
        <w:t xml:space="preserve">质保期：2年</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二、招标清单及技术参数要求</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0"/>
        <w:gridCol w:w="1477"/>
        <w:gridCol w:w="3685"/>
        <w:gridCol w:w="2256"/>
        <w:gridCol w:w="831"/>
        <w:gridCol w:w="709"/>
      </w:tblGrid>
      <w:tr>
        <w:trPr>
          <w:jc w:val="center"/>
          <w:trHeight w:val="20"/>
          <w:tblHeader/>
        </w:trPr>
        <w:tc>
          <w:tcPr>
            <w:shd w:val="clear" w:color="auto" w:fill="auto"/>
            <w:tcW w:w="960" w:type="dxa"/>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rPr>
              <w:t xml:space="preserve">编号</w:t>
            </w:r>
            <w:r/>
          </w:p>
        </w:tc>
        <w:tc>
          <w:tcPr>
            <w:shd w:val="clear" w:color="auto" w:fill="auto"/>
            <w:tcW w:w="1477" w:type="dxa"/>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rPr>
              <w:t xml:space="preserve">设备名称</w:t>
            </w:r>
            <w:r/>
          </w:p>
        </w:tc>
        <w:tc>
          <w:tcPr>
            <w:shd w:val="clear" w:color="auto" w:fill="auto"/>
            <w:tcW w:w="3685" w:type="dxa"/>
            <w:vAlign w:val="center"/>
            <w:textDirection w:val="lrTb"/>
            <w:noWrap/>
          </w:tcPr>
          <w:p>
            <w:pPr>
              <w:jc w:val="left"/>
              <w:widowControl/>
              <w:rPr>
                <w:rFonts w:ascii="宋体" w:hAnsi="宋体" w:eastAsia="宋体" w:cs="宋体"/>
                <w:b/>
                <w:bCs/>
                <w:color w:val="000000"/>
                <w:sz w:val="24"/>
              </w:rPr>
            </w:pPr>
            <w:r>
              <w:rPr>
                <w:rFonts w:hint="eastAsia" w:ascii="宋体" w:hAnsi="宋体" w:eastAsia="宋体" w:cs="宋体"/>
                <w:b/>
                <w:bCs/>
                <w:color w:val="000000"/>
                <w:sz w:val="24"/>
              </w:rPr>
              <w:t xml:space="preserve">技术参数</w:t>
            </w:r>
            <w:r/>
          </w:p>
        </w:tc>
        <w:tc>
          <w:tcPr>
            <w:shd w:val="clear" w:color="auto" w:fill="auto"/>
            <w:tcW w:w="2256" w:type="dxa"/>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rPr>
              <w:t xml:space="preserve">参考尺寸</w:t>
            </w:r>
            <w:r>
              <w:rPr>
                <w:rFonts w:hint="eastAsia" w:ascii="宋体" w:hAnsi="宋体" w:eastAsia="宋体" w:cs="宋体"/>
                <w:b/>
                <w:bCs/>
                <w:sz w:val="24"/>
              </w:rPr>
              <w:t xml:space="preserve">（mm）</w:t>
            </w:r>
            <w:r/>
          </w:p>
        </w:tc>
        <w:tc>
          <w:tcPr>
            <w:shd w:val="clear" w:color="auto" w:fill="auto"/>
            <w:tcW w:w="831" w:type="dxa"/>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rPr>
              <w:t xml:space="preserve">数量</w:t>
            </w:r>
            <w:r/>
          </w:p>
        </w:tc>
        <w:tc>
          <w:tcPr>
            <w:shd w:val="clear" w:color="auto" w:fill="auto"/>
            <w:tcW w:w="709" w:type="dxa"/>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rPr>
              <w:t xml:space="preserve">单位</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一层洗碗间+消毒间（A)</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灭蝇灯（粘捕）</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1、电压：220V，功率：30W，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2、灯管：2*15W灯管，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覆盖面积60—80㎡，双面粘板在使用过程能保持完全敞开，通过粘捕纸粘黏蚊蝇。耗能低，无异味，无辐射。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大单星水池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1000*700*800+150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双温摇摆龙头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1、座台式双孔双温低铅铜铸造本体，表面抛光镀铬处理。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2、配1/4转陶瓷阀芯一字型手柄。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3、开孔尺寸25mm*2（±2%）,左右开孔间距101mm(偏芯设计可调范围15mm)，进水接口为标准G1/2外螺纹。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2、顶板、面板、底板、侧板均采用不小于1.2mm厚不锈钢板制作；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3、层板厚度不小于1.2mm，并用不小于1.2mm厚不锈钢板折成加强筋加固；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2、顶板、面板、底板、侧板均采用不小于1.2mm厚不锈钢板制作；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3、层板厚度不小于1.2mm，并用不小于1.2mm厚不锈钢板折成加强筋加固；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2、顶板、面板、底板、侧板均采用不小于1.2mm厚不锈钢板制作；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3、层板厚度不小于1.2mm，并用不小于1.2mm厚不锈钢板折成加强筋加固；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1500*600*1800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洁碟台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3、格栅采用38*25*1.2mm（±2%）厚不锈钢方管；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4、脚管采用38*38*1.2mm（±2%）不锈钢方通；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5、配置不锈钢调节脚。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步进式开水器</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1、功率：12kW,电压：380V,2、内胆采用SUS304不锈钢，水不开不出水，保证100%纯开水，逐层加热、分部进水，杜绝阴阳水和千沸水，保温绝热健康节能，缺水保护，漏电保护，故障自测</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380V/12KW</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A10</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高温双门消毒柜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1、层架材质：304不锈钢，功率：4400W；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3、产品容量：可供200-450人使用；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4、消毒方式：高温消毒+热风循环；</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5、消毒温度:125℃；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6、具有定时功能</w:t>
            </w:r>
            <w:r/>
          </w:p>
          <w:p>
            <w:pPr>
              <w:jc w:val="left"/>
              <w:widowControl/>
              <w:rPr>
                <w:rFonts w:ascii="宋体" w:hAnsi="宋体" w:eastAsia="宋体" w:cs="宋体"/>
                <w:i/>
                <w:color w:val="000000"/>
                <w:sz w:val="24"/>
                <w:u w:val="single"/>
              </w:rPr>
            </w:pPr>
            <w:r>
              <w:rPr>
                <w:rFonts w:hint="eastAsia" w:ascii="宋体" w:hAnsi="宋体" w:eastAsia="宋体" w:cs="宋体"/>
                <w:i/>
                <w:sz w:val="24"/>
                <w:u w:val="single"/>
              </w:rPr>
              <w:t xml:space="preserve">★消毒柜的设备制造商具有《消毒产品生产企业卫生许可证》</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1300*630*1920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A11</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高温双门密胺消毒柜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1、消毒方式：臭氧+红外线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2、消毒星级：不低于一星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3、消毒时间：70分钟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4、温度：80℃±5℃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5、额定功率：1600W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6、电源电压：220V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7、容积：不小于830L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8、层架材质：304不锈钢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9、结构形态：双门单室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1180*500*1750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洗碗机包含药水分配器</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机器入口宽度：</w:t>
            </w:r>
            <w:r>
              <w:rPr>
                <w:rFonts w:ascii="宋体" w:hAnsi="宋体" w:eastAsia="宋体" w:cs="宋体"/>
                <w:i/>
                <w:color w:val="000000"/>
                <w:sz w:val="24"/>
                <w:u w:val="single"/>
              </w:rPr>
              <w:t xml:space="preserve">510</w:t>
            </w:r>
            <w:r>
              <w:rPr>
                <w:rFonts w:hint="eastAsia" w:ascii="宋体" w:hAnsi="宋体" w:eastAsia="宋体" w:cs="宋体"/>
                <w:i/>
                <w:color w:val="000000"/>
                <w:sz w:val="24"/>
                <w:u w:val="single"/>
              </w:rPr>
              <w:t xml:space="preserve">mm</w:t>
            </w:r>
            <w:r>
              <w:rPr>
                <w:rFonts w:hint="eastAsia" w:ascii="宋体" w:hAnsi="宋体" w:eastAsia="宋体" w:cs="宋体"/>
                <w:i/>
                <w:color w:val="000000"/>
                <w:sz w:val="24"/>
                <w:u w:val="single"/>
              </w:rPr>
              <w:t xml:space="preserve">（±2%）；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最大洗涤高度：420mm（±2%）；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最大洗涤量：</w:t>
            </w:r>
            <w:r>
              <w:rPr>
                <w:rFonts w:hint="eastAsia" w:ascii="宋体" w:hAnsi="宋体" w:eastAsia="宋体" w:cs="宋体"/>
                <w:i/>
                <w:color w:val="000000"/>
                <w:sz w:val="24"/>
                <w:u w:val="single"/>
              </w:rPr>
              <w:t xml:space="preserve">3000个/H（以6寸碟为例）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w:t>
            </w:r>
            <w:r>
              <w:rPr>
                <w:rFonts w:hint="eastAsia" w:ascii="宋体" w:hAnsi="宋体" w:eastAsia="宋体" w:cs="宋体"/>
                <w:i/>
                <w:color w:val="000000"/>
                <w:sz w:val="24"/>
                <w:u w:val="single"/>
              </w:rPr>
              <w:t xml:space="preserve">耗水量：</w:t>
            </w:r>
            <w:r>
              <w:rPr>
                <w:rFonts w:ascii="宋体" w:hAnsi="宋体" w:eastAsia="宋体" w:cs="宋体"/>
                <w:i/>
                <w:color w:val="000000"/>
                <w:sz w:val="24"/>
                <w:u w:val="single"/>
              </w:rPr>
              <w:t xml:space="preserve">480</w:t>
            </w:r>
            <w:r>
              <w:rPr>
                <w:rFonts w:hint="eastAsia" w:ascii="宋体" w:hAnsi="宋体" w:eastAsia="宋体" w:cs="宋体"/>
                <w:i/>
                <w:color w:val="000000"/>
                <w:sz w:val="24"/>
                <w:u w:val="single"/>
              </w:rPr>
              <w:t xml:space="preserve">L</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水箱容量：不小于98L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加热包容量：不小于15L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洗涤温度：55-60℃；</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漂洗温度：80-85℃；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进水压力：0.15-0.2Mpa；</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加热方式：电加热型；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电加热型功率：57kw1、面板采用一键式电脑集成线路块，操作简便，具有20种运行代码，温度显示及故障报警;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2、加热模式：电加热输入功率：57KW（±1KW）；清洗量：</w:t>
            </w:r>
            <w:r>
              <w:rPr>
                <w:rFonts w:hint="eastAsia" w:ascii="宋体" w:hAnsi="宋体" w:eastAsia="宋体" w:cs="宋体"/>
                <w:i/>
                <w:color w:val="000000"/>
                <w:sz w:val="24"/>
                <w:u w:val="single"/>
              </w:rPr>
              <w:t xml:space="preserve">3000个/小时（以6寸碟为例）</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3、洗涤区采用提拉门一体成型结构清洗过程；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4、产品材质：采用优质不锈钢，不锈钢材质厚度不低于1.0-2.0mm；抗腐蚀；</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5、机器所有电器部件空开单独控制，如果出现故障关掉一组空开机器还能继续使用</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t xml:space="preserve">4200*1070*2085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洗地龙头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1、开放式洗地龙头、碳钢主体，表面环氧喷涂处理（黑色）</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2、固定侧支架钢板厚度不小于5mm，黄铜进水主体</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3、重工无痕三层液压钢丝管（黑色）、与主体接口为金属连接件、耐温85度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4、黄铜铸造枪式喷头、配有橡胶保护套水压可调。（配置一把喷头）</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5、进水接口为标准G1/2外螺纹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根据《关于印发节能产品政府采购品目清单的通知》（财库〔2019〕19号）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w:t>
            </w:r>
            <w:r>
              <w:rPr>
                <w:rFonts w:hint="eastAsia" w:ascii="宋体" w:hAnsi="宋体" w:eastAsia="宋体" w:cs="宋体"/>
                <w:i/>
                <w:sz w:val="24"/>
                <w:u w:val="single"/>
              </w:rPr>
              <w:t xml:space="preserve">属节水产品，</w:t>
            </w:r>
            <w:r>
              <w:rPr>
                <w:rFonts w:hint="eastAsia" w:ascii="宋体" w:hAnsi="宋体" w:cs="宋体"/>
                <w:i/>
                <w:sz w:val="24"/>
                <w:u w:val="single"/>
              </w:rPr>
              <w:t xml:space="preserve">投标人提供国家确定的认证机构出具的、在开标当日处于有效期之内的该节能产品认证证书</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多孔收餐工作台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1、采用优质304不锈钢板材制作；台面板厚度不小于1.2mm加强处理；立柱为Φ38×1.2mm（±2%）不锈钢管,加装优质不锈钢可调子弹脚。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3200*700*800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2、台面板厚度不小于1.2mm加强处理；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1000*400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双星拖把池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2、星盆斗厚度不小于1.2mm，配置提篮式不锈钢下水器；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1200*600*550+150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A19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保洁柜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2、顶板、面板、底板、侧板均采用不小于1.2mm厚不锈钢板制作；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3、层板厚度不小于1.2mm，并用1.2mm厚不锈钢板折成加强筋加固；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1200*600*1800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一层男女更衣室（B)</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B01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更衣柜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2、顶板、层板、底板、侧板及面板采用不小于1.2mm厚不锈钢板制作；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1300*500*1800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B02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单星洗手池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500*500*800+150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B03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感应龙头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1.外形尺寸：160*62*169(mm)±5%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2.工作电压：1.5V*4（四节五号干电池）或者220V50/60HZ交流电；</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3.工作水压：0.1-0.6MPa可接冷热混水，出水温度可调；</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4.开孔径：25mm；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5.台式安装黄铜铸造水嘴，表面镀铬处理；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6.接水口口径为G1/2外螺纹；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一层售卖间（C)</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双星洗手池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1200*600*800+150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感应龙头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1.外形尺寸：160*62*169(mm)±5%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2.工作电压：1.5V*4（四节五号干电池）或者220V50/60HZ交流电；</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3.工作水压：0.1-0.6MPa可接冷热混水，出水温度可调；</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4.开孔径：25mm；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5.台式安装黄铜铸造水嘴，表面镀铬处理；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6.接水口口径为G1/2外螺纹；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紫外线消毒灯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功率:30W</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920*130*80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单通移门柜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3、层板、底板、侧板及门面采用不小于1.2mm厚不锈钢板制作；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4、加强筋厚度不小于1.2mm；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1800*500*800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1400*700*800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保温售卖工作柜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2、功率：3kw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3、配食品级1/1份数盘4只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5、台面厚度1.2mm，内衬15mm防水机制板并用</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保温饭、汤桶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2、设置不锈钢推拉手，下配两定两动静音轮；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3、下层板厚度不小于1.2mm；</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C12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玻璃门循环消毒柜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1、消毒方式：臭氧+红外线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2、消毒星级：一星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3、消毒时间：70分钟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4、温度：80℃±5℃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5、额定功率：1600W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6、电源电压：220V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7、容积：830L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8、层架材质：304不锈钢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9、结构形态：双门单室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1180*500*1750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C13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留样柜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温度:0~8℃</w:t>
            </w:r>
            <w:r/>
          </w:p>
        </w:tc>
        <w:tc>
          <w:tcPr>
            <w:shd w:val="clear" w:color="auto" w:fill="auto"/>
            <w:tcW w:w="2256"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1220*760*1950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一层加工间（D)</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步进式开水器</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1、功率：12kW,电压：380V,2、内胆采用SUS304不锈钢，水不开不出水，保证100%纯开水，逐层加热、分部进水，杜绝阴阳水和千沸水，保温绝热健康节能，缺水保护，漏电保护，故障自测</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380V/12KW</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双温摇摆龙头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1、座台式双孔双温低铅铜铸造本体，表面抛光镀铬处理，增加表面硬度防止磕碰造成划痕的同时提升了外观光洁与美观度。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2、配1/4转陶瓷阀芯一字型手柄。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3、开孔尺寸25mm*2,左右开孔间距101mm(偏芯设计可调范围15mm)，进水接口为标准G1/2外螺纹。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4、通体材质为低铅铜，有益于饮用水健康，杜绝饮用水铅含量超标。</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根据《关于印发节能产品政府采购品目清单的通知》（财库〔2019〕19号）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w:t>
            </w:r>
            <w:r>
              <w:rPr>
                <w:rFonts w:hint="eastAsia" w:ascii="宋体" w:hAnsi="宋体" w:eastAsia="宋体" w:cs="宋体"/>
                <w:i/>
                <w:color w:val="000000"/>
                <w:sz w:val="24"/>
                <w:u w:val="single"/>
              </w:rPr>
              <w:t xml:space="preserve">属节水产品，投标人提供国家确定的认证机构出具的、在开标当日处于有效期之内的该节能产品认证证书</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灭蝇灯（粘捕）</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1、电压：220V，功率：30W，尺寸5：≥500*120*290mm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2、灯管：2*15W灯管，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覆盖面积60㎡—80㎡，双面粘板在使用过程能保持完全敞开，通过粘捕纸粘黏蚊蝇。耗能低，无异味，无辐射。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双温摇摆龙头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1、座台式双孔双温低铅铜铸造本体，表面抛光镀铬处理，增加表面硬度防止磕碰造成划痕的同时提升了外观光洁与美观度。2、配1/4转陶瓷阀芯一字型手柄。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3、开孔尺寸25mm*2,左右开孔间距101mm(偏芯设计可调范围15mm)，进水接口为标准G1/2外螺纹。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双温摇摆龙头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1、座台式双孔双温低铅铜铸造本体，表面抛光镀铬处理，增加表面硬度防止磕碰造成划痕的同时提升了外观光洁与美观度。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2、配1/4转陶瓷阀芯一字型手柄。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3、开孔尺寸25mm*2,左右开孔间距101mm(偏芯设计可调范围15mm)，进水接口为标准G1/2外螺纹。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D09</w:t>
            </w:r>
            <w:r/>
          </w:p>
        </w:tc>
        <w:tc>
          <w:tcPr>
            <w:shd w:val="clear" w:color="000000" w:fill="ffffff"/>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000000" w:fill="ffffff"/>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1200*700*1500</w:t>
            </w:r>
            <w:r/>
          </w:p>
        </w:tc>
        <w:tc>
          <w:tcPr>
            <w:shd w:val="clear" w:color="000000" w:fill="ffffff"/>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1000*600*800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440*700*800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双层可移动平板工作台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4、配可固定滚轮。</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D13</w:t>
            </w:r>
            <w:r/>
          </w:p>
        </w:tc>
        <w:tc>
          <w:tcPr>
            <w:shd w:val="clear" w:color="000000" w:fill="ffffff"/>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000000" w:fill="ffffff"/>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1500*700*1500</w:t>
            </w:r>
            <w:r/>
          </w:p>
        </w:tc>
        <w:tc>
          <w:tcPr>
            <w:shd w:val="clear" w:color="000000" w:fill="ffffff"/>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D14</w:t>
            </w:r>
            <w:r/>
          </w:p>
        </w:tc>
        <w:tc>
          <w:tcPr>
            <w:shd w:val="clear" w:color="000000" w:fill="ffffff"/>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000000" w:fill="ffffff"/>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1000*500*1500</w:t>
            </w:r>
            <w:r/>
          </w:p>
        </w:tc>
        <w:tc>
          <w:tcPr>
            <w:shd w:val="clear" w:color="000000" w:fill="ffffff"/>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D15</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四门冰箱</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1、控温类型：电子数字控温</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3、板材厚度：外箱0.6mm，内胆0.4mm，门板0.6mm,食品级304#不锈钢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5、机组：一体式机组不可抽出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6、内箱设计：箱体内部采用圆角设计，方便清洁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7、温度范围：冷藏0℃～-10℃，冷冻可达到≤-18℃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8、环境温度：38℃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9、发泡层：箱体保温层采用环戊烷发泡，厚度58mm，更加保温节能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10、制冷剂：R134a</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1200*700*1915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D16</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多功能切菜机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机器尺寸：1200*420*1200mm(长*宽*高) （±2%）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电源：220V，1.5KW，机重：135kg</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1、功能强大、一机多用、省时省力。通过更换刀盘或变频调节输送带与斩刀速度,可切出各种规格的片、丝、丁。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2、全新三合一变频控制，适应现场防水、防潮、防虫要求，电控系统可靠性得到提升。简易的操作模式更让操作者方便操控。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3、丝刀盘采用快拆式独立刀条，能在一个刀盘上直接实现片和丝的直接更换，大大降低了后期维护成本。</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4、本机采用创新的电控模式，具备了物联网通讯接口，可以连接数字化系统。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5、全新设计电机输出转矩增大，切割能力提升</w:t>
            </w:r>
            <w:r/>
          </w:p>
          <w:p>
            <w:pPr>
              <w:jc w:val="left"/>
              <w:widowControl/>
              <w:rPr>
                <w:rFonts w:ascii="宋体" w:hAnsi="宋体" w:eastAsia="宋体" w:cs="宋体"/>
                <w:i/>
                <w:color w:val="000000"/>
                <w:sz w:val="24"/>
                <w:u w:val="single"/>
              </w:rPr>
            </w:pPr>
            <w:r>
              <w:rPr>
                <w:rFonts w:ascii="宋体" w:hAnsi="宋体" w:eastAsia="宋体" w:cs="宋体"/>
                <w:i/>
                <w:color w:val="000000"/>
                <w:sz w:val="24"/>
                <w:u w:val="single"/>
              </w:rPr>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1200*420*1200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D17</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绞切机</w:t>
            </w:r>
            <w:r/>
          </w:p>
        </w:tc>
        <w:tc>
          <w:tcPr>
            <w:shd w:val="clear" w:color="auto" w:fill="auto"/>
            <w:tcW w:w="3685" w:type="dxa"/>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1、电源电压:380V/50Hz</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2、电机功率:1.1KW/0.75kw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3、绞肉产量:不低于300KG/H（绞肉）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4、料口直径：不小于55mm（绞肉）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5、孔板尺寸：6mm/8mm（绞肉）6、切片产量:不低于500KG/H（切肉）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7、切割厚度:3/4.5/6/8/10（切肉）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8、上入料口:130*110MM（±2%）（切肉）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9、下出料口:165*165MM（±2%）（切肉）</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10、机身钢板厚度:不低于3MM(加厚不锈钢)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11、功能：左侧可一次成型切肉片，二次成型切肉丝。右侧可绞肉沫。</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515*480*850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D18</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土豆去皮机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1、不锈钢外壳</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2、额定电压：220V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3、电机功率：1.5KW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4、料桶容积：不低于30KG</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850*530*800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D19</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切肉块机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1、额定电压：220V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2、电机功率：2.2KW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3、加工能力：300-500KG/H</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4、切片厚度：3.5-5mm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615*525*860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D20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洗地龙头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1、开放式洗地龙头、碳钢主体，表面环氧喷涂处理（黑色）</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2、固定侧支架钢板厚度5mm，黄铜进水主体</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3、15.7米重工无痕三层液压钢丝管（黑色）、与主体接口为金属连接件、耐温85度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4、黄铜铸造枪式喷头、配有橡胶保护套水压可调。（配置一把喷头）</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5、进水接口为标准G1/2外螺纹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D21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2、台面板厚度不低于1.2mm加强处理；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D22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2、台面板厚度不低于1.2mm加强处理；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D23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刀具砧板消毒柜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1、柜身采用全不锈钢制作，柜门可透视窗，</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2、额定功率700W,额定电压220V，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3、消毒方式：红外线+紫外线+热风循环。</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1200*590*1720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一层主厨房（E)</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E01</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四门冰箱</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1、控温类型：电子数字控温</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3、板材厚度：外箱0.6mm，内胆0.4mm，门板0.6mm,食品级304#不锈钢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5、机组：一体式机组不可抽出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6、内箱设计：箱体内部采用圆角设计，方便清洁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7、温度范围：冷藏0℃～-10℃，冷冻可达到≤-18℃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8、环境温度：38℃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9、发泡层：箱体保温层采用环戊烷发泡，厚度58mm，更加保温节能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10、制冷剂：R134a</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1200*700*1915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1、整体采用SUS304不锈钢制作，台面厚不低于1.2mm；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2、星盆斗厚不低于1.2mm，配置提篮式不锈钢下水器；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1、采用优质304不锈钢板材制作；2、台面板厚度不低于1.2mm加强处理；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洗米机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不低于100KG</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直径：700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1、整体采用SUS304不锈钢制作，台面厚不低于1.2mm；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2、星盆斗厚不低于1.2mm，配置提篮式不锈钢下水器；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厨房设备灭火装置</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1、材料采用304不锈钢材质，并经过防腐处理。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2、(1)启动方式:自动启动、手动启动和机械应急启动；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(2)工作环境温度:4℃~55℃；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(3)感温器动作温度:183℃~232℃；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(4)灭火剂持续喷射时间:≥10s；</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(5)灭火时间:≤120s；</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(6)冷却水喷</w:t>
            </w:r>
            <w:r>
              <w:rPr>
                <w:rFonts w:hint="eastAsia" w:ascii="宋体" w:hAnsi="宋体" w:eastAsia="宋体" w:cs="宋体"/>
                <w:i/>
                <w:color w:val="000000"/>
                <w:sz w:val="24"/>
                <w:u w:val="single"/>
              </w:rPr>
              <w:t xml:space="preserve">洒</w:t>
            </w:r>
            <w:r>
              <w:rPr>
                <w:rFonts w:hint="eastAsia" w:ascii="宋体" w:hAnsi="宋体" w:eastAsia="宋体" w:cs="宋体"/>
                <w:i/>
                <w:color w:val="000000"/>
                <w:sz w:val="24"/>
                <w:u w:val="single"/>
              </w:rPr>
              <w:t xml:space="preserve">时间:≥5min；(7)喷嘴数：双瓶组：≥18个。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3、驱动方式及工作压力：驱动方式：氮气驱动，规格:1.2L,驱动气体充装压力为12MPa，经过减压阀后的出口工作压力为1.0MPa。</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双瓶</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组</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节能燃气双头矮汤炉</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1、炉灶台面采用SUS304-2B发纹贴塑不锈钢板制造，</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2、台面板厚不低于1.2mm，前面板厚不低于1.2mm，背板及侧板厚不低于1.2mm，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3、炉体骨架采用优质不锈钢方管38*38*1.2mm（±2%）无缝满焊，炉腿采用优质不锈钢圆管Φ51*1.2mm（±2%），内含可调脚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炉头采用双层低噪音恒压预混式节能炉头，火力大小可任意调节，气体可充分燃烧，无黑烟，热效率大于45%，整体铸铁炉膛，小孔储热，减少热量散失，炉膛与炮台结合处添加隔热材料，配一键启动及熄火保护，方便操作，防止燃气泄露，减少安全隐患，气掣采用耐高温、耐腐蚀的国优品牌，采用低噪音全钢壳中压风机，噪音低</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1400*700*500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24盘电蒸饭柜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1、蒸饭量：75kg</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2、蒸饭时间：60分钟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3、功率：24kw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4、电压：380V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5、盆数：24盆（含盘）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6、板材采用304不锈钢板制作。</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1150*850*1850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燃气单眼炒灶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（带熄火保护装置）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1、材料采用SUS304不锈钢板制作，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2、台面厚不低于1.5mm厚不锈钢板，围板不低于1.2mm厚不锈钢板，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风机为220V/250W，炉底架采用40mm*40mm国标角铁制作，角铁架上附2.0mm厚冷铁板与石锦隔热，所有角铁涂有足够的防锈漆，炉膛内砌耐火砖及石棉混合耐火泥沙，配直径5寸混风式燃烧器（炉头带长明火种）燃烧器为节能环保型燃烧器，带自动点火和自动熄火保护装置。燃气管道及配件采用优质国标管件，每个炉头配有摇摆水龙头，炉脚为不锈钢圆管配可调式重力脚。前挡板上设有主火开关、火种开关</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2、台面厚度不低于1.2mm，内衬15mm防水机制板并用不低于1.2mm厚不锈钢板折成加强筋加固；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1800*800*800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E13</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双层吊天层架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1、采用优质304不锈钢板材制作；2、台面板厚度不低于1.2mm加强处理；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组</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调味台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1、优质304#不锈钢磨砂板，面板厚度不低于1.2mm、侧板厚度不低于1.2mm；不锈钢后挡炉背板；2、横通采用￠25*1.2mm（±2%）不锈钢管连接，立管采用￠38*1.2mm（±2%）不锈钢管连可调节高度子弹脚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700*800*800+450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调味台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1、优质304#不锈钢磨砂板，面板厚度不低于1.2mm、侧板厚度不低于1.2mm；不锈钢后挡炉背板；2、横通采用￠25*1.2mm（±2%）不锈钢管连接，立管采用￠38*1.2mm（±2%）不锈钢管连可调节高度子弹脚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300*1350*800+450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E16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燃气单头大锅灶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（带熄火保护装置）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1、材料采用SUS304不锈钢板制作，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2、台面厚度不低于1.5mm厚不锈钢板，围板为厚度不低于1.2mm厚不锈钢板，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风机为220V/250W，炉底架采用40mm×40mm国标角铁制作，角铁架上附2.0mm厚冷铁板与石锦隔热，所有角铁涂有足够的防锈漆，炉膛内砌耐火砖及石棉混合耐火泥沙，配直径5寸混风式燃烧器（炉头带长明火种）燃烧器为节能环保型燃烧器，带自动点火和自动熄火保护装置。燃气管道及配件采用优质国标管件，每个炉头配有摇摆水龙头，炉脚为不锈钢圆管配可调式重力脚。前挡板上设有主火开关、火种开关</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1350*1350*800+450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一层储物间（F)</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F01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1、整体采用SUS304不锈钢制作，平板厚度不低于1.2mm；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8</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F02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1、整体采用SUS304不锈钢制作，平板厚度不低于1.2mm；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F03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1、整体采用SUS304不锈钢制作，平板厚度不低于1.2mm；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1100*500*1500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一层冷库（G)</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G01</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冷藏库</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1、冷库板采用SUS304不锈钢</w:t>
            </w:r>
            <w:r>
              <w:rPr>
                <w:rFonts w:hint="eastAsia" w:ascii="宋体" w:hAnsi="宋体" w:eastAsia="宋体" w:cs="宋体"/>
                <w:i/>
                <w:color w:val="000000"/>
                <w:sz w:val="24"/>
                <w:u w:val="single"/>
              </w:rPr>
              <w:t xml:space="preserve">不低于0</w:t>
            </w:r>
            <w:r>
              <w:rPr>
                <w:rFonts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mm，10公分厚PU聚氨醋夹芯板，含复合B2级阻燃;库板密度标准42±2KG/m³;抗压强度标准≥160kpa;导热系数标准≤0.024W/(M.k)</w:t>
            </w:r>
            <w:r/>
          </w:p>
          <w:p>
            <w:pPr>
              <w:jc w:val="left"/>
              <w:widowControl/>
              <w:rPr>
                <w:rFonts w:ascii="宋体" w:hAnsi="宋体" w:eastAsia="宋体" w:cs="宋体"/>
                <w:i/>
                <w:sz w:val="24"/>
                <w:u w:val="single"/>
              </w:rPr>
            </w:pPr>
            <w:r>
              <w:rPr>
                <w:rFonts w:hint="eastAsia" w:ascii="宋体" w:hAnsi="宋体" w:eastAsia="宋体" w:cs="宋体"/>
                <w:i/>
                <w:color w:val="000000"/>
                <w:sz w:val="24"/>
                <w:u w:val="single"/>
              </w:rPr>
              <w:t xml:space="preserve">保温材料具有阻燃性，</w:t>
            </w:r>
            <w:r>
              <w:rPr>
                <w:rFonts w:hint="eastAsia" w:ascii="宋体" w:hAnsi="宋体" w:eastAsia="宋体" w:cs="宋体"/>
                <w:i/>
                <w:sz w:val="24"/>
                <w:u w:val="single"/>
              </w:rPr>
              <w:t xml:space="preserve">防火性符合</w:t>
            </w:r>
            <w:r>
              <w:rPr>
                <w:rFonts w:ascii="宋体" w:hAnsi="宋体" w:eastAsia="宋体" w:cs="宋体"/>
                <w:i/>
                <w:sz w:val="24"/>
                <w:u w:val="single"/>
              </w:rPr>
              <w:t xml:space="preserve">B2及以上认证等级，组合冷库用隔热夹芯板（复合材料）。</w:t>
            </w:r>
            <w:r/>
          </w:p>
          <w:p>
            <w:pPr>
              <w:jc w:val="left"/>
              <w:widowControl/>
              <w:rPr>
                <w:rFonts w:ascii="宋体" w:hAnsi="宋体" w:eastAsia="宋体" w:cs="宋体"/>
                <w:i/>
                <w:color w:val="000000"/>
                <w:sz w:val="24"/>
                <w:u w:val="single"/>
              </w:rPr>
            </w:pPr>
            <w:r>
              <w:rPr>
                <w:rFonts w:ascii="宋体" w:hAnsi="宋体" w:eastAsia="宋体" w:cs="宋体"/>
                <w:i/>
                <w:color w:val="000000"/>
                <w:sz w:val="24"/>
                <w:u w:val="single"/>
              </w:rPr>
              <w:t xml:space="preserve">2、</w:t>
            </w:r>
            <w:r>
              <w:rPr>
                <w:rFonts w:hint="eastAsia" w:ascii="宋体" w:hAnsi="宋体" w:eastAsia="宋体" w:cs="宋体"/>
                <w:i/>
                <w:color w:val="000000"/>
                <w:sz w:val="24"/>
                <w:u w:val="single"/>
              </w:rPr>
              <w:t xml:space="preserve">产品符合</w:t>
            </w:r>
            <w:r>
              <w:rPr>
                <w:rFonts w:hint="eastAsia" w:ascii="宋体" w:hAnsi="宋体" w:eastAsia="宋体" w:cs="宋体"/>
                <w:i/>
                <w:sz w:val="24"/>
                <w:u w:val="single"/>
              </w:rPr>
              <w:t xml:space="preserve">食品接触金属材料及制品；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3、冷库门门框为单身门框重力回归门，镶嵌耐低温的磁性密封条及门框配置发热丝防结露，具有良好的弹性和耐磨性，能防止发霉，表面光洁，不会藏污纳垢，容易清洁。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4、配置LED防水防爆灯具，防尘等级不低于IPX6</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5、制冷机组采用优质压缩机，冷藏温控范围2℃~8℃，功率：1KW-100KW适用范围：冷藏，性能优异，高效的COP性能表现，超银焊接工艺确保产品可靠性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6、采用优质蒸发器高效冷风机，温度蒸发温度-7℃，盘管排数：3，风扇直径：300采用优质转子电机，电源：220V/50HZ,风量：≥3600m³/h,最大送风距离不小于12m，功率不小于360W.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7、全自动微电脑温度控制柜，缺相保护、过载保护、不平衡保护、高低压力保护。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1700*4700*2200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G02</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冷冻库</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1、冷库板采用SUS304不锈钢</w:t>
            </w:r>
            <w:r>
              <w:rPr>
                <w:rFonts w:hint="eastAsia" w:ascii="宋体" w:hAnsi="宋体" w:eastAsia="宋体" w:cs="宋体"/>
                <w:i/>
                <w:color w:val="000000"/>
                <w:sz w:val="24"/>
                <w:u w:val="single"/>
              </w:rPr>
              <w:t xml:space="preserve">不低于0</w:t>
            </w:r>
            <w:r>
              <w:rPr>
                <w:rFonts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mm，10公分厚PU聚氨醋夹芯板，含复合B2级阻燃;库板密度标准42±2KG/m³;抗压强度标准≥160kpa;导热系数标准≤0.024W/(M.k)保温材料具有阻燃性，防火性符合GB8624-2012《建筑材料及制品燃烧性能分级》B2及以上认证等级，组合冷库用隔热夹芯板（复合材料）。</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2、符合GB4806.1-2016食品安全国家标准，食品接触金属材料及制品。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3、冷库门门框为单身门框重力回归门，镶嵌耐低温的磁性密封条及门框配置发热丝防结露，具有良好的弹性和耐磨性，能防止发霉，表面光洁，不会藏污纳垢，容易清洁。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4、配置LED防水防爆灯具，防尘等级IPX6，</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5、制冷机组采用优质压缩机，冷冻库温控范围-13℃~-18℃，功率：1KW-100KW适用范围：冷冻，性能优异，高效的COP性能表现，超银焊接工艺确保产品可靠性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6、采用优质蒸发器高效冷风机，温度蒸发温度-7℃，盘管排数：3，风扇直径：300采用优质转子电机，电源：220V/50HZ,风量：≥3600m³/h,最大送风距离不小于12m，功率不小于360W.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7、全自动微电脑温度控制柜，缺相保护、过载保护、不平衡保护、高低压力保护。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2200*2500*2200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G03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G04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1、整体采用SUS304不锈钢制作，平板厚度不低于1.2mm；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二层职工食堂洗碗间（H)</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1、电压：220V，功率：30W，尺寸：≥500*120*290mm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2、灯管：2*15W灯管，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覆盖面积60㎡—80㎡，双面粘板在使用过程能保持完全敞开，通过粘捕纸粘黏蚊蝇。耗能低，无异味，无辐射。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双温摇摆龙头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1、座台式双孔双温低铅铜铸造本体，表面抛光镀铬处理，增加表面硬度防止磕碰造成划痕的同时提升了外观光洁与美观度。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2、配1/4转陶瓷阀芯一字型手柄。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3、开孔尺寸25mm*2,左右开孔间距101mm(偏芯设计可调范围15mm)，进水接口为标准G1/2外螺纹。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多孔收餐工作台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2、台面板厚不小于1.2mm加强处理；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3、立柱为Φ38×1.2mm（±2%）不锈钢管,加装优质不锈钢可调子弹脚。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1400*700*800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2、台面板不低于1.2mm加强处理；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2、顶板、面板、底板、侧板均采用不小于1.2mm厚不锈钢板制作；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3、层板厚度不小于1.2mm，并用不小于1.2mm厚不锈钢板折成加强筋加固；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大单星水池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1、整体采用SUS304不锈钢制作，台面厚度不小于1.2mm；2、星盆斗厚不小于1.2mm，配置提篮式不锈钢下水器；3、立柱采用φ38*1.2mm（±2%）圆管，配不锈钢可调子弹脚；4、横撑采用φ32*1.2mm（±2%）圆通；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900*700*800+150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双温摇摆龙头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座台式双孔双温低铅铜铸造本体，表面抛光镀铬处理。2、配1/4转陶瓷阀芯一字型手柄。3、开孔尺寸25mm*2（±2%）,左右开孔间距101mm(偏芯设计可调范围15mm)，进水接口为标准G1/2外螺纹。4、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H09</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单门消毒柜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1、机身+层架材质：201不锈钢，功率：4400W；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2、消毒等级：不低于二星级；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3、消毒方式：高温消毒+热风循环；</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4、消毒温度:125℃；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5、具有定时功能</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650*630*1920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二层教职工食堂售卖间（I)</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单星洗手池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500*500*800+150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感应龙头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1.外形尺寸：160×62×169(mm)±5%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2.工作电压：1.5V×4（四节五号干电池）或者220V50/60HZ交流电；</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3.工作水压：0.1-0.6MPa可接冷热混水，出水温度可调；</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4.开孔径：不小于25mm；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5.台式安装黄铜铸造水嘴，表面镀铬处理；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6.接水口口径为G1/2外螺纹；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w:t>
            </w:r>
            <w:r>
              <w:rPr>
                <w:rFonts w:hint="eastAsia" w:ascii="宋体" w:hAnsi="宋体" w:eastAsia="宋体" w:cs="宋体"/>
                <w:i/>
                <w:color w:val="000000"/>
                <w:sz w:val="24"/>
                <w:u w:val="single"/>
              </w:rPr>
              <w:t xml:space="preserve">根据《关于印发节能产品政府采购品目清单的通知》（财库〔2019〕19号）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w:t>
            </w:r>
            <w:r>
              <w:rPr>
                <w:rFonts w:hint="eastAsia" w:ascii="宋体" w:hAnsi="宋体" w:eastAsia="宋体" w:cs="宋体"/>
                <w:i/>
                <w:color w:val="000000"/>
                <w:sz w:val="24"/>
                <w:u w:val="single"/>
              </w:rPr>
              <w:t xml:space="preserve">属节水产品，投标人提供国家确定的认证机构出具的、在开标当日处于有效期之内的该节能产品认证证书</w:t>
            </w:r>
            <w:r>
              <w:rPr>
                <w:rFonts w:ascii="宋体" w:hAnsi="宋体" w:eastAsia="宋体" w:cs="宋体"/>
                <w:i/>
                <w:color w:val="000000"/>
                <w:sz w:val="24"/>
                <w:u w:val="single"/>
              </w:rPr>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紫外线消毒灯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功率:30W</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920*130*80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1400*700*800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保温售饭工作柜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2、功率：3kw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3、配食品级1/1份数盘6只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5、台面厚度不低于1.2mm，内衬15mm防水机制板并用</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2200*700*800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暖饭车</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1、整体采用SUS304不锈钢制作，厚度不低于1.2mm；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2、设置不锈钢推拉手，下配两定两动静音轮；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3、下层板厚度不低于1.2mm；</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I08</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玻璃门循环消毒柜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1、消毒方式：臭氧+红外线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2、消毒星级：一星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3、消毒时间：70分钟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4、温度：80℃±5℃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5、额定功率：1600W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6、电源电压：220V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7、容积：不低于830L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8、层架材质：304不锈钢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9、结构形态：双门单室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1180*500*1750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单门留样柜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温度:0~8℃</w:t>
            </w:r>
            <w:r/>
          </w:p>
        </w:tc>
        <w:tc>
          <w:tcPr>
            <w:shd w:val="clear" w:color="auto" w:fill="auto"/>
            <w:tcW w:w="2256"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620*760*1950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I10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单通工作柜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3、层板、底板、侧板及门面采用不小于1.2mm厚不锈钢板制作；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4、加强筋厚度1.2mm；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2000*500*800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二层教职工食堂主厨房（J)</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电磁单头大锅灶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380V20kw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1、材质：SUS304不锈钢框架式结构机身，耐腐蚀，经久耐用。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2、水龙头：配备SUS304不锈钢摇摆水龙头，可以180度旋转，安全防漏。</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3、显示屏：LED彩色数码显示屏，能实时显示功率和当前火力档位，火力调控更加直观。</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4、把手：8档火力调节，人机工效学设计(Ergonomics)，合金材质火力调节把手搭配硅胶防滑垫，档位清晰控感好，适应厨师使用习惯，可直接用膝盖控制。</w:t>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5、ADD（自适应数字判断）磁电引擎，数字驱动、多级防护，机芯稳定性高，适用各种厨房环境，确保设备安全可靠。</w:t>
            </w:r>
            <w:r>
              <w:rPr>
                <w:i/>
                <w:iCs/>
                <w:u w:val="single"/>
              </w:rPr>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6、耐高温“齿”形线盘组件，搭配高效聚能稀土磁条，创新导风散热结构，磁场分布均匀，发热低、损耗小、不偏火、不烧线盘</w:t>
            </w:r>
            <w:r>
              <w:rPr>
                <w:i/>
                <w:iCs/>
                <w:u w:val="single"/>
              </w:rPr>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7、高效后吸式散热，大风量，散热速度快，减少散热风机故障。大功率加热，火力强劲，满足大份量爆炒、焖煮的烹饪需求，显著提升出品效率。</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8、立体三防结构设计，防水、防油烟、防虫。</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9、配置不小于φ800mm大锅</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1350*1350*800+450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电磁双眼炒灶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380V15kW*2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1、材质：SUS304不锈钢框架式结构机身，耐腐蚀，经久耐用。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2、水龙头：配备SUS304不锈钢摇摆水龙头，可以180度旋转，安全防漏。</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3、显示屏：LED彩色数码显示屏，能实时显示功率和当前火力档位，火力调控更加直观。</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4、把手：8档火力调节，人机工效学设计(Ergonomics)，合金材质火力调节把手搭配硅胶防滑垫，档位清晰控感好，适应厨师使用习惯，可直接用膝盖控制。</w:t>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5、ADD（自适应数字判断）磁电引擎，数字驱动、多级防护，机芯稳定性高，适用各种厨房环境，确保设备安全可靠。</w:t>
            </w:r>
            <w:r>
              <w:rPr>
                <w:i/>
                <w:iCs/>
                <w:u w:val="single"/>
              </w:rPr>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6、耐高温“齿”形线盘组件，搭配高效聚能稀土磁条，创新导风散热结构，磁场分布均匀，发热低、损耗小、不偏火、不烧线盘</w:t>
            </w:r>
            <w:r>
              <w:rPr>
                <w:i/>
                <w:iCs/>
                <w:u w:val="single"/>
              </w:rPr>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7、高效后吸式散热，大风量，散热速度快，减少散热风机故障。大功率加热，火力强劲，满足大份量爆炒、焖煮的烹饪需求，显著提升出品效率。</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8、立体三防结构设计，防水、防油烟、防虫。</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9、配置不小于φ600mm电磁灶专用炒锅2个</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1800*1000*800+450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调料台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1、优质304#不锈钢磨砂板，面板厚度不小于1.2mm、侧板厚度不小于1.2mm；不锈钢后挡炉背板；2、横通采用￠25*1.2mm（±2%）不锈钢管连接，立管采用￠38*1.2mm（±2%）不锈钢管连可调节高度子弹脚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300*1350*800+450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调料台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1、优质304#不锈钢磨砂板，面板厚度不小于1.2mm、侧板厚度不小于1.2mm；不锈钢后挡炉背板；2、横通采用￠25*1.2mm（±2%）不锈钢管连接，立管采用￠38*1.2mm（±2%）不锈钢管连可调节高度子弹脚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300*1000*800+450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电磁三门海鲜蒸柜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1、电磁感应加热，热效率更高，出品速度更快。</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2、一体成型柜体设计，锁住蒸汽不流失。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3、蒸汽快速发生系统，水位精准控制，蒸汽产生时间更快、蒸饭效率更高。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4、材质：全不锈钢加厚机身，SUS304不锈钢精铸门合页铰链，美观大方，坚固耐用。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5、水箱：敞开式可清洁水箱设计，装拆清洗方便，更卫生、蒸品口感佳。</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6、立体三防结构设计，防水、防油烟、防虫。</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7、内置溢流保护系统，避免因为元器件失效而产生烫伤、触电等安全隐患发生。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8、液体膨胀式干烧保护系统，产品使用寿命更长。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9、CKC缺水保护系统，避免水箱缺水导致设备故障。</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900*880*1820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电磁单头矮汤炉</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380V15kW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1、材质：SUS304不锈钢框架式结构机身，耐腐蚀，经久耐用。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2、水龙头：配备SUS304不锈钢摇摆水龙头，可以180度旋转，安全防漏。</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3、显示屏：LED彩色数码显示屏，能实时显示功率和当前火力档位，火力调控更加直观。</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4、把手：8档火力调节，人机工效学设计(Ergonomics)，合金材质火力调节把手搭配硅胶防滑垫，档位清晰控感好，适应厨师使用习惯，可直接用膝盖控制。</w:t>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5、ADD（自适应数字判断）磁电引擎，数字驱动、多级防护，机芯稳定性高，适用各种厨房环境，确保设备安全可靠。</w:t>
            </w:r>
            <w:r>
              <w:rPr>
                <w:i/>
                <w:iCs/>
                <w:u w:val="single"/>
              </w:rPr>
            </w:r>
            <w:r/>
          </w:p>
          <w:p>
            <w:pPr>
              <w:jc w:val="left"/>
              <w:widowControl/>
              <w:rPr>
                <w:rFonts w:ascii="宋体" w:hAnsi="宋体" w:eastAsia="宋体" w:cs="宋体"/>
                <w:bCs/>
                <w:i/>
                <w:color w:val="000000"/>
                <w:sz w:val="24"/>
                <w:u w:val="single"/>
              </w:rPr>
            </w:pPr>
            <w:r>
              <w:rPr>
                <w:rFonts w:hint="eastAsia" w:ascii="宋体" w:hAnsi="宋体" w:eastAsia="宋体" w:cs="宋体"/>
                <w:i/>
                <w:iCs/>
                <w:color w:val="000000"/>
                <w:sz w:val="24"/>
                <w:u w:val="single"/>
              </w:rPr>
              <w:t xml:space="preserve">6、耐高温“齿”形线盘组件，搭配高效聚能稀土磁条，创新导风散热结构，磁场分布均匀，发热低、损耗小、不偏火、不烧线盘</w:t>
            </w:r>
            <w:r>
              <w:rPr>
                <w:i/>
                <w:iCs/>
                <w:u w:val="single"/>
              </w:rPr>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7、高效后吸式散热，大风量，散热速度快，减少散热风机故障。大功率加热，火力强劲，满足大份量爆炒、焖煮的烹饪需求，显著提升出品效率。</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8、立体三防结构设计，防水、防油烟、防虫。</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700*700*500+700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700*800*800+150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J10</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冷藏操作台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1、控温类型：电子温控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3、板材厚度：外箱0.6mm，内胆0.4mm，门板0.6mm,食品级304#不锈钢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4、台面：台面板厚度1mm，发泡层厚度40mm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6、可调节子弹脚，采用加强承重设计，结实耐用，可根据客户需求灵活定制</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7、机组：一体式机组，压缩机、冷凝器、风机可整机抽出，方便维修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8、内箱设计：箱体内部采用圆角设计，易于清洗</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9、温度范围：-5℃～+10℃</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10、环境温度：38℃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11、发泡层/保温层：箱体保温层采用环戊烷发泡，厚度58mm，更加保温节能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12、制冷剂：R134a</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1800*760*800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J11</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冷藏操作台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1、控温类型：电子温控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3、板材厚度：外箱不小于0.6mm，内胆不小于0.4mm，门板不小于0.6mm,食品级304#不锈钢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4、台面：台面板厚度不小于1mm，发泡层厚度不小于40mm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6、可调节子弹脚，采用加强承重设计，结实耐用，可根据客户需求灵活定制</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7、机组：一体式机组，压缩机、冷凝器、风机可整机抽出，方便维修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8、内箱设计：箱体内部采用圆角设计，易于清洗</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9、温度范围：-5℃～+10℃</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10、环境温度：38℃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11、发泡层/保温层：箱体保温层采用环戊烷发泡，厚度不小于58mm，更加保温节能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12、制冷剂：R134a</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1500*760*800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J12</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四门冰箱</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1、控温类型：电子数字控温</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3、板材厚度：外箱0.6mm，内胆0.4mm，门板0.6mm,食品级304#不锈钢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5、机组：一体式机组不可抽出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6、内箱设计：箱体内部采用圆角设计，方便清洁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7、温度范围：冷藏0℃～-10℃，冷冻可达到≤-18℃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8、环境温度：38℃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9、发泡层：箱体保温层采用环戊烷发泡，厚度58mm，更加保温节能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10、制冷剂：R134a</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1200*700*1915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双层吊天层架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1、采用优质304不锈钢板材制作；2、台面板厚度不小于1.2mm加强处理；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双通暖碟柜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3、层板、底板、侧板及门面采用不小于1.2mm厚不锈钢板制作；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4、加强筋厚度不小于1.2mm；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垃圾桶柜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3、层板、底板、侧板及门面采用不小于1.2mm厚不锈钢板制作；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4、加强筋厚度不小于1.2mm；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600*800*800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电磁四眼煲仔炉</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380V3.5kW*4</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1、材质：SUS304不锈钢框架式结构机身，耐腐蚀，经久耐用。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2、面板：耐撞击高密度微晶面板，坚固耐用。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3、开关：旋转式九档火力精准调节，人性化设计，操作简单方便，火候掌控更精确。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4、立体三防结构设计，防水、防油烟、防虫。</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5、独立一体化机芯：每个炉头都有一套独立的“散热+三防+电路”系统，每套系统独立运行，互不干扰，适用复杂的商用厨房环境。</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6、每个炉头机芯内置单独空开控制，故障时不影响其他炉头正常使用。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7、耐高温齿形线盘组件，搭配高效聚能稀土磁条，创新导风散热结构，磁场分布均匀，发热低、损耗小、不偏火、不烧线盘。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8、超灵敏多重用电保护设计，确保用户使用安全。</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1、电压：220V，功率：30W，尺寸5：≥500*120*290mm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2、灯管：2*15W灯管，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覆盖面积60㎡—80㎡，双面粘板在使用过程能保持完全敞开，通过粘捕纸粘黏蚊蝇。耗能低，无异味，无辐射。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J19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24盘电蒸饭柜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1、蒸饭量：75kg</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2、蒸饭时间：60分钟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3、功率：24kw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4、电压：380V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5、盆数：24盆（含盘）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6、板材采用304不锈钢板制作。</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1150*850*1850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J20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厨房设备灭火装置</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1、材料采用304不锈钢材质，并经过防腐处理。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2、(1)启动方式:自动启动、手动启动和机械应急启动；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(2)工作环境温度:4℃~55℃；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(3)感温器动作温度:183℃~232℃；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(4)灭火剂持续喷射时间:≥10s；</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(5)灭火时间:≤120s；</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(6)冷却水喷酒时间:≥5min；</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(7)喷嘴数：双瓶组：≥18个。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3、驱动方式：氮气驱动，规格:1.2L,驱动气体充装压力为12MPa，经过减压阀后的出口工作压力为1.0MPa。</w:t>
            </w:r>
            <w:r/>
          </w:p>
          <w:p>
            <w:pPr>
              <w:jc w:val="left"/>
              <w:widowControl/>
              <w:rPr>
                <w:rFonts w:ascii="宋体" w:hAnsi="宋体" w:eastAsia="宋体" w:cs="宋体"/>
                <w:i/>
                <w:color w:val="000000"/>
                <w:sz w:val="24"/>
                <w:u w:val="single"/>
              </w:rPr>
            </w:pPr>
            <w:r>
              <w:rPr>
                <w:rFonts w:ascii="宋体" w:hAnsi="宋体" w:eastAsia="宋体" w:cs="宋体"/>
                <w:i/>
                <w:color w:val="000000"/>
                <w:sz w:val="24"/>
                <w:u w:val="single"/>
              </w:rPr>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双瓶</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组</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J21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2000*700*800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二层大食堂售卖间（K)</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1200*600*800+150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感应龙头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1.外形尺寸：160*62*169(mm)±5%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2.工作电压：1.5V*4（四节五号干电池）或者220V50/60HZ交流电；</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3.工作水压：0.1-0.6MPa可接冷热混水，出水温度可调；</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4.开孔径：25mm（±2%）；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5.台式安装黄铜铸造水嘴，表面镀铬处理；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6.接水口口径为G1/2外螺纹；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紫外线消毒灯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功率:30W</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920*130*80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3、层板、底板、侧板及门面采用不小于1.2mm厚不锈钢板制作；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4、加强筋厚度不小于1.2mm；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保温售饭工作柜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2、功率：3kw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3、配食品级1/1份数盘4只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5、台面厚度不小于1.2mm，内衬不小于15mm防水机制板并用</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保温饭、汤桶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2、设置不锈钢推拉手，下配两定两动静音轮；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3、下层板厚度不小于1.2mm；</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K12</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玻璃门循环消毒柜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1、消毒方式：臭氧+红外线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2、消毒星级：一星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3、消毒时间：70分钟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4、温度：80℃±5℃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5、额定功率：1600W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6、电源电压：220V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7、容积：830L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8、层架材质：304不锈钢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9、结构形态：双门单室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1180*500*1750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K13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留样柜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温度:0~8℃</w:t>
            </w:r>
            <w:r/>
          </w:p>
        </w:tc>
        <w:tc>
          <w:tcPr>
            <w:shd w:val="clear" w:color="auto" w:fill="auto"/>
            <w:tcW w:w="2256"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1220*760*1950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二层大食堂收残间（L)</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1、电压：220V，功率：30W，尺寸5：≥500*120*290mm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2、灯管：2*15W灯管，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覆盖面积60㎡—80㎡，双面粘板在使用过程能保持完全敞开，通过粘捕纸粘黏蚊蝇。耗能低，无异味，无辐射。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双温摇摆龙头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1、座台式双孔双温低铅铜铸造本体，表面抛光镀铬处理，增加表面硬度防止磕碰造成划痕的同时提升了外观光洁与美观度。2、配1/4转陶瓷阀芯一字型手柄。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3、开孔尺寸25mm*2,左右开孔间距101mm(偏芯设计可调范围15mm)，进水接口为标准G1/2外螺纹。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多孔收餐工作台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1、采用优质304不锈钢板材制作；2、台面板不小于1.2mm加强处理；3、立柱为Φ38×1.2mm（±2%）不锈钢管,4、加装优质不锈钢可调子弹脚。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2000*700*800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步进式开水器</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1、功率：12kW,电压：380V,2、内胆采用SUS304不锈钢，水不开不出水，保证100%纯开水，逐层加热、分部进水，杜绝阴阳水和千沸水，保温绝热健康节能，缺水保护，漏电保护，故障自测</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380V/12KW</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双层挂墙架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1、采用优质304不锈钢板材制作；2、台面板厚度不小于1.2mm加强处理；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拖把池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600*450*550+150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L08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二层大食堂洗碗间+消毒间（M)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灭蝇灯（粘捕）</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1、电压：220V，功率：30W，尺寸5：≥500*120*290mm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2、灯管：2*15W灯管，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覆盖面积60㎡—80㎡，双面粘板在使用过程能保持完全敞开，通过粘捕纸粘黏蚊蝇。耗能低，无异味，无辐射。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2、顶板、面板、底板、侧板均采用不小于1.2mm厚不锈钢板制作；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3、层板厚度不小于1.2mm，并用不小于1.2mm厚不锈钢板折成加强筋加固；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2、顶板、面板、底板、侧板均采用不小于1.2mm厚不锈钢板制作；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3、层板厚度不小于1.2mm，并用不小于1.2mm厚不锈钢板折成加强筋加固；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2、顶板、面板、底板、侧板均采用不小于1.2mm厚不锈钢板制作；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3、层板厚度不小于1.2mm，并用不小于1.2mm厚不锈钢板折成加强筋加固；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三掀门碗柜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2、顶板、面板、底板、侧板均采用不小于1.2mm厚不锈钢板制作；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3、层板厚度不小于1.2mm，并用不小于1.2mm厚不锈钢板折成加强筋加固；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800*700*1800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洁碟台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3、格栅采用38*25*1.2mm（±2%）厚不锈钢方管；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4、脚管采用38*38*1.2mm（±2%）不锈钢方通；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5、配置刹车静音万向轮。</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850*700*800+150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洗碗机包含药水分配器</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机器入口宽度：</w:t>
            </w:r>
            <w:r>
              <w:rPr>
                <w:rFonts w:ascii="宋体" w:hAnsi="宋体" w:eastAsia="宋体" w:cs="宋体"/>
                <w:i/>
                <w:color w:val="000000"/>
                <w:sz w:val="24"/>
                <w:u w:val="single"/>
              </w:rPr>
              <w:t xml:space="preserve">510</w:t>
            </w:r>
            <w:r>
              <w:rPr>
                <w:rFonts w:hint="eastAsia" w:ascii="宋体" w:hAnsi="宋体" w:eastAsia="宋体" w:cs="宋体"/>
                <w:i/>
                <w:color w:val="000000"/>
                <w:sz w:val="24"/>
                <w:u w:val="single"/>
              </w:rPr>
              <w:t xml:space="preserve">mm</w:t>
            </w:r>
            <w:r>
              <w:rPr>
                <w:rFonts w:hint="eastAsia" w:ascii="宋体" w:hAnsi="宋体" w:eastAsia="宋体" w:cs="宋体"/>
                <w:i/>
                <w:color w:val="000000"/>
                <w:sz w:val="24"/>
                <w:u w:val="single"/>
              </w:rPr>
              <w:t xml:space="preserve">（±2%）；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最大洗涤高度：420mm（±2%）；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最大洗涤量：</w:t>
            </w:r>
            <w:r>
              <w:rPr>
                <w:rFonts w:hint="eastAsia" w:ascii="宋体" w:hAnsi="宋体" w:eastAsia="宋体" w:cs="宋体"/>
                <w:i/>
                <w:color w:val="000000"/>
                <w:sz w:val="24"/>
                <w:u w:val="single"/>
              </w:rPr>
              <w:t xml:space="preserve">3000个/H（以6寸碟为例）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最大</w:t>
            </w:r>
            <w:r>
              <w:rPr>
                <w:rFonts w:hint="eastAsia" w:ascii="宋体" w:hAnsi="宋体" w:eastAsia="宋体" w:cs="宋体"/>
                <w:i/>
                <w:color w:val="000000"/>
                <w:sz w:val="24"/>
                <w:u w:val="single"/>
              </w:rPr>
              <w:t xml:space="preserve">耗水量：</w:t>
            </w:r>
            <w:r>
              <w:rPr>
                <w:rFonts w:ascii="宋体" w:hAnsi="宋体" w:eastAsia="宋体" w:cs="宋体"/>
                <w:i/>
                <w:color w:val="000000"/>
                <w:sz w:val="24"/>
                <w:u w:val="single"/>
              </w:rPr>
              <w:t xml:space="preserve">480</w:t>
            </w:r>
            <w:r>
              <w:rPr>
                <w:rFonts w:hint="eastAsia" w:ascii="宋体" w:hAnsi="宋体" w:eastAsia="宋体" w:cs="宋体"/>
                <w:i/>
                <w:color w:val="000000"/>
                <w:sz w:val="24"/>
                <w:u w:val="single"/>
              </w:rPr>
              <w:t xml:space="preserve">L</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水箱容量：不小于98L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加热包容量：不小于15L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洗涤温度：55-60℃；</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漂洗温度：80-85℃；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进水压力：0.15-0.2Mpa；</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加热方式：电加热型；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电加热型功率：57kw1、面板采用一键式电脑集成线路块，操作简便，具有20种运行代码，温度显示及故障报警;</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2、加热模式：电加热输入功率：57KW（±1KW）；清洗量：</w:t>
            </w:r>
            <w:r>
              <w:rPr>
                <w:rFonts w:hint="eastAsia" w:ascii="宋体" w:hAnsi="宋体" w:eastAsia="宋体" w:cs="宋体"/>
                <w:i/>
                <w:color w:val="000000"/>
                <w:sz w:val="24"/>
                <w:u w:val="single"/>
              </w:rPr>
              <w:t xml:space="preserve">3000个/H（以6寸碟为例）</w:t>
            </w:r>
            <w:r>
              <w:rPr>
                <w:rFonts w:hint="eastAsia" w:ascii="宋体" w:hAnsi="宋体" w:eastAsia="宋体" w:cs="宋体"/>
                <w:i/>
                <w:color w:val="000000"/>
                <w:sz w:val="24"/>
                <w:u w:val="single"/>
              </w:rPr>
              <w:t xml:space="preserve">；</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3、洗涤区采用提拉门一体成型结构清洗过程；</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4、产品材质：采用优质不锈钢，不锈钢材质厚度不低于1.0-2.0mm；抗腐蚀；</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5、机器所有电器部件空开单独控制，如果出现故障关掉一组空开机器还能继续使用</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t xml:space="preserve">3400*1070*2085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三星盆水池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900*700*800+150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双温摇摆龙头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1、座台式双孔双温低铅铜铸造本体，表面抛光镀铬处理，增加表面硬度防止磕碰造成划痕的同时提升了外观光洁与美观度。2、配1/4转陶瓷阀芯一字型手柄。</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3、开孔尺寸25mm*2,左右开孔间距101mm(偏芯设计可调范围15mm)，进水接口为标准G1/2外螺纹。</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4、通体材质为低铅铜，有益于饮用水健康，杜绝饮用水铅含量超标。</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1800*600*800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M12</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双门消毒柜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1、层架材质：304不锈钢，功率：4400W；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2、消毒等级：不低于二星级；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3、产品容量：可供200-450人使用；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4、消毒方式：高温消毒+热风循环；5、消毒温度:125℃；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6、具有定时功能</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1300*630*1920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M13</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双门密胺消毒柜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1、消毒方式：臭氧+红外线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2、消毒星级：一星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3、消毒时间：70分钟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4、温度：80℃±5℃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5、额定功率：1600W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6、电源电压：220V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7、容积：830L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8、层架材质：304不锈钢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9、结构形态：双门单室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1180*500*1750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二层大食堂主厨间（N)</w:t>
            </w:r>
            <w:r/>
          </w:p>
        </w:tc>
        <w:tc>
          <w:tcPr>
            <w:shd w:val="clear" w:color="auto" w:fill="auto"/>
            <w:tcW w:w="2256" w:type="dxa"/>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灭蝇灯（粘捕）</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1、电压：220V，功率：30W，尺寸5：≥500*120*290mm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2、灯管：2*15W灯管，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覆盖面积60㎡—80㎡，双面粘板在使用过程能保持完全敞开，通过粘捕纸粘黏蚊蝇。耗能低，无异味，无辐射。</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500*120*290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单星盆水池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800*600*800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24盘电蒸饭柜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1、蒸饭量：75kg</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2、蒸饭时间：60分钟</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3、功率：24kw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4、电压：380V</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5、盆数：24盆（含盘）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6、板材采用304不锈钢板制作。</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1150*850*1850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单通移门柜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单通移门柜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900*760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单通移门柜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单通移门柜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N09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厨房设备灭火装置</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1、材料采用304不锈钢材质，并经过防腐处理。</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2、(1)启动方式:自动启动、手动启动和机械应急启动；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(2)工作环境温度:4℃~55℃；</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(3)感温器动作温度:183℃~232℃；</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(4)灭火剂持续喷射时间:≥10s；</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(5)灭火时间:≤120s；</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(6)冷却水喷酒时间:≥5min；(7)喷嘴数：双瓶组：≥18个。</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3、驱动方式及工作压力：驱动方式：氮气驱动，规格:1.2L,驱动气体充装压力为12MPa，经过减压阀后的出口工作压力为1.0MPa。</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双瓶</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组</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燃气单头大锅灶</w:t>
            </w:r>
            <w:r/>
          </w:p>
          <w:p>
            <w:pPr>
              <w:jc w:val="center"/>
              <w:widowControl/>
              <w:rPr>
                <w:rFonts w:ascii="宋体" w:hAnsi="宋体" w:eastAsia="宋体" w:cs="宋体"/>
                <w:sz w:val="24"/>
              </w:rPr>
            </w:pPr>
            <w:r>
              <w:rPr>
                <w:rFonts w:hint="eastAsia" w:ascii="宋体" w:hAnsi="宋体" w:eastAsia="宋体" w:cs="宋体"/>
                <w:sz w:val="24"/>
              </w:rPr>
              <w:t xml:space="preserve">（带熄火保护）</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（带熄火保护装置）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1、材料采用SUS304不锈钢板制作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2、台面为不小于1.5mm厚不锈钢板，围板为不小于1.2mm厚不锈钢板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风机为220V/250W，炉底架采用40mm×40mm国标角铁制作，角铁架上附2.0mm厚冷铁板与石锦隔热，所有角铁涂有足够的防锈漆，炉膛内砌耐火砖及石棉混合耐火泥沙，配直径5寸混风式燃烧器（炉头带长明火种）燃烧器为节能环保型燃烧器，带自动点火和自动熄火保护装置。燃气管道及配件采用优质国标管件，每个炉头配有摇摆水龙头，炉脚为不锈钢圆管配可调式重力脚。前挡板上设有主火开关、火种开关</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1350*1350*800+450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燃气可倾式夹层汤锅</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1、主材采用食品级材料SUS304-2B不锈钢；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2、受热面积大，热效率高，加热均匀；</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3、电子点火，操作更便捷；</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4、自带熄火保护，操作更安全；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5、锅体加热部分采用SUS304-2B不锈钢，厚度5.0mm；6、干烟气中CO（a=1）不大于0.02%</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200L</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炉拼台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1、优质304#不锈钢磨砂板，面板厚度不小于1.2mm、侧板厚度不小于1.2mm；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2、不锈钢后挡炉背板；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3、横通采用￠25*1.2mm（±2%）不锈钢管连接。</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4、立管采用￠38*1.2mm（±2%）不锈钢管连可调节高度子弹脚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300*1350*800+450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1800*800*800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双层平板工作台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1500*800*800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N15</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四门冰箱</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1、控温类型：电子数字控温</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3、板材厚度：外箱0.6mm，内胆0.4mm，门板0.6mm,食品级304#不锈钢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5、机组：一体式机组不可抽出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6、内箱设计：箱体内部采用圆角设计，方便清洁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7、温度范围：冷藏0℃～-10℃，冷冻可达到≤-18℃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8、环境温度：38℃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9、发泡层：箱体保温层采用环戊烷发泡，厚度58mm，更加保温节能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10、制冷剂：R134a</w:t>
            </w:r>
            <w:r/>
          </w:p>
        </w:tc>
        <w:tc>
          <w:tcPr>
            <w:shd w:val="clear" w:color="auto" w:fill="auto"/>
            <w:tcW w:w="2256"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1200*700*1915</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N16</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冷藏操作台</w:t>
            </w:r>
            <w:r/>
          </w:p>
        </w:tc>
        <w:tc>
          <w:tcPr>
            <w:shd w:val="clear" w:color="auto" w:fill="auto"/>
            <w:tcW w:w="3685" w:type="dxa"/>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1、控温类型：电子温控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2、冰箱采用前置空气过滤网，易于清洗，无需排水、自动蒸发</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3、板材厚度：外箱不低于0.6mm，内胆不低于0.4mm，门板不低于0.6mm,食品级304#不锈钢</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4、台面：台面板厚度不低于1mm，发泡层厚度不低于40mm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5、门板：自动回归门设计，有效避免冷量流失</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6、可调节子弹脚，采用加强承重设计，结实耐用，可根据客户需求灵活定制</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7、机组：一体式机组，压缩机、冷凝器、风机可整机抽出，方便维修</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8、内箱设计：箱体内部采用圆角设计，易于清洗</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9、温度范围：-5℃～+10℃</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10、环境温度：38℃</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11、发泡层/保温层：箱体保温层采用环戊烷发泡，厚度不低于58mm，更加保温节能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12、制冷剂：R134a</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1500*760*800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1000*760*800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N19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双层台面立架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1、采用优质304不锈钢板材制作；2、台面板厚度不小于1.2mm加强处理；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N20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双层吊天层架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1、采用优质304不锈钢板材制作；2、台面板厚度不小于1.2mm加强处理；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1800*400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N21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双层吊天层架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1、采用优质304不锈钢板材制作；2、台面板厚度不小于1.2mm加强处理；</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1500*400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N22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1200*700*1500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N23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洗米机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不少于100KG</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直径：700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二层洁具间（O)</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O01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单星水池</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1、整体采用SUS304不锈钢制作，台面厚不小于1.2mm；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2、星盆斗厚不小于1.2mm，配置提篮式不锈钢下水器；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3、立柱采用φ38*1.2mm（±2%）圆管，配不锈钢可调子弹脚；</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4、横撑采用φ32*1.2mm（±2%）圆通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600*600*800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O02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单温摇摆龙头</w:t>
            </w:r>
            <w:r/>
          </w:p>
        </w:tc>
        <w:tc>
          <w:tcPr>
            <w:shd w:val="clear" w:color="auto" w:fill="auto"/>
            <w:tcW w:w="3685" w:type="dxa"/>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1.座台式安装；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2.国标59铜铸造表面抛光镀铬处理</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3.配1/4转优质陶瓷阀芯一字型手柄；</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4.左右接口间距为101mm，采用偏芯设计可微调（15mm）；</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5.开孔尺寸为25mm</w:t>
            </w:r>
            <w:r>
              <w:rPr>
                <w:rFonts w:hint="eastAsia" w:ascii="宋体" w:hAnsi="宋体" w:eastAsia="宋体" w:cs="宋体"/>
                <w:i/>
                <w:color w:val="000000"/>
                <w:sz w:val="24"/>
                <w:u w:val="single"/>
              </w:rPr>
              <w:t xml:space="preserve">（±2%）</w:t>
            </w:r>
            <w:r>
              <w:rPr>
                <w:rFonts w:hint="eastAsia" w:ascii="宋体" w:hAnsi="宋体" w:eastAsia="宋体" w:cs="宋体"/>
                <w:i/>
                <w:sz w:val="24"/>
                <w:u w:val="single"/>
              </w:rPr>
              <w:t xml:space="preserve">，接口为标准4分外螺纹；</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83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O03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保洁柜</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2、顶板、面板、底板、侧板均采用不小于1.2mm厚不锈钢板制作；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3、层板厚度不小于1.2mm，并用不小于1.2mm厚不锈钢板折成加强筋加固；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1500*600*1800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二层储物间（P)</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P01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P02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P03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1100*500*1500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二层冷库（Q)</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Q01</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冷藏库</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1、冷库板采用SUS304不锈钢</w:t>
            </w:r>
            <w:r>
              <w:rPr>
                <w:rFonts w:hint="eastAsia" w:ascii="宋体" w:hAnsi="宋体" w:eastAsia="宋体" w:cs="宋体"/>
                <w:i/>
                <w:color w:val="000000"/>
                <w:sz w:val="24"/>
                <w:u w:val="single"/>
              </w:rPr>
              <w:t xml:space="preserve">不不低于</w:t>
            </w:r>
            <w:r>
              <w:rPr>
                <w:rFonts w:ascii="宋体" w:hAnsi="宋体" w:eastAsia="宋体" w:cs="宋体"/>
                <w:i/>
                <w:color w:val="000000"/>
                <w:sz w:val="24"/>
                <w:u w:val="single"/>
              </w:rPr>
              <w:t xml:space="preserve">0.5</w:t>
            </w:r>
            <w:r>
              <w:rPr>
                <w:rFonts w:hint="eastAsia" w:ascii="宋体" w:hAnsi="宋体" w:eastAsia="宋体" w:cs="宋体"/>
                <w:i/>
                <w:color w:val="000000"/>
                <w:sz w:val="24"/>
                <w:u w:val="single"/>
              </w:rPr>
              <w:t xml:space="preserve">mm，10公分厚PU聚氨醋夹芯板，含复合B2级阻燃;库板密度标准42±2KG/m³;抗压强度标准≥160kpa;导热系数标准≤0.024W/(M.k)保温材料具有阻燃性，防火性符合GB8624-2012《建筑材料及制品燃烧性能分级》B2及以上认证等级，组合冷库用隔热夹芯板（复合材料）。</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2、符合GB4806.1-2016食品安全国家标准，食品接触金属材料及制品；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3、冷库门门框为单身门框重力回归门，镶嵌耐低温的磁性密封条及门框配置发热丝防结露，具有良好的弹性和耐磨性，能防止发霉，表面光洁，不会藏污纳垢，容易清洁。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4、配置LED防水防爆灯具，防尘等级不低于IPX6</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5、制冷机组采用优质压缩机，冷藏温控范围2℃~8℃，功率：1KW-100KW适用范围：冷藏，性能优异，高效的COP性能表现，超银焊接工艺确保产品可靠性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6、采用优质蒸发器高效冷风机，温度蒸发温度-7℃，盘管排数：3，风扇直径：300采用优质转子电机，电源：220V/50HZ,风量：≥3600m³/h,最大送风距离不小于12m，功率不小于360W.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7、全自动微电脑温度控制柜，缺相保护、过载保护、不平衡保护、高低压力保护。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2750*2450*2200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Q02</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冷冻库</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1、冷库板采用SUS304不锈钢</w:t>
            </w:r>
            <w:r>
              <w:rPr>
                <w:rFonts w:hint="eastAsia" w:ascii="宋体" w:hAnsi="宋体" w:eastAsia="宋体" w:cs="宋体"/>
                <w:i/>
                <w:color w:val="000000"/>
                <w:sz w:val="24"/>
                <w:u w:val="single"/>
              </w:rPr>
              <w:t xml:space="preserve">不低于0</w:t>
            </w:r>
            <w:r>
              <w:rPr>
                <w:rFonts w:ascii="宋体" w:hAnsi="宋体" w:eastAsia="宋体" w:cs="宋体"/>
                <w:i/>
                <w:color w:val="000000"/>
                <w:sz w:val="24"/>
                <w:u w:val="single"/>
              </w:rPr>
              <w:t xml:space="preserve">.5</w:t>
            </w:r>
            <w:r>
              <w:rPr>
                <w:rFonts w:hint="eastAsia" w:ascii="宋体" w:hAnsi="宋体" w:eastAsia="宋体" w:cs="宋体"/>
                <w:i/>
                <w:color w:val="000000"/>
                <w:sz w:val="24"/>
                <w:u w:val="single"/>
              </w:rPr>
              <w:t xml:space="preserve">mm，10公分厚PU聚氨醋夹芯板，含复合B2级阻燃;库板密度标准42±2KG/m³;抗压强度标准≥160kpa;导热系数标准≤0.024W/(M.k)保温材料具有阻燃性，防火性符合GB8624-2012《建筑材料及制品燃烧性能分级》B2及以上认证等级，组合冷库用隔热夹芯板（复合材料）。</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2、符合GB4806.1-2016食品安全国家标准，食品接触金属材料及制品。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3、冷库门门框为单身门框重力回归门，镶嵌耐低温的磁性密封条及门框配置发热丝防结露，具有良好的弹性和耐磨性，能防止发霉，表面光洁，不会藏污纳垢，容易清洁。</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4、配置LED防水防爆灯具，防尘等级不低于IPX6，</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5、制冷机组采用优质压缩机，冷冻库温控范围-13℃~-18℃，功率：1KW-100KW适用范围：冷冻，性能优异，高效的COP性能表现，超银焊接工艺确保产品可靠性</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6、采用优质蒸发器高效冷风机，温度蒸发温度-7℃，盘管排数：3，风扇直径：300采用优质转子电机，电源：220V/50HZ,风量：≥3600m³/h,最大送风距离不小于12m，功率不小于360W.</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7、全自动微电脑温度控制柜，缺相保护、过载保护、不平衡保护、高低压力保护。</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2750*2450*2200</w:t>
            </w:r>
            <w:r/>
          </w:p>
        </w:tc>
        <w:tc>
          <w:tcPr>
            <w:shd w:val="clear" w:color="auto" w:fill="auto"/>
            <w:tcW w:w="83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Q03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1200*500*1500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shd w:val="clear" w:color="auto" w:fill="auto"/>
            <w:tcW w:w="960"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Q04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四层平板货架</w:t>
            </w:r>
            <w:r/>
          </w:p>
        </w:tc>
        <w:tc>
          <w:tcPr>
            <w:shd w:val="clear" w:color="000000" w:fill="ffffff"/>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1500*500*1500</w:t>
            </w:r>
            <w:r/>
          </w:p>
        </w:tc>
        <w:tc>
          <w:tcPr>
            <w:shd w:val="clear" w:color="auto" w:fill="auto"/>
            <w:tcW w:w="831"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7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台</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排烟系统（R)</w:t>
            </w:r>
            <w:r/>
          </w:p>
        </w:tc>
        <w:tc>
          <w:tcPr>
            <w:shd w:val="clear" w:color="auto" w:fill="auto"/>
            <w:tcW w:w="2256" w:type="dxa"/>
            <w:vAlign w:val="center"/>
            <w:textDirection w:val="lrTb"/>
            <w:noWrap/>
          </w:tcPr>
          <w:p>
            <w:pPr>
              <w:jc w:val="center"/>
              <w:widowControl/>
              <w:rPr>
                <w:rFonts w:ascii="宋体" w:hAnsi="宋体" w:eastAsia="宋体" w:cs="宋体"/>
                <w:b/>
                <w:bCs/>
                <w:color w:val="000000"/>
                <w:sz w:val="24"/>
              </w:rPr>
            </w:pPr>
            <w:r>
              <w:rPr>
                <w:rFonts w:ascii="宋体" w:hAnsi="宋体" w:eastAsia="宋体" w:cs="宋体"/>
                <w:b/>
                <w:bCs/>
                <w:color w:val="000000"/>
                <w:sz w:val="24"/>
              </w:rPr>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R01</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不锈钢烟罩（按实际平方计算）</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1.烟罩壳体采用304#不锈钢板材，厚度为</w:t>
            </w:r>
            <w:r>
              <w:rPr>
                <w:rFonts w:hint="eastAsia" w:ascii="宋体" w:hAnsi="宋体" w:eastAsia="宋体" w:cs="宋体"/>
                <w:i/>
                <w:color w:val="000000"/>
                <w:sz w:val="24"/>
                <w:u w:val="single"/>
              </w:rPr>
              <w:t xml:space="preserve">不小于</w:t>
            </w:r>
            <w:r>
              <w:rPr>
                <w:rFonts w:hint="eastAsia" w:ascii="宋体" w:hAnsi="宋体" w:eastAsia="宋体" w:cs="宋体"/>
                <w:i/>
                <w:sz w:val="24"/>
                <w:u w:val="single"/>
              </w:rPr>
              <w:t xml:space="preserve">1.0mm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t xml:space="preserve">4200*1000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4.2</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R02</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不锈钢烟罩（按实际平方计算）</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1.烟罩壳体采用304#不锈钢板材，厚度为</w:t>
            </w:r>
            <w:r>
              <w:rPr>
                <w:rFonts w:hint="eastAsia" w:ascii="宋体" w:hAnsi="宋体" w:eastAsia="宋体" w:cs="宋体"/>
                <w:i/>
                <w:color w:val="000000"/>
                <w:sz w:val="24"/>
                <w:u w:val="single"/>
              </w:rPr>
              <w:t xml:space="preserve">不小于</w:t>
            </w:r>
            <w:r>
              <w:rPr>
                <w:rFonts w:hint="eastAsia" w:ascii="宋体" w:hAnsi="宋体" w:eastAsia="宋体" w:cs="宋体"/>
                <w:i/>
                <w:sz w:val="24"/>
                <w:u w:val="single"/>
              </w:rPr>
              <w:t xml:space="preserve">1.0mm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10000*1500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15</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不锈钢烟罩（按实际平方计算）</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1.烟罩壳体采用304#不锈钢板材，厚度为</w:t>
            </w:r>
            <w:r>
              <w:rPr>
                <w:rFonts w:hint="eastAsia" w:ascii="宋体" w:hAnsi="宋体" w:eastAsia="宋体" w:cs="宋体"/>
                <w:i/>
                <w:color w:val="000000"/>
                <w:sz w:val="24"/>
                <w:u w:val="single"/>
              </w:rPr>
              <w:t xml:space="preserve">不小于</w:t>
            </w:r>
            <w:r>
              <w:rPr>
                <w:rFonts w:hint="eastAsia" w:ascii="宋体" w:hAnsi="宋体" w:eastAsia="宋体" w:cs="宋体"/>
                <w:i/>
                <w:sz w:val="24"/>
                <w:u w:val="single"/>
              </w:rPr>
              <w:t xml:space="preserve">1.0mm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9900*1500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14.9</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不锈钢烟罩（按实际平方计算）</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1.烟罩壳体采用304#不锈钢板材，厚度为</w:t>
            </w:r>
            <w:r>
              <w:rPr>
                <w:rFonts w:hint="eastAsia" w:ascii="宋体" w:hAnsi="宋体" w:eastAsia="宋体" w:cs="宋体"/>
                <w:i/>
                <w:color w:val="000000"/>
                <w:sz w:val="24"/>
                <w:u w:val="single"/>
              </w:rPr>
              <w:t xml:space="preserve">不小于</w:t>
            </w:r>
            <w:r>
              <w:rPr>
                <w:rFonts w:hint="eastAsia" w:ascii="宋体" w:hAnsi="宋体" w:eastAsia="宋体" w:cs="宋体"/>
                <w:i/>
                <w:sz w:val="24"/>
                <w:u w:val="single"/>
              </w:rPr>
              <w:t xml:space="preserve">1.0mm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t xml:space="preserve">3400*1000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3.4</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不锈钢烟罩（按实际平方计算）</w:t>
            </w:r>
            <w:r/>
          </w:p>
        </w:tc>
        <w:tc>
          <w:tcPr>
            <w:shd w:val="clear" w:color="auto" w:fill="auto"/>
            <w:tcW w:w="3685" w:type="dxa"/>
            <w:vAlign w:val="center"/>
            <w:textDirection w:val="lrTb"/>
            <w:noWrap w:val="false"/>
          </w:tcPr>
          <w:p>
            <w:pPr>
              <w:jc w:val="left"/>
              <w:widowControl/>
              <w:rPr>
                <w:rFonts w:ascii="宋体" w:hAnsi="宋体" w:eastAsia="宋体" w:cs="宋体"/>
                <w:i/>
                <w:sz w:val="24"/>
                <w:u w:val="single"/>
              </w:rPr>
            </w:pPr>
            <w:r>
              <w:rPr>
                <w:rFonts w:hint="eastAsia" w:ascii="宋体" w:hAnsi="宋体" w:eastAsia="宋体" w:cs="宋体"/>
                <w:i/>
                <w:sz w:val="24"/>
                <w:u w:val="single"/>
              </w:rPr>
              <w:t xml:space="preserve">1.烟罩壳体采用304#不锈钢板材，厚度为</w:t>
            </w:r>
            <w:r>
              <w:rPr>
                <w:rFonts w:hint="eastAsia" w:ascii="宋体" w:hAnsi="宋体" w:eastAsia="宋体" w:cs="宋体"/>
                <w:i/>
                <w:color w:val="000000"/>
                <w:sz w:val="24"/>
                <w:u w:val="single"/>
              </w:rPr>
              <w:t xml:space="preserve">不小于</w:t>
            </w:r>
            <w:r>
              <w:rPr>
                <w:rFonts w:hint="eastAsia" w:ascii="宋体" w:hAnsi="宋体" w:eastAsia="宋体" w:cs="宋体"/>
                <w:i/>
                <w:sz w:val="24"/>
                <w:u w:val="single"/>
              </w:rPr>
              <w:t xml:space="preserve">1.0mm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15600*1500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23.4</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R07</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箱式风机（排烟)</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1、外壳采用&gt;1.0mm双面钢板制作，内部双层静音棉孔板制作适当地加固以避免在正常运作时产生振动；</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2、轴承:采用耐腐蚀风机专用轴承；</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3、电机:纯铜芯国标电机；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4、叶轮:按三元流理论设计的机翼形风轮，厚度1.0mm镀锌钢板制作，耐腐蚀性好，风机设有检修门，方便日后维护;底部自带槽钢支架，便于安装。</w:t>
            </w:r>
            <w:r/>
          </w:p>
          <w:p>
            <w:pPr>
              <w:jc w:val="left"/>
              <w:widowControl/>
              <w:rPr>
                <w:rFonts w:ascii="宋体" w:hAnsi="宋体" w:eastAsia="宋体" w:cs="宋体"/>
                <w:i/>
                <w:sz w:val="24"/>
                <w:u w:val="single"/>
              </w:rPr>
            </w:pPr>
            <w:r>
              <w:rPr>
                <w:rFonts w:hint="eastAsia" w:ascii="宋体" w:hAnsi="宋体" w:eastAsia="宋体" w:cs="宋体"/>
                <w:i/>
                <w:sz w:val="24"/>
                <w:u w:val="single"/>
              </w:rPr>
              <w:t xml:space="preserve">5、所投产品风机依据GB/T8196-2018机械安全、GB/T2651-2023《金属材料焊缝破坏性试验横向拉伸试验》对产品焊接部位应牢固，焊纹均匀一致，不应有未焊透、裂纹等缺陷，形位公差垂直度应≤5mm，整体破坏载荷≥50kN，水平受力试验去除作用力后，框架变形量检测结果≤1.7mm，拉伸试验依据GB/T228.2-2015对抗拉强度进行焊接接头横向拉伸试验上的试验力直至试样断裂，行拉强度达到≧580</w:t>
            </w:r>
            <w:r/>
          </w:p>
          <w:p>
            <w:pPr>
              <w:jc w:val="left"/>
              <w:widowControl/>
              <w:rPr>
                <w:rFonts w:ascii="宋体" w:hAnsi="宋体" w:eastAsia="宋体" w:cs="宋体"/>
                <w:i/>
                <w:color w:val="000000"/>
                <w:sz w:val="24"/>
                <w:u w:val="single"/>
              </w:rPr>
            </w:pPr>
            <w:r>
              <w:rPr>
                <w:rFonts w:ascii="宋体" w:hAnsi="宋体" w:eastAsia="宋体" w:cs="宋体"/>
                <w:i/>
                <w:color w:val="000000"/>
                <w:sz w:val="24"/>
                <w:u w:val="single"/>
              </w:rPr>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风量：56000m³/h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R08</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箱式风机(排烟）</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外壳采用&gt;1.0mm双面钢板制作，内部双层静音棉孔板制作适当地加固以避免在正常运作时产生振动；2、轴承:采用耐腐蚀风机专用轴承；3、电机:纯铜芯国标电机；4、叶轮:按三元流理论设计的机翼形风轮，厚度不低于1.0mm镀锌钢板制作，耐腐蚀性好，风机设有检修门，方便日后维护;底部自带槽钢支架，便于安装。</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风量：45000m³/h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R09</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箱式风机(新风）</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外壳采用&gt;1.0mm双面钢板制作，内部双层静音棉孔板制作适当地加固以避免在正常运作时产生振动；2、轴承:采用耐腐蚀风机专用轴承；3、电机:纯铜芯国标电机；4、叶轮:按三元流理论设计的机翼形风轮，厚度不低于1.0mm镀锌钢板制作，耐腐蚀性好，风机设有检修门，方便日后维护;底部自带槽钢支架，便于安装。</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风量：45000m³/h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R10</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箱式风机(新风）</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外壳采用&gt;1.0mm双面钢板制作，内部双层静音棉孔板制作适当地加固以避免在正常运作时产生振动；2、轴承:采用耐腐蚀风机专用轴承；3、电机:纯铜芯国标电机；4、叶轮:按三元流理论设计的机翼形风轮，厚度不低于1.0mm镀锌钢板制作，耐腐蚀性好，风机设有检修门，方便日后维护;底部自带槽钢支架，便于安装。</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风量：36000m³/h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R11</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低空排放净化器（98%）</w:t>
            </w:r>
            <w:r/>
          </w:p>
        </w:tc>
        <w:tc>
          <w:tcPr>
            <w:shd w:val="clear" w:color="auto" w:fill="auto"/>
            <w:tcW w:w="3685" w:type="dxa"/>
            <w:vAlign w:val="center"/>
            <w:textDirection w:val="lrTb"/>
            <w:noWrap w:val="false"/>
          </w:tcPr>
          <w:p>
            <w:pPr>
              <w:numPr>
                <w:ilvl w:val="0"/>
                <w:numId w:val="18"/>
              </w:num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静电式餐饮业油烟净化设备外壳采用静电环氧喷涂；</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2、颗粒排放浓度小于2.0m³/h，模块化拼装，便于安装和组装，航空级铝合金电场，吸附强，效率高；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3、采用优质不锈钢钨丝，使放电更加均匀，充分使油烟核电吸附，加强处理率。</w:t>
            </w:r>
            <w:r/>
          </w:p>
          <w:p>
            <w:pPr>
              <w:jc w:val="left"/>
              <w:widowControl/>
              <w:rPr>
                <w:rFonts w:ascii="宋体" w:hAnsi="宋体" w:eastAsia="宋体" w:cs="宋体"/>
                <w:color w:val="000000"/>
                <w:sz w:val="24"/>
                <w:highlight w:val="cyan"/>
              </w:rPr>
            </w:pPr>
            <w:r>
              <w:rPr>
                <w:rFonts w:ascii="宋体" w:hAnsi="宋体" w:eastAsia="宋体" w:cs="宋体"/>
                <w:color w:val="000000"/>
                <w:sz w:val="24"/>
                <w:highlight w:val="cyan"/>
              </w:rPr>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风量：56000m³/h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R12</w:t>
            </w:r>
            <w:r/>
          </w:p>
        </w:tc>
        <w:tc>
          <w:tcPr>
            <w:shd w:val="clear" w:color="auto" w:fill="auto"/>
            <w:tcW w:w="147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低空排放净化器（98%）</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静电式餐饮业油烟净化设备外壳采用静电环氧喷涂；2、颗粒排放浓度小于2.0m³/h，模块化拼装，便于安装和组装，航空级铝合金电场，吸附强，效率高；3、采用优质不锈钢钨丝，使放电更加均匀，充分使油烟核电吸附，加强处理率。</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风量：45000m³/h</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R13</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不锈钢风管</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材料采用2011.0mm不锈钢板制作；压轧加强槽线；风管接口处采用氩弧焊工艺；按实计算。</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486</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R14</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不锈钢弯头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材料采用1.0mm不锈钢板制作；压轧加强槽线；风管接口处采用氩弧焊工艺；按实计算。</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12</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R15</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不锈钢三通</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1、材料采用1.0mm不锈钢板制作；压轧加强槽线；2、风管接口处采用氩弧焊工艺；按实计算。</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R16</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不锈钢大小头</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材料采用1.0mm不锈钢板制作；</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6</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R17</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风管法兰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25x13不锈钢方管制作。</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根据现场尺寸配套</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30</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R18</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风管法兰</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25x13不锈钢方管制作。</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根据现场尺寸配套</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20</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R19</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安装辅材</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吊筋、固定支架</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根据现场尺寸配套</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项</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R20</w:t>
            </w:r>
            <w:r/>
          </w:p>
        </w:tc>
        <w:tc>
          <w:tcPr>
            <w:shd w:val="clear" w:color="auto" w:fill="auto"/>
            <w:tcW w:w="147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变径</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材料采用1.0mm不锈钢板制作；压轧加强槽线；风管接口处采用氩弧焊工艺；按实计算。</w:t>
            </w:r>
            <w:r/>
          </w:p>
        </w:tc>
        <w:tc>
          <w:tcPr>
            <w:shd w:val="clear" w:color="auto" w:fill="auto"/>
            <w:tcW w:w="225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根据现场尺寸配套</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12</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R21</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风机净化吊装费</w:t>
            </w:r>
            <w:r/>
          </w:p>
        </w:tc>
        <w:tc>
          <w:tcPr>
            <w:shd w:val="clear" w:color="auto" w:fill="auto"/>
            <w:tcW w:w="3685" w:type="dxa"/>
            <w:vAlign w:val="center"/>
            <w:textDirection w:val="lrTb"/>
            <w:noWrap/>
          </w:tcPr>
          <w:p>
            <w:pPr>
              <w:jc w:val="center"/>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投标人须自行勘察现场，施工时如遇现场原其他管道需拆除后安装，投标人须自行恢复，费用包含在投标报价中。</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次</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项</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R22</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控制箱</w:t>
            </w:r>
            <w:r/>
          </w:p>
        </w:tc>
        <w:tc>
          <w:tcPr>
            <w:shd w:val="clear" w:color="auto" w:fill="auto"/>
            <w:tcW w:w="3685" w:type="dxa"/>
            <w:vAlign w:val="center"/>
            <w:textDirection w:val="lrTb"/>
            <w:noWrap w:val="false"/>
          </w:tcPr>
          <w:p>
            <w:pPr>
              <w:jc w:val="center"/>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（含风机.净化器.新风.同时控制）</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套</w:t>
            </w:r>
            <w:r/>
          </w:p>
        </w:tc>
      </w:tr>
      <w:tr>
        <w:trPr>
          <w:jc w:val="center"/>
          <w:trHeight w:val="20"/>
        </w:trPr>
        <w:tc>
          <w:tcPr>
            <w:gridSpan w:val="3"/>
            <w:shd w:val="clear" w:color="auto" w:fill="auto"/>
            <w:tcW w:w="6122" w:type="dxa"/>
            <w:vAlign w:val="center"/>
            <w:textDirection w:val="lrTb"/>
            <w:noWrap/>
          </w:tcPr>
          <w:p>
            <w:pPr>
              <w:jc w:val="center"/>
              <w:widowControl/>
              <w:rPr>
                <w:rFonts w:ascii="宋体" w:hAnsi="宋体" w:eastAsia="宋体" w:cs="宋体"/>
                <w:b/>
                <w:bCs/>
                <w:color w:val="000000"/>
                <w:sz w:val="24"/>
              </w:rPr>
            </w:pPr>
            <w:r>
              <w:rPr>
                <w:rFonts w:hint="eastAsia" w:ascii="宋体" w:hAnsi="宋体" w:eastAsia="宋体" w:cs="宋体"/>
                <w:b/>
                <w:bCs/>
                <w:color w:val="000000"/>
                <w:sz w:val="24"/>
              </w:rPr>
              <w:t xml:space="preserve">其他（S)</w:t>
            </w:r>
            <w:r/>
          </w:p>
        </w:tc>
        <w:tc>
          <w:tcPr>
            <w:shd w:val="clear" w:color="auto" w:fill="auto"/>
            <w:tcW w:w="2256" w:type="dxa"/>
            <w:vAlign w:val="center"/>
            <w:textDirection w:val="lrTb"/>
            <w:noWrap/>
          </w:tcPr>
          <w:p>
            <w:pPr>
              <w:jc w:val="center"/>
              <w:widowControl/>
              <w:rPr>
                <w:rFonts w:ascii="宋体" w:hAnsi="宋体" w:eastAsia="宋体" w:cs="宋体"/>
                <w:b/>
                <w:bCs/>
                <w:color w:val="000000"/>
                <w:sz w:val="24"/>
              </w:rPr>
            </w:pPr>
            <w:r>
              <w:rPr>
                <w:rFonts w:ascii="宋体" w:hAnsi="宋体" w:eastAsia="宋体" w:cs="宋体"/>
                <w:b/>
                <w:bCs/>
                <w:color w:val="000000"/>
                <w:sz w:val="24"/>
              </w:rPr>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　</w:t>
            </w:r>
            <w:r/>
          </w:p>
        </w:tc>
        <w:tc>
          <w:tcPr>
            <w:shd w:val="clear" w:color="auto" w:fill="auto"/>
            <w:tcW w:w="709"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　</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S01</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拖地机</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可驾驶式1、驱动类型:电池；</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2、主刷工作宽度：不低于510mm;抽吸工作宽度：不低于850mm；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3、清水箱/污水箱：不低于90/95L；</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4、理论工作面积：不低于28</w:t>
            </w:r>
            <w:r>
              <w:rPr>
                <w:rFonts w:ascii="宋体" w:hAnsi="宋体" w:eastAsia="宋体" w:cs="宋体"/>
                <w:i/>
                <w:color w:val="000000"/>
                <w:sz w:val="24"/>
                <w:u w:val="single"/>
              </w:rPr>
              <w:t xml:space="preserve">00</w:t>
            </w:r>
            <w:r>
              <w:rPr>
                <w:rFonts w:hint="eastAsia" w:ascii="宋体" w:hAnsi="宋体" w:eastAsia="宋体" w:cs="宋体"/>
                <w:i/>
                <w:color w:val="000000"/>
                <w:sz w:val="24"/>
                <w:u w:val="single"/>
              </w:rPr>
              <w:t xml:space="preserve">㎡/h；.实际工作面积：不低于2000㎡/h；</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5、转弯半径：不低于750mm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6、可以自动升降、带倒车自动升降保护功能</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7、水箱由滚塑模具，高密度聚乙烯改性料材料高温制造，铝合金吸扒一模成型，不上锈，耐腐蚀；吸水扒压铸模具一次成型，耐用、耐撞，防腐蚀；装备水满报警系统，污水满自动提醒工作者；外接充电接口，方便；双重阀门，自动加手动，水路更稳定</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1400*650*1200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S02</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三层送餐车</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4、配可固定滚轮。</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900*500*900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8</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S03</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全封闭三层送餐车</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2、台面厚度不小于1.2mm，内衬15mm防水机制板并用不小于1.2mm厚不锈钢板折成加强筋加固；</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3、脚管采用38*25*1.2mm（±2%）厚不锈钢方管；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4、配可固定滚轮。</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900*500*900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8</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S04</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地架</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1、整体采用SUS304不锈钢制作，平板厚度不小于1.2mm；</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2、立柱采用38×38×1.2mm（±2%）厚不锈钢方管；</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3、配不锈钢可调子弹脚。</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1200*500*300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4</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S05</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微波炉</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r>
            <w:r>
              <w:rPr>
                <w:rFonts w:ascii="SimSun" w:hAnsi="SimSun" w:eastAsia="SimSun" w:cs="SimSun"/>
                <w:i/>
                <w:color w:val="000000"/>
                <w:sz w:val="24"/>
                <w:u w:val="single"/>
              </w:rPr>
              <w:t xml:space="preserve">220V-不低于2.1KW 不低于17L</w:t>
            </w:r>
            <w:r>
              <w:rPr>
                <w:rFonts w:hint="eastAsia" w:ascii="宋体" w:hAnsi="宋体" w:eastAsia="宋体" w:cs="宋体"/>
                <w:i/>
                <w:color w:val="000000"/>
                <w:sz w:val="24"/>
                <w:u w:val="single"/>
              </w:rPr>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420*563*340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S06</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桶装饮水机</w:t>
            </w:r>
            <w:r/>
          </w:p>
        </w:tc>
        <w:tc>
          <w:tcPr>
            <w:shd w:val="clear" w:color="auto" w:fill="auto"/>
            <w:tcW w:w="3685" w:type="dxa"/>
            <w:vAlign w:val="center"/>
            <w:textDirection w:val="lrTb"/>
            <w:noWrap w:val="false"/>
          </w:tcPr>
          <w:p>
            <w:pPr>
              <w:jc w:val="center"/>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　</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270*245*820</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3</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S07</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不锈钢餐盘</w:t>
            </w:r>
            <w:r/>
          </w:p>
        </w:tc>
        <w:tc>
          <w:tcPr>
            <w:shd w:val="clear" w:color="auto" w:fill="auto"/>
            <w:tcW w:w="3685" w:type="dxa"/>
            <w:vAlign w:val="center"/>
            <w:textDirection w:val="lrTb"/>
            <w:noWrap w:val="false"/>
          </w:tcPr>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304不锈钢材质，五格餐盘；</w:t>
            </w:r>
            <w:r/>
          </w:p>
          <w:p>
            <w:pPr>
              <w:jc w:val="lef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所投产品须符合食品级不锈钢标准。</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35.5*26.5*2.4</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1000</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r>
      <w:tr>
        <w:trPr>
          <w:jc w:val="center"/>
          <w:trHeight w:val="20"/>
        </w:trPr>
        <w:tc>
          <w:tcPr>
            <w:shd w:val="clear" w:color="auto" w:fill="auto"/>
            <w:tcW w:w="9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S08</w:t>
            </w:r>
            <w:r/>
          </w:p>
        </w:tc>
        <w:tc>
          <w:tcPr>
            <w:shd w:val="clear" w:color="auto" w:fill="auto"/>
            <w:tcW w:w="1477"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密胺碗</w:t>
            </w:r>
            <w:r/>
          </w:p>
        </w:tc>
        <w:tc>
          <w:tcPr>
            <w:shd w:val="clear" w:color="auto" w:fill="auto"/>
            <w:tcW w:w="3685" w:type="dxa"/>
            <w:vAlign w:val="center"/>
            <w:textDirection w:val="lrTb"/>
            <w:noWrap w:val="false"/>
          </w:tcPr>
          <w:p>
            <w:pPr>
              <w:jc w:val="center"/>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φ12.6cm</w:t>
            </w:r>
            <w:r/>
          </w:p>
        </w:tc>
        <w:tc>
          <w:tcPr>
            <w:shd w:val="clear" w:color="auto" w:fill="auto"/>
            <w:tcW w:w="2256"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p>
        </w:tc>
        <w:tc>
          <w:tcPr>
            <w:shd w:val="clear" w:color="auto" w:fill="auto"/>
            <w:tcW w:w="831"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2000</w:t>
            </w:r>
            <w:r/>
          </w:p>
        </w:tc>
        <w:tc>
          <w:tcPr>
            <w:shd w:val="clear" w:color="auto" w:fill="auto"/>
            <w:tcW w:w="709"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r>
    </w:tbl>
    <w:p>
      <w:pPr>
        <w:pStyle w:val="1059"/>
        <w:ind w:firstLine="0"/>
        <w:spacing w:line="500" w:lineRule="exact"/>
        <w:rPr>
          <w:rFonts w:ascii="宋体" w:hAnsi="宋体" w:cs="宋体"/>
          <w:i/>
          <w:color w:val="000000"/>
          <w:sz w:val="24"/>
          <w:u w:val="single"/>
        </w:rPr>
        <w:outlineLvl w:val="1"/>
      </w:pPr>
      <w:r>
        <w:rPr>
          <w:rFonts w:ascii="宋体" w:hAnsi="宋体" w:cs="宋体"/>
          <w:i/>
          <w:color w:val="000000"/>
          <w:sz w:val="24"/>
          <w:u w:val="single"/>
        </w:rPr>
      </w:r>
      <w:r/>
    </w:p>
    <w:p>
      <w:pPr>
        <w:pStyle w:val="1059"/>
        <w:ind w:firstLine="0"/>
        <w:spacing w:line="500" w:lineRule="exact"/>
        <w:rPr>
          <w:rFonts w:ascii="宋体" w:hAnsi="宋体" w:cs="宋体"/>
          <w:b/>
          <w:sz w:val="24"/>
          <w:szCs w:val="24"/>
        </w:rPr>
        <w:outlineLvl w:val="1"/>
      </w:pPr>
      <w:r>
        <w:rPr>
          <w:rFonts w:hint="eastAsia" w:ascii="宋体" w:hAnsi="宋体" w:cs="宋体"/>
          <w:i/>
          <w:color w:val="000000"/>
          <w:sz w:val="24"/>
          <w:u w:val="single"/>
        </w:rPr>
        <w:t xml:space="preserve">技术参数中</w:t>
      </w:r>
      <w:r>
        <w:rPr>
          <w:rFonts w:ascii="宋体" w:hAnsi="宋体" w:cs="宋体"/>
          <w:i/>
          <w:color w:val="000000"/>
          <w:sz w:val="24"/>
          <w:u w:val="single"/>
        </w:rPr>
        <w:t xml:space="preserve">斜体且有下划线部分为实质性要求和条件</w:t>
      </w:r>
      <w:r>
        <w:rPr>
          <w:rFonts w:hint="eastAsia" w:ascii="宋体" w:hAnsi="宋体" w:cs="宋体"/>
          <w:i/>
          <w:color w:val="000000"/>
          <w:sz w:val="24"/>
          <w:u w:val="single"/>
        </w:rPr>
        <w:t xml:space="preserve">，不得负偏离，须按清单逐条制作技术参数响应偏离表，否则视作未实质性响应采购文件要求，</w:t>
      </w:r>
      <w:r>
        <w:rPr>
          <w:rFonts w:hint="eastAsia" w:ascii="宋体" w:hAnsi="宋体" w:cs="宋体"/>
          <w:i/>
          <w:sz w:val="24"/>
          <w:szCs w:val="24"/>
          <w:u w:val="single"/>
        </w:rPr>
        <w:t xml:space="preserve">以下为技术参数实质性要求中要求提供相关证明材料：</w:t>
      </w:r>
      <w:r/>
    </w:p>
    <w:p>
      <w:pPr>
        <w:ind w:firstLine="480"/>
        <w:spacing w:line="500" w:lineRule="exact"/>
        <w:rPr>
          <w:rFonts w:ascii="宋体" w:hAnsi="宋体" w:cs="宋体"/>
          <w:i/>
          <w:sz w:val="24"/>
          <w:u w:val="single"/>
        </w:rPr>
      </w:pPr>
      <w:r>
        <w:rPr>
          <w:rFonts w:ascii="宋体" w:hAnsi="宋体" w:cs="宋体"/>
          <w:i/>
          <w:sz w:val="24"/>
          <w:u w:val="single"/>
        </w:rPr>
        <w:t xml:space="preserve">A10</w:t>
      </w:r>
      <w:r>
        <w:rPr>
          <w:rFonts w:hint="eastAsia" w:ascii="宋体" w:hAnsi="宋体" w:cs="宋体"/>
          <w:i/>
          <w:sz w:val="24"/>
          <w:u w:val="single"/>
        </w:rPr>
        <w:t xml:space="preserve">高温双门消毒柜</w:t>
      </w:r>
      <w:r/>
    </w:p>
    <w:p>
      <w:pPr>
        <w:ind w:firstLine="480"/>
        <w:spacing w:line="500" w:lineRule="exact"/>
        <w:rPr>
          <w:rFonts w:ascii="宋体" w:hAnsi="宋体" w:cs="宋体"/>
          <w:i/>
          <w:sz w:val="24"/>
          <w:u w:val="single"/>
        </w:rPr>
      </w:pPr>
      <w:r>
        <w:rPr>
          <w:rFonts w:hint="eastAsia" w:ascii="宋体" w:hAnsi="宋体" w:cs="宋体"/>
          <w:i/>
          <w:sz w:val="24"/>
          <w:u w:val="single"/>
        </w:rPr>
        <w:t xml:space="preserve">★所投产品的设备制造商具有《消毒产品生产企业卫生许可证》</w:t>
      </w:r>
      <w:r/>
    </w:p>
    <w:p>
      <w:pPr>
        <w:ind w:firstLine="480"/>
        <w:spacing w:line="500" w:lineRule="exact"/>
        <w:rPr>
          <w:rFonts w:ascii="宋体" w:hAnsi="宋体" w:cs="宋体"/>
          <w:i/>
          <w:sz w:val="24"/>
          <w:u w:val="single"/>
        </w:rPr>
      </w:pPr>
      <w:r>
        <w:rPr>
          <w:rFonts w:ascii="宋体" w:hAnsi="宋体" w:cs="宋体"/>
          <w:i/>
          <w:sz w:val="24"/>
          <w:u w:val="single"/>
        </w:rPr>
        <w:t xml:space="preserve">A13</w:t>
      </w:r>
      <w:r>
        <w:rPr>
          <w:rFonts w:hint="eastAsia" w:ascii="宋体" w:hAnsi="宋体" w:cs="宋体"/>
          <w:i/>
          <w:sz w:val="24"/>
          <w:u w:val="single"/>
        </w:rPr>
        <w:t xml:space="preserve">洗地龙头</w:t>
      </w:r>
      <w:r/>
    </w:p>
    <w:p>
      <w:pPr>
        <w:ind w:firstLine="480"/>
        <w:spacing w:line="500" w:lineRule="exact"/>
        <w:rPr>
          <w:rFonts w:ascii="宋体" w:hAnsi="宋体" w:cs="宋体"/>
          <w:i/>
          <w:sz w:val="24"/>
          <w:u w:val="single"/>
        </w:rPr>
      </w:pPr>
      <w:r>
        <w:rPr>
          <w:rFonts w:hint="eastAsia" w:ascii="宋体" w:hAnsi="宋体" w:cs="宋体"/>
          <w:i/>
          <w:sz w:val="24"/>
          <w:u w:val="single"/>
        </w:rPr>
        <w:t xml:space="preserve">★</w:t>
      </w:r>
      <w:r>
        <w:rPr>
          <w:rFonts w:hint="eastAsia" w:ascii="宋体" w:hAnsi="宋体" w:eastAsia="宋体" w:cs="宋体"/>
          <w:i/>
          <w:color w:val="000000"/>
          <w:sz w:val="24"/>
          <w:u w:val="single"/>
        </w:rPr>
        <w:t xml:space="preserve">根据《关于印发节能产品政府采购品目清单的通知》（财库〔2019〕19号）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w:t>
      </w:r>
      <w:r>
        <w:rPr>
          <w:rFonts w:hint="eastAsia" w:ascii="宋体" w:hAnsi="宋体" w:cs="宋体"/>
          <w:i/>
          <w:sz w:val="24"/>
          <w:u w:val="single"/>
        </w:rPr>
        <w:t xml:space="preserve">属节水产品，投标人提供国家确定的认证机构出具的、在开标当日处于有效期之内的该节能产品认证证书</w:t>
      </w:r>
      <w:r/>
    </w:p>
    <w:p>
      <w:pPr>
        <w:ind w:firstLine="480"/>
        <w:spacing w:line="500" w:lineRule="exact"/>
        <w:rPr>
          <w:rFonts w:ascii="宋体" w:hAnsi="宋体" w:cs="宋体"/>
          <w:i/>
          <w:sz w:val="24"/>
          <w:u w:val="single"/>
        </w:rPr>
      </w:pPr>
      <w:r>
        <w:rPr>
          <w:rFonts w:hint="eastAsia" w:ascii="宋体" w:hAnsi="宋体" w:cs="宋体"/>
          <w:i/>
          <w:sz w:val="24"/>
          <w:u w:val="single"/>
        </w:rPr>
        <w:t xml:space="preserve">D</w:t>
      </w:r>
      <w:r>
        <w:rPr>
          <w:rFonts w:ascii="宋体" w:hAnsi="宋体" w:cs="宋体"/>
          <w:i/>
          <w:sz w:val="24"/>
          <w:u w:val="single"/>
        </w:rPr>
        <w:t xml:space="preserve">03</w:t>
      </w:r>
      <w:r>
        <w:rPr>
          <w:rFonts w:hint="eastAsia" w:ascii="宋体" w:hAnsi="宋体" w:cs="宋体"/>
          <w:i/>
          <w:sz w:val="24"/>
          <w:u w:val="single"/>
        </w:rPr>
        <w:t xml:space="preserve">双温摇摆龙头</w:t>
      </w:r>
      <w:r/>
    </w:p>
    <w:p>
      <w:pPr>
        <w:ind w:firstLine="480"/>
        <w:spacing w:line="500" w:lineRule="exact"/>
        <w:rPr>
          <w:rFonts w:ascii="宋体" w:hAnsi="宋体" w:cs="宋体"/>
          <w:i/>
          <w:sz w:val="24"/>
          <w:u w:val="single"/>
        </w:rPr>
      </w:pPr>
      <w:r>
        <w:rPr>
          <w:rFonts w:hint="eastAsia" w:ascii="宋体" w:hAnsi="宋体" w:cs="宋体"/>
          <w:i/>
          <w:sz w:val="24"/>
          <w:u w:val="single"/>
        </w:rPr>
        <w:t xml:space="preserve">★</w:t>
      </w:r>
      <w:r>
        <w:rPr>
          <w:rFonts w:hint="eastAsia" w:ascii="宋体" w:hAnsi="宋体" w:eastAsia="宋体" w:cs="宋体"/>
          <w:i/>
          <w:color w:val="000000"/>
          <w:sz w:val="24"/>
          <w:u w:val="single"/>
        </w:rPr>
        <w:t xml:space="preserve">根据《关于印发节能产品政府采购品目清单的通知》（财库〔2019〕19号）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w:t>
      </w:r>
      <w:r>
        <w:rPr>
          <w:rFonts w:hint="eastAsia" w:ascii="宋体" w:hAnsi="宋体" w:cs="宋体"/>
          <w:i/>
          <w:sz w:val="24"/>
          <w:u w:val="single"/>
        </w:rPr>
        <w:t xml:space="preserve">属节水产品，投标人提供国家确定的认证机构出具的、在开标当日处于有效期之内的该节能产品认证证书</w:t>
      </w:r>
      <w:r/>
    </w:p>
    <w:p>
      <w:pPr>
        <w:ind w:firstLine="480"/>
        <w:spacing w:line="500" w:lineRule="exact"/>
        <w:rPr>
          <w:rFonts w:ascii="宋体" w:hAnsi="宋体" w:cs="宋体"/>
          <w:i/>
          <w:sz w:val="24"/>
          <w:u w:val="single"/>
        </w:rPr>
      </w:pPr>
      <w:r>
        <w:rPr>
          <w:rFonts w:hint="eastAsia" w:ascii="宋体" w:hAnsi="宋体" w:cs="宋体"/>
          <w:i/>
          <w:sz w:val="24"/>
          <w:u w:val="single"/>
        </w:rPr>
        <w:t xml:space="preserve">I</w:t>
      </w:r>
      <w:r>
        <w:rPr>
          <w:rFonts w:ascii="宋体" w:hAnsi="宋体" w:cs="宋体"/>
          <w:i/>
          <w:sz w:val="24"/>
          <w:u w:val="single"/>
        </w:rPr>
        <w:t xml:space="preserve">03</w:t>
      </w:r>
      <w:r>
        <w:rPr>
          <w:rFonts w:hint="eastAsia" w:ascii="宋体" w:hAnsi="宋体" w:cs="宋体"/>
          <w:i/>
          <w:sz w:val="24"/>
          <w:u w:val="single"/>
        </w:rPr>
        <w:t xml:space="preserve">感应龙头</w:t>
      </w:r>
      <w:r/>
    </w:p>
    <w:p>
      <w:pPr>
        <w:ind w:firstLine="480"/>
        <w:spacing w:line="500" w:lineRule="exact"/>
        <w:rPr>
          <w:rFonts w:ascii="宋体" w:hAnsi="宋体" w:cs="宋体"/>
          <w:i/>
          <w:sz w:val="24"/>
          <w:u w:val="single"/>
        </w:rPr>
      </w:pPr>
      <w:r>
        <w:rPr>
          <w:rFonts w:hint="eastAsia" w:ascii="宋体" w:hAnsi="宋体" w:cs="宋体"/>
          <w:i/>
          <w:sz w:val="24"/>
          <w:u w:val="single"/>
        </w:rPr>
        <w:t xml:space="preserve">★</w:t>
      </w:r>
      <w:r>
        <w:rPr>
          <w:rFonts w:hint="eastAsia" w:ascii="宋体" w:hAnsi="宋体" w:eastAsia="宋体" w:cs="宋体"/>
          <w:i/>
          <w:color w:val="000000"/>
          <w:sz w:val="24"/>
          <w:u w:val="single"/>
        </w:rPr>
        <w:t xml:space="preserve">根据《关于印发节能产品政府采购品目清单的通知》（财库〔2019〕19号）</w:t>
      </w:r>
      <w:r>
        <w:rPr>
          <w:rFonts w:hint="eastAsia" w:ascii="宋体" w:hAnsi="宋体" w:eastAsia="宋体" w:cs="宋体"/>
          <w:i/>
          <w:color w:val="000000"/>
          <w:sz w:val="24"/>
          <w:u w:val="single"/>
        </w:rPr>
        <w:t xml:space="preserve">A</w:t>
      </w:r>
      <w:r>
        <w:rPr>
          <w:rFonts w:ascii="宋体" w:hAnsi="宋体" w:eastAsia="宋体" w:cs="宋体"/>
          <w:i/>
          <w:color w:val="000000"/>
          <w:sz w:val="24"/>
          <w:u w:val="single"/>
        </w:rPr>
        <w:t xml:space="preserve">060806</w:t>
      </w:r>
      <w:r>
        <w:rPr>
          <w:rFonts w:hint="eastAsia" w:ascii="宋体" w:hAnsi="宋体" w:eastAsia="宋体" w:cs="宋体"/>
          <w:i/>
          <w:color w:val="000000"/>
          <w:sz w:val="24"/>
          <w:u w:val="single"/>
        </w:rPr>
        <w:t xml:space="preserve">水嘴</w:t>
      </w:r>
      <w:r>
        <w:rPr>
          <w:rFonts w:hint="eastAsia" w:ascii="宋体" w:hAnsi="宋体" w:cs="宋体"/>
          <w:i/>
          <w:sz w:val="24"/>
          <w:u w:val="single"/>
        </w:rPr>
        <w:t xml:space="preserve">属节水产品，投标人提供国家确定的认证机构出具的、在开标当日处于有效期之内的该节能产品认证证书</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三、商务部分</w:t>
      </w:r>
      <w:r/>
    </w:p>
    <w:p>
      <w:pPr>
        <w:ind w:firstLine="480"/>
        <w:spacing w:line="500" w:lineRule="exact"/>
        <w:rPr>
          <w:rFonts w:ascii="宋体" w:hAnsi="宋体" w:cs="宋体"/>
          <w:sz w:val="24"/>
        </w:rPr>
      </w:pPr>
      <w:r>
        <w:rPr>
          <w:rFonts w:hint="eastAsia" w:ascii="宋体" w:hAnsi="宋体" w:cs="宋体"/>
          <w:sz w:val="24"/>
        </w:rPr>
        <w:t xml:space="preserve">（一）供货要求</w:t>
      </w:r>
      <w:r/>
    </w:p>
    <w:p>
      <w:pPr>
        <w:ind w:firstLine="480"/>
        <w:spacing w:line="500" w:lineRule="exact"/>
        <w:rPr>
          <w:rFonts w:ascii="宋体" w:hAnsi="宋体" w:cs="宋体"/>
          <w:sz w:val="24"/>
        </w:rPr>
      </w:pPr>
      <w:r>
        <w:rPr>
          <w:rFonts w:hint="eastAsia" w:ascii="宋体" w:hAnsi="宋体" w:cs="宋体"/>
          <w:sz w:val="24"/>
        </w:rPr>
        <w:t xml:space="preserve">1.一般要求</w:t>
      </w:r>
      <w:r/>
    </w:p>
    <w:p>
      <w:pPr>
        <w:ind w:firstLine="480"/>
        <w:spacing w:line="500" w:lineRule="exact"/>
        <w:rPr>
          <w:rFonts w:ascii="宋体" w:hAnsi="宋体" w:cs="宋体"/>
          <w:sz w:val="24"/>
        </w:rPr>
      </w:pPr>
      <w:r>
        <w:rPr>
          <w:rFonts w:hint="eastAsia" w:ascii="宋体" w:hAnsi="宋体" w:cs="宋体"/>
          <w:sz w:val="24"/>
        </w:rPr>
        <w:t xml:space="preserve">（1）投标方保证提供的设备为全新的、先进的、成熟的、完整的和安全可靠的，且设备的技术经济性能符合要求。</w:t>
      </w:r>
      <w:r/>
    </w:p>
    <w:p>
      <w:pPr>
        <w:ind w:firstLine="480"/>
        <w:spacing w:line="500" w:lineRule="exact"/>
        <w:rPr>
          <w:rFonts w:ascii="宋体" w:hAnsi="宋体" w:cs="宋体"/>
          <w:sz w:val="24"/>
        </w:rPr>
      </w:pPr>
      <w:r>
        <w:rPr>
          <w:rFonts w:hint="eastAsia" w:ascii="宋体" w:hAnsi="宋体" w:cs="宋体"/>
          <w:sz w:val="24"/>
        </w:rPr>
        <w:t xml:space="preserve">（2）投标方应提供详细供货清单，清单中依次说明型号、数量、产地、生产厂商等内容，对于属于整套设备运行和施工所必需的部件，即使投标文件中未列出和/或数目不足，投标方仍须在执行合同时补足。</w:t>
      </w:r>
      <w:r/>
    </w:p>
    <w:p>
      <w:pPr>
        <w:ind w:firstLine="480"/>
        <w:spacing w:line="500" w:lineRule="exact"/>
        <w:rPr>
          <w:rFonts w:ascii="宋体" w:hAnsi="宋体" w:cs="宋体"/>
          <w:sz w:val="24"/>
        </w:rPr>
      </w:pPr>
      <w:r>
        <w:rPr>
          <w:rFonts w:hint="eastAsia" w:ascii="宋体" w:hAnsi="宋体" w:cs="宋体"/>
          <w:sz w:val="24"/>
        </w:rPr>
        <w:t xml:space="preserve">（3）投标方应提供现场测试所需专用工具和消耗材料等，并提供详细供货清单。</w:t>
      </w:r>
      <w:r/>
    </w:p>
    <w:p>
      <w:pPr>
        <w:ind w:firstLine="480"/>
        <w:spacing w:line="50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验收方式</w:t>
      </w:r>
      <w:r/>
    </w:p>
    <w:p>
      <w:pPr>
        <w:ind w:firstLine="480"/>
        <w:spacing w:line="500" w:lineRule="exact"/>
        <w:rPr>
          <w:rFonts w:ascii="宋体" w:hAnsi="宋体" w:cs="宋体"/>
          <w:sz w:val="24"/>
        </w:rPr>
      </w:pPr>
      <w:r>
        <w:rPr>
          <w:rFonts w:hint="eastAsia" w:ascii="宋体" w:hAnsi="宋体" w:cs="宋体"/>
          <w:sz w:val="24"/>
        </w:rPr>
        <w:t xml:space="preserve">采购人对投标人提交的货物依据招标文件上的技术规格要求和国家有关质量标准进行现场初步验收，外观、说明书符合招标文件技术要求的，给予签收，初步验收不合格的不予签收并可立即要求退换。货到后，中标人在接到采购人安装调试要求后3个工作日内免费派技术人员到现场安装、调试至合格。设备安装、调试结束后，中标人需和采购人商定具体验收时间，根据制造商（生产者）主机及附件样本各项技术指标以及招标文件的要求作验收试验，直至采购人认可仪器无偏离技术性能为止。如不能通过验收，采购人有权拒绝验收要求退还货物并追究中标人的法律责任。</w:t>
      </w:r>
      <w:r/>
    </w:p>
    <w:p>
      <w:pPr>
        <w:ind w:firstLine="480"/>
        <w:spacing w:line="500" w:lineRule="exact"/>
        <w:rPr>
          <w:rFonts w:ascii="宋体" w:hAnsi="宋体" w:cs="宋体"/>
          <w:sz w:val="24"/>
        </w:rPr>
      </w:pPr>
      <w:r>
        <w:rPr>
          <w:rFonts w:hint="eastAsia" w:ascii="宋体" w:hAnsi="宋体" w:cs="宋体"/>
          <w:sz w:val="24"/>
        </w:rPr>
        <w:t xml:space="preserve">（二）质量保证及售后服务</w:t>
      </w:r>
      <w:r/>
    </w:p>
    <w:p>
      <w:pPr>
        <w:ind w:firstLine="480"/>
        <w:spacing w:line="500" w:lineRule="exact"/>
        <w:rPr>
          <w:rFonts w:ascii="宋体" w:hAnsi="宋体" w:cs="宋体"/>
          <w:i/>
          <w:sz w:val="24"/>
          <w:u w:val="single"/>
        </w:rPr>
      </w:pPr>
      <w:r>
        <w:rPr>
          <w:rFonts w:hint="eastAsia" w:ascii="宋体" w:hAnsi="宋体" w:cs="宋体"/>
          <w:i/>
          <w:sz w:val="24"/>
          <w:u w:val="single"/>
        </w:rPr>
        <w:t xml:space="preserve">★1.质保期：</w:t>
      </w:r>
      <w:r>
        <w:rPr>
          <w:rFonts w:ascii="宋体" w:hAnsi="宋体" w:cs="宋体"/>
          <w:i/>
          <w:sz w:val="24"/>
          <w:u w:val="single"/>
        </w:rPr>
        <w:t xml:space="preserve">2</w:t>
      </w:r>
      <w:r>
        <w:rPr>
          <w:rFonts w:hint="eastAsia" w:ascii="宋体" w:hAnsi="宋体" w:cs="宋体"/>
          <w:i/>
          <w:sz w:val="24"/>
          <w:u w:val="single"/>
        </w:rPr>
        <w:t xml:space="preserve">年（自交货验收合格之日起计）</w:t>
      </w:r>
      <w:r/>
    </w:p>
    <w:p>
      <w:pPr>
        <w:ind w:firstLine="480"/>
        <w:spacing w:line="500" w:lineRule="exact"/>
        <w:rPr>
          <w:rFonts w:ascii="宋体" w:hAnsi="宋体" w:cs="宋体"/>
          <w:sz w:val="24"/>
        </w:rPr>
      </w:pPr>
      <w:r>
        <w:rPr>
          <w:rFonts w:hint="eastAsia" w:ascii="宋体" w:hAnsi="宋体" w:cs="宋体"/>
          <w:sz w:val="24"/>
        </w:rPr>
        <w:t xml:space="preserve">2.技术支持以及售后服务</w:t>
      </w:r>
      <w:r/>
    </w:p>
    <w:p>
      <w:pPr>
        <w:ind w:firstLine="480"/>
        <w:spacing w:line="500" w:lineRule="exact"/>
        <w:rPr>
          <w:rFonts w:ascii="宋体" w:hAnsi="宋体" w:cs="宋体"/>
          <w:sz w:val="24"/>
        </w:rPr>
      </w:pPr>
      <w:r>
        <w:rPr>
          <w:rFonts w:hint="eastAsia" w:ascii="宋体" w:hAnsi="宋体" w:cs="宋体"/>
          <w:sz w:val="24"/>
        </w:rPr>
        <w:t xml:space="preserve">2.1供方应提供持续、广泛的技术支持以及售后服务，及时对买方遇到的技术问题或故障予以答复和修复。</w:t>
      </w:r>
      <w:r/>
    </w:p>
    <w:p>
      <w:pPr>
        <w:ind w:firstLine="480"/>
        <w:spacing w:line="500" w:lineRule="exact"/>
        <w:rPr>
          <w:rFonts w:ascii="宋体" w:hAnsi="宋体" w:cs="宋体"/>
          <w:i/>
          <w:sz w:val="24"/>
          <w:u w:val="single"/>
        </w:rPr>
      </w:pPr>
      <w:r>
        <w:rPr>
          <w:rFonts w:hint="eastAsia" w:ascii="宋体" w:hAnsi="宋体" w:cs="宋体"/>
          <w:i/>
          <w:sz w:val="24"/>
          <w:u w:val="single"/>
        </w:rPr>
        <w:t xml:space="preserve">★2.2质保期内的服务：质保期内，全年提供</w:t>
      </w:r>
      <w:r>
        <w:rPr>
          <w:rFonts w:hint="eastAsia" w:ascii="宋体" w:hAnsi="宋体" w:cs="宋体"/>
          <w:i/>
          <w:sz w:val="24"/>
          <w:u w:val="single"/>
        </w:rPr>
        <w:t xml:space="preserve"> 24 小时技术咨询服务，乙方在接到甲方要求对所购设备进行维修通知时，应在4小时内给予答复，并派出设备制造商的专门维修人员2个工作日内到达甲方现场进行故障确认并维修，12小时内处理完毕。超过质保期的设备，终生维修（含维护），全年提供 24 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p>
    <w:p>
      <w:pPr>
        <w:ind w:firstLine="480"/>
        <w:spacing w:line="500" w:lineRule="exact"/>
        <w:rPr>
          <w:rFonts w:ascii="宋体" w:hAnsi="宋体" w:cs="宋体"/>
          <w:i/>
          <w:sz w:val="24"/>
          <w:u w:val="single"/>
        </w:rPr>
      </w:pPr>
      <w:r>
        <w:rPr>
          <w:rFonts w:hint="eastAsia" w:ascii="宋体" w:hAnsi="宋体" w:cs="宋体"/>
          <w:i/>
          <w:sz w:val="24"/>
          <w:u w:val="single"/>
        </w:rPr>
        <w:t xml:space="preserve">★2.3质保期外的服务：过保后，供货方应及时提供广泛优惠的技术支持和维修保养服务。</w:t>
      </w:r>
      <w:r/>
    </w:p>
    <w:p>
      <w:pPr>
        <w:ind w:firstLine="480"/>
        <w:spacing w:line="500" w:lineRule="exact"/>
        <w:rPr>
          <w:rFonts w:ascii="宋体" w:hAnsi="宋体" w:cs="宋体"/>
          <w:sz w:val="24"/>
        </w:rPr>
      </w:pPr>
      <w:r>
        <w:rPr>
          <w:rFonts w:hint="eastAsia" w:ascii="宋体" w:hAnsi="宋体" w:cs="宋体"/>
          <w:sz w:val="24"/>
        </w:rPr>
        <w:t xml:space="preserve">3.人员技术培训及指导</w:t>
      </w:r>
      <w:r/>
    </w:p>
    <w:p>
      <w:pPr>
        <w:ind w:firstLine="480"/>
        <w:spacing w:line="500" w:lineRule="exact"/>
        <w:rPr>
          <w:rFonts w:ascii="宋体" w:hAnsi="宋体" w:cs="宋体"/>
          <w:sz w:val="24"/>
        </w:rPr>
      </w:pPr>
      <w:r>
        <w:rPr>
          <w:rFonts w:hint="eastAsia" w:ascii="宋体" w:hAnsi="宋体" w:cs="宋体"/>
          <w:sz w:val="24"/>
        </w:rPr>
        <w:t xml:space="preserve">安装调试合格后，由中标人安排工程师为采购人操作人员2～4名做现场基本操作培训，保证相关人员能独立上机进行基本操作和数据处理，内容涉及到仪器的构造，原理，常见故障排除及维修，设备使用方法等。培训涉及到的全部费用包含在投标报价中（包含但不限于，培训人员的工资、差旅、保险等）</w:t>
      </w:r>
      <w:r/>
    </w:p>
    <w:p>
      <w:pPr>
        <w:ind w:firstLine="480"/>
        <w:spacing w:line="500" w:lineRule="exact"/>
        <w:rPr>
          <w:rFonts w:ascii="宋体" w:hAnsi="宋体" w:cs="宋体"/>
          <w:sz w:val="24"/>
        </w:rPr>
      </w:pPr>
      <w:r>
        <w:rPr>
          <w:rFonts w:hint="eastAsia" w:ascii="宋体" w:hAnsi="宋体" w:cs="宋体"/>
          <w:sz w:val="24"/>
        </w:rPr>
        <w:t xml:space="preserve">4.资料交付</w:t>
      </w:r>
      <w:r/>
    </w:p>
    <w:p>
      <w:pPr>
        <w:ind w:firstLine="480"/>
        <w:spacing w:line="500" w:lineRule="exact"/>
        <w:rPr>
          <w:rFonts w:ascii="宋体" w:hAnsi="宋体" w:cs="宋体"/>
          <w:sz w:val="24"/>
        </w:rPr>
      </w:pPr>
      <w:r>
        <w:rPr>
          <w:rFonts w:hint="eastAsia" w:ascii="宋体" w:hAnsi="宋体" w:cs="宋体"/>
          <w:sz w:val="24"/>
        </w:rPr>
        <w:t xml:space="preserve">（1）产品合格证。</w:t>
      </w:r>
      <w:r/>
    </w:p>
    <w:p>
      <w:pPr>
        <w:ind w:firstLine="480"/>
        <w:spacing w:line="500" w:lineRule="exact"/>
        <w:rPr>
          <w:rFonts w:ascii="宋体" w:hAnsi="宋体" w:cs="宋体"/>
          <w:sz w:val="24"/>
        </w:rPr>
      </w:pPr>
      <w:r>
        <w:rPr>
          <w:rFonts w:hint="eastAsia" w:ascii="宋体" w:hAnsi="宋体" w:cs="宋体"/>
          <w:sz w:val="24"/>
        </w:rPr>
        <w:t xml:space="preserve">（2）产品说明书。</w:t>
      </w:r>
      <w:r/>
    </w:p>
    <w:p>
      <w:pPr>
        <w:ind w:firstLine="480"/>
        <w:spacing w:line="500" w:lineRule="exact"/>
        <w:rPr>
          <w:rFonts w:ascii="宋体" w:hAnsi="宋体" w:cs="宋体"/>
          <w:sz w:val="24"/>
        </w:rPr>
      </w:pPr>
      <w:r>
        <w:rPr>
          <w:rFonts w:hint="eastAsia" w:ascii="宋体" w:hAnsi="宋体" w:cs="宋体"/>
          <w:sz w:val="24"/>
        </w:rPr>
        <w:t xml:space="preserve">（三）包装和运输</w:t>
      </w:r>
      <w:r/>
    </w:p>
    <w:p>
      <w:pPr>
        <w:ind w:firstLine="480"/>
        <w:spacing w:line="500" w:lineRule="exact"/>
        <w:rPr>
          <w:rFonts w:ascii="宋体" w:hAnsi="宋体" w:cs="宋体"/>
          <w:sz w:val="24"/>
        </w:rPr>
      </w:pPr>
      <w:r>
        <w:rPr>
          <w:rFonts w:hint="eastAsia" w:ascii="宋体" w:hAnsi="宋体" w:cs="宋体"/>
          <w:sz w:val="24"/>
        </w:rPr>
        <w:t xml:space="preserve">1.所有设备及附件都有固定铭牌，铭牌不易损坏，标志醒目、整齐、美观。</w:t>
      </w:r>
      <w:r/>
    </w:p>
    <w:p>
      <w:pPr>
        <w:ind w:firstLine="480"/>
        <w:spacing w:line="500" w:lineRule="exact"/>
        <w:rPr>
          <w:rFonts w:ascii="宋体" w:hAnsi="宋体" w:cs="宋体"/>
          <w:i/>
          <w:sz w:val="24"/>
          <w:u w:val="single"/>
        </w:rPr>
      </w:pPr>
      <w:r>
        <w:rPr>
          <w:rFonts w:hint="eastAsia" w:ascii="宋体" w:hAnsi="宋体" w:cs="宋体"/>
          <w:i/>
          <w:sz w:val="24"/>
          <w:u w:val="single"/>
        </w:rPr>
        <w:t xml:space="preserve">★2.货物运输至需方指定地点。</w:t>
      </w:r>
      <w:r/>
    </w:p>
    <w:p>
      <w:pPr>
        <w:ind w:firstLine="480"/>
        <w:spacing w:line="500" w:lineRule="exact"/>
        <w:rPr>
          <w:rFonts w:ascii="宋体" w:hAnsi="宋体" w:cs="宋体"/>
          <w:i/>
          <w:sz w:val="24"/>
          <w:u w:val="single"/>
        </w:rPr>
      </w:pPr>
      <w:r>
        <w:rPr>
          <w:rFonts w:hint="eastAsia" w:ascii="宋体" w:hAnsi="宋体" w:cs="宋体"/>
          <w:i/>
          <w:sz w:val="24"/>
          <w:u w:val="single"/>
        </w:rPr>
        <w:t xml:space="preserve">★（四）付款方式</w:t>
      </w:r>
      <w:r/>
    </w:p>
    <w:p>
      <w:pPr>
        <w:ind w:firstLine="480"/>
        <w:spacing w:line="500" w:lineRule="exact"/>
        <w:rPr>
          <w:rFonts w:ascii="宋体" w:hAnsi="宋体" w:cs="宋体"/>
          <w:i/>
          <w:sz w:val="24"/>
          <w:u w:val="single"/>
        </w:rPr>
      </w:pPr>
      <w:r>
        <w:rPr>
          <w:rFonts w:hint="eastAsia" w:ascii="宋体" w:hAnsi="宋体" w:cs="宋体"/>
          <w:i/>
          <w:sz w:val="24"/>
          <w:u w:val="single"/>
        </w:rPr>
        <w:t xml:space="preserve">①自合同签订生效之日起，收到乙方发票10个工作日内，甲方向乙方支付合同总价的30%款项作为预付款；</w:t>
      </w:r>
      <w:r/>
    </w:p>
    <w:p>
      <w:pPr>
        <w:ind w:firstLine="480"/>
        <w:spacing w:line="500" w:lineRule="exact"/>
        <w:rPr>
          <w:rFonts w:ascii="宋体" w:hAnsi="宋体" w:cs="宋体"/>
          <w:i/>
          <w:sz w:val="24"/>
          <w:u w:val="single"/>
        </w:rPr>
      </w:pPr>
      <w:r>
        <w:rPr>
          <w:rFonts w:hint="eastAsia" w:ascii="宋体" w:hAnsi="宋体" w:cs="宋体"/>
          <w:i/>
          <w:sz w:val="24"/>
          <w:u w:val="single"/>
        </w:rPr>
        <w:t xml:space="preserve">②所有货物安装并调试完毕，经甲方（采购方）验收合格后，单据齐全，一次性付清余款。甲方在收到发票后10个工作日内将合同价款支付到合同约定的乙方账户。</w:t>
      </w:r>
      <w:r/>
    </w:p>
    <w:p>
      <w:pPr>
        <w:ind w:firstLine="480"/>
        <w:spacing w:line="500" w:lineRule="exact"/>
        <w:rPr>
          <w:rFonts w:ascii="宋体" w:hAnsi="宋体" w:cs="宋体"/>
          <w:i/>
          <w:sz w:val="24"/>
          <w:u w:val="single"/>
        </w:rPr>
      </w:pPr>
      <w:r>
        <w:rPr>
          <w:rFonts w:hint="eastAsia" w:ascii="宋体" w:hAnsi="宋体" w:cs="宋体"/>
          <w:i/>
          <w:sz w:val="24"/>
          <w:u w:val="single"/>
        </w:rPr>
        <w:t xml:space="preserve">注：以上付款均不计任何利息和相关费用，付款一律通过银行结转。当合同采购数量与实际使用数量不一致时，乙方应根据实际使用量供货，合同的最终结算金额按实际使用量乘以成交单价进行计算。</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四、本采购文件中加★部分为实质性要求，不接受负偏离。</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五、招标图纸</w:t>
      </w:r>
      <w:r/>
    </w:p>
    <w:p>
      <w:pPr>
        <w:pStyle w:val="1061"/>
        <w:ind w:firstLine="480"/>
        <w:spacing w:before="0" w:line="500" w:lineRule="exact"/>
        <w:rPr>
          <w:rFonts w:ascii="宋体" w:hAnsi="宋体" w:cs="宋体"/>
          <w:szCs w:val="24"/>
        </w:rPr>
      </w:pPr>
      <w:r>
        <w:rPr>
          <w:rFonts w:asciiTheme="minorEastAsia" w:hAnsiTheme="minorEastAsia"/>
          <w:bCs/>
          <w:color w:val="000000" w:themeColor="text1"/>
        </w:rPr>
        <w:t xml:space="preserve">供应商须在投标前自行组织现场踏勘，也可以联系采购人现场踏勘。如因未踏勘现场引起的一切后果自负。供应商踏勘现场发生的费用自理</w:t>
      </w:r>
      <w:r>
        <w:rPr>
          <w:rFonts w:asciiTheme="minorEastAsia" w:hAnsiTheme="minorEastAsia"/>
          <w:bCs/>
          <w:color w:val="000000" w:themeColor="text1"/>
        </w:rPr>
        <w:t xml:space="preserve">，自行负责在踏勘现场中所发生的人员伤亡和财产损失。供应商到项目实施现场进行踏勘时，应当充分了解现场位置、情况、道路、储存空间、装卸限制、流动人员数量、水电使用情况及任何其它足以影响报价的情况，并根据现场的实际情况将本项目可预见的相关费用（包括地方矛盾）自行考虑到投标报价中，中标后可预见的相关费用包干使用。采购人向供应商提供的有关现场的数据和资料，是采购人现有的能够被供应商利用的资料，供应商对该数据和资料做出的任何推论、理解和结论采购人均不负责任，任何因忽视或误解现场情况而导致的索赔或工期延长申请将不被批准。</w:t>
      </w:r>
      <w:r/>
    </w:p>
    <w:p>
      <w:pPr>
        <w:pStyle w:val="1061"/>
        <w:ind w:firstLine="480"/>
        <w:spacing w:before="0" w:line="500" w:lineRule="exact"/>
        <w:rPr>
          <w:rFonts w:ascii="宋体" w:hAnsi="宋体" w:cs="宋体"/>
          <w:szCs w:val="24"/>
        </w:rPr>
      </w:pPr>
      <w:r>
        <w:rPr>
          <w:rFonts w:hint="eastAsia" w:ascii="宋体" w:hAnsi="宋体" w:cs="宋体"/>
          <w:szCs w:val="24"/>
        </w:rPr>
        <w:t xml:space="preserve">招标清单及图纸下载链接： </w:t>
      </w:r>
      <w:r/>
    </w:p>
    <w:p>
      <w:pPr>
        <w:pStyle w:val="1061"/>
        <w:ind w:firstLine="480"/>
        <w:spacing w:before="0" w:line="500" w:lineRule="exact"/>
        <w:rPr>
          <w:rFonts w:ascii="宋体" w:hAnsi="宋体" w:cs="宋体"/>
          <w:szCs w:val="24"/>
        </w:rPr>
      </w:pPr>
      <w:r>
        <w:rPr>
          <w:rFonts w:hint="eastAsia" w:ascii="宋体" w:hAnsi="宋体" w:cs="宋体"/>
          <w:szCs w:val="24"/>
        </w:rPr>
        <w:t xml:space="preserve">链接: </w:t>
      </w:r>
      <w:r>
        <w:rPr>
          <w:rFonts w:hint="eastAsia" w:ascii="宋体" w:hAnsi="宋体" w:cs="宋体"/>
          <w:szCs w:val="24"/>
        </w:rPr>
        <w:t xml:space="preserve">https://pan.baidu.com/s/1aOvJzBEeSzxCdGMtIlEaNg</w:t>
      </w:r>
      <w:r>
        <w:rPr>
          <w:rFonts w:ascii="宋体" w:hAnsi="宋体" w:cs="宋体"/>
          <w:szCs w:val="24"/>
        </w:rPr>
      </w:r>
      <w:r/>
    </w:p>
    <w:p>
      <w:pPr>
        <w:pStyle w:val="1061"/>
        <w:ind w:firstLine="480"/>
        <w:spacing w:before="0" w:line="500" w:lineRule="exact"/>
        <w:rPr>
          <w:rFonts w:ascii="宋体" w:hAnsi="宋体" w:cs="宋体"/>
          <w:szCs w:val="24"/>
        </w:rPr>
      </w:pPr>
      <w:r>
        <w:rPr>
          <w:rFonts w:hint="eastAsia" w:ascii="宋体" w:hAnsi="宋体" w:cs="宋体"/>
          <w:szCs w:val="24"/>
        </w:rPr>
        <w:t xml:space="preserve">提取码：</w:t>
      </w:r>
      <w:r>
        <w:rPr>
          <w:rFonts w:hint="eastAsia" w:ascii="宋体" w:hAnsi="宋体" w:cs="宋体"/>
          <w:szCs w:val="24"/>
        </w:rPr>
        <w:t xml:space="preserve">w4jv</w:t>
      </w:r>
      <w:r>
        <w:rPr>
          <w:rFonts w:ascii="宋体" w:hAnsi="宋体" w:cs="宋体"/>
          <w:szCs w:val="24"/>
        </w:rPr>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六、</w:t>
      </w:r>
      <w:r>
        <w:rPr>
          <w:rFonts w:hint="eastAsia" w:ascii="宋体" w:hAnsi="宋体" w:cs="宋体"/>
          <w:b/>
          <w:sz w:val="24"/>
          <w:szCs w:val="24"/>
        </w:rPr>
        <w:t xml:space="preserve">产品及</w:t>
      </w:r>
      <w:r>
        <w:rPr>
          <w:rFonts w:hint="eastAsia" w:ascii="宋体" w:hAnsi="宋体" w:cs="宋体"/>
          <w:b/>
          <w:sz w:val="24"/>
          <w:szCs w:val="24"/>
        </w:rPr>
        <w:t xml:space="preserve">供应商能力要求</w:t>
      </w:r>
      <w:r/>
    </w:p>
    <w:p>
      <w:pPr>
        <w:pStyle w:val="1061"/>
        <w:ind w:firstLine="480"/>
        <w:spacing w:line="500" w:lineRule="exact"/>
        <w:rPr>
          <w:rFonts w:hint="eastAsia" w:ascii="宋体" w:hAnsi="宋体" w:cs="宋体"/>
          <w:szCs w:val="24"/>
        </w:rPr>
      </w:pPr>
      <w:r>
        <w:rPr>
          <w:rFonts w:hint="eastAsia" w:ascii="宋体" w:hAnsi="宋体" w:cs="宋体"/>
          <w:szCs w:val="24"/>
        </w:rPr>
        <w:t xml:space="preserve">1、</w:t>
      </w:r>
      <w:r>
        <w:rPr>
          <w:rFonts w:hint="eastAsia" w:ascii="宋体" w:hAnsi="宋体" w:cs="宋体"/>
          <w:szCs w:val="24"/>
        </w:rPr>
        <w:t xml:space="preserve">所投高温双门消毒柜依据GB17988-2008《食具消毒柜安全和卫生要求》，消毒等级</w:t>
      </w:r>
      <w:r>
        <w:rPr>
          <w:rFonts w:hint="eastAsia" w:ascii="宋体" w:hAnsi="宋体" w:cs="宋体"/>
          <w:szCs w:val="24"/>
        </w:rPr>
        <w:t xml:space="preserve">高</w:t>
      </w:r>
      <w:r>
        <w:rPr>
          <w:rFonts w:hint="eastAsia" w:ascii="宋体" w:hAnsi="宋体" w:cs="宋体"/>
          <w:b/>
          <w:szCs w:val="24"/>
        </w:rPr>
        <w:t xml:space="preserve">的优先</w:t>
      </w:r>
      <w:r>
        <w:rPr>
          <w:rFonts w:hint="eastAsia" w:ascii="宋体" w:hAnsi="宋体" w:cs="宋体"/>
          <w:szCs w:val="24"/>
        </w:rPr>
        <w:t xml:space="preserve">。</w:t>
      </w:r>
      <w:r/>
    </w:p>
    <w:p>
      <w:pPr>
        <w:pStyle w:val="1061"/>
        <w:ind w:firstLine="480"/>
        <w:spacing w:line="500" w:lineRule="exact"/>
        <w:rPr>
          <w:rFonts w:hint="eastAsia" w:ascii="宋体" w:hAnsi="宋体" w:cs="宋体"/>
          <w:szCs w:val="24"/>
        </w:rPr>
      </w:pPr>
      <w:r>
        <w:rPr>
          <w:rFonts w:hint="eastAsia" w:ascii="宋体" w:hAnsi="宋体" w:cs="宋体"/>
          <w:szCs w:val="24"/>
        </w:rPr>
        <w:t xml:space="preserve">2、所投箱式风机（R07）高压风柜依据GB19761-2020《通风机等效限定值及能效等级》，风柜能效等级</w:t>
      </w:r>
      <w:r>
        <w:rPr>
          <w:rFonts w:hint="eastAsia" w:ascii="宋体" w:hAnsi="宋体" w:cs="宋体"/>
          <w:szCs w:val="24"/>
        </w:rPr>
        <w:t xml:space="preserve">高</w:t>
      </w:r>
      <w:r>
        <w:rPr>
          <w:rFonts w:hint="eastAsia" w:ascii="宋体" w:hAnsi="宋体" w:cs="宋体"/>
          <w:b/>
          <w:szCs w:val="24"/>
        </w:rPr>
        <w:t xml:space="preserve">的优先</w:t>
      </w:r>
      <w:r>
        <w:rPr>
          <w:rFonts w:hint="eastAsia" w:ascii="宋体" w:hAnsi="宋体" w:cs="宋体"/>
          <w:szCs w:val="24"/>
        </w:rPr>
        <w:t xml:space="preserve">。</w:t>
      </w:r>
      <w:r/>
    </w:p>
    <w:p>
      <w:pPr>
        <w:pStyle w:val="1061"/>
        <w:ind w:firstLine="480"/>
        <w:spacing w:before="0" w:line="500" w:lineRule="exact"/>
        <w:rPr>
          <w:rFonts w:ascii="宋体" w:hAnsi="宋体" w:cs="宋体"/>
          <w:szCs w:val="24"/>
        </w:rPr>
      </w:pPr>
      <w:r>
        <w:rPr>
          <w:rFonts w:hint="eastAsia" w:ascii="宋体" w:hAnsi="宋体" w:cs="宋体"/>
          <w:szCs w:val="24"/>
        </w:rPr>
        <w:t xml:space="preserve">3、所投低空排放净化器根据《饮食业油烟排放标准》（GB18483-2001），最低净化率</w:t>
      </w:r>
      <w:r>
        <w:rPr>
          <w:rFonts w:hint="eastAsia" w:ascii="宋体" w:hAnsi="宋体" w:cs="宋体"/>
          <w:szCs w:val="24"/>
        </w:rPr>
        <w:t xml:space="preserve">高</w:t>
      </w:r>
      <w:r>
        <w:rPr>
          <w:rFonts w:hint="eastAsia" w:ascii="宋体" w:hAnsi="宋体" w:cs="宋体"/>
          <w:b/>
          <w:szCs w:val="24"/>
        </w:rPr>
        <w:t xml:space="preserve">的优先</w:t>
      </w:r>
      <w:r/>
    </w:p>
    <w:p>
      <w:pPr>
        <w:pStyle w:val="1061"/>
        <w:ind w:firstLine="480"/>
        <w:spacing w:before="0" w:line="500" w:lineRule="exact"/>
        <w:rPr>
          <w:rFonts w:ascii="宋体" w:hAnsi="宋体" w:cs="宋体"/>
          <w:szCs w:val="24"/>
        </w:rPr>
      </w:pPr>
      <w:r>
        <w:rPr>
          <w:rFonts w:ascii="宋体" w:hAnsi="宋体" w:cs="宋体"/>
          <w:szCs w:val="24"/>
        </w:rPr>
        <w:t xml:space="preserve">4</w:t>
      </w:r>
      <w:r>
        <w:rPr>
          <w:rFonts w:hint="eastAsia" w:ascii="宋体" w:hAnsi="宋体" w:cs="宋体"/>
          <w:szCs w:val="24"/>
        </w:rPr>
        <w:t xml:space="preserve">、</w:t>
      </w:r>
      <w:r>
        <w:rPr>
          <w:rFonts w:hint="eastAsia" w:ascii="宋体" w:hAnsi="宋体" w:cs="宋体"/>
          <w:szCs w:val="24"/>
        </w:rPr>
        <w:t xml:space="preserve">供应商需具备类似项目供货经验，供应商自2022年1月1日（以合同签订时间为准）以来，具有类似项目业绩的优先。</w:t>
      </w:r>
      <w:r/>
    </w:p>
    <w:p>
      <w:pPr>
        <w:pStyle w:val="1061"/>
        <w:ind w:firstLine="480"/>
        <w:spacing w:before="0" w:line="500" w:lineRule="exact"/>
        <w:rPr>
          <w:rFonts w:ascii="宋体" w:hAnsi="宋体" w:cs="宋体"/>
          <w:szCs w:val="24"/>
        </w:rPr>
      </w:pPr>
      <w:r>
        <w:rPr>
          <w:rFonts w:ascii="宋体" w:hAnsi="宋体" w:cs="宋体"/>
          <w:szCs w:val="24"/>
        </w:rPr>
        <w:t xml:space="preserve">5</w:t>
      </w:r>
      <w:r>
        <w:rPr>
          <w:rFonts w:hint="eastAsia" w:ascii="宋体" w:hAnsi="宋体" w:cs="宋体"/>
          <w:szCs w:val="24"/>
        </w:rPr>
        <w:t xml:space="preserve">、本项目为厨房设备采购项目，投标人需具有科学有效的管理流程和规范，优化内部管理，提高工作效率和质量；并且通过有效的环境管理减少环境污染，同时应重视员工的职业健康和安全；降低工伤事故和职业病的发生率，积极保障员工职业健康和安全，以保障本项目的顺利实施。具有有效期内的质量认证管理体系证书、职业健康安全管理体系认证证书、环境管理体系认证证书、</w:t>
      </w:r>
      <w:r>
        <w:rPr>
          <w:rFonts w:hint="eastAsia" w:ascii="宋体" w:hAnsi="宋体" w:cs="宋体"/>
          <w:szCs w:val="32"/>
        </w:rPr>
        <w:t xml:space="preserve">售后服务认证证书</w:t>
      </w:r>
      <w:r>
        <w:rPr>
          <w:rFonts w:hint="eastAsia" w:ascii="宋体" w:hAnsi="宋体" w:cs="宋体"/>
          <w:b/>
          <w:szCs w:val="24"/>
        </w:rPr>
        <w:t xml:space="preserve">的优先</w:t>
      </w:r>
      <w:r>
        <w:rPr>
          <w:rFonts w:hint="eastAsia" w:ascii="宋体" w:hAnsi="宋体" w:cs="宋体"/>
          <w:szCs w:val="24"/>
        </w:rPr>
        <w:t xml:space="preserve">。</w:t>
      </w:r>
      <w:r/>
    </w:p>
    <w:p>
      <w:pPr>
        <w:pStyle w:val="1061"/>
        <w:ind w:firstLine="480"/>
        <w:spacing w:before="0" w:line="500" w:lineRule="exact"/>
        <w:rPr>
          <w:rFonts w:ascii="宋体" w:hAnsi="宋体" w:cs="宋体"/>
          <w:szCs w:val="24"/>
        </w:rPr>
      </w:pPr>
      <w:r>
        <w:rPr>
          <w:rFonts w:ascii="宋体" w:hAnsi="宋体" w:cs="宋体"/>
          <w:szCs w:val="24"/>
        </w:rPr>
        <w:t xml:space="preserve">6</w:t>
      </w:r>
      <w:r>
        <w:rPr>
          <w:rFonts w:hint="eastAsia" w:ascii="宋体" w:hAnsi="宋体" w:cs="宋体"/>
          <w:szCs w:val="24"/>
        </w:rPr>
        <w:t xml:space="preserve">、供应商承诺</w:t>
      </w:r>
      <w:r>
        <w:rPr>
          <w:rFonts w:hint="eastAsia" w:ascii="宋体" w:hAnsi="宋体" w:cs="宋体"/>
          <w:bCs/>
        </w:rPr>
        <w:t xml:space="preserve">在招标文件基本要求（2年）基础上</w:t>
      </w:r>
      <w:r>
        <w:rPr>
          <w:rFonts w:hint="eastAsia" w:ascii="宋体" w:hAnsi="宋体" w:cs="宋体"/>
          <w:szCs w:val="24"/>
        </w:rPr>
        <w:t xml:space="preserve">增加质保年限的优先。</w:t>
      </w:r>
      <w:r/>
    </w:p>
    <w:p>
      <w:pPr>
        <w:pStyle w:val="1059"/>
        <w:ind w:firstLine="0"/>
        <w:spacing w:line="500" w:lineRule="exact"/>
        <w:rPr>
          <w:rFonts w:ascii="宋体" w:hAnsi="宋体" w:cs="宋体"/>
          <w:b/>
          <w:sz w:val="24"/>
          <w:szCs w:val="24"/>
        </w:rPr>
        <w:outlineLvl w:val="1"/>
      </w:pPr>
      <w:r>
        <w:rPr>
          <w:rFonts w:hint="eastAsia" w:ascii="宋体" w:hAnsi="宋体" w:cs="宋体"/>
          <w:b/>
          <w:sz w:val="24"/>
          <w:szCs w:val="24"/>
        </w:rPr>
        <w:t xml:space="preserve">七、供货实施方案、售后服务方案</w:t>
      </w:r>
      <w:r>
        <w:rPr>
          <w:rFonts w:hint="eastAsia" w:ascii="宋体" w:hAnsi="宋体" w:cs="宋体"/>
          <w:b/>
          <w:sz w:val="24"/>
          <w:szCs w:val="24"/>
        </w:rPr>
        <w:t xml:space="preserve">、安全保障方案</w:t>
      </w:r>
      <w:r/>
    </w:p>
    <w:p>
      <w:pPr>
        <w:pStyle w:val="1061"/>
        <w:ind w:firstLine="480"/>
        <w:spacing w:before="0" w:line="500" w:lineRule="exact"/>
        <w:rPr>
          <w:rFonts w:ascii="宋体" w:hAnsi="宋体" w:cs="宋体"/>
        </w:rPr>
      </w:pPr>
      <w:r>
        <w:rPr>
          <w:rFonts w:hint="eastAsia" w:ascii="宋体" w:hAnsi="宋体" w:cs="宋体"/>
          <w:szCs w:val="24"/>
        </w:rPr>
        <w:t xml:space="preserve">1、供货实施方案</w:t>
      </w:r>
      <w:r/>
    </w:p>
    <w:p>
      <w:pPr>
        <w:pStyle w:val="1061"/>
        <w:ind w:firstLine="480"/>
        <w:spacing w:before="0" w:line="500" w:lineRule="exact"/>
        <w:rPr>
          <w:rFonts w:ascii="宋体" w:hAnsi="宋体" w:cs="宋体"/>
        </w:rPr>
      </w:pPr>
      <w:r>
        <w:rPr>
          <w:rFonts w:hint="eastAsia" w:ascii="宋体" w:hAnsi="宋体" w:cs="宋体"/>
          <w:szCs w:val="24"/>
        </w:rPr>
        <w:t xml:space="preserve">投标人应根据采购需求和本项目实际，制订相应的供货实施方案至少包含以下内容：</w:t>
      </w:r>
      <w:r/>
    </w:p>
    <w:p>
      <w:pPr>
        <w:pStyle w:val="1061"/>
        <w:ind w:firstLine="480"/>
        <w:spacing w:before="0" w:line="500" w:lineRule="exact"/>
        <w:rPr>
          <w:rFonts w:ascii="宋体" w:hAnsi="宋体" w:cs="宋体"/>
          <w:szCs w:val="24"/>
        </w:rPr>
      </w:pPr>
      <w:r>
        <w:rPr>
          <w:rFonts w:hint="eastAsia" w:ascii="宋体" w:hAnsi="宋体" w:cs="宋体"/>
          <w:szCs w:val="24"/>
        </w:rPr>
        <w:t xml:space="preserve">①安装、调试方案</w:t>
      </w:r>
      <w:r/>
    </w:p>
    <w:p>
      <w:pPr>
        <w:pStyle w:val="1061"/>
        <w:ind w:firstLine="480"/>
        <w:spacing w:before="0" w:line="500" w:lineRule="exact"/>
        <w:rPr>
          <w:rFonts w:ascii="宋体" w:hAnsi="宋体" w:cs="宋体"/>
          <w:szCs w:val="24"/>
        </w:rPr>
      </w:pPr>
      <w:r>
        <w:rPr>
          <w:rFonts w:hint="eastAsia" w:ascii="宋体" w:hAnsi="宋体" w:cs="宋体"/>
          <w:szCs w:val="24"/>
        </w:rPr>
        <w:t xml:space="preserve">需明确厨房设备（如消毒柜、洗碗机、冰箱、燃气 / 电磁灶具、排烟系统等）的现场安装流程与调试标准，至少包含：安装前准备、</w:t>
      </w:r>
      <w:r>
        <w:rPr>
          <w:rFonts w:ascii="Segoe UI" w:hAnsi="Segoe UI" w:cs="Segoe UI"/>
          <w:shd w:val="clear" w:color="auto" w:fill="ffffff"/>
        </w:rPr>
        <w:t xml:space="preserve">分区域安装流程</w:t>
      </w:r>
      <w:r>
        <w:rPr>
          <w:rFonts w:hint="eastAsia" w:ascii="Segoe UI" w:hAnsi="Segoe UI" w:cs="Segoe UI"/>
          <w:shd w:val="clear" w:color="auto" w:fill="ffffff"/>
        </w:rPr>
        <w:t xml:space="preserve">、调试标准。</w:t>
      </w:r>
      <w:r/>
    </w:p>
    <w:p>
      <w:pPr>
        <w:pStyle w:val="1061"/>
        <w:ind w:firstLine="480"/>
        <w:spacing w:before="0" w:line="500" w:lineRule="exact"/>
        <w:rPr>
          <w:rFonts w:ascii="宋体" w:hAnsi="宋体" w:cs="宋体"/>
          <w:szCs w:val="24"/>
        </w:rPr>
      </w:pPr>
      <w:r>
        <w:rPr>
          <w:rFonts w:hint="eastAsia" w:ascii="宋体" w:hAnsi="宋体" w:cs="宋体"/>
          <w:szCs w:val="24"/>
        </w:rPr>
        <w:t xml:space="preserve">②质量保障措施</w:t>
      </w:r>
      <w:r/>
    </w:p>
    <w:p>
      <w:pPr>
        <w:pStyle w:val="1061"/>
        <w:ind w:firstLine="480"/>
        <w:spacing w:before="0" w:line="500" w:lineRule="exact"/>
        <w:rPr>
          <w:rFonts w:ascii="宋体" w:hAnsi="宋体" w:cs="宋体"/>
          <w:szCs w:val="24"/>
        </w:rPr>
      </w:pPr>
      <w:r>
        <w:rPr>
          <w:rFonts w:hint="eastAsia" w:ascii="宋体" w:hAnsi="宋体" w:cs="宋体"/>
          <w:szCs w:val="24"/>
        </w:rPr>
        <w:t xml:space="preserve">承诺所供设备为全新正品，提供制造商出具的质量合格证明。明确安装人员资质要求（如燃气燃烧器具安装需持证上岗），制定安装工艺标准（如不锈钢设备焊接的焊纹均匀度、设备水平度 / 垂直度误差控制），安装过程中同步进行隐蔽工程验收（如管线接口密封性、接地安全性）。设立专人负责现场质量巡检，记录巡检日志，对发现的质量问题（如设备划痕、安装偏差）制定整改方案及复查流程，确保问题闭环。</w:t>
      </w:r>
      <w:r/>
    </w:p>
    <w:p>
      <w:pPr>
        <w:pStyle w:val="1061"/>
        <w:ind w:firstLine="480"/>
        <w:spacing w:before="0" w:line="500" w:lineRule="exact"/>
        <w:rPr>
          <w:rFonts w:ascii="宋体" w:hAnsi="宋体" w:cs="宋体"/>
          <w:szCs w:val="24"/>
        </w:rPr>
      </w:pPr>
      <w:r>
        <w:rPr>
          <w:rFonts w:hint="eastAsia" w:ascii="宋体" w:hAnsi="宋体" w:cs="宋体"/>
          <w:szCs w:val="24"/>
        </w:rPr>
        <w:t xml:space="preserve">③进度保障措施</w:t>
      </w:r>
      <w:r/>
    </w:p>
    <w:p>
      <w:pPr>
        <w:pStyle w:val="1061"/>
        <w:ind w:firstLine="480"/>
        <w:spacing w:before="0" w:line="500" w:lineRule="exact"/>
        <w:rPr>
          <w:rFonts w:ascii="宋体" w:hAnsi="宋体" w:cs="宋体"/>
          <w:szCs w:val="24"/>
        </w:rPr>
      </w:pPr>
      <w:r>
        <w:rPr>
          <w:rFonts w:hint="eastAsia" w:ascii="宋体" w:hAnsi="宋体" w:cs="宋体"/>
          <w:szCs w:val="24"/>
        </w:rPr>
        <w:t xml:space="preserve">投标单位需制定详细的项目实施时间表，明确各阶段工作内容及时间节点。项目整体周期不超过</w:t>
      </w:r>
      <w:r>
        <w:rPr>
          <w:rFonts w:ascii="宋体" w:hAnsi="宋体" w:cs="宋体"/>
          <w:szCs w:val="24"/>
        </w:rPr>
        <w:t xml:space="preserve">4</w:t>
      </w:r>
      <w:r>
        <w:rPr>
          <w:rFonts w:hint="eastAsia" w:ascii="宋体" w:hAnsi="宋体" w:cs="宋体"/>
          <w:szCs w:val="24"/>
        </w:rPr>
        <w:t xml:space="preserve">0天，从合同签订之日起计算。</w:t>
      </w:r>
      <w:r/>
    </w:p>
    <w:p>
      <w:pPr>
        <w:pStyle w:val="1061"/>
        <w:ind w:firstLine="480"/>
        <w:spacing w:before="0" w:line="500" w:lineRule="exact"/>
        <w:rPr>
          <w:rFonts w:ascii="宋体" w:hAnsi="宋体" w:cs="宋体"/>
          <w:szCs w:val="24"/>
        </w:rPr>
      </w:pPr>
      <w:r>
        <w:rPr>
          <w:rFonts w:hint="eastAsia" w:ascii="宋体" w:hAnsi="宋体" w:cs="宋体"/>
          <w:szCs w:val="24"/>
        </w:rPr>
        <w:t xml:space="preserve">④验收方案</w:t>
      </w:r>
      <w:r/>
    </w:p>
    <w:p>
      <w:pPr>
        <w:pStyle w:val="1061"/>
        <w:ind w:firstLine="480"/>
        <w:spacing w:before="0" w:line="500" w:lineRule="exact"/>
        <w:rPr>
          <w:rFonts w:ascii="宋体" w:hAnsi="宋体" w:cs="宋体"/>
          <w:szCs w:val="24"/>
        </w:rPr>
      </w:pPr>
      <w:r>
        <w:rPr>
          <w:rFonts w:hint="eastAsia" w:ascii="宋体" w:hAnsi="宋体" w:cs="宋体"/>
          <w:szCs w:val="24"/>
        </w:rPr>
        <w:t xml:space="preserve">协助采购人核对“产品品牌、型号、规格、数量、外观”，对不符项立即记录并提出整改方案。</w:t>
      </w:r>
      <w:r/>
    </w:p>
    <w:p>
      <w:pPr>
        <w:pStyle w:val="1061"/>
        <w:ind w:firstLine="480"/>
        <w:spacing w:before="0" w:line="500" w:lineRule="exact"/>
        <w:rPr>
          <w:rFonts w:ascii="宋体" w:hAnsi="宋体" w:cs="宋体"/>
          <w:szCs w:val="24"/>
        </w:rPr>
      </w:pPr>
      <w:r>
        <w:rPr>
          <w:rFonts w:hint="eastAsia" w:ascii="宋体" w:hAnsi="宋体" w:cs="宋体"/>
          <w:szCs w:val="24"/>
        </w:rPr>
        <w:t xml:space="preserve">⑤培训方案</w:t>
      </w:r>
      <w:r/>
    </w:p>
    <w:p>
      <w:pPr>
        <w:pStyle w:val="1061"/>
        <w:ind w:firstLine="480"/>
        <w:spacing w:before="0" w:line="500" w:lineRule="exact"/>
        <w:rPr>
          <w:rFonts w:ascii="宋体" w:hAnsi="宋体" w:cs="宋体"/>
          <w:szCs w:val="24"/>
        </w:rPr>
      </w:pPr>
      <w:r>
        <w:rPr>
          <w:rFonts w:hint="eastAsia" w:ascii="宋体" w:hAnsi="宋体" w:cs="宋体"/>
        </w:rPr>
        <w:t xml:space="preserve">需针对不同设备的 “使用、维护、安全操作” 制定专项培训计划，确保学校工作人员能正确操作设备。</w:t>
      </w:r>
      <w:r/>
    </w:p>
    <w:p>
      <w:pPr>
        <w:pStyle w:val="1061"/>
        <w:ind w:firstLine="480"/>
        <w:spacing w:before="0" w:line="500" w:lineRule="exact"/>
        <w:rPr>
          <w:rFonts w:ascii="宋体" w:hAnsi="宋体" w:cs="宋体"/>
        </w:rPr>
      </w:pPr>
      <w:r>
        <w:rPr>
          <w:rFonts w:hint="eastAsia" w:ascii="宋体" w:hAnsi="宋体" w:cs="宋体"/>
          <w:szCs w:val="24"/>
        </w:rPr>
        <w:t xml:space="preserve">2、售后服务方案</w:t>
      </w:r>
      <w:r/>
    </w:p>
    <w:p>
      <w:pPr>
        <w:pStyle w:val="1061"/>
        <w:ind w:firstLine="480"/>
        <w:spacing w:before="0" w:line="500" w:lineRule="exact"/>
        <w:rPr>
          <w:rFonts w:ascii="宋体" w:hAnsi="宋体" w:cs="宋体"/>
        </w:rPr>
      </w:pPr>
      <w:r>
        <w:rPr>
          <w:rFonts w:hint="eastAsia" w:ascii="宋体" w:hAnsi="宋体" w:cs="宋体"/>
          <w:szCs w:val="24"/>
        </w:rPr>
        <w:t xml:space="preserve">投标人应根据采购需求和本项目实际，制订相应的售后服务方案至少包含以下内容：</w:t>
      </w:r>
      <w:r/>
    </w:p>
    <w:p>
      <w:pPr>
        <w:pStyle w:val="1061"/>
        <w:ind w:firstLine="480"/>
        <w:spacing w:before="0" w:line="500" w:lineRule="exact"/>
        <w:rPr>
          <w:rFonts w:ascii="宋体" w:hAnsi="宋体" w:cs="宋体"/>
          <w:szCs w:val="24"/>
        </w:rPr>
      </w:pPr>
      <w:r>
        <w:rPr>
          <w:rFonts w:hint="eastAsia" w:ascii="宋体" w:hAnsi="宋体" w:cs="宋体"/>
          <w:szCs w:val="24"/>
        </w:rPr>
        <w:t xml:space="preserve">①售后服务体系的建立</w:t>
      </w:r>
      <w:r/>
    </w:p>
    <w:p>
      <w:pPr>
        <w:pStyle w:val="1061"/>
        <w:ind w:firstLine="480"/>
        <w:spacing w:before="0" w:line="500" w:lineRule="exact"/>
        <w:rPr>
          <w:rFonts w:ascii="宋体" w:hAnsi="宋体" w:cs="宋体"/>
          <w:szCs w:val="24"/>
        </w:rPr>
      </w:pPr>
      <w:r>
        <w:rPr>
          <w:rFonts w:hint="eastAsia" w:ascii="宋体" w:hAnsi="宋体" w:cs="宋体"/>
          <w:szCs w:val="24"/>
        </w:rPr>
        <w:t xml:space="preserve">需明确售后服务的组织架构、人员配置及服务渠道，确保采购人能快速对接、高效解决问题，符合招标文件“24小时响应”“终身免费服务”等要求。</w:t>
      </w:r>
      <w:r/>
    </w:p>
    <w:p>
      <w:pPr>
        <w:pStyle w:val="1061"/>
        <w:ind w:firstLine="480"/>
        <w:spacing w:before="0" w:line="500" w:lineRule="exact"/>
        <w:rPr>
          <w:rFonts w:ascii="宋体" w:hAnsi="宋体" w:cs="宋体"/>
          <w:szCs w:val="24"/>
        </w:rPr>
      </w:pPr>
      <w:r>
        <w:rPr>
          <w:rFonts w:hint="eastAsia" w:ascii="宋体" w:hAnsi="宋体" w:cs="宋体"/>
          <w:szCs w:val="24"/>
        </w:rPr>
        <w:t xml:space="preserve">②维修人员及维修点、故障响应时间</w:t>
      </w:r>
      <w:r/>
    </w:p>
    <w:p>
      <w:pPr>
        <w:pStyle w:val="1061"/>
        <w:ind w:firstLine="480"/>
        <w:spacing w:before="0" w:line="500" w:lineRule="exact"/>
        <w:rPr>
          <w:rFonts w:ascii="宋体" w:hAnsi="宋体" w:cs="宋体"/>
          <w:szCs w:val="24"/>
        </w:rPr>
      </w:pPr>
      <w:r>
        <w:rPr>
          <w:rFonts w:ascii="Segoe UI" w:hAnsi="Segoe UI" w:cs="Segoe UI"/>
          <w:shd w:val="clear" w:color="auto" w:fill="ffffff"/>
        </w:rPr>
        <w:t xml:space="preserve">列明维修人员数量、专业资质，承诺</w:t>
      </w:r>
      <w:r>
        <w:rPr>
          <w:rFonts w:ascii="Segoe UI" w:hAnsi="Segoe UI" w:cs="Segoe UI"/>
          <w:shd w:val="clear" w:color="auto" w:fill="ffffff"/>
        </w:rPr>
        <w:t xml:space="preserve"> “</w:t>
      </w:r>
      <w:r>
        <w:rPr>
          <w:rFonts w:ascii="Segoe UI" w:hAnsi="Segoe UI" w:cs="Segoe UI"/>
          <w:shd w:val="clear" w:color="auto" w:fill="ffffff"/>
        </w:rPr>
        <w:t xml:space="preserve">派出设备制造商的专门维修人员</w:t>
      </w:r>
      <w:r>
        <w:rPr>
          <w:rFonts w:ascii="Segoe UI" w:hAnsi="Segoe UI" w:cs="Segoe UI"/>
          <w:shd w:val="clear" w:color="auto" w:fill="ffffff"/>
        </w:rPr>
        <w:t xml:space="preserve">” </w:t>
      </w:r>
      <w:r>
        <w:rPr>
          <w:rFonts w:ascii="Segoe UI" w:hAnsi="Segoe UI" w:cs="Segoe UI"/>
          <w:shd w:val="clear" w:color="auto" w:fill="ffffff"/>
        </w:rPr>
        <w:t xml:space="preserve">处理故障，而非第三方临时人员</w:t>
      </w:r>
      <w:r>
        <w:rPr>
          <w:rFonts w:hint="eastAsia" w:ascii="Segoe UI" w:hAnsi="Segoe UI" w:cs="Segoe UI"/>
          <w:shd w:val="clear" w:color="auto" w:fill="ffffff"/>
        </w:rPr>
        <w:t xml:space="preserve">。若有固定维修点，需说明地址、服务时间及可维修设备类型；若无，需明确</w:t>
      </w:r>
      <w:r>
        <w:rPr>
          <w:rFonts w:hint="eastAsia" w:ascii="Segoe UI" w:hAnsi="Segoe UI" w:cs="Segoe UI"/>
          <w:shd w:val="clear" w:color="auto" w:fill="ffffff"/>
        </w:rPr>
        <w:t xml:space="preserve"> </w:t>
      </w:r>
      <w:r>
        <w:rPr>
          <w:rFonts w:hint="eastAsia" w:ascii="Segoe UI" w:hAnsi="Segoe UI" w:cs="Segoe UI"/>
          <w:shd w:val="clear" w:color="auto" w:fill="ffffff"/>
        </w:rPr>
        <w:t xml:space="preserve">“维修人员上门服务”</w:t>
      </w:r>
      <w:r>
        <w:rPr>
          <w:rFonts w:hint="eastAsia" w:ascii="Segoe UI" w:hAnsi="Segoe UI" w:cs="Segoe UI"/>
          <w:shd w:val="clear" w:color="auto" w:fill="ffffff"/>
        </w:rPr>
        <w:t xml:space="preserve"> </w:t>
      </w:r>
      <w:r>
        <w:rPr>
          <w:rFonts w:hint="eastAsia" w:ascii="Segoe UI" w:hAnsi="Segoe UI" w:cs="Segoe UI"/>
          <w:shd w:val="clear" w:color="auto" w:fill="ffffff"/>
        </w:rPr>
        <w:t xml:space="preserve">的覆盖范围及交通保障措施。</w:t>
      </w:r>
      <w:r/>
    </w:p>
    <w:p>
      <w:pPr>
        <w:pStyle w:val="1061"/>
        <w:ind w:firstLine="480"/>
        <w:spacing w:before="0" w:line="500" w:lineRule="exact"/>
        <w:rPr>
          <w:rFonts w:ascii="宋体" w:hAnsi="宋体" w:cs="宋体"/>
        </w:rPr>
      </w:pPr>
      <w:r>
        <w:rPr>
          <w:rFonts w:hint="eastAsia" w:ascii="宋体" w:hAnsi="宋体" w:cs="宋体"/>
        </w:rPr>
        <w:t xml:space="preserve">③维修与零部件供应</w:t>
      </w:r>
      <w:r/>
    </w:p>
    <w:p>
      <w:pPr>
        <w:pStyle w:val="1061"/>
        <w:ind w:firstLine="480"/>
        <w:spacing w:before="0" w:line="500" w:lineRule="exact"/>
        <w:rPr>
          <w:rFonts w:ascii="宋体" w:hAnsi="宋体" w:cs="宋体"/>
        </w:rPr>
      </w:pPr>
      <w:r>
        <w:rPr>
          <w:rFonts w:hint="eastAsia" w:ascii="宋体" w:hAnsi="宋体" w:cs="宋体"/>
        </w:rPr>
        <w:t xml:space="preserve">说明常用配件（如消毒柜加热管、洗碗机喷淋臂、水龙头阀芯、冷库密封条等）的储备方式，承诺配件供应周期。</w:t>
      </w:r>
      <w:r/>
    </w:p>
    <w:p>
      <w:pPr>
        <w:pStyle w:val="1061"/>
        <w:ind w:firstLine="480"/>
        <w:spacing w:before="0" w:line="500" w:lineRule="exact"/>
        <w:rPr>
          <w:rFonts w:ascii="宋体" w:hAnsi="宋体" w:cs="宋体"/>
        </w:rPr>
      </w:pPr>
      <w:r>
        <w:rPr>
          <w:rFonts w:hint="eastAsia" w:ascii="宋体" w:hAnsi="宋体" w:cs="宋体"/>
        </w:rPr>
        <w:t xml:space="preserve">④定期保养服务</w:t>
      </w:r>
      <w:r/>
    </w:p>
    <w:p>
      <w:pPr>
        <w:pStyle w:val="1061"/>
        <w:ind w:firstLine="480"/>
        <w:spacing w:before="0" w:line="500" w:lineRule="exact"/>
        <w:rPr>
          <w:rFonts w:ascii="宋体" w:hAnsi="宋体" w:cs="宋体"/>
        </w:rPr>
      </w:pPr>
      <w:r>
        <w:rPr>
          <w:rFonts w:hint="eastAsia" w:ascii="宋体" w:hAnsi="宋体" w:cs="宋体"/>
        </w:rPr>
        <w:t xml:space="preserve">需结合厨房设备特性（如冷库、排烟系统、电磁灶具需定期维护以保障性能），制定主动保养计划，提前规避故障。</w:t>
      </w:r>
      <w:r/>
    </w:p>
    <w:p>
      <w:pPr>
        <w:pStyle w:val="1061"/>
        <w:ind w:firstLine="480"/>
        <w:spacing w:before="0" w:line="500" w:lineRule="exact"/>
        <w:rPr>
          <w:rFonts w:ascii="宋体" w:hAnsi="宋体" w:cs="宋体"/>
        </w:rPr>
      </w:pPr>
      <w:r>
        <w:rPr>
          <w:rFonts w:hint="eastAsia" w:ascii="宋体" w:hAnsi="宋体" w:cs="宋体"/>
        </w:rPr>
        <w:t xml:space="preserve">⑤应急保障措施</w:t>
      </w:r>
      <w:r/>
    </w:p>
    <w:p>
      <w:pPr>
        <w:pStyle w:val="1061"/>
        <w:ind w:firstLine="480"/>
        <w:spacing w:before="0" w:line="500" w:lineRule="exact"/>
        <w:rPr>
          <w:rFonts w:ascii="宋体" w:hAnsi="宋体" w:cs="宋体"/>
        </w:rPr>
      </w:pPr>
      <w:r>
        <w:rPr>
          <w:rFonts w:hint="eastAsia" w:ascii="宋体" w:hAnsi="宋体" w:cs="宋体"/>
        </w:rPr>
        <w:t xml:space="preserve">需针对食堂运营的 “不可中断性”，制定突发故障的应急处理流程，确保关键设备（如洗碗机、消毒柜、主食库设备）故障不影响正常供餐。</w:t>
      </w:r>
      <w:r/>
    </w:p>
    <w:p>
      <w:pPr>
        <w:pStyle w:val="1061"/>
        <w:ind w:firstLine="480"/>
        <w:spacing w:before="0" w:line="500" w:lineRule="exact"/>
        <w:rPr>
          <w:rFonts w:ascii="宋体" w:hAnsi="宋体" w:cs="宋体"/>
        </w:rPr>
      </w:pPr>
      <w:r>
        <w:rPr>
          <w:rFonts w:hint="eastAsia" w:ascii="宋体" w:hAnsi="宋体" w:cs="宋体"/>
        </w:rPr>
        <w:t xml:space="preserve">3、安全保障方案</w:t>
      </w:r>
      <w:r/>
    </w:p>
    <w:p>
      <w:pPr>
        <w:pStyle w:val="1061"/>
        <w:ind w:firstLine="480"/>
        <w:spacing w:before="0" w:line="500" w:lineRule="exact"/>
        <w:rPr>
          <w:rFonts w:ascii="宋体" w:hAnsi="宋体" w:cs="宋体"/>
          <w:szCs w:val="24"/>
        </w:rPr>
      </w:pPr>
      <w:r>
        <w:rPr>
          <w:rFonts w:hint="eastAsia" w:ascii="宋体" w:hAnsi="宋体" w:cs="宋体"/>
          <w:szCs w:val="24"/>
        </w:rPr>
        <w:t xml:space="preserve">投标人应根据采购需求和本项目实际，制订相应的安全保障方案至少包含以下内容：</w:t>
      </w:r>
      <w:r/>
    </w:p>
    <w:p>
      <w:pPr>
        <w:pStyle w:val="1061"/>
        <w:ind w:firstLine="480"/>
        <w:spacing w:before="0" w:line="500" w:lineRule="exact"/>
        <w:rPr>
          <w:rFonts w:ascii="宋体" w:hAnsi="宋体" w:cs="宋体"/>
        </w:rPr>
      </w:pPr>
      <w:r>
        <w:rPr>
          <w:rFonts w:hint="eastAsia" w:ascii="宋体" w:hAnsi="宋体" w:cs="宋体"/>
        </w:rPr>
        <w:t xml:space="preserve">①食品接触设备安全保障；</w:t>
      </w:r>
      <w:r/>
    </w:p>
    <w:p>
      <w:pPr>
        <w:pStyle w:val="1061"/>
        <w:ind w:firstLine="480"/>
        <w:spacing w:before="0" w:line="500" w:lineRule="exact"/>
        <w:rPr>
          <w:rFonts w:ascii="宋体" w:hAnsi="宋体" w:cs="宋体"/>
        </w:rPr>
      </w:pPr>
      <w:r>
        <w:rPr>
          <w:rFonts w:hint="eastAsia" w:ascii="宋体" w:hAnsi="宋体" w:cs="宋体"/>
        </w:rPr>
        <w:t xml:space="preserve">需围绕“食品接触安全、储存安全、操作卫生安全”</w:t>
      </w:r>
      <w:r>
        <w:rPr>
          <w:rFonts w:hint="eastAsia" w:ascii="宋体" w:hAnsi="宋体" w:cs="宋体"/>
        </w:rPr>
        <w:t xml:space="preserve">编制</w:t>
      </w:r>
      <w:r>
        <w:rPr>
          <w:rFonts w:hint="eastAsia" w:ascii="宋体" w:hAnsi="宋体" w:cs="宋体"/>
        </w:rPr>
        <w:t xml:space="preserve">，严格遵循招标文件中食品接触材料标准（如GB4806系列）及设备卫生要求</w:t>
      </w:r>
      <w:r>
        <w:rPr>
          <w:rFonts w:hint="eastAsia" w:ascii="宋体" w:hAnsi="宋体" w:cs="宋体"/>
        </w:rPr>
        <w:t xml:space="preserve">。</w:t>
      </w:r>
      <w:r/>
    </w:p>
    <w:p>
      <w:pPr>
        <w:pStyle w:val="1061"/>
        <w:ind w:firstLine="480"/>
        <w:spacing w:before="0" w:line="500" w:lineRule="exact"/>
        <w:rPr>
          <w:rFonts w:ascii="宋体" w:hAnsi="宋体" w:cs="宋体"/>
        </w:rPr>
      </w:pPr>
      <w:r>
        <w:rPr>
          <w:rFonts w:hint="eastAsia" w:ascii="宋体" w:hAnsi="宋体" w:cs="宋体"/>
        </w:rPr>
        <w:t xml:space="preserve">②消防安全保障；</w:t>
      </w:r>
      <w:r/>
    </w:p>
    <w:p>
      <w:pPr>
        <w:pStyle w:val="1061"/>
        <w:ind w:firstLine="480"/>
        <w:spacing w:before="0" w:line="500" w:lineRule="exact"/>
        <w:rPr>
          <w:rFonts w:ascii="宋体" w:hAnsi="宋体" w:cs="宋体"/>
        </w:rPr>
      </w:pPr>
      <w:r>
        <w:rPr>
          <w:rFonts w:hint="eastAsia" w:ascii="宋体" w:hAnsi="宋体" w:cs="宋体"/>
        </w:rPr>
        <w:t xml:space="preserve">需严格落实招标文件中“厨房设备灭火装置”要求，结合燃气/电磁灶具、排烟系统等火灾风险点，构建“预防-应急-处置”全流程保障</w:t>
      </w:r>
      <w:r/>
    </w:p>
    <w:p>
      <w:pPr>
        <w:pStyle w:val="1061"/>
        <w:ind w:firstLine="480"/>
        <w:spacing w:before="0" w:line="500" w:lineRule="exact"/>
        <w:rPr>
          <w:rFonts w:ascii="宋体" w:hAnsi="宋体" w:cs="宋体"/>
        </w:rPr>
      </w:pPr>
      <w:r>
        <w:rPr>
          <w:rFonts w:hint="eastAsia" w:ascii="宋体" w:hAnsi="宋体" w:cs="宋体"/>
        </w:rPr>
        <w:t xml:space="preserve">③设备操作安全防护；</w:t>
      </w:r>
      <w:r/>
    </w:p>
    <w:p>
      <w:pPr>
        <w:pStyle w:val="1061"/>
        <w:ind w:firstLine="480"/>
        <w:spacing w:line="500" w:lineRule="exact"/>
        <w:rPr>
          <w:rFonts w:ascii="宋体" w:hAnsi="宋体" w:cs="宋体"/>
        </w:rPr>
      </w:pPr>
      <w:r>
        <w:rPr>
          <w:rFonts w:hint="eastAsia" w:ascii="宋体" w:hAnsi="宋体" w:cs="宋体"/>
        </w:rPr>
        <w:t xml:space="preserve">防触电保护：所有电气设备（如电磁灶具、洗碗机、开水器）需具备 “接地保护”，电源线采用防水、防油电缆，设备开关、插座加装防水罩；操作人员需穿绝缘鞋，禁止湿手操作设备；</w:t>
      </w:r>
      <w:r/>
    </w:p>
    <w:p>
      <w:pPr>
        <w:pStyle w:val="1061"/>
        <w:ind w:firstLine="480"/>
        <w:spacing w:before="0" w:line="500" w:lineRule="exact"/>
        <w:rPr>
          <w:rFonts w:ascii="宋体" w:hAnsi="宋体" w:cs="宋体"/>
        </w:rPr>
      </w:pPr>
      <w:r>
        <w:rPr>
          <w:rFonts w:hint="eastAsia" w:ascii="宋体" w:hAnsi="宋体" w:cs="宋体"/>
        </w:rPr>
        <w:t xml:space="preserve">防烫伤保护：高温设备（如电蒸饭柜、消毒柜、燃气灶具）需加装防烫手柄（包裹耐高温硅胶），设备表面张贴 “高温警示” 标识；售卖间保温售饭柜需设置 “防烫挡板”，避免学生取餐时接触高温表面；</w:t>
      </w:r>
      <w:r/>
    </w:p>
    <w:p>
      <w:pPr>
        <w:pStyle w:val="1061"/>
        <w:ind w:firstLine="480"/>
        <w:spacing w:before="0" w:line="500" w:lineRule="exact"/>
        <w:rPr>
          <w:rFonts w:ascii="宋体" w:hAnsi="宋体" w:cs="宋体"/>
        </w:rPr>
      </w:pPr>
      <w:r>
        <w:rPr>
          <w:rFonts w:hint="eastAsia" w:ascii="宋体" w:hAnsi="宋体" w:cs="宋体"/>
        </w:rPr>
        <w:t xml:space="preserve">④设备安装安全管控；</w:t>
      </w:r>
      <w:r/>
    </w:p>
    <w:p>
      <w:pPr>
        <w:pStyle w:val="1061"/>
        <w:ind w:firstLine="480"/>
        <w:spacing w:before="0" w:line="500" w:lineRule="exact"/>
        <w:rPr>
          <w:rFonts w:ascii="宋体" w:hAnsi="宋体" w:cs="宋体"/>
        </w:rPr>
      </w:pPr>
      <w:r>
        <w:rPr>
          <w:rFonts w:hint="eastAsia" w:ascii="宋体" w:hAnsi="宋体" w:cs="宋体"/>
        </w:rPr>
        <w:t xml:space="preserve">燃气灶具、排烟系统等设备的安装人员需具备</w:t>
      </w:r>
      <w:r>
        <w:rPr>
          <w:rFonts w:hint="eastAsia" w:ascii="宋体" w:hAnsi="宋体" w:cs="宋体"/>
        </w:rPr>
        <w:t xml:space="preserve">相关资质</w:t>
      </w:r>
      <w:r>
        <w:rPr>
          <w:rFonts w:hint="eastAsia" w:ascii="宋体" w:hAnsi="宋体" w:cs="宋体"/>
        </w:rPr>
        <w:t xml:space="preserve">，电气设备安装需由持证电工操作，避免违规接线、管道安装不当引发安全隐患</w:t>
      </w:r>
      <w:r>
        <w:rPr>
          <w:rFonts w:hint="eastAsia" w:ascii="宋体" w:hAnsi="宋体" w:cs="宋体"/>
        </w:rPr>
        <w:t xml:space="preserve">。</w:t>
      </w:r>
      <w:r>
        <w:rPr>
          <w:rFonts w:hint="eastAsia" w:ascii="宋体" w:hAnsi="宋体" w:cs="宋体"/>
        </w:rPr>
        <w:t xml:space="preserve">重型设备（如冷库、四门冰箱）吊装时需使用合格吊具（承重≥设备重量1.2倍），现场设置警示区域禁止无关人员进入；设备安装后需检查“稳定性”（如操作台水平度误差≤2mm、冷库门关闭密封），电气设备需做“绝缘电阻测试”（绝缘电阻≥1MΩ）。</w:t>
      </w:r>
      <w:r/>
    </w:p>
    <w:p>
      <w:pPr>
        <w:pStyle w:val="1061"/>
        <w:ind w:firstLine="480"/>
        <w:spacing w:before="0" w:line="500" w:lineRule="exact"/>
        <w:rPr>
          <w:rFonts w:ascii="宋体" w:hAnsi="宋体" w:cs="宋体"/>
        </w:rPr>
      </w:pPr>
      <w:r>
        <w:rPr>
          <w:rFonts w:hint="eastAsia" w:ascii="宋体" w:hAnsi="宋体" w:cs="宋体"/>
        </w:rPr>
        <w:t xml:space="preserve">⑤安全培训与考核等方面内容；</w:t>
      </w:r>
      <w:r/>
    </w:p>
    <w:p>
      <w:pPr>
        <w:pStyle w:val="1061"/>
        <w:ind w:firstLine="480"/>
        <w:spacing w:before="0" w:line="500" w:lineRule="exact"/>
        <w:rPr>
          <w:rFonts w:ascii="宋体" w:hAnsi="宋体" w:cs="宋体"/>
        </w:rPr>
      </w:pPr>
      <w:r>
        <w:rPr>
          <w:rFonts w:ascii="Segoe UI" w:hAnsi="Segoe UI" w:cs="Segoe UI"/>
          <w:shd w:val="clear" w:color="auto" w:fill="ffffff"/>
        </w:rPr>
        <w:t xml:space="preserve">所有操作厨房设备的人员需参加</w:t>
      </w:r>
      <w:r>
        <w:rPr>
          <w:rFonts w:ascii="Segoe UI" w:hAnsi="Segoe UI" w:cs="Segoe UI"/>
          <w:shd w:val="clear" w:color="auto" w:fill="ffffff"/>
        </w:rPr>
        <w:t xml:space="preserve">“</w:t>
      </w:r>
      <w:r>
        <w:rPr>
          <w:rFonts w:ascii="Segoe UI" w:hAnsi="Segoe UI" w:cs="Segoe UI"/>
          <w:shd w:val="clear" w:color="auto" w:fill="ffffff"/>
        </w:rPr>
        <w:t xml:space="preserve">安全操作培训</w:t>
      </w:r>
      <w:r>
        <w:rPr>
          <w:rFonts w:ascii="Segoe UI" w:hAnsi="Segoe UI" w:cs="Segoe UI"/>
          <w:shd w:val="clear" w:color="auto" w:fill="ffffff"/>
        </w:rPr>
        <w:t xml:space="preserve">”</w:t>
      </w:r>
      <w:r>
        <w:rPr>
          <w:rFonts w:ascii="Segoe UI" w:hAnsi="Segoe UI" w:cs="Segoe UI"/>
          <w:shd w:val="clear" w:color="auto" w:fill="ffffff"/>
        </w:rPr>
        <w:t xml:space="preserve">，考核通过后方可上岗，培训内容包括</w:t>
      </w:r>
      <w:r>
        <w:rPr>
          <w:rFonts w:ascii="Segoe UI" w:hAnsi="Segoe UI" w:cs="Segoe UI"/>
          <w:shd w:val="clear" w:color="auto" w:fill="ffffff"/>
        </w:rPr>
        <w:t xml:space="preserve">“</w:t>
      </w:r>
      <w:r>
        <w:rPr>
          <w:rFonts w:ascii="Segoe UI" w:hAnsi="Segoe UI" w:cs="Segoe UI"/>
          <w:shd w:val="clear" w:color="auto" w:fill="ffffff"/>
        </w:rPr>
        <w:t xml:space="preserve">设备安全操作规范、应急处置流程、防护装备使用</w:t>
      </w:r>
      <w:r>
        <w:rPr>
          <w:rFonts w:ascii="Segoe UI" w:hAnsi="Segoe UI" w:cs="Segoe UI"/>
          <w:shd w:val="clear" w:color="auto" w:fill="ffffff"/>
        </w:rPr>
        <w:t xml:space="preserve">”</w:t>
      </w:r>
      <w:r>
        <w:rPr>
          <w:rFonts w:ascii="Segoe UI" w:hAnsi="Segoe UI" w:cs="Segoe UI"/>
          <w:shd w:val="clear" w:color="auto" w:fill="ffffff"/>
        </w:rPr>
        <w:t xml:space="preserve">；每季度开展</w:t>
      </w:r>
      <w:r>
        <w:rPr>
          <w:rFonts w:ascii="Segoe UI" w:hAnsi="Segoe UI" w:cs="Segoe UI"/>
          <w:shd w:val="clear" w:color="auto" w:fill="ffffff"/>
        </w:rPr>
        <w:t xml:space="preserve">1</w:t>
      </w:r>
      <w:r>
        <w:rPr>
          <w:rFonts w:ascii="Segoe UI" w:hAnsi="Segoe UI" w:cs="Segoe UI"/>
          <w:shd w:val="clear" w:color="auto" w:fill="ffffff"/>
        </w:rPr>
        <w:t xml:space="preserve">次安全复训，结合近期安全案例（如燃气泄漏处置、设备烫伤事故）强化风险意识，确保工作人员熟练掌握安全技能</w:t>
      </w:r>
      <w:r>
        <w:rPr>
          <w:rFonts w:hint="eastAsia" w:ascii="Segoe UI" w:hAnsi="Segoe UI" w:cs="Segoe UI"/>
          <w:shd w:val="clear" w:color="auto" w:fill="ffffff"/>
        </w:rPr>
        <w:t xml:space="preserve">。</w:t>
      </w:r>
      <w:r/>
    </w:p>
    <w:p>
      <w:pPr>
        <w:pStyle w:val="1052"/>
        <w:jc w:val="both"/>
        <w:spacing w:beforeAutospacing="0" w:afterAutospacing="0"/>
        <w:rPr>
          <w:rFonts w:ascii="宋体" w:hAnsi="宋体" w:eastAsia="宋体" w:cs="宋体"/>
        </w:rPr>
      </w:pPr>
      <w:r>
        <w:rPr>
          <w:rFonts w:hint="eastAsia" w:ascii="宋体" w:hAnsi="宋体" w:eastAsia="宋体" w:cs="宋体"/>
          <w:i/>
          <w:u w:val="single"/>
        </w:rPr>
        <w:t xml:space="preserve">本项目不接受进口产品投标</w:t>
      </w:r>
      <w:r/>
    </w:p>
    <w:p>
      <w:pPr>
        <w:pStyle w:val="1052"/>
        <w:jc w:val="both"/>
        <w:spacing w:beforeAutospacing="0" w:afterAutospacing="0" w:line="0" w:lineRule="atLeast"/>
        <w:rPr>
          <w:rFonts w:ascii="宋体" w:hAnsi="宋体" w:eastAsia="宋体" w:cs="宋体"/>
        </w:rPr>
      </w:pPr>
      <w:r>
        <w:rPr>
          <w:rFonts w:hint="eastAsia" w:ascii="宋体" w:hAnsi="宋体" w:eastAsia="宋体" w:cs="宋体"/>
        </w:rPr>
        <w:t xml:space="preserve">采购标的对应的中小企业划分标准所属行业一览表</w:t>
      </w:r>
      <w:r/>
    </w:p>
    <w:tbl>
      <w:tblPr>
        <w:tblW w:w="8404" w:type="dxa"/>
        <w:jc w:val="center"/>
        <w:tblCellSpacing w:w="0" w:type="dxa"/>
        <w:tblInd w:w="-200" w:type="dxa"/>
        <w:tblLayout w:type="fixed"/>
        <w:tblLook w:val="04A0" w:firstRow="1" w:lastRow="0" w:firstColumn="1" w:lastColumn="0" w:noHBand="0" w:noVBand="1"/>
      </w:tblPr>
      <w:tblGrid>
        <w:gridCol w:w="745"/>
        <w:gridCol w:w="3291"/>
        <w:gridCol w:w="4369"/>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盐城体育运动学校新校区厨房设备采购及安装项目</w:t>
            </w:r>
            <w:r/>
          </w:p>
        </w:tc>
        <w:tc>
          <w:tcPr>
            <w:shd w:val="clear" w:color="auto" w:fill="auto"/>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1052"/>
              <w:jc w:val="center"/>
              <w:spacing w:beforeAutospacing="0" w:afterAutospacing="0" w:line="0" w:lineRule="atLeast"/>
              <w:rPr>
                <w:rFonts w:ascii="宋体" w:hAnsi="宋体" w:eastAsia="宋体" w:cs="宋体"/>
              </w:rPr>
            </w:pPr>
            <w:r>
              <w:rPr>
                <w:rFonts w:hint="eastAsia" w:ascii="宋体" w:hAnsi="宋体" w:eastAsia="宋体" w:cs="宋体"/>
              </w:rPr>
              <w:t xml:space="preserve">工业</w:t>
            </w:r>
            <w:r/>
          </w:p>
        </w:tc>
      </w:tr>
    </w:tbl>
    <w:p>
      <w:pPr>
        <w:jc w:val="center"/>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1052"/>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1052"/>
        <w:ind w:firstLine="2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1、小微型企业价格扣除</w:t>
      </w:r>
      <w:r/>
    </w:p>
    <w:p>
      <w:pPr>
        <w:pStyle w:val="1056"/>
        <w:ind w:firstLine="360"/>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2、残疾人福利单位价格扣除</w:t>
      </w:r>
      <w:r/>
    </w:p>
    <w:p>
      <w:pPr>
        <w:pStyle w:val="1052"/>
        <w:ind w:left="120" w:firstLine="24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052"/>
        <w:ind w:left="120"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1052"/>
        <w:ind w:left="120"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3、监狱和戒毒企业价格扣除</w:t>
      </w:r>
      <w:r/>
    </w:p>
    <w:p>
      <w:pPr>
        <w:pStyle w:val="1052"/>
        <w:ind w:firstLine="24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1052"/>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rPr>
        <w:t xml:space="preserve">如属政府强制采购产品未提供认证证书的或认证证书提供不全的将视为未实质性响应采购要求</w:t>
      </w:r>
      <w:r>
        <w:rPr>
          <w:rFonts w:hint="eastAsia" w:ascii="宋体" w:hAnsi="宋体" w:eastAsia="宋体" w:cs="宋体"/>
          <w:i/>
        </w:rPr>
        <w:t xml:space="preserve">。</w:t>
      </w:r>
      <w:r>
        <w:rPr>
          <w:rFonts w:hint="eastAsia" w:ascii="宋体" w:hAnsi="宋体" w:eastAsia="宋体" w:cs="宋体"/>
        </w:rPr>
        <w:t xml:space="preserve">其他条件相同情况下，应当优先采购节能产品、环境标志产品。</w:t>
      </w:r>
      <w:r/>
    </w:p>
    <w:p>
      <w:pPr>
        <w:pStyle w:val="1052"/>
        <w:ind w:firstLine="241"/>
        <w:spacing w:before="120" w:beforeAutospacing="0" w:after="120" w:afterAutospacing="0" w:line="0" w:lineRule="atLeast"/>
        <w:rPr>
          <w:rFonts w:ascii="宋体" w:hAnsi="宋体" w:eastAsia="宋体" w:cs="宋体"/>
        </w:rPr>
      </w:pPr>
      <w:r/>
      <w:bookmarkStart w:id="174" w:name="OLE_LINK1"/>
      <w:r>
        <w:rPr>
          <w:rFonts w:hint="eastAsia" w:ascii="宋体" w:hAnsi="宋体" w:eastAsia="宋体" w:cs="宋体"/>
          <w:b/>
        </w:rPr>
        <w:t xml:space="preserve">评标方法与评标标准</w:t>
      </w:r>
      <w:bookmarkEnd w:id="174"/>
      <w:r/>
      <w:r/>
    </w:p>
    <w:tbl>
      <w:tblPr>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3"/>
        <w:gridCol w:w="1341"/>
        <w:gridCol w:w="1096"/>
        <w:gridCol w:w="6429"/>
      </w:tblGrid>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评审项目</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400" w:lineRule="exact"/>
              <w:rPr>
                <w:rFonts w:ascii="宋体" w:hAnsi="宋体" w:cs="宋体"/>
                <w:b/>
                <w:bCs/>
                <w:spacing w:val="-8"/>
                <w:sz w:val="24"/>
              </w:rPr>
            </w:pPr>
            <w:r>
              <w:rPr>
                <w:rFonts w:hint="eastAsia" w:ascii="宋体" w:hAnsi="宋体" w:cs="宋体"/>
                <w:b/>
                <w:bCs/>
                <w:spacing w:val="-8"/>
                <w:sz w:val="24"/>
              </w:rPr>
              <w:t xml:space="preserve">标准分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jc w:val="center"/>
              <w:spacing w:line="400" w:lineRule="exact"/>
              <w:widowControl/>
              <w:rPr>
                <w:rFonts w:ascii="宋体" w:hAnsi="宋体" w:cs="宋体"/>
                <w:b/>
                <w:bCs/>
                <w:sz w:val="24"/>
              </w:rPr>
            </w:pPr>
            <w:r>
              <w:rPr>
                <w:rFonts w:hint="eastAsia" w:ascii="宋体" w:hAnsi="宋体" w:cs="宋体"/>
                <w:b/>
                <w:bCs/>
                <w:sz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30</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textDirection w:val="lrTb"/>
            <w:noWrap w:val="false"/>
          </w:tcPr>
          <w:p>
            <w:pPr>
              <w:ind w:firstLine="480"/>
              <w:spacing w:line="380" w:lineRule="exact"/>
              <w:rPr>
                <w:rFonts w:ascii="宋体" w:hAnsi="宋体" w:cs="宋体"/>
                <w:sz w:val="24"/>
              </w:rPr>
            </w:pPr>
            <w:r>
              <w:rPr>
                <w:rFonts w:hint="eastAsia" w:ascii="宋体" w:hAnsi="宋体" w:cs="宋体"/>
                <w:sz w:val="24"/>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ascii="宋体" w:hAnsi="宋体" w:cs="宋体"/>
                <w:sz w:val="24"/>
              </w:rPr>
              <w:t xml:space="preserve">3</w:t>
            </w:r>
            <w:r>
              <w:rPr>
                <w:rFonts w:hint="eastAsia" w:ascii="宋体" w:hAnsi="宋体" w:cs="宋体"/>
                <w:sz w:val="24"/>
              </w:rPr>
              <w:t xml:space="preserve">0。因落实政府采购政策需进行价格扣除的，以扣除后的价格计算评标基准价和投标报价。（得分保留两位小数）</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技术参数</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15</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spacing w:line="38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所投</w:t>
            </w:r>
            <w:r>
              <w:rPr>
                <w:rFonts w:hint="eastAsia" w:ascii="宋体" w:hAnsi="宋体" w:cs="宋体"/>
                <w:color w:val="000000"/>
                <w:sz w:val="24"/>
              </w:rPr>
              <w:t xml:space="preserve">高温双门消毒柜依据GB17988-2008《食具消毒柜安全和卫生要求》，消毒等级达到二星级的</w:t>
            </w:r>
            <w:r>
              <w:rPr>
                <w:rFonts w:ascii="宋体" w:hAnsi="宋体" w:cs="宋体"/>
                <w:color w:val="000000"/>
                <w:sz w:val="24"/>
              </w:rPr>
              <w:t xml:space="preserve">5</w:t>
            </w:r>
            <w:r>
              <w:rPr>
                <w:rFonts w:hint="eastAsia" w:ascii="宋体" w:hAnsi="宋体" w:cs="宋体"/>
                <w:color w:val="000000"/>
                <w:sz w:val="24"/>
              </w:rPr>
              <w:t xml:space="preserve">分，达到一星级的</w:t>
            </w:r>
            <w:r>
              <w:rPr>
                <w:rFonts w:ascii="宋体" w:hAnsi="宋体" w:cs="宋体"/>
                <w:color w:val="000000"/>
                <w:sz w:val="24"/>
              </w:rPr>
              <w:t xml:space="preserve">4</w:t>
            </w:r>
            <w:r>
              <w:rPr>
                <w:rFonts w:hint="eastAsia" w:ascii="宋体" w:hAnsi="宋体" w:cs="宋体"/>
                <w:color w:val="000000"/>
                <w:sz w:val="24"/>
              </w:rPr>
              <w:t xml:space="preserve">分，投标时需提供有效期内具有检测资质的单位出具的检测报告扫描件，否则不得分。</w:t>
            </w:r>
            <w:r/>
          </w:p>
          <w:p>
            <w:pPr>
              <w:ind w:firstLine="480"/>
              <w:spacing w:line="380"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所投</w:t>
            </w:r>
            <w:r>
              <w:rPr>
                <w:rFonts w:hint="eastAsia" w:ascii="宋体" w:hAnsi="宋体" w:cs="宋体"/>
                <w:color w:val="000000"/>
                <w:sz w:val="24"/>
              </w:rPr>
              <w:t xml:space="preserve">箱式风机（R07）高压风柜依据GB19761-2020《通风机等效限定值及能效等级》，风柜能效等级达到1级的，的</w:t>
            </w:r>
            <w:r>
              <w:rPr>
                <w:rFonts w:ascii="宋体" w:hAnsi="宋体" w:cs="宋体"/>
                <w:color w:val="000000"/>
                <w:sz w:val="24"/>
              </w:rPr>
              <w:t xml:space="preserve">5</w:t>
            </w:r>
            <w:r>
              <w:rPr>
                <w:rFonts w:hint="eastAsia" w:ascii="宋体" w:hAnsi="宋体" w:cs="宋体"/>
                <w:color w:val="000000"/>
                <w:sz w:val="24"/>
              </w:rPr>
              <w:t xml:space="preserve">分，能效等级达到2级的，得</w:t>
            </w:r>
            <w:r>
              <w:rPr>
                <w:rFonts w:ascii="宋体" w:hAnsi="宋体" w:cs="宋体"/>
                <w:color w:val="000000"/>
                <w:sz w:val="24"/>
              </w:rPr>
              <w:t xml:space="preserve">4</w:t>
            </w:r>
            <w:r>
              <w:rPr>
                <w:rFonts w:hint="eastAsia" w:ascii="宋体" w:hAnsi="宋体" w:cs="宋体"/>
                <w:color w:val="000000"/>
                <w:sz w:val="24"/>
              </w:rPr>
              <w:t xml:space="preserve">分，能效等级达到3级的，得</w:t>
            </w:r>
            <w:r>
              <w:rPr>
                <w:rFonts w:ascii="宋体" w:hAnsi="宋体" w:cs="宋体"/>
                <w:color w:val="000000"/>
                <w:sz w:val="24"/>
              </w:rPr>
              <w:t xml:space="preserve">3</w:t>
            </w:r>
            <w:r>
              <w:rPr>
                <w:rFonts w:hint="eastAsia" w:ascii="宋体" w:hAnsi="宋体" w:cs="宋体"/>
                <w:color w:val="000000"/>
                <w:sz w:val="24"/>
              </w:rPr>
              <w:t xml:space="preserve">分，投标时需提供有效期内具有检测资质的单位出具的检测报告扫描件，否则不得分。</w:t>
            </w:r>
            <w:r/>
          </w:p>
          <w:p>
            <w:pPr>
              <w:ind w:firstLine="480"/>
              <w:spacing w:line="380" w:lineRule="exact"/>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所投</w:t>
            </w:r>
            <w:r>
              <w:rPr>
                <w:rFonts w:hint="eastAsia" w:ascii="宋体" w:hAnsi="宋体" w:cs="宋体"/>
                <w:color w:val="000000"/>
                <w:sz w:val="24"/>
              </w:rPr>
              <w:t xml:space="preserve">低空排放净化器根据《饮食业油烟排放标准》（GB18483-2001），净化率最低净化率达到8</w:t>
            </w:r>
            <w:r>
              <w:rPr>
                <w:rFonts w:ascii="宋体" w:hAnsi="宋体" w:cs="宋体"/>
                <w:color w:val="000000"/>
                <w:sz w:val="24"/>
              </w:rPr>
              <w:t xml:space="preserve">5</w:t>
            </w:r>
            <w:r>
              <w:rPr>
                <w:rFonts w:hint="eastAsia" w:ascii="宋体" w:hAnsi="宋体" w:cs="宋体"/>
                <w:color w:val="000000"/>
                <w:sz w:val="24"/>
              </w:rPr>
              <w:t xml:space="preserve">%的，得</w:t>
            </w:r>
            <w:r>
              <w:rPr>
                <w:rFonts w:ascii="宋体" w:hAnsi="宋体" w:cs="宋体"/>
                <w:color w:val="000000"/>
                <w:sz w:val="24"/>
              </w:rPr>
              <w:t xml:space="preserve">5</w:t>
            </w:r>
            <w:r>
              <w:rPr>
                <w:rFonts w:hint="eastAsia" w:ascii="宋体" w:hAnsi="宋体" w:cs="宋体"/>
                <w:color w:val="000000"/>
                <w:sz w:val="24"/>
              </w:rPr>
              <w:t xml:space="preserve">分，最低净化率达到7</w:t>
            </w:r>
            <w:r>
              <w:rPr>
                <w:rFonts w:ascii="宋体" w:hAnsi="宋体" w:cs="宋体"/>
                <w:color w:val="000000"/>
                <w:sz w:val="24"/>
              </w:rPr>
              <w:t xml:space="preserve">5</w:t>
            </w:r>
            <w:r>
              <w:rPr>
                <w:rFonts w:hint="eastAsia" w:ascii="宋体" w:hAnsi="宋体" w:cs="宋体"/>
                <w:color w:val="000000"/>
                <w:sz w:val="24"/>
              </w:rPr>
              <w:t xml:space="preserve">%的，得</w:t>
            </w:r>
            <w:r>
              <w:rPr>
                <w:rFonts w:ascii="宋体" w:hAnsi="宋体" w:cs="宋体"/>
                <w:color w:val="000000"/>
                <w:sz w:val="24"/>
              </w:rPr>
              <w:t xml:space="preserve">4</w:t>
            </w:r>
            <w:r>
              <w:rPr>
                <w:rFonts w:hint="eastAsia" w:ascii="宋体" w:hAnsi="宋体" w:cs="宋体"/>
                <w:color w:val="000000"/>
                <w:sz w:val="24"/>
              </w:rPr>
              <w:t xml:space="preserve">分，最低净化率达到6</w:t>
            </w:r>
            <w:r>
              <w:rPr>
                <w:rFonts w:ascii="宋体" w:hAnsi="宋体" w:cs="宋体"/>
                <w:color w:val="000000"/>
                <w:sz w:val="24"/>
              </w:rPr>
              <w:t xml:space="preserve">0</w:t>
            </w:r>
            <w:r>
              <w:rPr>
                <w:rFonts w:hint="eastAsia" w:ascii="宋体" w:hAnsi="宋体" w:cs="宋体"/>
                <w:color w:val="000000"/>
                <w:sz w:val="24"/>
              </w:rPr>
              <w:t xml:space="preserve">%的，得</w:t>
            </w:r>
            <w:r>
              <w:rPr>
                <w:rFonts w:ascii="宋体" w:hAnsi="宋体" w:cs="宋体"/>
                <w:color w:val="000000"/>
                <w:sz w:val="24"/>
              </w:rPr>
              <w:t xml:space="preserve">3</w:t>
            </w:r>
            <w:r>
              <w:rPr>
                <w:rFonts w:hint="eastAsia" w:ascii="宋体" w:hAnsi="宋体" w:cs="宋体"/>
                <w:color w:val="000000"/>
                <w:sz w:val="24"/>
              </w:rPr>
              <w:t xml:space="preserve">分。投标时需提供有效期内具有检测资质的单位出具的检测报告</w:t>
            </w:r>
            <w:r>
              <w:rPr>
                <w:rFonts w:hint="eastAsia" w:ascii="宋体" w:hAnsi="宋体" w:cs="宋体"/>
                <w:color w:val="000000"/>
                <w:sz w:val="24"/>
              </w:rPr>
              <w:t xml:space="preserve">扫描件</w:t>
            </w:r>
            <w:r>
              <w:rPr>
                <w:rFonts w:hint="eastAsia" w:ascii="宋体" w:hAnsi="宋体" w:cs="宋体"/>
                <w:color w:val="000000"/>
                <w:sz w:val="24"/>
              </w:rPr>
              <w:t xml:space="preserve">，否则不得分。</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3</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类似业绩</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12</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spacing w:line="380" w:lineRule="exact"/>
              <w:rPr>
                <w:rFonts w:ascii="宋体" w:hAnsi="宋体" w:cs="宋体"/>
                <w:sz w:val="24"/>
              </w:rPr>
            </w:pPr>
            <w:r>
              <w:rPr>
                <w:rFonts w:hint="eastAsia" w:ascii="宋体" w:hAnsi="宋体" w:cs="宋体"/>
                <w:color w:val="000000"/>
                <w:sz w:val="24"/>
              </w:rPr>
              <w:t xml:space="preserve">投标人</w:t>
            </w:r>
            <w:r>
              <w:rPr>
                <w:rFonts w:ascii="宋体" w:hAnsi="宋体" w:cs="宋体"/>
                <w:color w:val="000000"/>
                <w:sz w:val="24"/>
              </w:rPr>
              <w:t xml:space="preserve">自20</w:t>
            </w:r>
            <w:r>
              <w:rPr>
                <w:rFonts w:hint="eastAsia" w:ascii="宋体" w:hAnsi="宋体" w:cs="宋体"/>
                <w:color w:val="000000"/>
                <w:sz w:val="24"/>
              </w:rPr>
              <w:t xml:space="preserve">22</w:t>
            </w:r>
            <w:r>
              <w:rPr>
                <w:rFonts w:ascii="宋体" w:hAnsi="宋体" w:cs="宋体"/>
                <w:color w:val="000000"/>
                <w:sz w:val="24"/>
              </w:rPr>
              <w:t xml:space="preserve">年</w:t>
            </w:r>
            <w:r>
              <w:rPr>
                <w:rFonts w:hint="eastAsia" w:ascii="宋体" w:hAnsi="宋体" w:cs="宋体"/>
                <w:color w:val="000000"/>
                <w:sz w:val="24"/>
              </w:rPr>
              <w:t xml:space="preserve">1</w:t>
            </w:r>
            <w:r>
              <w:rPr>
                <w:rFonts w:ascii="宋体" w:hAnsi="宋体" w:cs="宋体"/>
                <w:color w:val="000000"/>
                <w:sz w:val="24"/>
              </w:rPr>
              <w:t xml:space="preserve">月</w:t>
            </w:r>
            <w:r>
              <w:rPr>
                <w:rFonts w:hint="eastAsia" w:ascii="宋体" w:hAnsi="宋体" w:cs="宋体"/>
                <w:color w:val="000000"/>
                <w:sz w:val="24"/>
              </w:rPr>
              <w:t xml:space="preserve">1</w:t>
            </w:r>
            <w:r>
              <w:rPr>
                <w:rFonts w:ascii="宋体" w:hAnsi="宋体" w:cs="宋体"/>
                <w:color w:val="000000"/>
                <w:sz w:val="24"/>
              </w:rPr>
              <w:t xml:space="preserve">日以来（以合同签订时间为准）</w:t>
            </w:r>
            <w:r>
              <w:rPr>
                <w:rFonts w:hint="eastAsia" w:ascii="宋体" w:hAnsi="宋体" w:cs="宋体"/>
                <w:color w:val="000000"/>
                <w:sz w:val="24"/>
              </w:rPr>
              <w:t xml:space="preserve">具有项目业绩（类似项目是指厨房设备供货）</w:t>
            </w:r>
            <w:r>
              <w:rPr>
                <w:rFonts w:ascii="宋体" w:hAnsi="宋体" w:cs="宋体"/>
                <w:color w:val="000000"/>
                <w:sz w:val="24"/>
              </w:rPr>
              <w:t xml:space="preserve">，每提供1份合同得</w:t>
            </w:r>
            <w:r>
              <w:rPr>
                <w:rFonts w:ascii="宋体" w:hAnsi="宋体" w:cs="宋体"/>
                <w:color w:val="000000"/>
                <w:sz w:val="24"/>
              </w:rPr>
              <w:t xml:space="preserve">3</w:t>
            </w:r>
            <w:r>
              <w:rPr>
                <w:rFonts w:ascii="宋体" w:hAnsi="宋体" w:cs="宋体"/>
                <w:color w:val="000000"/>
                <w:sz w:val="24"/>
              </w:rPr>
              <w:t xml:space="preserve">分，最多得</w:t>
            </w:r>
            <w:r>
              <w:rPr>
                <w:rFonts w:ascii="宋体" w:hAnsi="宋体" w:cs="宋体"/>
                <w:color w:val="000000"/>
                <w:sz w:val="24"/>
              </w:rPr>
              <w:t xml:space="preserve">12</w:t>
            </w:r>
            <w:r>
              <w:rPr>
                <w:rFonts w:ascii="宋体" w:hAnsi="宋体" w:cs="宋体"/>
                <w:color w:val="000000"/>
                <w:sz w:val="24"/>
              </w:rPr>
              <w:t xml:space="preserve">分。</w:t>
            </w:r>
            <w:r>
              <w:rPr>
                <w:rFonts w:hint="eastAsia" w:asciiTheme="minorEastAsia" w:hAnsiTheme="minorEastAsia" w:cstheme="minorEastAsia"/>
                <w:bCs/>
                <w:sz w:val="24"/>
                <w:lang w:bidi="zh-CN"/>
              </w:rPr>
              <w:t xml:space="preserve">（提供合同原件扫描件，合同须能反映项目名称、主要标的物、签订时间、单位公章或专用合同章,如不能反映的，另须提供盖有原委托单位公章的证明，否则不予认可</w:t>
            </w:r>
            <w:r>
              <w:rPr>
                <w:rFonts w:hint="eastAsia" w:ascii="宋体" w:hAnsi="宋体" w:cs="宋体"/>
                <w:bCs/>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4</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企业综合实力</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8</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jc w:val="left"/>
              <w:spacing w:line="400" w:lineRule="exact"/>
              <w:rPr>
                <w:rFonts w:ascii="宋体" w:hAnsi="宋体" w:cs="宋体"/>
                <w:sz w:val="24"/>
                <w:szCs w:val="32"/>
              </w:rPr>
              <w:pBdr>
                <w:top w:val="none" w:color="000000" w:sz="0" w:space="0"/>
                <w:left w:val="none" w:color="000000" w:sz="0" w:space="0"/>
                <w:bottom w:val="none" w:color="000000" w:sz="0" w:space="0"/>
                <w:right w:val="none" w:color="000000" w:sz="0" w:space="0"/>
              </w:pBdr>
            </w:pPr>
            <w:r>
              <w:rPr>
                <w:rFonts w:hint="eastAsia" w:ascii="宋体" w:hAnsi="宋体" w:cs="宋体"/>
                <w:sz w:val="24"/>
                <w:szCs w:val="32"/>
              </w:rPr>
              <w:t xml:space="preserve">投标人具有质量管理体系认证证书、环境管理体系认证证书、职业健康安全管理体系认证证书、售后服务认证证书，每具有一个得</w:t>
            </w:r>
            <w:r>
              <w:rPr>
                <w:rFonts w:ascii="宋体" w:hAnsi="宋体" w:cs="宋体"/>
                <w:sz w:val="24"/>
                <w:szCs w:val="32"/>
              </w:rPr>
              <w:t xml:space="preserve">2</w:t>
            </w:r>
            <w:r>
              <w:rPr>
                <w:rFonts w:hint="eastAsia" w:ascii="宋体" w:hAnsi="宋体" w:cs="宋体"/>
                <w:sz w:val="24"/>
                <w:szCs w:val="32"/>
              </w:rPr>
              <w:t xml:space="preserve">分，最多得</w:t>
            </w:r>
            <w:r>
              <w:rPr>
                <w:rFonts w:ascii="宋体" w:hAnsi="宋体" w:cs="宋体"/>
                <w:sz w:val="24"/>
                <w:szCs w:val="32"/>
              </w:rPr>
              <w:t xml:space="preserve">8</w:t>
            </w:r>
            <w:r>
              <w:rPr>
                <w:rFonts w:hint="eastAsia" w:ascii="宋体" w:hAnsi="宋体" w:cs="宋体"/>
                <w:sz w:val="24"/>
                <w:szCs w:val="32"/>
              </w:rPr>
              <w:t xml:space="preserve">分。认证证书须在“全国认证认可信息公共服务平台网站”可查，且证书状态须为有效（有效是指开标当日有效的证书），状态无效不得分，（提供网站查询截屏加盖投标人公章、证书扫描件加盖投标人公章为准，两个材料必须同时提供，未提供或提供不全的不得分）。</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5</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供货实施方案</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10</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textDirection w:val="lrTb"/>
            <w:noWrap w:val="false"/>
          </w:tcPr>
          <w:p>
            <w:pPr>
              <w:ind w:firstLine="480"/>
              <w:spacing w:line="400" w:lineRule="exact"/>
              <w:widowControl/>
              <w:rPr>
                <w:rFonts w:ascii="宋体" w:hAnsi="宋体" w:cs="宋体"/>
                <w:sz w:val="24"/>
              </w:rPr>
            </w:pPr>
            <w:r>
              <w:rPr>
                <w:rFonts w:hint="eastAsia" w:ascii="宋体" w:hAnsi="宋体" w:cs="宋体"/>
                <w:sz w:val="24"/>
              </w:rPr>
              <w:t xml:space="preserve">供应商根据第四章中“七、供货实施方案、售后服务方案</w:t>
            </w:r>
            <w:r>
              <w:rPr>
                <w:rFonts w:hint="eastAsia" w:ascii="宋体" w:hAnsi="宋体" w:cs="宋体"/>
                <w:sz w:val="24"/>
              </w:rPr>
              <w:t xml:space="preserve">及安全保障方案</w:t>
            </w:r>
            <w:r>
              <w:rPr>
                <w:rFonts w:hint="eastAsia" w:ascii="宋体" w:hAnsi="宋体" w:cs="宋体"/>
                <w:sz w:val="24"/>
              </w:rPr>
              <w:t xml:space="preserve">”要求，提供详细完整的项目实施的组织计划方案（至少包含：①安装、调试方案；②质量保障措施；③进度保障措施；④验收方案；⑤培训方案等方面内容）：</w:t>
            </w:r>
            <w:r/>
          </w:p>
          <w:p>
            <w:pPr>
              <w:ind w:firstLine="480"/>
              <w:spacing w:line="400" w:lineRule="exact"/>
              <w:widowControl/>
              <w:rPr>
                <w:rFonts w:ascii="宋体" w:hAnsi="宋体" w:cs="宋体"/>
                <w:sz w:val="24"/>
              </w:rPr>
            </w:pPr>
            <w:r>
              <w:rPr>
                <w:rFonts w:hint="eastAsia" w:ascii="宋体" w:hAnsi="宋体" w:cs="宋体"/>
                <w:sz w:val="24"/>
              </w:rPr>
              <w:t xml:space="preserve">方案内容满足以上全部要求且符合本项目实际需求的，得</w:t>
            </w:r>
            <w:r>
              <w:rPr>
                <w:rFonts w:ascii="宋体" w:hAnsi="宋体" w:cs="宋体"/>
                <w:sz w:val="24"/>
              </w:rPr>
              <w:t xml:space="preserve">10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6</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售后服务方案</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10</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360"/>
              <w:spacing w:line="400" w:lineRule="exact"/>
              <w:widowControl/>
              <w:rPr>
                <w:rFonts w:ascii="宋体" w:hAnsi="宋体" w:cs="宋体"/>
                <w:sz w:val="24"/>
              </w:rPr>
            </w:pPr>
            <w:r>
              <w:rPr>
                <w:rFonts w:hint="eastAsia" w:ascii="宋体" w:hAnsi="宋体" w:cs="宋体"/>
                <w:sz w:val="24"/>
              </w:rPr>
              <w:t xml:space="preserve">供应商根据第四章中“七、供货实施方案、售后服务方案</w:t>
            </w:r>
            <w:r>
              <w:rPr>
                <w:rFonts w:hint="eastAsia" w:ascii="宋体" w:hAnsi="宋体" w:cs="宋体"/>
                <w:sz w:val="24"/>
              </w:rPr>
              <w:t xml:space="preserve">及安全保障方案</w:t>
            </w:r>
            <w:r>
              <w:rPr>
                <w:rFonts w:hint="eastAsia" w:ascii="宋体" w:hAnsi="宋体" w:cs="宋体"/>
                <w:sz w:val="24"/>
              </w:rPr>
              <w:t xml:space="preserve">”要求，提供的售后服务（至少包含：①售后服务体系的建立；②维修人员及维修点、故障响应时间；③维修与零部件供应；④定期保养服务；⑤应急保障措施等方面内容）进行评审：</w:t>
            </w:r>
            <w:r/>
          </w:p>
          <w:p>
            <w:pPr>
              <w:ind w:firstLine="480"/>
              <w:spacing w:line="400" w:lineRule="exact"/>
              <w:widowControl/>
              <w:rPr>
                <w:rFonts w:ascii="宋体" w:hAnsi="宋体" w:cs="宋体"/>
                <w:sz w:val="24"/>
              </w:rPr>
            </w:pPr>
            <w:r>
              <w:rPr>
                <w:rFonts w:hint="eastAsia" w:ascii="宋体" w:hAnsi="宋体" w:cs="宋体"/>
                <w:sz w:val="24"/>
              </w:rPr>
              <w:t xml:space="preserve">方案内容满足以上全部要求且符合本项目实际需求的，得</w:t>
            </w:r>
            <w:r>
              <w:rPr>
                <w:rFonts w:ascii="宋体" w:hAnsi="宋体" w:cs="宋体"/>
                <w:sz w:val="24"/>
              </w:rPr>
              <w:t xml:space="preserve">10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7</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安全保障方案</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0</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360"/>
              <w:spacing w:line="400" w:lineRule="exact"/>
              <w:widowControl/>
              <w:rPr>
                <w:rFonts w:ascii="宋体" w:hAnsi="宋体" w:cs="宋体"/>
                <w:sz w:val="24"/>
              </w:rPr>
            </w:pPr>
            <w:r>
              <w:rPr>
                <w:rFonts w:hint="eastAsia" w:ascii="宋体" w:hAnsi="宋体" w:cs="宋体"/>
                <w:sz w:val="24"/>
              </w:rPr>
              <w:t xml:space="preserve">供应商根据第四章中“七、供货实施方案、售后服务方案</w:t>
            </w:r>
            <w:r>
              <w:rPr>
                <w:rFonts w:hint="eastAsia" w:ascii="宋体" w:hAnsi="宋体" w:cs="宋体"/>
                <w:sz w:val="24"/>
              </w:rPr>
              <w:t xml:space="preserve">及安全保障方案</w:t>
            </w:r>
            <w:r>
              <w:rPr>
                <w:rFonts w:hint="eastAsia" w:ascii="宋体" w:hAnsi="宋体" w:cs="宋体"/>
                <w:sz w:val="24"/>
              </w:rPr>
              <w:t xml:space="preserve">”要求，提供的安全保障方案（至少包含：①</w:t>
            </w:r>
            <w:r>
              <w:rPr>
                <w:rFonts w:hint="eastAsia" w:ascii="宋体" w:hAnsi="宋体" w:cs="宋体"/>
                <w:sz w:val="24"/>
              </w:rPr>
              <w:t xml:space="preserve">食品接触设备</w:t>
            </w:r>
            <w:r>
              <w:rPr>
                <w:rFonts w:hint="eastAsia" w:ascii="宋体" w:hAnsi="宋体" w:cs="宋体"/>
                <w:sz w:val="24"/>
              </w:rPr>
              <w:t xml:space="preserve">安全保障；②</w:t>
            </w:r>
            <w:r>
              <w:rPr>
                <w:rFonts w:hint="eastAsia" w:ascii="宋体" w:hAnsi="宋体" w:cs="宋体"/>
                <w:sz w:val="24"/>
              </w:rPr>
              <w:t xml:space="preserve">消防</w:t>
            </w:r>
            <w:r>
              <w:rPr>
                <w:rFonts w:hint="eastAsia" w:ascii="宋体" w:hAnsi="宋体" w:cs="宋体"/>
                <w:sz w:val="24"/>
              </w:rPr>
              <w:t xml:space="preserve">安全保障；③</w:t>
            </w:r>
            <w:r>
              <w:rPr>
                <w:rFonts w:hint="eastAsia" w:ascii="宋体" w:hAnsi="宋体" w:cs="宋体"/>
                <w:sz w:val="24"/>
              </w:rPr>
              <w:t xml:space="preserve">设备操作安全防护</w:t>
            </w:r>
            <w:r>
              <w:rPr>
                <w:rFonts w:hint="eastAsia" w:ascii="宋体" w:hAnsi="宋体" w:cs="宋体"/>
                <w:sz w:val="24"/>
              </w:rPr>
              <w:t xml:space="preserve">；④</w:t>
            </w:r>
            <w:r>
              <w:rPr>
                <w:rFonts w:hint="eastAsia" w:ascii="宋体" w:hAnsi="宋体" w:cs="宋体"/>
                <w:sz w:val="24"/>
              </w:rPr>
              <w:t xml:space="preserve">设备安装安全管控</w:t>
            </w:r>
            <w:r>
              <w:rPr>
                <w:rFonts w:hint="eastAsia" w:ascii="宋体" w:hAnsi="宋体" w:cs="宋体"/>
                <w:sz w:val="24"/>
              </w:rPr>
              <w:t xml:space="preserve">；⑤</w:t>
            </w:r>
            <w:r>
              <w:rPr>
                <w:rFonts w:hint="eastAsia" w:ascii="宋体" w:hAnsi="宋体" w:cs="宋体"/>
                <w:sz w:val="24"/>
              </w:rPr>
              <w:t xml:space="preserve">安全培训与考核</w:t>
            </w:r>
            <w:r>
              <w:rPr>
                <w:rFonts w:hint="eastAsia" w:ascii="宋体" w:hAnsi="宋体" w:cs="宋体"/>
                <w:sz w:val="24"/>
              </w:rPr>
              <w:t xml:space="preserve">等方面内容）进行评审：</w:t>
            </w:r>
            <w:r/>
          </w:p>
          <w:p>
            <w:pPr>
              <w:ind w:firstLine="360"/>
              <w:spacing w:line="400" w:lineRule="exact"/>
              <w:widowControl/>
              <w:rPr>
                <w:rFonts w:ascii="宋体" w:hAnsi="宋体" w:cs="宋体"/>
                <w:sz w:val="24"/>
              </w:rPr>
            </w:pPr>
            <w:r>
              <w:rPr>
                <w:rFonts w:hint="eastAsia" w:ascii="宋体" w:hAnsi="宋体" w:cs="宋体"/>
                <w:sz w:val="24"/>
              </w:rPr>
              <w:t xml:space="preserve">方案内容满足以上全部要求且符合本项目实际需求的，得</w:t>
            </w:r>
            <w:r>
              <w:rPr>
                <w:rFonts w:ascii="宋体" w:hAnsi="宋体" w:cs="宋体"/>
                <w:sz w:val="24"/>
              </w:rPr>
              <w:t xml:space="preserve">10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8</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bCs/>
                <w:sz w:val="24"/>
              </w:rPr>
              <w:t xml:space="preserve">质保期承诺</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spacing w:line="400" w:lineRule="exact"/>
              <w:widowControl/>
              <w:rPr>
                <w:rFonts w:ascii="宋体" w:hAnsi="宋体" w:cs="宋体"/>
                <w:bCs/>
                <w:sz w:val="24"/>
              </w:rPr>
            </w:pPr>
            <w:r>
              <w:rPr>
                <w:rFonts w:hint="eastAsia" w:ascii="宋体" w:hAnsi="宋体" w:cs="宋体"/>
                <w:bCs/>
                <w:sz w:val="24"/>
              </w:rPr>
              <w:t xml:space="preserve">投标人承诺质保期在招标文件基本要求（2年）基础上，每增加1年得</w:t>
            </w:r>
            <w:r>
              <w:rPr>
                <w:rFonts w:ascii="宋体" w:hAnsi="宋体" w:cs="宋体"/>
                <w:bCs/>
                <w:sz w:val="24"/>
              </w:rPr>
              <w:t xml:space="preserve">1</w:t>
            </w:r>
            <w:r>
              <w:rPr>
                <w:rFonts w:ascii="宋体" w:hAnsi="宋体" w:cs="宋体"/>
                <w:bCs/>
                <w:sz w:val="24"/>
              </w:rPr>
              <w:t xml:space="preserve">.5</w:t>
            </w:r>
            <w:r>
              <w:rPr>
                <w:rFonts w:hint="eastAsia" w:ascii="宋体" w:hAnsi="宋体" w:cs="宋体"/>
                <w:bCs/>
                <w:sz w:val="24"/>
              </w:rPr>
              <w:t xml:space="preserve">分，最多得</w:t>
            </w:r>
            <w:r>
              <w:rPr>
                <w:rFonts w:ascii="宋体" w:hAnsi="宋体" w:cs="宋体"/>
                <w:bCs/>
                <w:sz w:val="24"/>
              </w:rPr>
              <w:t xml:space="preserve">3</w:t>
            </w:r>
            <w:r>
              <w:rPr>
                <w:rFonts w:hint="eastAsia" w:ascii="宋体" w:hAnsi="宋体" w:cs="宋体"/>
                <w:bCs/>
                <w:sz w:val="24"/>
              </w:rPr>
              <w:t xml:space="preserve">分。</w:t>
            </w:r>
            <w:r/>
          </w:p>
          <w:p>
            <w:pPr>
              <w:ind w:firstLine="480"/>
              <w:spacing w:line="400" w:lineRule="exact"/>
              <w:widowControl/>
              <w:rPr>
                <w:rFonts w:ascii="宋体" w:hAnsi="宋体" w:cs="宋体"/>
                <w:bCs/>
                <w:sz w:val="24"/>
              </w:rPr>
            </w:pPr>
            <w:r>
              <w:rPr>
                <w:rFonts w:hint="eastAsia" w:ascii="宋体" w:hAnsi="宋体" w:cs="宋体"/>
                <w:bCs/>
                <w:sz w:val="24"/>
              </w:rPr>
              <w:t xml:space="preserve">投标时提供承诺函加盖投标人公章，承诺函格式自拟。</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9</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bCs/>
                <w:sz w:val="24"/>
              </w:rPr>
            </w:pPr>
            <w:r>
              <w:rPr>
                <w:rFonts w:hint="eastAsia" w:ascii="宋体" w:hAnsi="宋体" w:cs="宋体"/>
                <w:bCs/>
                <w:sz w:val="24"/>
              </w:rPr>
              <w:t xml:space="preserve">节能环保</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pStyle w:val="105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80"/>
              <w:spacing w:line="400" w:lineRule="exact"/>
              <w:widowControl/>
              <w:rPr>
                <w:rFonts w:ascii="宋体" w:hAnsi="宋体" w:cs="宋体"/>
                <w:bCs/>
                <w:sz w:val="24"/>
              </w:rPr>
            </w:pPr>
            <w:r>
              <w:rPr>
                <w:rFonts w:hint="eastAsia" w:ascii="宋体" w:hAnsi="宋体" w:eastAsia="宋体" w:cs="宋体"/>
                <w:color w:val="000000"/>
                <w:sz w:val="24"/>
              </w:rPr>
              <w:t xml:space="preserve">2.</w:t>
            </w:r>
            <w:bookmarkStart w:id="175" w:name="_GoBack"/>
            <w:r>
              <w:rPr>
                <w:rFonts w:hint="eastAsia" w:ascii="宋体" w:hAnsi="宋体" w:eastAsia="宋体" w:cs="宋体"/>
                <w:color w:val="000000"/>
                <w:sz w:val="24"/>
              </w:rPr>
              <w:t xml:space="preserve">投标产品属于财政部、生态环境部公布的“环境标志产品品目清单”范围内的，投标人提供国家确定的认证机构出具的、处于有效期内的该环保产品认证证书复印件的，有1个得0.5分，最多得1分。</w:t>
            </w:r>
            <w:bookmarkEnd w:id="175"/>
            <w:r/>
            <w:r/>
          </w:p>
        </w:tc>
      </w:tr>
    </w:tbl>
    <w:p>
      <w:pPr>
        <w:rPr>
          <w:rFonts w:ascii="宋体" w:hAnsi="宋体" w:eastAsia="宋体" w:cs="宋体"/>
          <w:color w:val="000000"/>
          <w:sz w:val="24"/>
        </w:rPr>
      </w:pPr>
      <w:r>
        <w:rPr>
          <w:rFonts w:hint="eastAsia" w:ascii="宋体" w:hAnsi="宋体" w:eastAsia="宋体" w:cs="宋体"/>
          <w:color w:val="000000"/>
          <w:sz w:val="24"/>
        </w:rPr>
        <w:br w:type="page" w:clear="all"/>
      </w:r>
      <w:r/>
    </w:p>
    <w:p>
      <w:pPr>
        <w:pStyle w:val="1052"/>
        <w:ind w:firstLine="440"/>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1052"/>
        <w:ind w:firstLine="723"/>
        <w:jc w:val="center"/>
        <w:spacing w:beforeAutospacing="0" w:afterAutospacing="0"/>
      </w:pPr>
      <w:r/>
      <w:bookmarkStart w:id="176" w:name="_Toc49090576"/>
      <w:r/>
      <w:bookmarkStart w:id="177" w:name="_Toc120614282"/>
      <w:r/>
      <w:bookmarkStart w:id="178" w:name="_Hlt26955039"/>
      <w:r/>
      <w:bookmarkStart w:id="179" w:name="_Toc26554094"/>
      <w:r/>
      <w:bookmarkStart w:id="180" w:name="_Hlt26671244"/>
      <w:r/>
      <w:bookmarkEnd w:id="176"/>
      <w:r/>
      <w:bookmarkEnd w:id="177"/>
      <w:r>
        <w:rPr>
          <w:rFonts w:hint="eastAsia" w:ascii="宋体" w:hAnsi="宋体" w:eastAsia="宋体" w:cs="宋体"/>
          <w:b/>
          <w:color w:val="000000"/>
          <w:sz w:val="72"/>
          <w:szCs w:val="72"/>
        </w:rPr>
        <w:t xml:space="preserve">投  标  文  件</w:t>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ind w:firstLine="361"/>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1052"/>
        <w:ind w:firstLine="361"/>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1052"/>
        <w:ind w:firstLine="361"/>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1052"/>
        <w:ind w:firstLine="361"/>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r/>
    </w:p>
    <w:p>
      <w:pPr>
        <w:pStyle w:val="1052"/>
        <w:jc w:val="center"/>
        <w:spacing w:beforeAutospacing="0" w:afterAutospacing="0" w:line="0" w:lineRule="atLeast"/>
      </w:pPr>
      <w:r>
        <w:t xml:space="preserve"> </w:t>
      </w:r>
      <w:r/>
    </w:p>
    <w:p>
      <w:pPr>
        <w:pStyle w:val="1052"/>
        <w:jc w:val="both"/>
        <w:spacing w:beforeAutospacing="0" w:afterAutospacing="0" w:line="0" w:lineRule="atLeast"/>
      </w:pPr>
      <w:r>
        <w:t xml:space="preserve"> </w:t>
      </w:r>
      <w:r/>
    </w:p>
    <w:p>
      <w:pPr>
        <w:pStyle w:val="1052"/>
        <w:ind w:firstLine="32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1052"/>
        <w:jc w:val="center"/>
        <w:spacing w:beforeAutospacing="0" w:afterAutospacing="0" w:line="0" w:lineRule="atLeast"/>
      </w:pPr>
      <w:r>
        <w:t xml:space="preserve"> </w:t>
      </w:r>
      <w:r/>
    </w:p>
    <w:p>
      <w:pPr>
        <w:pStyle w:val="1052"/>
        <w:ind w:left="480"/>
        <w:jc w:val="both"/>
        <w:spacing w:beforeAutospacing="0" w:afterAutospacing="0"/>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1052"/>
        <w:ind w:left="480"/>
        <w:jc w:val="both"/>
        <w:spacing w:beforeAutospacing="0" w:afterAutospacing="0"/>
        <w:rPr>
          <w:iCs/>
        </w:rPr>
      </w:pPr>
      <w:r>
        <w:rPr>
          <w:rFonts w:hint="eastAsia" w:ascii="宋体" w:hAnsi="宋体" w:eastAsia="宋体" w:cs="宋体"/>
          <w:iCs/>
          <w:color w:val="000000"/>
        </w:rPr>
        <w:t xml:space="preserve">投标人成立不满一年无需提供）</w:t>
      </w:r>
      <w:r/>
    </w:p>
    <w:p>
      <w:pPr>
        <w:pStyle w:val="105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105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五、参加政府采购活动前 3 年内在经营活动中没有重大违法记录的书面声明</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六、特定资格要求的证明文件（如果本项目设置特定资格要求，则需要提供）</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七、法人授权书</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八、投标函</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十、残疾人福利性单位声明函</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十一、投标分项报价表</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十二、技术要求响应及偏离表</w:t>
      </w:r>
      <w:r/>
    </w:p>
    <w:p>
      <w:pPr>
        <w:pStyle w:val="1052"/>
        <w:ind w:firstLine="240"/>
        <w:jc w:val="both"/>
        <w:spacing w:beforeAutospacing="0" w:afterAutospacing="0" w:line="0" w:lineRule="atLeast"/>
        <w:rPr>
          <w:iCs/>
        </w:rPr>
      </w:pPr>
      <w:r>
        <w:rPr>
          <w:rFonts w:hint="eastAsia" w:ascii="宋体" w:hAnsi="宋体" w:eastAsia="宋体" w:cs="宋体"/>
          <w:iCs/>
          <w:color w:val="000000"/>
        </w:rPr>
        <w:t xml:space="preserve">十三、商务要求响应及偏离表</w:t>
      </w:r>
      <w:r/>
    </w:p>
    <w:p>
      <w:pPr>
        <w:pStyle w:val="1052"/>
        <w:ind w:firstLine="24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十四、开标一览表</w:t>
      </w:r>
      <w:r/>
    </w:p>
    <w:p>
      <w:pPr>
        <w:pStyle w:val="1052"/>
        <w:ind w:firstLine="24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十五、技术方案、服务承诺、培训承诺等</w:t>
      </w:r>
      <w:r/>
    </w:p>
    <w:p>
      <w:pPr>
        <w:pStyle w:val="1052"/>
        <w:ind w:firstLine="24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十六、盐城市政府采购事前信用承诺书</w:t>
      </w:r>
      <w:r/>
    </w:p>
    <w:p>
      <w:pPr>
        <w:pStyle w:val="1052"/>
        <w:ind w:firstLine="240"/>
        <w:jc w:val="both"/>
        <w:spacing w:beforeAutospacing="0" w:afterAutospacing="0" w:line="0" w:lineRule="atLeast"/>
      </w:pPr>
      <w:r>
        <w:t xml:space="preserve"> </w:t>
      </w:r>
      <w:r/>
    </w:p>
    <w:p>
      <w:pPr>
        <w:pStyle w:val="1052"/>
        <w:ind w:firstLine="240"/>
        <w:jc w:val="both"/>
        <w:spacing w:beforeAutospacing="0" w:afterAutospacing="0" w:line="0" w:lineRule="atLeast"/>
      </w:pPr>
      <w:r>
        <w:t xml:space="preserve"> </w:t>
      </w:r>
      <w:r/>
    </w:p>
    <w:p>
      <w:pPr>
        <w:pStyle w:val="1052"/>
        <w:ind w:firstLine="240"/>
        <w:jc w:val="both"/>
        <w:spacing w:beforeAutospacing="0" w:afterAutospacing="0" w:line="0" w:lineRule="atLeast"/>
      </w:pPr>
      <w:r/>
      <w:r/>
    </w:p>
    <w:p>
      <w:pPr>
        <w:pStyle w:val="1052"/>
        <w:ind w:firstLine="240"/>
        <w:jc w:val="both"/>
        <w:spacing w:beforeAutospacing="0" w:afterAutospacing="0" w:line="0" w:lineRule="atLeast"/>
      </w:pPr>
      <w:r/>
      <w:r/>
    </w:p>
    <w:p>
      <w:pPr>
        <w:pStyle w:val="1052"/>
        <w:ind w:firstLine="240"/>
        <w:jc w:val="both"/>
        <w:spacing w:beforeAutospacing="0" w:afterAutospacing="0" w:line="0" w:lineRule="atLeast"/>
      </w:pPr>
      <w:r>
        <w:t xml:space="preserve"> </w:t>
      </w:r>
      <w:r/>
    </w:p>
    <w:p>
      <w:pPr>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p>
    <w:p>
      <w:pPr>
        <w:pStyle w:val="1052"/>
        <w:ind w:firstLine="32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1052"/>
        <w:ind w:firstLine="240"/>
        <w:jc w:val="both"/>
        <w:spacing w:beforeAutospacing="0" w:afterAutospacing="0" w:line="0" w:lineRule="atLeast"/>
      </w:pPr>
      <w:r>
        <w:t xml:space="preserve"> </w:t>
      </w:r>
      <w:r/>
    </w:p>
    <w:p>
      <w:pPr>
        <w:pStyle w:val="1052"/>
        <w:ind w:firstLine="32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1052"/>
        <w:jc w:val="both"/>
        <w:spacing w:beforeAutospacing="0" w:afterAutospacing="0"/>
      </w:pPr>
      <w:r>
        <w:t xml:space="preserve"> </w:t>
      </w:r>
      <w:r/>
    </w:p>
    <w:p>
      <w:pPr>
        <w:pStyle w:val="1052"/>
        <w:ind w:firstLine="320"/>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1052"/>
        <w:ind w:firstLine="240"/>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052"/>
        <w:ind w:firstLine="240"/>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5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52"/>
        <w:ind w:firstLine="32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1052"/>
        <w:ind w:firstLine="24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1052"/>
        <w:jc w:val="both"/>
        <w:spacing w:beforeAutospacing="0" w:afterAutospacing="0"/>
      </w:pPr>
      <w:r>
        <w:t xml:space="preserve"> </w:t>
      </w:r>
      <w:r/>
    </w:p>
    <w:p>
      <w:pPr>
        <w:pStyle w:val="1052"/>
        <w:ind w:firstLine="32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1052"/>
        <w:ind w:firstLine="442"/>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1052"/>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1052"/>
        <w:ind w:firstLine="24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1052"/>
        <w:jc w:val="both"/>
        <w:spacing w:beforeAutospacing="0" w:afterAutospacing="0"/>
      </w:pPr>
      <w:r>
        <w:t xml:space="preserve"> </w:t>
      </w:r>
      <w:r/>
    </w:p>
    <w:p>
      <w:pPr>
        <w:pStyle w:val="1052"/>
        <w:ind w:firstLine="32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1052"/>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1052"/>
        <w:ind w:firstLine="320"/>
        <w:jc w:val="center"/>
        <w:spacing w:beforeAutospacing="0" w:afterAutospacing="0"/>
        <w:rPr>
          <w:rFonts w:ascii="黑体" w:hAnsi="宋体" w:eastAsia="黑体" w:cs="黑体"/>
          <w:i/>
          <w:color w:val="000000"/>
          <w:sz w:val="32"/>
          <w:szCs w:val="32"/>
          <w:u w:val="single"/>
        </w:rPr>
      </w:pPr>
      <w:r/>
      <w:bookmarkStart w:id="181" w:name="_Toc120614284"/>
      <w:r/>
      <w:r/>
    </w:p>
    <w:p>
      <w:pPr>
        <w:pStyle w:val="1052"/>
        <w:ind w:firstLine="32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1052"/>
        <w:ind w:firstLine="32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1052"/>
        <w:ind w:firstLine="32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1052"/>
        <w:ind w:firstLine="320"/>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1052"/>
        <w:ind w:firstLine="24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JSZC-320900-JSHX-G2025-0008</w:t>
      </w:r>
      <w:r>
        <w:rPr>
          <w:rFonts w:ascii="Times New Roman" w:hAnsi="Times New Roman"/>
          <w:color w:val="000000"/>
        </w:rPr>
        <w:t xml:space="preserve">号项目采购活动的合法代理人，以本单位名义全权处理一切与该项目采购有关的事务。</w:t>
      </w:r>
      <w:r/>
    </w:p>
    <w:p>
      <w:pPr>
        <w:pStyle w:val="1052"/>
        <w:ind w:firstLine="24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1052"/>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1052"/>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1052"/>
        <w:ind w:firstLine="24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1052"/>
        <w:ind w:firstLine="24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1052"/>
        <w:ind w:firstLine="24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182" w:name="_Hlt26955070"/>
      <w:r/>
      <w:bookmarkStart w:id="183" w:name="_格式3__银行出具的资信证明"/>
      <w:r/>
      <w:bookmarkStart w:id="184" w:name="_Hlt26671380"/>
      <w:r>
        <w:rPr>
          <w:rFonts w:ascii="Times New Roman" w:hAnsi="Times New Roman"/>
          <w:color w:val="000000"/>
          <w:u w:val="single"/>
        </w:rPr>
        <w:t xml:space="preserve">                                         </w:t>
      </w:r>
      <w:r/>
    </w:p>
    <w:p>
      <w:pPr>
        <w:pStyle w:val="1052"/>
        <w:ind w:firstLine="240"/>
        <w:jc w:val="both"/>
        <w:spacing w:beforeAutospacing="0" w:afterAutospacing="0"/>
      </w:pPr>
      <w:r>
        <w:t xml:space="preserve"> </w:t>
      </w:r>
      <w:r/>
    </w:p>
    <w:p>
      <w:pPr>
        <w:pStyle w:val="1052"/>
        <w:jc w:val="both"/>
        <w:spacing w:beforeAutospacing="0" w:afterAutospacing="0"/>
      </w:pPr>
      <w:r>
        <w:t xml:space="preserve"> </w:t>
      </w:r>
      <w:r/>
    </w:p>
    <w:p>
      <w:pPr>
        <w:pStyle w:val="1052"/>
        <w:ind w:firstLine="241"/>
        <w:jc w:val="center"/>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黑体" w:hAnsi="宋体" w:eastAsia="黑体" w:cs="黑体"/>
          <w:b/>
          <w:i/>
          <w:color w:val="000000"/>
          <w:sz w:val="32"/>
          <w:szCs w:val="32"/>
          <w:u w:val="single"/>
        </w:rPr>
        <w:t xml:space="preserve">八、投标函</w:t>
      </w:r>
      <w:r/>
    </w:p>
    <w:p>
      <w:pPr>
        <w:pStyle w:val="1052"/>
        <w:spacing w:beforeAutospacing="0" w:afterAutospacing="0" w:line="0" w:lineRule="atLeast"/>
      </w:pPr>
      <w:r>
        <w:rPr>
          <w:rFonts w:hint="eastAsia" w:ascii="宋体" w:hAnsi="宋体" w:eastAsia="宋体" w:cs="宋体"/>
          <w:color w:val="000000"/>
        </w:rPr>
        <w:t xml:space="preserve">致：盐城体育运动学校</w:t>
      </w:r>
      <w:r/>
    </w:p>
    <w:p>
      <w:pPr>
        <w:pStyle w:val="1052"/>
        <w:ind w:firstLine="240"/>
        <w:spacing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rPr>
        <w:t xml:space="preserve">JSZC-320900-JSHX-G2025-0008</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1052"/>
        <w:ind w:firstLine="24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1052"/>
        <w:ind w:firstLine="24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1052"/>
        <w:ind w:firstLine="24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1052"/>
        <w:ind w:firstLine="24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1052"/>
        <w:ind w:firstLine="24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1052"/>
        <w:ind w:firstLine="24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1052"/>
        <w:ind w:firstLine="24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1052"/>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1052"/>
        <w:ind w:left="420" w:firstLine="240"/>
        <w:spacing w:beforeAutospacing="0" w:afterAutospacing="0" w:line="0" w:lineRule="atLeast"/>
      </w:pPr>
      <w:r>
        <w:rPr>
          <w:rFonts w:hint="eastAsia" w:ascii="宋体" w:hAnsi="宋体" w:eastAsia="宋体" w:cs="宋体"/>
          <w:color w:val="000000"/>
        </w:rPr>
        <w:t xml:space="preserve">地          址：</w:t>
      </w:r>
      <w:r/>
    </w:p>
    <w:p>
      <w:pPr>
        <w:pStyle w:val="1052"/>
        <w:ind w:left="420" w:firstLine="240"/>
        <w:spacing w:beforeAutospacing="0" w:afterAutospacing="0" w:line="0" w:lineRule="atLeast"/>
      </w:pPr>
      <w:r>
        <w:rPr>
          <w:rFonts w:hint="eastAsia" w:ascii="宋体" w:hAnsi="宋体" w:eastAsia="宋体" w:cs="宋体"/>
          <w:color w:val="000000"/>
        </w:rPr>
        <w:t xml:space="preserve">邮          编：</w:t>
      </w:r>
      <w:r/>
    </w:p>
    <w:p>
      <w:pPr>
        <w:pStyle w:val="1052"/>
        <w:ind w:left="420" w:firstLine="240"/>
        <w:spacing w:beforeAutospacing="0" w:afterAutospacing="0" w:line="0" w:lineRule="atLeast"/>
      </w:pPr>
      <w:r>
        <w:rPr>
          <w:rFonts w:hint="eastAsia" w:ascii="宋体" w:hAnsi="宋体" w:eastAsia="宋体" w:cs="宋体"/>
          <w:color w:val="000000"/>
        </w:rPr>
        <w:t xml:space="preserve">电          话：</w:t>
      </w:r>
      <w:r/>
    </w:p>
    <w:p>
      <w:pPr>
        <w:pStyle w:val="1052"/>
        <w:ind w:left="420" w:firstLine="240"/>
        <w:spacing w:beforeAutospacing="0" w:afterAutospacing="0" w:line="0" w:lineRule="atLeast"/>
      </w:pPr>
      <w:r>
        <w:rPr>
          <w:rFonts w:hint="eastAsia" w:ascii="宋体" w:hAnsi="宋体" w:eastAsia="宋体" w:cs="宋体"/>
          <w:color w:val="000000"/>
        </w:rPr>
        <w:t xml:space="preserve">传          真：</w:t>
      </w:r>
      <w:r/>
    </w:p>
    <w:p>
      <w:pPr>
        <w:pStyle w:val="1052"/>
        <w:ind w:left="420" w:firstLine="240"/>
        <w:spacing w:beforeAutospacing="0" w:afterAutospacing="0" w:line="0" w:lineRule="atLeast"/>
      </w:pPr>
      <w:r>
        <w:rPr>
          <w:rFonts w:hint="eastAsia" w:ascii="宋体" w:hAnsi="宋体" w:eastAsia="宋体" w:cs="宋体"/>
          <w:color w:val="000000"/>
        </w:rPr>
        <w:t xml:space="preserve">投标人开户行：</w:t>
      </w:r>
      <w:r/>
    </w:p>
    <w:p>
      <w:pPr>
        <w:pStyle w:val="1052"/>
        <w:ind w:left="420" w:firstLine="240"/>
        <w:spacing w:beforeAutospacing="0" w:afterAutospacing="0" w:line="0" w:lineRule="atLeast"/>
      </w:pPr>
      <w:r>
        <w:rPr>
          <w:rFonts w:hint="eastAsia" w:ascii="宋体" w:hAnsi="宋体" w:eastAsia="宋体" w:cs="宋体"/>
          <w:color w:val="000000"/>
        </w:rPr>
        <w:t xml:space="preserve">账          号： </w:t>
      </w:r>
      <w:r/>
    </w:p>
    <w:p>
      <w:pPr>
        <w:pStyle w:val="1052"/>
        <w:ind w:left="420" w:firstLine="240"/>
        <w:spacing w:beforeAutospacing="0" w:afterAutospacing="0" w:line="0" w:lineRule="atLeast"/>
      </w:pPr>
      <w:r>
        <w:rPr>
          <w:rFonts w:hint="eastAsia" w:ascii="宋体" w:hAnsi="宋体" w:eastAsia="宋体" w:cs="宋体"/>
          <w:color w:val="000000"/>
        </w:rPr>
        <w:t xml:space="preserve">日           期：________年____月____日</w:t>
      </w:r>
      <w:r/>
    </w:p>
    <w:p>
      <w:pPr>
        <w:pStyle w:val="1052"/>
        <w:ind w:firstLine="240"/>
        <w:jc w:val="center"/>
        <w:spacing w:beforeAutospacing="0" w:afterAutospacing="0" w:line="0" w:lineRule="atLeast"/>
      </w:pPr>
      <w:r>
        <w:t xml:space="preserve"> </w:t>
      </w:r>
      <w:r/>
    </w:p>
    <w:p>
      <w:pPr>
        <w:pStyle w:val="1052"/>
        <w:ind w:firstLine="240"/>
        <w:jc w:val="center"/>
        <w:spacing w:beforeAutospacing="0" w:afterAutospacing="0" w:line="0" w:lineRule="atLeast"/>
      </w:pPr>
      <w:r>
        <w:t xml:space="preserve"> </w:t>
      </w:r>
      <w:r/>
    </w:p>
    <w:p>
      <w:pPr>
        <w:pStyle w:val="1052"/>
        <w:ind w:firstLine="240"/>
        <w:jc w:val="center"/>
        <w:spacing w:beforeAutospacing="0" w:afterAutospacing="0" w:line="0" w:lineRule="atLeast"/>
      </w:pPr>
      <w:r>
        <w:t xml:space="preserve"> </w:t>
      </w:r>
      <w:r/>
    </w:p>
    <w:p>
      <w:pPr>
        <w:pStyle w:val="1052"/>
        <w:ind w:firstLine="240"/>
        <w:jc w:val="center"/>
        <w:spacing w:beforeAutospacing="0" w:afterAutospacing="0" w:line="0" w:lineRule="atLeast"/>
      </w:pPr>
      <w:r>
        <w:t xml:space="preserve"> </w:t>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r/>
    </w:p>
    <w:p>
      <w:pPr>
        <w:pStyle w:val="1052"/>
        <w:ind w:firstLine="240"/>
        <w:jc w:val="center"/>
        <w:spacing w:beforeAutospacing="0" w:afterAutospacing="0" w:line="0" w:lineRule="atLeast"/>
      </w:pPr>
      <w:r>
        <w:t xml:space="preserve"> </w:t>
      </w:r>
      <w:r/>
    </w:p>
    <w:p>
      <w:pPr>
        <w:pStyle w:val="1052"/>
        <w:ind w:firstLine="321"/>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240"/>
        <w:spacing w:line="500" w:lineRule="exact"/>
        <w:rPr>
          <w:sz w:val="24"/>
        </w:rPr>
      </w:pPr>
      <w:r>
        <w:rPr>
          <w:sz w:val="24"/>
        </w:rPr>
      </w:r>
      <w:r/>
    </w:p>
    <w:p>
      <w:pPr>
        <w:ind w:firstLine="24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的规定，本公司（联合体）参加盐城体育运动学校，采购编号为</w:t>
      </w:r>
      <w:r>
        <w:rPr>
          <w:sz w:val="24"/>
          <w:u w:val="single"/>
        </w:rPr>
        <w:t xml:space="preserve">JSZC-320900-JSHX-G2025-0008</w:t>
      </w:r>
      <w:r>
        <w:rPr>
          <w:rFonts w:hint="eastAsia"/>
          <w:sz w:val="24"/>
        </w:rPr>
        <w:t xml:space="preserve">的</w:t>
      </w:r>
      <w:r>
        <w:rPr>
          <w:rFonts w:hint="eastAsia"/>
          <w:sz w:val="24"/>
          <w:u w:val="single"/>
        </w:rPr>
        <w:t xml:space="preserve">盐城体育运动学校新校区厨房设备采购项目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1052"/>
        <w:ind w:firstLine="24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1052"/>
        <w:ind w:firstLine="24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1052"/>
        <w:ind w:firstLine="240"/>
        <w:jc w:val="both"/>
        <w:spacing w:beforeAutospacing="0" w:afterAutospacing="0" w:line="360" w:lineRule="auto"/>
      </w:pPr>
      <w:r>
        <w:rPr>
          <w:rFonts w:hint="eastAsia"/>
        </w:rPr>
        <w:t xml:space="preserve">……</w:t>
      </w:r>
      <w:r/>
    </w:p>
    <w:p>
      <w:pPr>
        <w:pStyle w:val="1052"/>
        <w:ind w:firstLine="24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1052"/>
        <w:ind w:firstLine="240"/>
        <w:jc w:val="both"/>
        <w:spacing w:beforeAutospacing="0" w:afterAutospacing="0" w:line="360" w:lineRule="auto"/>
      </w:pPr>
      <w:r>
        <w:rPr>
          <w:rFonts w:hint="eastAsia"/>
        </w:rPr>
        <w:t xml:space="preserve">本企业对上述声明内容的真实性负责。如有虚假，将依法承担相应责任</w:t>
      </w:r>
      <w:r/>
    </w:p>
    <w:p>
      <w:pPr>
        <w:pStyle w:val="1052"/>
        <w:ind w:right="720"/>
        <w:jc w:val="both"/>
        <w:spacing w:beforeAutospacing="0" w:afterAutospacing="0" w:line="360" w:lineRule="auto"/>
      </w:pPr>
      <w:r>
        <w:t xml:space="preserve"> </w:t>
      </w:r>
      <w:r/>
    </w:p>
    <w:p>
      <w:pPr>
        <w:pStyle w:val="1052"/>
        <w:ind w:right="180" w:firstLine="24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1052"/>
        <w:ind w:right="480" w:firstLine="24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1052"/>
        <w:ind w:firstLine="240"/>
        <w:jc w:val="both"/>
        <w:spacing w:beforeAutospacing="0" w:afterAutospacing="0" w:line="360" w:lineRule="auto"/>
        <w:rPr>
          <w:color w:val="ff0000"/>
        </w:rPr>
      </w:pPr>
      <w:r>
        <w:rPr>
          <w:color w:val="ff0000"/>
        </w:rPr>
        <w:t xml:space="preserve"> </w:t>
      </w:r>
      <w:r/>
    </w:p>
    <w:p>
      <w:pPr>
        <w:pStyle w:val="1052"/>
        <w:ind w:firstLine="24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1052"/>
        <w:ind w:firstLine="24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：供应商如不提供此声明函，价格将不做相应扣除（如项目全面面向中小企业，则资格审查不通过）。</w:t>
      </w:r>
      <w:r/>
    </w:p>
    <w:p>
      <w:pPr>
        <w:pStyle w:val="1052"/>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1052"/>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1052"/>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1052"/>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1052"/>
        <w:ind w:firstLine="321"/>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1052"/>
        <w:ind w:firstLine="321"/>
        <w:jc w:val="center"/>
        <w:spacing w:beforeAutospacing="0" w:afterAutospacing="0" w:line="0" w:lineRule="atLeast"/>
      </w:pP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十、残疾人福利性单位声明函（分包号：**）</w:t>
      </w:r>
      <w:r/>
    </w:p>
    <w:p>
      <w:pPr>
        <w:pStyle w:val="1052"/>
        <w:ind w:firstLine="24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1052"/>
        <w:ind w:firstLine="24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1052"/>
        <w:ind w:firstLine="240"/>
        <w:jc w:val="both"/>
        <w:spacing w:beforeAutospacing="0" w:afterAutospacing="0" w:line="0" w:lineRule="atLeast"/>
      </w:pPr>
      <w:r>
        <w:t xml:space="preserve"> </w:t>
      </w:r>
      <w:r/>
    </w:p>
    <w:p>
      <w:pPr>
        <w:pStyle w:val="1052"/>
        <w:ind w:firstLine="24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052"/>
        <w:ind w:firstLine="240"/>
        <w:jc w:val="both"/>
        <w:spacing w:beforeAutospacing="0" w:afterAutospacing="0" w:line="0" w:lineRule="atLeast"/>
      </w:pPr>
      <w:r>
        <w:t xml:space="preserve"> </w:t>
      </w:r>
      <w:r/>
    </w:p>
    <w:p>
      <w:pPr>
        <w:pStyle w:val="1052"/>
        <w:ind w:right="1560" w:firstLine="300"/>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1052"/>
        <w:ind w:right="1560" w:firstLine="24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1052"/>
        <w:jc w:val="center"/>
        <w:spacing w:beforeAutospacing="0" w:afterAutospacing="0" w:line="0" w:lineRule="atLeast"/>
      </w:pPr>
      <w:r>
        <w:t xml:space="preserve"> </w:t>
      </w:r>
      <w:r/>
    </w:p>
    <w:p>
      <w:pPr>
        <w:pStyle w:val="1052"/>
        <w:jc w:val="center"/>
        <w:spacing w:beforeAutospacing="0" w:afterAutospacing="0" w:line="0" w:lineRule="atLeast"/>
      </w:pPr>
      <w:r/>
      <w:r/>
    </w:p>
    <w:p>
      <w:pPr>
        <w:pStyle w:val="1052"/>
        <w:jc w:val="center"/>
        <w:spacing w:beforeAutospacing="0" w:afterAutospacing="0" w:line="0" w:lineRule="atLeast"/>
      </w:pPr>
      <w:r>
        <w:t xml:space="preserve"> </w:t>
      </w:r>
      <w:r/>
    </w:p>
    <w:p>
      <w:pPr>
        <w:pStyle w:val="1052"/>
        <w:jc w:val="center"/>
        <w:spacing w:beforeAutospacing="0" w:afterAutospacing="0" w:line="0" w:lineRule="atLeast"/>
      </w:pPr>
      <w:r>
        <w:t xml:space="preserve"> </w:t>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1052"/>
        <w:ind w:firstLine="321"/>
        <w:jc w:val="center"/>
        <w:spacing w:beforeAutospacing="0" w:afterAutospacing="0" w:line="0" w:lineRule="atLeast"/>
      </w:pPr>
      <w:r>
        <w:rPr>
          <w:rFonts w:hint="eastAsia" w:ascii="黑体" w:hAnsi="宋体" w:eastAsia="黑体" w:cs="黑体"/>
          <w:b/>
          <w:color w:val="000000"/>
          <w:sz w:val="32"/>
          <w:szCs w:val="32"/>
        </w:rPr>
        <w:t xml:space="preserve">十一、投标分项报价表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产品</w:t>
            </w:r>
            <w:r/>
          </w:p>
          <w:p>
            <w:pPr>
              <w:pStyle w:val="1052"/>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规格</w:t>
            </w:r>
            <w:r/>
          </w:p>
          <w:p>
            <w:pPr>
              <w:pStyle w:val="1052"/>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2"/>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52"/>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5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52"/>
              <w:jc w:val="both"/>
              <w:spacing w:beforeAutospacing="0" w:afterAutospacing="0"/>
            </w:pPr>
            <w:r>
              <w:t xml:space="preserve"> </w:t>
            </w:r>
            <w:r/>
          </w:p>
        </w:tc>
      </w:tr>
    </w:tbl>
    <w:p>
      <w:pPr>
        <w:pStyle w:val="1052"/>
        <w:jc w:val="both"/>
        <w:spacing w:beforeAutospacing="0" w:afterAutospacing="0"/>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1052"/>
        <w:jc w:val="both"/>
        <w:spacing w:beforeAutospacing="0" w:afterAutospacing="0"/>
      </w:pPr>
      <w:r>
        <w:t xml:space="preserve"> </w:t>
      </w:r>
      <w:r/>
    </w:p>
    <w:p>
      <w:pPr>
        <w:pStyle w:val="1052"/>
        <w:jc w:val="both"/>
        <w:spacing w:beforeAutospacing="0" w:afterAutospacing="0"/>
      </w:pPr>
      <w:r>
        <w:t xml:space="preserve"> </w:t>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r/>
    </w:p>
    <w:p>
      <w:pPr>
        <w:pStyle w:val="1052"/>
        <w:jc w:val="both"/>
        <w:spacing w:beforeAutospacing="0" w:afterAutospacing="0"/>
      </w:pPr>
      <w:r>
        <w:t xml:space="preserve"> </w:t>
      </w:r>
      <w:r/>
    </w:p>
    <w:p>
      <w:pPr>
        <w:pStyle w:val="1052"/>
        <w:jc w:val="both"/>
        <w:spacing w:beforeAutospacing="0" w:afterAutospacing="0"/>
      </w:pPr>
      <w:r>
        <w:t xml:space="preserve"> </w:t>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1052"/>
        <w:ind w:firstLine="321"/>
        <w:jc w:val="center"/>
        <w:spacing w:beforeAutospacing="0" w:afterAutospacing="0"/>
      </w:pPr>
      <w:r>
        <w:rPr>
          <w:rFonts w:hint="eastAsia" w:ascii="黑体" w:hAnsi="宋体" w:eastAsia="黑体" w:cs="黑体"/>
          <w:b/>
          <w:color w:val="000000"/>
          <w:sz w:val="32"/>
          <w:szCs w:val="32"/>
        </w:rPr>
        <w:t xml:space="preserve">十二、技术要求响应及偏离表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证明</w:t>
            </w:r>
            <w:r/>
          </w:p>
          <w:p>
            <w:pPr>
              <w:pStyle w:val="1052"/>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bl>
    <w:p>
      <w:pPr>
        <w:pStyle w:val="1052"/>
        <w:jc w:val="both"/>
        <w:spacing w:beforeAutospacing="0" w:afterAutospacing="0"/>
      </w:pPr>
      <w:r>
        <w:rPr>
          <w:rFonts w:hint="eastAsia" w:ascii="宋体" w:hAnsi="宋体" w:eastAsia="宋体" w:cs="宋体"/>
          <w:color w:val="000000"/>
        </w:rPr>
        <w:t xml:space="preserve">注： 行数不够，可自行添加。</w:t>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jc w:val="both"/>
        <w:spacing w:beforeAutospacing="0" w:afterAutospacing="0"/>
      </w:pPr>
      <w:r>
        <w:t xml:space="preserve"> </w:t>
      </w:r>
      <w:r/>
    </w:p>
    <w:p>
      <w:pPr>
        <w:pStyle w:val="1052"/>
        <w:jc w:val="both"/>
        <w:spacing w:beforeAutospacing="0" w:afterAutospacing="0"/>
      </w:pPr>
      <w:r>
        <w:t xml:space="preserve"> </w:t>
      </w:r>
      <w:r/>
    </w:p>
    <w:p>
      <w:pPr>
        <w:jc w:val="left"/>
        <w:widowControl/>
        <w:rPr>
          <w:rFonts w:ascii="黑体" w:hAnsi="宋体" w:eastAsia="黑体" w:cs="黑体"/>
          <w:b/>
          <w:color w:val="000000"/>
          <w:sz w:val="32"/>
          <w:szCs w:val="32"/>
        </w:rPr>
      </w:pPr>
      <w:r/>
      <w:bookmarkStart w:id="185" w:name="_Hlt26955054"/>
      <w:r>
        <w:rPr>
          <w:rFonts w:ascii="黑体" w:hAnsi="宋体" w:eastAsia="黑体" w:cs="黑体"/>
          <w:b/>
          <w:color w:val="000000"/>
          <w:sz w:val="32"/>
          <w:szCs w:val="32"/>
        </w:rPr>
        <w:br w:type="page" w:clear="all"/>
      </w:r>
      <w:r/>
    </w:p>
    <w:p>
      <w:pPr>
        <w:pStyle w:val="1052"/>
        <w:ind w:firstLine="321"/>
        <w:jc w:val="center"/>
        <w:spacing w:beforeAutospacing="0" w:afterAutospacing="0"/>
      </w:pPr>
      <w:r>
        <w:rPr>
          <w:rFonts w:hint="eastAsia" w:ascii="黑体" w:hAnsi="宋体" w:eastAsia="黑体" w:cs="黑体"/>
          <w:b/>
          <w:color w:val="000000"/>
          <w:sz w:val="32"/>
          <w:szCs w:val="32"/>
        </w:rPr>
        <w:t xml:space="preserve">十三、商务要求响应及偏离表（分包号：**）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bookmarkStart w:id="186" w:name="_Hlt26955056"/>
            <w:r/>
            <w:bookmarkStart w:id="187" w:name="_Hlt26671372"/>
            <w:r/>
            <w:bookmarkStart w:id="188" w:name="_Hlt26580838"/>
            <w:r/>
            <w:bookmarkStart w:id="189" w:name="_Hlt26671343"/>
            <w:r/>
            <w:bookmarkStart w:id="190" w:name="_Hlt26955064"/>
            <w:r/>
            <w:bookmarkStart w:id="191" w:name="_Hlt26609391"/>
            <w:r/>
            <w:bookmarkStart w:id="192" w:name="_Hlt26782999"/>
            <w:r/>
            <w:bookmarkStart w:id="193" w:name="_Hlt24879081"/>
            <w:r>
              <w:rPr>
                <w:rFonts w:hint="eastAsia" w:ascii="宋体" w:hAnsi="宋体" w:eastAsia="宋体" w:cs="宋体"/>
                <w:color w:val="000000"/>
              </w:rPr>
              <w:t xml:space="preserve">序号</w:t>
            </w:r>
            <w:bookmarkEnd w:id="186"/>
            <w:r/>
            <w:bookmarkEnd w:id="187"/>
            <w:r/>
            <w:bookmarkEnd w:id="188"/>
            <w:r/>
            <w:bookmarkEnd w:id="189"/>
            <w:r/>
            <w:bookmarkEnd w:id="190"/>
            <w:r/>
            <w:bookmarkEnd w:id="191"/>
            <w:r/>
            <w:bookmarkEnd w:id="192"/>
            <w:r/>
            <w:bookmarkEnd w:id="19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证明</w:t>
            </w:r>
            <w:r/>
          </w:p>
          <w:p>
            <w:pPr>
              <w:pStyle w:val="1052"/>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2"/>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2"/>
              <w:jc w:val="center"/>
              <w:spacing w:beforeAutospacing="0" w:afterAutospacing="0"/>
            </w:pPr>
            <w:r>
              <w:t xml:space="preserve"> </w:t>
            </w:r>
            <w:r/>
          </w:p>
        </w:tc>
      </w:tr>
    </w:tbl>
    <w:p>
      <w:pPr>
        <w:pStyle w:val="1052"/>
        <w:jc w:val="both"/>
        <w:spacing w:beforeAutospacing="0" w:afterAutospacing="0"/>
      </w:pPr>
      <w:r>
        <w:rPr>
          <w:rFonts w:hint="eastAsia" w:ascii="宋体" w:hAnsi="宋体" w:eastAsia="宋体" w:cs="宋体"/>
          <w:color w:val="000000"/>
        </w:rPr>
        <w:t xml:space="preserve">注： 行数不够，可自行添加。</w:t>
      </w:r>
      <w:r/>
    </w:p>
    <w:p>
      <w:pPr>
        <w:pStyle w:val="1052"/>
        <w:jc w:val="both"/>
        <w:spacing w:beforeAutospacing="0" w:afterAutospacing="0" w:line="480" w:lineRule="auto"/>
      </w:pPr>
      <w:r>
        <w:t xml:space="preserve"> </w:t>
      </w:r>
      <w:r/>
    </w:p>
    <w:p>
      <w:pPr>
        <w:pStyle w:val="1052"/>
        <w:jc w:val="both"/>
        <w:spacing w:beforeAutospacing="0" w:afterAutospacing="0" w:line="480" w:lineRule="auto"/>
      </w:pPr>
      <w:r>
        <w:t xml:space="preserve"> </w:t>
      </w:r>
      <w:bookmarkStart w:id="194" w:name="_Hlt26609389"/>
      <w:r/>
      <w:bookmarkStart w:id="195" w:name="_Hlt26671374"/>
      <w:r/>
      <w:bookmarkStart w:id="196" w:name="_Hlt26955066"/>
      <w:r/>
      <w:bookmarkStart w:id="197" w:name="_格式2__法定代表人授权书"/>
      <w:r/>
      <w:bookmarkStart w:id="198" w:name="_Toc462564146"/>
      <w:r/>
      <w:r/>
    </w:p>
    <w:p>
      <w:pPr>
        <w:pStyle w:val="1052"/>
        <w:jc w:val="center"/>
        <w:spacing w:beforeAutospacing="0" w:afterAutospacing="0"/>
      </w:pPr>
      <w:r/>
      <w:r/>
    </w:p>
    <w:p>
      <w:pPr>
        <w:pStyle w:val="1052"/>
        <w:jc w:val="center"/>
        <w:spacing w:beforeAutospacing="0" w:afterAutospacing="0"/>
      </w:pPr>
      <w:r>
        <w:t xml:space="preserve"> </w:t>
      </w:r>
      <w:r/>
    </w:p>
    <w:p>
      <w:pPr>
        <w:pStyle w:val="1052"/>
        <w:jc w:val="center"/>
        <w:spacing w:beforeAutospacing="0" w:afterAutospacing="0"/>
      </w:pPr>
      <w:r>
        <w:t xml:space="preserve"> </w:t>
      </w:r>
      <w:r/>
    </w:p>
    <w:p>
      <w:pPr>
        <w:pStyle w:val="1052"/>
        <w:jc w:val="center"/>
        <w:spacing w:beforeAutospacing="0" w:afterAutospacing="0"/>
      </w:pPr>
      <w:r>
        <w:t xml:space="preserve"> </w:t>
      </w:r>
      <w:r/>
    </w:p>
    <w:p>
      <w:pPr>
        <w:jc w:val="left"/>
        <w:widowControl/>
        <w:rPr>
          <w:rFonts w:ascii="黑体" w:hAnsi="宋体" w:eastAsia="黑体" w:cs="黑体"/>
          <w:b/>
          <w:i/>
          <w:color w:val="000000"/>
          <w:sz w:val="32"/>
          <w:szCs w:val="32"/>
          <w:u w:val="single"/>
        </w:rPr>
      </w:pPr>
      <w:r>
        <w:rPr>
          <w:rFonts w:ascii="黑体" w:hAnsi="宋体" w:eastAsia="黑体" w:cs="黑体"/>
          <w:b/>
          <w:i/>
          <w:color w:val="000000"/>
          <w:sz w:val="32"/>
          <w:szCs w:val="32"/>
          <w:u w:val="single"/>
        </w:rPr>
        <w:br w:type="page" w:clear="all"/>
      </w:r>
      <w:r/>
    </w:p>
    <w:p>
      <w:pPr>
        <w:pStyle w:val="856"/>
        <w:jc w:val="center"/>
        <w:rPr>
          <w:rFonts w:ascii="宋体" w:hAnsi="宋体" w:eastAsia="宋体" w:cs="宋体"/>
          <w:sz w:val="48"/>
          <w:szCs w:val="48"/>
        </w:rPr>
      </w:pPr>
      <w:r>
        <w:rPr>
          <w:rFonts w:hint="eastAsia" w:ascii="黑体" w:hAnsi="宋体" w:eastAsia="黑体" w:cs="黑体"/>
          <w:i/>
          <w:color w:val="000000"/>
          <w:sz w:val="32"/>
          <w:szCs w:val="32"/>
          <w:u w:val="single"/>
        </w:rPr>
        <w:t xml:space="preserve">十</w:t>
      </w:r>
      <w:r>
        <w:rPr>
          <w:rFonts w:hint="eastAsia" w:ascii="黑体" w:hAnsi="宋体" w:eastAsia="黑体" w:cs="黑体"/>
          <w:b w:val="0"/>
          <w:i/>
          <w:color w:val="000000"/>
          <w:sz w:val="32"/>
          <w:szCs w:val="32"/>
          <w:u w:val="single"/>
        </w:rPr>
        <w:t xml:space="preserve">四</w:t>
      </w:r>
      <w:r>
        <w:rPr>
          <w:rFonts w:hint="eastAsia" w:ascii="黑体" w:hAnsi="宋体" w:eastAsia="黑体" w:cs="黑体"/>
          <w:i/>
          <w:color w:val="000000"/>
          <w:sz w:val="32"/>
          <w:szCs w:val="32"/>
          <w:u w:val="single"/>
        </w:rPr>
        <w:t xml:space="preserve">、</w:t>
      </w:r>
      <w:r>
        <w:rPr>
          <w:rStyle w:val="1143"/>
          <w:rFonts w:hint="eastAsia"/>
          <w:b/>
          <w:bCs/>
          <w:i/>
          <w:sz w:val="32"/>
          <w:u w:val="single"/>
        </w:rPr>
        <w:t xml:space="preserve">开标一览表</w:t>
      </w:r>
      <w:r/>
    </w:p>
    <w:p>
      <w:pPr>
        <w:pStyle w:val="1052"/>
      </w:pPr>
      <w:r>
        <w:rPr>
          <w:rFonts w:hint="eastAsia"/>
        </w:rPr>
        <w:t xml:space="preserve">项目编号：</w:t>
      </w:r>
      <w:r>
        <w:rPr>
          <w:rStyle w:val="1142"/>
          <w:rFonts w:hint="eastAsia"/>
        </w:rPr>
        <w:t xml:space="preserve">项目编号</w:t>
      </w:r>
      <w:r>
        <w:t xml:space="preserve">  </w:t>
      </w:r>
      <w:r/>
    </w:p>
    <w:p>
      <w:pPr>
        <w:pStyle w:val="1052"/>
      </w:pPr>
      <w:r>
        <w:rPr>
          <w:rFonts w:hint="eastAsia"/>
        </w:rPr>
        <w:t xml:space="preserve">货币单位：人民币元</w:t>
      </w:r>
      <w:r/>
    </w:p>
    <w:p>
      <w:pPr>
        <w:pStyle w:val="1052"/>
      </w:pPr>
      <w:r>
        <w:t xml:space="preserve"> </w:t>
      </w:r>
      <w:r/>
    </w:p>
    <w:tbl>
      <w:tblPr>
        <w:tblW w:w="4515" w:type="pct"/>
        <w:tblCellSpacing w:w="15"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2411"/>
        <w:gridCol w:w="2240"/>
        <w:gridCol w:w="2835"/>
      </w:tblGrid>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521" w:type="pct"/>
            <w:vAlign w:val="center"/>
            <w:textDirection w:val="lrTb"/>
            <w:noWrap w:val="false"/>
          </w:tcPr>
          <w:p>
            <w:pPr>
              <w:pStyle w:val="1052"/>
            </w:pPr>
            <w:r>
              <w:rPr>
                <w:rFonts w:hint="eastAsia"/>
              </w:rPr>
              <w:t xml:space="preserve">项目名称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420" w:type="pct"/>
            <w:vAlign w:val="center"/>
            <w:textDirection w:val="lrTb"/>
            <w:noWrap w:val="false"/>
          </w:tcPr>
          <w:p>
            <w:pPr>
              <w:pStyle w:val="1052"/>
            </w:pPr>
            <w:r>
              <w:rPr>
                <w:rFonts w:hint="eastAsia"/>
              </w:rPr>
              <w:t xml:space="preserve">项目内容</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792" w:type="pct"/>
            <w:vAlign w:val="center"/>
            <w:textDirection w:val="lrTb"/>
            <w:noWrap w:val="false"/>
          </w:tcPr>
          <w:p>
            <w:pPr>
              <w:pStyle w:val="1052"/>
            </w:pPr>
            <w:r>
              <w:rPr>
                <w:rFonts w:hint="eastAsia"/>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521" w:type="pct"/>
            <w:vAlign w:val="center"/>
            <w:textDirection w:val="lrTb"/>
            <w:noWrap w:val="false"/>
          </w:tcPr>
          <w:p>
            <w:pPr>
              <w:pStyle w:val="1052"/>
            </w:pPr>
            <w:r>
              <w:t xml:space="preserve"> </w:t>
            </w:r>
            <w:r>
              <w:rPr>
                <w:rStyle w:val="1142"/>
                <w:rFonts w:hint="eastAsia"/>
              </w:rPr>
              <w:t xml:space="preserve">项目名称</w:t>
            </w:r>
            <w:r>
              <w:t xml:space="preserve"> </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420" w:type="pct"/>
            <w:vAlign w:val="center"/>
            <w:textDirection w:val="lrTb"/>
            <w:noWrap w:val="false"/>
          </w:tcPr>
          <w:p>
            <w:pPr>
              <w:pStyle w:val="1052"/>
            </w:pPr>
            <w:r>
              <w:rPr>
                <w:rFonts w:hint="eastAsia"/>
              </w:rPr>
              <w:t xml:space="preserve">详见投标文件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792" w:type="pct"/>
            <w:vAlign w:val="center"/>
            <w:textDirection w:val="lrTb"/>
            <w:noWrap w:val="false"/>
          </w:tcPr>
          <w:p>
            <w:pPr>
              <w:pStyle w:val="1052"/>
              <w:ind w:firstLine="960"/>
            </w:pPr>
            <w:r>
              <w:rPr>
                <w:rFonts w:hint="eastAsia"/>
              </w:rP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1521" w:type="pct"/>
            <w:vAlign w:val="center"/>
            <w:textDirection w:val="lrTb"/>
            <w:noWrap w:val="false"/>
          </w:tcPr>
          <w:p>
            <w:pPr>
              <w:pStyle w:val="1052"/>
            </w:pPr>
            <w:r>
              <w:rPr>
                <w:rFonts w:hint="eastAsia"/>
              </w:rPr>
              <w:t xml:space="preserve">总价（大写）：</w:t>
            </w:r>
            <w:r/>
          </w:p>
        </w:tc>
        <w:tc>
          <w:tcPr>
            <w:gridSpan w:val="2"/>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213" w:type="pct"/>
            <w:vAlign w:val="center"/>
            <w:textDirection w:val="lrTb"/>
            <w:noWrap w:val="false"/>
          </w:tcPr>
          <w:p>
            <w:pPr>
              <w:pStyle w:val="1052"/>
            </w:pPr>
            <w:r>
              <w:rPr>
                <w:rStyle w:val="1142"/>
                <w:rFonts w:hint="eastAsia"/>
              </w:rPr>
              <w:t xml:space="preserve">金额大写</w:t>
            </w:r>
            <w:r>
              <w:t xml:space="preserve">  </w:t>
            </w:r>
            <w:r/>
          </w:p>
        </w:tc>
      </w:tr>
    </w:tbl>
    <w:p>
      <w:pPr>
        <w:pStyle w:val="1052"/>
      </w:pPr>
      <w:r>
        <w:t xml:space="preserve"> </w:t>
      </w:r>
      <w:r/>
    </w:p>
    <w:p>
      <w:pPr>
        <w:pStyle w:val="1052"/>
      </w:pPr>
      <w:r>
        <w:rPr>
          <w:rFonts w:hint="eastAsia"/>
        </w:rPr>
        <w:t xml:space="preserve">投标人公章：</w:t>
      </w:r>
      <w:r>
        <w:t xml:space="preserve">                               </w:t>
      </w:r>
      <w:r>
        <w:rPr>
          <w:rFonts w:hint="eastAsia"/>
        </w:rPr>
        <w:t xml:space="preserve">（电子签章）</w:t>
      </w:r>
      <w:r/>
    </w:p>
    <w:p>
      <w:pPr>
        <w:pStyle w:val="1052"/>
        <w:jc w:val="right"/>
      </w:pPr>
      <w:r>
        <w:t xml:space="preserve"> </w:t>
      </w:r>
      <w:r/>
    </w:p>
    <w:p>
      <w:pPr>
        <w:pStyle w:val="1052"/>
        <w:jc w:val="right"/>
      </w:pPr>
      <w:r>
        <w:t xml:space="preserve"> </w:t>
      </w:r>
      <w:r/>
    </w:p>
    <w:p>
      <w:pPr>
        <w:pStyle w:val="1052"/>
        <w:ind w:firstLine="240"/>
        <w:jc w:val="both"/>
        <w:spacing w:beforeAutospacing="0" w:afterAutospacing="0"/>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pStyle w:val="1052"/>
        <w:ind w:firstLine="240"/>
        <w:jc w:val="both"/>
        <w:spacing w:beforeAutospacing="0" w:afterAutospacing="0"/>
      </w:pPr>
      <w:r>
        <w:t xml:space="preserve"> </w:t>
      </w:r>
      <w:r/>
    </w:p>
    <w:p>
      <w:pPr>
        <w:jc w:val="left"/>
        <w:widowControl/>
      </w:pPr>
      <w:r>
        <w:br w:type="page" w:clear="all"/>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十五、技术方案、服务承诺、培训承诺等</w:t>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052"/>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left"/>
        <w:widowControl/>
        <w:rPr>
          <w:rFonts w:ascii="宋体" w:hAnsi="宋体" w:eastAsia="宋体" w:cs="宋体"/>
          <w:color w:val="000000"/>
          <w:sz w:val="32"/>
          <w:szCs w:val="32"/>
        </w:rPr>
      </w:pPr>
      <w:r>
        <w:rPr>
          <w:rFonts w:ascii="宋体" w:hAnsi="宋体" w:eastAsia="宋体" w:cs="宋体"/>
          <w:color w:val="000000"/>
          <w:sz w:val="32"/>
          <w:szCs w:val="32"/>
        </w:rPr>
        <w:br w:type="page" w:clear="all"/>
      </w:r>
      <w:r/>
    </w:p>
    <w:p>
      <w:pPr>
        <w:ind w:firstLine="320"/>
        <w:jc w:val="center"/>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十六、盐城市政府采购事前信用承诺书</w:t>
      </w:r>
      <w:r/>
    </w:p>
    <w:p>
      <w:pPr>
        <w:ind w:firstLine="32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24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24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24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6"/>
      <w:r/>
      <w:bookmarkEnd w:id="46"/>
      <w:r/>
      <w:bookmarkEnd w:id="93"/>
      <w:r/>
      <w:bookmarkEnd w:id="94"/>
      <w:r/>
      <w:bookmarkEnd w:id="95"/>
      <w:r/>
      <w:bookmarkEnd w:id="96"/>
      <w:r/>
      <w:bookmarkEnd w:id="97"/>
      <w:r/>
      <w:bookmarkEnd w:id="98"/>
      <w:r/>
      <w:bookmarkEnd w:id="99"/>
      <w:r/>
      <w:bookmarkEnd w:id="100"/>
      <w:r/>
      <w:bookmarkEnd w:id="109"/>
      <w:r/>
      <w:bookmarkEnd w:id="110"/>
      <w:r/>
      <w:bookmarkEnd w:id="117"/>
      <w:r/>
      <w:bookmarkEnd w:id="164"/>
      <w:r/>
      <w:bookmarkEnd w:id="178"/>
      <w:r/>
      <w:bookmarkEnd w:id="179"/>
      <w:r/>
      <w:bookmarkEnd w:id="180"/>
      <w:r/>
      <w:bookmarkEnd w:id="181"/>
      <w:r/>
      <w:bookmarkEnd w:id="182"/>
      <w:r/>
      <w:bookmarkEnd w:id="183"/>
      <w:r/>
      <w:bookmarkEnd w:id="184"/>
      <w:r/>
      <w:bookmarkEnd w:id="185"/>
      <w:r/>
      <w:bookmarkEnd w:id="194"/>
      <w:r/>
      <w:bookmarkEnd w:id="195"/>
      <w:r/>
      <w:bookmarkEnd w:id="196"/>
      <w:r/>
      <w:bookmarkEnd w:id="197"/>
      <w:r/>
      <w:bookmarkEnd w:id="198"/>
      <w:r/>
      <w:r/>
    </w:p>
    <w:p>
      <w:pPr>
        <w:pStyle w:val="1052"/>
        <w:jc w:val="center"/>
        <w:spacing w:beforeAutospacing="0" w:afterAutospacing="0"/>
      </w:pPr>
      <w:r/>
      <w:r/>
    </w:p>
    <w:p>
      <w:pPr>
        <w:pStyle w:val="1052"/>
        <w:ind w:firstLine="321"/>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1052"/>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1052"/>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105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1052"/>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1052"/>
        <w:ind w:firstLine="24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1052"/>
        <w:ind w:firstLine="24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1052"/>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中宋">
    <w:panose1 w:val="02010600040101010101"/>
  </w:font>
  <w:font w:name="仿宋_GB2312">
    <w:panose1 w:val="02010609060101010101"/>
  </w:font>
  <w:font w:name="黑体">
    <w:panose1 w:val="02010609060101010101"/>
  </w:font>
  <w:font w:name="Cambria">
    <w:panose1 w:val="0204050305040603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10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6685" w:hanging="360"/>
      </w:pPr>
      <w:rPr>
        <w:rFonts w:hint="default" w:ascii="Courier New" w:hAnsi="Courier New" w:eastAsia="Courier New" w:cs="Courier New"/>
      </w:rPr>
    </w:lvl>
    <w:lvl w:ilvl="2">
      <w:start w:val="1"/>
      <w:numFmt w:val="bullet"/>
      <w:isLgl w:val="false"/>
      <w:suff w:val="tab"/>
      <w:lvlText w:val="§"/>
      <w:lvlJc w:val="left"/>
      <w:pPr>
        <w:ind w:left="7405" w:hanging="360"/>
      </w:pPr>
      <w:rPr>
        <w:rFonts w:hint="default" w:ascii="Wingdings" w:hAnsi="Wingdings" w:eastAsia="Wingdings" w:cs="Wingdings"/>
      </w:rPr>
    </w:lvl>
    <w:lvl w:ilvl="3">
      <w:start w:val="1"/>
      <w:numFmt w:val="bullet"/>
      <w:isLgl w:val="false"/>
      <w:suff w:val="tab"/>
      <w:lvlText w:val="·"/>
      <w:lvlJc w:val="left"/>
      <w:pPr>
        <w:ind w:left="8125" w:hanging="360"/>
      </w:pPr>
      <w:rPr>
        <w:rFonts w:hint="default" w:ascii="Symbol" w:hAnsi="Symbol" w:eastAsia="Symbol" w:cs="Symbol"/>
      </w:rPr>
    </w:lvl>
    <w:lvl w:ilvl="4">
      <w:start w:val="1"/>
      <w:numFmt w:val="bullet"/>
      <w:isLgl w:val="false"/>
      <w:suff w:val="tab"/>
      <w:lvlText w:val="o"/>
      <w:lvlJc w:val="left"/>
      <w:pPr>
        <w:ind w:left="8845" w:hanging="360"/>
      </w:pPr>
      <w:rPr>
        <w:rFonts w:hint="default" w:ascii="Courier New" w:hAnsi="Courier New" w:eastAsia="Courier New" w:cs="Courier New"/>
      </w:rPr>
    </w:lvl>
    <w:lvl w:ilvl="5">
      <w:start w:val="1"/>
      <w:numFmt w:val="bullet"/>
      <w:isLgl w:val="false"/>
      <w:suff w:val="tab"/>
      <w:lvlText w:val="§"/>
      <w:lvlJc w:val="left"/>
      <w:pPr>
        <w:ind w:left="9565" w:hanging="360"/>
      </w:pPr>
      <w:rPr>
        <w:rFonts w:hint="default" w:ascii="Wingdings" w:hAnsi="Wingdings" w:eastAsia="Wingdings" w:cs="Wingdings"/>
      </w:rPr>
    </w:lvl>
    <w:lvl w:ilvl="6">
      <w:start w:val="1"/>
      <w:numFmt w:val="bullet"/>
      <w:isLgl w:val="false"/>
      <w:suff w:val="tab"/>
      <w:lvlText w:val="·"/>
      <w:lvlJc w:val="left"/>
      <w:pPr>
        <w:ind w:left="10285" w:hanging="360"/>
      </w:pPr>
      <w:rPr>
        <w:rFonts w:hint="default" w:ascii="Symbol" w:hAnsi="Symbol" w:eastAsia="Symbol" w:cs="Symbol"/>
      </w:rPr>
    </w:lvl>
    <w:lvl w:ilvl="7">
      <w:start w:val="1"/>
      <w:numFmt w:val="bullet"/>
      <w:isLgl w:val="false"/>
      <w:suff w:val="tab"/>
      <w:lvlText w:val="o"/>
      <w:lvlJc w:val="left"/>
      <w:pPr>
        <w:ind w:left="11005" w:hanging="360"/>
      </w:pPr>
      <w:rPr>
        <w:rFonts w:hint="default" w:ascii="Courier New" w:hAnsi="Courier New" w:eastAsia="Courier New" w:cs="Courier New"/>
      </w:rPr>
    </w:lvl>
    <w:lvl w:ilvl="8">
      <w:start w:val="1"/>
      <w:numFmt w:val="bullet"/>
      <w:isLgl w:val="false"/>
      <w:suff w:val="tab"/>
      <w:lvlText w:val="§"/>
      <w:lvlJc w:val="left"/>
      <w:pPr>
        <w:ind w:left="11725"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6685" w:hanging="360"/>
      </w:pPr>
      <w:rPr>
        <w:rFonts w:hint="default" w:ascii="Courier New" w:hAnsi="Courier New" w:eastAsia="Courier New" w:cs="Courier New"/>
      </w:rPr>
    </w:lvl>
    <w:lvl w:ilvl="2">
      <w:start w:val="1"/>
      <w:numFmt w:val="bullet"/>
      <w:isLgl w:val="false"/>
      <w:suff w:val="tab"/>
      <w:lvlText w:val="§"/>
      <w:lvlJc w:val="left"/>
      <w:pPr>
        <w:ind w:left="7405" w:hanging="360"/>
      </w:pPr>
      <w:rPr>
        <w:rFonts w:hint="default" w:ascii="Wingdings" w:hAnsi="Wingdings" w:eastAsia="Wingdings" w:cs="Wingdings"/>
      </w:rPr>
    </w:lvl>
    <w:lvl w:ilvl="3">
      <w:start w:val="1"/>
      <w:numFmt w:val="bullet"/>
      <w:isLgl w:val="false"/>
      <w:suff w:val="tab"/>
      <w:lvlText w:val="·"/>
      <w:lvlJc w:val="left"/>
      <w:pPr>
        <w:ind w:left="8125" w:hanging="360"/>
      </w:pPr>
      <w:rPr>
        <w:rFonts w:hint="default" w:ascii="Symbol" w:hAnsi="Symbol" w:eastAsia="Symbol" w:cs="Symbol"/>
      </w:rPr>
    </w:lvl>
    <w:lvl w:ilvl="4">
      <w:start w:val="1"/>
      <w:numFmt w:val="bullet"/>
      <w:isLgl w:val="false"/>
      <w:suff w:val="tab"/>
      <w:lvlText w:val="o"/>
      <w:lvlJc w:val="left"/>
      <w:pPr>
        <w:ind w:left="8845" w:hanging="360"/>
      </w:pPr>
      <w:rPr>
        <w:rFonts w:hint="default" w:ascii="Courier New" w:hAnsi="Courier New" w:eastAsia="Courier New" w:cs="Courier New"/>
      </w:rPr>
    </w:lvl>
    <w:lvl w:ilvl="5">
      <w:start w:val="1"/>
      <w:numFmt w:val="bullet"/>
      <w:isLgl w:val="false"/>
      <w:suff w:val="tab"/>
      <w:lvlText w:val="§"/>
      <w:lvlJc w:val="left"/>
      <w:pPr>
        <w:ind w:left="9565" w:hanging="360"/>
      </w:pPr>
      <w:rPr>
        <w:rFonts w:hint="default" w:ascii="Wingdings" w:hAnsi="Wingdings" w:eastAsia="Wingdings" w:cs="Wingdings"/>
      </w:rPr>
    </w:lvl>
    <w:lvl w:ilvl="6">
      <w:start w:val="1"/>
      <w:numFmt w:val="bullet"/>
      <w:isLgl w:val="false"/>
      <w:suff w:val="tab"/>
      <w:lvlText w:val="·"/>
      <w:lvlJc w:val="left"/>
      <w:pPr>
        <w:ind w:left="10285" w:hanging="360"/>
      </w:pPr>
      <w:rPr>
        <w:rFonts w:hint="default" w:ascii="Symbol" w:hAnsi="Symbol" w:eastAsia="Symbol" w:cs="Symbol"/>
      </w:rPr>
    </w:lvl>
    <w:lvl w:ilvl="7">
      <w:start w:val="1"/>
      <w:numFmt w:val="bullet"/>
      <w:isLgl w:val="false"/>
      <w:suff w:val="tab"/>
      <w:lvlText w:val="o"/>
      <w:lvlJc w:val="left"/>
      <w:pPr>
        <w:ind w:left="11005" w:hanging="360"/>
      </w:pPr>
      <w:rPr>
        <w:rFonts w:hint="default" w:ascii="Courier New" w:hAnsi="Courier New" w:eastAsia="Courier New" w:cs="Courier New"/>
      </w:rPr>
    </w:lvl>
    <w:lvl w:ilvl="8">
      <w:start w:val="1"/>
      <w:numFmt w:val="bullet"/>
      <w:isLgl w:val="false"/>
      <w:suff w:val="tab"/>
      <w:lvlText w:val="§"/>
      <w:lvlJc w:val="left"/>
      <w:pPr>
        <w:ind w:left="11725"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6"/>
      <w:numFmt w:val="decimal"/>
      <w:isLgl w:val="false"/>
      <w:suff w:val="space"/>
      <w:lvlText w:val="%1."/>
      <w:lvlJc w:val="left"/>
      <w:pPr>
        <w:ind w:left="354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6"/>
      <w:numFmt w:val="decimal"/>
      <w:isLgl w:val="false"/>
      <w:suff w:val="space"/>
      <w:lvlText w:val="%1."/>
      <w:lvlJc w:val="left"/>
      <w:pPr>
        <w:ind w:left="354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17"/>
  </w:num>
  <w:num w:numId="4">
    <w:abstractNumId w:val="0"/>
  </w:num>
  <w:num w:numId="5">
    <w:abstractNumId w:val="11"/>
    <w:lvlOverride w:ilvl="0">
      <w:startOverride w:val="2"/>
    </w:lvlOverride>
  </w:num>
  <w:num w:numId="6">
    <w:abstractNumId w:val="9"/>
    <w:lvlOverride w:ilvl="0">
      <w:startOverride w:val="6"/>
    </w:lvlOverride>
  </w:num>
  <w:num w:numId="7">
    <w:abstractNumId w:val="16"/>
    <w:lvlOverride w:ilvl="0">
      <w:startOverride w:val="16"/>
    </w:lvlOverride>
  </w:num>
  <w:num w:numId="8">
    <w:abstractNumId w:val="15"/>
    <w:lvlOverride w:ilvl="0">
      <w:startOverride w:val="23"/>
    </w:lvlOverride>
  </w:num>
  <w:num w:numId="9">
    <w:abstractNumId w:val="2"/>
  </w:num>
  <w:num w:numId="10">
    <w:abstractNumId w:val="5"/>
  </w:num>
  <w:num w:numId="11">
    <w:abstractNumId w:val="13"/>
  </w:num>
  <w:num w:numId="12">
    <w:abstractNumId w:val="8"/>
  </w:num>
  <w:num w:numId="13">
    <w:abstractNumId w:val="4"/>
    <w:lvlOverride w:ilvl="0">
      <w:startOverride w:val="2"/>
    </w:lvlOverride>
  </w:num>
  <w:num w:numId="14">
    <w:abstractNumId w:val="3"/>
    <w:lvlOverride w:ilvl="0">
      <w:startOverride w:val="6"/>
    </w:lvlOverride>
  </w:num>
  <w:num w:numId="15">
    <w:abstractNumId w:val="14"/>
    <w:lvlOverride w:ilvl="0">
      <w:startOverride w:val="16"/>
    </w:lvlOverride>
  </w:num>
  <w:num w:numId="16">
    <w:abstractNumId w:val="10"/>
    <w:lvlOverride w:ilvl="0">
      <w:startOverride w:val="23"/>
    </w:lvlOverride>
  </w:num>
  <w:num w:numId="17">
    <w:abstractNumId w:val="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qFormat/>
    <w:pPr>
      <w:jc w:val="both"/>
      <w:widowControl w:val="off"/>
    </w:pPr>
    <w:rPr>
      <w:rFonts w:asciiTheme="minorHAnsi" w:hAnsiTheme="minorHAnsi" w:eastAsiaTheme="minorEastAsia" w:cstheme="minorBidi"/>
      <w:sz w:val="21"/>
      <w:szCs w:val="24"/>
    </w:rPr>
  </w:style>
  <w:style w:type="paragraph" w:styleId="856">
    <w:name w:val="Heading 1"/>
    <w:basedOn w:val="855"/>
    <w:next w:val="855"/>
    <w:link w:val="1141"/>
    <w:qFormat/>
    <w:pPr>
      <w:keepLines/>
      <w:keepNext/>
      <w:spacing w:before="340" w:after="330" w:line="578" w:lineRule="auto"/>
      <w:outlineLvl w:val="0"/>
    </w:pPr>
    <w:rPr>
      <w:b/>
      <w:bCs/>
      <w:sz w:val="44"/>
      <w:szCs w:val="44"/>
    </w:rPr>
  </w:style>
  <w:style w:type="paragraph" w:styleId="857">
    <w:name w:val="Heading 2"/>
    <w:basedOn w:val="855"/>
    <w:next w:val="855"/>
    <w:link w:val="1144"/>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58">
    <w:name w:val="Heading 3"/>
    <w:basedOn w:val="855"/>
    <w:next w:val="855"/>
    <w:link w:val="1140"/>
    <w:semiHidden/>
    <w:unhideWhenUsed/>
    <w:qFormat/>
    <w:pPr>
      <w:keepLines/>
      <w:keepNext/>
      <w:spacing w:before="260" w:after="260" w:line="416" w:lineRule="auto"/>
      <w:outlineLvl w:val="2"/>
    </w:pPr>
    <w:rPr>
      <w:b/>
      <w:bCs/>
      <w:sz w:val="32"/>
      <w:szCs w:val="32"/>
    </w:rPr>
  </w:style>
  <w:style w:type="paragraph" w:styleId="859">
    <w:name w:val="Heading 4"/>
    <w:basedOn w:val="855"/>
    <w:next w:val="855"/>
    <w:link w:val="883"/>
    <w:uiPriority w:val="9"/>
    <w:unhideWhenUsed/>
    <w:qFormat/>
    <w:pPr>
      <w:keepLines/>
      <w:keepNext/>
      <w:spacing w:before="320" w:after="200"/>
      <w:outlineLvl w:val="3"/>
    </w:pPr>
    <w:rPr>
      <w:rFonts w:ascii="Arial" w:hAnsi="Arial" w:eastAsia="Arial" w:cs="Arial"/>
      <w:b/>
      <w:bCs/>
      <w:sz w:val="26"/>
      <w:szCs w:val="26"/>
    </w:rPr>
  </w:style>
  <w:style w:type="paragraph" w:styleId="860">
    <w:name w:val="Heading 5"/>
    <w:basedOn w:val="855"/>
    <w:next w:val="855"/>
    <w:link w:val="884"/>
    <w:uiPriority w:val="9"/>
    <w:unhideWhenUsed/>
    <w:qFormat/>
    <w:pPr>
      <w:keepLines/>
      <w:keepNext/>
      <w:spacing w:before="320" w:after="200"/>
      <w:outlineLvl w:val="4"/>
    </w:pPr>
    <w:rPr>
      <w:rFonts w:ascii="Arial" w:hAnsi="Arial" w:eastAsia="Arial" w:cs="Arial"/>
      <w:b/>
      <w:bCs/>
      <w:sz w:val="24"/>
    </w:rPr>
  </w:style>
  <w:style w:type="paragraph" w:styleId="861">
    <w:name w:val="Heading 6"/>
    <w:basedOn w:val="855"/>
    <w:next w:val="855"/>
    <w:link w:val="885"/>
    <w:uiPriority w:val="9"/>
    <w:unhideWhenUsed/>
    <w:qFormat/>
    <w:pPr>
      <w:keepLines/>
      <w:keepNext/>
      <w:spacing w:before="320" w:after="200"/>
      <w:outlineLvl w:val="5"/>
    </w:pPr>
    <w:rPr>
      <w:rFonts w:ascii="Arial" w:hAnsi="Arial" w:eastAsia="Arial" w:cs="Arial"/>
      <w:b/>
      <w:bCs/>
      <w:sz w:val="22"/>
      <w:szCs w:val="22"/>
    </w:rPr>
  </w:style>
  <w:style w:type="paragraph" w:styleId="862">
    <w:name w:val="Heading 7"/>
    <w:basedOn w:val="855"/>
    <w:next w:val="855"/>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63">
    <w:name w:val="Heading 8"/>
    <w:basedOn w:val="855"/>
    <w:next w:val="855"/>
    <w:link w:val="887"/>
    <w:uiPriority w:val="9"/>
    <w:unhideWhenUsed/>
    <w:qFormat/>
    <w:pPr>
      <w:keepLines/>
      <w:keepNext/>
      <w:spacing w:before="320" w:after="200"/>
      <w:outlineLvl w:val="7"/>
    </w:pPr>
    <w:rPr>
      <w:rFonts w:ascii="Arial" w:hAnsi="Arial" w:eastAsia="Arial" w:cs="Arial"/>
      <w:i/>
      <w:iCs/>
      <w:sz w:val="22"/>
      <w:szCs w:val="22"/>
    </w:rPr>
  </w:style>
  <w:style w:type="paragraph" w:styleId="864">
    <w:name w:val="Heading 9"/>
    <w:basedOn w:val="855"/>
    <w:next w:val="855"/>
    <w:link w:val="888"/>
    <w:uiPriority w:val="9"/>
    <w:unhideWhenUsed/>
    <w:qFormat/>
    <w:pPr>
      <w:keepLines/>
      <w:keepNext/>
      <w:spacing w:before="320" w:after="200"/>
      <w:outlineLvl w:val="8"/>
    </w:pPr>
    <w:rPr>
      <w:rFonts w:ascii="Arial" w:hAnsi="Arial" w:eastAsia="Arial" w:cs="Arial"/>
      <w:i/>
      <w:iCs/>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character" w:styleId="868" w:customStyle="1">
    <w:name w:val="Heading 4 Char"/>
    <w:basedOn w:val="865"/>
    <w:uiPriority w:val="9"/>
    <w:rPr>
      <w:rFonts w:ascii="Arial" w:hAnsi="Arial" w:eastAsia="Arial" w:cs="Arial"/>
      <w:b/>
      <w:bCs/>
      <w:sz w:val="26"/>
      <w:szCs w:val="26"/>
    </w:rPr>
  </w:style>
  <w:style w:type="character" w:styleId="869" w:customStyle="1">
    <w:name w:val="Heading 5 Char"/>
    <w:basedOn w:val="865"/>
    <w:uiPriority w:val="9"/>
    <w:rPr>
      <w:rFonts w:ascii="Arial" w:hAnsi="Arial" w:eastAsia="Arial" w:cs="Arial"/>
      <w:b/>
      <w:bCs/>
      <w:sz w:val="24"/>
      <w:szCs w:val="24"/>
    </w:rPr>
  </w:style>
  <w:style w:type="character" w:styleId="870" w:customStyle="1">
    <w:name w:val="Heading 6 Char"/>
    <w:basedOn w:val="865"/>
    <w:uiPriority w:val="9"/>
    <w:rPr>
      <w:rFonts w:ascii="Arial" w:hAnsi="Arial" w:eastAsia="Arial" w:cs="Arial"/>
      <w:b/>
      <w:bCs/>
      <w:sz w:val="22"/>
      <w:szCs w:val="22"/>
    </w:rPr>
  </w:style>
  <w:style w:type="character" w:styleId="871" w:customStyle="1">
    <w:name w:val="Heading 7 Char"/>
    <w:basedOn w:val="865"/>
    <w:uiPriority w:val="9"/>
    <w:rPr>
      <w:rFonts w:ascii="Arial" w:hAnsi="Arial" w:eastAsia="Arial" w:cs="Arial"/>
      <w:b/>
      <w:bCs/>
      <w:i/>
      <w:iCs/>
      <w:sz w:val="22"/>
      <w:szCs w:val="22"/>
    </w:rPr>
  </w:style>
  <w:style w:type="character" w:styleId="872" w:customStyle="1">
    <w:name w:val="Heading 8 Char"/>
    <w:basedOn w:val="865"/>
    <w:uiPriority w:val="9"/>
    <w:rPr>
      <w:rFonts w:ascii="Arial" w:hAnsi="Arial" w:eastAsia="Arial" w:cs="Arial"/>
      <w:i/>
      <w:iCs/>
      <w:sz w:val="22"/>
      <w:szCs w:val="22"/>
    </w:rPr>
  </w:style>
  <w:style w:type="character" w:styleId="873" w:customStyle="1">
    <w:name w:val="Heading 9 Char"/>
    <w:basedOn w:val="865"/>
    <w:uiPriority w:val="9"/>
    <w:rPr>
      <w:rFonts w:ascii="Arial" w:hAnsi="Arial" w:eastAsia="Arial" w:cs="Arial"/>
      <w:i/>
      <w:iCs/>
      <w:sz w:val="21"/>
      <w:szCs w:val="21"/>
    </w:rPr>
  </w:style>
  <w:style w:type="character" w:styleId="874" w:customStyle="1">
    <w:name w:val="Title Char"/>
    <w:basedOn w:val="865"/>
    <w:uiPriority w:val="10"/>
    <w:rPr>
      <w:sz w:val="48"/>
      <w:szCs w:val="48"/>
    </w:rPr>
  </w:style>
  <w:style w:type="character" w:styleId="875" w:customStyle="1">
    <w:name w:val="Subtitle Char"/>
    <w:basedOn w:val="865"/>
    <w:uiPriority w:val="11"/>
    <w:rPr>
      <w:sz w:val="24"/>
      <w:szCs w:val="24"/>
    </w:rPr>
  </w:style>
  <w:style w:type="character" w:styleId="876" w:customStyle="1">
    <w:name w:val="Quote Char"/>
    <w:uiPriority w:val="29"/>
    <w:rPr>
      <w:i/>
    </w:rPr>
  </w:style>
  <w:style w:type="character" w:styleId="877" w:customStyle="1">
    <w:name w:val="Intense Quote Char"/>
    <w:uiPriority w:val="30"/>
    <w:rPr>
      <w:i/>
    </w:rPr>
  </w:style>
  <w:style w:type="character" w:styleId="878" w:customStyle="1">
    <w:name w:val="Footnote Text Char"/>
    <w:uiPriority w:val="99"/>
    <w:rPr>
      <w:sz w:val="18"/>
    </w:rPr>
  </w:style>
  <w:style w:type="character" w:styleId="879" w:customStyle="1">
    <w:name w:val="Endnote Text Char"/>
    <w:uiPriority w:val="99"/>
    <w:rPr>
      <w:sz w:val="20"/>
    </w:rPr>
  </w:style>
  <w:style w:type="character" w:styleId="880" w:customStyle="1">
    <w:name w:val="Heading 1 Char"/>
    <w:basedOn w:val="865"/>
    <w:uiPriority w:val="9"/>
    <w:rPr>
      <w:rFonts w:ascii="Arial" w:hAnsi="Arial" w:eastAsia="Arial" w:cs="Arial"/>
      <w:sz w:val="40"/>
      <w:szCs w:val="40"/>
    </w:rPr>
  </w:style>
  <w:style w:type="character" w:styleId="881" w:customStyle="1">
    <w:name w:val="Heading 2 Char"/>
    <w:basedOn w:val="865"/>
    <w:uiPriority w:val="9"/>
    <w:rPr>
      <w:rFonts w:ascii="Arial" w:hAnsi="Arial" w:eastAsia="Arial" w:cs="Arial"/>
      <w:sz w:val="34"/>
    </w:rPr>
  </w:style>
  <w:style w:type="character" w:styleId="882" w:customStyle="1">
    <w:name w:val="Heading 3 Char"/>
    <w:basedOn w:val="865"/>
    <w:uiPriority w:val="9"/>
    <w:rPr>
      <w:rFonts w:ascii="Arial" w:hAnsi="Arial" w:eastAsia="Arial" w:cs="Arial"/>
      <w:sz w:val="30"/>
      <w:szCs w:val="30"/>
    </w:rPr>
  </w:style>
  <w:style w:type="character" w:styleId="883" w:customStyle="1">
    <w:name w:val="标题 4 字符"/>
    <w:basedOn w:val="865"/>
    <w:link w:val="859"/>
    <w:uiPriority w:val="9"/>
    <w:qFormat/>
    <w:rPr>
      <w:rFonts w:ascii="Arial" w:hAnsi="Arial" w:eastAsia="Arial" w:cs="Arial"/>
      <w:b/>
      <w:bCs/>
      <w:sz w:val="26"/>
      <w:szCs w:val="26"/>
    </w:rPr>
  </w:style>
  <w:style w:type="character" w:styleId="884" w:customStyle="1">
    <w:name w:val="标题 5 字符"/>
    <w:basedOn w:val="865"/>
    <w:link w:val="860"/>
    <w:uiPriority w:val="9"/>
    <w:qFormat/>
    <w:rPr>
      <w:rFonts w:ascii="Arial" w:hAnsi="Arial" w:eastAsia="Arial" w:cs="Arial"/>
      <w:b/>
      <w:bCs/>
      <w:sz w:val="24"/>
      <w:szCs w:val="24"/>
    </w:rPr>
  </w:style>
  <w:style w:type="character" w:styleId="885" w:customStyle="1">
    <w:name w:val="标题 6 字符"/>
    <w:basedOn w:val="865"/>
    <w:link w:val="861"/>
    <w:uiPriority w:val="9"/>
    <w:qFormat/>
    <w:rPr>
      <w:rFonts w:ascii="Arial" w:hAnsi="Arial" w:eastAsia="Arial" w:cs="Arial"/>
      <w:b/>
      <w:bCs/>
      <w:sz w:val="22"/>
      <w:szCs w:val="22"/>
    </w:rPr>
  </w:style>
  <w:style w:type="character" w:styleId="886" w:customStyle="1">
    <w:name w:val="标题 7 字符"/>
    <w:basedOn w:val="865"/>
    <w:link w:val="862"/>
    <w:uiPriority w:val="9"/>
    <w:qFormat/>
    <w:rPr>
      <w:rFonts w:ascii="Arial" w:hAnsi="Arial" w:eastAsia="Arial" w:cs="Arial"/>
      <w:b/>
      <w:bCs/>
      <w:i/>
      <w:iCs/>
      <w:sz w:val="22"/>
      <w:szCs w:val="22"/>
    </w:rPr>
  </w:style>
  <w:style w:type="character" w:styleId="887" w:customStyle="1">
    <w:name w:val="标题 8 字符"/>
    <w:basedOn w:val="865"/>
    <w:link w:val="863"/>
    <w:uiPriority w:val="9"/>
    <w:qFormat/>
    <w:rPr>
      <w:rFonts w:ascii="Arial" w:hAnsi="Arial" w:eastAsia="Arial" w:cs="Arial"/>
      <w:i/>
      <w:iCs/>
      <w:sz w:val="22"/>
      <w:szCs w:val="22"/>
    </w:rPr>
  </w:style>
  <w:style w:type="character" w:styleId="888" w:customStyle="1">
    <w:name w:val="标题 9 字符"/>
    <w:basedOn w:val="865"/>
    <w:link w:val="864"/>
    <w:uiPriority w:val="9"/>
    <w:qFormat/>
    <w:rPr>
      <w:rFonts w:ascii="Arial" w:hAnsi="Arial" w:eastAsia="Arial" w:cs="Arial"/>
      <w:i/>
      <w:iCs/>
      <w:sz w:val="21"/>
      <w:szCs w:val="21"/>
    </w:rPr>
  </w:style>
  <w:style w:type="paragraph" w:styleId="889">
    <w:name w:val="List Paragraph"/>
    <w:basedOn w:val="855"/>
    <w:uiPriority w:val="34"/>
    <w:qFormat/>
    <w:pPr>
      <w:contextualSpacing/>
      <w:ind w:left="720"/>
    </w:pPr>
  </w:style>
  <w:style w:type="paragraph" w:styleId="890">
    <w:name w:val="No Spacing"/>
    <w:uiPriority w:val="1"/>
    <w:qFormat/>
  </w:style>
  <w:style w:type="paragraph" w:styleId="891">
    <w:name w:val="Title"/>
    <w:basedOn w:val="855"/>
    <w:next w:val="855"/>
    <w:link w:val="892"/>
    <w:uiPriority w:val="10"/>
    <w:qFormat/>
    <w:pPr>
      <w:contextualSpacing/>
      <w:spacing w:before="300" w:after="200"/>
    </w:pPr>
    <w:rPr>
      <w:sz w:val="48"/>
      <w:szCs w:val="48"/>
    </w:rPr>
  </w:style>
  <w:style w:type="character" w:styleId="892" w:customStyle="1">
    <w:name w:val="标题 字符"/>
    <w:basedOn w:val="865"/>
    <w:link w:val="891"/>
    <w:uiPriority w:val="10"/>
    <w:rPr>
      <w:sz w:val="48"/>
      <w:szCs w:val="48"/>
    </w:rPr>
  </w:style>
  <w:style w:type="paragraph" w:styleId="893">
    <w:name w:val="Subtitle"/>
    <w:basedOn w:val="855"/>
    <w:next w:val="855"/>
    <w:link w:val="894"/>
    <w:uiPriority w:val="11"/>
    <w:qFormat/>
    <w:pPr>
      <w:spacing w:before="200" w:after="200"/>
    </w:pPr>
    <w:rPr>
      <w:sz w:val="24"/>
    </w:rPr>
  </w:style>
  <w:style w:type="character" w:styleId="894" w:customStyle="1">
    <w:name w:val="副标题 字符"/>
    <w:basedOn w:val="865"/>
    <w:link w:val="893"/>
    <w:uiPriority w:val="11"/>
    <w:rPr>
      <w:sz w:val="24"/>
      <w:szCs w:val="24"/>
    </w:rPr>
  </w:style>
  <w:style w:type="paragraph" w:styleId="895">
    <w:name w:val="Quote"/>
    <w:basedOn w:val="855"/>
    <w:next w:val="855"/>
    <w:link w:val="896"/>
    <w:uiPriority w:val="29"/>
    <w:qFormat/>
    <w:pPr>
      <w:ind w:left="720" w:right="720"/>
    </w:pPr>
    <w:rPr>
      <w:i/>
    </w:rPr>
  </w:style>
  <w:style w:type="character" w:styleId="896" w:customStyle="1">
    <w:name w:val="引用 字符"/>
    <w:link w:val="895"/>
    <w:uiPriority w:val="29"/>
    <w:rPr>
      <w:i/>
    </w:rPr>
  </w:style>
  <w:style w:type="paragraph" w:styleId="897">
    <w:name w:val="Intense Quote"/>
    <w:basedOn w:val="855"/>
    <w:next w:val="855"/>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rPr>
      <w:i/>
    </w:rPr>
  </w:style>
  <w:style w:type="character" w:styleId="899" w:customStyle="1">
    <w:name w:val="Header Char"/>
    <w:basedOn w:val="865"/>
    <w:uiPriority w:val="99"/>
    <w:qFormat/>
  </w:style>
  <w:style w:type="character" w:styleId="900" w:customStyle="1">
    <w:name w:val="Footer Char"/>
    <w:basedOn w:val="865"/>
    <w:uiPriority w:val="99"/>
  </w:style>
  <w:style w:type="paragraph" w:styleId="901">
    <w:name w:val="Caption"/>
    <w:basedOn w:val="855"/>
    <w:next w:val="855"/>
    <w:uiPriority w:val="35"/>
    <w:semiHidden/>
    <w:unhideWhenUsed/>
    <w:qFormat/>
    <w:pPr>
      <w:spacing w:line="276" w:lineRule="auto"/>
    </w:pPr>
    <w:rPr>
      <w:b/>
      <w:bCs/>
      <w:color w:val="5b9bd5" w:themeColor="accent1"/>
      <w:sz w:val="18"/>
      <w:szCs w:val="18"/>
    </w:rPr>
  </w:style>
  <w:style w:type="character" w:styleId="902" w:customStyle="1">
    <w:name w:val="Caption Char"/>
    <w:uiPriority w:val="99"/>
  </w:style>
  <w:style w:type="table" w:styleId="903" w:customStyle="1">
    <w:name w:val="Table Grid Light"/>
    <w:basedOn w:val="8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4">
    <w:name w:val="Plain Table 1"/>
    <w:basedOn w:val="8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basedOn w:val="8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basedOn w:val="8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basedOn w:val="8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basedOn w:val="8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name w:val="Grid Table 1 Light"/>
    <w:basedOn w:val="86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866"/>
    <w:uiPriority w:val="99"/>
    <w:qFormat/>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86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86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86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866"/>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86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6">
    <w:name w:val="Grid Table 2"/>
    <w:basedOn w:val="8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866"/>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86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86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86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866"/>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86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3">
    <w:name w:val="Grid Table 3"/>
    <w:basedOn w:val="8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866"/>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6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6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6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66"/>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6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name w:val="Grid Table 4"/>
    <w:basedOn w:val="86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866"/>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32" w:customStyle="1">
    <w:name w:val="Grid Table 4 - Accent 2"/>
    <w:basedOn w:val="866"/>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33" w:customStyle="1">
    <w:name w:val="Grid Table 4 - Accent 3"/>
    <w:basedOn w:val="866"/>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4" w:customStyle="1">
    <w:name w:val="Grid Table 4 - Accent 4"/>
    <w:basedOn w:val="866"/>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35" w:customStyle="1">
    <w:name w:val="Grid Table 4 - Accent 5"/>
    <w:basedOn w:val="866"/>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6" w:customStyle="1">
    <w:name w:val="Grid Table 4 - Accent 6"/>
    <w:basedOn w:val="866"/>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7">
    <w:name w:val="Grid Table 5 Dark"/>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9" w:customStyle="1">
    <w:name w:val="Grid Table 5 Dark - Accent 2"/>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0" w:customStyle="1">
    <w:name w:val="Grid Table 5 Dark - Accent 3"/>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1" w:customStyle="1">
    <w:name w:val="Grid Table 5 Dark- Accent 4"/>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2" w:customStyle="1">
    <w:name w:val="Grid Table 5 Dark - Accent 5"/>
    <w:basedOn w:val="866"/>
    <w:uiPriority w:val="99"/>
    <w:qFormat/>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3" w:customStyle="1">
    <w:name w:val="Grid Table 5 Dark - Accent 6"/>
    <w:basedOn w:val="866"/>
    <w:uiPriority w:val="99"/>
    <w:qFormat/>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4">
    <w:name w:val="Grid Table 6 Colorful"/>
    <w:basedOn w:val="86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5" w:customStyle="1">
    <w:name w:val="Grid Table 6 Colorful - Accent 1"/>
    <w:basedOn w:val="866"/>
    <w:uiPriority w:val="99"/>
    <w:qFormat/>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946" w:customStyle="1">
    <w:name w:val="Grid Table 6 Colorful - Accent 2"/>
    <w:basedOn w:val="86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47" w:customStyle="1">
    <w:name w:val="Grid Table 6 Colorful - Accent 3"/>
    <w:basedOn w:val="866"/>
    <w:uiPriority w:val="99"/>
    <w:qFormat/>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48" w:customStyle="1">
    <w:name w:val="Grid Table 6 Colorful - Accent 4"/>
    <w:basedOn w:val="866"/>
    <w:uiPriority w:val="99"/>
    <w:qFormat/>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49" w:customStyle="1">
    <w:name w:val="Grid Table 6 Colorful - Accent 5"/>
    <w:basedOn w:val="866"/>
    <w:uiPriority w:val="99"/>
    <w:qFormat/>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50" w:customStyle="1">
    <w:name w:val="Grid Table 6 Colorful - Accent 6"/>
    <w:basedOn w:val="866"/>
    <w:uiPriority w:val="99"/>
    <w:qFormat/>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51">
    <w:name w:val="Grid Table 7 Colorful"/>
    <w:basedOn w:val="86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866"/>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866"/>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866"/>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866"/>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866"/>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866"/>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8">
    <w:name w:val="List Table 1 Light"/>
    <w:basedOn w:val="86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866"/>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66"/>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66"/>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66"/>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66"/>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66"/>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5">
    <w:name w:val="List Table 2"/>
    <w:basedOn w:val="86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6" w:customStyle="1">
    <w:name w:val="List Table 2 - Accent 1"/>
    <w:basedOn w:val="866"/>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7" w:customStyle="1">
    <w:name w:val="List Table 2 - Accent 2"/>
    <w:basedOn w:val="866"/>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866"/>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866"/>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70" w:customStyle="1">
    <w:name w:val="List Table 2 - Accent 5"/>
    <w:basedOn w:val="866"/>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1" w:customStyle="1">
    <w:name w:val="List Table 2 - Accent 6"/>
    <w:basedOn w:val="866"/>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name w:val="List Table 3"/>
    <w:basedOn w:val="8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866"/>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4" w:customStyle="1">
    <w:name w:val="List Table 3 - Accent 2"/>
    <w:basedOn w:val="86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866"/>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86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866"/>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866"/>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9">
    <w:name w:val="List Table 4"/>
    <w:basedOn w:val="8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866"/>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1" w:customStyle="1">
    <w:name w:val="List Table 4 - Accent 2"/>
    <w:basedOn w:val="866"/>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2" w:customStyle="1">
    <w:name w:val="List Table 4 - Accent 3"/>
    <w:basedOn w:val="866"/>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3" w:customStyle="1">
    <w:name w:val="List Table 4 - Accent 4"/>
    <w:basedOn w:val="866"/>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4" w:customStyle="1">
    <w:name w:val="List Table 4 - Accent 5"/>
    <w:basedOn w:val="866"/>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5" w:customStyle="1">
    <w:name w:val="List Table 4 - Accent 6"/>
    <w:basedOn w:val="866"/>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6">
    <w:name w:val="List Table 5 Dark"/>
    <w:basedOn w:val="86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7" w:customStyle="1">
    <w:name w:val="List Table 5 Dark - Accent 1"/>
    <w:basedOn w:val="866"/>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88" w:customStyle="1">
    <w:name w:val="List Table 5 Dark - Accent 2"/>
    <w:basedOn w:val="866"/>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89" w:customStyle="1">
    <w:name w:val="List Table 5 Dark - Accent 3"/>
    <w:basedOn w:val="866"/>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90" w:customStyle="1">
    <w:name w:val="List Table 5 Dark - Accent 4"/>
    <w:basedOn w:val="866"/>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91" w:customStyle="1">
    <w:name w:val="List Table 5 Dark - Accent 5"/>
    <w:basedOn w:val="866"/>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92" w:customStyle="1">
    <w:name w:val="List Table 5 Dark - Accent 6"/>
    <w:basedOn w:val="866"/>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93">
    <w:name w:val="List Table 6 Colorful"/>
    <w:basedOn w:val="86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4" w:customStyle="1">
    <w:name w:val="List Table 6 Colorful - Accent 1"/>
    <w:basedOn w:val="866"/>
    <w:uiPriority w:val="99"/>
    <w:qFormat/>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95" w:customStyle="1">
    <w:name w:val="List Table 6 Colorful - Accent 2"/>
    <w:basedOn w:val="866"/>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96" w:customStyle="1">
    <w:name w:val="List Table 6 Colorful - Accent 3"/>
    <w:basedOn w:val="866"/>
    <w:uiPriority w:val="99"/>
    <w:qFormat/>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97" w:customStyle="1">
    <w:name w:val="List Table 6 Colorful - Accent 4"/>
    <w:basedOn w:val="866"/>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98" w:customStyle="1">
    <w:name w:val="List Table 6 Colorful - Accent 5"/>
    <w:basedOn w:val="866"/>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99" w:customStyle="1">
    <w:name w:val="List Table 6 Colorful - Accent 6"/>
    <w:basedOn w:val="866"/>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00">
    <w:name w:val="List Table 7 Colorful"/>
    <w:basedOn w:val="86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866"/>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66"/>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66"/>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66"/>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66"/>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66"/>
    <w:uiPriority w:val="99"/>
    <w:qFormat/>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8" w:customStyle="1">
    <w:name w:val="Lined - Accent 1"/>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9" w:customStyle="1">
    <w:name w:val="Lined - Accent 2"/>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0" w:customStyle="1">
    <w:name w:val="Lined - Accent 3"/>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1" w:customStyle="1">
    <w:name w:val="Lined - Accent 4"/>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2" w:customStyle="1">
    <w:name w:val="Lined - Accent 5"/>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3" w:customStyle="1">
    <w:name w:val="Lined - Accent 6"/>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4" w:customStyle="1">
    <w:name w:val="Bordered &amp; Lined - Accent"/>
    <w:basedOn w:val="86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5" w:customStyle="1">
    <w:name w:val="Bordered &amp; Lined - Accent 1"/>
    <w:basedOn w:val="866"/>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16" w:customStyle="1">
    <w:name w:val="Bordered &amp; Lined - Accent 2"/>
    <w:basedOn w:val="866"/>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7" w:customStyle="1">
    <w:name w:val="Bordered &amp; Lined - Accent 3"/>
    <w:basedOn w:val="866"/>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8" w:customStyle="1">
    <w:name w:val="Bordered &amp; Lined - Accent 4"/>
    <w:basedOn w:val="866"/>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9" w:customStyle="1">
    <w:name w:val="Bordered &amp; Lined - Accent 5"/>
    <w:basedOn w:val="866"/>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0" w:customStyle="1">
    <w:name w:val="Bordered &amp; Lined - Accent 6"/>
    <w:basedOn w:val="866"/>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1" w:customStyle="1">
    <w:name w:val="Bordered"/>
    <w:basedOn w:val="86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2" w:customStyle="1">
    <w:name w:val="Bordered - Accent 1"/>
    <w:basedOn w:val="866"/>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3" w:customStyle="1">
    <w:name w:val="Bordered - Accent 2"/>
    <w:basedOn w:val="86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24" w:customStyle="1">
    <w:name w:val="Bordered - Accent 3"/>
    <w:basedOn w:val="86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5" w:customStyle="1">
    <w:name w:val="Bordered - Accent 4"/>
    <w:basedOn w:val="86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26" w:customStyle="1">
    <w:name w:val="Bordered - Accent 5"/>
    <w:basedOn w:val="866"/>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27" w:customStyle="1">
    <w:name w:val="Bordered - Accent 6"/>
    <w:basedOn w:val="86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28">
    <w:name w:val="footnote text"/>
    <w:basedOn w:val="855"/>
    <w:link w:val="1029"/>
    <w:uiPriority w:val="99"/>
    <w:semiHidden/>
    <w:unhideWhenUsed/>
    <w:pPr>
      <w:spacing w:after="40"/>
    </w:pPr>
    <w:rPr>
      <w:sz w:val="18"/>
    </w:rPr>
  </w:style>
  <w:style w:type="character" w:styleId="1029" w:customStyle="1">
    <w:name w:val="脚注文本 字符"/>
    <w:link w:val="1028"/>
    <w:uiPriority w:val="99"/>
    <w:rPr>
      <w:sz w:val="18"/>
    </w:rPr>
  </w:style>
  <w:style w:type="character" w:styleId="1030">
    <w:name w:val="footnote reference"/>
    <w:basedOn w:val="865"/>
    <w:uiPriority w:val="99"/>
    <w:unhideWhenUsed/>
    <w:rPr>
      <w:vertAlign w:val="superscript"/>
    </w:rPr>
  </w:style>
  <w:style w:type="paragraph" w:styleId="1031">
    <w:name w:val="endnote text"/>
    <w:basedOn w:val="855"/>
    <w:link w:val="1032"/>
    <w:uiPriority w:val="99"/>
    <w:semiHidden/>
    <w:unhideWhenUsed/>
    <w:rPr>
      <w:sz w:val="20"/>
    </w:rPr>
  </w:style>
  <w:style w:type="character" w:styleId="1032" w:customStyle="1">
    <w:name w:val="尾注文本 字符"/>
    <w:link w:val="1031"/>
    <w:uiPriority w:val="99"/>
    <w:rPr>
      <w:sz w:val="20"/>
    </w:rPr>
  </w:style>
  <w:style w:type="character" w:styleId="1033">
    <w:name w:val="endnote reference"/>
    <w:basedOn w:val="865"/>
    <w:uiPriority w:val="99"/>
    <w:semiHidden/>
    <w:unhideWhenUsed/>
    <w:rPr>
      <w:vertAlign w:val="superscript"/>
    </w:rPr>
  </w:style>
  <w:style w:type="paragraph" w:styleId="1034">
    <w:name w:val="toc 1"/>
    <w:basedOn w:val="855"/>
    <w:next w:val="855"/>
    <w:uiPriority w:val="39"/>
    <w:unhideWhenUsed/>
    <w:pPr>
      <w:spacing w:after="57"/>
    </w:pPr>
  </w:style>
  <w:style w:type="paragraph" w:styleId="1035">
    <w:name w:val="toc 2"/>
    <w:basedOn w:val="855"/>
    <w:next w:val="855"/>
    <w:uiPriority w:val="39"/>
    <w:unhideWhenUsed/>
    <w:pPr>
      <w:ind w:left="283"/>
      <w:spacing w:after="57"/>
    </w:pPr>
  </w:style>
  <w:style w:type="paragraph" w:styleId="1036">
    <w:name w:val="toc 3"/>
    <w:basedOn w:val="855"/>
    <w:next w:val="855"/>
    <w:uiPriority w:val="39"/>
    <w:unhideWhenUsed/>
    <w:pPr>
      <w:ind w:left="567"/>
      <w:spacing w:after="57"/>
    </w:pPr>
  </w:style>
  <w:style w:type="paragraph" w:styleId="1037">
    <w:name w:val="toc 4"/>
    <w:basedOn w:val="855"/>
    <w:next w:val="855"/>
    <w:uiPriority w:val="39"/>
    <w:unhideWhenUsed/>
    <w:pPr>
      <w:ind w:left="850"/>
      <w:spacing w:after="57"/>
    </w:pPr>
  </w:style>
  <w:style w:type="paragraph" w:styleId="1038">
    <w:name w:val="toc 5"/>
    <w:basedOn w:val="855"/>
    <w:next w:val="855"/>
    <w:uiPriority w:val="39"/>
    <w:unhideWhenUsed/>
    <w:pPr>
      <w:ind w:left="1134"/>
      <w:spacing w:after="57"/>
    </w:pPr>
  </w:style>
  <w:style w:type="paragraph" w:styleId="1039">
    <w:name w:val="toc 6"/>
    <w:basedOn w:val="855"/>
    <w:next w:val="855"/>
    <w:uiPriority w:val="39"/>
    <w:unhideWhenUsed/>
    <w:pPr>
      <w:ind w:left="1417"/>
      <w:spacing w:after="57"/>
    </w:pPr>
  </w:style>
  <w:style w:type="paragraph" w:styleId="1040">
    <w:name w:val="toc 7"/>
    <w:basedOn w:val="855"/>
    <w:next w:val="855"/>
    <w:uiPriority w:val="39"/>
    <w:unhideWhenUsed/>
    <w:pPr>
      <w:ind w:left="1701"/>
      <w:spacing w:after="57"/>
    </w:pPr>
  </w:style>
  <w:style w:type="paragraph" w:styleId="1041">
    <w:name w:val="toc 8"/>
    <w:basedOn w:val="855"/>
    <w:next w:val="855"/>
    <w:uiPriority w:val="39"/>
    <w:unhideWhenUsed/>
    <w:pPr>
      <w:ind w:left="1984"/>
      <w:spacing w:after="57"/>
    </w:pPr>
  </w:style>
  <w:style w:type="paragraph" w:styleId="1042">
    <w:name w:val="toc 9"/>
    <w:basedOn w:val="855"/>
    <w:next w:val="855"/>
    <w:uiPriority w:val="39"/>
    <w:unhideWhenUsed/>
    <w:pPr>
      <w:ind w:left="2268"/>
      <w:spacing w:after="57"/>
    </w:pPr>
  </w:style>
  <w:style w:type="paragraph" w:styleId="1043">
    <w:name w:val="TOC Heading"/>
    <w:uiPriority w:val="39"/>
    <w:unhideWhenUsed/>
  </w:style>
  <w:style w:type="paragraph" w:styleId="1044">
    <w:name w:val="table of figures"/>
    <w:basedOn w:val="855"/>
    <w:next w:val="855"/>
    <w:uiPriority w:val="99"/>
    <w:unhideWhenUsed/>
  </w:style>
  <w:style w:type="paragraph" w:styleId="1045">
    <w:name w:val="annotation text"/>
    <w:basedOn w:val="855"/>
    <w:link w:val="1145"/>
    <w:qFormat/>
    <w:pPr>
      <w:jc w:val="left"/>
    </w:pPr>
  </w:style>
  <w:style w:type="paragraph" w:styleId="1046">
    <w:name w:val="Body Text"/>
    <w:basedOn w:val="855"/>
    <w:next w:val="855"/>
    <w:link w:val="1146"/>
    <w:unhideWhenUsed/>
    <w:qFormat/>
    <w:pPr>
      <w:spacing w:after="120"/>
    </w:pPr>
    <w:rPr>
      <w:rFonts w:ascii="Calibri" w:hAnsi="Calibri"/>
      <w:szCs w:val="22"/>
    </w:rPr>
  </w:style>
  <w:style w:type="paragraph" w:styleId="1047">
    <w:name w:val="Plain Text"/>
    <w:basedOn w:val="855"/>
    <w:link w:val="1147"/>
    <w:unhideWhenUsed/>
    <w:qFormat/>
    <w:rPr>
      <w:rFonts w:ascii="宋体" w:hAnsi="Courier New" w:cs="Courier New"/>
      <w:szCs w:val="21"/>
    </w:rPr>
  </w:style>
  <w:style w:type="paragraph" w:styleId="1048">
    <w:name w:val="Footer"/>
    <w:basedOn w:val="855"/>
    <w:link w:val="1049"/>
    <w:qFormat/>
    <w:pPr>
      <w:jc w:val="left"/>
      <w:tabs>
        <w:tab w:val="center" w:pos="4153" w:leader="none"/>
        <w:tab w:val="right" w:pos="8306" w:leader="none"/>
      </w:tabs>
    </w:pPr>
    <w:rPr>
      <w:sz w:val="18"/>
      <w:szCs w:val="18"/>
    </w:rPr>
  </w:style>
  <w:style w:type="character" w:styleId="1049" w:customStyle="1">
    <w:name w:val="页脚 字符"/>
    <w:basedOn w:val="865"/>
    <w:link w:val="1048"/>
    <w:qFormat/>
    <w:rPr>
      <w:rFonts w:asciiTheme="minorHAnsi" w:hAnsiTheme="minorHAnsi" w:eastAsiaTheme="minorEastAsia" w:cstheme="minorBidi"/>
      <w:sz w:val="18"/>
      <w:szCs w:val="18"/>
    </w:rPr>
  </w:style>
  <w:style w:type="paragraph" w:styleId="1050">
    <w:name w:val="Header"/>
    <w:basedOn w:val="855"/>
    <w:link w:val="1051"/>
    <w:qFormat/>
    <w:pPr>
      <w:jc w:val="center"/>
      <w:tabs>
        <w:tab w:val="center" w:pos="4153" w:leader="none"/>
        <w:tab w:val="right" w:pos="8306" w:leader="none"/>
      </w:tabs>
      <w:pBdr>
        <w:bottom w:val="single" w:color="auto" w:sz="6" w:space="1"/>
      </w:pBdr>
    </w:pPr>
    <w:rPr>
      <w:sz w:val="18"/>
      <w:szCs w:val="18"/>
    </w:rPr>
  </w:style>
  <w:style w:type="character" w:styleId="1051" w:customStyle="1">
    <w:name w:val="页眉 字符"/>
    <w:basedOn w:val="865"/>
    <w:link w:val="1050"/>
    <w:qFormat/>
    <w:rPr>
      <w:rFonts w:asciiTheme="minorHAnsi" w:hAnsiTheme="minorHAnsi" w:eastAsiaTheme="minorEastAsia" w:cstheme="minorBidi"/>
      <w:sz w:val="18"/>
      <w:szCs w:val="18"/>
    </w:rPr>
  </w:style>
  <w:style w:type="paragraph" w:styleId="1052">
    <w:name w:val="Normal (Web)"/>
    <w:basedOn w:val="855"/>
    <w:qFormat/>
    <w:pPr>
      <w:jc w:val="left"/>
      <w:spacing w:beforeAutospacing="1" w:afterAutospacing="1"/>
    </w:pPr>
    <w:rPr>
      <w:rFonts w:cs="Times New Roman"/>
      <w:sz w:val="24"/>
    </w:rPr>
  </w:style>
  <w:style w:type="paragraph" w:styleId="1053" w:customStyle="1">
    <w:name w:val="Default"/>
    <w:basedOn w:val="855"/>
    <w:semiHidden/>
    <w:qFormat/>
    <w:pPr>
      <w:jc w:val="left"/>
    </w:pPr>
    <w:rPr>
      <w:rFonts w:ascii="宋体" w:hAnsi="Calibri" w:cs="宋体"/>
      <w:color w:val="000000"/>
      <w:sz w:val="24"/>
    </w:rPr>
  </w:style>
  <w:style w:type="paragraph" w:styleId="1054" w:customStyle="1">
    <w:name w:val="AONormal"/>
    <w:qFormat/>
    <w:pPr>
      <w:ind w:firstLine="440"/>
      <w:spacing w:line="400" w:lineRule="exact"/>
    </w:pPr>
    <w:rPr>
      <w:rFonts w:ascii="华文楷体" w:hAnsi="华文楷体" w:eastAsia="华文楷体" w:cs="华文楷体"/>
      <w:sz w:val="22"/>
      <w:szCs w:val="21"/>
    </w:rPr>
  </w:style>
  <w:style w:type="paragraph" w:styleId="1055" w:customStyle="1">
    <w:name w:val="页脚1"/>
    <w:basedOn w:val="855"/>
    <w:uiPriority w:val="99"/>
    <w:unhideWhenUsed/>
    <w:qFormat/>
    <w:pPr>
      <w:jc w:val="left"/>
      <w:tabs>
        <w:tab w:val="center" w:pos="4153" w:leader="none"/>
        <w:tab w:val="right" w:pos="8306" w:leader="none"/>
      </w:tabs>
    </w:pPr>
    <w:rPr>
      <w:sz w:val="18"/>
      <w:szCs w:val="18"/>
    </w:rPr>
  </w:style>
  <w:style w:type="paragraph" w:styleId="1056" w:customStyle="1">
    <w:name w:val="普通正文"/>
    <w:basedOn w:val="855"/>
    <w:qFormat/>
    <w:pPr>
      <w:ind w:firstLine="480"/>
      <w:jc w:val="left"/>
      <w:spacing w:before="120" w:after="120" w:line="360" w:lineRule="auto"/>
    </w:pPr>
    <w:rPr>
      <w:rFonts w:ascii="Arial" w:hAnsi="Arial" w:eastAsia="等线" w:cs="Arial"/>
      <w:sz w:val="24"/>
    </w:rPr>
  </w:style>
  <w:style w:type="paragraph" w:styleId="1057" w:customStyle="1">
    <w:name w:val="正文首行缩进 21"/>
    <w:basedOn w:val="1058"/>
    <w:qFormat/>
    <w:pPr>
      <w:ind w:firstLine="420"/>
    </w:pPr>
  </w:style>
  <w:style w:type="paragraph" w:styleId="1058" w:customStyle="1">
    <w:name w:val="正文文本缩进1"/>
    <w:basedOn w:val="855"/>
    <w:qFormat/>
    <w:pPr>
      <w:ind w:left="420"/>
      <w:spacing w:after="120"/>
    </w:pPr>
  </w:style>
  <w:style w:type="paragraph" w:styleId="1059" w:customStyle="1">
    <w:name w:val="列出段落3"/>
    <w:basedOn w:val="855"/>
    <w:qFormat/>
    <w:pPr>
      <w:ind w:firstLine="420"/>
    </w:pPr>
    <w:rPr>
      <w:rFonts w:ascii="Times New Roman" w:hAnsi="Times New Roman" w:eastAsia="宋体" w:cs="Times New Roman"/>
      <w:szCs w:val="20"/>
    </w:rPr>
  </w:style>
  <w:style w:type="table" w:styleId="1060">
    <w:name w:val="Table Grid"/>
    <w:basedOn w:val="86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1">
    <w:name w:val="toa heading"/>
    <w:basedOn w:val="855"/>
    <w:next w:val="855"/>
    <w:uiPriority w:val="99"/>
    <w:unhideWhenUsed/>
    <w:qFormat/>
    <w:pPr>
      <w:spacing w:before="120"/>
    </w:pPr>
    <w:rPr>
      <w:rFonts w:ascii="Cambria" w:hAnsi="Cambria" w:eastAsia="宋体" w:cs="Times New Roman"/>
      <w:sz w:val="24"/>
      <w:szCs w:val="21"/>
    </w:rPr>
  </w:style>
  <w:style w:type="character" w:styleId="1062">
    <w:name w:val="Hyperlink"/>
    <w:basedOn w:val="865"/>
    <w:uiPriority w:val="99"/>
    <w:unhideWhenUsed/>
    <w:qFormat/>
    <w:rPr>
      <w:color w:val="0000ff"/>
      <w:u w:val="single"/>
    </w:rPr>
  </w:style>
  <w:style w:type="character" w:styleId="1063">
    <w:name w:val="FollowedHyperlink"/>
    <w:basedOn w:val="865"/>
    <w:uiPriority w:val="99"/>
    <w:unhideWhenUsed/>
    <w:qFormat/>
    <w:rPr>
      <w:color w:val="800080"/>
      <w:u w:val="single"/>
    </w:rPr>
  </w:style>
  <w:style w:type="paragraph" w:styleId="1064" w:customStyle="1">
    <w:name w:val="msonormal"/>
    <w:basedOn w:val="855"/>
    <w:qFormat/>
    <w:pPr>
      <w:jc w:val="left"/>
      <w:spacing w:before="100" w:beforeAutospacing="1" w:after="100" w:afterAutospacing="1"/>
      <w:widowControl/>
    </w:pPr>
    <w:rPr>
      <w:rFonts w:ascii="宋体" w:hAnsi="宋体" w:eastAsia="宋体" w:cs="宋体"/>
      <w:sz w:val="24"/>
    </w:rPr>
  </w:style>
  <w:style w:type="paragraph" w:styleId="1065" w:customStyle="1">
    <w:name w:val="font5"/>
    <w:basedOn w:val="855"/>
    <w:qFormat/>
    <w:pPr>
      <w:jc w:val="left"/>
      <w:spacing w:before="100" w:beforeAutospacing="1" w:after="100" w:afterAutospacing="1"/>
      <w:widowControl/>
    </w:pPr>
    <w:rPr>
      <w:rFonts w:ascii="宋体" w:hAnsi="宋体" w:eastAsia="宋体" w:cs="宋体"/>
      <w:color w:val="000000"/>
      <w:sz w:val="20"/>
      <w:szCs w:val="20"/>
    </w:rPr>
  </w:style>
  <w:style w:type="paragraph" w:styleId="1066" w:customStyle="1">
    <w:name w:val="font6"/>
    <w:basedOn w:val="855"/>
    <w:qFormat/>
    <w:pPr>
      <w:jc w:val="left"/>
      <w:spacing w:before="100" w:beforeAutospacing="1" w:after="100" w:afterAutospacing="1"/>
      <w:widowControl/>
    </w:pPr>
    <w:rPr>
      <w:rFonts w:ascii="宋体" w:hAnsi="宋体" w:eastAsia="宋体" w:cs="宋体"/>
      <w:color w:val="ff0000"/>
      <w:sz w:val="22"/>
      <w:szCs w:val="22"/>
    </w:rPr>
  </w:style>
  <w:style w:type="paragraph" w:styleId="1067" w:customStyle="1">
    <w:name w:val="font7"/>
    <w:basedOn w:val="855"/>
    <w:qFormat/>
    <w:pPr>
      <w:jc w:val="left"/>
      <w:spacing w:before="100" w:beforeAutospacing="1" w:after="100" w:afterAutospacing="1"/>
      <w:widowControl/>
    </w:pPr>
    <w:rPr>
      <w:rFonts w:ascii="宋体" w:hAnsi="宋体" w:eastAsia="宋体" w:cs="宋体"/>
      <w:color w:val="000000"/>
      <w:sz w:val="22"/>
      <w:szCs w:val="22"/>
    </w:rPr>
  </w:style>
  <w:style w:type="paragraph" w:styleId="1068" w:customStyle="1">
    <w:name w:val="font8"/>
    <w:basedOn w:val="855"/>
    <w:qFormat/>
    <w:pPr>
      <w:jc w:val="left"/>
      <w:spacing w:before="100" w:beforeAutospacing="1" w:after="100" w:afterAutospacing="1"/>
      <w:widowControl/>
    </w:pPr>
    <w:rPr>
      <w:rFonts w:ascii="宋体" w:hAnsi="宋体" w:eastAsia="宋体" w:cs="宋体"/>
      <w:sz w:val="18"/>
      <w:szCs w:val="18"/>
    </w:rPr>
  </w:style>
  <w:style w:type="paragraph" w:styleId="1069" w:customStyle="1">
    <w:name w:val="font9"/>
    <w:basedOn w:val="855"/>
    <w:qFormat/>
    <w:pPr>
      <w:jc w:val="left"/>
      <w:spacing w:before="100" w:beforeAutospacing="1" w:after="100" w:afterAutospacing="1"/>
      <w:widowControl/>
    </w:pPr>
    <w:rPr>
      <w:rFonts w:ascii="宋体" w:hAnsi="宋体" w:eastAsia="宋体" w:cs="宋体"/>
      <w:color w:val="ff0000"/>
      <w:sz w:val="20"/>
      <w:szCs w:val="20"/>
    </w:rPr>
  </w:style>
  <w:style w:type="paragraph" w:styleId="1070" w:customStyle="1">
    <w:name w:val="xl67"/>
    <w:basedOn w:val="855"/>
    <w:qFormat/>
    <w:pPr>
      <w:jc w:val="center"/>
      <w:spacing w:before="100" w:beforeAutospacing="1" w:after="100" w:afterAutospacing="1"/>
      <w:widowControl/>
    </w:pPr>
    <w:rPr>
      <w:rFonts w:ascii="宋体" w:hAnsi="宋体" w:eastAsia="宋体" w:cs="宋体"/>
      <w:b/>
      <w:bCs/>
      <w:sz w:val="23"/>
      <w:szCs w:val="23"/>
    </w:rPr>
  </w:style>
  <w:style w:type="paragraph" w:styleId="1071" w:customStyle="1">
    <w:name w:val="xl68"/>
    <w:basedOn w:val="855"/>
    <w:qFormat/>
    <w:pPr>
      <w:jc w:val="left"/>
      <w:spacing w:before="100" w:beforeAutospacing="1" w:after="100" w:afterAutospacing="1"/>
      <w:shd w:val="clear" w:color="000000" w:fill="ffff00"/>
      <w:widowControl/>
    </w:pPr>
    <w:rPr>
      <w:rFonts w:ascii="宋体" w:hAnsi="宋体" w:eastAsia="宋体" w:cs="宋体"/>
      <w:sz w:val="24"/>
    </w:rPr>
  </w:style>
  <w:style w:type="paragraph" w:styleId="1072" w:customStyle="1">
    <w:name w:val="xl69"/>
    <w:basedOn w:val="855"/>
    <w:qFormat/>
    <w:pPr>
      <w:jc w:val="left"/>
      <w:spacing w:before="100" w:beforeAutospacing="1" w:after="100" w:afterAutospacing="1"/>
      <w:widowControl/>
    </w:pPr>
    <w:rPr>
      <w:rFonts w:ascii="宋体" w:hAnsi="宋体" w:eastAsia="宋体" w:cs="宋体"/>
      <w:sz w:val="24"/>
    </w:rPr>
  </w:style>
  <w:style w:type="paragraph" w:styleId="1073" w:customStyle="1">
    <w:name w:val="xl70"/>
    <w:basedOn w:val="855"/>
    <w:qFormat/>
    <w:pPr>
      <w:jc w:val="left"/>
      <w:spacing w:before="100" w:beforeAutospacing="1" w:after="100" w:afterAutospacing="1"/>
      <w:shd w:val="clear" w:color="000000" w:fill="ffffff"/>
      <w:widowControl/>
    </w:pPr>
    <w:rPr>
      <w:rFonts w:ascii="宋体" w:hAnsi="宋体" w:eastAsia="宋体" w:cs="宋体"/>
      <w:sz w:val="24"/>
    </w:rPr>
  </w:style>
  <w:style w:type="paragraph" w:styleId="1074" w:customStyle="1">
    <w:name w:val="xl71"/>
    <w:basedOn w:val="855"/>
    <w:qFormat/>
    <w:pPr>
      <w:jc w:val="center"/>
      <w:spacing w:before="100" w:beforeAutospacing="1" w:after="100" w:afterAutospacing="1"/>
      <w:widowControl/>
    </w:pPr>
    <w:rPr>
      <w:rFonts w:ascii="宋体" w:hAnsi="宋体" w:eastAsia="宋体" w:cs="宋体"/>
      <w:sz w:val="24"/>
    </w:rPr>
  </w:style>
  <w:style w:type="paragraph" w:styleId="1075" w:customStyle="1">
    <w:name w:val="xl72"/>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76" w:customStyle="1">
    <w:name w:val="xl73"/>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77" w:customStyle="1">
    <w:name w:val="xl74"/>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78" w:customStyle="1">
    <w:name w:val="xl75"/>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79" w:customStyle="1">
    <w:name w:val="xl76"/>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0" w:customStyle="1">
    <w:name w:val="xl7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81" w:customStyle="1">
    <w:name w:val="xl78"/>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2" w:customStyle="1">
    <w:name w:val="xl79"/>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3" w:customStyle="1">
    <w:name w:val="xl80"/>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4" w:customStyle="1">
    <w:name w:val="xl8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85" w:customStyle="1">
    <w:name w:val="xl82"/>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86" w:customStyle="1">
    <w:name w:val="xl83"/>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87" w:customStyle="1">
    <w:name w:val="xl84"/>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8" w:customStyle="1">
    <w:name w:val="xl85"/>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9" w:customStyle="1">
    <w:name w:val="xl86"/>
    <w:basedOn w:val="85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0" w:customStyle="1">
    <w:name w:val="xl87"/>
    <w:basedOn w:val="85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91" w:customStyle="1">
    <w:name w:val="xl88"/>
    <w:basedOn w:val="855"/>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2" w:customStyle="1">
    <w:name w:val="xl89"/>
    <w:basedOn w:val="85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93" w:customStyle="1">
    <w:name w:val="xl90"/>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4" w:customStyle="1">
    <w:name w:val="xl9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95" w:customStyle="1">
    <w:name w:val="xl92"/>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6" w:customStyle="1">
    <w:name w:val="xl93"/>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97" w:customStyle="1">
    <w:name w:val="xl94"/>
    <w:basedOn w:val="8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98" w:customStyle="1">
    <w:name w:val="xl95"/>
    <w:basedOn w:val="85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99" w:customStyle="1">
    <w:name w:val="xl96"/>
    <w:basedOn w:val="8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00" w:customStyle="1">
    <w:name w:val="xl97"/>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1" w:customStyle="1">
    <w:name w:val="xl98"/>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2" w:customStyle="1">
    <w:name w:val="xl99"/>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03" w:customStyle="1">
    <w:name w:val="xl100"/>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4" w:customStyle="1">
    <w:name w:val="xl10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5" w:customStyle="1">
    <w:name w:val="xl102"/>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6" w:customStyle="1">
    <w:name w:val="xl103"/>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07" w:customStyle="1">
    <w:name w:val="xl104"/>
    <w:basedOn w:val="855"/>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1108" w:customStyle="1">
    <w:name w:val="xl105"/>
    <w:basedOn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09" w:customStyle="1">
    <w:name w:val="xl106"/>
    <w:basedOn w:val="855"/>
    <w:qFormat/>
    <w:pPr>
      <w:jc w:val="center"/>
      <w:spacing w:before="100" w:beforeAutospacing="1" w:after="100" w:afterAutospacing="1"/>
      <w:widowControl/>
    </w:pPr>
    <w:rPr>
      <w:rFonts w:ascii="宋体" w:hAnsi="宋体" w:eastAsia="宋体" w:cs="宋体"/>
      <w:sz w:val="24"/>
    </w:rPr>
  </w:style>
  <w:style w:type="paragraph" w:styleId="1110" w:customStyle="1">
    <w:name w:val="xl107"/>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rPr>
  </w:style>
  <w:style w:type="paragraph" w:styleId="1111" w:customStyle="1">
    <w:name w:val="xl108"/>
    <w:basedOn w:val="855"/>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sz w:val="24"/>
    </w:rPr>
  </w:style>
  <w:style w:type="paragraph" w:styleId="1112" w:customStyle="1">
    <w:name w:val="xl109"/>
    <w:basedOn w:val="855"/>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sz w:val="24"/>
    </w:rPr>
  </w:style>
  <w:style w:type="paragraph" w:styleId="1113" w:customStyle="1">
    <w:name w:val="xl110"/>
    <w:basedOn w:val="855"/>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rPr>
  </w:style>
  <w:style w:type="paragraph" w:styleId="1114" w:customStyle="1">
    <w:name w:val="xl111"/>
    <w:basedOn w:val="855"/>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rPr>
  </w:style>
  <w:style w:type="paragraph" w:styleId="1115" w:customStyle="1">
    <w:name w:val="xl112"/>
    <w:basedOn w:val="855"/>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eastAsia="宋体" w:cs="宋体"/>
      <w:sz w:val="24"/>
    </w:rPr>
  </w:style>
  <w:style w:type="paragraph" w:styleId="1116" w:customStyle="1">
    <w:name w:val="xl113"/>
    <w:basedOn w:val="855"/>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eastAsia="宋体" w:cs="宋体"/>
      <w:sz w:val="24"/>
    </w:rPr>
  </w:style>
  <w:style w:type="paragraph" w:styleId="1117" w:customStyle="1">
    <w:name w:val="xl114"/>
    <w:basedOn w:val="855"/>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eastAsia="宋体" w:cs="宋体"/>
      <w:color w:val="000000"/>
      <w:sz w:val="18"/>
      <w:szCs w:val="18"/>
    </w:rPr>
  </w:style>
  <w:style w:type="paragraph" w:styleId="1118" w:customStyle="1">
    <w:name w:val="xl115"/>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119" w:customStyle="1">
    <w:name w:val="xl116"/>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1120" w:customStyle="1">
    <w:name w:val="xl11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1" w:customStyle="1">
    <w:name w:val="xl118"/>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22" w:customStyle="1">
    <w:name w:val="xl119"/>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3" w:customStyle="1">
    <w:name w:val="xl120"/>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24" w:customStyle="1">
    <w:name w:val="xl121"/>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125" w:customStyle="1">
    <w:name w:val="xl122"/>
    <w:basedOn w:val="85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126" w:customStyle="1">
    <w:name w:val="xl123"/>
    <w:basedOn w:val="85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rPr>
  </w:style>
  <w:style w:type="paragraph" w:styleId="1127" w:customStyle="1">
    <w:name w:val="xl124"/>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28" w:customStyle="1">
    <w:name w:val="xl125"/>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9" w:customStyle="1">
    <w:name w:val="xl126"/>
    <w:basedOn w:val="855"/>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130" w:customStyle="1">
    <w:name w:val="xl12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131" w:customStyle="1">
    <w:name w:val="xl128"/>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132" w:customStyle="1">
    <w:name w:val="xl129"/>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33" w:customStyle="1">
    <w:name w:val="xl130"/>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color w:val="000000"/>
      <w:sz w:val="24"/>
    </w:rPr>
  </w:style>
  <w:style w:type="paragraph" w:styleId="1134" w:customStyle="1">
    <w:name w:val="xl131"/>
    <w:basedOn w:val="855"/>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rPr>
  </w:style>
  <w:style w:type="paragraph" w:styleId="1135" w:customStyle="1">
    <w:name w:val="xl132"/>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136" w:customStyle="1">
    <w:name w:val="xl133"/>
    <w:basedOn w:val="855"/>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4"/>
    </w:rPr>
  </w:style>
  <w:style w:type="paragraph" w:styleId="1137" w:customStyle="1">
    <w:name w:val="xl134"/>
    <w:basedOn w:val="855"/>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00"/>
      <w:sz w:val="20"/>
      <w:szCs w:val="20"/>
    </w:rPr>
  </w:style>
  <w:style w:type="paragraph" w:styleId="1138" w:customStyle="1">
    <w:name w:val="xl135"/>
    <w:basedOn w:val="855"/>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color w:val="000000"/>
      <w:sz w:val="20"/>
      <w:szCs w:val="20"/>
    </w:rPr>
  </w:style>
  <w:style w:type="paragraph" w:styleId="1139" w:customStyle="1">
    <w:name w:val="xl136"/>
    <w:basedOn w:val="855"/>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00"/>
      <w:sz w:val="20"/>
      <w:szCs w:val="20"/>
    </w:rPr>
  </w:style>
  <w:style w:type="character" w:styleId="1140" w:customStyle="1">
    <w:name w:val="标题 3 字符"/>
    <w:basedOn w:val="865"/>
    <w:link w:val="858"/>
    <w:semiHidden/>
    <w:qFormat/>
    <w:rPr>
      <w:rFonts w:asciiTheme="minorHAnsi" w:hAnsiTheme="minorHAnsi" w:eastAsiaTheme="minorEastAsia" w:cstheme="minorBidi"/>
      <w:b/>
      <w:bCs/>
      <w:sz w:val="32"/>
      <w:szCs w:val="32"/>
    </w:rPr>
  </w:style>
  <w:style w:type="character" w:styleId="1141" w:customStyle="1">
    <w:name w:val="标题 1 字符"/>
    <w:basedOn w:val="865"/>
    <w:link w:val="856"/>
    <w:qFormat/>
    <w:rPr>
      <w:rFonts w:asciiTheme="minorHAnsi" w:hAnsiTheme="minorHAnsi" w:eastAsiaTheme="minorEastAsia" w:cstheme="minorBidi"/>
      <w:b/>
      <w:bCs/>
      <w:sz w:val="44"/>
      <w:szCs w:val="44"/>
    </w:rPr>
  </w:style>
  <w:style w:type="character" w:styleId="1142" w:customStyle="1">
    <w:name w:val="custom-tag-placeholder-class"/>
    <w:basedOn w:val="865"/>
  </w:style>
  <w:style w:type="character" w:styleId="1143">
    <w:name w:val="Strong"/>
    <w:basedOn w:val="865"/>
    <w:uiPriority w:val="22"/>
    <w:qFormat/>
    <w:rPr>
      <w:b/>
      <w:bCs/>
    </w:rPr>
  </w:style>
  <w:style w:type="character" w:styleId="1144" w:customStyle="1">
    <w:name w:val="标题 2 字符"/>
    <w:basedOn w:val="865"/>
    <w:link w:val="857"/>
    <w:semiHidden/>
    <w:rPr>
      <w:rFonts w:ascii="宋体" w:hAnsi="宋体"/>
      <w:b/>
      <w:bCs/>
      <w:sz w:val="36"/>
      <w:szCs w:val="36"/>
    </w:rPr>
  </w:style>
  <w:style w:type="character" w:styleId="1145" w:customStyle="1">
    <w:name w:val="批注文字 字符"/>
    <w:basedOn w:val="865"/>
    <w:link w:val="1045"/>
    <w:rPr>
      <w:rFonts w:asciiTheme="minorHAnsi" w:hAnsiTheme="minorHAnsi" w:eastAsiaTheme="minorEastAsia" w:cstheme="minorBidi"/>
      <w:sz w:val="21"/>
      <w:szCs w:val="24"/>
    </w:rPr>
  </w:style>
  <w:style w:type="character" w:styleId="1146" w:customStyle="1">
    <w:name w:val="正文文本 字符"/>
    <w:basedOn w:val="865"/>
    <w:link w:val="1046"/>
    <w:rPr>
      <w:rFonts w:ascii="Calibri" w:hAnsi="Calibri" w:eastAsiaTheme="minorEastAsia" w:cstheme="minorBidi"/>
      <w:sz w:val="21"/>
      <w:szCs w:val="22"/>
    </w:rPr>
  </w:style>
  <w:style w:type="character" w:styleId="1147" w:customStyle="1">
    <w:name w:val="纯文本 字符"/>
    <w:basedOn w:val="865"/>
    <w:link w:val="1047"/>
    <w:rPr>
      <w:rFonts w:ascii="宋体" w:hAnsi="Courier New" w:cs="Courier New" w:eastAsiaTheme="minorEastAsia"/>
      <w:sz w:val="21"/>
      <w:szCs w:val="21"/>
    </w:rPr>
  </w:style>
  <w:style w:type="table" w:styleId="1148" w:customStyle="1">
    <w:name w:val="无格式表格 11"/>
    <w:basedOn w:val="8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无格式表格 21"/>
    <w:basedOn w:val="8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0" w:customStyle="1">
    <w:name w:val="无格式表格 31"/>
    <w:basedOn w:val="86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1" w:customStyle="1">
    <w:name w:val="无格式表格 41"/>
    <w:basedOn w:val="86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2" w:customStyle="1">
    <w:name w:val="无格式表格 51"/>
    <w:basedOn w:val="86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3" w:customStyle="1">
    <w:name w:val="网格表 1 浅色1"/>
    <w:basedOn w:val="86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54" w:customStyle="1">
    <w:name w:val="网格表 21"/>
    <w:basedOn w:val="86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55" w:customStyle="1">
    <w:name w:val="网格表 31"/>
    <w:basedOn w:val="86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网格表 41"/>
    <w:basedOn w:val="866"/>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7" w:customStyle="1">
    <w:name w:val="网格表 5 深色1"/>
    <w:basedOn w:val="8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8" w:customStyle="1">
    <w:name w:val="网格表 6 彩色1"/>
    <w:basedOn w:val="86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59" w:customStyle="1">
    <w:name w:val="网格表 7 彩色1"/>
    <w:basedOn w:val="866"/>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60" w:customStyle="1">
    <w:name w:val="清单表 1 浅色1"/>
    <w:basedOn w:val="866"/>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1" w:customStyle="1">
    <w:name w:val="清单表 21"/>
    <w:basedOn w:val="86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62" w:customStyle="1">
    <w:name w:val="清单表 31"/>
    <w:basedOn w:val="86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3" w:customStyle="1">
    <w:name w:val="清单表 41"/>
    <w:basedOn w:val="86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清单表 5 深色1"/>
    <w:basedOn w:val="86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65" w:customStyle="1">
    <w:name w:val="清单表 6 彩色1"/>
    <w:basedOn w:val="86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66" w:customStyle="1">
    <w:name w:val="清单表 7 彩色1"/>
    <w:basedOn w:val="866"/>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67" w:customStyle="1">
    <w:name w:val="TOC 标题1"/>
    <w:uiPriority w:val="39"/>
    <w:unhideWhenUsed/>
  </w:style>
  <w:style w:type="paragraph" w:styleId="1168">
    <w:name w:val="Balloon Text"/>
    <w:basedOn w:val="855"/>
    <w:link w:val="1169"/>
    <w:uiPriority w:val="99"/>
    <w:semiHidden/>
    <w:unhideWhenUsed/>
    <w:rPr>
      <w:sz w:val="18"/>
      <w:szCs w:val="18"/>
    </w:rPr>
  </w:style>
  <w:style w:type="character" w:styleId="1169" w:customStyle="1">
    <w:name w:val="批注框文本 字符"/>
    <w:basedOn w:val="865"/>
    <w:link w:val="1168"/>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正式环境陈艳测试账号</dc:creator>
  <cp:lastModifiedBy>陈文</cp:lastModifiedBy>
  <cp:revision>44</cp:revision>
  <dcterms:created xsi:type="dcterms:W3CDTF">2025-08-27T02:32:00Z</dcterms:created>
  <dcterms:modified xsi:type="dcterms:W3CDTF">2025-09-25T07:57:00Z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2CE725C660F74BC6B9F9F213959B39C7_13</vt:lpwstr>
  </property>
  <property fmtid="{D5CDD505-2E9C-101B-9397-08002B2CF9AE}" pid="4" name="KSOTemplateDocerSaveRecord">
    <vt:lpwstr>eyJoZGlkIjoiZTM5NjQ4MDViNzI1OGY2YzE4MzhiZmY5ZTY1YTkxNGYiLCJ1c2VySWQiOiIxNjcxMTcxMDA3In0=</vt:lpwstr>
  </property>
</Properties>
</file>