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jc w:val="center"/>
        <w:spacing w:line="600" w:lineRule="exact"/>
        <w:rPr>
          <w:rFonts w:hint="eastAsia" w:cs="宋体"/>
          <w:b/>
          <w:spacing w:val="100"/>
          <w:sz w:val="48"/>
        </w:rPr>
      </w:pPr>
      <w:r>
        <w:rPr>
          <w:rFonts w:hint="eastAsia" w:cs="宋体"/>
          <w:b/>
          <w:spacing w:val="100"/>
          <w:sz w:val="48"/>
        </w:rPr>
      </w:r>
      <w:r/>
    </w:p>
    <w:p>
      <w:pPr>
        <w:pStyle w:val="952"/>
        <w:jc w:val="center"/>
        <w:spacing w:line="600" w:lineRule="exact"/>
        <w:rPr>
          <w:rFonts w:hint="eastAsia" w:cs="宋体"/>
          <w:b/>
          <w:spacing w:val="100"/>
          <w:sz w:val="48"/>
        </w:rPr>
      </w:pPr>
      <w:r>
        <w:rPr>
          <w:rFonts w:hint="eastAsia" w:cs="宋体"/>
          <w:b/>
          <w:spacing w:val="100"/>
          <w:sz w:val="48"/>
        </w:rPr>
      </w:r>
      <w:r/>
    </w:p>
    <w:p>
      <w:pPr>
        <w:pStyle w:val="952"/>
        <w:jc w:val="center"/>
        <w:spacing w:line="600" w:lineRule="exact"/>
        <w:rPr>
          <w:rFonts w:hint="eastAsia" w:cs="宋体"/>
          <w:b/>
          <w:spacing w:val="100"/>
          <w:sz w:val="48"/>
        </w:rPr>
      </w:pPr>
      <w:r>
        <w:rPr>
          <w:rFonts w:hint="eastAsia" w:cs="宋体"/>
          <w:b/>
          <w:spacing w:val="100"/>
          <w:sz w:val="48"/>
        </w:rPr>
      </w:r>
      <w:r/>
    </w:p>
    <w:p>
      <w:pPr>
        <w:pStyle w:val="952"/>
        <w:jc w:val="center"/>
        <w:spacing w:line="600" w:lineRule="exact"/>
        <w:rPr>
          <w:rFonts w:hint="eastAsia" w:cs="宋体"/>
          <w:b/>
          <w:spacing w:val="100"/>
          <w:sz w:val="48"/>
        </w:rPr>
      </w:pPr>
      <w:r>
        <w:rPr>
          <w:rFonts w:hint="eastAsia" w:cs="宋体"/>
          <w:b/>
          <w:spacing w:val="100"/>
          <w:sz w:val="48"/>
        </w:rPr>
        <w:t xml:space="preserve">服务采购</w:t>
      </w:r>
      <w:r/>
    </w:p>
    <w:p>
      <w:pPr>
        <w:pStyle w:val="952"/>
        <w:jc w:val="center"/>
        <w:spacing w:line="560" w:lineRule="exact"/>
        <w:rPr>
          <w:rFonts w:hint="eastAsia" w:cs="宋体"/>
          <w:b/>
          <w:sz w:val="72"/>
        </w:rPr>
      </w:pPr>
      <w:r>
        <w:rPr>
          <w:rFonts w:hint="eastAsia" w:cs="宋体"/>
          <w:b/>
          <w:sz w:val="72"/>
        </w:rPr>
      </w:r>
      <w:r/>
    </w:p>
    <w:p>
      <w:pPr>
        <w:pStyle w:val="952"/>
        <w:jc w:val="center"/>
        <w:spacing w:line="560" w:lineRule="exact"/>
        <w:rPr>
          <w:rFonts w:hint="eastAsia" w:cs="宋体"/>
          <w:b/>
          <w:sz w:val="72"/>
        </w:rPr>
      </w:pPr>
      <w:r>
        <w:rPr>
          <w:rFonts w:hint="eastAsia" w:cs="宋体"/>
          <w:b/>
          <w:sz w:val="72"/>
        </w:rPr>
      </w:r>
      <w:r/>
    </w:p>
    <w:p>
      <w:pPr>
        <w:pStyle w:val="952"/>
        <w:jc w:val="center"/>
        <w:spacing w:line="560" w:lineRule="exact"/>
        <w:rPr>
          <w:rFonts w:hint="eastAsia" w:cs="宋体"/>
          <w:b/>
          <w:sz w:val="72"/>
        </w:rPr>
      </w:pPr>
      <w:r>
        <w:rPr>
          <w:rFonts w:hint="eastAsia" w:cs="宋体"/>
          <w:b/>
          <w:sz w:val="72"/>
        </w:rPr>
      </w:r>
      <w:r/>
    </w:p>
    <w:p>
      <w:pPr>
        <w:pStyle w:val="952"/>
        <w:jc w:val="center"/>
        <w:spacing w:line="560" w:lineRule="exact"/>
        <w:rPr>
          <w:rFonts w:hint="eastAsia" w:cs="宋体"/>
          <w:b/>
          <w:sz w:val="72"/>
        </w:rPr>
      </w:pPr>
      <w:r>
        <w:rPr>
          <w:rFonts w:hint="eastAsia" w:cs="宋体"/>
          <w:b/>
          <w:sz w:val="72"/>
        </w:rPr>
      </w:r>
      <w:r/>
    </w:p>
    <w:p>
      <w:pPr>
        <w:pStyle w:val="952"/>
        <w:jc w:val="center"/>
        <w:spacing w:line="1320" w:lineRule="exact"/>
        <w:rPr>
          <w:rFonts w:hint="eastAsia" w:cs="宋体"/>
          <w:b/>
          <w:sz w:val="84"/>
        </w:rPr>
      </w:pPr>
      <w:r>
        <w:rPr>
          <w:rFonts w:hint="eastAsia" w:cs="宋体"/>
          <w:b/>
          <w:sz w:val="84"/>
        </w:rPr>
        <w:t xml:space="preserve">招 标 文 件</w:t>
      </w:r>
      <w:r/>
    </w:p>
    <w:p>
      <w:pPr>
        <w:pStyle w:val="952"/>
        <w:jc w:val="center"/>
        <w:spacing w:line="1320" w:lineRule="exact"/>
        <w:rPr>
          <w:rFonts w:hint="eastAsia" w:cs="宋体"/>
          <w:b/>
          <w:sz w:val="84"/>
        </w:rPr>
      </w:pPr>
      <w:r>
        <w:rPr>
          <w:rFonts w:hint="eastAsia" w:cs="宋体"/>
          <w:b/>
          <w:sz w:val="84"/>
        </w:rPr>
      </w:r>
      <w:r/>
    </w:p>
    <w:p>
      <w:pPr>
        <w:pStyle w:val="952"/>
        <w:jc w:val="center"/>
        <w:spacing w:line="1320" w:lineRule="exact"/>
        <w:rPr>
          <w:rFonts w:hint="eastAsia" w:cs="宋体"/>
          <w:b/>
          <w:sz w:val="84"/>
        </w:rPr>
      </w:pPr>
      <w:r>
        <w:rPr>
          <w:rFonts w:hint="eastAsia" w:cs="宋体"/>
          <w:b/>
          <w:sz w:val="84"/>
        </w:rPr>
      </w:r>
      <w:r/>
    </w:p>
    <w:p>
      <w:pPr>
        <w:pStyle w:val="952"/>
        <w:ind w:firstLine="1968"/>
        <w:spacing w:line="360" w:lineRule="auto"/>
        <w:rPr>
          <w:rFonts w:hint="eastAsia" w:cs="宋体"/>
          <w:b/>
          <w:sz w:val="28"/>
          <w:szCs w:val="28"/>
        </w:rPr>
      </w:pPr>
      <w:r>
        <w:rPr>
          <w:rFonts w:hint="eastAsia" w:cs="宋体"/>
          <w:b/>
          <w:sz w:val="28"/>
          <w:szCs w:val="28"/>
        </w:rPr>
        <w:t xml:space="preserve">采购招标编号：</w:t>
      </w:r>
      <w:r>
        <w:rPr>
          <w:rFonts w:hint="eastAsia" w:cs="宋体"/>
          <w:b/>
          <w:bCs/>
          <w:sz w:val="28"/>
          <w:szCs w:val="28"/>
        </w:rPr>
        <w:t xml:space="preserve">JSZC-320585-SZLZ-G2024-0016</w:t>
      </w:r>
      <w:r>
        <w:rPr>
          <w:rFonts w:hint="eastAsia" w:cs="宋体"/>
          <w:b/>
          <w:sz w:val="28"/>
          <w:szCs w:val="28"/>
        </w:rPr>
      </w:r>
      <w:r/>
    </w:p>
    <w:p>
      <w:pPr>
        <w:pStyle w:val="952"/>
        <w:ind w:firstLine="1968"/>
        <w:spacing w:line="360" w:lineRule="auto"/>
        <w:rPr>
          <w:rFonts w:hint="eastAsia" w:cs="宋体"/>
          <w:b/>
          <w:sz w:val="28"/>
          <w:szCs w:val="28"/>
        </w:rPr>
      </w:pPr>
      <w:r>
        <w:rPr>
          <w:rFonts w:hint="eastAsia" w:cs="宋体"/>
          <w:b/>
          <w:sz w:val="28"/>
          <w:szCs w:val="28"/>
        </w:rPr>
        <w:t xml:space="preserve">采购内容：</w:t>
      </w:r>
      <w:r>
        <w:rPr>
          <w:rFonts w:cs="宋体"/>
          <w:b/>
          <w:bCs/>
          <w:sz w:val="28"/>
          <w:szCs w:val="28"/>
        </w:rPr>
        <w:t xml:space="preserve">太仓市城市绿化资源普查</w:t>
      </w:r>
      <w:r>
        <w:rPr>
          <w:rFonts w:hint="eastAsia" w:cs="宋体"/>
          <w:b/>
          <w:sz w:val="28"/>
          <w:szCs w:val="28"/>
        </w:rPr>
      </w:r>
      <w:r/>
    </w:p>
    <w:p>
      <w:pPr>
        <w:pStyle w:val="952"/>
        <w:ind w:firstLine="1968"/>
        <w:spacing w:line="360" w:lineRule="auto"/>
        <w:rPr>
          <w:rFonts w:hint="eastAsia" w:cs="宋体"/>
          <w:b/>
          <w:sz w:val="28"/>
          <w:szCs w:val="28"/>
        </w:rPr>
      </w:pPr>
      <w:r>
        <w:rPr>
          <w:rFonts w:hint="eastAsia" w:cs="宋体"/>
          <w:b/>
          <w:sz w:val="28"/>
          <w:szCs w:val="28"/>
        </w:rPr>
        <w:t xml:space="preserve">采购类型：服务类</w:t>
      </w:r>
      <w:r/>
    </w:p>
    <w:p>
      <w:pPr>
        <w:pStyle w:val="952"/>
        <w:ind w:firstLine="1968"/>
        <w:spacing w:line="360" w:lineRule="auto"/>
        <w:rPr>
          <w:rFonts w:hint="eastAsia" w:cs="宋体"/>
          <w:b/>
          <w:sz w:val="28"/>
          <w:szCs w:val="28"/>
        </w:rPr>
      </w:pPr>
      <w:r>
        <w:rPr>
          <w:rFonts w:hint="eastAsia" w:cs="宋体"/>
          <w:b/>
          <w:sz w:val="28"/>
          <w:szCs w:val="28"/>
        </w:rPr>
        <w:t xml:space="preserve">标的所属行业：其他未列明行业</w:t>
      </w:r>
      <w:r/>
    </w:p>
    <w:p>
      <w:pPr>
        <w:pStyle w:val="952"/>
        <w:ind w:firstLine="1968"/>
        <w:spacing w:line="360" w:lineRule="auto"/>
        <w:rPr>
          <w:rFonts w:hint="eastAsia" w:cs="宋体"/>
          <w:b/>
          <w:sz w:val="28"/>
          <w:szCs w:val="28"/>
        </w:rPr>
      </w:pPr>
      <w:r>
        <w:rPr>
          <w:rFonts w:hint="eastAsia" w:cs="宋体"/>
          <w:b/>
          <w:sz w:val="28"/>
          <w:szCs w:val="28"/>
        </w:rPr>
        <w:t xml:space="preserve">采购单位：</w:t>
      </w:r>
      <w:r>
        <w:rPr>
          <w:rFonts w:cs="宋体"/>
          <w:b/>
          <w:bCs/>
          <w:sz w:val="28"/>
          <w:szCs w:val="28"/>
        </w:rPr>
        <w:t xml:space="preserve">太仓市住房和城乡建设局</w:t>
      </w:r>
      <w:r>
        <w:rPr>
          <w:rFonts w:hint="eastAsia" w:cs="宋体"/>
          <w:b/>
          <w:sz w:val="28"/>
          <w:szCs w:val="28"/>
        </w:rPr>
      </w:r>
      <w:r/>
    </w:p>
    <w:p>
      <w:pPr>
        <w:pStyle w:val="952"/>
        <w:ind w:firstLine="1968"/>
        <w:spacing w:line="360" w:lineRule="auto"/>
        <w:rPr>
          <w:rFonts w:hint="eastAsia" w:cs="宋体"/>
          <w:b/>
          <w:sz w:val="28"/>
          <w:szCs w:val="28"/>
        </w:rPr>
      </w:pPr>
      <w:r>
        <w:rPr>
          <w:rFonts w:hint="eastAsia" w:cs="宋体"/>
          <w:b/>
          <w:sz w:val="28"/>
          <w:szCs w:val="28"/>
        </w:rPr>
        <w:t xml:space="preserve">招标服务单位：苏州乐族工程咨询有限公司</w:t>
      </w:r>
      <w:r/>
    </w:p>
    <w:p>
      <w:pPr>
        <w:pStyle w:val="952"/>
        <w:jc w:val="center"/>
        <w:rPr>
          <w:rFonts w:hint="eastAsia" w:cs="宋体"/>
          <w:b/>
          <w:sz w:val="28"/>
          <w:szCs w:val="28"/>
        </w:rPr>
      </w:pPr>
      <w:r>
        <w:rPr>
          <w:rFonts w:hint="eastAsia" w:cs="宋体"/>
          <w:b/>
          <w:sz w:val="28"/>
          <w:szCs w:val="28"/>
        </w:rPr>
      </w:r>
      <w:r/>
    </w:p>
    <w:p>
      <w:pPr>
        <w:pStyle w:val="952"/>
        <w:jc w:val="center"/>
        <w:rPr>
          <w:rFonts w:hint="eastAsia" w:cs="宋体"/>
          <w:b/>
          <w:bCs/>
          <w:sz w:val="32"/>
        </w:rPr>
      </w:pPr>
      <w:r>
        <w:rPr>
          <w:rFonts w:hint="eastAsia" w:cs="宋体"/>
          <w:b/>
          <w:sz w:val="28"/>
          <w:szCs w:val="28"/>
        </w:rPr>
        <w:t xml:space="preserve">二○二</w:t>
      </w:r>
      <w:r>
        <w:rPr>
          <w:rFonts w:hint="eastAsia" w:cs="宋体"/>
          <w:b/>
          <w:sz w:val="28"/>
          <w:szCs w:val="28"/>
          <w:lang w:eastAsia="en-US"/>
        </w:rPr>
        <w:t xml:space="preserve">四</w:t>
      </w:r>
      <w:r>
        <w:rPr>
          <w:rFonts w:hint="eastAsia" w:cs="宋体"/>
          <w:b/>
          <w:sz w:val="28"/>
          <w:szCs w:val="28"/>
        </w:rPr>
        <w:t xml:space="preserve">年</w:t>
      </w:r>
      <w:r>
        <w:rPr>
          <w:rFonts w:hint="eastAsia" w:cs="宋体"/>
          <w:b/>
          <w:sz w:val="28"/>
          <w:szCs w:val="28"/>
        </w:rPr>
        <w:t xml:space="preserve">八</w:t>
      </w:r>
      <w:r>
        <w:rPr>
          <w:rFonts w:hint="eastAsia" w:cs="宋体"/>
          <w:b/>
          <w:sz w:val="28"/>
          <w:szCs w:val="28"/>
        </w:rPr>
        <w:t xml:space="preserve">月</w:t>
      </w:r>
      <w:r>
        <w:rPr>
          <w:rFonts w:hint="eastAsia" w:cs="宋体"/>
          <w:b/>
          <w:bCs/>
          <w:sz w:val="32"/>
        </w:rPr>
      </w:r>
      <w:r/>
    </w:p>
    <w:p>
      <w:pPr>
        <w:pStyle w:val="952"/>
        <w:jc w:val="center"/>
        <w:rPr>
          <w:rFonts w:hint="eastAsia" w:cs="宋体"/>
          <w:sz w:val="48"/>
        </w:rPr>
      </w:pPr>
      <w:r>
        <w:rPr>
          <w:rFonts w:hint="eastAsia" w:cs="宋体"/>
          <w:sz w:val="48"/>
        </w:rPr>
      </w:r>
      <w:r/>
    </w:p>
    <w:p>
      <w:pPr>
        <w:pStyle w:val="952"/>
        <w:jc w:val="center"/>
        <w:rPr>
          <w:rFonts w:hint="eastAsia" w:cs="宋体"/>
          <w:sz w:val="48"/>
        </w:rPr>
      </w:pPr>
      <w:r>
        <w:rPr>
          <w:rFonts w:hint="eastAsia" w:cs="宋体"/>
          <w:sz w:val="48"/>
        </w:rPr>
      </w:r>
      <w:r/>
    </w:p>
    <w:p>
      <w:pPr>
        <w:pStyle w:val="952"/>
        <w:jc w:val="center"/>
        <w:rPr>
          <w:rFonts w:hint="eastAsia" w:cs="宋体"/>
          <w:sz w:val="48"/>
        </w:rPr>
      </w:pPr>
      <w:r>
        <w:rPr>
          <w:rFonts w:hint="eastAsia" w:cs="宋体"/>
          <w:sz w:val="48"/>
        </w:rPr>
        <w:t xml:space="preserve">总目录</w:t>
      </w:r>
      <w:r/>
    </w:p>
    <w:p>
      <w:pPr>
        <w:pStyle w:val="952"/>
        <w:rPr>
          <w:rFonts w:hint="eastAsia" w:cs="宋体"/>
        </w:rPr>
      </w:pPr>
      <w:r>
        <w:rPr>
          <w:rFonts w:hint="eastAsia" w:cs="宋体"/>
        </w:rPr>
      </w:r>
      <w:r/>
    </w:p>
    <w:p>
      <w:pPr>
        <w:pStyle w:val="952"/>
        <w:rPr>
          <w:rFonts w:hint="eastAsia" w:cs="宋体"/>
        </w:rPr>
      </w:pPr>
      <w:r>
        <w:rPr>
          <w:rFonts w:hint="eastAsia" w:cs="宋体"/>
        </w:rPr>
      </w:r>
      <w:r/>
    </w:p>
    <w:p>
      <w:pPr>
        <w:pStyle w:val="952"/>
        <w:ind w:firstLine="711"/>
        <w:spacing w:line="720" w:lineRule="auto"/>
        <w:rPr>
          <w:rFonts w:hint="eastAsia" w:cs="宋体"/>
          <w:b/>
          <w:bCs/>
          <w:sz w:val="28"/>
        </w:rPr>
      </w:pPr>
      <w:r>
        <w:rPr>
          <w:rFonts w:hint="eastAsia" w:cs="宋体"/>
          <w:b/>
          <w:bCs/>
          <w:sz w:val="28"/>
        </w:rPr>
        <w:t xml:space="preserve">第一章 招标公告　 </w:t>
      </w:r>
      <w:r/>
    </w:p>
    <w:p>
      <w:pPr>
        <w:pStyle w:val="952"/>
        <w:ind w:firstLine="711"/>
        <w:spacing w:line="720" w:lineRule="auto"/>
        <w:rPr>
          <w:rFonts w:hint="eastAsia" w:cs="宋体"/>
          <w:b/>
          <w:bCs/>
          <w:sz w:val="28"/>
        </w:rPr>
      </w:pPr>
      <w:r>
        <w:rPr>
          <w:rFonts w:hint="eastAsia" w:cs="宋体"/>
          <w:b/>
          <w:bCs/>
          <w:sz w:val="28"/>
        </w:rPr>
        <w:t xml:space="preserve">第二章 </w:t>
      </w:r>
      <w:r>
        <w:rPr>
          <w:rFonts w:hint="eastAsia" w:cs="宋体"/>
          <w:b/>
          <w:bCs/>
          <w:sz w:val="28"/>
        </w:rPr>
        <w:fldChar w:fldCharType="begin"/>
      </w:r>
      <w:r>
        <w:rPr>
          <w:rFonts w:hint="eastAsia" w:cs="宋体"/>
          <w:b/>
          <w:bCs/>
          <w:sz w:val="28"/>
        </w:rPr>
        <w:instrText xml:space="preserve"> HYPERLINK  \l "投标人须知" </w:instrText>
      </w:r>
      <w:r>
        <w:rPr>
          <w:rFonts w:hint="eastAsia" w:cs="宋体"/>
          <w:b/>
          <w:bCs/>
          <w:sz w:val="28"/>
        </w:rPr>
        <w:fldChar w:fldCharType="separate"/>
      </w:r>
      <w:r>
        <w:rPr>
          <w:rStyle w:val="1039"/>
          <w:rFonts w:hint="eastAsia" w:cs="宋体"/>
          <w:b/>
          <w:bCs/>
          <w:color w:val="000000"/>
          <w:sz w:val="28"/>
          <w:u w:val="none"/>
        </w:rPr>
        <w:t xml:space="preserve">投标人须知</w:t>
      </w:r>
      <w:r>
        <w:rPr>
          <w:rFonts w:hint="eastAsia" w:cs="宋体"/>
          <w:b/>
          <w:bCs/>
          <w:sz w:val="28"/>
        </w:rPr>
        <w:fldChar w:fldCharType="end"/>
      </w:r>
      <w:r>
        <w:rPr>
          <w:rFonts w:hint="eastAsia" w:cs="宋体"/>
          <w:b/>
          <w:bCs/>
          <w:sz w:val="28"/>
        </w:rPr>
        <w:t xml:space="preserve">　 </w:t>
      </w:r>
      <w:r/>
    </w:p>
    <w:p>
      <w:pPr>
        <w:pStyle w:val="952"/>
        <w:ind w:firstLine="711"/>
        <w:spacing w:line="720" w:lineRule="auto"/>
        <w:rPr>
          <w:rFonts w:hint="eastAsia" w:cs="宋体"/>
          <w:b/>
          <w:bCs/>
          <w:sz w:val="28"/>
        </w:rPr>
      </w:pPr>
      <w:r>
        <w:rPr>
          <w:rFonts w:hint="eastAsia" w:cs="宋体"/>
          <w:b/>
          <w:bCs/>
          <w:sz w:val="28"/>
        </w:rPr>
        <w:t xml:space="preserve">第三章 </w:t>
      </w:r>
      <w:r>
        <w:rPr>
          <w:rFonts w:hint="eastAsia" w:cs="宋体"/>
          <w:b/>
          <w:bCs/>
          <w:sz w:val="28"/>
        </w:rPr>
        <w:fldChar w:fldCharType="begin"/>
      </w:r>
      <w:r>
        <w:rPr>
          <w:rFonts w:hint="eastAsia" w:cs="宋体"/>
          <w:b/>
          <w:bCs/>
          <w:sz w:val="28"/>
        </w:rPr>
        <w:instrText xml:space="preserve"> HYPERLINK  \l "投标文件格式" </w:instrText>
      </w:r>
      <w:r>
        <w:rPr>
          <w:rFonts w:hint="eastAsia" w:cs="宋体"/>
          <w:b/>
          <w:bCs/>
          <w:sz w:val="28"/>
        </w:rPr>
        <w:fldChar w:fldCharType="separate"/>
      </w:r>
      <w:r>
        <w:rPr>
          <w:rStyle w:val="1039"/>
          <w:rFonts w:hint="eastAsia" w:cs="宋体"/>
          <w:b/>
          <w:bCs/>
          <w:color w:val="000000"/>
          <w:sz w:val="28"/>
          <w:u w:val="none"/>
        </w:rPr>
        <w:t xml:space="preserve">投标文件格式</w:t>
      </w:r>
      <w:r>
        <w:rPr>
          <w:rFonts w:hint="eastAsia" w:cs="宋体"/>
          <w:b/>
          <w:bCs/>
          <w:sz w:val="28"/>
        </w:rPr>
        <w:fldChar w:fldCharType="end"/>
      </w:r>
      <w:r>
        <w:rPr>
          <w:rFonts w:hint="eastAsia" w:cs="宋体"/>
          <w:b/>
          <w:bCs/>
          <w:sz w:val="28"/>
        </w:rPr>
        <w:t xml:space="preserve">　</w:t>
      </w:r>
      <w:r/>
    </w:p>
    <w:p>
      <w:pPr>
        <w:pStyle w:val="952"/>
        <w:ind w:firstLine="711"/>
        <w:spacing w:line="720" w:lineRule="auto"/>
        <w:rPr>
          <w:rFonts w:hint="eastAsia" w:cs="宋体"/>
          <w:b/>
          <w:bCs/>
          <w:sz w:val="28"/>
        </w:rPr>
      </w:pPr>
      <w:r>
        <w:rPr>
          <w:rFonts w:hint="eastAsia" w:cs="宋体"/>
          <w:b/>
          <w:bCs/>
          <w:sz w:val="28"/>
        </w:rPr>
        <w:t xml:space="preserve">第四章 </w:t>
      </w:r>
      <w:r>
        <w:rPr>
          <w:rFonts w:hint="eastAsia" w:cs="宋体"/>
          <w:b/>
          <w:bCs/>
          <w:sz w:val="28"/>
        </w:rPr>
        <w:fldChar w:fldCharType="begin"/>
      </w:r>
      <w:r>
        <w:rPr>
          <w:rFonts w:hint="eastAsia" w:cs="宋体"/>
          <w:b/>
          <w:bCs/>
          <w:sz w:val="28"/>
        </w:rPr>
        <w:instrText xml:space="preserve"> HYPERLINK  \l "招标书" </w:instrText>
      </w:r>
      <w:r>
        <w:rPr>
          <w:rFonts w:hint="eastAsia" w:cs="宋体"/>
          <w:b/>
          <w:bCs/>
          <w:sz w:val="28"/>
        </w:rPr>
        <w:fldChar w:fldCharType="separate"/>
      </w:r>
      <w:r>
        <w:rPr>
          <w:rStyle w:val="1039"/>
          <w:rFonts w:hint="eastAsia" w:cs="宋体"/>
          <w:b/>
          <w:bCs/>
          <w:color w:val="000000"/>
          <w:sz w:val="28"/>
          <w:u w:val="none"/>
        </w:rPr>
        <w:t xml:space="preserve">招标书</w:t>
      </w:r>
      <w:r>
        <w:rPr>
          <w:rFonts w:hint="eastAsia" w:cs="宋体"/>
          <w:b/>
          <w:bCs/>
          <w:sz w:val="28"/>
        </w:rPr>
        <w:fldChar w:fldCharType="end"/>
      </w:r>
      <w:r>
        <w:rPr>
          <w:rFonts w:hint="eastAsia" w:cs="宋体"/>
          <w:b/>
          <w:bCs/>
          <w:sz w:val="28"/>
        </w:rPr>
        <w:t xml:space="preserve">　</w:t>
      </w:r>
      <w:r/>
    </w:p>
    <w:p>
      <w:pPr>
        <w:pStyle w:val="952"/>
        <w:ind w:firstLine="711"/>
        <w:spacing w:line="720" w:lineRule="auto"/>
        <w:rPr>
          <w:rFonts w:hint="eastAsia" w:cs="宋体"/>
          <w:b/>
          <w:bCs/>
          <w:sz w:val="28"/>
        </w:rPr>
      </w:pPr>
      <w:r>
        <w:rPr>
          <w:rFonts w:hint="eastAsia" w:cs="宋体"/>
          <w:b/>
          <w:bCs/>
          <w:sz w:val="28"/>
        </w:rPr>
        <w:t xml:space="preserve">第五章 </w:t>
      </w:r>
      <w:r>
        <w:rPr>
          <w:rFonts w:hint="eastAsia" w:cs="宋体"/>
          <w:b/>
          <w:bCs/>
          <w:sz w:val="28"/>
        </w:rPr>
        <w:fldChar w:fldCharType="begin"/>
      </w:r>
      <w:r>
        <w:rPr>
          <w:rFonts w:hint="eastAsia" w:cs="宋体"/>
          <w:b/>
          <w:bCs/>
          <w:sz w:val="28"/>
        </w:rPr>
        <w:instrText xml:space="preserve"> HYPERLINK  \l "合同一般条款" </w:instrText>
      </w:r>
      <w:r>
        <w:rPr>
          <w:rFonts w:hint="eastAsia" w:cs="宋体"/>
          <w:b/>
          <w:bCs/>
          <w:sz w:val="28"/>
        </w:rPr>
        <w:fldChar w:fldCharType="separate"/>
      </w:r>
      <w:r>
        <w:rPr>
          <w:rStyle w:val="1039"/>
          <w:rFonts w:hint="eastAsia" w:cs="宋体"/>
          <w:b/>
          <w:bCs/>
          <w:color w:val="000000"/>
          <w:sz w:val="28"/>
          <w:u w:val="none"/>
        </w:rPr>
        <w:t xml:space="preserve">合同主要条款</w:t>
      </w:r>
      <w:r>
        <w:rPr>
          <w:rFonts w:hint="eastAsia" w:cs="宋体"/>
          <w:b/>
          <w:bCs/>
          <w:sz w:val="28"/>
        </w:rPr>
        <w:fldChar w:fldCharType="end"/>
      </w:r>
      <w:r>
        <w:rPr>
          <w:rFonts w:hint="eastAsia" w:cs="宋体"/>
          <w:b/>
          <w:bCs/>
          <w:sz w:val="28"/>
        </w:rPr>
        <w:t xml:space="preserve">　</w:t>
      </w:r>
      <w:r/>
    </w:p>
    <w:p>
      <w:pPr>
        <w:pStyle w:val="952"/>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p>
    <w:p>
      <w:pPr>
        <w:pStyle w:val="952"/>
        <w:jc w:val="center"/>
        <w:rPr>
          <w:rFonts w:hint="eastAsia" w:cs="宋体"/>
          <w:b/>
          <w:bCs/>
          <w:spacing w:val="20"/>
          <w:sz w:val="30"/>
        </w:rPr>
      </w:pPr>
      <w:r>
        <w:rPr>
          <w:rFonts w:hint="eastAsia" w:cs="宋体"/>
          <w:b/>
          <w:bCs/>
          <w:spacing w:val="20"/>
          <w:sz w:val="30"/>
        </w:rPr>
        <w:br w:type="page" w:clear="all"/>
        <w:t xml:space="preserve">前 附 表</w:t>
      </w:r>
      <w:r/>
    </w:p>
    <w:p>
      <w:pPr>
        <w:pStyle w:val="952"/>
        <w:ind w:firstLine="420"/>
        <w:spacing w:line="440" w:lineRule="exact"/>
        <w:rPr>
          <w:rFonts w:hint="eastAsia" w:cs="宋体"/>
          <w:sz w:val="21"/>
          <w:szCs w:val="21"/>
        </w:rPr>
      </w:pPr>
      <w:r>
        <w:rPr>
          <w:rFonts w:hint="eastAsia" w:cs="宋体"/>
          <w:sz w:val="21"/>
          <w:szCs w:val="21"/>
        </w:rPr>
        <w:t xml:space="preserve">下述关于要采购的</w:t>
      </w:r>
      <w:r>
        <w:rPr>
          <w:rFonts w:cs="宋体"/>
          <w:b/>
          <w:bCs/>
          <w:sz w:val="21"/>
          <w:szCs w:val="21"/>
        </w:rPr>
        <w:t xml:space="preserve">太仓市城市绿化资源普查</w:t>
      </w:r>
      <w:r>
        <w:rPr>
          <w:rFonts w:hint="eastAsia" w:cs="宋体"/>
          <w:sz w:val="21"/>
          <w:szCs w:val="21"/>
        </w:rPr>
        <w:t xml:space="preserve">的具体资料是对招标文件投标人须知的具体补充和修改，如果有矛盾的话，应以本附表为准。</w:t>
      </w:r>
      <w:r/>
    </w:p>
    <w:tbl>
      <w:tblPr>
        <w:tblW w:w="0" w:type="auto"/>
        <w:jc w:val="center"/>
        <w:tblInd w:w="0"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序号</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内容</w:t>
            </w:r>
            <w:r/>
          </w:p>
        </w:tc>
        <w:tc>
          <w:tcPr>
            <w:tcW w:w="6820" w:type="dxa"/>
            <w:vAlign w:val="center"/>
            <w:textDirection w:val="lrTb"/>
            <w:noWrap w:val="false"/>
          </w:tcPr>
          <w:p>
            <w:pPr>
              <w:pStyle w:val="952"/>
              <w:jc w:val="center"/>
              <w:spacing w:line="460" w:lineRule="exact"/>
              <w:rPr>
                <w:rFonts w:hint="eastAsia" w:cs="宋体"/>
                <w:b/>
                <w:bCs/>
                <w:sz w:val="21"/>
                <w:szCs w:val="21"/>
              </w:rPr>
            </w:pPr>
            <w:r>
              <w:rPr>
                <w:rFonts w:hint="eastAsia" w:cs="宋体"/>
                <w:b/>
                <w:bCs/>
                <w:sz w:val="21"/>
                <w:szCs w:val="21"/>
              </w:rPr>
              <w:t xml:space="preserve">说明与要求</w:t>
            </w:r>
            <w:r/>
          </w:p>
        </w:tc>
      </w:tr>
      <w:tr>
        <w:trPr>
          <w:cantSplit/>
          <w:trHeight w:val="553"/>
        </w:trPr>
        <w:tc>
          <w:tcPr>
            <w:tcW w:w="766" w:type="dxa"/>
            <w:vAlign w:val="center"/>
            <w:vMerge w:val="restart"/>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采购内容</w:t>
            </w:r>
            <w:r/>
          </w:p>
        </w:tc>
        <w:tc>
          <w:tcPr>
            <w:tcW w:w="6820" w:type="dxa"/>
            <w:vAlign w:val="center"/>
            <w:textDirection w:val="lrTb"/>
            <w:noWrap w:val="false"/>
          </w:tcPr>
          <w:p>
            <w:pPr>
              <w:pStyle w:val="952"/>
              <w:jc w:val="center"/>
              <w:spacing w:line="460" w:lineRule="exact"/>
              <w:rPr>
                <w:rFonts w:hint="eastAsia" w:cs="宋体"/>
                <w:sz w:val="21"/>
                <w:szCs w:val="21"/>
              </w:rPr>
            </w:pPr>
            <w:r>
              <w:rPr>
                <w:rFonts w:cs="宋体"/>
                <w:sz w:val="21"/>
                <w:szCs w:val="21"/>
              </w:rPr>
              <w:t xml:space="preserve">太仓市城市绿化资源普查</w:t>
            </w:r>
            <w:r>
              <w:rPr>
                <w:rFonts w:hint="eastAsia" w:cs="宋体"/>
                <w:sz w:val="21"/>
                <w:szCs w:val="21"/>
              </w:rPr>
            </w:r>
            <w:r/>
          </w:p>
        </w:tc>
      </w:tr>
      <w:tr>
        <w:trPr>
          <w:cantSplit/>
          <w:trHeight w:val="307"/>
        </w:trPr>
        <w:tc>
          <w:tcPr>
            <w:tcW w:w="766" w:type="dxa"/>
            <w:vAlign w:val="center"/>
            <w:vMerge w:val="continue"/>
            <w:textDirection w:val="lrTb"/>
            <w:noWrap w:val="false"/>
          </w:tcPr>
          <w:p>
            <w:pPr>
              <w:pStyle w:val="95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采购单位</w:t>
            </w:r>
            <w:r/>
          </w:p>
        </w:tc>
        <w:tc>
          <w:tcPr>
            <w:tcW w:w="6820" w:type="dxa"/>
            <w:vAlign w:val="center"/>
            <w:textDirection w:val="lrTb"/>
            <w:noWrap w:val="false"/>
          </w:tcPr>
          <w:p>
            <w:pPr>
              <w:pStyle w:val="952"/>
              <w:jc w:val="center"/>
              <w:spacing w:line="460" w:lineRule="exact"/>
              <w:rPr>
                <w:rFonts w:hint="eastAsia" w:cs="宋体"/>
                <w:sz w:val="21"/>
                <w:szCs w:val="21"/>
              </w:rPr>
            </w:pPr>
            <w:r>
              <w:rPr>
                <w:rFonts w:cs="宋体"/>
                <w:sz w:val="21"/>
                <w:szCs w:val="21"/>
              </w:rPr>
              <w:t xml:space="preserve">太仓市住房和城乡建设局</w:t>
            </w:r>
            <w:r>
              <w:rPr>
                <w:rFonts w:hint="eastAsia" w:cs="宋体"/>
                <w:sz w:val="21"/>
                <w:szCs w:val="21"/>
              </w:rPr>
            </w:r>
            <w:r/>
          </w:p>
        </w:tc>
      </w:tr>
      <w:tr>
        <w:trPr>
          <w:cantSplit/>
          <w:trHeight w:val="652"/>
        </w:trPr>
        <w:tc>
          <w:tcPr>
            <w:tcW w:w="766" w:type="dxa"/>
            <w:vAlign w:val="center"/>
            <w:vMerge w:val="continue"/>
            <w:textDirection w:val="lrTb"/>
            <w:noWrap w:val="false"/>
          </w:tcPr>
          <w:p>
            <w:pPr>
              <w:pStyle w:val="95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采购方式</w:t>
            </w:r>
            <w:r/>
          </w:p>
        </w:tc>
        <w:tc>
          <w:tcPr>
            <w:tcW w:w="6820" w:type="dxa"/>
            <w:vAlign w:val="center"/>
            <w:textDirection w:val="lrTb"/>
            <w:noWrap w:val="false"/>
          </w:tcPr>
          <w:p>
            <w:pPr>
              <w:pStyle w:val="952"/>
              <w:jc w:val="center"/>
              <w:spacing w:line="460" w:lineRule="exact"/>
              <w:rPr>
                <w:rFonts w:hint="eastAsia" w:cs="宋体"/>
                <w:sz w:val="21"/>
                <w:szCs w:val="21"/>
              </w:rPr>
            </w:pPr>
            <w:r>
              <w:rPr>
                <w:rFonts w:hint="eastAsia" w:cs="宋体"/>
                <w:sz w:val="21"/>
                <w:szCs w:val="21"/>
              </w:rPr>
              <w:t xml:space="preserve">公开招标</w:t>
            </w:r>
            <w:r/>
          </w:p>
        </w:tc>
      </w:tr>
      <w:tr>
        <w:trPr>
          <w:cantSplit/>
          <w:trHeight w:val="652"/>
        </w:trPr>
        <w:tc>
          <w:tcPr>
            <w:tcW w:w="766" w:type="dxa"/>
            <w:vAlign w:val="center"/>
            <w:vMerge w:val="continue"/>
            <w:textDirection w:val="lrTb"/>
            <w:noWrap w:val="false"/>
          </w:tcPr>
          <w:p>
            <w:pPr>
              <w:pStyle w:val="95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资金来源</w:t>
            </w:r>
            <w:r/>
          </w:p>
        </w:tc>
        <w:tc>
          <w:tcPr>
            <w:tcW w:w="6820" w:type="dxa"/>
            <w:vAlign w:val="center"/>
            <w:textDirection w:val="lrTb"/>
            <w:noWrap w:val="false"/>
          </w:tcPr>
          <w:p>
            <w:pPr>
              <w:pStyle w:val="952"/>
              <w:jc w:val="center"/>
              <w:spacing w:line="460" w:lineRule="exact"/>
              <w:rPr>
                <w:rFonts w:hint="eastAsia" w:cs="宋体"/>
                <w:sz w:val="21"/>
                <w:szCs w:val="21"/>
              </w:rPr>
            </w:pPr>
            <w:r>
              <w:rPr>
                <w:rFonts w:hint="eastAsia" w:cs="宋体"/>
                <w:sz w:val="21"/>
                <w:szCs w:val="21"/>
              </w:rPr>
              <w:t xml:space="preserve">财政资金</w:t>
            </w:r>
            <w:r/>
          </w:p>
        </w:tc>
      </w:tr>
      <w:tr>
        <w:trPr>
          <w:cantSplit/>
          <w:trHeight w:val="612"/>
        </w:trPr>
        <w:tc>
          <w:tcPr>
            <w:tcW w:w="766" w:type="dxa"/>
            <w:vAlign w:val="center"/>
            <w:vMerge w:val="continue"/>
            <w:textDirection w:val="lrTb"/>
            <w:noWrap w:val="false"/>
          </w:tcPr>
          <w:p>
            <w:pPr>
              <w:pStyle w:val="95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采购范围</w:t>
            </w:r>
            <w:r/>
          </w:p>
        </w:tc>
        <w:tc>
          <w:tcPr>
            <w:tcW w:w="6820" w:type="dxa"/>
            <w:vAlign w:val="center"/>
            <w:textDirection w:val="lrTb"/>
            <w:noWrap w:val="false"/>
          </w:tcPr>
          <w:p>
            <w:pPr>
              <w:pStyle w:val="952"/>
              <w:jc w:val="center"/>
              <w:spacing w:line="460" w:lineRule="exact"/>
              <w:rPr>
                <w:rFonts w:hint="eastAsia" w:cs="宋体"/>
                <w:sz w:val="21"/>
                <w:szCs w:val="21"/>
              </w:rPr>
            </w:pPr>
            <w:r>
              <w:rPr>
                <w:rFonts w:cs="宋体"/>
                <w:sz w:val="21"/>
                <w:szCs w:val="21"/>
              </w:rPr>
              <w:t xml:space="preserve">太仓市城市绿化资源普查</w:t>
            </w:r>
            <w:r>
              <w:rPr>
                <w:rFonts w:hint="eastAsia" w:cs="宋体"/>
                <w:sz w:val="21"/>
                <w:szCs w:val="21"/>
              </w:rPr>
            </w:r>
            <w:r/>
          </w:p>
        </w:tc>
      </w:tr>
      <w:tr>
        <w:trPr>
          <w:cantSplit/>
          <w:trHeight w:val="414"/>
        </w:trPr>
        <w:tc>
          <w:tcPr>
            <w:tcW w:w="766" w:type="dxa"/>
            <w:vAlign w:val="center"/>
            <w:vMerge w:val="continue"/>
            <w:textDirection w:val="lrTb"/>
            <w:noWrap w:val="false"/>
          </w:tcPr>
          <w:p>
            <w:pPr>
              <w:pStyle w:val="95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履行期限</w:t>
            </w:r>
            <w:r/>
          </w:p>
        </w:tc>
        <w:tc>
          <w:tcPr>
            <w:tcW w:w="6820" w:type="dxa"/>
            <w:vAlign w:val="center"/>
            <w:textDirection w:val="lrTb"/>
            <w:noWrap w:val="false"/>
          </w:tcPr>
          <w:p>
            <w:pPr>
              <w:pStyle w:val="952"/>
              <w:jc w:val="center"/>
              <w:spacing w:line="460" w:lineRule="exact"/>
              <w:rPr>
                <w:rFonts w:hint="eastAsia" w:cs="宋体"/>
                <w:sz w:val="21"/>
                <w:szCs w:val="21"/>
              </w:rPr>
            </w:pPr>
            <w:r>
              <w:rPr>
                <w:rFonts w:hint="eastAsia"/>
                <w:sz w:val="21"/>
                <w:szCs w:val="21"/>
              </w:rPr>
              <w:t xml:space="preserve">1年</w:t>
            </w:r>
            <w:r>
              <w:rPr>
                <w:rFonts w:hint="eastAsia" w:cs="宋体"/>
                <w:sz w:val="21"/>
                <w:szCs w:val="21"/>
              </w:rPr>
            </w:r>
            <w:r/>
          </w:p>
        </w:tc>
      </w:tr>
      <w:tr>
        <w:trPr>
          <w:trHeight w:val="553"/>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2</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投标人资格条件</w:t>
            </w:r>
            <w:r/>
          </w:p>
        </w:tc>
        <w:tc>
          <w:tcPr>
            <w:tcW w:w="6820" w:type="dxa"/>
            <w:vAlign w:val="center"/>
            <w:textDirection w:val="lrTb"/>
            <w:noWrap w:val="false"/>
          </w:tcPr>
          <w:p>
            <w:pPr>
              <w:pStyle w:val="952"/>
              <w:jc w:val="left"/>
              <w:spacing w:line="460" w:lineRule="exact"/>
              <w:rPr>
                <w:rFonts w:hint="eastAsia" w:cs="宋体"/>
                <w:sz w:val="21"/>
                <w:szCs w:val="21"/>
              </w:rPr>
            </w:pPr>
            <w:r>
              <w:rPr>
                <w:rFonts w:hint="eastAsia" w:cs="宋体"/>
                <w:sz w:val="21"/>
                <w:szCs w:val="21"/>
              </w:rPr>
              <w:t xml:space="preserve">（一）</w:t>
            </w:r>
            <w:r>
              <w:rPr>
                <w:rFonts w:hint="eastAsia" w:cs="宋体"/>
                <w:sz w:val="21"/>
                <w:szCs w:val="21"/>
              </w:rPr>
              <w:t xml:space="preserve">满足《中华人民共和国政府采购法》第二十二条规定:</w:t>
            </w:r>
            <w:r/>
          </w:p>
          <w:p>
            <w:pPr>
              <w:pStyle w:val="952"/>
              <w:jc w:val="left"/>
              <w:spacing w:line="460" w:lineRule="exact"/>
              <w:rPr>
                <w:rFonts w:hint="eastAsia" w:cs="宋体"/>
                <w:sz w:val="21"/>
                <w:szCs w:val="21"/>
              </w:rPr>
            </w:pPr>
            <w:r>
              <w:rPr>
                <w:rFonts w:hint="eastAsia" w:cs="宋体"/>
                <w:sz w:val="21"/>
                <w:szCs w:val="21"/>
              </w:rPr>
              <w:t xml:space="preserve">1、具有独立承担民事责任的能力；</w:t>
            </w:r>
            <w:r/>
          </w:p>
          <w:p>
            <w:pPr>
              <w:pStyle w:val="952"/>
              <w:jc w:val="left"/>
              <w:spacing w:line="460" w:lineRule="exact"/>
              <w:rPr>
                <w:rFonts w:hint="eastAsia" w:cs="宋体"/>
                <w:sz w:val="21"/>
                <w:szCs w:val="21"/>
              </w:rPr>
            </w:pPr>
            <w:r>
              <w:rPr>
                <w:rFonts w:hint="eastAsia" w:cs="宋体"/>
                <w:sz w:val="21"/>
                <w:szCs w:val="21"/>
              </w:rPr>
              <w:t xml:space="preserve">2、具有良好的商业信誉和健全的财务会计制度；</w:t>
            </w:r>
            <w:r/>
          </w:p>
          <w:p>
            <w:pPr>
              <w:pStyle w:val="952"/>
              <w:jc w:val="left"/>
              <w:spacing w:line="460" w:lineRule="exact"/>
              <w:rPr>
                <w:rFonts w:hint="eastAsia" w:cs="宋体"/>
                <w:sz w:val="21"/>
                <w:szCs w:val="21"/>
              </w:rPr>
            </w:pPr>
            <w:r>
              <w:rPr>
                <w:rFonts w:hint="eastAsia" w:cs="宋体"/>
                <w:sz w:val="21"/>
                <w:szCs w:val="21"/>
              </w:rPr>
              <w:t xml:space="preserve">3、具有履行合同所必需的专业技术能力；</w:t>
            </w:r>
            <w:r/>
          </w:p>
          <w:p>
            <w:pPr>
              <w:pStyle w:val="952"/>
              <w:jc w:val="left"/>
              <w:spacing w:line="460" w:lineRule="exact"/>
              <w:rPr>
                <w:rFonts w:hint="eastAsia" w:cs="宋体"/>
                <w:sz w:val="21"/>
                <w:szCs w:val="21"/>
              </w:rPr>
            </w:pPr>
            <w:r>
              <w:rPr>
                <w:rFonts w:hint="eastAsia" w:cs="宋体"/>
                <w:sz w:val="21"/>
                <w:szCs w:val="21"/>
              </w:rPr>
              <w:t xml:space="preserve">4、有依法缴纳税收和社会保障资金的良好记录；</w:t>
            </w:r>
            <w:r/>
          </w:p>
          <w:p>
            <w:pPr>
              <w:pStyle w:val="952"/>
              <w:jc w:val="left"/>
              <w:spacing w:line="460" w:lineRule="exact"/>
              <w:rPr>
                <w:rFonts w:hint="eastAsia" w:cs="宋体"/>
                <w:sz w:val="21"/>
                <w:szCs w:val="21"/>
              </w:rPr>
            </w:pPr>
            <w:r>
              <w:rPr>
                <w:rFonts w:hint="eastAsia" w:cs="宋体"/>
                <w:sz w:val="21"/>
                <w:szCs w:val="21"/>
              </w:rPr>
              <w:t xml:space="preserve">5、参加政府采购活动前三年内，在经营活动中没有重大违法记录；</w:t>
            </w:r>
            <w:r/>
          </w:p>
          <w:p>
            <w:pPr>
              <w:pStyle w:val="952"/>
              <w:jc w:val="left"/>
              <w:spacing w:line="460" w:lineRule="exact"/>
              <w:rPr>
                <w:rFonts w:hint="eastAsia" w:cs="宋体"/>
                <w:sz w:val="21"/>
                <w:szCs w:val="21"/>
              </w:rPr>
            </w:pPr>
            <w:r>
              <w:rPr>
                <w:rFonts w:hint="eastAsia" w:cs="宋体"/>
                <w:sz w:val="21"/>
                <w:szCs w:val="21"/>
              </w:rPr>
              <w:t xml:space="preserve">6、法律、行政法规规定的其他条件。</w:t>
            </w:r>
            <w:r/>
          </w:p>
          <w:p>
            <w:pPr>
              <w:pStyle w:val="952"/>
              <w:jc w:val="left"/>
              <w:spacing w:line="460" w:lineRule="exact"/>
              <w:rPr>
                <w:rFonts w:hint="eastAsia" w:cs="宋体"/>
                <w:sz w:val="21"/>
                <w:szCs w:val="21"/>
              </w:rPr>
            </w:pPr>
            <w:r>
              <w:rPr>
                <w:rFonts w:hint="eastAsia" w:cs="宋体"/>
                <w:sz w:val="21"/>
                <w:szCs w:val="21"/>
              </w:rPr>
              <w:t xml:space="preserve">（二）落实政府采购政策需满足的资格要求：</w:t>
            </w:r>
            <w:r>
              <w:rPr>
                <w:rFonts w:hint="eastAsia" w:cs="宋体"/>
                <w:sz w:val="21"/>
              </w:rPr>
              <w:t xml:space="preserve">本项目专门面向中小企业采购，根据《政府采购促进中小企业发展管理办法》（财库〔</w:t>
            </w:r>
            <w:r>
              <w:rPr>
                <w:rFonts w:cs="宋体"/>
                <w:sz w:val="21"/>
              </w:rPr>
              <w:t xml:space="preserve">2020〕46号）有关规定，投标人应提供中小企业声明函或残疾人福利性单位声明函或省级以上监狱管理局、戒毒管理局（含新疆生产建设兵团）出具的属于监狱企业的证明文件</w:t>
            </w:r>
            <w:r>
              <w:rPr>
                <w:rFonts w:hint="eastAsia" w:cs="宋体"/>
                <w:sz w:val="21"/>
              </w:rPr>
              <w:t xml:space="preserve">，</w:t>
            </w:r>
            <w:r>
              <w:rPr>
                <w:rFonts w:cs="宋体"/>
                <w:sz w:val="21"/>
              </w:rPr>
              <w:t xml:space="preserve">否则视为投标无效</w:t>
            </w:r>
            <w:r>
              <w:rPr>
                <w:rFonts w:hint="eastAsia"/>
                <w:sz w:val="21"/>
                <w:szCs w:val="21"/>
              </w:rPr>
              <w:t xml:space="preserve">；</w:t>
            </w:r>
            <w:r>
              <w:rPr>
                <w:rFonts w:hint="eastAsia" w:cs="宋体"/>
                <w:sz w:val="21"/>
                <w:szCs w:val="21"/>
              </w:rPr>
            </w:r>
            <w:r/>
          </w:p>
          <w:p>
            <w:pPr>
              <w:pStyle w:val="952"/>
              <w:jc w:val="left"/>
              <w:spacing w:line="460" w:lineRule="exact"/>
              <w:rPr>
                <w:rFonts w:hint="eastAsia" w:cs="宋体"/>
                <w:sz w:val="21"/>
                <w:szCs w:val="21"/>
              </w:rPr>
            </w:pPr>
            <w:r>
              <w:rPr>
                <w:rFonts w:hint="eastAsia" w:cs="宋体"/>
                <w:sz w:val="21"/>
                <w:szCs w:val="21"/>
              </w:rPr>
              <w:t xml:space="preserve">（三）本项目的特定资格要求：</w:t>
            </w:r>
            <w:r>
              <w:rPr>
                <w:rFonts w:hint="eastAsia" w:cs="宋体"/>
                <w:sz w:val="21"/>
                <w:szCs w:val="21"/>
              </w:rPr>
              <w:t xml:space="preserve">详见第一章 招标公告</w:t>
            </w:r>
            <w:r>
              <w:rPr>
                <w:rFonts w:hint="eastAsia" w:cs="宋体"/>
                <w:sz w:val="21"/>
                <w:szCs w:val="21"/>
              </w:rPr>
            </w:r>
            <w:r/>
          </w:p>
        </w:tc>
      </w:tr>
      <w:tr>
        <w:trPr>
          <w:trHeight w:val="557"/>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3</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招标文件获取</w:t>
            </w:r>
            <w:r/>
          </w:p>
        </w:tc>
        <w:tc>
          <w:tcPr>
            <w:tcW w:w="6820" w:type="dxa"/>
            <w:vAlign w:val="center"/>
            <w:textDirection w:val="lrTb"/>
            <w:noWrap w:val="false"/>
          </w:tcPr>
          <w:p>
            <w:pPr>
              <w:pStyle w:val="952"/>
              <w:jc w:val="left"/>
              <w:spacing w:line="460" w:lineRule="exact"/>
              <w:rPr>
                <w:rFonts w:hint="eastAsia" w:cs="宋体"/>
                <w:sz w:val="21"/>
                <w:szCs w:val="21"/>
              </w:rPr>
            </w:pPr>
            <w:r>
              <w:rPr>
                <w:rFonts w:cs="宋体"/>
                <w:sz w:val="21"/>
              </w:rPr>
              <w:t xml:space="preserve">依法获取电子招标文件：投标人在</w:t>
            </w:r>
            <w:r>
              <w:rPr>
                <w:rFonts w:hint="eastAsia" w:cs="宋体"/>
                <w:sz w:val="21"/>
              </w:rPr>
              <w:t xml:space="preserve">2024年08月09日至2024年08月15日</w:t>
            </w:r>
            <w:r>
              <w:rPr>
                <w:rFonts w:cs="宋体"/>
                <w:sz w:val="21"/>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hint="eastAsia" w:cs="宋体"/>
                <w:bCs/>
                <w:sz w:val="21"/>
              </w:rPr>
              <w:t xml:space="preserve">。</w:t>
            </w:r>
            <w:r>
              <w:rPr>
                <w:rFonts w:hint="eastAsia" w:cs="宋体"/>
                <w:sz w:val="21"/>
                <w:szCs w:val="21"/>
              </w:rPr>
            </w:r>
            <w:r/>
          </w:p>
        </w:tc>
      </w:tr>
      <w:tr>
        <w:trPr>
          <w:trHeight w:val="543"/>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4</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财政预算</w:t>
            </w:r>
            <w:r/>
          </w:p>
        </w:tc>
        <w:tc>
          <w:tcPr>
            <w:tcW w:w="6820" w:type="dxa"/>
            <w:vAlign w:val="center"/>
            <w:textDirection w:val="lrTb"/>
            <w:noWrap w:val="false"/>
          </w:tcPr>
          <w:p>
            <w:pPr>
              <w:pStyle w:val="952"/>
              <w:jc w:val="center"/>
              <w:spacing w:line="460" w:lineRule="exact"/>
              <w:rPr>
                <w:rFonts w:hint="eastAsia" w:cs="宋体"/>
                <w:sz w:val="21"/>
                <w:szCs w:val="21"/>
              </w:rPr>
            </w:pPr>
            <w:r>
              <w:rPr>
                <w:rFonts w:hint="eastAsia" w:cs="宋体"/>
                <w:sz w:val="21"/>
                <w:szCs w:val="21"/>
              </w:rPr>
              <w:t xml:space="preserve">人民币</w:t>
            </w:r>
            <w:r>
              <w:rPr>
                <w:rFonts w:cs="宋体"/>
                <w:sz w:val="21"/>
                <w:szCs w:val="21"/>
              </w:rPr>
              <w:t xml:space="preserve">80万元</w:t>
            </w:r>
            <w:r>
              <w:rPr>
                <w:rFonts w:hint="eastAsia" w:cs="宋体"/>
                <w:sz w:val="21"/>
                <w:szCs w:val="21"/>
              </w:rPr>
            </w:r>
            <w:r/>
          </w:p>
        </w:tc>
      </w:tr>
      <w:tr>
        <w:trPr>
          <w:trHeight w:val="640"/>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5</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投标保证金</w:t>
            </w:r>
            <w:r>
              <w:rPr>
                <w:rFonts w:hint="eastAsia" w:cs="宋体"/>
                <w:b/>
                <w:sz w:val="21"/>
                <w:szCs w:val="21"/>
              </w:rPr>
            </w:r>
            <w:r/>
          </w:p>
        </w:tc>
        <w:tc>
          <w:tcPr>
            <w:tcW w:w="6820" w:type="dxa"/>
            <w:vAlign w:val="center"/>
            <w:textDirection w:val="lrTb"/>
            <w:noWrap w:val="false"/>
          </w:tcPr>
          <w:p>
            <w:pPr>
              <w:pStyle w:val="952"/>
              <w:jc w:val="left"/>
              <w:spacing w:line="460" w:lineRule="exact"/>
              <w:rPr>
                <w:rFonts w:hint="eastAsia" w:cs="宋体"/>
                <w:sz w:val="21"/>
                <w:szCs w:val="21"/>
                <w:lang w:eastAsia="en-US"/>
              </w:rPr>
            </w:pPr>
            <w:r>
              <w:rPr>
                <w:rFonts w:hint="eastAsia" w:cs="宋体"/>
                <w:sz w:val="21"/>
                <w:szCs w:val="21"/>
                <w:lang w:eastAsia="en-US"/>
              </w:rPr>
              <w:t xml:space="preserve">无</w:t>
            </w:r>
            <w:r/>
          </w:p>
        </w:tc>
      </w:tr>
      <w:tr>
        <w:trPr>
          <w:trHeight w:val="710"/>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6</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履约保证金</w:t>
            </w:r>
            <w:r/>
          </w:p>
        </w:tc>
        <w:tc>
          <w:tcPr>
            <w:tcW w:w="6820" w:type="dxa"/>
            <w:vAlign w:val="center"/>
            <w:textDirection w:val="lrTb"/>
            <w:noWrap w:val="false"/>
          </w:tcPr>
          <w:p>
            <w:pPr>
              <w:pStyle w:val="952"/>
              <w:spacing w:line="360" w:lineRule="auto"/>
              <w:rPr>
                <w:rFonts w:hint="eastAsia" w:cs="宋体"/>
                <w:sz w:val="21"/>
                <w:szCs w:val="21"/>
              </w:rPr>
            </w:pPr>
            <w:r>
              <w:rPr>
                <w:rFonts w:hint="eastAsia" w:cs="宋体"/>
                <w:sz w:val="21"/>
                <w:szCs w:val="21"/>
              </w:rPr>
              <w:t xml:space="preserve">无</w:t>
            </w:r>
            <w:r/>
          </w:p>
        </w:tc>
      </w:tr>
      <w:tr>
        <w:trPr>
          <w:cantSplit/>
          <w:trHeight w:val="699"/>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7</w:t>
            </w:r>
            <w:r/>
          </w:p>
        </w:tc>
        <w:tc>
          <w:tcPr>
            <w:tcW w:w="1712" w:type="dxa"/>
            <w:vAlign w:val="center"/>
            <w:textDirection w:val="lrTb"/>
            <w:noWrap w:val="false"/>
          </w:tcPr>
          <w:p>
            <w:pPr>
              <w:pStyle w:val="952"/>
              <w:jc w:val="center"/>
              <w:spacing w:line="460" w:lineRule="exact"/>
              <w:rPr>
                <w:rFonts w:hint="eastAsia" w:cs="宋体"/>
                <w:bCs/>
                <w:sz w:val="21"/>
                <w:szCs w:val="21"/>
              </w:rPr>
            </w:pPr>
            <w:r>
              <w:rPr>
                <w:rFonts w:hint="eastAsia" w:cs="宋体"/>
                <w:b/>
                <w:sz w:val="21"/>
                <w:szCs w:val="21"/>
              </w:rPr>
              <w:t xml:space="preserve">电子投标文件编制要求</w:t>
            </w:r>
            <w:r>
              <w:rPr>
                <w:rFonts w:hint="eastAsia" w:cs="宋体"/>
                <w:bCs/>
                <w:sz w:val="21"/>
                <w:szCs w:val="21"/>
              </w:rPr>
            </w:r>
            <w:r/>
          </w:p>
        </w:tc>
        <w:tc>
          <w:tcPr>
            <w:tcW w:w="6820" w:type="dxa"/>
            <w:vAlign w:val="center"/>
            <w:textDirection w:val="lrTb"/>
            <w:noWrap w:val="false"/>
          </w:tcPr>
          <w:p>
            <w:pPr>
              <w:pStyle w:val="952"/>
              <w:spacing w:line="460" w:lineRule="exact"/>
              <w:rPr>
                <w:rFonts w:hint="eastAsia" w:cs="宋体"/>
                <w:sz w:val="21"/>
                <w:szCs w:val="21"/>
              </w:rPr>
            </w:pPr>
            <w:r>
              <w:rPr>
                <w:rFonts w:hint="eastAsia"/>
                <w:sz w:val="21"/>
                <w:szCs w:val="21"/>
              </w:rPr>
              <w:t xml:space="preserve">投标人应使用招标文件要求的投标文件制作软件制作电子投标文件，电子投标文件按招标文件规定的格式制作，如果未按要求制作上传，可能导致投标无效</w:t>
            </w:r>
            <w:r>
              <w:rPr>
                <w:sz w:val="21"/>
                <w:szCs w:val="21"/>
              </w:rPr>
              <w:t xml:space="preserve">。</w:t>
            </w:r>
            <w:r>
              <w:rPr>
                <w:rFonts w:hint="eastAsia" w:cs="宋体"/>
                <w:sz w:val="21"/>
                <w:szCs w:val="21"/>
              </w:rPr>
            </w:r>
            <w:r/>
          </w:p>
        </w:tc>
      </w:tr>
      <w:tr>
        <w:trPr>
          <w:cantSplit/>
          <w:trHeight w:val="699"/>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8</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投标文件有效期</w:t>
            </w:r>
            <w:r/>
          </w:p>
        </w:tc>
        <w:tc>
          <w:tcPr>
            <w:tcW w:w="6820" w:type="dxa"/>
            <w:vAlign w:val="center"/>
            <w:textDirection w:val="lrTb"/>
            <w:noWrap w:val="false"/>
          </w:tcPr>
          <w:p>
            <w:pPr>
              <w:pStyle w:val="952"/>
              <w:spacing w:line="460" w:lineRule="exact"/>
              <w:rPr>
                <w:rFonts w:hint="eastAsia" w:cs="宋体"/>
                <w:sz w:val="21"/>
                <w:szCs w:val="21"/>
              </w:rPr>
            </w:pPr>
            <w:r>
              <w:rPr>
                <w:rFonts w:hint="eastAsia" w:cs="宋体"/>
                <w:sz w:val="21"/>
                <w:szCs w:val="21"/>
              </w:rPr>
              <w:t xml:space="preserve">60天</w:t>
            </w:r>
            <w:r/>
          </w:p>
        </w:tc>
      </w:tr>
      <w:tr>
        <w:trPr>
          <w:cantSplit/>
          <w:trHeight w:val="695"/>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9</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踏勘</w:t>
            </w:r>
            <w:r/>
          </w:p>
        </w:tc>
        <w:tc>
          <w:tcPr>
            <w:tcW w:w="6820" w:type="dxa"/>
            <w:vAlign w:val="center"/>
            <w:textDirection w:val="lrTb"/>
            <w:noWrap w:val="false"/>
          </w:tcPr>
          <w:p>
            <w:pPr>
              <w:pStyle w:val="952"/>
              <w:spacing w:line="460" w:lineRule="exact"/>
              <w:rPr>
                <w:rFonts w:hint="eastAsia" w:cs="宋体"/>
                <w:sz w:val="21"/>
                <w:szCs w:val="21"/>
              </w:rPr>
            </w:pPr>
            <w:r>
              <w:rPr>
                <w:rFonts w:hint="eastAsia" w:cs="宋体"/>
                <w:sz w:val="21"/>
                <w:szCs w:val="21"/>
              </w:rPr>
              <w:t xml:space="preserve">本项目不组织统一踏勘，由投标人自行踏勘现场。</w:t>
            </w:r>
            <w:r/>
          </w:p>
        </w:tc>
      </w:tr>
      <w:tr>
        <w:trPr>
          <w:trHeight w:val="1002"/>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10</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招标文件的澄清与修改</w:t>
            </w:r>
            <w:r/>
          </w:p>
        </w:tc>
        <w:tc>
          <w:tcPr>
            <w:tcW w:w="6820" w:type="dxa"/>
            <w:vAlign w:val="center"/>
            <w:textDirection w:val="lrTb"/>
            <w:noWrap w:val="false"/>
          </w:tcPr>
          <w:p>
            <w:pPr>
              <w:pStyle w:val="1534"/>
              <w:jc w:val="both"/>
              <w:spacing w:before="0" w:beforeAutospacing="0" w:after="0" w:afterAutospacing="0" w:line="460" w:lineRule="exact"/>
              <w:rPr>
                <w:rFonts w:cs="宋体"/>
                <w:sz w:val="21"/>
                <w:szCs w:val="21"/>
              </w:rPr>
            </w:pPr>
            <w:r>
              <w:rPr>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t xml:space="preserve">；</w:t>
            </w:r>
            <w:r>
              <w:rPr>
                <w:sz w:val="21"/>
                <w:szCs w:val="21"/>
              </w:rPr>
              <w:t xml:space="preserve">招标文件若有最新的答疑文件，投标供应商必须下载并使用该文件制作新的电子投标文件，否则将无法完成电子投标文件的上传及投标</w:t>
            </w:r>
            <w:r>
              <w:rPr>
                <w:sz w:val="21"/>
                <w:szCs w:val="21"/>
              </w:rPr>
              <w:t xml:space="preserve">。</w:t>
            </w:r>
            <w:r>
              <w:rPr>
                <w:rFonts w:cs="宋体"/>
                <w:sz w:val="21"/>
                <w:szCs w:val="21"/>
              </w:rPr>
            </w:r>
            <w:r/>
          </w:p>
        </w:tc>
      </w:tr>
      <w:tr>
        <w:trPr>
          <w:trHeight w:val="1002"/>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11</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投标文件的评价和比较方法</w:t>
            </w:r>
            <w:r/>
          </w:p>
        </w:tc>
        <w:tc>
          <w:tcPr>
            <w:tcW w:w="6820" w:type="dxa"/>
            <w:vAlign w:val="center"/>
            <w:textDirection w:val="lrTb"/>
            <w:noWrap w:val="false"/>
          </w:tcPr>
          <w:p>
            <w:pPr>
              <w:pStyle w:val="1534"/>
              <w:jc w:val="both"/>
              <w:spacing w:before="0" w:beforeAutospacing="0" w:after="0" w:afterAutospacing="0" w:line="460" w:lineRule="exact"/>
              <w:rPr>
                <w:rFonts w:cs="宋体"/>
                <w:sz w:val="21"/>
                <w:szCs w:val="21"/>
              </w:rPr>
            </w:pPr>
            <w:r>
              <w:rPr>
                <w:rFonts w:cs="宋体"/>
                <w:sz w:val="21"/>
                <w:szCs w:val="21"/>
              </w:rPr>
              <w:t xml:space="preserve">综合评分法，根据价格、质量、技术等综合评比</w:t>
            </w:r>
            <w:r/>
          </w:p>
        </w:tc>
      </w:tr>
      <w:tr>
        <w:trPr>
          <w:trHeight w:val="1699"/>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12</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投标文件</w:t>
            </w:r>
            <w:r/>
          </w:p>
          <w:p>
            <w:pPr>
              <w:pStyle w:val="952"/>
              <w:jc w:val="center"/>
              <w:spacing w:line="460" w:lineRule="exact"/>
              <w:rPr>
                <w:rFonts w:hint="eastAsia" w:cs="宋体"/>
                <w:b/>
                <w:sz w:val="21"/>
                <w:szCs w:val="21"/>
              </w:rPr>
            </w:pPr>
            <w:r>
              <w:rPr>
                <w:rFonts w:hint="eastAsia" w:cs="宋体"/>
                <w:b/>
                <w:sz w:val="21"/>
                <w:szCs w:val="21"/>
              </w:rPr>
              <w:t xml:space="preserve">递交、开标</w:t>
            </w:r>
            <w:r/>
          </w:p>
        </w:tc>
        <w:tc>
          <w:tcPr>
            <w:tcW w:w="6820" w:type="dxa"/>
            <w:vAlign w:val="center"/>
            <w:textDirection w:val="lrTb"/>
            <w:noWrap w:val="false"/>
          </w:tcPr>
          <w:p>
            <w:pPr>
              <w:pStyle w:val="952"/>
              <w:spacing w:line="360" w:lineRule="auto"/>
              <w:rPr>
                <w:rFonts w:cs="宋体"/>
                <w:sz w:val="21"/>
                <w:szCs w:val="21"/>
              </w:rPr>
            </w:pPr>
            <w:r>
              <w:rPr>
                <w:rFonts w:hint="eastAsia" w:cs="宋体"/>
                <w:sz w:val="21"/>
                <w:szCs w:val="21"/>
              </w:rPr>
              <w:t xml:space="preserve">投标截止时间：</w:t>
            </w:r>
            <w:r>
              <w:rPr>
                <w:rFonts w:hint="eastAsia" w:cs="宋体"/>
                <w:sz w:val="21"/>
                <w:szCs w:val="21"/>
              </w:rPr>
              <w:t xml:space="preserve">2024年09月02日上午09：30</w:t>
            </w:r>
            <w:r>
              <w:rPr>
                <w:rFonts w:cs="宋体"/>
                <w:sz w:val="21"/>
                <w:szCs w:val="21"/>
              </w:rPr>
              <w:t xml:space="preserve">前</w:t>
            </w:r>
            <w:r/>
          </w:p>
          <w:p>
            <w:pPr>
              <w:pStyle w:val="952"/>
              <w:spacing w:line="360" w:lineRule="auto"/>
              <w:rPr>
                <w:rFonts w:hint="eastAsia" w:cs="宋体"/>
                <w:sz w:val="21"/>
                <w:szCs w:val="21"/>
              </w:rPr>
            </w:pPr>
            <w:r>
              <w:rPr>
                <w:rFonts w:hint="eastAsia" w:cs="宋体"/>
                <w:sz w:val="21"/>
                <w:szCs w:val="21"/>
              </w:rPr>
              <w:t xml:space="preserve">开标时间：</w:t>
            </w:r>
            <w:r>
              <w:rPr>
                <w:rFonts w:hint="eastAsia" w:cs="宋体"/>
                <w:sz w:val="21"/>
                <w:szCs w:val="21"/>
              </w:rPr>
              <w:t xml:space="preserve">2024年09月02日上午09：30</w:t>
            </w:r>
            <w:r>
              <w:rPr>
                <w:rFonts w:hint="eastAsia" w:cs="宋体"/>
                <w:sz w:val="21"/>
                <w:szCs w:val="21"/>
              </w:rPr>
            </w:r>
            <w:r/>
          </w:p>
          <w:p>
            <w:pPr>
              <w:pStyle w:val="952"/>
              <w:spacing w:line="360" w:lineRule="auto"/>
              <w:rPr>
                <w:rFonts w:hint="eastAsia" w:cs="宋体"/>
                <w:sz w:val="21"/>
                <w:szCs w:val="21"/>
              </w:rPr>
            </w:pPr>
            <w:r>
              <w:rPr>
                <w:rFonts w:hint="eastAsia" w:cs="宋体"/>
                <w:sz w:val="21"/>
                <w:szCs w:val="21"/>
              </w:rPr>
              <w:t xml:space="preserve">开标地址：网上上传电子投标文件</w:t>
            </w:r>
            <w:r/>
          </w:p>
        </w:tc>
      </w:tr>
      <w:tr>
        <w:trPr>
          <w:trHeight w:val="557"/>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13</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中标</w:t>
            </w:r>
            <w:r/>
          </w:p>
          <w:p>
            <w:pPr>
              <w:pStyle w:val="952"/>
              <w:jc w:val="center"/>
              <w:spacing w:line="460" w:lineRule="exact"/>
              <w:rPr>
                <w:rFonts w:hint="eastAsia" w:cs="宋体"/>
                <w:b/>
                <w:sz w:val="21"/>
                <w:szCs w:val="21"/>
              </w:rPr>
            </w:pPr>
            <w:r>
              <w:rPr>
                <w:rFonts w:hint="eastAsia" w:cs="宋体"/>
                <w:b/>
                <w:sz w:val="21"/>
                <w:szCs w:val="21"/>
              </w:rPr>
              <w:t xml:space="preserve">服务费</w:t>
            </w:r>
            <w:r/>
          </w:p>
        </w:tc>
        <w:tc>
          <w:tcPr>
            <w:tcW w:w="6820" w:type="dxa"/>
            <w:vAlign w:val="center"/>
            <w:textDirection w:val="lrTb"/>
            <w:noWrap w:val="false"/>
          </w:tcPr>
          <w:p>
            <w:pPr>
              <w:pStyle w:val="952"/>
              <w:spacing w:line="460" w:lineRule="exact"/>
              <w:rPr>
                <w:rFonts w:hint="eastAsia" w:cs="宋体"/>
                <w:sz w:val="21"/>
                <w:szCs w:val="21"/>
              </w:rPr>
            </w:pPr>
            <w:r>
              <w:rPr>
                <w:rFonts w:hint="eastAsia" w:cs="宋体"/>
                <w:sz w:val="21"/>
                <w:szCs w:val="21"/>
              </w:rPr>
              <w:t xml:space="preserve">本次招标项目中标服务费由中标人支付，</w:t>
            </w:r>
            <w:r>
              <w:rPr>
                <w:rFonts w:cs="宋体"/>
                <w:sz w:val="21"/>
                <w:szCs w:val="21"/>
              </w:rPr>
              <w:t xml:space="preserve">100万元以下部分收取1.5%；100万元（含）~500万元部分收取1.1%；5</w:t>
            </w:r>
            <w:r>
              <w:rPr>
                <w:rFonts w:cs="宋体"/>
                <w:sz w:val="21"/>
                <w:szCs w:val="21"/>
              </w:rPr>
              <w:t xml:space="preserve">00万元（含）~ 1000万元部分收取0.8%；1000万元（含）~5000万元部分收取0.5%；5000万元以上部分收取0.25%</w:t>
            </w:r>
            <w:r>
              <w:rPr>
                <w:rFonts w:hint="eastAsia" w:cs="宋体"/>
                <w:sz w:val="21"/>
                <w:szCs w:val="21"/>
              </w:rPr>
              <w:t xml:space="preserve">，如计算不足3000元按3000元计，中标人在领取中标通知书时向采购代理机构一次性付清。</w:t>
            </w:r>
            <w:r/>
          </w:p>
          <w:p>
            <w:pPr>
              <w:pStyle w:val="952"/>
              <w:spacing w:line="460" w:lineRule="exact"/>
              <w:rPr>
                <w:rFonts w:hint="eastAsia" w:cs="宋体"/>
                <w:sz w:val="21"/>
                <w:szCs w:val="21"/>
              </w:rPr>
            </w:pPr>
            <w:r>
              <w:rPr>
                <w:rFonts w:hint="eastAsia" w:cs="宋体"/>
                <w:sz w:val="21"/>
                <w:szCs w:val="21"/>
              </w:rPr>
              <w:t xml:space="preserve">帐户：苏州乐族工程咨询有限公司</w:t>
              <w:br w:type="textWrapping" w:clear="all"/>
              <w:t xml:space="preserve">开户行：中国银行股份有限公司太仓分行</w:t>
              <w:br w:type="textWrapping" w:clear="all"/>
              <w:t xml:space="preserve">账户：498872769864</w:t>
            </w:r>
            <w:r/>
          </w:p>
        </w:tc>
      </w:tr>
      <w:tr>
        <w:trPr>
          <w:trHeight w:val="558"/>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14</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导致废标因素</w:t>
            </w:r>
            <w:r/>
          </w:p>
        </w:tc>
        <w:tc>
          <w:tcPr>
            <w:tcW w:w="6820" w:type="dxa"/>
            <w:vAlign w:val="center"/>
            <w:textDirection w:val="lrTb"/>
            <w:noWrap w:val="false"/>
          </w:tcPr>
          <w:p>
            <w:pPr>
              <w:pStyle w:val="952"/>
              <w:ind w:firstLine="1"/>
              <w:spacing w:line="460" w:lineRule="exact"/>
              <w:rPr>
                <w:rFonts w:hint="eastAsia" w:cs="宋体"/>
                <w:sz w:val="21"/>
                <w:szCs w:val="21"/>
              </w:rPr>
            </w:pPr>
            <w:r>
              <w:rPr>
                <w:rFonts w:hint="eastAsia" w:cs="宋体"/>
                <w:sz w:val="21"/>
                <w:szCs w:val="21"/>
              </w:rPr>
              <w:t xml:space="preserve">出现下列情形之一的，为废标：</w:t>
            </w:r>
            <w:r/>
          </w:p>
          <w:p>
            <w:pPr>
              <w:pStyle w:val="952"/>
              <w:ind w:firstLine="1"/>
              <w:spacing w:line="460" w:lineRule="exact"/>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符合专业条件的供应商或者对招标文件作实质响应的供应商不足三家的；</w:t>
            </w:r>
            <w:r/>
          </w:p>
          <w:p>
            <w:pPr>
              <w:pStyle w:val="952"/>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出现影响采购公正的违法、违规行为的；</w:t>
            </w:r>
            <w:r/>
          </w:p>
          <w:p>
            <w:pPr>
              <w:pStyle w:val="952"/>
              <w:ind w:firstLine="1"/>
              <w:spacing w:line="460" w:lineRule="exact"/>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投标人的报价均超过了采购预算，采购人不能</w:t>
            </w:r>
            <w:r>
              <w:rPr>
                <w:rFonts w:cs="宋体"/>
                <w:sz w:val="21"/>
                <w:szCs w:val="21"/>
              </w:rPr>
              <w:t xml:space="preserve">支付的；</w:t>
            </w:r>
            <w:r/>
          </w:p>
          <w:p>
            <w:pPr>
              <w:pStyle w:val="952"/>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因重大变故，采购任务取消的。</w:t>
            </w:r>
            <w:r/>
          </w:p>
          <w:p>
            <w:pPr>
              <w:pStyle w:val="952"/>
              <w:ind w:firstLine="1"/>
              <w:spacing w:line="460" w:lineRule="exact"/>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r>
            <w:r/>
          </w:p>
        </w:tc>
      </w:tr>
      <w:tr>
        <w:trPr>
          <w:trHeight w:val="1539"/>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15</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导致无效标</w:t>
            </w:r>
            <w:r/>
          </w:p>
          <w:p>
            <w:pPr>
              <w:pStyle w:val="952"/>
              <w:jc w:val="center"/>
              <w:spacing w:line="460" w:lineRule="exact"/>
              <w:rPr>
                <w:rFonts w:hint="eastAsia" w:cs="宋体"/>
                <w:b/>
                <w:sz w:val="21"/>
                <w:szCs w:val="21"/>
              </w:rPr>
            </w:pPr>
            <w:r>
              <w:rPr>
                <w:rFonts w:hint="eastAsia" w:cs="宋体"/>
                <w:b/>
                <w:sz w:val="21"/>
                <w:szCs w:val="21"/>
              </w:rPr>
              <w:t xml:space="preserve">因素</w:t>
            </w:r>
            <w:r/>
          </w:p>
        </w:tc>
        <w:tc>
          <w:tcPr>
            <w:tcW w:w="6820" w:type="dxa"/>
            <w:vAlign w:val="center"/>
            <w:textDirection w:val="lrTb"/>
            <w:noWrap w:val="false"/>
          </w:tcPr>
          <w:p>
            <w:pPr>
              <w:pStyle w:val="952"/>
              <w:ind w:firstLine="1"/>
              <w:spacing w:line="460" w:lineRule="exact"/>
              <w:rPr>
                <w:sz w:val="21"/>
                <w:szCs w:val="21"/>
              </w:rPr>
            </w:pPr>
            <w:r>
              <w:rPr>
                <w:rFonts w:hint="eastAsia" w:cs="宋体"/>
                <w:sz w:val="21"/>
                <w:szCs w:val="21"/>
              </w:rPr>
              <w:t xml:space="preserve">投标文件属下列情况之一的，在资格性、符合性检查时按照无效投标处理：</w:t>
            </w:r>
            <w:r>
              <w:rPr>
                <w:sz w:val="21"/>
                <w:szCs w:val="21"/>
              </w:rPr>
            </w:r>
            <w:r/>
          </w:p>
          <w:p>
            <w:pPr>
              <w:pStyle w:val="952"/>
              <w:ind w:firstLine="1"/>
              <w:spacing w:line="460" w:lineRule="exact"/>
              <w:rPr>
                <w:rFonts w:cs="宋体"/>
                <w:sz w:val="21"/>
                <w:szCs w:val="21"/>
              </w:rPr>
            </w:pPr>
            <w:r>
              <w:rPr>
                <w:rFonts w:hint="eastAsia" w:cs="宋体"/>
                <w:sz w:val="21"/>
                <w:szCs w:val="21"/>
              </w:rPr>
              <w:t xml:space="preserve">1、</w:t>
            </w:r>
            <w:r>
              <w:rPr>
                <w:rFonts w:cs="宋体"/>
                <w:sz w:val="21"/>
                <w:szCs w:val="21"/>
              </w:rPr>
              <w:t xml:space="preserve">投标文件未按招标文件要求签署、盖章或电子签章的；</w:t>
            </w:r>
            <w:r/>
          </w:p>
          <w:p>
            <w:pPr>
              <w:pStyle w:val="952"/>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不具备招标文件中规定的资格要求的；</w:t>
            </w:r>
            <w:r/>
          </w:p>
          <w:p>
            <w:pPr>
              <w:pStyle w:val="952"/>
              <w:ind w:firstLine="1"/>
              <w:spacing w:line="460" w:lineRule="exact"/>
              <w:rPr>
                <w:rFonts w:cs="宋体"/>
                <w:sz w:val="21"/>
                <w:szCs w:val="21"/>
              </w:rPr>
            </w:pPr>
            <w:r>
              <w:rPr>
                <w:rFonts w:hint="eastAsia" w:cs="宋体"/>
                <w:sz w:val="21"/>
                <w:szCs w:val="21"/>
              </w:rPr>
              <w:t xml:space="preserve">3、</w:t>
            </w:r>
            <w:r>
              <w:rPr>
                <w:rFonts w:cs="宋体"/>
                <w:sz w:val="21"/>
                <w:szCs w:val="21"/>
              </w:rPr>
              <w:t xml:space="preserve">报价超过招标文件中规定的预算金额或者最高限价的；</w:t>
            </w:r>
            <w:r/>
          </w:p>
          <w:p>
            <w:pPr>
              <w:pStyle w:val="952"/>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不同投标人的投标文件使用同一台电脑编制的；</w:t>
            </w:r>
            <w:r/>
          </w:p>
          <w:p>
            <w:pPr>
              <w:pStyle w:val="952"/>
              <w:ind w:firstLine="1"/>
              <w:spacing w:line="460" w:lineRule="exact"/>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投标文件含有采购人不能接受的附加条件的；</w:t>
            </w:r>
            <w:r/>
          </w:p>
          <w:p>
            <w:pPr>
              <w:pStyle w:val="952"/>
              <w:ind w:firstLine="1"/>
              <w:spacing w:line="460" w:lineRule="exact"/>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法律、法规和招标文件规定的其他无效情形</w:t>
            </w:r>
            <w:r>
              <w:rPr>
                <w:sz w:val="21"/>
                <w:szCs w:val="21"/>
              </w:rPr>
              <w:t xml:space="preserve">。</w:t>
            </w:r>
            <w:r>
              <w:rPr>
                <w:rFonts w:hint="eastAsia" w:cs="宋体"/>
                <w:sz w:val="21"/>
                <w:szCs w:val="21"/>
              </w:rPr>
            </w:r>
            <w:r/>
          </w:p>
        </w:tc>
      </w:tr>
    </w:tbl>
    <w:p>
      <w:pPr>
        <w:pStyle w:val="953"/>
        <w:numPr>
          <w:ilvl w:val="0"/>
          <w:numId w:val="0"/>
        </w:numPr>
        <w:jc w:val="center"/>
        <w:tabs>
          <w:tab w:val="left" w:pos="432" w:leader="none"/>
        </w:tabs>
        <w:rPr>
          <w:rFonts w:hint="eastAsia" w:ascii="宋体" w:hAnsi="宋体" w:cs="宋体"/>
        </w:rPr>
      </w:pPr>
      <w:r>
        <w:rPr>
          <w:rFonts w:hint="eastAsia" w:ascii="宋体" w:hAnsi="宋体" w:cs="宋体"/>
        </w:rPr>
        <w:br w:type="page" w:clear="all"/>
        <w:t xml:space="preserve">第一章 招标公告</w:t>
      </w:r>
      <w:r>
        <w:rPr>
          <w:rFonts w:hint="eastAsia" w:ascii="宋体" w:hAnsi="宋体" w:cs="宋体"/>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0"/>
      </w:tblGrid>
      <w:tr>
        <w:trPr>
          <w:trHeight w:val="1491"/>
        </w:trPr>
        <w:tc>
          <w:tcPr>
            <w:tcW w:w="5000" w:type="pct"/>
            <w:vAlign w:val="top"/>
            <w:textDirection w:val="lrTb"/>
            <w:noWrap w:val="false"/>
          </w:tcPr>
          <w:p>
            <w:pPr>
              <w:pStyle w:val="952"/>
              <w:spacing w:line="360" w:lineRule="auto"/>
              <w:tabs>
                <w:tab w:val="left" w:pos="567" w:leader="none"/>
              </w:tabs>
              <w:rPr>
                <w:rFonts w:cs="宋体"/>
                <w:sz w:val="21"/>
                <w:szCs w:val="21"/>
              </w:rPr>
            </w:pPr>
            <w:r/>
            <w:bookmarkStart w:id="0" w:name="OLE_LINK1"/>
            <w:r/>
            <w:bookmarkStart w:id="1" w:name="OLE_LINK6"/>
            <w:r>
              <w:rPr>
                <w:rFonts w:hint="eastAsia" w:cs="宋体"/>
                <w:sz w:val="21"/>
                <w:szCs w:val="21"/>
              </w:rPr>
              <w:t xml:space="preserve">项目概况</w:t>
            </w:r>
            <w:r>
              <w:rPr>
                <w:rFonts w:cs="宋体"/>
                <w:sz w:val="21"/>
                <w:szCs w:val="21"/>
              </w:rPr>
            </w:r>
            <w:r/>
          </w:p>
          <w:p>
            <w:pPr>
              <w:pStyle w:val="991"/>
              <w:spacing w:line="360" w:lineRule="auto"/>
              <w:rPr>
                <w:rFonts w:cs="宋体"/>
              </w:rPr>
            </w:pPr>
            <w:r>
              <w:rPr>
                <w:rFonts w:cs="宋体"/>
                <w:sz w:val="21"/>
                <w:u w:val="single"/>
              </w:rPr>
              <w:t xml:space="preserve">太仓市城市绿化资源普查</w:t>
            </w:r>
            <w:r>
              <w:rPr>
                <w:rFonts w:hint="eastAsia" w:cs="宋体"/>
                <w:sz w:val="21"/>
              </w:rPr>
              <w:t xml:space="preserve">招标项目的潜在投标人应在“苏采云政府采购一体化平台”中参与项目并下载获取电子招标文件，并于</w:t>
            </w:r>
            <w:r>
              <w:rPr>
                <w:rFonts w:hint="eastAsia" w:cs="宋体"/>
                <w:sz w:val="21"/>
                <w:u w:val="single"/>
              </w:rPr>
              <w:t xml:space="preserve">2024年09月02日上午09：30</w:t>
            </w:r>
            <w:r>
              <w:rPr>
                <w:rFonts w:hint="eastAsia" w:cs="宋体"/>
                <w:sz w:val="21"/>
              </w:rPr>
              <w:t xml:space="preserve">（北京时间）前上传电子投标文件。</w:t>
            </w:r>
            <w:r>
              <w:rPr>
                <w:rFonts w:cs="宋体"/>
              </w:rPr>
            </w:r>
            <w:r/>
          </w:p>
        </w:tc>
      </w:tr>
    </w:tbl>
    <w:p>
      <w:pPr>
        <w:pStyle w:val="991"/>
        <w:ind w:firstLine="0"/>
        <w:spacing w:line="360" w:lineRule="auto"/>
        <w:rPr>
          <w:rFonts w:cs="宋体"/>
          <w:b/>
          <w:bCs/>
          <w:sz w:val="21"/>
        </w:rPr>
      </w:pPr>
      <w:r>
        <w:rPr>
          <w:rFonts w:hint="eastAsia" w:cs="宋体"/>
          <w:b/>
          <w:bCs/>
          <w:sz w:val="21"/>
        </w:rPr>
        <w:t xml:space="preserve">一、项目基本情况</w:t>
      </w:r>
      <w:r>
        <w:rPr>
          <w:rFonts w:cs="宋体"/>
          <w:b/>
          <w:bCs/>
          <w:sz w:val="21"/>
        </w:rPr>
      </w:r>
      <w:r/>
    </w:p>
    <w:p>
      <w:pPr>
        <w:pStyle w:val="952"/>
        <w:ind w:left="420"/>
        <w:spacing w:line="360" w:lineRule="auto"/>
        <w:tabs>
          <w:tab w:val="left" w:pos="567" w:leader="none"/>
        </w:tabs>
        <w:rPr>
          <w:rFonts w:cs="宋体"/>
          <w:sz w:val="21"/>
          <w:szCs w:val="21"/>
        </w:rPr>
      </w:pPr>
      <w:r>
        <w:rPr>
          <w:rFonts w:hint="eastAsia" w:cs="宋体"/>
          <w:sz w:val="21"/>
          <w:szCs w:val="21"/>
        </w:rPr>
        <w:t xml:space="preserve">项目编号：</w:t>
      </w:r>
      <w:r>
        <w:rPr>
          <w:rFonts w:hint="eastAsia" w:cs="宋体"/>
          <w:sz w:val="21"/>
          <w:szCs w:val="21"/>
        </w:rPr>
        <w:t xml:space="preserve">JSZC-320585-SZLZ-G2024-0016</w:t>
      </w:r>
      <w:r>
        <w:rPr>
          <w:rFonts w:hint="eastAsia" w:cs="宋体"/>
          <w:sz w:val="21"/>
          <w:szCs w:val="21"/>
        </w:rPr>
        <w:t xml:space="preserve"> </w:t>
      </w:r>
      <w:r>
        <w:rPr>
          <w:rFonts w:cs="宋体"/>
          <w:sz w:val="21"/>
          <w:szCs w:val="21"/>
        </w:rPr>
      </w:r>
      <w:r/>
    </w:p>
    <w:p>
      <w:pPr>
        <w:pStyle w:val="991"/>
        <w:spacing w:line="360" w:lineRule="auto"/>
        <w:rPr>
          <w:rFonts w:cs="宋体"/>
          <w:sz w:val="21"/>
        </w:rPr>
      </w:pPr>
      <w:r>
        <w:rPr>
          <w:rFonts w:hint="eastAsia" w:cs="宋体"/>
          <w:sz w:val="21"/>
        </w:rPr>
        <w:t xml:space="preserve">项目名称：</w:t>
      </w:r>
      <w:r>
        <w:rPr>
          <w:rFonts w:cs="宋体"/>
          <w:sz w:val="21"/>
        </w:rPr>
        <w:t xml:space="preserve">太仓市城市绿化资源普查</w:t>
      </w:r>
      <w:r>
        <w:rPr>
          <w:rFonts w:cs="宋体"/>
          <w:sz w:val="21"/>
        </w:rPr>
      </w:r>
      <w:r/>
    </w:p>
    <w:p>
      <w:pPr>
        <w:pStyle w:val="991"/>
        <w:spacing w:line="360" w:lineRule="auto"/>
        <w:rPr>
          <w:rFonts w:cs="宋体"/>
          <w:sz w:val="21"/>
        </w:rPr>
      </w:pPr>
      <w:r/>
      <w:bookmarkStart w:id="2" w:name="OLE_LINK3"/>
      <w:r>
        <w:rPr>
          <w:rFonts w:hint="eastAsia" w:cs="宋体"/>
          <w:bCs/>
          <w:sz w:val="21"/>
        </w:rPr>
        <w:t xml:space="preserve">采购方式：公开招标</w:t>
      </w:r>
      <w:r>
        <w:rPr>
          <w:rFonts w:cs="宋体"/>
          <w:sz w:val="21"/>
        </w:rPr>
      </w:r>
      <w:r/>
    </w:p>
    <w:p>
      <w:pPr>
        <w:pStyle w:val="991"/>
        <w:spacing w:line="360" w:lineRule="auto"/>
        <w:rPr>
          <w:rFonts w:cs="宋体"/>
          <w:sz w:val="21"/>
        </w:rPr>
      </w:pPr>
      <w:r/>
      <w:bookmarkEnd w:id="2"/>
      <w:r>
        <w:rPr>
          <w:rFonts w:hint="eastAsia" w:cs="宋体"/>
          <w:sz w:val="21"/>
        </w:rPr>
        <w:t xml:space="preserve">预算金额：人民币</w:t>
      </w:r>
      <w:r>
        <w:rPr>
          <w:rFonts w:cs="宋体"/>
          <w:sz w:val="21"/>
        </w:rPr>
        <w:t xml:space="preserve">80万元</w:t>
      </w:r>
      <w:r/>
    </w:p>
    <w:p>
      <w:pPr>
        <w:pStyle w:val="991"/>
        <w:spacing w:line="360" w:lineRule="auto"/>
        <w:rPr>
          <w:rFonts w:cs="宋体"/>
          <w:sz w:val="21"/>
        </w:rPr>
      </w:pPr>
      <w:r>
        <w:rPr>
          <w:rFonts w:hint="eastAsia" w:cs="宋体"/>
          <w:sz w:val="21"/>
        </w:rPr>
        <w:t xml:space="preserve">最高限价：人民币80万元（投标报价超过此限价的为无效标）</w:t>
      </w:r>
      <w:r>
        <w:rPr>
          <w:rFonts w:cs="宋体"/>
          <w:sz w:val="21"/>
        </w:rPr>
      </w:r>
      <w:r/>
    </w:p>
    <w:p>
      <w:pPr>
        <w:pStyle w:val="991"/>
        <w:spacing w:line="360" w:lineRule="auto"/>
        <w:rPr>
          <w:rFonts w:cs="宋体"/>
          <w:sz w:val="21"/>
        </w:rPr>
      </w:pPr>
      <w:r>
        <w:rPr>
          <w:rFonts w:hint="eastAsia" w:cs="宋体"/>
          <w:sz w:val="21"/>
        </w:rPr>
        <w:t xml:space="preserve">采购需求：为迎接国家生态园林城市复查，全面摸清太仓市城镇开发边界内的城市绿化资源情况，对相关绿化资源进行普查、数据采集、处理后及时入库上图，辅助制作国家生态园林城市复查相关指标报告，详</w:t>
      </w:r>
      <w:r>
        <w:rPr>
          <w:rFonts w:hint="eastAsia" w:cs="宋体"/>
          <w:sz w:val="21"/>
        </w:rPr>
        <w:t xml:space="preserve">细需求见招标文件第四章</w:t>
      </w:r>
      <w:r>
        <w:rPr>
          <w:rFonts w:hint="eastAsia" w:cs="宋体"/>
          <w:sz w:val="21"/>
          <w:lang w:val="zh-CN"/>
        </w:rPr>
        <w:t xml:space="preserve">。</w:t>
      </w:r>
      <w:r>
        <w:rPr>
          <w:rFonts w:cs="宋体"/>
          <w:sz w:val="21"/>
        </w:rPr>
      </w:r>
      <w:r/>
    </w:p>
    <w:p>
      <w:pPr>
        <w:pStyle w:val="991"/>
        <w:spacing w:line="360" w:lineRule="auto"/>
        <w:rPr>
          <w:rFonts w:cs="宋体"/>
          <w:sz w:val="21"/>
        </w:rPr>
      </w:pPr>
      <w:r>
        <w:rPr>
          <w:rFonts w:hint="eastAsia" w:cs="宋体"/>
          <w:sz w:val="21"/>
        </w:rPr>
        <w:t xml:space="preserve">履行期限：</w:t>
      </w:r>
      <w:r>
        <w:rPr>
          <w:rFonts w:hint="eastAsia"/>
          <w:sz w:val="21"/>
        </w:rPr>
        <w:t xml:space="preserve">1年</w:t>
      </w:r>
      <w:r>
        <w:rPr>
          <w:rFonts w:hint="eastAsia" w:cs="宋体"/>
          <w:sz w:val="21"/>
        </w:rPr>
        <w:t xml:space="preserve">。</w:t>
      </w:r>
      <w:r>
        <w:rPr>
          <w:rFonts w:cs="宋体"/>
          <w:sz w:val="21"/>
        </w:rPr>
      </w:r>
      <w:r/>
    </w:p>
    <w:p>
      <w:pPr>
        <w:pStyle w:val="991"/>
        <w:spacing w:line="360" w:lineRule="auto"/>
        <w:rPr>
          <w:rFonts w:cs="宋体"/>
          <w:sz w:val="21"/>
        </w:rPr>
      </w:pPr>
      <w:r>
        <w:rPr>
          <w:rFonts w:hint="eastAsia" w:cs="宋体"/>
          <w:sz w:val="21"/>
        </w:rPr>
        <w:t xml:space="preserve">履行地点：采购人指定地点。</w:t>
      </w:r>
      <w:r>
        <w:rPr>
          <w:rFonts w:cs="宋体"/>
          <w:sz w:val="21"/>
        </w:rPr>
      </w:r>
      <w:r/>
    </w:p>
    <w:p>
      <w:pPr>
        <w:pStyle w:val="991"/>
        <w:spacing w:line="360" w:lineRule="auto"/>
        <w:rPr>
          <w:rFonts w:hint="eastAsia" w:cs="宋体"/>
          <w:sz w:val="21"/>
        </w:rPr>
      </w:pPr>
      <w:r>
        <w:rPr>
          <w:rFonts w:hint="eastAsia" w:cs="宋体"/>
          <w:sz w:val="21"/>
        </w:rPr>
        <w:t xml:space="preserve">本项目不接受联合体投标</w:t>
      </w:r>
      <w:r/>
    </w:p>
    <w:p>
      <w:pPr>
        <w:pStyle w:val="991"/>
        <w:ind w:firstLine="0"/>
        <w:spacing w:line="360" w:lineRule="auto"/>
        <w:rPr>
          <w:rFonts w:cs="宋体"/>
          <w:b/>
          <w:bCs/>
          <w:sz w:val="21"/>
        </w:rPr>
      </w:pPr>
      <w:r>
        <w:rPr>
          <w:rFonts w:hint="eastAsia" w:cs="宋体"/>
          <w:b/>
          <w:bCs/>
          <w:sz w:val="21"/>
        </w:rPr>
        <w:t xml:space="preserve">二、申请人的资格要求：</w:t>
      </w:r>
      <w:r>
        <w:rPr>
          <w:rFonts w:cs="宋体"/>
          <w:b/>
          <w:bCs/>
          <w:sz w:val="21"/>
        </w:rPr>
      </w:r>
      <w:r/>
    </w:p>
    <w:p>
      <w:pPr>
        <w:pStyle w:val="991"/>
        <w:spacing w:line="360" w:lineRule="auto"/>
        <w:rPr>
          <w:rFonts w:cs="宋体"/>
          <w:sz w:val="21"/>
        </w:rPr>
      </w:pPr>
      <w:r>
        <w:rPr>
          <w:rFonts w:hint="eastAsia" w:cs="宋体"/>
          <w:sz w:val="21"/>
        </w:rPr>
        <w:t xml:space="preserve">（一）满足《中华人民共和国政府采购法》第二十二条规定</w:t>
      </w:r>
      <w:r>
        <w:rPr>
          <w:rFonts w:cs="宋体"/>
          <w:sz w:val="21"/>
        </w:rPr>
      </w:r>
      <w:r/>
    </w:p>
    <w:p>
      <w:pPr>
        <w:pStyle w:val="991"/>
        <w:spacing w:line="360" w:lineRule="auto"/>
        <w:rPr>
          <w:rFonts w:cs="宋体"/>
          <w:sz w:val="21"/>
        </w:rPr>
      </w:pPr>
      <w:r>
        <w:rPr>
          <w:rFonts w:cs="宋体"/>
          <w:sz w:val="21"/>
        </w:rPr>
        <w:t xml:space="preserve">1、具有独立承担民事责任的能力（提供法人或者其他组织的营业执照等证明文件，自然人的身份证明）</w:t>
      </w:r>
      <w:r/>
    </w:p>
    <w:p>
      <w:pPr>
        <w:pStyle w:val="991"/>
        <w:spacing w:line="360" w:lineRule="auto"/>
        <w:rPr>
          <w:rFonts w:cs="宋体"/>
          <w:sz w:val="21"/>
        </w:rPr>
      </w:pPr>
      <w:r>
        <w:rPr>
          <w:rFonts w:cs="宋体"/>
          <w:sz w:val="21"/>
        </w:rPr>
        <w:t xml:space="preserve">2、具有良好的商业信誉和健全的财务会计制度（提供最近一期的财务状况报告，其他组织、自然人提供银行出具的资信证明）</w:t>
      </w:r>
      <w:r/>
    </w:p>
    <w:p>
      <w:pPr>
        <w:pStyle w:val="991"/>
        <w:spacing w:line="360" w:lineRule="auto"/>
        <w:rPr>
          <w:rFonts w:cs="宋体"/>
          <w:sz w:val="21"/>
        </w:rPr>
      </w:pPr>
      <w:r>
        <w:rPr>
          <w:rFonts w:cs="宋体"/>
          <w:sz w:val="21"/>
        </w:rPr>
        <w:t xml:space="preserve">3、具有履行合同所必需的设备和专业技术</w:t>
      </w:r>
      <w:r>
        <w:rPr>
          <w:rFonts w:cs="宋体"/>
          <w:sz w:val="21"/>
        </w:rPr>
        <w:t xml:space="preserve">能力（提供履行合同所必需的设备和专业技术能力的证明材料）；</w:t>
      </w:r>
      <w:r/>
    </w:p>
    <w:p>
      <w:pPr>
        <w:pStyle w:val="991"/>
        <w:spacing w:line="360" w:lineRule="auto"/>
        <w:rPr>
          <w:rFonts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991"/>
        <w:spacing w:line="360" w:lineRule="auto"/>
        <w:rPr>
          <w:rFonts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p>
    <w:p>
      <w:pPr>
        <w:pStyle w:val="991"/>
        <w:spacing w:line="360" w:lineRule="auto"/>
        <w:rPr>
          <w:rFonts w:cs="宋体"/>
          <w:sz w:val="21"/>
        </w:rPr>
      </w:pPr>
      <w:r>
        <w:rPr>
          <w:rFonts w:cs="宋体"/>
          <w:sz w:val="21"/>
        </w:rPr>
        <w:t xml:space="preserve">6、法律、行政法规规定的其他条件；</w:t>
      </w:r>
      <w:r/>
    </w:p>
    <w:p>
      <w:pPr>
        <w:pStyle w:val="991"/>
        <w:spacing w:line="360" w:lineRule="auto"/>
        <w:rPr>
          <w:rFonts w:cs="宋体"/>
          <w:sz w:val="21"/>
        </w:rPr>
      </w:pPr>
      <w:r>
        <w:rPr>
          <w:rFonts w:hint="eastAsia" w:cs="宋体"/>
          <w:sz w:val="21"/>
        </w:rPr>
        <w:t xml:space="preserve">（二）落实政府采购政策需满足的资格要求：</w:t>
      </w:r>
      <w:r>
        <w:rPr>
          <w:rFonts w:cs="宋体"/>
          <w:sz w:val="21"/>
        </w:rPr>
      </w:r>
      <w:r/>
    </w:p>
    <w:p>
      <w:pPr>
        <w:pStyle w:val="991"/>
        <w:spacing w:line="360" w:lineRule="auto"/>
        <w:rPr>
          <w:rFonts w:cs="宋体"/>
          <w:sz w:val="21"/>
        </w:rPr>
      </w:pPr>
      <w:r>
        <w:rPr>
          <w:rFonts w:hint="eastAsia" w:cs="宋体"/>
          <w:sz w:val="21"/>
        </w:rPr>
        <w:t xml:space="preserve">本项目专门面向中小企业采购，根据《政府采购促进中小企业发展管理办法》（财库〔</w:t>
      </w:r>
      <w:r>
        <w:rPr>
          <w:rFonts w:cs="宋体"/>
          <w:sz w:val="21"/>
        </w:rPr>
        <w:t xml:space="preserve">2020〕46号）有关规定，投标人应提供中小企业声明函或残疾人福利性单位声明函或省级以上监狱管理局、戒毒管理局（含新疆生产建设兵团）出具的属于监狱企业的证明文件</w:t>
      </w:r>
      <w:r>
        <w:rPr>
          <w:rFonts w:hint="eastAsia" w:cs="宋体"/>
          <w:sz w:val="21"/>
        </w:rPr>
        <w:t xml:space="preserve">，</w:t>
      </w:r>
      <w:r>
        <w:rPr>
          <w:rFonts w:cs="宋体"/>
          <w:sz w:val="21"/>
        </w:rPr>
        <w:t xml:space="preserve">否则视为投标无效。</w:t>
      </w:r>
      <w:r/>
    </w:p>
    <w:p>
      <w:pPr>
        <w:pStyle w:val="991"/>
        <w:spacing w:line="360" w:lineRule="auto"/>
        <w:rPr>
          <w:rFonts w:cs="宋体"/>
          <w:sz w:val="21"/>
        </w:rPr>
      </w:pPr>
      <w:r>
        <w:rPr>
          <w:rFonts w:hint="eastAsia" w:cs="宋体"/>
          <w:sz w:val="21"/>
        </w:rPr>
        <w:t xml:space="preserve">（三）本项目的特定资格要求：</w:t>
      </w:r>
      <w:r>
        <w:rPr>
          <w:rFonts w:cs="宋体"/>
          <w:sz w:val="21"/>
        </w:rPr>
      </w:r>
      <w:r/>
    </w:p>
    <w:p>
      <w:pPr>
        <w:pStyle w:val="991"/>
        <w:spacing w:line="360" w:lineRule="auto"/>
        <w:rPr>
          <w:rFonts w:cs="宋体"/>
          <w:sz w:val="21"/>
        </w:rPr>
      </w:pPr>
      <w:r>
        <w:rPr>
          <w:rFonts w:hint="eastAsia" w:cs="宋体"/>
          <w:sz w:val="21"/>
        </w:rPr>
        <w:t xml:space="preserve">1、</w:t>
      </w:r>
      <w:r>
        <w:rPr>
          <w:rFonts w:hint="eastAsia" w:cs="宋体"/>
          <w:sz w:val="21"/>
        </w:rPr>
        <w:t xml:space="preserve">投标单位须具有乙级或乙级以上测绘资质；</w:t>
      </w:r>
      <w:r>
        <w:rPr>
          <w:rFonts w:cs="宋体"/>
          <w:sz w:val="21"/>
        </w:rPr>
      </w:r>
      <w:r/>
    </w:p>
    <w:p>
      <w:pPr>
        <w:pStyle w:val="952"/>
        <w:ind w:firstLine="420"/>
        <w:spacing w:line="360" w:lineRule="auto"/>
        <w:rPr>
          <w:rFonts w:hint="eastAsia" w:cs="宋体"/>
          <w:sz w:val="21"/>
        </w:rPr>
      </w:pPr>
      <w:r>
        <w:rPr>
          <w:rFonts w:hint="eastAsia" w:cs="宋体"/>
          <w:sz w:val="21"/>
        </w:rPr>
        <w:t xml:space="preserve">2、本项目须配备满足工作所需的</w:t>
      </w:r>
      <w:r>
        <w:rPr>
          <w:rFonts w:hint="eastAsia" w:cs="宋体"/>
          <w:spacing w:val="14"/>
          <w:sz w:val="21"/>
          <w:szCs w:val="21"/>
        </w:rPr>
        <w:t xml:space="preserve">测距测速望远镜1副、胸径尺1套、</w:t>
      </w:r>
      <w:r>
        <w:rPr>
          <w:rFonts w:cs="宋体"/>
          <w:spacing w:val="14"/>
          <w:sz w:val="21"/>
          <w:szCs w:val="21"/>
        </w:rPr>
        <w:t xml:space="preserve">RTK测量仪</w:t>
      </w:r>
      <w:r>
        <w:rPr>
          <w:rFonts w:hint="eastAsia" w:cs="宋体"/>
          <w:spacing w:val="14"/>
          <w:sz w:val="21"/>
          <w:szCs w:val="21"/>
        </w:rPr>
        <w:t xml:space="preserve">1套。投标人须提供承诺函，须承诺以上装备在合同签订前配备齐全。</w:t>
      </w:r>
      <w:r>
        <w:rPr>
          <w:rFonts w:hint="eastAsia" w:cs="宋体"/>
          <w:spacing w:val="14"/>
          <w:sz w:val="21"/>
          <w:szCs w:val="21"/>
        </w:rPr>
        <w:t xml:space="preserve">（</w:t>
      </w:r>
      <w:r>
        <w:rPr>
          <w:rFonts w:hint="eastAsia" w:cs="宋体"/>
          <w:spacing w:val="14"/>
          <w:sz w:val="21"/>
          <w:szCs w:val="21"/>
        </w:rPr>
        <w:t xml:space="preserve">投标人格式自拟，加盖投标人公章</w:t>
      </w:r>
      <w:r>
        <w:rPr>
          <w:rFonts w:hint="eastAsia" w:cs="宋体"/>
          <w:spacing w:val="14"/>
          <w:sz w:val="21"/>
          <w:szCs w:val="21"/>
        </w:rPr>
        <w:t xml:space="preserve">）</w:t>
      </w:r>
      <w:r>
        <w:rPr>
          <w:rFonts w:hint="eastAsia" w:cs="宋体"/>
          <w:sz w:val="21"/>
        </w:rPr>
      </w:r>
      <w:r/>
    </w:p>
    <w:p>
      <w:pPr>
        <w:pStyle w:val="991"/>
        <w:spacing w:line="360" w:lineRule="auto"/>
        <w:rPr>
          <w:rFonts w:cs="宋体"/>
          <w:sz w:val="21"/>
        </w:rPr>
      </w:pPr>
      <w:r>
        <w:rPr>
          <w:rFonts w:hint="eastAsia" w:cs="宋体"/>
          <w:sz w:val="21"/>
        </w:rPr>
        <w:t xml:space="preserve">（四）拒绝下述供应商参加本次采购活动：</w:t>
      </w:r>
      <w:r>
        <w:rPr>
          <w:rFonts w:cs="宋体"/>
          <w:sz w:val="21"/>
        </w:rPr>
      </w:r>
      <w:r/>
    </w:p>
    <w:p>
      <w:pPr>
        <w:pStyle w:val="991"/>
        <w:spacing w:line="360" w:lineRule="auto"/>
        <w:rPr>
          <w:rFonts w:cs="宋体"/>
          <w:sz w:val="21"/>
        </w:rPr>
      </w:pPr>
      <w:r>
        <w:rPr>
          <w:rFonts w:cs="宋体"/>
          <w:sz w:val="21"/>
        </w:rPr>
        <w:t xml:space="preserve">1、供应商</w:t>
      </w:r>
      <w:r>
        <w:rPr>
          <w:rFonts w:cs="宋体"/>
          <w:sz w:val="21"/>
        </w:rPr>
        <w:t xml:space="preserve">单位负责人为同一人或者存在直接控股、管理关系的不同供应商，不得参加同一合同项下的政府采购活动。</w:t>
      </w:r>
      <w:r/>
    </w:p>
    <w:p>
      <w:pPr>
        <w:pStyle w:val="991"/>
        <w:spacing w:line="360" w:lineRule="auto"/>
        <w:rPr>
          <w:rFonts w:cs="宋体"/>
          <w:sz w:val="21"/>
        </w:rPr>
      </w:pPr>
      <w:r>
        <w:rPr>
          <w:rFonts w:cs="宋体"/>
          <w:sz w:val="21"/>
        </w:rPr>
        <w:t xml:space="preserve">2、凡为采购项目提供整体设计、规范编制或者项目管理、监理、检测等服务的供应商，不得再参加本项目的采购活动。</w:t>
      </w:r>
      <w:r/>
    </w:p>
    <w:p>
      <w:pPr>
        <w:pStyle w:val="991"/>
        <w:spacing w:line="360" w:lineRule="auto"/>
        <w:rPr>
          <w:rFonts w:cs="宋体"/>
          <w:sz w:val="21"/>
        </w:rPr>
      </w:pPr>
      <w:r>
        <w:rPr>
          <w:rFonts w:cs="宋体"/>
          <w:sz w:val="21"/>
        </w:rPr>
        <w:t xml:space="preserve">3、法人的分支机构不得参加投标（除银行、保险、石油石化、电力、电信等行业特殊情况外）</w:t>
      </w:r>
      <w:r>
        <w:rPr>
          <w:rFonts w:hint="eastAsia" w:cs="宋体"/>
          <w:sz w:val="21"/>
        </w:rPr>
        <w:t xml:space="preserve">。</w:t>
      </w:r>
      <w:r>
        <w:rPr>
          <w:rFonts w:cs="宋体"/>
          <w:sz w:val="21"/>
        </w:rPr>
      </w:r>
      <w:r/>
    </w:p>
    <w:p>
      <w:pPr>
        <w:pStyle w:val="991"/>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hint="eastAsia"/>
          <w:sz w:val="21"/>
        </w:rPr>
      </w:r>
      <w:r/>
    </w:p>
    <w:p>
      <w:pPr>
        <w:pStyle w:val="991"/>
        <w:ind w:firstLine="0"/>
        <w:spacing w:line="360" w:lineRule="auto"/>
        <w:rPr>
          <w:rFonts w:cs="宋体"/>
          <w:b/>
          <w:bCs/>
          <w:sz w:val="21"/>
        </w:rPr>
      </w:pPr>
      <w:r>
        <w:rPr>
          <w:rFonts w:hint="eastAsia" w:cs="宋体"/>
          <w:b/>
          <w:bCs/>
          <w:sz w:val="21"/>
        </w:rPr>
        <w:t xml:space="preserve">三、获取招标文件</w:t>
      </w:r>
      <w:r>
        <w:rPr>
          <w:rFonts w:cs="宋体"/>
          <w:b/>
          <w:bCs/>
          <w:sz w:val="21"/>
        </w:rPr>
      </w:r>
      <w:r/>
    </w:p>
    <w:p>
      <w:pPr>
        <w:pStyle w:val="991"/>
        <w:spacing w:line="360" w:lineRule="auto"/>
        <w:rPr>
          <w:rFonts w:cs="宋体"/>
          <w:sz w:val="21"/>
        </w:rPr>
      </w:pPr>
      <w:r>
        <w:rPr>
          <w:rFonts w:cs="宋体"/>
          <w:sz w:val="21"/>
        </w:rPr>
        <w:t xml:space="preserve">1、依法获取电子招标文件：投标人在</w:t>
      </w:r>
      <w:r>
        <w:rPr>
          <w:rFonts w:hint="eastAsia" w:cs="宋体"/>
          <w:sz w:val="21"/>
        </w:rPr>
        <w:t xml:space="preserve">2024年08月09日至2024年08月15日</w:t>
      </w:r>
      <w:r>
        <w:rPr>
          <w:rFonts w:cs="宋体"/>
          <w:sz w:val="21"/>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p>
    <w:p>
      <w:pPr>
        <w:pStyle w:val="991"/>
        <w:spacing w:line="360" w:lineRule="auto"/>
        <w:rPr>
          <w:rFonts w:cs="宋体"/>
          <w:sz w:val="21"/>
        </w:rPr>
      </w:pPr>
      <w:r>
        <w:rPr>
          <w:rFonts w:cs="宋体"/>
          <w:sz w:val="21"/>
        </w:rPr>
        <w:t xml:space="preserve">2、获取方式：网上下载电子</w:t>
      </w:r>
      <w:r>
        <w:rPr>
          <w:rFonts w:cs="宋体"/>
          <w:sz w:val="21"/>
        </w:rPr>
        <w:t xml:space="preserve">招标文件</w:t>
      </w:r>
      <w:r/>
    </w:p>
    <w:p>
      <w:pPr>
        <w:pStyle w:val="991"/>
        <w:spacing w:line="360" w:lineRule="auto"/>
        <w:rPr>
          <w:rFonts w:cs="宋体"/>
          <w:sz w:val="21"/>
        </w:rPr>
      </w:pPr>
      <w:r>
        <w:rPr>
          <w:rFonts w:cs="宋体"/>
          <w:sz w:val="21"/>
        </w:rPr>
        <w:t xml:space="preserve">3、本项目免费下载电子招标文件</w:t>
      </w:r>
      <w:r/>
    </w:p>
    <w:p>
      <w:pPr>
        <w:pStyle w:val="991"/>
        <w:ind w:firstLine="0"/>
        <w:spacing w:line="360" w:lineRule="auto"/>
        <w:rPr>
          <w:rFonts w:cs="宋体"/>
          <w:b/>
          <w:bCs/>
          <w:sz w:val="21"/>
        </w:rPr>
      </w:pPr>
      <w:r>
        <w:rPr>
          <w:rFonts w:hint="eastAsia" w:cs="宋体"/>
          <w:b/>
          <w:bCs/>
          <w:sz w:val="21"/>
        </w:rPr>
        <w:t xml:space="preserve">四、提交电子投标文件截止时间、开标时间和地点</w:t>
      </w:r>
      <w:r>
        <w:rPr>
          <w:rFonts w:cs="宋体"/>
          <w:b/>
          <w:bCs/>
          <w:sz w:val="21"/>
        </w:rPr>
      </w:r>
      <w:r/>
    </w:p>
    <w:p>
      <w:pPr>
        <w:pStyle w:val="991"/>
        <w:spacing w:line="360" w:lineRule="auto"/>
        <w:rPr>
          <w:rFonts w:cs="宋体"/>
          <w:sz w:val="21"/>
        </w:rPr>
      </w:pPr>
      <w:r>
        <w:rPr>
          <w:rFonts w:cs="宋体"/>
          <w:sz w:val="21"/>
        </w:rPr>
        <w:t xml:space="preserve">1、加密的电子投标文件上传截止时间：</w:t>
      </w:r>
      <w:r>
        <w:rPr>
          <w:rFonts w:hint="eastAsia" w:cs="宋体"/>
          <w:sz w:val="21"/>
        </w:rPr>
        <w:t xml:space="preserve">2024年09月02日上午09：30</w:t>
      </w:r>
      <w:r>
        <w:rPr>
          <w:rFonts w:cs="宋体"/>
          <w:sz w:val="21"/>
        </w:rPr>
        <w:t xml:space="preserve">（北京时间），投标人登录苏采云政府采购一体化平台，进入“参与详情”页面，上传电子投标文件。</w:t>
      </w:r>
      <w:r/>
    </w:p>
    <w:p>
      <w:pPr>
        <w:pStyle w:val="991"/>
        <w:spacing w:line="360" w:lineRule="auto"/>
        <w:rPr>
          <w:rFonts w:cs="宋体"/>
          <w:sz w:val="21"/>
        </w:rPr>
      </w:pPr>
      <w:r>
        <w:rPr>
          <w:rFonts w:hint="eastAsia" w:cs="宋体"/>
          <w:sz w:val="21"/>
        </w:rPr>
        <w:t xml:space="preserve">注：考虑网络上传速度因素，请投标供应商适当提前上传电子投标文件。</w:t>
      </w:r>
      <w:r>
        <w:rPr>
          <w:rFonts w:cs="宋体"/>
          <w:sz w:val="21"/>
        </w:rPr>
      </w:r>
      <w:r/>
    </w:p>
    <w:p>
      <w:pPr>
        <w:pStyle w:val="991"/>
        <w:spacing w:line="360" w:lineRule="auto"/>
        <w:rPr>
          <w:rFonts w:cs="宋体"/>
          <w:sz w:val="21"/>
        </w:rPr>
      </w:pPr>
      <w:r>
        <w:rPr>
          <w:rFonts w:cs="宋体"/>
          <w:sz w:val="21"/>
        </w:rPr>
        <w:t xml:space="preserve">2、开标时间：</w:t>
      </w:r>
      <w:r>
        <w:rPr>
          <w:rFonts w:hint="eastAsia" w:cs="宋体"/>
          <w:sz w:val="21"/>
        </w:rPr>
        <w:t xml:space="preserve">2024年09月02日上午09：30</w:t>
      </w:r>
      <w:r>
        <w:rPr>
          <w:rFonts w:cs="宋体"/>
          <w:sz w:val="21"/>
        </w:rPr>
        <w:t xml:space="preserve">（北京时间）</w:t>
      </w:r>
      <w:r/>
    </w:p>
    <w:p>
      <w:pPr>
        <w:pStyle w:val="991"/>
        <w:spacing w:line="360" w:lineRule="auto"/>
        <w:rPr>
          <w:rFonts w:cs="宋体"/>
          <w:sz w:val="21"/>
        </w:rPr>
      </w:pPr>
      <w:r>
        <w:rPr>
          <w:rFonts w:cs="宋体"/>
          <w:sz w:val="21"/>
        </w:rPr>
        <w:t xml:space="preserve">3、开标地点：苏采云网上不见面开标大厅</w:t>
      </w:r>
      <w:r/>
    </w:p>
    <w:p>
      <w:pPr>
        <w:pStyle w:val="991"/>
        <w:ind w:firstLine="0"/>
        <w:spacing w:line="360" w:lineRule="auto"/>
        <w:rPr>
          <w:rFonts w:cs="宋体"/>
          <w:b/>
          <w:bCs/>
          <w:sz w:val="21"/>
        </w:rPr>
      </w:pPr>
      <w:r>
        <w:rPr>
          <w:rFonts w:hint="eastAsia" w:cs="宋体"/>
          <w:b/>
          <w:bCs/>
          <w:sz w:val="21"/>
        </w:rPr>
        <w:t xml:space="preserve">五、公告期限</w:t>
      </w:r>
      <w:r>
        <w:rPr>
          <w:rFonts w:cs="宋体"/>
          <w:b/>
          <w:bCs/>
          <w:sz w:val="21"/>
        </w:rPr>
      </w:r>
      <w:r/>
    </w:p>
    <w:p>
      <w:pPr>
        <w:pStyle w:val="991"/>
        <w:spacing w:line="360" w:lineRule="auto"/>
        <w:rPr>
          <w:rFonts w:cs="宋体"/>
          <w:sz w:val="21"/>
        </w:rPr>
      </w:pPr>
      <w:r>
        <w:rPr>
          <w:rFonts w:hint="eastAsia" w:cs="宋体"/>
          <w:sz w:val="21"/>
        </w:rPr>
        <w:t xml:space="preserve">自本公告发布之日起</w:t>
      </w:r>
      <w:r>
        <w:rPr>
          <w:rFonts w:cs="宋体"/>
          <w:sz w:val="21"/>
        </w:rPr>
        <w:t xml:space="preserve">5个工作日。</w:t>
      </w:r>
      <w:r/>
    </w:p>
    <w:p>
      <w:pPr>
        <w:pStyle w:val="991"/>
        <w:ind w:firstLine="0"/>
        <w:spacing w:line="360" w:lineRule="auto"/>
        <w:rPr>
          <w:rFonts w:cs="宋体"/>
          <w:b/>
          <w:bCs/>
          <w:sz w:val="21"/>
        </w:rPr>
      </w:pPr>
      <w:r>
        <w:rPr>
          <w:rFonts w:hint="eastAsia" w:cs="宋体"/>
          <w:b/>
          <w:bCs/>
          <w:sz w:val="21"/>
        </w:rPr>
        <w:t xml:space="preserve">六、其他补充事宜</w:t>
      </w:r>
      <w:r>
        <w:rPr>
          <w:rFonts w:cs="宋体"/>
          <w:b/>
          <w:bCs/>
          <w:sz w:val="21"/>
        </w:rPr>
      </w:r>
      <w:r/>
    </w:p>
    <w:p>
      <w:pPr>
        <w:pStyle w:val="991"/>
        <w:spacing w:line="360" w:lineRule="auto"/>
        <w:rPr>
          <w:rFonts w:cs="宋体"/>
          <w:sz w:val="21"/>
        </w:rPr>
      </w:pPr>
      <w:r>
        <w:rPr>
          <w:rFonts w:cs="宋体"/>
          <w:sz w:val="21"/>
        </w:rPr>
        <w:t xml:space="preserve">1、本项目需要使用CA数字证书制作、上传电子投标文件</w:t>
      </w:r>
      <w:r>
        <w:rPr>
          <w:rFonts w:cs="宋体"/>
          <w:sz w:val="21"/>
        </w:rPr>
        <w:t xml:space="preserve">完成电子投标，请供应商在参加投标活动前办理好CA数字证书申领及电子签章等操作。</w:t>
      </w:r>
      <w:r/>
    </w:p>
    <w:p>
      <w:pPr>
        <w:pStyle w:val="991"/>
        <w:spacing w:line="360" w:lineRule="auto"/>
        <w:rPr>
          <w:rFonts w:cs="宋体"/>
          <w:sz w:val="21"/>
        </w:rPr>
      </w:pPr>
      <w:r>
        <w:rPr>
          <w:rFonts w:cs="宋体"/>
          <w:sz w:val="21"/>
        </w:rPr>
        <w:t xml:space="preserve">2、本项目采用不见面开标，投标人开标时无需到开标现场进行解密，采取网上开标大厅解密电子投标文件，投标人远程解密要求如下：</w:t>
      </w:r>
      <w:r/>
    </w:p>
    <w:p>
      <w:pPr>
        <w:pStyle w:val="991"/>
        <w:spacing w:line="360" w:lineRule="auto"/>
        <w:rPr>
          <w:rFonts w:cs="宋体"/>
          <w:sz w:val="21"/>
        </w:rPr>
      </w:pPr>
      <w:r>
        <w:rPr>
          <w:rFonts w:cs="宋体"/>
          <w:sz w:val="21"/>
        </w:rPr>
        <w:t xml:space="preserve">1）投标人使用CA数字证书进行远程解密，解密的CA数字证书与生成加密电子投标文件时的CA数字证书需为同一个CA数字证书，否则无法解密，造成的后果由投标人自行负责。</w:t>
      </w:r>
      <w:r/>
    </w:p>
    <w:p>
      <w:pPr>
        <w:pStyle w:val="991"/>
        <w:spacing w:line="360" w:lineRule="auto"/>
        <w:rPr>
          <w:rFonts w:cs="宋体"/>
          <w:sz w:val="21"/>
        </w:rPr>
      </w:pPr>
      <w:r>
        <w:rPr>
          <w:rFonts w:cs="宋体"/>
          <w:sz w:val="21"/>
        </w:rPr>
        <w:t xml:space="preserve">2）投标人登录苏采云系统，点击开标大厅，选择开标项目，完成不见面开标流程。</w:t>
      </w:r>
      <w:r/>
    </w:p>
    <w:p>
      <w:pPr>
        <w:pStyle w:val="991"/>
        <w:spacing w:line="360" w:lineRule="auto"/>
        <w:rPr>
          <w:rFonts w:cs="宋体"/>
          <w:sz w:val="21"/>
        </w:rPr>
      </w:pPr>
      <w:r>
        <w:rPr>
          <w:rFonts w:cs="宋体"/>
          <w:sz w:val="21"/>
        </w:rPr>
        <w:t xml:space="preserve">3）投标截止时间后根据系统提示解密电子投标文</w:t>
      </w:r>
      <w:r>
        <w:rPr>
          <w:rFonts w:cs="宋体"/>
          <w:sz w:val="21"/>
        </w:rPr>
        <w:t xml:space="preserve">件。解密时间为 15 分钟，未在规定时间内完成解密，其投标文件将被拒绝，不参与后续投标流程。</w:t>
      </w:r>
      <w:r/>
    </w:p>
    <w:p>
      <w:pPr>
        <w:pStyle w:val="991"/>
        <w:spacing w:line="360" w:lineRule="auto"/>
        <w:rPr>
          <w:rFonts w:cs="宋体"/>
          <w:sz w:val="21"/>
        </w:rPr>
      </w:pPr>
      <w:r>
        <w:rPr>
          <w:rFonts w:cs="宋体"/>
          <w:sz w:val="21"/>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91"/>
        <w:spacing w:line="360" w:lineRule="auto"/>
        <w:rPr>
          <w:rFonts w:cs="宋体"/>
          <w:sz w:val="21"/>
        </w:rPr>
      </w:pPr>
      <w:r>
        <w:rPr>
          <w:rFonts w:cs="宋体"/>
          <w:sz w:val="21"/>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pStyle w:val="991"/>
        <w:spacing w:line="360" w:lineRule="auto"/>
        <w:rPr>
          <w:rFonts w:cs="宋体"/>
          <w:sz w:val="21"/>
        </w:rPr>
      </w:pPr>
      <w:r>
        <w:rPr>
          <w:rFonts w:cs="宋体"/>
          <w:sz w:val="21"/>
        </w:rPr>
        <w:t xml:space="preserve">4、有关供应商注册、报名、下载电子招标文件、制作上传电子投标文件、不见面开标及其他注意事项登录苏州政府采购网，在“下载中</w:t>
      </w:r>
      <w:r>
        <w:rPr>
          <w:rFonts w:cs="宋体"/>
          <w:sz w:val="21"/>
        </w:rPr>
        <w:t xml:space="preserve">心”栏目下载“苏采云系统供应商操作手册”查阅。</w:t>
      </w:r>
      <w:r/>
    </w:p>
    <w:p>
      <w:pPr>
        <w:pStyle w:val="991"/>
        <w:spacing w:line="360" w:lineRule="auto"/>
        <w:rPr>
          <w:rFonts w:cs="宋体"/>
          <w:sz w:val="21"/>
        </w:rPr>
      </w:pPr>
      <w:r>
        <w:rPr>
          <w:rFonts w:cs="宋体"/>
          <w:sz w:val="21"/>
        </w:rPr>
        <w:t xml:space="preserve">5、有关办理CA数字申领及电子签章事项，登录苏州政府采购网，点击页面底部苏采云图标，进入苏采云政府采购一体化平台，下载“新CA办理指南”文件查阅。</w:t>
      </w:r>
      <w:r/>
    </w:p>
    <w:p>
      <w:pPr>
        <w:pStyle w:val="991"/>
        <w:spacing w:line="360" w:lineRule="auto"/>
        <w:rPr>
          <w:rFonts w:cs="宋体"/>
          <w:b/>
          <w:bCs/>
          <w:sz w:val="21"/>
        </w:rPr>
      </w:pPr>
      <w:r>
        <w:rPr>
          <w:rFonts w:hint="eastAsia" w:cs="宋体"/>
          <w:sz w:val="21"/>
        </w:rPr>
        <w:t xml:space="preserve">6、中标服务费：本次招标项目中标服务费由中标人支付，按照预算金额，100万元以下按1.5%计算，100至500万（不含）按照1.1%计算，500至1000万（不含）按照0.8%计算，招标代理服务收费按差额定率累进法计算，如计算不足3000元按3000元计，</w:t>
      </w:r>
      <w:r>
        <w:rPr>
          <w:rFonts w:hint="eastAsia" w:cs="宋体"/>
          <w:sz w:val="21"/>
        </w:rPr>
        <w:t xml:space="preserve">中标人在领取中标通知书时向采购代理机构一次性付清。</w:t>
      </w:r>
      <w:r>
        <w:rPr>
          <w:rFonts w:cs="宋体"/>
          <w:b/>
          <w:bCs/>
          <w:sz w:val="21"/>
        </w:rPr>
      </w:r>
      <w:r/>
    </w:p>
    <w:p>
      <w:pPr>
        <w:pStyle w:val="991"/>
        <w:spacing w:line="360" w:lineRule="auto"/>
        <w:rPr>
          <w:rFonts w:hint="eastAsia" w:cs="宋体"/>
          <w:sz w:val="21"/>
        </w:rPr>
      </w:pPr>
      <w:r>
        <w:rPr>
          <w:rFonts w:hint="eastAsia" w:cs="宋体"/>
          <w:sz w:val="21"/>
        </w:rPr>
        <w:t xml:space="preserve">7、关于中小企业政府采购信用融资政策：</w:t>
      </w:r>
      <w:r/>
    </w:p>
    <w:p>
      <w:pPr>
        <w:pStyle w:val="991"/>
        <w:spacing w:line="360" w:lineRule="auto"/>
        <w:rPr>
          <w:rFonts w:hint="eastAsia" w:cs="宋体"/>
          <w:sz w:val="21"/>
        </w:rPr>
      </w:pPr>
      <w:r>
        <w:rPr>
          <w:rFonts w:hint="eastAsia" w:cs="宋体"/>
          <w:sz w:val="21"/>
        </w:rPr>
        <w:t xml:space="preserve">7.1、根据《关于深入推进政府采购线上合同信用融资工作的通知》等有关文件精神，提升政府采购供应商融资可行性，太仓市政府采购项目中标供应商可凭借政府采购中标（成交）通知书和政府采购合同进行信用融资。</w:t>
      </w:r>
      <w:r/>
    </w:p>
    <w:p>
      <w:pPr>
        <w:pStyle w:val="991"/>
        <w:spacing w:line="360" w:lineRule="auto"/>
        <w:rPr>
          <w:rFonts w:cs="宋体"/>
          <w:sz w:val="21"/>
        </w:rPr>
      </w:pPr>
      <w:r>
        <w:rPr>
          <w:rFonts w:hint="eastAsia" w:cs="宋体"/>
          <w:sz w:val="21"/>
        </w:rPr>
        <w:t xml:space="preserve">7.2、有关信用融资具体申请条件及操作流程等事项请登录苏州市公共资源交易平台，鼠标移至【苏州市】-【苏州】-【太仓市分中心】，进入太仓分中心交易页面，通过“下载中心”栏目下“太仓市政府采购“政采贷”中标供应商线上申请贷款操作手册”文件查阅。</w:t>
      </w:r>
      <w:r>
        <w:rPr>
          <w:rFonts w:cs="宋体"/>
          <w:sz w:val="21"/>
        </w:rPr>
      </w:r>
      <w:r/>
    </w:p>
    <w:p>
      <w:pPr>
        <w:pStyle w:val="991"/>
        <w:ind w:firstLine="0"/>
        <w:spacing w:line="360" w:lineRule="auto"/>
        <w:rPr>
          <w:rFonts w:cs="宋体"/>
          <w:b/>
          <w:bCs/>
          <w:sz w:val="21"/>
        </w:rPr>
      </w:pPr>
      <w:r>
        <w:rPr>
          <w:rFonts w:hint="eastAsia" w:cs="宋体"/>
          <w:b/>
          <w:bCs/>
          <w:sz w:val="21"/>
        </w:rPr>
        <w:t xml:space="preserve">七、本次招标投标保证金</w:t>
      </w:r>
      <w:r>
        <w:rPr>
          <w:rFonts w:cs="宋体"/>
          <w:b/>
          <w:bCs/>
          <w:sz w:val="21"/>
        </w:rPr>
      </w:r>
      <w:r/>
    </w:p>
    <w:p>
      <w:pPr>
        <w:pStyle w:val="991"/>
        <w:spacing w:line="360" w:lineRule="auto"/>
        <w:rPr>
          <w:rFonts w:hint="eastAsia" w:cs="宋体"/>
          <w:sz w:val="21"/>
        </w:rPr>
      </w:pPr>
      <w:r>
        <w:rPr>
          <w:rFonts w:hint="eastAsia" w:cs="宋体"/>
          <w:sz w:val="21"/>
        </w:rPr>
        <w:t xml:space="preserve">本项目无须缴纳投标保证金。</w:t>
      </w:r>
      <w:r/>
    </w:p>
    <w:p>
      <w:pPr>
        <w:pStyle w:val="991"/>
        <w:ind w:firstLine="0"/>
        <w:spacing w:line="360" w:lineRule="auto"/>
        <w:rPr>
          <w:rFonts w:cs="宋体"/>
          <w:b/>
          <w:bCs/>
          <w:sz w:val="21"/>
        </w:rPr>
      </w:pPr>
      <w:r>
        <w:rPr>
          <w:rFonts w:hint="eastAsia" w:cs="宋体"/>
          <w:b/>
          <w:bCs/>
          <w:sz w:val="21"/>
        </w:rPr>
        <w:t xml:space="preserve">八、凡对本次招标提出询问，请按以下方式联系</w:t>
      </w:r>
      <w:r>
        <w:rPr>
          <w:rFonts w:cs="宋体"/>
          <w:b/>
          <w:bCs/>
          <w:sz w:val="21"/>
        </w:rPr>
      </w:r>
      <w:r/>
    </w:p>
    <w:p>
      <w:pPr>
        <w:pStyle w:val="991"/>
        <w:spacing w:line="360" w:lineRule="auto"/>
        <w:rPr>
          <w:rFonts w:cs="宋体"/>
          <w:sz w:val="21"/>
        </w:rPr>
      </w:pPr>
      <w:r>
        <w:rPr>
          <w:rFonts w:hint="eastAsia" w:cs="宋体"/>
          <w:sz w:val="21"/>
        </w:rPr>
        <w:t xml:space="preserve">1、采购人信息</w:t>
      </w:r>
      <w:r>
        <w:rPr>
          <w:rFonts w:cs="宋体"/>
          <w:sz w:val="21"/>
        </w:rPr>
      </w:r>
      <w:r/>
    </w:p>
    <w:p>
      <w:pPr>
        <w:pStyle w:val="991"/>
        <w:spacing w:line="360" w:lineRule="auto"/>
        <w:rPr>
          <w:rFonts w:cs="宋体"/>
          <w:sz w:val="21"/>
          <w:u w:val="single"/>
        </w:rPr>
      </w:pPr>
      <w:r>
        <w:rPr>
          <w:rFonts w:hint="eastAsia" w:cs="宋体"/>
          <w:sz w:val="21"/>
        </w:rPr>
        <w:t xml:space="preserve">名称:</w:t>
      </w:r>
      <w:r>
        <w:rPr>
          <w:rFonts w:hint="eastAsia" w:cs="宋体"/>
          <w:sz w:val="21"/>
          <w:u w:val="single"/>
        </w:rPr>
        <w:t xml:space="preserve"> </w:t>
      </w:r>
      <w:r>
        <w:rPr>
          <w:rFonts w:cs="宋体"/>
          <w:sz w:val="21"/>
          <w:u w:val="single"/>
        </w:rPr>
        <w:t xml:space="preserve">太仓市住房和城乡建设局</w:t>
      </w:r>
      <w:r>
        <w:rPr>
          <w:rFonts w:hint="eastAsia" w:cs="宋体"/>
          <w:sz w:val="21"/>
          <w:u w:val="single"/>
        </w:rPr>
        <w:t xml:space="preserve"> </w:t>
      </w:r>
      <w:r>
        <w:rPr>
          <w:rFonts w:cs="宋体"/>
          <w:sz w:val="21"/>
          <w:u w:val="single"/>
        </w:rPr>
      </w:r>
      <w:r/>
    </w:p>
    <w:p>
      <w:pPr>
        <w:pStyle w:val="991"/>
        <w:spacing w:line="360" w:lineRule="auto"/>
        <w:rPr>
          <w:rFonts w:cs="宋体"/>
          <w:sz w:val="21"/>
        </w:rPr>
      </w:pPr>
      <w:r>
        <w:rPr>
          <w:rFonts w:hint="eastAsia" w:cs="宋体"/>
          <w:sz w:val="21"/>
        </w:rPr>
        <w:t xml:space="preserve">地址:</w:t>
      </w:r>
      <w:r>
        <w:rPr>
          <w:rFonts w:hint="eastAsia" w:cs="宋体"/>
          <w:sz w:val="21"/>
          <w:u w:val="single"/>
        </w:rPr>
        <w:t xml:space="preserve">江苏省苏州市太仓市县府东街101号</w:t>
      </w:r>
      <w:r>
        <w:rPr>
          <w:rFonts w:hint="eastAsia" w:cs="宋体"/>
          <w:sz w:val="21"/>
        </w:rPr>
        <w:t xml:space="preserve"> </w:t>
      </w:r>
      <w:r>
        <w:rPr>
          <w:rFonts w:cs="宋体"/>
          <w:sz w:val="21"/>
        </w:rPr>
      </w:r>
      <w:r/>
    </w:p>
    <w:p>
      <w:pPr>
        <w:pStyle w:val="991"/>
        <w:spacing w:line="360" w:lineRule="auto"/>
        <w:rPr>
          <w:rFonts w:hint="eastAsia" w:cs="宋体"/>
          <w:sz w:val="21"/>
          <w:u w:val="single"/>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en-US"/>
        </w:rPr>
        <w:t xml:space="preserve">顾跃君</w:t>
      </w:r>
      <w:r>
        <w:rPr>
          <w:rFonts w:cs="宋体"/>
          <w:sz w:val="21"/>
          <w:u w:val="single"/>
          <w:lang w:eastAsia="en-US"/>
        </w:rPr>
        <w:t xml:space="preserve">  </w:t>
      </w:r>
      <w:r>
        <w:rPr>
          <w:rFonts w:hint="eastAsia" w:cs="宋体"/>
          <w:sz w:val="21"/>
          <w:u w:val="single"/>
        </w:rPr>
        <w:t xml:space="preserve">0512-53548950</w:t>
      </w:r>
      <w:r/>
    </w:p>
    <w:p>
      <w:pPr>
        <w:pStyle w:val="991"/>
        <w:spacing w:line="360" w:lineRule="auto"/>
        <w:rPr>
          <w:rFonts w:cs="宋体"/>
          <w:sz w:val="21"/>
        </w:rPr>
      </w:pPr>
      <w:r>
        <w:rPr>
          <w:rFonts w:hint="eastAsia" w:cs="宋体"/>
          <w:sz w:val="21"/>
        </w:rPr>
        <w:t xml:space="preserve">2、采购代理机构信息</w:t>
      </w:r>
      <w:r>
        <w:rPr>
          <w:rFonts w:cs="宋体"/>
          <w:sz w:val="21"/>
        </w:rPr>
      </w:r>
      <w:r/>
    </w:p>
    <w:p>
      <w:pPr>
        <w:pStyle w:val="991"/>
        <w:spacing w:line="360" w:lineRule="auto"/>
        <w:rPr>
          <w:rFonts w:cs="宋体"/>
          <w:sz w:val="21"/>
        </w:rPr>
      </w:pPr>
      <w:r>
        <w:rPr>
          <w:rFonts w:hint="eastAsia" w:cs="宋体"/>
          <w:sz w:val="21"/>
        </w:rPr>
        <w:t xml:space="preserve">名称:</w:t>
      </w:r>
      <w:r>
        <w:rPr>
          <w:rFonts w:hint="eastAsia" w:cs="宋体"/>
          <w:sz w:val="21"/>
          <w:u w:val="single"/>
        </w:rPr>
        <w:t xml:space="preserve">  苏州乐族工程咨询有限公司</w:t>
      </w:r>
      <w:r>
        <w:rPr>
          <w:rFonts w:cs="宋体"/>
          <w:sz w:val="21"/>
        </w:rPr>
      </w:r>
      <w:r/>
    </w:p>
    <w:p>
      <w:pPr>
        <w:pStyle w:val="991"/>
        <w:spacing w:line="360" w:lineRule="auto"/>
        <w:rPr>
          <w:rFonts w:cs="宋体"/>
          <w:sz w:val="21"/>
          <w:u w:val="single"/>
        </w:rPr>
      </w:pPr>
      <w:r>
        <w:rPr>
          <w:rFonts w:hint="eastAsia" w:cs="宋体"/>
          <w:sz w:val="21"/>
        </w:rPr>
        <w:t xml:space="preserve">地址:</w:t>
      </w:r>
      <w:r>
        <w:rPr>
          <w:rFonts w:hint="eastAsia" w:cs="宋体"/>
          <w:sz w:val="21"/>
          <w:u w:val="single"/>
        </w:rPr>
        <w:t xml:space="preserve">  </w:t>
      </w:r>
      <w:r>
        <w:rPr>
          <w:rFonts w:cs="宋体"/>
          <w:sz w:val="21"/>
          <w:u w:val="single"/>
        </w:rPr>
        <w:t xml:space="preserve">太仓市富阳路8号听雨苑3楼</w:t>
      </w:r>
      <w:r/>
    </w:p>
    <w:p>
      <w:pPr>
        <w:pStyle w:val="991"/>
        <w:spacing w:line="360" w:lineRule="auto"/>
        <w:rPr>
          <w:rFonts w:cs="宋体"/>
          <w:sz w:val="21"/>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en-US"/>
        </w:rPr>
        <w:t xml:space="preserve">曾骏</w:t>
      </w:r>
      <w:r>
        <w:rPr>
          <w:rFonts w:cs="宋体"/>
          <w:sz w:val="21"/>
          <w:u w:val="single"/>
          <w:lang w:eastAsia="en-US"/>
        </w:rPr>
        <w:t xml:space="preserve"> </w:t>
      </w:r>
      <w:r>
        <w:rPr>
          <w:rFonts w:cs="宋体"/>
          <w:sz w:val="21"/>
          <w:u w:val="single"/>
        </w:rPr>
        <w:t xml:space="preserve">15962285020</w:t>
      </w:r>
      <w:r>
        <w:rPr>
          <w:rFonts w:cs="宋体"/>
          <w:sz w:val="21"/>
        </w:rPr>
      </w:r>
      <w:r/>
    </w:p>
    <w:p>
      <w:pPr>
        <w:pStyle w:val="991"/>
        <w:spacing w:line="360" w:lineRule="auto"/>
        <w:rPr>
          <w:rFonts w:cs="宋体"/>
          <w:sz w:val="21"/>
        </w:rPr>
      </w:pPr>
      <w:r>
        <w:rPr>
          <w:rFonts w:hint="eastAsia" w:cs="宋体"/>
          <w:sz w:val="21"/>
        </w:rPr>
        <w:t xml:space="preserve">3、项目联系方式</w:t>
      </w:r>
      <w:r>
        <w:rPr>
          <w:rFonts w:cs="宋体"/>
          <w:sz w:val="21"/>
        </w:rPr>
      </w:r>
      <w:r/>
    </w:p>
    <w:p>
      <w:pPr>
        <w:pStyle w:val="991"/>
        <w:spacing w:line="360" w:lineRule="auto"/>
        <w:rPr>
          <w:rFonts w:cs="宋体"/>
          <w:sz w:val="21"/>
        </w:rPr>
      </w:pPr>
      <w:r>
        <w:rPr>
          <w:rFonts w:hint="eastAsia" w:cs="宋体"/>
          <w:sz w:val="21"/>
        </w:rPr>
        <w:t xml:space="preserve">项目联系人：</w:t>
      </w:r>
      <w:r>
        <w:rPr>
          <w:rFonts w:hint="eastAsia" w:cs="宋体"/>
          <w:sz w:val="21"/>
          <w:u w:val="single"/>
        </w:rPr>
        <w:t xml:space="preserve">曾骏、</w:t>
      </w:r>
      <w:r>
        <w:rPr>
          <w:rFonts w:hint="eastAsia" w:cs="宋体"/>
          <w:sz w:val="21"/>
          <w:u w:val="single"/>
          <w:lang w:eastAsia="en-US"/>
        </w:rPr>
        <w:t xml:space="preserve">郁梦婷</w:t>
      </w:r>
      <w:r>
        <w:rPr>
          <w:rFonts w:cs="宋体"/>
          <w:sz w:val="21"/>
          <w:u w:val="single"/>
          <w:lang w:eastAsia="en-US"/>
        </w:rPr>
        <w:t xml:space="preserve">、</w:t>
      </w:r>
      <w:r>
        <w:rPr>
          <w:rFonts w:cs="宋体"/>
          <w:sz w:val="21"/>
        </w:rPr>
      </w:r>
      <w:r/>
    </w:p>
    <w:p>
      <w:pPr>
        <w:pStyle w:val="952"/>
        <w:ind w:firstLine="420"/>
        <w:rPr>
          <w:rFonts w:hint="eastAsia" w:cs="宋体"/>
          <w:sz w:val="21"/>
          <w:u w:val="single"/>
        </w:rPr>
      </w:pPr>
      <w:r>
        <w:rPr>
          <w:rFonts w:hint="eastAsia" w:cs="宋体"/>
          <w:sz w:val="21"/>
        </w:rPr>
        <w:t xml:space="preserve">电话:</w:t>
      </w:r>
      <w:r>
        <w:rPr>
          <w:rFonts w:hint="eastAsia" w:cs="宋体"/>
          <w:sz w:val="21"/>
          <w:u w:val="single"/>
        </w:rPr>
        <w:t xml:space="preserve">  </w:t>
      </w:r>
      <w:r>
        <w:rPr>
          <w:rFonts w:cs="宋体"/>
          <w:sz w:val="21"/>
          <w:u w:val="single"/>
        </w:rPr>
        <w:t xml:space="preserve">15962285020</w:t>
      </w:r>
      <w:r>
        <w:rPr>
          <w:rFonts w:hint="eastAsia" w:cs="宋体"/>
          <w:sz w:val="21"/>
          <w:u w:val="single"/>
        </w:rPr>
        <w:t xml:space="preserve">、</w:t>
      </w:r>
      <w:r>
        <w:rPr>
          <w:rFonts w:hint="eastAsia" w:cs="宋体"/>
          <w:sz w:val="21"/>
          <w:u w:val="single"/>
        </w:rPr>
        <w:t xml:space="preserve">18168990285</w:t>
      </w:r>
      <w:bookmarkEnd w:id="0"/>
      <w:r>
        <w:rPr>
          <w:rFonts w:hint="eastAsia" w:cs="宋体"/>
          <w:sz w:val="21"/>
          <w:u w:val="single"/>
        </w:rPr>
      </w:r>
      <w:r/>
    </w:p>
    <w:p>
      <w:pPr>
        <w:pStyle w:val="991"/>
        <w:spacing w:line="360" w:lineRule="auto"/>
        <w:rPr>
          <w:rFonts w:hint="eastAsia" w:cs="宋体"/>
          <w:sz w:val="21"/>
          <w:u w:val="single"/>
        </w:rPr>
      </w:pPr>
      <w:r>
        <w:rPr>
          <w:rFonts w:hint="eastAsia"/>
          <w:sz w:val="21"/>
        </w:rPr>
        <w:t xml:space="preserve">4、有关电</w:t>
      </w:r>
      <w:r>
        <w:rPr>
          <w:rFonts w:hint="eastAsia"/>
          <w:sz w:val="21"/>
        </w:rPr>
        <w:t xml:space="preserve">子投标制作技术疑问，请咨询苏采云软件公司客服：</w:t>
      </w:r>
      <w:r>
        <w:rPr>
          <w:sz w:val="21"/>
        </w:rPr>
        <w:t xml:space="preserve">18261002950、0512-69820854、0519-86722802</w:t>
      </w:r>
      <w:r>
        <w:rPr>
          <w:rFonts w:hint="eastAsia" w:cs="宋体"/>
          <w:sz w:val="21"/>
          <w:u w:val="single"/>
        </w:rPr>
      </w:r>
      <w:r/>
    </w:p>
    <w:p>
      <w:pPr>
        <w:pStyle w:val="952"/>
      </w:pPr>
      <w:r>
        <w:rPr>
          <w:rFonts w:hint="eastAsia" w:cs="宋体"/>
          <w:b/>
          <w:bCs/>
          <w:sz w:val="21"/>
        </w:rPr>
        <w:t xml:space="preserve">九、政府采购监督电话：</w:t>
      </w:r>
      <w:r>
        <w:rPr>
          <w:rFonts w:cs="宋体"/>
          <w:b/>
          <w:bCs/>
          <w:sz w:val="21"/>
        </w:rPr>
        <w:t xml:space="preserve">0512-53512539</w:t>
      </w:r>
      <w:r/>
    </w:p>
    <w:p>
      <w:pPr>
        <w:pStyle w:val="953"/>
        <w:numPr>
          <w:ilvl w:val="0"/>
          <w:numId w:val="0"/>
        </w:numPr>
        <w:jc w:val="center"/>
        <w:tabs>
          <w:tab w:val="left" w:pos="432" w:leader="none"/>
        </w:tabs>
        <w:rPr>
          <w:rFonts w:hint="eastAsia" w:cs="宋体"/>
          <w:b w:val="0"/>
          <w:bCs/>
          <w:szCs w:val="44"/>
        </w:rPr>
      </w:pPr>
      <w:r>
        <w:rPr>
          <w:rFonts w:hint="eastAsia" w:cs="宋体"/>
          <w:b w:val="0"/>
          <w:bCs/>
          <w:sz w:val="21"/>
        </w:rPr>
        <w:br w:type="page" w:clear="all"/>
      </w:r>
      <w:bookmarkEnd w:id="1"/>
      <w:r>
        <w:rPr>
          <w:rFonts w:hint="eastAsia" w:ascii="宋体" w:hAnsi="宋体" w:cs="宋体"/>
        </w:rPr>
        <w:t xml:space="preserve">第二章 </w:t>
      </w:r>
      <w:bookmarkStart w:id="3" w:name="投标人须知"/>
      <w:r>
        <w:rPr>
          <w:rFonts w:hint="eastAsia" w:ascii="宋体" w:hAnsi="宋体" w:cs="宋体"/>
        </w:rPr>
        <w:t xml:space="preserve">投标人须知</w:t>
      </w:r>
      <w:bookmarkEnd w:id="3"/>
      <w:r>
        <w:rPr>
          <w:rFonts w:hint="eastAsia" w:cs="宋体"/>
          <w:b w:val="0"/>
          <w:bCs/>
          <w:szCs w:val="44"/>
        </w:rPr>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说明和释义</w:t>
      </w:r>
      <w:r/>
    </w:p>
    <w:p>
      <w:pPr>
        <w:pStyle w:val="952"/>
        <w:numPr>
          <w:ilvl w:val="0"/>
          <w:numId w:val="11"/>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说明</w:t>
      </w:r>
      <w:r/>
    </w:p>
    <w:p>
      <w:pPr>
        <w:pStyle w:val="952"/>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本招标文件仅适用于苏州乐族工程咨询有限公司组织的招标活动。</w:t>
      </w:r>
      <w:r/>
    </w:p>
    <w:p>
      <w:pPr>
        <w:pStyle w:val="952"/>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本次招标活动及因本次招标产生的合同受中国法律制约和保护。</w:t>
      </w:r>
      <w:r/>
    </w:p>
    <w:p>
      <w:pPr>
        <w:pStyle w:val="952"/>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本招标文件的解释权属于苏州乐族工程咨询有限公司。</w:t>
      </w:r>
      <w:r/>
    </w:p>
    <w:p>
      <w:pPr>
        <w:pStyle w:val="952"/>
        <w:numPr>
          <w:ilvl w:val="0"/>
          <w:numId w:val="11"/>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词语释义</w:t>
      </w:r>
      <w:r/>
    </w:p>
    <w:p>
      <w:pPr>
        <w:pStyle w:val="967"/>
        <w:numPr>
          <w:ilvl w:val="0"/>
          <w:numId w:val="19"/>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p>
    <w:p>
      <w:pPr>
        <w:pStyle w:val="967"/>
        <w:numPr>
          <w:ilvl w:val="0"/>
          <w:numId w:val="19"/>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p>
    <w:p>
      <w:pPr>
        <w:pStyle w:val="967"/>
        <w:numPr>
          <w:ilvl w:val="0"/>
          <w:numId w:val="19"/>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招标采购单位：采购人及采购代理机构的统称。</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天：日历日。</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履</w:t>
      </w:r>
      <w:r>
        <w:rPr>
          <w:rFonts w:hint="eastAsia" w:cs="宋体"/>
          <w:sz w:val="21"/>
          <w:szCs w:val="21"/>
        </w:rPr>
        <w:t xml:space="preserve">行地点：</w:t>
      </w:r>
      <w:r>
        <w:rPr>
          <w:rFonts w:hint="eastAsia" w:cs="宋体"/>
          <w:sz w:val="21"/>
          <w:szCs w:val="21"/>
          <w:lang w:val="zh-CN"/>
        </w:rPr>
        <w:t xml:space="preserve">合同中明确约定的服务项目所在地。</w:t>
      </w:r>
      <w:r>
        <w:rPr>
          <w:rFonts w:hint="eastAsia" w:cs="宋体"/>
          <w:sz w:val="21"/>
          <w:szCs w:val="21"/>
        </w:rPr>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不可抗力：不能预见、不能避免并且不能克服的客观情况。</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进口产品：通过中国海关报关验放进入中国境内且产自关境外的产品。</w:t>
      </w:r>
      <w:r/>
    </w:p>
    <w:p>
      <w:pPr>
        <w:pStyle w:val="1001"/>
        <w:numPr>
          <w:ilvl w:val="0"/>
          <w:numId w:val="19"/>
        </w:numPr>
        <w:ind w:left="540" w:hanging="540"/>
        <w:spacing w:line="400" w:lineRule="exact"/>
        <w:tabs>
          <w:tab w:val="clear" w:pos="360" w:leader="none"/>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投标人</w:t>
      </w:r>
      <w:r/>
    </w:p>
    <w:p>
      <w:pPr>
        <w:pStyle w:val="952"/>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合格投标人的范围</w:t>
      </w:r>
      <w:r/>
    </w:p>
    <w:p>
      <w:pPr>
        <w:pStyle w:val="952"/>
        <w:numPr>
          <w:ilvl w:val="1"/>
          <w:numId w:val="7"/>
        </w:numPr>
        <w:spacing w:line="400" w:lineRule="exact"/>
        <w:tabs>
          <w:tab w:val="left" w:pos="851" w:leader="none"/>
        </w:tabs>
        <w:rPr>
          <w:rFonts w:hint="eastAsia" w:cs="宋体"/>
          <w:sz w:val="21"/>
          <w:szCs w:val="21"/>
        </w:rPr>
      </w:pPr>
      <w:r>
        <w:rPr>
          <w:rFonts w:hint="eastAsia" w:cs="宋体"/>
          <w:sz w:val="21"/>
          <w:szCs w:val="21"/>
        </w:rPr>
        <w:t xml:space="preserve">符合《中华人民共和国政府采购法》第二十二条第一款之规定。</w:t>
      </w:r>
      <w:r/>
    </w:p>
    <w:p>
      <w:pPr>
        <w:pStyle w:val="952"/>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合格投标人的特定条件</w:t>
      </w:r>
      <w:r/>
    </w:p>
    <w:p>
      <w:pPr>
        <w:pStyle w:val="952"/>
        <w:numPr>
          <w:ilvl w:val="1"/>
          <w:numId w:val="7"/>
        </w:numPr>
        <w:spacing w:line="400" w:lineRule="exact"/>
        <w:tabs>
          <w:tab w:val="left" w:pos="540" w:leader="none"/>
          <w:tab w:val="left" w:pos="567" w:leader="none"/>
          <w:tab w:val="left" w:pos="851" w:leader="none"/>
        </w:tabs>
        <w:rPr>
          <w:rFonts w:hint="eastAsia" w:cs="宋体"/>
          <w:bCs/>
          <w:sz w:val="21"/>
          <w:szCs w:val="21"/>
        </w:rPr>
      </w:pPr>
      <w:r>
        <w:rPr>
          <w:rFonts w:hint="eastAsia" w:cs="宋体"/>
          <w:sz w:val="21"/>
          <w:szCs w:val="21"/>
        </w:rPr>
        <w:t xml:space="preserve">详见招标文件第一章 申请人的资格要求。</w:t>
      </w:r>
      <w:r>
        <w:rPr>
          <w:rFonts w:hint="eastAsia" w:cs="宋体"/>
          <w:bCs/>
          <w:sz w:val="21"/>
          <w:szCs w:val="21"/>
        </w:rPr>
      </w:r>
      <w:r/>
    </w:p>
    <w:p>
      <w:pPr>
        <w:pStyle w:val="952"/>
        <w:numPr>
          <w:ilvl w:val="0"/>
          <w:numId w:val="7"/>
        </w:numPr>
        <w:ind w:left="540" w:hanging="540"/>
        <w:spacing w:line="400" w:lineRule="exact"/>
        <w:tabs>
          <w:tab w:val="left" w:pos="540" w:leader="none"/>
          <w:tab w:val="left" w:pos="709" w:leader="none"/>
        </w:tabs>
        <w:rPr>
          <w:rFonts w:hint="eastAsia" w:cs="宋体"/>
          <w:bCs/>
          <w:sz w:val="21"/>
          <w:szCs w:val="21"/>
        </w:rPr>
      </w:pPr>
      <w:r>
        <w:rPr>
          <w:rFonts w:hint="eastAsia"/>
          <w:sz w:val="21"/>
          <w:szCs w:val="21"/>
        </w:rPr>
        <w:t xml:space="preserve">投标人必须依法获取电子招标文件，</w:t>
      </w:r>
      <w:r>
        <w:rPr>
          <w:rFonts w:hint="eastAsia"/>
          <w:sz w:val="21"/>
          <w:szCs w:val="21"/>
        </w:rPr>
        <w:t xml:space="preserve">否则不能参加本次招标活动</w:t>
      </w:r>
      <w:r>
        <w:rPr>
          <w:rFonts w:hint="eastAsia" w:cs="宋体"/>
          <w:sz w:val="21"/>
          <w:szCs w:val="21"/>
        </w:rPr>
        <w:t xml:space="preserve">。</w:t>
      </w:r>
      <w:r>
        <w:rPr>
          <w:rFonts w:hint="eastAsia" w:cs="宋体"/>
          <w:bCs/>
          <w:sz w:val="21"/>
          <w:szCs w:val="21"/>
        </w:rPr>
      </w:r>
      <w:r/>
    </w:p>
    <w:p>
      <w:pPr>
        <w:pStyle w:val="952"/>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投标委托</w:t>
      </w:r>
      <w:r/>
    </w:p>
    <w:p>
      <w:pPr>
        <w:pStyle w:val="952"/>
        <w:numPr>
          <w:ilvl w:val="1"/>
          <w:numId w:val="7"/>
        </w:numPr>
        <w:spacing w:line="400" w:lineRule="exact"/>
        <w:tabs>
          <w:tab w:val="left" w:pos="851" w:leader="none"/>
        </w:tabs>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p>
    <w:p>
      <w:pPr>
        <w:pStyle w:val="952"/>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投标费用</w:t>
      </w:r>
      <w:r/>
    </w:p>
    <w:p>
      <w:pPr>
        <w:pStyle w:val="952"/>
        <w:numPr>
          <w:ilvl w:val="1"/>
          <w:numId w:val="7"/>
        </w:numPr>
        <w:spacing w:line="400" w:lineRule="exact"/>
        <w:tabs>
          <w:tab w:val="left" w:pos="851" w:leader="none"/>
        </w:tabs>
        <w:rPr>
          <w:rFonts w:hint="eastAsia" w:cs="宋体"/>
          <w:sz w:val="21"/>
          <w:szCs w:val="21"/>
        </w:rPr>
      </w:pPr>
      <w:r>
        <w:rPr>
          <w:rFonts w:hint="eastAsia" w:cs="宋体"/>
          <w:sz w:val="21"/>
          <w:szCs w:val="21"/>
        </w:rPr>
        <w:t xml:space="preserve">无论投标过程的做法和结果如何,投标人自行承担所有与参加投标有关的全部费用。</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联合投标</w:t>
      </w:r>
      <w:r/>
    </w:p>
    <w:p>
      <w:pPr>
        <w:pStyle w:val="952"/>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本项目不接受联合投标。</w:t>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招标文件的说明</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w:t>
      </w:r>
      <w:r/>
    </w:p>
    <w:p>
      <w:pPr>
        <w:pStyle w:val="952"/>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w:t>
      </w:r>
      <w:r>
        <w:rPr>
          <w:sz w:val="21"/>
          <w:szCs w:val="21"/>
        </w:rPr>
        <w:t xml:space="preserve">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p>
    <w:p>
      <w:pPr>
        <w:pStyle w:val="952"/>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现场考察</w:t>
      </w:r>
      <w:r/>
    </w:p>
    <w:p>
      <w:pPr>
        <w:pStyle w:val="952"/>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pStyle w:val="952"/>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pStyle w:val="952"/>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投标人可为考察目的进入招标采购单位的项目现场，但投标人不得因此使招标采购单位承担有关的责任和蒙受损失。投标人应承担考察现场的责任和风险。</w:t>
      </w:r>
      <w:r>
        <w:rPr>
          <w:rFonts w:hint="eastAsia" w:cs="宋体"/>
          <w:bCs/>
          <w:sz w:val="21"/>
          <w:szCs w:val="21"/>
        </w:rPr>
      </w:r>
      <w:r/>
    </w:p>
    <w:p>
      <w:pPr>
        <w:pStyle w:val="952"/>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w:t>
      </w:r>
      <w:r>
        <w:rPr>
          <w:rFonts w:hint="eastAsia" w:cs="宋体"/>
          <w:sz w:val="21"/>
          <w:szCs w:val="21"/>
        </w:rPr>
        <w:t xml:space="preserve">不作任何答复与考虑。</w:t>
      </w:r>
      <w:r>
        <w:rPr>
          <w:rFonts w:hint="eastAsia" w:cs="宋体"/>
          <w:bCs/>
          <w:sz w:val="21"/>
          <w:szCs w:val="21"/>
        </w:rPr>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招标文件的澄清和修改</w:t>
      </w:r>
      <w:r/>
    </w:p>
    <w:p>
      <w:pPr>
        <w:pStyle w:val="952"/>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sz w:val="21"/>
          <w:szCs w:val="21"/>
        </w:rPr>
        <w:t xml:space="preserve">投标人在获取招标文件后，若有疑问，应于</w:t>
      </w:r>
      <w:bookmarkStart w:id="4" w:name="_Hlk159337758"/>
      <w:r>
        <w:rPr>
          <w:rFonts w:hint="eastAsia"/>
          <w:sz w:val="21"/>
          <w:szCs w:val="21"/>
        </w:rPr>
        <w:t xml:space="preserve">投标截止时间</w:t>
      </w:r>
      <w:bookmarkEnd w:id="4"/>
      <w:r>
        <w:rPr>
          <w:rFonts w:hint="eastAsia"/>
          <w:sz w:val="21"/>
          <w:szCs w:val="21"/>
        </w:rPr>
        <w:t xml:space="preserve">之前，向采购代理机构提出，采购代理机构将予以解答</w:t>
      </w:r>
      <w:r>
        <w:rPr>
          <w:rFonts w:hint="eastAsia" w:cs="宋体"/>
          <w:bCs/>
          <w:sz w:val="21"/>
          <w:szCs w:val="21"/>
        </w:rPr>
        <w:t xml:space="preserve">。</w:t>
      </w:r>
      <w:r/>
    </w:p>
    <w:p>
      <w:pPr>
        <w:pStyle w:val="952"/>
        <w:numPr>
          <w:ilvl w:val="1"/>
          <w:numId w:val="7"/>
        </w:numPr>
        <w:ind w:left="540" w:hanging="540"/>
        <w:spacing w:line="400" w:lineRule="exact"/>
        <w:tabs>
          <w:tab w:val="left" w:pos="540" w:leader="none"/>
          <w:tab w:val="left" w:pos="851"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p>
    <w:p>
      <w:pPr>
        <w:pStyle w:val="952"/>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迟于投标截止时间的询问和提交的疑问</w:t>
      </w:r>
      <w:r>
        <w:rPr>
          <w:rFonts w:hint="eastAsia"/>
          <w:bCs/>
          <w:sz w:val="21"/>
          <w:szCs w:val="21"/>
        </w:rPr>
        <w:t xml:space="preserve">，采购人和采购代理机构有权拒绝回答，也不承担由此带来的对投标人投标结果的影响。</w:t>
      </w:r>
      <w:r/>
    </w:p>
    <w:p>
      <w:pPr>
        <w:pStyle w:val="952"/>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p>
    <w:p>
      <w:pPr>
        <w:pStyle w:val="952"/>
        <w:numPr>
          <w:ilvl w:val="1"/>
          <w:numId w:val="7"/>
        </w:numPr>
        <w:ind w:left="540" w:hanging="540"/>
        <w:spacing w:line="400" w:lineRule="exact"/>
        <w:tabs>
          <w:tab w:val="left" w:pos="540" w:leader="none"/>
          <w:tab w:val="left" w:pos="851" w:leader="none"/>
        </w:tabs>
        <w:rPr>
          <w:rFonts w:hint="eastAsia"/>
          <w:sz w:val="21"/>
          <w:szCs w:val="21"/>
        </w:rPr>
      </w:pPr>
      <w:r>
        <w:rPr>
          <w:rFonts w:hint="eastAsia"/>
          <w:bCs/>
          <w:sz w:val="21"/>
          <w:szCs w:val="21"/>
        </w:rPr>
        <w:t xml:space="preserve">为使投标人有足够的时间按招标文件的修改要求考虑修正投标文件，或出于其</w:t>
      </w:r>
      <w:r>
        <w:rPr>
          <w:rFonts w:hint="eastAsia"/>
          <w:bCs/>
          <w:sz w:val="21"/>
          <w:szCs w:val="21"/>
        </w:rPr>
        <w:t xml:space="preserve">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rPr>
          <w:rFonts w:hint="eastAsia"/>
          <w:sz w:val="21"/>
          <w:szCs w:val="21"/>
        </w:rPr>
      </w:r>
      <w:r/>
    </w:p>
    <w:p>
      <w:pPr>
        <w:pStyle w:val="952"/>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上表述不一致时，以发出日期最接近开标时间的公告为准。</w:t>
      </w:r>
      <w:r>
        <w:rPr>
          <w:rFonts w:hint="eastAsia"/>
          <w:sz w:val="21"/>
          <w:szCs w:val="21"/>
        </w:rPr>
      </w:r>
      <w:r/>
    </w:p>
    <w:p>
      <w:pPr>
        <w:pStyle w:val="952"/>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r>
      <w:r/>
    </w:p>
    <w:p>
      <w:pPr>
        <w:pStyle w:val="952"/>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招标文件若有最新的答疑文件，投标供应商必须下载并使用该文件制</w:t>
      </w:r>
      <w:r>
        <w:rPr>
          <w:rFonts w:hint="eastAsia"/>
          <w:sz w:val="21"/>
          <w:szCs w:val="21"/>
        </w:rPr>
        <w:t xml:space="preserve">作新的电子投标文件，否则将无法完成电子投标文件的上传及投标。</w:t>
      </w:r>
      <w:r>
        <w:rPr>
          <w:sz w:val="21"/>
          <w:szCs w:val="21"/>
        </w:rPr>
      </w:r>
      <w:r/>
    </w:p>
    <w:p>
      <w:pPr>
        <w:pStyle w:val="952"/>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质疑</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sz w:val="21"/>
          <w:szCs w:val="21"/>
        </w:rPr>
        <w:t xml:space="preserve">；</w:t>
      </w:r>
      <w:r>
        <w:rPr>
          <w:sz w:val="21"/>
          <w:szCs w:val="21"/>
        </w:rPr>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上述应知其权益受到损害之日是指：</w:t>
      </w:r>
      <w:r/>
    </w:p>
    <w:p>
      <w:pPr>
        <w:pStyle w:val="952"/>
        <w:spacing w:line="400" w:lineRule="exact"/>
        <w:tabs>
          <w:tab w:val="left" w:pos="540" w:leader="none"/>
        </w:tabs>
        <w:rPr>
          <w:sz w:val="21"/>
          <w:szCs w:val="21"/>
        </w:rPr>
      </w:pPr>
      <w:r>
        <w:rPr>
          <w:sz w:val="21"/>
          <w:szCs w:val="21"/>
        </w:rPr>
        <w:t xml:space="preserve">12.3.1对采购文件提出质疑的，为获取采购文件或者采购文件公告期限届满之日起计算；</w:t>
      </w:r>
      <w:r/>
    </w:p>
    <w:p>
      <w:pPr>
        <w:pStyle w:val="952"/>
        <w:spacing w:line="400" w:lineRule="exact"/>
        <w:tabs>
          <w:tab w:val="left" w:pos="540" w:leader="none"/>
        </w:tabs>
        <w:rPr>
          <w:sz w:val="21"/>
          <w:szCs w:val="21"/>
        </w:rPr>
      </w:pPr>
      <w:r>
        <w:rPr>
          <w:sz w:val="21"/>
          <w:szCs w:val="21"/>
        </w:rPr>
        <w:t xml:space="preserve">12.3.2对采购过程提出质疑的，自采购程序环节结束之日起计算；</w:t>
      </w:r>
      <w:r/>
    </w:p>
    <w:p>
      <w:pPr>
        <w:pStyle w:val="952"/>
        <w:spacing w:line="400" w:lineRule="exact"/>
        <w:tabs>
          <w:tab w:val="left" w:pos="540" w:leader="none"/>
        </w:tabs>
        <w:rPr>
          <w:sz w:val="21"/>
          <w:szCs w:val="21"/>
        </w:rPr>
      </w:pPr>
      <w:r>
        <w:rPr>
          <w:sz w:val="21"/>
          <w:szCs w:val="21"/>
        </w:rPr>
        <w:t xml:space="preserve">12.3.3对中标结果提出质疑的，自中标结果公告期限届满之日起计算。</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供应商提出质疑应当提交质疑函和必要的证明材料。质疑函应当包括下列内容：</w:t>
      </w:r>
      <w:r/>
    </w:p>
    <w:p>
      <w:pPr>
        <w:pStyle w:val="952"/>
        <w:spacing w:line="400" w:lineRule="exact"/>
        <w:tabs>
          <w:tab w:val="left" w:pos="540" w:leader="none"/>
        </w:tabs>
        <w:rPr>
          <w:sz w:val="21"/>
          <w:szCs w:val="21"/>
        </w:rPr>
      </w:pPr>
      <w:r>
        <w:rPr>
          <w:sz w:val="21"/>
          <w:szCs w:val="21"/>
        </w:rPr>
        <w:t xml:space="preserve">12.4.1 供应商的姓名或者名称、地址、邮编、联系人及联系电话；</w:t>
      </w:r>
      <w:r/>
    </w:p>
    <w:p>
      <w:pPr>
        <w:pStyle w:val="952"/>
        <w:spacing w:line="400" w:lineRule="exact"/>
        <w:tabs>
          <w:tab w:val="left" w:pos="540" w:leader="none"/>
        </w:tabs>
        <w:rPr>
          <w:sz w:val="21"/>
          <w:szCs w:val="21"/>
        </w:rPr>
      </w:pPr>
      <w:r>
        <w:rPr>
          <w:sz w:val="21"/>
          <w:szCs w:val="21"/>
        </w:rPr>
        <w:t xml:space="preserve">12.4.2 质疑项目的名称、编号；</w:t>
      </w:r>
      <w:r/>
    </w:p>
    <w:p>
      <w:pPr>
        <w:pStyle w:val="952"/>
        <w:spacing w:line="400" w:lineRule="exact"/>
        <w:tabs>
          <w:tab w:val="left" w:pos="540" w:leader="none"/>
        </w:tabs>
        <w:rPr>
          <w:sz w:val="21"/>
          <w:szCs w:val="21"/>
        </w:rPr>
      </w:pPr>
      <w:r>
        <w:rPr>
          <w:sz w:val="21"/>
          <w:szCs w:val="21"/>
        </w:rPr>
        <w:t xml:space="preserve">12.4.3 具体、明确的质疑事项和与质疑事项相关的请求；</w:t>
      </w:r>
      <w:r/>
    </w:p>
    <w:p>
      <w:pPr>
        <w:pStyle w:val="952"/>
        <w:spacing w:line="400" w:lineRule="exact"/>
        <w:tabs>
          <w:tab w:val="left" w:pos="540" w:leader="none"/>
        </w:tabs>
        <w:rPr>
          <w:sz w:val="21"/>
          <w:szCs w:val="21"/>
        </w:rPr>
      </w:pPr>
      <w:r>
        <w:rPr>
          <w:sz w:val="21"/>
          <w:szCs w:val="21"/>
        </w:rPr>
        <w:t xml:space="preserve">12.4.4 事实依据；</w:t>
      </w:r>
      <w:r/>
    </w:p>
    <w:p>
      <w:pPr>
        <w:pStyle w:val="952"/>
        <w:spacing w:line="400" w:lineRule="exact"/>
        <w:tabs>
          <w:tab w:val="left" w:pos="540" w:leader="none"/>
        </w:tabs>
        <w:rPr>
          <w:sz w:val="21"/>
          <w:szCs w:val="21"/>
        </w:rPr>
      </w:pPr>
      <w:r>
        <w:rPr>
          <w:sz w:val="21"/>
          <w:szCs w:val="21"/>
        </w:rPr>
        <w:t xml:space="preserve">12.4.5 必要的法律依据；</w:t>
      </w:r>
      <w:r/>
    </w:p>
    <w:p>
      <w:pPr>
        <w:pStyle w:val="952"/>
        <w:spacing w:line="400" w:lineRule="exact"/>
        <w:tabs>
          <w:tab w:val="left" w:pos="540" w:leader="none"/>
        </w:tabs>
        <w:rPr>
          <w:sz w:val="21"/>
          <w:szCs w:val="21"/>
        </w:rPr>
      </w:pPr>
      <w:r>
        <w:rPr>
          <w:sz w:val="21"/>
          <w:szCs w:val="21"/>
        </w:rPr>
        <w:t xml:space="preserve">12.4.6 提出质疑的日期。</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质疑函的格式和内容应当符合财政部《政府采购供应商质疑</w:t>
      </w:r>
      <w:r>
        <w:rPr>
          <w:sz w:val="21"/>
          <w:szCs w:val="21"/>
        </w:rPr>
        <w:t xml:space="preserve">函范本》要求，质疑函范本在财政部官网上提供下载。</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提交质疑函同时应当附如下证明材料：</w:t>
      </w:r>
      <w:r/>
    </w:p>
    <w:p>
      <w:pPr>
        <w:pStyle w:val="952"/>
        <w:spacing w:line="400" w:lineRule="exact"/>
        <w:tabs>
          <w:tab w:val="left" w:pos="540" w:leader="none"/>
        </w:tabs>
        <w:rPr>
          <w:sz w:val="21"/>
          <w:szCs w:val="21"/>
        </w:rPr>
      </w:pPr>
      <w:r>
        <w:rPr>
          <w:sz w:val="21"/>
          <w:szCs w:val="21"/>
        </w:rPr>
        <w:t xml:space="preserve">12.6.1对采购文件提出质疑的供应商提供参加本项目的“交易文件下载确认单”；</w:t>
      </w:r>
      <w:r/>
    </w:p>
    <w:p>
      <w:pPr>
        <w:pStyle w:val="952"/>
        <w:spacing w:line="400" w:lineRule="exact"/>
        <w:tabs>
          <w:tab w:val="left" w:pos="540" w:leader="none"/>
        </w:tabs>
        <w:rPr>
          <w:sz w:val="21"/>
          <w:szCs w:val="21"/>
        </w:rPr>
      </w:pPr>
      <w:r>
        <w:rPr>
          <w:sz w:val="21"/>
          <w:szCs w:val="21"/>
        </w:rPr>
        <w:t xml:space="preserve">12.6.2质疑供应商的营业执照复印件加盖单位公章；</w:t>
      </w:r>
      <w:r/>
    </w:p>
    <w:p>
      <w:pPr>
        <w:pStyle w:val="952"/>
        <w:spacing w:line="400" w:lineRule="exact"/>
        <w:tabs>
          <w:tab w:val="left" w:pos="540" w:leader="none"/>
        </w:tabs>
        <w:rPr>
          <w:sz w:val="21"/>
          <w:szCs w:val="21"/>
        </w:rPr>
      </w:pPr>
      <w:r>
        <w:rPr>
          <w:sz w:val="21"/>
          <w:szCs w:val="21"/>
        </w:rPr>
        <w:t xml:space="preserve">12.6.3质疑供应商法定代表人身份证复印件加盖单位公章；</w:t>
      </w:r>
      <w:r/>
    </w:p>
    <w:p>
      <w:pPr>
        <w:pStyle w:val="952"/>
        <w:spacing w:line="400" w:lineRule="exact"/>
        <w:tabs>
          <w:tab w:val="left" w:pos="540" w:leader="none"/>
        </w:tabs>
        <w:rPr>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供应商为自然人的，应当由本人签字；供应商为法人或者其他组织的，应当由法定代表人、主要负责人，或者其授权代表签字或者盖</w:t>
      </w:r>
      <w:r>
        <w:rPr>
          <w:sz w:val="21"/>
          <w:szCs w:val="21"/>
        </w:rPr>
        <w:t xml:space="preserve">章，并加盖公章</w:t>
      </w:r>
      <w:r>
        <w:rPr>
          <w:rFonts w:hint="eastAsia"/>
          <w:sz w:val="21"/>
          <w:szCs w:val="21"/>
        </w:rPr>
        <w:t xml:space="preserve">；</w:t>
      </w:r>
      <w:r>
        <w:rPr>
          <w:sz w:val="21"/>
          <w:szCs w:val="21"/>
        </w:rPr>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rPr>
          <w:sz w:val="21"/>
          <w:szCs w:val="21"/>
        </w:rPr>
      </w:r>
      <w:r/>
    </w:p>
    <w:p>
      <w:pPr>
        <w:pStyle w:val="952"/>
        <w:numPr>
          <w:ilvl w:val="1"/>
          <w:numId w:val="7"/>
        </w:numPr>
        <w:ind w:left="6804" w:hanging="6804"/>
        <w:spacing w:line="400" w:lineRule="exact"/>
        <w:tabs>
          <w:tab w:val="left" w:pos="540" w:leader="none"/>
          <w:tab w:val="left" w:pos="851" w:leader="none"/>
        </w:tabs>
        <w:rPr>
          <w:rFonts w:hint="eastAsia"/>
          <w:sz w:val="21"/>
          <w:szCs w:val="21"/>
        </w:rPr>
      </w:pPr>
      <w:r>
        <w:rPr>
          <w:sz w:val="21"/>
          <w:szCs w:val="21"/>
        </w:rPr>
        <w:t xml:space="preserve">接受质疑函联系方式见采购公告联系事项。</w:t>
      </w:r>
      <w:r>
        <w:rPr>
          <w:rFonts w:hint="eastAsia"/>
          <w:sz w:val="21"/>
          <w:szCs w:val="21"/>
        </w:rPr>
      </w:r>
      <w:r/>
    </w:p>
    <w:p>
      <w:pPr>
        <w:pStyle w:val="952"/>
        <w:numPr>
          <w:ilvl w:val="0"/>
          <w:numId w:val="5"/>
        </w:numPr>
        <w:ind w:left="540" w:hanging="540"/>
        <w:spacing w:line="400" w:lineRule="exact"/>
        <w:tabs>
          <w:tab w:val="clear" w:pos="420" w:leader="none"/>
          <w:tab w:val="left" w:pos="540" w:leader="none"/>
        </w:tabs>
        <w:rPr>
          <w:rFonts w:cs="宋体"/>
          <w:b/>
          <w:bCs/>
          <w:sz w:val="21"/>
          <w:szCs w:val="21"/>
        </w:rPr>
      </w:pPr>
      <w:r>
        <w:rPr>
          <w:rFonts w:hint="eastAsia" w:cs="宋体"/>
          <w:b/>
          <w:bCs/>
          <w:sz w:val="21"/>
          <w:szCs w:val="21"/>
        </w:rPr>
        <w:t xml:space="preserve">投标文件说明</w:t>
      </w:r>
      <w:r>
        <w:rPr>
          <w:rFonts w:cs="宋体"/>
          <w:b/>
          <w:bCs/>
          <w:sz w:val="21"/>
          <w:szCs w:val="21"/>
        </w:rPr>
      </w:r>
      <w:r/>
    </w:p>
    <w:p>
      <w:pPr>
        <w:pStyle w:val="952"/>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提示与要求</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w:t>
      </w:r>
      <w:r>
        <w:rPr>
          <w:sz w:val="21"/>
          <w:szCs w:val="21"/>
        </w:rPr>
        <w:t xml:space="preserve">，否则，其投标可能被拒绝。</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无论是否递交投标文件，投标人都应将招标文件及以后的所有通知、文件等视为保密文件。</w:t>
      </w:r>
      <w:r/>
    </w:p>
    <w:p>
      <w:pPr>
        <w:pStyle w:val="952"/>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投标文件计量单位和使用文字</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投标文件中所使用的计量单位，除招标文件中有特殊要求外，均应使用中华人民共和国法定计量单位。</w:t>
      </w:r>
      <w:r/>
    </w:p>
    <w:p>
      <w:pPr>
        <w:pStyle w:val="952"/>
        <w:numPr>
          <w:ilvl w:val="1"/>
          <w:numId w:val="7"/>
        </w:numPr>
        <w:ind w:left="540" w:hanging="540"/>
        <w:spacing w:line="400" w:lineRule="exact"/>
        <w:tabs>
          <w:tab w:val="left" w:pos="540" w:leader="none"/>
          <w:tab w:val="left" w:pos="851"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sz w:val="21"/>
          <w:szCs w:val="21"/>
        </w:rPr>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bookmarkStart w:id="5" w:name="_Toc217446047"/>
      <w:r>
        <w:rPr>
          <w:rFonts w:hint="eastAsia" w:cs="宋体"/>
          <w:b/>
          <w:sz w:val="21"/>
          <w:szCs w:val="21"/>
        </w:rPr>
        <w:t xml:space="preserve">知识产权</w:t>
      </w:r>
      <w:bookmarkEnd w:id="5"/>
      <w:r>
        <w:rPr>
          <w:rFonts w:hint="eastAsia" w:cs="宋体"/>
          <w:b/>
          <w:sz w:val="21"/>
          <w:szCs w:val="21"/>
        </w:rPr>
      </w:r>
      <w:r/>
    </w:p>
    <w:p>
      <w:pPr>
        <w:pStyle w:val="952"/>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w:t>
      </w:r>
      <w:r>
        <w:rPr>
          <w:rFonts w:hint="eastAsia"/>
          <w:sz w:val="21"/>
          <w:szCs w:val="21"/>
        </w:rPr>
        <w:t xml:space="preserve">起法律和经济纠纷，由投标人承担所有相关责任。</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投标文件的组成和顺序</w:t>
      </w:r>
      <w:r/>
    </w:p>
    <w:p>
      <w:pPr>
        <w:pStyle w:val="952"/>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.1《开标一览表》(统一格式，用于唱标)；</w:t>
      </w:r>
      <w:r/>
    </w:p>
    <w:p>
      <w:pPr>
        <w:pStyle w:val="952"/>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2</w:t>
      </w:r>
      <w:r>
        <w:rPr>
          <w:rFonts w:hint="eastAsia" w:cs="宋体"/>
          <w:sz w:val="21"/>
          <w:szCs w:val="21"/>
        </w:rPr>
        <w:t xml:space="preserve">《投标报价分析表》（详见投标文件格式）。</w:t>
      </w:r>
      <w:r/>
    </w:p>
    <w:p>
      <w:pPr>
        <w:pStyle w:val="952"/>
        <w:ind w:left="540"/>
        <w:spacing w:line="400" w:lineRule="exact"/>
        <w:tabs>
          <w:tab w:val="left" w:pos="540" w:leader="none"/>
        </w:tabs>
        <w:rPr>
          <w:rFonts w:hint="eastAsia" w:cs="宋体"/>
          <w:b/>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3投标函（详见投标文件格式）；</w:t>
      </w:r>
      <w:r>
        <w:rPr>
          <w:rFonts w:hint="eastAsia" w:cs="宋体"/>
          <w:b/>
          <w:sz w:val="21"/>
          <w:szCs w:val="21"/>
        </w:rPr>
      </w:r>
      <w:r/>
    </w:p>
    <w:p>
      <w:pPr>
        <w:pStyle w:val="952"/>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.4关于资格文件的声明函（详见投标文件格式 ）；</w:t>
      </w:r>
      <w:r/>
    </w:p>
    <w:p>
      <w:pPr>
        <w:pStyle w:val="952"/>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.5投标单位情况表（详见投标文件格式 ）；</w:t>
      </w:r>
      <w:r/>
    </w:p>
    <w:p>
      <w:pPr>
        <w:pStyle w:val="952"/>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.6投标人《营业执照》副本复印件；</w:t>
      </w:r>
      <w:r/>
    </w:p>
    <w:p>
      <w:pPr>
        <w:pStyle w:val="952"/>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.7投标人法定代表人授权委托书原件（如有授权）（详见投标文件格式）；</w:t>
      </w:r>
      <w:r/>
    </w:p>
    <w:p>
      <w:pPr>
        <w:pStyle w:val="952"/>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.8</w:t>
      </w:r>
      <w:r>
        <w:rPr>
          <w:rFonts w:hint="eastAsia" w:cs="宋体"/>
          <w:sz w:val="21"/>
          <w:szCs w:val="21"/>
        </w:rPr>
        <w:t xml:space="preserve">投标人法定代表人身份证复印件；</w:t>
      </w:r>
      <w:r/>
    </w:p>
    <w:p>
      <w:pPr>
        <w:pStyle w:val="952"/>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.9投标人代理人身份证复印件（如有授权）；</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.10投标人资格证明文件（详见投标文件格式，并按要求提供资格证明材料，未提供或提供不全的为无效标 ）；</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.11偏离</w:t>
      </w:r>
      <w:r>
        <w:rPr>
          <w:rFonts w:hint="eastAsia" w:cs="宋体"/>
          <w:sz w:val="21"/>
          <w:szCs w:val="21"/>
        </w:rPr>
        <w:t xml:space="preserve">表（详见投标文件格式）</w:t>
      </w:r>
      <w:r>
        <w:rPr>
          <w:rFonts w:hint="eastAsia" w:cs="宋体"/>
          <w:sz w:val="21"/>
          <w:szCs w:val="21"/>
        </w:rPr>
        <w:t xml:space="preserve">；</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.12拟投入人员情况表</w:t>
      </w:r>
      <w:r>
        <w:rPr>
          <w:rFonts w:hint="eastAsia" w:cs="宋体"/>
          <w:sz w:val="21"/>
          <w:szCs w:val="21"/>
        </w:rPr>
        <w:t xml:space="preserve">（详见投标文件格式</w:t>
      </w:r>
      <w:r>
        <w:rPr>
          <w:rFonts w:hint="eastAsia" w:cs="宋体"/>
          <w:sz w:val="21"/>
          <w:szCs w:val="21"/>
        </w:rPr>
        <w:t xml:space="preserve"> </w:t>
      </w:r>
      <w:r>
        <w:rPr>
          <w:rFonts w:hint="eastAsia" w:cs="宋体"/>
          <w:sz w:val="21"/>
          <w:szCs w:val="21"/>
        </w:rPr>
        <w:t xml:space="preserve">）</w:t>
      </w:r>
      <w:r/>
    </w:p>
    <w:p>
      <w:pPr>
        <w:pStyle w:val="952"/>
        <w:ind w:firstLine="525"/>
        <w:spacing w:line="400" w:lineRule="exact"/>
        <w:rPr>
          <w:rFonts w:hint="eastAsia" w:cs="宋体"/>
          <w:sz w:val="21"/>
          <w:szCs w:val="21"/>
        </w:rPr>
      </w:pPr>
      <w:r>
        <w:rPr>
          <w:rFonts w:cs="仿宋"/>
          <w:sz w:val="21"/>
          <w:szCs w:val="21"/>
        </w:rPr>
        <w:t xml:space="preserve">1</w:t>
      </w:r>
      <w:r>
        <w:rPr>
          <w:rFonts w:hint="eastAsia" w:cs="仿宋"/>
          <w:sz w:val="21"/>
          <w:szCs w:val="21"/>
        </w:rPr>
        <w:t xml:space="preserve">6</w:t>
      </w:r>
      <w:r>
        <w:rPr>
          <w:rFonts w:cs="仿宋"/>
          <w:sz w:val="21"/>
          <w:szCs w:val="21"/>
        </w:rPr>
        <w:t xml:space="preserve">.</w:t>
      </w:r>
      <w:r>
        <w:rPr>
          <w:rFonts w:hint="eastAsia" w:cs="仿宋"/>
          <w:sz w:val="21"/>
          <w:szCs w:val="21"/>
        </w:rPr>
        <w:t xml:space="preserve">13</w:t>
      </w:r>
      <w:r>
        <w:rPr>
          <w:rFonts w:cs="宋体"/>
          <w:sz w:val="21"/>
          <w:szCs w:val="21"/>
          <w:lang w:eastAsia="en-US"/>
        </w:rPr>
        <w:t xml:space="preserve">类似业绩一览表（</w:t>
      </w:r>
      <w:r>
        <w:rPr>
          <w:rFonts w:hint="eastAsia" w:cs="宋体"/>
          <w:sz w:val="21"/>
          <w:szCs w:val="21"/>
        </w:rPr>
        <w:t xml:space="preserve">详见投标文件格式）</w:t>
      </w:r>
      <w:r>
        <w:rPr>
          <w:rFonts w:cs="宋体"/>
          <w:sz w:val="21"/>
          <w:szCs w:val="21"/>
        </w:rPr>
        <w:t xml:space="preserve">；</w:t>
      </w:r>
      <w:r>
        <w:rPr>
          <w:rFonts w:hint="eastAsia" w:cs="宋体"/>
          <w:sz w:val="21"/>
          <w:szCs w:val="21"/>
        </w:rPr>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.14技术方案等（格式自拟）</w:t>
      </w:r>
      <w:r>
        <w:rPr>
          <w:rFonts w:hint="eastAsia" w:cs="宋体"/>
          <w:sz w:val="21"/>
          <w:szCs w:val="21"/>
        </w:rPr>
        <w:t xml:space="preserve">；</w:t>
      </w:r>
      <w:r>
        <w:rPr>
          <w:rFonts w:hint="eastAsia" w:cs="宋体"/>
          <w:sz w:val="21"/>
          <w:szCs w:val="21"/>
        </w:rPr>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.15其他参与评审的资料等（格式自拟）；</w:t>
      </w:r>
      <w:r/>
    </w:p>
    <w:p>
      <w:pPr>
        <w:pStyle w:val="952"/>
        <w:ind w:left="540"/>
        <w:spacing w:line="400" w:lineRule="exact"/>
        <w:tabs>
          <w:tab w:val="left" w:pos="540" w:leader="none"/>
          <w:tab w:val="left" w:pos="851" w:leader="none"/>
        </w:tabs>
        <w:rPr>
          <w:rFonts w:hint="eastAsia"/>
          <w:sz w:val="21"/>
          <w:szCs w:val="21"/>
        </w:rPr>
      </w:pPr>
      <w:r>
        <w:rPr>
          <w:rFonts w:hint="eastAsia" w:cs="宋体"/>
          <w:bCs/>
          <w:sz w:val="21"/>
          <w:szCs w:val="21"/>
        </w:rPr>
        <w:t xml:space="preserve">注：投标人必须提交上述1</w:t>
      </w:r>
      <w:r>
        <w:rPr>
          <w:rFonts w:cs="宋体"/>
          <w:bCs/>
          <w:sz w:val="21"/>
          <w:szCs w:val="21"/>
        </w:rPr>
        <w:t xml:space="preserve">6</w:t>
      </w:r>
      <w:r>
        <w:rPr>
          <w:rFonts w:hint="eastAsia" w:cs="宋体"/>
          <w:bCs/>
          <w:sz w:val="21"/>
          <w:szCs w:val="21"/>
        </w:rPr>
        <w:t xml:space="preserve">.1—1</w:t>
      </w:r>
      <w:r>
        <w:rPr>
          <w:rFonts w:cs="宋体"/>
          <w:bCs/>
          <w:sz w:val="21"/>
          <w:szCs w:val="21"/>
        </w:rPr>
        <w:t xml:space="preserve">6</w:t>
      </w:r>
      <w:r>
        <w:rPr>
          <w:rFonts w:hint="eastAsia" w:cs="宋体"/>
          <w:bCs/>
          <w:sz w:val="21"/>
          <w:szCs w:val="21"/>
        </w:rPr>
        <w:t xml:space="preserve">.12款规定的资料。否则，投标文件将因资格性条件不符或未实质性响应招标文件而被拒绝；</w:t>
      </w:r>
      <w:r>
        <w:rPr>
          <w:rFonts w:hint="eastAsia"/>
          <w:sz w:val="21"/>
          <w:szCs w:val="21"/>
        </w:rPr>
      </w:r>
      <w:r/>
    </w:p>
    <w:p>
      <w:pPr>
        <w:pStyle w:val="952"/>
        <w:numPr>
          <w:ilvl w:val="0"/>
          <w:numId w:val="7"/>
        </w:numPr>
        <w:ind w:left="540" w:hanging="540"/>
        <w:spacing w:line="400" w:lineRule="exact"/>
        <w:tabs>
          <w:tab w:val="left" w:pos="540" w:leader="none"/>
          <w:tab w:val="left" w:pos="709" w:leader="none"/>
        </w:tabs>
        <w:rPr>
          <w:rFonts w:cs="宋体"/>
          <w:b/>
          <w:sz w:val="21"/>
          <w:szCs w:val="21"/>
        </w:rPr>
      </w:pPr>
      <w:r>
        <w:rPr>
          <w:rFonts w:hint="eastAsia" w:cs="宋体"/>
          <w:b/>
          <w:sz w:val="21"/>
          <w:szCs w:val="21"/>
        </w:rPr>
        <w:t xml:space="preserve">对本次投标的详细说明的编制</w:t>
      </w:r>
      <w:r>
        <w:rPr>
          <w:rFonts w:cs="宋体"/>
          <w:b/>
          <w:sz w:val="21"/>
          <w:szCs w:val="21"/>
        </w:rPr>
      </w:r>
      <w:r/>
    </w:p>
    <w:p>
      <w:pPr>
        <w:pStyle w:val="952"/>
        <w:numPr>
          <w:ilvl w:val="0"/>
          <w:numId w:val="20"/>
        </w:numPr>
        <w:spacing w:line="400" w:lineRule="exact"/>
        <w:tabs>
          <w:tab w:val="left" w:pos="540"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投标报价（编制）要求的说明</w:t>
      </w:r>
      <w:r/>
    </w:p>
    <w:p>
      <w:pPr>
        <w:pStyle w:val="952"/>
        <w:numPr>
          <w:ilvl w:val="0"/>
          <w:numId w:val="21"/>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w:t>
      </w:r>
      <w:r>
        <w:rPr>
          <w:rFonts w:hint="eastAsia" w:cs="宋体"/>
          <w:sz w:val="21"/>
          <w:szCs w:val="21"/>
        </w:rPr>
        <w:t xml:space="preserve">的一切费用，包括但不限于</w:t>
      </w:r>
      <w:r>
        <w:rPr>
          <w:rFonts w:hint="eastAsia"/>
          <w:bCs/>
          <w:sz w:val="21"/>
          <w:szCs w:val="21"/>
        </w:rPr>
        <w:t xml:space="preserve">完成相应工作任务涉及的人工费、通讯费、交通费、资料费、调查费、报告编制费（含印刷费）、后续服务费、利润、税金、政策性文件规定及合同包含的所有风险、责任等完成本项目</w:t>
      </w:r>
      <w:r>
        <w:rPr>
          <w:rFonts w:hint="eastAsia"/>
          <w:bCs/>
          <w:sz w:val="21"/>
          <w:szCs w:val="21"/>
        </w:rPr>
        <w:t xml:space="preserve">的各项应有费用</w:t>
      </w:r>
      <w:r>
        <w:rPr>
          <w:rFonts w:hint="eastAsia"/>
          <w:sz w:val="21"/>
          <w:szCs w:val="21"/>
        </w:rPr>
        <w:t xml:space="preserve">。</w:t>
      </w:r>
      <w:r/>
    </w:p>
    <w:p>
      <w:pPr>
        <w:pStyle w:val="952"/>
        <w:numPr>
          <w:ilvl w:val="0"/>
          <w:numId w:val="21"/>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952"/>
        <w:numPr>
          <w:ilvl w:val="0"/>
          <w:numId w:val="21"/>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p>
    <w:p>
      <w:pPr>
        <w:pStyle w:val="952"/>
        <w:numPr>
          <w:ilvl w:val="0"/>
          <w:numId w:val="21"/>
        </w:numPr>
        <w:spacing w:line="400" w:lineRule="exact"/>
        <w:tabs>
          <w:tab w:val="left" w:pos="540" w:leader="none"/>
        </w:tabs>
        <w:rPr>
          <w:rFonts w:hint="eastAsia"/>
          <w:sz w:val="21"/>
          <w:szCs w:val="21"/>
        </w:rPr>
      </w:pPr>
      <w:r>
        <w:rPr>
          <w:rFonts w:hint="eastAsia"/>
          <w:sz w:val="21"/>
          <w:szCs w:val="21"/>
        </w:rPr>
        <w:t xml:space="preserve">投标文件报价中的单价和总价全部采用人民币表示，除非合同的特殊条款另有规定。</w:t>
      </w:r>
      <w:r/>
    </w:p>
    <w:p>
      <w:pPr>
        <w:pStyle w:val="952"/>
        <w:numPr>
          <w:ilvl w:val="0"/>
          <w:numId w:val="21"/>
        </w:numPr>
        <w:spacing w:line="400" w:lineRule="exact"/>
        <w:tabs>
          <w:tab w:val="left" w:pos="540" w:leader="none"/>
        </w:tabs>
        <w:rPr>
          <w:rFonts w:hint="eastAsia"/>
          <w:sz w:val="21"/>
          <w:szCs w:val="21"/>
        </w:rPr>
      </w:pPr>
      <w:r>
        <w:rPr>
          <w:rFonts w:hint="eastAsia"/>
          <w:sz w:val="21"/>
          <w:szCs w:val="21"/>
        </w:rPr>
        <w:t xml:space="preserve">最低的投标报价或最高的折扣比例是中标的重要条件，但不是中标的唯一条件。</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投标保证金</w:t>
      </w:r>
      <w:r/>
    </w:p>
    <w:p>
      <w:pPr>
        <w:pStyle w:val="952"/>
        <w:numPr>
          <w:ilvl w:val="0"/>
          <w:numId w:val="22"/>
        </w:numPr>
        <w:spacing w:line="400" w:lineRule="exact"/>
        <w:tabs>
          <w:tab w:val="left" w:pos="540" w:leader="none"/>
        </w:tabs>
        <w:rPr>
          <w:rFonts w:hint="eastAsia"/>
          <w:sz w:val="21"/>
          <w:szCs w:val="21"/>
        </w:rPr>
      </w:pPr>
      <w:r>
        <w:rPr>
          <w:rFonts w:hint="eastAsia"/>
          <w:sz w:val="21"/>
          <w:szCs w:val="21"/>
        </w:rPr>
        <w:t xml:space="preserve">按前附表要求提供。</w:t>
      </w:r>
      <w:r/>
    </w:p>
    <w:p>
      <w:pPr>
        <w:pStyle w:val="952"/>
        <w:numPr>
          <w:ilvl w:val="0"/>
          <w:numId w:val="22"/>
        </w:numPr>
        <w:spacing w:line="400" w:lineRule="exact"/>
        <w:tabs>
          <w:tab w:val="left" w:pos="540" w:leader="none"/>
        </w:tabs>
        <w:rPr>
          <w:rFonts w:hint="eastAsia"/>
          <w:sz w:val="21"/>
          <w:szCs w:val="21"/>
        </w:rPr>
      </w:pPr>
      <w:r>
        <w:rPr>
          <w:rFonts w:hint="eastAsia"/>
          <w:sz w:val="21"/>
          <w:szCs w:val="21"/>
        </w:rPr>
        <w:t xml:space="preserve">投标保证金交纳账户</w:t>
      </w:r>
      <w:r/>
    </w:p>
    <w:p>
      <w:pPr>
        <w:pStyle w:val="952"/>
        <w:ind w:left="540"/>
        <w:spacing w:line="400" w:lineRule="exact"/>
        <w:tabs>
          <w:tab w:val="left" w:pos="540" w:leader="none"/>
        </w:tabs>
        <w:rPr>
          <w:rFonts w:hint="eastAsia" w:cs="宋体"/>
          <w:bCs/>
          <w:sz w:val="21"/>
          <w:szCs w:val="21"/>
        </w:rPr>
      </w:pPr>
      <w:r>
        <w:rPr>
          <w:rFonts w:hint="eastAsia" w:cs="宋体"/>
          <w:bCs/>
          <w:sz w:val="21"/>
          <w:szCs w:val="21"/>
        </w:rPr>
        <w:t xml:space="preserve">公司名称：苏州乐族工程咨询有限公司</w:t>
      </w:r>
      <w:r/>
    </w:p>
    <w:p>
      <w:pPr>
        <w:pStyle w:val="952"/>
        <w:ind w:left="540"/>
        <w:spacing w:line="400" w:lineRule="exact"/>
        <w:tabs>
          <w:tab w:val="left" w:pos="540" w:leader="none"/>
        </w:tabs>
        <w:rPr>
          <w:rFonts w:hint="eastAsia" w:cs="宋体"/>
          <w:bCs/>
          <w:sz w:val="21"/>
          <w:szCs w:val="21"/>
        </w:rPr>
      </w:pPr>
      <w:r>
        <w:rPr>
          <w:rFonts w:hint="eastAsia" w:cs="宋体"/>
          <w:bCs/>
          <w:sz w:val="21"/>
          <w:szCs w:val="21"/>
        </w:rPr>
        <w:t xml:space="preserve">开户行：中国银行股份有限公司太仓分行</w:t>
      </w:r>
      <w:r/>
    </w:p>
    <w:p>
      <w:pPr>
        <w:pStyle w:val="952"/>
        <w:ind w:left="540"/>
        <w:spacing w:line="400" w:lineRule="exact"/>
        <w:tabs>
          <w:tab w:val="left" w:pos="540" w:leader="none"/>
        </w:tabs>
        <w:rPr>
          <w:rFonts w:hint="eastAsia" w:cs="宋体"/>
          <w:bCs/>
          <w:sz w:val="21"/>
          <w:szCs w:val="21"/>
        </w:rPr>
      </w:pPr>
      <w:r>
        <w:rPr>
          <w:rFonts w:hint="eastAsia" w:cs="宋体"/>
          <w:bCs/>
          <w:sz w:val="21"/>
          <w:szCs w:val="21"/>
        </w:rPr>
        <w:t xml:space="preserve">账户：498872769864</w:t>
      </w:r>
      <w:r/>
    </w:p>
    <w:p>
      <w:pPr>
        <w:pStyle w:val="952"/>
        <w:ind w:left="540"/>
        <w:spacing w:line="400" w:lineRule="exact"/>
        <w:tabs>
          <w:tab w:val="left" w:pos="540" w:leader="none"/>
        </w:tabs>
        <w:rPr>
          <w:rFonts w:hint="eastAsia" w:cs="宋体"/>
          <w:sz w:val="21"/>
          <w:szCs w:val="21"/>
        </w:rPr>
      </w:pPr>
      <w:r>
        <w:rPr>
          <w:rFonts w:hint="eastAsia" w:cs="宋体"/>
          <w:bCs/>
          <w:sz w:val="21"/>
          <w:szCs w:val="21"/>
        </w:rPr>
        <w:t xml:space="preserve">投标保证金的提供人必须与提交投标文件的投</w:t>
      </w:r>
      <w:r>
        <w:rPr>
          <w:rFonts w:hint="eastAsia" w:cs="宋体"/>
          <w:sz w:val="21"/>
          <w:szCs w:val="21"/>
        </w:rPr>
        <w:t xml:space="preserve">标人一致。</w:t>
      </w:r>
      <w:r/>
    </w:p>
    <w:p>
      <w:pPr>
        <w:pStyle w:val="952"/>
        <w:numPr>
          <w:ilvl w:val="0"/>
          <w:numId w:val="22"/>
        </w:numPr>
        <w:spacing w:line="400" w:lineRule="exact"/>
        <w:tabs>
          <w:tab w:val="left" w:pos="540" w:leader="none"/>
        </w:tabs>
        <w:rPr>
          <w:rFonts w:hint="eastAsia"/>
          <w:sz w:val="21"/>
          <w:szCs w:val="21"/>
        </w:rPr>
      </w:pPr>
      <w:r>
        <w:rPr>
          <w:rFonts w:hint="eastAsia"/>
          <w:sz w:val="21"/>
          <w:szCs w:val="21"/>
        </w:rPr>
        <w:t xml:space="preserve">未按上述要求提交投标保证金的投标人，招标采购单位有权拒绝其投标文件。</w:t>
      </w:r>
      <w:r/>
    </w:p>
    <w:p>
      <w:pPr>
        <w:pStyle w:val="952"/>
        <w:numPr>
          <w:ilvl w:val="0"/>
          <w:numId w:val="22"/>
        </w:numPr>
        <w:spacing w:line="400" w:lineRule="exact"/>
        <w:tabs>
          <w:tab w:val="left" w:pos="540" w:leader="none"/>
        </w:tabs>
        <w:rPr>
          <w:rFonts w:hint="eastAsia"/>
          <w:sz w:val="21"/>
          <w:szCs w:val="21"/>
        </w:rPr>
      </w:pPr>
      <w:r>
        <w:rPr>
          <w:rFonts w:hint="eastAsia"/>
          <w:sz w:val="21"/>
          <w:szCs w:val="21"/>
        </w:rPr>
        <w:t xml:space="preserve">发生下列情况之一，投标保证金将不予退还：</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.4.1在投标有效期内，投标人撤销其投标文件的；</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.4.2投标人串通投标、行贿或投标文件中含有故意的虚假陈述；</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.4.3 中标供应商无正当理由不与采购人签订合同或拒绝履行合同义务的；</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.4.4 中标供应商不按本须知相关条款规</w:t>
      </w:r>
      <w:r>
        <w:rPr>
          <w:rFonts w:hint="eastAsia" w:cs="宋体"/>
          <w:sz w:val="21"/>
          <w:szCs w:val="21"/>
        </w:rPr>
        <w:t xml:space="preserve">定缴付招标代理服务费的；</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.4.5 投标人在投标过程中有违反有关法律法规的行为。</w:t>
      </w:r>
      <w:r/>
    </w:p>
    <w:p>
      <w:pPr>
        <w:pStyle w:val="952"/>
        <w:numPr>
          <w:ilvl w:val="0"/>
          <w:numId w:val="22"/>
        </w:numPr>
        <w:spacing w:line="400" w:lineRule="exact"/>
        <w:tabs>
          <w:tab w:val="left" w:pos="540" w:leader="none"/>
        </w:tabs>
        <w:rPr>
          <w:rFonts w:hint="eastAsia" w:cs="宋体"/>
          <w:sz w:val="21"/>
          <w:szCs w:val="21"/>
        </w:rPr>
      </w:pPr>
      <w:r>
        <w:rPr>
          <w:rFonts w:hint="eastAsia"/>
          <w:sz w:val="21"/>
          <w:szCs w:val="21"/>
        </w:rPr>
        <w:t xml:space="preserve">投标人因自身原因逾期未办理退还投标保证金手续的，采购人和采购代理机构不承担任何损失。</w:t>
      </w:r>
      <w:r>
        <w:rPr>
          <w:rFonts w:hint="eastAsia" w:cs="宋体"/>
          <w:sz w:val="21"/>
          <w:szCs w:val="21"/>
        </w:rPr>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投标文件的有效期</w:t>
      </w:r>
      <w:r/>
    </w:p>
    <w:p>
      <w:pPr>
        <w:pStyle w:val="952"/>
        <w:numPr>
          <w:ilvl w:val="0"/>
          <w:numId w:val="23"/>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p>
    <w:p>
      <w:pPr>
        <w:pStyle w:val="952"/>
        <w:numPr>
          <w:ilvl w:val="0"/>
          <w:numId w:val="23"/>
        </w:numPr>
        <w:spacing w:line="400" w:lineRule="exact"/>
        <w:tabs>
          <w:tab w:val="left" w:pos="540" w:leader="none"/>
        </w:tabs>
        <w:rPr>
          <w:rFonts w:hint="eastAsia"/>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投标文件的份数和签署</w:t>
      </w:r>
      <w:r/>
    </w:p>
    <w:p>
      <w:pPr>
        <w:pStyle w:val="952"/>
        <w:numPr>
          <w:ilvl w:val="1"/>
          <w:numId w:val="24"/>
        </w:numPr>
        <w:ind w:left="540" w:hanging="540"/>
        <w:spacing w:line="400" w:lineRule="exact"/>
        <w:tabs>
          <w:tab w:val="left" w:pos="540" w:leader="none"/>
        </w:tabs>
        <w:rPr>
          <w:rFonts w:hint="eastAsia" w:cs="宋体"/>
          <w:sz w:val="21"/>
          <w:szCs w:val="21"/>
        </w:rPr>
      </w:pPr>
      <w:r>
        <w:rPr>
          <w:rFonts w:hint="eastAsia"/>
          <w:sz w:val="21"/>
          <w:szCs w:val="21"/>
        </w:rPr>
        <w:t xml:space="preserve">投标单位应按照招标文件要求加盖电子章（公章、法人章等），否则视为无效标</w:t>
      </w:r>
      <w:r>
        <w:rPr>
          <w:rFonts w:hint="eastAsia" w:cs="宋体"/>
          <w:sz w:val="21"/>
          <w:szCs w:val="21"/>
        </w:rPr>
        <w:t xml:space="preserve">。</w:t>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投标文件的提交、修改和撤回</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投标文件的上传、提交</w:t>
      </w:r>
      <w:r/>
    </w:p>
    <w:p>
      <w:pPr>
        <w:pStyle w:val="952"/>
        <w:numPr>
          <w:ilvl w:val="1"/>
          <w:numId w:val="25"/>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投标截止时间</w:t>
      </w:r>
      <w:r/>
    </w:p>
    <w:p>
      <w:pPr>
        <w:pStyle w:val="952"/>
        <w:numPr>
          <w:ilvl w:val="1"/>
          <w:numId w:val="26"/>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电子投标文件必须按招标公告中规定的网上投标截止时间前提交，否则投标无效。</w:t>
      </w:r>
      <w:r/>
    </w:p>
    <w:p>
      <w:pPr>
        <w:pStyle w:val="952"/>
        <w:numPr>
          <w:ilvl w:val="1"/>
          <w:numId w:val="26"/>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w:t>
      </w:r>
      <w:r>
        <w:rPr>
          <w:rFonts w:hint="eastAsia"/>
          <w:sz w:val="21"/>
          <w:szCs w:val="21"/>
        </w:rPr>
        <w:t xml:space="preserve">期的约束。</w:t>
      </w:r>
      <w:r/>
    </w:p>
    <w:p>
      <w:pPr>
        <w:pStyle w:val="952"/>
        <w:numPr>
          <w:ilvl w:val="1"/>
          <w:numId w:val="26"/>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投标文件的修改和撤回</w:t>
      </w:r>
      <w:r/>
    </w:p>
    <w:p>
      <w:pPr>
        <w:pStyle w:val="952"/>
        <w:numPr>
          <w:ilvl w:val="1"/>
          <w:numId w:val="27"/>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p>
    <w:p>
      <w:pPr>
        <w:pStyle w:val="952"/>
        <w:numPr>
          <w:ilvl w:val="1"/>
          <w:numId w:val="27"/>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开标和评标</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开标</w:t>
      </w:r>
      <w:r/>
    </w:p>
    <w:p>
      <w:pPr>
        <w:pStyle w:val="952"/>
        <w:numPr>
          <w:ilvl w:val="1"/>
          <w:numId w:val="28"/>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p>
    <w:p>
      <w:pPr>
        <w:pStyle w:val="952"/>
        <w:numPr>
          <w:ilvl w:val="1"/>
          <w:numId w:val="28"/>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rPr>
          <w:rFonts w:hint="eastAsia"/>
          <w:sz w:val="21"/>
          <w:szCs w:val="21"/>
        </w:rPr>
      </w:r>
      <w:r/>
    </w:p>
    <w:p>
      <w:pPr>
        <w:pStyle w:val="952"/>
        <w:numPr>
          <w:ilvl w:val="1"/>
          <w:numId w:val="28"/>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15分钟，因自身原因导致解密失败的，由投标人自行承担相关责任</w:t>
      </w:r>
      <w:r>
        <w:rPr>
          <w:rFonts w:hint="eastAsia"/>
          <w:sz w:val="21"/>
          <w:szCs w:val="21"/>
        </w:rPr>
        <w:t xml:space="preserve">。</w:t>
      </w:r>
      <w:r/>
    </w:p>
    <w:p>
      <w:pPr>
        <w:pStyle w:val="952"/>
        <w:numPr>
          <w:ilvl w:val="1"/>
          <w:numId w:val="28"/>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p>
    <w:p>
      <w:pPr>
        <w:pStyle w:val="952"/>
        <w:numPr>
          <w:ilvl w:val="1"/>
          <w:numId w:val="28"/>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评标委员会</w:t>
      </w:r>
      <w:r/>
    </w:p>
    <w:p>
      <w:pPr>
        <w:pStyle w:val="952"/>
        <w:numPr>
          <w:ilvl w:val="1"/>
          <w:numId w:val="29"/>
        </w:numPr>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p>
    <w:p>
      <w:pPr>
        <w:pStyle w:val="952"/>
        <w:numPr>
          <w:ilvl w:val="1"/>
          <w:numId w:val="29"/>
        </w:numPr>
        <w:spacing w:line="400" w:lineRule="exact"/>
        <w:tabs>
          <w:tab w:val="left" w:pos="540" w:leader="none"/>
        </w:tabs>
        <w:rPr>
          <w:rFonts w:hint="eastAsia"/>
          <w:sz w:val="21"/>
          <w:szCs w:val="21"/>
        </w:rPr>
      </w:pPr>
      <w:r>
        <w:rPr>
          <w:rFonts w:hint="eastAsia"/>
          <w:sz w:val="21"/>
          <w:szCs w:val="21"/>
        </w:rPr>
        <w:t xml:space="preserve">评标委员会独立履行下列职责：</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w:t>
      </w:r>
      <w:r>
        <w:rPr>
          <w:rFonts w:hint="eastAsia" w:ascii="宋体" w:hAnsi="宋体" w:eastAsia="宋体"/>
          <w:sz w:val="21"/>
          <w:szCs w:val="21"/>
        </w:rPr>
        <w:t xml:space="preserve">文件是否符合招标文件的要求，并作评价；</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p>
    <w:p>
      <w:pPr>
        <w:pStyle w:val="952"/>
        <w:numPr>
          <w:ilvl w:val="1"/>
          <w:numId w:val="29"/>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p>
    <w:p>
      <w:pPr>
        <w:pStyle w:val="967"/>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评标内容的保密</w:t>
      </w:r>
      <w:r/>
    </w:p>
    <w:p>
      <w:pPr>
        <w:pStyle w:val="952"/>
        <w:numPr>
          <w:ilvl w:val="1"/>
          <w:numId w:val="30"/>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p>
    <w:p>
      <w:pPr>
        <w:pStyle w:val="952"/>
        <w:numPr>
          <w:ilvl w:val="1"/>
          <w:numId w:val="30"/>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在投标文件的审查、澄清、评价和比较以及授予合同的过程中，投标人对招标采购单位和评标委员会成员施加影响的任何行为，都将取消其投标资格。</w:t>
      </w:r>
      <w:r/>
    </w:p>
    <w:p>
      <w:pPr>
        <w:pStyle w:val="952"/>
        <w:numPr>
          <w:ilvl w:val="1"/>
          <w:numId w:val="30"/>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对投标文件初审</w:t>
      </w:r>
      <w:r/>
    </w:p>
    <w:p>
      <w:pPr>
        <w:pStyle w:val="952"/>
        <w:numPr>
          <w:ilvl w:val="1"/>
          <w:numId w:val="31"/>
        </w:numPr>
        <w:spacing w:line="400" w:lineRule="exact"/>
        <w:tabs>
          <w:tab w:val="left" w:pos="540" w:leader="none"/>
        </w:tabs>
        <w:rPr>
          <w:sz w:val="21"/>
          <w:szCs w:val="21"/>
        </w:rPr>
      </w:pPr>
      <w:r>
        <w:rPr>
          <w:sz w:val="21"/>
          <w:szCs w:val="21"/>
        </w:rPr>
        <w:t xml:space="preserve">投标文件初审分为资格性检查和符合性检查。</w:t>
      </w:r>
      <w:r/>
    </w:p>
    <w:p>
      <w:pPr>
        <w:pStyle w:val="952"/>
        <w:ind w:left="360"/>
        <w:spacing w:line="400" w:lineRule="exact"/>
        <w:tabs>
          <w:tab w:val="left" w:pos="540" w:leader="none"/>
        </w:tabs>
        <w:rPr>
          <w:sz w:val="21"/>
          <w:szCs w:val="21"/>
        </w:rPr>
      </w:pPr>
      <w:r>
        <w:rPr>
          <w:sz w:val="21"/>
          <w:szCs w:val="21"/>
        </w:rPr>
        <w:t xml:space="preserve">28.</w:t>
      </w:r>
      <w:r>
        <w:rPr>
          <w:sz w:val="21"/>
          <w:szCs w:val="21"/>
        </w:rPr>
        <w:t xml:space="preserve">1.1资格性检查。依据法律法规和招标文件的规定，采购人或者采购代理机构依法对投标人的资格进行审查。对投标文件中的资格证明等进行审查，以确定投标供应商是否具备投标资格。</w:t>
      </w:r>
      <w:r/>
    </w:p>
    <w:p>
      <w:pPr>
        <w:pStyle w:val="952"/>
        <w:ind w:left="360"/>
        <w:spacing w:line="400" w:lineRule="exact"/>
        <w:tabs>
          <w:tab w:val="left" w:pos="540" w:leader="none"/>
        </w:tabs>
        <w:rPr>
          <w:sz w:val="21"/>
          <w:szCs w:val="21"/>
        </w:rPr>
      </w:pPr>
      <w:r>
        <w:rPr>
          <w:sz w:val="21"/>
          <w:szCs w:val="21"/>
        </w:rPr>
        <w:t xml:space="preserve">28.1.2 关于信用记录查询：</w:t>
      </w:r>
      <w:r/>
    </w:p>
    <w:p>
      <w:pPr>
        <w:pStyle w:val="952"/>
        <w:ind w:left="360"/>
        <w:spacing w:line="400" w:lineRule="exact"/>
        <w:tabs>
          <w:tab w:val="left" w:pos="540" w:leader="none"/>
        </w:tabs>
        <w:rPr>
          <w:sz w:val="21"/>
          <w:szCs w:val="21"/>
        </w:rPr>
      </w:pPr>
      <w:r>
        <w:rPr>
          <w:rFonts w:hint="eastAsia"/>
          <w:sz w:val="21"/>
          <w:szCs w:val="21"/>
        </w:rPr>
        <w:t xml:space="preserve">根据政府采购法及相关法规，以及《国务院关于建立完善守信联合激励和失信联合惩戒制度加快推进社会诚信建设的指导意见》（国发〔</w:t>
      </w:r>
      <w:r>
        <w:rPr>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52"/>
        <w:ind w:left="360"/>
        <w:spacing w:line="400" w:lineRule="exact"/>
        <w:tabs>
          <w:tab w:val="left" w:pos="540" w:leader="none"/>
        </w:tabs>
        <w:rPr>
          <w:sz w:val="21"/>
          <w:szCs w:val="21"/>
        </w:rPr>
      </w:pPr>
      <w:r>
        <w:rPr>
          <w:sz w:val="21"/>
          <w:szCs w:val="21"/>
        </w:rPr>
        <w:t xml:space="preserve">28.1.2.1查询时间：评标开始前</w:t>
      </w:r>
      <w:r/>
    </w:p>
    <w:p>
      <w:pPr>
        <w:pStyle w:val="952"/>
        <w:ind w:left="360"/>
        <w:spacing w:line="400" w:lineRule="exact"/>
        <w:tabs>
          <w:tab w:val="left" w:pos="540" w:leader="none"/>
        </w:tabs>
        <w:rPr>
          <w:sz w:val="21"/>
          <w:szCs w:val="21"/>
        </w:rPr>
      </w:pPr>
      <w:r>
        <w:rPr>
          <w:sz w:val="21"/>
          <w:szCs w:val="21"/>
        </w:rPr>
        <w:t xml:space="preserve">28.1.2.2查询渠道：通过“信用中国”网站、中国政府采购网等渠道查询相关主体信用记录。</w:t>
      </w:r>
      <w:r/>
    </w:p>
    <w:p>
      <w:pPr>
        <w:pStyle w:val="952"/>
        <w:ind w:left="360"/>
        <w:spacing w:line="400" w:lineRule="exact"/>
        <w:tabs>
          <w:tab w:val="left" w:pos="540" w:leader="none"/>
        </w:tabs>
        <w:rPr>
          <w:sz w:val="21"/>
          <w:szCs w:val="21"/>
        </w:rPr>
      </w:pPr>
      <w:r>
        <w:rPr>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pStyle w:val="952"/>
        <w:ind w:left="360"/>
        <w:spacing w:line="400" w:lineRule="exact"/>
        <w:tabs>
          <w:tab w:val="left" w:pos="540" w:leader="none"/>
        </w:tabs>
        <w:rPr>
          <w:sz w:val="21"/>
          <w:szCs w:val="21"/>
        </w:rPr>
      </w:pPr>
      <w:r>
        <w:rPr>
          <w:sz w:val="21"/>
          <w:szCs w:val="21"/>
        </w:rPr>
        <w:t xml:space="preserve">28.1.2.4信用记录使用规则：评审小组在对供应商进行资格性审查时，应</w:t>
      </w:r>
      <w:r>
        <w:rPr>
          <w:sz w:val="21"/>
          <w:szCs w:val="21"/>
        </w:rPr>
        <w:t xml:space="preserve">根据查询结果对供应商的不良信用记录逐项甄别确认。</w:t>
      </w:r>
      <w:r/>
    </w:p>
    <w:p>
      <w:pPr>
        <w:pStyle w:val="952"/>
        <w:ind w:left="360"/>
        <w:spacing w:line="400" w:lineRule="exact"/>
        <w:tabs>
          <w:tab w:val="left" w:pos="540" w:leader="none"/>
        </w:tabs>
        <w:rPr>
          <w:sz w:val="21"/>
          <w:szCs w:val="21"/>
        </w:rPr>
      </w:pPr>
      <w:r>
        <w:rPr>
          <w:sz w:val="21"/>
          <w:szCs w:val="21"/>
        </w:rPr>
        <w:t xml:space="preserve">28.1.3符合性检查。依据招标文件的规定，从投标文件的有效性、完整性和对招标文件的响应程度进行审查，以确定是否对招标文件的实质性要求作出响应。</w:t>
      </w:r>
      <w:r/>
    </w:p>
    <w:p>
      <w:pPr>
        <w:pStyle w:val="952"/>
        <w:numPr>
          <w:ilvl w:val="1"/>
          <w:numId w:val="31"/>
        </w:numPr>
        <w:spacing w:line="400" w:lineRule="exact"/>
        <w:tabs>
          <w:tab w:val="left" w:pos="540" w:leader="none"/>
        </w:tabs>
        <w:rPr>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952"/>
        <w:ind w:left="360"/>
        <w:spacing w:line="400" w:lineRule="exact"/>
        <w:tabs>
          <w:tab w:val="left" w:pos="540" w:leader="none"/>
        </w:tabs>
        <w:rPr>
          <w:sz w:val="21"/>
          <w:szCs w:val="21"/>
        </w:rPr>
      </w:pPr>
      <w:r>
        <w:rPr>
          <w:sz w:val="21"/>
          <w:szCs w:val="21"/>
        </w:rPr>
        <w:t xml:space="preserve">28.2.1 不同投标人的投标文件由同一单位或者个人编制；</w:t>
      </w:r>
      <w:r/>
    </w:p>
    <w:p>
      <w:pPr>
        <w:pStyle w:val="952"/>
        <w:ind w:left="360"/>
        <w:spacing w:line="400" w:lineRule="exact"/>
        <w:tabs>
          <w:tab w:val="left" w:pos="540" w:leader="none"/>
        </w:tabs>
        <w:rPr>
          <w:sz w:val="21"/>
          <w:szCs w:val="21"/>
        </w:rPr>
      </w:pPr>
      <w:r>
        <w:rPr>
          <w:sz w:val="21"/>
          <w:szCs w:val="21"/>
        </w:rPr>
        <w:t xml:space="preserve">28.2.2不同投标人委托同一单位或者个人办理投标事宜；</w:t>
      </w:r>
      <w:r/>
    </w:p>
    <w:p>
      <w:pPr>
        <w:pStyle w:val="952"/>
        <w:ind w:left="360"/>
        <w:spacing w:line="400" w:lineRule="exact"/>
        <w:tabs>
          <w:tab w:val="left" w:pos="540" w:leader="none"/>
        </w:tabs>
        <w:rPr>
          <w:sz w:val="21"/>
          <w:szCs w:val="21"/>
        </w:rPr>
      </w:pPr>
      <w:r>
        <w:rPr>
          <w:sz w:val="21"/>
          <w:szCs w:val="21"/>
        </w:rPr>
        <w:t xml:space="preserve">28.2.3不同投标人的投标文件载明的项目管理成</w:t>
      </w:r>
      <w:r>
        <w:rPr>
          <w:sz w:val="21"/>
          <w:szCs w:val="21"/>
        </w:rPr>
        <w:t xml:space="preserve">员或者联系人员为同一人；</w:t>
      </w:r>
      <w:r/>
    </w:p>
    <w:p>
      <w:pPr>
        <w:pStyle w:val="952"/>
        <w:ind w:left="360"/>
        <w:spacing w:line="400" w:lineRule="exact"/>
        <w:tabs>
          <w:tab w:val="left" w:pos="540" w:leader="none"/>
        </w:tabs>
        <w:rPr>
          <w:sz w:val="21"/>
          <w:szCs w:val="21"/>
        </w:rPr>
      </w:pPr>
      <w:r>
        <w:rPr>
          <w:sz w:val="21"/>
          <w:szCs w:val="21"/>
        </w:rPr>
        <w:t xml:space="preserve">28.2.4不同投标人的投标文件异常一致或者投标报价呈规律性差异；</w:t>
      </w:r>
      <w:r/>
    </w:p>
    <w:p>
      <w:pPr>
        <w:pStyle w:val="952"/>
        <w:ind w:left="360"/>
        <w:spacing w:line="400" w:lineRule="exact"/>
        <w:tabs>
          <w:tab w:val="left" w:pos="540" w:leader="none"/>
        </w:tabs>
        <w:rPr>
          <w:sz w:val="21"/>
          <w:szCs w:val="21"/>
        </w:rPr>
      </w:pPr>
      <w:r>
        <w:rPr>
          <w:sz w:val="21"/>
          <w:szCs w:val="21"/>
        </w:rPr>
        <w:t xml:space="preserve">28.2.5不同投标人的投标文件相互混装；</w:t>
      </w:r>
      <w:r/>
    </w:p>
    <w:p>
      <w:pPr>
        <w:pStyle w:val="952"/>
        <w:numPr>
          <w:ilvl w:val="1"/>
          <w:numId w:val="31"/>
        </w:numPr>
        <w:spacing w:line="400" w:lineRule="exact"/>
        <w:tabs>
          <w:tab w:val="left" w:pos="540" w:leader="none"/>
        </w:tabs>
        <w:rPr>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w:t>
      </w:r>
      <w:r>
        <w:rPr>
          <w:sz w:val="21"/>
          <w:szCs w:val="21"/>
        </w:rPr>
        <w:t xml:space="preserve">保留将会对其他实质上响应要求的投标单位的竞争地位产生不公正的影响。</w:t>
      </w:r>
      <w:r/>
    </w:p>
    <w:p>
      <w:pPr>
        <w:pStyle w:val="952"/>
        <w:numPr>
          <w:ilvl w:val="1"/>
          <w:numId w:val="31"/>
        </w:numPr>
        <w:spacing w:line="400" w:lineRule="exact"/>
        <w:tabs>
          <w:tab w:val="left" w:pos="540" w:leader="none"/>
        </w:tabs>
        <w:rPr>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pStyle w:val="952"/>
        <w:numPr>
          <w:ilvl w:val="1"/>
          <w:numId w:val="31"/>
        </w:numPr>
        <w:spacing w:line="400" w:lineRule="exact"/>
        <w:tabs>
          <w:tab w:val="left" w:pos="540" w:leader="none"/>
        </w:tabs>
        <w:rPr>
          <w:sz w:val="21"/>
          <w:szCs w:val="21"/>
        </w:rPr>
      </w:pPr>
      <w:r>
        <w:rPr>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pStyle w:val="952"/>
        <w:numPr>
          <w:ilvl w:val="1"/>
          <w:numId w:val="31"/>
        </w:numPr>
        <w:spacing w:line="400" w:lineRule="exact"/>
        <w:tabs>
          <w:tab w:val="left" w:pos="540" w:leader="none"/>
        </w:tabs>
        <w:rPr>
          <w:sz w:val="21"/>
          <w:szCs w:val="21"/>
        </w:rPr>
      </w:pPr>
      <w:r>
        <w:rPr>
          <w:sz w:val="21"/>
          <w:szCs w:val="21"/>
        </w:rPr>
        <w:t xml:space="preserve">评标委员会将对确定为实质性响应的投标进行审核，看其是否有计算上或累加上的算术错误，修正错误的原则如下：</w:t>
      </w:r>
      <w:r/>
    </w:p>
    <w:p>
      <w:pPr>
        <w:pStyle w:val="952"/>
        <w:ind w:left="360"/>
        <w:spacing w:line="400" w:lineRule="exact"/>
        <w:tabs>
          <w:tab w:val="left" w:pos="540" w:leader="none"/>
        </w:tabs>
        <w:rPr>
          <w:sz w:val="21"/>
          <w:szCs w:val="21"/>
        </w:rPr>
      </w:pPr>
      <w:r>
        <w:rPr>
          <w:sz w:val="21"/>
          <w:szCs w:val="21"/>
        </w:rPr>
        <w:t xml:space="preserve">28.6.1投标文件中开标一览表（报价表）内容与投标文件中相应内容不一致的，以开标一览表（报价表）为准；</w:t>
      </w:r>
      <w:r/>
    </w:p>
    <w:p>
      <w:pPr>
        <w:pStyle w:val="952"/>
        <w:ind w:left="360"/>
        <w:spacing w:line="400" w:lineRule="exact"/>
        <w:tabs>
          <w:tab w:val="left" w:pos="540" w:leader="none"/>
        </w:tabs>
        <w:rPr>
          <w:sz w:val="21"/>
          <w:szCs w:val="21"/>
        </w:rPr>
      </w:pPr>
      <w:r>
        <w:rPr>
          <w:sz w:val="21"/>
          <w:szCs w:val="21"/>
        </w:rPr>
        <w:t xml:space="preserve">28.6.2大写金额和小写金额不一致的，以大写金额为准；</w:t>
      </w:r>
      <w:r/>
    </w:p>
    <w:p>
      <w:pPr>
        <w:pStyle w:val="952"/>
        <w:ind w:left="360"/>
        <w:spacing w:line="400" w:lineRule="exact"/>
        <w:tabs>
          <w:tab w:val="left" w:pos="540" w:leader="none"/>
        </w:tabs>
        <w:rPr>
          <w:sz w:val="21"/>
          <w:szCs w:val="21"/>
        </w:rPr>
      </w:pPr>
      <w:r>
        <w:rPr>
          <w:sz w:val="21"/>
          <w:szCs w:val="21"/>
        </w:rPr>
        <w:t xml:space="preserve">28.6.3单价金额小数点或者百分比有明显错位的，以开标一览表的总价为准，并修改单价；</w:t>
      </w:r>
      <w:r/>
    </w:p>
    <w:p>
      <w:pPr>
        <w:pStyle w:val="952"/>
        <w:ind w:left="360"/>
        <w:spacing w:line="400" w:lineRule="exact"/>
        <w:tabs>
          <w:tab w:val="left" w:pos="540" w:leader="none"/>
        </w:tabs>
        <w:rPr>
          <w:sz w:val="21"/>
          <w:szCs w:val="21"/>
        </w:rPr>
      </w:pPr>
      <w:r>
        <w:rPr>
          <w:sz w:val="21"/>
          <w:szCs w:val="21"/>
        </w:rPr>
        <w:t xml:space="preserve">28.6.4总价金额与按单价汇总金额不一致的，以单价金额计算结果为准。</w:t>
      </w:r>
      <w:r/>
    </w:p>
    <w:p>
      <w:pPr>
        <w:pStyle w:val="952"/>
        <w:ind w:left="360"/>
        <w:spacing w:line="400" w:lineRule="exact"/>
        <w:tabs>
          <w:tab w:val="left" w:pos="540" w:leader="none"/>
        </w:tabs>
        <w:rPr>
          <w:sz w:val="21"/>
          <w:szCs w:val="21"/>
        </w:rPr>
      </w:pPr>
      <w:r>
        <w:rPr>
          <w:rFonts w:hint="eastAsia"/>
          <w:sz w:val="21"/>
          <w:szCs w:val="21"/>
        </w:rPr>
        <w:t xml:space="preserve">同时出现两种以上不一致的，按照前款规定的顺序修正。修正后的报价按照本须知</w:t>
      </w:r>
      <w:r>
        <w:rPr>
          <w:sz w:val="21"/>
          <w:szCs w:val="21"/>
        </w:rPr>
        <w:t xml:space="preserve">28.6条规定经投标人确认后产生约束力，投标人不确认的，其投标无效。</w:t>
      </w:r>
      <w:r/>
    </w:p>
    <w:p>
      <w:pPr>
        <w:pStyle w:val="952"/>
        <w:numPr>
          <w:ilvl w:val="1"/>
          <w:numId w:val="31"/>
        </w:numPr>
        <w:spacing w:line="400" w:lineRule="exact"/>
        <w:tabs>
          <w:tab w:val="left" w:pos="540" w:leader="none"/>
        </w:tabs>
        <w:rPr>
          <w:sz w:val="21"/>
          <w:szCs w:val="21"/>
        </w:rPr>
      </w:pPr>
      <w:r>
        <w:rPr>
          <w:sz w:val="21"/>
          <w:szCs w:val="21"/>
        </w:rPr>
        <w:t xml:space="preserve">评标委</w:t>
      </w:r>
      <w:r>
        <w:rPr>
          <w:sz w:val="21"/>
          <w:szCs w:val="21"/>
        </w:rPr>
        <w:t xml:space="preserve">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pStyle w:val="952"/>
        <w:numPr>
          <w:ilvl w:val="1"/>
          <w:numId w:val="31"/>
        </w:numPr>
        <w:spacing w:line="400" w:lineRule="exact"/>
        <w:tabs>
          <w:tab w:val="left" w:pos="540" w:leader="none"/>
        </w:tabs>
        <w:rPr>
          <w:sz w:val="21"/>
          <w:szCs w:val="21"/>
        </w:rPr>
      </w:pPr>
      <w:r>
        <w:rPr>
          <w:sz w:val="21"/>
          <w:szCs w:val="21"/>
        </w:rPr>
        <w:t xml:space="preserve">对不同文字文本投标文件的解释发生异议的，以中文文本为准。</w:t>
      </w:r>
      <w:r/>
    </w:p>
    <w:p>
      <w:pPr>
        <w:pStyle w:val="952"/>
        <w:numPr>
          <w:ilvl w:val="1"/>
          <w:numId w:val="31"/>
        </w:numPr>
        <w:spacing w:line="400" w:lineRule="exact"/>
        <w:tabs>
          <w:tab w:val="left" w:pos="540" w:leader="none"/>
        </w:tabs>
        <w:rPr>
          <w:sz w:val="21"/>
          <w:szCs w:val="21"/>
        </w:rPr>
      </w:pPr>
      <w:r>
        <w:rPr>
          <w:sz w:val="21"/>
          <w:szCs w:val="21"/>
        </w:rPr>
        <w:t xml:space="preserve">评标委员会对投标文件的判定，只依据投标内容本身，不依靠开标后的任何外来证明。</w:t>
      </w:r>
      <w:r/>
    </w:p>
    <w:p>
      <w:pPr>
        <w:pStyle w:val="952"/>
        <w:numPr>
          <w:ilvl w:val="1"/>
          <w:numId w:val="31"/>
        </w:numPr>
        <w:spacing w:line="400" w:lineRule="exact"/>
        <w:tabs>
          <w:tab w:val="left" w:pos="540" w:leader="none"/>
        </w:tabs>
        <w:rPr>
          <w:sz w:val="21"/>
          <w:szCs w:val="21"/>
        </w:rPr>
      </w:pPr>
      <w:r>
        <w:rPr>
          <w:sz w:val="21"/>
          <w:szCs w:val="21"/>
        </w:rPr>
        <w:t xml:space="preserve">评标委员会将拒绝被确定为非实质性响应的投标，投标人不能通过修正或撤销不符之处而使其投标成为实质性响应的投标</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投标的澄清</w:t>
      </w:r>
      <w:r/>
    </w:p>
    <w:p>
      <w:pPr>
        <w:pStyle w:val="952"/>
        <w:numPr>
          <w:ilvl w:val="1"/>
          <w:numId w:val="32"/>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w:t>
      </w:r>
      <w:r>
        <w:rPr>
          <w:rFonts w:hint="eastAsia"/>
          <w:sz w:val="21"/>
          <w:szCs w:val="21"/>
        </w:rPr>
        <w:t xml:space="preserve">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无效投标和废标</w:t>
      </w:r>
      <w:r/>
    </w:p>
    <w:p>
      <w:pPr>
        <w:pStyle w:val="952"/>
        <w:numPr>
          <w:ilvl w:val="1"/>
          <w:numId w:val="33"/>
        </w:numPr>
        <w:spacing w:line="400" w:lineRule="exact"/>
        <w:tabs>
          <w:tab w:val="left" w:pos="540" w:leader="none"/>
        </w:tabs>
        <w:rPr>
          <w:rFonts w:cs="宋体"/>
          <w:sz w:val="21"/>
          <w:szCs w:val="21"/>
        </w:rPr>
      </w:pPr>
      <w:r>
        <w:rPr>
          <w:rFonts w:cs="宋体"/>
          <w:sz w:val="21"/>
          <w:szCs w:val="21"/>
        </w:rPr>
        <w:t xml:space="preserve">无效投标的具体情形有：</w:t>
      </w:r>
      <w:r/>
    </w:p>
    <w:p>
      <w:pPr>
        <w:pStyle w:val="952"/>
        <w:ind w:left="709"/>
        <w:spacing w:line="400" w:lineRule="exact"/>
        <w:rPr>
          <w:rFonts w:cs="宋体"/>
          <w:sz w:val="21"/>
          <w:szCs w:val="21"/>
        </w:rPr>
      </w:pPr>
      <w:r>
        <w:rPr>
          <w:rFonts w:cs="宋体"/>
          <w:sz w:val="21"/>
          <w:szCs w:val="21"/>
        </w:rPr>
        <w:t xml:space="preserve">30.1.1投标文件未按招标文件要求签署、盖章或电子签章的；</w:t>
      </w:r>
      <w:r/>
    </w:p>
    <w:p>
      <w:pPr>
        <w:pStyle w:val="952"/>
        <w:ind w:left="709"/>
        <w:spacing w:line="400" w:lineRule="exact"/>
        <w:rPr>
          <w:rFonts w:cs="宋体"/>
          <w:sz w:val="21"/>
          <w:szCs w:val="21"/>
        </w:rPr>
      </w:pPr>
      <w:r>
        <w:rPr>
          <w:rFonts w:cs="宋体"/>
          <w:sz w:val="21"/>
          <w:szCs w:val="21"/>
        </w:rPr>
        <w:t xml:space="preserve">30.1.2不具备招标文件中规定的资格要求的；</w:t>
      </w:r>
      <w:r/>
    </w:p>
    <w:p>
      <w:pPr>
        <w:pStyle w:val="952"/>
        <w:ind w:left="709"/>
        <w:spacing w:line="400" w:lineRule="exact"/>
        <w:rPr>
          <w:rFonts w:cs="宋体"/>
          <w:sz w:val="21"/>
          <w:szCs w:val="21"/>
        </w:rPr>
      </w:pPr>
      <w:r>
        <w:rPr>
          <w:rFonts w:cs="宋体"/>
          <w:sz w:val="21"/>
          <w:szCs w:val="21"/>
        </w:rPr>
        <w:t xml:space="preserve">30.1.3报价超过招标文件中规定的预算金额或者最高限价的；</w:t>
      </w:r>
      <w:r/>
    </w:p>
    <w:p>
      <w:pPr>
        <w:pStyle w:val="952"/>
        <w:ind w:left="709"/>
        <w:spacing w:line="400" w:lineRule="exact"/>
        <w:rPr>
          <w:rFonts w:cs="宋体"/>
          <w:sz w:val="21"/>
          <w:szCs w:val="21"/>
        </w:rPr>
      </w:pPr>
      <w:r>
        <w:rPr>
          <w:rFonts w:cs="宋体"/>
          <w:sz w:val="21"/>
          <w:szCs w:val="21"/>
        </w:rPr>
        <w:t xml:space="preserve">30</w:t>
      </w:r>
      <w:r>
        <w:rPr>
          <w:rFonts w:cs="宋体"/>
          <w:sz w:val="21"/>
          <w:szCs w:val="21"/>
        </w:rPr>
        <w:t xml:space="preserve">.1.4不同投标人的投标文件使用同一台电脑编制的；</w:t>
      </w:r>
      <w:r/>
    </w:p>
    <w:p>
      <w:pPr>
        <w:pStyle w:val="952"/>
        <w:ind w:left="709"/>
        <w:spacing w:line="400" w:lineRule="exact"/>
        <w:rPr>
          <w:rFonts w:cs="宋体"/>
          <w:sz w:val="21"/>
          <w:szCs w:val="21"/>
        </w:rPr>
      </w:pPr>
      <w:r>
        <w:rPr>
          <w:rFonts w:cs="宋体"/>
          <w:sz w:val="21"/>
          <w:szCs w:val="21"/>
        </w:rPr>
        <w:t xml:space="preserve">30.1.5投标文件含有采购人不能接受的附加条件的；</w:t>
      </w:r>
      <w:r/>
    </w:p>
    <w:p>
      <w:pPr>
        <w:pStyle w:val="952"/>
        <w:ind w:left="709"/>
        <w:spacing w:line="400" w:lineRule="exact"/>
        <w:rPr>
          <w:rFonts w:cs="宋体"/>
          <w:sz w:val="21"/>
          <w:szCs w:val="21"/>
        </w:rPr>
      </w:pPr>
      <w:r>
        <w:rPr>
          <w:rFonts w:cs="宋体"/>
          <w:sz w:val="21"/>
          <w:szCs w:val="21"/>
        </w:rPr>
        <w:t xml:space="preserve">30.1.6法律、法规和招标文件规定的其他无效情形。</w:t>
      </w:r>
      <w:r/>
    </w:p>
    <w:p>
      <w:pPr>
        <w:pStyle w:val="952"/>
        <w:numPr>
          <w:ilvl w:val="1"/>
          <w:numId w:val="33"/>
        </w:numPr>
        <w:spacing w:line="400" w:lineRule="exact"/>
        <w:tabs>
          <w:tab w:val="left" w:pos="540" w:leader="none"/>
        </w:tabs>
        <w:rPr>
          <w:rFonts w:cs="宋体"/>
          <w:sz w:val="21"/>
          <w:szCs w:val="21"/>
        </w:rPr>
      </w:pPr>
      <w:r>
        <w:rPr>
          <w:rFonts w:cs="宋体"/>
          <w:sz w:val="21"/>
          <w:szCs w:val="21"/>
        </w:rPr>
        <w:t xml:space="preserve">在招标采购中，出现下列情形之一的，应予废标：</w:t>
      </w:r>
      <w:r/>
    </w:p>
    <w:p>
      <w:pPr>
        <w:pStyle w:val="952"/>
        <w:ind w:left="709"/>
        <w:spacing w:line="400" w:lineRule="exact"/>
        <w:rPr>
          <w:rFonts w:cs="宋体"/>
          <w:sz w:val="21"/>
          <w:szCs w:val="21"/>
        </w:rPr>
      </w:pPr>
      <w:r>
        <w:rPr>
          <w:rFonts w:cs="宋体"/>
          <w:sz w:val="21"/>
          <w:szCs w:val="21"/>
        </w:rPr>
        <w:t xml:space="preserve">30.2.1符合专业条件的供应商或者对招标文件作实质响应的供应商不足三家的；</w:t>
      </w:r>
      <w:r/>
    </w:p>
    <w:p>
      <w:pPr>
        <w:pStyle w:val="952"/>
        <w:ind w:left="709"/>
        <w:spacing w:line="400" w:lineRule="exact"/>
        <w:rPr>
          <w:rFonts w:cs="宋体"/>
          <w:sz w:val="21"/>
          <w:szCs w:val="21"/>
        </w:rPr>
      </w:pPr>
      <w:r>
        <w:rPr>
          <w:rFonts w:cs="宋体"/>
          <w:sz w:val="21"/>
          <w:szCs w:val="21"/>
        </w:rPr>
        <w:t xml:space="preserve">30.2.2出现影响采购公正的违法、违规行为的；</w:t>
      </w:r>
      <w:r/>
    </w:p>
    <w:p>
      <w:pPr>
        <w:pStyle w:val="952"/>
        <w:ind w:left="709"/>
        <w:spacing w:line="400" w:lineRule="exact"/>
        <w:rPr>
          <w:rFonts w:cs="宋体"/>
          <w:sz w:val="21"/>
          <w:szCs w:val="21"/>
        </w:rPr>
      </w:pPr>
      <w:r>
        <w:rPr>
          <w:rFonts w:cs="宋体"/>
          <w:sz w:val="21"/>
          <w:szCs w:val="21"/>
        </w:rPr>
        <w:t xml:space="preserve">30.2.3投标人的报价均超过了采购预算，采购人不能支付的；</w:t>
      </w:r>
      <w:r/>
    </w:p>
    <w:p>
      <w:pPr>
        <w:pStyle w:val="952"/>
        <w:ind w:left="709"/>
        <w:spacing w:line="400" w:lineRule="exact"/>
        <w:rPr>
          <w:rFonts w:cs="宋体"/>
          <w:sz w:val="21"/>
          <w:szCs w:val="21"/>
        </w:rPr>
      </w:pPr>
      <w:r>
        <w:rPr>
          <w:rFonts w:cs="宋体"/>
          <w:sz w:val="21"/>
          <w:szCs w:val="21"/>
        </w:rPr>
        <w:t xml:space="preserve">30.2.4因重大变故，采购任务取消的。</w:t>
      </w:r>
      <w:r/>
    </w:p>
    <w:p>
      <w:pPr>
        <w:pStyle w:val="952"/>
        <w:numPr>
          <w:ilvl w:val="1"/>
          <w:numId w:val="33"/>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投标文件的评价和比较</w:t>
      </w:r>
      <w:r/>
    </w:p>
    <w:p>
      <w:pPr>
        <w:pStyle w:val="952"/>
        <w:numPr>
          <w:ilvl w:val="1"/>
          <w:numId w:val="34"/>
        </w:numPr>
        <w:spacing w:line="400" w:lineRule="exact"/>
        <w:tabs>
          <w:tab w:val="left" w:pos="540" w:leader="none"/>
        </w:tabs>
        <w:rPr>
          <w:rFonts w:hint="eastAsia" w:cs="宋体"/>
          <w:sz w:val="21"/>
          <w:szCs w:val="21"/>
        </w:rPr>
      </w:pPr>
      <w:r>
        <w:rPr>
          <w:rFonts w:hint="eastAsia" w:cs="宋体"/>
          <w:sz w:val="21"/>
          <w:szCs w:val="21"/>
        </w:rPr>
        <w:t xml:space="preserve">评标委员会按</w:t>
      </w:r>
      <w:r>
        <w:rPr>
          <w:rFonts w:hint="eastAsia" w:cs="宋体"/>
          <w:sz w:val="21"/>
          <w:szCs w:val="21"/>
        </w:rPr>
        <w:t xml:space="preserve">招标文件规定的评标方法和标准，仅对资格性检查和符合性检查合格的投标文件进行商务和技术评估，综合比较与评价。</w:t>
      </w:r>
      <w:r/>
    </w:p>
    <w:p>
      <w:pPr>
        <w:pStyle w:val="952"/>
        <w:numPr>
          <w:ilvl w:val="1"/>
          <w:numId w:val="34"/>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p>
    <w:p>
      <w:pPr>
        <w:pStyle w:val="952"/>
        <w:numPr>
          <w:ilvl w:val="1"/>
          <w:numId w:val="34"/>
        </w:numPr>
        <w:spacing w:line="400" w:lineRule="exact"/>
        <w:tabs>
          <w:tab w:val="left" w:pos="540" w:leader="none"/>
        </w:tabs>
        <w:rPr>
          <w:rFonts w:hint="eastAsia" w:cs="宋体"/>
          <w:sz w:val="21"/>
          <w:szCs w:val="21"/>
        </w:rPr>
      </w:pPr>
      <w:r>
        <w:rPr>
          <w:rFonts w:hint="eastAsia" w:cs="宋体"/>
          <w:sz w:val="21"/>
          <w:szCs w:val="21"/>
        </w:rPr>
        <w:t xml:space="preserve">最低的投标报价或最高的折扣比例是中标的重要条件，但不是唯一条件。</w:t>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签订合同</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中标单位的确认</w:t>
      </w:r>
      <w:r/>
    </w:p>
    <w:p>
      <w:pPr>
        <w:pStyle w:val="952"/>
        <w:numPr>
          <w:ilvl w:val="1"/>
          <w:numId w:val="35"/>
        </w:numPr>
        <w:spacing w:line="400" w:lineRule="exact"/>
        <w:tabs>
          <w:tab w:val="left" w:pos="540" w:leader="none"/>
        </w:tabs>
        <w:rPr>
          <w:rFonts w:hint="eastAsia"/>
          <w:sz w:val="21"/>
          <w:szCs w:val="21"/>
        </w:rPr>
      </w:pPr>
      <w:r>
        <w:rPr>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者重新进行招标</w:t>
      </w:r>
      <w:r>
        <w:rPr>
          <w:rFonts w:hint="eastAsia"/>
          <w:sz w:val="21"/>
          <w:szCs w:val="21"/>
        </w:rPr>
        <w:t xml:space="preserve">。</w:t>
      </w:r>
      <w:r/>
    </w:p>
    <w:p>
      <w:pPr>
        <w:pStyle w:val="952"/>
        <w:numPr>
          <w:ilvl w:val="1"/>
          <w:numId w:val="35"/>
        </w:numPr>
        <w:spacing w:line="400" w:lineRule="exact"/>
        <w:tabs>
          <w:tab w:val="left" w:pos="540" w:leader="none"/>
        </w:tabs>
        <w:rPr>
          <w:sz w:val="21"/>
          <w:szCs w:val="21"/>
        </w:rPr>
      </w:pPr>
      <w:r>
        <w:rPr>
          <w:rFonts w:hint="eastAsia"/>
          <w:sz w:val="21"/>
          <w:szCs w:val="21"/>
        </w:rPr>
        <w:t xml:space="preserve">经评标委员会评审并确定中标供应商后，招标</w:t>
      </w:r>
      <w:r>
        <w:rPr>
          <w:rFonts w:hint="eastAsia"/>
          <w:sz w:val="21"/>
          <w:szCs w:val="21"/>
        </w:rPr>
        <w:t xml:space="preserve">采购单位将在规定的时间内将中标结果在相关媒体上予以公示。</w:t>
      </w:r>
      <w:r>
        <w:rPr>
          <w:sz w:val="21"/>
          <w:szCs w:val="21"/>
        </w:rPr>
      </w:r>
      <w:r/>
    </w:p>
    <w:p>
      <w:pPr>
        <w:pStyle w:val="952"/>
        <w:numPr>
          <w:ilvl w:val="1"/>
          <w:numId w:val="35"/>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合同授予标准</w:t>
      </w:r>
      <w:r/>
    </w:p>
    <w:p>
      <w:pPr>
        <w:pStyle w:val="952"/>
        <w:numPr>
          <w:ilvl w:val="1"/>
          <w:numId w:val="36"/>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w:t>
      </w:r>
      <w:r>
        <w:rPr>
          <w:rFonts w:hint="eastAsia"/>
          <w:sz w:val="21"/>
          <w:szCs w:val="21"/>
        </w:rPr>
        <w:t xml:space="preserve">规定评选出的投标人。确定为中标的投标人必须具有实施本合同的能力和资源。</w:t>
      </w:r>
      <w:r/>
    </w:p>
    <w:p>
      <w:pPr>
        <w:pStyle w:val="952"/>
        <w:numPr>
          <w:ilvl w:val="1"/>
          <w:numId w:val="36"/>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p>
    <w:p>
      <w:pPr>
        <w:pStyle w:val="952"/>
        <w:numPr>
          <w:ilvl w:val="1"/>
          <w:numId w:val="36"/>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中标通</w:t>
      </w:r>
      <w:r>
        <w:rPr>
          <w:rFonts w:hint="eastAsia" w:cs="宋体"/>
          <w:b/>
          <w:sz w:val="21"/>
          <w:szCs w:val="21"/>
        </w:rPr>
        <w:t xml:space="preserve">知书</w:t>
      </w:r>
      <w:r/>
    </w:p>
    <w:p>
      <w:pPr>
        <w:pStyle w:val="952"/>
        <w:numPr>
          <w:ilvl w:val="1"/>
          <w:numId w:val="37"/>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52"/>
        <w:numPr>
          <w:ilvl w:val="1"/>
          <w:numId w:val="37"/>
        </w:numPr>
        <w:spacing w:line="400" w:lineRule="exact"/>
        <w:tabs>
          <w:tab w:val="left" w:pos="540" w:leader="none"/>
        </w:tabs>
        <w:rPr>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rPr>
          <w:sz w:val="21"/>
          <w:szCs w:val="21"/>
        </w:rPr>
      </w:r>
      <w:r/>
    </w:p>
    <w:p>
      <w:pPr>
        <w:pStyle w:val="952"/>
        <w:numPr>
          <w:ilvl w:val="1"/>
          <w:numId w:val="37"/>
        </w:numPr>
        <w:spacing w:line="400" w:lineRule="exact"/>
        <w:tabs>
          <w:tab w:val="left" w:pos="540" w:leader="none"/>
        </w:tabs>
        <w:rPr>
          <w:rFonts w:hint="eastAsia"/>
          <w:sz w:val="21"/>
          <w:szCs w:val="21"/>
        </w:rPr>
      </w:pPr>
      <w:r>
        <w:rPr>
          <w:rFonts w:hint="eastAsia"/>
          <w:sz w:val="21"/>
          <w:szCs w:val="21"/>
        </w:rPr>
        <w:t xml:space="preserve">中标通知书将成为合同的组成部分。</w:t>
      </w:r>
      <w:r/>
    </w:p>
    <w:p>
      <w:pPr>
        <w:pStyle w:val="952"/>
        <w:numPr>
          <w:ilvl w:val="1"/>
          <w:numId w:val="37"/>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履约保证金</w:t>
      </w:r>
      <w:r/>
    </w:p>
    <w:p>
      <w:pPr>
        <w:pStyle w:val="952"/>
        <w:numPr>
          <w:ilvl w:val="1"/>
          <w:numId w:val="38"/>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合同的签订</w:t>
      </w:r>
      <w:r/>
    </w:p>
    <w:p>
      <w:pPr>
        <w:pStyle w:val="952"/>
        <w:numPr>
          <w:ilvl w:val="1"/>
          <w:numId w:val="39"/>
        </w:numPr>
        <w:spacing w:line="400" w:lineRule="exact"/>
        <w:tabs>
          <w:tab w:val="left" w:pos="540" w:leader="none"/>
        </w:tabs>
        <w:rPr>
          <w:rFonts w:hint="eastAsia" w:cs="宋体"/>
          <w:sz w:val="21"/>
          <w:szCs w:val="21"/>
        </w:rPr>
      </w:pPr>
      <w:r>
        <w:rPr>
          <w:rFonts w:hint="eastAsia" w:cs="宋体"/>
          <w:sz w:val="21"/>
          <w:szCs w:val="21"/>
        </w:rPr>
        <w:t xml:space="preserve">中标供应商应按中</w:t>
      </w:r>
      <w:r>
        <w:rPr>
          <w:rFonts w:hint="eastAsia" w:cs="宋体"/>
          <w:sz w:val="21"/>
          <w:szCs w:val="21"/>
        </w:rPr>
        <w:t xml:space="preserve">标通知书中规定的时间和地点，由法定代表人或代理人与采购人代表签订合同。否则按放弃中标权处理。</w:t>
      </w:r>
      <w:r/>
    </w:p>
    <w:p>
      <w:pPr>
        <w:pStyle w:val="952"/>
        <w:numPr>
          <w:ilvl w:val="1"/>
          <w:numId w:val="24"/>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p>
    <w:p>
      <w:pPr>
        <w:pStyle w:val="952"/>
        <w:numPr>
          <w:ilvl w:val="1"/>
          <w:numId w:val="24"/>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其他事项</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招标代理服务费</w:t>
      </w:r>
      <w:r/>
    </w:p>
    <w:p>
      <w:pPr>
        <w:pStyle w:val="952"/>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中标供应商须按前附表的规定支付招标代理服务费，该费用应在领取中标通知书时付清。</w:t>
      </w:r>
      <w:r/>
    </w:p>
    <w:p>
      <w:pPr>
        <w:pStyle w:val="952"/>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中标供应商如果未按规定支付招标代理服务费，招标采购单位将不</w:t>
      </w:r>
      <w:r>
        <w:rPr>
          <w:rFonts w:hint="eastAsia" w:cs="宋体"/>
          <w:sz w:val="21"/>
          <w:szCs w:val="21"/>
        </w:rPr>
        <w:t xml:space="preserve">予退还其投标保证金，并保留诉讼的权利。</w:t>
      </w:r>
      <w:r/>
    </w:p>
    <w:p>
      <w:pPr>
        <w:pStyle w:val="952"/>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sz w:val="21"/>
          <w:szCs w:val="21"/>
        </w:rPr>
        <w:t xml:space="preserve">监督</w:t>
      </w:r>
      <w:r>
        <w:rPr>
          <w:rFonts w:hint="eastAsia" w:cs="宋体"/>
          <w:b/>
          <w:bCs/>
          <w:sz w:val="21"/>
          <w:szCs w:val="21"/>
        </w:rPr>
      </w:r>
      <w:r/>
    </w:p>
    <w:p>
      <w:pPr>
        <w:pStyle w:val="952"/>
        <w:numPr>
          <w:ilvl w:val="1"/>
          <w:numId w:val="41"/>
        </w:numPr>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未尽事宜</w:t>
      </w:r>
      <w:r/>
    </w:p>
    <w:p>
      <w:pPr>
        <w:pStyle w:val="952"/>
        <w:numPr>
          <w:ilvl w:val="1"/>
          <w:numId w:val="42"/>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p>
    <w:p>
      <w:pPr>
        <w:pStyle w:val="953"/>
        <w:numPr>
          <w:ilvl w:val="0"/>
          <w:numId w:val="0"/>
        </w:numPr>
        <w:jc w:val="center"/>
        <w:tabs>
          <w:tab w:val="left" w:pos="432" w:leader="none"/>
        </w:tabs>
        <w:rPr>
          <w:rFonts w:hint="eastAsia" w:cs="宋体"/>
          <w:b w:val="0"/>
          <w:bCs/>
          <w:szCs w:val="44"/>
        </w:rPr>
      </w:pPr>
      <w:r>
        <w:rPr>
          <w:rFonts w:hint="eastAsia" w:cs="宋体"/>
          <w:b w:val="0"/>
          <w:bCs/>
          <w:szCs w:val="44"/>
        </w:rPr>
        <w:br w:type="page" w:clear="all"/>
      </w:r>
      <w:r>
        <w:rPr>
          <w:rFonts w:hint="eastAsia" w:ascii="宋体" w:hAnsi="宋体" w:cs="宋体"/>
        </w:rPr>
        <w:t xml:space="preserve">第三章 </w:t>
      </w:r>
      <w:bookmarkStart w:id="6" w:name="投标文件格式"/>
      <w:r>
        <w:rPr>
          <w:rFonts w:hint="eastAsia" w:ascii="宋体" w:hAnsi="宋体" w:cs="宋体"/>
        </w:rPr>
        <w:t xml:space="preserve">投标文件格式</w:t>
      </w:r>
      <w:bookmarkEnd w:id="6"/>
      <w:r>
        <w:rPr>
          <w:rFonts w:hint="eastAsia" w:cs="宋体"/>
          <w:b w:val="0"/>
          <w:bCs/>
          <w:szCs w:val="44"/>
        </w:rPr>
      </w:r>
      <w:r/>
    </w:p>
    <w:p>
      <w:pPr>
        <w:pStyle w:val="952"/>
        <w:ind w:firstLine="422"/>
        <w:spacing w:line="400" w:lineRule="exact"/>
        <w:rPr>
          <w:rFonts w:hint="eastAsia" w:cs="宋体"/>
          <w:b/>
          <w:bCs/>
          <w:sz w:val="21"/>
          <w:szCs w:val="21"/>
        </w:rPr>
      </w:pPr>
      <w:r>
        <w:rPr>
          <w:rFonts w:hint="eastAsia" w:cs="宋体"/>
          <w:b/>
          <w:bCs/>
          <w:sz w:val="21"/>
          <w:szCs w:val="21"/>
        </w:rPr>
        <w:t xml:space="preserve">说明：</w:t>
      </w:r>
      <w:r/>
    </w:p>
    <w:p>
      <w:pPr>
        <w:pStyle w:val="952"/>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p>
    <w:p>
      <w:pPr>
        <w:pStyle w:val="952"/>
        <w:ind w:firstLine="420"/>
        <w:spacing w:line="400" w:lineRule="exact"/>
        <w:rPr>
          <w:rFonts w:hint="eastAsia" w:cs="宋体"/>
          <w:sz w:val="21"/>
          <w:szCs w:val="21"/>
        </w:rPr>
      </w:pPr>
      <w:r>
        <w:rPr>
          <w:rFonts w:hint="eastAsia" w:cs="宋体"/>
          <w:sz w:val="21"/>
          <w:szCs w:val="21"/>
        </w:rPr>
      </w:r>
      <w:r/>
    </w:p>
    <w:p>
      <w:pPr>
        <w:pStyle w:val="952"/>
        <w:rPr>
          <w:rFonts w:hint="eastAsia" w:cs="宋体"/>
          <w:b/>
          <w:sz w:val="21"/>
          <w:szCs w:val="21"/>
        </w:rPr>
      </w:pPr>
      <w:r>
        <w:rPr>
          <w:rFonts w:hint="eastAsia" w:cs="宋体"/>
          <w:b/>
          <w:sz w:val="21"/>
          <w:szCs w:val="21"/>
        </w:rPr>
        <w:br w:type="page" w:clear="all"/>
        <w:t xml:space="preserve">附件1、投标函</w:t>
      </w:r>
      <w:r/>
    </w:p>
    <w:p>
      <w:pPr>
        <w:pStyle w:val="952"/>
        <w:ind w:left="480"/>
        <w:rPr>
          <w:rFonts w:hint="eastAsia" w:cs="宋体"/>
          <w:sz w:val="21"/>
          <w:szCs w:val="21"/>
        </w:rPr>
      </w:pPr>
      <w:r>
        <w:rPr>
          <w:rFonts w:hint="eastAsia" w:cs="宋体"/>
          <w:sz w:val="21"/>
          <w:szCs w:val="21"/>
        </w:rPr>
      </w:r>
      <w:r/>
    </w:p>
    <w:p>
      <w:pPr>
        <w:pStyle w:val="1003"/>
        <w:ind w:left="0" w:firstLine="0"/>
        <w:rPr>
          <w:rFonts w:hint="eastAsia" w:ascii="宋体" w:hAnsi="宋体" w:cs="宋体"/>
          <w:bCs/>
          <w:sz w:val="21"/>
          <w:szCs w:val="21"/>
        </w:rPr>
      </w:pPr>
      <w:r>
        <w:rPr>
          <w:rFonts w:hint="eastAsia" w:ascii="宋体" w:hAnsi="宋体" w:cs="宋体"/>
          <w:bCs/>
          <w:sz w:val="21"/>
          <w:szCs w:val="21"/>
        </w:rPr>
        <w:t xml:space="preserve">苏州乐族工程咨询有限公司：</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rPr>
        <w:t xml:space="preserve">JSZC-320585-SZLZ-G2024-</w:t>
      </w:r>
      <w:r>
        <w:rPr>
          <w:rFonts w:hint="eastAsia" w:ascii="宋体" w:hAnsi="宋体" w:cs="宋体"/>
          <w:sz w:val="21"/>
          <w:szCs w:val="21"/>
          <w:u w:val="single"/>
        </w:rPr>
        <w:t xml:space="preserve">0016</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项目招标文件，决定参加贵单位组织的本项目投标。</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1003"/>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p>
    <w:p>
      <w:pPr>
        <w:pStyle w:val="1188"/>
        <w:ind w:firstLine="525"/>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p>
    <w:p>
      <w:pPr>
        <w:pStyle w:val="1188"/>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p>
    <w:p>
      <w:pPr>
        <w:pStyle w:val="1188"/>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p>
    <w:p>
      <w:pPr>
        <w:pStyle w:val="1188"/>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w:t>
      </w:r>
      <w:r>
        <w:rPr>
          <w:rFonts w:hint="eastAsia" w:hAnsi="宋体" w:eastAsia="宋体" w:cs="宋体"/>
          <w:sz w:val="21"/>
          <w:szCs w:val="21"/>
        </w:rPr>
        <w:t xml:space="preserve">遵守招标公告及招标文件中所列的收费标准。</w:t>
      </w:r>
      <w:r/>
    </w:p>
    <w:p>
      <w:pPr>
        <w:pStyle w:val="1188"/>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p>
    <w:p>
      <w:pPr>
        <w:pStyle w:val="1188"/>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8、我们承诺该项投标在开标后的全过程中保持有效，不作任何更改和变动。</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（盖章）</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真：</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p>
    <w:p>
      <w:pPr>
        <w:pStyle w:val="952"/>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p>
    <w:p>
      <w:pPr>
        <w:pStyle w:val="967"/>
        <w:rPr>
          <w:rFonts w:hint="eastAsia" w:ascii="宋体" w:hAnsi="宋体" w:eastAsia="宋体" w:cs="宋体"/>
          <w:sz w:val="21"/>
          <w:szCs w:val="21"/>
        </w:rPr>
      </w:pPr>
      <w:r>
        <w:rPr>
          <w:rFonts w:hint="eastAsia" w:ascii="宋体" w:hAnsi="宋体" w:eastAsia="宋体" w:cs="宋体"/>
          <w:sz w:val="21"/>
          <w:szCs w:val="21"/>
        </w:rPr>
      </w:r>
      <w:r/>
    </w:p>
    <w:p>
      <w:pPr>
        <w:pStyle w:val="967"/>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w:t>
      </w:r>
      <w:r>
        <w:rPr>
          <w:rFonts w:hint="eastAsia" w:ascii="宋体" w:hAnsi="宋体" w:eastAsia="宋体" w:cs="宋体"/>
          <w:b/>
          <w:sz w:val="21"/>
          <w:szCs w:val="21"/>
        </w:rPr>
        <w:t xml:space="preserve">委托书</w:t>
      </w:r>
      <w:r/>
    </w:p>
    <w:p>
      <w:pPr>
        <w:pStyle w:val="967"/>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96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苏州乐族工程咨询有限公司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 xml:space="preserve">JSZC-320585-SZLZ-G2024-0016</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号的招标活动。代理人在开标、评标、合同谈判过程中所签署的一切文件和处理与这有关的一切事务，我均予以承认。</w:t>
      </w:r>
      <w:r/>
    </w:p>
    <w:p>
      <w:pPr>
        <w:pStyle w:val="96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96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96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967"/>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p>
    <w:p>
      <w:pPr>
        <w:pStyle w:val="96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96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p>
    <w:p>
      <w:pPr>
        <w:pStyle w:val="967"/>
        <w:jc w:val="right"/>
        <w:rPr>
          <w:rFonts w:hint="eastAsia" w:ascii="宋体" w:hAnsi="宋体" w:eastAsia="宋体" w:cs="宋体"/>
          <w:sz w:val="21"/>
          <w:szCs w:val="21"/>
        </w:rPr>
      </w:pPr>
      <w:r>
        <w:rPr>
          <w:rFonts w:hint="eastAsia" w:ascii="宋体" w:hAnsi="宋体" w:eastAsia="宋体" w:cs="宋体"/>
          <w:sz w:val="21"/>
          <w:szCs w:val="21"/>
        </w:rPr>
      </w:r>
      <w:r/>
    </w:p>
    <w:p>
      <w:pPr>
        <w:pStyle w:val="967"/>
        <w:jc w:val="right"/>
        <w:rPr>
          <w:rFonts w:hint="eastAsia" w:ascii="宋体" w:hAnsi="宋体" w:eastAsia="宋体" w:cs="宋体"/>
          <w:sz w:val="21"/>
          <w:szCs w:val="21"/>
        </w:rPr>
      </w:pPr>
      <w:r>
        <w:rPr>
          <w:rFonts w:hint="eastAsia" w:ascii="宋体" w:hAnsi="宋体" w:eastAsia="宋体" w:cs="宋体"/>
          <w:sz w:val="21"/>
          <w:szCs w:val="21"/>
        </w:rPr>
      </w:r>
      <w:r/>
    </w:p>
    <w:p>
      <w:pPr>
        <w:pStyle w:val="967"/>
        <w:jc w:val="right"/>
        <w:rPr>
          <w:rFonts w:hint="eastAsia" w:ascii="宋体" w:hAnsi="宋体" w:eastAsia="宋体" w:cs="宋体"/>
          <w:sz w:val="21"/>
          <w:szCs w:val="21"/>
        </w:rPr>
      </w:pPr>
      <w:r>
        <w:rPr>
          <w:rFonts w:hint="eastAsia" w:ascii="宋体" w:hAnsi="宋体" w:eastAsia="宋体" w:cs="宋体"/>
          <w:sz w:val="21"/>
          <w:szCs w:val="21"/>
        </w:rPr>
      </w:r>
      <w:r/>
    </w:p>
    <w:p>
      <w:pPr>
        <w:pStyle w:val="967"/>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p>
    <w:p>
      <w:pPr>
        <w:pStyle w:val="952"/>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p>
    <w:p>
      <w:pPr>
        <w:pStyle w:val="952"/>
        <w:jc w:val="center"/>
        <w:spacing w:line="480" w:lineRule="auto"/>
        <w:rPr>
          <w:rFonts w:hint="eastAsia" w:cs="宋体"/>
          <w:b/>
          <w:sz w:val="21"/>
          <w:szCs w:val="21"/>
        </w:rPr>
      </w:pPr>
      <w:r>
        <w:rPr>
          <w:rFonts w:hint="eastAsia" w:cs="宋体"/>
          <w:b/>
          <w:sz w:val="21"/>
          <w:szCs w:val="21"/>
        </w:rPr>
        <w:t xml:space="preserve">开标一览表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W w:w="1951" w:type="dxa"/>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项目名称</w:t>
            </w:r>
            <w:r/>
          </w:p>
        </w:tc>
        <w:tc>
          <w:tcPr>
            <w:tcW w:w="8080" w:type="dxa"/>
            <w:vAlign w:val="center"/>
            <w:textDirection w:val="lrTb"/>
            <w:noWrap w:val="false"/>
          </w:tcPr>
          <w:p>
            <w:pPr>
              <w:pStyle w:val="952"/>
              <w:widowControl/>
              <w:rPr>
                <w:rFonts w:hint="eastAsia" w:cs="宋体"/>
                <w:sz w:val="21"/>
                <w:szCs w:val="21"/>
              </w:rPr>
            </w:pPr>
            <w:r>
              <w:rPr>
                <w:rFonts w:cs="宋体"/>
                <w:sz w:val="21"/>
                <w:szCs w:val="21"/>
              </w:rPr>
              <w:t xml:space="preserve">太仓市城市绿化资源普查</w:t>
            </w:r>
            <w:r>
              <w:rPr>
                <w:rFonts w:hint="eastAsia" w:cs="宋体"/>
                <w:sz w:val="21"/>
                <w:szCs w:val="21"/>
              </w:rPr>
            </w:r>
            <w:r/>
          </w:p>
        </w:tc>
      </w:tr>
      <w:tr>
        <w:trPr>
          <w:trHeight w:val="567"/>
        </w:trPr>
        <w:tc>
          <w:tcPr>
            <w:tcW w:w="1951" w:type="dxa"/>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招标编号</w:t>
            </w:r>
            <w:r/>
          </w:p>
        </w:tc>
        <w:tc>
          <w:tcPr>
            <w:tcW w:w="8080" w:type="dxa"/>
            <w:vAlign w:val="center"/>
            <w:textDirection w:val="lrTb"/>
            <w:noWrap w:val="false"/>
          </w:tcPr>
          <w:p>
            <w:pPr>
              <w:pStyle w:val="952"/>
              <w:widowControl/>
              <w:rPr>
                <w:rFonts w:hint="eastAsia" w:cs="宋体"/>
                <w:sz w:val="21"/>
                <w:szCs w:val="21"/>
              </w:rPr>
            </w:pPr>
            <w:r>
              <w:rPr>
                <w:rFonts w:hint="eastAsia" w:cs="宋体"/>
                <w:sz w:val="21"/>
                <w:szCs w:val="21"/>
              </w:rPr>
              <w:t xml:space="preserve">JSZC-320585-SZLZ-G2024-0016</w:t>
            </w:r>
            <w:r>
              <w:rPr>
                <w:rFonts w:hint="eastAsia" w:cs="宋体"/>
                <w:sz w:val="21"/>
                <w:szCs w:val="21"/>
              </w:rPr>
              <w:t xml:space="preserve"> </w:t>
            </w:r>
            <w:r>
              <w:rPr>
                <w:rFonts w:hint="eastAsia" w:cs="宋体"/>
                <w:sz w:val="21"/>
                <w:szCs w:val="21"/>
              </w:rPr>
            </w:r>
            <w:r/>
          </w:p>
        </w:tc>
      </w:tr>
      <w:tr>
        <w:trPr>
          <w:trHeight w:val="567"/>
        </w:trPr>
        <w:tc>
          <w:tcPr>
            <w:tcW w:w="1951" w:type="dxa"/>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投标报价（元）</w:t>
            </w:r>
            <w:r/>
          </w:p>
        </w:tc>
        <w:tc>
          <w:tcPr>
            <w:tcW w:w="8080" w:type="dxa"/>
            <w:vAlign w:val="center"/>
            <w:textDirection w:val="lrTb"/>
            <w:noWrap w:val="false"/>
          </w:tcPr>
          <w:p>
            <w:pPr>
              <w:pStyle w:val="952"/>
              <w:widowControl/>
              <w:rPr>
                <w:rFonts w:hint="eastAsia" w:cs="宋体"/>
                <w:sz w:val="21"/>
                <w:szCs w:val="21"/>
              </w:rPr>
            </w:pPr>
            <w:r>
              <w:rPr>
                <w:rFonts w:hint="eastAsia" w:cs="宋体"/>
                <w:sz w:val="21"/>
                <w:szCs w:val="21"/>
              </w:rPr>
              <w:t xml:space="preserve">大写：                   （小写： </w:t>
            </w:r>
            <w:r>
              <w:rPr>
                <w:rFonts w:cs="宋体"/>
                <w:sz w:val="21"/>
                <w:szCs w:val="21"/>
              </w:rPr>
              <w:t xml:space="preserve">        </w:t>
            </w:r>
            <w:r>
              <w:rPr>
                <w:rFonts w:cs="宋体"/>
                <w:sz w:val="21"/>
                <w:szCs w:val="21"/>
              </w:rPr>
              <w:t xml:space="preserve"> </w:t>
            </w:r>
            <w:r>
              <w:rPr>
                <w:rFonts w:hint="eastAsia" w:cs="宋体"/>
                <w:sz w:val="21"/>
                <w:szCs w:val="21"/>
              </w:rPr>
              <w:t xml:space="preserve">）</w:t>
            </w:r>
            <w:r>
              <w:rPr>
                <w:rFonts w:hint="eastAsia" w:cs="宋体"/>
                <w:sz w:val="21"/>
                <w:szCs w:val="21"/>
              </w:rPr>
            </w:r>
            <w:r/>
          </w:p>
        </w:tc>
      </w:tr>
      <w:tr>
        <w:trPr>
          <w:trHeight w:val="567"/>
        </w:trPr>
        <w:tc>
          <w:tcPr>
            <w:tcW w:w="1951" w:type="dxa"/>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履行期限</w:t>
            </w:r>
            <w:r/>
          </w:p>
        </w:tc>
        <w:tc>
          <w:tcPr>
            <w:tcW w:w="8080" w:type="dxa"/>
            <w:vAlign w:val="center"/>
            <w:textDirection w:val="lrTb"/>
            <w:noWrap w:val="false"/>
          </w:tcPr>
          <w:p>
            <w:pPr>
              <w:pStyle w:val="952"/>
              <w:widowControl/>
              <w:rPr>
                <w:rFonts w:hint="eastAsia" w:cs="宋体"/>
                <w:sz w:val="21"/>
                <w:szCs w:val="21"/>
              </w:rPr>
            </w:pPr>
            <w:r>
              <w:rPr>
                <w:rFonts w:hint="eastAsia" w:cs="宋体"/>
                <w:sz w:val="21"/>
                <w:szCs w:val="21"/>
              </w:rPr>
            </w:r>
            <w:r/>
          </w:p>
        </w:tc>
      </w:tr>
    </w:tbl>
    <w:p>
      <w:pPr>
        <w:pStyle w:val="952"/>
        <w:ind w:firstLine="420"/>
        <w:jc w:val="left"/>
        <w:spacing w:line="360" w:lineRule="auto"/>
        <w:rPr>
          <w:rFonts w:cs="宋体"/>
          <w:sz w:val="21"/>
          <w:szCs w:val="21"/>
        </w:rPr>
      </w:pPr>
      <w:r>
        <w:rPr>
          <w:rFonts w:cs="宋体"/>
          <w:sz w:val="21"/>
          <w:szCs w:val="21"/>
        </w:rPr>
      </w:r>
      <w:r/>
    </w:p>
    <w:p>
      <w:pPr>
        <w:pStyle w:val="952"/>
        <w:ind w:firstLine="420"/>
        <w:jc w:val="left"/>
        <w:spacing w:line="360" w:lineRule="auto"/>
        <w:rPr>
          <w:rFonts w:hint="eastAsia" w:cs="宋体"/>
          <w:sz w:val="21"/>
          <w:szCs w:val="21"/>
        </w:rPr>
      </w:pPr>
      <w:r>
        <w:rPr>
          <w:rFonts w:hint="eastAsia" w:cs="宋体"/>
          <w:sz w:val="21"/>
          <w:szCs w:val="21"/>
        </w:rPr>
      </w:r>
      <w:r/>
    </w:p>
    <w:p>
      <w:pPr>
        <w:pStyle w:val="952"/>
        <w:ind w:firstLine="420"/>
        <w:jc w:val="left"/>
        <w:spacing w:line="360" w:lineRule="auto"/>
        <w:rPr>
          <w:rFonts w:hint="eastAsia" w:cs="宋体"/>
          <w:sz w:val="21"/>
          <w:szCs w:val="21"/>
        </w:rPr>
      </w:pPr>
      <w:r>
        <w:rPr>
          <w:rFonts w:hint="eastAsia" w:cs="宋体"/>
          <w:sz w:val="21"/>
          <w:szCs w:val="21"/>
        </w:rPr>
        <w:t xml:space="preserve">投标人名称：            （盖章）</w:t>
      </w:r>
      <w:r/>
    </w:p>
    <w:p>
      <w:pPr>
        <w:pStyle w:val="952"/>
        <w:ind w:firstLine="420"/>
        <w:jc w:val="left"/>
        <w:spacing w:line="360" w:lineRule="auto"/>
        <w:rPr>
          <w:rFonts w:hint="eastAsia" w:cs="宋体"/>
          <w:sz w:val="21"/>
          <w:szCs w:val="21"/>
        </w:rPr>
      </w:pPr>
      <w:r>
        <w:rPr>
          <w:rFonts w:hint="eastAsia" w:cs="宋体"/>
          <w:sz w:val="21"/>
          <w:szCs w:val="21"/>
        </w:rPr>
        <w:t xml:space="preserve">法定代表人或代理人（签字或盖章）：</w:t>
      </w:r>
      <w:r/>
    </w:p>
    <w:p>
      <w:pPr>
        <w:pStyle w:val="952"/>
        <w:ind w:firstLine="420"/>
        <w:jc w:val="left"/>
        <w:spacing w:line="360" w:lineRule="auto"/>
        <w:rPr>
          <w:rFonts w:hint="eastAsia" w:cs="宋体"/>
          <w:sz w:val="21"/>
          <w:szCs w:val="21"/>
        </w:rPr>
      </w:pPr>
      <w:r>
        <w:rPr>
          <w:rFonts w:hint="eastAsia" w:cs="宋体"/>
          <w:sz w:val="21"/>
          <w:szCs w:val="21"/>
        </w:rPr>
        <w:t xml:space="preserve">日期：    年    月    日</w:t>
      </w:r>
      <w:r/>
    </w:p>
    <w:p>
      <w:pPr>
        <w:pStyle w:val="952"/>
        <w:spacing w:line="440" w:lineRule="exact"/>
        <w:rPr>
          <w:rFonts w:cs="宋体"/>
          <w:b/>
          <w:sz w:val="21"/>
          <w:szCs w:val="21"/>
        </w:rPr>
      </w:pPr>
      <w:r>
        <w:rPr>
          <w:rFonts w:hint="eastAsia" w:cs="宋体"/>
          <w:b/>
          <w:sz w:val="21"/>
          <w:szCs w:val="21"/>
        </w:rPr>
        <w:br w:type="page" w:clear="all"/>
        <w:t xml:space="preserve">附件4、投标报价分析表</w:t>
      </w:r>
      <w:r>
        <w:rPr>
          <w:rFonts w:cs="宋体"/>
          <w:b/>
          <w:sz w:val="21"/>
          <w:szCs w:val="21"/>
        </w:rPr>
      </w:r>
      <w:r/>
    </w:p>
    <w:p>
      <w:pPr>
        <w:pStyle w:val="952"/>
        <w:ind w:firstLine="422"/>
        <w:jc w:val="center"/>
        <w:spacing w:line="360" w:lineRule="auto"/>
        <w:rPr>
          <w:sz w:val="21"/>
          <w:szCs w:val="21"/>
        </w:rPr>
      </w:pPr>
      <w:r>
        <w:rPr>
          <w:rFonts w:hint="eastAsia" w:cs="宋体"/>
          <w:b/>
          <w:sz w:val="21"/>
          <w:szCs w:val="21"/>
        </w:rPr>
        <w:t xml:space="preserve">投标报价分析表</w:t>
      </w:r>
      <w:r>
        <w:rPr>
          <w:sz w:val="21"/>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58"/>
        <w:gridCol w:w="1992"/>
        <w:gridCol w:w="1080"/>
        <w:gridCol w:w="900"/>
        <w:gridCol w:w="1260"/>
        <w:gridCol w:w="1260"/>
        <w:gridCol w:w="1260"/>
      </w:tblGrid>
      <w:tr>
        <w:trPr>
          <w:trHeight w:val="296"/>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t xml:space="preserve">分项费用</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t xml:space="preserve">单位</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t xml:space="preserve">数量</w:t>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jc w:val="center"/>
              <w:spacing w:line="360" w:lineRule="auto"/>
              <w:rPr>
                <w:rFonts w:hint="eastAsia" w:cs="宋体"/>
                <w:sz w:val="21"/>
                <w:szCs w:val="21"/>
              </w:rPr>
            </w:pPr>
            <w:r>
              <w:rPr>
                <w:rFonts w:hint="eastAsia" w:cs="宋体"/>
                <w:sz w:val="21"/>
                <w:szCs w:val="21"/>
              </w:rPr>
              <w:t xml:space="preserve">单价（元）</w:t>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jc w:val="center"/>
              <w:spacing w:line="360" w:lineRule="auto"/>
              <w:rPr>
                <w:rFonts w:hint="eastAsia" w:cs="宋体"/>
                <w:sz w:val="21"/>
                <w:szCs w:val="21"/>
              </w:rPr>
            </w:pPr>
            <w:r>
              <w:rPr>
                <w:rFonts w:hint="eastAsia" w:cs="宋体"/>
                <w:sz w:val="21"/>
                <w:szCs w:val="21"/>
              </w:rPr>
              <w:t xml:space="preserve">合计（元）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t xml:space="preserve">备注</w:t>
            </w:r>
            <w:r/>
          </w:p>
        </w:tc>
      </w:tr>
      <w:tr>
        <w:trPr>
          <w:trHeight w:val="45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t xml:space="preserve">...</w:t>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r>
      <w:tr>
        <w:trPr>
          <w:trHeight w:val="465"/>
        </w:trPr>
        <w:tc>
          <w:tcPr>
            <w:gridSpan w:val="7"/>
            <w:tcBorders>
              <w:top w:val="single" w:color="000000" w:sz="4" w:space="0"/>
              <w:left w:val="single" w:color="000000" w:sz="4" w:space="0"/>
              <w:bottom w:val="single" w:color="000000" w:sz="4" w:space="0"/>
              <w:right w:val="single" w:color="000000" w:sz="4" w:space="0"/>
            </w:tcBorders>
            <w:tcW w:w="9010" w:type="dxa"/>
            <w:vAlign w:val="center"/>
            <w:textDirection w:val="lrTb"/>
            <w:noWrap w:val="false"/>
          </w:tcPr>
          <w:p>
            <w:pPr>
              <w:pStyle w:val="952"/>
              <w:ind w:firstLine="2100"/>
              <w:spacing w:line="360" w:lineRule="auto"/>
              <w:rPr>
                <w:rFonts w:hint="eastAsia" w:cs="宋体"/>
                <w:sz w:val="21"/>
                <w:szCs w:val="21"/>
              </w:rPr>
            </w:pPr>
            <w:r>
              <w:rPr>
                <w:rFonts w:hint="eastAsia" w:cs="宋体"/>
                <w:sz w:val="21"/>
                <w:szCs w:val="21"/>
              </w:rPr>
              <w:t xml:space="preserve">投标总报价：（大写）          人民币（小写）</w:t>
            </w:r>
            <w:r/>
          </w:p>
        </w:tc>
      </w:tr>
    </w:tbl>
    <w:p>
      <w:pPr>
        <w:pStyle w:val="952"/>
        <w:ind w:firstLine="420"/>
        <w:jc w:val="left"/>
        <w:spacing w:line="360" w:lineRule="auto"/>
        <w:rPr>
          <w:rFonts w:cs="宋体"/>
          <w:sz w:val="21"/>
          <w:szCs w:val="21"/>
        </w:rPr>
      </w:pPr>
      <w:r>
        <w:rPr>
          <w:rFonts w:cs="宋体"/>
          <w:sz w:val="21"/>
          <w:szCs w:val="21"/>
        </w:rPr>
      </w:r>
      <w:r/>
    </w:p>
    <w:p>
      <w:pPr>
        <w:pStyle w:val="952"/>
        <w:ind w:firstLine="420"/>
        <w:jc w:val="left"/>
        <w:spacing w:line="360" w:lineRule="auto"/>
        <w:rPr>
          <w:rFonts w:hint="eastAsia" w:cs="宋体"/>
          <w:sz w:val="21"/>
          <w:szCs w:val="21"/>
        </w:rPr>
      </w:pPr>
      <w:r>
        <w:rPr>
          <w:rFonts w:hint="eastAsia" w:cs="宋体"/>
          <w:sz w:val="21"/>
          <w:szCs w:val="21"/>
        </w:rPr>
        <w:t xml:space="preserve">投标人名称：            （盖章）</w:t>
      </w:r>
      <w:r/>
    </w:p>
    <w:p>
      <w:pPr>
        <w:pStyle w:val="952"/>
        <w:ind w:firstLine="420"/>
        <w:jc w:val="left"/>
        <w:spacing w:line="360" w:lineRule="auto"/>
        <w:rPr>
          <w:rFonts w:hint="eastAsia" w:cs="宋体"/>
          <w:sz w:val="21"/>
          <w:szCs w:val="21"/>
        </w:rPr>
      </w:pPr>
      <w:r>
        <w:rPr>
          <w:rFonts w:hint="eastAsia" w:cs="宋体"/>
          <w:sz w:val="21"/>
          <w:szCs w:val="21"/>
        </w:rPr>
        <w:t xml:space="preserve">法定代表人或代理人（签字或盖章）：</w:t>
      </w:r>
      <w:r/>
    </w:p>
    <w:p>
      <w:pPr>
        <w:pStyle w:val="952"/>
        <w:ind w:firstLine="420"/>
        <w:jc w:val="left"/>
        <w:spacing w:line="360" w:lineRule="auto"/>
        <w:rPr>
          <w:rFonts w:hint="eastAsia" w:cs="宋体"/>
          <w:sz w:val="21"/>
          <w:szCs w:val="21"/>
        </w:rPr>
      </w:pPr>
      <w:r>
        <w:rPr>
          <w:rFonts w:hint="eastAsia" w:cs="宋体"/>
          <w:sz w:val="21"/>
          <w:szCs w:val="21"/>
        </w:rPr>
        <w:t xml:space="preserve">日期：    年    月    日</w:t>
      </w:r>
      <w:r/>
    </w:p>
    <w:p>
      <w:pPr>
        <w:pStyle w:val="952"/>
        <w:spacing w:line="400" w:lineRule="exact"/>
        <w:rPr>
          <w:rFonts w:hint="eastAsia" w:cs="宋体"/>
          <w:b/>
          <w:bCs/>
          <w:sz w:val="21"/>
          <w:szCs w:val="21"/>
        </w:rPr>
      </w:pPr>
      <w:r>
        <w:rPr>
          <w:rFonts w:hint="eastAsia" w:cs="宋体"/>
          <w:b/>
          <w:bCs/>
          <w:sz w:val="21"/>
          <w:szCs w:val="21"/>
        </w:rPr>
        <w:br w:type="page" w:clear="all"/>
        <w:t xml:space="preserve">附件5</w:t>
      </w:r>
      <w:r>
        <w:rPr>
          <w:rFonts w:hint="eastAsia" w:cs="宋体"/>
          <w:b/>
          <w:sz w:val="21"/>
          <w:szCs w:val="21"/>
        </w:rPr>
        <w:t xml:space="preserve">、</w:t>
      </w:r>
      <w:r>
        <w:rPr>
          <w:rFonts w:hint="eastAsia" w:cs="宋体"/>
          <w:b/>
          <w:bCs/>
          <w:sz w:val="21"/>
          <w:szCs w:val="21"/>
        </w:rPr>
        <w:t xml:space="preserve">偏离表</w:t>
      </w:r>
      <w:r/>
    </w:p>
    <w:p>
      <w:pPr>
        <w:pStyle w:val="967"/>
        <w:rPr>
          <w:rFonts w:hint="eastAsia" w:ascii="宋体" w:hAnsi="宋体" w:eastAsia="宋体" w:cs="宋体"/>
          <w:b/>
          <w:bCs/>
          <w:szCs w:val="24"/>
        </w:rPr>
      </w:pPr>
      <w:r>
        <w:rPr>
          <w:rFonts w:hint="eastAsia" w:ascii="宋体" w:hAnsi="宋体" w:eastAsia="宋体" w:cs="宋体"/>
          <w:b/>
          <w:bCs/>
          <w:sz w:val="21"/>
          <w:szCs w:val="21"/>
        </w:rPr>
        <w:t xml:space="preserve">                  </w:t>
      </w:r>
      <w:r>
        <w:rPr>
          <w:rFonts w:hint="eastAsia" w:ascii="宋体" w:hAnsi="宋体" w:eastAsia="宋体" w:cs="宋体"/>
          <w:b/>
          <w:bCs/>
          <w:szCs w:val="24"/>
        </w:rPr>
      </w:r>
      <w:r/>
    </w:p>
    <w:p>
      <w:pPr>
        <w:pStyle w:val="952"/>
        <w:jc w:val="center"/>
        <w:spacing w:line="360" w:lineRule="auto"/>
        <w:rPr>
          <w:rFonts w:hint="eastAsia" w:cs="宋体"/>
          <w:b/>
          <w:spacing w:val="20"/>
          <w:sz w:val="21"/>
          <w:szCs w:val="21"/>
        </w:rPr>
      </w:pPr>
      <w:r/>
      <w:bookmarkStart w:id="7" w:name="_Hlk39583930"/>
      <w:r>
        <w:rPr>
          <w:rFonts w:hint="eastAsia" w:cs="宋体"/>
          <w:b/>
          <w:spacing w:val="20"/>
          <w:sz w:val="21"/>
          <w:szCs w:val="21"/>
        </w:rPr>
        <w:t xml:space="preserve">服务要求偏离表</w:t>
      </w:r>
      <w:r/>
    </w:p>
    <w:p>
      <w:pPr>
        <w:pStyle w:val="952"/>
        <w:ind w:firstLine="525"/>
        <w:spacing w:line="380" w:lineRule="exact"/>
        <w:rPr>
          <w:rFonts w:hint="eastAsia" w:cs="宋体"/>
          <w:b/>
          <w:spacing w:val="20"/>
          <w:sz w:val="21"/>
          <w:szCs w:val="21"/>
        </w:rPr>
      </w:pPr>
      <w:r/>
      <w:bookmarkEnd w:id="7"/>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b/>
          <w:spacing w:val="2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序号</w:t>
            </w:r>
            <w:r/>
          </w:p>
        </w:tc>
        <w:tc>
          <w:tcPr>
            <w:tcW w:w="1683" w:type="dxa"/>
            <w:vAlign w:val="center"/>
            <w:textDirection w:val="lrTb"/>
            <w:noWrap w:val="false"/>
          </w:tcPr>
          <w:p>
            <w:pPr>
              <w:pStyle w:val="967"/>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2370" w:type="dxa"/>
            <w:vAlign w:val="center"/>
            <w:textDirection w:val="lrTb"/>
            <w:noWrap w:val="false"/>
          </w:tcPr>
          <w:p>
            <w:pPr>
              <w:pStyle w:val="96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p>
        </w:tc>
        <w:tc>
          <w:tcPr>
            <w:tcW w:w="2631" w:type="dxa"/>
            <w:vAlign w:val="center"/>
            <w:textDirection w:val="lrTb"/>
            <w:noWrap w:val="false"/>
          </w:tcPr>
          <w:p>
            <w:pPr>
              <w:pStyle w:val="96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w:t>
            </w:r>
            <w:r/>
          </w:p>
        </w:tc>
        <w:tc>
          <w:tcPr>
            <w:tcW w:w="2052" w:type="dxa"/>
            <w:vAlign w:val="center"/>
            <w:textDirection w:val="lrTb"/>
            <w:noWrap w:val="false"/>
          </w:tcPr>
          <w:p>
            <w:pPr>
              <w:pStyle w:val="96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r>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1</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2</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3</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4</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5</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6</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top"/>
            <w:textDirection w:val="lrTb"/>
            <w:noWrap w:val="false"/>
          </w:tcPr>
          <w:p>
            <w:pPr>
              <w:pStyle w:val="952"/>
              <w:jc w:val="center"/>
              <w:rPr>
                <w:rFonts w:hint="eastAsia" w:cs="宋体"/>
                <w:sz w:val="21"/>
                <w:szCs w:val="21"/>
              </w:rPr>
            </w:pPr>
            <w:r>
              <w:rPr>
                <w:rFonts w:hint="eastAsia" w:cs="宋体"/>
                <w:sz w:val="21"/>
                <w:szCs w:val="21"/>
              </w:rPr>
              <w:t xml:space="preserve">……</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52"/>
        <w:ind w:firstLine="525"/>
        <w:spacing w:line="400" w:lineRule="exact"/>
        <w:rPr>
          <w:rFonts w:hint="eastAsia" w:cs="宋体"/>
          <w:sz w:val="21"/>
          <w:szCs w:val="21"/>
        </w:rPr>
      </w:pPr>
      <w:r>
        <w:rPr>
          <w:rFonts w:hint="eastAsia" w:cs="宋体"/>
          <w:sz w:val="21"/>
          <w:szCs w:val="21"/>
        </w:rPr>
        <w:t xml:space="preserve">投标方：（单位盖章）</w:t>
      </w:r>
      <w:r/>
    </w:p>
    <w:p>
      <w:pPr>
        <w:pStyle w:val="952"/>
        <w:ind w:firstLine="525"/>
        <w:spacing w:line="400" w:lineRule="exact"/>
        <w:rPr>
          <w:rFonts w:hint="eastAsia" w:cs="宋体"/>
          <w:sz w:val="21"/>
          <w:szCs w:val="21"/>
        </w:rPr>
      </w:pPr>
      <w:r>
        <w:rPr>
          <w:rFonts w:hint="eastAsia" w:cs="宋体"/>
          <w:sz w:val="21"/>
          <w:szCs w:val="21"/>
        </w:rPr>
        <w:t xml:space="preserve">法定代表人或代理人：（签字或盖章）</w:t>
      </w:r>
      <w:r/>
    </w:p>
    <w:p>
      <w:pPr>
        <w:pStyle w:val="952"/>
        <w:ind w:firstLine="525"/>
        <w:spacing w:line="400" w:lineRule="exact"/>
        <w:rPr>
          <w:rFonts w:hint="eastAsia" w:cs="宋体"/>
          <w:b/>
          <w:sz w:val="21"/>
          <w:szCs w:val="21"/>
        </w:rPr>
      </w:pPr>
      <w:r>
        <w:rPr>
          <w:rFonts w:hint="eastAsia" w:cs="宋体"/>
          <w:sz w:val="21"/>
          <w:szCs w:val="21"/>
        </w:rPr>
        <w:t xml:space="preserve">日期：           年  月  日</w:t>
      </w:r>
      <w:r>
        <w:rPr>
          <w:rFonts w:hint="eastAsia" w:cs="宋体"/>
          <w:b/>
          <w:sz w:val="21"/>
          <w:szCs w:val="21"/>
        </w:rPr>
      </w:r>
      <w:r/>
    </w:p>
    <w:p>
      <w:pPr>
        <w:pStyle w:val="952"/>
        <w:jc w:val="center"/>
        <w:spacing w:line="360" w:lineRule="auto"/>
        <w:rPr>
          <w:rFonts w:hint="eastAsia" w:cs="宋体"/>
          <w:b/>
          <w:spacing w:val="20"/>
          <w:sz w:val="21"/>
          <w:szCs w:val="21"/>
        </w:rPr>
      </w:pPr>
      <w:r>
        <w:rPr>
          <w:rFonts w:hint="eastAsia" w:cs="宋体"/>
          <w:b/>
          <w:spacing w:val="20"/>
          <w:sz w:val="21"/>
          <w:szCs w:val="21"/>
        </w:rPr>
        <w:t xml:space="preserve">商务条款偏离表</w:t>
      </w:r>
      <w:r/>
    </w:p>
    <w:p>
      <w:pPr>
        <w:pStyle w:val="952"/>
        <w:ind w:firstLine="420"/>
        <w:spacing w:line="380" w:lineRule="exact"/>
        <w:rPr>
          <w:rFonts w:hint="eastAsia" w:cs="宋体"/>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sz w:val="21"/>
          <w:szCs w:val="21"/>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备注</w:t>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2"/>
              <w:jc w:val="center"/>
              <w:rPr>
                <w:rFonts w:hint="eastAsia" w:cs="宋体"/>
                <w:sz w:val="21"/>
                <w:szCs w:val="21"/>
                <w:lang w:val="zh-CN"/>
              </w:rPr>
            </w:pPr>
            <w:r>
              <w:rPr>
                <w:rFonts w:hint="eastAsia" w:cs="宋体"/>
                <w:sz w:val="21"/>
                <w:szCs w:val="21"/>
                <w:lang w:val="zh-CN"/>
              </w:rPr>
              <w:t xml:space="preserve">履行期限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2"/>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2"/>
              <w:jc w:val="center"/>
              <w:rPr>
                <w:rFonts w:hint="eastAsia" w:cs="宋体"/>
                <w:sz w:val="21"/>
                <w:szCs w:val="21"/>
                <w:lang w:val="zh-CN"/>
              </w:rPr>
            </w:pPr>
            <w:r>
              <w:rPr>
                <w:rFonts w:hint="eastAsia" w:cs="宋体"/>
                <w:sz w:val="21"/>
                <w:szCs w:val="21"/>
                <w:lang w:val="zh-CN"/>
              </w:rPr>
              <w:t xml:space="preserve">履行地点</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2"/>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2"/>
              <w:jc w:val="center"/>
              <w:rPr>
                <w:rFonts w:hint="eastAsia" w:cs="宋体"/>
                <w:sz w:val="21"/>
                <w:szCs w:val="21"/>
                <w:lang w:val="zh-CN"/>
              </w:rPr>
            </w:pPr>
            <w:r>
              <w:rPr>
                <w:rFonts w:hint="eastAsia" w:cs="宋体"/>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2"/>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4</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2"/>
              <w:jc w:val="center"/>
              <w:rPr>
                <w:rFonts w:hint="eastAsia" w:cs="宋体"/>
                <w:sz w:val="21"/>
                <w:szCs w:val="21"/>
                <w:lang w:val="zh-CN"/>
              </w:rPr>
            </w:pPr>
            <w:r>
              <w:rPr>
                <w:rFonts w:hint="eastAsia" w:cs="宋体"/>
                <w:sz w:val="21"/>
                <w:szCs w:val="21"/>
                <w:lang w:val="zh-CN"/>
              </w:rPr>
              <w:t xml:space="preserve">人员配置</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2"/>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2"/>
              <w:jc w:val="center"/>
              <w:rPr>
                <w:rFonts w:hint="eastAsia" w:cs="宋体"/>
                <w:bCs/>
                <w:sz w:val="21"/>
                <w:szCs w:val="21"/>
              </w:rPr>
            </w:pPr>
            <w:r>
              <w:rPr>
                <w:rFonts w:hint="eastAsia" w:cs="宋体"/>
                <w:sz w:val="21"/>
                <w:szCs w:val="21"/>
                <w:lang w:val="zh-CN"/>
              </w:rPr>
              <w:t xml:space="preserve">其他商务要求</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2"/>
              <w:jc w:val="center"/>
              <w:rPr>
                <w:rFonts w:hint="eastAsia" w:cs="宋体"/>
                <w:sz w:val="21"/>
                <w:szCs w:val="21"/>
              </w:rPr>
            </w:pPr>
            <w:r>
              <w:rPr>
                <w:rFonts w:hint="eastAsia" w:cs="宋体"/>
                <w:sz w:val="21"/>
                <w:szCs w:val="21"/>
              </w:rPr>
            </w:r>
            <w:r/>
          </w:p>
        </w:tc>
      </w:tr>
    </w:tbl>
    <w:p>
      <w:pPr>
        <w:pStyle w:val="952"/>
        <w:ind w:firstLine="420"/>
        <w:jc w:val="left"/>
        <w:spacing w:line="400" w:lineRule="exact"/>
        <w:rPr>
          <w:rFonts w:hint="eastAsia" w:cs="宋体"/>
          <w:sz w:val="21"/>
          <w:szCs w:val="21"/>
        </w:rPr>
      </w:pPr>
      <w:r>
        <w:rPr>
          <w:rFonts w:hint="eastAsia" w:cs="宋体"/>
          <w:sz w:val="21"/>
          <w:szCs w:val="21"/>
        </w:rPr>
        <w:t xml:space="preserve">投标人名称：         （盖章）</w:t>
      </w:r>
      <w:r/>
    </w:p>
    <w:p>
      <w:pPr>
        <w:pStyle w:val="952"/>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952"/>
        <w:ind w:firstLine="420"/>
        <w:jc w:val="left"/>
        <w:spacing w:line="400" w:lineRule="exact"/>
        <w:rPr>
          <w:rFonts w:hint="eastAsia" w:cs="宋体"/>
          <w:sz w:val="21"/>
          <w:szCs w:val="21"/>
        </w:rPr>
      </w:pPr>
      <w:r>
        <w:rPr>
          <w:rFonts w:hint="eastAsia" w:cs="宋体"/>
          <w:sz w:val="21"/>
          <w:szCs w:val="21"/>
        </w:rPr>
        <w:t xml:space="preserve">日期：           年  月  日</w:t>
      </w:r>
      <w:r/>
    </w:p>
    <w:p>
      <w:pPr>
        <w:pStyle w:val="952"/>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提交的投标文件中与招标文件的技术、商务部分的要求有不同时，应在本表中把招标文件要求与投标实际响应内容逐项对应列出，此表描述若与投标文件中其他相关说明不一致时，以偏离表内容为准。偏离表未填写则视为无效标。</w:t>
      </w:r>
      <w:r/>
    </w:p>
    <w:p>
      <w:pPr>
        <w:pStyle w:val="952"/>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p>
    <w:p>
      <w:pPr>
        <w:pStyle w:val="952"/>
        <w:ind w:firstLine="420"/>
        <w:spacing w:line="400" w:lineRule="exact"/>
        <w:rPr>
          <w:rFonts w:hint="eastAsia" w:cs="宋体"/>
          <w:sz w:val="21"/>
          <w:szCs w:val="21"/>
        </w:rPr>
      </w:pPr>
      <w:r>
        <w:rPr>
          <w:rFonts w:hint="eastAsia" w:cs="宋体"/>
          <w:sz w:val="21"/>
          <w:szCs w:val="21"/>
        </w:rPr>
        <w:t xml:space="preserve">3.商务条款不允许出现负偏离，否则为无效标。</w:t>
      </w:r>
      <w:r/>
    </w:p>
    <w:p>
      <w:pPr>
        <w:pStyle w:val="952"/>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p>
    <w:p>
      <w:pPr>
        <w:pStyle w:val="952"/>
        <w:spacing w:line="400" w:lineRule="exact"/>
        <w:rPr>
          <w:rFonts w:hint="eastAsia" w:cs="宋体"/>
          <w:sz w:val="21"/>
          <w:szCs w:val="21"/>
        </w:rPr>
      </w:pPr>
      <w:r>
        <w:rPr>
          <w:rFonts w:hint="eastAsia" w:cs="宋体"/>
          <w:sz w:val="21"/>
          <w:szCs w:val="21"/>
        </w:rPr>
        <w:t xml:space="preserve">（1）关于资格文件的声明函</w:t>
      </w:r>
      <w:r/>
    </w:p>
    <w:p>
      <w:pPr>
        <w:pStyle w:val="952"/>
        <w:jc w:val="center"/>
        <w:spacing w:line="400" w:lineRule="exact"/>
        <w:rPr>
          <w:rFonts w:hint="eastAsia" w:cs="宋体"/>
          <w:b/>
          <w:sz w:val="21"/>
          <w:szCs w:val="21"/>
        </w:rPr>
      </w:pPr>
      <w:r>
        <w:rPr>
          <w:rFonts w:hint="eastAsia" w:cs="宋体"/>
          <w:b/>
          <w:sz w:val="21"/>
          <w:szCs w:val="21"/>
        </w:rPr>
        <w:t xml:space="preserve">关于资格文件的声明函</w:t>
      </w:r>
      <w:r/>
    </w:p>
    <w:p>
      <w:pPr>
        <w:pStyle w:val="952"/>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p>
    <w:p>
      <w:pPr>
        <w:pStyle w:val="952"/>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号的招标活动进行投标。本公司所提交的投标文件中所有关于投标资格的文件、证明和陈述均是真实的、准确的。若与真实情况不符，本公司愿意承担由此产生的一切后果。</w:t>
      </w:r>
      <w:r/>
    </w:p>
    <w:p>
      <w:pPr>
        <w:pStyle w:val="952"/>
        <w:ind w:firstLine="2730"/>
        <w:spacing w:line="400" w:lineRule="exact"/>
        <w:rPr>
          <w:rFonts w:hint="eastAsia" w:cs="宋体"/>
          <w:sz w:val="21"/>
          <w:szCs w:val="21"/>
        </w:rPr>
      </w:pPr>
      <w:r>
        <w:rPr>
          <w:rFonts w:hint="eastAsia" w:cs="宋体"/>
          <w:sz w:val="21"/>
          <w:szCs w:val="21"/>
        </w:rPr>
        <w:t xml:space="preserve">法定代表人：（签字或盖章）</w:t>
      </w:r>
      <w:r/>
    </w:p>
    <w:p>
      <w:pPr>
        <w:pStyle w:val="952"/>
        <w:ind w:firstLine="2730"/>
        <w:spacing w:line="400" w:lineRule="exact"/>
        <w:rPr>
          <w:rFonts w:hint="eastAsia" w:cs="宋体"/>
          <w:sz w:val="21"/>
          <w:szCs w:val="21"/>
        </w:rPr>
      </w:pPr>
      <w:r>
        <w:rPr>
          <w:rFonts w:hint="eastAsia" w:cs="宋体"/>
          <w:sz w:val="21"/>
          <w:szCs w:val="21"/>
        </w:rPr>
        <w:t xml:space="preserve">公章：</w:t>
      </w:r>
      <w:r/>
    </w:p>
    <w:p>
      <w:pPr>
        <w:pStyle w:val="952"/>
        <w:ind w:firstLine="5040"/>
        <w:spacing w:line="400" w:lineRule="exact"/>
        <w:rPr>
          <w:rFonts w:hint="eastAsia" w:cs="宋体"/>
          <w:sz w:val="21"/>
          <w:szCs w:val="21"/>
        </w:rPr>
      </w:pPr>
      <w:r>
        <w:rPr>
          <w:rFonts w:hint="eastAsia" w:cs="宋体"/>
          <w:sz w:val="21"/>
          <w:szCs w:val="21"/>
        </w:rPr>
        <w:t xml:space="preserve">年  月  日</w:t>
      </w:r>
      <w:r/>
    </w:p>
    <w:p>
      <w:pPr>
        <w:pStyle w:val="952"/>
        <w:ind w:firstLine="5040"/>
        <w:spacing w:line="400" w:lineRule="exact"/>
        <w:rPr>
          <w:rFonts w:hint="eastAsia" w:cs="宋体"/>
          <w:sz w:val="21"/>
          <w:szCs w:val="21"/>
        </w:rPr>
      </w:pPr>
      <w:r>
        <w:rPr>
          <w:rFonts w:hint="eastAsia" w:cs="宋体"/>
          <w:sz w:val="21"/>
          <w:szCs w:val="21"/>
        </w:rPr>
      </w:r>
      <w:r/>
    </w:p>
    <w:p>
      <w:pPr>
        <w:pStyle w:val="952"/>
        <w:ind w:firstLine="5040"/>
        <w:spacing w:line="400" w:lineRule="exact"/>
        <w:rPr>
          <w:rFonts w:hint="eastAsia" w:cs="宋体"/>
          <w:sz w:val="21"/>
          <w:szCs w:val="21"/>
        </w:rPr>
      </w:pPr>
      <w:r>
        <w:rPr>
          <w:rFonts w:hint="eastAsia" w:cs="宋体"/>
          <w:sz w:val="21"/>
          <w:szCs w:val="21"/>
        </w:rPr>
      </w:r>
      <w:r/>
    </w:p>
    <w:p>
      <w:pPr>
        <w:pStyle w:val="952"/>
        <w:spacing w:line="400" w:lineRule="exact"/>
        <w:rPr>
          <w:rFonts w:hint="eastAsia" w:cs="宋体"/>
          <w:sz w:val="21"/>
          <w:szCs w:val="21"/>
        </w:rPr>
      </w:pPr>
      <w:r>
        <w:rPr>
          <w:rFonts w:hint="eastAsia" w:cs="宋体"/>
          <w:sz w:val="21"/>
          <w:szCs w:val="21"/>
        </w:rPr>
        <w:t xml:space="preserve">（2）投标单位情况表</w:t>
      </w:r>
      <w:r>
        <w:rPr>
          <w:rFonts w:hint="eastAsia"/>
          <w:sz w:val="21"/>
          <w:szCs w:val="21"/>
        </w:rPr>
        <w:t xml:space="preserve"> </w:t>
      </w:r>
      <w:r>
        <w:rPr>
          <w:rFonts w:hint="eastAsia" w:cs="宋体"/>
          <w:sz w:val="21"/>
          <w:szCs w:val="21"/>
        </w:rPr>
      </w:r>
      <w:r/>
    </w:p>
    <w:p>
      <w:pPr>
        <w:pStyle w:val="952"/>
        <w:jc w:val="center"/>
        <w:spacing w:line="400" w:lineRule="exact"/>
        <w:rPr>
          <w:rFonts w:hint="eastAsia" w:cs="宋体"/>
          <w:sz w:val="21"/>
          <w:szCs w:val="21"/>
        </w:rPr>
      </w:pPr>
      <w:r>
        <w:rPr>
          <w:rFonts w:hint="eastAsia" w:cs="宋体"/>
          <w:sz w:val="21"/>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2268"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tcW w:w="2835"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p>
        </w:tc>
        <w:tc>
          <w:tcPr>
            <w:tcW w:w="2268"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p>
        </w:tc>
        <w:tc>
          <w:tcPr>
            <w:tcW w:w="2835" w:type="dxa"/>
            <w:vAlign w:val="top"/>
            <w:textDirection w:val="lrTb"/>
            <w:noWrap w:val="false"/>
          </w:tcPr>
          <w:p>
            <w:pPr>
              <w:pStyle w:val="967"/>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p>
        </w:tc>
        <w:tc>
          <w:tcPr>
            <w:tcW w:w="2268" w:type="dxa"/>
            <w:vAlign w:val="bottom"/>
            <w:textDirection w:val="lrTb"/>
            <w:noWrap w:val="false"/>
          </w:tcPr>
          <w:p>
            <w:pPr>
              <w:pStyle w:val="967"/>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p>
        </w:tc>
        <w:tc>
          <w:tcPr>
            <w:tcW w:w="2835" w:type="dxa"/>
            <w:vAlign w:val="bottom"/>
            <w:textDirection w:val="lrTb"/>
            <w:noWrap w:val="false"/>
          </w:tcPr>
          <w:p>
            <w:pPr>
              <w:pStyle w:val="967"/>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trHeight w:val="570"/>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2268" w:type="dxa"/>
            <w:vAlign w:val="bottom"/>
            <w:textDirection w:val="lrTb"/>
            <w:noWrap w:val="false"/>
          </w:tcPr>
          <w:p>
            <w:pPr>
              <w:pStyle w:val="967"/>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p>
        </w:tc>
        <w:tc>
          <w:tcPr>
            <w:tcW w:w="2835" w:type="dxa"/>
            <w:vAlign w:val="bottom"/>
            <w:textDirection w:val="lrTb"/>
            <w:noWrap w:val="false"/>
          </w:tcPr>
          <w:p>
            <w:pPr>
              <w:pStyle w:val="967"/>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23</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r>
      <w:tr>
        <w:trPr>
          <w:cantSplit/>
        </w:trPr>
        <w:tc>
          <w:tcPr>
            <w:tcW w:w="2552" w:type="dxa"/>
            <w:vAlign w:val="center"/>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2268" w:type="dxa"/>
            <w:vAlign w:val="bottom"/>
            <w:textDirection w:val="lrTb"/>
            <w:noWrap w:val="false"/>
          </w:tcPr>
          <w:p>
            <w:pPr>
              <w:pStyle w:val="967"/>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23</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2835" w:type="dxa"/>
            <w:vAlign w:val="bottom"/>
            <w:textDirection w:val="lrTb"/>
            <w:noWrap w:val="false"/>
          </w:tcPr>
          <w:p>
            <w:pPr>
              <w:pStyle w:val="967"/>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p>
        </w:tc>
      </w:tr>
      <w:tr>
        <w:trPr>
          <w:cantSplit/>
        </w:trPr>
        <w:tc>
          <w:tcPr>
            <w:tcW w:w="2552"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单位简</w:t>
            </w:r>
            <w:r>
              <w:rPr>
                <w:rFonts w:hint="eastAsia" w:ascii="宋体" w:hAnsi="宋体" w:eastAsia="宋体" w:cs="宋体"/>
                <w:sz w:val="21"/>
                <w:szCs w:val="21"/>
              </w:rPr>
              <w:t xml:space="preserve">历及内设机构情况</w:t>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69"/>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3"/>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rPr>
                <w:rFonts w:hint="eastAsia" w:ascii="宋体" w:hAnsi="宋体" w:eastAsia="宋体" w:cs="宋体"/>
                <w:sz w:val="21"/>
                <w:szCs w:val="21"/>
              </w:rPr>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981"/>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rPr>
                <w:rFonts w:hint="eastAsia" w:ascii="宋体" w:hAnsi="宋体" w:eastAsia="宋体" w:cs="宋体"/>
                <w:sz w:val="21"/>
                <w:szCs w:val="21"/>
              </w:rPr>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257"/>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952"/>
        <w:spacing w:line="400" w:lineRule="exact"/>
        <w:rPr>
          <w:rFonts w:hint="eastAsia" w:cs="宋体"/>
          <w:sz w:val="21"/>
          <w:szCs w:val="21"/>
        </w:rPr>
      </w:pPr>
      <w:r>
        <w:rPr>
          <w:rFonts w:hint="eastAsia" w:cs="宋体"/>
          <w:sz w:val="21"/>
          <w:szCs w:val="21"/>
        </w:rPr>
      </w:r>
      <w:r/>
    </w:p>
    <w:p>
      <w:pPr>
        <w:pStyle w:val="952"/>
        <w:spacing w:line="400" w:lineRule="exact"/>
        <w:rPr>
          <w:rFonts w:hint="eastAsia" w:cs="宋体"/>
          <w:sz w:val="21"/>
          <w:szCs w:val="21"/>
        </w:rPr>
      </w:pPr>
      <w:r>
        <w:rPr>
          <w:rFonts w:hint="eastAsia" w:cs="宋体"/>
          <w:sz w:val="21"/>
          <w:szCs w:val="21"/>
        </w:rPr>
        <w:br w:type="page" w:clear="all"/>
        <w:t xml:space="preserve">（3）资格证明材料（按照资格条件提供相应证明材料）</w:t>
      </w:r>
      <w:r/>
    </w:p>
    <w:p>
      <w:pPr>
        <w:pStyle w:val="952"/>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p>
    <w:p>
      <w:pPr>
        <w:pStyle w:val="952"/>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具有良好的商业信誉和健全的财务会计制度（包括但不限于最近一期的财务报告，其他组织、自然人及成立未满一年的法人应提供银行出具的资信证明）；</w:t>
      </w:r>
      <w:r/>
    </w:p>
    <w:p>
      <w:pPr>
        <w:pStyle w:val="952"/>
        <w:ind w:firstLine="420"/>
        <w:spacing w:line="360" w:lineRule="auto"/>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具有履行合同所必需的设备和专业技术能力（根据项目需求提供履行合同所必需的设备和专业技术能力的证明材料）；</w:t>
      </w:r>
      <w:r/>
    </w:p>
    <w:p>
      <w:pPr>
        <w:pStyle w:val="952"/>
        <w:ind w:firstLine="420"/>
        <w:spacing w:line="360" w:lineRule="auto"/>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有依法缴纳税收和社会保障资金的良好记录（提供参加本次政府采购活动前半年（至少一个月）依法缴纳税收和社会保障资金的相关材料，依法免税或不需要缴纳社会保障资金的，提供相关证明文件）；</w:t>
      </w:r>
      <w:r/>
    </w:p>
    <w:p>
      <w:pPr>
        <w:pStyle w:val="952"/>
        <w:ind w:firstLine="420"/>
        <w:spacing w:line="360" w:lineRule="auto"/>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p>
    <w:p>
      <w:pPr>
        <w:pStyle w:val="952"/>
        <w:ind w:firstLine="420"/>
        <w:spacing w:line="360" w:lineRule="auto"/>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法律、行政法规规定的其他条件</w:t>
      </w:r>
      <w:r>
        <w:rPr>
          <w:rFonts w:hint="eastAsia" w:cs="宋体"/>
          <w:sz w:val="21"/>
          <w:szCs w:val="21"/>
        </w:rPr>
        <w:t xml:space="preserve">；</w:t>
      </w:r>
      <w:r/>
    </w:p>
    <w:p>
      <w:pPr>
        <w:pStyle w:val="952"/>
        <w:ind w:firstLine="420"/>
        <w:spacing w:line="360" w:lineRule="auto"/>
        <w:rPr>
          <w:rFonts w:cs="宋体"/>
          <w:sz w:val="21"/>
          <w:szCs w:val="21"/>
        </w:rPr>
      </w:pPr>
      <w:r>
        <w:rPr>
          <w:rFonts w:cs="宋体"/>
          <w:sz w:val="21"/>
          <w:szCs w:val="21"/>
        </w:rPr>
        <w:t xml:space="preserve">7</w:t>
      </w:r>
      <w:r>
        <w:rPr>
          <w:rFonts w:hint="eastAsia" w:cs="宋体"/>
          <w:sz w:val="21"/>
          <w:szCs w:val="21"/>
        </w:rPr>
        <w:t xml:space="preserve">、落实政府采购政策</w:t>
      </w:r>
      <w:r>
        <w:rPr>
          <w:rFonts w:hint="eastAsia" w:cs="宋体"/>
          <w:sz w:val="21"/>
          <w:szCs w:val="21"/>
        </w:rPr>
        <w:t xml:space="preserve">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cs="宋体"/>
          <w:sz w:val="21"/>
          <w:szCs w:val="21"/>
        </w:rPr>
      </w:r>
      <w:r/>
    </w:p>
    <w:p>
      <w:pPr>
        <w:pStyle w:val="952"/>
        <w:ind w:firstLine="420"/>
        <w:spacing w:line="360" w:lineRule="auto"/>
        <w:rPr>
          <w:rFonts w:hint="eastAsia" w:cs="宋体"/>
          <w:sz w:val="21"/>
          <w:szCs w:val="21"/>
        </w:rPr>
      </w:pPr>
      <w:r>
        <w:rPr>
          <w:rFonts w:hint="eastAsia" w:cs="宋体"/>
          <w:sz w:val="21"/>
        </w:rPr>
        <w:t xml:space="preserve">8、本项目的特定资格要求：（1）</w:t>
      </w:r>
      <w:r>
        <w:rPr>
          <w:rFonts w:hint="eastAsia" w:cs="宋体"/>
          <w:sz w:val="21"/>
        </w:rPr>
        <w:t xml:space="preserve">投标单位须具有乙级或乙级以上测绘资质</w:t>
      </w:r>
      <w:r>
        <w:rPr>
          <w:rFonts w:hint="eastAsia" w:cs="宋体"/>
          <w:sz w:val="21"/>
        </w:rPr>
        <w:t xml:space="preserve">；（2）合同签订前配齐项目所需设备的承诺函。</w:t>
      </w:r>
      <w:r>
        <w:rPr>
          <w:rFonts w:cs="宋体"/>
          <w:sz w:val="21"/>
          <w:szCs w:val="21"/>
        </w:rPr>
        <w:br w:type="textWrapping" w:clear="all"/>
      </w:r>
      <w:r>
        <w:rPr>
          <w:rFonts w:hint="eastAsia" w:cs="宋体"/>
          <w:b/>
          <w:bCs/>
          <w:sz w:val="44"/>
          <w:szCs w:val="44"/>
        </w:rPr>
        <w:br w:type="page" w:clear="all"/>
      </w:r>
      <w:r>
        <w:rPr>
          <w:rFonts w:hint="eastAsia" w:cs="宋体"/>
          <w:b/>
          <w:sz w:val="21"/>
          <w:szCs w:val="21"/>
        </w:rPr>
        <w:t xml:space="preserve">附件7、中小企业声明函</w:t>
      </w:r>
      <w:r>
        <w:rPr>
          <w:rFonts w:hint="eastAsia" w:cs="宋体"/>
          <w:sz w:val="21"/>
          <w:szCs w:val="21"/>
        </w:rPr>
      </w:r>
      <w:r/>
    </w:p>
    <w:p>
      <w:pPr>
        <w:pStyle w:val="952"/>
        <w:jc w:val="center"/>
        <w:spacing w:line="588" w:lineRule="exact"/>
        <w:rPr>
          <w:rFonts w:hint="eastAsia" w:cs="宋体"/>
          <w:b/>
          <w:spacing w:val="6"/>
        </w:rPr>
      </w:pPr>
      <w:r>
        <w:rPr>
          <w:rFonts w:hint="eastAsia" w:cs="宋体"/>
          <w:b/>
          <w:spacing w:val="6"/>
        </w:rPr>
      </w:r>
      <w:r/>
    </w:p>
    <w:p>
      <w:pPr>
        <w:pStyle w:val="952"/>
        <w:jc w:val="center"/>
        <w:spacing w:line="360" w:lineRule="auto"/>
        <w:rPr>
          <w:sz w:val="21"/>
          <w:szCs w:val="21"/>
        </w:rPr>
      </w:pPr>
      <w:r>
        <w:rPr>
          <w:rFonts w:hint="eastAsia"/>
          <w:sz w:val="21"/>
          <w:szCs w:val="21"/>
        </w:rPr>
        <w:t xml:space="preserve">中小企业声明函（服务）</w:t>
      </w:r>
      <w:r>
        <w:rPr>
          <w:sz w:val="21"/>
          <w:szCs w:val="21"/>
        </w:rPr>
      </w:r>
      <w:r/>
    </w:p>
    <w:p>
      <w:pPr>
        <w:pStyle w:val="952"/>
        <w:spacing w:line="360" w:lineRule="auto"/>
        <w:rPr>
          <w:sz w:val="21"/>
          <w:szCs w:val="21"/>
        </w:rPr>
      </w:pPr>
      <w:r>
        <w:rPr>
          <w:sz w:val="21"/>
          <w:szCs w:val="21"/>
        </w:rPr>
      </w:r>
      <w:r/>
    </w:p>
    <w:p>
      <w:pPr>
        <w:pStyle w:val="952"/>
        <w:ind w:firstLine="420"/>
        <w:spacing w:line="360" w:lineRule="auto"/>
        <w:rPr>
          <w:sz w:val="21"/>
          <w:szCs w:val="21"/>
        </w:rPr>
      </w:pPr>
      <w:r>
        <w:rPr>
          <w:rFonts w:hint="eastAsia"/>
          <w:sz w:val="21"/>
          <w:szCs w:val="21"/>
        </w:rPr>
        <w:t xml:space="preserve">本公司郑重声明，根据《政府采购促进中小企业发展管理办法》（财库﹝2020﹞46号）的规定，本公司参加</w:t>
      </w:r>
      <w:r>
        <w:rPr>
          <w:rFonts w:hint="eastAsia"/>
          <w:i/>
          <w:sz w:val="21"/>
          <w:szCs w:val="21"/>
          <w:u w:val="single"/>
        </w:rPr>
        <w:t xml:space="preserve">（单位名称）</w:t>
      </w:r>
      <w:r>
        <w:rPr>
          <w:rFonts w:hint="eastAsia"/>
          <w:sz w:val="21"/>
          <w:szCs w:val="21"/>
        </w:rPr>
        <w:t xml:space="preserve">的</w:t>
      </w:r>
      <w:r>
        <w:rPr>
          <w:rFonts w:hint="eastAsia"/>
          <w:i/>
          <w:sz w:val="21"/>
          <w:szCs w:val="21"/>
          <w:u w:val="single"/>
        </w:rPr>
        <w:t xml:space="preserve">（项目名称）</w:t>
      </w:r>
      <w:r>
        <w:rPr>
          <w:rFonts w:hint="eastAsia"/>
          <w:sz w:val="21"/>
          <w:szCs w:val="21"/>
        </w:rPr>
        <w:t xml:space="preserve">采购活动，服务全部由符合政策要求的中小企业承接。相关企业的具体情况如下：</w:t>
      </w:r>
      <w:r>
        <w:rPr>
          <w:sz w:val="21"/>
          <w:szCs w:val="21"/>
        </w:rPr>
      </w:r>
      <w:r/>
    </w:p>
    <w:p>
      <w:pPr>
        <w:pStyle w:val="952"/>
        <w:ind w:firstLine="420"/>
        <w:spacing w:line="360" w:lineRule="auto"/>
        <w:rPr>
          <w:sz w:val="21"/>
          <w:szCs w:val="21"/>
        </w:rPr>
      </w:pPr>
      <w:r>
        <w:rPr>
          <w:rFonts w:hint="eastAsia"/>
          <w:sz w:val="21"/>
          <w:szCs w:val="21"/>
        </w:rPr>
        <w:t xml:space="preserve">1、</w:t>
      </w:r>
      <w:r>
        <w:rPr>
          <w:rFonts w:hint="eastAsia"/>
          <w:i/>
          <w:sz w:val="21"/>
          <w:szCs w:val="21"/>
          <w:u w:val="single"/>
        </w:rPr>
        <w:t xml:space="preserve">（标的名称）</w:t>
      </w:r>
      <w:r>
        <w:rPr>
          <w:rFonts w:hint="eastAsia"/>
          <w:sz w:val="21"/>
          <w:szCs w:val="21"/>
        </w:rPr>
        <w:t xml:space="preserve">，属于</w:t>
      </w:r>
      <w:r>
        <w:rPr>
          <w:rFonts w:hint="eastAsia"/>
          <w:i/>
          <w:iCs/>
          <w:sz w:val="21"/>
          <w:szCs w:val="21"/>
          <w:u w:val="single"/>
        </w:rPr>
        <w:t xml:space="preserve">（采购文件中明确的所属行业）行业</w:t>
      </w:r>
      <w:r>
        <w:rPr>
          <w:rFonts w:hint="eastAsia"/>
          <w:sz w:val="21"/>
          <w:szCs w:val="21"/>
        </w:rPr>
        <w:t xml:space="preserve">；承接企业为</w:t>
      </w:r>
      <w:r>
        <w:rPr>
          <w:rFonts w:hint="eastAsia"/>
          <w:i/>
          <w:sz w:val="21"/>
          <w:szCs w:val="21"/>
          <w:u w:val="single"/>
        </w:rPr>
        <w:t xml:space="preserve">（企业名称）</w:t>
      </w:r>
      <w:r>
        <w:rPr>
          <w:rFonts w:hint="eastAsia"/>
          <w:sz w:val="21"/>
          <w:szCs w:val="21"/>
        </w:rPr>
        <w:t xml:space="preserve">，从业人员</w:t>
      </w:r>
      <w:r>
        <w:rPr>
          <w:rFonts w:hint="eastAsia"/>
          <w:sz w:val="21"/>
          <w:szCs w:val="21"/>
          <w:u w:val="single"/>
        </w:rPr>
        <w:tab/>
      </w:r>
      <w:r>
        <w:rPr>
          <w:rFonts w:hint="eastAsia"/>
          <w:sz w:val="21"/>
          <w:szCs w:val="21"/>
        </w:rPr>
        <w:t xml:space="preserve">人，营业收入为</w:t>
      </w:r>
      <w:r>
        <w:rPr>
          <w:rFonts w:hint="eastAsia"/>
          <w:sz w:val="21"/>
          <w:szCs w:val="21"/>
          <w:u w:val="single"/>
        </w:rPr>
        <w:tab/>
      </w:r>
      <w:r>
        <w:rPr>
          <w:rFonts w:hint="eastAsia"/>
          <w:sz w:val="21"/>
          <w:szCs w:val="21"/>
        </w:rPr>
        <w:t xml:space="preserve">万元，资产总额为</w:t>
      </w:r>
      <w:r>
        <w:rPr>
          <w:rFonts w:hint="eastAsia"/>
          <w:sz w:val="21"/>
          <w:szCs w:val="21"/>
          <w:u w:val="single"/>
        </w:rPr>
        <w:tab/>
      </w:r>
      <w:r>
        <w:rPr>
          <w:rFonts w:hint="eastAsia"/>
          <w:sz w:val="21"/>
          <w:szCs w:val="21"/>
        </w:rPr>
        <w:t xml:space="preserve">万元</w:t>
      </w:r>
      <w:r>
        <w:fldChar w:fldCharType="begin"/>
      </w:r>
      <w:r>
        <w:instrText xml:space="preserve">HYPERLINK "新建文件夹/最新TCGGZY-2021G024太仓市公安局关于2021-2023年公务用车维修保养服务项目采购13文件.docx" \l "_bookmark1"</w:instrText>
      </w:r>
      <w:r>
        <w:fldChar w:fldCharType="separate"/>
      </w:r>
      <w:r>
        <w:rPr>
          <w:rStyle w:val="1039"/>
          <w:color w:val="000000"/>
          <w:position w:val="16"/>
          <w:sz w:val="21"/>
          <w:szCs w:val="21"/>
        </w:rPr>
        <w:t xml:space="preserve">1</w:t>
      </w:r>
      <w:r>
        <w:rPr>
          <w:rStyle w:val="1039"/>
          <w:color w:val="000000"/>
          <w:position w:val="16"/>
          <w:sz w:val="21"/>
          <w:szCs w:val="21"/>
        </w:rPr>
        <w:fldChar w:fldCharType="end"/>
      </w:r>
      <w:r>
        <w:rPr>
          <w:rFonts w:hint="eastAsia"/>
          <w:sz w:val="21"/>
          <w:szCs w:val="21"/>
        </w:rPr>
        <w:t xml:space="preserve">，属于</w:t>
      </w:r>
      <w:r>
        <w:rPr>
          <w:rFonts w:hint="eastAsia"/>
          <w:i/>
          <w:sz w:val="21"/>
          <w:szCs w:val="21"/>
          <w:u w:val="single"/>
        </w:rPr>
        <w:t xml:space="preserve">（中型企业、小型企业、微型企业）</w:t>
      </w:r>
      <w:r>
        <w:rPr>
          <w:rFonts w:hint="eastAsia"/>
          <w:sz w:val="21"/>
          <w:szCs w:val="21"/>
        </w:rPr>
        <w:t xml:space="preserve">；</w:t>
      </w:r>
      <w:r>
        <w:rPr>
          <w:sz w:val="21"/>
          <w:szCs w:val="21"/>
        </w:rPr>
      </w:r>
      <w:r/>
    </w:p>
    <w:p>
      <w:pPr>
        <w:pStyle w:val="952"/>
        <w:ind w:firstLine="420"/>
        <w:spacing w:line="360" w:lineRule="auto"/>
        <w:rPr>
          <w:sz w:val="21"/>
          <w:szCs w:val="21"/>
        </w:rPr>
      </w:pPr>
      <w:r>
        <w:rPr>
          <w:rFonts w:hint="eastAsia"/>
          <w:sz w:val="21"/>
          <w:szCs w:val="21"/>
        </w:rPr>
        <w:t xml:space="preserve">……</w:t>
      </w:r>
      <w:r>
        <w:rPr>
          <w:sz w:val="21"/>
          <w:szCs w:val="21"/>
        </w:rPr>
      </w:r>
      <w:r/>
    </w:p>
    <w:p>
      <w:pPr>
        <w:pStyle w:val="952"/>
        <w:ind w:firstLine="420"/>
        <w:spacing w:line="360" w:lineRule="auto"/>
        <w:rPr>
          <w:sz w:val="21"/>
          <w:szCs w:val="21"/>
        </w:rPr>
      </w:pPr>
      <w:r>
        <w:rPr>
          <w:rFonts w:hint="eastAsia"/>
          <w:sz w:val="21"/>
          <w:szCs w:val="21"/>
        </w:rPr>
        <w:t xml:space="preserve">以上企业，不</w:t>
      </w:r>
      <w:r>
        <w:rPr>
          <w:rFonts w:hint="eastAsia"/>
          <w:sz w:val="21"/>
          <w:szCs w:val="21"/>
        </w:rPr>
        <w:t xml:space="preserve">属于大企业的分支机构，不存在控股股东为大企业的情形，也不存在与大企业的负责人为同一人的情形。</w:t>
      </w:r>
      <w:r>
        <w:rPr>
          <w:sz w:val="21"/>
          <w:szCs w:val="21"/>
        </w:rPr>
      </w:r>
      <w:r/>
    </w:p>
    <w:p>
      <w:pPr>
        <w:pStyle w:val="952"/>
        <w:ind w:firstLine="420"/>
        <w:spacing w:line="360" w:lineRule="auto"/>
        <w:rPr>
          <w:sz w:val="21"/>
          <w:szCs w:val="21"/>
        </w:rPr>
      </w:pPr>
      <w:r>
        <w:rPr>
          <w:rFonts w:hint="eastAsia"/>
          <w:sz w:val="21"/>
          <w:szCs w:val="21"/>
        </w:rPr>
        <w:t xml:space="preserve">本企业对上述声明内容的真实性负责。如有虚假，将依法承担相应责任。</w:t>
      </w:r>
      <w:r>
        <w:rPr>
          <w:sz w:val="21"/>
          <w:szCs w:val="21"/>
        </w:rPr>
      </w:r>
      <w:r/>
    </w:p>
    <w:p>
      <w:pPr>
        <w:pStyle w:val="952"/>
        <w:ind w:firstLine="4200"/>
        <w:jc w:val="left"/>
        <w:spacing w:line="360" w:lineRule="auto"/>
        <w:rPr>
          <w:sz w:val="21"/>
          <w:szCs w:val="21"/>
        </w:rPr>
      </w:pPr>
      <w:r>
        <w:rPr>
          <w:rFonts w:hint="eastAsia"/>
          <w:sz w:val="21"/>
          <w:szCs w:val="21"/>
        </w:rPr>
        <w:t xml:space="preserve">企业名称（盖章）：</w:t>
      </w:r>
      <w:r>
        <w:rPr>
          <w:sz w:val="21"/>
          <w:szCs w:val="21"/>
        </w:rPr>
      </w:r>
      <w:r/>
    </w:p>
    <w:p>
      <w:pPr>
        <w:pStyle w:val="952"/>
        <w:ind w:right="1120" w:firstLine="4200"/>
        <w:jc w:val="left"/>
        <w:spacing w:line="360" w:lineRule="auto"/>
        <w:rPr>
          <w:sz w:val="21"/>
          <w:szCs w:val="21"/>
        </w:rPr>
      </w:pPr>
      <w:r>
        <w:rPr>
          <w:rFonts w:hint="eastAsia"/>
          <w:sz w:val="21"/>
          <w:szCs w:val="21"/>
        </w:rPr>
        <w:t xml:space="preserve">日期：</w:t>
      </w:r>
      <w:r>
        <w:rPr>
          <w:sz w:val="21"/>
          <w:szCs w:val="21"/>
        </w:rPr>
      </w:r>
      <w:r/>
    </w:p>
    <w:p>
      <w:pPr>
        <w:pStyle w:val="952"/>
        <w:spacing w:line="360" w:lineRule="auto"/>
        <w:rPr>
          <w:sz w:val="21"/>
          <w:szCs w:val="21"/>
        </w:rPr>
      </w:pPr>
      <w:r>
        <w:fldChar w:fldCharType="begin"/>
      </w:r>
      <w:r>
        <w:instrText xml:space="preserve">HYPERLINK "新建文件夹/最新TCGGZY-2021G024太仓市公安局关于2021-2023年公务用车维修保养服务项目采购13文件.docx" \l "_bookmark1"</w:instrText>
      </w:r>
      <w:r>
        <w:fldChar w:fldCharType="separate"/>
      </w:r>
      <w:r>
        <w:rPr>
          <w:rStyle w:val="1039"/>
          <w:color w:val="000000"/>
          <w:position w:val="16"/>
          <w:sz w:val="21"/>
          <w:szCs w:val="21"/>
        </w:rPr>
        <w:t xml:space="preserve">1</w:t>
      </w:r>
      <w:r>
        <w:rPr>
          <w:rStyle w:val="1039"/>
          <w:color w:val="000000"/>
          <w:position w:val="16"/>
          <w:sz w:val="21"/>
          <w:szCs w:val="21"/>
        </w:rPr>
        <w:fldChar w:fldCharType="end"/>
      </w:r>
      <w:r>
        <w:rPr>
          <w:rFonts w:hint="eastAsia"/>
          <w:sz w:val="21"/>
          <w:szCs w:val="21"/>
        </w:rPr>
        <w:t xml:space="preserve">从业人员、营业收入、资产总额填报上一年度数据，无上一年度数据的新成立企业可不填报。</w:t>
      </w:r>
      <w:r>
        <w:rPr>
          <w:sz w:val="21"/>
          <w:szCs w:val="21"/>
        </w:rPr>
      </w:r>
      <w:r/>
    </w:p>
    <w:p>
      <w:pPr>
        <w:pStyle w:val="952"/>
        <w:ind w:firstLine="422"/>
        <w:jc w:val="left"/>
        <w:spacing w:line="360" w:lineRule="auto"/>
        <w:rPr>
          <w:b/>
          <w:sz w:val="21"/>
          <w:szCs w:val="21"/>
        </w:rPr>
      </w:pPr>
      <w:r>
        <w:rPr>
          <w:rFonts w:hint="eastAsia"/>
          <w:b/>
          <w:sz w:val="21"/>
          <w:szCs w:val="21"/>
        </w:rPr>
        <w:t xml:space="preserve">备注：</w:t>
      </w:r>
      <w:r>
        <w:rPr>
          <w:b/>
          <w:sz w:val="21"/>
          <w:szCs w:val="21"/>
        </w:rPr>
      </w:r>
      <w:r/>
    </w:p>
    <w:p>
      <w:pPr>
        <w:pStyle w:val="952"/>
        <w:ind w:firstLine="420"/>
        <w:spacing w:line="360" w:lineRule="auto"/>
        <w:rPr>
          <w:sz w:val="21"/>
          <w:szCs w:val="21"/>
        </w:rPr>
      </w:pPr>
      <w:r>
        <w:rPr>
          <w:rFonts w:hint="eastAsia"/>
          <w:sz w:val="21"/>
          <w:szCs w:val="21"/>
        </w:rPr>
        <w:t xml:space="preserve">1、中小企业参加政府采购活动，应当出具《中小企业声明函》，否则不得享受相关中小企业扶持政策。</w:t>
      </w:r>
      <w:r>
        <w:rPr>
          <w:sz w:val="21"/>
          <w:szCs w:val="21"/>
        </w:rPr>
      </w:r>
      <w:r/>
    </w:p>
    <w:p>
      <w:pPr>
        <w:pStyle w:val="952"/>
        <w:ind w:firstLine="432"/>
        <w:spacing w:line="360" w:lineRule="auto"/>
        <w:rPr>
          <w:b/>
          <w:sz w:val="21"/>
          <w:szCs w:val="21"/>
        </w:rPr>
      </w:pPr>
      <w:r>
        <w:rPr>
          <w:rFonts w:hint="eastAsia"/>
          <w:sz w:val="21"/>
          <w:szCs w:val="21"/>
        </w:rPr>
        <w:t xml:space="preserve">2、供应商提供声明函内容不实的，属于提供虚假材料谋取中标、成交，依照《中华人民共和国政府采购法》 等国家有关规定追究相应责任</w:t>
      </w:r>
      <w:r>
        <w:rPr>
          <w:rFonts w:hint="eastAsia"/>
          <w:b/>
          <w:sz w:val="21"/>
          <w:szCs w:val="21"/>
        </w:rPr>
        <w:t xml:space="preserve">。</w:t>
      </w:r>
      <w:r>
        <w:rPr>
          <w:b/>
          <w:sz w:val="21"/>
          <w:szCs w:val="21"/>
        </w:rPr>
      </w:r>
      <w:r/>
    </w:p>
    <w:p>
      <w:pPr>
        <w:pStyle w:val="952"/>
      </w:pPr>
      <w:r/>
      <w:r/>
    </w:p>
    <w:p>
      <w:pPr>
        <w:pStyle w:val="952"/>
        <w:ind w:firstLine="432"/>
        <w:spacing w:line="360" w:lineRule="auto"/>
        <w:rPr>
          <w:b/>
          <w:sz w:val="21"/>
          <w:szCs w:val="21"/>
        </w:rPr>
      </w:pPr>
      <w:r>
        <w:rPr>
          <w:b/>
          <w:sz w:val="21"/>
          <w:szCs w:val="21"/>
        </w:rPr>
      </w:r>
      <w:r/>
    </w:p>
    <w:p>
      <w:pPr>
        <w:pStyle w:val="952"/>
      </w:pPr>
      <w:r/>
      <w:r/>
    </w:p>
    <w:p>
      <w:pPr>
        <w:pStyle w:val="952"/>
        <w:ind w:firstLine="432"/>
        <w:spacing w:line="360" w:lineRule="auto"/>
        <w:rPr>
          <w:b/>
          <w:sz w:val="21"/>
          <w:szCs w:val="21"/>
        </w:rPr>
      </w:pPr>
      <w:r>
        <w:rPr>
          <w:b/>
          <w:sz w:val="21"/>
          <w:szCs w:val="21"/>
        </w:rPr>
      </w:r>
      <w:r/>
    </w:p>
    <w:p>
      <w:pPr>
        <w:pStyle w:val="952"/>
      </w:pPr>
      <w:r/>
      <w:r/>
    </w:p>
    <w:p>
      <w:pPr>
        <w:pStyle w:val="952"/>
        <w:ind w:firstLine="432"/>
        <w:spacing w:line="360" w:lineRule="auto"/>
        <w:rPr>
          <w:b/>
          <w:sz w:val="21"/>
          <w:szCs w:val="21"/>
        </w:rPr>
      </w:pPr>
      <w:r>
        <w:rPr>
          <w:b/>
          <w:sz w:val="21"/>
          <w:szCs w:val="21"/>
        </w:rPr>
      </w:r>
      <w:r/>
    </w:p>
    <w:p>
      <w:pPr>
        <w:pStyle w:val="952"/>
      </w:pPr>
      <w:r/>
      <w:r/>
    </w:p>
    <w:p>
      <w:pPr>
        <w:pStyle w:val="952"/>
        <w:spacing w:line="360" w:lineRule="auto"/>
        <w:rPr>
          <w:rFonts w:hint="eastAsia" w:cs="宋体"/>
          <w:sz w:val="21"/>
          <w:szCs w:val="21"/>
        </w:rPr>
      </w:pPr>
      <w:r>
        <w:rPr>
          <w:rFonts w:hint="eastAsia" w:cs="宋体"/>
          <w:sz w:val="21"/>
          <w:szCs w:val="21"/>
        </w:rPr>
      </w:r>
      <w:r/>
    </w:p>
    <w:p>
      <w:pPr>
        <w:pStyle w:val="952"/>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p>
    <w:p>
      <w:pPr>
        <w:pStyle w:val="952"/>
        <w:jc w:val="left"/>
        <w:spacing w:line="480" w:lineRule="atLeast"/>
        <w:widowControl/>
        <w:rPr>
          <w:rFonts w:hint="eastAsia" w:cs="宋体"/>
          <w:b/>
          <w:sz w:val="32"/>
          <w:szCs w:val="32"/>
        </w:rPr>
      </w:pPr>
      <w:r>
        <w:rPr>
          <w:rFonts w:hint="eastAsia" w:cs="宋体"/>
          <w:b/>
          <w:sz w:val="32"/>
          <w:szCs w:val="32"/>
        </w:rPr>
      </w:r>
      <w:r/>
    </w:p>
    <w:p>
      <w:pPr>
        <w:pStyle w:val="952"/>
        <w:jc w:val="center"/>
        <w:spacing w:line="480" w:lineRule="atLeast"/>
        <w:widowControl/>
        <w:rPr>
          <w:rFonts w:hint="eastAsia" w:cs="宋体"/>
          <w:sz w:val="28"/>
          <w:szCs w:val="28"/>
        </w:rPr>
      </w:pPr>
      <w:r>
        <w:rPr>
          <w:rFonts w:hint="eastAsia" w:cs="宋体"/>
          <w:sz w:val="28"/>
          <w:szCs w:val="28"/>
        </w:rPr>
        <w:t xml:space="preserve">残疾人福利性单位声明函</w:t>
      </w:r>
      <w:r/>
    </w:p>
    <w:p>
      <w:pPr>
        <w:pStyle w:val="952"/>
        <w:ind w:firstLine="1687"/>
        <w:jc w:val="left"/>
        <w:spacing w:line="480" w:lineRule="atLeast"/>
        <w:widowControl/>
        <w:rPr>
          <w:rFonts w:hint="eastAsia" w:cs="宋体"/>
          <w:b/>
          <w:sz w:val="28"/>
          <w:szCs w:val="28"/>
        </w:rPr>
      </w:pPr>
      <w:r>
        <w:rPr>
          <w:rFonts w:hint="eastAsia" w:cs="宋体"/>
          <w:b/>
          <w:sz w:val="28"/>
          <w:szCs w:val="28"/>
        </w:rPr>
      </w:r>
      <w:r/>
    </w:p>
    <w:p>
      <w:pPr>
        <w:pStyle w:val="952"/>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w:t>
      </w:r>
      <w:r>
        <w:rPr>
          <w:rFonts w:hint="eastAsia" w:cs="宋体"/>
          <w:sz w:val="22"/>
          <w:szCs w:val="22"/>
        </w:rPr>
        <w:t xml:space="preserve">承担工程/提供服务），或者提供其他残疾人福利性单位制造的货物（不包括使用非残疾人福利性单位注册商标的货物）。</w:t>
      </w:r>
      <w:r/>
    </w:p>
    <w:p>
      <w:pPr>
        <w:pStyle w:val="952"/>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p>
    <w:p>
      <w:pPr>
        <w:pStyle w:val="952"/>
        <w:jc w:val="left"/>
        <w:spacing w:line="480" w:lineRule="atLeast"/>
        <w:widowControl/>
        <w:rPr>
          <w:rFonts w:hint="eastAsia" w:cs="宋体"/>
          <w:sz w:val="22"/>
          <w:szCs w:val="22"/>
        </w:rPr>
      </w:pPr>
      <w:r>
        <w:rPr>
          <w:rFonts w:hint="eastAsia" w:cs="宋体"/>
          <w:sz w:val="22"/>
          <w:szCs w:val="22"/>
        </w:rPr>
      </w:r>
      <w:r/>
    </w:p>
    <w:p>
      <w:pPr>
        <w:pStyle w:val="952"/>
        <w:jc w:val="left"/>
        <w:spacing w:line="480" w:lineRule="atLeast"/>
        <w:widowControl/>
        <w:rPr>
          <w:rFonts w:hint="eastAsia" w:cs="宋体"/>
          <w:sz w:val="22"/>
          <w:szCs w:val="22"/>
        </w:rPr>
      </w:pPr>
      <w:r>
        <w:rPr>
          <w:rFonts w:hint="eastAsia" w:cs="宋体"/>
          <w:sz w:val="22"/>
          <w:szCs w:val="22"/>
        </w:rPr>
      </w:r>
      <w:r/>
    </w:p>
    <w:p>
      <w:pPr>
        <w:pStyle w:val="952"/>
        <w:jc w:val="left"/>
        <w:spacing w:line="480" w:lineRule="atLeast"/>
        <w:widowControl/>
        <w:rPr>
          <w:rFonts w:hint="eastAsia" w:cs="宋体"/>
          <w:sz w:val="22"/>
          <w:szCs w:val="22"/>
        </w:rPr>
      </w:pPr>
      <w:r>
        <w:rPr>
          <w:rFonts w:hint="eastAsia" w:cs="宋体"/>
          <w:sz w:val="22"/>
          <w:szCs w:val="22"/>
        </w:rPr>
        <w:t xml:space="preserve">                                         单位名称（盖章）：</w:t>
      </w:r>
      <w:r/>
    </w:p>
    <w:p>
      <w:pPr>
        <w:pStyle w:val="952"/>
        <w:jc w:val="left"/>
        <w:spacing w:line="480" w:lineRule="atLeast"/>
        <w:widowControl/>
        <w:rPr>
          <w:rFonts w:hint="eastAsia" w:cs="宋体"/>
          <w:sz w:val="22"/>
          <w:szCs w:val="22"/>
        </w:rPr>
      </w:pPr>
      <w:r>
        <w:rPr>
          <w:rFonts w:hint="eastAsia" w:cs="宋体"/>
          <w:sz w:val="22"/>
          <w:szCs w:val="22"/>
        </w:rPr>
        <w:t xml:space="preserve">                                               日  期：</w:t>
      </w:r>
      <w:r/>
    </w:p>
    <w:p>
      <w:pPr>
        <w:pStyle w:val="952"/>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rPr>
          <w:rFonts w:hint="eastAsia" w:cs="宋体"/>
          <w:b/>
          <w:sz w:val="21"/>
          <w:szCs w:val="21"/>
        </w:rPr>
      </w:r>
      <w:r/>
    </w:p>
    <w:p>
      <w:pPr>
        <w:pStyle w:val="952"/>
        <w:ind w:left="-240" w:right="-240"/>
        <w:spacing w:line="360" w:lineRule="auto"/>
        <w:rPr>
          <w:rFonts w:hint="eastAsia" w:cs="宋体"/>
          <w:b/>
          <w:sz w:val="21"/>
          <w:szCs w:val="21"/>
        </w:rPr>
      </w:pPr>
      <w:r>
        <w:rPr>
          <w:rFonts w:hint="eastAsia" w:cs="宋体"/>
          <w:b/>
          <w:sz w:val="21"/>
          <w:szCs w:val="21"/>
        </w:rPr>
      </w:r>
      <w:r/>
    </w:p>
    <w:p>
      <w:pPr>
        <w:pStyle w:val="952"/>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rPr>
          <w:rFonts w:hint="eastAsia" w:cs="宋体"/>
          <w:sz w:val="21"/>
          <w:szCs w:val="21"/>
        </w:rPr>
      </w:r>
      <w:r/>
    </w:p>
    <w:p>
      <w:pPr>
        <w:pStyle w:val="952"/>
        <w:spacing w:line="360" w:lineRule="auto"/>
        <w:rPr>
          <w:rFonts w:hint="eastAsia" w:cs="宋体"/>
          <w:sz w:val="21"/>
          <w:szCs w:val="21"/>
        </w:rPr>
      </w:pPr>
      <w:r>
        <w:rPr>
          <w:rFonts w:hint="eastAsia" w:cs="宋体"/>
          <w:sz w:val="21"/>
          <w:szCs w:val="21"/>
        </w:rPr>
      </w:r>
      <w:r/>
    </w:p>
    <w:p>
      <w:pPr>
        <w:pStyle w:val="952"/>
        <w:spacing w:line="360" w:lineRule="auto"/>
        <w:rPr>
          <w:rFonts w:hint="eastAsia" w:cs="宋体"/>
          <w:sz w:val="21"/>
          <w:szCs w:val="21"/>
        </w:rPr>
      </w:pPr>
      <w:r>
        <w:rPr>
          <w:rFonts w:hint="eastAsia" w:cs="宋体"/>
          <w:sz w:val="21"/>
          <w:szCs w:val="21"/>
        </w:rPr>
        <w:t xml:space="preserve">致：苏州乐族工程咨询有限公司：</w:t>
      </w:r>
      <w:r/>
    </w:p>
    <w:p>
      <w:pPr>
        <w:pStyle w:val="952"/>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p>
    <w:p>
      <w:pPr>
        <w:pStyle w:val="952"/>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p>
    <w:p>
      <w:pPr>
        <w:pStyle w:val="952"/>
        <w:ind w:firstLine="420"/>
        <w:spacing w:line="360" w:lineRule="auto"/>
        <w:rPr>
          <w:rFonts w:hint="eastAsia" w:cs="宋体"/>
          <w:sz w:val="21"/>
          <w:szCs w:val="21"/>
        </w:rPr>
      </w:pPr>
      <w:r>
        <w:rPr>
          <w:rFonts w:hint="eastAsia" w:cs="宋体"/>
          <w:sz w:val="21"/>
          <w:szCs w:val="21"/>
        </w:rPr>
      </w:r>
      <w:r/>
    </w:p>
    <w:p>
      <w:pPr>
        <w:pStyle w:val="952"/>
        <w:ind w:firstLine="420"/>
        <w:spacing w:line="360" w:lineRule="auto"/>
        <w:rPr>
          <w:rFonts w:hint="eastAsia" w:cs="宋体"/>
          <w:sz w:val="21"/>
          <w:szCs w:val="21"/>
        </w:rPr>
      </w:pPr>
      <w:r>
        <w:rPr>
          <w:rFonts w:hint="eastAsia" w:cs="宋体"/>
          <w:sz w:val="21"/>
          <w:szCs w:val="21"/>
        </w:rPr>
        <w:t xml:space="preserve">供应商名称（单位公章）：</w:t>
      </w:r>
      <w:r/>
    </w:p>
    <w:p>
      <w:pPr>
        <w:pStyle w:val="952"/>
        <w:ind w:firstLine="420"/>
        <w:spacing w:line="360" w:lineRule="auto"/>
        <w:rPr>
          <w:rFonts w:hint="eastAsia" w:cs="宋体"/>
          <w:sz w:val="21"/>
          <w:szCs w:val="21"/>
        </w:rPr>
      </w:pPr>
      <w:r>
        <w:rPr>
          <w:rFonts w:hint="eastAsia" w:cs="宋体"/>
          <w:sz w:val="21"/>
          <w:szCs w:val="21"/>
        </w:rPr>
        <w:t xml:space="preserve">法定代表人（负责人）或代理人（签字或盖章）：   </w:t>
      </w:r>
      <w:r/>
    </w:p>
    <w:p>
      <w:pPr>
        <w:pStyle w:val="952"/>
        <w:ind w:firstLine="420"/>
        <w:jc w:val="left"/>
        <w:spacing w:line="400" w:lineRule="exact"/>
        <w:rPr>
          <w:rFonts w:hint="eastAsia" w:cs="宋体"/>
          <w:sz w:val="21"/>
          <w:szCs w:val="21"/>
        </w:rPr>
      </w:pPr>
      <w:r>
        <w:rPr>
          <w:rFonts w:hint="eastAsia" w:cs="宋体"/>
          <w:sz w:val="21"/>
          <w:szCs w:val="21"/>
        </w:rPr>
        <w:t xml:space="preserve">日期：  年   月   日  </w:t>
      </w:r>
      <w:r/>
    </w:p>
    <w:p>
      <w:pPr>
        <w:pStyle w:val="952"/>
        <w:rPr>
          <w:rFonts w:hint="eastAsia" w:cs="宋体"/>
          <w:b/>
          <w:bCs/>
          <w:sz w:val="21"/>
          <w:szCs w:val="21"/>
        </w:rPr>
      </w:pPr>
      <w:r>
        <w:rPr>
          <w:rFonts w:hint="eastAsia" w:cs="宋体"/>
          <w:b/>
          <w:bCs/>
          <w:sz w:val="21"/>
          <w:szCs w:val="21"/>
        </w:rPr>
        <w:br w:type="page" w:clear="all"/>
        <w:t xml:space="preserve">附件10、拟投入人员情况表</w:t>
      </w:r>
      <w:r/>
    </w:p>
    <w:p>
      <w:pPr>
        <w:pStyle w:val="952"/>
        <w:jc w:val="center"/>
        <w:widowControl/>
        <w:rPr>
          <w:rFonts w:hint="eastAsia" w:cs="宋体"/>
          <w:sz w:val="21"/>
          <w:szCs w:val="21"/>
        </w:rPr>
      </w:pPr>
      <w:r>
        <w:rPr>
          <w:rFonts w:hint="eastAsia" w:cs="宋体"/>
          <w:sz w:val="21"/>
          <w:szCs w:val="21"/>
        </w:rPr>
        <w:t xml:space="preserve">拟投入人员情况表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710"/>
        <w:gridCol w:w="1560"/>
        <w:gridCol w:w="712"/>
        <w:gridCol w:w="782"/>
        <w:gridCol w:w="1675"/>
        <w:gridCol w:w="1933"/>
        <w:gridCol w:w="1891"/>
      </w:tblGrid>
      <w:tr>
        <w:trPr>
          <w:trHeight w:val="704"/>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序号</w:t>
            </w:r>
            <w:r>
              <w:rPr>
                <w:rFonts w:hint="eastAsia" w:cs="宋体"/>
                <w:sz w:val="21"/>
                <w:szCs w:val="21"/>
              </w:rPr>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姓名</w:t>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在本项目中担任岗位</w:t>
            </w:r>
            <w:r>
              <w:rPr>
                <w:rFonts w:hint="eastAsia" w:cs="宋体"/>
                <w:sz w:val="21"/>
                <w:szCs w:val="21"/>
              </w:rPr>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年龄</w:t>
            </w:r>
            <w:r>
              <w:rPr>
                <w:rFonts w:hint="eastAsia" w:cs="宋体"/>
                <w:sz w:val="21"/>
                <w:szCs w:val="21"/>
              </w:rPr>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性别</w:t>
            </w:r>
            <w:r>
              <w:rPr>
                <w:rFonts w:hint="eastAsia" w:cs="宋体"/>
                <w:sz w:val="21"/>
                <w:szCs w:val="21"/>
              </w:rPr>
            </w:r>
            <w:r/>
          </w:p>
        </w:tc>
        <w:tc>
          <w:tcPr>
            <w:tcW w:w="831" w:type="pct"/>
            <w:vAlign w:val="center"/>
            <w:textDirection w:val="lrTb"/>
            <w:noWrap w:val="false"/>
          </w:tcPr>
          <w:p>
            <w:pPr>
              <w:pStyle w:val="952"/>
              <w:jc w:val="center"/>
              <w:widowControl/>
              <w:rPr>
                <w:rFonts w:hint="eastAsia" w:cs="宋体"/>
                <w:sz w:val="21"/>
                <w:szCs w:val="21"/>
                <w:lang w:eastAsia="en-US"/>
              </w:rPr>
            </w:pPr>
            <w:r>
              <w:rPr>
                <w:rFonts w:hint="eastAsia" w:cs="宋体"/>
                <w:sz w:val="21"/>
                <w:szCs w:val="21"/>
                <w:lang w:eastAsia="en-US"/>
              </w:rPr>
              <w:t xml:space="preserve">证书情况</w:t>
            </w:r>
            <w:r/>
          </w:p>
        </w:tc>
        <w:tc>
          <w:tcPr>
            <w:tcW w:w="959" w:type="pct"/>
            <w:vAlign w:val="center"/>
            <w:textDirection w:val="lrTb"/>
            <w:noWrap w:val="false"/>
          </w:tcPr>
          <w:p>
            <w:pPr>
              <w:pStyle w:val="952"/>
              <w:jc w:val="center"/>
              <w:widowControl/>
              <w:rPr>
                <w:rFonts w:hint="eastAsia" w:cs="宋体"/>
                <w:sz w:val="21"/>
                <w:szCs w:val="21"/>
                <w:lang w:eastAsia="en-US"/>
              </w:rPr>
            </w:pPr>
            <w:r>
              <w:rPr>
                <w:rFonts w:hint="eastAsia" w:cs="宋体"/>
                <w:sz w:val="21"/>
                <w:szCs w:val="21"/>
                <w:lang w:eastAsia="en-US"/>
              </w:rPr>
              <w:t xml:space="preserve">职称</w:t>
            </w:r>
            <w:r/>
          </w:p>
        </w:tc>
        <w:tc>
          <w:tcPr>
            <w:tcW w:w="938" w:type="pct"/>
            <w:vAlign w:val="center"/>
            <w:textDirection w:val="lrTb"/>
            <w:noWrap w:val="false"/>
          </w:tcPr>
          <w:p>
            <w:pPr>
              <w:pStyle w:val="952"/>
              <w:jc w:val="center"/>
              <w:widowControl/>
              <w:rPr>
                <w:rFonts w:hint="eastAsia" w:cs="宋体"/>
                <w:sz w:val="21"/>
                <w:szCs w:val="21"/>
                <w:lang w:eastAsia="en-US"/>
              </w:rPr>
            </w:pPr>
            <w:r>
              <w:rPr>
                <w:rFonts w:hint="eastAsia" w:cs="宋体"/>
                <w:sz w:val="21"/>
                <w:szCs w:val="21"/>
                <w:lang w:eastAsia="en-US"/>
              </w:rPr>
              <w:t xml:space="preserve">简</w:t>
            </w:r>
            <w:r>
              <w:rPr>
                <w:rFonts w:hint="eastAsia" w:cs="宋体"/>
                <w:sz w:val="21"/>
                <w:szCs w:val="21"/>
                <w:lang w:eastAsia="en-US"/>
              </w:rPr>
              <w:t xml:space="preserve">介</w:t>
            </w:r>
            <w:r/>
          </w:p>
        </w:tc>
      </w:tr>
      <w:tr>
        <w:trPr>
          <w:trHeight w:val="567"/>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831"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959"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r>
    </w:tbl>
    <w:p>
      <w:pPr>
        <w:pStyle w:val="952"/>
        <w:ind w:firstLine="420"/>
        <w:spacing w:line="360" w:lineRule="auto"/>
        <w:rPr>
          <w:rFonts w:hint="eastAsia"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后附拟投入人员相关材料</w:t>
      </w:r>
      <w:r>
        <w:rPr>
          <w:rFonts w:hint="eastAsia" w:cs="宋体"/>
          <w:sz w:val="21"/>
          <w:szCs w:val="21"/>
        </w:rPr>
        <w:t xml:space="preserve">。</w:t>
      </w:r>
      <w:r>
        <w:rPr>
          <w:rFonts w:hint="eastAsia" w:cs="宋体"/>
          <w:sz w:val="21"/>
          <w:szCs w:val="21"/>
          <w:lang w:eastAsia="en-US"/>
        </w:rPr>
      </w:r>
      <w:r/>
    </w:p>
    <w:p>
      <w:pPr>
        <w:pStyle w:val="952"/>
        <w:ind w:firstLine="420"/>
        <w:jc w:val="left"/>
        <w:spacing w:line="400" w:lineRule="exact"/>
        <w:rPr>
          <w:rFonts w:cs="宋体"/>
          <w:sz w:val="21"/>
          <w:szCs w:val="21"/>
        </w:rPr>
      </w:pPr>
      <w:r>
        <w:rPr>
          <w:rFonts w:cs="宋体"/>
          <w:sz w:val="21"/>
          <w:szCs w:val="21"/>
        </w:rPr>
      </w:r>
      <w:r/>
    </w:p>
    <w:p>
      <w:pPr>
        <w:pStyle w:val="952"/>
        <w:ind w:firstLine="420"/>
        <w:jc w:val="left"/>
        <w:spacing w:line="400" w:lineRule="exact"/>
        <w:rPr>
          <w:rFonts w:cs="宋体"/>
          <w:sz w:val="21"/>
          <w:szCs w:val="21"/>
        </w:rPr>
      </w:pPr>
      <w:r>
        <w:rPr>
          <w:rFonts w:cs="宋体"/>
          <w:sz w:val="21"/>
          <w:szCs w:val="21"/>
        </w:rPr>
      </w:r>
      <w:r/>
    </w:p>
    <w:p>
      <w:pPr>
        <w:pStyle w:val="952"/>
        <w:ind w:firstLine="420"/>
        <w:jc w:val="left"/>
        <w:spacing w:line="400" w:lineRule="exact"/>
        <w:rPr>
          <w:rFonts w:cs="宋体"/>
          <w:sz w:val="21"/>
          <w:szCs w:val="21"/>
        </w:rPr>
      </w:pPr>
      <w:r>
        <w:rPr>
          <w:rFonts w:cs="宋体"/>
          <w:sz w:val="21"/>
          <w:szCs w:val="21"/>
        </w:rPr>
      </w:r>
      <w:r/>
    </w:p>
    <w:p>
      <w:pPr>
        <w:pStyle w:val="952"/>
        <w:ind w:firstLine="420"/>
        <w:jc w:val="left"/>
        <w:spacing w:line="400" w:lineRule="exact"/>
        <w:rPr>
          <w:rFonts w:hint="eastAsia" w:cs="宋体"/>
          <w:sz w:val="21"/>
          <w:szCs w:val="21"/>
        </w:rPr>
      </w:pPr>
      <w:r>
        <w:rPr>
          <w:rFonts w:hint="eastAsia" w:cs="宋体"/>
          <w:sz w:val="21"/>
          <w:szCs w:val="21"/>
        </w:rPr>
        <w:t xml:space="preserve">投标人名称：         （盖章）</w:t>
      </w:r>
      <w:r/>
    </w:p>
    <w:p>
      <w:pPr>
        <w:pStyle w:val="952"/>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952"/>
        <w:ind w:firstLine="420"/>
        <w:jc w:val="left"/>
        <w:spacing w:line="400" w:lineRule="exact"/>
        <w:rPr>
          <w:rFonts w:hint="eastAsia" w:cs="宋体"/>
          <w:sz w:val="21"/>
          <w:szCs w:val="21"/>
        </w:rPr>
      </w:pPr>
      <w:r>
        <w:rPr>
          <w:rFonts w:hint="eastAsia" w:cs="宋体"/>
          <w:sz w:val="21"/>
          <w:szCs w:val="21"/>
        </w:rPr>
        <w:t xml:space="preserve">日期：           年  月  日</w:t>
      </w:r>
      <w:r/>
    </w:p>
    <w:p>
      <w:pPr>
        <w:pStyle w:val="952"/>
        <w:jc w:val="left"/>
        <w:spacing w:line="400" w:lineRule="exact"/>
        <w:rPr>
          <w:rFonts w:hint="eastAsia" w:cs="宋体"/>
          <w:sz w:val="21"/>
          <w:szCs w:val="21"/>
        </w:rPr>
      </w:pPr>
      <w:r>
        <w:rPr>
          <w:rFonts w:hint="eastAsia" w:cs="宋体"/>
          <w:sz w:val="21"/>
          <w:szCs w:val="21"/>
        </w:rPr>
      </w:r>
      <w:r/>
    </w:p>
    <w:p>
      <w:pPr>
        <w:pStyle w:val="952"/>
        <w:jc w:val="left"/>
        <w:spacing w:line="400" w:lineRule="exact"/>
        <w:rPr>
          <w:rFonts w:hint="eastAsia" w:cs="宋体"/>
          <w:sz w:val="21"/>
          <w:szCs w:val="21"/>
        </w:rPr>
      </w:pPr>
      <w:r>
        <w:rPr>
          <w:rFonts w:hint="eastAsia" w:cs="宋体"/>
          <w:sz w:val="21"/>
          <w:szCs w:val="21"/>
        </w:rPr>
      </w:r>
      <w:r/>
    </w:p>
    <w:p>
      <w:pPr>
        <w:pStyle w:val="952"/>
        <w:jc w:val="left"/>
        <w:spacing w:line="400" w:lineRule="exact"/>
        <w:rPr>
          <w:rFonts w:hint="eastAsia" w:cs="宋体"/>
          <w:b/>
          <w:bCs/>
          <w:sz w:val="21"/>
          <w:szCs w:val="21"/>
          <w:lang w:eastAsia="en-US"/>
        </w:rPr>
      </w:pPr>
      <w:r>
        <w:rPr>
          <w:rFonts w:hint="eastAsia" w:cs="宋体"/>
          <w:b/>
          <w:bCs/>
          <w:sz w:val="21"/>
          <w:szCs w:val="21"/>
        </w:rPr>
        <w:br w:type="page" w:clear="all"/>
      </w:r>
      <w:r>
        <w:rPr>
          <w:rFonts w:hint="eastAsia" w:cs="宋体"/>
          <w:b/>
          <w:bCs/>
          <w:sz w:val="21"/>
          <w:szCs w:val="21"/>
          <w:lang w:eastAsia="en-US"/>
        </w:rPr>
        <w:t xml:space="preserve">附件</w:t>
      </w:r>
      <w:r>
        <w:rPr>
          <w:rFonts w:cs="宋体"/>
          <w:b/>
          <w:bCs/>
          <w:sz w:val="21"/>
          <w:szCs w:val="21"/>
          <w:lang w:eastAsia="en-US"/>
        </w:rPr>
        <w:t xml:space="preserve">1</w:t>
      </w:r>
      <w:r>
        <w:rPr>
          <w:rFonts w:hint="eastAsia" w:cs="宋体"/>
          <w:b/>
          <w:bCs/>
          <w:sz w:val="21"/>
          <w:szCs w:val="21"/>
        </w:rPr>
        <w:t xml:space="preserve">1</w:t>
      </w:r>
      <w:r>
        <w:rPr>
          <w:rFonts w:cs="宋体"/>
          <w:b/>
          <w:bCs/>
          <w:sz w:val="21"/>
          <w:szCs w:val="21"/>
          <w:lang w:eastAsia="en-US"/>
        </w:rPr>
        <w:t xml:space="preserve">、</w:t>
      </w:r>
      <w:r>
        <w:rPr>
          <w:rFonts w:hint="eastAsia" w:cs="宋体"/>
          <w:b/>
          <w:bCs/>
          <w:sz w:val="21"/>
          <w:szCs w:val="21"/>
          <w:lang w:eastAsia="en-US"/>
        </w:rPr>
        <w:t xml:space="preserve">类似业绩一览表</w:t>
      </w:r>
      <w:r/>
    </w:p>
    <w:p>
      <w:pPr>
        <w:pStyle w:val="952"/>
        <w:jc w:val="left"/>
        <w:spacing w:line="400" w:lineRule="exact"/>
        <w:rPr>
          <w:rFonts w:hint="eastAsia" w:cs="宋体"/>
          <w:b/>
          <w:bCs/>
          <w:sz w:val="21"/>
          <w:szCs w:val="21"/>
          <w:lang w:eastAsia="en-US"/>
        </w:rPr>
      </w:pPr>
      <w:r>
        <w:rPr>
          <w:rFonts w:hint="eastAsia" w:cs="宋体"/>
          <w:b/>
          <w:bCs/>
          <w:sz w:val="21"/>
          <w:szCs w:val="21"/>
          <w:lang w:eastAsia="en-US"/>
        </w:rPr>
      </w:r>
      <w:r/>
    </w:p>
    <w:p>
      <w:pPr>
        <w:pStyle w:val="952"/>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p>
    <w:p>
      <w:pPr>
        <w:pStyle w:val="952"/>
        <w:jc w:val="center"/>
        <w:spacing w:line="400" w:lineRule="exact"/>
        <w:rPr>
          <w:rFonts w:hint="eastAsia" w:cs="宋体"/>
          <w:b/>
          <w:bCs/>
          <w:sz w:val="21"/>
          <w:szCs w:val="21"/>
          <w:lang w:eastAsia="en-US"/>
        </w:rPr>
      </w:pPr>
      <w:r>
        <w:rPr>
          <w:rFonts w:hint="eastAsia" w:cs="宋体"/>
          <w:b/>
          <w:bCs/>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6"/>
        <w:gridCol w:w="1722"/>
        <w:gridCol w:w="1722"/>
        <w:gridCol w:w="2049"/>
        <w:gridCol w:w="2222"/>
        <w:gridCol w:w="1139"/>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967"/>
              <w:ind w:firstLine="0"/>
              <w:jc w:val="center"/>
              <w:rPr>
                <w:rFonts w:eastAsia="宋体"/>
                <w:bCs/>
                <w:sz w:val="21"/>
                <w:szCs w:val="21"/>
              </w:rPr>
            </w:pPr>
            <w:r>
              <w:rPr>
                <w:rFonts w:eastAsia="宋体"/>
                <w:bCs/>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bl>
    <w:p>
      <w:pPr>
        <w:pStyle w:val="952"/>
        <w:jc w:val="left"/>
        <w:spacing w:line="400" w:lineRule="exact"/>
        <w:rPr>
          <w:rFonts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后附业绩证明材料。</w:t>
      </w:r>
      <w:r>
        <w:rPr>
          <w:rFonts w:cs="宋体"/>
          <w:sz w:val="21"/>
          <w:szCs w:val="21"/>
          <w:lang w:eastAsia="en-US"/>
        </w:rPr>
      </w:r>
      <w:r/>
    </w:p>
    <w:p>
      <w:pPr>
        <w:pStyle w:val="952"/>
        <w:jc w:val="left"/>
        <w:spacing w:line="400" w:lineRule="exact"/>
        <w:rPr>
          <w:rFonts w:hint="eastAsia" w:cs="宋体"/>
          <w:b/>
          <w:bCs/>
          <w:sz w:val="21"/>
          <w:szCs w:val="21"/>
        </w:rPr>
      </w:pPr>
      <w:r>
        <w:rPr>
          <w:rFonts w:hint="eastAsia" w:cs="宋体"/>
          <w:b/>
          <w:bCs/>
          <w:sz w:val="21"/>
          <w:szCs w:val="21"/>
        </w:rPr>
      </w:r>
      <w:r/>
    </w:p>
    <w:p>
      <w:pPr>
        <w:pStyle w:val="952"/>
        <w:jc w:val="left"/>
        <w:spacing w:line="400" w:lineRule="exact"/>
        <w:rPr>
          <w:rFonts w:hint="eastAsia" w:cs="宋体"/>
          <w:b/>
          <w:bCs/>
          <w:sz w:val="21"/>
          <w:szCs w:val="21"/>
        </w:rPr>
      </w:pPr>
      <w:r>
        <w:rPr>
          <w:rFonts w:hint="eastAsia" w:cs="宋体"/>
          <w:b/>
          <w:bCs/>
          <w:sz w:val="21"/>
          <w:szCs w:val="21"/>
        </w:rPr>
      </w:r>
      <w:r/>
    </w:p>
    <w:p>
      <w:pPr>
        <w:pStyle w:val="952"/>
        <w:ind w:firstLine="420"/>
        <w:jc w:val="left"/>
        <w:spacing w:line="400" w:lineRule="exact"/>
        <w:rPr>
          <w:rFonts w:hint="eastAsia" w:cs="宋体"/>
          <w:sz w:val="21"/>
          <w:szCs w:val="21"/>
        </w:rPr>
      </w:pPr>
      <w:r>
        <w:rPr>
          <w:rFonts w:hint="eastAsia" w:cs="宋体"/>
          <w:sz w:val="21"/>
          <w:szCs w:val="21"/>
        </w:rPr>
        <w:t xml:space="preserve">投标人名称：         （盖章）</w:t>
      </w:r>
      <w:r/>
    </w:p>
    <w:p>
      <w:pPr>
        <w:pStyle w:val="952"/>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952"/>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t xml:space="preserve">附件</w:t>
      </w:r>
      <w:r>
        <w:rPr>
          <w:rFonts w:cs="宋体"/>
          <w:b/>
          <w:bCs/>
          <w:sz w:val="21"/>
          <w:szCs w:val="21"/>
        </w:rPr>
        <w:t xml:space="preserve">1</w:t>
      </w:r>
      <w:r>
        <w:rPr>
          <w:rFonts w:hint="eastAsia" w:cs="宋体"/>
          <w:b/>
          <w:bCs/>
          <w:sz w:val="21"/>
          <w:szCs w:val="21"/>
        </w:rPr>
        <w:t xml:space="preserve">2、其他由招标文件要求自行编写格式</w:t>
      </w:r>
      <w:r/>
    </w:p>
    <w:p>
      <w:pPr>
        <w:pStyle w:val="953"/>
        <w:numPr>
          <w:ilvl w:val="0"/>
          <w:numId w:val="0"/>
        </w:numPr>
        <w:jc w:val="center"/>
        <w:tabs>
          <w:tab w:val="left" w:pos="432" w:leader="none"/>
        </w:tabs>
        <w:rPr>
          <w:rFonts w:hint="eastAsia" w:cs="宋体"/>
          <w:szCs w:val="44"/>
        </w:rPr>
      </w:pPr>
      <w:r>
        <w:rPr>
          <w:rFonts w:hint="eastAsia" w:cs="宋体"/>
          <w:b w:val="0"/>
          <w:bCs/>
          <w:szCs w:val="44"/>
        </w:rPr>
        <w:br w:type="page" w:clear="all"/>
      </w:r>
      <w:r>
        <w:rPr>
          <w:rFonts w:hint="eastAsia" w:ascii="宋体" w:hAnsi="宋体" w:cs="宋体"/>
        </w:rPr>
        <w:t xml:space="preserve">第四章 </w:t>
      </w:r>
      <w:bookmarkStart w:id="8" w:name="招标书"/>
      <w:r>
        <w:rPr>
          <w:rFonts w:hint="eastAsia" w:ascii="宋体" w:hAnsi="宋体" w:cs="宋体"/>
        </w:rPr>
        <w:t xml:space="preserve">招标书</w:t>
      </w:r>
      <w:bookmarkEnd w:id="8"/>
      <w:r>
        <w:rPr>
          <w:rFonts w:hint="eastAsia" w:cs="宋体"/>
          <w:szCs w:val="44"/>
        </w:rPr>
      </w:r>
      <w:r/>
    </w:p>
    <w:p>
      <w:pPr>
        <w:pStyle w:val="1018"/>
        <w:ind w:firstLine="420"/>
        <w:rPr>
          <w:rFonts w:hint="eastAsia" w:ascii="宋体" w:hAnsi="宋体" w:cs="宋体"/>
          <w:sz w:val="21"/>
          <w:szCs w:val="21"/>
        </w:rPr>
      </w:pPr>
      <w:r>
        <w:rPr>
          <w:rFonts w:hint="eastAsia" w:ascii="宋体" w:hAnsi="宋体" w:cs="宋体"/>
          <w:sz w:val="21"/>
          <w:szCs w:val="21"/>
        </w:rPr>
        <w:t xml:space="preserve">苏州乐族工程咨询有限公司受</w:t>
      </w:r>
      <w:r>
        <w:rPr>
          <w:rFonts w:ascii="宋体" w:hAnsi="宋体" w:cs="宋体"/>
          <w:sz w:val="21"/>
          <w:szCs w:val="21"/>
        </w:rPr>
        <w:t xml:space="preserve">太仓市住房和城乡建设局</w:t>
      </w:r>
      <w:r>
        <w:rPr>
          <w:rFonts w:hint="eastAsia" w:ascii="宋体" w:hAnsi="宋体" w:cs="宋体"/>
          <w:sz w:val="21"/>
          <w:szCs w:val="21"/>
        </w:rPr>
        <w:t xml:space="preserve">的委托，就</w:t>
      </w:r>
      <w:r>
        <w:rPr>
          <w:rFonts w:ascii="宋体" w:hAnsi="宋体" w:cs="宋体"/>
          <w:sz w:val="21"/>
          <w:szCs w:val="21"/>
        </w:rPr>
        <w:t xml:space="preserve">太仓市城市绿化资源普查</w:t>
      </w:r>
      <w:r>
        <w:rPr>
          <w:rFonts w:hint="eastAsia" w:ascii="宋体" w:hAnsi="宋体" w:cs="宋体"/>
          <w:sz w:val="21"/>
          <w:szCs w:val="21"/>
        </w:rPr>
        <w:t xml:space="preserve">进行公开招标采购。</w:t>
      </w:r>
      <w:r/>
    </w:p>
    <w:p>
      <w:pPr>
        <w:pStyle w:val="952"/>
        <w:contextualSpacing/>
        <w:spacing w:line="360" w:lineRule="auto"/>
        <w:rPr>
          <w:rFonts w:hint="eastAsia" w:cs="宋体"/>
          <w:sz w:val="21"/>
          <w:szCs w:val="21"/>
        </w:rPr>
      </w:pPr>
      <w:r>
        <w:rPr>
          <w:rFonts w:hint="eastAsia" w:cs="宋体"/>
          <w:sz w:val="21"/>
          <w:szCs w:val="21"/>
        </w:rPr>
        <w:t xml:space="preserve">一、采购编号：</w:t>
      </w:r>
      <w:r>
        <w:rPr>
          <w:rFonts w:hint="eastAsia" w:cs="宋体"/>
          <w:sz w:val="21"/>
          <w:szCs w:val="21"/>
        </w:rPr>
        <w:t xml:space="preserve">JSZC-320585-SZLZ-G2024-0016</w:t>
      </w:r>
      <w:r>
        <w:rPr>
          <w:rFonts w:hint="eastAsia" w:cs="宋体"/>
          <w:sz w:val="21"/>
          <w:szCs w:val="21"/>
        </w:rPr>
      </w:r>
      <w:r/>
    </w:p>
    <w:p>
      <w:pPr>
        <w:pStyle w:val="952"/>
        <w:contextualSpacing/>
        <w:spacing w:line="360" w:lineRule="auto"/>
        <w:rPr>
          <w:rFonts w:hint="eastAsia" w:cs="宋体"/>
          <w:sz w:val="21"/>
          <w:szCs w:val="21"/>
        </w:rPr>
      </w:pPr>
      <w:r>
        <w:rPr>
          <w:rFonts w:hint="eastAsia" w:cs="宋体"/>
          <w:sz w:val="21"/>
          <w:szCs w:val="21"/>
        </w:rPr>
        <w:t xml:space="preserve">二、项目名称：</w:t>
      </w:r>
      <w:r>
        <w:rPr>
          <w:rFonts w:cs="宋体"/>
          <w:sz w:val="21"/>
          <w:szCs w:val="21"/>
        </w:rPr>
        <w:t xml:space="preserve">太仓市城市绿化资源普查</w:t>
      </w:r>
      <w:r>
        <w:rPr>
          <w:rFonts w:hint="eastAsia" w:cs="宋体"/>
          <w:sz w:val="21"/>
          <w:szCs w:val="21"/>
        </w:rPr>
      </w:r>
      <w:r/>
    </w:p>
    <w:p>
      <w:pPr>
        <w:pStyle w:val="952"/>
        <w:contextualSpacing/>
        <w:spacing w:line="360" w:lineRule="auto"/>
        <w:rPr>
          <w:rFonts w:hint="eastAsia" w:cs="宋体"/>
          <w:sz w:val="21"/>
          <w:szCs w:val="21"/>
        </w:rPr>
      </w:pPr>
      <w:r>
        <w:rPr>
          <w:rFonts w:hint="eastAsia" w:cs="宋体"/>
          <w:sz w:val="21"/>
          <w:szCs w:val="21"/>
        </w:rPr>
        <w:t xml:space="preserve">三、预算金额：人民币80万元</w:t>
      </w:r>
      <w:r/>
    </w:p>
    <w:p>
      <w:pPr>
        <w:pStyle w:val="952"/>
        <w:contextualSpacing/>
        <w:spacing w:line="360" w:lineRule="auto"/>
        <w:rPr>
          <w:rFonts w:cs="宋体"/>
          <w:sz w:val="21"/>
          <w:szCs w:val="21"/>
        </w:rPr>
      </w:pPr>
      <w:r>
        <w:rPr>
          <w:rFonts w:hint="eastAsia" w:cs="宋体"/>
          <w:sz w:val="21"/>
          <w:szCs w:val="21"/>
        </w:rPr>
        <w:t xml:space="preserve">四、最高限价：人民币80</w:t>
      </w:r>
      <w:r>
        <w:rPr>
          <w:rFonts w:hint="eastAsia" w:cs="宋体"/>
          <w:sz w:val="21"/>
          <w:szCs w:val="21"/>
        </w:rPr>
        <w:t xml:space="preserve">万元（投标报价超过此限价的为无效标）</w:t>
      </w:r>
      <w:r>
        <w:rPr>
          <w:rFonts w:cs="宋体"/>
          <w:sz w:val="21"/>
          <w:szCs w:val="21"/>
        </w:rPr>
      </w:r>
      <w:r/>
    </w:p>
    <w:p>
      <w:pPr>
        <w:pStyle w:val="952"/>
        <w:contextualSpacing/>
        <w:spacing w:line="360" w:lineRule="auto"/>
        <w:rPr>
          <w:rFonts w:cs="宋体"/>
          <w:sz w:val="21"/>
          <w:szCs w:val="21"/>
        </w:rPr>
      </w:pPr>
      <w:r>
        <w:rPr>
          <w:rFonts w:hint="eastAsia" w:cs="宋体"/>
          <w:sz w:val="21"/>
          <w:szCs w:val="21"/>
        </w:rPr>
        <w:t xml:space="preserve">五、采购内容及要求：</w:t>
      </w:r>
      <w:bookmarkStart w:id="9" w:name="_Hlk52193085"/>
      <w:r>
        <w:rPr>
          <w:rFonts w:cs="宋体"/>
          <w:sz w:val="21"/>
          <w:szCs w:val="21"/>
        </w:rPr>
      </w:r>
      <w:r/>
    </w:p>
    <w:p>
      <w:pPr>
        <w:pStyle w:val="952"/>
        <w:ind w:firstLine="420"/>
        <w:spacing w:line="360" w:lineRule="auto"/>
        <w:rPr>
          <w:rFonts w:hint="eastAsia"/>
          <w:sz w:val="21"/>
          <w:szCs w:val="21"/>
        </w:rPr>
      </w:pPr>
      <w:r/>
      <w:bookmarkEnd w:id="9"/>
      <w:r>
        <w:rPr>
          <w:rFonts w:hint="eastAsia"/>
          <w:sz w:val="21"/>
          <w:szCs w:val="21"/>
        </w:rPr>
        <w:t xml:space="preserve">(一)普查周期</w:t>
      </w:r>
      <w:r/>
    </w:p>
    <w:p>
      <w:pPr>
        <w:pStyle w:val="952"/>
        <w:ind w:firstLine="420"/>
        <w:spacing w:line="360" w:lineRule="auto"/>
        <w:rPr>
          <w:rFonts w:hint="eastAsia"/>
          <w:sz w:val="21"/>
          <w:szCs w:val="21"/>
        </w:rPr>
      </w:pPr>
      <w:r>
        <w:rPr>
          <w:rFonts w:hint="eastAsia"/>
          <w:sz w:val="21"/>
          <w:szCs w:val="21"/>
        </w:rPr>
        <w:t xml:space="preserve">本项目实施周期为</w:t>
      </w:r>
      <w:r>
        <w:rPr>
          <w:rFonts w:hint="eastAsia"/>
          <w:sz w:val="21"/>
          <w:szCs w:val="21"/>
        </w:rPr>
        <w:t xml:space="preserve">1年</w:t>
      </w:r>
      <w:r>
        <w:rPr>
          <w:rFonts w:hint="eastAsia"/>
          <w:sz w:val="21"/>
          <w:szCs w:val="21"/>
        </w:rPr>
        <w:t xml:space="preserve">。</w:t>
      </w:r>
      <w:r/>
    </w:p>
    <w:p>
      <w:pPr>
        <w:pStyle w:val="952"/>
        <w:ind w:firstLine="420"/>
        <w:spacing w:line="360" w:lineRule="auto"/>
        <w:rPr>
          <w:rFonts w:hint="eastAsia"/>
          <w:sz w:val="21"/>
          <w:szCs w:val="21"/>
        </w:rPr>
      </w:pPr>
      <w:r>
        <w:rPr>
          <w:rFonts w:hint="eastAsia"/>
          <w:sz w:val="21"/>
          <w:szCs w:val="21"/>
        </w:rPr>
        <w:t xml:space="preserve">(二)普查范围</w:t>
      </w:r>
      <w:r/>
    </w:p>
    <w:p>
      <w:pPr>
        <w:pStyle w:val="952"/>
        <w:ind w:firstLine="420"/>
        <w:spacing w:line="360" w:lineRule="auto"/>
        <w:rPr>
          <w:rFonts w:hint="eastAsia"/>
          <w:sz w:val="21"/>
          <w:szCs w:val="21"/>
        </w:rPr>
      </w:pPr>
      <w:r>
        <w:rPr>
          <w:rFonts w:hint="eastAsia"/>
          <w:sz w:val="21"/>
          <w:szCs w:val="21"/>
        </w:rPr>
        <w:t xml:space="preserve">对太仓市域共计约74.22平方公里范围内的城市公园绿地、道路绿地、居住区附属绿地、单位附属绿地、生产绿地以及主、次干道道路红线范围内的绿化资源数据进行采集建库。具体普查范围以各镇（区、街道）建设管理部门认定的范围为准。</w:t>
      </w:r>
      <w:r/>
    </w:p>
    <w:tbl>
      <w:tblPr>
        <w:tblW w:w="10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910"/>
        <w:gridCol w:w="1573"/>
        <w:gridCol w:w="1645"/>
        <w:gridCol w:w="3167"/>
        <w:gridCol w:w="2036"/>
      </w:tblGrid>
      <w:tr>
        <w:trPr>
          <w:trHeight w:val="425"/>
        </w:trPr>
        <w:tc>
          <w:tcPr>
            <w:tcW w:w="84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序号</w:t>
            </w:r>
            <w:r>
              <w:rPr>
                <w:rFonts w:hint="eastAsia"/>
                <w:sz w:val="21"/>
                <w:szCs w:val="21"/>
              </w:rPr>
            </w:r>
            <w:r/>
          </w:p>
        </w:tc>
        <w:tc>
          <w:tcPr>
            <w:gridSpan w:val="2"/>
            <w:tcW w:w="2483"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普查区域</w:t>
            </w:r>
            <w:r>
              <w:rPr>
                <w:rFonts w:hint="eastAsia"/>
                <w:sz w:val="21"/>
                <w:szCs w:val="21"/>
              </w:rPr>
            </w:r>
            <w:r/>
          </w:p>
        </w:tc>
        <w:tc>
          <w:tcPr>
            <w:tcW w:w="1645" w:type="dxa"/>
            <w:vAlign w:val="center"/>
            <w:textDirection w:val="lrTb"/>
            <w:noWrap w:val="false"/>
          </w:tcPr>
          <w:p>
            <w:pPr>
              <w:pStyle w:val="952"/>
              <w:jc w:val="center"/>
              <w:widowControl/>
              <w:rPr>
                <w:rFonts w:hint="eastAsia" w:cs="宋体"/>
                <w:sz w:val="21"/>
                <w:szCs w:val="21"/>
                <w:lang w:bidi="ar"/>
              </w:rPr>
            </w:pPr>
            <w:r>
              <w:rPr>
                <w:rFonts w:hint="eastAsia" w:cs="宋体"/>
                <w:sz w:val="21"/>
                <w:szCs w:val="21"/>
                <w:lang w:bidi="ar"/>
              </w:rPr>
              <w:t xml:space="preserve">面积</w:t>
            </w:r>
            <w:r/>
          </w:p>
          <w:p>
            <w:pPr>
              <w:pStyle w:val="952"/>
              <w:jc w:val="center"/>
              <w:widowControl/>
              <w:rPr>
                <w:rFonts w:hint="eastAsia"/>
                <w:sz w:val="21"/>
                <w:szCs w:val="21"/>
              </w:rPr>
            </w:pPr>
            <w:r>
              <w:rPr>
                <w:rFonts w:hint="eastAsia" w:cs="宋体"/>
                <w:sz w:val="21"/>
                <w:szCs w:val="21"/>
                <w:lang w:bidi="ar"/>
              </w:rPr>
              <w:t xml:space="preserve">(平方公里)</w:t>
            </w: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四至范围</w:t>
            </w:r>
            <w:r>
              <w:rPr>
                <w:rFonts w:hint="eastAsia"/>
                <w:sz w:val="21"/>
                <w:szCs w:val="21"/>
              </w:rPr>
            </w:r>
            <w:r/>
          </w:p>
        </w:tc>
        <w:tc>
          <w:tcPr>
            <w:tcW w:w="2036"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备注</w:t>
            </w:r>
            <w:r/>
          </w:p>
        </w:tc>
      </w:tr>
      <w:tr>
        <w:trPr>
          <w:cantSplit/>
          <w:trHeight w:val="425"/>
        </w:trPr>
        <w:tc>
          <w:tcPr>
            <w:tcW w:w="847" w:type="dxa"/>
            <w:vAlign w:val="center"/>
            <w:vMerge w:val="restart"/>
            <w:textDirection w:val="lrTb"/>
            <w:noWrap w:val="false"/>
          </w:tcPr>
          <w:p>
            <w:pPr>
              <w:pStyle w:val="952"/>
              <w:jc w:val="center"/>
              <w:widowControl/>
              <w:rPr>
                <w:rFonts w:hint="eastAsia"/>
                <w:sz w:val="21"/>
                <w:szCs w:val="21"/>
              </w:rPr>
            </w:pPr>
            <w:r>
              <w:rPr>
                <w:rFonts w:hint="eastAsia" w:cs="宋体"/>
                <w:sz w:val="21"/>
                <w:szCs w:val="21"/>
                <w:lang w:bidi="ar"/>
              </w:rPr>
              <w:t xml:space="preserve">1</w:t>
            </w:r>
            <w:r>
              <w:rPr>
                <w:rFonts w:hint="eastAsia"/>
                <w:sz w:val="21"/>
                <w:szCs w:val="21"/>
              </w:rPr>
            </w:r>
            <w:r/>
          </w:p>
        </w:tc>
        <w:tc>
          <w:tcPr>
            <w:tcW w:w="910" w:type="dxa"/>
            <w:vAlign w:val="center"/>
            <w:vMerge w:val="restart"/>
            <w:textDirection w:val="lrTb"/>
            <w:noWrap w:val="false"/>
          </w:tcPr>
          <w:p>
            <w:pPr>
              <w:pStyle w:val="952"/>
              <w:jc w:val="center"/>
              <w:widowControl/>
              <w:rPr>
                <w:rFonts w:hint="eastAsia"/>
                <w:sz w:val="21"/>
                <w:szCs w:val="21"/>
              </w:rPr>
            </w:pPr>
            <w:r>
              <w:rPr>
                <w:rFonts w:hint="eastAsia" w:cs="宋体"/>
                <w:sz w:val="21"/>
                <w:szCs w:val="21"/>
                <w:lang w:bidi="ar"/>
              </w:rPr>
              <w:t xml:space="preserve">主城</w:t>
            </w:r>
            <w:r>
              <w:rPr>
                <w:rFonts w:hint="eastAsia"/>
                <w:sz w:val="21"/>
                <w:szCs w:val="21"/>
              </w:rPr>
            </w:r>
            <w:r/>
          </w:p>
        </w:tc>
        <w:tc>
          <w:tcPr>
            <w:tcW w:w="1573" w:type="dxa"/>
            <w:vAlign w:val="center"/>
            <w:vMerge w:val="restart"/>
            <w:textDirection w:val="lrTb"/>
            <w:noWrap w:val="false"/>
          </w:tcPr>
          <w:p>
            <w:pPr>
              <w:pStyle w:val="952"/>
              <w:jc w:val="center"/>
              <w:widowControl/>
            </w:pPr>
            <w:r>
              <w:rPr>
                <w:rFonts w:hint="eastAsia" w:cs="宋体"/>
                <w:sz w:val="21"/>
                <w:szCs w:val="21"/>
                <w:lang w:bidi="ar"/>
              </w:rPr>
              <w:t xml:space="preserve">建成区</w:t>
              <w:br w:type="textWrapping" w:clear="all"/>
              <w:t xml:space="preserve">（城厢镇、娄东街道、科教新城）</w:t>
            </w:r>
            <w:r/>
          </w:p>
        </w:tc>
        <w:tc>
          <w:tcPr>
            <w:tcW w:w="1645" w:type="dxa"/>
            <w:vAlign w:val="center"/>
            <w:vMerge w:val="restart"/>
            <w:textDirection w:val="lrTb"/>
            <w:noWrap w:val="false"/>
          </w:tcPr>
          <w:p>
            <w:pPr>
              <w:pStyle w:val="952"/>
              <w:jc w:val="center"/>
              <w:widowControl/>
              <w:rPr>
                <w:rFonts w:hint="eastAsia"/>
                <w:sz w:val="21"/>
                <w:szCs w:val="21"/>
              </w:rPr>
            </w:pPr>
            <w:r>
              <w:rPr>
                <w:rFonts w:hint="eastAsia" w:cs="宋体"/>
                <w:sz w:val="21"/>
                <w:szCs w:val="21"/>
                <w:lang w:bidi="ar"/>
              </w:rPr>
              <w:t xml:space="preserve">55.68</w:t>
            </w: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东至十八港河</w:t>
            </w:r>
            <w:r>
              <w:rPr>
                <w:rFonts w:hint="eastAsia"/>
                <w:sz w:val="21"/>
                <w:szCs w:val="21"/>
              </w:rPr>
            </w:r>
            <w:r/>
          </w:p>
        </w:tc>
        <w:tc>
          <w:tcPr>
            <w:tcW w:w="2036" w:type="dxa"/>
            <w:vAlign w:val="center"/>
            <w:vMerge w:val="restart"/>
            <w:textDirection w:val="lrTb"/>
            <w:noWrap w:val="false"/>
          </w:tcPr>
          <w:p>
            <w:pPr>
              <w:pStyle w:val="952"/>
              <w:jc w:val="center"/>
              <w:spacing w:line="360" w:lineRule="auto"/>
              <w:rPr>
                <w:rFonts w:hint="eastAsia"/>
                <w:sz w:val="21"/>
                <w:szCs w:val="21"/>
              </w:rPr>
            </w:pPr>
            <w:r>
              <w:rPr>
                <w:rFonts w:hint="eastAsia"/>
                <w:sz w:val="21"/>
                <w:szCs w:val="21"/>
              </w:rPr>
              <w:t xml:space="preserve">其中更新普查范围3</w:t>
            </w:r>
            <w:r>
              <w:rPr>
                <w:sz w:val="21"/>
                <w:szCs w:val="21"/>
              </w:rPr>
              <w:t xml:space="preserve">9.68</w:t>
            </w:r>
            <w:r>
              <w:rPr>
                <w:rFonts w:hint="eastAsia"/>
                <w:sz w:val="21"/>
                <w:szCs w:val="21"/>
              </w:rPr>
              <w:t xml:space="preserve">平方公里，新增普查范围1</w:t>
            </w:r>
            <w:r>
              <w:rPr>
                <w:sz w:val="21"/>
                <w:szCs w:val="21"/>
              </w:rPr>
              <w:t xml:space="preserve">6</w:t>
            </w:r>
            <w:r>
              <w:rPr>
                <w:rFonts w:hint="eastAsia"/>
                <w:sz w:val="21"/>
                <w:szCs w:val="21"/>
              </w:rPr>
              <w:t xml:space="preserve">平方公里</w:t>
            </w:r>
            <w:r/>
          </w:p>
        </w:tc>
      </w:tr>
      <w:tr>
        <w:trPr>
          <w:cantSplit/>
          <w:trHeight w:val="425"/>
        </w:trPr>
        <w:tc>
          <w:tcPr>
            <w:tcW w:w="847"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910"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1573" w:type="dxa"/>
            <w:vAlign w:val="center"/>
            <w:vMerge w:val="continue"/>
            <w:textDirection w:val="lrTb"/>
            <w:noWrap w:val="false"/>
          </w:tcPr>
          <w:p>
            <w:pPr>
              <w:pStyle w:val="952"/>
              <w:jc w:val="center"/>
            </w:pPr>
            <w:r/>
            <w:r/>
          </w:p>
        </w:tc>
        <w:tc>
          <w:tcPr>
            <w:tcW w:w="1645"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西至吴塘河</w:t>
            </w:r>
            <w:r>
              <w:rPr>
                <w:rFonts w:hint="eastAsia"/>
                <w:sz w:val="21"/>
                <w:szCs w:val="21"/>
              </w:rPr>
            </w:r>
            <w:r/>
          </w:p>
        </w:tc>
        <w:tc>
          <w:tcPr>
            <w:tcW w:w="2036" w:type="dxa"/>
            <w:vAlign w:val="center"/>
            <w:vMerge w:val="continue"/>
            <w:textDirection w:val="lrTb"/>
            <w:noWrap w:val="false"/>
          </w:tcPr>
          <w:p>
            <w:pPr>
              <w:pStyle w:val="952"/>
              <w:jc w:val="center"/>
              <w:spacing w:line="360" w:lineRule="auto"/>
              <w:rPr>
                <w:rFonts w:hint="eastAsia"/>
                <w:sz w:val="21"/>
                <w:szCs w:val="21"/>
              </w:rPr>
            </w:pPr>
            <w:r>
              <w:rPr>
                <w:rFonts w:hint="eastAsia"/>
                <w:sz w:val="21"/>
                <w:szCs w:val="21"/>
              </w:rPr>
            </w:r>
            <w:r/>
          </w:p>
        </w:tc>
      </w:tr>
      <w:tr>
        <w:trPr>
          <w:cantSplit/>
          <w:trHeight w:val="425"/>
        </w:trPr>
        <w:tc>
          <w:tcPr>
            <w:tcW w:w="847"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910"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1573" w:type="dxa"/>
            <w:vAlign w:val="center"/>
            <w:vMerge w:val="continue"/>
            <w:textDirection w:val="lrTb"/>
            <w:noWrap w:val="false"/>
          </w:tcPr>
          <w:p>
            <w:pPr>
              <w:pStyle w:val="952"/>
              <w:jc w:val="center"/>
            </w:pPr>
            <w:r/>
            <w:r/>
          </w:p>
        </w:tc>
        <w:tc>
          <w:tcPr>
            <w:tcW w:w="1645"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南至上海界</w:t>
            </w:r>
            <w:r>
              <w:rPr>
                <w:rFonts w:hint="eastAsia"/>
                <w:sz w:val="21"/>
                <w:szCs w:val="21"/>
              </w:rPr>
            </w:r>
            <w:r/>
          </w:p>
        </w:tc>
        <w:tc>
          <w:tcPr>
            <w:tcW w:w="2036" w:type="dxa"/>
            <w:vAlign w:val="center"/>
            <w:vMerge w:val="continue"/>
            <w:textDirection w:val="lrTb"/>
            <w:noWrap w:val="false"/>
          </w:tcPr>
          <w:p>
            <w:pPr>
              <w:pStyle w:val="952"/>
              <w:jc w:val="center"/>
              <w:spacing w:line="360" w:lineRule="auto"/>
              <w:rPr>
                <w:rFonts w:hint="eastAsia"/>
                <w:sz w:val="21"/>
                <w:szCs w:val="21"/>
              </w:rPr>
            </w:pPr>
            <w:r>
              <w:rPr>
                <w:rFonts w:hint="eastAsia"/>
                <w:sz w:val="21"/>
                <w:szCs w:val="21"/>
              </w:rPr>
            </w:r>
            <w:r/>
          </w:p>
        </w:tc>
      </w:tr>
      <w:tr>
        <w:trPr>
          <w:cantSplit/>
          <w:trHeight w:val="425"/>
        </w:trPr>
        <w:tc>
          <w:tcPr>
            <w:tcW w:w="847"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910"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1573" w:type="dxa"/>
            <w:vAlign w:val="center"/>
            <w:vMerge w:val="continue"/>
            <w:textDirection w:val="lrTb"/>
            <w:noWrap w:val="false"/>
          </w:tcPr>
          <w:p>
            <w:pPr>
              <w:pStyle w:val="952"/>
              <w:jc w:val="center"/>
            </w:pPr>
            <w:r/>
            <w:r/>
          </w:p>
        </w:tc>
        <w:tc>
          <w:tcPr>
            <w:tcW w:w="1645"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北至金仓湖</w:t>
            </w:r>
            <w:r>
              <w:rPr>
                <w:rFonts w:hint="eastAsia"/>
                <w:sz w:val="21"/>
                <w:szCs w:val="21"/>
              </w:rPr>
            </w:r>
            <w:r/>
          </w:p>
        </w:tc>
        <w:tc>
          <w:tcPr>
            <w:tcW w:w="2036" w:type="dxa"/>
            <w:vAlign w:val="center"/>
            <w:vMerge w:val="continue"/>
            <w:textDirection w:val="lrTb"/>
            <w:noWrap w:val="false"/>
          </w:tcPr>
          <w:p>
            <w:pPr>
              <w:pStyle w:val="952"/>
              <w:jc w:val="center"/>
              <w:spacing w:line="360" w:lineRule="auto"/>
              <w:rPr>
                <w:rFonts w:hint="eastAsia"/>
                <w:sz w:val="21"/>
                <w:szCs w:val="21"/>
              </w:rPr>
            </w:pPr>
            <w:r>
              <w:rPr>
                <w:rFonts w:hint="eastAsia"/>
                <w:sz w:val="21"/>
                <w:szCs w:val="21"/>
              </w:rPr>
            </w:r>
            <w:r/>
          </w:p>
        </w:tc>
      </w:tr>
      <w:tr>
        <w:trPr>
          <w:cantSplit/>
          <w:trHeight w:val="425"/>
        </w:trPr>
        <w:tc>
          <w:tcPr>
            <w:tcW w:w="847" w:type="dxa"/>
            <w:vAlign w:val="center"/>
            <w:vMerge w:val="restart"/>
            <w:textDirection w:val="lrTb"/>
            <w:noWrap w:val="false"/>
          </w:tcPr>
          <w:p>
            <w:pPr>
              <w:pStyle w:val="952"/>
              <w:jc w:val="center"/>
              <w:widowControl/>
              <w:rPr>
                <w:rFonts w:hint="eastAsia"/>
                <w:sz w:val="21"/>
                <w:szCs w:val="21"/>
              </w:rPr>
            </w:pPr>
            <w:r>
              <w:rPr>
                <w:rFonts w:hint="eastAsia" w:cs="宋体"/>
                <w:sz w:val="21"/>
                <w:szCs w:val="21"/>
                <w:lang w:bidi="ar"/>
              </w:rPr>
              <w:t xml:space="preserve">2</w:t>
            </w:r>
            <w:r>
              <w:rPr>
                <w:rFonts w:hint="eastAsia"/>
                <w:sz w:val="21"/>
                <w:szCs w:val="21"/>
              </w:rPr>
            </w:r>
            <w:r/>
          </w:p>
        </w:tc>
        <w:tc>
          <w:tcPr>
            <w:tcW w:w="910"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1573" w:type="dxa"/>
            <w:vAlign w:val="center"/>
            <w:vMerge w:val="restart"/>
            <w:textDirection w:val="lrTb"/>
            <w:noWrap w:val="false"/>
          </w:tcPr>
          <w:p>
            <w:pPr>
              <w:pStyle w:val="952"/>
              <w:jc w:val="center"/>
              <w:widowControl/>
            </w:pPr>
            <w:r>
              <w:rPr>
                <w:rFonts w:hint="eastAsia" w:cs="宋体"/>
                <w:sz w:val="21"/>
                <w:szCs w:val="21"/>
                <w:lang w:bidi="ar"/>
              </w:rPr>
              <w:t xml:space="preserve">娄江新城</w:t>
              <w:br w:type="textWrapping" w:clear="all"/>
              <w:t xml:space="preserve">（陆渡街道）</w:t>
            </w:r>
            <w:r/>
          </w:p>
        </w:tc>
        <w:tc>
          <w:tcPr>
            <w:tcW w:w="1645" w:type="dxa"/>
            <w:vAlign w:val="center"/>
            <w:vMerge w:val="restart"/>
            <w:textDirection w:val="lrTb"/>
            <w:noWrap w:val="false"/>
          </w:tcPr>
          <w:p>
            <w:pPr>
              <w:pStyle w:val="952"/>
              <w:jc w:val="center"/>
              <w:widowControl/>
              <w:rPr>
                <w:rFonts w:hint="eastAsia"/>
                <w:sz w:val="21"/>
                <w:szCs w:val="21"/>
              </w:rPr>
            </w:pPr>
            <w:r>
              <w:rPr>
                <w:rFonts w:hint="eastAsia" w:cs="宋体"/>
                <w:sz w:val="21"/>
                <w:szCs w:val="21"/>
                <w:lang w:bidi="ar"/>
              </w:rPr>
              <w:t xml:space="preserve">10.62</w:t>
            </w: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东至飞沪路</w:t>
            </w:r>
            <w:r>
              <w:rPr>
                <w:rFonts w:hint="eastAsia"/>
                <w:sz w:val="21"/>
                <w:szCs w:val="21"/>
              </w:rPr>
            </w:r>
            <w:r/>
          </w:p>
        </w:tc>
        <w:tc>
          <w:tcPr>
            <w:tcW w:w="2036" w:type="dxa"/>
            <w:vAlign w:val="center"/>
            <w:vMerge w:val="restart"/>
            <w:textDirection w:val="lrTb"/>
            <w:noWrap w:val="false"/>
          </w:tcPr>
          <w:p>
            <w:pPr>
              <w:pStyle w:val="952"/>
              <w:jc w:val="center"/>
              <w:spacing w:line="360" w:lineRule="auto"/>
              <w:rPr>
                <w:rFonts w:hint="eastAsia"/>
                <w:sz w:val="21"/>
                <w:szCs w:val="21"/>
              </w:rPr>
            </w:pPr>
            <w:r>
              <w:rPr>
                <w:rFonts w:hint="eastAsia"/>
                <w:sz w:val="21"/>
                <w:szCs w:val="21"/>
              </w:rPr>
              <w:t xml:space="preserve">新增普查</w:t>
            </w:r>
            <w:r/>
          </w:p>
        </w:tc>
      </w:tr>
      <w:tr>
        <w:trPr>
          <w:cantSplit/>
          <w:trHeight w:val="425"/>
        </w:trPr>
        <w:tc>
          <w:tcPr>
            <w:tcW w:w="847"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910"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1573" w:type="dxa"/>
            <w:vAlign w:val="center"/>
            <w:vMerge w:val="continue"/>
            <w:textDirection w:val="lrTb"/>
            <w:noWrap w:val="false"/>
          </w:tcPr>
          <w:p>
            <w:pPr>
              <w:pStyle w:val="952"/>
              <w:jc w:val="center"/>
            </w:pPr>
            <w:r/>
            <w:r/>
          </w:p>
        </w:tc>
        <w:tc>
          <w:tcPr>
            <w:tcW w:w="1645"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西至十八港河</w:t>
            </w:r>
            <w:r>
              <w:rPr>
                <w:rFonts w:hint="eastAsia"/>
                <w:sz w:val="21"/>
                <w:szCs w:val="21"/>
              </w:rPr>
            </w:r>
            <w:r/>
          </w:p>
        </w:tc>
        <w:tc>
          <w:tcPr>
            <w:tcW w:w="2036" w:type="dxa"/>
            <w:vAlign w:val="center"/>
            <w:vMerge w:val="continue"/>
            <w:textDirection w:val="lrTb"/>
            <w:noWrap w:val="false"/>
          </w:tcPr>
          <w:p>
            <w:pPr>
              <w:pStyle w:val="952"/>
              <w:jc w:val="center"/>
              <w:spacing w:line="360" w:lineRule="auto"/>
              <w:rPr>
                <w:rFonts w:hint="eastAsia"/>
                <w:sz w:val="21"/>
                <w:szCs w:val="21"/>
              </w:rPr>
            </w:pPr>
            <w:r>
              <w:rPr>
                <w:rFonts w:hint="eastAsia"/>
                <w:sz w:val="21"/>
                <w:szCs w:val="21"/>
              </w:rPr>
            </w:r>
            <w:r/>
          </w:p>
        </w:tc>
      </w:tr>
      <w:tr>
        <w:trPr>
          <w:cantSplit/>
          <w:trHeight w:val="425"/>
        </w:trPr>
        <w:tc>
          <w:tcPr>
            <w:tcW w:w="847"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910"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1573" w:type="dxa"/>
            <w:vAlign w:val="center"/>
            <w:vMerge w:val="continue"/>
            <w:textDirection w:val="lrTb"/>
            <w:noWrap w:val="false"/>
          </w:tcPr>
          <w:p>
            <w:pPr>
              <w:pStyle w:val="952"/>
              <w:jc w:val="center"/>
            </w:pPr>
            <w:r/>
            <w:r/>
          </w:p>
        </w:tc>
        <w:tc>
          <w:tcPr>
            <w:tcW w:w="1645"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南至向东岛</w:t>
            </w:r>
            <w:r>
              <w:rPr>
                <w:rFonts w:hint="eastAsia"/>
                <w:sz w:val="21"/>
                <w:szCs w:val="21"/>
              </w:rPr>
            </w:r>
            <w:r/>
          </w:p>
        </w:tc>
        <w:tc>
          <w:tcPr>
            <w:tcW w:w="2036" w:type="dxa"/>
            <w:vAlign w:val="center"/>
            <w:vMerge w:val="continue"/>
            <w:textDirection w:val="lrTb"/>
            <w:noWrap w:val="false"/>
          </w:tcPr>
          <w:p>
            <w:pPr>
              <w:pStyle w:val="952"/>
              <w:jc w:val="center"/>
              <w:spacing w:line="360" w:lineRule="auto"/>
              <w:rPr>
                <w:rFonts w:hint="eastAsia"/>
                <w:sz w:val="21"/>
                <w:szCs w:val="21"/>
              </w:rPr>
            </w:pPr>
            <w:r>
              <w:rPr>
                <w:rFonts w:hint="eastAsia"/>
                <w:sz w:val="21"/>
                <w:szCs w:val="21"/>
              </w:rPr>
            </w:r>
            <w:r/>
          </w:p>
        </w:tc>
      </w:tr>
      <w:tr>
        <w:trPr>
          <w:cantSplit/>
          <w:trHeight w:val="425"/>
        </w:trPr>
        <w:tc>
          <w:tcPr>
            <w:tcW w:w="847"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910"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1573" w:type="dxa"/>
            <w:vAlign w:val="center"/>
            <w:vMerge w:val="continue"/>
            <w:textDirection w:val="lrTb"/>
            <w:noWrap w:val="false"/>
          </w:tcPr>
          <w:p>
            <w:pPr>
              <w:pStyle w:val="952"/>
              <w:jc w:val="center"/>
            </w:pPr>
            <w:r/>
            <w:r/>
          </w:p>
        </w:tc>
        <w:tc>
          <w:tcPr>
            <w:tcW w:w="1645"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北至太仓大道</w:t>
            </w:r>
            <w:r>
              <w:rPr>
                <w:rFonts w:hint="eastAsia"/>
                <w:sz w:val="21"/>
                <w:szCs w:val="21"/>
              </w:rPr>
            </w:r>
            <w:r/>
          </w:p>
        </w:tc>
        <w:tc>
          <w:tcPr>
            <w:tcW w:w="2036" w:type="dxa"/>
            <w:vAlign w:val="center"/>
            <w:vMerge w:val="continue"/>
            <w:textDirection w:val="lrTb"/>
            <w:noWrap w:val="false"/>
          </w:tcPr>
          <w:p>
            <w:pPr>
              <w:pStyle w:val="952"/>
              <w:jc w:val="center"/>
              <w:spacing w:line="360" w:lineRule="auto"/>
              <w:rPr>
                <w:rFonts w:hint="eastAsia"/>
                <w:sz w:val="21"/>
                <w:szCs w:val="21"/>
              </w:rPr>
            </w:pPr>
            <w:r>
              <w:rPr>
                <w:rFonts w:hint="eastAsia"/>
                <w:sz w:val="21"/>
                <w:szCs w:val="21"/>
              </w:rPr>
            </w:r>
            <w:r/>
          </w:p>
        </w:tc>
      </w:tr>
      <w:tr>
        <w:trPr>
          <w:cantSplit/>
          <w:trHeight w:val="425"/>
        </w:trPr>
        <w:tc>
          <w:tcPr>
            <w:tcW w:w="847" w:type="dxa"/>
            <w:vAlign w:val="center"/>
            <w:vMerge w:val="restart"/>
            <w:textDirection w:val="lrTb"/>
            <w:noWrap w:val="false"/>
          </w:tcPr>
          <w:p>
            <w:pPr>
              <w:pStyle w:val="952"/>
              <w:jc w:val="center"/>
              <w:widowControl/>
              <w:rPr>
                <w:rFonts w:hint="eastAsia"/>
                <w:sz w:val="21"/>
                <w:szCs w:val="21"/>
              </w:rPr>
            </w:pPr>
            <w:r>
              <w:rPr>
                <w:rFonts w:hint="eastAsia" w:cs="宋体"/>
                <w:sz w:val="21"/>
                <w:szCs w:val="21"/>
                <w:lang w:bidi="ar"/>
              </w:rPr>
              <w:t xml:space="preserve">3</w:t>
            </w:r>
            <w:r>
              <w:rPr>
                <w:rFonts w:hint="eastAsia"/>
                <w:sz w:val="21"/>
                <w:szCs w:val="21"/>
              </w:rPr>
            </w:r>
            <w:r/>
          </w:p>
        </w:tc>
        <w:tc>
          <w:tcPr>
            <w:tcW w:w="910" w:type="dxa"/>
            <w:vAlign w:val="center"/>
            <w:vMerge w:val="restart"/>
            <w:textDirection w:val="lrTb"/>
            <w:noWrap w:val="false"/>
          </w:tcPr>
          <w:p>
            <w:pPr>
              <w:pStyle w:val="952"/>
              <w:jc w:val="center"/>
              <w:widowControl/>
              <w:rPr>
                <w:rFonts w:hint="eastAsia"/>
                <w:sz w:val="21"/>
                <w:szCs w:val="21"/>
              </w:rPr>
            </w:pPr>
            <w:r>
              <w:rPr>
                <w:rFonts w:hint="eastAsia" w:cs="宋体"/>
                <w:sz w:val="21"/>
                <w:szCs w:val="21"/>
                <w:lang w:bidi="ar"/>
              </w:rPr>
              <w:t xml:space="preserve">港城</w:t>
            </w:r>
            <w:r>
              <w:rPr>
                <w:rFonts w:hint="eastAsia"/>
                <w:sz w:val="21"/>
                <w:szCs w:val="21"/>
              </w:rPr>
            </w:r>
            <w:r/>
          </w:p>
        </w:tc>
        <w:tc>
          <w:tcPr>
            <w:tcW w:w="1573" w:type="dxa"/>
            <w:vAlign w:val="center"/>
            <w:vMerge w:val="restart"/>
            <w:textDirection w:val="lrTb"/>
            <w:noWrap w:val="false"/>
          </w:tcPr>
          <w:p>
            <w:pPr>
              <w:pStyle w:val="952"/>
              <w:jc w:val="center"/>
              <w:widowControl/>
            </w:pPr>
            <w:r>
              <w:rPr>
                <w:rFonts w:hint="eastAsia" w:cs="宋体"/>
                <w:sz w:val="21"/>
                <w:szCs w:val="21"/>
                <w:lang w:bidi="ar"/>
              </w:rPr>
              <w:t xml:space="preserve">港区</w:t>
              <w:br w:type="textWrapping" w:clear="all"/>
              <w:t xml:space="preserve">（浮桥镇）</w:t>
            </w:r>
            <w:r/>
          </w:p>
        </w:tc>
        <w:tc>
          <w:tcPr>
            <w:tcW w:w="1645" w:type="dxa"/>
            <w:vAlign w:val="center"/>
            <w:vMerge w:val="restart"/>
            <w:textDirection w:val="lrTb"/>
            <w:noWrap w:val="false"/>
          </w:tcPr>
          <w:p>
            <w:pPr>
              <w:pStyle w:val="952"/>
              <w:jc w:val="center"/>
              <w:widowControl/>
              <w:rPr>
                <w:rFonts w:hint="eastAsia"/>
                <w:sz w:val="21"/>
                <w:szCs w:val="21"/>
              </w:rPr>
            </w:pPr>
            <w:r>
              <w:rPr>
                <w:rFonts w:hint="eastAsia" w:cs="宋体"/>
                <w:sz w:val="21"/>
                <w:szCs w:val="21"/>
                <w:lang w:bidi="ar"/>
              </w:rPr>
              <w:t xml:space="preserve">7.92</w:t>
            </w: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东至滨江大道</w:t>
            </w:r>
            <w:r>
              <w:rPr>
                <w:rFonts w:hint="eastAsia"/>
                <w:sz w:val="21"/>
                <w:szCs w:val="21"/>
              </w:rPr>
            </w:r>
            <w:r/>
          </w:p>
        </w:tc>
        <w:tc>
          <w:tcPr>
            <w:tcW w:w="2036" w:type="dxa"/>
            <w:vAlign w:val="center"/>
            <w:vMerge w:val="restart"/>
            <w:textDirection w:val="lrTb"/>
            <w:noWrap w:val="false"/>
          </w:tcPr>
          <w:p>
            <w:pPr>
              <w:pStyle w:val="952"/>
              <w:jc w:val="center"/>
              <w:spacing w:line="360" w:lineRule="auto"/>
              <w:rPr>
                <w:rFonts w:hint="eastAsia"/>
                <w:sz w:val="21"/>
                <w:szCs w:val="21"/>
              </w:rPr>
            </w:pPr>
            <w:r>
              <w:rPr>
                <w:rFonts w:hint="eastAsia"/>
                <w:sz w:val="21"/>
                <w:szCs w:val="21"/>
              </w:rPr>
              <w:t xml:space="preserve">新增普查</w:t>
            </w:r>
            <w:r/>
          </w:p>
        </w:tc>
      </w:tr>
      <w:tr>
        <w:trPr>
          <w:cantSplit/>
          <w:trHeight w:val="425"/>
        </w:trPr>
        <w:tc>
          <w:tcPr>
            <w:tcW w:w="847"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910"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1573" w:type="dxa"/>
            <w:vAlign w:val="center"/>
            <w:vMerge w:val="continue"/>
            <w:textDirection w:val="lrTb"/>
            <w:noWrap w:val="false"/>
          </w:tcPr>
          <w:p>
            <w:pPr>
              <w:pStyle w:val="952"/>
              <w:jc w:val="center"/>
            </w:pPr>
            <w:r/>
            <w:r/>
          </w:p>
        </w:tc>
        <w:tc>
          <w:tcPr>
            <w:tcW w:w="1645"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西至平江路</w:t>
            </w:r>
            <w:r>
              <w:rPr>
                <w:rFonts w:hint="eastAsia"/>
                <w:sz w:val="21"/>
                <w:szCs w:val="21"/>
              </w:rPr>
            </w:r>
            <w:r/>
          </w:p>
        </w:tc>
        <w:tc>
          <w:tcPr>
            <w:tcW w:w="2036" w:type="dxa"/>
            <w:vAlign w:val="center"/>
            <w:vMerge w:val="continue"/>
            <w:textDirection w:val="lrTb"/>
            <w:noWrap w:val="false"/>
          </w:tcPr>
          <w:p>
            <w:pPr>
              <w:pStyle w:val="952"/>
              <w:spacing w:line="360" w:lineRule="auto"/>
              <w:rPr>
                <w:rFonts w:hint="eastAsia"/>
                <w:sz w:val="21"/>
                <w:szCs w:val="21"/>
              </w:rPr>
            </w:pPr>
            <w:r>
              <w:rPr>
                <w:rFonts w:hint="eastAsia"/>
                <w:sz w:val="21"/>
                <w:szCs w:val="21"/>
              </w:rPr>
            </w:r>
            <w:r/>
          </w:p>
        </w:tc>
      </w:tr>
      <w:tr>
        <w:trPr>
          <w:cantSplit/>
          <w:trHeight w:val="425"/>
        </w:trPr>
        <w:tc>
          <w:tcPr>
            <w:tcW w:w="847"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910"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1573" w:type="dxa"/>
            <w:vAlign w:val="center"/>
            <w:vMerge w:val="continue"/>
            <w:textDirection w:val="lrTb"/>
            <w:noWrap w:val="false"/>
          </w:tcPr>
          <w:p>
            <w:pPr>
              <w:pStyle w:val="952"/>
              <w:jc w:val="center"/>
            </w:pPr>
            <w:r/>
            <w:r/>
          </w:p>
        </w:tc>
        <w:tc>
          <w:tcPr>
            <w:tcW w:w="1645"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南至南环路</w:t>
            </w:r>
            <w:r>
              <w:rPr>
                <w:rFonts w:hint="eastAsia"/>
                <w:sz w:val="21"/>
                <w:szCs w:val="21"/>
              </w:rPr>
            </w:r>
            <w:r/>
          </w:p>
        </w:tc>
        <w:tc>
          <w:tcPr>
            <w:tcW w:w="2036" w:type="dxa"/>
            <w:vAlign w:val="center"/>
            <w:vMerge w:val="continue"/>
            <w:textDirection w:val="lrTb"/>
            <w:noWrap w:val="false"/>
          </w:tcPr>
          <w:p>
            <w:pPr>
              <w:pStyle w:val="952"/>
              <w:spacing w:line="360" w:lineRule="auto"/>
              <w:rPr>
                <w:rFonts w:hint="eastAsia"/>
                <w:sz w:val="21"/>
                <w:szCs w:val="21"/>
              </w:rPr>
            </w:pPr>
            <w:r>
              <w:rPr>
                <w:rFonts w:hint="eastAsia"/>
                <w:sz w:val="21"/>
                <w:szCs w:val="21"/>
              </w:rPr>
            </w:r>
            <w:r/>
          </w:p>
        </w:tc>
      </w:tr>
      <w:tr>
        <w:trPr>
          <w:cantSplit/>
          <w:trHeight w:val="425"/>
        </w:trPr>
        <w:tc>
          <w:tcPr>
            <w:tcW w:w="847"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910"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1573" w:type="dxa"/>
            <w:vAlign w:val="center"/>
            <w:vMerge w:val="continue"/>
            <w:textDirection w:val="lrTb"/>
            <w:noWrap w:val="false"/>
          </w:tcPr>
          <w:p>
            <w:pPr>
              <w:pStyle w:val="952"/>
              <w:jc w:val="center"/>
            </w:pPr>
            <w:r/>
            <w:r/>
          </w:p>
        </w:tc>
        <w:tc>
          <w:tcPr>
            <w:tcW w:w="1645" w:type="dxa"/>
            <w:vAlign w:val="center"/>
            <w:vMerge w:val="continue"/>
            <w:textDirection w:val="lrTb"/>
            <w:noWrap w:val="false"/>
          </w:tcPr>
          <w:p>
            <w:pPr>
              <w:pStyle w:val="952"/>
              <w:jc w:val="center"/>
              <w:rPr>
                <w:rFonts w:hint="eastAsia"/>
                <w:sz w:val="21"/>
                <w:szCs w:val="21"/>
              </w:rPr>
            </w:pPr>
            <w:r>
              <w:rPr>
                <w:rFonts w:hint="eastAsia"/>
                <w:sz w:val="21"/>
                <w:szCs w:val="21"/>
              </w:rPr>
            </w:r>
            <w:r/>
          </w:p>
        </w:tc>
        <w:tc>
          <w:tcPr>
            <w:tcW w:w="3167" w:type="dxa"/>
            <w:vAlign w:val="center"/>
            <w:textDirection w:val="lrTb"/>
            <w:noWrap w:val="false"/>
          </w:tcPr>
          <w:p>
            <w:pPr>
              <w:pStyle w:val="952"/>
              <w:jc w:val="center"/>
              <w:widowControl/>
              <w:rPr>
                <w:rFonts w:hint="eastAsia"/>
                <w:sz w:val="21"/>
                <w:szCs w:val="21"/>
              </w:rPr>
            </w:pPr>
            <w:r>
              <w:rPr>
                <w:rFonts w:hint="eastAsia" w:cs="宋体"/>
                <w:sz w:val="21"/>
                <w:szCs w:val="21"/>
                <w:lang w:bidi="ar"/>
              </w:rPr>
              <w:t xml:space="preserve">北至陆公路</w:t>
            </w:r>
            <w:r>
              <w:rPr>
                <w:rFonts w:hint="eastAsia"/>
                <w:sz w:val="21"/>
                <w:szCs w:val="21"/>
              </w:rPr>
            </w:r>
            <w:r/>
          </w:p>
        </w:tc>
        <w:tc>
          <w:tcPr>
            <w:tcW w:w="2036" w:type="dxa"/>
            <w:vAlign w:val="center"/>
            <w:vMerge w:val="continue"/>
            <w:textDirection w:val="lrTb"/>
            <w:noWrap w:val="false"/>
          </w:tcPr>
          <w:p>
            <w:pPr>
              <w:pStyle w:val="952"/>
              <w:spacing w:line="360" w:lineRule="auto"/>
              <w:rPr>
                <w:rFonts w:hint="eastAsia"/>
                <w:sz w:val="21"/>
                <w:szCs w:val="21"/>
              </w:rPr>
            </w:pPr>
            <w:r>
              <w:rPr>
                <w:rFonts w:hint="eastAsia"/>
                <w:sz w:val="21"/>
                <w:szCs w:val="21"/>
              </w:rPr>
            </w:r>
            <w:r/>
          </w:p>
        </w:tc>
      </w:tr>
      <w:tr>
        <w:trPr>
          <w:trHeight w:val="425"/>
        </w:trPr>
        <w:tc>
          <w:tcPr>
            <w:gridSpan w:val="3"/>
            <w:tcW w:w="3330"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总计</w:t>
            </w:r>
            <w:r/>
          </w:p>
        </w:tc>
        <w:tc>
          <w:tcPr>
            <w:tcW w:w="1645" w:type="dxa"/>
            <w:vAlign w:val="center"/>
            <w:textDirection w:val="lrTb"/>
            <w:noWrap w:val="false"/>
          </w:tcPr>
          <w:p>
            <w:pPr>
              <w:pStyle w:val="952"/>
              <w:jc w:val="center"/>
              <w:spacing w:line="360" w:lineRule="auto"/>
              <w:rPr>
                <w:rFonts w:hint="eastAsia"/>
                <w:sz w:val="21"/>
                <w:szCs w:val="21"/>
              </w:rPr>
            </w:pPr>
            <w:r>
              <w:rPr>
                <w:sz w:val="21"/>
                <w:szCs w:val="21"/>
              </w:rPr>
              <w:t xml:space="preserve">74.22</w:t>
            </w:r>
            <w:r>
              <w:rPr>
                <w:rFonts w:hint="eastAsia"/>
                <w:sz w:val="21"/>
                <w:szCs w:val="21"/>
              </w:rPr>
            </w:r>
            <w:r/>
          </w:p>
        </w:tc>
        <w:tc>
          <w:tcPr>
            <w:tcW w:w="3167" w:type="dxa"/>
            <w:vAlign w:val="center"/>
            <w:textDirection w:val="lrTb"/>
            <w:noWrap w:val="false"/>
          </w:tcPr>
          <w:p>
            <w:pPr>
              <w:pStyle w:val="952"/>
              <w:spacing w:line="360" w:lineRule="auto"/>
              <w:rPr>
                <w:rFonts w:hint="eastAsia"/>
                <w:sz w:val="21"/>
                <w:szCs w:val="21"/>
              </w:rPr>
            </w:pPr>
            <w:r>
              <w:rPr>
                <w:rFonts w:hint="eastAsia"/>
                <w:sz w:val="21"/>
                <w:szCs w:val="21"/>
              </w:rPr>
            </w:r>
            <w:r/>
          </w:p>
        </w:tc>
        <w:tc>
          <w:tcPr>
            <w:tcW w:w="2036" w:type="dxa"/>
            <w:vAlign w:val="center"/>
            <w:textDirection w:val="lrTb"/>
            <w:noWrap w:val="false"/>
          </w:tcPr>
          <w:p>
            <w:pPr>
              <w:pStyle w:val="952"/>
              <w:spacing w:line="360" w:lineRule="auto"/>
              <w:rPr>
                <w:rFonts w:hint="eastAsia"/>
                <w:sz w:val="21"/>
                <w:szCs w:val="21"/>
              </w:rPr>
            </w:pPr>
            <w:r>
              <w:rPr>
                <w:rFonts w:hint="eastAsia"/>
                <w:sz w:val="21"/>
                <w:szCs w:val="21"/>
              </w:rPr>
            </w:r>
            <w:r/>
          </w:p>
        </w:tc>
      </w:tr>
    </w:tbl>
    <w:p>
      <w:pPr>
        <w:pStyle w:val="952"/>
        <w:ind w:firstLine="420"/>
        <w:spacing w:line="360" w:lineRule="auto"/>
        <w:rPr>
          <w:rFonts w:hint="eastAsia"/>
          <w:sz w:val="21"/>
          <w:szCs w:val="21"/>
        </w:rPr>
      </w:pPr>
      <w:r>
        <w:rPr>
          <w:rFonts w:hint="eastAsia"/>
          <w:sz w:val="21"/>
          <w:szCs w:val="21"/>
        </w:rPr>
        <w:t xml:space="preserve"> (三)建设内容</w:t>
      </w:r>
      <w:r/>
    </w:p>
    <w:p>
      <w:pPr>
        <w:pStyle w:val="952"/>
        <w:ind w:firstLine="420"/>
        <w:spacing w:line="360" w:lineRule="auto"/>
        <w:rPr>
          <w:rFonts w:hint="eastAsia"/>
          <w:sz w:val="21"/>
          <w:szCs w:val="21"/>
        </w:rPr>
      </w:pPr>
      <w:r>
        <w:rPr>
          <w:rFonts w:hint="eastAsia"/>
          <w:sz w:val="21"/>
          <w:szCs w:val="21"/>
        </w:rPr>
        <w:t xml:space="preserve">1、完善数据采集及建库规范</w:t>
      </w:r>
      <w:r/>
    </w:p>
    <w:p>
      <w:pPr>
        <w:pStyle w:val="952"/>
        <w:ind w:firstLine="420"/>
        <w:spacing w:line="360" w:lineRule="auto"/>
        <w:rPr>
          <w:rFonts w:hint="eastAsia"/>
          <w:sz w:val="21"/>
          <w:szCs w:val="21"/>
        </w:rPr>
      </w:pPr>
      <w:r>
        <w:rPr>
          <w:rFonts w:hint="eastAsia"/>
          <w:sz w:val="21"/>
          <w:szCs w:val="21"/>
        </w:rPr>
        <w:t xml:space="preserve">参照国家生态园林城市建设标准以及绿化(林业)行业分类标准，结合太仓市城市绿</w:t>
      </w:r>
      <w:r>
        <w:rPr>
          <w:rFonts w:hint="eastAsia"/>
          <w:sz w:val="21"/>
          <w:szCs w:val="21"/>
        </w:rPr>
        <w:t xml:space="preserve">化管理实际要求，完善太仓市城市绿化资源普查数据采集的技术标准、数据格式、采集内容、采集信息属性表结构、采集图形数据要求、质量检查以及数据建库规范等。</w:t>
      </w:r>
      <w:r/>
    </w:p>
    <w:p>
      <w:pPr>
        <w:pStyle w:val="952"/>
        <w:ind w:firstLine="420"/>
        <w:spacing w:line="360" w:lineRule="auto"/>
        <w:rPr>
          <w:rFonts w:hint="eastAsia"/>
          <w:sz w:val="21"/>
          <w:szCs w:val="21"/>
        </w:rPr>
      </w:pPr>
      <w:r>
        <w:rPr>
          <w:rFonts w:hint="eastAsia"/>
          <w:sz w:val="21"/>
          <w:szCs w:val="21"/>
        </w:rPr>
        <w:t xml:space="preserve">2、绿化资源数据普查</w:t>
      </w:r>
      <w:r/>
    </w:p>
    <w:p>
      <w:pPr>
        <w:pStyle w:val="952"/>
        <w:ind w:firstLine="420"/>
        <w:spacing w:line="360" w:lineRule="auto"/>
        <w:rPr>
          <w:rFonts w:hint="eastAsia"/>
          <w:sz w:val="21"/>
          <w:szCs w:val="21"/>
        </w:rPr>
      </w:pPr>
      <w:r>
        <w:rPr>
          <w:rFonts w:hint="eastAsia"/>
          <w:sz w:val="21"/>
          <w:szCs w:val="21"/>
        </w:rPr>
        <w:t xml:space="preserve">基于本项目制定的数据采集标准规范，对</w:t>
      </w:r>
      <w:r>
        <w:rPr>
          <w:rFonts w:hint="eastAsia"/>
          <w:sz w:val="21"/>
          <w:szCs w:val="21"/>
        </w:rPr>
        <w:t xml:space="preserve">城</w:t>
      </w:r>
      <w:r>
        <w:rPr>
          <w:rFonts w:hint="eastAsia"/>
          <w:sz w:val="21"/>
          <w:szCs w:val="21"/>
        </w:rPr>
        <w:t xml:space="preserve">市公园绿地、道路绿地、居住区附属绿地、单位附属绿地、生产绿地以及主、次干道道路红线范围内的绿化资源进行数据普查。</w:t>
      </w:r>
      <w:r/>
    </w:p>
    <w:p>
      <w:pPr>
        <w:pStyle w:val="952"/>
        <w:ind w:firstLine="420"/>
        <w:spacing w:line="360" w:lineRule="auto"/>
        <w:rPr>
          <w:rFonts w:hint="eastAsia"/>
          <w:sz w:val="21"/>
          <w:szCs w:val="21"/>
        </w:rPr>
      </w:pPr>
      <w:r>
        <w:rPr>
          <w:rFonts w:hint="eastAsia"/>
          <w:sz w:val="21"/>
          <w:szCs w:val="21"/>
        </w:rPr>
        <w:t xml:space="preserve">2.1普查依据</w:t>
      </w:r>
      <w:r/>
    </w:p>
    <w:p>
      <w:pPr>
        <w:pStyle w:val="952"/>
        <w:ind w:firstLine="420"/>
        <w:spacing w:line="360" w:lineRule="auto"/>
        <w:rPr>
          <w:rFonts w:hint="eastAsia"/>
          <w:sz w:val="21"/>
          <w:szCs w:val="21"/>
        </w:rPr>
      </w:pPr>
      <w:r>
        <w:rPr>
          <w:rFonts w:hint="eastAsia"/>
          <w:sz w:val="21"/>
          <w:szCs w:val="21"/>
        </w:rPr>
        <w:t xml:space="preserve">(1)《城市测量规范》CJJ8—99；</w:t>
      </w:r>
      <w:r/>
    </w:p>
    <w:p>
      <w:pPr>
        <w:pStyle w:val="952"/>
        <w:ind w:firstLine="420"/>
        <w:spacing w:line="360" w:lineRule="auto"/>
        <w:rPr>
          <w:rFonts w:hint="eastAsia"/>
          <w:sz w:val="21"/>
          <w:szCs w:val="21"/>
        </w:rPr>
      </w:pPr>
      <w:r>
        <w:rPr>
          <w:rFonts w:hint="eastAsia"/>
          <w:sz w:val="21"/>
          <w:szCs w:val="21"/>
        </w:rPr>
        <w:t xml:space="preserve">(2)《工程测量规范》GB50026—93；</w:t>
      </w:r>
      <w:r/>
    </w:p>
    <w:p>
      <w:pPr>
        <w:pStyle w:val="952"/>
        <w:ind w:firstLine="420"/>
        <w:spacing w:line="360" w:lineRule="auto"/>
        <w:rPr>
          <w:rFonts w:hint="eastAsia"/>
          <w:sz w:val="21"/>
          <w:szCs w:val="21"/>
        </w:rPr>
      </w:pPr>
      <w:r>
        <w:rPr>
          <w:rFonts w:hint="eastAsia"/>
          <w:sz w:val="21"/>
          <w:szCs w:val="21"/>
        </w:rPr>
        <w:t xml:space="preserve">(3)《城市市政综合监管信息系统管理园林绿化数据和事件分类与编码》CJ-T214-2007；</w:t>
      </w:r>
      <w:r/>
    </w:p>
    <w:p>
      <w:pPr>
        <w:pStyle w:val="952"/>
        <w:ind w:firstLine="420"/>
        <w:spacing w:line="360" w:lineRule="auto"/>
        <w:rPr>
          <w:rFonts w:hint="eastAsia"/>
          <w:sz w:val="21"/>
          <w:szCs w:val="21"/>
        </w:rPr>
      </w:pPr>
      <w:r>
        <w:rPr>
          <w:rFonts w:hint="eastAsia"/>
          <w:sz w:val="21"/>
          <w:szCs w:val="21"/>
        </w:rPr>
        <w:t xml:space="preserve">(4)《城市地理空间框架数据标准》CJJ103-2004；</w:t>
      </w:r>
      <w:r/>
    </w:p>
    <w:p>
      <w:pPr>
        <w:pStyle w:val="952"/>
        <w:ind w:firstLine="420"/>
        <w:spacing w:line="360" w:lineRule="auto"/>
        <w:rPr>
          <w:rFonts w:hint="eastAsia"/>
          <w:sz w:val="21"/>
          <w:szCs w:val="21"/>
        </w:rPr>
      </w:pPr>
      <w:r>
        <w:rPr>
          <w:rFonts w:hint="eastAsia"/>
          <w:sz w:val="21"/>
          <w:szCs w:val="21"/>
        </w:rPr>
        <w:t xml:space="preserve">(5)本项目相关标准及建设要求。</w:t>
      </w:r>
      <w:r/>
    </w:p>
    <w:p>
      <w:pPr>
        <w:pStyle w:val="952"/>
        <w:ind w:firstLine="420"/>
        <w:spacing w:line="360" w:lineRule="auto"/>
        <w:rPr>
          <w:rFonts w:hint="eastAsia"/>
          <w:sz w:val="21"/>
          <w:szCs w:val="21"/>
        </w:rPr>
      </w:pPr>
      <w:r>
        <w:rPr>
          <w:rFonts w:hint="eastAsia"/>
          <w:sz w:val="21"/>
          <w:szCs w:val="21"/>
        </w:rPr>
        <w:t xml:space="preserve">2.2普查内容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1134"/>
        <w:gridCol w:w="6703"/>
      </w:tblGrid>
      <w:tr>
        <w:trPr>
          <w:trHeight w:val="1469"/>
        </w:trPr>
        <w:tc>
          <w:tcPr>
            <w:tcW w:w="1271"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大类名称</w:t>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小类名称</w:t>
            </w:r>
            <w:r/>
          </w:p>
        </w:tc>
        <w:tc>
          <w:tcPr>
            <w:tcW w:w="6703"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特殊属性示例</w:t>
            </w:r>
            <w:r/>
          </w:p>
        </w:tc>
      </w:tr>
      <w:tr>
        <w:trPr>
          <w:cantSplit/>
          <w:trHeight w:val="640"/>
        </w:trPr>
        <w:tc>
          <w:tcPr>
            <w:tcW w:w="1271" w:type="dxa"/>
            <w:vAlign w:val="center"/>
            <w:vMerge w:val="restart"/>
            <w:textDirection w:val="lrTb"/>
            <w:noWrap w:val="false"/>
          </w:tcPr>
          <w:p>
            <w:pPr>
              <w:pStyle w:val="952"/>
              <w:jc w:val="center"/>
              <w:spacing w:line="360" w:lineRule="auto"/>
              <w:rPr>
                <w:rFonts w:hint="eastAsia"/>
                <w:sz w:val="21"/>
                <w:szCs w:val="21"/>
              </w:rPr>
            </w:pPr>
            <w:r>
              <w:rPr>
                <w:rFonts w:hint="eastAsia"/>
                <w:sz w:val="21"/>
                <w:szCs w:val="21"/>
              </w:rPr>
              <w:t xml:space="preserve">乔木</w:t>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古树名木</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树种、树龄、高度、胸径、冠幅、长势、科、属、所在区镇/街道、所在村/社区、责任单位、管理单位、X坐标、Y坐标</w:t>
            </w:r>
            <w:r/>
          </w:p>
        </w:tc>
      </w:tr>
      <w:tr>
        <w:trPr>
          <w:cantSplit/>
          <w:trHeight w:val="983"/>
        </w:trPr>
        <w:tc>
          <w:tcPr>
            <w:tcW w:w="1271" w:type="dxa"/>
            <w:vAlign w:val="center"/>
            <w:vMerge w:val="continue"/>
            <w:textDirection w:val="lrTb"/>
            <w:noWrap w:val="false"/>
          </w:tcPr>
          <w:p>
            <w:pPr>
              <w:pStyle w:val="952"/>
              <w:ind w:firstLine="420"/>
              <w:jc w:val="center"/>
              <w:spacing w:line="360" w:lineRule="auto"/>
              <w:rPr>
                <w:rFonts w:hint="eastAsia"/>
                <w:sz w:val="21"/>
                <w:szCs w:val="21"/>
              </w:rPr>
            </w:pPr>
            <w:r>
              <w:rPr>
                <w:rFonts w:hint="eastAsia"/>
                <w:sz w:val="21"/>
                <w:szCs w:val="21"/>
              </w:rPr>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行道树</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树种、高度、胸径、冠幅、长势、所在区镇/街道、所在村/社区、X坐标、Y坐标</w:t>
            </w:r>
            <w:r/>
          </w:p>
        </w:tc>
      </w:tr>
      <w:tr>
        <w:trPr>
          <w:cantSplit/>
          <w:trHeight w:val="983"/>
        </w:trPr>
        <w:tc>
          <w:tcPr>
            <w:tcW w:w="1271" w:type="dxa"/>
            <w:vAlign w:val="center"/>
            <w:vMerge w:val="continue"/>
            <w:textDirection w:val="lrTb"/>
            <w:noWrap w:val="false"/>
          </w:tcPr>
          <w:p>
            <w:pPr>
              <w:pStyle w:val="952"/>
              <w:ind w:firstLine="420"/>
              <w:jc w:val="center"/>
              <w:spacing w:line="360" w:lineRule="auto"/>
              <w:rPr>
                <w:rFonts w:hint="eastAsia"/>
                <w:sz w:val="21"/>
                <w:szCs w:val="21"/>
              </w:rPr>
            </w:pPr>
            <w:r>
              <w:rPr>
                <w:rFonts w:hint="eastAsia"/>
                <w:sz w:val="21"/>
                <w:szCs w:val="21"/>
              </w:rPr>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散生树</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树种、高度、胸径、冠幅、所在区镇/街道、所在村/社区、X坐标、Y坐标</w:t>
            </w:r>
            <w:r/>
          </w:p>
        </w:tc>
      </w:tr>
      <w:tr>
        <w:trPr>
          <w:cantSplit/>
          <w:trHeight w:val="983"/>
        </w:trPr>
        <w:tc>
          <w:tcPr>
            <w:tcW w:w="1271" w:type="dxa"/>
            <w:vAlign w:val="center"/>
            <w:vMerge w:val="continue"/>
            <w:textDirection w:val="lrTb"/>
            <w:noWrap w:val="false"/>
          </w:tcPr>
          <w:p>
            <w:pPr>
              <w:pStyle w:val="952"/>
              <w:ind w:firstLine="420"/>
              <w:jc w:val="center"/>
              <w:spacing w:line="360" w:lineRule="auto"/>
              <w:rPr>
                <w:rFonts w:hint="eastAsia"/>
                <w:sz w:val="21"/>
                <w:szCs w:val="21"/>
              </w:rPr>
            </w:pPr>
            <w:r>
              <w:rPr>
                <w:rFonts w:hint="eastAsia"/>
                <w:sz w:val="21"/>
                <w:szCs w:val="21"/>
              </w:rPr>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造型树</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树种、高度、胸径、冠幅、长势、所在区镇/街道、所在</w:t>
            </w:r>
            <w:r>
              <w:rPr>
                <w:rFonts w:hint="eastAsia"/>
                <w:sz w:val="21"/>
                <w:szCs w:val="21"/>
              </w:rPr>
              <w:t xml:space="preserve">村/社区、X坐标、Y坐标</w:t>
            </w:r>
            <w:r/>
          </w:p>
        </w:tc>
      </w:tr>
      <w:tr>
        <w:trPr>
          <w:cantSplit/>
          <w:trHeight w:val="640"/>
        </w:trPr>
        <w:tc>
          <w:tcPr>
            <w:tcW w:w="1271" w:type="dxa"/>
            <w:vAlign w:val="center"/>
            <w:vMerge w:val="continue"/>
            <w:textDirection w:val="lrTb"/>
            <w:noWrap w:val="false"/>
          </w:tcPr>
          <w:p>
            <w:pPr>
              <w:pStyle w:val="952"/>
              <w:ind w:firstLine="420"/>
              <w:jc w:val="center"/>
              <w:spacing w:line="360" w:lineRule="auto"/>
              <w:rPr>
                <w:rFonts w:hint="eastAsia"/>
                <w:sz w:val="21"/>
                <w:szCs w:val="21"/>
              </w:rPr>
            </w:pPr>
            <w:r>
              <w:rPr>
                <w:rFonts w:hint="eastAsia"/>
                <w:sz w:val="21"/>
                <w:szCs w:val="21"/>
              </w:rPr>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片林</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树种、数量、面积、长势、所在区镇/街道、所在村/社区</w:t>
            </w:r>
            <w:r/>
          </w:p>
        </w:tc>
      </w:tr>
      <w:tr>
        <w:trPr>
          <w:cantSplit/>
          <w:trHeight w:val="983"/>
        </w:trPr>
        <w:tc>
          <w:tcPr>
            <w:tcW w:w="1271" w:type="dxa"/>
            <w:vAlign w:val="center"/>
            <w:vMerge w:val="restart"/>
            <w:textDirection w:val="lrTb"/>
            <w:noWrap w:val="false"/>
          </w:tcPr>
          <w:p>
            <w:pPr>
              <w:pStyle w:val="952"/>
              <w:jc w:val="center"/>
              <w:spacing w:line="360" w:lineRule="auto"/>
              <w:rPr>
                <w:rFonts w:hint="eastAsia"/>
                <w:sz w:val="21"/>
                <w:szCs w:val="21"/>
              </w:rPr>
            </w:pPr>
            <w:r>
              <w:rPr>
                <w:rFonts w:hint="eastAsia"/>
                <w:sz w:val="21"/>
                <w:szCs w:val="21"/>
              </w:rPr>
              <w:t xml:space="preserve">灌木</w:t>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孤植灌木</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品种、高度、地径、冠幅、长势、所在区镇/街道、所在村/社区、X坐标、Y坐标</w:t>
            </w:r>
            <w:r/>
          </w:p>
        </w:tc>
      </w:tr>
      <w:tr>
        <w:trPr>
          <w:cantSplit/>
          <w:trHeight w:val="640"/>
        </w:trPr>
        <w:tc>
          <w:tcPr>
            <w:tcW w:w="1271" w:type="dxa"/>
            <w:vAlign w:val="center"/>
            <w:vMerge w:val="continue"/>
            <w:textDirection w:val="lrTb"/>
            <w:noWrap w:val="false"/>
          </w:tcPr>
          <w:p>
            <w:pPr>
              <w:pStyle w:val="952"/>
              <w:ind w:firstLine="420"/>
              <w:jc w:val="center"/>
              <w:spacing w:line="360" w:lineRule="auto"/>
              <w:rPr>
                <w:rFonts w:hint="eastAsia"/>
                <w:sz w:val="21"/>
                <w:szCs w:val="21"/>
              </w:rPr>
            </w:pPr>
            <w:r>
              <w:rPr>
                <w:rFonts w:hint="eastAsia"/>
                <w:sz w:val="21"/>
                <w:szCs w:val="21"/>
              </w:rPr>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片植灌木</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品种、面积、长势、所在区镇/街道、所在村/社区</w:t>
            </w:r>
            <w:r/>
          </w:p>
        </w:tc>
      </w:tr>
      <w:tr>
        <w:trPr>
          <w:cantSplit/>
          <w:trHeight w:val="983"/>
        </w:trPr>
        <w:tc>
          <w:tcPr>
            <w:tcW w:w="1271" w:type="dxa"/>
            <w:vAlign w:val="center"/>
            <w:vMerge w:val="continue"/>
            <w:textDirection w:val="lrTb"/>
            <w:noWrap w:val="false"/>
          </w:tcPr>
          <w:p>
            <w:pPr>
              <w:pStyle w:val="952"/>
              <w:ind w:firstLine="420"/>
              <w:jc w:val="center"/>
              <w:spacing w:line="360" w:lineRule="auto"/>
              <w:rPr>
                <w:rFonts w:hint="eastAsia"/>
                <w:sz w:val="21"/>
                <w:szCs w:val="21"/>
              </w:rPr>
            </w:pPr>
            <w:r>
              <w:rPr>
                <w:rFonts w:hint="eastAsia"/>
                <w:sz w:val="21"/>
                <w:szCs w:val="21"/>
              </w:rPr>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造型灌木</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品种、地径、长势、所在区镇/街道、所在村/社区、X坐标、Y坐标</w:t>
            </w:r>
            <w:r/>
          </w:p>
        </w:tc>
      </w:tr>
      <w:tr>
        <w:trPr>
          <w:cantSplit/>
          <w:trHeight w:val="983"/>
        </w:trPr>
        <w:tc>
          <w:tcPr>
            <w:tcW w:w="1271" w:type="dxa"/>
            <w:vAlign w:val="center"/>
            <w:vMerge w:val="continue"/>
            <w:textDirection w:val="lrTb"/>
            <w:noWrap w:val="false"/>
          </w:tcPr>
          <w:p>
            <w:pPr>
              <w:pStyle w:val="952"/>
              <w:ind w:firstLine="420"/>
              <w:jc w:val="center"/>
              <w:spacing w:line="360" w:lineRule="auto"/>
              <w:rPr>
                <w:rFonts w:hint="eastAsia"/>
                <w:sz w:val="21"/>
                <w:szCs w:val="21"/>
              </w:rPr>
            </w:pPr>
            <w:r>
              <w:rPr>
                <w:rFonts w:hint="eastAsia"/>
                <w:sz w:val="21"/>
                <w:szCs w:val="21"/>
              </w:rPr>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整型球</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品种、冠幅、长势、所在区镇/街道、所在村/社区、X坐标、Y坐标</w:t>
            </w:r>
            <w:r/>
          </w:p>
        </w:tc>
      </w:tr>
      <w:tr>
        <w:trPr>
          <w:cantSplit/>
          <w:trHeight w:val="983"/>
        </w:trPr>
        <w:tc>
          <w:tcPr>
            <w:tcW w:w="1271" w:type="dxa"/>
            <w:vAlign w:val="center"/>
            <w:vMerge w:val="restart"/>
            <w:textDirection w:val="lrTb"/>
            <w:noWrap w:val="false"/>
          </w:tcPr>
          <w:p>
            <w:pPr>
              <w:pStyle w:val="952"/>
              <w:jc w:val="center"/>
              <w:spacing w:line="360" w:lineRule="auto"/>
              <w:rPr>
                <w:rFonts w:hint="eastAsia"/>
                <w:sz w:val="21"/>
                <w:szCs w:val="21"/>
              </w:rPr>
            </w:pPr>
            <w:r>
              <w:rPr>
                <w:rFonts w:hint="eastAsia"/>
                <w:sz w:val="21"/>
                <w:szCs w:val="21"/>
              </w:rPr>
              <w:t xml:space="preserve">地被</w:t>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草坪</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品种、面积、长势、所在区镇/街道、所在村/社区</w:t>
            </w:r>
            <w:r/>
          </w:p>
        </w:tc>
      </w:tr>
      <w:tr>
        <w:trPr>
          <w:cantSplit/>
          <w:trHeight w:val="983"/>
        </w:trPr>
        <w:tc>
          <w:tcPr>
            <w:tcW w:w="1271" w:type="dxa"/>
            <w:vAlign w:val="center"/>
            <w:vMerge w:val="continue"/>
            <w:textDirection w:val="lrTb"/>
            <w:noWrap w:val="false"/>
          </w:tcPr>
          <w:p>
            <w:pPr>
              <w:pStyle w:val="952"/>
              <w:ind w:firstLine="420"/>
              <w:jc w:val="center"/>
              <w:spacing w:line="360" w:lineRule="auto"/>
              <w:rPr>
                <w:rFonts w:hint="eastAsia"/>
                <w:sz w:val="21"/>
                <w:szCs w:val="21"/>
              </w:rPr>
            </w:pPr>
            <w:r>
              <w:rPr>
                <w:rFonts w:hint="eastAsia"/>
                <w:sz w:val="21"/>
                <w:szCs w:val="21"/>
              </w:rPr>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草花</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名称、所在区镇/街道、所在村/社区、所在位置、类别</w:t>
            </w:r>
            <w:r/>
          </w:p>
        </w:tc>
      </w:tr>
      <w:tr>
        <w:trPr>
          <w:cantSplit/>
          <w:trHeight w:val="983"/>
        </w:trPr>
        <w:tc>
          <w:tcPr>
            <w:tcW w:w="1271" w:type="dxa"/>
            <w:vAlign w:val="center"/>
            <w:vMerge w:val="continue"/>
            <w:textDirection w:val="lrTb"/>
            <w:noWrap w:val="false"/>
          </w:tcPr>
          <w:p>
            <w:pPr>
              <w:pStyle w:val="952"/>
              <w:ind w:firstLine="420"/>
              <w:jc w:val="center"/>
              <w:spacing w:line="360" w:lineRule="auto"/>
              <w:rPr>
                <w:rFonts w:hint="eastAsia"/>
                <w:sz w:val="21"/>
                <w:szCs w:val="21"/>
              </w:rPr>
            </w:pPr>
            <w:r>
              <w:rPr>
                <w:rFonts w:hint="eastAsia"/>
                <w:sz w:val="21"/>
                <w:szCs w:val="21"/>
              </w:rPr>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其他</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品种、面积、所在区镇/街道、所在村/社区</w:t>
            </w:r>
            <w:r/>
          </w:p>
        </w:tc>
      </w:tr>
      <w:tr>
        <w:trPr>
          <w:cantSplit/>
          <w:trHeight w:val="973"/>
        </w:trPr>
        <w:tc>
          <w:tcPr>
            <w:tcBorders>
              <w:bottom w:val="single" w:color="000000" w:sz="4" w:space="0"/>
            </w:tcBorders>
            <w:tcW w:w="1271" w:type="dxa"/>
            <w:vAlign w:val="center"/>
            <w:vMerge w:val="restart"/>
            <w:textDirection w:val="lrTb"/>
            <w:noWrap w:val="false"/>
          </w:tcPr>
          <w:p>
            <w:pPr>
              <w:pStyle w:val="952"/>
              <w:jc w:val="center"/>
              <w:spacing w:line="360" w:lineRule="auto"/>
              <w:rPr>
                <w:rFonts w:hint="eastAsia"/>
                <w:sz w:val="21"/>
                <w:szCs w:val="21"/>
              </w:rPr>
            </w:pPr>
            <w:r>
              <w:rPr>
                <w:rFonts w:hint="eastAsia"/>
                <w:sz w:val="21"/>
                <w:szCs w:val="21"/>
              </w:rPr>
              <w:t xml:space="preserve">立体绿化</w:t>
            </w:r>
            <w:r/>
          </w:p>
        </w:tc>
        <w:tc>
          <w:tcPr>
            <w:tcBorders>
              <w:bottom w:val="single" w:color="000000" w:sz="4" w:space="0"/>
            </w:tcBorders>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屋顶绿化</w:t>
            </w:r>
            <w:r/>
          </w:p>
        </w:tc>
        <w:tc>
          <w:tcPr>
            <w:tcBorders>
              <w:bottom w:val="single" w:color="000000" w:sz="4" w:space="0"/>
            </w:tcBorders>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品种、面积、所在区镇/街道、所在村/社区</w:t>
            </w:r>
            <w:r/>
          </w:p>
        </w:tc>
      </w:tr>
      <w:tr>
        <w:trPr>
          <w:cantSplit/>
          <w:trHeight w:val="973"/>
        </w:trPr>
        <w:tc>
          <w:tcPr>
            <w:tcBorders>
              <w:bottom w:val="single" w:color="000000" w:sz="4" w:space="0"/>
            </w:tcBorders>
            <w:tcW w:w="1271" w:type="dxa"/>
            <w:vAlign w:val="center"/>
            <w:vMerge w:val="continue"/>
            <w:textDirection w:val="lrTb"/>
            <w:noWrap w:val="false"/>
          </w:tcPr>
          <w:p>
            <w:pPr>
              <w:pStyle w:val="952"/>
              <w:ind w:firstLine="420"/>
              <w:jc w:val="center"/>
              <w:spacing w:line="360" w:lineRule="auto"/>
              <w:rPr>
                <w:rFonts w:hint="eastAsia"/>
                <w:sz w:val="21"/>
                <w:szCs w:val="21"/>
              </w:rPr>
            </w:pPr>
            <w:r>
              <w:rPr>
                <w:rFonts w:hint="eastAsia"/>
                <w:sz w:val="21"/>
                <w:szCs w:val="21"/>
              </w:rPr>
            </w:r>
            <w:r/>
          </w:p>
        </w:tc>
        <w:tc>
          <w:tcPr>
            <w:tcBorders>
              <w:bottom w:val="single" w:color="000000" w:sz="4" w:space="0"/>
            </w:tcBorders>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垂直绿化</w:t>
            </w:r>
            <w:r/>
          </w:p>
        </w:tc>
        <w:tc>
          <w:tcPr>
            <w:tcBorders>
              <w:bottom w:val="single" w:color="000000" w:sz="4" w:space="0"/>
            </w:tcBorders>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品种、面积、所在区镇/街道、所在村/社区</w:t>
            </w:r>
            <w:r/>
          </w:p>
        </w:tc>
      </w:tr>
      <w:tr>
        <w:trPr>
          <w:trHeight w:val="983"/>
        </w:trPr>
        <w:tc>
          <w:tcPr>
            <w:tcW w:w="1271"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水生植物</w:t>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水生植物</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品种、面积、所在区镇/街道、所在村/社区</w:t>
            </w:r>
            <w:r/>
          </w:p>
        </w:tc>
      </w:tr>
      <w:tr>
        <w:trPr>
          <w:trHeight w:val="320"/>
        </w:trPr>
        <w:tc>
          <w:tcPr>
            <w:tcW w:w="1271"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水系</w:t>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水系</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名称、面积、所在区镇/街道、所在村/社区</w:t>
            </w:r>
            <w:r/>
          </w:p>
        </w:tc>
      </w:tr>
      <w:tr>
        <w:trPr>
          <w:trHeight w:val="983"/>
        </w:trPr>
        <w:tc>
          <w:tcPr>
            <w:tcW w:w="1271"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绿化辅助</w:t>
            </w:r>
            <w:r/>
          </w:p>
        </w:tc>
        <w:tc>
          <w:tcPr>
            <w:tcW w:w="113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绿地</w:t>
            </w:r>
            <w:r/>
          </w:p>
        </w:tc>
        <w:tc>
          <w:tcPr>
            <w:tcW w:w="6703" w:type="dxa"/>
            <w:vAlign w:val="center"/>
            <w:textDirection w:val="lrTb"/>
            <w:noWrap w:val="false"/>
          </w:tcPr>
          <w:p>
            <w:pPr>
              <w:pStyle w:val="952"/>
              <w:spacing w:line="360" w:lineRule="auto"/>
              <w:rPr>
                <w:rFonts w:hint="eastAsia"/>
                <w:sz w:val="21"/>
                <w:szCs w:val="21"/>
              </w:rPr>
            </w:pPr>
            <w:r>
              <w:rPr>
                <w:rFonts w:hint="eastAsia"/>
                <w:sz w:val="21"/>
                <w:szCs w:val="21"/>
              </w:rPr>
              <w:t xml:space="preserve">绿地类型、面积、所在区镇/街道、所在村/社区。</w:t>
            </w:r>
            <w:r/>
          </w:p>
        </w:tc>
      </w:tr>
    </w:tbl>
    <w:p>
      <w:pPr>
        <w:pStyle w:val="952"/>
        <w:ind w:firstLine="420"/>
        <w:spacing w:line="360" w:lineRule="auto"/>
        <w:rPr>
          <w:rFonts w:hint="eastAsia"/>
          <w:sz w:val="21"/>
          <w:szCs w:val="21"/>
        </w:rPr>
      </w:pPr>
      <w:r>
        <w:rPr>
          <w:rFonts w:hint="eastAsia"/>
          <w:sz w:val="21"/>
          <w:szCs w:val="21"/>
        </w:rPr>
        <w:t xml:space="preserve">根据《CJJT85-2017城市绿地分类标准》要求，绿地分类应采用大类(公园绿地、防护绿地、广场用地、附属绿地、</w:t>
      </w:r>
      <w:r>
        <w:rPr>
          <w:rFonts w:hint="eastAsia"/>
          <w:sz w:val="21"/>
          <w:szCs w:val="21"/>
        </w:rPr>
        <w:t xml:space="preserve">区域</w:t>
      </w:r>
      <w:r>
        <w:rPr>
          <w:rFonts w:hint="eastAsia"/>
          <w:sz w:val="21"/>
          <w:szCs w:val="21"/>
        </w:rPr>
        <w:t xml:space="preserve">绿地)、中类、小类三个层</w:t>
      </w:r>
      <w:r>
        <w:rPr>
          <w:rFonts w:hint="eastAsia"/>
          <w:sz w:val="21"/>
          <w:szCs w:val="21"/>
        </w:rPr>
        <w:t xml:space="preserve">次进行分类。</w:t>
      </w:r>
      <w:r/>
    </w:p>
    <w:p>
      <w:pPr>
        <w:pStyle w:val="952"/>
        <w:ind w:firstLine="420"/>
        <w:spacing w:line="360" w:lineRule="auto"/>
        <w:rPr>
          <w:rFonts w:hint="eastAsia"/>
          <w:sz w:val="21"/>
          <w:szCs w:val="21"/>
        </w:rPr>
      </w:pPr>
      <w:r>
        <w:rPr>
          <w:rFonts w:hint="eastAsia"/>
          <w:sz w:val="21"/>
          <w:szCs w:val="21"/>
        </w:rPr>
        <w:t xml:space="preserve">3、建立城市绿化一张图数据库建设</w:t>
      </w:r>
      <w:r/>
    </w:p>
    <w:p>
      <w:pPr>
        <w:pStyle w:val="952"/>
        <w:ind w:firstLine="420"/>
        <w:spacing w:line="360" w:lineRule="auto"/>
        <w:rPr>
          <w:rFonts w:hint="eastAsia"/>
          <w:sz w:val="21"/>
          <w:szCs w:val="21"/>
        </w:rPr>
      </w:pPr>
      <w:r>
        <w:rPr>
          <w:rFonts w:hint="eastAsia"/>
          <w:sz w:val="21"/>
          <w:szCs w:val="21"/>
        </w:rPr>
        <w:t xml:space="preserve">要求基于太仓市统一共享的基础地理数据，依托本项目制定的数据建库标准规范，对普查成果数据进行分类、编码、标准化处理以及入库存储，制作城市绿化专题图层，建设全市统一的城市绿化地理信息数据库，对接太仓市绿地规划信息管理系统，在系统中实现在底图基础上进行绿化资源专题图等综合数据的叠加、显示、查询、定位，以及相关量测功能，形成绿化一张图。包括：</w:t>
      </w:r>
      <w:r/>
    </w:p>
    <w:p>
      <w:pPr>
        <w:pStyle w:val="952"/>
        <w:ind w:firstLine="420"/>
        <w:spacing w:line="360" w:lineRule="auto"/>
        <w:rPr>
          <w:rFonts w:hint="eastAsia"/>
          <w:sz w:val="21"/>
          <w:szCs w:val="21"/>
        </w:rPr>
      </w:pPr>
      <w:r>
        <w:rPr>
          <w:sz w:val="21"/>
          <w:szCs w:val="21"/>
        </w:rPr>
        <mc:AlternateContent>
          <mc:Choice Requires="wpg">
            <w:drawing>
              <wp:inline xmlns:wp="http://schemas.openxmlformats.org/drawingml/2006/wordprocessingDrawing" distT="0" distB="0" distL="0" distR="0">
                <wp:extent cx="101613" cy="18421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01613" cy="18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0pt;height:14.5pt;mso-wrap-distance-left:0.0pt;mso-wrap-distance-top:0.0pt;mso-wrap-distance-right:0.0pt;mso-wrap-distance-bottom:0.0pt;" stroked="f">
                <v:path textboxrect="0,0,0,0"/>
                <v:imagedata r:id="rId12" o:title=""/>
              </v:shape>
            </w:pict>
          </mc:Fallback>
        </mc:AlternateContent>
      </w:r>
      <w:r>
        <w:rPr>
          <w:rFonts w:hint="eastAsia"/>
          <w:sz w:val="21"/>
          <w:szCs w:val="21"/>
        </w:rPr>
        <w:t xml:space="preserve">乔木一张图：实现古树名木、行道树、散生树、造型树、片林等专题图层的建设；</w:t>
      </w:r>
      <w:r/>
    </w:p>
    <w:p>
      <w:pPr>
        <w:pStyle w:val="952"/>
        <w:ind w:firstLine="420"/>
        <w:spacing w:line="360" w:lineRule="auto"/>
        <w:rPr>
          <w:rFonts w:hint="eastAsia"/>
          <w:sz w:val="21"/>
          <w:szCs w:val="21"/>
        </w:rPr>
      </w:pPr>
      <w:r>
        <w:rPr>
          <w:sz w:val="21"/>
          <w:szCs w:val="21"/>
        </w:rPr>
        <mc:AlternateContent>
          <mc:Choice Requires="wpg">
            <w:drawing>
              <wp:inline xmlns:wp="http://schemas.openxmlformats.org/drawingml/2006/wordprocessingDrawing" distT="0" distB="0" distL="0" distR="0">
                <wp:extent cx="101613" cy="18421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1613" cy="18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0pt;height:14.5pt;mso-wrap-distance-left:0.0pt;mso-wrap-distance-top:0.0pt;mso-wrap-distance-right:0.0pt;mso-wrap-distance-bottom:0.0pt;" stroked="f">
                <v:path textboxrect="0,0,0,0"/>
                <v:imagedata r:id="rId13" o:title=""/>
              </v:shape>
            </w:pict>
          </mc:Fallback>
        </mc:AlternateContent>
      </w:r>
      <w:r>
        <w:rPr>
          <w:rFonts w:hint="eastAsia"/>
          <w:sz w:val="21"/>
          <w:szCs w:val="21"/>
        </w:rPr>
        <w:t xml:space="preserve">灌木一张图：实现孤植灌木、片植灌木、造型灌木、整型球等专题图层的建设；</w:t>
      </w:r>
      <w:r/>
    </w:p>
    <w:p>
      <w:pPr>
        <w:pStyle w:val="952"/>
        <w:ind w:firstLine="420"/>
        <w:spacing w:line="360" w:lineRule="auto"/>
        <w:rPr>
          <w:rFonts w:hint="eastAsia"/>
          <w:sz w:val="21"/>
          <w:szCs w:val="21"/>
        </w:rPr>
      </w:pPr>
      <w:r>
        <w:rPr>
          <w:sz w:val="21"/>
          <w:szCs w:val="21"/>
        </w:rPr>
        <mc:AlternateContent>
          <mc:Choice Requires="wpg">
            <w:drawing>
              <wp:inline xmlns:wp="http://schemas.openxmlformats.org/drawingml/2006/wordprocessingDrawing" distT="0" distB="0" distL="0" distR="0">
                <wp:extent cx="101613" cy="18421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01613" cy="18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0pt;height:14.5pt;mso-wrap-distance-left:0.0pt;mso-wrap-distance-top:0.0pt;mso-wrap-distance-right:0.0pt;mso-wrap-distance-bottom:0.0pt;" stroked="f">
                <v:path textboxrect="0,0,0,0"/>
                <v:imagedata r:id="rId14" o:title=""/>
              </v:shape>
            </w:pict>
          </mc:Fallback>
        </mc:AlternateContent>
      </w:r>
      <w:r>
        <w:rPr>
          <w:rFonts w:hint="eastAsia"/>
          <w:sz w:val="21"/>
          <w:szCs w:val="21"/>
        </w:rPr>
        <w:t xml:space="preserve">地被一张图：实现草坪、草花(地栽)及其他相关专题图层的建设；</w:t>
      </w:r>
      <w:r/>
    </w:p>
    <w:p>
      <w:pPr>
        <w:pStyle w:val="952"/>
        <w:ind w:firstLine="420"/>
        <w:spacing w:line="360" w:lineRule="auto"/>
        <w:rPr>
          <w:rFonts w:hint="eastAsia"/>
          <w:sz w:val="21"/>
          <w:szCs w:val="21"/>
        </w:rPr>
      </w:pPr>
      <w:r>
        <w:rPr>
          <w:sz w:val="21"/>
          <w:szCs w:val="21"/>
        </w:rPr>
        <mc:AlternateContent>
          <mc:Choice Requires="wpg">
            <w:drawing>
              <wp:inline xmlns:wp="http://schemas.openxmlformats.org/drawingml/2006/wordprocessingDrawing" distT="0" distB="0" distL="0" distR="0">
                <wp:extent cx="101613" cy="18421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1613" cy="18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0pt;height:14.5pt;mso-wrap-distance-left:0.0pt;mso-wrap-distance-top:0.0pt;mso-wrap-distance-right:0.0pt;mso-wrap-distance-bottom:0.0pt;" stroked="f">
                <v:path textboxrect="0,0,0,0"/>
                <v:imagedata r:id="rId15" o:title=""/>
              </v:shape>
            </w:pict>
          </mc:Fallback>
        </mc:AlternateContent>
      </w:r>
      <w:r>
        <w:rPr>
          <w:rFonts w:hint="eastAsia"/>
          <w:sz w:val="21"/>
          <w:szCs w:val="21"/>
        </w:rPr>
        <w:t xml:space="preserve">立体绿化一张图：实现屋顶绿化、垂直绿化等专题图层的建设；</w:t>
      </w:r>
      <w:r/>
    </w:p>
    <w:p>
      <w:pPr>
        <w:pStyle w:val="952"/>
        <w:ind w:firstLine="420"/>
        <w:spacing w:line="360" w:lineRule="auto"/>
        <w:rPr>
          <w:rFonts w:hint="eastAsia"/>
          <w:sz w:val="21"/>
          <w:szCs w:val="21"/>
        </w:rPr>
      </w:pPr>
      <w:r>
        <w:rPr>
          <w:sz w:val="21"/>
          <w:szCs w:val="21"/>
        </w:rPr>
        <mc:AlternateContent>
          <mc:Choice Requires="wpg">
            <w:drawing>
              <wp:inline xmlns:wp="http://schemas.openxmlformats.org/drawingml/2006/wordprocessingDrawing" distT="0" distB="0" distL="0" distR="0">
                <wp:extent cx="101613" cy="18421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1613" cy="18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0pt;height:14.5pt;mso-wrap-distance-left:0.0pt;mso-wrap-distance-top:0.0pt;mso-wrap-distance-right:0.0pt;mso-wrap-distance-bottom:0.0pt;" stroked="f">
                <v:path textboxrect="0,0,0,0"/>
                <v:imagedata r:id="rId16" o:title=""/>
              </v:shape>
            </w:pict>
          </mc:Fallback>
        </mc:AlternateContent>
      </w:r>
      <w:r>
        <w:rPr>
          <w:rFonts w:hint="eastAsia"/>
          <w:sz w:val="21"/>
          <w:szCs w:val="21"/>
        </w:rPr>
        <w:t xml:space="preserve">公园一张图：实现全市公园专题图层的建设；</w:t>
      </w:r>
      <w:r/>
    </w:p>
    <w:p>
      <w:pPr>
        <w:pStyle w:val="952"/>
        <w:ind w:firstLine="420"/>
        <w:spacing w:line="360" w:lineRule="auto"/>
        <w:rPr>
          <w:rFonts w:hint="eastAsia"/>
          <w:sz w:val="21"/>
          <w:szCs w:val="21"/>
        </w:rPr>
      </w:pPr>
      <w:r>
        <w:rPr>
          <w:sz w:val="21"/>
          <w:szCs w:val="21"/>
        </w:rPr>
        <mc:AlternateContent>
          <mc:Choice Requires="wpg">
            <w:drawing>
              <wp:inline xmlns:wp="http://schemas.openxmlformats.org/drawingml/2006/wordprocessingDrawing" distT="0" distB="0" distL="0" distR="0">
                <wp:extent cx="101613" cy="18421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1613" cy="18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0pt;height:14.5pt;mso-wrap-distance-left:0.0pt;mso-wrap-distance-top:0.0pt;mso-wrap-distance-right:0.0pt;mso-wrap-distance-bottom:0.0pt;" stroked="f">
                <v:path textboxrect="0,0,0,0"/>
                <v:imagedata r:id="rId17" o:title=""/>
              </v:shape>
            </w:pict>
          </mc:Fallback>
        </mc:AlternateContent>
      </w:r>
      <w:r>
        <w:rPr>
          <w:rFonts w:hint="eastAsia"/>
          <w:sz w:val="21"/>
          <w:szCs w:val="21"/>
        </w:rPr>
        <w:t xml:space="preserve">古树名木一张图：实现古树名木专题图层的建设；</w:t>
      </w:r>
      <w:r/>
    </w:p>
    <w:p>
      <w:pPr>
        <w:pStyle w:val="952"/>
        <w:ind w:firstLine="420"/>
        <w:spacing w:line="360" w:lineRule="auto"/>
        <w:rPr>
          <w:rFonts w:hint="eastAsia"/>
          <w:sz w:val="21"/>
          <w:szCs w:val="21"/>
        </w:rPr>
      </w:pPr>
      <w:r>
        <w:rPr>
          <w:sz w:val="21"/>
          <w:szCs w:val="21"/>
        </w:rPr>
        <mc:AlternateContent>
          <mc:Choice Requires="wpg">
            <w:drawing>
              <wp:inline xmlns:wp="http://schemas.openxmlformats.org/drawingml/2006/wordprocessingDrawing" distT="0" distB="0" distL="0" distR="0">
                <wp:extent cx="101613" cy="18421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01613" cy="18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0pt;height:14.5pt;mso-wrap-distance-left:0.0pt;mso-wrap-distance-top:0.0pt;mso-wrap-distance-right:0.0pt;mso-wrap-distance-bottom:0.0pt;" stroked="f">
                <v:path textboxrect="0,0,0,0"/>
                <v:imagedata r:id="rId18" o:title=""/>
              </v:shape>
            </w:pict>
          </mc:Fallback>
        </mc:AlternateContent>
      </w:r>
      <w:r>
        <w:rPr>
          <w:rFonts w:hint="eastAsia"/>
          <w:sz w:val="21"/>
          <w:szCs w:val="21"/>
        </w:rPr>
        <w:t xml:space="preserve">水生植物一张图：实现水生植物专题图层的建设；</w:t>
      </w:r>
      <w:r/>
    </w:p>
    <w:p>
      <w:pPr>
        <w:pStyle w:val="952"/>
        <w:ind w:firstLine="420"/>
        <w:spacing w:line="360" w:lineRule="auto"/>
        <w:rPr>
          <w:rFonts w:hint="eastAsia"/>
          <w:sz w:val="21"/>
          <w:szCs w:val="21"/>
        </w:rPr>
      </w:pPr>
      <w:r>
        <w:rPr>
          <w:sz w:val="21"/>
          <w:szCs w:val="21"/>
        </w:rPr>
        <mc:AlternateContent>
          <mc:Choice Requires="wpg">
            <w:drawing>
              <wp:inline xmlns:wp="http://schemas.openxmlformats.org/drawingml/2006/wordprocessingDrawing" distT="0" distB="0" distL="0" distR="0">
                <wp:extent cx="101613" cy="18421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1613" cy="18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0pt;height:14.5pt;mso-wrap-distance-left:0.0pt;mso-wrap-distance-top:0.0pt;mso-wrap-distance-right:0.0pt;mso-wrap-distance-bottom:0.0pt;" stroked="f">
                <v:path textboxrect="0,0,0,0"/>
                <v:imagedata r:id="rId19" o:title=""/>
              </v:shape>
            </w:pict>
          </mc:Fallback>
        </mc:AlternateContent>
      </w:r>
      <w:r>
        <w:rPr>
          <w:rFonts w:hint="eastAsia"/>
          <w:sz w:val="21"/>
          <w:szCs w:val="21"/>
        </w:rPr>
        <w:t xml:space="preserve">水系一张图：实现水系专题图层的建设；</w:t>
      </w:r>
      <w:r/>
    </w:p>
    <w:p>
      <w:pPr>
        <w:pStyle w:val="952"/>
        <w:ind w:firstLine="420"/>
        <w:spacing w:line="360" w:lineRule="auto"/>
        <w:rPr>
          <w:rFonts w:hint="eastAsia"/>
          <w:sz w:val="21"/>
          <w:szCs w:val="21"/>
        </w:rPr>
      </w:pPr>
      <w:r>
        <w:rPr>
          <w:sz w:val="21"/>
          <w:szCs w:val="21"/>
        </w:rPr>
        <mc:AlternateContent>
          <mc:Choice Requires="wpg">
            <w:drawing>
              <wp:inline xmlns:wp="http://schemas.openxmlformats.org/drawingml/2006/wordprocessingDrawing" distT="0" distB="0" distL="0" distR="0">
                <wp:extent cx="101613" cy="18421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1613" cy="18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0pt;height:14.5pt;mso-wrap-distance-left:0.0pt;mso-wrap-distance-top:0.0pt;mso-wrap-distance-right:0.0pt;mso-wrap-distance-bottom:0.0pt;" stroked="f">
                <v:path textboxrect="0,0,0,0"/>
                <v:imagedata r:id="rId20" o:title=""/>
              </v:shape>
            </w:pict>
          </mc:Fallback>
        </mc:AlternateContent>
      </w:r>
      <w:r>
        <w:rPr>
          <w:rFonts w:hint="eastAsia"/>
          <w:sz w:val="21"/>
          <w:szCs w:val="21"/>
        </w:rPr>
        <w:t xml:space="preserve">绿地一张图建设；按照《CJJT85-2017城市绿地分类标准》，实现绿地类型一张图建设；</w:t>
      </w:r>
      <w:r/>
    </w:p>
    <w:p>
      <w:pPr>
        <w:pStyle w:val="952"/>
        <w:ind w:firstLine="420"/>
        <w:spacing w:line="360" w:lineRule="auto"/>
        <w:rPr>
          <w:rFonts w:hint="eastAsia"/>
          <w:sz w:val="21"/>
          <w:szCs w:val="21"/>
        </w:rPr>
      </w:pPr>
      <w:r>
        <w:rPr>
          <w:rFonts w:hint="eastAsia"/>
          <w:sz w:val="21"/>
          <w:szCs w:val="21"/>
        </w:rPr>
        <w:t xml:space="preserve">4、相关材料编制</w:t>
      </w:r>
      <w:r/>
    </w:p>
    <w:p>
      <w:pPr>
        <w:pStyle w:val="952"/>
        <w:ind w:firstLine="420"/>
        <w:spacing w:line="360" w:lineRule="auto"/>
        <w:rPr>
          <w:rFonts w:hint="eastAsia"/>
          <w:sz w:val="21"/>
          <w:szCs w:val="21"/>
        </w:rPr>
      </w:pPr>
      <w:r>
        <w:rPr>
          <w:rFonts w:hint="eastAsia"/>
          <w:sz w:val="21"/>
          <w:szCs w:val="21"/>
        </w:rPr>
        <w:t xml:space="preserve">配合太仓市做好国家生态园林城市的复查工作，提供相应技术资料文件。</w:t>
      </w:r>
      <w:r/>
    </w:p>
    <w:p>
      <w:pPr>
        <w:pStyle w:val="952"/>
        <w:ind w:firstLine="420"/>
        <w:spacing w:line="360" w:lineRule="auto"/>
        <w:rPr>
          <w:rFonts w:hint="eastAsia"/>
          <w:sz w:val="21"/>
          <w:szCs w:val="21"/>
        </w:rPr>
      </w:pPr>
      <w:r>
        <w:rPr>
          <w:rFonts w:hint="eastAsia"/>
          <w:sz w:val="21"/>
          <w:szCs w:val="21"/>
        </w:rPr>
        <w:t xml:space="preserve">4.1编</w:t>
      </w:r>
      <w:r>
        <w:rPr>
          <w:rFonts w:hint="eastAsia"/>
          <w:sz w:val="21"/>
          <w:szCs w:val="21"/>
        </w:rPr>
        <w:t xml:space="preserve">写绿地现状分析报告</w:t>
      </w:r>
      <w:r/>
    </w:p>
    <w:p>
      <w:pPr>
        <w:pStyle w:val="952"/>
        <w:ind w:firstLine="420"/>
        <w:spacing w:line="360" w:lineRule="auto"/>
        <w:rPr>
          <w:rFonts w:hint="eastAsia"/>
          <w:sz w:val="21"/>
          <w:szCs w:val="21"/>
        </w:rPr>
      </w:pPr>
      <w:r>
        <w:rPr>
          <w:rFonts w:hint="eastAsia"/>
          <w:sz w:val="21"/>
          <w:szCs w:val="21"/>
        </w:rPr>
        <w:t xml:space="preserve">根据《国家园林城市申报与评选管理办法》要求，编写绿地现状分析报告，包括城市绿地率（%）、</w:t>
      </w:r>
      <w:r>
        <w:rPr>
          <w:rFonts w:hint="eastAsia"/>
          <w:sz w:val="21"/>
          <w:szCs w:val="21"/>
        </w:rPr>
        <w:t xml:space="preserve">城</w:t>
      </w:r>
      <w:r>
        <w:rPr>
          <w:rFonts w:hint="eastAsia"/>
          <w:sz w:val="21"/>
          <w:szCs w:val="21"/>
        </w:rPr>
        <w:t xml:space="preserve">市绿化覆盖</w:t>
      </w:r>
      <w:r>
        <w:rPr>
          <w:rFonts w:hint="eastAsia"/>
          <w:sz w:val="21"/>
          <w:szCs w:val="21"/>
        </w:rPr>
        <w:t xml:space="preserve">率</w:t>
      </w:r>
      <w:r>
        <w:rPr>
          <w:rFonts w:hint="eastAsia"/>
          <w:sz w:val="21"/>
          <w:szCs w:val="21"/>
        </w:rPr>
        <w:t xml:space="preserve">（%）、人均公园绿地面积（m2/人）、公园绿化活动场地服务半径覆盖率（%）、城市绿道服务半径覆盖率（%）、10万人拥有综合公园个数（个/10万人）、城市林荫路覆盖率（%）、城市道路绿化达标率、立体绿化实施率、园林式居住区（单位）达标率（%）、建成区蓝绿空间占比（%）、古树名木及后备资源保护率（%）等指标的测算及报告编写。</w:t>
      </w:r>
      <w:r/>
    </w:p>
    <w:p>
      <w:pPr>
        <w:pStyle w:val="952"/>
        <w:ind w:firstLine="420"/>
        <w:spacing w:line="360" w:lineRule="auto"/>
        <w:rPr>
          <w:rFonts w:hint="eastAsia"/>
          <w:sz w:val="21"/>
          <w:szCs w:val="21"/>
        </w:rPr>
      </w:pPr>
      <w:r>
        <w:rPr>
          <w:rFonts w:hint="eastAsia"/>
          <w:sz w:val="21"/>
          <w:szCs w:val="21"/>
        </w:rPr>
        <w:t xml:space="preserve">4.2提供遥感调查与测评基础材料</w:t>
      </w:r>
      <w:r/>
    </w:p>
    <w:p>
      <w:pPr>
        <w:pStyle w:val="952"/>
        <w:ind w:firstLine="420"/>
        <w:spacing w:line="360" w:lineRule="auto"/>
        <w:rPr>
          <w:rFonts w:hint="eastAsia"/>
          <w:sz w:val="21"/>
          <w:szCs w:val="21"/>
        </w:rPr>
      </w:pPr>
      <w:r>
        <w:rPr>
          <w:rFonts w:hint="eastAsia"/>
          <w:sz w:val="21"/>
          <w:szCs w:val="21"/>
        </w:rPr>
        <w:t xml:space="preserve">根据《国家园林城市申报与评选管理办法》要求，提供城市(县)地形图、城市（县）及建成区范围图、步行道/自行车道/林荫路位置图、蓝线位置图、建成区公园绿地分布图、古树名木分布图等。</w:t>
      </w:r>
      <w:r/>
    </w:p>
    <w:p>
      <w:pPr>
        <w:pStyle w:val="952"/>
        <w:ind w:firstLine="420"/>
        <w:spacing w:line="360" w:lineRule="auto"/>
        <w:rPr>
          <w:rFonts w:hint="eastAsia"/>
          <w:sz w:val="21"/>
          <w:szCs w:val="21"/>
        </w:rPr>
      </w:pPr>
      <w:r>
        <w:rPr>
          <w:rFonts w:hint="eastAsia"/>
          <w:sz w:val="21"/>
          <w:szCs w:val="21"/>
        </w:rPr>
        <w:t xml:space="preserve">(四)技术要求</w:t>
      </w:r>
      <w:r/>
    </w:p>
    <w:p>
      <w:pPr>
        <w:pStyle w:val="952"/>
        <w:ind w:firstLine="420"/>
        <w:spacing w:line="360" w:lineRule="auto"/>
        <w:rPr>
          <w:rFonts w:hint="eastAsia"/>
          <w:sz w:val="21"/>
          <w:szCs w:val="21"/>
        </w:rPr>
      </w:pPr>
      <w:r>
        <w:rPr>
          <w:rFonts w:hint="eastAsia"/>
          <w:sz w:val="21"/>
          <w:szCs w:val="21"/>
        </w:rPr>
        <w:t xml:space="preserve">1、普查数据基础资料</w:t>
      </w:r>
      <w:r/>
    </w:p>
    <w:p>
      <w:pPr>
        <w:pStyle w:val="952"/>
        <w:ind w:firstLine="420"/>
        <w:spacing w:line="360" w:lineRule="auto"/>
        <w:rPr>
          <w:rFonts w:hint="eastAsia"/>
          <w:sz w:val="21"/>
          <w:szCs w:val="21"/>
        </w:rPr>
      </w:pPr>
      <w:r>
        <w:rPr>
          <w:rFonts w:hint="eastAsia"/>
          <w:sz w:val="21"/>
          <w:szCs w:val="21"/>
        </w:rPr>
        <w:t xml:space="preserve">甲方可提供现有绿化档案资料，作为普查数据基础资料。</w:t>
      </w:r>
      <w:r/>
    </w:p>
    <w:p>
      <w:pPr>
        <w:pStyle w:val="952"/>
        <w:ind w:firstLine="420"/>
        <w:spacing w:line="360" w:lineRule="auto"/>
        <w:rPr>
          <w:rFonts w:hint="eastAsia"/>
          <w:sz w:val="21"/>
          <w:szCs w:val="21"/>
        </w:rPr>
      </w:pPr>
      <w:r>
        <w:rPr>
          <w:rFonts w:hint="eastAsia"/>
          <w:sz w:val="21"/>
          <w:szCs w:val="21"/>
        </w:rPr>
        <w:t xml:space="preserve">2、数据点的测量精度</w:t>
      </w:r>
      <w:r/>
    </w:p>
    <w:p>
      <w:pPr>
        <w:pStyle w:val="952"/>
        <w:ind w:firstLine="420"/>
        <w:spacing w:line="360" w:lineRule="auto"/>
        <w:rPr>
          <w:rFonts w:hint="eastAsia"/>
          <w:sz w:val="21"/>
          <w:szCs w:val="21"/>
        </w:rPr>
      </w:pPr>
      <w:r>
        <w:rPr>
          <w:rFonts w:hint="eastAsia"/>
          <w:sz w:val="21"/>
          <w:szCs w:val="21"/>
        </w:rPr>
        <w:t xml:space="preserve">绿化数据点的测量精度要求，平面位置测量中误差不得大于±1m。古树名木、行道树、乔木、孤植灌木、雕塑等数据点的测量精度要求平面位置测量中误差不得大于±1m，花架花钵、喷泉等数据点的测量精度要求平面位置测量中误差不得大于±1m，片植灌木、片林、有林地、地被、</w:t>
      </w:r>
      <w:r>
        <w:rPr>
          <w:rFonts w:hint="eastAsia"/>
          <w:sz w:val="21"/>
          <w:szCs w:val="21"/>
        </w:rPr>
        <w:t xml:space="preserve">绿地、水系、湿地等数据面的测量精度要求平面位置测量中误差不得大于±1m。</w:t>
      </w:r>
      <w:r/>
    </w:p>
    <w:p>
      <w:pPr>
        <w:pStyle w:val="952"/>
        <w:ind w:firstLine="420"/>
        <w:spacing w:line="360" w:lineRule="auto"/>
        <w:rPr>
          <w:rFonts w:hint="eastAsia"/>
          <w:sz w:val="21"/>
          <w:szCs w:val="21"/>
        </w:rPr>
      </w:pPr>
      <w:r>
        <w:rPr>
          <w:rFonts w:hint="eastAsia"/>
          <w:sz w:val="21"/>
          <w:szCs w:val="21"/>
        </w:rPr>
        <w:t xml:space="preserve">3、普查遗漏允许指标</w:t>
      </w:r>
      <w:r/>
    </w:p>
    <w:p>
      <w:pPr>
        <w:pStyle w:val="952"/>
        <w:ind w:firstLine="420"/>
        <w:spacing w:line="360" w:lineRule="auto"/>
        <w:rPr>
          <w:rFonts w:hint="eastAsia"/>
          <w:sz w:val="21"/>
          <w:szCs w:val="21"/>
        </w:rPr>
      </w:pPr>
      <w:r>
        <w:rPr>
          <w:rFonts w:hint="eastAsia"/>
          <w:sz w:val="21"/>
          <w:szCs w:val="21"/>
        </w:rPr>
        <w:t xml:space="preserve">每平方公里内遗漏个数不得超出总数的3%。</w:t>
      </w:r>
      <w:r/>
    </w:p>
    <w:p>
      <w:pPr>
        <w:pStyle w:val="952"/>
        <w:ind w:firstLine="420"/>
        <w:spacing w:line="360" w:lineRule="auto"/>
        <w:rPr>
          <w:rFonts w:hint="eastAsia"/>
          <w:sz w:val="21"/>
          <w:szCs w:val="21"/>
        </w:rPr>
      </w:pPr>
      <w:r>
        <w:rPr>
          <w:rFonts w:hint="eastAsia"/>
          <w:sz w:val="21"/>
          <w:szCs w:val="21"/>
        </w:rPr>
        <w:t xml:space="preserve">4、普查属性错误允许指标</w:t>
      </w:r>
      <w:r/>
    </w:p>
    <w:p>
      <w:pPr>
        <w:pStyle w:val="952"/>
        <w:ind w:firstLine="420"/>
        <w:spacing w:line="360" w:lineRule="auto"/>
        <w:rPr>
          <w:rFonts w:hint="eastAsia"/>
          <w:sz w:val="21"/>
          <w:szCs w:val="21"/>
        </w:rPr>
      </w:pPr>
      <w:r>
        <w:rPr>
          <w:rFonts w:hint="eastAsia"/>
          <w:sz w:val="21"/>
          <w:szCs w:val="21"/>
        </w:rPr>
        <w:t xml:space="preserve">绿化数据属性中有一个属性项错误即认为该绿化数据的属性错误，每平方公里内属性错误个数不得超出绿化数据总数的3%。</w:t>
      </w:r>
      <w:r/>
    </w:p>
    <w:p>
      <w:pPr>
        <w:pStyle w:val="952"/>
        <w:ind w:firstLine="420"/>
        <w:spacing w:line="360" w:lineRule="auto"/>
        <w:rPr>
          <w:rFonts w:hint="eastAsia"/>
          <w:sz w:val="21"/>
          <w:szCs w:val="21"/>
        </w:rPr>
      </w:pPr>
      <w:r>
        <w:rPr>
          <w:rFonts w:hint="eastAsia"/>
          <w:sz w:val="21"/>
          <w:szCs w:val="21"/>
        </w:rPr>
        <w:t xml:space="preserve">5、数据坐标系统要求</w:t>
      </w:r>
      <w:r/>
    </w:p>
    <w:p>
      <w:pPr>
        <w:pStyle w:val="952"/>
        <w:ind w:firstLine="420"/>
        <w:spacing w:line="360" w:lineRule="auto"/>
        <w:rPr>
          <w:rFonts w:hint="eastAsia"/>
          <w:sz w:val="21"/>
          <w:szCs w:val="21"/>
        </w:rPr>
      </w:pPr>
      <w:r>
        <w:rPr>
          <w:rFonts w:hint="eastAsia"/>
          <w:sz w:val="21"/>
          <w:szCs w:val="21"/>
        </w:rPr>
        <w:t xml:space="preserve">投标人需提供CGCS2000的数据成果。</w:t>
      </w:r>
      <w:r/>
    </w:p>
    <w:p>
      <w:pPr>
        <w:pStyle w:val="952"/>
        <w:ind w:firstLine="420"/>
        <w:spacing w:line="360" w:lineRule="auto"/>
        <w:rPr>
          <w:rFonts w:hint="eastAsia"/>
          <w:sz w:val="21"/>
          <w:szCs w:val="21"/>
        </w:rPr>
      </w:pPr>
      <w:r>
        <w:rPr>
          <w:rFonts w:hint="eastAsia"/>
          <w:sz w:val="21"/>
          <w:szCs w:val="21"/>
        </w:rPr>
        <w:t xml:space="preserve">6、普查成果作为太仓市绿地规划信息管理系统的运行基础，中标单位需无条件配合太仓市绿地规划信息管理系统的软件开发，相关数据规范、接口应该无缝衔接。</w:t>
      </w:r>
      <w:r/>
    </w:p>
    <w:p>
      <w:pPr>
        <w:pStyle w:val="952"/>
        <w:ind w:firstLine="420"/>
        <w:spacing w:line="360" w:lineRule="auto"/>
        <w:rPr>
          <w:rFonts w:hint="eastAsia"/>
          <w:sz w:val="21"/>
          <w:szCs w:val="21"/>
        </w:rPr>
      </w:pPr>
      <w:r>
        <w:rPr>
          <w:rFonts w:hint="eastAsia"/>
          <w:sz w:val="21"/>
          <w:szCs w:val="21"/>
        </w:rPr>
        <w:t xml:space="preserve">(五)验收</w:t>
      </w:r>
      <w:r/>
    </w:p>
    <w:p>
      <w:pPr>
        <w:pStyle w:val="952"/>
        <w:ind w:firstLine="420"/>
        <w:spacing w:line="360" w:lineRule="auto"/>
        <w:rPr>
          <w:rFonts w:hint="eastAsia"/>
          <w:sz w:val="21"/>
          <w:szCs w:val="21"/>
        </w:rPr>
      </w:pPr>
      <w:r>
        <w:rPr>
          <w:rFonts w:hint="eastAsia"/>
          <w:sz w:val="21"/>
          <w:szCs w:val="21"/>
        </w:rPr>
        <w:t xml:space="preserve">1、一般规定</w:t>
      </w:r>
      <w:r/>
    </w:p>
    <w:p>
      <w:pPr>
        <w:pStyle w:val="952"/>
        <w:ind w:firstLine="420"/>
        <w:spacing w:line="360" w:lineRule="auto"/>
        <w:rPr>
          <w:rFonts w:hint="eastAsia"/>
          <w:sz w:val="21"/>
          <w:szCs w:val="21"/>
        </w:rPr>
      </w:pPr>
      <w:r>
        <w:rPr>
          <w:rFonts w:hint="eastAsia"/>
          <w:sz w:val="21"/>
          <w:szCs w:val="21"/>
        </w:rPr>
        <w:t xml:space="preserve">为了保证本次项目绿化普查成果数据的质量，要求采用三级质量控制机制，即工作过程中的小组自查互查、项目组检查和质检组检查。小组自查贯穿于普查工作的整个过程中，由各作业组自行负责，由普查项目组实时监督；项目组的质量检查，原则上不低于5％检查，最终提交成果由质量检查组负责检查把关。</w:t>
      </w:r>
      <w:r/>
    </w:p>
    <w:p>
      <w:pPr>
        <w:pStyle w:val="952"/>
        <w:ind w:firstLine="420"/>
        <w:spacing w:line="360" w:lineRule="auto"/>
        <w:rPr>
          <w:rFonts w:hint="eastAsia"/>
          <w:sz w:val="21"/>
          <w:szCs w:val="21"/>
        </w:rPr>
      </w:pPr>
      <w:r>
        <w:rPr>
          <w:rFonts w:hint="eastAsia"/>
          <w:sz w:val="21"/>
          <w:szCs w:val="21"/>
        </w:rPr>
        <w:t xml:space="preserve">2、质量检查</w:t>
      </w:r>
      <w:r/>
    </w:p>
    <w:p>
      <w:pPr>
        <w:pStyle w:val="952"/>
        <w:ind w:firstLine="420"/>
        <w:spacing w:line="360" w:lineRule="auto"/>
        <w:rPr>
          <w:rFonts w:hint="eastAsia"/>
          <w:sz w:val="21"/>
          <w:szCs w:val="21"/>
        </w:rPr>
      </w:pPr>
      <w:r>
        <w:rPr>
          <w:rFonts w:hint="eastAsia"/>
          <w:sz w:val="21"/>
          <w:szCs w:val="21"/>
        </w:rPr>
        <w:t xml:space="preserve">2.1各级检查工作必须独立进行，不得省略或代替。各级检查的比例应按现行城市绿化调查和测绘产品检查验收标准的规定执行。</w:t>
      </w:r>
      <w:r/>
    </w:p>
    <w:p>
      <w:pPr>
        <w:pStyle w:val="952"/>
        <w:ind w:firstLine="420"/>
        <w:spacing w:line="360" w:lineRule="auto"/>
        <w:rPr>
          <w:rFonts w:hint="eastAsia"/>
          <w:sz w:val="21"/>
          <w:szCs w:val="21"/>
        </w:rPr>
      </w:pPr>
      <w:r>
        <w:rPr>
          <w:rFonts w:hint="eastAsia"/>
          <w:sz w:val="21"/>
          <w:szCs w:val="21"/>
        </w:rPr>
        <w:t xml:space="preserve">2.2各项检查工作应填写好记录，并在测绘单位最高一级检查结束后编写检查报告，检查报告内容包括：</w:t>
      </w:r>
      <w:r/>
    </w:p>
    <w:p>
      <w:pPr>
        <w:pStyle w:val="952"/>
        <w:ind w:firstLine="420"/>
        <w:spacing w:line="360" w:lineRule="auto"/>
        <w:rPr>
          <w:rFonts w:hint="eastAsia"/>
          <w:sz w:val="21"/>
          <w:szCs w:val="21"/>
        </w:rPr>
      </w:pPr>
      <w:r>
        <w:rPr>
          <w:rFonts w:hint="eastAsia"/>
          <w:sz w:val="21"/>
          <w:szCs w:val="21"/>
        </w:rPr>
        <w:t xml:space="preserve">1)任务</w:t>
      </w:r>
      <w:r>
        <w:rPr>
          <w:rFonts w:hint="eastAsia"/>
          <w:sz w:val="21"/>
          <w:szCs w:val="21"/>
        </w:rPr>
        <w:t xml:space="preserve">概况</w:t>
      </w:r>
      <w:r/>
    </w:p>
    <w:p>
      <w:pPr>
        <w:pStyle w:val="952"/>
        <w:ind w:firstLine="420"/>
        <w:spacing w:line="360" w:lineRule="auto"/>
        <w:rPr>
          <w:rFonts w:hint="eastAsia"/>
          <w:sz w:val="21"/>
          <w:szCs w:val="21"/>
        </w:rPr>
      </w:pPr>
      <w:r>
        <w:rPr>
          <w:rFonts w:hint="eastAsia"/>
          <w:sz w:val="21"/>
          <w:szCs w:val="21"/>
        </w:rPr>
        <w:t xml:space="preserve">2)检查工作概况</w:t>
      </w:r>
      <w:r/>
    </w:p>
    <w:p>
      <w:pPr>
        <w:pStyle w:val="952"/>
        <w:ind w:firstLine="420"/>
        <w:spacing w:line="360" w:lineRule="auto"/>
        <w:rPr>
          <w:rFonts w:hint="eastAsia"/>
          <w:sz w:val="21"/>
          <w:szCs w:val="21"/>
        </w:rPr>
      </w:pPr>
      <w:r>
        <w:rPr>
          <w:rFonts w:hint="eastAsia"/>
          <w:sz w:val="21"/>
          <w:szCs w:val="21"/>
        </w:rPr>
        <w:t xml:space="preserve">3)主要质量问题及处理情况</w:t>
      </w:r>
      <w:r/>
    </w:p>
    <w:p>
      <w:pPr>
        <w:pStyle w:val="952"/>
        <w:ind w:firstLine="420"/>
        <w:spacing w:line="360" w:lineRule="auto"/>
        <w:rPr>
          <w:rFonts w:hint="eastAsia"/>
          <w:sz w:val="21"/>
          <w:szCs w:val="21"/>
        </w:rPr>
      </w:pPr>
      <w:r>
        <w:rPr>
          <w:rFonts w:hint="eastAsia"/>
          <w:sz w:val="21"/>
          <w:szCs w:val="21"/>
        </w:rPr>
        <w:t xml:space="preserve">4)精度统计</w:t>
      </w:r>
      <w:r/>
    </w:p>
    <w:p>
      <w:pPr>
        <w:pStyle w:val="952"/>
        <w:ind w:firstLine="420"/>
        <w:spacing w:line="360" w:lineRule="auto"/>
        <w:rPr>
          <w:rFonts w:hint="eastAsia"/>
          <w:sz w:val="21"/>
          <w:szCs w:val="21"/>
        </w:rPr>
      </w:pPr>
      <w:r>
        <w:rPr>
          <w:rFonts w:hint="eastAsia"/>
          <w:sz w:val="21"/>
          <w:szCs w:val="21"/>
        </w:rPr>
        <w:t xml:space="preserve">5)对遗留问题的处理意见</w:t>
      </w:r>
      <w:r/>
    </w:p>
    <w:p>
      <w:pPr>
        <w:pStyle w:val="952"/>
        <w:ind w:firstLine="420"/>
        <w:spacing w:line="360" w:lineRule="auto"/>
        <w:rPr>
          <w:rFonts w:hint="eastAsia"/>
          <w:sz w:val="21"/>
          <w:szCs w:val="21"/>
        </w:rPr>
      </w:pPr>
      <w:r>
        <w:rPr>
          <w:rFonts w:hint="eastAsia"/>
          <w:sz w:val="21"/>
          <w:szCs w:val="21"/>
        </w:rPr>
        <w:t xml:space="preserve">6)质量统计和评价</w:t>
      </w:r>
      <w:r/>
    </w:p>
    <w:p>
      <w:pPr>
        <w:pStyle w:val="952"/>
        <w:ind w:firstLine="420"/>
        <w:spacing w:line="360" w:lineRule="auto"/>
        <w:rPr>
          <w:rFonts w:hint="eastAsia"/>
          <w:sz w:val="21"/>
          <w:szCs w:val="21"/>
        </w:rPr>
      </w:pPr>
      <w:r>
        <w:rPr>
          <w:rFonts w:hint="eastAsia"/>
          <w:sz w:val="21"/>
          <w:szCs w:val="21"/>
        </w:rPr>
        <w:t xml:space="preserve">2.3测绘单位对绿化数据点采用重复量测的方法，对绿化数据点采用仪器同精度重复测量的方法进行检查，抽查比例不低于各自总点数的5％(抽查总点数不少于30个)。检查点的选择应均匀分布，随机抽样和具有代表性的原则进行。</w:t>
      </w:r>
      <w:r/>
    </w:p>
    <w:p>
      <w:pPr>
        <w:pStyle w:val="952"/>
        <w:ind w:firstLine="420"/>
        <w:spacing w:line="360" w:lineRule="auto"/>
        <w:rPr>
          <w:rFonts w:hint="eastAsia"/>
          <w:sz w:val="21"/>
          <w:szCs w:val="21"/>
        </w:rPr>
      </w:pPr>
      <w:r>
        <w:rPr>
          <w:rFonts w:hint="eastAsia"/>
          <w:sz w:val="21"/>
          <w:szCs w:val="21"/>
        </w:rPr>
        <w:t xml:space="preserve">测绘单位对绿化数据点测量精度的检查可在对绿化数据点施测的同时采用不同测站对同一测点重复观测的方式进行，检查比例应不少于总测量点数的5％，中误差不得超过规定的限差。</w:t>
      </w:r>
      <w:r/>
    </w:p>
    <w:p>
      <w:pPr>
        <w:pStyle w:val="952"/>
        <w:ind w:firstLine="420"/>
        <w:spacing w:line="360" w:lineRule="auto"/>
        <w:rPr>
          <w:rFonts w:hint="eastAsia"/>
          <w:sz w:val="21"/>
          <w:szCs w:val="21"/>
        </w:rPr>
      </w:pPr>
      <w:r>
        <w:rPr>
          <w:rFonts w:hint="eastAsia"/>
          <w:sz w:val="21"/>
          <w:szCs w:val="21"/>
        </w:rPr>
        <w:t xml:space="preserve">3、质量评定标准</w:t>
      </w:r>
      <w:r/>
    </w:p>
    <w:p>
      <w:pPr>
        <w:pStyle w:val="952"/>
        <w:ind w:firstLine="420"/>
        <w:spacing w:line="360" w:lineRule="auto"/>
        <w:rPr>
          <w:rFonts w:hint="eastAsia"/>
          <w:sz w:val="21"/>
          <w:szCs w:val="21"/>
        </w:rPr>
      </w:pPr>
      <w:r>
        <w:rPr>
          <w:rFonts w:hint="eastAsia"/>
          <w:sz w:val="21"/>
          <w:szCs w:val="21"/>
        </w:rPr>
        <w:t xml:space="preserve">检查点平面位置测量中误差</w:t>
      </w:r>
      <w:r/>
    </w:p>
    <w:p>
      <w:pPr>
        <w:pStyle w:val="952"/>
        <w:ind w:firstLine="420"/>
        <w:spacing w:line="360" w:lineRule="auto"/>
        <w:rPr>
          <w:rFonts w:hint="eastAsia"/>
          <w:sz w:val="21"/>
          <w:szCs w:val="21"/>
        </w:rPr>
      </w:pPr>
      <w:r>
        <w:rPr>
          <w:rFonts w:hint="eastAsia"/>
          <w:sz w:val="21"/>
          <w:szCs w:val="21"/>
        </w:rPr>
        <w:t xml:space="preserve">Ms=±</w:t>
      </w:r>
      <w:r>
        <w:rPr>
          <w:sz w:val="21"/>
          <w:szCs w:val="21"/>
        </w:rPr>
        <mc:AlternateContent>
          <mc:Choice Requires="wpg">
            <w:drawing>
              <wp:inline xmlns:wp="http://schemas.openxmlformats.org/drawingml/2006/wordprocessingDrawing" distT="0" distB="0" distL="0" distR="0">
                <wp:extent cx="1702499" cy="444398"/>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702499" cy="4443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4.1pt;height:35.0pt;mso-wrap-distance-left:0.0pt;mso-wrap-distance-top:0.0pt;mso-wrap-distance-right:0.0pt;mso-wrap-distance-bottom:0.0pt;" stroked="f">
                <v:path textboxrect="0,0,0,0"/>
                <v:imagedata r:id="rId21" o:title=""/>
              </v:shape>
            </w:pict>
          </mc:Fallback>
        </mc:AlternateContent>
      </w:r>
      <w:r>
        <w:rPr>
          <w:rFonts w:hint="eastAsia"/>
          <w:sz w:val="21"/>
          <w:szCs w:val="21"/>
        </w:rPr>
      </w:r>
      <w:r/>
    </w:p>
    <w:p>
      <w:pPr>
        <w:pStyle w:val="952"/>
        <w:ind w:firstLine="420"/>
        <w:spacing w:line="360" w:lineRule="auto"/>
        <w:rPr>
          <w:rFonts w:hint="eastAsia"/>
          <w:sz w:val="21"/>
          <w:szCs w:val="21"/>
        </w:rPr>
      </w:pPr>
      <w:r>
        <w:rPr>
          <w:rFonts w:hint="eastAsia"/>
          <w:sz w:val="21"/>
          <w:szCs w:val="21"/>
        </w:rPr>
        <w:t xml:space="preserve">±100cm≤Ms≤±100cm</w:t>
      </w:r>
      <w:r/>
    </w:p>
    <w:p>
      <w:pPr>
        <w:pStyle w:val="952"/>
        <w:ind w:firstLine="420"/>
        <w:spacing w:line="360" w:lineRule="auto"/>
        <w:rPr>
          <w:rFonts w:hint="eastAsia"/>
          <w:sz w:val="21"/>
          <w:szCs w:val="21"/>
        </w:rPr>
      </w:pPr>
      <w:r>
        <w:rPr>
          <w:rFonts w:hint="eastAsia"/>
          <w:sz w:val="21"/>
          <w:szCs w:val="21"/>
        </w:rPr>
        <w:t xml:space="preserve">Δx、Δy为横纵坐标较差，n为检查点数。</w:t>
      </w:r>
      <w:r/>
    </w:p>
    <w:p>
      <w:pPr>
        <w:pStyle w:val="952"/>
        <w:ind w:firstLine="420"/>
        <w:spacing w:line="360" w:lineRule="auto"/>
        <w:rPr>
          <w:rFonts w:hint="eastAsia"/>
          <w:sz w:val="21"/>
          <w:szCs w:val="21"/>
        </w:rPr>
      </w:pPr>
      <w:r>
        <w:rPr>
          <w:rFonts w:hint="eastAsia"/>
          <w:sz w:val="21"/>
          <w:szCs w:val="21"/>
        </w:rPr>
        <w:t xml:space="preserve">4、测量质量评定</w:t>
      </w:r>
      <w:r/>
    </w:p>
    <w:p>
      <w:pPr>
        <w:pStyle w:val="952"/>
        <w:ind w:firstLine="420"/>
        <w:spacing w:line="360" w:lineRule="auto"/>
        <w:rPr>
          <w:rFonts w:hint="eastAsia"/>
          <w:sz w:val="21"/>
          <w:szCs w:val="21"/>
        </w:rPr>
      </w:pPr>
      <w:r>
        <w:rPr>
          <w:rFonts w:hint="eastAsia"/>
          <w:sz w:val="21"/>
          <w:szCs w:val="21"/>
        </w:rPr>
        <w:t xml:space="preserve">设站重复观测检查结果，测量点位中误差在规定的限差之内，绿化数据点测量质量合格，若中误差超过规定的限差，应再增加5％的绿化数据点进行重复观测检查，两次检查相加，若平面位置中误差在规定的限差之内，视为绿化数据点测量质量合格，否则整个测区的绿化数据点测量返工重测，直至全部合格。</w:t>
      </w:r>
      <w:r/>
    </w:p>
    <w:p>
      <w:pPr>
        <w:pStyle w:val="952"/>
        <w:ind w:firstLine="420"/>
        <w:spacing w:line="360" w:lineRule="auto"/>
        <w:rPr>
          <w:rFonts w:hint="eastAsia"/>
          <w:sz w:val="21"/>
          <w:szCs w:val="21"/>
        </w:rPr>
      </w:pPr>
      <w:r>
        <w:rPr>
          <w:rFonts w:hint="eastAsia"/>
          <w:sz w:val="21"/>
          <w:szCs w:val="21"/>
        </w:rPr>
        <w:t xml:space="preserve">5、成果验收</w:t>
      </w:r>
      <w:r/>
    </w:p>
    <w:p>
      <w:pPr>
        <w:pStyle w:val="952"/>
        <w:ind w:firstLine="420"/>
        <w:spacing w:line="360" w:lineRule="auto"/>
        <w:rPr>
          <w:rFonts w:hint="eastAsia"/>
          <w:sz w:val="21"/>
          <w:szCs w:val="21"/>
        </w:rPr>
      </w:pPr>
      <w:r>
        <w:rPr>
          <w:rFonts w:hint="eastAsia"/>
          <w:sz w:val="21"/>
          <w:szCs w:val="21"/>
        </w:rPr>
        <w:t xml:space="preserve">5.1测绘成果资料验收由甲方主持，组织有关管理部门及专家参加的验收委员会统一进行。</w:t>
      </w:r>
      <w:r/>
    </w:p>
    <w:p>
      <w:pPr>
        <w:pStyle w:val="952"/>
        <w:ind w:firstLine="420"/>
        <w:spacing w:line="360" w:lineRule="auto"/>
        <w:rPr>
          <w:rFonts w:hint="eastAsia"/>
          <w:sz w:val="21"/>
          <w:szCs w:val="21"/>
        </w:rPr>
      </w:pPr>
      <w:r>
        <w:rPr>
          <w:rFonts w:hint="eastAsia"/>
          <w:sz w:val="21"/>
          <w:szCs w:val="21"/>
        </w:rPr>
        <w:t xml:space="preserve">5.2测绘成果</w:t>
      </w:r>
      <w:r>
        <w:rPr>
          <w:rFonts w:hint="eastAsia"/>
          <w:sz w:val="21"/>
          <w:szCs w:val="21"/>
        </w:rPr>
        <w:t xml:space="preserve">资料包括文字、表、图、数据光盘四大类。按四大类组卷。</w:t>
      </w:r>
      <w:r/>
    </w:p>
    <w:p>
      <w:pPr>
        <w:pStyle w:val="952"/>
        <w:ind w:firstLine="420"/>
        <w:spacing w:line="360" w:lineRule="auto"/>
        <w:rPr>
          <w:rFonts w:hint="eastAsia"/>
          <w:sz w:val="21"/>
          <w:szCs w:val="21"/>
        </w:rPr>
      </w:pPr>
      <w:r>
        <w:rPr>
          <w:rFonts w:hint="eastAsia"/>
          <w:sz w:val="21"/>
          <w:szCs w:val="21"/>
        </w:rPr>
        <w:t xml:space="preserve">a.文字：文字材料为一卷，每一条目各自装订为一册，然后按下列顺序排序装盒。文字材料包括：</w:t>
      </w:r>
      <w:r/>
    </w:p>
    <w:p>
      <w:pPr>
        <w:pStyle w:val="952"/>
        <w:ind w:firstLine="420"/>
        <w:spacing w:line="360" w:lineRule="auto"/>
        <w:rPr>
          <w:rFonts w:hint="eastAsia"/>
          <w:sz w:val="21"/>
          <w:szCs w:val="21"/>
        </w:rPr>
      </w:pPr>
      <w:r>
        <w:rPr>
          <w:sz w:val="21"/>
          <w:szCs w:val="21"/>
        </w:rPr>
        <mc:AlternateContent>
          <mc:Choice Requires="wpg">
            <w:drawing>
              <wp:inline xmlns:wp="http://schemas.openxmlformats.org/drawingml/2006/wordprocessingDrawing" distT="0" distB="0" distL="0" distR="0">
                <wp:extent cx="120606" cy="184214"/>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20606" cy="18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5pt;height:14.5pt;mso-wrap-distance-left:0.0pt;mso-wrap-distance-top:0.0pt;mso-wrap-distance-right:0.0pt;mso-wrap-distance-bottom:0.0pt;" stroked="f">
                <v:path textboxrect="0,0,0,0"/>
                <v:imagedata r:id="rId22" o:title=""/>
              </v:shape>
            </w:pict>
          </mc:Fallback>
        </mc:AlternateContent>
      </w:r>
      <w:r>
        <w:rPr>
          <w:rFonts w:hint="eastAsia"/>
          <w:sz w:val="21"/>
          <w:szCs w:val="21"/>
        </w:rPr>
        <w:t xml:space="preserve">任务合同书；</w:t>
      </w:r>
      <w:r/>
    </w:p>
    <w:p>
      <w:pPr>
        <w:pStyle w:val="952"/>
        <w:ind w:firstLine="420"/>
        <w:spacing w:line="360" w:lineRule="auto"/>
        <w:rPr>
          <w:rFonts w:hint="eastAsia"/>
          <w:sz w:val="21"/>
          <w:szCs w:val="21"/>
        </w:rPr>
      </w:pPr>
      <w:r>
        <w:rPr>
          <w:sz w:val="21"/>
          <w:szCs w:val="21"/>
        </w:rPr>
        <mc:AlternateContent>
          <mc:Choice Requires="wpg">
            <w:drawing>
              <wp:inline xmlns:wp="http://schemas.openxmlformats.org/drawingml/2006/wordprocessingDrawing" distT="0" distB="0" distL="0" distR="0">
                <wp:extent cx="120606" cy="18421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20606" cy="18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5pt;height:14.5pt;mso-wrap-distance-left:0.0pt;mso-wrap-distance-top:0.0pt;mso-wrap-distance-right:0.0pt;mso-wrap-distance-bottom:0.0pt;" stroked="f">
                <v:path textboxrect="0,0,0,0"/>
                <v:imagedata r:id="rId23" o:title=""/>
              </v:shape>
            </w:pict>
          </mc:Fallback>
        </mc:AlternateContent>
      </w:r>
      <w:r>
        <w:rPr>
          <w:rFonts w:hint="eastAsia"/>
          <w:sz w:val="21"/>
          <w:szCs w:val="21"/>
        </w:rPr>
        <w:t xml:space="preserve">技术设计书；</w:t>
      </w:r>
      <w:r/>
    </w:p>
    <w:p>
      <w:pPr>
        <w:pStyle w:val="952"/>
        <w:ind w:firstLine="420"/>
        <w:spacing w:line="360" w:lineRule="auto"/>
        <w:rPr>
          <w:rFonts w:hint="eastAsia"/>
          <w:sz w:val="21"/>
          <w:szCs w:val="21"/>
        </w:rPr>
      </w:pPr>
      <w:r>
        <w:rPr>
          <w:sz w:val="21"/>
          <w:szCs w:val="21"/>
        </w:rPr>
        <mc:AlternateContent>
          <mc:Choice Requires="wpg">
            <w:drawing>
              <wp:inline xmlns:wp="http://schemas.openxmlformats.org/drawingml/2006/wordprocessingDrawing" distT="0" distB="0" distL="0" distR="0">
                <wp:extent cx="120606" cy="18421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0606" cy="184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5pt;height:14.5pt;mso-wrap-distance-left:0.0pt;mso-wrap-distance-top:0.0pt;mso-wrap-distance-right:0.0pt;mso-wrap-distance-bottom:0.0pt;" stroked="f">
                <v:path textboxrect="0,0,0,0"/>
                <v:imagedata r:id="rId24" o:title=""/>
              </v:shape>
            </w:pict>
          </mc:Fallback>
        </mc:AlternateContent>
      </w:r>
      <w:r>
        <w:rPr>
          <w:rFonts w:hint="eastAsia"/>
          <w:sz w:val="21"/>
          <w:szCs w:val="21"/>
        </w:rPr>
        <w:t xml:space="preserve">技术总结报告；</w:t>
      </w:r>
      <w:r/>
    </w:p>
    <w:p>
      <w:pPr>
        <w:pStyle w:val="952"/>
        <w:ind w:firstLine="420"/>
        <w:spacing w:line="360" w:lineRule="auto"/>
        <w:rPr>
          <w:rFonts w:hint="eastAsia"/>
          <w:sz w:val="21"/>
          <w:szCs w:val="21"/>
        </w:rPr>
      </w:pPr>
      <w:r>
        <w:rPr>
          <w:rFonts w:hint="eastAsia"/>
          <w:sz w:val="21"/>
          <w:szCs w:val="21"/>
        </w:rPr>
        <w:t xml:space="preserve">b.表：表格包括：绿化数据点成果表；</w:t>
      </w:r>
      <w:r/>
    </w:p>
    <w:p>
      <w:pPr>
        <w:pStyle w:val="952"/>
        <w:ind w:firstLine="420"/>
        <w:spacing w:line="360" w:lineRule="auto"/>
        <w:rPr>
          <w:rFonts w:hint="eastAsia"/>
          <w:sz w:val="21"/>
          <w:szCs w:val="21"/>
        </w:rPr>
      </w:pPr>
      <w:r>
        <w:rPr>
          <w:rFonts w:hint="eastAsia"/>
          <w:sz w:val="21"/>
          <w:szCs w:val="21"/>
        </w:rPr>
        <w:t xml:space="preserve">c.图：图纸包括：作业过程中涉及的相关图纸。</w:t>
      </w:r>
      <w:r/>
    </w:p>
    <w:p>
      <w:pPr>
        <w:pStyle w:val="952"/>
        <w:ind w:firstLine="420"/>
        <w:spacing w:line="360" w:lineRule="auto"/>
        <w:rPr>
          <w:rFonts w:hint="eastAsia"/>
          <w:sz w:val="21"/>
          <w:szCs w:val="21"/>
        </w:rPr>
      </w:pPr>
      <w:r>
        <w:rPr>
          <w:rFonts w:hint="eastAsia"/>
          <w:sz w:val="21"/>
          <w:szCs w:val="21"/>
        </w:rPr>
        <w:t xml:space="preserve">d.数据光盘：建库光盘应提交上述数据光盘各五套，每套光盘有一份文件名册。组卷分两套光盘装盒组卷。</w:t>
      </w:r>
      <w:r/>
    </w:p>
    <w:p>
      <w:pPr>
        <w:pStyle w:val="952"/>
        <w:ind w:firstLine="420"/>
        <w:spacing w:line="360" w:lineRule="auto"/>
        <w:rPr>
          <w:rFonts w:hint="eastAsia"/>
          <w:sz w:val="21"/>
          <w:szCs w:val="21"/>
        </w:rPr>
      </w:pPr>
      <w:r>
        <w:rPr>
          <w:rFonts w:hint="eastAsia"/>
          <w:sz w:val="21"/>
          <w:szCs w:val="21"/>
        </w:rPr>
        <w:t xml:space="preserve">5.3项目总结报告。</w:t>
      </w:r>
      <w:r/>
    </w:p>
    <w:p>
      <w:pPr>
        <w:pStyle w:val="952"/>
        <w:ind w:firstLine="420"/>
        <w:spacing w:line="360" w:lineRule="auto"/>
        <w:rPr>
          <w:rFonts w:hint="eastAsia"/>
          <w:sz w:val="21"/>
          <w:szCs w:val="21"/>
        </w:rPr>
      </w:pPr>
      <w:r>
        <w:rPr>
          <w:rFonts w:hint="eastAsia"/>
          <w:sz w:val="21"/>
          <w:szCs w:val="21"/>
        </w:rPr>
        <w:t xml:space="preserve">（六）项目重难点</w:t>
      </w:r>
      <w:r/>
    </w:p>
    <w:p>
      <w:pPr>
        <w:pStyle w:val="952"/>
        <w:ind w:firstLine="420"/>
        <w:spacing w:line="360" w:lineRule="auto"/>
        <w:rPr>
          <w:rFonts w:hint="eastAsia"/>
          <w:sz w:val="21"/>
          <w:szCs w:val="21"/>
        </w:rPr>
      </w:pPr>
      <w:r>
        <w:rPr>
          <w:rFonts w:hint="eastAsia"/>
          <w:sz w:val="21"/>
          <w:szCs w:val="21"/>
        </w:rPr>
        <w:t xml:space="preserve">本项目实施过程中涉及的重点主要包括外业数据检查、内业数据检查以及合库提交检查点，以确保数据质量；难点主要包括原始数据信息收集不全面、部分绿化分散杂乱、树种判断难度较大等。投标单位需根据以往项目经验，总结解决办法，如配备经验丰富的项目实施人员、制定合理的质量检查方案等。</w:t>
      </w:r>
      <w:r/>
    </w:p>
    <w:p>
      <w:pPr>
        <w:pStyle w:val="952"/>
        <w:ind w:firstLine="420"/>
        <w:spacing w:line="360" w:lineRule="auto"/>
        <w:rPr>
          <w:rFonts w:hint="eastAsia"/>
          <w:sz w:val="21"/>
          <w:szCs w:val="21"/>
        </w:rPr>
      </w:pPr>
      <w:r>
        <w:rPr>
          <w:rFonts w:hint="eastAsia"/>
          <w:sz w:val="21"/>
          <w:szCs w:val="21"/>
        </w:rPr>
        <w:t xml:space="preserve">(七)项目组成员</w:t>
      </w:r>
      <w:r/>
    </w:p>
    <w:p>
      <w:pPr>
        <w:pStyle w:val="952"/>
        <w:ind w:firstLine="420"/>
        <w:spacing w:line="360" w:lineRule="auto"/>
        <w:rPr>
          <w:rFonts w:hint="eastAsia"/>
          <w:sz w:val="21"/>
          <w:szCs w:val="21"/>
        </w:rPr>
      </w:pPr>
      <w:r>
        <w:rPr>
          <w:sz w:val="21"/>
          <w:szCs w:val="21"/>
        </w:rPr>
        <w:t xml:space="preserve">本项目</w:t>
      </w:r>
      <w:r>
        <w:rPr>
          <w:rFonts w:hint="eastAsia"/>
          <w:sz w:val="21"/>
          <w:szCs w:val="21"/>
        </w:rPr>
        <w:t xml:space="preserve">须</w:t>
      </w:r>
      <w:r>
        <w:rPr>
          <w:sz w:val="21"/>
          <w:szCs w:val="21"/>
        </w:rPr>
        <w:t xml:space="preserve">配备</w:t>
      </w:r>
      <w:r>
        <w:rPr>
          <w:rFonts w:hint="eastAsia"/>
          <w:sz w:val="21"/>
          <w:szCs w:val="21"/>
        </w:rPr>
        <w:t xml:space="preserve">项目负责人</w:t>
      </w:r>
      <w:r>
        <w:rPr>
          <w:sz w:val="21"/>
          <w:szCs w:val="21"/>
        </w:rPr>
        <w:t xml:space="preserve">1名，</w:t>
      </w:r>
      <w:r>
        <w:rPr>
          <w:rFonts w:hint="eastAsia"/>
          <w:sz w:val="21"/>
          <w:szCs w:val="21"/>
        </w:rPr>
        <w:t xml:space="preserve">技术负责人1名，其他项目实施人员</w:t>
      </w:r>
      <w:r>
        <w:rPr>
          <w:sz w:val="21"/>
          <w:szCs w:val="21"/>
        </w:rPr>
        <w:t xml:space="preserve">不少于</w:t>
      </w:r>
      <w:r>
        <w:rPr>
          <w:rFonts w:hint="eastAsia"/>
          <w:sz w:val="21"/>
          <w:szCs w:val="21"/>
        </w:rPr>
        <w:t xml:space="preserve">10</w:t>
      </w:r>
      <w:r>
        <w:rPr>
          <w:sz w:val="21"/>
          <w:szCs w:val="21"/>
        </w:rPr>
        <w:t xml:space="preserve">人。</w:t>
      </w:r>
      <w:r>
        <w:rPr>
          <w:rFonts w:hint="eastAsia"/>
          <w:sz w:val="21"/>
          <w:szCs w:val="21"/>
        </w:rPr>
      </w:r>
      <w:r/>
    </w:p>
    <w:p>
      <w:pPr>
        <w:pStyle w:val="952"/>
        <w:ind w:firstLine="420"/>
        <w:spacing w:line="360" w:lineRule="auto"/>
        <w:rPr>
          <w:rFonts w:hint="eastAsia"/>
          <w:sz w:val="21"/>
          <w:szCs w:val="21"/>
        </w:rPr>
      </w:pPr>
      <w:r>
        <w:rPr>
          <w:rFonts w:hint="eastAsia"/>
          <w:sz w:val="21"/>
          <w:szCs w:val="21"/>
        </w:rPr>
        <w:t xml:space="preserve">(八)保密要求</w:t>
      </w:r>
      <w:r/>
    </w:p>
    <w:p>
      <w:pPr>
        <w:pStyle w:val="952"/>
        <w:ind w:firstLine="420"/>
        <w:spacing w:line="360" w:lineRule="auto"/>
        <w:rPr>
          <w:rFonts w:hint="eastAsia"/>
          <w:sz w:val="21"/>
          <w:szCs w:val="21"/>
        </w:rPr>
      </w:pPr>
      <w:r>
        <w:rPr>
          <w:rFonts w:hint="eastAsia"/>
          <w:sz w:val="21"/>
          <w:szCs w:val="21"/>
        </w:rPr>
        <w:t xml:space="preserve">1、成交单位负责对采购单位所提供的全部资料及最终成果保密，成交单位(包含工作人员)需遵守采购单位的保密规定，不以任何形式将收集的所有资料、数据等进行泄漏、传播；</w:t>
      </w:r>
      <w:r/>
    </w:p>
    <w:p>
      <w:pPr>
        <w:pStyle w:val="952"/>
        <w:ind w:firstLine="420"/>
        <w:spacing w:line="360" w:lineRule="auto"/>
        <w:rPr>
          <w:rFonts w:hint="eastAsia"/>
          <w:sz w:val="21"/>
          <w:szCs w:val="21"/>
        </w:rPr>
      </w:pPr>
      <w:r>
        <w:rPr>
          <w:rFonts w:hint="eastAsia"/>
          <w:sz w:val="21"/>
          <w:szCs w:val="21"/>
        </w:rPr>
        <w:t xml:space="preserve">2、项目服务人员需签署相关保密协议，承担本项目所涉工作中接触相关内</w:t>
      </w:r>
      <w:r>
        <w:rPr>
          <w:rFonts w:hint="eastAsia"/>
          <w:sz w:val="21"/>
          <w:szCs w:val="21"/>
        </w:rPr>
        <w:t xml:space="preserve">容的保密义务；</w:t>
      </w:r>
      <w:r/>
    </w:p>
    <w:p>
      <w:pPr>
        <w:pStyle w:val="952"/>
        <w:ind w:firstLine="420"/>
        <w:spacing w:line="360" w:lineRule="auto"/>
        <w:rPr>
          <w:rFonts w:hint="eastAsia"/>
          <w:sz w:val="21"/>
          <w:szCs w:val="21"/>
        </w:rPr>
      </w:pPr>
      <w:r>
        <w:rPr>
          <w:rFonts w:hint="eastAsia"/>
          <w:sz w:val="21"/>
          <w:szCs w:val="21"/>
        </w:rPr>
        <w:t xml:space="preserve">3、项目成果最终所有权，含过程中产生的、数据、资料等成果均归属采购单位，在项目完成时成交单位必须全部移交；不得未经采购单位同意进行数据加密。</w:t>
      </w:r>
      <w:r/>
    </w:p>
    <w:p>
      <w:pPr>
        <w:pStyle w:val="952"/>
        <w:ind w:firstLine="420"/>
        <w:spacing w:line="360" w:lineRule="auto"/>
        <w:rPr>
          <w:rFonts w:hint="eastAsia"/>
          <w:sz w:val="21"/>
          <w:szCs w:val="21"/>
        </w:rPr>
      </w:pPr>
      <w:r>
        <w:rPr>
          <w:rFonts w:hint="eastAsia"/>
          <w:sz w:val="21"/>
          <w:szCs w:val="21"/>
        </w:rPr>
        <w:t xml:space="preserve">4、成交单位须维护项目服务成果，不得转让给第三方重复使用。</w:t>
      </w:r>
      <w:r/>
    </w:p>
    <w:p>
      <w:pPr>
        <w:pStyle w:val="952"/>
        <w:ind w:firstLine="420"/>
        <w:spacing w:line="360" w:lineRule="auto"/>
        <w:rPr>
          <w:rFonts w:hint="eastAsia"/>
          <w:sz w:val="21"/>
          <w:szCs w:val="21"/>
        </w:rPr>
      </w:pPr>
      <w:r>
        <w:rPr>
          <w:rFonts w:hint="eastAsia"/>
          <w:sz w:val="21"/>
          <w:szCs w:val="21"/>
        </w:rPr>
        <w:t xml:space="preserve">5、以上保密规定如有违反，采购单位有权追究成交单位相关法律责任。</w:t>
      </w:r>
      <w:r/>
    </w:p>
    <w:p>
      <w:pPr>
        <w:pStyle w:val="952"/>
        <w:ind w:firstLine="420"/>
        <w:spacing w:line="360" w:lineRule="auto"/>
        <w:rPr>
          <w:rFonts w:hint="eastAsia"/>
          <w:sz w:val="21"/>
          <w:szCs w:val="21"/>
        </w:rPr>
      </w:pPr>
      <w:r>
        <w:rPr>
          <w:rFonts w:hint="eastAsia"/>
          <w:sz w:val="21"/>
          <w:szCs w:val="21"/>
        </w:rPr>
        <w:t xml:space="preserve">(九)知识产权</w:t>
      </w:r>
      <w:r/>
    </w:p>
    <w:p>
      <w:pPr>
        <w:pStyle w:val="952"/>
        <w:ind w:firstLine="420"/>
        <w:spacing w:line="360" w:lineRule="auto"/>
        <w:rPr>
          <w:rFonts w:hint="eastAsia"/>
          <w:sz w:val="21"/>
          <w:szCs w:val="21"/>
        </w:rPr>
      </w:pPr>
      <w:r>
        <w:rPr>
          <w:rFonts w:hint="eastAsia"/>
          <w:sz w:val="21"/>
          <w:szCs w:val="21"/>
        </w:rPr>
        <w:t xml:space="preserve">供方应保证需方免除且供方承担由于需方在其本国使用该项目或项目任何一部分时而引起来自任意第三方提出的侵犯专利权、商标权或工业设计权等知识产权的起诉、行动、行政程序索赔、请求等以及需方为此而产生的损失和损害、费用和支出(包括律师费)。</w:t>
      </w:r>
      <w:r/>
    </w:p>
    <w:p>
      <w:pPr>
        <w:pStyle w:val="952"/>
        <w:ind w:firstLine="420"/>
        <w:spacing w:line="360" w:lineRule="auto"/>
        <w:rPr>
          <w:rFonts w:hint="eastAsia"/>
          <w:sz w:val="21"/>
          <w:szCs w:val="21"/>
        </w:rPr>
      </w:pPr>
      <w:r>
        <w:rPr>
          <w:rFonts w:hint="eastAsia"/>
          <w:sz w:val="21"/>
          <w:szCs w:val="21"/>
        </w:rPr>
        <w:t xml:space="preserve">(十)项目安全</w:t>
      </w:r>
      <w:r/>
    </w:p>
    <w:p>
      <w:pPr>
        <w:pStyle w:val="952"/>
        <w:ind w:firstLine="420"/>
        <w:spacing w:line="360" w:lineRule="auto"/>
        <w:rPr>
          <w:rFonts w:hint="eastAsia"/>
          <w:sz w:val="21"/>
          <w:szCs w:val="21"/>
        </w:rPr>
      </w:pPr>
      <w:r>
        <w:rPr>
          <w:rFonts w:hint="eastAsia"/>
          <w:sz w:val="21"/>
          <w:szCs w:val="21"/>
        </w:rPr>
        <w:t xml:space="preserve">在项目服务期间应制定项目安全实施管理措施，并严格遵守安全管理要求，中标单位在项目服务过程中因管理不当、维护措施不当等因素或不按安全管理要求，造成任何人身安全或财产损失等责任事故的，其责任均由中标单位自行承担，采购单位不承担责任。与本项目有关的所有质量、安全问题均由中标单位终身负责，如因上述原因造成的一切后果均由中标单位自行承担，与他人无涉。</w:t>
      </w:r>
      <w:r/>
    </w:p>
    <w:p>
      <w:pPr>
        <w:pStyle w:val="952"/>
        <w:ind w:firstLine="420"/>
        <w:spacing w:line="360" w:lineRule="auto"/>
        <w:rPr>
          <w:rFonts w:hint="eastAsia"/>
          <w:sz w:val="21"/>
          <w:szCs w:val="21"/>
        </w:rPr>
      </w:pPr>
      <w:r>
        <w:rPr>
          <w:rFonts w:hint="eastAsia"/>
          <w:sz w:val="21"/>
          <w:szCs w:val="21"/>
        </w:rPr>
        <w:t xml:space="preserve">(十一)后期服务要求</w:t>
      </w:r>
      <w:r/>
    </w:p>
    <w:p>
      <w:pPr>
        <w:pStyle w:val="952"/>
        <w:ind w:firstLine="420"/>
        <w:spacing w:line="360" w:lineRule="auto"/>
        <w:rPr>
          <w:rFonts w:hint="eastAsia"/>
          <w:sz w:val="21"/>
          <w:szCs w:val="21"/>
        </w:rPr>
      </w:pPr>
      <w:r>
        <w:rPr>
          <w:rFonts w:hint="eastAsia"/>
          <w:sz w:val="21"/>
          <w:szCs w:val="21"/>
        </w:rPr>
        <w:t xml:space="preserve">中标单位需严格按招标文件规定的时间、规定的技术要求，完成项目的全部工作内容，并提供承诺书。如在实施的过程中出现</w:t>
      </w:r>
      <w:r>
        <w:rPr>
          <w:rFonts w:hint="eastAsia"/>
          <w:sz w:val="21"/>
          <w:szCs w:val="21"/>
        </w:rPr>
        <w:t xml:space="preserve">错误，误差，中标单位需负责及时更正直至采购单位确认，并经主管部门验收合格，中标单位需提供必要的技术培训，协助采购单位完成其他需要中标单位配合的服务。中标单位应严格遵守服务合约，项目完成以后，如采购单位有需要中标单位配合的服务，中标单位必须予以配合，协助采购单位完善项目内容。</w:t>
      </w:r>
      <w:r/>
    </w:p>
    <w:p>
      <w:pPr>
        <w:pStyle w:val="952"/>
        <w:contextualSpacing/>
        <w:spacing w:line="360" w:lineRule="auto"/>
        <w:rPr>
          <w:rFonts w:hint="eastAsia" w:cs="宋体"/>
          <w:sz w:val="21"/>
          <w:szCs w:val="21"/>
        </w:rPr>
      </w:pPr>
      <w:r>
        <w:rPr>
          <w:rFonts w:hint="eastAsia" w:cs="宋体"/>
          <w:sz w:val="21"/>
          <w:szCs w:val="21"/>
        </w:rPr>
        <w:t xml:space="preserve">六、综合说明及其他要求：</w:t>
      </w:r>
      <w:r/>
    </w:p>
    <w:p>
      <w:pPr>
        <w:pStyle w:val="952"/>
        <w:ind w:firstLine="420"/>
        <w:spacing w:line="360" w:lineRule="auto"/>
        <w:rPr>
          <w:rFonts w:hint="eastAsia"/>
          <w:sz w:val="21"/>
          <w:szCs w:val="21"/>
        </w:rPr>
      </w:pPr>
      <w:r>
        <w:rPr>
          <w:rFonts w:hint="eastAsia"/>
          <w:sz w:val="21"/>
          <w:szCs w:val="21"/>
        </w:rPr>
        <w:t xml:space="preserve">1、供应商需充分了解现状情况，充分收集相关资料，听取有关部门意见，外地供应商应深入本地开展调研工作。</w:t>
      </w:r>
      <w:r/>
    </w:p>
    <w:p>
      <w:pPr>
        <w:pStyle w:val="952"/>
        <w:ind w:firstLine="420"/>
        <w:spacing w:line="360" w:lineRule="auto"/>
        <w:rPr>
          <w:rFonts w:hint="eastAsia"/>
          <w:sz w:val="21"/>
          <w:szCs w:val="21"/>
        </w:rPr>
      </w:pPr>
      <w:r>
        <w:rPr>
          <w:rFonts w:hint="eastAsia"/>
          <w:sz w:val="21"/>
          <w:szCs w:val="21"/>
        </w:rPr>
        <w:t xml:space="preserve">2、服务期间，按照采购单位要求提供服务，根据采购单位需要，提供成果相关数据及文本。</w:t>
      </w:r>
      <w:r/>
    </w:p>
    <w:p>
      <w:pPr>
        <w:pStyle w:val="952"/>
        <w:ind w:firstLine="420"/>
        <w:spacing w:line="360" w:lineRule="auto"/>
        <w:rPr>
          <w:rFonts w:hint="eastAsia"/>
          <w:sz w:val="21"/>
          <w:szCs w:val="21"/>
        </w:rPr>
      </w:pPr>
      <w:r>
        <w:rPr>
          <w:rFonts w:hint="eastAsia"/>
          <w:sz w:val="21"/>
          <w:szCs w:val="21"/>
        </w:rPr>
        <w:t xml:space="preserve">3、</w:t>
      </w:r>
      <w:r>
        <w:rPr>
          <w:rFonts w:hint="eastAsia" w:cs="宋体"/>
          <w:bCs/>
          <w:sz w:val="21"/>
          <w:szCs w:val="21"/>
        </w:rPr>
        <w:t xml:space="preserve">为本项目能在采购人规定时间内保质保量地完成，要求投标人针对本项目制定组织实施方案和配备专业的实施团队，</w:t>
      </w:r>
      <w:r>
        <w:rPr>
          <w:rFonts w:hint="eastAsia"/>
          <w:sz w:val="21"/>
          <w:szCs w:val="21"/>
        </w:rPr>
        <w:t xml:space="preserve">中标后，项目团队人员配备应按投标文件中承诺的实施，不经采购单位同意，不得更换。</w:t>
      </w:r>
      <w:r/>
    </w:p>
    <w:p>
      <w:pPr>
        <w:pStyle w:val="952"/>
        <w:contextualSpacing/>
        <w:ind w:firstLine="420"/>
        <w:spacing w:line="360" w:lineRule="auto"/>
        <w:rPr>
          <w:rFonts w:hint="eastAsia"/>
          <w:sz w:val="21"/>
          <w:szCs w:val="21"/>
        </w:rPr>
      </w:pPr>
      <w:r>
        <w:rPr>
          <w:rFonts w:hint="eastAsia"/>
          <w:sz w:val="21"/>
          <w:szCs w:val="21"/>
        </w:rPr>
        <w:t xml:space="preserve">4、中标人对服务缺陷不予更正，招标人有权另请其他单位更正，所发生的费用由中标人承担。</w:t>
      </w:r>
      <w:r/>
    </w:p>
    <w:p>
      <w:pPr>
        <w:pStyle w:val="952"/>
        <w:contextualSpacing/>
        <w:ind w:firstLine="420"/>
        <w:spacing w:line="360" w:lineRule="auto"/>
        <w:rPr>
          <w:rFonts w:hint="eastAsia"/>
          <w:sz w:val="21"/>
          <w:szCs w:val="21"/>
        </w:rPr>
      </w:pPr>
      <w:r>
        <w:rPr>
          <w:rFonts w:hint="eastAsia"/>
          <w:sz w:val="21"/>
          <w:szCs w:val="21"/>
        </w:rPr>
        <w:t xml:space="preserve">5、中标人有责任配合招标人接受上级领导部门的监督、检查，提供必须的资料。</w:t>
      </w:r>
      <w:r/>
    </w:p>
    <w:p>
      <w:pPr>
        <w:pStyle w:val="952"/>
        <w:contextualSpacing/>
        <w:ind w:firstLine="420"/>
        <w:spacing w:line="360" w:lineRule="auto"/>
        <w:rPr>
          <w:rFonts w:hint="eastAsia"/>
          <w:sz w:val="21"/>
          <w:szCs w:val="21"/>
        </w:rPr>
      </w:pPr>
      <w:r>
        <w:rPr>
          <w:rFonts w:hint="eastAsia"/>
          <w:sz w:val="21"/>
          <w:szCs w:val="21"/>
        </w:rPr>
        <w:t xml:space="preserve">6、中标人须严格按照国家和政府规定给所有的员工缴纳各种社会保险（包括养老、医疗、工伤、生育险、失业保险等）。负责其招聘员工的一切工资、伙食、福利；如发生工伤、疾病乃至死亡的一切责任及费用由中</w:t>
      </w:r>
      <w:r>
        <w:rPr>
          <w:rFonts w:hint="eastAsia"/>
          <w:sz w:val="21"/>
          <w:szCs w:val="21"/>
        </w:rPr>
        <w:t xml:space="preserve">标人全部负责；应严格遵守国家有关的法律、法规及行业标准，否则招标人有权终止合同。</w:t>
      </w:r>
      <w:r/>
    </w:p>
    <w:p>
      <w:pPr>
        <w:pStyle w:val="952"/>
        <w:contextualSpacing/>
        <w:ind w:firstLine="420"/>
        <w:spacing w:line="360" w:lineRule="auto"/>
        <w:rPr>
          <w:rFonts w:hint="eastAsia" w:cs="宋体"/>
          <w:sz w:val="21"/>
          <w:szCs w:val="21"/>
        </w:rPr>
      </w:pPr>
      <w:r>
        <w:rPr>
          <w:rFonts w:hint="eastAsia"/>
          <w:sz w:val="21"/>
          <w:szCs w:val="21"/>
        </w:rPr>
        <w:t xml:space="preserve">7、</w:t>
      </w:r>
      <w:r>
        <w:rPr>
          <w:rFonts w:hint="eastAsia" w:cs="宋体"/>
          <w:sz w:val="21"/>
          <w:szCs w:val="21"/>
        </w:rPr>
        <w:t xml:space="preserve">招标人不接受投标人任何因遗漏报价而发生的费用追加，因投标人违反《劳动法》等法律法规而造成招标人的连带责任和损失全部由中标人承担。</w:t>
      </w:r>
      <w:r/>
    </w:p>
    <w:p>
      <w:pPr>
        <w:pStyle w:val="952"/>
        <w:contextualSpacing/>
        <w:ind w:firstLine="420"/>
        <w:spacing w:line="360" w:lineRule="auto"/>
        <w:rPr>
          <w:rFonts w:hint="eastAsia" w:cs="宋体"/>
          <w:sz w:val="21"/>
          <w:szCs w:val="21"/>
        </w:rPr>
      </w:pPr>
      <w:r>
        <w:rPr>
          <w:rFonts w:hint="eastAsia" w:cs="宋体"/>
          <w:sz w:val="21"/>
          <w:szCs w:val="21"/>
        </w:rPr>
        <w:t xml:space="preserve">8、报价方式：采用人民币报价，应包括完成本项工作所需的一切费用，包括但不限于完成相应工作任务涉及的人工费、通讯费、交通费、资料费、调查费、报告编制费（含印刷费）、后续服务费、利润、税金、政策性文件规定及合同包含的所有风险、责任等完成本项目的各项应有费用。</w:t>
      </w:r>
      <w:r/>
    </w:p>
    <w:p>
      <w:pPr>
        <w:pStyle w:val="952"/>
        <w:contextualSpacing/>
        <w:ind w:firstLine="420"/>
        <w:spacing w:line="360" w:lineRule="auto"/>
        <w:rPr>
          <w:rFonts w:hint="eastAsia" w:cs="宋体"/>
          <w:bCs/>
          <w:sz w:val="21"/>
          <w:szCs w:val="21"/>
        </w:rPr>
      </w:pPr>
      <w:r>
        <w:rPr>
          <w:rFonts w:hint="eastAsia" w:cs="宋体"/>
          <w:bCs/>
          <w:sz w:val="21"/>
          <w:szCs w:val="21"/>
        </w:rPr>
        <w:t xml:space="preserve">9、履行期限：</w:t>
      </w:r>
      <w:r>
        <w:rPr>
          <w:rFonts w:hint="eastAsia"/>
          <w:sz w:val="21"/>
          <w:szCs w:val="21"/>
        </w:rPr>
        <w:t xml:space="preserve">1年</w:t>
      </w:r>
      <w:r>
        <w:rPr>
          <w:rFonts w:hint="eastAsia" w:cs="宋体"/>
          <w:sz w:val="21"/>
        </w:rPr>
        <w:t xml:space="preserve">。</w:t>
      </w:r>
      <w:r>
        <w:rPr>
          <w:rFonts w:hint="eastAsia" w:cs="宋体"/>
          <w:bCs/>
          <w:sz w:val="21"/>
          <w:szCs w:val="21"/>
        </w:rPr>
      </w:r>
      <w:r/>
    </w:p>
    <w:p>
      <w:pPr>
        <w:pStyle w:val="952"/>
        <w:contextualSpacing/>
        <w:ind w:firstLine="420"/>
        <w:spacing w:line="360" w:lineRule="auto"/>
        <w:rPr>
          <w:sz w:val="21"/>
          <w:szCs w:val="21"/>
        </w:rPr>
      </w:pPr>
      <w:r>
        <w:rPr>
          <w:rFonts w:hint="eastAsia" w:cs="宋体"/>
          <w:bCs/>
          <w:sz w:val="21"/>
          <w:szCs w:val="21"/>
        </w:rPr>
        <w:t xml:space="preserve">10、付款步骤：</w:t>
      </w:r>
      <w:r>
        <w:rPr>
          <w:rFonts w:hint="eastAsia"/>
          <w:sz w:val="21"/>
          <w:szCs w:val="21"/>
        </w:rPr>
        <w:t xml:space="preserve">合同盖章生效后，由甲方在十五个工作日内向乙方支付合同金额的20％作为预付款；待乙方完成全部内业和外业普查并提交成果后，由甲方在十五个工作日内向乙方支付合同金额的25％；乙方提交成果经甲方质检通过后，由甲方在十五个工作日内向乙方支付合同金额的20％；待项目验收合格后，由甲方在十五个工作日内向乙方一次性付清合同余款</w:t>
      </w:r>
      <w:r>
        <w:rPr>
          <w:rFonts w:hint="eastAsia"/>
          <w:sz w:val="21"/>
          <w:szCs w:val="21"/>
        </w:rPr>
        <w:t xml:space="preserve">。</w:t>
      </w:r>
      <w:r>
        <w:rPr>
          <w:sz w:val="21"/>
          <w:szCs w:val="21"/>
        </w:rPr>
      </w:r>
      <w:r/>
    </w:p>
    <w:p>
      <w:pPr>
        <w:pStyle w:val="952"/>
        <w:contextualSpacing/>
        <w:ind w:firstLine="420"/>
        <w:spacing w:line="360" w:lineRule="auto"/>
        <w:rPr>
          <w:rFonts w:cs="宋体"/>
          <w:bCs/>
          <w:sz w:val="21"/>
          <w:szCs w:val="21"/>
        </w:rPr>
      </w:pPr>
      <w:r>
        <w:rPr>
          <w:rFonts w:hint="eastAsia" w:cs="宋体"/>
          <w:bCs/>
          <w:sz w:val="21"/>
          <w:szCs w:val="21"/>
        </w:rPr>
        <w:t xml:space="preserve">11、</w:t>
      </w:r>
      <w:r>
        <w:rPr>
          <w:rFonts w:cs="宋体"/>
          <w:bCs/>
          <w:sz w:val="21"/>
          <w:szCs w:val="21"/>
        </w:rPr>
        <w:t xml:space="preserve">凡涉及采购公告的补充说明和修改，均以江苏省政府采购网、苏州市政府采购网发布的补充通知为准</w:t>
      </w:r>
      <w:r>
        <w:rPr>
          <w:rFonts w:hint="eastAsia" w:cs="宋体"/>
          <w:bCs/>
          <w:sz w:val="21"/>
          <w:szCs w:val="21"/>
        </w:rPr>
        <w:t xml:space="preserve">。</w:t>
      </w:r>
      <w:r>
        <w:rPr>
          <w:rFonts w:cs="宋体"/>
          <w:bCs/>
          <w:sz w:val="21"/>
          <w:szCs w:val="21"/>
        </w:rPr>
      </w:r>
      <w:r/>
    </w:p>
    <w:p>
      <w:pPr>
        <w:pStyle w:val="952"/>
        <w:contextualSpacing/>
        <w:spacing w:line="360" w:lineRule="auto"/>
        <w:rPr>
          <w:rFonts w:hint="eastAsia" w:cs="宋体"/>
          <w:b/>
          <w:sz w:val="21"/>
          <w:szCs w:val="21"/>
        </w:rPr>
      </w:pPr>
      <w:r>
        <w:rPr>
          <w:rFonts w:hint="eastAsia" w:cs="宋体"/>
          <w:b/>
          <w:sz w:val="21"/>
          <w:szCs w:val="21"/>
        </w:rPr>
        <w:t xml:space="preserve">六</w:t>
      </w:r>
      <w:r>
        <w:rPr>
          <w:rFonts w:hint="eastAsia" w:cs="宋体"/>
          <w:b/>
          <w:sz w:val="21"/>
          <w:szCs w:val="21"/>
        </w:rPr>
        <w:t xml:space="preserve">、政府政策</w:t>
      </w:r>
      <w:r/>
    </w:p>
    <w:p>
      <w:pPr>
        <w:pStyle w:val="952"/>
        <w:contextualSpacing/>
        <w:ind w:firstLine="420"/>
        <w:spacing w:line="360" w:lineRule="auto"/>
        <w:rPr>
          <w:rFonts w:cs="宋体"/>
          <w:sz w:val="21"/>
          <w:szCs w:val="21"/>
        </w:rPr>
      </w:pPr>
      <w:r>
        <w:rPr>
          <w:rFonts w:hint="eastAsia" w:cs="宋体"/>
          <w:sz w:val="21"/>
          <w:szCs w:val="21"/>
        </w:rPr>
        <w:t xml:space="preserve">（一）节能产品和环境标志产品</w:t>
      </w:r>
      <w:r>
        <w:rPr>
          <w:rFonts w:cs="宋体"/>
          <w:sz w:val="21"/>
          <w:szCs w:val="21"/>
        </w:rPr>
      </w:r>
      <w:r/>
    </w:p>
    <w:p>
      <w:pPr>
        <w:pStyle w:val="952"/>
        <w:contextualSpacing/>
        <w:ind w:firstLine="420"/>
        <w:spacing w:line="360" w:lineRule="auto"/>
        <w:rPr>
          <w:rFonts w:cs="宋体"/>
          <w:sz w:val="21"/>
          <w:szCs w:val="21"/>
        </w:rPr>
      </w:pPr>
      <w:r>
        <w:rPr>
          <w:rFonts w:hint="eastAsia" w:cs="宋体"/>
          <w:sz w:val="21"/>
          <w:szCs w:val="21"/>
        </w:rPr>
        <w:t xml:space="preserve">根据《关于调整优化节能产品、环境标志产品政府采购执行机制</w:t>
      </w:r>
      <w:r>
        <w:rPr>
          <w:rFonts w:hint="eastAsia" w:cs="宋体"/>
          <w:sz w:val="21"/>
          <w:szCs w:val="21"/>
        </w:rPr>
        <w:t xml:space="preserve">的通知》（财库〔</w:t>
      </w:r>
      <w:r>
        <w:rPr>
          <w:rFonts w:cs="宋体"/>
          <w:sz w:val="21"/>
          <w:szCs w:val="21"/>
        </w:rPr>
        <w:t xml:space="preserve">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952"/>
        <w:contextualSpacing/>
        <w:ind w:firstLine="420"/>
        <w:spacing w:line="360" w:lineRule="auto"/>
        <w:rPr>
          <w:rFonts w:cs="宋体"/>
          <w:sz w:val="21"/>
          <w:szCs w:val="21"/>
        </w:rPr>
      </w:pPr>
      <w:r>
        <w:rPr>
          <w:rFonts w:hint="eastAsia" w:cs="宋体"/>
          <w:sz w:val="21"/>
          <w:szCs w:val="21"/>
        </w:rPr>
        <w:t xml:space="preserve">（二）中小企业相关政策：</w:t>
      </w:r>
      <w:r>
        <w:rPr>
          <w:rFonts w:cs="宋体"/>
          <w:sz w:val="21"/>
          <w:szCs w:val="21"/>
        </w:rPr>
      </w:r>
      <w:r/>
    </w:p>
    <w:p>
      <w:pPr>
        <w:pStyle w:val="952"/>
        <w:contextualSpacing/>
        <w:ind w:firstLine="420"/>
        <w:spacing w:line="360" w:lineRule="auto"/>
        <w:rPr>
          <w:rFonts w:cs="宋体"/>
          <w:sz w:val="21"/>
          <w:szCs w:val="21"/>
        </w:rPr>
      </w:pPr>
      <w:r>
        <w:rPr>
          <w:rFonts w:cs="宋体"/>
          <w:sz w:val="21"/>
          <w:szCs w:val="21"/>
        </w:rPr>
        <w:t xml:space="preserve">1、本项目专门面向中小企业采购，执行以下相关政策：</w:t>
      </w:r>
      <w:r/>
    </w:p>
    <w:p>
      <w:pPr>
        <w:pStyle w:val="952"/>
        <w:contextualSpacing/>
        <w:ind w:firstLine="420"/>
        <w:spacing w:line="360" w:lineRule="auto"/>
        <w:rPr>
          <w:rFonts w:cs="宋体"/>
          <w:sz w:val="21"/>
          <w:szCs w:val="21"/>
        </w:rPr>
      </w:pPr>
      <w:r>
        <w:rPr>
          <w:rFonts w:hint="eastAsia" w:cs="宋体"/>
          <w:sz w:val="21"/>
          <w:szCs w:val="21"/>
        </w:rPr>
        <w:t xml:space="preserve">根据《政府采购促进中小企业发展管理办法》（财库〔</w:t>
      </w:r>
      <w:r>
        <w:rPr>
          <w:rFonts w:cs="宋体"/>
          <w:sz w:val="21"/>
          <w:szCs w:val="21"/>
        </w:rPr>
        <w:t xml:space="preserve">2020〕46号）有关规定，投标人应当提供中小企业声明函或残疾人福利性单位声明函或省级以上监狱管理局、戒毒管理局（含新疆生产建设兵团）出具的属于监狱企业的证明文件,否则视为投标无效。</w:t>
      </w:r>
      <w:r/>
    </w:p>
    <w:p>
      <w:pPr>
        <w:pStyle w:val="952"/>
        <w:contextualSpacing/>
        <w:ind w:firstLine="420"/>
        <w:spacing w:line="360" w:lineRule="auto"/>
        <w:rPr>
          <w:rFonts w:cs="宋体"/>
          <w:sz w:val="21"/>
          <w:szCs w:val="21"/>
        </w:rPr>
      </w:pPr>
      <w:r>
        <w:rPr>
          <w:rFonts w:cs="宋体"/>
          <w:sz w:val="21"/>
          <w:szCs w:val="21"/>
        </w:rPr>
        <w:t xml:space="preserve">1.1中小企业划分：</w:t>
      </w:r>
      <w:r/>
    </w:p>
    <w:p>
      <w:pPr>
        <w:pStyle w:val="952"/>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1）符合中小企业划分标准的个体工商户，在政府采购活动中视同中小企业。</w:t>
      </w:r>
      <w:r/>
    </w:p>
    <w:p>
      <w:pPr>
        <w:pStyle w:val="952"/>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2）中小企业划分标准详见“工信部联企业〔2011〕300号通知”</w:t>
      </w:r>
      <w:r/>
    </w:p>
    <w:p>
      <w:pPr>
        <w:pStyle w:val="952"/>
        <w:contextualSpacing/>
        <w:ind w:firstLine="420"/>
        <w:spacing w:line="360" w:lineRule="auto"/>
        <w:rPr>
          <w:rFonts w:cs="宋体"/>
          <w:sz w:val="21"/>
          <w:szCs w:val="21"/>
        </w:rPr>
      </w:pPr>
      <w:r>
        <w:rPr>
          <w:rFonts w:cs="宋体"/>
          <w:sz w:val="21"/>
          <w:szCs w:val="21"/>
        </w:rPr>
        <w:t xml:space="preserve">1.2残疾人福利性单位政策：</w:t>
      </w:r>
      <w:r/>
    </w:p>
    <w:p>
      <w:pPr>
        <w:pStyle w:val="952"/>
        <w:contextualSpacing/>
        <w:ind w:firstLine="420"/>
        <w:spacing w:line="360" w:lineRule="auto"/>
        <w:rPr>
          <w:rFonts w:cs="宋体"/>
          <w:sz w:val="21"/>
          <w:szCs w:val="21"/>
        </w:rPr>
      </w:pPr>
      <w:r>
        <w:rPr>
          <w:rFonts w:hint="eastAsia" w:cs="宋体"/>
          <w:sz w:val="21"/>
          <w:szCs w:val="21"/>
        </w:rPr>
        <w:t xml:space="preserve">根据《关于促进残疾人就业政府采购政策的通知》（财库〔</w:t>
      </w:r>
      <w:r>
        <w:rPr>
          <w:rFonts w:cs="宋体"/>
          <w:sz w:val="21"/>
          <w:szCs w:val="21"/>
        </w:rPr>
        <w:t xml:space="preserve">2017〕141号）规定，投标人若为残疾人福利性单位的，提供残疾人福利性单位声明函的，视同小微型企业。残疾人福利性单位属于小微型企业的</w:t>
      </w:r>
      <w:r>
        <w:rPr>
          <w:rFonts w:cs="宋体"/>
          <w:sz w:val="21"/>
          <w:szCs w:val="21"/>
        </w:rPr>
        <w:t xml:space="preserve">，不重复认定。</w:t>
      </w:r>
      <w:r/>
    </w:p>
    <w:p>
      <w:pPr>
        <w:pStyle w:val="952"/>
        <w:contextualSpacing/>
        <w:ind w:firstLine="420"/>
        <w:spacing w:line="360" w:lineRule="auto"/>
        <w:rPr>
          <w:rFonts w:cs="宋体"/>
          <w:sz w:val="21"/>
          <w:szCs w:val="21"/>
        </w:rPr>
      </w:pPr>
      <w:r>
        <w:rPr>
          <w:rFonts w:cs="宋体"/>
          <w:sz w:val="21"/>
          <w:szCs w:val="21"/>
        </w:rPr>
        <w:t xml:space="preserve">1.3监狱企业发展政策：</w:t>
      </w:r>
      <w:r/>
    </w:p>
    <w:p>
      <w:pPr>
        <w:pStyle w:val="952"/>
        <w:contextualSpacing/>
        <w:ind w:firstLine="420"/>
        <w:spacing w:line="360" w:lineRule="auto"/>
        <w:rPr>
          <w:rFonts w:cs="宋体"/>
          <w:sz w:val="21"/>
          <w:szCs w:val="21"/>
        </w:rPr>
      </w:pPr>
      <w:r>
        <w:rPr>
          <w:rFonts w:hint="eastAsia" w:cs="宋体"/>
          <w:sz w:val="21"/>
          <w:szCs w:val="21"/>
        </w:rPr>
        <w:t xml:space="preserve">根据《关于政府采购支持监狱企业发展有关问题的通知》（财库〔</w:t>
      </w:r>
      <w:r>
        <w:rPr>
          <w:rFonts w:cs="宋体"/>
          <w:sz w:val="21"/>
          <w:szCs w:val="21"/>
        </w:rPr>
        <w:t xml:space="preserve">2014〕68号）规定，投标人若为监狱企业的，提供省级以上监狱管理局、戒毒管理局（含新疆生产建设兵团）出具的属于监狱企业的证明文件的，视同小微型企业。</w:t>
      </w:r>
      <w:r/>
    </w:p>
    <w:p>
      <w:pPr>
        <w:pStyle w:val="952"/>
        <w:contextualSpacing/>
        <w:ind w:firstLine="420"/>
        <w:spacing w:line="360" w:lineRule="auto"/>
        <w:rPr>
          <w:rFonts w:cs="宋体"/>
          <w:sz w:val="21"/>
          <w:szCs w:val="21"/>
        </w:rPr>
      </w:pPr>
      <w:r>
        <w:rPr>
          <w:rFonts w:cs="宋体"/>
          <w:sz w:val="21"/>
          <w:szCs w:val="21"/>
        </w:rPr>
        <w:t xml:space="preserve">1.4、中标、成交供应商享受规定的中小企业扶持政策的，其声明函及相关证明材料应当随中标、成交结果同时公告，接受社会监督。</w:t>
      </w:r>
      <w:r/>
    </w:p>
    <w:p>
      <w:pPr>
        <w:pStyle w:val="952"/>
        <w:contextualSpacing/>
        <w:ind w:firstLine="420"/>
        <w:spacing w:line="360" w:lineRule="auto"/>
        <w:rPr>
          <w:rFonts w:cs="宋体"/>
          <w:sz w:val="21"/>
          <w:szCs w:val="21"/>
        </w:rPr>
      </w:pPr>
      <w:r>
        <w:rPr>
          <w:rFonts w:cs="宋体"/>
          <w:sz w:val="21"/>
          <w:szCs w:val="21"/>
        </w:rPr>
        <w:t xml:space="preserve">1.5、专门面向中小企业采购的项目，不再执行价格评审优惠的扶持政策。</w:t>
      </w:r>
      <w:r/>
    </w:p>
    <w:p>
      <w:pPr>
        <w:pStyle w:val="952"/>
        <w:contextualSpacing/>
        <w:ind w:firstLine="420"/>
        <w:spacing w:line="360" w:lineRule="auto"/>
        <w:rPr>
          <w:rFonts w:cs="宋体"/>
          <w:sz w:val="21"/>
          <w:szCs w:val="21"/>
        </w:rPr>
      </w:pPr>
      <w:r>
        <w:rPr>
          <w:rFonts w:hint="eastAsia" w:cs="宋体"/>
          <w:sz w:val="21"/>
          <w:szCs w:val="21"/>
        </w:rPr>
        <w:t xml:space="preserve">（三）</w:t>
      </w:r>
      <w:r>
        <w:rPr>
          <w:rFonts w:cs="宋体"/>
          <w:sz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cs="宋体"/>
          <w:sz w:val="21"/>
          <w:szCs w:val="21"/>
        </w:rPr>
      </w:r>
      <w:r/>
    </w:p>
    <w:p>
      <w:pPr>
        <w:pStyle w:val="952"/>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1）查询时间：响应文件递交截止时间后。</w:t>
      </w:r>
      <w:r/>
    </w:p>
    <w:p>
      <w:pPr>
        <w:pStyle w:val="952"/>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2）查询渠道：</w:t>
      </w:r>
      <w:r>
        <w:rPr>
          <w:sz w:val="21"/>
          <w:szCs w:val="21"/>
        </w:rPr>
        <w:t xml:space="preserve">通过“信用中国”网站、中国政府采购网等渠道查询相关主体信用记录</w:t>
      </w:r>
      <w:r>
        <w:rPr>
          <w:rFonts w:hint="eastAsia"/>
          <w:sz w:val="21"/>
          <w:szCs w:val="21"/>
        </w:rPr>
        <w:t xml:space="preserve">。</w:t>
      </w:r>
      <w:r>
        <w:rPr>
          <w:rFonts w:cs="宋体"/>
          <w:sz w:val="21"/>
          <w:szCs w:val="21"/>
        </w:rPr>
      </w:r>
      <w:r/>
    </w:p>
    <w:p>
      <w:pPr>
        <w:pStyle w:val="952"/>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3）查询证据留存方式：对存在失信信息的供应商，招标代理机构应填</w:t>
      </w:r>
      <w:r>
        <w:rPr>
          <w:rFonts w:cs="宋体"/>
          <w:sz w:val="21"/>
          <w:szCs w:val="21"/>
        </w:rPr>
        <w:t xml:space="preserve">写《苏州市级政府采购供应商失信信息确认函》，由失信供应商应签名确认。同时，采购代理机构工作人员应根据确认的失信信息，登陆到来源网站页面进行复核并打印，作为证据留存。</w:t>
      </w:r>
      <w:r/>
    </w:p>
    <w:p>
      <w:pPr>
        <w:pStyle w:val="952"/>
        <w:contextualSpacing/>
        <w:ind w:firstLine="420"/>
        <w:spacing w:line="360" w:lineRule="auto"/>
        <w:rPr>
          <w:rFonts w:hint="eastAsia" w:cs="宋体"/>
          <w:sz w:val="21"/>
          <w:szCs w:val="21"/>
          <w:lang w:val="zh-CN"/>
        </w:rPr>
      </w:pPr>
      <w:r>
        <w:rPr>
          <w:rFonts w:hint="eastAsia" w:cs="宋体"/>
          <w:sz w:val="21"/>
          <w:szCs w:val="21"/>
        </w:rPr>
        <w:t xml:space="preserve">（</w:t>
      </w:r>
      <w:r>
        <w:rPr>
          <w:rFonts w:cs="宋体"/>
          <w:sz w:val="21"/>
          <w:szCs w:val="21"/>
        </w:rPr>
        <w:t xml:space="preserve">4）信用记录使用规则：对供应商进行资格性审查时，应根据查询结果对供应商的不良信用记录逐项甄别确认</w:t>
      </w:r>
      <w:r>
        <w:rPr>
          <w:rFonts w:hint="eastAsia" w:cs="宋体"/>
          <w:sz w:val="21"/>
          <w:szCs w:val="21"/>
          <w:lang w:val="zh-CN"/>
        </w:rPr>
        <w:t xml:space="preserve">。</w:t>
      </w:r>
      <w:r/>
    </w:p>
    <w:p>
      <w:pPr>
        <w:pStyle w:val="953"/>
        <w:numPr>
          <w:ilvl w:val="0"/>
          <w:numId w:val="0"/>
        </w:numPr>
        <w:jc w:val="center"/>
        <w:tabs>
          <w:tab w:val="left" w:pos="432" w:leader="none"/>
        </w:tabs>
        <w:rPr>
          <w:rFonts w:hint="eastAsia" w:cs="宋体"/>
          <w:sz w:val="21"/>
          <w:szCs w:val="21"/>
        </w:rPr>
      </w:pPr>
      <w:r>
        <w:rPr>
          <w:rFonts w:hint="eastAsia" w:cs="宋体"/>
          <w:b w:val="0"/>
          <w:sz w:val="30"/>
          <w:szCs w:val="30"/>
        </w:rPr>
        <w:br w:type="page" w:clear="all"/>
      </w:r>
      <w:r>
        <w:rPr>
          <w:rFonts w:hint="eastAsia" w:ascii="宋体" w:hAnsi="宋体" w:cs="宋体"/>
        </w:rPr>
        <w:t xml:space="preserve">第五章 合同主要条款</w:t>
      </w:r>
      <w:r>
        <w:rPr>
          <w:rFonts w:hint="eastAsia" w:cs="宋体"/>
          <w:sz w:val="21"/>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52"/>
              <w:spacing w:line="360" w:lineRule="auto"/>
              <w:rPr>
                <w:rFonts w:cs="宋体"/>
                <w:sz w:val="21"/>
                <w:szCs w:val="21"/>
              </w:rPr>
            </w:pPr>
            <w:r>
              <w:rPr>
                <w:rFonts w:hint="eastAsia" w:cs="宋体"/>
                <w:sz w:val="21"/>
                <w:szCs w:val="21"/>
              </w:rPr>
              <w:t xml:space="preserve">甲方（采购人）：太仓市住房和城乡建设局</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52"/>
              <w:spacing w:line="360" w:lineRule="auto"/>
              <w:rPr>
                <w:rFonts w:cs="宋体"/>
                <w:sz w:val="21"/>
                <w:szCs w:val="21"/>
              </w:rPr>
            </w:pPr>
            <w:r>
              <w:rPr>
                <w:rFonts w:hint="eastAsia" w:cs="宋体"/>
                <w:sz w:val="21"/>
                <w:szCs w:val="21"/>
              </w:rPr>
              <w:t xml:space="preserve">单位地址：</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52"/>
              <w:spacing w:line="360" w:lineRule="auto"/>
              <w:rPr>
                <w:rFonts w:cs="宋体"/>
                <w:sz w:val="21"/>
                <w:szCs w:val="21"/>
              </w:rPr>
            </w:pPr>
            <w:r>
              <w:rPr>
                <w:rFonts w:hint="eastAsia" w:cs="宋体"/>
                <w:sz w:val="21"/>
                <w:szCs w:val="21"/>
              </w:rPr>
              <w:t xml:space="preserve">乙方（供应商）：</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52"/>
              <w:spacing w:line="360" w:lineRule="auto"/>
              <w:rPr>
                <w:rFonts w:cs="宋体"/>
                <w:sz w:val="21"/>
                <w:szCs w:val="21"/>
              </w:rPr>
            </w:pPr>
            <w:r>
              <w:rPr>
                <w:rFonts w:hint="eastAsia" w:cs="宋体"/>
                <w:sz w:val="21"/>
                <w:szCs w:val="21"/>
              </w:rPr>
              <w:t xml:space="preserve">单位地址：</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52"/>
              <w:spacing w:line="360" w:lineRule="auto"/>
              <w:rPr>
                <w:rFonts w:cs="宋体"/>
                <w:sz w:val="21"/>
                <w:szCs w:val="21"/>
              </w:rPr>
            </w:pPr>
            <w:r>
              <w:rPr>
                <w:rFonts w:hint="eastAsia" w:cs="宋体"/>
                <w:sz w:val="21"/>
                <w:szCs w:val="21"/>
              </w:rPr>
              <w:t xml:space="preserve">签订日期：</w:t>
            </w:r>
            <w:r>
              <w:rPr>
                <w:rFonts w:cs="宋体"/>
                <w:sz w:val="21"/>
                <w:szCs w:val="21"/>
                <w:u w:val="single"/>
              </w:rPr>
              <w:t xml:space="preserve">      </w:t>
            </w:r>
            <w:r>
              <w:rPr>
                <w:rFonts w:hint="eastAsia" w:cs="宋体"/>
                <w:sz w:val="21"/>
                <w:szCs w:val="21"/>
              </w:rPr>
              <w:t xml:space="preserve">年</w:t>
            </w:r>
            <w:r>
              <w:rPr>
                <w:rFonts w:hint="eastAsia" w:cs="宋体"/>
                <w:sz w:val="21"/>
                <w:szCs w:val="21"/>
                <w:u w:val="single"/>
              </w:rPr>
              <w:t xml:space="preserve">     </w:t>
            </w:r>
            <w:r>
              <w:rPr>
                <w:rFonts w:hint="eastAsia" w:cs="宋体"/>
                <w:sz w:val="21"/>
                <w:szCs w:val="21"/>
              </w:rPr>
              <w:t xml:space="preserve">月</w:t>
            </w:r>
            <w:r>
              <w:rPr>
                <w:rFonts w:hint="eastAsia" w:cs="宋体"/>
                <w:sz w:val="21"/>
                <w:szCs w:val="21"/>
                <w:u w:val="single"/>
              </w:rPr>
              <w:t xml:space="preserve">     </w:t>
            </w:r>
            <w:r>
              <w:rPr>
                <w:rFonts w:hint="eastAsia" w:cs="宋体"/>
                <w:sz w:val="21"/>
                <w:szCs w:val="21"/>
              </w:rPr>
              <w:t xml:space="preserve">日</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52"/>
              <w:spacing w:line="360" w:lineRule="auto"/>
              <w:rPr>
                <w:rFonts w:cs="宋体"/>
                <w:sz w:val="21"/>
                <w:szCs w:val="21"/>
              </w:rPr>
            </w:pPr>
            <w:r>
              <w:rPr>
                <w:rFonts w:hint="eastAsia" w:cs="宋体"/>
                <w:sz w:val="21"/>
                <w:szCs w:val="21"/>
              </w:rPr>
              <w:t xml:space="preserve">签订地点：太仓市</w:t>
            </w:r>
            <w:r>
              <w:rPr>
                <w:rFonts w:cs="宋体"/>
                <w:sz w:val="21"/>
                <w:szCs w:val="21"/>
              </w:rPr>
            </w:r>
            <w:r/>
          </w:p>
        </w:tc>
      </w:tr>
    </w:tbl>
    <w:p>
      <w:pPr>
        <w:pStyle w:val="952"/>
        <w:ind w:firstLine="420"/>
        <w:spacing w:line="360" w:lineRule="auto"/>
        <w:rPr>
          <w:rFonts w:cs="宋体"/>
          <w:sz w:val="21"/>
          <w:szCs w:val="21"/>
        </w:rPr>
      </w:pPr>
      <w:r>
        <w:rPr>
          <w:rFonts w:hint="eastAsia" w:cs="宋体"/>
          <w:sz w:val="21"/>
          <w:szCs w:val="21"/>
        </w:rPr>
        <w:t xml:space="preserve">根据苏州乐族工程咨询有限公司招标编号</w:t>
      </w:r>
      <w:r>
        <w:rPr>
          <w:rFonts w:hint="eastAsia" w:cs="宋体"/>
          <w:sz w:val="21"/>
          <w:szCs w:val="21"/>
          <w:u w:val="single"/>
        </w:rPr>
        <w:t xml:space="preserve">JSZC-320585-SZLZ-G2024-0016</w:t>
      </w:r>
      <w:r>
        <w:rPr>
          <w:rFonts w:hint="eastAsia" w:cs="宋体"/>
          <w:sz w:val="21"/>
          <w:szCs w:val="21"/>
        </w:rPr>
        <w:t xml:space="preserve">号招标文件及中标单位的投标文件和中标通知书，甲乙双方就此次中标的服务内容，签订本合同书。</w:t>
      </w:r>
      <w:r>
        <w:rPr>
          <w:rFonts w:cs="宋体"/>
          <w:sz w:val="21"/>
          <w:szCs w:val="21"/>
        </w:rPr>
      </w:r>
      <w:r/>
    </w:p>
    <w:p>
      <w:pPr>
        <w:pStyle w:val="1330"/>
        <w:ind w:firstLine="422"/>
        <w:jc w:val="left"/>
        <w:spacing w:line="360" w:lineRule="auto"/>
        <w:rPr>
          <w:rFonts w:hint="eastAsia" w:hAnsi="宋体" w:eastAsia="宋体" w:cs="宋体"/>
          <w:b/>
          <w:bCs/>
          <w:sz w:val="21"/>
          <w:szCs w:val="21"/>
        </w:rPr>
      </w:pPr>
      <w:r>
        <w:rPr>
          <w:rFonts w:hint="eastAsia" w:hAnsi="宋体" w:eastAsia="宋体" w:cs="宋体"/>
          <w:b/>
          <w:bCs/>
          <w:sz w:val="21"/>
          <w:szCs w:val="21"/>
        </w:rPr>
        <w:t xml:space="preserve">一、合同内容：</w:t>
      </w:r>
      <w:r/>
    </w:p>
    <w:p>
      <w:pPr>
        <w:pStyle w:val="952"/>
        <w:ind w:firstLine="420"/>
        <w:spacing w:line="360" w:lineRule="auto"/>
        <w:rPr>
          <w:rFonts w:hint="eastAsia"/>
          <w:sz w:val="21"/>
          <w:szCs w:val="21"/>
        </w:rPr>
      </w:pPr>
      <w:r>
        <w:rPr>
          <w:rFonts w:hint="eastAsia"/>
          <w:sz w:val="21"/>
          <w:szCs w:val="21"/>
        </w:rPr>
        <w:t xml:space="preserve">乙方完成甲方采购的全部内容。</w:t>
      </w:r>
      <w:r/>
    </w:p>
    <w:p>
      <w:pPr>
        <w:pStyle w:val="952"/>
        <w:ind w:firstLine="420"/>
        <w:spacing w:line="360" w:lineRule="auto"/>
        <w:rPr>
          <w:sz w:val="21"/>
          <w:szCs w:val="21"/>
        </w:rPr>
      </w:pPr>
      <w:r>
        <w:rPr>
          <w:rFonts w:hint="eastAsia"/>
          <w:sz w:val="21"/>
          <w:szCs w:val="21"/>
        </w:rPr>
        <w:t xml:space="preserve">1、下列文件为本合同不可分割部分，其中的条款与要求为本合同执行的依据：</w:t>
      </w:r>
      <w:r>
        <w:rPr>
          <w:sz w:val="21"/>
          <w:szCs w:val="21"/>
        </w:rPr>
      </w:r>
      <w:r/>
    </w:p>
    <w:p>
      <w:pPr>
        <w:pStyle w:val="952"/>
        <w:ind w:firstLine="420"/>
        <w:spacing w:line="360" w:lineRule="auto"/>
        <w:rPr>
          <w:sz w:val="21"/>
          <w:szCs w:val="21"/>
        </w:rPr>
      </w:pPr>
      <w:r>
        <w:rPr>
          <w:rFonts w:hint="eastAsia"/>
          <w:sz w:val="21"/>
          <w:szCs w:val="21"/>
        </w:rPr>
        <w:t xml:space="preserve">（1）中标通知书；</w:t>
      </w:r>
      <w:r>
        <w:rPr>
          <w:sz w:val="21"/>
          <w:szCs w:val="21"/>
        </w:rPr>
      </w:r>
      <w:r/>
    </w:p>
    <w:p>
      <w:pPr>
        <w:pStyle w:val="952"/>
        <w:ind w:firstLine="420"/>
        <w:spacing w:line="360" w:lineRule="auto"/>
        <w:rPr>
          <w:sz w:val="21"/>
          <w:szCs w:val="21"/>
        </w:rPr>
      </w:pPr>
      <w:r>
        <w:rPr>
          <w:rFonts w:hint="eastAsia"/>
          <w:sz w:val="21"/>
          <w:szCs w:val="21"/>
        </w:rPr>
        <w:t xml:space="preserve">（2）乙方的投标文件；</w:t>
      </w:r>
      <w:r>
        <w:rPr>
          <w:sz w:val="21"/>
          <w:szCs w:val="21"/>
        </w:rPr>
      </w:r>
      <w:r/>
    </w:p>
    <w:p>
      <w:pPr>
        <w:pStyle w:val="952"/>
        <w:ind w:firstLine="420"/>
        <w:spacing w:line="360" w:lineRule="auto"/>
        <w:rPr>
          <w:sz w:val="21"/>
          <w:szCs w:val="21"/>
        </w:rPr>
      </w:pPr>
      <w:r>
        <w:rPr>
          <w:rFonts w:hint="eastAsia"/>
          <w:sz w:val="21"/>
          <w:szCs w:val="21"/>
        </w:rPr>
        <w:t xml:space="preserve">（3）乙方在招投标过程中所作的其它承诺、声明、书面澄清等；</w:t>
      </w:r>
      <w:r>
        <w:rPr>
          <w:sz w:val="21"/>
          <w:szCs w:val="21"/>
        </w:rPr>
      </w:r>
      <w:r/>
    </w:p>
    <w:p>
      <w:pPr>
        <w:pStyle w:val="952"/>
        <w:ind w:firstLine="420"/>
        <w:spacing w:line="360" w:lineRule="auto"/>
        <w:rPr>
          <w:sz w:val="21"/>
          <w:szCs w:val="21"/>
        </w:rPr>
      </w:pPr>
      <w:r>
        <w:rPr>
          <w:rFonts w:hint="eastAsia"/>
          <w:sz w:val="21"/>
          <w:szCs w:val="21"/>
        </w:rPr>
        <w:t xml:space="preserve">（4）招标文件及其附件；</w:t>
      </w:r>
      <w:r>
        <w:rPr>
          <w:sz w:val="21"/>
          <w:szCs w:val="21"/>
        </w:rPr>
      </w:r>
      <w:r/>
    </w:p>
    <w:p>
      <w:pPr>
        <w:pStyle w:val="952"/>
        <w:ind w:firstLine="420"/>
        <w:spacing w:line="360" w:lineRule="auto"/>
        <w:rPr>
          <w:sz w:val="21"/>
          <w:szCs w:val="21"/>
        </w:rPr>
      </w:pPr>
      <w:r>
        <w:rPr>
          <w:rFonts w:hint="eastAsia"/>
          <w:sz w:val="21"/>
          <w:szCs w:val="21"/>
        </w:rPr>
        <w:t xml:space="preserve">（5）合同附件。</w:t>
      </w:r>
      <w:r>
        <w:rPr>
          <w:sz w:val="21"/>
          <w:szCs w:val="21"/>
        </w:rPr>
      </w:r>
      <w:r/>
    </w:p>
    <w:p>
      <w:pPr>
        <w:pStyle w:val="952"/>
        <w:ind w:firstLine="420"/>
        <w:jc w:val="left"/>
        <w:spacing w:line="360" w:lineRule="auto"/>
        <w:rPr>
          <w:rFonts w:hint="eastAsia" w:cs="宋体"/>
          <w:sz w:val="21"/>
          <w:szCs w:val="21"/>
        </w:rPr>
      </w:pPr>
      <w:r>
        <w:rPr>
          <w:rFonts w:hint="eastAsia"/>
          <w:sz w:val="21"/>
          <w:szCs w:val="21"/>
        </w:rPr>
        <w:t xml:space="preserve">以上与本合同具有同等法律效力</w:t>
      </w:r>
      <w:r>
        <w:rPr>
          <w:rFonts w:hint="eastAsia" w:cs="宋体"/>
          <w:sz w:val="21"/>
          <w:szCs w:val="21"/>
        </w:rPr>
      </w:r>
      <w:r/>
    </w:p>
    <w:p>
      <w:pPr>
        <w:pStyle w:val="952"/>
        <w:ind w:firstLine="420"/>
        <w:spacing w:line="360" w:lineRule="auto"/>
        <w:rPr>
          <w:rFonts w:hint="eastAsia"/>
          <w:sz w:val="21"/>
          <w:szCs w:val="21"/>
        </w:rPr>
      </w:pPr>
      <w:r>
        <w:rPr>
          <w:rFonts w:hint="eastAsia"/>
          <w:sz w:val="21"/>
          <w:szCs w:val="21"/>
        </w:rPr>
        <w:t xml:space="preserve">2、服务范围：详见招标文件要求。</w:t>
      </w:r>
      <w:r/>
    </w:p>
    <w:p>
      <w:pPr>
        <w:pStyle w:val="952"/>
        <w:ind w:firstLine="420"/>
        <w:spacing w:line="360" w:lineRule="auto"/>
        <w:rPr>
          <w:sz w:val="21"/>
          <w:szCs w:val="21"/>
        </w:rPr>
      </w:pPr>
      <w:r>
        <w:rPr>
          <w:rFonts w:hint="eastAsia"/>
          <w:sz w:val="21"/>
          <w:szCs w:val="21"/>
        </w:rPr>
        <w:t xml:space="preserve">3、履行期限：</w:t>
      </w:r>
      <w:r>
        <w:rPr>
          <w:rFonts w:hint="eastAsia" w:cs="Courier New"/>
          <w:bCs/>
          <w:sz w:val="21"/>
          <w:szCs w:val="21"/>
        </w:rPr>
        <w:t xml:space="preserve">1年，从    年  月  日开始至    年  月</w:t>
      </w:r>
      <w:r>
        <w:rPr>
          <w:rFonts w:hint="eastAsia" w:cs="Courier New"/>
          <w:bCs/>
          <w:sz w:val="21"/>
          <w:szCs w:val="21"/>
        </w:rPr>
        <w:t xml:space="preserve">  日结束</w:t>
      </w:r>
      <w:r>
        <w:rPr>
          <w:rFonts w:hint="eastAsia"/>
          <w:sz w:val="21"/>
          <w:szCs w:val="21"/>
        </w:rPr>
        <w:t xml:space="preserve">。</w:t>
      </w:r>
      <w:r>
        <w:rPr>
          <w:sz w:val="21"/>
          <w:szCs w:val="21"/>
        </w:rPr>
      </w:r>
      <w:r/>
    </w:p>
    <w:p>
      <w:pPr>
        <w:pStyle w:val="952"/>
        <w:ind w:firstLine="420"/>
        <w:spacing w:line="360" w:lineRule="auto"/>
        <w:rPr>
          <w:rFonts w:cs="宋体"/>
          <w:bCs/>
          <w:sz w:val="21"/>
          <w:szCs w:val="21"/>
        </w:rPr>
      </w:pPr>
      <w:r>
        <w:rPr>
          <w:rFonts w:cs="宋体"/>
          <w:bCs/>
          <w:sz w:val="21"/>
          <w:szCs w:val="21"/>
        </w:rPr>
        <w:t xml:space="preserve">4</w:t>
      </w:r>
      <w:r>
        <w:rPr>
          <w:rFonts w:hint="eastAsia" w:cs="宋体"/>
          <w:bCs/>
          <w:sz w:val="21"/>
          <w:szCs w:val="21"/>
        </w:rPr>
        <w:t xml:space="preserve">、服务要求详见招标文件要求及投标文件中所做的承诺。</w:t>
      </w:r>
      <w:r>
        <w:rPr>
          <w:rFonts w:cs="宋体"/>
          <w:bCs/>
          <w:sz w:val="21"/>
          <w:szCs w:val="21"/>
        </w:rPr>
      </w:r>
      <w:r/>
    </w:p>
    <w:p>
      <w:pPr>
        <w:pStyle w:val="952"/>
        <w:ind w:firstLine="422"/>
        <w:spacing w:line="360" w:lineRule="auto"/>
        <w:rPr>
          <w:rFonts w:hint="eastAsia" w:cs="宋体"/>
          <w:sz w:val="21"/>
          <w:szCs w:val="21"/>
        </w:rPr>
      </w:pPr>
      <w:r>
        <w:rPr>
          <w:rFonts w:hint="eastAsia" w:cs="宋体"/>
          <w:b/>
          <w:sz w:val="21"/>
          <w:szCs w:val="21"/>
        </w:rPr>
        <w:t xml:space="preserve">二、合同总价款</w:t>
      </w:r>
      <w:r>
        <w:rPr>
          <w:rFonts w:hint="eastAsia" w:cs="宋体"/>
          <w:sz w:val="21"/>
          <w:szCs w:val="21"/>
        </w:rPr>
      </w:r>
      <w:r/>
    </w:p>
    <w:p>
      <w:pPr>
        <w:pStyle w:val="952"/>
        <w:ind w:firstLine="480"/>
        <w:jc w:val="left"/>
        <w:spacing w:line="360" w:lineRule="auto"/>
        <w:rPr>
          <w:rFonts w:hint="eastAsia" w:cs="宋体"/>
          <w:sz w:val="21"/>
          <w:szCs w:val="21"/>
        </w:rPr>
      </w:pPr>
      <w:r>
        <w:rPr>
          <w:rFonts w:hint="eastAsia" w:cs="宋体"/>
          <w:sz w:val="21"/>
          <w:szCs w:val="21"/>
        </w:rPr>
        <w:t xml:space="preserve">1、合同总金额为人民币</w:t>
      </w:r>
      <w:r>
        <w:rPr>
          <w:rFonts w:hint="eastAsia" w:cs="宋体"/>
          <w:sz w:val="21"/>
          <w:szCs w:val="21"/>
          <w:u w:val="single"/>
        </w:rPr>
        <w:t xml:space="preserve">               </w:t>
      </w:r>
      <w:r>
        <w:rPr>
          <w:rFonts w:hint="eastAsia" w:cs="宋体"/>
          <w:sz w:val="21"/>
          <w:szCs w:val="21"/>
        </w:rPr>
        <w:t xml:space="preserve">元整（大写）人民币，小写：（￥</w:t>
      </w:r>
      <w:r>
        <w:rPr>
          <w:rFonts w:hint="eastAsia" w:cs="宋体"/>
          <w:sz w:val="21"/>
          <w:szCs w:val="21"/>
          <w:u w:val="single"/>
        </w:rPr>
        <w:t xml:space="preserve">：           </w:t>
      </w:r>
      <w:r>
        <w:rPr>
          <w:rFonts w:hint="eastAsia" w:cs="宋体"/>
          <w:sz w:val="21"/>
          <w:szCs w:val="21"/>
        </w:rPr>
        <w:t xml:space="preserve">元）。</w:t>
      </w:r>
      <w:r/>
    </w:p>
    <w:p>
      <w:pPr>
        <w:pStyle w:val="952"/>
        <w:ind w:firstLine="480"/>
        <w:jc w:val="left"/>
        <w:spacing w:line="360" w:lineRule="auto"/>
        <w:rPr>
          <w:rFonts w:hint="eastAsia" w:cs="宋体"/>
          <w:sz w:val="21"/>
          <w:szCs w:val="21"/>
        </w:rPr>
      </w:pPr>
      <w:r>
        <w:rPr>
          <w:rFonts w:hint="eastAsia" w:cs="宋体"/>
          <w:sz w:val="21"/>
          <w:szCs w:val="21"/>
        </w:rPr>
        <w:t xml:space="preserve">以上价格应包括在承包期内完成服务内容所需要的一切费用，包括但不限于：</w:t>
      </w:r>
      <w:r>
        <w:rPr>
          <w:rFonts w:hint="eastAsia"/>
          <w:bCs/>
          <w:sz w:val="21"/>
          <w:szCs w:val="21"/>
        </w:rPr>
        <w:t xml:space="preserve">完成相应工作任务涉及的人工费、通讯费、交通费、资料费、调查费、报告编制费（含印刷费）、后续服务费、利润、税金、政策性文件规定及合同包含的所有风险、责任等完成本项目的各项应有费用</w:t>
      </w:r>
      <w:r>
        <w:rPr>
          <w:rFonts w:hint="eastAsia" w:cs="宋体"/>
          <w:sz w:val="21"/>
          <w:szCs w:val="21"/>
        </w:rPr>
        <w:t xml:space="preserve">。</w:t>
      </w:r>
      <w:r/>
    </w:p>
    <w:p>
      <w:pPr>
        <w:pStyle w:val="952"/>
        <w:ind w:firstLine="420"/>
        <w:spacing w:line="360" w:lineRule="auto"/>
        <w:rPr>
          <w:rFonts w:cs="Courier New"/>
          <w:bCs/>
          <w:sz w:val="21"/>
          <w:szCs w:val="21"/>
        </w:rPr>
      </w:pPr>
      <w:r>
        <w:rPr>
          <w:rFonts w:hint="eastAsia" w:cs="宋体"/>
          <w:sz w:val="21"/>
          <w:szCs w:val="21"/>
        </w:rPr>
        <w:t xml:space="preserve">2、</w:t>
      </w:r>
      <w:r>
        <w:rPr>
          <w:rFonts w:hint="eastAsia"/>
          <w:sz w:val="21"/>
          <w:szCs w:val="21"/>
        </w:rPr>
        <w:t xml:space="preserve">付款步骤：</w:t>
      </w:r>
      <w:r>
        <w:rPr>
          <w:rFonts w:hint="eastAsia"/>
          <w:sz w:val="21"/>
          <w:szCs w:val="21"/>
        </w:rPr>
        <w:t xml:space="preserve">合同盖章生效后，由甲方在十五个工作日内向乙方支付合同金额的20％作为预付款；待乙方完成全部内业和外业普查并提交成果后，由甲方在十五个工作日内向乙方支付合同金额的25％；乙方提交成果经甲方质检通过后，由甲方在十五个工作日内向乙方支付合同金额的20％；待项目验收合格后，由甲方在十五个工作日内向乙方一次性付清合同余款</w:t>
      </w:r>
      <w:r>
        <w:rPr>
          <w:rFonts w:hint="eastAsia"/>
          <w:sz w:val="21"/>
          <w:szCs w:val="21"/>
        </w:rPr>
        <w:t xml:space="preserve">。</w:t>
      </w:r>
      <w:r>
        <w:rPr>
          <w:rFonts w:cs="Courier New"/>
          <w:bCs/>
          <w:sz w:val="21"/>
          <w:szCs w:val="21"/>
        </w:rPr>
      </w:r>
      <w:r/>
    </w:p>
    <w:p>
      <w:pPr>
        <w:pStyle w:val="952"/>
        <w:ind w:firstLine="420"/>
        <w:spacing w:line="360" w:lineRule="auto"/>
        <w:rPr>
          <w:sz w:val="21"/>
          <w:szCs w:val="21"/>
        </w:rPr>
      </w:pPr>
      <w:r>
        <w:rPr>
          <w:rFonts w:hint="eastAsia"/>
          <w:sz w:val="21"/>
          <w:szCs w:val="21"/>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sz w:val="21"/>
          <w:szCs w:val="21"/>
        </w:rPr>
      </w:r>
      <w:r/>
    </w:p>
    <w:p>
      <w:pPr>
        <w:pStyle w:val="952"/>
        <w:ind w:firstLine="420"/>
        <w:spacing w:line="360" w:lineRule="auto"/>
        <w:rPr>
          <w:sz w:val="21"/>
          <w:szCs w:val="21"/>
        </w:rPr>
      </w:pPr>
      <w:r>
        <w:rPr>
          <w:rFonts w:hint="eastAsia"/>
          <w:sz w:val="21"/>
          <w:szCs w:val="21"/>
        </w:rPr>
        <w:t xml:space="preserve">4、账户信息</w:t>
      </w:r>
      <w:r>
        <w:rPr>
          <w:sz w:val="21"/>
          <w:szCs w:val="21"/>
        </w:rPr>
      </w:r>
      <w:r/>
    </w:p>
    <w:p>
      <w:pPr>
        <w:pStyle w:val="952"/>
        <w:ind w:firstLine="420"/>
        <w:spacing w:line="360" w:lineRule="auto"/>
        <w:rPr>
          <w:sz w:val="21"/>
          <w:szCs w:val="21"/>
        </w:rPr>
      </w:pPr>
      <w:r>
        <w:rPr>
          <w:rFonts w:hint="eastAsia"/>
          <w:sz w:val="21"/>
          <w:szCs w:val="21"/>
        </w:rPr>
        <w:t xml:space="preserve">乙方开户名称：</w:t>
      </w:r>
      <w:r>
        <w:rPr>
          <w:sz w:val="21"/>
          <w:szCs w:val="21"/>
        </w:rPr>
      </w:r>
      <w:r/>
    </w:p>
    <w:p>
      <w:pPr>
        <w:pStyle w:val="952"/>
        <w:ind w:firstLine="420"/>
        <w:spacing w:line="360" w:lineRule="auto"/>
        <w:rPr>
          <w:sz w:val="21"/>
          <w:szCs w:val="21"/>
        </w:rPr>
      </w:pPr>
      <w:r>
        <w:rPr>
          <w:rFonts w:hint="eastAsia"/>
          <w:sz w:val="21"/>
          <w:szCs w:val="21"/>
        </w:rPr>
        <w:t xml:space="preserve">开户银行：</w:t>
      </w:r>
      <w:r>
        <w:rPr>
          <w:sz w:val="21"/>
          <w:szCs w:val="21"/>
        </w:rPr>
      </w:r>
      <w:r/>
    </w:p>
    <w:p>
      <w:pPr>
        <w:pStyle w:val="952"/>
        <w:ind w:firstLine="420"/>
        <w:jc w:val="left"/>
        <w:spacing w:line="360" w:lineRule="auto"/>
        <w:tabs>
          <w:tab w:val="left" w:pos="0" w:leader="none"/>
        </w:tabs>
        <w:rPr>
          <w:rFonts w:hint="eastAsia" w:cs="宋体"/>
          <w:sz w:val="21"/>
          <w:szCs w:val="21"/>
        </w:rPr>
      </w:pPr>
      <w:r>
        <w:rPr>
          <w:rFonts w:hint="eastAsia"/>
          <w:sz w:val="21"/>
          <w:szCs w:val="21"/>
        </w:rPr>
        <w:t xml:space="preserve">银行账号：</w:t>
      </w:r>
      <w:r>
        <w:rPr>
          <w:rFonts w:hint="eastAsia" w:cs="宋体"/>
          <w:sz w:val="21"/>
          <w:szCs w:val="21"/>
        </w:rPr>
      </w:r>
      <w:r/>
    </w:p>
    <w:p>
      <w:pPr>
        <w:pStyle w:val="952"/>
        <w:ind w:firstLine="422"/>
        <w:spacing w:line="360" w:lineRule="auto"/>
        <w:rPr>
          <w:rFonts w:cs="宋体"/>
          <w:b/>
          <w:sz w:val="21"/>
          <w:szCs w:val="21"/>
        </w:rPr>
      </w:pPr>
      <w:r>
        <w:rPr>
          <w:rFonts w:hint="eastAsia" w:cs="宋体"/>
          <w:b/>
          <w:sz w:val="21"/>
          <w:szCs w:val="21"/>
        </w:rPr>
        <w:t xml:space="preserve">三、</w:t>
      </w:r>
      <w:r>
        <w:rPr>
          <w:rFonts w:hint="eastAsia"/>
          <w:b/>
          <w:sz w:val="21"/>
          <w:szCs w:val="21"/>
        </w:rPr>
        <w:t xml:space="preserve">甲、乙双方的责</w:t>
      </w:r>
      <w:r>
        <w:rPr>
          <w:rFonts w:hint="eastAsia"/>
          <w:b/>
          <w:sz w:val="21"/>
          <w:szCs w:val="21"/>
        </w:rPr>
        <w:t xml:space="preserve">任</w:t>
      </w:r>
      <w:r>
        <w:rPr>
          <w:rFonts w:cs="宋体"/>
          <w:b/>
          <w:sz w:val="21"/>
          <w:szCs w:val="21"/>
        </w:rPr>
      </w:r>
      <w:r/>
    </w:p>
    <w:p>
      <w:pPr>
        <w:pStyle w:val="952"/>
        <w:ind w:firstLine="420"/>
        <w:spacing w:line="360" w:lineRule="auto"/>
        <w:rPr>
          <w:sz w:val="21"/>
          <w:szCs w:val="21"/>
        </w:rPr>
      </w:pPr>
      <w:r>
        <w:rPr>
          <w:rFonts w:hint="eastAsia"/>
          <w:sz w:val="21"/>
          <w:szCs w:val="21"/>
        </w:rPr>
        <w:t xml:space="preserve">1、甲方责任：</w:t>
      </w:r>
      <w:r>
        <w:rPr>
          <w:sz w:val="21"/>
          <w:szCs w:val="21"/>
        </w:rPr>
      </w:r>
      <w:r/>
    </w:p>
    <w:p>
      <w:pPr>
        <w:pStyle w:val="952"/>
        <w:ind w:firstLine="420"/>
        <w:spacing w:line="360" w:lineRule="auto"/>
        <w:rPr>
          <w:sz w:val="21"/>
          <w:szCs w:val="21"/>
        </w:rPr>
      </w:pPr>
      <w:r>
        <w:rPr>
          <w:rFonts w:hint="eastAsia"/>
          <w:sz w:val="21"/>
          <w:szCs w:val="21"/>
        </w:rPr>
        <w:t xml:space="preserve">1.</w:t>
      </w:r>
      <w:r>
        <w:rPr>
          <w:sz w:val="21"/>
          <w:szCs w:val="21"/>
        </w:rPr>
        <w:t xml:space="preserve">1</w:t>
      </w:r>
      <w:r>
        <w:rPr>
          <w:rFonts w:hint="eastAsia"/>
          <w:sz w:val="21"/>
          <w:szCs w:val="21"/>
        </w:rPr>
        <w:t xml:space="preserve">依本合同约定按期支付合同款项；</w:t>
      </w:r>
      <w:r>
        <w:rPr>
          <w:sz w:val="21"/>
          <w:szCs w:val="21"/>
        </w:rPr>
      </w:r>
      <w:r/>
    </w:p>
    <w:p>
      <w:pPr>
        <w:pStyle w:val="952"/>
        <w:ind w:firstLine="420"/>
        <w:spacing w:line="360" w:lineRule="auto"/>
        <w:rPr>
          <w:sz w:val="21"/>
          <w:szCs w:val="21"/>
        </w:rPr>
      </w:pPr>
      <w:r>
        <w:rPr>
          <w:sz w:val="21"/>
          <w:szCs w:val="21"/>
        </w:rPr>
        <w:t xml:space="preserve">1.</w:t>
      </w:r>
      <w:r>
        <w:rPr>
          <w:rFonts w:hint="eastAsia"/>
          <w:sz w:val="21"/>
          <w:szCs w:val="21"/>
        </w:rPr>
        <w:t xml:space="preserve">2依本合同约定及时组织验收；</w:t>
      </w:r>
      <w:r>
        <w:rPr>
          <w:sz w:val="21"/>
          <w:szCs w:val="21"/>
        </w:rPr>
      </w:r>
      <w:r/>
    </w:p>
    <w:p>
      <w:pPr>
        <w:pStyle w:val="952"/>
        <w:ind w:firstLine="420"/>
        <w:spacing w:line="360" w:lineRule="auto"/>
        <w:rPr>
          <w:sz w:val="21"/>
          <w:szCs w:val="21"/>
        </w:rPr>
      </w:pPr>
      <w:r>
        <w:rPr>
          <w:sz w:val="21"/>
          <w:szCs w:val="21"/>
        </w:rPr>
        <w:t xml:space="preserve">1.</w:t>
      </w:r>
      <w:r>
        <w:rPr>
          <w:rFonts w:hint="eastAsia"/>
          <w:sz w:val="21"/>
          <w:szCs w:val="21"/>
        </w:rPr>
        <w:t xml:space="preserve">3协助乙方进行项目的相关协调工作及约定期限内提供相关资料以利于开展项目。</w:t>
      </w:r>
      <w:r>
        <w:rPr>
          <w:sz w:val="21"/>
          <w:szCs w:val="21"/>
        </w:rPr>
      </w:r>
      <w:r/>
    </w:p>
    <w:p>
      <w:pPr>
        <w:pStyle w:val="952"/>
        <w:ind w:firstLine="420"/>
        <w:spacing w:line="360" w:lineRule="auto"/>
        <w:rPr>
          <w:sz w:val="21"/>
          <w:szCs w:val="21"/>
        </w:rPr>
      </w:pPr>
      <w:r>
        <w:rPr>
          <w:rFonts w:hint="eastAsia"/>
          <w:sz w:val="21"/>
          <w:szCs w:val="21"/>
        </w:rPr>
        <w:t xml:space="preserve">2、乙方责任：</w:t>
      </w:r>
      <w:r>
        <w:rPr>
          <w:sz w:val="21"/>
          <w:szCs w:val="21"/>
        </w:rPr>
      </w:r>
      <w:r/>
    </w:p>
    <w:p>
      <w:pPr>
        <w:pStyle w:val="952"/>
        <w:ind w:firstLine="420"/>
        <w:spacing w:line="360" w:lineRule="auto"/>
        <w:rPr>
          <w:sz w:val="21"/>
          <w:szCs w:val="21"/>
        </w:rPr>
      </w:pPr>
      <w:r>
        <w:rPr>
          <w:rFonts w:hint="eastAsia"/>
          <w:sz w:val="21"/>
          <w:szCs w:val="21"/>
        </w:rPr>
        <w:t xml:space="preserve">乙方负责完成本次采购要求的全部服务工作，乙方应按采购文件以及合同约定的技术规范、标准进行实施，并保证按期、保质保量完成项目的实施工作，对提交的项目质量负责。</w:t>
      </w:r>
      <w:r>
        <w:rPr>
          <w:sz w:val="21"/>
          <w:szCs w:val="21"/>
        </w:rPr>
      </w:r>
      <w:r/>
    </w:p>
    <w:p>
      <w:pPr>
        <w:pStyle w:val="952"/>
        <w:ind w:firstLine="422"/>
        <w:spacing w:line="360" w:lineRule="auto"/>
        <w:rPr>
          <w:rFonts w:cs="宋体"/>
          <w:bCs/>
          <w:sz w:val="21"/>
          <w:szCs w:val="21"/>
        </w:rPr>
      </w:pPr>
      <w:r>
        <w:rPr>
          <w:rFonts w:hint="eastAsia" w:cs="宋体"/>
          <w:b/>
          <w:sz w:val="21"/>
          <w:szCs w:val="21"/>
        </w:rPr>
        <w:t xml:space="preserve">四、工作内容</w:t>
      </w:r>
      <w:r>
        <w:rPr>
          <w:rFonts w:cs="宋体"/>
          <w:bCs/>
          <w:sz w:val="21"/>
          <w:szCs w:val="21"/>
        </w:rPr>
      </w:r>
      <w:r/>
    </w:p>
    <w:p>
      <w:pPr>
        <w:pStyle w:val="952"/>
        <w:ind w:firstLine="420"/>
        <w:spacing w:line="360" w:lineRule="auto"/>
        <w:rPr>
          <w:sz w:val="21"/>
          <w:szCs w:val="21"/>
        </w:rPr>
      </w:pPr>
      <w:r>
        <w:rPr>
          <w:rFonts w:hint="eastAsia"/>
          <w:sz w:val="21"/>
          <w:szCs w:val="21"/>
        </w:rPr>
        <w:t xml:space="preserve">1、完善数据采集及建库规范</w:t>
      </w:r>
      <w:r>
        <w:rPr>
          <w:sz w:val="21"/>
          <w:szCs w:val="21"/>
        </w:rPr>
      </w:r>
      <w:r/>
    </w:p>
    <w:p>
      <w:pPr>
        <w:pStyle w:val="952"/>
        <w:ind w:firstLine="420"/>
        <w:spacing w:line="360" w:lineRule="auto"/>
        <w:rPr>
          <w:sz w:val="21"/>
          <w:szCs w:val="21"/>
        </w:rPr>
      </w:pPr>
      <w:r>
        <w:rPr>
          <w:rFonts w:hint="eastAsia"/>
          <w:sz w:val="21"/>
          <w:szCs w:val="21"/>
        </w:rPr>
        <w:t xml:space="preserve">参照国家生态园林城市建设标准以及绿化(林业)行业分类标准，结合太仓市城市绿化管理实际要求，完善太仓市城市绿化资源普查数据采集的技术标准、数据格式、采集内容、采集信息属性表结构、采集图形数据要求、质量检查以及数据建库规范等。</w:t>
      </w:r>
      <w:r>
        <w:rPr>
          <w:sz w:val="21"/>
          <w:szCs w:val="21"/>
        </w:rPr>
      </w:r>
      <w:r/>
    </w:p>
    <w:p>
      <w:pPr>
        <w:pStyle w:val="952"/>
        <w:ind w:firstLine="420"/>
        <w:spacing w:line="360" w:lineRule="auto"/>
        <w:rPr>
          <w:sz w:val="21"/>
          <w:szCs w:val="21"/>
        </w:rPr>
      </w:pPr>
      <w:r>
        <w:rPr>
          <w:rFonts w:hint="eastAsia"/>
          <w:sz w:val="21"/>
          <w:szCs w:val="21"/>
        </w:rPr>
        <w:t xml:space="preserve">2、绿化资源数据普查</w:t>
      </w:r>
      <w:r>
        <w:rPr>
          <w:sz w:val="21"/>
          <w:szCs w:val="21"/>
        </w:rPr>
      </w:r>
      <w:r/>
    </w:p>
    <w:p>
      <w:pPr>
        <w:pStyle w:val="952"/>
        <w:ind w:firstLine="420"/>
        <w:spacing w:line="360" w:lineRule="auto"/>
        <w:rPr>
          <w:rFonts w:hint="eastAsia" w:cs="宋体"/>
          <w:bCs/>
          <w:sz w:val="21"/>
          <w:szCs w:val="21"/>
        </w:rPr>
      </w:pPr>
      <w:r>
        <w:rPr>
          <w:rFonts w:hint="eastAsia"/>
          <w:sz w:val="21"/>
          <w:szCs w:val="21"/>
        </w:rPr>
        <w:t xml:space="preserve">基于本项目制定的数据采集标准规范，对</w:t>
      </w:r>
      <w:r>
        <w:rPr>
          <w:rFonts w:hint="eastAsia"/>
          <w:sz w:val="21"/>
          <w:szCs w:val="21"/>
        </w:rPr>
        <w:t xml:space="preserve">城</w:t>
      </w:r>
      <w:r>
        <w:rPr>
          <w:rFonts w:hint="eastAsia"/>
          <w:sz w:val="21"/>
          <w:szCs w:val="21"/>
        </w:rPr>
        <w:t xml:space="preserve">市公园绿地、道路绿地、居住区附属绿地、单位附属绿地、生产绿地以及主、次干道道路红线范围内的绿化资源进行数据普查。</w:t>
      </w:r>
      <w:r>
        <w:rPr>
          <w:rFonts w:hint="eastAsia" w:cs="宋体"/>
          <w:bCs/>
          <w:sz w:val="21"/>
          <w:szCs w:val="21"/>
        </w:rPr>
      </w:r>
      <w:r/>
    </w:p>
    <w:p>
      <w:pPr>
        <w:pStyle w:val="952"/>
        <w:ind w:firstLine="420"/>
        <w:spacing w:line="360" w:lineRule="auto"/>
        <w:rPr>
          <w:sz w:val="21"/>
          <w:szCs w:val="21"/>
        </w:rPr>
      </w:pPr>
      <w:r>
        <w:rPr>
          <w:rFonts w:hint="eastAsia"/>
          <w:sz w:val="21"/>
          <w:szCs w:val="21"/>
        </w:rPr>
        <w:t xml:space="preserve">3、建立城市绿化一张图数据库建设</w:t>
      </w:r>
      <w:r>
        <w:rPr>
          <w:sz w:val="21"/>
          <w:szCs w:val="21"/>
        </w:rPr>
      </w:r>
      <w:r/>
    </w:p>
    <w:p>
      <w:pPr>
        <w:pStyle w:val="952"/>
        <w:ind w:firstLine="420"/>
        <w:spacing w:line="360" w:lineRule="auto"/>
        <w:rPr>
          <w:rFonts w:cs="宋体"/>
          <w:b/>
          <w:bCs/>
          <w:sz w:val="21"/>
          <w:szCs w:val="21"/>
        </w:rPr>
      </w:pPr>
      <w:r>
        <w:rPr>
          <w:rFonts w:hint="eastAsia"/>
          <w:sz w:val="21"/>
          <w:szCs w:val="21"/>
        </w:rPr>
        <w:t xml:space="preserve">要求基于太仓市统一共享的基础地理数据，依托本项目制定的数据建库标准规范，对普查成果数据进行分类、编码、标准化处理以及入库存储，制作城市绿化专题图层，建设全市统一的城市绿化地理信息数据库，对接太仓市绿地规划信</w:t>
      </w:r>
      <w:r>
        <w:rPr>
          <w:rFonts w:hint="eastAsia"/>
          <w:sz w:val="21"/>
          <w:szCs w:val="21"/>
        </w:rPr>
        <w:t xml:space="preserve">息管理系统，在系统中实现在底图基础上进行绿化资源专题图等综合数据的叠加、显示、查询、定位，以及相关量测功能，形成绿化一张图。</w:t>
      </w:r>
      <w:r>
        <w:rPr>
          <w:rFonts w:cs="宋体"/>
          <w:b/>
          <w:bCs/>
          <w:sz w:val="21"/>
          <w:szCs w:val="21"/>
        </w:rPr>
      </w:r>
      <w:r/>
    </w:p>
    <w:p>
      <w:pPr>
        <w:pStyle w:val="952"/>
        <w:ind w:firstLine="420"/>
        <w:spacing w:line="360" w:lineRule="auto"/>
        <w:rPr>
          <w:sz w:val="21"/>
          <w:szCs w:val="21"/>
        </w:rPr>
      </w:pPr>
      <w:r>
        <w:rPr>
          <w:rFonts w:hint="eastAsia"/>
          <w:sz w:val="21"/>
          <w:szCs w:val="21"/>
        </w:rPr>
        <w:t xml:space="preserve">4、相关材料编制，配合做好国家生态园林城市复查工作</w:t>
      </w:r>
      <w:r>
        <w:rPr>
          <w:sz w:val="21"/>
          <w:szCs w:val="21"/>
        </w:rPr>
      </w:r>
      <w:r/>
    </w:p>
    <w:p>
      <w:pPr>
        <w:pStyle w:val="952"/>
        <w:ind w:firstLine="420"/>
        <w:spacing w:line="360" w:lineRule="auto"/>
        <w:rPr>
          <w:sz w:val="21"/>
          <w:szCs w:val="21"/>
        </w:rPr>
      </w:pPr>
      <w:r>
        <w:rPr>
          <w:rFonts w:hint="eastAsia"/>
          <w:sz w:val="21"/>
          <w:szCs w:val="21"/>
        </w:rPr>
        <w:t xml:space="preserve">4.1编写绿地现状分析报告，包括城市绿地率（%）、</w:t>
      </w:r>
      <w:r>
        <w:rPr>
          <w:rFonts w:hint="eastAsia"/>
          <w:sz w:val="21"/>
          <w:szCs w:val="21"/>
        </w:rPr>
        <w:t xml:space="preserve">城市绿化覆盖率</w:t>
      </w:r>
      <w:r>
        <w:rPr>
          <w:rFonts w:hint="eastAsia"/>
          <w:sz w:val="21"/>
          <w:szCs w:val="21"/>
        </w:rPr>
        <w:t xml:space="preserve">（%）、人均公园绿地面积（m2/人）、公园绿化活动场地服务半径覆盖率（%）、城市绿道服务半径覆盖率（%）、10万人拥有综合公园个数（个/10万人）、城市林荫路覆盖率（%）、城市道路绿化达标率、立体绿化实施率、园林式居住区（单位）达标率（%）、建成区蓝绿空间占比（%）、古树名木及后备资源保护率（%）等指标的测算及报告编写。</w:t>
      </w:r>
      <w:r>
        <w:rPr>
          <w:sz w:val="21"/>
          <w:szCs w:val="21"/>
        </w:rPr>
      </w:r>
      <w:r/>
    </w:p>
    <w:p>
      <w:pPr>
        <w:pStyle w:val="952"/>
        <w:ind w:firstLine="420"/>
        <w:spacing w:line="360" w:lineRule="auto"/>
        <w:rPr>
          <w:rFonts w:cs="宋体"/>
          <w:b/>
          <w:bCs/>
          <w:sz w:val="21"/>
          <w:szCs w:val="21"/>
        </w:rPr>
      </w:pPr>
      <w:r>
        <w:rPr>
          <w:rFonts w:hint="eastAsia"/>
          <w:sz w:val="21"/>
          <w:szCs w:val="21"/>
        </w:rPr>
        <w:t xml:space="preserve">4.2乙方须提供遥感调查与测评基础材料等。</w:t>
      </w:r>
      <w:r>
        <w:rPr>
          <w:rFonts w:cs="宋体"/>
          <w:b/>
          <w:bCs/>
          <w:sz w:val="21"/>
          <w:szCs w:val="21"/>
        </w:rPr>
      </w:r>
      <w:r/>
    </w:p>
    <w:p>
      <w:pPr>
        <w:pStyle w:val="952"/>
        <w:ind w:firstLine="422"/>
        <w:spacing w:line="360" w:lineRule="auto"/>
        <w:rPr>
          <w:b/>
          <w:bCs/>
          <w:sz w:val="21"/>
          <w:szCs w:val="21"/>
        </w:rPr>
      </w:pPr>
      <w:r>
        <w:rPr>
          <w:rFonts w:hint="eastAsia"/>
          <w:b/>
          <w:bCs/>
          <w:sz w:val="21"/>
          <w:szCs w:val="21"/>
        </w:rPr>
        <w:t xml:space="preserve">五、技术要求</w:t>
      </w:r>
      <w:r>
        <w:rPr>
          <w:b/>
          <w:bCs/>
          <w:sz w:val="21"/>
          <w:szCs w:val="21"/>
        </w:rPr>
      </w:r>
      <w:r/>
    </w:p>
    <w:p>
      <w:pPr>
        <w:pStyle w:val="952"/>
        <w:ind w:firstLine="420"/>
        <w:spacing w:line="360" w:lineRule="auto"/>
        <w:rPr>
          <w:sz w:val="21"/>
          <w:szCs w:val="21"/>
        </w:rPr>
      </w:pPr>
      <w:r>
        <w:rPr>
          <w:rFonts w:hint="eastAsia"/>
          <w:sz w:val="21"/>
          <w:szCs w:val="21"/>
        </w:rPr>
        <w:t xml:space="preserve">乙方严格按照如下绿化普查质检标准要求完成全部绿化普查范围：</w:t>
      </w:r>
      <w:r>
        <w:rPr>
          <w:sz w:val="21"/>
          <w:szCs w:val="21"/>
        </w:rPr>
      </w:r>
      <w:r/>
    </w:p>
    <w:p>
      <w:pPr>
        <w:pStyle w:val="952"/>
        <w:ind w:firstLine="420"/>
        <w:spacing w:line="360" w:lineRule="auto"/>
        <w:rPr>
          <w:sz w:val="21"/>
          <w:szCs w:val="21"/>
        </w:rPr>
      </w:pPr>
      <w:r>
        <w:rPr>
          <w:rFonts w:hint="eastAsia"/>
          <w:sz w:val="21"/>
          <w:szCs w:val="21"/>
        </w:rPr>
        <w:t xml:space="preserve">1、测量精度：</w:t>
      </w:r>
      <w:r>
        <w:rPr>
          <w:sz w:val="21"/>
          <w:szCs w:val="21"/>
        </w:rPr>
      </w:r>
      <w:r/>
    </w:p>
    <w:p>
      <w:pPr>
        <w:pStyle w:val="952"/>
        <w:ind w:firstLine="420"/>
        <w:spacing w:line="360" w:lineRule="auto"/>
        <w:rPr>
          <w:sz w:val="21"/>
          <w:szCs w:val="21"/>
        </w:rPr>
      </w:pPr>
      <w:r>
        <w:rPr>
          <w:rFonts w:hint="eastAsia"/>
          <w:sz w:val="21"/>
          <w:szCs w:val="21"/>
        </w:rPr>
        <w:t xml:space="preserve">1.1古树名木、行道树、乔木、孤植灌木、雕塑等数据点的测量精度要求平面位置测量中误差不得大于±1m，</w:t>
      </w:r>
      <w:r>
        <w:rPr>
          <w:sz w:val="21"/>
          <w:szCs w:val="21"/>
        </w:rPr>
      </w:r>
      <w:r/>
    </w:p>
    <w:p>
      <w:pPr>
        <w:pStyle w:val="952"/>
        <w:ind w:firstLine="420"/>
        <w:spacing w:line="360" w:lineRule="auto"/>
        <w:rPr>
          <w:sz w:val="21"/>
          <w:szCs w:val="21"/>
        </w:rPr>
      </w:pPr>
      <w:r>
        <w:rPr>
          <w:rFonts w:hint="eastAsia"/>
          <w:sz w:val="21"/>
          <w:szCs w:val="21"/>
        </w:rPr>
        <w:t xml:space="preserve">1.2花架花钵、喷泉等数据点的测量精度要求平面位置测量中误差不得大于±1m；</w:t>
      </w:r>
      <w:r>
        <w:rPr>
          <w:sz w:val="21"/>
          <w:szCs w:val="21"/>
        </w:rPr>
      </w:r>
      <w:r/>
    </w:p>
    <w:p>
      <w:pPr>
        <w:pStyle w:val="952"/>
        <w:ind w:firstLine="420"/>
        <w:spacing w:line="360" w:lineRule="auto"/>
        <w:rPr>
          <w:sz w:val="21"/>
          <w:szCs w:val="21"/>
        </w:rPr>
      </w:pPr>
      <w:r>
        <w:rPr>
          <w:rFonts w:hint="eastAsia"/>
          <w:sz w:val="21"/>
          <w:szCs w:val="21"/>
        </w:rPr>
        <w:t xml:space="preserve">1.3片植灌木、片林、有林地、地被、绿地、水系、湿地等数据面的测量精度要求平面位置测量中误差不得大于±1m。</w:t>
      </w:r>
      <w:r>
        <w:rPr>
          <w:sz w:val="21"/>
          <w:szCs w:val="21"/>
        </w:rPr>
      </w:r>
      <w:r/>
    </w:p>
    <w:p>
      <w:pPr>
        <w:pStyle w:val="952"/>
        <w:ind w:firstLine="420"/>
        <w:spacing w:line="360" w:lineRule="auto"/>
        <w:rPr>
          <w:sz w:val="21"/>
          <w:szCs w:val="21"/>
        </w:rPr>
      </w:pPr>
      <w:r>
        <w:rPr>
          <w:rFonts w:hint="eastAsia"/>
          <w:sz w:val="21"/>
          <w:szCs w:val="21"/>
        </w:rPr>
        <w:t xml:space="preserve">2、 普查遗漏允许指标：每平方公里</w:t>
      </w:r>
      <w:r>
        <w:rPr>
          <w:rFonts w:hint="eastAsia"/>
          <w:sz w:val="21"/>
          <w:szCs w:val="21"/>
        </w:rPr>
        <w:t xml:space="preserve">内遗漏个数不得超出总数的3%。</w:t>
      </w:r>
      <w:r>
        <w:rPr>
          <w:sz w:val="21"/>
          <w:szCs w:val="21"/>
        </w:rPr>
      </w:r>
      <w:r/>
    </w:p>
    <w:p>
      <w:pPr>
        <w:pStyle w:val="952"/>
        <w:ind w:firstLine="420"/>
        <w:spacing w:line="360" w:lineRule="auto"/>
        <w:rPr>
          <w:sz w:val="21"/>
          <w:szCs w:val="21"/>
        </w:rPr>
      </w:pPr>
      <w:r>
        <w:rPr>
          <w:rFonts w:hint="eastAsia"/>
          <w:sz w:val="21"/>
          <w:szCs w:val="21"/>
        </w:rPr>
        <w:t xml:space="preserve">3、普查属性错误允许指标：绿化数据属性中有一个属性项错误即认为该绿化数据的属性错误，每平方公里内属性错误个数不得超出绿化数据总数的3%。</w:t>
      </w:r>
      <w:r>
        <w:rPr>
          <w:sz w:val="21"/>
          <w:szCs w:val="21"/>
        </w:rPr>
      </w:r>
      <w:r/>
    </w:p>
    <w:p>
      <w:pPr>
        <w:pStyle w:val="952"/>
        <w:ind w:firstLine="420"/>
        <w:spacing w:line="360" w:lineRule="auto"/>
        <w:rPr>
          <w:sz w:val="21"/>
          <w:szCs w:val="21"/>
        </w:rPr>
      </w:pPr>
      <w:r>
        <w:rPr>
          <w:rFonts w:hint="eastAsia"/>
          <w:sz w:val="21"/>
          <w:szCs w:val="21"/>
        </w:rPr>
        <w:t xml:space="preserve">4、数据坐标系统要求：提供CGCS2000的数据成果</w:t>
      </w:r>
      <w:r>
        <w:rPr>
          <w:rFonts w:hint="eastAsia"/>
          <w:sz w:val="21"/>
          <w:szCs w:val="21"/>
        </w:rPr>
        <w:t xml:space="preserve">。</w:t>
      </w:r>
      <w:r>
        <w:rPr>
          <w:sz w:val="21"/>
          <w:szCs w:val="21"/>
        </w:rPr>
      </w:r>
      <w:r/>
    </w:p>
    <w:p>
      <w:pPr>
        <w:pStyle w:val="952"/>
        <w:ind w:firstLine="420"/>
        <w:spacing w:line="360" w:lineRule="auto"/>
        <w:rPr>
          <w:rFonts w:hint="eastAsia"/>
          <w:sz w:val="21"/>
          <w:szCs w:val="21"/>
        </w:rPr>
      </w:pPr>
      <w:r>
        <w:rPr>
          <w:rFonts w:hint="eastAsia"/>
          <w:sz w:val="21"/>
          <w:szCs w:val="21"/>
        </w:rPr>
        <w:t xml:space="preserve">5、乙方须配合太仓市绿地规划信息管理系统的软件开发，完成相关数据规范、接口的无缝衔接。</w:t>
      </w:r>
      <w:r/>
    </w:p>
    <w:p>
      <w:pPr>
        <w:pStyle w:val="952"/>
        <w:ind w:firstLine="422"/>
        <w:spacing w:line="360" w:lineRule="auto"/>
        <w:rPr>
          <w:rFonts w:hint="eastAsia" w:cs="宋体"/>
          <w:b/>
          <w:bCs/>
          <w:spacing w:val="14"/>
          <w:sz w:val="21"/>
          <w:szCs w:val="21"/>
        </w:rPr>
      </w:pPr>
      <w:r>
        <w:rPr>
          <w:rFonts w:hint="eastAsia" w:cs="宋体"/>
          <w:b/>
          <w:bCs/>
          <w:sz w:val="21"/>
          <w:szCs w:val="21"/>
        </w:rPr>
        <w:t xml:space="preserve">六、</w:t>
      </w:r>
      <w:r>
        <w:rPr>
          <w:rFonts w:cs="宋体"/>
          <w:b/>
          <w:bCs/>
          <w:spacing w:val="14"/>
          <w:sz w:val="21"/>
          <w:szCs w:val="21"/>
        </w:rPr>
        <w:t xml:space="preserve">保密要求</w:t>
      </w:r>
      <w:r>
        <w:rPr>
          <w:rFonts w:hint="eastAsia" w:cs="宋体"/>
          <w:b/>
          <w:bCs/>
          <w:spacing w:val="14"/>
          <w:sz w:val="21"/>
          <w:szCs w:val="21"/>
        </w:rPr>
      </w:r>
      <w:r/>
    </w:p>
    <w:p>
      <w:pPr>
        <w:pStyle w:val="952"/>
        <w:ind w:firstLine="476"/>
        <w:spacing w:line="360" w:lineRule="auto"/>
        <w:rPr>
          <w:rFonts w:cs="宋体"/>
          <w:spacing w:val="14"/>
          <w:sz w:val="21"/>
          <w:szCs w:val="21"/>
        </w:rPr>
      </w:pPr>
      <w:r>
        <w:rPr>
          <w:rFonts w:cs="宋体"/>
          <w:spacing w:val="14"/>
          <w:sz w:val="21"/>
          <w:szCs w:val="21"/>
        </w:rPr>
        <w:t xml:space="preserve">1</w:t>
      </w:r>
      <w:r>
        <w:rPr>
          <w:rFonts w:hint="eastAsia" w:cs="宋体"/>
          <w:spacing w:val="14"/>
          <w:sz w:val="21"/>
          <w:szCs w:val="21"/>
        </w:rPr>
        <w:t xml:space="preserve">、乙方</w:t>
      </w:r>
      <w:r>
        <w:rPr>
          <w:rFonts w:cs="宋体"/>
          <w:spacing w:val="14"/>
          <w:sz w:val="21"/>
          <w:szCs w:val="21"/>
        </w:rPr>
        <w:t xml:space="preserve">负责对</w:t>
      </w:r>
      <w:r>
        <w:rPr>
          <w:rFonts w:hint="eastAsia" w:cs="宋体"/>
          <w:spacing w:val="14"/>
          <w:sz w:val="21"/>
          <w:szCs w:val="21"/>
        </w:rPr>
        <w:t xml:space="preserve">甲方</w:t>
      </w:r>
      <w:r>
        <w:rPr>
          <w:rFonts w:cs="宋体"/>
          <w:spacing w:val="14"/>
          <w:sz w:val="21"/>
          <w:szCs w:val="21"/>
        </w:rPr>
        <w:t xml:space="preserve">所提供的全部资料及最终成果保密，</w:t>
      </w:r>
      <w:r>
        <w:rPr>
          <w:rFonts w:hint="eastAsia" w:cs="宋体"/>
          <w:spacing w:val="14"/>
          <w:sz w:val="21"/>
          <w:szCs w:val="21"/>
        </w:rPr>
        <w:t xml:space="preserve">乙方</w:t>
      </w:r>
      <w:r>
        <w:rPr>
          <w:rFonts w:cs="宋体"/>
          <w:sz w:val="21"/>
          <w:szCs w:val="21"/>
        </w:rPr>
        <w:t xml:space="preserve">（</w:t>
      </w:r>
      <w:r>
        <w:rPr>
          <w:rFonts w:cs="宋体"/>
          <w:spacing w:val="14"/>
          <w:sz w:val="21"/>
          <w:szCs w:val="21"/>
        </w:rPr>
        <w:t xml:space="preserve">包含工作人员</w:t>
      </w:r>
      <w:r>
        <w:rPr>
          <w:rFonts w:cs="宋体"/>
          <w:sz w:val="21"/>
          <w:szCs w:val="21"/>
        </w:rPr>
        <w:t xml:space="preserve">）</w:t>
      </w:r>
      <w:r>
        <w:rPr>
          <w:rFonts w:cs="宋体"/>
          <w:spacing w:val="14"/>
          <w:sz w:val="21"/>
          <w:szCs w:val="21"/>
        </w:rPr>
        <w:t xml:space="preserve">需遵守</w:t>
      </w:r>
      <w:r>
        <w:rPr>
          <w:rFonts w:hint="eastAsia" w:cs="宋体"/>
          <w:spacing w:val="14"/>
          <w:sz w:val="21"/>
          <w:szCs w:val="21"/>
        </w:rPr>
        <w:t xml:space="preserve">甲方</w:t>
      </w:r>
      <w:r>
        <w:rPr>
          <w:rFonts w:cs="宋体"/>
          <w:spacing w:val="14"/>
          <w:sz w:val="21"/>
          <w:szCs w:val="21"/>
        </w:rPr>
        <w:t xml:space="preserve">的保密规定，不以任何形式将收集的所有资料、数据等进行泄漏、传播；</w:t>
      </w:r>
      <w:r/>
    </w:p>
    <w:p>
      <w:pPr>
        <w:pStyle w:val="952"/>
        <w:ind w:firstLine="476"/>
        <w:spacing w:line="360" w:lineRule="auto"/>
        <w:rPr>
          <w:rFonts w:cs="宋体"/>
          <w:spacing w:val="14"/>
          <w:sz w:val="21"/>
          <w:szCs w:val="21"/>
        </w:rPr>
      </w:pPr>
      <w:r>
        <w:rPr>
          <w:rFonts w:cs="宋体"/>
          <w:spacing w:val="14"/>
          <w:sz w:val="21"/>
          <w:szCs w:val="21"/>
        </w:rPr>
        <w:t xml:space="preserve">2</w:t>
      </w:r>
      <w:r>
        <w:rPr>
          <w:rFonts w:hint="eastAsia" w:cs="宋体"/>
          <w:spacing w:val="14"/>
          <w:sz w:val="21"/>
          <w:szCs w:val="21"/>
        </w:rPr>
        <w:t xml:space="preserve">、</w:t>
      </w:r>
      <w:r>
        <w:rPr>
          <w:rFonts w:cs="宋体"/>
          <w:spacing w:val="14"/>
          <w:sz w:val="21"/>
          <w:szCs w:val="21"/>
        </w:rPr>
        <w:t xml:space="preserve">项目服务人员需签署相关保密协议，承担本项目所涉工作中接触相关内容的保密义务；</w:t>
      </w:r>
      <w:r/>
    </w:p>
    <w:p>
      <w:pPr>
        <w:pStyle w:val="952"/>
        <w:ind w:firstLine="476"/>
        <w:spacing w:line="360" w:lineRule="auto"/>
        <w:rPr>
          <w:rFonts w:cs="宋体"/>
          <w:spacing w:val="14"/>
          <w:sz w:val="21"/>
          <w:szCs w:val="21"/>
        </w:rPr>
      </w:pPr>
      <w:r>
        <w:rPr>
          <w:rFonts w:cs="宋体"/>
          <w:spacing w:val="14"/>
          <w:sz w:val="21"/>
          <w:szCs w:val="21"/>
        </w:rPr>
        <w:t xml:space="preserve">3</w:t>
      </w:r>
      <w:r>
        <w:rPr>
          <w:rFonts w:hint="eastAsia" w:cs="宋体"/>
          <w:spacing w:val="14"/>
          <w:sz w:val="21"/>
          <w:szCs w:val="21"/>
        </w:rPr>
        <w:t xml:space="preserve">、</w:t>
      </w:r>
      <w:r>
        <w:rPr>
          <w:rFonts w:cs="宋体"/>
          <w:spacing w:val="14"/>
          <w:sz w:val="21"/>
          <w:szCs w:val="21"/>
        </w:rPr>
        <w:t xml:space="preserve">项目成果最终所有权，含过程中产生的、数据、资料等成果均归属</w:t>
      </w:r>
      <w:r>
        <w:rPr>
          <w:rFonts w:hint="eastAsia" w:cs="宋体"/>
          <w:spacing w:val="14"/>
          <w:sz w:val="21"/>
          <w:szCs w:val="21"/>
        </w:rPr>
        <w:t xml:space="preserve">甲方</w:t>
      </w:r>
      <w:r>
        <w:rPr>
          <w:rFonts w:cs="宋体"/>
          <w:spacing w:val="14"/>
          <w:sz w:val="21"/>
          <w:szCs w:val="21"/>
        </w:rPr>
        <w:t xml:space="preserve">，在项目完成时</w:t>
      </w:r>
      <w:r>
        <w:rPr>
          <w:rFonts w:hint="eastAsia" w:cs="宋体"/>
          <w:spacing w:val="14"/>
          <w:sz w:val="21"/>
          <w:szCs w:val="21"/>
        </w:rPr>
        <w:t xml:space="preserve">乙方</w:t>
      </w:r>
      <w:r>
        <w:rPr>
          <w:rFonts w:cs="宋体"/>
          <w:spacing w:val="14"/>
          <w:sz w:val="21"/>
          <w:szCs w:val="21"/>
        </w:rPr>
        <w:t xml:space="preserve">必须全部移交；不得未经</w:t>
      </w:r>
      <w:r>
        <w:rPr>
          <w:rFonts w:hint="eastAsia" w:cs="宋体"/>
          <w:spacing w:val="14"/>
          <w:sz w:val="21"/>
          <w:szCs w:val="21"/>
        </w:rPr>
        <w:t xml:space="preserve">甲方</w:t>
      </w:r>
      <w:r>
        <w:rPr>
          <w:rFonts w:cs="宋体"/>
          <w:spacing w:val="14"/>
          <w:sz w:val="21"/>
          <w:szCs w:val="21"/>
        </w:rPr>
        <w:t xml:space="preserve">同意进行数据加密。</w:t>
      </w:r>
      <w:r/>
    </w:p>
    <w:p>
      <w:pPr>
        <w:pStyle w:val="952"/>
        <w:ind w:firstLine="476"/>
        <w:spacing w:line="360" w:lineRule="auto"/>
        <w:rPr>
          <w:rFonts w:cs="宋体"/>
          <w:spacing w:val="14"/>
          <w:sz w:val="21"/>
          <w:szCs w:val="21"/>
        </w:rPr>
      </w:pPr>
      <w:r>
        <w:rPr>
          <w:rFonts w:cs="宋体"/>
          <w:spacing w:val="14"/>
          <w:sz w:val="21"/>
          <w:szCs w:val="21"/>
        </w:rPr>
        <w:t xml:space="preserve">4</w:t>
      </w:r>
      <w:r>
        <w:rPr>
          <w:rFonts w:hint="eastAsia" w:cs="宋体"/>
          <w:spacing w:val="14"/>
          <w:sz w:val="21"/>
          <w:szCs w:val="21"/>
        </w:rPr>
        <w:t xml:space="preserve">、乙方</w:t>
      </w:r>
      <w:r>
        <w:rPr>
          <w:rFonts w:cs="宋体"/>
          <w:spacing w:val="14"/>
          <w:sz w:val="21"/>
          <w:szCs w:val="21"/>
        </w:rPr>
        <w:t xml:space="preserve">须维护项目服务成果，不得转让给第三方重复使用。</w:t>
      </w:r>
      <w:r/>
    </w:p>
    <w:p>
      <w:pPr>
        <w:pStyle w:val="952"/>
        <w:ind w:firstLine="476"/>
        <w:spacing w:line="360" w:lineRule="auto"/>
        <w:rPr>
          <w:rFonts w:cs="宋体"/>
          <w:spacing w:val="14"/>
          <w:sz w:val="21"/>
          <w:szCs w:val="21"/>
        </w:rPr>
      </w:pPr>
      <w:r>
        <w:rPr>
          <w:rFonts w:cs="宋体"/>
          <w:spacing w:val="14"/>
          <w:sz w:val="21"/>
          <w:szCs w:val="21"/>
        </w:rPr>
        <w:t xml:space="preserve">5</w:t>
      </w:r>
      <w:r>
        <w:rPr>
          <w:rFonts w:hint="eastAsia" w:cs="宋体"/>
          <w:spacing w:val="14"/>
          <w:sz w:val="21"/>
          <w:szCs w:val="21"/>
        </w:rPr>
        <w:t xml:space="preserve">、</w:t>
      </w:r>
      <w:r>
        <w:rPr>
          <w:rFonts w:cs="宋体"/>
          <w:spacing w:val="14"/>
          <w:sz w:val="21"/>
          <w:szCs w:val="21"/>
        </w:rPr>
        <w:t xml:space="preserve">以上保密规定如有违反，</w:t>
      </w:r>
      <w:r>
        <w:rPr>
          <w:rFonts w:hint="eastAsia" w:cs="宋体"/>
          <w:spacing w:val="14"/>
          <w:sz w:val="21"/>
          <w:szCs w:val="21"/>
        </w:rPr>
        <w:t xml:space="preserve">甲方</w:t>
      </w:r>
      <w:r>
        <w:rPr>
          <w:rFonts w:cs="宋体"/>
          <w:spacing w:val="14"/>
          <w:sz w:val="21"/>
          <w:szCs w:val="21"/>
        </w:rPr>
        <w:t xml:space="preserve">有权追究</w:t>
      </w:r>
      <w:r>
        <w:rPr>
          <w:rFonts w:hint="eastAsia" w:cs="宋体"/>
          <w:spacing w:val="14"/>
          <w:sz w:val="21"/>
          <w:szCs w:val="21"/>
        </w:rPr>
        <w:t xml:space="preserve">乙方</w:t>
      </w:r>
      <w:r>
        <w:rPr>
          <w:rFonts w:cs="宋体"/>
          <w:spacing w:val="14"/>
          <w:sz w:val="21"/>
          <w:szCs w:val="21"/>
        </w:rPr>
        <w:t xml:space="preserve">相关法律责任。</w:t>
      </w:r>
      <w:r/>
    </w:p>
    <w:p>
      <w:pPr>
        <w:pStyle w:val="952"/>
        <w:ind w:firstLine="422"/>
        <w:spacing w:line="360" w:lineRule="auto"/>
        <w:rPr>
          <w:rFonts w:hint="eastAsia" w:cs="宋体"/>
          <w:b/>
          <w:bCs/>
          <w:spacing w:val="14"/>
          <w:sz w:val="21"/>
          <w:szCs w:val="21"/>
        </w:rPr>
      </w:pPr>
      <w:r>
        <w:rPr>
          <w:rFonts w:hint="eastAsia" w:cs="宋体"/>
          <w:b/>
          <w:bCs/>
          <w:sz w:val="21"/>
          <w:szCs w:val="21"/>
        </w:rPr>
        <w:t xml:space="preserve">七、</w:t>
      </w:r>
      <w:r>
        <w:rPr>
          <w:rFonts w:cs="宋体"/>
          <w:b/>
          <w:bCs/>
          <w:spacing w:val="14"/>
          <w:sz w:val="21"/>
          <w:szCs w:val="21"/>
        </w:rPr>
        <w:t xml:space="preserve">知识产权</w:t>
      </w:r>
      <w:r>
        <w:rPr>
          <w:rFonts w:hint="eastAsia" w:cs="宋体"/>
          <w:b/>
          <w:bCs/>
          <w:spacing w:val="14"/>
          <w:sz w:val="21"/>
          <w:szCs w:val="21"/>
        </w:rPr>
      </w:r>
      <w:r/>
    </w:p>
    <w:p>
      <w:pPr>
        <w:pStyle w:val="952"/>
        <w:ind w:firstLine="476"/>
        <w:spacing w:line="360" w:lineRule="auto"/>
        <w:rPr>
          <w:rFonts w:cs="宋体"/>
          <w:b/>
          <w:sz w:val="21"/>
          <w:szCs w:val="21"/>
        </w:rPr>
      </w:pPr>
      <w:r>
        <w:rPr>
          <w:rFonts w:hint="eastAsia" w:cs="宋体"/>
          <w:spacing w:val="14"/>
          <w:sz w:val="21"/>
          <w:szCs w:val="21"/>
        </w:rPr>
        <w:t xml:space="preserve">乙方</w:t>
      </w:r>
      <w:r>
        <w:rPr>
          <w:rFonts w:cs="宋体"/>
          <w:spacing w:val="14"/>
          <w:sz w:val="21"/>
          <w:szCs w:val="21"/>
        </w:rPr>
        <w:t xml:space="preserve">应保证</w:t>
      </w:r>
      <w:r>
        <w:rPr>
          <w:rFonts w:hint="eastAsia" w:cs="宋体"/>
          <w:spacing w:val="14"/>
          <w:sz w:val="21"/>
          <w:szCs w:val="21"/>
        </w:rPr>
        <w:t xml:space="preserve">甲方</w:t>
      </w:r>
      <w:r>
        <w:rPr>
          <w:rFonts w:cs="宋体"/>
          <w:spacing w:val="14"/>
          <w:sz w:val="21"/>
          <w:szCs w:val="21"/>
        </w:rPr>
        <w:t xml:space="preserve">免除且</w:t>
      </w:r>
      <w:r>
        <w:rPr>
          <w:rFonts w:hint="eastAsia" w:cs="宋体"/>
          <w:spacing w:val="14"/>
          <w:sz w:val="21"/>
          <w:szCs w:val="21"/>
        </w:rPr>
        <w:t xml:space="preserve">乙方</w:t>
      </w:r>
      <w:r>
        <w:rPr>
          <w:rFonts w:cs="宋体"/>
          <w:spacing w:val="14"/>
          <w:sz w:val="21"/>
          <w:szCs w:val="21"/>
        </w:rPr>
        <w:t xml:space="preserve">承担由于</w:t>
      </w:r>
      <w:r>
        <w:rPr>
          <w:rFonts w:hint="eastAsia" w:cs="宋体"/>
          <w:spacing w:val="14"/>
          <w:sz w:val="21"/>
          <w:szCs w:val="21"/>
        </w:rPr>
        <w:t xml:space="preserve">甲方</w:t>
      </w:r>
      <w:r>
        <w:rPr>
          <w:rFonts w:cs="宋体"/>
          <w:spacing w:val="14"/>
          <w:sz w:val="21"/>
          <w:szCs w:val="21"/>
        </w:rPr>
        <w:t xml:space="preserve">在其本国使用该项目或项目任何一部分时而引起来自任意第三方提出的侵犯专利权、商标权或工业设计权等知识产权的起诉、行动、行政程序索赔、请求等以及</w:t>
      </w:r>
      <w:r>
        <w:rPr>
          <w:rFonts w:hint="eastAsia" w:cs="宋体"/>
          <w:spacing w:val="14"/>
          <w:sz w:val="21"/>
          <w:szCs w:val="21"/>
        </w:rPr>
        <w:t xml:space="preserve">甲方</w:t>
      </w:r>
      <w:r>
        <w:rPr>
          <w:rFonts w:cs="宋体"/>
          <w:spacing w:val="14"/>
          <w:sz w:val="21"/>
          <w:szCs w:val="21"/>
        </w:rPr>
        <w:t xml:space="preserve">为此而产生的损失和损害、费用和</w:t>
      </w:r>
      <w:r>
        <w:rPr>
          <w:rFonts w:cs="宋体"/>
          <w:spacing w:val="14"/>
          <w:sz w:val="21"/>
          <w:szCs w:val="21"/>
        </w:rPr>
        <w:t xml:space="preserve">支出</w:t>
      </w:r>
      <w:r>
        <w:rPr>
          <w:rFonts w:cs="宋体"/>
          <w:sz w:val="21"/>
          <w:szCs w:val="21"/>
        </w:rPr>
        <w:t xml:space="preserve">（</w:t>
      </w:r>
      <w:r>
        <w:rPr>
          <w:rFonts w:cs="宋体"/>
          <w:spacing w:val="14"/>
          <w:sz w:val="21"/>
          <w:szCs w:val="21"/>
        </w:rPr>
        <w:t xml:space="preserve">包括律师费</w:t>
      </w:r>
      <w:r>
        <w:rPr>
          <w:rFonts w:cs="宋体"/>
          <w:sz w:val="21"/>
          <w:szCs w:val="21"/>
        </w:rPr>
        <w:t xml:space="preserve">）</w:t>
      </w:r>
      <w:r>
        <w:rPr>
          <w:rFonts w:cs="宋体"/>
          <w:spacing w:val="14"/>
          <w:sz w:val="21"/>
          <w:szCs w:val="21"/>
        </w:rPr>
        <w:t xml:space="preserve">。</w:t>
      </w:r>
      <w:r>
        <w:rPr>
          <w:rFonts w:cs="宋体"/>
          <w:b/>
          <w:sz w:val="21"/>
          <w:szCs w:val="21"/>
        </w:rPr>
      </w:r>
      <w:r/>
    </w:p>
    <w:p>
      <w:pPr>
        <w:pStyle w:val="952"/>
        <w:ind w:firstLine="422"/>
        <w:spacing w:line="360" w:lineRule="auto"/>
        <w:rPr>
          <w:rFonts w:cs="宋体"/>
          <w:b/>
          <w:sz w:val="21"/>
          <w:szCs w:val="21"/>
        </w:rPr>
      </w:pPr>
      <w:r>
        <w:rPr>
          <w:rFonts w:hint="eastAsia" w:cs="宋体"/>
          <w:b/>
          <w:sz w:val="21"/>
          <w:szCs w:val="21"/>
        </w:rPr>
        <w:t xml:space="preserve">八、违约责任</w:t>
      </w:r>
      <w:r>
        <w:rPr>
          <w:rFonts w:cs="宋体"/>
          <w:b/>
          <w:sz w:val="21"/>
          <w:szCs w:val="21"/>
        </w:rPr>
      </w:r>
      <w:r/>
    </w:p>
    <w:p>
      <w:pPr>
        <w:pStyle w:val="952"/>
        <w:ind w:firstLine="420"/>
        <w:spacing w:line="360" w:lineRule="auto"/>
        <w:rPr>
          <w:sz w:val="21"/>
          <w:szCs w:val="21"/>
        </w:rPr>
      </w:pPr>
      <w:r>
        <w:rPr>
          <w:rFonts w:hint="eastAsia"/>
          <w:sz w:val="21"/>
          <w:szCs w:val="21"/>
        </w:rPr>
        <w:t xml:space="preserve">1、甲方违约责任：</w:t>
      </w:r>
      <w:r>
        <w:rPr>
          <w:sz w:val="21"/>
          <w:szCs w:val="21"/>
        </w:rPr>
      </w:r>
      <w:r/>
    </w:p>
    <w:p>
      <w:pPr>
        <w:pStyle w:val="952"/>
        <w:ind w:firstLine="420"/>
        <w:spacing w:line="360" w:lineRule="auto"/>
        <w:rPr>
          <w:sz w:val="21"/>
          <w:szCs w:val="21"/>
        </w:rPr>
      </w:pPr>
      <w:r>
        <w:rPr>
          <w:sz w:val="21"/>
          <w:szCs w:val="21"/>
        </w:rPr>
        <w:t xml:space="preserve">1.1在合同生效后，甲方</w:t>
      </w:r>
      <w:r>
        <w:rPr>
          <w:rFonts w:hint="eastAsia"/>
          <w:sz w:val="21"/>
          <w:szCs w:val="21"/>
        </w:rPr>
        <w:t xml:space="preserve">无故</w:t>
      </w:r>
      <w:r>
        <w:rPr>
          <w:sz w:val="21"/>
          <w:szCs w:val="21"/>
        </w:rPr>
        <w:t xml:space="preserve">要求解除合同的，应向乙方偿付合同总价款5%的违约金，违约金不足以补偿损失的，乙方有权要求甲方补足。</w:t>
      </w:r>
      <w:r/>
    </w:p>
    <w:p>
      <w:pPr>
        <w:pStyle w:val="952"/>
        <w:ind w:firstLine="420"/>
        <w:spacing w:line="360" w:lineRule="auto"/>
        <w:rPr>
          <w:sz w:val="21"/>
          <w:szCs w:val="21"/>
        </w:rPr>
      </w:pPr>
      <w:r>
        <w:rPr>
          <w:sz w:val="21"/>
          <w:szCs w:val="21"/>
        </w:rPr>
        <w:t xml:space="preserve">1.2甲方逾期付款的应按照逾期付款金额的每天万分之</w:t>
      </w:r>
      <w:r>
        <w:rPr>
          <w:rFonts w:hint="eastAsia"/>
          <w:sz w:val="21"/>
          <w:szCs w:val="21"/>
        </w:rPr>
        <w:t xml:space="preserve">三</w:t>
      </w:r>
      <w:r>
        <w:rPr>
          <w:sz w:val="21"/>
          <w:szCs w:val="21"/>
        </w:rPr>
        <w:t xml:space="preserve">支付逾期付款违约金</w:t>
      </w:r>
      <w:r>
        <w:rPr>
          <w:rFonts w:hint="eastAsia"/>
          <w:sz w:val="21"/>
          <w:szCs w:val="21"/>
        </w:rPr>
        <w:t xml:space="preserve">，总额不超总价款的5%</w:t>
      </w:r>
      <w:r>
        <w:rPr>
          <w:sz w:val="21"/>
          <w:szCs w:val="21"/>
        </w:rPr>
        <w:t xml:space="preserve">。</w:t>
      </w:r>
      <w:r/>
    </w:p>
    <w:p>
      <w:pPr>
        <w:pStyle w:val="952"/>
        <w:ind w:firstLine="420"/>
        <w:spacing w:line="360" w:lineRule="auto"/>
        <w:rPr>
          <w:sz w:val="21"/>
          <w:szCs w:val="21"/>
        </w:rPr>
      </w:pPr>
      <w:r>
        <w:rPr>
          <w:rFonts w:hint="eastAsia"/>
          <w:sz w:val="21"/>
          <w:szCs w:val="21"/>
        </w:rPr>
        <w:t xml:space="preserve">2、乙方的违约责任：</w:t>
      </w:r>
      <w:r>
        <w:rPr>
          <w:sz w:val="21"/>
          <w:szCs w:val="21"/>
        </w:rPr>
      </w:r>
      <w:r/>
    </w:p>
    <w:p>
      <w:pPr>
        <w:pStyle w:val="952"/>
        <w:ind w:firstLine="420"/>
        <w:spacing w:line="360" w:lineRule="auto"/>
        <w:rPr>
          <w:sz w:val="21"/>
          <w:szCs w:val="21"/>
        </w:rPr>
      </w:pPr>
      <w:r>
        <w:rPr>
          <w:rFonts w:hint="eastAsia"/>
          <w:sz w:val="21"/>
          <w:szCs w:val="21"/>
        </w:rPr>
        <w:t xml:space="preserve">2</w:t>
      </w:r>
      <w:r>
        <w:rPr>
          <w:sz w:val="21"/>
          <w:szCs w:val="21"/>
        </w:rPr>
        <w:t xml:space="preserve">.1 </w:t>
      </w:r>
      <w:r>
        <w:rPr>
          <w:rFonts w:hint="eastAsia"/>
          <w:sz w:val="21"/>
          <w:szCs w:val="21"/>
        </w:rPr>
        <w:t xml:space="preserve">在合同生效后，乙方无故要求解除合同的，应向甲方偿付合同总价款5%的违约金，违约金不足以补偿损失的，甲方有权要求乙方补足。</w:t>
      </w:r>
      <w:r>
        <w:rPr>
          <w:sz w:val="21"/>
          <w:szCs w:val="21"/>
        </w:rPr>
      </w:r>
      <w:r/>
    </w:p>
    <w:p>
      <w:pPr>
        <w:pStyle w:val="952"/>
        <w:ind w:firstLine="420"/>
        <w:spacing w:line="360" w:lineRule="auto"/>
        <w:rPr>
          <w:sz w:val="21"/>
          <w:szCs w:val="21"/>
        </w:rPr>
      </w:pPr>
      <w:r>
        <w:rPr>
          <w:rFonts w:hint="eastAsia"/>
          <w:sz w:val="21"/>
          <w:szCs w:val="21"/>
        </w:rPr>
        <w:t xml:space="preserve">2.</w:t>
      </w:r>
      <w:r>
        <w:rPr>
          <w:sz w:val="21"/>
          <w:szCs w:val="21"/>
        </w:rPr>
        <w:t xml:space="preserve">2</w:t>
      </w:r>
      <w:r>
        <w:rPr>
          <w:rFonts w:hint="eastAsia"/>
          <w:sz w:val="21"/>
          <w:szCs w:val="21"/>
        </w:rPr>
        <w:t xml:space="preserve">乙方未按合同规定的质量要求提供服务，不能完成合同时，甲方有权解除合同，乙方向甲方偿付合同总价款5%的违约金，违约金不足以补偿损失的甲方有权要求乙方补足。</w:t>
      </w:r>
      <w:r>
        <w:rPr>
          <w:sz w:val="21"/>
          <w:szCs w:val="21"/>
        </w:rPr>
      </w:r>
      <w:r/>
    </w:p>
    <w:p>
      <w:pPr>
        <w:pStyle w:val="952"/>
        <w:ind w:firstLine="420"/>
        <w:spacing w:line="360" w:lineRule="auto"/>
        <w:rPr>
          <w:sz w:val="21"/>
          <w:szCs w:val="21"/>
        </w:rPr>
      </w:pPr>
      <w:r>
        <w:rPr>
          <w:rFonts w:hint="eastAsia"/>
          <w:sz w:val="21"/>
          <w:szCs w:val="21"/>
        </w:rPr>
        <w:t xml:space="preserve">2.</w:t>
      </w:r>
      <w:r>
        <w:rPr>
          <w:sz w:val="21"/>
          <w:szCs w:val="21"/>
        </w:rPr>
        <w:t xml:space="preserve">3</w:t>
      </w:r>
      <w:r>
        <w:rPr>
          <w:rFonts w:hint="eastAsia"/>
          <w:sz w:val="21"/>
          <w:szCs w:val="21"/>
        </w:rPr>
        <w:t xml:space="preserve">乙方必须自己完成合同内容，不得自行分包，否则，甲方有权按乙方不能完成合同处理。</w:t>
      </w:r>
      <w:r>
        <w:rPr>
          <w:sz w:val="21"/>
          <w:szCs w:val="21"/>
        </w:rPr>
      </w:r>
      <w:r/>
    </w:p>
    <w:p>
      <w:pPr>
        <w:pStyle w:val="952"/>
        <w:ind w:firstLine="420"/>
        <w:spacing w:line="360" w:lineRule="auto"/>
        <w:rPr>
          <w:sz w:val="21"/>
          <w:szCs w:val="21"/>
        </w:rPr>
      </w:pPr>
      <w:r>
        <w:rPr>
          <w:rFonts w:hint="eastAsia"/>
          <w:sz w:val="21"/>
          <w:szCs w:val="21"/>
        </w:rPr>
        <w:t xml:space="preserve">2.</w:t>
      </w:r>
      <w:r>
        <w:rPr>
          <w:sz w:val="21"/>
          <w:szCs w:val="21"/>
        </w:rPr>
        <w:t xml:space="preserve">4</w:t>
      </w:r>
      <w:r>
        <w:rPr>
          <w:rFonts w:hint="eastAsia"/>
          <w:sz w:val="21"/>
          <w:szCs w:val="21"/>
        </w:rPr>
        <w:t xml:space="preserve">乙方应执行国家有关规定（如苏州最低工资标准和其他规定），负责乙方员工的生病、事故、伤残、死亡和劳务纠纷，甲方不承担任何相关责任。</w:t>
      </w:r>
      <w:r>
        <w:rPr>
          <w:sz w:val="21"/>
          <w:szCs w:val="21"/>
        </w:rPr>
      </w:r>
      <w:r/>
    </w:p>
    <w:p>
      <w:pPr>
        <w:pStyle w:val="952"/>
        <w:ind w:firstLine="420"/>
        <w:spacing w:line="360" w:lineRule="auto"/>
        <w:rPr>
          <w:sz w:val="21"/>
          <w:szCs w:val="21"/>
        </w:rPr>
      </w:pPr>
      <w:r>
        <w:rPr>
          <w:rFonts w:hint="eastAsia"/>
          <w:sz w:val="21"/>
          <w:szCs w:val="21"/>
        </w:rPr>
        <w:t xml:space="preserve">2.</w:t>
      </w:r>
      <w:r>
        <w:rPr>
          <w:sz w:val="21"/>
          <w:szCs w:val="21"/>
        </w:rPr>
        <w:t xml:space="preserve">5</w:t>
      </w:r>
      <w:r>
        <w:rPr>
          <w:rFonts w:hint="eastAsia"/>
          <w:sz w:val="21"/>
          <w:szCs w:val="21"/>
        </w:rPr>
        <w:t xml:space="preserve">乙方负有对自己员工的安全责任，甲方不承担任何相关责任。</w:t>
      </w:r>
      <w:r>
        <w:rPr>
          <w:sz w:val="21"/>
          <w:szCs w:val="21"/>
        </w:rPr>
      </w:r>
      <w:r/>
    </w:p>
    <w:p>
      <w:pPr>
        <w:pStyle w:val="952"/>
        <w:ind w:firstLine="422"/>
        <w:spacing w:line="360" w:lineRule="auto"/>
        <w:rPr>
          <w:rFonts w:cs="宋体"/>
          <w:b/>
          <w:sz w:val="21"/>
          <w:szCs w:val="21"/>
        </w:rPr>
      </w:pPr>
      <w:r>
        <w:rPr>
          <w:rFonts w:hint="eastAsia" w:cs="宋体"/>
          <w:b/>
          <w:sz w:val="21"/>
          <w:szCs w:val="21"/>
        </w:rPr>
        <w:t xml:space="preserve">九、不可抗力</w:t>
      </w:r>
      <w:r>
        <w:rPr>
          <w:rFonts w:cs="宋体"/>
          <w:b/>
          <w:sz w:val="21"/>
          <w:szCs w:val="21"/>
        </w:rPr>
      </w:r>
      <w:r/>
    </w:p>
    <w:p>
      <w:pPr>
        <w:pStyle w:val="952"/>
        <w:ind w:firstLine="420"/>
        <w:spacing w:line="360" w:lineRule="auto"/>
        <w:rPr>
          <w:sz w:val="21"/>
          <w:szCs w:val="21"/>
        </w:rPr>
      </w:pPr>
      <w:r>
        <w:rPr>
          <w:rFonts w:hint="eastAsia"/>
          <w:sz w:val="21"/>
          <w:szCs w:val="21"/>
        </w:rPr>
        <w:t xml:space="preserve">1、如果乙方和甲方因不可抗力而导致合同实施延误或不能履行合同义务，不应该承担误期赔偿或不能履行合同义务的责任。因乙方或甲方先延误或不能</w:t>
      </w:r>
      <w:r>
        <w:rPr>
          <w:rFonts w:hint="eastAsia"/>
          <w:sz w:val="21"/>
          <w:szCs w:val="21"/>
        </w:rPr>
        <w:t xml:space="preserve">履行合同而后遇不可抗力的情形除外。</w:t>
      </w:r>
      <w:r>
        <w:rPr>
          <w:sz w:val="21"/>
          <w:szCs w:val="21"/>
        </w:rPr>
      </w:r>
      <w:r/>
    </w:p>
    <w:p>
      <w:pPr>
        <w:pStyle w:val="952"/>
        <w:ind w:firstLine="420"/>
        <w:spacing w:line="360" w:lineRule="auto"/>
        <w:rPr>
          <w:sz w:val="21"/>
          <w:szCs w:val="21"/>
        </w:rPr>
      </w:pPr>
      <w:r>
        <w:rPr>
          <w:rFonts w:hint="eastAsia"/>
          <w:sz w:val="21"/>
          <w:szCs w:val="21"/>
        </w:rPr>
        <w:t xml:space="preserve">2、本条所述的“不可抗力”系指那些双方无法控制，不可预见的事件，但不包括双方的违约或疏忽。这些事件包括但不限于：战争、严重火灾、洪水、台风、地震以及其它双方商定的事件。</w:t>
      </w:r>
      <w:r>
        <w:rPr>
          <w:sz w:val="21"/>
          <w:szCs w:val="21"/>
        </w:rPr>
      </w:r>
      <w:r/>
    </w:p>
    <w:p>
      <w:pPr>
        <w:pStyle w:val="952"/>
        <w:ind w:firstLine="420"/>
        <w:spacing w:line="360" w:lineRule="auto"/>
        <w:rPr>
          <w:sz w:val="21"/>
          <w:szCs w:val="21"/>
        </w:rPr>
      </w:pPr>
      <w:r>
        <w:rPr>
          <w:rFonts w:hint="eastAsia"/>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sz w:val="21"/>
          <w:szCs w:val="21"/>
        </w:rPr>
      </w:r>
      <w:r/>
    </w:p>
    <w:p>
      <w:pPr>
        <w:pStyle w:val="952"/>
        <w:ind w:firstLine="422"/>
        <w:spacing w:line="360" w:lineRule="auto"/>
        <w:rPr>
          <w:rFonts w:cs="宋体"/>
          <w:b/>
          <w:sz w:val="21"/>
          <w:szCs w:val="21"/>
        </w:rPr>
      </w:pPr>
      <w:r>
        <w:rPr>
          <w:rFonts w:hint="eastAsia" w:cs="宋体"/>
          <w:b/>
          <w:sz w:val="21"/>
          <w:szCs w:val="21"/>
        </w:rPr>
        <w:t xml:space="preserve">十、合同的解除和转让</w:t>
      </w:r>
      <w:r>
        <w:rPr>
          <w:rFonts w:cs="宋体"/>
          <w:b/>
          <w:sz w:val="21"/>
          <w:szCs w:val="21"/>
        </w:rPr>
      </w:r>
      <w:r/>
    </w:p>
    <w:p>
      <w:pPr>
        <w:pStyle w:val="952"/>
        <w:ind w:firstLine="420"/>
        <w:spacing w:line="360" w:lineRule="auto"/>
        <w:rPr>
          <w:bCs/>
          <w:sz w:val="21"/>
          <w:szCs w:val="21"/>
        </w:rPr>
      </w:pPr>
      <w:r>
        <w:rPr>
          <w:rFonts w:hint="eastAsia"/>
          <w:bCs/>
          <w:sz w:val="21"/>
          <w:szCs w:val="21"/>
        </w:rPr>
        <w:t xml:space="preserve">1、甲方和乙方协商一致，可以解除合同。</w:t>
      </w:r>
      <w:r>
        <w:rPr>
          <w:bCs/>
          <w:sz w:val="21"/>
          <w:szCs w:val="21"/>
        </w:rPr>
      </w:r>
      <w:r/>
    </w:p>
    <w:p>
      <w:pPr>
        <w:pStyle w:val="952"/>
        <w:ind w:firstLine="420"/>
        <w:spacing w:line="360" w:lineRule="auto"/>
        <w:rPr>
          <w:bCs/>
          <w:sz w:val="21"/>
          <w:szCs w:val="21"/>
        </w:rPr>
      </w:pPr>
      <w:r>
        <w:rPr>
          <w:rFonts w:hint="eastAsia"/>
          <w:bCs/>
          <w:sz w:val="21"/>
          <w:szCs w:val="21"/>
        </w:rPr>
        <w:t xml:space="preserve">2、有下列情形之一，合同一方可以解除合同：</w:t>
      </w:r>
      <w:r>
        <w:rPr>
          <w:bCs/>
          <w:sz w:val="21"/>
          <w:szCs w:val="21"/>
        </w:rPr>
      </w:r>
      <w:r/>
    </w:p>
    <w:p>
      <w:pPr>
        <w:pStyle w:val="952"/>
        <w:ind w:firstLine="420"/>
        <w:spacing w:line="360" w:lineRule="auto"/>
        <w:rPr>
          <w:bCs/>
          <w:sz w:val="21"/>
          <w:szCs w:val="21"/>
        </w:rPr>
      </w:pPr>
      <w:r>
        <w:rPr>
          <w:rFonts w:hint="eastAsia"/>
          <w:bCs/>
          <w:sz w:val="21"/>
          <w:szCs w:val="21"/>
        </w:rPr>
        <w:t xml:space="preserve">（1）因不可抗力致使不能实现合同目的，未受不可抗力影响的一方有权解除合同。</w:t>
      </w:r>
      <w:r>
        <w:rPr>
          <w:bCs/>
          <w:sz w:val="21"/>
          <w:szCs w:val="21"/>
        </w:rPr>
      </w:r>
      <w:r/>
    </w:p>
    <w:p>
      <w:pPr>
        <w:pStyle w:val="952"/>
        <w:ind w:firstLine="420"/>
        <w:spacing w:line="360" w:lineRule="auto"/>
        <w:rPr>
          <w:bCs/>
          <w:sz w:val="21"/>
          <w:szCs w:val="21"/>
        </w:rPr>
      </w:pPr>
      <w:r>
        <w:rPr>
          <w:rFonts w:hint="eastAsia"/>
          <w:bCs/>
          <w:sz w:val="21"/>
          <w:szCs w:val="21"/>
        </w:rPr>
        <w:t xml:space="preserve">（2）因合同一方违约导致合同不能履行，另一方有权解除合同。</w:t>
      </w:r>
      <w:r>
        <w:rPr>
          <w:bCs/>
          <w:sz w:val="21"/>
          <w:szCs w:val="21"/>
        </w:rPr>
      </w:r>
      <w:r/>
    </w:p>
    <w:p>
      <w:pPr>
        <w:pStyle w:val="952"/>
        <w:ind w:firstLine="420"/>
        <w:spacing w:line="360" w:lineRule="auto"/>
        <w:rPr>
          <w:bCs/>
          <w:sz w:val="21"/>
          <w:szCs w:val="21"/>
        </w:rPr>
      </w:pPr>
      <w:r>
        <w:rPr>
          <w:rFonts w:hint="eastAsia"/>
          <w:bCs/>
          <w:sz w:val="21"/>
          <w:szCs w:val="21"/>
        </w:rPr>
        <w:t xml:space="preserve">（3）有权解除合同的一方，应当在违约事实或不可抗力发生之后三十天内书面通知对方以主张解除合同，合同在书面通知到达对方时解除。</w:t>
      </w:r>
      <w:r>
        <w:rPr>
          <w:bCs/>
          <w:sz w:val="21"/>
          <w:szCs w:val="21"/>
        </w:rPr>
      </w:r>
      <w:r/>
    </w:p>
    <w:p>
      <w:pPr>
        <w:pStyle w:val="952"/>
        <w:ind w:firstLine="420"/>
        <w:spacing w:line="360" w:lineRule="auto"/>
        <w:rPr>
          <w:bCs/>
          <w:sz w:val="21"/>
          <w:szCs w:val="21"/>
        </w:rPr>
      </w:pPr>
      <w:r>
        <w:rPr>
          <w:rFonts w:hint="eastAsia"/>
          <w:bCs/>
          <w:sz w:val="21"/>
          <w:szCs w:val="21"/>
        </w:rPr>
        <w:t xml:space="preserve">3、合同的部分和全部都不得转让。</w:t>
      </w:r>
      <w:r>
        <w:rPr>
          <w:bCs/>
          <w:sz w:val="21"/>
          <w:szCs w:val="21"/>
        </w:rPr>
      </w:r>
      <w:r/>
    </w:p>
    <w:p>
      <w:pPr>
        <w:pStyle w:val="952"/>
        <w:ind w:firstLine="422"/>
        <w:spacing w:line="360" w:lineRule="auto"/>
        <w:rPr>
          <w:rFonts w:cs="宋体"/>
          <w:b/>
          <w:sz w:val="21"/>
          <w:szCs w:val="21"/>
        </w:rPr>
      </w:pPr>
      <w:r>
        <w:rPr>
          <w:rFonts w:hint="eastAsia" w:cs="宋体"/>
          <w:b/>
          <w:sz w:val="21"/>
          <w:szCs w:val="21"/>
        </w:rPr>
        <w:t xml:space="preserve">十一、合同终止</w:t>
      </w:r>
      <w:r>
        <w:rPr>
          <w:rFonts w:cs="宋体"/>
          <w:b/>
          <w:sz w:val="21"/>
          <w:szCs w:val="21"/>
        </w:rPr>
      </w:r>
      <w:r/>
    </w:p>
    <w:p>
      <w:pPr>
        <w:pStyle w:val="952"/>
        <w:ind w:firstLine="420"/>
        <w:spacing w:line="360" w:lineRule="auto"/>
        <w:rPr>
          <w:rFonts w:cs="宋体"/>
          <w:bCs/>
          <w:sz w:val="21"/>
          <w:szCs w:val="21"/>
        </w:rPr>
      </w:pPr>
      <w:r>
        <w:rPr>
          <w:rFonts w:hint="eastAsia" w:cs="宋体"/>
          <w:bCs/>
          <w:sz w:val="21"/>
          <w:szCs w:val="21"/>
        </w:rPr>
        <w:t xml:space="preserve">（一）违约终止</w:t>
      </w:r>
      <w:r>
        <w:rPr>
          <w:rFonts w:cs="宋体"/>
          <w:bCs/>
          <w:sz w:val="21"/>
          <w:szCs w:val="21"/>
        </w:rPr>
      </w:r>
      <w:r/>
    </w:p>
    <w:p>
      <w:pPr>
        <w:pStyle w:val="952"/>
        <w:ind w:firstLine="420"/>
        <w:spacing w:line="360" w:lineRule="auto"/>
        <w:rPr>
          <w:rFonts w:cs="宋体"/>
          <w:bCs/>
          <w:sz w:val="21"/>
          <w:szCs w:val="21"/>
        </w:rPr>
      </w:pPr>
      <w:r>
        <w:rPr>
          <w:rFonts w:hint="eastAsia" w:cs="宋体"/>
          <w:bCs/>
          <w:sz w:val="21"/>
          <w:szCs w:val="21"/>
        </w:rPr>
        <w:t xml:space="preserve">1、在甲方因乙方违约而按合同约定采取的任何补救措施不受影响的情况下，甲方可在下列情况下向乙方发出书面通知，提出终止部分或全部合同。</w:t>
      </w:r>
      <w:r>
        <w:rPr>
          <w:rFonts w:cs="宋体"/>
          <w:bCs/>
          <w:sz w:val="21"/>
          <w:szCs w:val="21"/>
        </w:rPr>
      </w:r>
      <w:r/>
    </w:p>
    <w:p>
      <w:pPr>
        <w:pStyle w:val="952"/>
        <w:ind w:firstLine="420"/>
        <w:spacing w:line="360" w:lineRule="auto"/>
        <w:rPr>
          <w:rFonts w:cs="宋体"/>
          <w:bCs/>
          <w:sz w:val="21"/>
          <w:szCs w:val="21"/>
        </w:rPr>
      </w:pPr>
      <w:r>
        <w:rPr>
          <w:rFonts w:hint="eastAsia" w:cs="宋体"/>
          <w:bCs/>
          <w:sz w:val="21"/>
          <w:szCs w:val="21"/>
        </w:rPr>
        <w:t xml:space="preserve">1.1 如果乙方</w:t>
      </w:r>
      <w:r>
        <w:rPr>
          <w:rFonts w:hint="eastAsia" w:cs="宋体"/>
          <w:bCs/>
          <w:sz w:val="21"/>
          <w:szCs w:val="21"/>
        </w:rPr>
        <w:t xml:space="preserve">未能在合同规定的限期或甲方同意延长的限期内提供部分或全部服务。</w:t>
      </w:r>
      <w:r>
        <w:rPr>
          <w:rFonts w:cs="宋体"/>
          <w:bCs/>
          <w:sz w:val="21"/>
          <w:szCs w:val="21"/>
        </w:rPr>
      </w:r>
      <w:r/>
    </w:p>
    <w:p>
      <w:pPr>
        <w:pStyle w:val="952"/>
        <w:ind w:firstLine="420"/>
        <w:spacing w:line="360" w:lineRule="auto"/>
        <w:rPr>
          <w:rFonts w:cs="宋体"/>
          <w:bCs/>
          <w:sz w:val="21"/>
          <w:szCs w:val="21"/>
        </w:rPr>
      </w:pPr>
      <w:r>
        <w:rPr>
          <w:rFonts w:hint="eastAsia" w:cs="宋体"/>
          <w:bCs/>
          <w:sz w:val="21"/>
          <w:szCs w:val="21"/>
        </w:rPr>
        <w:t xml:space="preserve">1.2 如果乙方未能履行合同规定的其它任何义务。</w:t>
      </w:r>
      <w:r>
        <w:rPr>
          <w:rFonts w:cs="宋体"/>
          <w:bCs/>
          <w:sz w:val="21"/>
          <w:szCs w:val="21"/>
        </w:rPr>
      </w:r>
      <w:r/>
    </w:p>
    <w:p>
      <w:pPr>
        <w:pStyle w:val="952"/>
        <w:ind w:firstLine="420"/>
        <w:spacing w:line="360" w:lineRule="auto"/>
        <w:rPr>
          <w:rFonts w:cs="宋体"/>
          <w:bCs/>
          <w:sz w:val="21"/>
          <w:szCs w:val="21"/>
        </w:rPr>
      </w:pPr>
      <w:r>
        <w:rPr>
          <w:rFonts w:hint="eastAsia" w:cs="宋体"/>
          <w:bCs/>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cs="宋体"/>
          <w:bCs/>
          <w:sz w:val="21"/>
          <w:szCs w:val="21"/>
        </w:rPr>
      </w:r>
      <w:r/>
    </w:p>
    <w:p>
      <w:pPr>
        <w:pStyle w:val="952"/>
        <w:ind w:firstLine="420"/>
        <w:spacing w:line="360" w:lineRule="auto"/>
        <w:rPr>
          <w:rFonts w:hint="eastAsia" w:cs="宋体"/>
          <w:bCs/>
          <w:sz w:val="21"/>
          <w:szCs w:val="21"/>
        </w:rPr>
      </w:pPr>
      <w:r>
        <w:rPr>
          <w:rFonts w:hint="eastAsia" w:cs="宋体"/>
          <w:bCs/>
          <w:sz w:val="21"/>
          <w:szCs w:val="21"/>
        </w:rPr>
        <w:t xml:space="preserve">3、如果甲方违约，应承担相应的违约责任。</w:t>
      </w:r>
      <w:r/>
    </w:p>
    <w:p>
      <w:pPr>
        <w:pStyle w:val="952"/>
        <w:ind w:firstLine="420"/>
        <w:spacing w:line="360" w:lineRule="auto"/>
        <w:rPr>
          <w:rFonts w:cs="宋体"/>
          <w:bCs/>
          <w:sz w:val="21"/>
          <w:szCs w:val="21"/>
        </w:rPr>
      </w:pPr>
      <w:r>
        <w:rPr>
          <w:rFonts w:hint="eastAsia" w:cs="宋体"/>
          <w:bCs/>
          <w:sz w:val="21"/>
          <w:szCs w:val="21"/>
        </w:rPr>
        <w:t xml:space="preserve">（二）破产终止</w:t>
      </w:r>
      <w:r>
        <w:rPr>
          <w:rFonts w:cs="宋体"/>
          <w:bCs/>
          <w:sz w:val="21"/>
          <w:szCs w:val="21"/>
        </w:rPr>
      </w:r>
      <w:r/>
    </w:p>
    <w:p>
      <w:pPr>
        <w:pStyle w:val="952"/>
        <w:ind w:firstLine="420"/>
        <w:spacing w:line="360" w:lineRule="auto"/>
        <w:rPr>
          <w:rFonts w:hint="eastAsia" w:cs="宋体"/>
          <w:b/>
          <w:sz w:val="21"/>
          <w:szCs w:val="21"/>
        </w:rPr>
      </w:pPr>
      <w:r>
        <w:rPr>
          <w:rFonts w:hint="eastAsia" w:cs="宋体"/>
          <w:bCs/>
          <w:sz w:val="21"/>
          <w:szCs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cs="宋体"/>
          <w:b/>
          <w:sz w:val="21"/>
          <w:szCs w:val="21"/>
        </w:rPr>
      </w:r>
      <w:r/>
    </w:p>
    <w:p>
      <w:pPr>
        <w:pStyle w:val="952"/>
        <w:ind w:firstLine="420"/>
        <w:spacing w:line="360" w:lineRule="auto"/>
        <w:rPr>
          <w:rFonts w:cs="宋体"/>
          <w:bCs/>
          <w:sz w:val="21"/>
          <w:szCs w:val="21"/>
        </w:rPr>
      </w:pPr>
      <w:r>
        <w:rPr>
          <w:rFonts w:hint="eastAsia" w:cs="宋体"/>
          <w:bCs/>
          <w:sz w:val="21"/>
          <w:szCs w:val="21"/>
        </w:rPr>
        <w:t xml:space="preserve">（三）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cs="宋体"/>
          <w:bCs/>
          <w:sz w:val="21"/>
          <w:szCs w:val="21"/>
        </w:rPr>
      </w:r>
      <w:r/>
    </w:p>
    <w:p>
      <w:pPr>
        <w:pStyle w:val="952"/>
        <w:ind w:firstLine="422"/>
        <w:spacing w:line="360" w:lineRule="auto"/>
        <w:rPr>
          <w:rFonts w:cs="宋体"/>
          <w:b/>
          <w:sz w:val="21"/>
          <w:szCs w:val="21"/>
        </w:rPr>
      </w:pPr>
      <w:r>
        <w:rPr>
          <w:rFonts w:hint="eastAsia" w:cs="宋体"/>
          <w:b/>
          <w:sz w:val="21"/>
          <w:szCs w:val="21"/>
        </w:rPr>
        <w:t xml:space="preserve">十二、争议的解决</w:t>
      </w:r>
      <w:r>
        <w:rPr>
          <w:rFonts w:cs="宋体"/>
          <w:b/>
          <w:sz w:val="21"/>
          <w:szCs w:val="21"/>
        </w:rPr>
      </w:r>
      <w:r/>
    </w:p>
    <w:p>
      <w:pPr>
        <w:pStyle w:val="952"/>
        <w:ind w:firstLine="420"/>
        <w:spacing w:line="360" w:lineRule="auto"/>
        <w:rPr>
          <w:sz w:val="21"/>
          <w:szCs w:val="21"/>
        </w:rPr>
      </w:pPr>
      <w:r>
        <w:rPr>
          <w:rFonts w:hint="eastAsia"/>
          <w:sz w:val="21"/>
          <w:szCs w:val="21"/>
        </w:rPr>
        <w:t xml:space="preserve">1、甲方和乙方应通过友好协商，解决在执行本合同过程中所发生的或与本合同有关的一切争端。如从协商开始十天内仍不能解决，可向有关合同管理部门提请调解。</w:t>
      </w:r>
      <w:r>
        <w:rPr>
          <w:sz w:val="21"/>
          <w:szCs w:val="21"/>
        </w:rPr>
      </w:r>
      <w:r/>
    </w:p>
    <w:p>
      <w:pPr>
        <w:pStyle w:val="952"/>
        <w:ind w:firstLine="420"/>
        <w:spacing w:line="360" w:lineRule="auto"/>
        <w:rPr>
          <w:sz w:val="21"/>
          <w:szCs w:val="21"/>
        </w:rPr>
      </w:pPr>
      <w:r>
        <w:rPr>
          <w:rFonts w:hint="eastAsia"/>
          <w:sz w:val="21"/>
          <w:szCs w:val="21"/>
        </w:rPr>
        <w:t xml:space="preserve">2、如果调解不成，双方中的任何一方可向人民法院提起诉讼。诉讼由合同签订地人民法院管辖。</w:t>
      </w:r>
      <w:r>
        <w:rPr>
          <w:sz w:val="21"/>
          <w:szCs w:val="21"/>
        </w:rPr>
      </w:r>
      <w:r/>
    </w:p>
    <w:p>
      <w:pPr>
        <w:pStyle w:val="952"/>
        <w:ind w:firstLine="420"/>
        <w:spacing w:line="360" w:lineRule="auto"/>
        <w:rPr>
          <w:sz w:val="21"/>
          <w:szCs w:val="21"/>
        </w:rPr>
      </w:pPr>
      <w:r>
        <w:rPr>
          <w:rFonts w:hint="eastAsia"/>
          <w:sz w:val="21"/>
          <w:szCs w:val="21"/>
        </w:rPr>
        <w:t xml:space="preserve">3、诉讼费由败</w:t>
      </w:r>
      <w:r>
        <w:rPr>
          <w:rFonts w:hint="eastAsia"/>
          <w:sz w:val="21"/>
          <w:szCs w:val="21"/>
        </w:rPr>
        <w:t xml:space="preserve">诉方负担。</w:t>
      </w:r>
      <w:r>
        <w:rPr>
          <w:sz w:val="21"/>
          <w:szCs w:val="21"/>
        </w:rPr>
      </w:r>
      <w:r/>
    </w:p>
    <w:p>
      <w:pPr>
        <w:pStyle w:val="952"/>
        <w:ind w:firstLine="420"/>
        <w:spacing w:line="360" w:lineRule="auto"/>
        <w:rPr>
          <w:bCs/>
          <w:sz w:val="21"/>
          <w:szCs w:val="21"/>
        </w:rPr>
      </w:pPr>
      <w:r>
        <w:rPr>
          <w:rFonts w:hint="eastAsia"/>
          <w:sz w:val="21"/>
          <w:szCs w:val="21"/>
        </w:rPr>
        <w:t xml:space="preserve">4、因合同部分履行引发诉讼的，在诉讼期间，除正在进行诉讼的部分外，本合同的其它部分应继续执行。</w:t>
      </w:r>
      <w:r>
        <w:rPr>
          <w:bCs/>
          <w:sz w:val="21"/>
          <w:szCs w:val="21"/>
        </w:rPr>
      </w:r>
      <w:r/>
    </w:p>
    <w:p>
      <w:pPr>
        <w:pStyle w:val="952"/>
        <w:ind w:firstLine="422"/>
        <w:spacing w:line="360" w:lineRule="auto"/>
        <w:rPr>
          <w:rFonts w:cs="宋体"/>
          <w:b/>
          <w:sz w:val="21"/>
          <w:szCs w:val="21"/>
        </w:rPr>
      </w:pPr>
      <w:r>
        <w:rPr>
          <w:rFonts w:hint="eastAsia" w:cs="宋体"/>
          <w:b/>
          <w:sz w:val="21"/>
          <w:szCs w:val="21"/>
        </w:rPr>
        <w:t xml:space="preserve">十二、合同生效</w:t>
      </w:r>
      <w:r>
        <w:rPr>
          <w:rFonts w:cs="宋体"/>
          <w:b/>
          <w:sz w:val="21"/>
          <w:szCs w:val="21"/>
        </w:rPr>
      </w:r>
      <w:r/>
    </w:p>
    <w:p>
      <w:pPr>
        <w:pStyle w:val="952"/>
        <w:ind w:firstLine="420"/>
        <w:spacing w:line="360" w:lineRule="auto"/>
        <w:rPr>
          <w:bCs/>
          <w:sz w:val="21"/>
          <w:szCs w:val="21"/>
        </w:rPr>
      </w:pPr>
      <w:r>
        <w:rPr>
          <w:rFonts w:hint="eastAsia"/>
          <w:bCs/>
          <w:sz w:val="21"/>
          <w:szCs w:val="21"/>
        </w:rPr>
        <w:t xml:space="preserve">1、本合同经双方法定（授权）代表人签字（或盖章）并盖单位公章后生效，经采购代理机构备案。</w:t>
      </w:r>
      <w:r>
        <w:rPr>
          <w:bCs/>
          <w:sz w:val="21"/>
          <w:szCs w:val="21"/>
        </w:rPr>
      </w:r>
      <w:r/>
    </w:p>
    <w:p>
      <w:pPr>
        <w:pStyle w:val="952"/>
        <w:ind w:firstLine="420"/>
        <w:spacing w:line="360" w:lineRule="auto"/>
        <w:rPr>
          <w:bCs/>
          <w:sz w:val="21"/>
          <w:szCs w:val="21"/>
        </w:rPr>
      </w:pPr>
      <w:r>
        <w:rPr>
          <w:rFonts w:hint="eastAsia"/>
          <w:bCs/>
          <w:sz w:val="21"/>
          <w:szCs w:val="21"/>
        </w:rPr>
        <w:t xml:space="preserve">2、合同份数：本合同一式伍份，甲方贰份、乙方贰份，采购代理机构壹份。</w:t>
      </w:r>
      <w:r>
        <w:rPr>
          <w:bCs/>
          <w:sz w:val="21"/>
          <w:szCs w:val="21"/>
        </w:rPr>
      </w:r>
      <w:r/>
    </w:p>
    <w:p>
      <w:pPr>
        <w:pStyle w:val="952"/>
        <w:ind w:firstLine="420"/>
        <w:spacing w:line="360" w:lineRule="auto"/>
        <w:rPr>
          <w:rFonts w:hint="eastAsia" w:cs="宋体"/>
          <w:sz w:val="21"/>
          <w:szCs w:val="21"/>
        </w:rPr>
      </w:pPr>
      <w:r>
        <w:rPr>
          <w:rFonts w:hint="eastAsia" w:cs="宋体"/>
          <w:sz w:val="21"/>
          <w:szCs w:val="21"/>
        </w:rPr>
      </w:r>
      <w:r/>
    </w:p>
    <w:p>
      <w:pPr>
        <w:pStyle w:val="952"/>
        <w:ind w:firstLine="540"/>
        <w:spacing w:line="400" w:lineRule="exact"/>
        <w:rPr>
          <w:rFonts w:hint="eastAsia" w:cs="仿宋_GB2312"/>
          <w:sz w:val="21"/>
          <w:szCs w:val="21"/>
        </w:rPr>
      </w:pPr>
      <w:r>
        <w:rPr>
          <w:rFonts w:hint="eastAsia" w:cs="仿宋_GB2312"/>
          <w:sz w:val="21"/>
          <w:szCs w:val="21"/>
        </w:rPr>
      </w:r>
      <w:r/>
    </w:p>
    <w:p>
      <w:pPr>
        <w:pStyle w:val="952"/>
        <w:ind w:firstLine="420"/>
        <w:spacing w:line="360" w:lineRule="auto"/>
        <w:rPr>
          <w:rFonts w:cs="仿宋_GB2312"/>
          <w:sz w:val="21"/>
          <w:szCs w:val="21"/>
        </w:rPr>
      </w:pPr>
      <w:r>
        <w:rPr>
          <w:rFonts w:cs="仿宋_GB2312"/>
          <w:sz w:val="21"/>
          <w:szCs w:val="21"/>
        </w:rPr>
      </w:r>
      <w:r/>
    </w:p>
    <w:p>
      <w:pPr>
        <w:pStyle w:val="952"/>
        <w:ind w:firstLine="210"/>
        <w:spacing w:line="360" w:lineRule="auto"/>
        <w:rPr>
          <w:rFonts w:hint="eastAsia" w:cs="仿宋_GB2312"/>
          <w:sz w:val="21"/>
          <w:szCs w:val="21"/>
        </w:rPr>
      </w:pPr>
      <w:r>
        <w:rPr>
          <w:rFonts w:hint="eastAsia" w:cs="仿宋_GB2312"/>
          <w:sz w:val="21"/>
          <w:szCs w:val="21"/>
        </w:rPr>
        <w:t xml:space="preserve">甲方（盖章）： </w:t>
      </w:r>
      <w:r>
        <w:rPr>
          <w:rFonts w:cs="仿宋_GB2312"/>
          <w:sz w:val="21"/>
          <w:szCs w:val="21"/>
        </w:rPr>
        <w:t xml:space="preserve">                                    </w:t>
      </w:r>
      <w:r>
        <w:rPr>
          <w:rFonts w:hint="eastAsia" w:cs="仿宋_GB2312"/>
          <w:sz w:val="21"/>
          <w:szCs w:val="21"/>
        </w:rPr>
        <w:t xml:space="preserve">乙方（盖章）：</w:t>
      </w:r>
      <w:r/>
    </w:p>
    <w:p>
      <w:pPr>
        <w:pStyle w:val="952"/>
        <w:ind w:firstLine="210"/>
        <w:spacing w:line="360" w:lineRule="auto"/>
        <w:rPr>
          <w:rFonts w:hint="eastAsia" w:cs="仿宋_GB2312"/>
          <w:sz w:val="21"/>
          <w:szCs w:val="21"/>
        </w:rPr>
      </w:pPr>
      <w:r>
        <w:rPr>
          <w:rFonts w:hint="eastAsia" w:cs="仿宋_GB2312"/>
          <w:sz w:val="21"/>
          <w:szCs w:val="21"/>
        </w:rPr>
        <w:t xml:space="preserve">法定（授权）代表人（签字）： </w:t>
      </w:r>
      <w:r>
        <w:rPr>
          <w:rFonts w:cs="仿宋_GB2312"/>
          <w:sz w:val="21"/>
          <w:szCs w:val="21"/>
        </w:rPr>
        <w:t xml:space="preserve">                      </w:t>
      </w:r>
      <w:r>
        <w:rPr>
          <w:rFonts w:hint="eastAsia" w:cs="仿宋_GB2312"/>
          <w:sz w:val="21"/>
          <w:szCs w:val="21"/>
        </w:rPr>
        <w:t xml:space="preserve">法定（授权）代表人（签字）：</w:t>
      </w:r>
      <w:r/>
    </w:p>
    <w:p>
      <w:pPr>
        <w:pStyle w:val="952"/>
        <w:ind w:firstLine="210"/>
        <w:spacing w:line="360" w:lineRule="auto"/>
        <w:rPr>
          <w:rFonts w:hint="eastAsia" w:cs="仿宋_GB2312"/>
          <w:sz w:val="21"/>
          <w:szCs w:val="21"/>
        </w:rPr>
      </w:pPr>
      <w:r>
        <w:rPr>
          <w:rFonts w:hint="eastAsia" w:cs="仿宋_GB2312"/>
          <w:sz w:val="21"/>
          <w:szCs w:val="21"/>
        </w:rPr>
        <w:t xml:space="preserve">电话： </w:t>
      </w:r>
      <w:r>
        <w:rPr>
          <w:rFonts w:cs="仿宋_GB2312"/>
          <w:sz w:val="21"/>
          <w:szCs w:val="21"/>
        </w:rPr>
        <w:t xml:space="preserve">                                            </w:t>
      </w:r>
      <w:r>
        <w:rPr>
          <w:rFonts w:hint="eastAsia" w:cs="仿宋_GB2312"/>
          <w:sz w:val="21"/>
          <w:szCs w:val="21"/>
        </w:rPr>
        <w:t xml:space="preserve">电话：</w:t>
      </w:r>
      <w:r/>
    </w:p>
    <w:p>
      <w:pPr>
        <w:pStyle w:val="952"/>
        <w:ind w:firstLine="420"/>
        <w:spacing w:line="360" w:lineRule="auto"/>
        <w:rPr>
          <w:rFonts w:cs="仿宋_GB2312"/>
          <w:sz w:val="21"/>
          <w:szCs w:val="21"/>
        </w:rPr>
      </w:pPr>
      <w:r>
        <w:rPr>
          <w:rFonts w:cs="仿宋_GB2312"/>
          <w:sz w:val="21"/>
          <w:szCs w:val="21"/>
        </w:rPr>
      </w:r>
      <w:r/>
    </w:p>
    <w:p>
      <w:pPr>
        <w:pStyle w:val="952"/>
        <w:ind w:firstLine="210"/>
        <w:spacing w:line="360" w:lineRule="auto"/>
        <w:rPr>
          <w:rFonts w:hint="eastAsia" w:cs="仿宋_GB2312"/>
          <w:sz w:val="21"/>
          <w:szCs w:val="21"/>
        </w:rPr>
      </w:pPr>
      <w:r>
        <w:rPr>
          <w:rFonts w:hint="eastAsia" w:cs="仿宋_GB2312"/>
          <w:sz w:val="21"/>
          <w:szCs w:val="21"/>
        </w:rPr>
        <w:t xml:space="preserve">备案方（盖章）：</w:t>
      </w:r>
      <w:r/>
    </w:p>
    <w:p>
      <w:pPr>
        <w:pStyle w:val="952"/>
        <w:ind w:firstLine="210"/>
        <w:spacing w:line="360" w:lineRule="auto"/>
        <w:rPr>
          <w:rFonts w:cs="仿宋_GB2312"/>
          <w:sz w:val="21"/>
          <w:szCs w:val="21"/>
        </w:rPr>
      </w:pPr>
      <w:r>
        <w:rPr>
          <w:rFonts w:cs="仿宋_GB2312"/>
          <w:sz w:val="21"/>
          <w:szCs w:val="21"/>
        </w:rPr>
      </w:r>
      <w:r/>
    </w:p>
    <w:p>
      <w:pPr>
        <w:pStyle w:val="952"/>
        <w:ind w:firstLine="210"/>
        <w:spacing w:line="360" w:lineRule="auto"/>
        <w:rPr>
          <w:rFonts w:cs="仿宋_GB2312"/>
          <w:sz w:val="21"/>
          <w:szCs w:val="21"/>
        </w:rPr>
      </w:pPr>
      <w:r>
        <w:rPr>
          <w:rFonts w:hint="eastAsia" w:cs="仿宋_GB2312"/>
          <w:sz w:val="21"/>
          <w:szCs w:val="21"/>
        </w:rPr>
        <w:t xml:space="preserve">电话：</w:t>
      </w:r>
      <w:r>
        <w:rPr>
          <w:rFonts w:cs="仿宋_GB2312"/>
          <w:sz w:val="21"/>
          <w:szCs w:val="21"/>
        </w:rPr>
      </w:r>
      <w:r/>
    </w:p>
    <w:p>
      <w:pPr>
        <w:pStyle w:val="1188"/>
        <w:spacing w:line="400" w:lineRule="exact"/>
        <w:rPr>
          <w:rFonts w:cs="宋体"/>
          <w:b/>
          <w:bCs/>
          <w:sz w:val="44"/>
          <w:szCs w:val="44"/>
        </w:rPr>
      </w:pPr>
      <w:r>
        <w:br w:type="page" w:clear="all"/>
      </w:r>
      <w:r>
        <w:rPr>
          <w:rFonts w:cs="宋体"/>
          <w:b/>
          <w:bCs/>
          <w:sz w:val="44"/>
          <w:szCs w:val="44"/>
        </w:rPr>
      </w:r>
      <w:r/>
    </w:p>
    <w:p>
      <w:pPr>
        <w:pStyle w:val="953"/>
        <w:numPr>
          <w:ilvl w:val="0"/>
          <w:numId w:val="0"/>
        </w:numPr>
        <w:jc w:val="center"/>
        <w:tabs>
          <w:tab w:val="left" w:pos="432" w:leader="none"/>
        </w:tabs>
        <w:rPr>
          <w:rFonts w:hint="eastAsia" w:ascii="宋体" w:hAnsi="宋体" w:cs="宋体"/>
        </w:rPr>
      </w:pPr>
      <w:r>
        <w:rPr>
          <w:rFonts w:hint="eastAsia" w:ascii="宋体" w:hAnsi="宋体" w:cs="宋体"/>
        </w:rPr>
        <w:t xml:space="preserve">第六章 评标办法及标准</w:t>
      </w:r>
      <w:r/>
    </w:p>
    <w:p>
      <w:pPr>
        <w:pStyle w:val="952"/>
        <w:spacing w:line="360" w:lineRule="auto"/>
        <w:rPr>
          <w:rFonts w:hint="eastAsia" w:cs="宋体"/>
          <w:b/>
          <w:bCs/>
          <w:sz w:val="21"/>
          <w:szCs w:val="21"/>
        </w:rPr>
      </w:pPr>
      <w:r>
        <w:rPr>
          <w:rFonts w:hint="eastAsia" w:cs="宋体"/>
          <w:b/>
          <w:bCs/>
          <w:sz w:val="21"/>
          <w:szCs w:val="21"/>
        </w:rPr>
        <w:t xml:space="preserve">一、评标方法</w:t>
      </w:r>
      <w:r/>
    </w:p>
    <w:p>
      <w:pPr>
        <w:pStyle w:val="952"/>
        <w:ind w:firstLine="480"/>
        <w:spacing w:line="360" w:lineRule="auto"/>
        <w:rPr>
          <w:rFonts w:hint="eastAsia" w:cs="宋体"/>
          <w:sz w:val="21"/>
          <w:szCs w:val="21"/>
        </w:rPr>
      </w:pPr>
      <w:r>
        <w:rPr>
          <w:rFonts w:hint="eastAsia" w:cs="宋体"/>
          <w:sz w:val="21"/>
          <w:szCs w:val="21"/>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pStyle w:val="952"/>
        <w:ind w:firstLine="480"/>
        <w:spacing w:line="360" w:lineRule="auto"/>
        <w:rPr>
          <w:rFonts w:hint="eastAsia" w:cs="宋体"/>
          <w:sz w:val="21"/>
          <w:szCs w:val="21"/>
        </w:rPr>
      </w:pPr>
      <w:r>
        <w:rPr>
          <w:rFonts w:hint="eastAsia" w:cs="宋体"/>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rPr>
          <w:rFonts w:hint="eastAsia" w:cs="宋体"/>
          <w:sz w:val="21"/>
          <w:szCs w:val="21"/>
        </w:rPr>
      </w:r>
      <w:r/>
    </w:p>
    <w:p>
      <w:pPr>
        <w:pStyle w:val="952"/>
        <w:ind w:firstLine="480"/>
        <w:spacing w:line="360" w:lineRule="auto"/>
        <w:rPr>
          <w:rFonts w:hint="eastAsia" w:cs="宋体"/>
          <w:sz w:val="21"/>
          <w:szCs w:val="21"/>
        </w:rPr>
      </w:pPr>
      <w:r>
        <w:rPr>
          <w:rFonts w:hint="eastAsia" w:cs="宋体"/>
          <w:sz w:val="21"/>
          <w:szCs w:val="21"/>
        </w:rPr>
        <w:t xml:space="preserve">3、对评委的评分（除价格分外）进行统计汇总，评委人数在5人以下（含5人）的，直接算术平均计算得分。</w:t>
      </w:r>
      <w:r/>
    </w:p>
    <w:p>
      <w:pPr>
        <w:pStyle w:val="952"/>
        <w:ind w:firstLine="480"/>
        <w:spacing w:line="360" w:lineRule="auto"/>
        <w:rPr>
          <w:rFonts w:hint="eastAsia" w:cs="宋体"/>
          <w:sz w:val="21"/>
          <w:szCs w:val="21"/>
        </w:rPr>
      </w:pPr>
      <w:r>
        <w:rPr>
          <w:rFonts w:hint="eastAsia" w:cs="宋体"/>
          <w:sz w:val="21"/>
          <w:szCs w:val="21"/>
        </w:rPr>
        <w:t xml:space="preserve">4、</w:t>
      </w:r>
      <w:r>
        <w:rPr>
          <w:rFonts w:cs="宋体"/>
          <w:sz w:val="21"/>
          <w:szCs w:val="21"/>
        </w:rPr>
        <w:t xml:space="preserve">如出现评标总得分相同的投标人有两个或两个以上的，以投标报价较低者优先作为该标段中标候选人，如果投标报价也相同的，则由</w:t>
      </w:r>
      <w:r>
        <w:rPr>
          <w:rFonts w:hint="eastAsia" w:cs="宋体"/>
          <w:sz w:val="21"/>
          <w:szCs w:val="21"/>
        </w:rPr>
        <w:t xml:space="preserve">采购人代表</w:t>
      </w:r>
      <w:r>
        <w:rPr>
          <w:rFonts w:cs="宋体"/>
          <w:sz w:val="21"/>
          <w:szCs w:val="21"/>
        </w:rPr>
        <w:t xml:space="preserve">以抽签方式确定中标候选人，第二、第三名以此类推</w:t>
      </w:r>
      <w:r>
        <w:rPr>
          <w:sz w:val="21"/>
          <w:szCs w:val="21"/>
        </w:rPr>
        <w:t xml:space="preserve">。</w:t>
      </w:r>
      <w:r>
        <w:rPr>
          <w:rFonts w:hint="eastAsia" w:cs="宋体"/>
          <w:sz w:val="21"/>
          <w:szCs w:val="21"/>
        </w:rPr>
      </w:r>
      <w:r/>
    </w:p>
    <w:p>
      <w:pPr>
        <w:pStyle w:val="952"/>
        <w:ind w:firstLine="480"/>
        <w:spacing w:line="360" w:lineRule="auto"/>
        <w:rPr>
          <w:rFonts w:cs="宋体"/>
          <w:sz w:val="21"/>
          <w:szCs w:val="21"/>
        </w:rPr>
      </w:pPr>
      <w:r>
        <w:rPr>
          <w:rFonts w:hint="eastAsia" w:cs="宋体"/>
          <w:sz w:val="21"/>
          <w:szCs w:val="21"/>
        </w:rPr>
        <w:t xml:space="preserve">5、</w:t>
      </w:r>
      <w:r>
        <w:rPr>
          <w:rFonts w:cs="宋体"/>
          <w:sz w:val="21"/>
          <w:szCs w:val="21"/>
        </w:rPr>
        <w:t xml:space="preserve">评标委员会认为投标人的报价明显低于其他通过符合性审查投标人的报价，有可能影响产品质量或者不能诚信履约的，应当要求其在</w:t>
      </w:r>
      <w:r>
        <w:rPr>
          <w:rFonts w:hint="eastAsia" w:cs="宋体"/>
          <w:sz w:val="21"/>
          <w:szCs w:val="21"/>
        </w:rPr>
        <w:t xml:space="preserve">不见面开标大厅内</w:t>
      </w:r>
      <w:r>
        <w:rPr>
          <w:rFonts w:cs="宋体"/>
          <w:sz w:val="21"/>
          <w:szCs w:val="21"/>
        </w:rPr>
        <w:t xml:space="preserve">合理的时间内提供说明，必要时提交相关证明材料；投标人不能证明其报价合理性的，评标委员会应当将其作为无效投标处理</w:t>
      </w:r>
      <w:r>
        <w:rPr>
          <w:rFonts w:hint="eastAsia" w:cs="宋体"/>
          <w:sz w:val="21"/>
          <w:szCs w:val="21"/>
        </w:rPr>
        <w:t xml:space="preserve">。</w:t>
      </w:r>
      <w:r>
        <w:rPr>
          <w:rFonts w:cs="宋体"/>
          <w:sz w:val="21"/>
          <w:szCs w:val="21"/>
        </w:rPr>
      </w:r>
      <w:r/>
    </w:p>
    <w:p>
      <w:pPr>
        <w:pStyle w:val="952"/>
        <w:spacing w:line="360" w:lineRule="auto"/>
        <w:rPr>
          <w:rFonts w:cs="宋体"/>
          <w:b/>
          <w:bCs/>
          <w:sz w:val="21"/>
          <w:szCs w:val="21"/>
        </w:rPr>
      </w:pPr>
      <w:r>
        <w:rPr>
          <w:rFonts w:hint="eastAsia" w:cs="宋体"/>
          <w:b/>
          <w:bCs/>
          <w:sz w:val="21"/>
          <w:szCs w:val="21"/>
        </w:rPr>
        <w:t xml:space="preserve">二、评审因素、分值及评分标准</w:t>
      </w:r>
      <w:r>
        <w:rPr>
          <w:rFonts w:cs="宋体"/>
          <w:b/>
          <w:bCs/>
          <w:sz w:val="21"/>
          <w:szCs w:val="21"/>
        </w:rPr>
      </w:r>
      <w:r/>
    </w:p>
    <w:p>
      <w:pPr>
        <w:pStyle w:val="952"/>
        <w:spacing w:line="440" w:lineRule="exact"/>
        <w:rPr>
          <w:rFonts w:cs="宋体"/>
          <w:b/>
          <w:bCs/>
          <w:sz w:val="21"/>
          <w:szCs w:val="21"/>
        </w:rPr>
      </w:pPr>
      <w:r/>
      <w:bookmarkStart w:id="10" w:name="_Hlk169004872"/>
      <w:r>
        <w:rPr>
          <w:rFonts w:hint="eastAsia" w:cs="宋体"/>
          <w:b/>
          <w:bCs/>
          <w:sz w:val="21"/>
          <w:szCs w:val="21"/>
        </w:rPr>
        <w:t xml:space="preserve">（一）价格分（1</w:t>
      </w:r>
      <w:r>
        <w:rPr>
          <w:rFonts w:cs="宋体"/>
          <w:b/>
          <w:bCs/>
          <w:sz w:val="21"/>
          <w:szCs w:val="21"/>
        </w:rPr>
        <w:t xml:space="preserve">0</w:t>
      </w:r>
      <w:r>
        <w:rPr>
          <w:rFonts w:hint="eastAsia" w:cs="宋体"/>
          <w:b/>
          <w:bCs/>
          <w:sz w:val="21"/>
          <w:szCs w:val="21"/>
        </w:rPr>
        <w:t xml:space="preserve">分）</w:t>
      </w:r>
      <w:r>
        <w:rPr>
          <w:rFonts w:cs="宋体"/>
          <w:b/>
          <w:bCs/>
          <w:sz w:val="21"/>
          <w:szCs w:val="21"/>
        </w:rPr>
      </w:r>
      <w:r/>
    </w:p>
    <w:p>
      <w:pPr>
        <w:pStyle w:val="952"/>
        <w:ind w:firstLine="480"/>
        <w:spacing w:line="360" w:lineRule="auto"/>
        <w:rPr>
          <w:sz w:val="21"/>
          <w:szCs w:val="21"/>
        </w:rPr>
      </w:pPr>
      <w:r>
        <w:rPr>
          <w:rFonts w:hint="eastAsia"/>
          <w:sz w:val="21"/>
          <w:szCs w:val="21"/>
        </w:rPr>
        <w:t xml:space="preserve">1、投标报价不超过</w:t>
      </w:r>
      <w:r>
        <w:rPr>
          <w:rFonts w:hint="eastAsia"/>
          <w:sz w:val="21"/>
          <w:szCs w:val="21"/>
        </w:rPr>
        <w:t xml:space="preserve">最高限价</w:t>
      </w:r>
      <w:r>
        <w:rPr>
          <w:rFonts w:hint="eastAsia"/>
          <w:sz w:val="21"/>
          <w:szCs w:val="21"/>
        </w:rPr>
        <w:t xml:space="preserve">的为有效投标报价。超出此范围的投标报价为无效投标报价。无效投标报价的投标文件不进行评审，也不得标；</w:t>
      </w:r>
      <w:r>
        <w:rPr>
          <w:sz w:val="21"/>
          <w:szCs w:val="21"/>
        </w:rPr>
      </w:r>
      <w:r/>
    </w:p>
    <w:p>
      <w:pPr>
        <w:pStyle w:val="952"/>
        <w:ind w:firstLine="480"/>
        <w:spacing w:line="360" w:lineRule="auto"/>
        <w:rPr>
          <w:sz w:val="21"/>
          <w:szCs w:val="21"/>
        </w:rPr>
      </w:pPr>
      <w:r>
        <w:rPr>
          <w:sz w:val="21"/>
          <w:szCs w:val="21"/>
        </w:rPr>
        <w:t xml:space="preserve">2</w:t>
      </w:r>
      <w:r>
        <w:rPr>
          <w:rFonts w:hint="eastAsia"/>
          <w:sz w:val="21"/>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sz w:val="21"/>
          <w:szCs w:val="21"/>
        </w:rPr>
      </w:r>
      <w:r/>
    </w:p>
    <w:p>
      <w:pPr>
        <w:pStyle w:val="952"/>
        <w:ind w:firstLine="480"/>
        <w:spacing w:line="360" w:lineRule="auto"/>
        <w:rPr>
          <w:sz w:val="21"/>
          <w:szCs w:val="21"/>
        </w:rPr>
      </w:pPr>
      <w:r>
        <w:rPr>
          <w:rFonts w:hint="eastAsia"/>
          <w:sz w:val="21"/>
          <w:szCs w:val="21"/>
        </w:rPr>
        <w:t xml:space="preserve">投标报价得分=（评标基准价/投标报价）*价格权值*100（本次招标价格权值为10%）。</w:t>
      </w:r>
      <w:r>
        <w:rPr>
          <w:sz w:val="21"/>
          <w:szCs w:val="21"/>
        </w:rPr>
      </w:r>
      <w:r/>
    </w:p>
    <w:p>
      <w:pPr>
        <w:pStyle w:val="952"/>
        <w:spacing w:line="440" w:lineRule="exact"/>
        <w:rPr>
          <w:rFonts w:cs="宋体"/>
          <w:b/>
          <w:sz w:val="21"/>
          <w:szCs w:val="21"/>
        </w:rPr>
      </w:pPr>
      <w:r>
        <w:rPr>
          <w:rFonts w:hint="eastAsia" w:cs="宋体"/>
          <w:b/>
          <w:bCs/>
          <w:sz w:val="21"/>
          <w:szCs w:val="21"/>
        </w:rPr>
        <w:t xml:space="preserve">（二）</w:t>
      </w:r>
      <w:r>
        <w:rPr>
          <w:rFonts w:hint="eastAsia" w:cs="宋体"/>
          <w:b/>
          <w:sz w:val="21"/>
          <w:szCs w:val="21"/>
        </w:rPr>
        <w:t xml:space="preserve">技术</w:t>
      </w:r>
      <w:r>
        <w:rPr>
          <w:rFonts w:cs="宋体"/>
          <w:b/>
          <w:sz w:val="21"/>
          <w:szCs w:val="21"/>
        </w:rPr>
        <w:t xml:space="preserve">方案</w:t>
      </w:r>
      <w:r>
        <w:rPr>
          <w:rFonts w:hint="eastAsia" w:cs="宋体"/>
          <w:b/>
          <w:sz w:val="21"/>
          <w:szCs w:val="21"/>
        </w:rPr>
        <w:t xml:space="preserve">（52分）</w:t>
      </w:r>
      <w:r>
        <w:rPr>
          <w:rFonts w:cs="宋体"/>
          <w:b/>
          <w:sz w:val="21"/>
          <w:szCs w:val="21"/>
        </w:rPr>
      </w:r>
      <w:r/>
    </w:p>
    <w:p>
      <w:pPr>
        <w:pStyle w:val="952"/>
        <w:ind w:firstLine="420"/>
        <w:spacing w:line="360" w:lineRule="auto"/>
        <w:rPr>
          <w:rFonts w:cs="宋体"/>
          <w:sz w:val="21"/>
          <w:szCs w:val="21"/>
        </w:rPr>
      </w:pPr>
      <w:r>
        <w:rPr>
          <w:rFonts w:hint="eastAsia" w:cs="宋体"/>
          <w:sz w:val="21"/>
          <w:szCs w:val="21"/>
        </w:rPr>
        <w:t xml:space="preserve">1、根据投标人对本项目的理解进行评分，</w:t>
      </w:r>
      <w:r>
        <w:rPr>
          <w:rFonts w:cs="宋体"/>
          <w:sz w:val="21"/>
          <w:szCs w:val="21"/>
        </w:rPr>
        <w:t xml:space="preserve">方案内容至少包括：</w:t>
      </w:r>
      <w:r>
        <w:rPr>
          <w:rFonts w:hint="eastAsia" w:cs="宋体"/>
          <w:sz w:val="21"/>
          <w:szCs w:val="21"/>
        </w:rPr>
        <w:t xml:space="preserve">①重难点分析②重难点解决应对措施等。</w:t>
      </w:r>
      <w:r>
        <w:rPr>
          <w:rFonts w:cs="宋体"/>
          <w:sz w:val="21"/>
          <w:szCs w:val="21"/>
        </w:rPr>
      </w:r>
      <w:r/>
    </w:p>
    <w:p>
      <w:pPr>
        <w:pStyle w:val="952"/>
        <w:ind w:firstLine="420"/>
        <w:spacing w:line="360" w:lineRule="auto"/>
        <w:rPr>
          <w:rFonts w:cs="宋体"/>
          <w:sz w:val="21"/>
          <w:szCs w:val="21"/>
        </w:rPr>
      </w:pPr>
      <w:r>
        <w:rPr>
          <w:rFonts w:cs="宋体"/>
          <w:sz w:val="21"/>
          <w:szCs w:val="21"/>
        </w:rPr>
        <w:t xml:space="preserve">方案内容针对本项目且符合本项目实际需求的，得</w:t>
      </w:r>
      <w:r>
        <w:rPr>
          <w:rFonts w:hint="eastAsia" w:cs="宋体"/>
          <w:sz w:val="21"/>
          <w:szCs w:val="21"/>
        </w:rPr>
        <w:t xml:space="preserve">8</w:t>
      </w:r>
      <w:r>
        <w:rPr>
          <w:rFonts w:cs="宋体"/>
          <w:sz w:val="21"/>
          <w:szCs w:val="21"/>
        </w:rPr>
        <w:t xml:space="preserve">分，每缺少一项内容，或内容明显错误，或内容非专门针对本项目，或内容不能满足本项目实际需求的，每一项扣</w:t>
      </w:r>
      <w:r>
        <w:rPr>
          <w:rFonts w:hint="eastAsia" w:cs="宋体"/>
          <w:sz w:val="21"/>
          <w:szCs w:val="21"/>
        </w:rPr>
        <w:t xml:space="preserve">4</w:t>
      </w:r>
      <w:r>
        <w:rPr>
          <w:rFonts w:cs="宋体"/>
          <w:sz w:val="21"/>
          <w:szCs w:val="21"/>
        </w:rPr>
        <w:t xml:space="preserve">分。</w:t>
      </w:r>
      <w:r/>
    </w:p>
    <w:p>
      <w:pPr>
        <w:pStyle w:val="952"/>
        <w:ind w:firstLine="420"/>
        <w:spacing w:line="360" w:lineRule="auto"/>
        <w:rPr>
          <w:rFonts w:cs="宋体"/>
          <w:sz w:val="21"/>
          <w:szCs w:val="21"/>
        </w:rPr>
      </w:pPr>
      <w:r>
        <w:rPr>
          <w:rFonts w:hint="eastAsia" w:cs="宋体"/>
          <w:sz w:val="21"/>
          <w:szCs w:val="21"/>
        </w:rPr>
        <w:t xml:space="preserve">2、根据投标单位对数据采集与建库进行评分，</w:t>
      </w:r>
      <w:r>
        <w:rPr>
          <w:rFonts w:cs="宋体"/>
          <w:sz w:val="21"/>
          <w:szCs w:val="21"/>
        </w:rPr>
        <w:t xml:space="preserve">方案内容至少包括：</w:t>
      </w:r>
      <w:r>
        <w:rPr>
          <w:rFonts w:hint="eastAsia" w:cs="宋体"/>
          <w:sz w:val="21"/>
          <w:szCs w:val="21"/>
        </w:rPr>
        <w:t xml:space="preserve">①普查方法②技术路线③采集内容数据建库等。</w:t>
      </w:r>
      <w:r>
        <w:rPr>
          <w:rFonts w:cs="宋体"/>
          <w:sz w:val="21"/>
          <w:szCs w:val="21"/>
        </w:rPr>
      </w:r>
      <w:r/>
    </w:p>
    <w:p>
      <w:pPr>
        <w:pStyle w:val="952"/>
        <w:ind w:firstLine="420"/>
        <w:spacing w:line="360" w:lineRule="auto"/>
        <w:rPr>
          <w:rFonts w:cs="宋体"/>
          <w:sz w:val="21"/>
          <w:szCs w:val="21"/>
        </w:rPr>
      </w:pPr>
      <w:r>
        <w:rPr>
          <w:rFonts w:cs="宋体"/>
          <w:sz w:val="21"/>
          <w:szCs w:val="21"/>
        </w:rPr>
        <w:t xml:space="preserve">方案内容针对本项目且符合本项目实际需求的，得</w:t>
      </w:r>
      <w:r>
        <w:rPr>
          <w:rFonts w:hint="eastAsia" w:cs="宋体"/>
          <w:sz w:val="21"/>
          <w:szCs w:val="21"/>
        </w:rPr>
        <w:t xml:space="preserve">12</w:t>
      </w:r>
      <w:r>
        <w:rPr>
          <w:rFonts w:cs="宋体"/>
          <w:sz w:val="21"/>
          <w:szCs w:val="21"/>
        </w:rPr>
        <w:t xml:space="preserve">分，每缺少一项内容，或内容明显错误，或内容非专门针对本项目，或内容不能满足本项目实际需求的，每一项扣</w:t>
      </w:r>
      <w:r>
        <w:rPr>
          <w:rFonts w:hint="eastAsia" w:cs="宋体"/>
          <w:sz w:val="21"/>
          <w:szCs w:val="21"/>
        </w:rPr>
        <w:t xml:space="preserve">4</w:t>
      </w:r>
      <w:r>
        <w:rPr>
          <w:rFonts w:cs="宋体"/>
          <w:sz w:val="21"/>
          <w:szCs w:val="21"/>
        </w:rPr>
        <w:t xml:space="preserve">分。</w:t>
      </w:r>
      <w:r/>
    </w:p>
    <w:p>
      <w:pPr>
        <w:pStyle w:val="952"/>
        <w:ind w:firstLine="420"/>
        <w:spacing w:line="360" w:lineRule="auto"/>
        <w:rPr>
          <w:rFonts w:cs="宋体"/>
          <w:sz w:val="21"/>
          <w:szCs w:val="21"/>
        </w:rPr>
      </w:pPr>
      <w:r>
        <w:rPr>
          <w:rFonts w:hint="eastAsia" w:cs="宋体"/>
          <w:sz w:val="21"/>
          <w:szCs w:val="21"/>
        </w:rPr>
        <w:t xml:space="preserve">3、根据投标单位提供的服务方案进行评分，</w:t>
      </w:r>
      <w:r>
        <w:rPr>
          <w:rFonts w:cs="宋体"/>
          <w:sz w:val="21"/>
          <w:szCs w:val="21"/>
        </w:rPr>
        <w:t xml:space="preserve">方案内容至少包括：</w:t>
      </w:r>
      <w:r>
        <w:rPr>
          <w:rFonts w:hint="eastAsia" w:cs="宋体"/>
          <w:sz w:val="21"/>
          <w:szCs w:val="21"/>
        </w:rPr>
        <w:t xml:space="preserve">①园林绿化专题图制作方案（5分）②与太仓市绿地规划信息管理系统对接方案（5分）③人员安排及设备仪器的投入配置方案（4分）④项目验收方案（3分）等。</w:t>
      </w:r>
      <w:r>
        <w:rPr>
          <w:rFonts w:cs="宋体"/>
          <w:sz w:val="21"/>
          <w:szCs w:val="21"/>
        </w:rPr>
      </w:r>
      <w:r/>
    </w:p>
    <w:p>
      <w:pPr>
        <w:pStyle w:val="952"/>
        <w:ind w:firstLine="420"/>
        <w:spacing w:line="360" w:lineRule="auto"/>
        <w:rPr>
          <w:rFonts w:cs="宋体"/>
          <w:sz w:val="21"/>
          <w:szCs w:val="21"/>
        </w:rPr>
      </w:pPr>
      <w:r>
        <w:rPr>
          <w:rFonts w:cs="宋体"/>
          <w:sz w:val="21"/>
          <w:szCs w:val="21"/>
        </w:rPr>
        <w:t xml:space="preserve">方案内容针对本项目且符合本项目实际需求的，得</w:t>
      </w:r>
      <w:r>
        <w:rPr>
          <w:rFonts w:hint="eastAsia" w:cs="宋体"/>
          <w:sz w:val="21"/>
          <w:szCs w:val="21"/>
        </w:rPr>
        <w:t xml:space="preserve">17</w:t>
      </w:r>
      <w:r>
        <w:rPr>
          <w:rFonts w:cs="宋体"/>
          <w:sz w:val="21"/>
          <w:szCs w:val="21"/>
        </w:rPr>
        <w:t xml:space="preserve">分，每缺少一项内容，或内容明显错误，或内容非专门针对本项目，或内容不能满足本项目实际需求的，</w:t>
      </w:r>
      <w:r>
        <w:rPr>
          <w:rFonts w:hint="eastAsia" w:cs="宋体"/>
          <w:sz w:val="21"/>
          <w:szCs w:val="21"/>
        </w:rPr>
        <w:t xml:space="preserve">每项按对应分值扣分</w:t>
      </w:r>
      <w:r>
        <w:rPr>
          <w:rFonts w:cs="宋体"/>
          <w:sz w:val="21"/>
          <w:szCs w:val="21"/>
        </w:rPr>
        <w:t xml:space="preserve">。</w:t>
      </w:r>
      <w:r/>
    </w:p>
    <w:p>
      <w:pPr>
        <w:pStyle w:val="952"/>
        <w:ind w:firstLine="420"/>
        <w:spacing w:line="360" w:lineRule="auto"/>
        <w:rPr>
          <w:rFonts w:cs="宋体"/>
          <w:sz w:val="21"/>
          <w:szCs w:val="21"/>
        </w:rPr>
      </w:pPr>
      <w:r>
        <w:rPr>
          <w:rFonts w:hint="eastAsia" w:cs="宋体"/>
          <w:sz w:val="21"/>
          <w:szCs w:val="21"/>
        </w:rPr>
        <w:t xml:space="preserve">4、根据投标人提供的质量保证措施进行评分，</w:t>
      </w:r>
      <w:r>
        <w:rPr>
          <w:rFonts w:cs="宋体"/>
          <w:sz w:val="21"/>
          <w:szCs w:val="21"/>
        </w:rPr>
        <w:t xml:space="preserve">方案内容至少包括：</w:t>
      </w:r>
      <w:r>
        <w:rPr>
          <w:rFonts w:hint="eastAsia" w:cs="宋体"/>
          <w:sz w:val="21"/>
          <w:szCs w:val="21"/>
        </w:rPr>
        <w:t xml:space="preserve">①数据普查标准②数据质检方案③进度保障措施等。</w:t>
      </w:r>
      <w:r>
        <w:rPr>
          <w:rFonts w:cs="宋体"/>
          <w:sz w:val="21"/>
          <w:szCs w:val="21"/>
        </w:rPr>
      </w:r>
      <w:r/>
    </w:p>
    <w:p>
      <w:pPr>
        <w:pStyle w:val="952"/>
        <w:ind w:firstLine="420"/>
        <w:spacing w:line="360" w:lineRule="auto"/>
        <w:rPr>
          <w:rFonts w:hint="eastAsia" w:cs="宋体"/>
          <w:sz w:val="21"/>
          <w:szCs w:val="21"/>
        </w:rPr>
      </w:pPr>
      <w:r>
        <w:rPr>
          <w:rFonts w:cs="宋体"/>
          <w:sz w:val="21"/>
          <w:szCs w:val="21"/>
        </w:rPr>
        <w:t xml:space="preserve">方案内容针对本项目且符合本项目实际需求的</w:t>
      </w:r>
      <w:r>
        <w:rPr>
          <w:rFonts w:cs="宋体"/>
          <w:sz w:val="21"/>
          <w:szCs w:val="21"/>
        </w:rPr>
        <w:t xml:space="preserve">，得</w:t>
      </w:r>
      <w:r>
        <w:rPr>
          <w:rFonts w:hint="eastAsia" w:cs="宋体"/>
          <w:sz w:val="21"/>
          <w:szCs w:val="21"/>
        </w:rPr>
        <w:t xml:space="preserve">15</w:t>
      </w:r>
      <w:r>
        <w:rPr>
          <w:rFonts w:cs="宋体"/>
          <w:sz w:val="21"/>
          <w:szCs w:val="21"/>
        </w:rPr>
        <w:t xml:space="preserve">分，每缺少一项内容，或内容明显错误，或内容非专门针对本项目，或内容不能满足本项目实际需求的，每一项扣</w:t>
      </w:r>
      <w:r>
        <w:rPr>
          <w:rFonts w:hint="eastAsia" w:cs="宋体"/>
          <w:sz w:val="21"/>
          <w:szCs w:val="21"/>
        </w:rPr>
        <w:t xml:space="preserve">5</w:t>
      </w:r>
      <w:r>
        <w:rPr>
          <w:rFonts w:cs="宋体"/>
          <w:sz w:val="21"/>
          <w:szCs w:val="21"/>
        </w:rPr>
        <w:t xml:space="preserve">分。</w:t>
      </w:r>
      <w:r>
        <w:rPr>
          <w:rFonts w:hint="eastAsia" w:cs="宋体"/>
          <w:sz w:val="21"/>
          <w:szCs w:val="21"/>
        </w:rPr>
      </w:r>
      <w:r/>
    </w:p>
    <w:p>
      <w:pPr>
        <w:pStyle w:val="952"/>
        <w:spacing w:line="360" w:lineRule="auto"/>
        <w:rPr>
          <w:rFonts w:cs="宋体"/>
          <w:b/>
          <w:bCs/>
          <w:sz w:val="21"/>
          <w:szCs w:val="21"/>
        </w:rPr>
      </w:pPr>
      <w:r>
        <w:rPr>
          <w:rFonts w:hint="eastAsia" w:cs="宋体"/>
          <w:b/>
          <w:bCs/>
          <w:sz w:val="21"/>
          <w:szCs w:val="21"/>
        </w:rPr>
        <w:t xml:space="preserve">（三）企业综合实力比较（38分）</w:t>
      </w:r>
      <w:r>
        <w:rPr>
          <w:rFonts w:cs="宋体"/>
          <w:b/>
          <w:bCs/>
          <w:sz w:val="21"/>
          <w:szCs w:val="21"/>
        </w:rPr>
      </w:r>
      <w:r/>
    </w:p>
    <w:p>
      <w:pPr>
        <w:pStyle w:val="952"/>
        <w:ind w:firstLine="420"/>
        <w:spacing w:line="360" w:lineRule="auto"/>
        <w:rPr>
          <w:rFonts w:cs="宋体"/>
          <w:sz w:val="21"/>
          <w:szCs w:val="21"/>
        </w:rPr>
      </w:pPr>
      <w:r>
        <w:rPr>
          <w:rFonts w:hint="eastAsia" w:cs="宋体"/>
          <w:sz w:val="21"/>
          <w:szCs w:val="21"/>
        </w:rPr>
        <w:t xml:space="preserve">1、项目团队（15分）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1）项目负责人：具有研究员级高级工程师证书、注册测绘师证书、高级数据库管理工程师证书的，有一项得2分，最多得6分。提供最近一个月本单位缴纳的社保证明及对应证书扫描件并加盖投标单位公章，否则不得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（2）技术负责人：</w:t>
      </w:r>
      <w:r>
        <w:rPr>
          <w:rFonts w:cs="宋体"/>
          <w:sz w:val="21"/>
          <w:szCs w:val="21"/>
        </w:rPr>
        <w:t xml:space="preserve">具有ITSS（IT服务项目经理）证书的、注册信息安全工程师证书的、高级网络工程师证书的，有一项得2分，最多得6分</w:t>
      </w:r>
      <w:r>
        <w:rPr>
          <w:rFonts w:hint="eastAsia" w:cs="宋体"/>
          <w:sz w:val="21"/>
          <w:szCs w:val="21"/>
        </w:rPr>
        <w:t xml:space="preserve">。与项目负责人不可为同一人，提供最近一个月本单位缴纳的社保证明及对应证书扫描件并加盖投标单位公章，否则不得分。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3）项目实施人员：具有涉密测绘成果管理人员、测绘地理信息质量技术人员、四级及以上工程测量员证书的，每提供一个得1分，最高得3分，提供最近一个月本单位缴纳的社保证明及对应证书扫描件并加盖投标单位公章，否则不得分。项目负责人、技术负责人除外，且同一人员不可重复计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2、</w:t>
      </w:r>
      <w:r>
        <w:rPr>
          <w:rFonts w:cs="宋体"/>
          <w:sz w:val="21"/>
          <w:szCs w:val="21"/>
        </w:rPr>
        <w:t xml:space="preserve">仪器设备</w:t>
      </w:r>
      <w:r>
        <w:rPr>
          <w:rFonts w:hint="eastAsia" w:cs="宋体"/>
          <w:sz w:val="21"/>
          <w:szCs w:val="21"/>
        </w:rPr>
        <w:t xml:space="preserve">（6分）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（1）</w:t>
      </w:r>
      <w:bookmarkStart w:id="11" w:name="_Hlk169100974"/>
      <w:r>
        <w:rPr>
          <w:rFonts w:cs="宋体"/>
          <w:sz w:val="21"/>
          <w:szCs w:val="21"/>
        </w:rPr>
        <w:t xml:space="preserve">倾斜数字航摄仪</w:t>
      </w:r>
      <w:bookmarkEnd w:id="11"/>
      <w:r>
        <w:rPr>
          <w:rFonts w:hint="eastAsia" w:cs="宋体"/>
          <w:sz w:val="21"/>
          <w:szCs w:val="21"/>
        </w:rPr>
        <w:t xml:space="preserve">（</w:t>
      </w:r>
      <w:r>
        <w:rPr>
          <w:rFonts w:cs="宋体"/>
          <w:sz w:val="21"/>
          <w:szCs w:val="21"/>
        </w:rPr>
        <w:t xml:space="preserve">3分</w:t>
      </w:r>
      <w:r>
        <w:rPr>
          <w:rFonts w:hint="eastAsia" w:cs="宋体"/>
          <w:sz w:val="21"/>
          <w:szCs w:val="21"/>
        </w:rPr>
        <w:t xml:space="preserve">）：</w:t>
      </w:r>
      <w:r>
        <w:rPr>
          <w:rFonts w:cs="宋体"/>
          <w:sz w:val="21"/>
          <w:szCs w:val="21"/>
        </w:rPr>
        <w:t xml:space="preserve">用于倾斜影像获取的倾斜数字航摄仪总像素为1.8亿及以上，并带有RTK无人机和五镜头相机</w:t>
      </w:r>
      <w:r>
        <w:rPr>
          <w:rFonts w:hint="eastAsia" w:cs="宋体"/>
          <w:sz w:val="21"/>
          <w:szCs w:val="21"/>
        </w:rPr>
        <w:t xml:space="preserve">。</w:t>
      </w:r>
      <w:r>
        <w:rPr>
          <w:rFonts w:cs="宋体"/>
          <w:sz w:val="21"/>
          <w:szCs w:val="21"/>
        </w:rPr>
        <w:t xml:space="preserve">参数满足且设备为</w:t>
      </w:r>
      <w:r>
        <w:rPr>
          <w:rFonts w:hint="eastAsia" w:cs="宋体"/>
          <w:sz w:val="21"/>
          <w:szCs w:val="21"/>
        </w:rPr>
        <w:t xml:space="preserve">自有或租赁的得3分，</w:t>
      </w:r>
      <w:r>
        <w:rPr>
          <w:rFonts w:cs="宋体"/>
          <w:sz w:val="21"/>
          <w:szCs w:val="21"/>
        </w:rPr>
        <w:t xml:space="preserve">如为自有的，请在投标文件中提供购买发票；如为租赁的，请在投标文件中提供租赁合同</w:t>
      </w:r>
      <w:r>
        <w:rPr>
          <w:rFonts w:hint="eastAsia" w:cs="宋体"/>
          <w:sz w:val="21"/>
          <w:szCs w:val="21"/>
        </w:rPr>
        <w:t xml:space="preserve">和设</w:t>
      </w:r>
      <w:r>
        <w:rPr>
          <w:rFonts w:hint="eastAsia" w:cs="宋体"/>
          <w:sz w:val="21"/>
          <w:szCs w:val="21"/>
        </w:rPr>
        <w:t xml:space="preserve">备购买发票且租赁期限至少包含本项目履行期限</w:t>
      </w:r>
      <w:r>
        <w:rPr>
          <w:rFonts w:cs="宋体"/>
          <w:sz w:val="21"/>
          <w:szCs w:val="21"/>
        </w:rPr>
        <w:t xml:space="preserve">；不提供不得分</w:t>
      </w:r>
      <w:r>
        <w:rPr>
          <w:rFonts w:hint="eastAsia" w:cs="宋体"/>
          <w:sz w:val="21"/>
          <w:szCs w:val="21"/>
        </w:rPr>
        <w:t xml:space="preserve">。</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（2）</w:t>
      </w:r>
      <w:r>
        <w:rPr>
          <w:rFonts w:cs="宋体"/>
          <w:sz w:val="21"/>
          <w:szCs w:val="21"/>
        </w:rPr>
        <w:t xml:space="preserve">激光扫描仪</w:t>
      </w:r>
      <w:r>
        <w:rPr>
          <w:rFonts w:hint="eastAsia" w:cs="宋体"/>
          <w:sz w:val="21"/>
          <w:szCs w:val="21"/>
        </w:rPr>
        <w:t xml:space="preserve">（</w:t>
      </w:r>
      <w:r>
        <w:rPr>
          <w:rFonts w:cs="宋体"/>
          <w:sz w:val="21"/>
          <w:szCs w:val="21"/>
        </w:rPr>
        <w:t xml:space="preserve">3分</w:t>
      </w:r>
      <w:r>
        <w:rPr>
          <w:rFonts w:hint="eastAsia" w:cs="宋体"/>
          <w:sz w:val="21"/>
          <w:szCs w:val="21"/>
        </w:rPr>
        <w:t xml:space="preserve">）：</w:t>
      </w:r>
      <w:r>
        <w:rPr>
          <w:rFonts w:cs="宋体"/>
          <w:sz w:val="21"/>
          <w:szCs w:val="21"/>
        </w:rPr>
        <w:t xml:space="preserve">采用SLAM技术，用于对林业进行移动测量采集的手持移动三维激光扫描仪相对精度误差1-3CM、绝对精度误差3-30CM、有效扫描测量距离100M以上</w:t>
      </w:r>
      <w:r>
        <w:rPr>
          <w:rFonts w:hint="eastAsia" w:cs="宋体"/>
          <w:sz w:val="21"/>
          <w:szCs w:val="21"/>
        </w:rPr>
        <w:t xml:space="preserve">。</w:t>
      </w:r>
      <w:r>
        <w:rPr>
          <w:rFonts w:cs="宋体"/>
          <w:sz w:val="21"/>
          <w:szCs w:val="21"/>
        </w:rPr>
        <w:t xml:space="preserve">参数满足且设备为</w:t>
      </w:r>
      <w:r>
        <w:rPr>
          <w:rFonts w:hint="eastAsia" w:cs="宋体"/>
          <w:sz w:val="21"/>
          <w:szCs w:val="21"/>
        </w:rPr>
        <w:t xml:space="preserve">自有或租赁的得3分，</w:t>
      </w:r>
      <w:r>
        <w:rPr>
          <w:rFonts w:cs="宋体"/>
          <w:sz w:val="21"/>
          <w:szCs w:val="21"/>
        </w:rPr>
        <w:t xml:space="preserve">如为自有的，请在投标文件中提供购买发票；如为租赁的，请在投标文件中提供租赁合同</w:t>
      </w:r>
      <w:r>
        <w:rPr>
          <w:rFonts w:hint="eastAsia" w:cs="宋体"/>
          <w:sz w:val="21"/>
          <w:szCs w:val="21"/>
        </w:rPr>
        <w:t xml:space="preserve">和设备购买发票且租赁期限至少包含本项目履行期限</w:t>
      </w:r>
      <w:r>
        <w:rPr>
          <w:rFonts w:cs="宋体"/>
          <w:sz w:val="21"/>
          <w:szCs w:val="21"/>
        </w:rPr>
        <w:t xml:space="preserve">；不提供不得分</w:t>
      </w:r>
      <w:r>
        <w:rPr>
          <w:rFonts w:hint="eastAsia" w:cs="宋体"/>
          <w:sz w:val="21"/>
          <w:szCs w:val="21"/>
        </w:rPr>
        <w:t xml:space="preserve">。</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3</w:t>
      </w:r>
      <w:r>
        <w:rPr>
          <w:rFonts w:hint="eastAsia" w:cs="宋体"/>
          <w:sz w:val="21"/>
          <w:szCs w:val="21"/>
        </w:rPr>
        <w:t xml:space="preserve">、著作权证书（8分）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具有大数据+智慧园林管理平台类、数据资源一张图管理类、园林绿化数据采集类、园林绿化指标分析类软件著作权的，每提供一类得2分，最高得8分。</w:t>
      </w:r>
      <w:r>
        <w:rPr>
          <w:rFonts w:hint="eastAsia" w:cs="宋体"/>
          <w:sz w:val="21"/>
          <w:szCs w:val="21"/>
        </w:rPr>
        <w:t xml:space="preserve">需提供著作权证书扫描件，未提供不得分。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4</w:t>
      </w:r>
      <w:r>
        <w:rPr>
          <w:rFonts w:hint="eastAsia" w:cs="宋体"/>
          <w:sz w:val="21"/>
          <w:szCs w:val="21"/>
        </w:rPr>
        <w:t xml:space="preserve">、类似业绩（</w:t>
      </w:r>
      <w:r>
        <w:rPr>
          <w:rFonts w:hint="eastAsia" w:cs="宋体"/>
          <w:sz w:val="21"/>
          <w:szCs w:val="21"/>
        </w:rPr>
        <w:t xml:space="preserve">9</w:t>
      </w:r>
      <w:r>
        <w:rPr>
          <w:rFonts w:hint="eastAsia" w:cs="宋体"/>
          <w:sz w:val="21"/>
          <w:szCs w:val="21"/>
        </w:rPr>
        <w:t xml:space="preserve">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投标人自</w:t>
      </w:r>
      <w:r>
        <w:rPr>
          <w:rFonts w:cs="宋体"/>
          <w:sz w:val="21"/>
          <w:szCs w:val="21"/>
        </w:rPr>
        <w:t xml:space="preserve">2021</w:t>
      </w:r>
      <w:r>
        <w:rPr>
          <w:rFonts w:hint="eastAsia" w:cs="宋体"/>
          <w:sz w:val="21"/>
          <w:szCs w:val="21"/>
        </w:rPr>
        <w:t xml:space="preserve">年6月1日以来（以合同签订时间为准）具有类似项目业绩的，每提供一份项目合同得</w:t>
      </w:r>
      <w:r>
        <w:rPr>
          <w:rFonts w:hint="eastAsia" w:cs="宋体"/>
          <w:sz w:val="21"/>
          <w:szCs w:val="21"/>
        </w:rPr>
        <w:t xml:space="preserve">3</w:t>
      </w:r>
      <w:r>
        <w:rPr>
          <w:rFonts w:hint="eastAsia" w:cs="宋体"/>
          <w:sz w:val="21"/>
          <w:szCs w:val="21"/>
        </w:rPr>
        <w:t xml:space="preserve">分，最高得</w:t>
      </w:r>
      <w:r>
        <w:rPr>
          <w:rFonts w:hint="eastAsia" w:cs="宋体"/>
          <w:sz w:val="21"/>
          <w:szCs w:val="21"/>
        </w:rPr>
        <w:t xml:space="preserve">9</w:t>
      </w:r>
      <w:r>
        <w:rPr>
          <w:rFonts w:hint="eastAsia" w:cs="宋体"/>
          <w:sz w:val="21"/>
          <w:szCs w:val="21"/>
        </w:rPr>
        <w:t xml:space="preserve">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注：需提供类似项目业绩合同扫描件，未提供不得分。</w:t>
      </w:r>
      <w:bookmarkEnd w:id="10"/>
      <w:r>
        <w:rPr>
          <w:rFonts w:cs="宋体"/>
          <w:sz w:val="21"/>
          <w:szCs w:val="21"/>
        </w:rPr>
      </w:r>
      <w:r/>
    </w:p>
    <w:p>
      <w:pPr>
        <w:pStyle w:val="952"/>
        <w:ind w:firstLine="422"/>
        <w:spacing w:line="360" w:lineRule="auto"/>
        <w:rPr>
          <w:b/>
          <w:bCs/>
          <w:sz w:val="21"/>
          <w:szCs w:val="21"/>
        </w:rPr>
      </w:pPr>
      <w:r>
        <w:rPr>
          <w:b/>
          <w:bCs/>
          <w:sz w:val="21"/>
          <w:szCs w:val="21"/>
        </w:rPr>
      </w:r>
      <w:r/>
    </w:p>
    <w:p>
      <w:pPr>
        <w:pStyle w:val="952"/>
        <w:spacing w:line="360" w:lineRule="auto"/>
        <w:rPr>
          <w:b/>
          <w:bCs/>
          <w:sz w:val="21"/>
          <w:szCs w:val="21"/>
        </w:rPr>
      </w:pPr>
      <w:r>
        <w:rPr>
          <w:b/>
          <w:bCs/>
          <w:sz w:val="21"/>
          <w:szCs w:val="21"/>
        </w:rPr>
      </w:r>
      <w:r/>
    </w:p>
    <w:p>
      <w:pPr>
        <w:pStyle w:val="952"/>
        <w:spacing w:line="360" w:lineRule="auto"/>
        <w:rPr>
          <w:sz w:val="21"/>
          <w:szCs w:val="21"/>
        </w:rPr>
      </w:pPr>
      <w:r>
        <w:rPr>
          <w:rFonts w:hint="eastAsia"/>
          <w:b/>
          <w:bCs/>
          <w:sz w:val="21"/>
          <w:szCs w:val="21"/>
        </w:rPr>
        <w:t xml:space="preserve">注</w:t>
      </w:r>
      <w:r>
        <w:rPr>
          <w:rFonts w:hint="eastAsia"/>
          <w:sz w:val="21"/>
          <w:szCs w:val="21"/>
        </w:rPr>
        <w:t xml:space="preserve">：1、</w:t>
      </w:r>
      <w:r>
        <w:rPr>
          <w:sz w:val="21"/>
          <w:szCs w:val="21"/>
        </w:rPr>
        <w:t xml:space="preserve">报价超过</w:t>
      </w:r>
      <w:r>
        <w:rPr>
          <w:rFonts w:hint="eastAsia"/>
          <w:sz w:val="21"/>
          <w:szCs w:val="21"/>
        </w:rPr>
        <w:t xml:space="preserve">最高限价</w:t>
      </w:r>
      <w:r>
        <w:rPr>
          <w:sz w:val="21"/>
          <w:szCs w:val="21"/>
        </w:rPr>
        <w:t xml:space="preserve">的为无效投标。</w:t>
      </w:r>
      <w:r/>
    </w:p>
    <w:p>
      <w:pPr>
        <w:pStyle w:val="952"/>
        <w:ind w:firstLine="420"/>
        <w:spacing w:line="360" w:lineRule="auto"/>
        <w:rPr>
          <w:sz w:val="21"/>
          <w:szCs w:val="21"/>
        </w:rPr>
      </w:pPr>
      <w:r>
        <w:rPr>
          <w:sz w:val="21"/>
          <w:szCs w:val="21"/>
        </w:rPr>
        <w:t xml:space="preserve">2</w:t>
      </w:r>
      <w:r>
        <w:rPr>
          <w:rFonts w:hint="eastAsia"/>
          <w:sz w:val="21"/>
          <w:szCs w:val="21"/>
        </w:rPr>
        <w:t xml:space="preserve">、对应评审项，上传相应证明材料，若要求提供原件的需上传原件扫描件；</w:t>
      </w:r>
      <w:r>
        <w:rPr>
          <w:sz w:val="21"/>
          <w:szCs w:val="21"/>
        </w:rPr>
      </w:r>
      <w:r/>
    </w:p>
    <w:p>
      <w:pPr>
        <w:pStyle w:val="952"/>
        <w:ind w:firstLine="420"/>
        <w:spacing w:line="360" w:lineRule="auto"/>
        <w:rPr>
          <w:sz w:val="21"/>
          <w:szCs w:val="21"/>
        </w:rPr>
      </w:pPr>
      <w:r>
        <w:rPr>
          <w:sz w:val="21"/>
          <w:szCs w:val="21"/>
        </w:rPr>
        <w:t xml:space="preserve">3、</w:t>
      </w:r>
      <w:r>
        <w:rPr>
          <w:bCs/>
          <w:sz w:val="21"/>
          <w:szCs w:val="21"/>
        </w:rPr>
        <w:t xml:space="preserve">投标人所提供的证书或材料</w:t>
      </w:r>
      <w:r>
        <w:rPr>
          <w:rFonts w:hint="eastAsia"/>
          <w:bCs/>
          <w:sz w:val="21"/>
          <w:szCs w:val="21"/>
        </w:rPr>
        <w:t xml:space="preserve">扫描件</w:t>
      </w:r>
      <w:r>
        <w:rPr>
          <w:bCs/>
          <w:sz w:val="21"/>
          <w:szCs w:val="21"/>
        </w:rPr>
        <w:t xml:space="preserve">需加盖投标单位</w:t>
      </w:r>
      <w:r>
        <w:rPr>
          <w:rFonts w:hint="eastAsia"/>
          <w:bCs/>
          <w:sz w:val="21"/>
          <w:szCs w:val="21"/>
        </w:rPr>
        <w:t xml:space="preserve">电子公</w:t>
      </w:r>
      <w:r>
        <w:rPr>
          <w:bCs/>
          <w:sz w:val="21"/>
          <w:szCs w:val="21"/>
        </w:rPr>
        <w:t xml:space="preserve">章，否则不得分。</w:t>
      </w:r>
      <w:r>
        <w:rPr>
          <w:sz w:val="21"/>
          <w:szCs w:val="21"/>
        </w:rPr>
      </w:r>
      <w:r/>
    </w:p>
    <w:p>
      <w:pPr>
        <w:pStyle w:val="952"/>
        <w:ind w:firstLine="420"/>
        <w:spacing w:line="360" w:lineRule="auto"/>
        <w:rPr>
          <w:rFonts w:cs="宋体"/>
          <w:sz w:val="21"/>
          <w:szCs w:val="21"/>
        </w:rPr>
      </w:pPr>
      <w:r>
        <w:rPr>
          <w:sz w:val="21"/>
          <w:szCs w:val="21"/>
        </w:rPr>
        <w:t xml:space="preserve">4、</w:t>
      </w:r>
      <w:r>
        <w:rPr>
          <w:rFonts w:hint="eastAsia" w:cs="宋体"/>
          <w:sz w:val="21"/>
          <w:szCs w:val="21"/>
        </w:rPr>
        <w:t xml:space="preserve">针对评分标准中评分的每一条，投标供应商</w:t>
      </w:r>
      <w:r>
        <w:rPr>
          <w:rFonts w:hint="eastAsia" w:cs="宋体"/>
          <w:sz w:val="21"/>
          <w:szCs w:val="21"/>
        </w:rPr>
        <w:t xml:space="preserve">均须在投标文件中提供相关资料的扫描件加盖公章并作出相应说明供评委评判，不提供相关资料的视为不具备该项得分的条件。</w:t>
      </w:r>
      <w:r>
        <w:rPr>
          <w:rFonts w:cs="宋体"/>
          <w:sz w:val="21"/>
          <w:szCs w:val="21"/>
        </w:rPr>
      </w:r>
      <w:r/>
    </w:p>
    <w:p>
      <w:pPr>
        <w:pStyle w:val="952"/>
        <w:ind w:firstLine="420"/>
        <w:spacing w:line="360" w:lineRule="auto"/>
        <w:rPr>
          <w:sz w:val="21"/>
          <w:szCs w:val="21"/>
        </w:rPr>
      </w:pPr>
      <w:r>
        <w:rPr>
          <w:sz w:val="21"/>
          <w:szCs w:val="21"/>
        </w:rPr>
        <w:t xml:space="preserve">5、</w:t>
      </w:r>
      <w:r>
        <w:rPr>
          <w:rFonts w:hint="eastAsia"/>
          <w:sz w:val="21"/>
          <w:szCs w:val="21"/>
        </w:rPr>
        <w:t xml:space="preserve">所有扫描件字迹须扫描清晰可见，</w:t>
      </w:r>
      <w:r>
        <w:rPr>
          <w:sz w:val="21"/>
          <w:szCs w:val="21"/>
        </w:rPr>
        <w:t xml:space="preserve">字迹不清晰或</w:t>
      </w:r>
      <w:r>
        <w:rPr>
          <w:rFonts w:hint="eastAsia"/>
          <w:sz w:val="21"/>
          <w:szCs w:val="21"/>
        </w:rPr>
        <w:t xml:space="preserve">扫描</w:t>
      </w:r>
      <w:r>
        <w:rPr>
          <w:sz w:val="21"/>
          <w:szCs w:val="21"/>
        </w:rPr>
        <w:t xml:space="preserve">不全，视为未提供。</w:t>
      </w:r>
      <w:r/>
    </w:p>
    <w:p>
      <w:pPr>
        <w:pStyle w:val="952"/>
        <w:ind w:right="840"/>
        <w:jc w:val="right"/>
        <w:spacing w:line="360" w:lineRule="auto"/>
        <w:rPr>
          <w:rFonts w:hint="eastAsia" w:cs="宋体"/>
          <w:sz w:val="21"/>
          <w:szCs w:val="21"/>
        </w:rPr>
      </w:pPr>
      <w:r>
        <w:rPr>
          <w:rFonts w:hint="eastAsia" w:cs="宋体"/>
          <w:sz w:val="21"/>
          <w:szCs w:val="21"/>
        </w:rPr>
        <w:t xml:space="preserve">（全文完）</w:t>
      </w:r>
      <w:r/>
    </w:p>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等线">
    <w:panose1 w:val="02010600030101010101"/>
  </w:font>
  <w:font w:name="仿宋">
    <w:panose1 w:val="02010609060101010101"/>
  </w:font>
  <w:font w:name="汉仪细等线简">
    <w:panose1 w:val="020B0503020202020204"/>
  </w:font>
  <w:font w:name="Wingdings">
    <w:panose1 w:val="05000000000000000000"/>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10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Style w:val="1035"/>
      </w:rPr>
      <w:framePr w:wrap="around" w:vAnchor="text" w:hAnchor="margin" w:xAlign="center" w:y="1"/>
    </w:pPr>
    <w:r>
      <w:fldChar w:fldCharType="begin"/>
    </w:r>
    <w:r>
      <w:rPr>
        <w:rStyle w:val="1035"/>
      </w:rPr>
      <w:instrText xml:space="preserve">PAGE  </w:instrText>
    </w:r>
    <w:r>
      <w:fldChar w:fldCharType="end"/>
    </w:r>
    <w:r>
      <w:rPr>
        <w:rStyle w:val="1035"/>
      </w:rPr>
    </w:r>
    <w:r/>
  </w:p>
  <w:p>
    <w:pPr>
      <w:pStyle w:val="10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10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9"/>
      <w:isLgl w:val="false"/>
      <w:suff w:val="tab"/>
      <w:lvlText w:val="%1."/>
      <w:lvlJc w:val="left"/>
      <w:pPr>
        <w:pStyle w:val="952"/>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63"/>
      <w:isLgl w:val="false"/>
      <w:suff w:val="tab"/>
      <w:lvlText w:val="%1、"/>
      <w:lvlJc w:val="left"/>
      <w:pPr>
        <w:pStyle w:val="952"/>
        <w:ind w:left="420" w:hanging="420"/>
        <w:tabs>
          <w:tab w:val="num" w:pos="420" w:leader="none"/>
        </w:tabs>
      </w:pPr>
      <w:rPr>
        <w:rFonts w:hint="eastAsia"/>
      </w:rPr>
    </w:lvl>
    <w:lvl w:ilvl="1">
      <w:start w:val="0"/>
      <w:numFmt w:val="bullet"/>
      <w:isLgl w:val="false"/>
      <w:suff w:val="tab"/>
      <w:lvlText w:val="★"/>
      <w:lvlJc w:val="left"/>
      <w:pPr>
        <w:pStyle w:val="952"/>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952"/>
        <w:ind w:left="1080" w:hanging="420"/>
        <w:tabs>
          <w:tab w:val="num" w:pos="1080" w:leader="none"/>
        </w:tabs>
      </w:pPr>
      <w:rPr>
        <w:rFonts w:hint="eastAsia"/>
      </w:rPr>
    </w:lvl>
    <w:lvl w:ilvl="3">
      <w:start w:val="1"/>
      <w:numFmt w:val="decimal"/>
      <w:isLgl w:val="false"/>
      <w:suff w:val="tab"/>
      <w:lvlText w:val="（%4）"/>
      <w:lvlJc w:val="left"/>
      <w:pPr>
        <w:pStyle w:val="952"/>
        <w:ind w:left="1800" w:hanging="720"/>
        <w:tabs>
          <w:tab w:val="num" w:pos="1800" w:leader="none"/>
        </w:tabs>
      </w:pPr>
    </w:lvl>
    <w:lvl w:ilvl="4">
      <w:start w:val="2"/>
      <w:numFmt w:val="upperLetter"/>
      <w:isLgl w:val="false"/>
      <w:suff w:val="tab"/>
      <w:lvlText w:val="%5、"/>
      <w:lvlJc w:val="left"/>
      <w:pPr>
        <w:pStyle w:val="952"/>
        <w:ind w:left="1860" w:hanging="360"/>
        <w:tabs>
          <w:tab w:val="num" w:pos="1860" w:leader="none"/>
        </w:tabs>
      </w:pPr>
    </w:lvl>
    <w:lvl w:ilvl="5">
      <w:start w:val="3"/>
      <w:numFmt w:val="upperLetter"/>
      <w:isLgl w:val="false"/>
      <w:suff w:val="tab"/>
      <w:lvlText w:val="%6、"/>
      <w:lvlJc w:val="left"/>
      <w:pPr>
        <w:pStyle w:val="952"/>
        <w:ind w:left="2280" w:hanging="360"/>
        <w:tabs>
          <w:tab w:val="num" w:pos="2280" w:leader="none"/>
        </w:tabs>
      </w:pPr>
      <w:rPr>
        <w:rFonts w:ascii="Arial" w:hAnsi="Arial" w:eastAsia="黑体"/>
        <w:b w:val="0"/>
      </w:rPr>
    </w:lvl>
    <w:lvl w:ilvl="6">
      <w:start w:val="1"/>
      <w:numFmt w:val="decimal"/>
      <w:isLgl w:val="false"/>
      <w:suff w:val="tab"/>
      <w:lvlText w:val="%7."/>
      <w:lvlJc w:val="left"/>
      <w:pPr>
        <w:pStyle w:val="952"/>
        <w:ind w:left="2760" w:hanging="420"/>
        <w:tabs>
          <w:tab w:val="num" w:pos="2760" w:leader="none"/>
        </w:tabs>
      </w:pPr>
    </w:lvl>
    <w:lvl w:ilvl="7">
      <w:start w:val="1"/>
      <w:numFmt w:val="lowerLetter"/>
      <w:isLgl w:val="false"/>
      <w:suff w:val="tab"/>
      <w:lvlText w:val="%8)"/>
      <w:lvlJc w:val="left"/>
      <w:pPr>
        <w:pStyle w:val="952"/>
        <w:ind w:left="3180" w:hanging="420"/>
        <w:tabs>
          <w:tab w:val="num" w:pos="3180" w:leader="none"/>
        </w:tabs>
      </w:pPr>
    </w:lvl>
    <w:lvl w:ilvl="8">
      <w:start w:val="1"/>
      <w:numFmt w:val="lowerRoman"/>
      <w:isLgl w:val="false"/>
      <w:suff w:val="tab"/>
      <w:lvlText w:val="%9."/>
      <w:lvlJc w:val="right"/>
      <w:pPr>
        <w:pStyle w:val="952"/>
        <w:ind w:left="3600" w:hanging="420"/>
        <w:tabs>
          <w:tab w:val="num" w:pos="3600" w:leader="none"/>
        </w:tabs>
      </w:pPr>
    </w:lvl>
  </w:abstractNum>
  <w:abstractNum w:abstractNumId="2">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5.%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3">
    <w:multiLevelType w:val="hybridMultilevel"/>
    <w:lvl w:ilvl="0">
      <w:start w:val="1"/>
      <w:numFmt w:val="decimal"/>
      <w:isLgl w:val="false"/>
      <w:suff w:val="tab"/>
      <w:lvlText w:val="2.%1"/>
      <w:lvlJc w:val="left"/>
      <w:pPr>
        <w:pStyle w:val="952"/>
        <w:ind w:left="360" w:hanging="360"/>
        <w:tabs>
          <w:tab w:val="num" w:pos="360" w:leader="none"/>
        </w:tabs>
      </w:pPr>
    </w:lvl>
    <w:lvl w:ilvl="1">
      <w:start w:val="1"/>
      <w:numFmt w:val="lowerLetter"/>
      <w:isLgl w:val="false"/>
      <w:suff w:val="tab"/>
      <w:lvlText w:val="%2)"/>
      <w:lvlJc w:val="left"/>
      <w:pPr>
        <w:pStyle w:val="952"/>
        <w:ind w:left="840" w:hanging="420"/>
        <w:tabs>
          <w:tab w:val="num" w:pos="840" w:leader="none"/>
        </w:tabs>
      </w:pPr>
    </w:lvl>
    <w:lvl w:ilvl="2">
      <w:start w:val="1"/>
      <w:numFmt w:val="lowerRoman"/>
      <w:isLgl w:val="false"/>
      <w:suff w:val="tab"/>
      <w:lvlText w:val="%3."/>
      <w:lvlJc w:val="right"/>
      <w:pPr>
        <w:pStyle w:val="952"/>
        <w:ind w:left="1260" w:hanging="420"/>
        <w:tabs>
          <w:tab w:val="num" w:pos="1260" w:leader="none"/>
        </w:tabs>
      </w:pPr>
    </w:lvl>
    <w:lvl w:ilvl="3">
      <w:start w:val="1"/>
      <w:numFmt w:val="decimal"/>
      <w:isLgl w:val="false"/>
      <w:suff w:val="tab"/>
      <w:lvlText w:val="%4."/>
      <w:lvlJc w:val="left"/>
      <w:pPr>
        <w:pStyle w:val="952"/>
        <w:ind w:left="1680" w:hanging="420"/>
        <w:tabs>
          <w:tab w:val="num" w:pos="1680" w:leader="none"/>
        </w:tabs>
      </w:pPr>
    </w:lvl>
    <w:lvl w:ilvl="4">
      <w:start w:val="1"/>
      <w:numFmt w:val="lowerLetter"/>
      <w:isLgl w:val="false"/>
      <w:suff w:val="tab"/>
      <w:lvlText w:val="%5)"/>
      <w:lvlJc w:val="left"/>
      <w:pPr>
        <w:pStyle w:val="952"/>
        <w:ind w:left="2100" w:hanging="420"/>
        <w:tabs>
          <w:tab w:val="num" w:pos="2100" w:leader="none"/>
        </w:tabs>
      </w:pPr>
    </w:lvl>
    <w:lvl w:ilvl="5">
      <w:start w:val="1"/>
      <w:numFmt w:val="lowerRoman"/>
      <w:isLgl w:val="false"/>
      <w:suff w:val="tab"/>
      <w:lvlText w:val="%6."/>
      <w:lvlJc w:val="right"/>
      <w:pPr>
        <w:pStyle w:val="952"/>
        <w:ind w:left="2520" w:hanging="420"/>
        <w:tabs>
          <w:tab w:val="num" w:pos="2520" w:leader="none"/>
        </w:tabs>
      </w:pPr>
    </w:lvl>
    <w:lvl w:ilvl="6">
      <w:start w:val="1"/>
      <w:numFmt w:val="decimal"/>
      <w:isLgl w:val="false"/>
      <w:suff w:val="tab"/>
      <w:lvlText w:val="%7."/>
      <w:lvlJc w:val="left"/>
      <w:pPr>
        <w:pStyle w:val="952"/>
        <w:ind w:left="2940" w:hanging="420"/>
        <w:tabs>
          <w:tab w:val="num" w:pos="2940" w:leader="none"/>
        </w:tabs>
      </w:pPr>
    </w:lvl>
    <w:lvl w:ilvl="7">
      <w:start w:val="1"/>
      <w:numFmt w:val="lowerLetter"/>
      <w:isLgl w:val="false"/>
      <w:suff w:val="tab"/>
      <w:lvlText w:val="%8)"/>
      <w:lvlJc w:val="left"/>
      <w:pPr>
        <w:pStyle w:val="952"/>
        <w:ind w:left="3360" w:hanging="420"/>
        <w:tabs>
          <w:tab w:val="num" w:pos="3360" w:leader="none"/>
        </w:tabs>
      </w:pPr>
    </w:lvl>
    <w:lvl w:ilvl="8">
      <w:start w:val="1"/>
      <w:numFmt w:val="lowerRoman"/>
      <w:isLgl w:val="false"/>
      <w:suff w:val="tab"/>
      <w:lvlText w:val="%9."/>
      <w:lvlJc w:val="right"/>
      <w:pPr>
        <w:pStyle w:val="952"/>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4.%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5">
    <w:multiLevelType w:val="hybridMultilevel"/>
    <w:lvl w:ilvl="0">
      <w:start w:val="13"/>
      <w:numFmt w:val="decimal"/>
      <w:pStyle w:val="1493"/>
      <w:isLgl w:val="false"/>
      <w:suff w:val="tab"/>
      <w:lvlText w:val="%1.3"/>
      <w:lvlJc w:val="left"/>
      <w:pPr>
        <w:pStyle w:val="952"/>
        <w:ind w:left="425" w:hanging="425"/>
        <w:tabs>
          <w:tab w:val="num" w:pos="425" w:leader="none"/>
        </w:tabs>
      </w:pPr>
      <w:rPr>
        <w:rFonts w:hint="eastAsia"/>
      </w:rPr>
    </w:lvl>
    <w:lvl w:ilvl="1">
      <w:start w:val="1"/>
      <w:numFmt w:val="decimal"/>
      <w:isLgl w:val="false"/>
      <w:suff w:val="tab"/>
      <w:lvlText w:val="%2.3.1"/>
      <w:lvlJc w:val="left"/>
      <w:pPr>
        <w:pStyle w:val="952"/>
        <w:ind w:left="567" w:hanging="567"/>
        <w:tabs>
          <w:tab w:val="num" w:pos="720" w:leader="none"/>
        </w:tabs>
      </w:pPr>
      <w:rPr>
        <w:rFonts w:hint="eastAsia"/>
      </w:rPr>
    </w:lvl>
    <w:lvl w:ilvl="2">
      <w:start w:val="1"/>
      <w:numFmt w:val="decimal"/>
      <w:isLgl w:val="false"/>
      <w:suff w:val="tab"/>
      <w:lvlText w:val="13.3.%3"/>
      <w:lvlJc w:val="left"/>
      <w:pPr>
        <w:pStyle w:val="952"/>
        <w:ind w:left="709" w:hanging="709"/>
        <w:tabs>
          <w:tab w:val="num" w:pos="720" w:leader="none"/>
        </w:tabs>
      </w:pPr>
      <w:rPr>
        <w:rFonts w:hint="eastAsia"/>
      </w:rPr>
    </w:lvl>
    <w:lvl w:ilvl="3">
      <w:start w:val="1"/>
      <w:numFmt w:val="decimal"/>
      <w:isLgl w:val="false"/>
      <w:suff w:val="tab"/>
      <w:lvlText w:val="%43.3.1.1"/>
      <w:lvlJc w:val="left"/>
      <w:pPr>
        <w:pStyle w:val="952"/>
        <w:ind w:left="851" w:hanging="851"/>
        <w:tabs>
          <w:tab w:val="num" w:pos="1080" w:leader="none"/>
        </w:tabs>
      </w:pPr>
      <w:rPr>
        <w:rFonts w:hint="eastAsia"/>
      </w:rPr>
    </w:lvl>
    <w:lvl w:ilvl="4">
      <w:start w:val="1"/>
      <w:numFmt w:val="decimal"/>
      <w:isLgl w:val="false"/>
      <w:suff w:val="tab"/>
      <w:lvlText w:val="%513.3.%4"/>
      <w:lvlJc w:val="left"/>
      <w:pPr>
        <w:pStyle w:val="952"/>
        <w:ind w:left="992" w:hanging="992"/>
        <w:tabs>
          <w:tab w:val="num" w:pos="992" w:leader="none"/>
        </w:tabs>
      </w:pPr>
      <w:rPr>
        <w:rFonts w:hint="eastAsia"/>
      </w:rPr>
    </w:lvl>
    <w:lvl w:ilvl="5">
      <w:start w:val="1"/>
      <w:numFmt w:val="decimal"/>
      <w:isLgl w:val="false"/>
      <w:suff w:val="tab"/>
      <w:lvlText w:val="%613.3.%41.1.1.1"/>
      <w:lvlJc w:val="left"/>
      <w:pPr>
        <w:pStyle w:val="952"/>
        <w:ind w:left="1134" w:hanging="1134"/>
        <w:tabs>
          <w:tab w:val="num" w:pos="1800" w:leader="none"/>
        </w:tabs>
      </w:pPr>
      <w:rPr>
        <w:rFonts w:hint="eastAsia"/>
      </w:rPr>
    </w:lvl>
    <w:lvl w:ilvl="6">
      <w:start w:val="1"/>
      <w:numFmt w:val="decimal"/>
      <w:isLgl w:val="false"/>
      <w:suff w:val="tab"/>
      <w:lvlText w:val="13.3.%41.1.1.1.1"/>
      <w:lvlJc w:val="left"/>
      <w:pPr>
        <w:pStyle w:val="952"/>
        <w:ind w:left="1276" w:hanging="1276"/>
        <w:tabs>
          <w:tab w:val="num" w:pos="1800" w:leader="none"/>
        </w:tabs>
      </w:pPr>
      <w:rPr>
        <w:rFonts w:hint="eastAsia"/>
      </w:rPr>
    </w:lvl>
    <w:lvl w:ilvl="7">
      <w:start w:val="1"/>
      <w:numFmt w:val="decimal"/>
      <w:isLgl w:val="false"/>
      <w:suff w:val="tab"/>
      <w:lvlText w:val="13.3.1.1.1.1.1.1"/>
      <w:lvlJc w:val="left"/>
      <w:pPr>
        <w:pStyle w:val="952"/>
        <w:ind w:left="1418" w:hanging="1418"/>
        <w:tabs>
          <w:tab w:val="num" w:pos="2160" w:leader="none"/>
        </w:tabs>
      </w:pPr>
      <w:rPr>
        <w:rFonts w:hint="eastAsia"/>
      </w:rPr>
    </w:lvl>
    <w:lvl w:ilvl="8">
      <w:start w:val="1"/>
      <w:numFmt w:val="decimal"/>
      <w:isLgl w:val="false"/>
      <w:suff w:val="tab"/>
      <w:lvlText w:val="13.3.%41.1.1.1.1.1.1"/>
      <w:lvlJc w:val="left"/>
      <w:pPr>
        <w:pStyle w:val="952"/>
        <w:ind w:left="1559" w:hanging="1559"/>
        <w:tabs>
          <w:tab w:val="num" w:pos="2520" w:leader="none"/>
        </w:tabs>
      </w:pPr>
      <w:rPr>
        <w:rFonts w:hint="eastAsia"/>
      </w:rPr>
    </w:lvl>
  </w:abstractNum>
  <w:abstractNum w:abstractNumId="6">
    <w:multiLevelType w:val="hybridMultilevel"/>
    <w:lvl w:ilvl="0">
      <w:start w:val="2"/>
      <w:numFmt w:val="decimal"/>
      <w:pStyle w:val="1501"/>
      <w:isLgl w:val="false"/>
      <w:suff w:val="tab"/>
      <w:lvlText w:val="（%1）"/>
      <w:lvlJc w:val="left"/>
      <w:pPr>
        <w:pStyle w:val="952"/>
        <w:ind w:left="720" w:hanging="720"/>
        <w:tabs>
          <w:tab w:val="num" w:pos="720" w:leader="none"/>
        </w:tabs>
      </w:pPr>
    </w:lvl>
    <w:lvl w:ilvl="1">
      <w:start w:val="1"/>
      <w:numFmt w:val="lowerLetter"/>
      <w:isLgl w:val="false"/>
      <w:suff w:val="tab"/>
      <w:lvlText w:val="%2)"/>
      <w:lvlJc w:val="left"/>
      <w:pPr>
        <w:pStyle w:val="952"/>
        <w:ind w:left="840" w:hanging="420"/>
        <w:tabs>
          <w:tab w:val="num" w:pos="840" w:leader="none"/>
        </w:tabs>
      </w:pPr>
    </w:lvl>
    <w:lvl w:ilvl="2">
      <w:start w:val="1"/>
      <w:numFmt w:val="lowerRoman"/>
      <w:isLgl w:val="false"/>
      <w:suff w:val="tab"/>
      <w:lvlText w:val="%3."/>
      <w:lvlJc w:val="right"/>
      <w:pPr>
        <w:pStyle w:val="952"/>
        <w:ind w:left="1260" w:hanging="420"/>
        <w:tabs>
          <w:tab w:val="num" w:pos="1260" w:leader="none"/>
        </w:tabs>
      </w:pPr>
    </w:lvl>
    <w:lvl w:ilvl="3">
      <w:start w:val="1"/>
      <w:numFmt w:val="decimal"/>
      <w:isLgl w:val="false"/>
      <w:suff w:val="tab"/>
      <w:lvlText w:val="%4."/>
      <w:lvlJc w:val="left"/>
      <w:pPr>
        <w:pStyle w:val="952"/>
        <w:ind w:left="1680" w:hanging="420"/>
        <w:tabs>
          <w:tab w:val="num" w:pos="1680" w:leader="none"/>
        </w:tabs>
      </w:pPr>
    </w:lvl>
    <w:lvl w:ilvl="4">
      <w:start w:val="1"/>
      <w:numFmt w:val="lowerLetter"/>
      <w:isLgl w:val="false"/>
      <w:suff w:val="tab"/>
      <w:lvlText w:val="%5)"/>
      <w:lvlJc w:val="left"/>
      <w:pPr>
        <w:pStyle w:val="952"/>
        <w:ind w:left="2100" w:hanging="420"/>
        <w:tabs>
          <w:tab w:val="num" w:pos="2100" w:leader="none"/>
        </w:tabs>
      </w:pPr>
    </w:lvl>
    <w:lvl w:ilvl="5">
      <w:start w:val="1"/>
      <w:numFmt w:val="lowerRoman"/>
      <w:isLgl w:val="false"/>
      <w:suff w:val="tab"/>
      <w:lvlText w:val="%6."/>
      <w:lvlJc w:val="right"/>
      <w:pPr>
        <w:pStyle w:val="952"/>
        <w:ind w:left="2520" w:hanging="420"/>
        <w:tabs>
          <w:tab w:val="num" w:pos="2520" w:leader="none"/>
        </w:tabs>
      </w:pPr>
    </w:lvl>
    <w:lvl w:ilvl="6">
      <w:start w:val="1"/>
      <w:numFmt w:val="decimal"/>
      <w:isLgl w:val="false"/>
      <w:suff w:val="tab"/>
      <w:lvlText w:val="%7."/>
      <w:lvlJc w:val="left"/>
      <w:pPr>
        <w:pStyle w:val="952"/>
        <w:ind w:left="2940" w:hanging="420"/>
        <w:tabs>
          <w:tab w:val="num" w:pos="2940" w:leader="none"/>
        </w:tabs>
      </w:pPr>
    </w:lvl>
    <w:lvl w:ilvl="7">
      <w:start w:val="1"/>
      <w:numFmt w:val="lowerLetter"/>
      <w:isLgl w:val="false"/>
      <w:suff w:val="tab"/>
      <w:lvlText w:val="%8)"/>
      <w:lvlJc w:val="left"/>
      <w:pPr>
        <w:pStyle w:val="952"/>
        <w:ind w:left="3360" w:hanging="420"/>
        <w:tabs>
          <w:tab w:val="num" w:pos="3360" w:leader="none"/>
        </w:tabs>
      </w:pPr>
    </w:lvl>
    <w:lvl w:ilvl="8">
      <w:start w:val="1"/>
      <w:numFmt w:val="lowerRoman"/>
      <w:isLgl w:val="false"/>
      <w:suff w:val="tab"/>
      <w:lvlText w:val="%9."/>
      <w:lvlJc w:val="right"/>
      <w:pPr>
        <w:pStyle w:val="952"/>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7.%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8">
    <w:multiLevelType w:val="hybridMultilevel"/>
    <w:lvl w:ilvl="0">
      <w:start w:val="1"/>
      <w:numFmt w:val="decimal"/>
      <w:pStyle w:val="1405"/>
      <w:isLgl w:val="false"/>
      <w:suff w:val="tab"/>
      <w:lvlText w:val="%1)"/>
      <w:lvlJc w:val="left"/>
      <w:pPr>
        <w:pStyle w:val="952"/>
        <w:ind w:left="420" w:hanging="420"/>
        <w:tabs>
          <w:tab w:val="num" w:pos="420" w:leader="none"/>
        </w:tabs>
      </w:pPr>
    </w:lvl>
    <w:lvl w:ilvl="1">
      <w:start w:val="1"/>
      <w:numFmt w:val="lowerLetter"/>
      <w:isLgl w:val="false"/>
      <w:suff w:val="tab"/>
      <w:lvlText w:val="%2)"/>
      <w:lvlJc w:val="left"/>
      <w:pPr>
        <w:pStyle w:val="952"/>
        <w:ind w:left="840" w:hanging="420"/>
        <w:tabs>
          <w:tab w:val="num" w:pos="840" w:leader="none"/>
        </w:tabs>
      </w:pPr>
    </w:lvl>
    <w:lvl w:ilvl="2">
      <w:start w:val="1"/>
      <w:numFmt w:val="lowerRoman"/>
      <w:isLgl w:val="false"/>
      <w:suff w:val="tab"/>
      <w:lvlText w:val="%3."/>
      <w:lvlJc w:val="right"/>
      <w:pPr>
        <w:pStyle w:val="952"/>
        <w:ind w:left="1260" w:hanging="420"/>
        <w:tabs>
          <w:tab w:val="num" w:pos="1260" w:leader="none"/>
        </w:tabs>
      </w:pPr>
    </w:lvl>
    <w:lvl w:ilvl="3">
      <w:start w:val="1"/>
      <w:numFmt w:val="decimal"/>
      <w:isLgl w:val="false"/>
      <w:suff w:val="tab"/>
      <w:lvlText w:val="%4."/>
      <w:lvlJc w:val="left"/>
      <w:pPr>
        <w:pStyle w:val="952"/>
        <w:ind w:left="1680" w:hanging="420"/>
        <w:tabs>
          <w:tab w:val="num" w:pos="1680" w:leader="none"/>
        </w:tabs>
      </w:pPr>
    </w:lvl>
    <w:lvl w:ilvl="4">
      <w:start w:val="1"/>
      <w:numFmt w:val="lowerLetter"/>
      <w:isLgl w:val="false"/>
      <w:suff w:val="tab"/>
      <w:lvlText w:val="%5)"/>
      <w:lvlJc w:val="left"/>
      <w:pPr>
        <w:pStyle w:val="952"/>
        <w:ind w:left="2100" w:hanging="420"/>
        <w:tabs>
          <w:tab w:val="num" w:pos="2100" w:leader="none"/>
        </w:tabs>
      </w:pPr>
    </w:lvl>
    <w:lvl w:ilvl="5">
      <w:start w:val="1"/>
      <w:numFmt w:val="lowerRoman"/>
      <w:isLgl w:val="false"/>
      <w:suff w:val="tab"/>
      <w:lvlText w:val="%6."/>
      <w:lvlJc w:val="right"/>
      <w:pPr>
        <w:pStyle w:val="952"/>
        <w:ind w:left="2520" w:hanging="420"/>
        <w:tabs>
          <w:tab w:val="num" w:pos="2520" w:leader="none"/>
        </w:tabs>
      </w:pPr>
    </w:lvl>
    <w:lvl w:ilvl="6">
      <w:start w:val="1"/>
      <w:numFmt w:val="decimal"/>
      <w:isLgl w:val="false"/>
      <w:suff w:val="tab"/>
      <w:lvlText w:val="%7."/>
      <w:lvlJc w:val="left"/>
      <w:pPr>
        <w:pStyle w:val="952"/>
        <w:ind w:left="2940" w:hanging="420"/>
        <w:tabs>
          <w:tab w:val="num" w:pos="2940" w:leader="none"/>
        </w:tabs>
      </w:pPr>
    </w:lvl>
    <w:lvl w:ilvl="7">
      <w:start w:val="1"/>
      <w:numFmt w:val="lowerLetter"/>
      <w:isLgl w:val="false"/>
      <w:suff w:val="tab"/>
      <w:lvlText w:val="%8)"/>
      <w:lvlJc w:val="left"/>
      <w:pPr>
        <w:pStyle w:val="952"/>
        <w:ind w:left="3360" w:hanging="420"/>
        <w:tabs>
          <w:tab w:val="num" w:pos="3360" w:leader="none"/>
        </w:tabs>
      </w:pPr>
    </w:lvl>
    <w:lvl w:ilvl="8">
      <w:start w:val="1"/>
      <w:numFmt w:val="lowerRoman"/>
      <w:isLgl w:val="false"/>
      <w:suff w:val="tab"/>
      <w:lvlText w:val="%9."/>
      <w:lvlJc w:val="right"/>
      <w:pPr>
        <w:pStyle w:val="952"/>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3.%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10">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9.%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11">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7.%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12">
    <w:multiLevelType w:val="hybridMultilevel"/>
    <w:lvl w:ilvl="0">
      <w:start w:val="1"/>
      <w:numFmt w:val="bullet"/>
      <w:pStyle w:val="1519"/>
      <w:isLgl w:val="false"/>
      <w:suff w:val="tab"/>
      <w:lvlText w:val=""/>
      <w:lvlJc w:val="left"/>
      <w:pPr>
        <w:pStyle w:val="952"/>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952"/>
        <w:ind w:left="840" w:hanging="420"/>
        <w:tabs>
          <w:tab w:val="num" w:pos="840" w:leader="none"/>
        </w:tabs>
      </w:pPr>
      <w:rPr>
        <w:rFonts w:ascii="Wingdings" w:hAnsi="Wingdings"/>
      </w:rPr>
    </w:lvl>
    <w:lvl w:ilvl="2">
      <w:start w:val="1"/>
      <w:numFmt w:val="bullet"/>
      <w:isLgl w:val="false"/>
      <w:suff w:val="tab"/>
      <w:lvlText w:val=""/>
      <w:lvlJc w:val="left"/>
      <w:pPr>
        <w:pStyle w:val="952"/>
        <w:ind w:left="1260" w:hanging="420"/>
        <w:tabs>
          <w:tab w:val="num" w:pos="1260" w:leader="none"/>
        </w:tabs>
      </w:pPr>
      <w:rPr>
        <w:rFonts w:ascii="Wingdings" w:hAnsi="Wingdings"/>
      </w:rPr>
    </w:lvl>
    <w:lvl w:ilvl="3">
      <w:start w:val="1"/>
      <w:numFmt w:val="bullet"/>
      <w:isLgl w:val="false"/>
      <w:suff w:val="tab"/>
      <w:lvlText w:val=""/>
      <w:lvlJc w:val="left"/>
      <w:pPr>
        <w:pStyle w:val="952"/>
        <w:ind w:left="1680" w:hanging="420"/>
        <w:tabs>
          <w:tab w:val="num" w:pos="1680" w:leader="none"/>
        </w:tabs>
      </w:pPr>
      <w:rPr>
        <w:rFonts w:ascii="Wingdings" w:hAnsi="Wingdings"/>
      </w:rPr>
    </w:lvl>
    <w:lvl w:ilvl="4">
      <w:start w:val="1"/>
      <w:numFmt w:val="bullet"/>
      <w:isLgl w:val="false"/>
      <w:suff w:val="tab"/>
      <w:lvlText w:val=""/>
      <w:lvlJc w:val="left"/>
      <w:pPr>
        <w:pStyle w:val="952"/>
        <w:ind w:left="2100" w:hanging="420"/>
        <w:tabs>
          <w:tab w:val="num" w:pos="2100" w:leader="none"/>
        </w:tabs>
      </w:pPr>
      <w:rPr>
        <w:rFonts w:ascii="Wingdings" w:hAnsi="Wingdings"/>
      </w:rPr>
    </w:lvl>
    <w:lvl w:ilvl="5">
      <w:start w:val="1"/>
      <w:numFmt w:val="bullet"/>
      <w:isLgl w:val="false"/>
      <w:suff w:val="tab"/>
      <w:lvlText w:val=""/>
      <w:lvlJc w:val="left"/>
      <w:pPr>
        <w:pStyle w:val="952"/>
        <w:ind w:left="2520" w:hanging="420"/>
        <w:tabs>
          <w:tab w:val="num" w:pos="2520" w:leader="none"/>
        </w:tabs>
      </w:pPr>
      <w:rPr>
        <w:rFonts w:ascii="Wingdings" w:hAnsi="Wingdings"/>
      </w:rPr>
    </w:lvl>
    <w:lvl w:ilvl="6">
      <w:start w:val="1"/>
      <w:numFmt w:val="bullet"/>
      <w:isLgl w:val="false"/>
      <w:suff w:val="tab"/>
      <w:lvlText w:val=""/>
      <w:lvlJc w:val="left"/>
      <w:pPr>
        <w:pStyle w:val="952"/>
        <w:ind w:left="2940" w:hanging="420"/>
        <w:tabs>
          <w:tab w:val="num" w:pos="2940" w:leader="none"/>
        </w:tabs>
      </w:pPr>
      <w:rPr>
        <w:rFonts w:ascii="Wingdings" w:hAnsi="Wingdings"/>
      </w:rPr>
    </w:lvl>
    <w:lvl w:ilvl="7">
      <w:start w:val="1"/>
      <w:numFmt w:val="bullet"/>
      <w:isLgl w:val="false"/>
      <w:suff w:val="tab"/>
      <w:lvlText w:val=""/>
      <w:lvlJc w:val="left"/>
      <w:pPr>
        <w:pStyle w:val="952"/>
        <w:ind w:left="3360" w:hanging="420"/>
        <w:tabs>
          <w:tab w:val="num" w:pos="3360" w:leader="none"/>
        </w:tabs>
      </w:pPr>
      <w:rPr>
        <w:rFonts w:ascii="Wingdings" w:hAnsi="Wingdings"/>
      </w:rPr>
    </w:lvl>
    <w:lvl w:ilvl="8">
      <w:start w:val="1"/>
      <w:numFmt w:val="bullet"/>
      <w:isLgl w:val="false"/>
      <w:suff w:val="tab"/>
      <w:lvlText w:val=""/>
      <w:lvlJc w:val="left"/>
      <w:pPr>
        <w:pStyle w:val="952"/>
        <w:ind w:left="3780" w:hanging="420"/>
        <w:tabs>
          <w:tab w:val="num" w:pos="3780" w:leader="none"/>
        </w:tabs>
      </w:pPr>
      <w:rPr>
        <w:rFonts w:ascii="Wingdings" w:hAnsi="Wingdings"/>
      </w:rPr>
    </w:lvl>
  </w:abstractNum>
  <w:abstractNum w:abstractNumId="13">
    <w:multiLevelType w:val="hybridMultilevel"/>
    <w:lvl w:ilvl="0">
      <w:start w:val="1"/>
      <w:numFmt w:val="bullet"/>
      <w:pStyle w:val="1365"/>
      <w:isLgl w:val="false"/>
      <w:suff w:val="tab"/>
      <w:lvlText w:val=""/>
      <w:lvlJc w:val="left"/>
      <w:pPr>
        <w:pStyle w:val="952"/>
        <w:ind w:left="794" w:hanging="312"/>
        <w:tabs>
          <w:tab w:val="num" w:pos="482" w:leader="none"/>
        </w:tabs>
      </w:pPr>
      <w:rPr>
        <w:rFonts w:ascii="Wingdings" w:hAnsi="Wingdings"/>
      </w:rPr>
    </w:lvl>
    <w:lvl w:ilvl="1">
      <w:start w:val="1"/>
      <w:numFmt w:val="decimal"/>
      <w:isLgl w:val="false"/>
      <w:suff w:val="tab"/>
      <w:lvlText w:val="%2."/>
      <w:lvlJc w:val="left"/>
      <w:pPr>
        <w:pStyle w:val="952"/>
        <w:ind w:left="840" w:hanging="420"/>
        <w:tabs>
          <w:tab w:val="num" w:pos="840" w:leader="none"/>
        </w:tabs>
      </w:pPr>
    </w:lvl>
    <w:lvl w:ilvl="2">
      <w:start w:val="1"/>
      <w:numFmt w:val="bullet"/>
      <w:isLgl w:val="false"/>
      <w:suff w:val="tab"/>
      <w:lvlText w:val=""/>
      <w:lvlJc w:val="left"/>
      <w:pPr>
        <w:pStyle w:val="952"/>
        <w:ind w:left="1260" w:hanging="420"/>
        <w:tabs>
          <w:tab w:val="num" w:pos="1260" w:leader="none"/>
        </w:tabs>
      </w:pPr>
      <w:rPr>
        <w:rFonts w:ascii="Wingdings" w:hAnsi="Wingdings"/>
      </w:rPr>
    </w:lvl>
    <w:lvl w:ilvl="3">
      <w:start w:val="1"/>
      <w:numFmt w:val="bullet"/>
      <w:isLgl w:val="false"/>
      <w:suff w:val="tab"/>
      <w:lvlText w:val=""/>
      <w:lvlJc w:val="left"/>
      <w:pPr>
        <w:pStyle w:val="952"/>
        <w:ind w:left="1680" w:hanging="420"/>
        <w:tabs>
          <w:tab w:val="num" w:pos="1680" w:leader="none"/>
        </w:tabs>
      </w:pPr>
      <w:rPr>
        <w:rFonts w:ascii="Wingdings" w:hAnsi="Wingdings"/>
      </w:rPr>
    </w:lvl>
    <w:lvl w:ilvl="4">
      <w:start w:val="1"/>
      <w:numFmt w:val="bullet"/>
      <w:isLgl w:val="false"/>
      <w:suff w:val="tab"/>
      <w:lvlText w:val=""/>
      <w:lvlJc w:val="left"/>
      <w:pPr>
        <w:pStyle w:val="952"/>
        <w:ind w:left="2100" w:hanging="420"/>
        <w:tabs>
          <w:tab w:val="num" w:pos="2100" w:leader="none"/>
        </w:tabs>
      </w:pPr>
      <w:rPr>
        <w:rFonts w:ascii="Wingdings" w:hAnsi="Wingdings"/>
      </w:rPr>
    </w:lvl>
    <w:lvl w:ilvl="5">
      <w:start w:val="1"/>
      <w:numFmt w:val="bullet"/>
      <w:isLgl w:val="false"/>
      <w:suff w:val="tab"/>
      <w:lvlText w:val=""/>
      <w:lvlJc w:val="left"/>
      <w:pPr>
        <w:pStyle w:val="952"/>
        <w:ind w:left="2520" w:hanging="420"/>
        <w:tabs>
          <w:tab w:val="num" w:pos="2520" w:leader="none"/>
        </w:tabs>
      </w:pPr>
      <w:rPr>
        <w:rFonts w:ascii="Wingdings" w:hAnsi="Wingdings"/>
      </w:rPr>
    </w:lvl>
    <w:lvl w:ilvl="6">
      <w:start w:val="1"/>
      <w:numFmt w:val="bullet"/>
      <w:isLgl w:val="false"/>
      <w:suff w:val="tab"/>
      <w:lvlText w:val=""/>
      <w:lvlJc w:val="left"/>
      <w:pPr>
        <w:pStyle w:val="952"/>
        <w:ind w:left="2940" w:hanging="420"/>
        <w:tabs>
          <w:tab w:val="num" w:pos="2940" w:leader="none"/>
        </w:tabs>
      </w:pPr>
      <w:rPr>
        <w:rFonts w:ascii="Wingdings" w:hAnsi="Wingdings"/>
      </w:rPr>
    </w:lvl>
    <w:lvl w:ilvl="7">
      <w:start w:val="1"/>
      <w:numFmt w:val="bullet"/>
      <w:isLgl w:val="false"/>
      <w:suff w:val="tab"/>
      <w:lvlText w:val=""/>
      <w:lvlJc w:val="left"/>
      <w:pPr>
        <w:pStyle w:val="952"/>
        <w:ind w:left="3360" w:hanging="420"/>
        <w:tabs>
          <w:tab w:val="num" w:pos="3360" w:leader="none"/>
        </w:tabs>
      </w:pPr>
      <w:rPr>
        <w:rFonts w:ascii="Wingdings" w:hAnsi="Wingdings"/>
      </w:rPr>
    </w:lvl>
    <w:lvl w:ilvl="8">
      <w:start w:val="1"/>
      <w:numFmt w:val="bullet"/>
      <w:isLgl w:val="false"/>
      <w:suff w:val="tab"/>
      <w:lvlText w:val=""/>
      <w:lvlJc w:val="left"/>
      <w:pPr>
        <w:pStyle w:val="952"/>
        <w:ind w:left="3780" w:hanging="420"/>
        <w:tabs>
          <w:tab w:val="num" w:pos="3780" w:leader="none"/>
        </w:tabs>
      </w:pPr>
      <w:rPr>
        <w:rFonts w:ascii="Wingdings" w:hAnsi="Wingdings"/>
      </w:rPr>
    </w:lvl>
  </w:abstractNum>
  <w:abstractNum w:abstractNumId="14">
    <w:multiLevelType w:val="hybridMultilevel"/>
    <w:lvl w:ilvl="0">
      <w:start w:val="1"/>
      <w:numFmt w:val="japaneseCounting"/>
      <w:pStyle w:val="1195"/>
      <w:isLgl w:val="false"/>
      <w:suff w:val="tab"/>
      <w:lvlText w:val="%1、"/>
      <w:lvlJc w:val="left"/>
      <w:pPr>
        <w:pStyle w:val="952"/>
        <w:ind w:left="720" w:hanging="720"/>
        <w:tabs>
          <w:tab w:val="num" w:pos="720" w:leader="none"/>
        </w:tabs>
      </w:pPr>
      <w:rPr>
        <w:rFonts w:hint="eastAsia"/>
        <w:lang w:val="en-US"/>
      </w:rPr>
    </w:lvl>
    <w:lvl w:ilvl="1">
      <w:start w:val="1"/>
      <w:numFmt w:val="lowerLetter"/>
      <w:isLgl w:val="false"/>
      <w:suff w:val="tab"/>
      <w:lvlText w:val="%2)"/>
      <w:lvlJc w:val="left"/>
      <w:pPr>
        <w:pStyle w:val="952"/>
        <w:ind w:left="840" w:hanging="420"/>
        <w:tabs>
          <w:tab w:val="num" w:pos="840" w:leader="none"/>
        </w:tabs>
      </w:pPr>
    </w:lvl>
    <w:lvl w:ilvl="2">
      <w:start w:val="1"/>
      <w:numFmt w:val="lowerRoman"/>
      <w:isLgl w:val="false"/>
      <w:suff w:val="tab"/>
      <w:lvlText w:val="%3."/>
      <w:lvlJc w:val="right"/>
      <w:pPr>
        <w:pStyle w:val="952"/>
        <w:ind w:left="1260" w:hanging="420"/>
        <w:tabs>
          <w:tab w:val="num" w:pos="1260" w:leader="none"/>
        </w:tabs>
      </w:pPr>
    </w:lvl>
    <w:lvl w:ilvl="3">
      <w:start w:val="1"/>
      <w:numFmt w:val="decimal"/>
      <w:isLgl w:val="false"/>
      <w:suff w:val="tab"/>
      <w:lvlText w:val="%4."/>
      <w:lvlJc w:val="left"/>
      <w:pPr>
        <w:pStyle w:val="952"/>
        <w:ind w:left="1680" w:hanging="420"/>
        <w:tabs>
          <w:tab w:val="num" w:pos="1680" w:leader="none"/>
        </w:tabs>
      </w:pPr>
    </w:lvl>
    <w:lvl w:ilvl="4">
      <w:start w:val="1"/>
      <w:numFmt w:val="lowerLetter"/>
      <w:pStyle w:val="1382"/>
      <w:isLgl w:val="false"/>
      <w:suff w:val="tab"/>
      <w:lvlText w:val="%5)"/>
      <w:lvlJc w:val="left"/>
      <w:pPr>
        <w:pStyle w:val="952"/>
        <w:ind w:left="2100" w:hanging="420"/>
        <w:tabs>
          <w:tab w:val="num" w:pos="2100" w:leader="none"/>
        </w:tabs>
      </w:pPr>
    </w:lvl>
    <w:lvl w:ilvl="5">
      <w:start w:val="1"/>
      <w:numFmt w:val="lowerRoman"/>
      <w:pStyle w:val="1440"/>
      <w:isLgl w:val="false"/>
      <w:suff w:val="tab"/>
      <w:lvlText w:val="%6."/>
      <w:lvlJc w:val="right"/>
      <w:pPr>
        <w:pStyle w:val="952"/>
        <w:ind w:left="2520" w:hanging="420"/>
        <w:tabs>
          <w:tab w:val="num" w:pos="2520" w:leader="none"/>
        </w:tabs>
      </w:pPr>
    </w:lvl>
    <w:lvl w:ilvl="6">
      <w:start w:val="1"/>
      <w:numFmt w:val="decimal"/>
      <w:isLgl w:val="false"/>
      <w:suff w:val="tab"/>
      <w:lvlText w:val="%7."/>
      <w:lvlJc w:val="left"/>
      <w:pPr>
        <w:pStyle w:val="952"/>
        <w:ind w:left="2940" w:hanging="420"/>
        <w:tabs>
          <w:tab w:val="num" w:pos="2940" w:leader="none"/>
        </w:tabs>
      </w:pPr>
    </w:lvl>
    <w:lvl w:ilvl="7">
      <w:start w:val="1"/>
      <w:numFmt w:val="lowerLetter"/>
      <w:pStyle w:val="1315"/>
      <w:isLgl w:val="false"/>
      <w:suff w:val="tab"/>
      <w:lvlText w:val="%8)"/>
      <w:lvlJc w:val="left"/>
      <w:pPr>
        <w:pStyle w:val="952"/>
        <w:ind w:left="3360" w:hanging="420"/>
        <w:tabs>
          <w:tab w:val="num" w:pos="3360" w:leader="none"/>
        </w:tabs>
      </w:pPr>
    </w:lvl>
    <w:lvl w:ilvl="8">
      <w:start w:val="1"/>
      <w:numFmt w:val="lowerRoman"/>
      <w:pStyle w:val="1516"/>
      <w:isLgl w:val="false"/>
      <w:suff w:val="tab"/>
      <w:lvlText w:val="%9."/>
      <w:lvlJc w:val="right"/>
      <w:pPr>
        <w:pStyle w:val="952"/>
        <w:ind w:left="3780" w:hanging="420"/>
        <w:tabs>
          <w:tab w:val="num" w:pos="3780" w:leader="none"/>
        </w:tabs>
      </w:pPr>
    </w:lvl>
  </w:abstractNum>
  <w:abstractNum w:abstractNumId="15">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0.%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16">
    <w:multiLevelType w:val="hybridMultilevel"/>
    <w:lvl w:ilvl="0">
      <w:start w:val="3"/>
      <w:numFmt w:val="decimal"/>
      <w:pStyle w:val="1250"/>
      <w:isLgl w:val="false"/>
      <w:suff w:val="tab"/>
      <w:lvlText w:val="%1."/>
      <w:lvlJc w:val="left"/>
      <w:pPr>
        <w:pStyle w:val="952"/>
        <w:ind w:left="709" w:hanging="425"/>
        <w:tabs>
          <w:tab w:val="num" w:pos="709" w:leader="none"/>
        </w:tabs>
      </w:pPr>
      <w:rPr>
        <w:rFonts w:hint="eastAsia"/>
        <w:b/>
      </w:rPr>
    </w:lvl>
    <w:lvl w:ilvl="1">
      <w:start w:val="1"/>
      <w:numFmt w:val="decimal"/>
      <w:isLgl w:val="false"/>
      <w:suff w:val="tab"/>
      <w:lvlText w:val="%1.%2"/>
      <w:lvlJc w:val="left"/>
      <w:pPr>
        <w:pStyle w:val="952"/>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952"/>
        <w:ind w:left="709" w:hanging="709"/>
        <w:tabs>
          <w:tab w:val="num" w:pos="709" w:leader="none"/>
        </w:tabs>
      </w:pPr>
      <w:rPr>
        <w:rFonts w:hint="eastAsia"/>
      </w:rPr>
    </w:lvl>
    <w:lvl w:ilvl="3">
      <w:start w:val="1"/>
      <w:numFmt w:val="decimal"/>
      <w:isLgl w:val="false"/>
      <w:suff w:val="tab"/>
      <w:lvlText w:val="%1.%2.%3.%4."/>
      <w:lvlJc w:val="left"/>
      <w:pPr>
        <w:pStyle w:val="952"/>
        <w:ind w:left="851" w:hanging="851"/>
        <w:tabs>
          <w:tab w:val="num" w:pos="851" w:leader="none"/>
        </w:tabs>
      </w:pPr>
      <w:rPr>
        <w:rFonts w:hint="eastAsia"/>
      </w:rPr>
    </w:lvl>
    <w:lvl w:ilvl="4">
      <w:start w:val="1"/>
      <w:numFmt w:val="decimal"/>
      <w:isLgl w:val="false"/>
      <w:suff w:val="tab"/>
      <w:lvlText w:val="%1.%2.%3.%4.%5."/>
      <w:lvlJc w:val="left"/>
      <w:pPr>
        <w:pStyle w:val="952"/>
        <w:ind w:left="992" w:hanging="992"/>
        <w:tabs>
          <w:tab w:val="num" w:pos="992" w:leader="none"/>
        </w:tabs>
      </w:pPr>
      <w:rPr>
        <w:rFonts w:hint="eastAsia"/>
      </w:rPr>
    </w:lvl>
    <w:lvl w:ilvl="5">
      <w:start w:val="1"/>
      <w:numFmt w:val="decimal"/>
      <w:isLgl w:val="false"/>
      <w:suff w:val="tab"/>
      <w:lvlText w:val="%1.%2.%3.%4.%5.%6."/>
      <w:lvlJc w:val="left"/>
      <w:pPr>
        <w:pStyle w:val="952"/>
        <w:ind w:left="1134" w:hanging="1134"/>
        <w:tabs>
          <w:tab w:val="num" w:pos="1134" w:leader="none"/>
        </w:tabs>
      </w:pPr>
      <w:rPr>
        <w:rFonts w:hint="eastAsia"/>
      </w:rPr>
    </w:lvl>
    <w:lvl w:ilvl="6">
      <w:start w:val="1"/>
      <w:numFmt w:val="decimal"/>
      <w:isLgl w:val="false"/>
      <w:suff w:val="tab"/>
      <w:lvlText w:val="%1.%2.%3.%4.%5.%6.%7."/>
      <w:lvlJc w:val="left"/>
      <w:pPr>
        <w:pStyle w:val="952"/>
        <w:ind w:left="1276" w:hanging="1276"/>
        <w:tabs>
          <w:tab w:val="num" w:pos="1276" w:leader="none"/>
        </w:tabs>
      </w:pPr>
      <w:rPr>
        <w:rFonts w:hint="eastAsia"/>
      </w:rPr>
    </w:lvl>
    <w:lvl w:ilvl="7">
      <w:start w:val="1"/>
      <w:numFmt w:val="decimal"/>
      <w:isLgl w:val="false"/>
      <w:suff w:val="tab"/>
      <w:lvlText w:val="%1.%2.%3.%4.%5.%6.%7.%8."/>
      <w:lvlJc w:val="left"/>
      <w:pPr>
        <w:pStyle w:val="952"/>
        <w:ind w:left="1418" w:hanging="1418"/>
        <w:tabs>
          <w:tab w:val="num" w:pos="1418" w:leader="none"/>
        </w:tabs>
      </w:pPr>
      <w:rPr>
        <w:rFonts w:hint="eastAsia"/>
      </w:rPr>
    </w:lvl>
    <w:lvl w:ilvl="8">
      <w:start w:val="1"/>
      <w:numFmt w:val="decimal"/>
      <w:isLgl w:val="false"/>
      <w:suff w:val="tab"/>
      <w:lvlText w:val="%1.%2.%3.%4.%5.%6.%7.%8.%9."/>
      <w:lvlJc w:val="left"/>
      <w:pPr>
        <w:pStyle w:val="952"/>
        <w:ind w:left="1559" w:hanging="1559"/>
        <w:tabs>
          <w:tab w:val="num" w:pos="1559" w:leader="none"/>
        </w:tabs>
      </w:pPr>
      <w:rPr>
        <w:rFonts w:hint="eastAsia"/>
      </w:rPr>
    </w:lvl>
  </w:abstractNum>
  <w:abstractNum w:abstractNumId="17">
    <w:multiLevelType w:val="hybridMultilevel"/>
    <w:lvl w:ilvl="0">
      <w:start w:val="1"/>
      <w:numFmt w:val="japaneseCounting"/>
      <w:pStyle w:val="1464"/>
      <w:isLgl w:val="false"/>
      <w:suff w:val="tab"/>
      <w:lvlText w:val="%1、"/>
      <w:lvlJc w:val="left"/>
      <w:pPr>
        <w:pStyle w:val="952"/>
        <w:ind w:left="510" w:hanging="510"/>
      </w:pPr>
    </w:lvl>
    <w:lvl w:ilvl="1">
      <w:start w:val="1"/>
      <w:numFmt w:val="decimalFullWidth"/>
      <w:isLgl w:val="false"/>
      <w:suff w:val="tab"/>
      <w:lvlText w:val="（%2）"/>
      <w:lvlJc w:val="left"/>
      <w:pPr>
        <w:pStyle w:val="952"/>
        <w:ind w:left="1140" w:hanging="720"/>
      </w:pPr>
    </w:lvl>
    <w:lvl w:ilvl="2">
      <w:start w:val="1"/>
      <w:numFmt w:val="lowerRoman"/>
      <w:isLgl w:val="false"/>
      <w:suff w:val="tab"/>
      <w:lvlText w:val="%3."/>
      <w:lvlJc w:val="right"/>
      <w:pPr>
        <w:pStyle w:val="952"/>
        <w:ind w:left="1260" w:hanging="420"/>
      </w:pPr>
    </w:lvl>
    <w:lvl w:ilvl="3">
      <w:start w:val="1"/>
      <w:numFmt w:val="decimal"/>
      <w:isLgl w:val="false"/>
      <w:suff w:val="tab"/>
      <w:lvlText w:val="%4."/>
      <w:lvlJc w:val="left"/>
      <w:pPr>
        <w:pStyle w:val="952"/>
        <w:ind w:left="1680" w:hanging="420"/>
      </w:pPr>
    </w:lvl>
    <w:lvl w:ilvl="4">
      <w:start w:val="1"/>
      <w:numFmt w:val="lowerLetter"/>
      <w:isLgl w:val="false"/>
      <w:suff w:val="tab"/>
      <w:lvlText w:val="%5)"/>
      <w:lvlJc w:val="left"/>
      <w:pPr>
        <w:pStyle w:val="952"/>
        <w:ind w:left="2100" w:hanging="420"/>
      </w:pPr>
    </w:lvl>
    <w:lvl w:ilvl="5">
      <w:start w:val="1"/>
      <w:numFmt w:val="lowerRoman"/>
      <w:isLgl w:val="false"/>
      <w:suff w:val="tab"/>
      <w:lvlText w:val="%6."/>
      <w:lvlJc w:val="right"/>
      <w:pPr>
        <w:pStyle w:val="952"/>
        <w:ind w:left="2520" w:hanging="420"/>
      </w:pPr>
    </w:lvl>
    <w:lvl w:ilvl="6">
      <w:start w:val="1"/>
      <w:numFmt w:val="decimal"/>
      <w:isLgl w:val="false"/>
      <w:suff w:val="tab"/>
      <w:lvlText w:val="%7."/>
      <w:lvlJc w:val="left"/>
      <w:pPr>
        <w:pStyle w:val="952"/>
        <w:ind w:left="2940" w:hanging="420"/>
      </w:pPr>
    </w:lvl>
    <w:lvl w:ilvl="7">
      <w:start w:val="1"/>
      <w:numFmt w:val="lowerLetter"/>
      <w:isLgl w:val="false"/>
      <w:suff w:val="tab"/>
      <w:lvlText w:val="%8)"/>
      <w:lvlJc w:val="left"/>
      <w:pPr>
        <w:pStyle w:val="952"/>
        <w:ind w:left="3360" w:hanging="420"/>
      </w:pPr>
    </w:lvl>
    <w:lvl w:ilvl="8">
      <w:start w:val="1"/>
      <w:numFmt w:val="lowerRoman"/>
      <w:isLgl w:val="false"/>
      <w:suff w:val="tab"/>
      <w:lvlText w:val="%9."/>
      <w:lvlJc w:val="right"/>
      <w:pPr>
        <w:pStyle w:val="952"/>
        <w:ind w:left="3780" w:hanging="420"/>
      </w:pPr>
    </w:lvl>
  </w:abstractNum>
  <w:abstractNum w:abstractNumId="18">
    <w:multiLevelType w:val="hybridMultilevel"/>
    <w:lvl w:ilvl="0">
      <w:start w:val="1"/>
      <w:numFmt w:val="bullet"/>
      <w:pStyle w:val="1022"/>
      <w:isLgl w:val="false"/>
      <w:suff w:val="tab"/>
      <w:lvlText w:val=""/>
      <w:lvlJc w:val="left"/>
      <w:pPr>
        <w:pStyle w:val="952"/>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952"/>
        <w:ind w:left="1197" w:hanging="420"/>
        <w:tabs>
          <w:tab w:val="num" w:pos="1197" w:leader="none"/>
        </w:tabs>
      </w:pPr>
      <w:rPr>
        <w:rFonts w:ascii="Wingdings" w:hAnsi="Wingdings"/>
      </w:rPr>
    </w:lvl>
    <w:lvl w:ilvl="2">
      <w:start w:val="1"/>
      <w:numFmt w:val="bullet"/>
      <w:isLgl w:val="false"/>
      <w:suff w:val="tab"/>
      <w:lvlText w:val=""/>
      <w:lvlJc w:val="left"/>
      <w:pPr>
        <w:pStyle w:val="952"/>
        <w:ind w:left="1617" w:hanging="420"/>
        <w:tabs>
          <w:tab w:val="num" w:pos="1617" w:leader="none"/>
        </w:tabs>
      </w:pPr>
      <w:rPr>
        <w:rFonts w:ascii="Wingdings" w:hAnsi="Wingdings"/>
      </w:rPr>
    </w:lvl>
    <w:lvl w:ilvl="3">
      <w:start w:val="1"/>
      <w:numFmt w:val="bullet"/>
      <w:isLgl w:val="false"/>
      <w:suff w:val="tab"/>
      <w:lvlText w:val=""/>
      <w:lvlJc w:val="left"/>
      <w:pPr>
        <w:pStyle w:val="952"/>
        <w:ind w:left="2037" w:hanging="420"/>
        <w:tabs>
          <w:tab w:val="num" w:pos="2037" w:leader="none"/>
        </w:tabs>
      </w:pPr>
      <w:rPr>
        <w:rFonts w:ascii="Wingdings" w:hAnsi="Wingdings"/>
      </w:rPr>
    </w:lvl>
    <w:lvl w:ilvl="4">
      <w:start w:val="1"/>
      <w:numFmt w:val="bullet"/>
      <w:isLgl w:val="false"/>
      <w:suff w:val="tab"/>
      <w:lvlText w:val=""/>
      <w:lvlJc w:val="left"/>
      <w:pPr>
        <w:pStyle w:val="952"/>
        <w:ind w:left="2457" w:hanging="420"/>
        <w:tabs>
          <w:tab w:val="num" w:pos="2457" w:leader="none"/>
        </w:tabs>
      </w:pPr>
      <w:rPr>
        <w:rFonts w:ascii="Wingdings" w:hAnsi="Wingdings"/>
      </w:rPr>
    </w:lvl>
    <w:lvl w:ilvl="5">
      <w:start w:val="1"/>
      <w:numFmt w:val="bullet"/>
      <w:isLgl w:val="false"/>
      <w:suff w:val="tab"/>
      <w:lvlText w:val=""/>
      <w:lvlJc w:val="left"/>
      <w:pPr>
        <w:pStyle w:val="952"/>
        <w:ind w:left="2877" w:hanging="420"/>
        <w:tabs>
          <w:tab w:val="num" w:pos="2877" w:leader="none"/>
        </w:tabs>
      </w:pPr>
      <w:rPr>
        <w:rFonts w:ascii="Wingdings" w:hAnsi="Wingdings"/>
      </w:rPr>
    </w:lvl>
    <w:lvl w:ilvl="6">
      <w:start w:val="1"/>
      <w:numFmt w:val="bullet"/>
      <w:isLgl w:val="false"/>
      <w:suff w:val="tab"/>
      <w:lvlText w:val=""/>
      <w:lvlJc w:val="left"/>
      <w:pPr>
        <w:pStyle w:val="952"/>
        <w:ind w:left="3297" w:hanging="420"/>
        <w:tabs>
          <w:tab w:val="num" w:pos="3297" w:leader="none"/>
        </w:tabs>
      </w:pPr>
      <w:rPr>
        <w:rFonts w:ascii="Wingdings" w:hAnsi="Wingdings"/>
      </w:rPr>
    </w:lvl>
    <w:lvl w:ilvl="7">
      <w:start w:val="1"/>
      <w:numFmt w:val="bullet"/>
      <w:isLgl w:val="false"/>
      <w:suff w:val="tab"/>
      <w:lvlText w:val=""/>
      <w:lvlJc w:val="left"/>
      <w:pPr>
        <w:pStyle w:val="952"/>
        <w:ind w:left="3717" w:hanging="420"/>
        <w:tabs>
          <w:tab w:val="num" w:pos="3717" w:leader="none"/>
        </w:tabs>
      </w:pPr>
      <w:rPr>
        <w:rFonts w:ascii="Wingdings" w:hAnsi="Wingdings"/>
      </w:rPr>
    </w:lvl>
    <w:lvl w:ilvl="8">
      <w:start w:val="1"/>
      <w:numFmt w:val="bullet"/>
      <w:isLgl w:val="false"/>
      <w:suff w:val="tab"/>
      <w:lvlText w:val=""/>
      <w:lvlJc w:val="left"/>
      <w:pPr>
        <w:pStyle w:val="952"/>
        <w:ind w:left="4137" w:hanging="420"/>
        <w:tabs>
          <w:tab w:val="num" w:pos="4137" w:leader="none"/>
        </w:tabs>
      </w:pPr>
      <w:rPr>
        <w:rFonts w:ascii="Wingdings" w:hAnsi="Wingdings"/>
      </w:rPr>
    </w:lvl>
  </w:abstractNum>
  <w:abstractNum w:abstractNumId="19">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6.%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20">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8.%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21">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6.%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22">
    <w:multiLevelType w:val="hybridMultilevel"/>
    <w:lvl w:ilvl="0">
      <w:start w:val="1"/>
      <w:numFmt w:val="decimal"/>
      <w:isLgl w:val="false"/>
      <w:suff w:val="nothing"/>
      <w:lvlText w:val="%1  "/>
      <w:lvlJc w:val="left"/>
      <w:pPr>
        <w:pStyle w:val="952"/>
        <w:ind w:left="0" w:firstLine="0"/>
      </w:pPr>
      <w:rPr>
        <w:rFonts w:ascii="Arial" w:hAnsi="Arial" w:eastAsia="黑体"/>
        <w:b w:val="0"/>
        <w:i w:val="0"/>
        <w:sz w:val="36"/>
        <w:szCs w:val="36"/>
      </w:rPr>
    </w:lvl>
    <w:lvl w:ilvl="1">
      <w:start w:val="1"/>
      <w:numFmt w:val="decimal"/>
      <w:isLgl w:val="false"/>
      <w:suff w:val="nothing"/>
      <w:lvlText w:val="%1.%2  "/>
      <w:lvlJc w:val="left"/>
      <w:pPr>
        <w:pStyle w:val="952"/>
        <w:ind w:left="0" w:firstLine="0"/>
      </w:pPr>
      <w:rPr>
        <w:rFonts w:ascii="Arial" w:hAnsi="Arial"/>
        <w:b w:val="0"/>
        <w:i w:val="0"/>
        <w:sz w:val="30"/>
        <w:szCs w:val="30"/>
      </w:rPr>
    </w:lvl>
    <w:lvl w:ilvl="2">
      <w:start w:val="1"/>
      <w:numFmt w:val="decimal"/>
      <w:isLgl w:val="false"/>
      <w:suff w:val="nothing"/>
      <w:lvlText w:val="%1.%2.%3  "/>
      <w:lvlJc w:val="left"/>
      <w:pPr>
        <w:pStyle w:val="952"/>
        <w:ind w:left="0" w:firstLine="0"/>
      </w:pPr>
      <w:rPr>
        <w:rFonts w:ascii="Arial" w:hAnsi="Arial"/>
        <w:b w:val="0"/>
        <w:i w:val="0"/>
        <w:sz w:val="24"/>
        <w:szCs w:val="24"/>
      </w:rPr>
    </w:lvl>
    <w:lvl w:ilvl="3">
      <w:start w:val="1"/>
      <w:numFmt w:val="decimal"/>
      <w:isLgl w:val="false"/>
      <w:suff w:val="nothing"/>
      <w:lvlText w:val="%1.%2.%3.%4  "/>
      <w:lvlJc w:val="left"/>
      <w:pPr>
        <w:pStyle w:val="952"/>
        <w:ind w:left="0" w:firstLine="0"/>
      </w:pPr>
      <w:rPr>
        <w:rFonts w:ascii="Arial" w:hAnsi="Arial"/>
        <w:b w:val="0"/>
        <w:i w:val="0"/>
        <w:sz w:val="21"/>
        <w:szCs w:val="21"/>
      </w:rPr>
    </w:lvl>
    <w:lvl w:ilvl="4">
      <w:start w:val="1"/>
      <w:numFmt w:val="decimal"/>
      <w:isLgl w:val="false"/>
      <w:suff w:val="tab"/>
      <w:lvlText w:val="%5."/>
      <w:lvlJc w:val="left"/>
      <w:pPr>
        <w:pStyle w:val="952"/>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952"/>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952"/>
        <w:ind w:left="1134" w:hanging="312"/>
        <w:tabs>
          <w:tab w:val="num" w:pos="1134" w:leader="none"/>
        </w:tabs>
      </w:pPr>
      <w:rPr>
        <w:rFonts w:ascii="Arial" w:hAnsi="Arial"/>
        <w:b w:val="0"/>
        <w:i w:val="0"/>
        <w:sz w:val="21"/>
        <w:szCs w:val="21"/>
      </w:rPr>
    </w:lvl>
    <w:lvl w:ilvl="7">
      <w:start w:val="2"/>
      <w:numFmt w:val="decimal"/>
      <w:pStyle w:val="1295"/>
      <w:isLgl w:val="false"/>
      <w:suff w:val="space"/>
      <w:lvlText w:val="图3-%8"/>
      <w:lvlJc w:val="center"/>
      <w:pPr>
        <w:pStyle w:val="952"/>
        <w:ind w:left="4066" w:firstLine="0"/>
      </w:pPr>
      <w:rPr>
        <w:rFonts w:ascii="Arial" w:hAnsi="Arial" w:eastAsia="黑体"/>
        <w:b w:val="0"/>
        <w:i w:val="0"/>
        <w:sz w:val="18"/>
        <w:szCs w:val="18"/>
      </w:rPr>
    </w:lvl>
    <w:lvl w:ilvl="8">
      <w:start w:val="1"/>
      <w:numFmt w:val="decimal"/>
      <w:isLgl w:val="false"/>
      <w:suff w:val="space"/>
      <w:lvlText w:val="表%9"/>
      <w:lvlJc w:val="center"/>
      <w:pPr>
        <w:pStyle w:val="952"/>
        <w:ind w:left="0" w:firstLine="0"/>
      </w:pPr>
      <w:rPr>
        <w:rFonts w:ascii="Arial" w:hAnsi="Arial" w:eastAsia="黑体"/>
        <w:b w:val="0"/>
        <w:i w:val="0"/>
        <w:sz w:val="18"/>
        <w:szCs w:val="18"/>
      </w:rPr>
    </w:lvl>
  </w:abstractNum>
  <w:abstractNum w:abstractNumId="23">
    <w:multiLevelType w:val="hybridMultilevel"/>
    <w:lvl w:ilvl="0">
      <w:start w:val="0"/>
      <w:numFmt w:val="bullet"/>
      <w:isLgl w:val="false"/>
      <w:suff w:val="tab"/>
      <w:lvlText w:val="-"/>
      <w:lvlJc w:val="left"/>
      <w:pPr>
        <w:pStyle w:val="952"/>
        <w:ind w:left="780" w:hanging="360"/>
      </w:pPr>
      <w:rPr>
        <w:rFonts w:hint="eastAsia" w:ascii="宋体" w:hAnsi="宋体" w:eastAsia="宋体" w:cs="Times New Roman"/>
      </w:rPr>
    </w:lvl>
    <w:lvl w:ilvl="1">
      <w:start w:val="1"/>
      <w:numFmt w:val="bullet"/>
      <w:isLgl w:val="false"/>
      <w:suff w:val="tab"/>
      <w:lvlText w:val=""/>
      <w:lvlJc w:val="left"/>
      <w:pPr>
        <w:pStyle w:val="952"/>
        <w:ind w:left="1260" w:hanging="420"/>
      </w:pPr>
      <w:rPr>
        <w:rFonts w:ascii="Wingdings" w:hAnsi="Wingdings"/>
      </w:rPr>
    </w:lvl>
    <w:lvl w:ilvl="2">
      <w:start w:val="1"/>
      <w:numFmt w:val="bullet"/>
      <w:pStyle w:val="1420"/>
      <w:isLgl w:val="false"/>
      <w:suff w:val="tab"/>
      <w:lvlText w:val=""/>
      <w:lvlJc w:val="left"/>
      <w:pPr>
        <w:pStyle w:val="952"/>
        <w:ind w:left="1680" w:hanging="420"/>
      </w:pPr>
      <w:rPr>
        <w:rFonts w:ascii="Wingdings" w:hAnsi="Wingdings"/>
      </w:rPr>
    </w:lvl>
    <w:lvl w:ilvl="3">
      <w:start w:val="1"/>
      <w:numFmt w:val="bullet"/>
      <w:isLgl w:val="false"/>
      <w:suff w:val="tab"/>
      <w:lvlText w:val=""/>
      <w:lvlJc w:val="left"/>
      <w:pPr>
        <w:pStyle w:val="952"/>
        <w:ind w:left="2100" w:hanging="420"/>
      </w:pPr>
      <w:rPr>
        <w:rFonts w:ascii="Wingdings" w:hAnsi="Wingdings"/>
      </w:rPr>
    </w:lvl>
    <w:lvl w:ilvl="4">
      <w:start w:val="1"/>
      <w:numFmt w:val="bullet"/>
      <w:isLgl w:val="false"/>
      <w:suff w:val="tab"/>
      <w:lvlText w:val=""/>
      <w:lvlJc w:val="left"/>
      <w:pPr>
        <w:pStyle w:val="952"/>
        <w:ind w:left="2520" w:hanging="420"/>
      </w:pPr>
      <w:rPr>
        <w:rFonts w:ascii="Wingdings" w:hAnsi="Wingdings"/>
      </w:rPr>
    </w:lvl>
    <w:lvl w:ilvl="5">
      <w:start w:val="1"/>
      <w:numFmt w:val="bullet"/>
      <w:isLgl w:val="false"/>
      <w:suff w:val="tab"/>
      <w:lvlText w:val=""/>
      <w:lvlJc w:val="left"/>
      <w:pPr>
        <w:pStyle w:val="952"/>
        <w:ind w:left="2940" w:hanging="420"/>
      </w:pPr>
      <w:rPr>
        <w:rFonts w:ascii="Wingdings" w:hAnsi="Wingdings"/>
      </w:rPr>
    </w:lvl>
    <w:lvl w:ilvl="6">
      <w:start w:val="1"/>
      <w:numFmt w:val="bullet"/>
      <w:isLgl w:val="false"/>
      <w:suff w:val="tab"/>
      <w:lvlText w:val=""/>
      <w:lvlJc w:val="left"/>
      <w:pPr>
        <w:pStyle w:val="952"/>
        <w:ind w:left="3360" w:hanging="420"/>
      </w:pPr>
      <w:rPr>
        <w:rFonts w:ascii="Wingdings" w:hAnsi="Wingdings"/>
      </w:rPr>
    </w:lvl>
    <w:lvl w:ilvl="7">
      <w:start w:val="1"/>
      <w:numFmt w:val="bullet"/>
      <w:isLgl w:val="false"/>
      <w:suff w:val="tab"/>
      <w:lvlText w:val=""/>
      <w:lvlJc w:val="left"/>
      <w:pPr>
        <w:pStyle w:val="952"/>
        <w:ind w:left="3780" w:hanging="420"/>
      </w:pPr>
      <w:rPr>
        <w:rFonts w:ascii="Wingdings" w:hAnsi="Wingdings"/>
      </w:rPr>
    </w:lvl>
    <w:lvl w:ilvl="8">
      <w:start w:val="1"/>
      <w:numFmt w:val="bullet"/>
      <w:isLgl w:val="false"/>
      <w:suff w:val="tab"/>
      <w:lvlText w:val=""/>
      <w:lvlJc w:val="left"/>
      <w:pPr>
        <w:pStyle w:val="952"/>
        <w:ind w:left="4200" w:hanging="420"/>
      </w:pPr>
      <w:rPr>
        <w:rFonts w:ascii="Wingdings" w:hAnsi="Wingdings"/>
      </w:rPr>
    </w:lvl>
  </w:abstractNum>
  <w:abstractNum w:abstractNumId="24">
    <w:multiLevelType w:val="hybridMultilevel"/>
    <w:lvl w:ilvl="0">
      <w:start w:val="1"/>
      <w:numFmt w:val="bullet"/>
      <w:pStyle w:val="1347"/>
      <w:isLgl w:val="false"/>
      <w:suff w:val="tab"/>
      <w:lvlText w:val=""/>
      <w:lvlJc w:val="left"/>
      <w:pPr>
        <w:pStyle w:val="952"/>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952"/>
        <w:ind w:left="840" w:hanging="420"/>
        <w:tabs>
          <w:tab w:val="num" w:pos="840" w:leader="none"/>
        </w:tabs>
      </w:pPr>
      <w:rPr>
        <w:rFonts w:ascii="Wingdings" w:hAnsi="Wingdings"/>
      </w:rPr>
    </w:lvl>
    <w:lvl w:ilvl="2">
      <w:start w:val="1"/>
      <w:numFmt w:val="bullet"/>
      <w:isLgl w:val="false"/>
      <w:suff w:val="tab"/>
      <w:lvlText w:val=""/>
      <w:lvlJc w:val="left"/>
      <w:pPr>
        <w:pStyle w:val="952"/>
        <w:ind w:left="1260" w:hanging="420"/>
        <w:tabs>
          <w:tab w:val="num" w:pos="1260" w:leader="none"/>
        </w:tabs>
      </w:pPr>
      <w:rPr>
        <w:rFonts w:ascii="Wingdings" w:hAnsi="Wingdings"/>
      </w:rPr>
    </w:lvl>
    <w:lvl w:ilvl="3">
      <w:start w:val="1"/>
      <w:numFmt w:val="bullet"/>
      <w:isLgl w:val="false"/>
      <w:suff w:val="tab"/>
      <w:lvlText w:val=""/>
      <w:lvlJc w:val="left"/>
      <w:pPr>
        <w:pStyle w:val="952"/>
        <w:ind w:left="1680" w:hanging="420"/>
        <w:tabs>
          <w:tab w:val="num" w:pos="1680" w:leader="none"/>
        </w:tabs>
      </w:pPr>
      <w:rPr>
        <w:rFonts w:ascii="Wingdings" w:hAnsi="Wingdings"/>
      </w:rPr>
    </w:lvl>
    <w:lvl w:ilvl="4">
      <w:start w:val="1"/>
      <w:numFmt w:val="bullet"/>
      <w:isLgl w:val="false"/>
      <w:suff w:val="tab"/>
      <w:lvlText w:val=""/>
      <w:lvlJc w:val="left"/>
      <w:pPr>
        <w:pStyle w:val="952"/>
        <w:ind w:left="2100" w:hanging="420"/>
        <w:tabs>
          <w:tab w:val="num" w:pos="2100" w:leader="none"/>
        </w:tabs>
      </w:pPr>
      <w:rPr>
        <w:rFonts w:ascii="Wingdings" w:hAnsi="Wingdings"/>
      </w:rPr>
    </w:lvl>
    <w:lvl w:ilvl="5">
      <w:start w:val="1"/>
      <w:numFmt w:val="bullet"/>
      <w:isLgl w:val="false"/>
      <w:suff w:val="tab"/>
      <w:lvlText w:val=""/>
      <w:lvlJc w:val="left"/>
      <w:pPr>
        <w:pStyle w:val="952"/>
        <w:ind w:left="2520" w:hanging="420"/>
        <w:tabs>
          <w:tab w:val="num" w:pos="2520" w:leader="none"/>
        </w:tabs>
      </w:pPr>
      <w:rPr>
        <w:rFonts w:ascii="Wingdings" w:hAnsi="Wingdings"/>
      </w:rPr>
    </w:lvl>
    <w:lvl w:ilvl="6">
      <w:start w:val="1"/>
      <w:numFmt w:val="bullet"/>
      <w:isLgl w:val="false"/>
      <w:suff w:val="tab"/>
      <w:lvlText w:val=""/>
      <w:lvlJc w:val="left"/>
      <w:pPr>
        <w:pStyle w:val="952"/>
        <w:ind w:left="2940" w:hanging="420"/>
        <w:tabs>
          <w:tab w:val="num" w:pos="2940" w:leader="none"/>
        </w:tabs>
      </w:pPr>
      <w:rPr>
        <w:rFonts w:ascii="Wingdings" w:hAnsi="Wingdings"/>
      </w:rPr>
    </w:lvl>
    <w:lvl w:ilvl="7">
      <w:start w:val="1"/>
      <w:numFmt w:val="bullet"/>
      <w:isLgl w:val="false"/>
      <w:suff w:val="tab"/>
      <w:lvlText w:val=""/>
      <w:lvlJc w:val="left"/>
      <w:pPr>
        <w:pStyle w:val="952"/>
        <w:ind w:left="3360" w:hanging="420"/>
        <w:tabs>
          <w:tab w:val="num" w:pos="3360" w:leader="none"/>
        </w:tabs>
      </w:pPr>
      <w:rPr>
        <w:rFonts w:ascii="Wingdings" w:hAnsi="Wingdings"/>
      </w:rPr>
    </w:lvl>
    <w:lvl w:ilvl="8">
      <w:start w:val="1"/>
      <w:numFmt w:val="bullet"/>
      <w:isLgl w:val="false"/>
      <w:suff w:val="tab"/>
      <w:lvlText w:val=""/>
      <w:lvlJc w:val="left"/>
      <w:pPr>
        <w:pStyle w:val="952"/>
        <w:ind w:left="3780" w:hanging="420"/>
        <w:tabs>
          <w:tab w:val="num" w:pos="3780" w:leader="none"/>
        </w:tabs>
      </w:pPr>
      <w:rPr>
        <w:rFonts w:ascii="Wingdings" w:hAnsi="Wingdings"/>
      </w:rPr>
    </w:lvl>
  </w:abstractNum>
  <w:abstractNum w:abstractNumId="25">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2.%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26">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2.%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27">
    <w:multiLevelType w:val="hybridMultilevel"/>
    <w:lvl w:ilvl="0">
      <w:start w:val="1"/>
      <w:numFmt w:val="decimal"/>
      <w:isLgl w:val="false"/>
      <w:suff w:val="tab"/>
      <w:lvlText w:val="20.%1"/>
      <w:lvlJc w:val="left"/>
      <w:pPr>
        <w:pStyle w:val="952"/>
        <w:ind w:left="440" w:hanging="440"/>
      </w:pPr>
      <w:rPr>
        <w:rFonts w:hint="eastAsia"/>
      </w:rPr>
    </w:lvl>
    <w:lvl w:ilvl="1">
      <w:start w:val="1"/>
      <w:numFmt w:val="lowerLetter"/>
      <w:isLgl w:val="false"/>
      <w:suff w:val="tab"/>
      <w:lvlText w:val="%2)"/>
      <w:lvlJc w:val="left"/>
      <w:pPr>
        <w:pStyle w:val="952"/>
        <w:ind w:left="880" w:hanging="440"/>
      </w:pPr>
    </w:lvl>
    <w:lvl w:ilvl="2">
      <w:start w:val="3"/>
      <w:numFmt w:val="decimal"/>
      <w:isLgl w:val="false"/>
      <w:suff w:val="tab"/>
      <w:lvlText w:val="%3、"/>
      <w:lvlJc w:val="left"/>
      <w:pPr>
        <w:pStyle w:val="952"/>
        <w:ind w:left="1240" w:hanging="360"/>
      </w:pPr>
    </w:lvl>
    <w:lvl w:ilvl="3">
      <w:start w:val="2"/>
      <w:numFmt w:val="japaneseCounting"/>
      <w:isLgl w:val="false"/>
      <w:suff w:val="tab"/>
      <w:lvlText w:val="%4、"/>
      <w:lvlJc w:val="left"/>
      <w:pPr>
        <w:pStyle w:val="952"/>
        <w:ind w:left="1770" w:hanging="450"/>
      </w:pPr>
    </w:lvl>
    <w:lvl w:ilvl="4">
      <w:start w:val="1"/>
      <w:numFmt w:val="lowerLetter"/>
      <w:isLgl w:val="false"/>
      <w:suff w:val="tab"/>
      <w:lvlText w:val="%5)"/>
      <w:lvlJc w:val="left"/>
      <w:pPr>
        <w:pStyle w:val="952"/>
        <w:ind w:left="2200" w:hanging="440"/>
      </w:pPr>
    </w:lvl>
    <w:lvl w:ilvl="5">
      <w:start w:val="1"/>
      <w:numFmt w:val="lowerRoman"/>
      <w:isLgl w:val="false"/>
      <w:suff w:val="tab"/>
      <w:lvlText w:val="%6."/>
      <w:lvlJc w:val="right"/>
      <w:pPr>
        <w:pStyle w:val="952"/>
        <w:ind w:left="2640" w:hanging="440"/>
      </w:pPr>
    </w:lvl>
    <w:lvl w:ilvl="6">
      <w:start w:val="1"/>
      <w:numFmt w:val="decimal"/>
      <w:isLgl w:val="false"/>
      <w:suff w:val="tab"/>
      <w:lvlText w:val="%7."/>
      <w:lvlJc w:val="left"/>
      <w:pPr>
        <w:pStyle w:val="952"/>
        <w:ind w:left="3080" w:hanging="440"/>
      </w:pPr>
    </w:lvl>
    <w:lvl w:ilvl="7">
      <w:start w:val="1"/>
      <w:numFmt w:val="lowerLetter"/>
      <w:isLgl w:val="false"/>
      <w:suff w:val="tab"/>
      <w:lvlText w:val="%8)"/>
      <w:lvlJc w:val="left"/>
      <w:pPr>
        <w:pStyle w:val="952"/>
        <w:ind w:left="3520" w:hanging="440"/>
      </w:pPr>
    </w:lvl>
    <w:lvl w:ilvl="8">
      <w:start w:val="1"/>
      <w:numFmt w:val="lowerRoman"/>
      <w:isLgl w:val="false"/>
      <w:suff w:val="tab"/>
      <w:lvlText w:val="%9."/>
      <w:lvlJc w:val="right"/>
      <w:pPr>
        <w:pStyle w:val="952"/>
        <w:ind w:left="3960" w:hanging="440"/>
      </w:pPr>
    </w:lvl>
  </w:abstractNum>
  <w:abstractNum w:abstractNumId="28">
    <w:multiLevelType w:val="hybridMultilevel"/>
    <w:lvl w:ilvl="0">
      <w:start w:val="1"/>
      <w:numFmt w:val="decimal"/>
      <w:pStyle w:val="1346"/>
      <w:isLgl w:val="false"/>
      <w:suff w:val="tab"/>
      <w:lvlText w:val="%1."/>
      <w:lvlJc w:val="left"/>
      <w:pPr>
        <w:pStyle w:val="952"/>
        <w:ind w:left="425" w:hanging="425"/>
        <w:tabs>
          <w:tab w:val="num" w:pos="425" w:leader="none"/>
        </w:tabs>
      </w:pPr>
      <w:rPr>
        <w:rFonts w:hint="eastAsia"/>
      </w:rPr>
    </w:lvl>
    <w:lvl w:ilvl="1">
      <w:start w:val="1"/>
      <w:numFmt w:val="decimal"/>
      <w:isLgl w:val="false"/>
      <w:suff w:val="tab"/>
      <w:lvlText w:val="%1.%2"/>
      <w:lvlJc w:val="left"/>
      <w:pPr>
        <w:pStyle w:val="952"/>
        <w:ind w:left="567" w:hanging="567"/>
        <w:tabs>
          <w:tab w:val="num" w:pos="567" w:leader="none"/>
        </w:tabs>
      </w:pPr>
      <w:rPr>
        <w:rFonts w:hint="eastAsia"/>
      </w:rPr>
    </w:lvl>
    <w:lvl w:ilvl="2">
      <w:start w:val="1"/>
      <w:numFmt w:val="decimal"/>
      <w:isLgl w:val="false"/>
      <w:suff w:val="tab"/>
      <w:lvlText w:val="%1.%2.%3."/>
      <w:lvlJc w:val="left"/>
      <w:pPr>
        <w:pStyle w:val="952"/>
        <w:ind w:left="709" w:hanging="709"/>
        <w:tabs>
          <w:tab w:val="num" w:pos="709" w:leader="none"/>
        </w:tabs>
      </w:pPr>
      <w:rPr>
        <w:rFonts w:hint="eastAsia"/>
      </w:rPr>
    </w:lvl>
    <w:lvl w:ilvl="3">
      <w:start w:val="1"/>
      <w:numFmt w:val="decimal"/>
      <w:isLgl w:val="false"/>
      <w:suff w:val="tab"/>
      <w:lvlText w:val="%1.%2.%3.%4."/>
      <w:lvlJc w:val="left"/>
      <w:pPr>
        <w:pStyle w:val="952"/>
        <w:ind w:left="851" w:hanging="851"/>
        <w:tabs>
          <w:tab w:val="num" w:pos="851" w:leader="none"/>
        </w:tabs>
      </w:pPr>
      <w:rPr>
        <w:rFonts w:hint="eastAsia"/>
      </w:rPr>
    </w:lvl>
    <w:lvl w:ilvl="4">
      <w:start w:val="1"/>
      <w:numFmt w:val="decimal"/>
      <w:isLgl w:val="false"/>
      <w:suff w:val="tab"/>
      <w:lvlText w:val="%1.%2.%3.%4.%5."/>
      <w:lvlJc w:val="left"/>
      <w:pPr>
        <w:pStyle w:val="952"/>
        <w:ind w:left="992" w:hanging="992"/>
        <w:tabs>
          <w:tab w:val="num" w:pos="992" w:leader="none"/>
        </w:tabs>
      </w:pPr>
      <w:rPr>
        <w:rFonts w:hint="eastAsia"/>
      </w:rPr>
    </w:lvl>
    <w:lvl w:ilvl="5">
      <w:start w:val="1"/>
      <w:numFmt w:val="decimal"/>
      <w:isLgl w:val="false"/>
      <w:suff w:val="tab"/>
      <w:lvlText w:val="%1.%2.%3.%4.%5.%6."/>
      <w:lvlJc w:val="left"/>
      <w:pPr>
        <w:pStyle w:val="952"/>
        <w:ind w:left="1134" w:hanging="1134"/>
        <w:tabs>
          <w:tab w:val="num" w:pos="1134" w:leader="none"/>
        </w:tabs>
      </w:pPr>
      <w:rPr>
        <w:rFonts w:hint="eastAsia"/>
      </w:rPr>
    </w:lvl>
    <w:lvl w:ilvl="6">
      <w:start w:val="1"/>
      <w:numFmt w:val="decimal"/>
      <w:isLgl w:val="false"/>
      <w:suff w:val="tab"/>
      <w:lvlText w:val="%1.%2.%3.%4.%5.%6.%7."/>
      <w:lvlJc w:val="left"/>
      <w:pPr>
        <w:pStyle w:val="952"/>
        <w:ind w:left="1276" w:hanging="1276"/>
        <w:tabs>
          <w:tab w:val="num" w:pos="1276" w:leader="none"/>
        </w:tabs>
      </w:pPr>
      <w:rPr>
        <w:rFonts w:hint="eastAsia"/>
      </w:rPr>
    </w:lvl>
    <w:lvl w:ilvl="7">
      <w:start w:val="1"/>
      <w:numFmt w:val="decimal"/>
      <w:isLgl w:val="false"/>
      <w:suff w:val="tab"/>
      <w:lvlText w:val="%1.%2.%3.%4.%5.%6.%7.%8."/>
      <w:lvlJc w:val="left"/>
      <w:pPr>
        <w:pStyle w:val="952"/>
        <w:ind w:left="1418" w:hanging="1418"/>
        <w:tabs>
          <w:tab w:val="num" w:pos="1418" w:leader="none"/>
        </w:tabs>
      </w:pPr>
      <w:rPr>
        <w:rFonts w:hint="eastAsia"/>
      </w:rPr>
    </w:lvl>
    <w:lvl w:ilvl="8">
      <w:start w:val="1"/>
      <w:numFmt w:val="decimal"/>
      <w:isLgl w:val="false"/>
      <w:suff w:val="tab"/>
      <w:lvlText w:val="%1.%2.%3.%4.%5.%6.%7.%8.%9."/>
      <w:lvlJc w:val="left"/>
      <w:pPr>
        <w:pStyle w:val="952"/>
        <w:ind w:left="1559" w:hanging="1559"/>
        <w:tabs>
          <w:tab w:val="num" w:pos="1559" w:leader="none"/>
        </w:tabs>
      </w:pPr>
      <w:rPr>
        <w:rFonts w:hint="eastAsia"/>
      </w:rPr>
    </w:lvl>
  </w:abstractNum>
  <w:abstractNum w:abstractNumId="29">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3.%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30">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8.%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31">
    <w:multiLevelType w:val="hybridMultilevel"/>
    <w:lvl w:ilvl="0">
      <w:start w:val="1"/>
      <w:numFmt w:val="decimal"/>
      <w:pStyle w:val="953"/>
      <w:isLgl w:val="false"/>
      <w:suff w:val="tab"/>
      <w:lvlText w:val="%1"/>
      <w:lvlJc w:val="left"/>
      <w:pPr>
        <w:pStyle w:val="952"/>
        <w:ind w:left="432" w:hanging="432"/>
        <w:tabs>
          <w:tab w:val="num" w:pos="432" w:leader="none"/>
        </w:tabs>
      </w:pPr>
      <w:rPr>
        <w:rFonts w:hint="eastAsia"/>
      </w:rPr>
    </w:lvl>
    <w:lvl w:ilvl="1">
      <w:start w:val="1"/>
      <w:numFmt w:val="decimal"/>
      <w:pStyle w:val="954"/>
      <w:isLgl w:val="false"/>
      <w:suff w:val="tab"/>
      <w:lvlText w:val="%1."/>
      <w:lvlJc w:val="left"/>
      <w:pPr>
        <w:pStyle w:val="952"/>
        <w:ind w:left="576" w:hanging="576"/>
        <w:tabs>
          <w:tab w:val="num" w:pos="576" w:leader="none"/>
        </w:tabs>
      </w:pPr>
      <w:rPr>
        <w:rFonts w:hint="eastAsia"/>
      </w:rPr>
    </w:lvl>
    <w:lvl w:ilvl="2">
      <w:start w:val="1"/>
      <w:numFmt w:val="decimal"/>
      <w:pStyle w:val="955"/>
      <w:isLgl w:val="false"/>
      <w:suff w:val="tab"/>
      <w:lvlText w:val="%1.%2.%3"/>
      <w:lvlJc w:val="left"/>
      <w:pPr>
        <w:pStyle w:val="952"/>
        <w:ind w:left="720" w:hanging="720"/>
        <w:tabs>
          <w:tab w:val="num" w:pos="1080" w:leader="none"/>
        </w:tabs>
      </w:pPr>
      <w:rPr>
        <w:rFonts w:hint="eastAsia"/>
      </w:rPr>
    </w:lvl>
    <w:lvl w:ilvl="3">
      <w:start w:val="1"/>
      <w:numFmt w:val="decimal"/>
      <w:pStyle w:val="956"/>
      <w:isLgl w:val="false"/>
      <w:suff w:val="tab"/>
      <w:lvlText w:val="%1.%2.%3.%4"/>
      <w:lvlJc w:val="left"/>
      <w:pPr>
        <w:pStyle w:val="952"/>
        <w:ind w:left="864" w:hanging="864"/>
        <w:tabs>
          <w:tab w:val="num" w:pos="1440" w:leader="none"/>
        </w:tabs>
      </w:pPr>
      <w:rPr>
        <w:rFonts w:hint="eastAsia"/>
      </w:rPr>
    </w:lvl>
    <w:lvl w:ilvl="4">
      <w:start w:val="1"/>
      <w:numFmt w:val="decimal"/>
      <w:pStyle w:val="957"/>
      <w:isLgl w:val="false"/>
      <w:suff w:val="tab"/>
      <w:lvlText w:val="%1.%2.%3.%4.%5"/>
      <w:lvlJc w:val="left"/>
      <w:pPr>
        <w:pStyle w:val="952"/>
        <w:ind w:left="1008" w:hanging="1008"/>
        <w:tabs>
          <w:tab w:val="num" w:pos="1800" w:leader="none"/>
        </w:tabs>
      </w:pPr>
      <w:rPr>
        <w:rFonts w:hint="eastAsia"/>
      </w:rPr>
    </w:lvl>
    <w:lvl w:ilvl="5">
      <w:start w:val="1"/>
      <w:numFmt w:val="decimal"/>
      <w:pStyle w:val="958"/>
      <w:isLgl w:val="false"/>
      <w:suff w:val="tab"/>
      <w:lvlText w:val="%1.%2.%3.%4.%5.%6"/>
      <w:lvlJc w:val="left"/>
      <w:pPr>
        <w:pStyle w:val="952"/>
        <w:ind w:left="1152" w:hanging="1152"/>
        <w:tabs>
          <w:tab w:val="num" w:pos="1152" w:leader="none"/>
        </w:tabs>
      </w:pPr>
      <w:rPr>
        <w:rFonts w:hint="eastAsia"/>
      </w:rPr>
    </w:lvl>
    <w:lvl w:ilvl="6">
      <w:start w:val="1"/>
      <w:numFmt w:val="decimal"/>
      <w:pStyle w:val="959"/>
      <w:isLgl w:val="false"/>
      <w:suff w:val="tab"/>
      <w:lvlText w:val="%1.%2.%3.%4.%5.%6.%7"/>
      <w:lvlJc w:val="left"/>
      <w:pPr>
        <w:pStyle w:val="952"/>
        <w:ind w:left="1296" w:hanging="1296"/>
        <w:tabs>
          <w:tab w:val="num" w:pos="1296" w:leader="none"/>
        </w:tabs>
      </w:pPr>
      <w:rPr>
        <w:rFonts w:hint="eastAsia"/>
      </w:rPr>
    </w:lvl>
    <w:lvl w:ilvl="7">
      <w:start w:val="1"/>
      <w:numFmt w:val="decimal"/>
      <w:pStyle w:val="960"/>
      <w:isLgl w:val="false"/>
      <w:suff w:val="tab"/>
      <w:lvlText w:val="%1.%2.%3.%4.%5.%6.%7.%8"/>
      <w:lvlJc w:val="left"/>
      <w:pPr>
        <w:pStyle w:val="952"/>
        <w:ind w:left="1440" w:hanging="1440"/>
        <w:tabs>
          <w:tab w:val="num" w:pos="1440" w:leader="none"/>
        </w:tabs>
      </w:pPr>
      <w:rPr>
        <w:rFonts w:hint="eastAsia"/>
      </w:rPr>
    </w:lvl>
    <w:lvl w:ilvl="8">
      <w:start w:val="1"/>
      <w:numFmt w:val="decimal"/>
      <w:pStyle w:val="961"/>
      <w:isLgl w:val="false"/>
      <w:suff w:val="tab"/>
      <w:lvlText w:val="%1.%2.%3.%4.%5.%6.%7.%8.%9"/>
      <w:lvlJc w:val="left"/>
      <w:pPr>
        <w:pStyle w:val="952"/>
        <w:ind w:left="1584" w:hanging="1584"/>
        <w:tabs>
          <w:tab w:val="num" w:pos="1584" w:leader="none"/>
        </w:tabs>
      </w:pPr>
      <w:rPr>
        <w:rFonts w:hint="eastAsia"/>
      </w:rPr>
    </w:lvl>
  </w:abstractNum>
  <w:abstractNum w:abstractNumId="32">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5.%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33">
    <w:multiLevelType w:val="hybridMultilevel"/>
    <w:lvl w:ilvl="0">
      <w:start w:val="1"/>
      <w:numFmt w:val="decimal"/>
      <w:pStyle w:val="985"/>
      <w:isLgl w:val="false"/>
      <w:suff w:val="nothing"/>
      <w:lvlText w:val="%1"/>
      <w:lvlJc w:val="left"/>
      <w:pPr>
        <w:pStyle w:val="952"/>
        <w:ind w:left="0" w:firstLine="0"/>
      </w:pPr>
      <w:rPr>
        <w:rFonts w:ascii="Times New Roman" w:hAnsi="Times New Roman"/>
        <w:b/>
        <w:i w:val="0"/>
        <w:sz w:val="21"/>
      </w:rPr>
    </w:lvl>
    <w:lvl w:ilvl="1">
      <w:start w:val="1"/>
      <w:numFmt w:val="decimal"/>
      <w:pStyle w:val="1259"/>
      <w:isLgl w:val="false"/>
      <w:suff w:val="nothing"/>
      <w:lvlText w:val="%1%2　"/>
      <w:lvlJc w:val="left"/>
      <w:pPr>
        <w:pStyle w:val="952"/>
        <w:ind w:left="360" w:firstLine="0"/>
      </w:pPr>
      <w:rPr>
        <w:rFonts w:hint="eastAsia" w:ascii="黑体" w:hAnsi="Times New Roman" w:eastAsia="黑体"/>
        <w:b w:val="0"/>
        <w:i w:val="0"/>
        <w:sz w:val="21"/>
      </w:rPr>
    </w:lvl>
    <w:lvl w:ilvl="2">
      <w:start w:val="1"/>
      <w:numFmt w:val="decimal"/>
      <w:pStyle w:val="1338"/>
      <w:isLgl w:val="false"/>
      <w:suff w:val="nothing"/>
      <w:lvlText w:val="%1%2.%3　"/>
      <w:lvlJc w:val="left"/>
      <w:pPr>
        <w:pStyle w:val="952"/>
        <w:ind w:left="0" w:firstLine="0"/>
      </w:pPr>
      <w:rPr>
        <w:rFonts w:hint="eastAsia" w:ascii="黑体" w:hAnsi="Times New Roman" w:eastAsia="黑体"/>
        <w:b w:val="0"/>
        <w:i w:val="0"/>
        <w:sz w:val="21"/>
      </w:rPr>
    </w:lvl>
    <w:lvl w:ilvl="3">
      <w:start w:val="1"/>
      <w:numFmt w:val="decimal"/>
      <w:pStyle w:val="1282"/>
      <w:isLgl w:val="false"/>
      <w:suff w:val="nothing"/>
      <w:lvlText w:val="%1%2.%3.%4　"/>
      <w:lvlJc w:val="left"/>
      <w:pPr>
        <w:pStyle w:val="952"/>
        <w:ind w:left="540" w:firstLine="0"/>
      </w:pPr>
      <w:rPr>
        <w:rFonts w:hint="eastAsia" w:ascii="黑体" w:hAnsi="Times New Roman" w:eastAsia="黑体"/>
        <w:b w:val="0"/>
        <w:i w:val="0"/>
        <w:sz w:val="21"/>
      </w:rPr>
    </w:lvl>
    <w:lvl w:ilvl="4">
      <w:start w:val="1"/>
      <w:numFmt w:val="decimal"/>
      <w:pStyle w:val="1286"/>
      <w:isLgl w:val="false"/>
      <w:suff w:val="nothing"/>
      <w:lvlText w:val="%1%2.%3.%4.%5　"/>
      <w:lvlJc w:val="left"/>
      <w:pPr>
        <w:pStyle w:val="952"/>
        <w:ind w:left="0" w:firstLine="0"/>
      </w:pPr>
      <w:rPr>
        <w:rFonts w:hint="eastAsia" w:ascii="黑体" w:hAnsi="Times New Roman" w:eastAsia="黑体"/>
        <w:b w:val="0"/>
        <w:i w:val="0"/>
        <w:sz w:val="21"/>
      </w:rPr>
    </w:lvl>
    <w:lvl w:ilvl="5">
      <w:start w:val="1"/>
      <w:numFmt w:val="decimal"/>
      <w:pStyle w:val="1285"/>
      <w:isLgl w:val="false"/>
      <w:suff w:val="nothing"/>
      <w:lvlText w:val="%1%2.%3.%4.%5.%6　"/>
      <w:lvlJc w:val="left"/>
      <w:pPr>
        <w:pStyle w:val="952"/>
        <w:ind w:left="0" w:firstLine="0"/>
      </w:pPr>
      <w:rPr>
        <w:rFonts w:hint="eastAsia" w:ascii="黑体" w:hAnsi="Times New Roman" w:eastAsia="黑体"/>
        <w:b w:val="0"/>
        <w:i w:val="0"/>
        <w:sz w:val="21"/>
      </w:rPr>
    </w:lvl>
    <w:lvl w:ilvl="6">
      <w:start w:val="1"/>
      <w:numFmt w:val="decimal"/>
      <w:pStyle w:val="1284"/>
      <w:isLgl w:val="false"/>
      <w:suff w:val="nothing"/>
      <w:lvlText w:val="%1%2.%3.%4.%5.%6.%7　"/>
      <w:lvlJc w:val="left"/>
      <w:pPr>
        <w:pStyle w:val="952"/>
        <w:ind w:left="0" w:firstLine="0"/>
      </w:pPr>
      <w:rPr>
        <w:rFonts w:hint="eastAsia" w:ascii="黑体" w:hAnsi="Times New Roman" w:eastAsia="黑体"/>
        <w:b w:val="0"/>
        <w:i w:val="0"/>
        <w:sz w:val="21"/>
      </w:rPr>
    </w:lvl>
    <w:lvl w:ilvl="7">
      <w:start w:val="1"/>
      <w:numFmt w:val="decimal"/>
      <w:isLgl w:val="false"/>
      <w:suff w:val="tab"/>
      <w:lvlText w:val="%1.%2.%3.%4.%5.%6.%7.%8"/>
      <w:lvlJc w:val="left"/>
      <w:pPr>
        <w:pStyle w:val="952"/>
        <w:ind w:left="3969" w:hanging="1418"/>
        <w:tabs>
          <w:tab w:val="num" w:pos="4351" w:leader="none"/>
        </w:tabs>
      </w:pPr>
      <w:rPr>
        <w:rFonts w:hint="eastAsia"/>
      </w:rPr>
    </w:lvl>
    <w:lvl w:ilvl="8">
      <w:start w:val="1"/>
      <w:numFmt w:val="decimal"/>
      <w:isLgl w:val="false"/>
      <w:suff w:val="tab"/>
      <w:lvlText w:val="%1.%2.%3.%4.%5.%6.%7.%8.%9"/>
      <w:lvlJc w:val="left"/>
      <w:pPr>
        <w:pStyle w:val="952"/>
        <w:ind w:left="4677" w:hanging="1700"/>
        <w:tabs>
          <w:tab w:val="num" w:pos="4777" w:leader="none"/>
        </w:tabs>
      </w:pPr>
      <w:rPr>
        <w:rFonts w:hint="eastAsia"/>
      </w:rPr>
    </w:lvl>
  </w:abstractNum>
  <w:abstractNum w:abstractNumId="34">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6.%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35">
    <w:multiLevelType w:val="hybridMultilevel"/>
    <w:lvl w:ilvl="0">
      <w:start w:val="13"/>
      <w:numFmt w:val="decimal"/>
      <w:isLgl w:val="false"/>
      <w:suff w:val="tab"/>
      <w:lvlText w:val="%1."/>
      <w:lvlJc w:val="left"/>
      <w:pPr>
        <w:pStyle w:val="952"/>
        <w:ind w:left="425" w:hanging="425"/>
        <w:tabs>
          <w:tab w:val="num" w:pos="425" w:leader="none"/>
        </w:tabs>
      </w:pPr>
      <w:rPr>
        <w:rFonts w:hint="eastAsia"/>
      </w:rPr>
    </w:lvl>
    <w:lvl w:ilvl="1">
      <w:start w:val="1"/>
      <w:numFmt w:val="decimal"/>
      <w:isLgl w:val="false"/>
      <w:suff w:val="tab"/>
      <w:lvlText w:val="%1.%2."/>
      <w:lvlJc w:val="left"/>
      <w:pPr>
        <w:pStyle w:val="952"/>
        <w:ind w:left="567" w:hanging="567"/>
        <w:tabs>
          <w:tab w:val="num" w:pos="567" w:leader="none"/>
        </w:tabs>
      </w:pPr>
      <w:rPr>
        <w:rFonts w:hint="eastAsia"/>
      </w:rPr>
    </w:lvl>
    <w:lvl w:ilvl="2">
      <w:start w:val="1"/>
      <w:numFmt w:val="decimal"/>
      <w:isLgl w:val="false"/>
      <w:suff w:val="tab"/>
      <w:lvlText w:val="%1.%2.%3."/>
      <w:lvlJc w:val="left"/>
      <w:pPr>
        <w:pStyle w:val="952"/>
        <w:ind w:left="709" w:hanging="709"/>
        <w:tabs>
          <w:tab w:val="num" w:pos="709" w:leader="none"/>
        </w:tabs>
      </w:pPr>
      <w:rPr>
        <w:rFonts w:hint="eastAsia"/>
      </w:rPr>
    </w:lvl>
    <w:lvl w:ilvl="3">
      <w:start w:val="1"/>
      <w:numFmt w:val="decimal"/>
      <w:isLgl w:val="false"/>
      <w:suff w:val="tab"/>
      <w:lvlText w:val="%1.%2.%3.%4."/>
      <w:lvlJc w:val="left"/>
      <w:pPr>
        <w:pStyle w:val="952"/>
        <w:ind w:left="851" w:hanging="851"/>
        <w:tabs>
          <w:tab w:val="num" w:pos="851" w:leader="none"/>
        </w:tabs>
      </w:pPr>
      <w:rPr>
        <w:rFonts w:hint="eastAsia"/>
      </w:rPr>
    </w:lvl>
    <w:lvl w:ilvl="4">
      <w:start w:val="1"/>
      <w:numFmt w:val="decimal"/>
      <w:isLgl w:val="false"/>
      <w:suff w:val="tab"/>
      <w:lvlText w:val="%1.%2.%3.%4.%5."/>
      <w:lvlJc w:val="left"/>
      <w:pPr>
        <w:pStyle w:val="952"/>
        <w:ind w:left="992" w:hanging="992"/>
        <w:tabs>
          <w:tab w:val="num" w:pos="992" w:leader="none"/>
        </w:tabs>
      </w:pPr>
      <w:rPr>
        <w:rFonts w:hint="eastAsia"/>
      </w:rPr>
    </w:lvl>
    <w:lvl w:ilvl="5">
      <w:start w:val="1"/>
      <w:numFmt w:val="decimal"/>
      <w:isLgl w:val="false"/>
      <w:suff w:val="tab"/>
      <w:lvlText w:val="%1.%2.%3.%4.%5.%6."/>
      <w:lvlJc w:val="left"/>
      <w:pPr>
        <w:pStyle w:val="952"/>
        <w:ind w:left="1134" w:hanging="1134"/>
        <w:tabs>
          <w:tab w:val="num" w:pos="1134" w:leader="none"/>
        </w:tabs>
      </w:pPr>
      <w:rPr>
        <w:rFonts w:hint="eastAsia"/>
      </w:rPr>
    </w:lvl>
    <w:lvl w:ilvl="6">
      <w:start w:val="1"/>
      <w:numFmt w:val="decimal"/>
      <w:pStyle w:val="1288"/>
      <w:isLgl w:val="false"/>
      <w:suff w:val="tab"/>
      <w:lvlText w:val="%1.%2.%3.%4.%5.%6.%7."/>
      <w:lvlJc w:val="left"/>
      <w:pPr>
        <w:pStyle w:val="952"/>
        <w:ind w:left="1276" w:hanging="1276"/>
        <w:tabs>
          <w:tab w:val="num" w:pos="1276" w:leader="none"/>
        </w:tabs>
      </w:pPr>
      <w:rPr>
        <w:rFonts w:hint="eastAsia"/>
      </w:rPr>
    </w:lvl>
    <w:lvl w:ilvl="7">
      <w:start w:val="1"/>
      <w:numFmt w:val="decimal"/>
      <w:isLgl w:val="false"/>
      <w:suff w:val="tab"/>
      <w:lvlText w:val="%1.%2.%3.%4.%5.%6.%7.%8."/>
      <w:lvlJc w:val="left"/>
      <w:pPr>
        <w:pStyle w:val="952"/>
        <w:ind w:left="1418" w:hanging="1418"/>
        <w:tabs>
          <w:tab w:val="num" w:pos="1418" w:leader="none"/>
        </w:tabs>
      </w:pPr>
      <w:rPr>
        <w:rFonts w:hint="eastAsia"/>
      </w:rPr>
    </w:lvl>
    <w:lvl w:ilvl="8">
      <w:start w:val="1"/>
      <w:numFmt w:val="decimal"/>
      <w:isLgl w:val="false"/>
      <w:suff w:val="tab"/>
      <w:lvlText w:val="%1.%2.%3.%4.%5.%6.%7.%8.%9."/>
      <w:lvlJc w:val="left"/>
      <w:pPr>
        <w:pStyle w:val="952"/>
        <w:ind w:left="1559" w:hanging="1559"/>
        <w:tabs>
          <w:tab w:val="num" w:pos="1559" w:leader="none"/>
        </w:tabs>
      </w:pPr>
      <w:rPr>
        <w:rFonts w:hint="eastAsia"/>
      </w:rPr>
    </w:lvl>
  </w:abstractNum>
  <w:abstractNum w:abstractNumId="36">
    <w:multiLevelType w:val="hybridMultilevel"/>
    <w:lvl w:ilvl="0">
      <w:start w:val="1"/>
      <w:numFmt w:val="decimal"/>
      <w:isLgl w:val="false"/>
      <w:suff w:val="tab"/>
      <w:lvlText w:val="19.%1"/>
      <w:lvlJc w:val="left"/>
      <w:pPr>
        <w:pStyle w:val="952"/>
        <w:ind w:left="440" w:hanging="440"/>
      </w:pPr>
      <w:rPr>
        <w:rFonts w:hint="eastAsia"/>
      </w:rPr>
    </w:lvl>
    <w:lvl w:ilvl="1">
      <w:start w:val="1"/>
      <w:numFmt w:val="lowerLetter"/>
      <w:isLgl w:val="false"/>
      <w:suff w:val="tab"/>
      <w:lvlText w:val="%2)"/>
      <w:lvlJc w:val="left"/>
      <w:pPr>
        <w:pStyle w:val="952"/>
        <w:ind w:left="880" w:hanging="440"/>
      </w:pPr>
    </w:lvl>
    <w:lvl w:ilvl="2">
      <w:start w:val="3"/>
      <w:numFmt w:val="japaneseCounting"/>
      <w:isLgl w:val="false"/>
      <w:suff w:val="tab"/>
      <w:lvlText w:val="%3、"/>
      <w:lvlJc w:val="left"/>
      <w:pPr>
        <w:pStyle w:val="952"/>
        <w:ind w:left="1300" w:hanging="420"/>
      </w:pPr>
    </w:lvl>
    <w:lvl w:ilvl="3">
      <w:start w:val="1"/>
      <w:numFmt w:val="decimal"/>
      <w:isLgl w:val="false"/>
      <w:suff w:val="tab"/>
      <w:lvlText w:val="%4."/>
      <w:lvlJc w:val="left"/>
      <w:pPr>
        <w:pStyle w:val="952"/>
        <w:ind w:left="1760" w:hanging="440"/>
      </w:pPr>
    </w:lvl>
    <w:lvl w:ilvl="4">
      <w:start w:val="1"/>
      <w:numFmt w:val="lowerLetter"/>
      <w:isLgl w:val="false"/>
      <w:suff w:val="tab"/>
      <w:lvlText w:val="%5)"/>
      <w:lvlJc w:val="left"/>
      <w:pPr>
        <w:pStyle w:val="952"/>
        <w:ind w:left="2200" w:hanging="440"/>
      </w:pPr>
    </w:lvl>
    <w:lvl w:ilvl="5">
      <w:start w:val="1"/>
      <w:numFmt w:val="lowerRoman"/>
      <w:isLgl w:val="false"/>
      <w:suff w:val="tab"/>
      <w:lvlText w:val="%6."/>
      <w:lvlJc w:val="right"/>
      <w:pPr>
        <w:pStyle w:val="952"/>
        <w:ind w:left="2640" w:hanging="440"/>
      </w:pPr>
    </w:lvl>
    <w:lvl w:ilvl="6">
      <w:start w:val="1"/>
      <w:numFmt w:val="decimal"/>
      <w:isLgl w:val="false"/>
      <w:suff w:val="tab"/>
      <w:lvlText w:val="%7."/>
      <w:lvlJc w:val="left"/>
      <w:pPr>
        <w:pStyle w:val="952"/>
        <w:ind w:left="3080" w:hanging="440"/>
      </w:pPr>
    </w:lvl>
    <w:lvl w:ilvl="7">
      <w:start w:val="1"/>
      <w:numFmt w:val="lowerLetter"/>
      <w:isLgl w:val="false"/>
      <w:suff w:val="tab"/>
      <w:lvlText w:val="%8)"/>
      <w:lvlJc w:val="left"/>
      <w:pPr>
        <w:pStyle w:val="952"/>
        <w:ind w:left="3520" w:hanging="440"/>
      </w:pPr>
    </w:lvl>
    <w:lvl w:ilvl="8">
      <w:start w:val="1"/>
      <w:numFmt w:val="lowerRoman"/>
      <w:isLgl w:val="false"/>
      <w:suff w:val="tab"/>
      <w:lvlText w:val="%9."/>
      <w:lvlJc w:val="right"/>
      <w:pPr>
        <w:pStyle w:val="952"/>
        <w:ind w:left="3960" w:hanging="440"/>
      </w:pPr>
    </w:lvl>
  </w:abstractNum>
  <w:abstractNum w:abstractNumId="37">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9.%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38">
    <w:multiLevelType w:val="hybridMultilevel"/>
    <w:lvl w:ilvl="0">
      <w:start w:val="1"/>
      <w:numFmt w:val="decimal"/>
      <w:isLgl w:val="false"/>
      <w:suff w:val="tab"/>
      <w:lvlText w:val="17.%1"/>
      <w:lvlJc w:val="left"/>
      <w:pPr>
        <w:pStyle w:val="952"/>
        <w:ind w:left="440" w:hanging="440"/>
      </w:pPr>
      <w:rPr>
        <w:rFonts w:hint="eastAsia"/>
      </w:rPr>
    </w:lvl>
    <w:lvl w:ilvl="1">
      <w:start w:val="1"/>
      <w:numFmt w:val="lowerLetter"/>
      <w:isLgl w:val="false"/>
      <w:suff w:val="tab"/>
      <w:lvlText w:val="%2)"/>
      <w:lvlJc w:val="left"/>
      <w:pPr>
        <w:pStyle w:val="952"/>
        <w:ind w:left="880" w:hanging="440"/>
      </w:pPr>
    </w:lvl>
    <w:lvl w:ilvl="2">
      <w:start w:val="1"/>
      <w:numFmt w:val="lowerRoman"/>
      <w:isLgl w:val="false"/>
      <w:suff w:val="tab"/>
      <w:lvlText w:val="%3."/>
      <w:lvlJc w:val="right"/>
      <w:pPr>
        <w:pStyle w:val="952"/>
        <w:ind w:left="1320" w:hanging="440"/>
      </w:pPr>
    </w:lvl>
    <w:lvl w:ilvl="3">
      <w:start w:val="1"/>
      <w:numFmt w:val="decimal"/>
      <w:isLgl w:val="false"/>
      <w:suff w:val="tab"/>
      <w:lvlText w:val="%4."/>
      <w:lvlJc w:val="left"/>
      <w:pPr>
        <w:pStyle w:val="952"/>
        <w:ind w:left="1760" w:hanging="440"/>
      </w:pPr>
    </w:lvl>
    <w:lvl w:ilvl="4">
      <w:start w:val="1"/>
      <w:numFmt w:val="lowerLetter"/>
      <w:isLgl w:val="false"/>
      <w:suff w:val="tab"/>
      <w:lvlText w:val="%5)"/>
      <w:lvlJc w:val="left"/>
      <w:pPr>
        <w:pStyle w:val="952"/>
        <w:ind w:left="2200" w:hanging="440"/>
      </w:pPr>
    </w:lvl>
    <w:lvl w:ilvl="5">
      <w:start w:val="1"/>
      <w:numFmt w:val="lowerRoman"/>
      <w:isLgl w:val="false"/>
      <w:suff w:val="tab"/>
      <w:lvlText w:val="%6."/>
      <w:lvlJc w:val="right"/>
      <w:pPr>
        <w:pStyle w:val="952"/>
        <w:ind w:left="2640" w:hanging="440"/>
      </w:pPr>
    </w:lvl>
    <w:lvl w:ilvl="6">
      <w:start w:val="1"/>
      <w:numFmt w:val="decimal"/>
      <w:isLgl w:val="false"/>
      <w:suff w:val="tab"/>
      <w:lvlText w:val="%7."/>
      <w:lvlJc w:val="left"/>
      <w:pPr>
        <w:pStyle w:val="952"/>
        <w:ind w:left="3080" w:hanging="440"/>
      </w:pPr>
    </w:lvl>
    <w:lvl w:ilvl="7">
      <w:start w:val="1"/>
      <w:numFmt w:val="lowerLetter"/>
      <w:isLgl w:val="false"/>
      <w:suff w:val="tab"/>
      <w:lvlText w:val="%8)"/>
      <w:lvlJc w:val="left"/>
      <w:pPr>
        <w:pStyle w:val="952"/>
        <w:ind w:left="3520" w:hanging="440"/>
      </w:pPr>
    </w:lvl>
    <w:lvl w:ilvl="8">
      <w:start w:val="1"/>
      <w:numFmt w:val="lowerRoman"/>
      <w:isLgl w:val="false"/>
      <w:suff w:val="tab"/>
      <w:lvlText w:val="%9."/>
      <w:lvlJc w:val="right"/>
      <w:pPr>
        <w:pStyle w:val="952"/>
        <w:ind w:left="3960" w:hanging="440"/>
      </w:pPr>
    </w:lvl>
  </w:abstractNum>
  <w:abstractNum w:abstractNumId="39">
    <w:multiLevelType w:val="hybridMultilevel"/>
    <w:lvl w:ilvl="0">
      <w:start w:val="1"/>
      <w:numFmt w:val="decimal"/>
      <w:isLgl w:val="false"/>
      <w:suff w:val="tab"/>
      <w:lvlText w:val="18.%1"/>
      <w:lvlJc w:val="left"/>
      <w:pPr>
        <w:pStyle w:val="952"/>
        <w:ind w:left="440" w:hanging="440"/>
      </w:pPr>
      <w:rPr>
        <w:rFonts w:hint="eastAsia"/>
      </w:rPr>
    </w:lvl>
    <w:lvl w:ilvl="1">
      <w:start w:val="1"/>
      <w:numFmt w:val="lowerLetter"/>
      <w:isLgl w:val="false"/>
      <w:suff w:val="tab"/>
      <w:lvlText w:val="%2)"/>
      <w:lvlJc w:val="left"/>
      <w:pPr>
        <w:pStyle w:val="952"/>
        <w:ind w:left="880" w:hanging="440"/>
      </w:pPr>
    </w:lvl>
    <w:lvl w:ilvl="2">
      <w:start w:val="1"/>
      <w:numFmt w:val="lowerRoman"/>
      <w:isLgl w:val="false"/>
      <w:suff w:val="tab"/>
      <w:lvlText w:val="%3."/>
      <w:lvlJc w:val="right"/>
      <w:pPr>
        <w:pStyle w:val="952"/>
        <w:ind w:left="1320" w:hanging="440"/>
      </w:pPr>
    </w:lvl>
    <w:lvl w:ilvl="3">
      <w:start w:val="1"/>
      <w:numFmt w:val="decimal"/>
      <w:isLgl w:val="false"/>
      <w:suff w:val="tab"/>
      <w:lvlText w:val="%4."/>
      <w:lvlJc w:val="left"/>
      <w:pPr>
        <w:pStyle w:val="952"/>
        <w:ind w:left="1760" w:hanging="440"/>
      </w:pPr>
    </w:lvl>
    <w:lvl w:ilvl="4">
      <w:start w:val="1"/>
      <w:numFmt w:val="lowerLetter"/>
      <w:isLgl w:val="false"/>
      <w:suff w:val="tab"/>
      <w:lvlText w:val="%5)"/>
      <w:lvlJc w:val="left"/>
      <w:pPr>
        <w:pStyle w:val="952"/>
        <w:ind w:left="2200" w:hanging="440"/>
      </w:pPr>
    </w:lvl>
    <w:lvl w:ilvl="5">
      <w:start w:val="1"/>
      <w:numFmt w:val="lowerRoman"/>
      <w:isLgl w:val="false"/>
      <w:suff w:val="tab"/>
      <w:lvlText w:val="%6."/>
      <w:lvlJc w:val="right"/>
      <w:pPr>
        <w:pStyle w:val="952"/>
        <w:ind w:left="2640" w:hanging="440"/>
      </w:pPr>
    </w:lvl>
    <w:lvl w:ilvl="6">
      <w:start w:val="1"/>
      <w:numFmt w:val="decimal"/>
      <w:isLgl w:val="false"/>
      <w:suff w:val="tab"/>
      <w:lvlText w:val="%7."/>
      <w:lvlJc w:val="left"/>
      <w:pPr>
        <w:pStyle w:val="952"/>
        <w:ind w:left="3080" w:hanging="440"/>
      </w:pPr>
    </w:lvl>
    <w:lvl w:ilvl="7">
      <w:start w:val="1"/>
      <w:numFmt w:val="lowerLetter"/>
      <w:isLgl w:val="false"/>
      <w:suff w:val="tab"/>
      <w:lvlText w:val="%8)"/>
      <w:lvlJc w:val="left"/>
      <w:pPr>
        <w:pStyle w:val="952"/>
        <w:ind w:left="3520" w:hanging="440"/>
      </w:pPr>
    </w:lvl>
    <w:lvl w:ilvl="8">
      <w:start w:val="1"/>
      <w:numFmt w:val="lowerRoman"/>
      <w:isLgl w:val="false"/>
      <w:suff w:val="tab"/>
      <w:lvlText w:val="%9."/>
      <w:lvlJc w:val="right"/>
      <w:pPr>
        <w:pStyle w:val="952"/>
        <w:ind w:left="3960" w:hanging="440"/>
      </w:pPr>
    </w:lvl>
  </w:abstractNum>
  <w:abstractNum w:abstractNumId="40">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1.%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41">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4.%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num w:numId="1">
    <w:abstractNumId w:val="31"/>
  </w:num>
  <w:num w:numId="2">
    <w:abstractNumId w:val="33"/>
  </w:num>
  <w:num w:numId="3">
    <w:abstractNumId w:val="0"/>
  </w:num>
  <w:num w:numId="4">
    <w:abstractNumId w:val="18"/>
  </w:num>
  <w:num w:numId="5">
    <w:abstractNumId w:val="1"/>
  </w:num>
  <w:num w:numId="6">
    <w:abstractNumId w:val="14"/>
  </w:num>
  <w:num w:numId="7">
    <w:abstractNumId w:val="16"/>
  </w:num>
  <w:num w:numId="8">
    <w:abstractNumId w:val="35"/>
  </w:num>
  <w:num w:numId="9">
    <w:abstractNumId w:val="22"/>
  </w:num>
  <w:num w:numId="10">
    <w:abstractNumId w:val="24"/>
  </w:num>
  <w:num w:numId="11">
    <w:abstractNumId w:val="28"/>
  </w:num>
  <w:num w:numId="12">
    <w:abstractNumId w:val="13"/>
  </w:num>
  <w:num w:numId="13">
    <w:abstractNumId w:val="8"/>
  </w:num>
  <w:num w:numId="14">
    <w:abstractNumId w:val="23"/>
  </w:num>
  <w:num w:numId="15">
    <w:abstractNumId w:val="17"/>
  </w:num>
  <w:num w:numId="16">
    <w:abstractNumId w:val="5"/>
  </w:num>
  <w:num w:numId="17">
    <w:abstractNumId w:val="6"/>
  </w:num>
  <w:num w:numId="18">
    <w:abstractNumId w:val="12"/>
  </w:num>
  <w:num w:numId="19">
    <w:abstractNumId w:val="3"/>
  </w:num>
  <w:num w:numId="20">
    <w:abstractNumId w:val="38"/>
  </w:num>
  <w:num w:numId="21">
    <w:abstractNumId w:val="39"/>
  </w:num>
  <w:num w:numId="22">
    <w:abstractNumId w:val="36"/>
  </w:num>
  <w:num w:numId="23">
    <w:abstractNumId w:val="27"/>
  </w:num>
  <w:num w:numId="24">
    <w:abstractNumId w:val="19"/>
  </w:num>
  <w:num w:numId="25">
    <w:abstractNumId w:val="26"/>
  </w:num>
  <w:num w:numId="26">
    <w:abstractNumId w:val="9"/>
  </w:num>
  <w:num w:numId="27">
    <w:abstractNumId w:val="41"/>
  </w:num>
  <w:num w:numId="28">
    <w:abstractNumId w:val="2"/>
  </w:num>
  <w:num w:numId="29">
    <w:abstractNumId w:val="34"/>
  </w:num>
  <w:num w:numId="30">
    <w:abstractNumId w:val="11"/>
  </w:num>
  <w:num w:numId="31">
    <w:abstractNumId w:val="30"/>
  </w:num>
  <w:num w:numId="32">
    <w:abstractNumId w:val="37"/>
  </w:num>
  <w:num w:numId="33">
    <w:abstractNumId w:val="15"/>
  </w:num>
  <w:num w:numId="34">
    <w:abstractNumId w:val="40"/>
  </w:num>
  <w:num w:numId="35">
    <w:abstractNumId w:val="25"/>
  </w:num>
  <w:num w:numId="36">
    <w:abstractNumId w:val="29"/>
  </w:num>
  <w:num w:numId="37">
    <w:abstractNumId w:val="4"/>
  </w:num>
  <w:num w:numId="38">
    <w:abstractNumId w:val="32"/>
  </w:num>
  <w:num w:numId="39">
    <w:abstractNumId w:val="21"/>
  </w:num>
  <w:num w:numId="40">
    <w:abstractNumId w:val="7"/>
  </w:num>
  <w:num w:numId="41">
    <w:abstractNumId w:val="2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52"/>
    <w:next w:val="952"/>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52"/>
    <w:next w:val="952"/>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52"/>
    <w:next w:val="952"/>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52"/>
    <w:next w:val="952"/>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52"/>
    <w:next w:val="952"/>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52"/>
    <w:next w:val="952"/>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52"/>
    <w:next w:val="952"/>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52"/>
    <w:next w:val="952"/>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52"/>
    <w:next w:val="952"/>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52"/>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52"/>
    <w:next w:val="952"/>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52"/>
    <w:next w:val="952"/>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52"/>
    <w:next w:val="952"/>
    <w:link w:val="810"/>
    <w:uiPriority w:val="29"/>
    <w:qFormat/>
    <w:pPr>
      <w:ind w:left="720" w:right="720"/>
    </w:pPr>
    <w:rPr>
      <w:i/>
    </w:rPr>
  </w:style>
  <w:style w:type="character" w:styleId="810">
    <w:name w:val="Quote Char"/>
    <w:link w:val="809"/>
    <w:uiPriority w:val="29"/>
    <w:rPr>
      <w:i/>
    </w:rPr>
  </w:style>
  <w:style w:type="paragraph" w:styleId="811">
    <w:name w:val="Intense Quote"/>
    <w:basedOn w:val="952"/>
    <w:next w:val="952"/>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52"/>
    <w:link w:val="1129"/>
    <w:uiPriority w:val="99"/>
    <w:unhideWhenUsed/>
    <w:pPr>
      <w:spacing w:after="0" w:line="240" w:lineRule="auto"/>
      <w:tabs>
        <w:tab w:val="center" w:pos="7143" w:leader="none"/>
        <w:tab w:val="right" w:pos="14287" w:leader="none"/>
      </w:tabs>
    </w:pPr>
  </w:style>
  <w:style w:type="paragraph" w:styleId="814">
    <w:name w:val="Footer"/>
    <w:basedOn w:val="952"/>
    <w:link w:val="816"/>
    <w:uiPriority w:val="99"/>
    <w:unhideWhenUsed/>
    <w:pPr>
      <w:spacing w:after="0" w:line="240" w:lineRule="auto"/>
      <w:tabs>
        <w:tab w:val="center" w:pos="7143" w:leader="none"/>
        <w:tab w:val="right" w:pos="14287" w:leader="none"/>
      </w:tabs>
    </w:pPr>
  </w:style>
  <w:style w:type="paragraph" w:styleId="815">
    <w:name w:val="Caption"/>
    <w:basedOn w:val="952"/>
    <w:next w:val="952"/>
    <w:uiPriority w:val="35"/>
    <w:semiHidden/>
    <w:unhideWhenUsed/>
    <w:qFormat/>
    <w:pPr>
      <w:spacing w:line="276" w:lineRule="auto"/>
    </w:pPr>
    <w:rPr>
      <w:b/>
      <w:bCs/>
      <w:color w:val="4f81bd" w:themeColor="accent1"/>
      <w:sz w:val="18"/>
      <w:szCs w:val="18"/>
    </w:rPr>
  </w:style>
  <w:style w:type="character" w:styleId="816">
    <w:name w:val="Caption Char"/>
    <w:basedOn w:val="815"/>
    <w:link w:val="814"/>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52"/>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52"/>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next w:val="952"/>
    <w:link w:val="952"/>
    <w:qFormat/>
    <w:pPr>
      <w:jc w:val="both"/>
      <w:widowControl w:val="off"/>
    </w:pPr>
    <w:rPr>
      <w:rFonts w:ascii="宋体" w:hAnsi="宋体"/>
      <w:sz w:val="24"/>
      <w:szCs w:val="24"/>
      <w:lang w:val="en-US" w:eastAsia="zh-CN" w:bidi="ar-SA"/>
    </w:rPr>
  </w:style>
  <w:style w:type="paragraph" w:styleId="953">
    <w:name w:val="标题 1"/>
    <w:basedOn w:val="952"/>
    <w:next w:val="952"/>
    <w:link w:val="965"/>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954">
    <w:name w:val="标题 2"/>
    <w:basedOn w:val="952"/>
    <w:next w:val="967"/>
    <w:link w:val="966"/>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955">
    <w:name w:val="标题 3"/>
    <w:basedOn w:val="952"/>
    <w:next w:val="967"/>
    <w:link w:val="969"/>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956">
    <w:name w:val="标题 4"/>
    <w:basedOn w:val="952"/>
    <w:next w:val="967"/>
    <w:link w:val="970"/>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957">
    <w:name w:val="标题 5"/>
    <w:basedOn w:val="952"/>
    <w:next w:val="967"/>
    <w:link w:val="971"/>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958">
    <w:name w:val="标题 6"/>
    <w:basedOn w:val="952"/>
    <w:next w:val="967"/>
    <w:link w:val="972"/>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959">
    <w:name w:val="标题 7"/>
    <w:basedOn w:val="952"/>
    <w:next w:val="967"/>
    <w:link w:val="973"/>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960">
    <w:name w:val="标题 8"/>
    <w:basedOn w:val="952"/>
    <w:next w:val="967"/>
    <w:link w:val="974"/>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961">
    <w:name w:val="标题 9"/>
    <w:basedOn w:val="952"/>
    <w:next w:val="967"/>
    <w:link w:val="975"/>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962">
    <w:name w:val="默认段落字体"/>
    <w:next w:val="962"/>
    <w:link w:val="952"/>
    <w:semiHidden/>
  </w:style>
  <w:style w:type="table" w:styleId="963">
    <w:name w:val="普通表格"/>
    <w:next w:val="963"/>
    <w:link w:val="952"/>
    <w:semiHidden/>
    <w:tblPr/>
  </w:style>
  <w:style w:type="numbering" w:styleId="964">
    <w:name w:val="无列表"/>
    <w:next w:val="964"/>
    <w:link w:val="952"/>
    <w:uiPriority w:val="99"/>
    <w:semiHidden/>
    <w:unhideWhenUsed/>
  </w:style>
  <w:style w:type="character" w:styleId="965">
    <w:name w:val="标题 1 字符"/>
    <w:next w:val="965"/>
    <w:link w:val="953"/>
    <w:rPr>
      <w:b/>
      <w:sz w:val="44"/>
    </w:rPr>
  </w:style>
  <w:style w:type="character" w:styleId="966">
    <w:name w:val="标题 2 字符"/>
    <w:next w:val="966"/>
    <w:link w:val="954"/>
    <w:rPr>
      <w:rFonts w:ascii="Arial" w:hAnsi="Arial" w:eastAsia="黑体"/>
      <w:b/>
      <w:sz w:val="32"/>
    </w:rPr>
  </w:style>
  <w:style w:type="paragraph" w:styleId="967">
    <w:name w:val="正文缩进"/>
    <w:basedOn w:val="952"/>
    <w:next w:val="967"/>
    <w:link w:val="968"/>
    <w:qFormat/>
    <w:pPr>
      <w:ind w:firstLine="420"/>
      <w:jc w:val="left"/>
    </w:pPr>
    <w:rPr>
      <w:rFonts w:ascii="Times New Roman" w:hAnsi="Times New Roman" w:eastAsia="楷体_GB2312"/>
      <w:szCs w:val="20"/>
    </w:rPr>
  </w:style>
  <w:style w:type="character" w:styleId="968">
    <w:name w:val="正文缩进 字符"/>
    <w:next w:val="968"/>
    <w:link w:val="967"/>
    <w:qFormat/>
    <w:rPr>
      <w:rFonts w:eastAsia="楷体_GB2312"/>
      <w:sz w:val="24"/>
    </w:rPr>
  </w:style>
  <w:style w:type="character" w:styleId="969">
    <w:name w:val="标题 3 字符"/>
    <w:next w:val="969"/>
    <w:link w:val="955"/>
    <w:rPr>
      <w:b/>
      <w:sz w:val="32"/>
    </w:rPr>
  </w:style>
  <w:style w:type="character" w:styleId="970">
    <w:name w:val="标题 4 字符"/>
    <w:next w:val="970"/>
    <w:link w:val="956"/>
    <w:rPr>
      <w:rFonts w:ascii="Arial" w:hAnsi="Arial" w:eastAsia="黑体"/>
      <w:b/>
      <w:sz w:val="28"/>
    </w:rPr>
  </w:style>
  <w:style w:type="character" w:styleId="971">
    <w:name w:val="标题 5 字符"/>
    <w:next w:val="971"/>
    <w:link w:val="957"/>
    <w:rPr>
      <w:b/>
      <w:sz w:val="28"/>
    </w:rPr>
  </w:style>
  <w:style w:type="character" w:styleId="972">
    <w:name w:val="标题 6 字符"/>
    <w:next w:val="972"/>
    <w:link w:val="958"/>
    <w:rPr>
      <w:rFonts w:ascii="Arial" w:hAnsi="Arial" w:eastAsia="黑体"/>
      <w:b/>
      <w:sz w:val="24"/>
    </w:rPr>
  </w:style>
  <w:style w:type="character" w:styleId="973">
    <w:name w:val="标题 7 字符"/>
    <w:next w:val="973"/>
    <w:link w:val="959"/>
    <w:rPr>
      <w:b/>
      <w:sz w:val="24"/>
    </w:rPr>
  </w:style>
  <w:style w:type="character" w:styleId="974">
    <w:name w:val="标题 8 字符"/>
    <w:next w:val="974"/>
    <w:link w:val="960"/>
    <w:rPr>
      <w:rFonts w:ascii="Arial" w:hAnsi="Arial" w:eastAsia="黑体"/>
      <w:sz w:val="24"/>
    </w:rPr>
  </w:style>
  <w:style w:type="character" w:styleId="975">
    <w:name w:val="标题 9 字符"/>
    <w:next w:val="975"/>
    <w:link w:val="961"/>
    <w:rPr>
      <w:rFonts w:ascii="Arial" w:hAnsi="Arial" w:eastAsia="黑体"/>
      <w:sz w:val="21"/>
    </w:rPr>
  </w:style>
  <w:style w:type="paragraph" w:styleId="976">
    <w:name w:val="toc 7"/>
    <w:basedOn w:val="952"/>
    <w:next w:val="952"/>
    <w:link w:val="952"/>
    <w:semiHidden/>
    <w:pPr>
      <w:ind w:left="1260"/>
      <w:jc w:val="left"/>
    </w:pPr>
    <w:rPr>
      <w:rFonts w:ascii="Times New Roman" w:hAnsi="Times New Roman"/>
      <w:sz w:val="18"/>
      <w:szCs w:val="18"/>
    </w:rPr>
  </w:style>
  <w:style w:type="paragraph" w:styleId="977">
    <w:name w:val="注释标题"/>
    <w:basedOn w:val="952"/>
    <w:next w:val="952"/>
    <w:link w:val="978"/>
    <w:pPr>
      <w:jc w:val="center"/>
    </w:pPr>
    <w:rPr>
      <w:rFonts w:ascii="Times New Roman" w:hAnsi="Times New Roman"/>
      <w:sz w:val="20"/>
      <w:szCs w:val="20"/>
    </w:rPr>
  </w:style>
  <w:style w:type="character" w:styleId="978">
    <w:name w:val="注释标题 字符"/>
    <w:next w:val="978"/>
    <w:link w:val="977"/>
    <w:rPr>
      <w:rFonts w:eastAsia="宋体"/>
      <w:lang w:bidi="ar-SA"/>
    </w:rPr>
  </w:style>
  <w:style w:type="paragraph" w:styleId="979">
    <w:name w:val="列表编号"/>
    <w:basedOn w:val="952"/>
    <w:next w:val="979"/>
    <w:link w:val="952"/>
    <w:pPr>
      <w:ind w:left="420" w:hanging="420"/>
      <w:tabs>
        <w:tab w:val="left" w:pos="420" w:leader="none"/>
      </w:tabs>
    </w:pPr>
    <w:rPr>
      <w:rFonts w:ascii="Times New Roman" w:hAnsi="Times New Roman"/>
      <w:sz w:val="21"/>
    </w:rPr>
  </w:style>
  <w:style w:type="paragraph" w:styleId="980">
    <w:name w:val="题注"/>
    <w:basedOn w:val="952"/>
    <w:next w:val="952"/>
    <w:link w:val="981"/>
    <w:qFormat/>
    <w:pPr>
      <w:spacing w:before="152" w:after="160"/>
    </w:pPr>
    <w:rPr>
      <w:rFonts w:ascii="Arial" w:hAnsi="Arial" w:eastAsia="黑体" w:cs="Arial"/>
      <w:sz w:val="20"/>
      <w:szCs w:val="20"/>
    </w:rPr>
  </w:style>
  <w:style w:type="character" w:styleId="981">
    <w:name w:val="题注 字符"/>
    <w:next w:val="981"/>
    <w:link w:val="980"/>
    <w:rPr>
      <w:rFonts w:ascii="Arial" w:hAnsi="Arial" w:eastAsia="黑体" w:cs="Arial"/>
      <w:lang w:val="en-US" w:eastAsia="zh-CN" w:bidi="ar-SA"/>
    </w:rPr>
  </w:style>
  <w:style w:type="paragraph" w:styleId="982">
    <w:name w:val="列表项目符号"/>
    <w:basedOn w:val="952"/>
    <w:next w:val="982"/>
    <w:link w:val="952"/>
    <w:pPr>
      <w:ind w:left="357" w:hanging="357"/>
      <w:spacing w:line="500" w:lineRule="exact"/>
      <w:tabs>
        <w:tab w:val="left" w:pos="420" w:leader="none"/>
      </w:tabs>
    </w:pPr>
    <w:rPr>
      <w:rFonts w:ascii="Times New Roman" w:hAnsi="Times New Roman"/>
      <w:szCs w:val="20"/>
    </w:rPr>
  </w:style>
  <w:style w:type="paragraph" w:styleId="983">
    <w:name w:val="文档结构图"/>
    <w:basedOn w:val="952"/>
    <w:next w:val="983"/>
    <w:link w:val="984"/>
    <w:qFormat/>
    <w:pPr>
      <w:shd w:val="clear" w:color="auto" w:fill="000080"/>
    </w:pPr>
  </w:style>
  <w:style w:type="character" w:styleId="984">
    <w:name w:val="文档结构图 字符"/>
    <w:next w:val="984"/>
    <w:link w:val="983"/>
    <w:rPr>
      <w:rFonts w:ascii="宋体" w:hAnsi="宋体" w:eastAsia="宋体"/>
      <w:sz w:val="24"/>
      <w:szCs w:val="24"/>
      <w:lang w:val="en-US" w:eastAsia="zh-CN" w:bidi="ar-SA"/>
    </w:rPr>
  </w:style>
  <w:style w:type="paragraph" w:styleId="985">
    <w:name w:val="批注文字"/>
    <w:basedOn w:val="952"/>
    <w:next w:val="985"/>
    <w:link w:val="986"/>
    <w:semiHidden/>
    <w:pPr>
      <w:numPr>
        <w:ilvl w:val="0"/>
        <w:numId w:val="2"/>
      </w:numPr>
      <w:ind w:left="200"/>
      <w:jc w:val="left"/>
      <w:spacing w:before="50" w:after="50"/>
      <w:widowControl/>
    </w:pPr>
    <w:rPr>
      <w:rFonts w:ascii="Times New Roman" w:hAnsi="Times New Roman"/>
      <w:sz w:val="21"/>
      <w:szCs w:val="18"/>
    </w:rPr>
  </w:style>
  <w:style w:type="character" w:styleId="986">
    <w:name w:val="批注文字 字符"/>
    <w:next w:val="986"/>
    <w:link w:val="985"/>
    <w:semiHidden/>
    <w:rPr>
      <w:sz w:val="21"/>
      <w:szCs w:val="18"/>
    </w:rPr>
  </w:style>
  <w:style w:type="paragraph" w:styleId="987">
    <w:name w:val="称呼"/>
    <w:basedOn w:val="952"/>
    <w:next w:val="952"/>
    <w:link w:val="952"/>
    <w:rPr>
      <w:rFonts w:ascii="Times New Roman" w:hAnsi="Times New Roman" w:eastAsia="黑体"/>
    </w:rPr>
  </w:style>
  <w:style w:type="paragraph" w:styleId="988">
    <w:name w:val="正文文本 3"/>
    <w:basedOn w:val="952"/>
    <w:next w:val="988"/>
    <w:link w:val="952"/>
    <w:pPr>
      <w:spacing w:after="120"/>
    </w:pPr>
    <w:rPr>
      <w:rFonts w:ascii="Times New Roman" w:hAnsi="Times New Roman"/>
      <w:sz w:val="16"/>
      <w:szCs w:val="16"/>
    </w:rPr>
  </w:style>
  <w:style w:type="paragraph" w:styleId="989">
    <w:name w:val="正文文本"/>
    <w:basedOn w:val="952"/>
    <w:next w:val="989"/>
    <w:link w:val="990"/>
    <w:qFormat/>
    <w:rPr>
      <w:rFonts w:ascii="Times New Roman" w:hAnsi="Times New Roman"/>
    </w:rPr>
  </w:style>
  <w:style w:type="character" w:styleId="990">
    <w:name w:val="正文文本 字符"/>
    <w:next w:val="990"/>
    <w:link w:val="989"/>
    <w:qFormat/>
    <w:rPr>
      <w:sz w:val="24"/>
      <w:szCs w:val="24"/>
    </w:rPr>
  </w:style>
  <w:style w:type="paragraph" w:styleId="991">
    <w:name w:val="正文文本缩进"/>
    <w:basedOn w:val="952"/>
    <w:next w:val="991"/>
    <w:link w:val="992"/>
    <w:qFormat/>
    <w:pPr>
      <w:ind w:firstLine="420"/>
      <w:spacing w:line="360" w:lineRule="exact"/>
    </w:pPr>
    <w:rPr>
      <w:szCs w:val="21"/>
    </w:rPr>
  </w:style>
  <w:style w:type="character" w:styleId="992">
    <w:name w:val="正文文本缩进 字符"/>
    <w:next w:val="992"/>
    <w:link w:val="991"/>
    <w:rPr>
      <w:rFonts w:ascii="宋体" w:hAnsi="宋体" w:eastAsia="宋体"/>
      <w:sz w:val="24"/>
      <w:szCs w:val="21"/>
      <w:lang w:val="en-US" w:eastAsia="zh-CN" w:bidi="ar-SA"/>
    </w:rPr>
  </w:style>
  <w:style w:type="paragraph" w:styleId="993">
    <w:name w:val="列表 2"/>
    <w:basedOn w:val="952"/>
    <w:next w:val="993"/>
    <w:link w:val="952"/>
    <w:pPr>
      <w:ind w:left="100" w:hanging="200"/>
    </w:pPr>
    <w:rPr>
      <w:rFonts w:ascii="Times New Roman" w:hAnsi="Times New Roman"/>
      <w:sz w:val="21"/>
    </w:rPr>
  </w:style>
  <w:style w:type="paragraph" w:styleId="994">
    <w:name w:val="文本块"/>
    <w:basedOn w:val="952"/>
    <w:next w:val="994"/>
    <w:link w:val="952"/>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995">
    <w:name w:val="toc 5"/>
    <w:basedOn w:val="952"/>
    <w:next w:val="952"/>
    <w:link w:val="952"/>
    <w:semiHidden/>
    <w:pPr>
      <w:ind w:left="840"/>
      <w:jc w:val="left"/>
    </w:pPr>
    <w:rPr>
      <w:rFonts w:ascii="Times New Roman" w:hAnsi="Times New Roman"/>
      <w:sz w:val="18"/>
      <w:szCs w:val="18"/>
    </w:rPr>
  </w:style>
  <w:style w:type="paragraph" w:styleId="996">
    <w:name w:val="toc 3"/>
    <w:basedOn w:val="952"/>
    <w:next w:val="952"/>
    <w:link w:val="952"/>
    <w:semiHidden/>
    <w:pPr>
      <w:ind w:left="840"/>
    </w:pPr>
    <w:rPr>
      <w:rFonts w:ascii="Times New Roman" w:hAnsi="Times New Roman"/>
      <w:sz w:val="21"/>
    </w:rPr>
  </w:style>
  <w:style w:type="paragraph" w:styleId="997">
    <w:name w:val="纯文本"/>
    <w:basedOn w:val="952"/>
    <w:next w:val="997"/>
    <w:link w:val="998"/>
    <w:pPr>
      <w:jc w:val="left"/>
      <w:widowControl/>
    </w:pPr>
    <w:rPr>
      <w:rFonts w:hAnsi="Courier New"/>
      <w:sz w:val="21"/>
      <w:szCs w:val="21"/>
    </w:rPr>
  </w:style>
  <w:style w:type="character" w:styleId="998">
    <w:name w:val="纯文本 字符"/>
    <w:next w:val="998"/>
    <w:link w:val="997"/>
    <w:rPr>
      <w:rFonts w:ascii="宋体" w:hAnsi="Courier New" w:eastAsia="宋体"/>
      <w:sz w:val="21"/>
      <w:szCs w:val="21"/>
      <w:lang w:val="en-US" w:eastAsia="zh-CN" w:bidi="ar-SA"/>
    </w:rPr>
  </w:style>
  <w:style w:type="paragraph" w:styleId="999">
    <w:name w:val="列表编号 4"/>
    <w:basedOn w:val="952"/>
    <w:next w:val="999"/>
    <w:link w:val="952"/>
    <w:unhideWhenUsed/>
    <w:pPr>
      <w:numPr>
        <w:ilvl w:val="0"/>
        <w:numId w:val="3"/>
      </w:numPr>
      <w:contextualSpacing/>
      <w:tabs>
        <w:tab w:val="left" w:pos="1620" w:leader="none"/>
      </w:tabs>
    </w:pPr>
    <w:rPr>
      <w:rFonts w:ascii="Times New Roman" w:hAnsi="Times New Roman"/>
      <w:sz w:val="21"/>
    </w:rPr>
  </w:style>
  <w:style w:type="paragraph" w:styleId="1000">
    <w:name w:val="toc 8"/>
    <w:basedOn w:val="952"/>
    <w:next w:val="952"/>
    <w:link w:val="952"/>
    <w:semiHidden/>
    <w:pPr>
      <w:ind w:left="1470"/>
      <w:jc w:val="left"/>
    </w:pPr>
    <w:rPr>
      <w:rFonts w:ascii="Times New Roman" w:hAnsi="Times New Roman"/>
      <w:sz w:val="18"/>
      <w:szCs w:val="18"/>
    </w:rPr>
  </w:style>
  <w:style w:type="paragraph" w:styleId="1001">
    <w:name w:val="日期"/>
    <w:basedOn w:val="952"/>
    <w:next w:val="952"/>
    <w:link w:val="1002"/>
    <w:rPr>
      <w:rFonts w:eastAsia="楷体_GB2312"/>
      <w:szCs w:val="20"/>
    </w:rPr>
  </w:style>
  <w:style w:type="character" w:styleId="1002">
    <w:name w:val="日期 字符"/>
    <w:next w:val="1002"/>
    <w:link w:val="1001"/>
    <w:semiHidden/>
    <w:rPr>
      <w:rFonts w:ascii="宋体" w:hAnsi="宋体" w:eastAsia="楷体_GB2312"/>
      <w:sz w:val="24"/>
      <w:lang w:val="en-US" w:eastAsia="zh-CN" w:bidi="ar-SA"/>
    </w:rPr>
  </w:style>
  <w:style w:type="paragraph" w:styleId="1003">
    <w:name w:val="正文文本缩进 2"/>
    <w:basedOn w:val="952"/>
    <w:next w:val="1003"/>
    <w:link w:val="1004"/>
    <w:pPr>
      <w:ind w:left="1" w:firstLine="480"/>
      <w:spacing w:line="400" w:lineRule="exact"/>
      <w:tabs>
        <w:tab w:val="left" w:pos="360" w:leader="none"/>
      </w:tabs>
    </w:pPr>
    <w:rPr>
      <w:rFonts w:ascii="Times New Roman" w:hAnsi="Times New Roman"/>
    </w:rPr>
  </w:style>
  <w:style w:type="character" w:styleId="1004">
    <w:name w:val="正文文本缩进 2 字符"/>
    <w:next w:val="1004"/>
    <w:link w:val="1003"/>
    <w:rPr>
      <w:rFonts w:eastAsia="宋体"/>
      <w:sz w:val="24"/>
      <w:szCs w:val="24"/>
      <w:lang w:val="en-US" w:eastAsia="zh-CN" w:bidi="ar-SA"/>
    </w:rPr>
  </w:style>
  <w:style w:type="paragraph" w:styleId="1005">
    <w:name w:val="批注框文本"/>
    <w:basedOn w:val="952"/>
    <w:next w:val="1005"/>
    <w:link w:val="1006"/>
    <w:uiPriority w:val="99"/>
    <w:semiHidden/>
    <w:rPr>
      <w:rFonts w:ascii="Times New Roman" w:hAnsi="Times New Roman"/>
      <w:sz w:val="18"/>
      <w:szCs w:val="18"/>
    </w:rPr>
  </w:style>
  <w:style w:type="character" w:styleId="1006">
    <w:name w:val="批注框文本 字符"/>
    <w:next w:val="1006"/>
    <w:link w:val="1005"/>
    <w:uiPriority w:val="99"/>
    <w:rPr>
      <w:rFonts w:eastAsia="宋体"/>
      <w:sz w:val="18"/>
      <w:szCs w:val="18"/>
      <w:lang w:val="en-US" w:eastAsia="zh-CN" w:bidi="ar-SA"/>
    </w:rPr>
  </w:style>
  <w:style w:type="paragraph" w:styleId="1007">
    <w:name w:val="页脚"/>
    <w:basedOn w:val="952"/>
    <w:next w:val="1007"/>
    <w:link w:val="1008"/>
    <w:uiPriority w:val="99"/>
    <w:pPr>
      <w:jc w:val="left"/>
      <w:tabs>
        <w:tab w:val="center" w:pos="4153" w:leader="none"/>
        <w:tab w:val="right" w:pos="8306" w:leader="none"/>
      </w:tabs>
    </w:pPr>
    <w:rPr>
      <w:rFonts w:ascii="Times New Roman" w:hAnsi="Times New Roman"/>
      <w:sz w:val="18"/>
      <w:szCs w:val="18"/>
    </w:rPr>
  </w:style>
  <w:style w:type="character" w:styleId="1008">
    <w:name w:val="页脚 字符"/>
    <w:next w:val="1008"/>
    <w:link w:val="1007"/>
    <w:uiPriority w:val="99"/>
    <w:rPr>
      <w:rFonts w:eastAsia="宋体"/>
      <w:sz w:val="18"/>
      <w:szCs w:val="18"/>
      <w:lang w:val="en-US" w:eastAsia="zh-CN" w:bidi="ar-SA"/>
    </w:rPr>
  </w:style>
  <w:style w:type="paragraph" w:styleId="1009">
    <w:name w:val="页眉"/>
    <w:basedOn w:val="952"/>
    <w:next w:val="1009"/>
    <w:link w:val="1010"/>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10">
    <w:name w:val="页眉 字符"/>
    <w:next w:val="1010"/>
    <w:link w:val="1009"/>
    <w:uiPriority w:val="99"/>
    <w:rPr>
      <w:rFonts w:eastAsia="宋体"/>
      <w:sz w:val="18"/>
      <w:szCs w:val="18"/>
      <w:lang w:val="en-US" w:eastAsia="zh-CN" w:bidi="ar-SA"/>
    </w:rPr>
  </w:style>
  <w:style w:type="paragraph" w:styleId="1011">
    <w:name w:val="toc 1"/>
    <w:basedOn w:val="952"/>
    <w:next w:val="952"/>
    <w:link w:val="952"/>
    <w:semiHidden/>
    <w:pPr>
      <w:jc w:val="left"/>
    </w:pPr>
    <w:rPr>
      <w:rFonts w:ascii="Times New Roman" w:hAnsi="Times New Roman" w:eastAsia="楷体_GB2312"/>
      <w:szCs w:val="20"/>
    </w:rPr>
  </w:style>
  <w:style w:type="paragraph" w:styleId="1012">
    <w:name w:val="toc 4"/>
    <w:basedOn w:val="952"/>
    <w:next w:val="952"/>
    <w:link w:val="952"/>
    <w:semiHidden/>
    <w:pPr>
      <w:ind w:left="630"/>
      <w:jc w:val="left"/>
    </w:pPr>
    <w:rPr>
      <w:rFonts w:ascii="Times New Roman" w:hAnsi="Times New Roman"/>
      <w:sz w:val="18"/>
      <w:szCs w:val="18"/>
    </w:rPr>
  </w:style>
  <w:style w:type="paragraph" w:styleId="1013">
    <w:name w:val="索引标题"/>
    <w:basedOn w:val="952"/>
    <w:next w:val="1014"/>
    <w:link w:val="952"/>
    <w:semiHidden/>
    <w:rPr>
      <w:rFonts w:ascii="Times New Roman" w:hAnsi="Times New Roman"/>
      <w:szCs w:val="20"/>
    </w:rPr>
  </w:style>
  <w:style w:type="paragraph" w:styleId="1014">
    <w:name w:val="索引 1"/>
    <w:basedOn w:val="952"/>
    <w:next w:val="952"/>
    <w:link w:val="952"/>
    <w:semiHidden/>
    <w:rPr>
      <w:rFonts w:ascii="Times New Roman" w:hAnsi="Times New Roman"/>
      <w:sz w:val="21"/>
    </w:rPr>
  </w:style>
  <w:style w:type="paragraph" w:styleId="1015">
    <w:name w:val="副标题"/>
    <w:basedOn w:val="952"/>
    <w:next w:val="952"/>
    <w:link w:val="952"/>
    <w:qFormat/>
    <w:pPr>
      <w:jc w:val="center"/>
      <w:spacing w:before="240" w:after="60" w:line="312" w:lineRule="auto"/>
      <w:outlineLvl w:val="1"/>
    </w:pPr>
    <w:rPr>
      <w:rFonts w:ascii="Cambria" w:hAnsi="Cambria"/>
      <w:b/>
      <w:bCs/>
      <w:sz w:val="32"/>
      <w:szCs w:val="32"/>
    </w:rPr>
  </w:style>
  <w:style w:type="paragraph" w:styleId="1016">
    <w:name w:val="列表"/>
    <w:basedOn w:val="952"/>
    <w:next w:val="1016"/>
    <w:link w:val="952"/>
    <w:pPr>
      <w:ind w:left="200" w:hanging="200"/>
    </w:pPr>
    <w:rPr>
      <w:rFonts w:ascii="Times New Roman" w:hAnsi="Times New Roman"/>
      <w:sz w:val="21"/>
    </w:rPr>
  </w:style>
  <w:style w:type="paragraph" w:styleId="1017">
    <w:name w:val="toc 6"/>
    <w:basedOn w:val="952"/>
    <w:next w:val="952"/>
    <w:link w:val="952"/>
    <w:semiHidden/>
    <w:pPr>
      <w:ind w:left="1050"/>
      <w:jc w:val="left"/>
    </w:pPr>
    <w:rPr>
      <w:rFonts w:ascii="Times New Roman" w:hAnsi="Times New Roman"/>
      <w:sz w:val="18"/>
      <w:szCs w:val="18"/>
    </w:rPr>
  </w:style>
  <w:style w:type="paragraph" w:styleId="1018">
    <w:name w:val="正文文本缩进 3"/>
    <w:basedOn w:val="952"/>
    <w:next w:val="1018"/>
    <w:link w:val="1019"/>
    <w:uiPriority w:val="99"/>
    <w:qFormat/>
    <w:pPr>
      <w:ind w:firstLine="480"/>
      <w:spacing w:line="400" w:lineRule="exact"/>
    </w:pPr>
    <w:rPr>
      <w:rFonts w:ascii="Times New Roman" w:hAnsi="Times New Roman"/>
    </w:rPr>
  </w:style>
  <w:style w:type="character" w:styleId="1019">
    <w:name w:val="正文文本缩进 3 字符"/>
    <w:next w:val="1019"/>
    <w:link w:val="1018"/>
    <w:uiPriority w:val="99"/>
    <w:rPr>
      <w:rFonts w:eastAsia="宋体"/>
      <w:sz w:val="24"/>
      <w:szCs w:val="24"/>
      <w:lang w:val="en-US" w:eastAsia="zh-CN" w:bidi="ar-SA"/>
    </w:rPr>
  </w:style>
  <w:style w:type="paragraph" w:styleId="1020">
    <w:name w:val="toc 2"/>
    <w:basedOn w:val="952"/>
    <w:next w:val="952"/>
    <w:link w:val="952"/>
    <w:semiHidden/>
    <w:pPr>
      <w:ind w:left="420"/>
    </w:pPr>
    <w:rPr>
      <w:rFonts w:ascii="Times New Roman" w:hAnsi="Times New Roman"/>
      <w:sz w:val="21"/>
    </w:rPr>
  </w:style>
  <w:style w:type="paragraph" w:styleId="1021">
    <w:name w:val="toc 9"/>
    <w:basedOn w:val="952"/>
    <w:next w:val="952"/>
    <w:link w:val="952"/>
    <w:semiHidden/>
    <w:pPr>
      <w:ind w:left="1680"/>
      <w:jc w:val="left"/>
    </w:pPr>
    <w:rPr>
      <w:rFonts w:ascii="Times New Roman" w:hAnsi="Times New Roman"/>
      <w:sz w:val="18"/>
      <w:szCs w:val="18"/>
    </w:rPr>
  </w:style>
  <w:style w:type="paragraph" w:styleId="1022">
    <w:name w:val="正文文本 2"/>
    <w:basedOn w:val="952"/>
    <w:next w:val="1022"/>
    <w:link w:val="952"/>
    <w:pPr>
      <w:numPr>
        <w:ilvl w:val="0"/>
        <w:numId w:val="4"/>
      </w:numPr>
      <w:ind w:left="0" w:firstLine="0"/>
      <w:spacing w:after="120" w:line="480" w:lineRule="auto"/>
      <w:tabs>
        <w:tab w:val="clear" w:pos="737" w:leader="none"/>
      </w:tabs>
    </w:pPr>
  </w:style>
  <w:style w:type="paragraph" w:styleId="1023">
    <w:name w:val="HTML 预设格式"/>
    <w:basedOn w:val="952"/>
    <w:next w:val="1023"/>
    <w:link w:val="102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1024">
    <w:name w:val="HTML 预设格式 字符"/>
    <w:next w:val="1024"/>
    <w:link w:val="1023"/>
    <w:semiHidden/>
    <w:rPr>
      <w:rFonts w:ascii="Arial Unicode MS" w:hAnsi="Arial Unicode MS" w:eastAsia="Arial Unicode MS"/>
      <w:lang w:bidi="ar-SA"/>
    </w:rPr>
  </w:style>
  <w:style w:type="paragraph" w:styleId="1025">
    <w:name w:val="普通(网站)"/>
    <w:basedOn w:val="952"/>
    <w:next w:val="1025"/>
    <w:link w:val="952"/>
    <w:uiPriority w:val="99"/>
    <w:qFormat/>
    <w:pPr>
      <w:ind w:left="15" w:right="15"/>
      <w:jc w:val="left"/>
      <w:spacing w:before="60" w:after="60" w:line="312" w:lineRule="auto"/>
      <w:widowControl/>
    </w:pPr>
    <w:rPr>
      <w:rFonts w:ascii="Arial Unicode MS" w:hAnsi="Arial Unicode MS" w:eastAsia="Arial Unicode MS"/>
    </w:rPr>
  </w:style>
  <w:style w:type="paragraph" w:styleId="1026">
    <w:name w:val="标题"/>
    <w:basedOn w:val="952"/>
    <w:next w:val="1026"/>
    <w:link w:val="1027"/>
    <w:qFormat/>
    <w:pPr>
      <w:jc w:val="center"/>
      <w:spacing w:before="156"/>
    </w:pPr>
    <w:rPr>
      <w:rFonts w:ascii="Times New Roman" w:hAnsi="Times New Roman" w:eastAsia="黑体"/>
      <w:b/>
      <w:bCs/>
      <w:sz w:val="32"/>
    </w:rPr>
  </w:style>
  <w:style w:type="character" w:styleId="1027">
    <w:name w:val="标题 字符"/>
    <w:next w:val="1027"/>
    <w:link w:val="1026"/>
    <w:rPr>
      <w:rFonts w:eastAsia="黑体"/>
      <w:b/>
      <w:bCs/>
      <w:sz w:val="32"/>
      <w:szCs w:val="24"/>
      <w:lang w:val="en-US" w:eastAsia="zh-CN" w:bidi="ar-SA"/>
    </w:rPr>
  </w:style>
  <w:style w:type="paragraph" w:styleId="1028">
    <w:name w:val="批注主题"/>
    <w:basedOn w:val="985"/>
    <w:next w:val="985"/>
    <w:link w:val="952"/>
    <w:semiHidden/>
    <w:pPr>
      <w:numPr>
        <w:ilvl w:val="5"/>
        <w:numId w:val="0"/>
      </w:numPr>
      <w:ind w:left="200"/>
    </w:pPr>
    <w:rPr>
      <w:b/>
      <w:bCs/>
    </w:rPr>
  </w:style>
  <w:style w:type="paragraph" w:styleId="1029">
    <w:name w:val="正文文本首行缩进"/>
    <w:basedOn w:val="989"/>
    <w:next w:val="1029"/>
    <w:link w:val="1030"/>
    <w:pPr>
      <w:ind w:firstLine="420"/>
      <w:spacing w:after="120"/>
    </w:pPr>
    <w:rPr>
      <w:sz w:val="21"/>
    </w:rPr>
  </w:style>
  <w:style w:type="character" w:styleId="1030">
    <w:name w:val="正文文本首行缩进 字符"/>
    <w:next w:val="1030"/>
    <w:link w:val="1029"/>
    <w:rPr>
      <w:rFonts w:eastAsia="宋体"/>
      <w:sz w:val="21"/>
      <w:szCs w:val="24"/>
      <w:lang w:val="en-US" w:eastAsia="zh-CN" w:bidi="ar-SA"/>
    </w:rPr>
  </w:style>
  <w:style w:type="paragraph" w:styleId="1031">
    <w:name w:val="正文文本首行缩进 2"/>
    <w:basedOn w:val="991"/>
    <w:next w:val="1031"/>
    <w:link w:val="952"/>
    <w:pPr>
      <w:ind w:left="420"/>
      <w:spacing w:after="120" w:line="360" w:lineRule="auto"/>
    </w:pPr>
    <w:rPr>
      <w:rFonts w:ascii="Times New Roman" w:hAnsi="Times New Roman"/>
      <w:sz w:val="21"/>
      <w:szCs w:val="20"/>
    </w:rPr>
  </w:style>
  <w:style w:type="table" w:styleId="1032">
    <w:name w:val="网格型"/>
    <w:basedOn w:val="963"/>
    <w:next w:val="1032"/>
    <w:link w:val="952"/>
    <w:uiPriority w:val="39"/>
    <w:pPr>
      <w:jc w:val="both"/>
      <w:widowControl w:val="off"/>
    </w:pPr>
    <w:tblPr/>
  </w:style>
  <w:style w:type="table" w:styleId="1033">
    <w:name w:val="网格型 7"/>
    <w:basedOn w:val="963"/>
    <w:next w:val="1033"/>
    <w:link w:val="952"/>
    <w:pPr>
      <w:jc w:val="both"/>
      <w:spacing w:line="360" w:lineRule="auto"/>
      <w:widowControl w:val="off"/>
    </w:pPr>
    <w:rPr>
      <w:b/>
      <w:bCs/>
    </w:rPr>
    <w:tblPr/>
  </w:style>
  <w:style w:type="character" w:styleId="1034">
    <w:name w:val="要点"/>
    <w:next w:val="1034"/>
    <w:link w:val="952"/>
    <w:qFormat/>
    <w:rPr>
      <w:b/>
      <w:bCs/>
    </w:rPr>
  </w:style>
  <w:style w:type="character" w:styleId="1035">
    <w:name w:val="页码"/>
    <w:next w:val="1035"/>
    <w:link w:val="952"/>
  </w:style>
  <w:style w:type="character" w:styleId="1036">
    <w:name w:val="访问过的超链接"/>
    <w:next w:val="1036"/>
    <w:link w:val="952"/>
    <w:rPr>
      <w:rFonts w:hint="eastAsia" w:ascii="微软雅黑" w:hAnsi="微软雅黑" w:eastAsia="微软雅黑" w:cs="微软雅黑"/>
      <w:color w:val="000000"/>
      <w:u w:val="none"/>
    </w:rPr>
  </w:style>
  <w:style w:type="character" w:styleId="1037">
    <w:name w:val="强调"/>
    <w:next w:val="1037"/>
    <w:link w:val="952"/>
    <w:qFormat/>
    <w:rPr>
      <w:i/>
      <w:iCs/>
    </w:rPr>
  </w:style>
  <w:style w:type="character" w:styleId="1038">
    <w:name w:val="HTML 缩写"/>
    <w:next w:val="1038"/>
    <w:link w:val="952"/>
  </w:style>
  <w:style w:type="character" w:styleId="1039">
    <w:name w:val="超链接"/>
    <w:next w:val="1039"/>
    <w:link w:val="952"/>
    <w:rPr>
      <w:rFonts w:cs="Times New Roman"/>
      <w:color w:val="0000ff"/>
      <w:u w:val="single"/>
    </w:rPr>
  </w:style>
  <w:style w:type="character" w:styleId="1040">
    <w:name w:val="批注引用"/>
    <w:next w:val="1040"/>
    <w:link w:val="952"/>
    <w:rPr>
      <w:sz w:val="21"/>
      <w:szCs w:val="21"/>
    </w:rPr>
  </w:style>
  <w:style w:type="character" w:styleId="1041">
    <w:name w:val="style11"/>
    <w:next w:val="1041"/>
    <w:link w:val="952"/>
    <w:rPr>
      <w:rFonts w:ascii="Arial" w:hAnsi="Arial" w:cs="Arial"/>
    </w:rPr>
  </w:style>
  <w:style w:type="character" w:styleId="1042">
    <w:name w:val=" Char Char7"/>
    <w:next w:val="1042"/>
    <w:link w:val="952"/>
    <w:rPr>
      <w:rFonts w:ascii="宋体" w:hAnsi="宋体" w:eastAsia="宋体" w:cs="Times New Roman"/>
      <w:sz w:val="24"/>
      <w:szCs w:val="24"/>
    </w:rPr>
  </w:style>
  <w:style w:type="character" w:styleId="1043">
    <w:name w:val="def正文 Char"/>
    <w:next w:val="1043"/>
    <w:link w:val="1044"/>
    <w:rPr>
      <w:rFonts w:eastAsia="宋体"/>
      <w:b/>
      <w:sz w:val="21"/>
      <w:szCs w:val="21"/>
      <w:lang w:bidi="ar-SA"/>
    </w:rPr>
  </w:style>
  <w:style w:type="paragraph" w:styleId="1044">
    <w:name w:val="def正文"/>
    <w:basedOn w:val="989"/>
    <w:next w:val="1044"/>
    <w:link w:val="1043"/>
    <w:pPr>
      <w:jc w:val="center"/>
      <w:spacing w:before="50"/>
      <w:widowControl/>
    </w:pPr>
    <w:rPr>
      <w:b/>
      <w:sz w:val="21"/>
      <w:szCs w:val="21"/>
    </w:rPr>
  </w:style>
  <w:style w:type="character" w:styleId="1045">
    <w:name w:val="不明显强调"/>
    <w:next w:val="1045"/>
    <w:link w:val="952"/>
    <w:qFormat/>
    <w:rPr>
      <w:i/>
      <w:iCs/>
      <w:color w:val="808080"/>
    </w:rPr>
  </w:style>
  <w:style w:type="character" w:styleId="1046">
    <w:name w:val="l31"/>
    <w:next w:val="1046"/>
    <w:link w:val="952"/>
    <w:rPr>
      <w:color w:val="999999"/>
    </w:rPr>
  </w:style>
  <w:style w:type="character" w:styleId="1047">
    <w:name w:val="标题 3 Char"/>
    <w:next w:val="1047"/>
    <w:link w:val="952"/>
    <w:rPr>
      <w:rFonts w:eastAsia="宋体"/>
      <w:b/>
      <w:bCs/>
      <w:sz w:val="32"/>
      <w:szCs w:val="32"/>
      <w:lang w:val="en-US" w:eastAsia="zh-CN" w:bidi="ar-SA"/>
    </w:rPr>
  </w:style>
  <w:style w:type="character" w:styleId="1048">
    <w:name w:val="starting4"/>
    <w:next w:val="1048"/>
    <w:link w:val="952"/>
    <w:rPr>
      <w:color w:val="339900"/>
    </w:rPr>
  </w:style>
  <w:style w:type="character" w:styleId="1049">
    <w:name w:val="buvis1"/>
    <w:next w:val="1049"/>
    <w:link w:val="952"/>
    <w:rPr>
      <w:color w:val="cc0000"/>
    </w:rPr>
  </w:style>
  <w:style w:type="character" w:styleId="1050">
    <w:name w:val="word21"/>
    <w:next w:val="1050"/>
    <w:link w:val="952"/>
    <w:rPr>
      <w:rFonts w:ascii="宋体" w:hAnsi="宋体" w:eastAsia="宋体"/>
      <w:sz w:val="20"/>
    </w:rPr>
  </w:style>
  <w:style w:type="character" w:styleId="1051">
    <w:name w:val="red1"/>
    <w:next w:val="1051"/>
    <w:link w:val="952"/>
    <w:rPr>
      <w:rFonts w:ascii="Verdana" w:hAnsi="Verdana"/>
      <w:color w:val="cc0000"/>
      <w:sz w:val="18"/>
      <w:szCs w:val="18"/>
    </w:rPr>
  </w:style>
  <w:style w:type="character" w:styleId="1052">
    <w:name w:val="over1"/>
    <w:next w:val="1052"/>
    <w:link w:val="952"/>
    <w:rPr>
      <w:color w:val="b60000"/>
    </w:rPr>
  </w:style>
  <w:style w:type="character" w:styleId="1053">
    <w:name w:val="l2"/>
    <w:next w:val="1053"/>
    <w:link w:val="952"/>
    <w:rPr>
      <w:color w:val="999999"/>
    </w:rPr>
  </w:style>
  <w:style w:type="character" w:styleId="1054">
    <w:name w:val="starting1"/>
    <w:next w:val="1054"/>
    <w:link w:val="952"/>
    <w:rPr>
      <w:color w:val="b60000"/>
    </w:rPr>
  </w:style>
  <w:style w:type="character" w:styleId="1055">
    <w:name w:val="datetime"/>
    <w:next w:val="1055"/>
    <w:link w:val="952"/>
    <w:rPr>
      <w:rFonts w:ascii="Arial" w:hAnsi="Arial" w:cs="Arial"/>
      <w:color w:val="999999"/>
      <w:sz w:val="21"/>
      <w:szCs w:val="21"/>
    </w:rPr>
  </w:style>
  <w:style w:type="character" w:styleId="1056">
    <w:name w:val="px141"/>
    <w:next w:val="1056"/>
    <w:link w:val="952"/>
    <w:rPr>
      <w:rFonts w:ascii="ˎ̥" w:hAnsi="ˎ̥"/>
      <w:sz w:val="21"/>
      <w:szCs w:val="21"/>
    </w:rPr>
  </w:style>
  <w:style w:type="character" w:styleId="1057">
    <w:name w:val="grame"/>
    <w:next w:val="1057"/>
    <w:link w:val="952"/>
  </w:style>
  <w:style w:type="character" w:styleId="1058">
    <w:name w:val="明显引用 字符"/>
    <w:next w:val="1058"/>
    <w:link w:val="1059"/>
    <w:rPr>
      <w:rFonts w:eastAsia="宋体"/>
      <w:b/>
      <w:bCs/>
      <w:i/>
      <w:iCs/>
      <w:color w:val="4f81bd"/>
      <w:sz w:val="24"/>
      <w:szCs w:val="24"/>
      <w:lang w:bidi="ar-SA"/>
    </w:rPr>
  </w:style>
  <w:style w:type="paragraph" w:styleId="1059">
    <w:name w:val="明显引用"/>
    <w:basedOn w:val="952"/>
    <w:next w:val="952"/>
    <w:link w:val="1058"/>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1060">
    <w:name w:val="textb1"/>
    <w:next w:val="1060"/>
    <w:link w:val="952"/>
    <w:rPr>
      <w:b/>
      <w:bCs/>
      <w:color w:val="ff6600"/>
      <w:sz w:val="20"/>
      <w:szCs w:val="20"/>
    </w:rPr>
  </w:style>
  <w:style w:type="character" w:styleId="1061">
    <w:name w:val="tit21"/>
    <w:next w:val="1061"/>
    <w:link w:val="952"/>
    <w:rPr>
      <w:color w:val="b60000"/>
      <w:sz w:val="27"/>
      <w:szCs w:val="27"/>
      <w:shd w:val="clear" w:color="auto" w:fill="ffffff"/>
    </w:rPr>
  </w:style>
  <w:style w:type="character" w:styleId="1062">
    <w:name w:val="short_text"/>
    <w:next w:val="1062"/>
    <w:link w:val="952"/>
  </w:style>
  <w:style w:type="character" w:styleId="1063">
    <w:name w:val="明显参考"/>
    <w:next w:val="1063"/>
    <w:link w:val="952"/>
    <w:qFormat/>
    <w:rPr>
      <w:b/>
      <w:bCs/>
      <w:smallCaps/>
      <w:color w:val="c0504d"/>
      <w:spacing w:val="5"/>
      <w:u w:val="single"/>
    </w:rPr>
  </w:style>
  <w:style w:type="character" w:styleId="1064">
    <w:name w:val="l61"/>
    <w:next w:val="1064"/>
    <w:link w:val="952"/>
    <w:rPr>
      <w:color w:val="999999"/>
    </w:rPr>
  </w:style>
  <w:style w:type="character" w:styleId="1065">
    <w:name w:val="num71"/>
    <w:next w:val="1065"/>
    <w:link w:val="952"/>
  </w:style>
  <w:style w:type="character" w:styleId="1066">
    <w:name w:val="msg-box33"/>
    <w:next w:val="1066"/>
    <w:link w:val="952"/>
  </w:style>
  <w:style w:type="character" w:styleId="1067">
    <w:name w:val="num41"/>
    <w:next w:val="1067"/>
    <w:link w:val="952"/>
  </w:style>
  <w:style w:type="character" w:styleId="1068">
    <w:name w:val="标题 1.1 Char,h2 Char,H2 Char,Title2 Char,l2 Char,Underrubrik1 Char,prop2 Char,Chapter Title Char,sect 1.2 Char,DO NOT USE_h2 Char,chn Char,Chapter Number/Appendix Letter Char,2nd level Char,Titre2 Char,2 Char,Header 2 Char,Heading2 Char,No Number Char"/>
    <w:next w:val="1068"/>
    <w:link w:val="952"/>
    <w:rPr>
      <w:rFonts w:ascii="Arial" w:hAnsi="Arial" w:eastAsia="黑体"/>
      <w:b/>
      <w:bCs/>
      <w:sz w:val="32"/>
      <w:szCs w:val="32"/>
      <w:lang w:val="en-US" w:eastAsia="zh-CN" w:bidi="ar-SA"/>
    </w:rPr>
  </w:style>
  <w:style w:type="character" w:styleId="1069">
    <w:name w:val="标题 4 + 宋体 Char,小四 Char,行距: 1.5 倍行距 Char"/>
    <w:next w:val="1069"/>
    <w:link w:val="1070"/>
    <w:rPr>
      <w:rFonts w:ascii="宋体" w:hAnsi="宋体" w:eastAsia="宋体"/>
      <w:b/>
      <w:bCs/>
      <w:sz w:val="24"/>
      <w:szCs w:val="24"/>
      <w:lang w:bidi="ar-SA"/>
    </w:rPr>
  </w:style>
  <w:style w:type="paragraph" w:styleId="1070">
    <w:name w:val="标题 4 + 宋体"/>
    <w:basedOn w:val="956"/>
    <w:next w:val="1070"/>
    <w:link w:val="1069"/>
    <w:pPr>
      <w:numPr>
        <w:ilvl w:val="0"/>
        <w:numId w:val="0"/>
      </w:numPr>
      <w:spacing w:line="360" w:lineRule="auto"/>
      <w:tabs>
        <w:tab w:val="left" w:pos="1440" w:leader="none"/>
      </w:tabs>
    </w:pPr>
    <w:rPr>
      <w:rFonts w:ascii="宋体" w:hAnsi="宋体" w:eastAsia="宋体"/>
      <w:bCs/>
      <w:sz w:val="24"/>
      <w:szCs w:val="24"/>
    </w:rPr>
  </w:style>
  <w:style w:type="character" w:styleId="1071">
    <w:name w:val="tit18"/>
    <w:next w:val="1071"/>
    <w:link w:val="952"/>
    <w:rPr>
      <w:color w:val="b60000"/>
    </w:rPr>
  </w:style>
  <w:style w:type="character" w:styleId="1072">
    <w:name w:val="over2"/>
    <w:next w:val="1072"/>
    <w:link w:val="952"/>
  </w:style>
  <w:style w:type="character" w:styleId="1073">
    <w:name w:val="text-01"/>
    <w:next w:val="1073"/>
    <w:link w:val="952"/>
    <w:rPr>
      <w:rFonts w:ascii="Verdana" w:hAnsi="Verdana"/>
      <w:sz w:val="18"/>
      <w:szCs w:val="18"/>
    </w:rPr>
  </w:style>
  <w:style w:type="character" w:styleId="1074">
    <w:name w:val="省厅正文 Char"/>
    <w:next w:val="1074"/>
    <w:link w:val="1075"/>
    <w:rPr>
      <w:rFonts w:eastAsia="仿宋_GB2312"/>
      <w:sz w:val="32"/>
      <w:szCs w:val="32"/>
      <w:lang w:val="en-US" w:eastAsia="zh-CN" w:bidi="ar-SA"/>
    </w:rPr>
  </w:style>
  <w:style w:type="paragraph" w:styleId="1075">
    <w:name w:val="省厅正文"/>
    <w:basedOn w:val="952"/>
    <w:next w:val="1075"/>
    <w:link w:val="1074"/>
    <w:qFormat/>
    <w:pPr>
      <w:ind w:firstLine="640"/>
      <w:spacing w:line="336" w:lineRule="auto"/>
    </w:pPr>
    <w:rPr>
      <w:rFonts w:ascii="Times New Roman" w:hAnsi="Times New Roman" w:eastAsia="仿宋_GB2312"/>
      <w:sz w:val="32"/>
      <w:szCs w:val="32"/>
    </w:rPr>
  </w:style>
  <w:style w:type="character" w:styleId="1076">
    <w:name w:val="starting2"/>
    <w:next w:val="1076"/>
    <w:link w:val="952"/>
    <w:rPr>
      <w:color w:val="339900"/>
    </w:rPr>
  </w:style>
  <w:style w:type="character" w:styleId="1077">
    <w:name w:val="mesg-myd"/>
    <w:next w:val="1077"/>
    <w:link w:val="952"/>
    <w:rPr>
      <w:color w:val="ee0000"/>
    </w:rPr>
  </w:style>
  <w:style w:type="character" w:styleId="1078">
    <w:name w:val="apple-converted-space"/>
    <w:next w:val="1078"/>
    <w:link w:val="952"/>
  </w:style>
  <w:style w:type="character" w:styleId="1079">
    <w:name w:val="正文（缩进） Char2"/>
    <w:next w:val="1079"/>
    <w:link w:val="952"/>
    <w:rPr>
      <w:rFonts w:ascii="Times New Roman" w:hAnsi="Times New Roman" w:eastAsia="宋体" w:cs="Times New Roman"/>
      <w:sz w:val="24"/>
      <w:szCs w:val="24"/>
    </w:rPr>
  </w:style>
  <w:style w:type="character" w:styleId="1080">
    <w:name w:val="l11"/>
    <w:next w:val="1080"/>
    <w:link w:val="952"/>
    <w:rPr>
      <w:color w:val="999999"/>
    </w:rPr>
  </w:style>
  <w:style w:type="character" w:styleId="1081">
    <w:name w:val="name1"/>
    <w:next w:val="1081"/>
    <w:link w:val="952"/>
    <w:rPr>
      <w:color w:val="000000"/>
      <w:sz w:val="39"/>
      <w:szCs w:val="39"/>
    </w:rPr>
  </w:style>
  <w:style w:type="character" w:styleId="1082">
    <w:name w:val="nostart3"/>
    <w:next w:val="1082"/>
    <w:link w:val="952"/>
    <w:rPr>
      <w:color w:val="ff0000"/>
    </w:rPr>
  </w:style>
  <w:style w:type="character" w:styleId="1083">
    <w:name w:val="paragraph1 Char"/>
    <w:next w:val="1083"/>
    <w:link w:val="1084"/>
    <w:rPr>
      <w:rFonts w:eastAsia="宋体"/>
      <w:sz w:val="24"/>
      <w:szCs w:val="24"/>
      <w:lang w:bidi="ar-SA"/>
    </w:rPr>
  </w:style>
  <w:style w:type="paragraph" w:styleId="1084">
    <w:name w:val="paragraph1"/>
    <w:basedOn w:val="952"/>
    <w:next w:val="1084"/>
    <w:link w:val="1083"/>
    <w:pPr>
      <w:ind w:firstLine="480"/>
      <w:spacing w:after="93" w:line="360" w:lineRule="auto"/>
    </w:pPr>
    <w:rPr>
      <w:rFonts w:ascii="Times New Roman" w:hAnsi="Times New Roman"/>
    </w:rPr>
  </w:style>
  <w:style w:type="character" w:styleId="1085">
    <w:name w:val="p141"/>
    <w:next w:val="1085"/>
    <w:link w:val="952"/>
    <w:rPr>
      <w:color w:val="000000"/>
      <w:sz w:val="28"/>
      <w:szCs w:val="28"/>
      <w:u w:val="none"/>
    </w:rPr>
  </w:style>
  <w:style w:type="character" w:styleId="1086">
    <w:name w:val="px14"/>
    <w:next w:val="1086"/>
    <w:link w:val="952"/>
  </w:style>
  <w:style w:type="character" w:styleId="1087">
    <w:name w:val="Note description Char"/>
    <w:next w:val="1087"/>
    <w:link w:val="1088"/>
    <w:rPr>
      <w:rFonts w:eastAsia="楷体_GB2312"/>
      <w:sz w:val="21"/>
      <w:szCs w:val="18"/>
      <w:lang w:val="en-US" w:eastAsia="zh-CN" w:bidi="ar-SA"/>
    </w:rPr>
  </w:style>
  <w:style w:type="paragraph" w:styleId="1088">
    <w:name w:val="Note description"/>
    <w:basedOn w:val="952"/>
    <w:next w:val="967"/>
    <w:link w:val="1087"/>
    <w:pPr>
      <w:ind w:left="420"/>
      <w:spacing w:after="100"/>
      <w:widowControl/>
      <w:pBdr>
        <w:bottom w:val="single" w:color="000000" w:sz="8" w:space="1"/>
      </w:pBdr>
    </w:pPr>
    <w:rPr>
      <w:rFonts w:ascii="Times New Roman" w:hAnsi="Times New Roman" w:eastAsia="楷体_GB2312"/>
      <w:sz w:val="21"/>
      <w:szCs w:val="18"/>
    </w:rPr>
  </w:style>
  <w:style w:type="character" w:styleId="1089">
    <w:name w:val="p21"/>
    <w:next w:val="1089"/>
    <w:link w:val="952"/>
    <w:rPr>
      <w:rFonts w:ascii="ˎ̥" w:hAnsi="ˎ̥"/>
      <w:sz w:val="20"/>
      <w:szCs w:val="20"/>
    </w:rPr>
  </w:style>
  <w:style w:type="character" w:styleId="1090">
    <w:name w:val="font_blue1"/>
    <w:next w:val="1090"/>
    <w:link w:val="952"/>
    <w:rPr>
      <w:b/>
      <w:bCs/>
      <w:color w:val="0070bc"/>
      <w:sz w:val="24"/>
      <w:szCs w:val="24"/>
      <w:u w:val="none"/>
    </w:rPr>
  </w:style>
  <w:style w:type="character" w:styleId="1091">
    <w:name w:val="num81"/>
    <w:next w:val="1091"/>
    <w:link w:val="952"/>
  </w:style>
  <w:style w:type="character" w:styleId="1092">
    <w:name w:val="blue1"/>
    <w:next w:val="1092"/>
    <w:link w:val="952"/>
    <w:rPr>
      <w:rFonts w:hint="eastAsia" w:ascii="宋体" w:hAnsi="宋体" w:eastAsia="宋体"/>
      <w:b/>
      <w:bCs/>
      <w:color w:val="0099cc"/>
      <w:sz w:val="27"/>
      <w:szCs w:val="27"/>
    </w:rPr>
  </w:style>
  <w:style w:type="character" w:styleId="1093">
    <w:name w:val="starting3"/>
    <w:next w:val="1093"/>
    <w:link w:val="952"/>
  </w:style>
  <w:style w:type="character" w:styleId="1094">
    <w:name w:val="over"/>
    <w:next w:val="1094"/>
    <w:link w:val="952"/>
    <w:rPr>
      <w:color w:val="999999"/>
    </w:rPr>
  </w:style>
  <w:style w:type="character" w:styleId="1095">
    <w:name w:val="书籍标题"/>
    <w:next w:val="1095"/>
    <w:link w:val="952"/>
    <w:qFormat/>
    <w:rPr>
      <w:b/>
      <w:bCs/>
      <w:smallCaps/>
      <w:spacing w:val="5"/>
    </w:rPr>
  </w:style>
  <w:style w:type="character" w:styleId="1096">
    <w:name w:val="jg"/>
    <w:next w:val="1096"/>
    <w:link w:val="952"/>
  </w:style>
  <w:style w:type="character" w:styleId="1097">
    <w:name w:val="xl25"/>
    <w:next w:val="1097"/>
    <w:link w:val="952"/>
  </w:style>
  <w:style w:type="character" w:styleId="1098">
    <w:name w:val="普通文字 Char Char Char"/>
    <w:next w:val="1098"/>
    <w:link w:val="952"/>
    <w:rPr>
      <w:rFonts w:ascii="宋体" w:hAnsi="Courier New" w:eastAsia="楷体_GB2312"/>
      <w:sz w:val="28"/>
    </w:rPr>
  </w:style>
  <w:style w:type="character" w:styleId="1099">
    <w:name w:val="Default Char"/>
    <w:next w:val="1099"/>
    <w:link w:val="1100"/>
    <w:rPr>
      <w:color w:val="000000"/>
      <w:sz w:val="24"/>
      <w:szCs w:val="24"/>
      <w:lang w:val="en-US" w:eastAsia="zh-CN" w:bidi="ar-SA"/>
    </w:rPr>
  </w:style>
  <w:style w:type="paragraph" w:styleId="1100">
    <w:name w:val="Default"/>
    <w:next w:val="1100"/>
    <w:link w:val="1099"/>
    <w:pPr>
      <w:widowControl w:val="off"/>
    </w:pPr>
    <w:rPr>
      <w:color w:val="000000"/>
      <w:sz w:val="24"/>
      <w:szCs w:val="24"/>
      <w:lang w:val="en-US" w:eastAsia="zh-CN" w:bidi="ar-SA"/>
    </w:rPr>
  </w:style>
  <w:style w:type="character" w:styleId="1101">
    <w:name w:val="txt"/>
    <w:next w:val="1101"/>
    <w:link w:val="952"/>
    <w:rPr>
      <w:color w:val="c0c0c0"/>
    </w:rPr>
  </w:style>
  <w:style w:type="character" w:styleId="1102">
    <w:name w:val="word1"/>
    <w:next w:val="1102"/>
    <w:link w:val="952"/>
    <w:rPr>
      <w:rFonts w:ascii="ˎ̥" w:hAnsi="ˎ̥"/>
      <w:color w:val="000000"/>
      <w:sz w:val="18"/>
      <w:szCs w:val="18"/>
    </w:rPr>
  </w:style>
  <w:style w:type="character" w:styleId="1103">
    <w:name w:val="lh131"/>
    <w:next w:val="1103"/>
    <w:link w:val="952"/>
    <w:rPr>
      <w:rFonts w:eastAsia="宋体"/>
      <w:sz w:val="24"/>
      <w:szCs w:val="24"/>
      <w:lang w:val="en-US" w:eastAsia="zh-CN" w:bidi="ar-SA"/>
    </w:rPr>
  </w:style>
  <w:style w:type="character" w:styleId="1104">
    <w:name w:val="明显强调"/>
    <w:next w:val="1104"/>
    <w:link w:val="952"/>
    <w:qFormat/>
    <w:rPr>
      <w:b/>
      <w:bCs/>
      <w:i/>
      <w:iCs/>
      <w:color w:val="4f81bd"/>
    </w:rPr>
  </w:style>
  <w:style w:type="character" w:styleId="1105">
    <w:name w:val="text1"/>
    <w:next w:val="1105"/>
    <w:link w:val="952"/>
    <w:rPr>
      <w:rFonts w:ascii="ˎ̥" w:hAnsi="ˎ̥"/>
      <w:color w:val="000000"/>
      <w:sz w:val="18"/>
      <w:szCs w:val="18"/>
    </w:rPr>
  </w:style>
  <w:style w:type="character" w:styleId="1106">
    <w:name w:val="正文1 Char"/>
    <w:next w:val="1106"/>
    <w:link w:val="952"/>
    <w:rPr>
      <w:rFonts w:eastAsia="宋体"/>
      <w:bCs/>
      <w:color w:val="000000"/>
      <w:sz w:val="24"/>
      <w:szCs w:val="32"/>
      <w:lang w:val="en-US" w:eastAsia="zh-CN" w:bidi="ar-SA"/>
    </w:rPr>
  </w:style>
  <w:style w:type="character" w:styleId="1107">
    <w:name w:val="zs"/>
    <w:next w:val="1107"/>
    <w:link w:val="952"/>
    <w:rPr>
      <w:color w:val="8d744b"/>
      <w:sz w:val="18"/>
      <w:szCs w:val="18"/>
    </w:rPr>
  </w:style>
  <w:style w:type="character" w:styleId="1108">
    <w:name w:val="num61"/>
    <w:next w:val="1108"/>
    <w:link w:val="952"/>
  </w:style>
  <w:style w:type="character" w:styleId="1109">
    <w:name w:val="over3"/>
    <w:next w:val="1109"/>
    <w:link w:val="952"/>
    <w:rPr>
      <w:color w:val="b60000"/>
    </w:rPr>
  </w:style>
  <w:style w:type="character" w:styleId="1110">
    <w:name w:val="明显参考1,替换"/>
    <w:next w:val="1110"/>
    <w:link w:val="952"/>
    <w:rPr>
      <w:b/>
      <w:bCs/>
      <w:smallCaps/>
      <w:color w:val="da1f28"/>
      <w:spacing w:val="5"/>
      <w:u w:val="single"/>
    </w:rPr>
  </w:style>
  <w:style w:type="character" w:styleId="1111">
    <w:name w:val="表格"/>
    <w:next w:val="1111"/>
    <w:link w:val="952"/>
    <w:rPr>
      <w:rFonts w:ascii="宋体" w:hAnsi="宋体" w:eastAsia="宋体"/>
      <w:spacing w:val="0"/>
      <w:position w:val="0"/>
      <w:sz w:val="21"/>
      <w:szCs w:val="21"/>
    </w:rPr>
  </w:style>
  <w:style w:type="character" w:styleId="1112">
    <w:name w:val="tit17"/>
    <w:next w:val="1112"/>
    <w:link w:val="952"/>
    <w:rPr>
      <w:color w:val="b60000"/>
    </w:rPr>
  </w:style>
  <w:style w:type="character" w:styleId="1113">
    <w:name w:val="c2"/>
    <w:next w:val="1113"/>
    <w:link w:val="952"/>
  </w:style>
  <w:style w:type="character" w:styleId="1114">
    <w:name w:val="img2"/>
    <w:next w:val="1114"/>
    <w:link w:val="952"/>
  </w:style>
  <w:style w:type="character" w:styleId="1115">
    <w:name w:val="nr1"/>
    <w:next w:val="1115"/>
    <w:link w:val="952"/>
    <w:rPr>
      <w:color w:val="666666"/>
      <w:sz w:val="18"/>
      <w:szCs w:val="18"/>
      <w:u w:val="none"/>
    </w:rPr>
  </w:style>
  <w:style w:type="character" w:styleId="1116">
    <w:name w:val="Footer Char"/>
    <w:next w:val="1116"/>
    <w:link w:val="952"/>
    <w:rPr>
      <w:rFonts w:cs="Times New Roman"/>
      <w:sz w:val="18"/>
      <w:szCs w:val="18"/>
    </w:rPr>
  </w:style>
  <w:style w:type="character" w:styleId="1117">
    <w:name w:val="方案正文 Char"/>
    <w:next w:val="1117"/>
    <w:link w:val="1118"/>
    <w:rPr>
      <w:rFonts w:ascii="宋体" w:hAnsi="宋体" w:eastAsia="宋体" w:cs="Arial"/>
      <w:bCs/>
      <w:sz w:val="24"/>
      <w:lang w:val="en-US" w:eastAsia="en-US" w:bidi="en-US"/>
    </w:rPr>
  </w:style>
  <w:style w:type="paragraph" w:styleId="1118">
    <w:name w:val="方案正文"/>
    <w:basedOn w:val="952"/>
    <w:next w:val="1118"/>
    <w:link w:val="1117"/>
    <w:qFormat/>
    <w:pPr>
      <w:ind w:firstLine="480"/>
      <w:jc w:val="left"/>
      <w:spacing w:line="360" w:lineRule="auto"/>
      <w:widowControl/>
    </w:pPr>
    <w:rPr>
      <w:rFonts w:cs="Arial"/>
      <w:bCs/>
      <w:szCs w:val="20"/>
      <w:lang w:eastAsia="en-US" w:bidi="en-US"/>
    </w:rPr>
  </w:style>
  <w:style w:type="character" w:styleId="1119">
    <w:name w:val="tit19"/>
    <w:next w:val="1119"/>
    <w:link w:val="952"/>
    <w:rPr>
      <w:color w:val="ffffff"/>
    </w:rPr>
  </w:style>
  <w:style w:type="character" w:styleId="1120">
    <w:name w:val="job"/>
    <w:next w:val="1120"/>
    <w:link w:val="952"/>
  </w:style>
  <w:style w:type="character" w:styleId="1121">
    <w:name w:val="正文文本缩进 3 Char1"/>
    <w:next w:val="1121"/>
    <w:link w:val="952"/>
    <w:rPr>
      <w:sz w:val="16"/>
      <w:szCs w:val="16"/>
    </w:rPr>
  </w:style>
  <w:style w:type="character" w:styleId="1122">
    <w:name w:val="ft Char,ft1 Char,table Char,heading 9 Char,t Char,table left Char,tl Char,HF Char,figures Char,9 Char,Appendix Char,Code eg's Char,PIM 9 Char,h9 Char,Legal Level 1.1.1.1. Char,huh Char,不用9 Char,(use for tables) Char,标 Char,三级标题 Char,liste[3] Char"/>
    <w:next w:val="1122"/>
    <w:link w:val="952"/>
    <w:rPr>
      <w:rFonts w:ascii="Arial" w:hAnsi="Arial" w:eastAsia="黑体"/>
      <w:szCs w:val="21"/>
    </w:rPr>
  </w:style>
  <w:style w:type="character" w:styleId="1123">
    <w:name w:val="nostart2"/>
    <w:next w:val="1123"/>
    <w:link w:val="952"/>
  </w:style>
  <w:style w:type="character" w:styleId="1124">
    <w:name w:val="zw"/>
    <w:next w:val="1124"/>
    <w:link w:val="952"/>
    <w:rPr>
      <w:color w:val="bd1e22"/>
      <w:sz w:val="22"/>
      <w:szCs w:val="22"/>
    </w:rPr>
  </w:style>
  <w:style w:type="character" w:styleId="1125">
    <w:name w:val="H5 Char Char"/>
    <w:next w:val="1125"/>
    <w:link w:val="952"/>
    <w:rPr>
      <w:rFonts w:ascii="宋体" w:hAnsi="宋体" w:eastAsia="黑体" w:cs="宋体"/>
      <w:b/>
      <w:sz w:val="28"/>
      <w:szCs w:val="28"/>
    </w:rPr>
  </w:style>
  <w:style w:type="character" w:styleId="1126">
    <w:name w:val="引用 字符"/>
    <w:next w:val="1126"/>
    <w:link w:val="1127"/>
    <w:rPr>
      <w:rFonts w:eastAsia="宋体"/>
      <w:i/>
      <w:iCs/>
      <w:color w:val="000000"/>
      <w:sz w:val="24"/>
      <w:szCs w:val="24"/>
      <w:lang w:bidi="ar-SA"/>
    </w:rPr>
  </w:style>
  <w:style w:type="paragraph" w:styleId="1127">
    <w:name w:val="引用"/>
    <w:basedOn w:val="952"/>
    <w:next w:val="952"/>
    <w:link w:val="1126"/>
    <w:qFormat/>
    <w:pPr>
      <w:spacing w:line="360" w:lineRule="auto"/>
    </w:pPr>
    <w:rPr>
      <w:rFonts w:ascii="Times New Roman" w:hAnsi="Times New Roman"/>
      <w:i/>
      <w:iCs/>
      <w:color w:val="000000"/>
    </w:rPr>
  </w:style>
  <w:style w:type="character" w:styleId="1128">
    <w:name w:val="Footer-Even Char,Alt+J Char,footer odd Char,fo Char,odd Char,footer Final Char,Footer1 Char Char"/>
    <w:next w:val="1128"/>
    <w:link w:val="952"/>
    <w:rPr>
      <w:rFonts w:ascii="Times New Roman" w:hAnsi="Times New Roman" w:eastAsia="宋体" w:cs="Times New Roman"/>
      <w:sz w:val="18"/>
      <w:szCs w:val="18"/>
    </w:rPr>
  </w:style>
  <w:style w:type="character" w:styleId="1129">
    <w:name w:val="Header Char"/>
    <w:next w:val="1129"/>
    <w:link w:val="952"/>
    <w:rPr>
      <w:rFonts w:cs="Times New Roman"/>
      <w:sz w:val="18"/>
      <w:szCs w:val="18"/>
    </w:rPr>
  </w:style>
  <w:style w:type="character" w:styleId="1130">
    <w:name w:val="red"/>
    <w:next w:val="1130"/>
    <w:link w:val="952"/>
    <w:rPr>
      <w:rFonts w:ascii="Arial" w:hAnsi="Arial" w:cs="Arial"/>
      <w:color w:val="e50000"/>
    </w:rPr>
  </w:style>
  <w:style w:type="character" w:styleId="1131">
    <w:name w:val="c1"/>
    <w:next w:val="1131"/>
    <w:link w:val="952"/>
  </w:style>
  <w:style w:type="character" w:styleId="1132">
    <w:name w:val="List Paragraph Char"/>
    <w:next w:val="1132"/>
    <w:link w:val="1133"/>
    <w:rPr>
      <w:rFonts w:ascii="宋体" w:hAnsi="宋体" w:eastAsia="宋体"/>
      <w:sz w:val="24"/>
      <w:lang w:bidi="ar-SA"/>
    </w:rPr>
  </w:style>
  <w:style w:type="paragraph" w:styleId="1133">
    <w:name w:val="List Paragraph1"/>
    <w:basedOn w:val="952"/>
    <w:next w:val="1133"/>
    <w:link w:val="1132"/>
    <w:qFormat/>
    <w:pPr>
      <w:ind w:firstLine="420"/>
    </w:pPr>
    <w:rPr>
      <w:szCs w:val="20"/>
    </w:rPr>
  </w:style>
  <w:style w:type="character" w:styleId="1134">
    <w:name w:val="标题 3 Char Char"/>
    <w:next w:val="1134"/>
    <w:link w:val="952"/>
    <w:rPr>
      <w:rFonts w:eastAsia="宋体"/>
      <w:sz w:val="30"/>
    </w:rPr>
  </w:style>
  <w:style w:type="character" w:styleId="1135">
    <w:name w:val="正文（缩进） Char"/>
    <w:next w:val="1135"/>
    <w:link w:val="1136"/>
    <w:rPr>
      <w:rFonts w:eastAsia="宋体"/>
      <w:sz w:val="24"/>
      <w:szCs w:val="24"/>
      <w:lang w:val="en-US" w:eastAsia="zh-CN" w:bidi="ar-SA"/>
    </w:rPr>
  </w:style>
  <w:style w:type="paragraph" w:styleId="1136">
    <w:name w:val="正文（缩进）"/>
    <w:basedOn w:val="952"/>
    <w:next w:val="1136"/>
    <w:link w:val="1135"/>
    <w:pPr>
      <w:ind w:firstLine="480"/>
      <w:spacing w:before="156" w:after="156" w:line="360" w:lineRule="auto"/>
    </w:pPr>
    <w:rPr>
      <w:rFonts w:ascii="Times New Roman" w:hAnsi="Times New Roman"/>
    </w:rPr>
  </w:style>
  <w:style w:type="character" w:styleId="1137">
    <w:name w:val="常规 Char"/>
    <w:next w:val="1137"/>
    <w:link w:val="1138"/>
    <w:rPr>
      <w:rFonts w:eastAsia="宋体"/>
      <w:sz w:val="21"/>
      <w:szCs w:val="21"/>
      <w:lang w:val="en-US" w:eastAsia="zh-CN" w:bidi="ar-SA"/>
    </w:rPr>
  </w:style>
  <w:style w:type="paragraph" w:styleId="1138">
    <w:name w:val="常规"/>
    <w:basedOn w:val="952"/>
    <w:next w:val="1138"/>
    <w:link w:val="1137"/>
    <w:pPr>
      <w:ind w:left="1134"/>
      <w:spacing w:before="100" w:after="100"/>
    </w:pPr>
    <w:rPr>
      <w:rFonts w:ascii="Times New Roman" w:hAnsi="Times New Roman"/>
      <w:sz w:val="21"/>
      <w:szCs w:val="21"/>
    </w:rPr>
  </w:style>
  <w:style w:type="character" w:styleId="1139">
    <w:name w:val="Item step Char"/>
    <w:next w:val="1139"/>
    <w:link w:val="1140"/>
    <w:rPr>
      <w:sz w:val="21"/>
      <w:szCs w:val="21"/>
    </w:rPr>
  </w:style>
  <w:style w:type="paragraph" w:styleId="1140">
    <w:name w:val="Item step"/>
    <w:basedOn w:val="952"/>
    <w:next w:val="1140"/>
    <w:link w:val="1139"/>
    <w:pPr>
      <w:ind w:left="737" w:hanging="317"/>
      <w:tabs>
        <w:tab w:val="left" w:pos="737" w:leader="none"/>
      </w:tabs>
    </w:pPr>
    <w:rPr>
      <w:rFonts w:ascii="Times New Roman" w:hAnsi="Times New Roman"/>
      <w:sz w:val="21"/>
      <w:szCs w:val="21"/>
    </w:rPr>
  </w:style>
  <w:style w:type="character" w:styleId="1141">
    <w:name w:val="正文缩进 Char Char"/>
    <w:next w:val="1141"/>
    <w:link w:val="952"/>
    <w:rPr>
      <w:rFonts w:eastAsia="宋体"/>
      <w:sz w:val="21"/>
      <w:szCs w:val="24"/>
      <w:lang w:val="en-US" w:eastAsia="zh-CN" w:bidi="ar-SA"/>
    </w:rPr>
  </w:style>
  <w:style w:type="character" w:styleId="1142">
    <w:name w:val="msg-box30"/>
    <w:next w:val="1142"/>
    <w:link w:val="952"/>
  </w:style>
  <w:style w:type="character" w:styleId="1143">
    <w:name w:val="style791"/>
    <w:next w:val="1143"/>
    <w:link w:val="952"/>
  </w:style>
  <w:style w:type="character" w:styleId="1144">
    <w:name w:val="unit"/>
    <w:next w:val="1144"/>
    <w:link w:val="952"/>
    <w:rPr>
      <w:color w:val="999999"/>
    </w:rPr>
  </w:style>
  <w:style w:type="character" w:styleId="1145">
    <w:name w:val="img_title11"/>
    <w:next w:val="1145"/>
    <w:link w:val="952"/>
    <w:rPr>
      <w:vanish/>
    </w:rPr>
  </w:style>
  <w:style w:type="character" w:styleId="1146">
    <w:name w:val="普通文字 Char1,普通文字 Char Char,纯文本 Char1 Char Char Char,纯文本 Char Char Char Char Char,纯文本 Char Char1 Char,纯文本 Char1 Char Char1,纯文本 Char Char Char Char Char1"/>
    <w:next w:val="1146"/>
    <w:link w:val="952"/>
    <w:rPr>
      <w:rFonts w:ascii="宋体" w:hAnsi="Courier New" w:eastAsia="宋体" w:cs="Times New Roman"/>
      <w:sz w:val="18"/>
      <w:szCs w:val="20"/>
    </w:rPr>
  </w:style>
  <w:style w:type="character" w:styleId="1147">
    <w:name w:val="large1"/>
    <w:next w:val="1147"/>
    <w:link w:val="952"/>
    <w:rPr>
      <w:rFonts w:hint="eastAsia" w:ascii="宋体" w:hAnsi="宋体" w:eastAsia="宋体"/>
      <w:sz w:val="22"/>
      <w:szCs w:val="22"/>
    </w:rPr>
  </w:style>
  <w:style w:type="character" w:styleId="1148">
    <w:name w:val="buvis"/>
    <w:next w:val="1148"/>
    <w:link w:val="952"/>
    <w:rPr>
      <w:color w:val="999999"/>
    </w:rPr>
  </w:style>
  <w:style w:type="character" w:styleId="1149">
    <w:name w:val="不明显参考"/>
    <w:next w:val="1149"/>
    <w:link w:val="952"/>
    <w:qFormat/>
    <w:rPr>
      <w:smallCaps/>
      <w:color w:val="c0504d"/>
      <w:u w:val="single"/>
    </w:rPr>
  </w:style>
  <w:style w:type="character" w:styleId="1150">
    <w:name w:val="p05"/>
    <w:next w:val="1150"/>
    <w:link w:val="952"/>
  </w:style>
  <w:style w:type="character" w:styleId="1151">
    <w:name w:val="style1 style3"/>
    <w:next w:val="1151"/>
    <w:link w:val="952"/>
  </w:style>
  <w:style w:type="character" w:styleId="1152">
    <w:name w:val="starting"/>
    <w:next w:val="1152"/>
    <w:link w:val="952"/>
  </w:style>
  <w:style w:type="character" w:styleId="1153">
    <w:name w:val="num27"/>
    <w:next w:val="1153"/>
    <w:link w:val="952"/>
  </w:style>
  <w:style w:type="character" w:styleId="1154">
    <w:name w:val="正文首行缩进 Char"/>
    <w:next w:val="1154"/>
    <w:link w:val="952"/>
    <w:semiHidden/>
    <w:rPr>
      <w:rFonts w:ascii="Times New Roman" w:hAnsi="Times New Roman" w:eastAsia="宋体" w:cs="Times New Roman"/>
      <w:sz w:val="24"/>
      <w:szCs w:val="24"/>
    </w:rPr>
  </w:style>
  <w:style w:type="character" w:styleId="1155">
    <w:name w:val="tit22"/>
    <w:next w:val="1155"/>
    <w:link w:val="952"/>
    <w:rPr>
      <w:color w:val="04a06c"/>
    </w:rPr>
  </w:style>
  <w:style w:type="character" w:styleId="1156">
    <w:name w:val="span_sort1"/>
    <w:next w:val="1156"/>
    <w:link w:val="952"/>
    <w:rPr>
      <w:color w:val="ffffff"/>
    </w:rPr>
  </w:style>
  <w:style w:type="character" w:styleId="1157">
    <w:name w:val="body-cn-black2"/>
    <w:next w:val="1157"/>
    <w:link w:val="952"/>
    <w:rPr>
      <w:color w:val="000000"/>
      <w:sz w:val="18"/>
      <w:szCs w:val="18"/>
    </w:rPr>
  </w:style>
  <w:style w:type="character" w:styleId="1158">
    <w:name w:val="c3"/>
    <w:next w:val="1158"/>
    <w:link w:val="952"/>
  </w:style>
  <w:style w:type="character" w:styleId="1159">
    <w:name w:val="txt1"/>
    <w:next w:val="1159"/>
    <w:link w:val="952"/>
  </w:style>
  <w:style w:type="character" w:styleId="1160">
    <w:name w:val="l7"/>
    <w:next w:val="1160"/>
    <w:link w:val="952"/>
    <w:rPr>
      <w:color w:val="999999"/>
    </w:rPr>
  </w:style>
  <w:style w:type="character" w:styleId="1161">
    <w:name w:val="themebody1"/>
    <w:next w:val="1161"/>
    <w:link w:val="952"/>
    <w:rPr>
      <w:color w:val="ffffff"/>
    </w:rPr>
  </w:style>
  <w:style w:type="character" w:styleId="1162">
    <w:name w:val="Item List Char"/>
    <w:next w:val="1162"/>
    <w:link w:val="1163"/>
    <w:rPr>
      <w:sz w:val="21"/>
      <w:szCs w:val="24"/>
    </w:rPr>
  </w:style>
  <w:style w:type="paragraph" w:styleId="1163">
    <w:name w:val="Item List"/>
    <w:basedOn w:val="952"/>
    <w:next w:val="1163"/>
    <w:link w:val="1162"/>
    <w:pPr>
      <w:numPr>
        <w:ilvl w:val="0"/>
        <w:numId w:val="5"/>
      </w:numPr>
      <w:ind w:left="1701" w:hanging="567"/>
      <w:jc w:val="left"/>
      <w:spacing w:after="50"/>
      <w:tabs>
        <w:tab w:val="left" w:pos="420" w:leader="none"/>
      </w:tabs>
    </w:pPr>
    <w:rPr>
      <w:rFonts w:ascii="Times New Roman" w:hAnsi="Times New Roman"/>
      <w:sz w:val="21"/>
    </w:rPr>
  </w:style>
  <w:style w:type="character" w:styleId="1164">
    <w:name w:val="span_param1"/>
    <w:next w:val="1164"/>
    <w:link w:val="952"/>
  </w:style>
  <w:style w:type="character" w:styleId="1165">
    <w:name w:val="num31"/>
    <w:next w:val="1165"/>
    <w:link w:val="952"/>
  </w:style>
  <w:style w:type="character" w:styleId="1166">
    <w:name w:val="name2"/>
    <w:next w:val="1166"/>
    <w:link w:val="952"/>
    <w:rPr>
      <w:color w:val="695435"/>
      <w:sz w:val="24"/>
      <w:szCs w:val="24"/>
    </w:rPr>
  </w:style>
  <w:style w:type="character" w:styleId="1167">
    <w:name w:val="l5"/>
    <w:next w:val="1167"/>
    <w:link w:val="952"/>
    <w:rPr>
      <w:color w:val="999999"/>
    </w:rPr>
  </w:style>
  <w:style w:type="character" w:styleId="1168">
    <w:name w:val="编写说明 Char"/>
    <w:next w:val="1168"/>
    <w:link w:val="1169"/>
    <w:rPr>
      <w:rFonts w:eastAsia="宋体"/>
      <w:i/>
      <w:color w:val="0000ff"/>
      <w:sz w:val="21"/>
      <w:szCs w:val="24"/>
      <w:lang w:val="en-US" w:eastAsia="zh-CN" w:bidi="ar-SA"/>
    </w:rPr>
  </w:style>
  <w:style w:type="paragraph" w:styleId="1169">
    <w:name w:val="编写说明"/>
    <w:basedOn w:val="952"/>
    <w:next w:val="967"/>
    <w:link w:val="1168"/>
    <w:pPr>
      <w:widowControl/>
    </w:pPr>
    <w:rPr>
      <w:rFonts w:ascii="Times New Roman" w:hAnsi="Times New Roman"/>
      <w:i/>
      <w:color w:val="0000ff"/>
      <w:sz w:val="21"/>
    </w:rPr>
  </w:style>
  <w:style w:type="character" w:styleId="1170">
    <w:name w:val="tit20"/>
    <w:next w:val="1170"/>
    <w:link w:val="952"/>
    <w:rPr>
      <w:color w:val="b60000"/>
    </w:rPr>
  </w:style>
  <w:style w:type="character" w:styleId="1171">
    <w:name w:val="列表段落 字符"/>
    <w:next w:val="1171"/>
    <w:link w:val="1172"/>
    <w:rPr>
      <w:rFonts w:ascii="Calibri" w:hAnsi="Calibri" w:eastAsia="宋体"/>
      <w:sz w:val="24"/>
      <w:szCs w:val="22"/>
      <w:lang w:val="en-US" w:eastAsia="zh-CN" w:bidi="ar-SA"/>
    </w:rPr>
  </w:style>
  <w:style w:type="paragraph" w:styleId="1172">
    <w:name w:val="列表段落"/>
    <w:basedOn w:val="952"/>
    <w:next w:val="1172"/>
    <w:link w:val="1171"/>
    <w:uiPriority w:val="34"/>
    <w:qFormat/>
    <w:pPr>
      <w:ind w:firstLine="420"/>
      <w:spacing w:line="360" w:lineRule="auto"/>
    </w:pPr>
    <w:rPr>
      <w:rFonts w:ascii="Calibri" w:hAnsi="Calibri"/>
      <w:szCs w:val="22"/>
    </w:rPr>
  </w:style>
  <w:style w:type="character" w:styleId="1173">
    <w:name w:val="name"/>
    <w:next w:val="1173"/>
    <w:link w:val="952"/>
    <w:rPr>
      <w:color w:val="444444"/>
      <w:sz w:val="21"/>
      <w:szCs w:val="21"/>
    </w:rPr>
  </w:style>
  <w:style w:type="character" w:styleId="1174">
    <w:name w:val="msg-box32"/>
    <w:next w:val="1174"/>
    <w:link w:val="952"/>
  </w:style>
  <w:style w:type="character" w:styleId="1175">
    <w:name w:val="lh151"/>
    <w:next w:val="1175"/>
    <w:link w:val="952"/>
    <w:rPr>
      <w:color w:val="666666"/>
    </w:rPr>
  </w:style>
  <w:style w:type="character" w:styleId="1176">
    <w:name w:val="样式 宋体 小四"/>
    <w:next w:val="1176"/>
    <w:link w:val="952"/>
    <w:rPr>
      <w:rFonts w:ascii="宋体" w:hAnsi="宋体"/>
      <w:sz w:val="24"/>
    </w:rPr>
  </w:style>
  <w:style w:type="character" w:styleId="1177">
    <w:name w:val="PI Char Char"/>
    <w:next w:val="1177"/>
    <w:link w:val="952"/>
    <w:rPr>
      <w:rFonts w:ascii="Times New Roman" w:hAnsi="Times New Roman" w:eastAsia="宋体" w:cs="Times New Roman"/>
      <w:szCs w:val="24"/>
    </w:rPr>
  </w:style>
  <w:style w:type="character" w:styleId="1178">
    <w:name w:val="l4"/>
    <w:next w:val="1178"/>
    <w:link w:val="952"/>
    <w:rPr>
      <w:color w:val="999999"/>
    </w:rPr>
  </w:style>
  <w:style w:type="character" w:styleId="1179">
    <w:name w:val="tit16"/>
    <w:next w:val="1179"/>
    <w:link w:val="952"/>
    <w:rPr>
      <w:b/>
      <w:color w:val="b60000"/>
    </w:rPr>
  </w:style>
  <w:style w:type="character" w:styleId="1180">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180"/>
    <w:link w:val="952"/>
    <w:rPr>
      <w:b/>
      <w:bCs/>
      <w:sz w:val="44"/>
      <w:szCs w:val="44"/>
    </w:rPr>
  </w:style>
  <w:style w:type="character" w:styleId="1181">
    <w:name w:val="msg-box31"/>
    <w:next w:val="1181"/>
    <w:link w:val="952"/>
  </w:style>
  <w:style w:type="character" w:styleId="1182">
    <w:name w:val="tt Char,tt1 Char,Figure Char,heading 8 Char,No num/gap Char,h8 Char,ctp Char,Caption text (page-wide) Char,Center Bold Char,ITT t8 Char,PA Appendix Minor Char,Center Bold1 Char,Center Bold2 Char,Center Bold3 Char,Center Bold4 Char,Center Bold5 Char"/>
    <w:next w:val="1182"/>
    <w:link w:val="952"/>
    <w:rPr>
      <w:rFonts w:ascii="Arial" w:hAnsi="Arial" w:eastAsia="黑体"/>
      <w:sz w:val="24"/>
      <w:szCs w:val="24"/>
    </w:rPr>
  </w:style>
  <w:style w:type="character" w:styleId="1183">
    <w:name w:val="img_title10"/>
    <w:next w:val="1183"/>
    <w:link w:val="952"/>
    <w:rPr>
      <w:vanish/>
    </w:rPr>
  </w:style>
  <w:style w:type="character" w:styleId="1184">
    <w:name w:val="num51"/>
    <w:next w:val="1184"/>
    <w:link w:val="952"/>
  </w:style>
  <w:style w:type="character" w:styleId="1185">
    <w:name w:val="规范正文 Char"/>
    <w:next w:val="1185"/>
    <w:link w:val="1186"/>
    <w:rPr>
      <w:rFonts w:eastAsia="宋体"/>
      <w:sz w:val="24"/>
      <w:lang w:val="en-US" w:eastAsia="zh-CN" w:bidi="ar-SA"/>
    </w:rPr>
  </w:style>
  <w:style w:type="paragraph" w:styleId="1186">
    <w:name w:val="规范正文"/>
    <w:basedOn w:val="952"/>
    <w:next w:val="1186"/>
    <w:link w:val="1185"/>
    <w:pPr>
      <w:ind w:left="480"/>
      <w:spacing w:line="360" w:lineRule="auto"/>
    </w:pPr>
    <w:rPr>
      <w:rFonts w:ascii="Times New Roman" w:hAnsi="Times New Roman"/>
      <w:szCs w:val="20"/>
    </w:rPr>
  </w:style>
  <w:style w:type="character" w:styleId="1187">
    <w:name w:val="Plain Text Char Char"/>
    <w:next w:val="1187"/>
    <w:link w:val="1188"/>
    <w:rPr>
      <w:rFonts w:ascii="宋体" w:hAnsi="Courier New" w:eastAsia="楷体_GB2312"/>
      <w:sz w:val="26"/>
      <w:lang w:val="en-US" w:eastAsia="zh-CN" w:bidi="ar-SA"/>
    </w:rPr>
  </w:style>
  <w:style w:type="paragraph" w:styleId="1188">
    <w:name w:val="纯文本1"/>
    <w:basedOn w:val="952"/>
    <w:next w:val="1188"/>
    <w:link w:val="1187"/>
    <w:qFormat/>
    <w:rPr>
      <w:rFonts w:hAnsi="Courier New" w:eastAsia="楷体_GB2312"/>
      <w:sz w:val="26"/>
      <w:szCs w:val="20"/>
    </w:rPr>
  </w:style>
  <w:style w:type="character" w:styleId="1189">
    <w:name w:val="标题 3 Char Char Char Char Char Char Char"/>
    <w:next w:val="1189"/>
    <w:link w:val="952"/>
    <w:rPr>
      <w:rFonts w:eastAsia="宋体"/>
      <w:b/>
      <w:bCs/>
      <w:sz w:val="32"/>
      <w:szCs w:val="32"/>
      <w:lang w:val="en-US" w:eastAsia="zh-CN" w:bidi="ar-SA"/>
    </w:rPr>
  </w:style>
  <w:style w:type="character" w:styleId="1190">
    <w:name w:val="p121"/>
    <w:next w:val="1190"/>
    <w:link w:val="952"/>
    <w:uiPriority w:val="99"/>
    <w:rPr>
      <w:rFonts w:cs="Times New Roman"/>
      <w:sz w:val="24"/>
      <w:szCs w:val="24"/>
      <w:u w:val="none"/>
    </w:rPr>
  </w:style>
  <w:style w:type="character" w:styleId="1191">
    <w:name w:val="bsharetext"/>
    <w:next w:val="1191"/>
    <w:link w:val="952"/>
  </w:style>
  <w:style w:type="character" w:styleId="1192">
    <w:name w:val="并列 Char Char"/>
    <w:next w:val="1192"/>
    <w:link w:val="952"/>
    <w:rPr>
      <w:rFonts w:eastAsia="宋体"/>
      <w:sz w:val="24"/>
      <w:szCs w:val="24"/>
      <w:lang w:val="en-US" w:eastAsia="zh-CN" w:bidi="ar-SA"/>
    </w:rPr>
  </w:style>
  <w:style w:type="character" w:styleId="1193">
    <w:name w:val=" Char Char14"/>
    <w:next w:val="1193"/>
    <w:link w:val="952"/>
    <w:semiHidden/>
    <w:rPr>
      <w:rFonts w:ascii="Times New Roman" w:hAnsi="Times New Roman" w:eastAsia="宋体" w:cs="Times New Roman"/>
      <w:szCs w:val="24"/>
    </w:rPr>
  </w:style>
  <w:style w:type="character" w:styleId="1194">
    <w:name w:val="Item list Char"/>
    <w:next w:val="1194"/>
    <w:link w:val="1195"/>
    <w:rPr>
      <w:sz w:val="21"/>
      <w:szCs w:val="18"/>
    </w:rPr>
  </w:style>
  <w:style w:type="paragraph" w:styleId="1195">
    <w:name w:val="Item list"/>
    <w:basedOn w:val="952"/>
    <w:next w:val="1195"/>
    <w:link w:val="1194"/>
    <w:pPr>
      <w:numPr>
        <w:ilvl w:val="0"/>
        <w:numId w:val="6"/>
      </w:numPr>
      <w:widowControl/>
      <w:tabs>
        <w:tab w:val="left" w:pos="720" w:leader="none"/>
      </w:tabs>
    </w:pPr>
    <w:rPr>
      <w:rFonts w:ascii="Times New Roman" w:hAnsi="Times New Roman"/>
      <w:sz w:val="21"/>
      <w:szCs w:val="18"/>
    </w:rPr>
  </w:style>
  <w:style w:type="character" w:styleId="1196">
    <w:name w:val="FtrF Char,Footer-Even Char Char"/>
    <w:next w:val="1196"/>
    <w:link w:val="952"/>
    <w:rPr>
      <w:sz w:val="18"/>
      <w:szCs w:val="18"/>
    </w:rPr>
  </w:style>
  <w:style w:type="character" w:styleId="1197">
    <w:name w:val="h7 Char,st Char,SDL title Char,NICMAN Heading 7 Char,PIM 7 Char,letter list Char,Para no numbering Char,cnc Char,Caption number (column-wide) Char,ITT t7 Char,PA Appendix Major Char,lettered list Char,letter list1 Char,lettered list1 Char,正文七级标题 Char"/>
    <w:next w:val="1197"/>
    <w:link w:val="952"/>
    <w:rPr>
      <w:rFonts w:ascii="Times New Roman" w:hAnsi="Times New Roman"/>
      <w:b/>
      <w:bCs/>
      <w:sz w:val="24"/>
      <w:szCs w:val="24"/>
    </w:rPr>
  </w:style>
  <w:style w:type="character" w:styleId="1198">
    <w:name w:val="xl26"/>
    <w:next w:val="1198"/>
    <w:link w:val="952"/>
  </w:style>
  <w:style w:type="character" w:styleId="1199">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199"/>
    <w:link w:val="952"/>
    <w:rPr>
      <w:rFonts w:eastAsia="宋体"/>
      <w:sz w:val="21"/>
      <w:szCs w:val="24"/>
      <w:lang w:val="en-US" w:eastAsia="zh-CN" w:bidi="ar-SA"/>
    </w:rPr>
  </w:style>
  <w:style w:type="character" w:styleId="1200">
    <w:name w:val="font61"/>
    <w:next w:val="1200"/>
    <w:link w:val="952"/>
    <w:qFormat/>
    <w:rPr>
      <w:rFonts w:hint="eastAsia" w:ascii="宋体" w:hAnsi="宋体" w:eastAsia="宋体" w:cs="宋体"/>
      <w:color w:val="000000"/>
      <w:sz w:val="24"/>
      <w:szCs w:val="24"/>
      <w:u w:val="none"/>
    </w:rPr>
  </w:style>
  <w:style w:type="character" w:styleId="1201">
    <w:name w:val="a41"/>
    <w:next w:val="1201"/>
    <w:link w:val="952"/>
    <w:rPr>
      <w:color w:val="666666"/>
      <w:sz w:val="20"/>
      <w:szCs w:val="20"/>
    </w:rPr>
  </w:style>
  <w:style w:type="character" w:styleId="1202">
    <w:name w:val="HTML Preformatted Char"/>
    <w:next w:val="1202"/>
    <w:link w:val="952"/>
    <w:semiHidden/>
    <w:rPr>
      <w:rFonts w:ascii="黑体" w:hAnsi="Courier New" w:eastAsia="黑体" w:cs="Courier New"/>
      <w:sz w:val="20"/>
      <w:szCs w:val="20"/>
    </w:rPr>
  </w:style>
  <w:style w:type="character" w:styleId="1203">
    <w:name w:val="sub-title1"/>
    <w:next w:val="1203"/>
    <w:link w:val="952"/>
    <w:rPr>
      <w:rFonts w:ascii="Arial" w:hAnsi="Arial" w:cs="Arial"/>
      <w:b/>
      <w:bCs/>
      <w:color w:val="666666"/>
      <w:sz w:val="20"/>
      <w:szCs w:val="20"/>
      <w:shd w:val="clear" w:color="auto" w:fill="dddcde"/>
    </w:rPr>
  </w:style>
  <w:style w:type="character" w:styleId="1204">
    <w:name w:val="nostart"/>
    <w:next w:val="1204"/>
    <w:link w:val="952"/>
    <w:rPr>
      <w:color w:val="b60000"/>
    </w:rPr>
  </w:style>
  <w:style w:type="character" w:styleId="1205">
    <w:name w:val="span_paramvalue"/>
    <w:next w:val="1205"/>
    <w:link w:val="952"/>
  </w:style>
  <w:style w:type="character" w:styleId="1206">
    <w:name w:val="shixiao"/>
    <w:next w:val="1206"/>
    <w:link w:val="952"/>
  </w:style>
  <w:style w:type="character" w:styleId="1207">
    <w:name w:val="wz2"/>
    <w:next w:val="1207"/>
    <w:link w:val="952"/>
    <w:rPr>
      <w:color w:val="666666"/>
      <w:sz w:val="20"/>
      <w:szCs w:val="20"/>
    </w:rPr>
  </w:style>
  <w:style w:type="character" w:styleId="1208">
    <w:name w:val="img_title12"/>
    <w:next w:val="1208"/>
    <w:link w:val="952"/>
    <w:rPr>
      <w:vanish/>
    </w:rPr>
  </w:style>
  <w:style w:type="character" w:styleId="1209">
    <w:name w:val="小标题 Char"/>
    <w:next w:val="1209"/>
    <w:link w:val="952"/>
    <w:rPr>
      <w:rFonts w:ascii="宋体" w:hAnsi="宋体" w:eastAsia="宋体"/>
      <w:b/>
      <w:bCs/>
      <w:color w:val="000000"/>
      <w:spacing w:val="20"/>
      <w:sz w:val="24"/>
      <w:szCs w:val="32"/>
      <w:lang w:val="en-US" w:eastAsia="zh-CN" w:bidi="ar-SA"/>
    </w:rPr>
  </w:style>
  <w:style w:type="character" w:styleId="1210">
    <w:name w:val="img_title13"/>
    <w:next w:val="1210"/>
    <w:link w:val="952"/>
    <w:rPr>
      <w:vanish/>
    </w:rPr>
  </w:style>
  <w:style w:type="character" w:styleId="1211">
    <w:name w:val=" Char Char9"/>
    <w:next w:val="1211"/>
    <w:link w:val="952"/>
    <w:rPr>
      <w:rFonts w:ascii="Times New Roman" w:hAnsi="Times New Roman" w:eastAsia="宋体" w:cs="Times New Roman"/>
      <w:sz w:val="18"/>
      <w:szCs w:val="18"/>
    </w:rPr>
  </w:style>
  <w:style w:type="character" w:styleId="1212">
    <w:name w:val=" Char Char13"/>
    <w:next w:val="1212"/>
    <w:link w:val="952"/>
    <w:rPr>
      <w:rFonts w:ascii="宋体" w:hAnsi="Times New Roman" w:eastAsia="宋体" w:cs="Times New Roman"/>
      <w:sz w:val="18"/>
      <w:szCs w:val="18"/>
    </w:rPr>
  </w:style>
  <w:style w:type="character" w:styleId="1213">
    <w:name w:val="nostart1"/>
    <w:next w:val="1213"/>
    <w:link w:val="952"/>
    <w:rPr>
      <w:color w:val="ff0000"/>
    </w:rPr>
  </w:style>
  <w:style w:type="character" w:styleId="1214">
    <w:name w:val="style1"/>
    <w:next w:val="1214"/>
    <w:link w:val="952"/>
  </w:style>
  <w:style w:type="character" w:styleId="1215">
    <w:name w:val="para1"/>
    <w:next w:val="1215"/>
    <w:link w:val="952"/>
    <w:rPr>
      <w:rFonts w:ascii="Arial" w:hAnsi="Arial" w:cs="Arial"/>
      <w:sz w:val="18"/>
      <w:szCs w:val="18"/>
    </w:rPr>
  </w:style>
  <w:style w:type="character" w:styleId="1216">
    <w:name w:val="f14b1"/>
    <w:next w:val="1216"/>
    <w:link w:val="952"/>
    <w:rPr>
      <w:rFonts w:ascii="??" w:hAnsi="??"/>
      <w:b/>
      <w:bCs/>
      <w:color w:val="333333"/>
      <w:sz w:val="28"/>
      <w:szCs w:val="28"/>
    </w:rPr>
  </w:style>
  <w:style w:type="character" w:styleId="1217">
    <w:name w:val="q1"/>
    <w:next w:val="1217"/>
    <w:link w:val="952"/>
  </w:style>
  <w:style w:type="character" w:styleId="1218">
    <w:name w:val="ca-0"/>
    <w:next w:val="1218"/>
    <w:link w:val="952"/>
    <w:rPr>
      <w:rFonts w:cs="Times New Roman"/>
    </w:rPr>
  </w:style>
  <w:style w:type="character" w:styleId="1219">
    <w:name w:val="job1"/>
    <w:next w:val="1219"/>
    <w:link w:val="952"/>
  </w:style>
  <w:style w:type="character" w:styleId="1220">
    <w:name w:val="华宇段落1 Char Char"/>
    <w:next w:val="1220"/>
    <w:link w:val="1221"/>
    <w:rPr>
      <w:rFonts w:eastAsia="宋体"/>
      <w:bCs/>
      <w:sz w:val="24"/>
      <w:szCs w:val="24"/>
      <w:lang w:val="en-US" w:eastAsia="zh-CN" w:bidi="ar-SA"/>
    </w:rPr>
  </w:style>
  <w:style w:type="paragraph" w:styleId="1221">
    <w:name w:val="华宇段落1 Char"/>
    <w:basedOn w:val="952"/>
    <w:next w:val="1221"/>
    <w:link w:val="1220"/>
    <w:pPr>
      <w:ind w:firstLine="200"/>
      <w:spacing w:line="360" w:lineRule="auto"/>
    </w:pPr>
    <w:rPr>
      <w:rFonts w:ascii="Times New Roman" w:hAnsi="Times New Roman"/>
      <w:bCs/>
    </w:rPr>
  </w:style>
  <w:style w:type="paragraph" w:styleId="1222">
    <w:name w:val="font7"/>
    <w:basedOn w:val="952"/>
    <w:next w:val="1222"/>
    <w:link w:val="952"/>
    <w:pPr>
      <w:jc w:val="left"/>
      <w:spacing w:before="100" w:beforeAutospacing="1" w:after="100" w:afterAutospacing="1"/>
      <w:widowControl/>
    </w:pPr>
    <w:rPr>
      <w:rFonts w:ascii="微软雅黑" w:eastAsia="微软雅黑" w:cs="宋体"/>
      <w:sz w:val="18"/>
      <w:szCs w:val="18"/>
    </w:rPr>
  </w:style>
  <w:style w:type="paragraph" w:styleId="1223">
    <w:name w:val="font17"/>
    <w:basedOn w:val="952"/>
    <w:next w:val="1223"/>
    <w:link w:val="952"/>
    <w:pPr>
      <w:jc w:val="left"/>
      <w:spacing w:before="100" w:beforeAutospacing="1" w:after="100" w:afterAutospacing="1"/>
      <w:widowControl/>
    </w:pPr>
    <w:rPr>
      <w:rFonts w:cs="宋体"/>
      <w:b/>
      <w:bCs/>
      <w:sz w:val="18"/>
      <w:szCs w:val="18"/>
    </w:rPr>
  </w:style>
  <w:style w:type="paragraph" w:styleId="1224">
    <w:name w:val="xl155"/>
    <w:basedOn w:val="952"/>
    <w:next w:val="1224"/>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25">
    <w:name w:val="xl213"/>
    <w:basedOn w:val="952"/>
    <w:next w:val="1225"/>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26">
    <w:name w:val="样式 首行缩进:  1.48 厘米"/>
    <w:basedOn w:val="952"/>
    <w:next w:val="1226"/>
    <w:link w:val="952"/>
    <w:pPr>
      <w:ind w:firstLine="200"/>
    </w:pPr>
    <w:rPr>
      <w:rFonts w:ascii="Times New Roman" w:hAnsi="Times New Roman" w:cs="宋体"/>
      <w:sz w:val="21"/>
      <w:szCs w:val="20"/>
    </w:rPr>
  </w:style>
  <w:style w:type="paragraph" w:styleId="1227">
    <w:name w:val="Code in Table"/>
    <w:basedOn w:val="952"/>
    <w:next w:val="1227"/>
    <w:link w:val="952"/>
    <w:pPr>
      <w:shd w:val="clear" w:color="auto" w:fill="f3f3f3"/>
    </w:pPr>
    <w:rPr>
      <w:rFonts w:ascii="Courier New" w:hAnsi="Courier New"/>
      <w:sz w:val="18"/>
    </w:rPr>
  </w:style>
  <w:style w:type="paragraph" w:styleId="1228">
    <w:name w:val="font18"/>
    <w:basedOn w:val="952"/>
    <w:next w:val="1228"/>
    <w:link w:val="952"/>
    <w:pPr>
      <w:jc w:val="left"/>
      <w:spacing w:before="100" w:beforeAutospacing="1" w:after="100" w:afterAutospacing="1"/>
      <w:widowControl/>
    </w:pPr>
    <w:rPr>
      <w:rFonts w:cs="宋体"/>
      <w:sz w:val="18"/>
      <w:szCs w:val="18"/>
    </w:rPr>
  </w:style>
  <w:style w:type="paragraph" w:styleId="1229">
    <w:name w:val="Char2"/>
    <w:basedOn w:val="952"/>
    <w:next w:val="1229"/>
    <w:link w:val="952"/>
    <w:pPr>
      <w:jc w:val="left"/>
      <w:spacing w:after="160" w:line="240" w:lineRule="exact"/>
      <w:widowControl/>
    </w:pPr>
    <w:rPr>
      <w:rFonts w:ascii="Verdana" w:hAnsi="Verdana"/>
      <w:sz w:val="21"/>
      <w:szCs w:val="20"/>
      <w:lang w:eastAsia="en-US"/>
    </w:rPr>
  </w:style>
  <w:style w:type="paragraph" w:styleId="1230">
    <w:name w:val="xl196"/>
    <w:basedOn w:val="952"/>
    <w:next w:val="1230"/>
    <w:link w:val="952"/>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31">
    <w:name w:val="xl178"/>
    <w:basedOn w:val="952"/>
    <w:next w:val="123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2">
    <w:name w:val="font12"/>
    <w:basedOn w:val="952"/>
    <w:next w:val="1232"/>
    <w:link w:val="952"/>
    <w:pPr>
      <w:jc w:val="left"/>
      <w:spacing w:before="100" w:beforeAutospacing="1" w:after="100" w:afterAutospacing="1"/>
      <w:widowControl/>
    </w:pPr>
    <w:rPr>
      <w:rFonts w:cs="宋体"/>
      <w:sz w:val="18"/>
      <w:szCs w:val="18"/>
    </w:rPr>
  </w:style>
  <w:style w:type="paragraph" w:styleId="1233">
    <w:name w:val="xl112"/>
    <w:basedOn w:val="952"/>
    <w:next w:val="1233"/>
    <w:link w:val="95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34">
    <w:name w:val="xl124"/>
    <w:basedOn w:val="952"/>
    <w:next w:val="1234"/>
    <w:link w:val="952"/>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35">
    <w:name w:val="xl85"/>
    <w:basedOn w:val="952"/>
    <w:next w:val="1235"/>
    <w:link w:val="952"/>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36">
    <w:name w:val="xl138"/>
    <w:basedOn w:val="952"/>
    <w:next w:val="1236"/>
    <w:link w:val="952"/>
    <w:pPr>
      <w:jc w:val="left"/>
      <w:spacing w:before="100" w:beforeAutospacing="1" w:after="100" w:afterAutospacing="1"/>
      <w:widowControl/>
    </w:pPr>
    <w:rPr>
      <w:rFonts w:cs="宋体"/>
      <w:sz w:val="18"/>
      <w:szCs w:val="18"/>
    </w:rPr>
  </w:style>
  <w:style w:type="paragraph" w:styleId="1237">
    <w:name w:val="xl156"/>
    <w:basedOn w:val="952"/>
    <w:next w:val="1237"/>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8">
    <w:name w:val="2-2"/>
    <w:basedOn w:val="952"/>
    <w:next w:val="1238"/>
    <w:link w:val="952"/>
    <w:pPr>
      <w:ind w:firstLine="422"/>
      <w:tabs>
        <w:tab w:val="left" w:pos="8820" w:leader="middleDot"/>
      </w:tabs>
    </w:pPr>
    <w:rPr>
      <w:rFonts w:ascii="Times New Roman" w:hAnsi="Times New Roman"/>
      <w:b/>
      <w:sz w:val="21"/>
    </w:rPr>
  </w:style>
  <w:style w:type="paragraph" w:styleId="1239">
    <w:name w:val="font24"/>
    <w:basedOn w:val="952"/>
    <w:next w:val="1239"/>
    <w:link w:val="952"/>
    <w:pPr>
      <w:jc w:val="left"/>
      <w:spacing w:before="100" w:beforeAutospacing="1" w:after="100" w:afterAutospacing="1"/>
      <w:widowControl/>
    </w:pPr>
    <w:rPr>
      <w:rFonts w:cs="宋体"/>
      <w:sz w:val="18"/>
      <w:szCs w:val="18"/>
    </w:rPr>
  </w:style>
  <w:style w:type="paragraph" w:styleId="1240">
    <w:name w:val="hide"/>
    <w:basedOn w:val="952"/>
    <w:next w:val="1240"/>
    <w:link w:val="952"/>
    <w:pPr>
      <w:jc w:val="left"/>
      <w:spacing w:before="100" w:beforeAutospacing="1" w:after="100" w:afterAutospacing="1"/>
      <w:widowControl/>
    </w:pPr>
    <w:rPr>
      <w:rFonts w:cs="宋体"/>
      <w:vanish/>
    </w:rPr>
  </w:style>
  <w:style w:type="paragraph" w:styleId="1241">
    <w:name w:val="font23"/>
    <w:basedOn w:val="952"/>
    <w:next w:val="1241"/>
    <w:link w:val="952"/>
    <w:pPr>
      <w:jc w:val="left"/>
      <w:spacing w:before="100" w:beforeAutospacing="1" w:after="100" w:afterAutospacing="1"/>
      <w:widowControl/>
    </w:pPr>
    <w:rPr>
      <w:rFonts w:cs="宋体"/>
      <w:sz w:val="20"/>
      <w:szCs w:val="20"/>
    </w:rPr>
  </w:style>
  <w:style w:type="paragraph" w:styleId="1242">
    <w:name w:val="xl182"/>
    <w:basedOn w:val="952"/>
    <w:next w:val="1242"/>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3">
    <w:name w:val="xl216"/>
    <w:basedOn w:val="952"/>
    <w:next w:val="1243"/>
    <w:link w:val="95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44">
    <w:name w:val="Char6"/>
    <w:basedOn w:val="952"/>
    <w:next w:val="1244"/>
    <w:link w:val="952"/>
    <w:pPr>
      <w:jc w:val="left"/>
      <w:spacing w:after="160" w:line="240" w:lineRule="exact"/>
      <w:widowControl/>
    </w:pPr>
    <w:rPr>
      <w:rFonts w:ascii="Verdana" w:hAnsi="Verdana"/>
      <w:sz w:val="21"/>
      <w:szCs w:val="20"/>
      <w:lang w:eastAsia="en-US"/>
    </w:rPr>
  </w:style>
  <w:style w:type="paragraph" w:styleId="1245">
    <w:name w:val="样式 标题 2H2Heading 2 HiddenHeading 2 CCBSheading 22nd levelh...1"/>
    <w:basedOn w:val="954"/>
    <w:next w:val="1245"/>
    <w:link w:val="952"/>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246">
    <w:name w:val="纯文本2"/>
    <w:basedOn w:val="952"/>
    <w:next w:val="1246"/>
    <w:link w:val="952"/>
    <w:qFormat/>
    <w:rPr>
      <w:rFonts w:hAnsi="Courier New" w:eastAsia="楷体_GB2312"/>
      <w:sz w:val="26"/>
      <w:szCs w:val="20"/>
    </w:rPr>
  </w:style>
  <w:style w:type="paragraph" w:styleId="1247">
    <w:name w:val=" Char2"/>
    <w:basedOn w:val="952"/>
    <w:next w:val="1247"/>
    <w:link w:val="952"/>
    <w:rPr>
      <w:rFonts w:ascii="Tahoma" w:hAnsi="Tahoma" w:eastAsia="仿宋_GB2312"/>
      <w:color w:val="000000"/>
      <w:szCs w:val="20"/>
    </w:rPr>
  </w:style>
  <w:style w:type="paragraph" w:styleId="1248">
    <w:name w:val="xl88"/>
    <w:basedOn w:val="952"/>
    <w:next w:val="1248"/>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49">
    <w:name w:val="xl181"/>
    <w:basedOn w:val="952"/>
    <w:next w:val="1249"/>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0">
    <w:name w:val="Item List in Table"/>
    <w:basedOn w:val="952"/>
    <w:next w:val="1250"/>
    <w:link w:val="952"/>
    <w:pPr>
      <w:numPr>
        <w:ilvl w:val="0"/>
        <w:numId w:val="7"/>
      </w:numPr>
      <w:jc w:val="left"/>
      <w:tabs>
        <w:tab w:val="left" w:pos="425" w:leader="none"/>
        <w:tab w:val="left" w:pos="709" w:leader="none"/>
      </w:tabs>
    </w:pPr>
    <w:rPr>
      <w:rFonts w:ascii="Times New Roman" w:hAnsi="Times New Roman"/>
      <w:sz w:val="21"/>
    </w:rPr>
  </w:style>
  <w:style w:type="paragraph" w:styleId="1251">
    <w:name w:val="xl162"/>
    <w:basedOn w:val="952"/>
    <w:next w:val="125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2">
    <w:name w:val="Code"/>
    <w:basedOn w:val="1138"/>
    <w:next w:val="1252"/>
    <w:link w:val="952"/>
    <w:pPr>
      <w:jc w:val="left"/>
      <w:spacing w:before="0" w:after="0"/>
      <w:shd w:val="clear" w:color="auto" w:fill="f3f3f3"/>
    </w:pPr>
    <w:rPr>
      <w:rFonts w:ascii="Courier New" w:hAnsi="Courier New"/>
      <w:sz w:val="18"/>
      <w:szCs w:val="18"/>
    </w:rPr>
  </w:style>
  <w:style w:type="paragraph" w:styleId="1253">
    <w:name w:val="xl74"/>
    <w:basedOn w:val="952"/>
    <w:next w:val="1253"/>
    <w:link w:val="952"/>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54">
    <w:name w:val="xl180"/>
    <w:basedOn w:val="952"/>
    <w:next w:val="1254"/>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5">
    <w:name w:val="xl63"/>
    <w:basedOn w:val="952"/>
    <w:next w:val="1255"/>
    <w:link w:val="952"/>
    <w:pPr>
      <w:jc w:val="left"/>
      <w:spacing w:before="100" w:beforeAutospacing="1" w:after="100" w:afterAutospacing="1"/>
      <w:widowControl/>
    </w:pPr>
    <w:rPr>
      <w:rFonts w:ascii="微软雅黑" w:hAnsi="微软雅黑" w:eastAsia="微软雅黑" w:cs="宋体"/>
      <w:sz w:val="20"/>
      <w:szCs w:val="20"/>
    </w:rPr>
  </w:style>
  <w:style w:type="paragraph" w:styleId="1256">
    <w:name w:val="xl140"/>
    <w:basedOn w:val="952"/>
    <w:next w:val="1256"/>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7">
    <w:name w:val="表内正文"/>
    <w:next w:val="1257"/>
    <w:link w:val="952"/>
    <w:pPr>
      <w:ind w:firstLine="480"/>
      <w:spacing w:line="560" w:lineRule="exact"/>
    </w:pPr>
    <w:rPr>
      <w:rFonts w:ascii="宋体" w:hAnsi="宋体"/>
      <w:sz w:val="24"/>
      <w:lang w:val="en-US" w:eastAsia="zh-CN" w:bidi="ar-SA"/>
    </w:rPr>
  </w:style>
  <w:style w:type="paragraph" w:styleId="1258">
    <w:name w:val="xl158"/>
    <w:basedOn w:val="952"/>
    <w:next w:val="1258"/>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59">
    <w:name w:val=" Char1"/>
    <w:basedOn w:val="952"/>
    <w:next w:val="1259"/>
    <w:link w:val="952"/>
    <w:pPr>
      <w:numPr>
        <w:ilvl w:val="1"/>
        <w:numId w:val="2"/>
      </w:numPr>
      <w:ind w:left="0"/>
      <w:jc w:val="left"/>
    </w:pPr>
    <w:rPr>
      <w:rFonts w:ascii="仿宋_GB2312" w:hAnsi="Times New Roman" w:eastAsia="仿宋_GB2312"/>
      <w:b/>
      <w:sz w:val="32"/>
      <w:szCs w:val="32"/>
    </w:rPr>
  </w:style>
  <w:style w:type="paragraph" w:styleId="1260">
    <w:name w:val="00"/>
    <w:basedOn w:val="952"/>
    <w:next w:val="1260"/>
    <w:link w:val="952"/>
    <w:pPr>
      <w:jc w:val="left"/>
    </w:pPr>
    <w:rPr>
      <w:rFonts w:ascii="黑体" w:hAnsi="Times New Roman" w:eastAsia="黑体"/>
      <w:b/>
      <w:bCs/>
      <w:sz w:val="20"/>
      <w:szCs w:val="20"/>
    </w:rPr>
  </w:style>
  <w:style w:type="paragraph" w:styleId="1261">
    <w:name w:val="xl75"/>
    <w:basedOn w:val="952"/>
    <w:next w:val="1261"/>
    <w:link w:val="952"/>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62">
    <w:name w:val="xl101"/>
    <w:basedOn w:val="952"/>
    <w:next w:val="1262"/>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63">
    <w:name w:val="Char"/>
    <w:basedOn w:val="952"/>
    <w:next w:val="1263"/>
    <w:link w:val="952"/>
    <w:pPr>
      <w:jc w:val="left"/>
      <w:spacing w:after="160" w:line="240" w:lineRule="exact"/>
      <w:widowControl/>
    </w:pPr>
    <w:rPr>
      <w:rFonts w:ascii="Times New Roman" w:hAnsi="Times New Roman"/>
      <w:sz w:val="21"/>
    </w:rPr>
  </w:style>
  <w:style w:type="paragraph" w:styleId="1264">
    <w:name w:val="解决方案部文档"/>
    <w:basedOn w:val="952"/>
    <w:next w:val="1264"/>
    <w:link w:val="952"/>
    <w:pPr>
      <w:jc w:val="center"/>
    </w:pPr>
    <w:rPr>
      <w:rFonts w:ascii="Times New Roman" w:hAnsi="Times New Roman" w:eastAsia="华文仿宋"/>
      <w:sz w:val="28"/>
    </w:rPr>
  </w:style>
  <w:style w:type="paragraph" w:styleId="1265">
    <w:name w:val="xl190"/>
    <w:basedOn w:val="952"/>
    <w:next w:val="1265"/>
    <w:link w:val="95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66">
    <w:name w:val="xl132"/>
    <w:basedOn w:val="952"/>
    <w:next w:val="1266"/>
    <w:link w:val="95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67">
    <w:name w:val="xl73"/>
    <w:basedOn w:val="952"/>
    <w:next w:val="1267"/>
    <w:link w:val="952"/>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68">
    <w:name w:val="默认段落字体 Para Char Char Char Char Char Char Char Char Char1 Char Char Char Char"/>
    <w:basedOn w:val="952"/>
    <w:next w:val="1268"/>
    <w:link w:val="952"/>
    <w:rPr>
      <w:rFonts w:ascii="Tahoma" w:hAnsi="Tahoma"/>
      <w:szCs w:val="20"/>
    </w:rPr>
  </w:style>
  <w:style w:type="paragraph" w:styleId="1269">
    <w:name w:val="xl171"/>
    <w:basedOn w:val="952"/>
    <w:next w:val="1269"/>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0">
    <w:name w:val="xl121"/>
    <w:basedOn w:val="952"/>
    <w:next w:val="1270"/>
    <w:link w:val="952"/>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71">
    <w:name w:val="xl212"/>
    <w:basedOn w:val="952"/>
    <w:next w:val="127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72">
    <w:name w:val="xl107"/>
    <w:basedOn w:val="952"/>
    <w:next w:val="1272"/>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73">
    <w:name w:val="body_text"/>
    <w:basedOn w:val="952"/>
    <w:next w:val="1273"/>
    <w:link w:val="952"/>
    <w:pPr>
      <w:spacing w:before="100" w:beforeAutospacing="1" w:after="100" w:afterAutospacing="1" w:line="320" w:lineRule="atLeast"/>
      <w:widowControl/>
    </w:pPr>
    <w:rPr>
      <w:rFonts w:ascii="ˎ̥" w:hAnsi="ˎ̥" w:cs="宋体"/>
      <w:sz w:val="20"/>
      <w:szCs w:val="20"/>
    </w:rPr>
  </w:style>
  <w:style w:type="paragraph" w:styleId="1274">
    <w:name w:val="正文L"/>
    <w:basedOn w:val="952"/>
    <w:next w:val="1274"/>
    <w:link w:val="952"/>
    <w:pPr>
      <w:ind w:firstLine="510"/>
      <w:jc w:val="left"/>
      <w:spacing w:line="540" w:lineRule="exact"/>
      <w:tabs>
        <w:tab w:val="left" w:pos="120" w:leader="none"/>
      </w:tabs>
    </w:pPr>
    <w:rPr>
      <w:rFonts w:ascii="仿宋_GB2312" w:hAnsi="Times New Roman" w:eastAsia="仿宋_GB2312"/>
      <w:sz w:val="23"/>
      <w:szCs w:val="20"/>
    </w:rPr>
  </w:style>
  <w:style w:type="paragraph" w:styleId="1275">
    <w:name w:val=" Char Char Char Char1 Char Char Char"/>
    <w:basedOn w:val="983"/>
    <w:next w:val="1275"/>
    <w:link w:val="952"/>
    <w:pPr>
      <w:ind w:firstLine="454"/>
      <w:jc w:val="left"/>
      <w:widowControl/>
    </w:pPr>
    <w:rPr>
      <w:rFonts w:ascii="Tahoma" w:hAnsi="Tahoma" w:cs="宋体"/>
      <w:sz w:val="21"/>
      <w:szCs w:val="20"/>
    </w:rPr>
  </w:style>
  <w:style w:type="paragraph" w:styleId="1276">
    <w:name w:val="style41"/>
    <w:basedOn w:val="952"/>
    <w:next w:val="1276"/>
    <w:link w:val="952"/>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77">
    <w:name w:val="xl204"/>
    <w:basedOn w:val="952"/>
    <w:next w:val="1277"/>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78">
    <w:name w:val="样式 (中文) 黑体 二号 居中"/>
    <w:basedOn w:val="952"/>
    <w:next w:val="1278"/>
    <w:link w:val="952"/>
    <w:pPr>
      <w:jc w:val="center"/>
      <w:widowControl/>
    </w:pPr>
    <w:rPr>
      <w:rFonts w:ascii="Times New Roman" w:hAnsi="Times New Roman" w:eastAsia="黑体"/>
      <w:sz w:val="44"/>
      <w:szCs w:val="20"/>
    </w:rPr>
  </w:style>
  <w:style w:type="paragraph" w:styleId="1279">
    <w:name w:val="正文1"/>
    <w:basedOn w:val="952"/>
    <w:next w:val="1279"/>
    <w:link w:val="952"/>
    <w:pPr>
      <w:ind w:firstLine="540"/>
    </w:pPr>
    <w:rPr>
      <w:rFonts w:ascii="Times New Roman" w:hAnsi="Times New Roman"/>
      <w:szCs w:val="20"/>
    </w:rPr>
  </w:style>
  <w:style w:type="paragraph" w:styleId="1280">
    <w:name w:val="xl183"/>
    <w:basedOn w:val="952"/>
    <w:next w:val="1280"/>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1">
    <w:name w:val="xl118"/>
    <w:basedOn w:val="952"/>
    <w:next w:val="1281"/>
    <w:link w:val="952"/>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82">
    <w:name w:val="章标题"/>
    <w:next w:val="952"/>
    <w:link w:val="952"/>
    <w:pPr>
      <w:numPr>
        <w:ilvl w:val="3"/>
        <w:numId w:val="2"/>
      </w:numPr>
      <w:ind w:left="360"/>
      <w:spacing w:before="50" w:after="50"/>
      <w:outlineLvl w:val="1"/>
    </w:pPr>
    <w:rPr>
      <w:rFonts w:ascii="黑体" w:eastAsia="黑体"/>
      <w:sz w:val="24"/>
      <w:lang w:val="en-US" w:eastAsia="zh-CN" w:bidi="ar-SA"/>
    </w:rPr>
  </w:style>
  <w:style w:type="paragraph" w:styleId="1283">
    <w:name w:val="xl179"/>
    <w:basedOn w:val="952"/>
    <w:next w:val="1283"/>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4">
    <w:name w:val="三级条标题"/>
    <w:basedOn w:val="1285"/>
    <w:next w:val="952"/>
    <w:link w:val="952"/>
    <w:pPr>
      <w:numPr>
        <w:ilvl w:val="6"/>
        <w:numId w:val="2"/>
      </w:numPr>
      <w:outlineLvl w:val="4"/>
    </w:pPr>
  </w:style>
  <w:style w:type="paragraph" w:styleId="1285">
    <w:name w:val="二级条标题"/>
    <w:basedOn w:val="1286"/>
    <w:next w:val="952"/>
    <w:link w:val="952"/>
    <w:pPr>
      <w:numPr>
        <w:ilvl w:val="5"/>
        <w:numId w:val="2"/>
      </w:numPr>
      <w:ind w:left="540"/>
      <w:outlineLvl w:val="3"/>
    </w:pPr>
  </w:style>
  <w:style w:type="paragraph" w:styleId="1286">
    <w:name w:val="一级条标题"/>
    <w:basedOn w:val="1282"/>
    <w:next w:val="952"/>
    <w:link w:val="952"/>
    <w:pPr>
      <w:numPr>
        <w:ilvl w:val="4"/>
        <w:numId w:val="2"/>
      </w:numPr>
      <w:spacing w:before="0" w:after="0"/>
      <w:outlineLvl w:val="2"/>
    </w:pPr>
  </w:style>
  <w:style w:type="paragraph" w:styleId="1287">
    <w:name w:val="四级条标题"/>
    <w:basedOn w:val="1284"/>
    <w:next w:val="952"/>
    <w:link w:val="952"/>
    <w:pPr>
      <w:outlineLvl w:val="5"/>
    </w:pPr>
  </w:style>
  <w:style w:type="paragraph" w:styleId="1288">
    <w:name w:val="五级条标题"/>
    <w:basedOn w:val="1287"/>
    <w:next w:val="952"/>
    <w:link w:val="952"/>
    <w:pPr>
      <w:numPr>
        <w:ilvl w:val="6"/>
        <w:numId w:val="8"/>
      </w:numPr>
      <w:tabs>
        <w:tab w:val="left" w:pos="1276" w:leader="none"/>
      </w:tabs>
      <w:outlineLvl w:val="6"/>
    </w:pPr>
  </w:style>
  <w:style w:type="paragraph" w:styleId="1289">
    <w:name w:val="D正文"/>
    <w:basedOn w:val="1031"/>
    <w:next w:val="1289"/>
    <w:link w:val="952"/>
    <w:pPr>
      <w:ind w:left="0" w:firstLine="200"/>
      <w:spacing w:before="100" w:beforeAutospacing="1" w:after="100" w:afterAutospacing="1"/>
    </w:pPr>
    <w:rPr>
      <w:sz w:val="24"/>
      <w:szCs w:val="24"/>
    </w:rPr>
  </w:style>
  <w:style w:type="paragraph" w:styleId="1290">
    <w:name w:val="xl103"/>
    <w:basedOn w:val="952"/>
    <w:next w:val="1290"/>
    <w:link w:val="952"/>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91">
    <w:name w:val="xl137"/>
    <w:basedOn w:val="952"/>
    <w:next w:val="1291"/>
    <w:link w:val="95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92">
    <w:name w:val="修订记录"/>
    <w:basedOn w:val="952"/>
    <w:next w:val="967"/>
    <w:link w:val="952"/>
    <w:pPr>
      <w:jc w:val="center"/>
    </w:pPr>
    <w:rPr>
      <w:rFonts w:ascii="Arial" w:hAnsi="Arial" w:eastAsia="黑体"/>
      <w:sz w:val="28"/>
    </w:rPr>
  </w:style>
  <w:style w:type="paragraph" w:styleId="1293">
    <w:name w:val="CM51"/>
    <w:basedOn w:val="1100"/>
    <w:next w:val="1100"/>
    <w:link w:val="952"/>
    <w:pPr>
      <w:spacing w:after="103"/>
    </w:pPr>
    <w:rPr>
      <w:rFonts w:ascii="黑体" w:hAnsi="Calibri" w:eastAsia="黑体"/>
      <w:color w:val="000000"/>
    </w:rPr>
  </w:style>
  <w:style w:type="paragraph" w:styleId="1294">
    <w:name w:val="xl96"/>
    <w:basedOn w:val="952"/>
    <w:next w:val="1294"/>
    <w:link w:val="952"/>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95">
    <w:name w:val="Char Char Char Char Char Char Char"/>
    <w:basedOn w:val="952"/>
    <w:next w:val="1295"/>
    <w:link w:val="952"/>
    <w:pPr>
      <w:numPr>
        <w:ilvl w:val="7"/>
        <w:numId w:val="9"/>
      </w:numPr>
      <w:ind w:left="0"/>
    </w:pPr>
    <w:rPr>
      <w:rFonts w:ascii="Tahoma" w:hAnsi="Tahoma"/>
      <w:szCs w:val="20"/>
    </w:rPr>
  </w:style>
  <w:style w:type="paragraph" w:styleId="1296">
    <w:name w:val="z-窗体底端"/>
    <w:basedOn w:val="952"/>
    <w:next w:val="952"/>
    <w:link w:val="952"/>
    <w:pPr>
      <w:jc w:val="center"/>
      <w:widowControl/>
      <w:pBdr>
        <w:top w:val="single" w:color="000000" w:sz="6" w:space="1"/>
      </w:pBdr>
    </w:pPr>
    <w:rPr>
      <w:rFonts w:ascii="Arial" w:hAnsi="Arial" w:cs="Arial"/>
      <w:vanish/>
      <w:sz w:val="16"/>
      <w:szCs w:val="16"/>
    </w:rPr>
  </w:style>
  <w:style w:type="paragraph" w:styleId="1297">
    <w:name w:val="博康文档样式"/>
    <w:basedOn w:val="952"/>
    <w:next w:val="1297"/>
    <w:link w:val="952"/>
    <w:pPr>
      <w:ind w:firstLine="480"/>
      <w:spacing w:line="360" w:lineRule="auto"/>
    </w:pPr>
    <w:rPr>
      <w:rFonts w:ascii="Times New Roman" w:hAnsi="Times New Roman"/>
    </w:rPr>
  </w:style>
  <w:style w:type="paragraph" w:styleId="1298">
    <w:name w:val="TOC 标题"/>
    <w:basedOn w:val="953"/>
    <w:next w:val="952"/>
    <w:link w:val="952"/>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299">
    <w:name w:val="xl150"/>
    <w:basedOn w:val="952"/>
    <w:next w:val="1299"/>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00">
    <w:name w:val="xl123"/>
    <w:basedOn w:val="952"/>
    <w:next w:val="1300"/>
    <w:link w:val="952"/>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01">
    <w:name w:val="HR-18"/>
    <w:basedOn w:val="952"/>
    <w:next w:val="952"/>
    <w:link w:val="952"/>
    <w:pPr>
      <w:jc w:val="left"/>
      <w:widowControl/>
    </w:pPr>
    <w:rPr>
      <w:rFonts w:ascii="Arial" w:hAnsi="Arial"/>
      <w:sz w:val="36"/>
      <w:szCs w:val="20"/>
      <w:lang w:val="en-AU" w:eastAsia="en-US"/>
    </w:rPr>
  </w:style>
  <w:style w:type="paragraph" w:styleId="1302">
    <w:name w:val="xl95"/>
    <w:basedOn w:val="952"/>
    <w:next w:val="1302"/>
    <w:link w:val="952"/>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303">
    <w:name w:val="xl135"/>
    <w:basedOn w:val="952"/>
    <w:next w:val="1303"/>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304">
    <w:name w:val="Char1 Char Char Char"/>
    <w:basedOn w:val="952"/>
    <w:next w:val="1304"/>
    <w:link w:val="952"/>
    <w:rPr>
      <w:rFonts w:ascii="Tahoma" w:hAnsi="Tahoma"/>
      <w:szCs w:val="20"/>
    </w:rPr>
  </w:style>
  <w:style w:type="paragraph" w:styleId="1305">
    <w:name w:val="普通(Web)1"/>
    <w:basedOn w:val="952"/>
    <w:next w:val="1025"/>
    <w:link w:val="952"/>
    <w:pPr>
      <w:jc w:val="left"/>
      <w:spacing w:before="100" w:beforeAutospacing="1" w:after="100" w:afterAutospacing="1"/>
      <w:widowControl/>
    </w:pPr>
    <w:rPr>
      <w:color w:val="000000"/>
    </w:rPr>
  </w:style>
  <w:style w:type="paragraph" w:styleId="1306">
    <w:name w:val="xl203"/>
    <w:basedOn w:val="952"/>
    <w:next w:val="1306"/>
    <w:link w:val="952"/>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307">
    <w:name w:val="表格文字"/>
    <w:basedOn w:val="952"/>
    <w:next w:val="1307"/>
    <w:link w:val="952"/>
    <w:rPr>
      <w:rFonts w:ascii="Times New Roman" w:hAnsi="Times New Roman"/>
      <w:sz w:val="21"/>
    </w:rPr>
  </w:style>
  <w:style w:type="paragraph" w:styleId="1308">
    <w:name w:val="font20"/>
    <w:basedOn w:val="952"/>
    <w:next w:val="1308"/>
    <w:link w:val="952"/>
    <w:pPr>
      <w:jc w:val="left"/>
      <w:spacing w:before="100" w:beforeAutospacing="1" w:after="100" w:afterAutospacing="1"/>
      <w:widowControl/>
    </w:pPr>
    <w:rPr>
      <w:rFonts w:ascii="Times New Roman" w:hAnsi="Times New Roman"/>
      <w:sz w:val="20"/>
      <w:szCs w:val="20"/>
    </w:rPr>
  </w:style>
  <w:style w:type="paragraph" w:styleId="1309">
    <w:name w:val="xl141"/>
    <w:basedOn w:val="952"/>
    <w:next w:val="1309"/>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0">
    <w:name w:val="xl114"/>
    <w:basedOn w:val="952"/>
    <w:next w:val="1310"/>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311">
    <w:name w:val="xl200"/>
    <w:basedOn w:val="952"/>
    <w:next w:val="1311"/>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2">
    <w:name w:val="图5"/>
    <w:basedOn w:val="952"/>
    <w:next w:val="1312"/>
    <w:link w:val="952"/>
    <w:pPr>
      <w:jc w:val="center"/>
      <w:spacing w:line="220" w:lineRule="atLeast"/>
    </w:pPr>
    <w:rPr>
      <w:rFonts w:hint="eastAsia" w:ascii="仿宋_GB2312" w:hAnsi="Times New Roman" w:eastAsia="仿宋_GB2312"/>
      <w:sz w:val="21"/>
      <w:szCs w:val="20"/>
    </w:rPr>
  </w:style>
  <w:style w:type="paragraph" w:styleId="1313">
    <w:name w:val="xl78"/>
    <w:basedOn w:val="952"/>
    <w:next w:val="1313"/>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4">
    <w:name w:val="xl93"/>
    <w:basedOn w:val="952"/>
    <w:next w:val="1314"/>
    <w:link w:val="95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15">
    <w:name w:val="插图题注"/>
    <w:next w:val="952"/>
    <w:link w:val="952"/>
    <w:pPr>
      <w:numPr>
        <w:ilvl w:val="7"/>
        <w:numId w:val="6"/>
      </w:numPr>
      <w:jc w:val="center"/>
      <w:spacing w:after="240"/>
      <w:tabs>
        <w:tab w:val="left" w:pos="3360" w:leader="none"/>
      </w:tabs>
    </w:pPr>
    <w:rPr>
      <w:rFonts w:ascii="Arial" w:hAnsi="Arial"/>
      <w:sz w:val="18"/>
      <w:szCs w:val="18"/>
      <w:lang w:val="en-US" w:eastAsia="zh-CN" w:bidi="ar-SA"/>
    </w:rPr>
  </w:style>
  <w:style w:type="paragraph" w:styleId="1316">
    <w:name w:val="xl199"/>
    <w:basedOn w:val="952"/>
    <w:next w:val="1316"/>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7">
    <w:name w:val="font19"/>
    <w:basedOn w:val="952"/>
    <w:next w:val="1317"/>
    <w:link w:val="952"/>
    <w:pPr>
      <w:jc w:val="left"/>
      <w:spacing w:before="100" w:beforeAutospacing="1" w:after="100" w:afterAutospacing="1"/>
      <w:widowControl/>
    </w:pPr>
    <w:rPr>
      <w:rFonts w:cs="宋体"/>
      <w:b/>
      <w:bCs/>
      <w:sz w:val="18"/>
      <w:szCs w:val="18"/>
    </w:rPr>
  </w:style>
  <w:style w:type="paragraph" w:styleId="1318">
    <w:name w:val="xl69"/>
    <w:basedOn w:val="952"/>
    <w:next w:val="1318"/>
    <w:link w:val="952"/>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19">
    <w:name w:val="font6"/>
    <w:basedOn w:val="952"/>
    <w:next w:val="1319"/>
    <w:link w:val="952"/>
    <w:pPr>
      <w:jc w:val="left"/>
      <w:spacing w:before="100" w:beforeAutospacing="1" w:after="100" w:afterAutospacing="1"/>
      <w:widowControl/>
    </w:pPr>
    <w:rPr>
      <w:rFonts w:cs="宋体"/>
      <w:sz w:val="18"/>
      <w:szCs w:val="18"/>
    </w:rPr>
  </w:style>
  <w:style w:type="paragraph" w:styleId="1320">
    <w:name w:val="Plain Text1"/>
    <w:basedOn w:val="952"/>
    <w:next w:val="1320"/>
    <w:link w:val="952"/>
    <w:rPr>
      <w:rFonts w:hAnsi="Courier New" w:eastAsia="楷体_GB2312"/>
      <w:sz w:val="28"/>
      <w:szCs w:val="20"/>
    </w:rPr>
  </w:style>
  <w:style w:type="paragraph" w:styleId="1321">
    <w:name w:val="xl100"/>
    <w:basedOn w:val="952"/>
    <w:next w:val="1321"/>
    <w:link w:val="952"/>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22">
    <w:name w:val="xl167"/>
    <w:basedOn w:val="952"/>
    <w:next w:val="1322"/>
    <w:link w:val="95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23">
    <w:name w:val="缺省文本"/>
    <w:basedOn w:val="952"/>
    <w:next w:val="1323"/>
    <w:link w:val="952"/>
    <w:pPr>
      <w:jc w:val="left"/>
      <w:spacing w:line="360" w:lineRule="auto"/>
    </w:pPr>
    <w:rPr>
      <w:rFonts w:ascii="Times New Roman" w:hAnsi="Times New Roman"/>
      <w:sz w:val="21"/>
      <w:szCs w:val="20"/>
    </w:rPr>
  </w:style>
  <w:style w:type="paragraph" w:styleId="1324">
    <w:name w:val="样式 段 + 四号 首行缩进:  2 字符 行距: 1.5 倍行距"/>
    <w:basedOn w:val="952"/>
    <w:next w:val="1324"/>
    <w:link w:val="952"/>
    <w:pPr>
      <w:ind w:firstLine="560"/>
      <w:spacing w:line="360" w:lineRule="auto"/>
      <w:widowControl/>
    </w:pPr>
    <w:rPr>
      <w:rFonts w:hAnsi="Times New Roman" w:cs="宋体"/>
      <w:szCs w:val="20"/>
    </w:rPr>
  </w:style>
  <w:style w:type="paragraph" w:styleId="1325">
    <w:name w:val="xl120"/>
    <w:basedOn w:val="952"/>
    <w:next w:val="1325"/>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26">
    <w:name w:val="xl131"/>
    <w:basedOn w:val="952"/>
    <w:next w:val="1326"/>
    <w:link w:val="952"/>
    <w:pPr>
      <w:jc w:val="left"/>
      <w:spacing w:before="100" w:beforeAutospacing="1" w:after="100" w:afterAutospacing="1"/>
      <w:widowControl/>
    </w:pPr>
    <w:rPr>
      <w:rFonts w:cs="宋体"/>
      <w:sz w:val="18"/>
      <w:szCs w:val="18"/>
    </w:rPr>
  </w:style>
  <w:style w:type="paragraph" w:styleId="1327">
    <w:name w:val="xl152"/>
    <w:basedOn w:val="952"/>
    <w:next w:val="1327"/>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28">
    <w:name w:val="5B"/>
    <w:next w:val="1328"/>
    <w:link w:val="952"/>
    <w:pPr>
      <w:jc w:val="both"/>
      <w:widowControl w:val="off"/>
    </w:pPr>
    <w:rPr>
      <w:rFonts w:ascii="宋体"/>
      <w:color w:val="000000"/>
      <w:sz w:val="18"/>
      <w:szCs w:val="18"/>
      <w:lang w:val="en-US" w:eastAsia="zh-CN" w:bidi="ar-SA"/>
    </w:rPr>
  </w:style>
  <w:style w:type="paragraph" w:styleId="1329">
    <w:name w:val="font22"/>
    <w:basedOn w:val="952"/>
    <w:next w:val="1329"/>
    <w:link w:val="952"/>
    <w:pPr>
      <w:jc w:val="left"/>
      <w:spacing w:before="100" w:beforeAutospacing="1" w:after="100" w:afterAutospacing="1"/>
      <w:widowControl/>
    </w:pPr>
    <w:rPr>
      <w:rFonts w:cs="宋体"/>
      <w:sz w:val="18"/>
      <w:szCs w:val="18"/>
    </w:rPr>
  </w:style>
  <w:style w:type="paragraph" w:styleId="1330">
    <w:name w:val="Plain Text"/>
    <w:basedOn w:val="952"/>
    <w:next w:val="1330"/>
    <w:link w:val="952"/>
    <w:qFormat/>
    <w:rPr>
      <w:rFonts w:hAnsi="Courier New" w:eastAsia="楷体_GB2312"/>
      <w:sz w:val="26"/>
      <w:szCs w:val="20"/>
    </w:rPr>
  </w:style>
  <w:style w:type="paragraph" w:styleId="1331">
    <w:name w:val="xl99"/>
    <w:basedOn w:val="952"/>
    <w:next w:val="1331"/>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32">
    <w:name w:val="xl154"/>
    <w:basedOn w:val="952"/>
    <w:next w:val="1332"/>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3">
    <w:name w:val="xl84"/>
    <w:basedOn w:val="952"/>
    <w:next w:val="1333"/>
    <w:link w:val="952"/>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34">
    <w:name w:val="xl174"/>
    <w:basedOn w:val="952"/>
    <w:next w:val="1334"/>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5">
    <w:name w:val="a4"/>
    <w:basedOn w:val="952"/>
    <w:next w:val="1335"/>
    <w:link w:val="952"/>
    <w:pPr>
      <w:jc w:val="left"/>
      <w:spacing w:before="100" w:beforeAutospacing="1" w:after="100" w:afterAutospacing="1"/>
      <w:widowControl/>
    </w:pPr>
    <w:rPr>
      <w:color w:val="666666"/>
      <w:sz w:val="20"/>
      <w:szCs w:val="20"/>
    </w:rPr>
  </w:style>
  <w:style w:type="paragraph" w:styleId="1336">
    <w:name w:val="正文 New"/>
    <w:next w:val="1336"/>
    <w:link w:val="952"/>
    <w:qFormat/>
    <w:pPr>
      <w:jc w:val="both"/>
      <w:widowControl w:val="off"/>
    </w:pPr>
    <w:rPr>
      <w:rFonts w:ascii="宋体" w:hAnsi="宋体" w:cs="宋体"/>
      <w:sz w:val="21"/>
      <w:szCs w:val="24"/>
      <w:lang w:val="en-US" w:eastAsia="zh-CN" w:bidi="ar-SA"/>
    </w:rPr>
  </w:style>
  <w:style w:type="paragraph" w:styleId="1337">
    <w:name w:val="xl194"/>
    <w:basedOn w:val="952"/>
    <w:next w:val="1337"/>
    <w:link w:val="95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38">
    <w:name w:val="前言、引言标题"/>
    <w:next w:val="952"/>
    <w:link w:val="952"/>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339">
    <w:name w:val="font5"/>
    <w:basedOn w:val="952"/>
    <w:next w:val="1339"/>
    <w:link w:val="952"/>
    <w:pPr>
      <w:jc w:val="left"/>
      <w:spacing w:before="100" w:beforeAutospacing="1" w:after="100" w:afterAutospacing="1"/>
      <w:widowControl/>
    </w:pPr>
    <w:rPr>
      <w:rFonts w:cs="宋体"/>
      <w:sz w:val="18"/>
      <w:szCs w:val="18"/>
    </w:rPr>
  </w:style>
  <w:style w:type="paragraph" w:styleId="1340">
    <w:name w:val="xl164"/>
    <w:basedOn w:val="952"/>
    <w:next w:val="1340"/>
    <w:link w:val="952"/>
    <w:pPr>
      <w:jc w:val="left"/>
      <w:spacing w:before="100" w:beforeAutospacing="1" w:after="100" w:afterAutospacing="1"/>
      <w:widowControl/>
    </w:pPr>
    <w:rPr>
      <w:rFonts w:ascii="Courier New" w:hAnsi="Courier New" w:cs="Courier New"/>
    </w:rPr>
  </w:style>
  <w:style w:type="paragraph" w:styleId="1341">
    <w:name w:val="P1"/>
    <w:next w:val="1341"/>
    <w:link w:val="952"/>
    <w:pPr>
      <w:ind w:left="2304" w:hanging="576"/>
      <w:jc w:val="both"/>
      <w:spacing w:after="240" w:line="0" w:lineRule="atLeast"/>
      <w:widowControl w:val="off"/>
    </w:pPr>
    <w:rPr>
      <w:rFonts w:eastAsia="全真中明體"/>
      <w:spacing w:val="30"/>
      <w:sz w:val="24"/>
      <w:lang w:val="en-GB" w:eastAsia="zh-TW" w:bidi="ar-SA"/>
    </w:rPr>
  </w:style>
  <w:style w:type="paragraph" w:styleId="1342">
    <w:name w:val="定货2"/>
    <w:next w:val="1342"/>
    <w:link w:val="952"/>
    <w:pPr>
      <w:jc w:val="both"/>
      <w:spacing w:line="230" w:lineRule="atLeast"/>
      <w:widowControl w:val="off"/>
    </w:pPr>
    <w:rPr>
      <w:rFonts w:ascii="宋体"/>
      <w:sz w:val="18"/>
      <w:szCs w:val="18"/>
      <w:lang w:val="en-US" w:eastAsia="zh-CN" w:bidi="ar-SA"/>
    </w:rPr>
  </w:style>
  <w:style w:type="paragraph" w:styleId="1343">
    <w:name w:val="xl94"/>
    <w:basedOn w:val="952"/>
    <w:next w:val="1343"/>
    <w:link w:val="95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44">
    <w:name w:val="xl80"/>
    <w:basedOn w:val="952"/>
    <w:next w:val="1344"/>
    <w:link w:val="952"/>
    <w:pPr>
      <w:jc w:val="left"/>
      <w:spacing w:before="100" w:beforeAutospacing="1" w:after="100" w:afterAutospacing="1"/>
      <w:widowControl/>
    </w:pPr>
    <w:rPr>
      <w:rFonts w:ascii="微软雅黑" w:hAnsi="微软雅黑" w:eastAsia="微软雅黑" w:cs="宋体"/>
      <w:sz w:val="20"/>
      <w:szCs w:val="20"/>
    </w:rPr>
  </w:style>
  <w:style w:type="paragraph" w:styleId="1345">
    <w:name w:val="P3"/>
    <w:next w:val="1345"/>
    <w:link w:val="952"/>
    <w:pPr>
      <w:ind w:left="2880" w:hanging="576"/>
      <w:jc w:val="both"/>
      <w:spacing w:after="240" w:line="0" w:lineRule="atLeast"/>
      <w:widowControl w:val="off"/>
    </w:pPr>
    <w:rPr>
      <w:rFonts w:eastAsia="全真中明體"/>
      <w:spacing w:val="30"/>
      <w:sz w:val="24"/>
      <w:lang w:val="en-GB" w:eastAsia="zh-TW" w:bidi="ar-SA"/>
    </w:rPr>
  </w:style>
  <w:style w:type="paragraph" w:styleId="1346">
    <w:name w:val="说明"/>
    <w:basedOn w:val="1347"/>
    <w:next w:val="1138"/>
    <w:link w:val="952"/>
    <w:pPr>
      <w:numPr>
        <w:ilvl w:val="0"/>
        <w:numId w:val="11"/>
      </w:numPr>
      <w:shd w:val="clear" w:color="auto" w:fill="ffffaf"/>
      <w:tabs>
        <w:tab w:val="left" w:pos="425" w:leader="none"/>
      </w:tabs>
    </w:pPr>
  </w:style>
  <w:style w:type="paragraph" w:styleId="1347">
    <w:name w:val="建议"/>
    <w:basedOn w:val="1138"/>
    <w:next w:val="1138"/>
    <w:link w:val="952"/>
    <w:pPr>
      <w:numPr>
        <w:ilvl w:val="0"/>
        <w:numId w:val="10"/>
      </w:numPr>
      <w:ind w:left="425" w:hanging="425"/>
      <w:spacing w:before="312" w:after="312"/>
      <w:shd w:val="clear" w:color="auto" w:fill="d1ffd1"/>
      <w:tabs>
        <w:tab w:val="left" w:pos="425" w:leader="none"/>
      </w:tabs>
    </w:pPr>
    <w:rPr>
      <w:rFonts w:eastAsia="楷体_GB2312"/>
    </w:rPr>
  </w:style>
  <w:style w:type="paragraph" w:styleId="1348">
    <w:name w:val="xl157"/>
    <w:basedOn w:val="952"/>
    <w:next w:val="1348"/>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49">
    <w:name w:val="style79"/>
    <w:basedOn w:val="952"/>
    <w:next w:val="1349"/>
    <w:link w:val="952"/>
    <w:pPr>
      <w:jc w:val="left"/>
      <w:spacing w:before="100" w:beforeAutospacing="1" w:after="100" w:afterAutospacing="1"/>
      <w:widowControl/>
    </w:pPr>
    <w:rPr>
      <w:rFonts w:ascii="Arial Unicode MS" w:hAnsi="Arial Unicode MS" w:eastAsia="Arial Unicode MS" w:cs="Arial Unicode MS"/>
    </w:rPr>
  </w:style>
  <w:style w:type="paragraph" w:styleId="1350">
    <w:name w:val="符号列表"/>
    <w:basedOn w:val="952"/>
    <w:next w:val="1350"/>
    <w:link w:val="952"/>
    <w:uiPriority w:val="34"/>
    <w:qFormat/>
    <w:pPr>
      <w:ind w:left="420" w:hanging="420"/>
      <w:spacing w:line="440" w:lineRule="exact"/>
      <w:tabs>
        <w:tab w:val="left" w:pos="420" w:leader="none"/>
      </w:tabs>
    </w:pPr>
    <w:rPr>
      <w:rFonts w:ascii="Times New Roman" w:hAnsi="Times New Roman"/>
      <w:szCs w:val="20"/>
    </w:rPr>
  </w:style>
  <w:style w:type="paragraph" w:styleId="1351">
    <w:name w:val="xl159"/>
    <w:basedOn w:val="952"/>
    <w:next w:val="135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52">
    <w:name w:val="xl211"/>
    <w:basedOn w:val="952"/>
    <w:next w:val="1352"/>
    <w:link w:val="952"/>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53">
    <w:name w:val="正文格式"/>
    <w:basedOn w:val="952"/>
    <w:next w:val="1353"/>
    <w:link w:val="952"/>
    <w:pPr>
      <w:ind w:firstLine="480"/>
      <w:jc w:val="left"/>
      <w:spacing w:line="360" w:lineRule="auto"/>
      <w:widowControl/>
    </w:pPr>
    <w:rPr>
      <w:bCs/>
      <w:color w:val="000000"/>
    </w:rPr>
  </w:style>
  <w:style w:type="paragraph" w:styleId="1354">
    <w:name w:val="正文0"/>
    <w:basedOn w:val="952"/>
    <w:next w:val="1354"/>
    <w:link w:val="952"/>
    <w:pPr>
      <w:ind w:left="215" w:firstLine="431"/>
      <w:spacing w:before="120" w:line="360" w:lineRule="auto"/>
    </w:pPr>
    <w:rPr>
      <w:rFonts w:ascii="Times New Roman" w:hAnsi="Times New Roman"/>
      <w:szCs w:val="20"/>
    </w:rPr>
  </w:style>
  <w:style w:type="paragraph" w:styleId="1355">
    <w:name w:val="警告"/>
    <w:basedOn w:val="1347"/>
    <w:next w:val="1138"/>
    <w:link w:val="952"/>
    <w:pPr>
      <w:shd w:val="clear" w:color="auto" w:fill="ffd1d1"/>
      <w:tabs>
        <w:tab w:val="left" w:pos="425" w:leader="none"/>
      </w:tabs>
    </w:pPr>
  </w:style>
  <w:style w:type="paragraph" w:styleId="1356">
    <w:name w:val="Char4"/>
    <w:basedOn w:val="952"/>
    <w:next w:val="1356"/>
    <w:link w:val="952"/>
    <w:pPr>
      <w:jc w:val="left"/>
      <w:spacing w:after="160" w:line="240" w:lineRule="exact"/>
      <w:widowControl/>
    </w:pPr>
    <w:rPr>
      <w:rFonts w:ascii="Verdana" w:hAnsi="Verdana"/>
      <w:sz w:val="21"/>
      <w:szCs w:val="20"/>
      <w:lang w:eastAsia="en-US"/>
    </w:rPr>
  </w:style>
  <w:style w:type="paragraph" w:styleId="1357">
    <w:name w:val="xl109"/>
    <w:basedOn w:val="952"/>
    <w:next w:val="1357"/>
    <w:link w:val="952"/>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58">
    <w:name w:val=" Char Char Char"/>
    <w:basedOn w:val="952"/>
    <w:next w:val="1358"/>
    <w:link w:val="952"/>
    <w:pPr>
      <w:ind w:left="720" w:hanging="720"/>
      <w:tabs>
        <w:tab w:val="left" w:pos="720" w:leader="none"/>
      </w:tabs>
    </w:pPr>
    <w:rPr>
      <w:rFonts w:ascii="Times New Roman" w:hAnsi="Times New Roman"/>
    </w:rPr>
  </w:style>
  <w:style w:type="paragraph" w:styleId="1359">
    <w:name w:val="font25"/>
    <w:basedOn w:val="952"/>
    <w:next w:val="1359"/>
    <w:link w:val="952"/>
    <w:pPr>
      <w:jc w:val="left"/>
      <w:spacing w:before="100" w:beforeAutospacing="1" w:after="100" w:afterAutospacing="1"/>
      <w:widowControl/>
    </w:pPr>
    <w:rPr>
      <w:rFonts w:cs="宋体"/>
      <w:sz w:val="18"/>
      <w:szCs w:val="18"/>
    </w:rPr>
  </w:style>
  <w:style w:type="paragraph" w:styleId="1360">
    <w:name w:val="font14"/>
    <w:basedOn w:val="952"/>
    <w:next w:val="1360"/>
    <w:link w:val="952"/>
    <w:pPr>
      <w:jc w:val="left"/>
      <w:spacing w:before="100" w:beforeAutospacing="1" w:after="100" w:afterAutospacing="1"/>
      <w:widowControl/>
    </w:pPr>
    <w:rPr>
      <w:rFonts w:cs="宋体"/>
      <w:b/>
      <w:bCs/>
      <w:sz w:val="18"/>
      <w:szCs w:val="18"/>
    </w:rPr>
  </w:style>
  <w:style w:type="paragraph" w:styleId="1361">
    <w:name w:val="xl115"/>
    <w:basedOn w:val="952"/>
    <w:next w:val="1361"/>
    <w:link w:val="952"/>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62">
    <w:name w:val="text"/>
    <w:basedOn w:val="952"/>
    <w:next w:val="1362"/>
    <w:link w:val="952"/>
    <w:pPr>
      <w:jc w:val="left"/>
      <w:spacing w:before="100" w:beforeAutospacing="1" w:after="100" w:afterAutospacing="1"/>
      <w:widowControl/>
    </w:pPr>
    <w:rPr>
      <w:rFonts w:ascii="ˎ̥" w:hAnsi="ˎ̥" w:cs="宋体"/>
      <w:color w:val="000000"/>
      <w:sz w:val="18"/>
      <w:szCs w:val="18"/>
    </w:rPr>
  </w:style>
  <w:style w:type="paragraph" w:styleId="1363">
    <w:name w:val="项目介绍"/>
    <w:basedOn w:val="952"/>
    <w:next w:val="1363"/>
    <w:link w:val="952"/>
    <w:pPr>
      <w:jc w:val="left"/>
      <w:widowControl/>
      <w:tabs>
        <w:tab w:val="left" w:pos="5000" w:leader="none"/>
        <w:tab w:val="left" w:pos="5600" w:leader="none"/>
      </w:tabs>
    </w:pPr>
    <w:rPr>
      <w:rFonts w:ascii="Times New Roman" w:hAnsi="Times New Roman" w:eastAsia="楷体_GB2312"/>
      <w:szCs w:val="20"/>
    </w:rPr>
  </w:style>
  <w:style w:type="paragraph" w:styleId="1364">
    <w:name w:val="font13"/>
    <w:basedOn w:val="952"/>
    <w:next w:val="1364"/>
    <w:link w:val="952"/>
    <w:pPr>
      <w:jc w:val="left"/>
      <w:spacing w:before="100" w:beforeAutospacing="1" w:after="100" w:afterAutospacing="1"/>
      <w:widowControl/>
    </w:pPr>
    <w:rPr>
      <w:rFonts w:cs="宋体"/>
      <w:sz w:val="18"/>
      <w:szCs w:val="18"/>
    </w:rPr>
  </w:style>
  <w:style w:type="paragraph" w:styleId="1365">
    <w:name w:val="并列"/>
    <w:basedOn w:val="952"/>
    <w:next w:val="1365"/>
    <w:link w:val="952"/>
    <w:pPr>
      <w:numPr>
        <w:ilvl w:val="0"/>
        <w:numId w:val="12"/>
      </w:numPr>
      <w:spacing w:line="440" w:lineRule="exact"/>
      <w:tabs>
        <w:tab w:val="left" w:pos="482" w:leader="none"/>
      </w:tabs>
      <w:outlineLvl w:val="8"/>
    </w:pPr>
    <w:rPr>
      <w:rFonts w:ascii="Times New Roman" w:hAnsi="Times New Roman"/>
    </w:rPr>
  </w:style>
  <w:style w:type="paragraph" w:styleId="1366">
    <w:name w:val="Char Char Char Char"/>
    <w:basedOn w:val="983"/>
    <w:next w:val="1366"/>
    <w:link w:val="952"/>
    <w:pPr>
      <w:spacing w:line="360" w:lineRule="auto"/>
    </w:pPr>
    <w:rPr>
      <w:rFonts w:ascii="Tahoma" w:hAnsi="Tahoma"/>
    </w:rPr>
  </w:style>
  <w:style w:type="paragraph" w:styleId="1367">
    <w:name w:val="目  录"/>
    <w:basedOn w:val="952"/>
    <w:next w:val="1011"/>
    <w:link w:val="952"/>
    <w:pPr>
      <w:ind w:left="200"/>
      <w:jc w:val="center"/>
      <w:spacing w:before="50" w:after="50"/>
      <w:widowControl/>
    </w:pPr>
    <w:rPr>
      <w:rFonts w:ascii="Times New Roman" w:hAnsi="Times New Roman" w:eastAsia="黑体"/>
      <w:sz w:val="32"/>
      <w:szCs w:val="18"/>
    </w:rPr>
  </w:style>
  <w:style w:type="paragraph" w:styleId="1368">
    <w:name w:val="xl72"/>
    <w:basedOn w:val="952"/>
    <w:next w:val="1368"/>
    <w:link w:val="95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69">
    <w:name w:val="8"/>
    <w:next w:val="1369"/>
    <w:link w:val="952"/>
    <w:pPr>
      <w:jc w:val="right"/>
      <w:spacing w:line="240" w:lineRule="atLeast"/>
      <w:widowControl w:val="off"/>
    </w:pPr>
    <w:rPr>
      <w:rFonts w:ascii="宋体"/>
      <w:sz w:val="18"/>
      <w:szCs w:val="18"/>
      <w:lang w:val="en-US" w:eastAsia="zh-CN" w:bidi="ar-SA"/>
    </w:rPr>
  </w:style>
  <w:style w:type="paragraph" w:styleId="1370">
    <w:name w:val="xl148"/>
    <w:basedOn w:val="952"/>
    <w:next w:val="1370"/>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1">
    <w:name w:val="xl172"/>
    <w:basedOn w:val="952"/>
    <w:next w:val="137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2">
    <w:name w:val="xl168"/>
    <w:basedOn w:val="952"/>
    <w:next w:val="1372"/>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3">
    <w:name w:val="xl151"/>
    <w:basedOn w:val="952"/>
    <w:next w:val="1373"/>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4">
    <w:name w:val="无间隔"/>
    <w:next w:val="1374"/>
    <w:link w:val="952"/>
    <w:qFormat/>
    <w:pPr>
      <w:jc w:val="both"/>
      <w:widowControl w:val="off"/>
    </w:pPr>
    <w:rPr>
      <w:sz w:val="24"/>
      <w:szCs w:val="24"/>
      <w:lang w:val="en-US" w:eastAsia="zh-CN" w:bidi="ar-SA"/>
    </w:rPr>
  </w:style>
  <w:style w:type="paragraph" w:styleId="1375">
    <w:name w:val="font8"/>
    <w:basedOn w:val="952"/>
    <w:next w:val="1375"/>
    <w:link w:val="952"/>
    <w:pPr>
      <w:jc w:val="left"/>
      <w:spacing w:before="100" w:beforeAutospacing="1" w:after="100" w:afterAutospacing="1"/>
      <w:widowControl/>
    </w:pPr>
    <w:rPr>
      <w:rFonts w:ascii="微软雅黑" w:eastAsia="微软雅黑" w:cs="宋体"/>
      <w:sz w:val="18"/>
      <w:szCs w:val="18"/>
    </w:rPr>
  </w:style>
  <w:style w:type="paragraph" w:styleId="1376">
    <w:name w:val="xl98"/>
    <w:basedOn w:val="952"/>
    <w:next w:val="1376"/>
    <w:link w:val="95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77">
    <w:name w:val="xl146"/>
    <w:basedOn w:val="952"/>
    <w:next w:val="1377"/>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8">
    <w:name w:val=" Char"/>
    <w:basedOn w:val="983"/>
    <w:next w:val="1378"/>
    <w:link w:val="952"/>
    <w:pPr>
      <w:spacing w:line="360" w:lineRule="auto"/>
    </w:pPr>
    <w:rPr>
      <w:rFonts w:ascii="Tahoma" w:hAnsi="Tahoma"/>
    </w:rPr>
  </w:style>
  <w:style w:type="paragraph" w:styleId="1379">
    <w:name w:val="jwm12"/>
    <w:basedOn w:val="952"/>
    <w:next w:val="1379"/>
    <w:link w:val="952"/>
    <w:pPr>
      <w:jc w:val="left"/>
      <w:spacing w:before="100" w:beforeAutospacing="1" w:after="100" w:afterAutospacing="1"/>
      <w:widowControl/>
    </w:pPr>
    <w:rPr>
      <w:rFonts w:cs="宋体"/>
    </w:rPr>
  </w:style>
  <w:style w:type="paragraph" w:styleId="1380">
    <w:name w:val="Figure"/>
    <w:basedOn w:val="952"/>
    <w:next w:val="952"/>
    <w:link w:val="952"/>
    <w:pPr>
      <w:ind w:left="200"/>
      <w:jc w:val="center"/>
      <w:keepLines/>
      <w:keepNext/>
      <w:widowControl/>
    </w:pPr>
    <w:rPr>
      <w:rFonts w:ascii="Times New Roman" w:hAnsi="Times New Roman"/>
      <w:sz w:val="21"/>
      <w:szCs w:val="18"/>
    </w:rPr>
  </w:style>
  <w:style w:type="paragraph" w:styleId="1381">
    <w:name w:val="汉议细等线简8"/>
    <w:next w:val="1381"/>
    <w:link w:val="952"/>
    <w:pPr>
      <w:jc w:val="both"/>
      <w:spacing w:line="260" w:lineRule="atLeast"/>
      <w:widowControl w:val="off"/>
    </w:pPr>
    <w:rPr>
      <w:rFonts w:ascii="汉仪细等线简" w:eastAsia="汉仪细等线简"/>
      <w:color w:val="000000"/>
      <w:sz w:val="16"/>
      <w:szCs w:val="16"/>
      <w:lang w:val="en-US" w:eastAsia="zh-CN" w:bidi="ar-SA"/>
    </w:rPr>
  </w:style>
  <w:style w:type="paragraph" w:styleId="1382">
    <w:name w:val="Figure Description"/>
    <w:basedOn w:val="1380"/>
    <w:next w:val="967"/>
    <w:link w:val="952"/>
    <w:pPr>
      <w:numPr>
        <w:ilvl w:val="4"/>
        <w:numId w:val="6"/>
      </w:numPr>
      <w:spacing w:after="50"/>
      <w:tabs>
        <w:tab w:val="left" w:pos="2100" w:leader="none"/>
      </w:tabs>
    </w:pPr>
    <w:rPr>
      <w:sz w:val="18"/>
    </w:rPr>
  </w:style>
  <w:style w:type="paragraph" w:styleId="1383">
    <w:name w:val="xl163"/>
    <w:basedOn w:val="952"/>
    <w:next w:val="1383"/>
    <w:link w:val="952"/>
    <w:pPr>
      <w:jc w:val="left"/>
      <w:spacing w:before="100" w:beforeAutospacing="1" w:after="100" w:afterAutospacing="1"/>
      <w:widowControl/>
    </w:pPr>
    <w:rPr>
      <w:rFonts w:ascii="Courier New" w:hAnsi="Courier New" w:cs="Courier New"/>
    </w:rPr>
  </w:style>
  <w:style w:type="paragraph" w:styleId="1384">
    <w:name w:val="表格 居中"/>
    <w:basedOn w:val="952"/>
    <w:next w:val="1384"/>
    <w:link w:val="952"/>
    <w:pPr>
      <w:jc w:val="center"/>
    </w:pPr>
    <w:rPr>
      <w:rFonts w:ascii="Times New Roman" w:hAnsi="Times New Roman"/>
      <w:sz w:val="21"/>
      <w:szCs w:val="20"/>
    </w:rPr>
  </w:style>
  <w:style w:type="paragraph" w:styleId="1385">
    <w:name w:val="xl209"/>
    <w:basedOn w:val="952"/>
    <w:next w:val="1385"/>
    <w:link w:val="952"/>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86">
    <w:name w:val="xl142"/>
    <w:basedOn w:val="952"/>
    <w:next w:val="1386"/>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7">
    <w:name w:val="正文3"/>
    <w:basedOn w:val="952"/>
    <w:next w:val="1387"/>
    <w:link w:val="952"/>
    <w:pPr>
      <w:ind w:left="420" w:hanging="420"/>
      <w:spacing w:before="120" w:line="300" w:lineRule="auto"/>
      <w:tabs>
        <w:tab w:val="left" w:pos="420" w:leader="none"/>
      </w:tabs>
    </w:pPr>
    <w:rPr>
      <w:rFonts w:hAnsi="Arial"/>
      <w:szCs w:val="20"/>
    </w:rPr>
  </w:style>
  <w:style w:type="paragraph" w:styleId="1388">
    <w:name w:val="正文缩进1"/>
    <w:basedOn w:val="952"/>
    <w:next w:val="1388"/>
    <w:link w:val="952"/>
    <w:pPr>
      <w:ind w:firstLine="420"/>
      <w:jc w:val="left"/>
    </w:pPr>
    <w:rPr>
      <w:rFonts w:eastAsia="楷体_GB2312"/>
      <w:szCs w:val="21"/>
    </w:rPr>
  </w:style>
  <w:style w:type="paragraph" w:styleId="1389">
    <w:name w:val="条例"/>
    <w:basedOn w:val="952"/>
    <w:next w:val="1389"/>
    <w:link w:val="952"/>
    <w:pPr>
      <w:ind w:left="2" w:right="210" w:firstLine="2"/>
      <w:keepLines/>
      <w:spacing w:line="320" w:lineRule="exact"/>
      <w:widowControl/>
    </w:pPr>
    <w:rPr>
      <w:szCs w:val="20"/>
    </w:rPr>
  </w:style>
  <w:style w:type="paragraph" w:styleId="1390">
    <w:name w:val="xl68"/>
    <w:basedOn w:val="952"/>
    <w:next w:val="1390"/>
    <w:link w:val="952"/>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1">
    <w:name w:val="Char1"/>
    <w:basedOn w:val="952"/>
    <w:next w:val="1391"/>
    <w:link w:val="952"/>
    <w:pPr>
      <w:jc w:val="left"/>
      <w:spacing w:after="160" w:line="240" w:lineRule="exact"/>
      <w:widowControl/>
    </w:pPr>
    <w:rPr>
      <w:rFonts w:ascii="Times New Roman" w:hAnsi="Times New Roman"/>
      <w:sz w:val="21"/>
    </w:rPr>
  </w:style>
  <w:style w:type="paragraph" w:styleId="1392">
    <w:name w:val="afont"/>
    <w:basedOn w:val="952"/>
    <w:next w:val="1392"/>
    <w:link w:val="952"/>
    <w:pPr>
      <w:jc w:val="left"/>
      <w:spacing w:before="100" w:after="100" w:line="285" w:lineRule="atLeast"/>
      <w:widowControl/>
    </w:pPr>
    <w:rPr>
      <w:sz w:val="18"/>
      <w:szCs w:val="20"/>
    </w:rPr>
  </w:style>
  <w:style w:type="paragraph" w:styleId="1393">
    <w:name w:val="小标题"/>
    <w:basedOn w:val="1279"/>
    <w:next w:val="1279"/>
    <w:link w:val="952"/>
    <w:pPr>
      <w:ind w:firstLine="0"/>
      <w:spacing w:line="360" w:lineRule="auto"/>
    </w:pPr>
    <w:rPr>
      <w:rFonts w:ascii="宋体" w:hAnsi="宋体"/>
      <w:b/>
      <w:bCs/>
      <w:color w:val="000000"/>
      <w:szCs w:val="32"/>
    </w:rPr>
  </w:style>
  <w:style w:type="paragraph" w:styleId="1394">
    <w:name w:val="xl153"/>
    <w:basedOn w:val="952"/>
    <w:next w:val="1394"/>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95">
    <w:name w:val="正文段"/>
    <w:basedOn w:val="952"/>
    <w:next w:val="1395"/>
    <w:link w:val="952"/>
    <w:pPr>
      <w:ind w:firstLine="454"/>
      <w:spacing w:after="240" w:line="240" w:lineRule="atLeast"/>
      <w:widowControl/>
    </w:pPr>
    <w:rPr>
      <w:rFonts w:hAnsi="Times New Roman"/>
      <w:szCs w:val="20"/>
    </w:rPr>
  </w:style>
  <w:style w:type="paragraph" w:styleId="1396">
    <w:name w:val="xl188"/>
    <w:basedOn w:val="952"/>
    <w:next w:val="1396"/>
    <w:link w:val="95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97">
    <w:name w:val="纯文本3"/>
    <w:basedOn w:val="952"/>
    <w:next w:val="1397"/>
    <w:link w:val="952"/>
    <w:qFormat/>
    <w:rPr>
      <w:rFonts w:hAnsi="Courier New" w:eastAsia="楷体_GB2312"/>
      <w:sz w:val="28"/>
      <w:szCs w:val="20"/>
    </w:rPr>
  </w:style>
  <w:style w:type="paragraph" w:styleId="1398">
    <w:name w:val="xl64"/>
    <w:basedOn w:val="952"/>
    <w:next w:val="1398"/>
    <w:link w:val="95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99">
    <w:name w:val="xl170"/>
    <w:basedOn w:val="952"/>
    <w:next w:val="1399"/>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0">
    <w:name w:val="xl217"/>
    <w:basedOn w:val="952"/>
    <w:next w:val="1400"/>
    <w:link w:val="95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01">
    <w:name w:val="xl161"/>
    <w:basedOn w:val="952"/>
    <w:next w:val="140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02">
    <w:name w:val="Block"/>
    <w:basedOn w:val="952"/>
    <w:next w:val="1138"/>
    <w:link w:val="952"/>
    <w:rPr>
      <w:rFonts w:ascii="Arial" w:hAnsi="Arial" w:eastAsia="楷体_GB2312"/>
      <w:color w:val="000080"/>
      <w:sz w:val="28"/>
      <w:szCs w:val="28"/>
    </w:rPr>
  </w:style>
  <w:style w:type="paragraph" w:styleId="1403">
    <w:name w:val="xl113"/>
    <w:basedOn w:val="952"/>
    <w:next w:val="1403"/>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04">
    <w:name w:val="9"/>
    <w:next w:val="1404"/>
    <w:link w:val="952"/>
    <w:pPr>
      <w:jc w:val="both"/>
      <w:widowControl w:val="off"/>
    </w:pPr>
    <w:rPr>
      <w:rFonts w:ascii="宋体"/>
      <w:b/>
      <w:bCs/>
      <w:color w:val="000000"/>
      <w:spacing w:val="15"/>
      <w:sz w:val="18"/>
      <w:szCs w:val="18"/>
      <w:lang w:val="en-US" w:eastAsia="zh-CN" w:bidi="ar-SA"/>
    </w:rPr>
  </w:style>
  <w:style w:type="paragraph" w:styleId="1405">
    <w:name w:val="Item list in table"/>
    <w:basedOn w:val="952"/>
    <w:next w:val="1405"/>
    <w:link w:val="952"/>
    <w:pPr>
      <w:numPr>
        <w:ilvl w:val="0"/>
        <w:numId w:val="13"/>
      </w:numPr>
      <w:widowControl/>
      <w:tabs>
        <w:tab w:val="left" w:pos="420" w:leader="none"/>
      </w:tabs>
    </w:pPr>
    <w:rPr>
      <w:rFonts w:ascii="Times New Roman" w:hAnsi="Times New Roman"/>
      <w:sz w:val="18"/>
      <w:szCs w:val="18"/>
    </w:rPr>
  </w:style>
  <w:style w:type="paragraph" w:styleId="1406">
    <w:name w:val="xl205"/>
    <w:basedOn w:val="952"/>
    <w:next w:val="1406"/>
    <w:link w:val="952"/>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407">
    <w:name w:val="样式 标题 2 + 首行缩进:  0.62 字符"/>
    <w:basedOn w:val="954"/>
    <w:next w:val="1407"/>
    <w:link w:val="952"/>
    <w:pPr>
      <w:numPr>
        <w:ilvl w:val="0"/>
        <w:numId w:val="0"/>
      </w:numPr>
      <w:ind w:firstLine="187"/>
      <w:spacing w:line="360" w:lineRule="auto"/>
      <w:tabs>
        <w:tab w:val="left" w:pos="576" w:leader="none"/>
      </w:tabs>
    </w:pPr>
    <w:rPr>
      <w:rFonts w:cs="宋体"/>
      <w:bCs/>
      <w:sz w:val="30"/>
    </w:rPr>
  </w:style>
  <w:style w:type="paragraph" w:styleId="1408">
    <w:name w:val="样式 标题 2H2Heading 2 HiddenHeading 2 CCBSheading 22nd levelh..."/>
    <w:basedOn w:val="954"/>
    <w:next w:val="1408"/>
    <w:link w:val="952"/>
    <w:pPr>
      <w:numPr>
        <w:ilvl w:val="1"/>
        <w:numId w:val="0"/>
      </w:numPr>
      <w:ind w:left="576" w:hanging="576"/>
      <w:spacing w:before="120" w:after="120" w:line="240" w:lineRule="auto"/>
      <w:tabs>
        <w:tab w:val="left" w:pos="576" w:leader="none"/>
      </w:tabs>
    </w:pPr>
    <w:rPr>
      <w:rFonts w:cs="宋体"/>
      <w:b w:val="0"/>
      <w:sz w:val="28"/>
      <w:szCs w:val="28"/>
    </w:rPr>
  </w:style>
  <w:style w:type="paragraph" w:styleId="1409">
    <w:name w:val="修订"/>
    <w:next w:val="1409"/>
    <w:link w:val="952"/>
    <w:semiHidden/>
    <w:rPr>
      <w:rFonts w:ascii="Arial" w:hAnsi="Arial"/>
      <w:sz w:val="24"/>
      <w:szCs w:val="24"/>
      <w:lang w:val="en-US" w:eastAsia="zh-CN" w:bidi="ar-SA"/>
    </w:rPr>
  </w:style>
  <w:style w:type="paragraph" w:styleId="1410">
    <w:name w:val="style6"/>
    <w:basedOn w:val="952"/>
    <w:next w:val="1410"/>
    <w:link w:val="952"/>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11">
    <w:name w:val="xl134"/>
    <w:basedOn w:val="952"/>
    <w:next w:val="1411"/>
    <w:link w:val="95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12">
    <w:name w:val="xl173"/>
    <w:basedOn w:val="952"/>
    <w:next w:val="1412"/>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413">
    <w:name w:val="xl91"/>
    <w:basedOn w:val="952"/>
    <w:next w:val="1413"/>
    <w:link w:val="952"/>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414">
    <w:name w:val="xl79"/>
    <w:basedOn w:val="952"/>
    <w:next w:val="1414"/>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5">
    <w:name w:val="xl143"/>
    <w:basedOn w:val="952"/>
    <w:next w:val="1415"/>
    <w:link w:val="952"/>
    <w:pPr>
      <w:jc w:val="left"/>
      <w:spacing w:before="100" w:beforeAutospacing="1" w:after="100" w:afterAutospacing="1"/>
      <w:widowControl/>
    </w:pPr>
    <w:rPr>
      <w:rFonts w:ascii="楷体" w:hAnsi="楷体" w:eastAsia="楷体" w:cs="宋体"/>
    </w:rPr>
  </w:style>
  <w:style w:type="paragraph" w:styleId="1416">
    <w:name w:val="xl145"/>
    <w:basedOn w:val="952"/>
    <w:next w:val="1416"/>
    <w:link w:val="95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17">
    <w:name w:val="xl175"/>
    <w:basedOn w:val="952"/>
    <w:next w:val="1417"/>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8">
    <w:name w:val="xl195"/>
    <w:basedOn w:val="952"/>
    <w:next w:val="1418"/>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9">
    <w:name w:val="xl176"/>
    <w:basedOn w:val="952"/>
    <w:next w:val="1419"/>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0">
    <w:name w:val="标题3"/>
    <w:basedOn w:val="955"/>
    <w:next w:val="1420"/>
    <w:link w:val="952"/>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421">
    <w:name w:val="项目符号2"/>
    <w:basedOn w:val="952"/>
    <w:next w:val="1421"/>
    <w:link w:val="952"/>
    <w:pPr>
      <w:spacing w:line="360" w:lineRule="auto"/>
    </w:pPr>
    <w:rPr>
      <w:rFonts w:ascii="Times New Roman" w:hAnsi="Times New Roman"/>
      <w:szCs w:val="20"/>
    </w:rPr>
  </w:style>
  <w:style w:type="paragraph" w:styleId="1422">
    <w:name w:val="小四 段落 宋体 Char Char"/>
    <w:basedOn w:val="979"/>
    <w:next w:val="1422"/>
    <w:link w:val="952"/>
    <w:pPr>
      <w:ind w:left="0" w:right="113" w:firstLine="425"/>
      <w:jc w:val="left"/>
      <w:spacing w:line="360" w:lineRule="auto"/>
      <w:tabs>
        <w:tab w:val="clear" w:pos="420" w:leader="none"/>
      </w:tabs>
    </w:pPr>
    <w:rPr>
      <w:sz w:val="24"/>
    </w:rPr>
  </w:style>
  <w:style w:type="paragraph" w:styleId="1423">
    <w:name w:val="xl125"/>
    <w:basedOn w:val="952"/>
    <w:next w:val="1423"/>
    <w:link w:val="952"/>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24">
    <w:name w:val="font11"/>
    <w:basedOn w:val="952"/>
    <w:next w:val="1424"/>
    <w:link w:val="952"/>
    <w:pPr>
      <w:jc w:val="left"/>
      <w:spacing w:before="100" w:beforeAutospacing="1" w:after="100" w:afterAutospacing="1"/>
      <w:widowControl/>
    </w:pPr>
    <w:rPr>
      <w:rFonts w:cs="宋体"/>
      <w:sz w:val="18"/>
      <w:szCs w:val="18"/>
    </w:rPr>
  </w:style>
  <w:style w:type="paragraph" w:styleId="1425">
    <w:name w:val="xl70"/>
    <w:basedOn w:val="952"/>
    <w:next w:val="1425"/>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6">
    <w:name w:val=" Char Char Char Char"/>
    <w:basedOn w:val="952"/>
    <w:next w:val="1426"/>
    <w:link w:val="952"/>
    <w:semiHidden/>
    <w:pPr>
      <w:jc w:val="left"/>
      <w:spacing w:after="160" w:line="240" w:lineRule="exact"/>
      <w:widowControl/>
    </w:pPr>
    <w:rPr>
      <w:rFonts w:ascii="Verdana" w:hAnsi="Verdana"/>
      <w:sz w:val="20"/>
      <w:szCs w:val="20"/>
      <w:lang w:eastAsia="en-US"/>
    </w:rPr>
  </w:style>
  <w:style w:type="paragraph" w:styleId="1427">
    <w:name w:val="news"/>
    <w:basedOn w:val="952"/>
    <w:next w:val="1427"/>
    <w:link w:val="952"/>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28">
    <w:name w:val="font15"/>
    <w:basedOn w:val="952"/>
    <w:next w:val="1428"/>
    <w:link w:val="952"/>
    <w:pPr>
      <w:jc w:val="left"/>
      <w:spacing w:before="100" w:beforeAutospacing="1" w:after="100" w:afterAutospacing="1"/>
      <w:widowControl/>
    </w:pPr>
    <w:rPr>
      <w:rFonts w:cs="宋体"/>
      <w:sz w:val="18"/>
      <w:szCs w:val="18"/>
    </w:rPr>
  </w:style>
  <w:style w:type="paragraph" w:styleId="1429">
    <w:name w:val="gray"/>
    <w:basedOn w:val="952"/>
    <w:next w:val="1429"/>
    <w:link w:val="952"/>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30">
    <w:name w:val="xl187"/>
    <w:basedOn w:val="952"/>
    <w:next w:val="1430"/>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31">
    <w:name w:val="xl144"/>
    <w:basedOn w:val="952"/>
    <w:next w:val="1431"/>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32">
    <w:name w:val="标准正文中缩进"/>
    <w:basedOn w:val="952"/>
    <w:next w:val="1432"/>
    <w:link w:val="952"/>
    <w:pPr>
      <w:ind w:firstLine="200"/>
      <w:jc w:val="left"/>
      <w:spacing w:line="420" w:lineRule="exact"/>
    </w:pPr>
    <w:rPr>
      <w:rFonts w:ascii="Times New Roman" w:hAnsi="Times New Roman"/>
    </w:rPr>
  </w:style>
  <w:style w:type="paragraph" w:styleId="1433">
    <w:name w:val="xl191"/>
    <w:basedOn w:val="952"/>
    <w:next w:val="1433"/>
    <w:link w:val="95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34">
    <w:name w:val="11"/>
    <w:next w:val="1434"/>
    <w:link w:val="952"/>
    <w:pPr>
      <w:ind w:firstLine="369"/>
      <w:jc w:val="both"/>
      <w:widowControl w:val="off"/>
    </w:pPr>
    <w:rPr>
      <w:rFonts w:ascii="宋体"/>
      <w:color w:val="000000"/>
      <w:sz w:val="18"/>
      <w:szCs w:val="18"/>
      <w:lang w:val="en-US" w:eastAsia="zh-CN" w:bidi="ar-SA"/>
    </w:rPr>
  </w:style>
  <w:style w:type="paragraph" w:styleId="1435">
    <w:name w:val="xl214"/>
    <w:basedOn w:val="952"/>
    <w:next w:val="1435"/>
    <w:link w:val="952"/>
    <w:pPr>
      <w:jc w:val="left"/>
      <w:spacing w:before="100" w:beforeAutospacing="1" w:after="100" w:afterAutospacing="1"/>
      <w:widowControl/>
    </w:pPr>
    <w:rPr>
      <w:rFonts w:ascii="Courier New" w:hAnsi="Courier New" w:cs="Courier New"/>
    </w:rPr>
  </w:style>
  <w:style w:type="paragraph" w:styleId="1436">
    <w:name w:val="Default Paragraph Font Para Char"/>
    <w:basedOn w:val="952"/>
    <w:next w:val="1436"/>
    <w:link w:val="952"/>
    <w:semiHidden/>
    <w:pPr>
      <w:jc w:val="left"/>
      <w:spacing w:after="160" w:line="240" w:lineRule="exact"/>
      <w:widowControl/>
    </w:pPr>
    <w:rPr>
      <w:rFonts w:ascii="Verdana" w:hAnsi="Verdana"/>
      <w:sz w:val="20"/>
      <w:szCs w:val="20"/>
      <w:lang w:eastAsia="en-US"/>
    </w:rPr>
  </w:style>
  <w:style w:type="paragraph" w:styleId="1437">
    <w:name w:val="xl65"/>
    <w:basedOn w:val="952"/>
    <w:next w:val="1437"/>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8">
    <w:name w:val="格式３"/>
    <w:basedOn w:val="952"/>
    <w:next w:val="1438"/>
    <w:link w:val="952"/>
    <w:qFormat/>
    <w:pPr>
      <w:ind w:left="600" w:hanging="600"/>
      <w:spacing w:line="420" w:lineRule="exact"/>
    </w:pPr>
    <w:rPr>
      <w:rFonts w:ascii="宋体" w:hAnsi="宋体"/>
      <w:color w:val="000000"/>
      <w:sz w:val="24"/>
      <w:szCs w:val="20"/>
    </w:rPr>
  </w:style>
  <w:style w:type="paragraph" w:styleId="1439">
    <w:name w:val="样式1"/>
    <w:basedOn w:val="952"/>
    <w:next w:val="1439"/>
    <w:link w:val="952"/>
    <w:pPr>
      <w:ind w:firstLine="480"/>
      <w:jc w:val="left"/>
      <w:spacing w:line="360" w:lineRule="auto"/>
      <w:widowControl/>
    </w:pPr>
    <w:rPr>
      <w:rFonts w:ascii="Calibri" w:hAnsi="Calibri"/>
      <w:bCs/>
      <w:szCs w:val="20"/>
      <w:lang w:eastAsia="en-US" w:bidi="en-US"/>
    </w:rPr>
  </w:style>
  <w:style w:type="paragraph" w:styleId="1440">
    <w:name w:val="Table description"/>
    <w:basedOn w:val="952"/>
    <w:next w:val="967"/>
    <w:link w:val="952"/>
    <w:pPr>
      <w:numPr>
        <w:ilvl w:val="5"/>
        <w:numId w:val="6"/>
      </w:numPr>
      <w:jc w:val="center"/>
      <w:keepLines/>
      <w:keepNext/>
      <w:widowControl/>
      <w:tabs>
        <w:tab w:val="left" w:pos="2520" w:leader="none"/>
      </w:tabs>
    </w:pPr>
    <w:rPr>
      <w:rFonts w:ascii="Times New Roman" w:hAnsi="Times New Roman"/>
      <w:sz w:val="21"/>
      <w:szCs w:val="18"/>
    </w:rPr>
  </w:style>
  <w:style w:type="paragraph" w:styleId="1441">
    <w:name w:val="Body Text1"/>
    <w:basedOn w:val="952"/>
    <w:next w:val="1441"/>
    <w:link w:val="952"/>
    <w:pPr>
      <w:spacing w:line="360" w:lineRule="auto"/>
    </w:pPr>
    <w:rPr>
      <w:rFonts w:hAnsi="Times New Roman"/>
    </w:rPr>
  </w:style>
  <w:style w:type="paragraph" w:styleId="1442">
    <w:name w:val="附件标题"/>
    <w:basedOn w:val="952"/>
    <w:next w:val="1442"/>
    <w:link w:val="952"/>
    <w:pPr>
      <w:jc w:val="center"/>
      <w:spacing w:line="360" w:lineRule="auto"/>
    </w:pPr>
    <w:rPr>
      <w:rFonts w:ascii="Arial" w:hAnsi="Arial" w:eastAsia="黑体"/>
    </w:rPr>
  </w:style>
  <w:style w:type="paragraph" w:styleId="1443">
    <w:name w:val="普通正文"/>
    <w:basedOn w:val="952"/>
    <w:next w:val="1443"/>
    <w:link w:val="952"/>
    <w:pPr>
      <w:ind w:firstLine="480"/>
      <w:jc w:val="left"/>
      <w:spacing w:before="120" w:after="120" w:line="360" w:lineRule="auto"/>
    </w:pPr>
    <w:rPr>
      <w:rFonts w:ascii="Arial" w:hAnsi="Arial"/>
    </w:rPr>
  </w:style>
  <w:style w:type="paragraph" w:styleId="1444">
    <w:name w:val="xl122"/>
    <w:basedOn w:val="952"/>
    <w:next w:val="1444"/>
    <w:link w:val="952"/>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45">
    <w:name w:val="xl169"/>
    <w:basedOn w:val="952"/>
    <w:next w:val="1445"/>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6">
    <w:name w:val="xl193"/>
    <w:basedOn w:val="952"/>
    <w:next w:val="1446"/>
    <w:link w:val="95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47">
    <w:name w:val="font9"/>
    <w:basedOn w:val="952"/>
    <w:next w:val="1447"/>
    <w:link w:val="952"/>
    <w:pPr>
      <w:jc w:val="left"/>
      <w:spacing w:before="100" w:beforeAutospacing="1" w:after="100" w:afterAutospacing="1"/>
      <w:widowControl/>
    </w:pPr>
    <w:rPr>
      <w:rFonts w:cs="宋体"/>
      <w:sz w:val="18"/>
      <w:szCs w:val="18"/>
    </w:rPr>
  </w:style>
  <w:style w:type="paragraph" w:styleId="1448">
    <w:name w:val="Char5"/>
    <w:basedOn w:val="952"/>
    <w:next w:val="1448"/>
    <w:link w:val="952"/>
    <w:pPr>
      <w:jc w:val="left"/>
      <w:spacing w:after="160" w:line="240" w:lineRule="exact"/>
      <w:widowControl/>
    </w:pPr>
    <w:rPr>
      <w:rFonts w:ascii="Verdana" w:hAnsi="Verdana"/>
      <w:sz w:val="21"/>
      <w:szCs w:val="20"/>
      <w:lang w:eastAsia="en-US"/>
    </w:rPr>
  </w:style>
  <w:style w:type="paragraph" w:styleId="1449">
    <w:name w:val="样式 样式 标题 3 + 首行缩进:  2 字符 + 首行缩进:  2 字符"/>
    <w:basedOn w:val="952"/>
    <w:next w:val="1449"/>
    <w:link w:val="952"/>
    <w:pPr>
      <w:keepLines/>
      <w:keepNext/>
      <w:spacing w:before="260" w:after="260"/>
      <w:outlineLvl w:val="2"/>
    </w:pPr>
    <w:rPr>
      <w:rFonts w:ascii="Times New Roman" w:hAnsi="Times New Roman" w:cs="宋体"/>
      <w:b/>
      <w:bCs/>
      <w:sz w:val="30"/>
      <w:szCs w:val="20"/>
    </w:rPr>
  </w:style>
  <w:style w:type="paragraph" w:styleId="1450">
    <w:name w:val="xl92"/>
    <w:basedOn w:val="952"/>
    <w:next w:val="1450"/>
    <w:link w:val="95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51">
    <w:name w:val="xl197"/>
    <w:basedOn w:val="952"/>
    <w:next w:val="1451"/>
    <w:link w:val="952"/>
    <w:pPr>
      <w:jc w:val="left"/>
      <w:spacing w:before="100" w:beforeAutospacing="1" w:after="100" w:afterAutospacing="1"/>
      <w:widowControl/>
    </w:pPr>
    <w:rPr>
      <w:rFonts w:ascii="Courier New" w:hAnsi="Courier New" w:cs="Courier New"/>
      <w:sz w:val="20"/>
      <w:szCs w:val="20"/>
    </w:rPr>
  </w:style>
  <w:style w:type="paragraph" w:styleId="1452">
    <w:name w:val="5"/>
    <w:basedOn w:val="952"/>
    <w:next w:val="1452"/>
    <w:link w:val="952"/>
    <w:pPr>
      <w:jc w:val="left"/>
    </w:pPr>
    <w:rPr>
      <w:rFonts w:hAnsi="Times New Roman"/>
      <w:b/>
      <w:bCs/>
      <w:sz w:val="18"/>
      <w:szCs w:val="18"/>
    </w:rPr>
  </w:style>
  <w:style w:type="paragraph" w:styleId="1453">
    <w:name w:val="xl166"/>
    <w:basedOn w:val="952"/>
    <w:next w:val="1453"/>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54">
    <w:name w:val="diy"/>
    <w:basedOn w:val="952"/>
    <w:next w:val="1454"/>
    <w:link w:val="952"/>
    <w:pPr>
      <w:ind w:firstLine="480"/>
      <w:spacing w:before="163" w:after="163" w:line="300" w:lineRule="auto"/>
      <w:tabs>
        <w:tab w:val="right" w:pos="9030" w:leader="middleDot"/>
      </w:tabs>
    </w:pPr>
  </w:style>
  <w:style w:type="paragraph" w:styleId="1455">
    <w:name w:val="xl104"/>
    <w:basedOn w:val="952"/>
    <w:next w:val="1455"/>
    <w:link w:val="952"/>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56">
    <w:name w:val="xl202"/>
    <w:basedOn w:val="952"/>
    <w:next w:val="1456"/>
    <w:link w:val="952"/>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57">
    <w:name w:val="产品描述"/>
    <w:next w:val="1457"/>
    <w:link w:val="952"/>
    <w:pPr>
      <w:ind w:firstLine="397"/>
      <w:jc w:val="both"/>
      <w:spacing w:line="270" w:lineRule="atLeast"/>
      <w:widowControl w:val="off"/>
    </w:pPr>
    <w:rPr>
      <w:rFonts w:ascii="宋体"/>
      <w:sz w:val="18"/>
      <w:szCs w:val="18"/>
      <w:lang w:val="en-US" w:eastAsia="zh-CN" w:bidi="ar-SA"/>
    </w:rPr>
  </w:style>
  <w:style w:type="paragraph" w:styleId="1458">
    <w:name w:val="xl133"/>
    <w:basedOn w:val="952"/>
    <w:next w:val="1458"/>
    <w:link w:val="95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59">
    <w:name w:val="Normal1"/>
    <w:next w:val="1459"/>
    <w:link w:val="952"/>
    <w:pPr>
      <w:spacing w:line="360" w:lineRule="atLeast"/>
      <w:widowControl w:val="off"/>
    </w:pPr>
    <w:rPr>
      <w:rFonts w:ascii="宋体"/>
      <w:sz w:val="24"/>
      <w:lang w:val="en-US" w:eastAsia="zh-CN" w:bidi="ar-SA"/>
    </w:rPr>
  </w:style>
  <w:style w:type="paragraph" w:styleId="1460">
    <w:name w:val="Char Char Char"/>
    <w:basedOn w:val="952"/>
    <w:next w:val="1460"/>
    <w:link w:val="952"/>
    <w:rPr>
      <w:rFonts w:ascii="Tahoma" w:hAnsi="Tahoma"/>
      <w:sz w:val="21"/>
      <w:szCs w:val="20"/>
    </w:rPr>
  </w:style>
  <w:style w:type="paragraph" w:styleId="1461">
    <w:name w:val="xl119"/>
    <w:basedOn w:val="952"/>
    <w:next w:val="1461"/>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62">
    <w:name w:val="默认段落字体 Para Char Char Char Char Char Char Char"/>
    <w:basedOn w:val="952"/>
    <w:next w:val="1462"/>
    <w:link w:val="952"/>
    <w:rPr>
      <w:rFonts w:ascii="Tahoma" w:hAnsi="Tahoma"/>
      <w:szCs w:val="20"/>
    </w:rPr>
  </w:style>
  <w:style w:type="paragraph" w:styleId="1463">
    <w:name w:val="附件(1)"/>
    <w:basedOn w:val="952"/>
    <w:next w:val="1463"/>
    <w:link w:val="952"/>
    <w:pPr>
      <w:ind w:left="432" w:hanging="432"/>
      <w:spacing w:line="360" w:lineRule="auto"/>
      <w:tabs>
        <w:tab w:val="left" w:pos="1080" w:leader="none"/>
      </w:tabs>
    </w:pPr>
    <w:rPr>
      <w:rFonts w:ascii="Times New Roman" w:hAnsi="Times New Roman"/>
    </w:rPr>
  </w:style>
  <w:style w:type="paragraph" w:styleId="1464">
    <w:name w:val="附件圈"/>
    <w:basedOn w:val="1463"/>
    <w:next w:val="1464"/>
    <w:link w:val="952"/>
    <w:pPr>
      <w:numPr>
        <w:ilvl w:val="0"/>
        <w:numId w:val="15"/>
      </w:numPr>
      <w:tabs>
        <w:tab w:val="left" w:pos="1080" w:leader="none"/>
      </w:tabs>
    </w:pPr>
  </w:style>
  <w:style w:type="paragraph" w:styleId="1465">
    <w:name w:val="样式 正文文本缩进 2 + Century Gothic 四号 行距: 多倍行距 1.75 字行"/>
    <w:basedOn w:val="952"/>
    <w:next w:val="1465"/>
    <w:link w:val="952"/>
    <w:pPr>
      <w:ind w:firstLine="207"/>
      <w:spacing w:line="396" w:lineRule="auto"/>
    </w:pPr>
    <w:rPr>
      <w:rFonts w:ascii="Century Gothic" w:hAnsi="Times New Roman" w:cs="宋体"/>
      <w:sz w:val="28"/>
      <w:szCs w:val="20"/>
    </w:rPr>
  </w:style>
  <w:style w:type="paragraph" w:styleId="1466">
    <w:name w:val="xl189"/>
    <w:basedOn w:val="952"/>
    <w:next w:val="1466"/>
    <w:link w:val="952"/>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67">
    <w:name w:val="style2"/>
    <w:basedOn w:val="952"/>
    <w:next w:val="1467"/>
    <w:link w:val="952"/>
    <w:pPr>
      <w:jc w:val="left"/>
      <w:spacing w:before="100" w:beforeAutospacing="1" w:after="100" w:afterAutospacing="1"/>
      <w:widowControl/>
    </w:pPr>
    <w:rPr>
      <w:rFonts w:cs="宋体"/>
    </w:rPr>
  </w:style>
  <w:style w:type="paragraph" w:styleId="1468">
    <w:name w:val="xl76"/>
    <w:basedOn w:val="952"/>
    <w:next w:val="1468"/>
    <w:link w:val="952"/>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69">
    <w:name w:val="段"/>
    <w:next w:val="1469"/>
    <w:link w:val="952"/>
    <w:pPr>
      <w:ind w:firstLine="200"/>
      <w:jc w:val="both"/>
    </w:pPr>
    <w:rPr>
      <w:rFonts w:ascii="宋体"/>
      <w:sz w:val="21"/>
      <w:lang w:val="en-US" w:eastAsia="zh-CN" w:bidi="ar-SA"/>
    </w:rPr>
  </w:style>
  <w:style w:type="paragraph" w:styleId="1470">
    <w:name w:val="正文2"/>
    <w:basedOn w:val="952"/>
    <w:next w:val="1470"/>
    <w:link w:val="952"/>
    <w:pPr>
      <w:ind w:firstLine="200"/>
      <w:jc w:val="left"/>
      <w:spacing w:after="160" w:line="360" w:lineRule="auto"/>
      <w:widowControl/>
    </w:pPr>
    <w:rPr>
      <w:rFonts w:ascii="Verdana" w:hAnsi="Verdana" w:eastAsia="黑体"/>
      <w:sz w:val="21"/>
      <w:szCs w:val="20"/>
      <w:lang w:eastAsia="en-US"/>
    </w:rPr>
  </w:style>
  <w:style w:type="paragraph" w:styleId="1471">
    <w:name w:val="font10"/>
    <w:basedOn w:val="952"/>
    <w:next w:val="1471"/>
    <w:link w:val="952"/>
    <w:pPr>
      <w:jc w:val="left"/>
      <w:spacing w:before="100" w:beforeAutospacing="1" w:after="100" w:afterAutospacing="1"/>
      <w:widowControl/>
    </w:pPr>
    <w:rPr>
      <w:rFonts w:ascii="Times New Roman" w:hAnsi="Times New Roman"/>
      <w:b/>
      <w:bCs/>
      <w:sz w:val="22"/>
      <w:szCs w:val="22"/>
    </w:rPr>
  </w:style>
  <w:style w:type="paragraph" w:styleId="1472">
    <w:name w:val="xl81"/>
    <w:basedOn w:val="952"/>
    <w:next w:val="1472"/>
    <w:link w:val="952"/>
    <w:pPr>
      <w:jc w:val="center"/>
      <w:spacing w:before="100" w:beforeAutospacing="1" w:after="100" w:afterAutospacing="1"/>
      <w:widowControl/>
    </w:pPr>
    <w:rPr>
      <w:rFonts w:ascii="微软雅黑" w:hAnsi="微软雅黑" w:eastAsia="微软雅黑" w:cs="宋体"/>
      <w:sz w:val="20"/>
      <w:szCs w:val="20"/>
    </w:rPr>
  </w:style>
  <w:style w:type="paragraph" w:styleId="1473">
    <w:name w:val="xl207"/>
    <w:basedOn w:val="952"/>
    <w:next w:val="1473"/>
    <w:link w:val="952"/>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74">
    <w:name w:val="xl83"/>
    <w:basedOn w:val="952"/>
    <w:next w:val="1474"/>
    <w:link w:val="95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5">
    <w:name w:val="正文四号"/>
    <w:basedOn w:val="952"/>
    <w:next w:val="1475"/>
    <w:link w:val="952"/>
    <w:qFormat/>
    <w:pPr>
      <w:ind w:firstLine="200"/>
      <w:spacing w:line="360" w:lineRule="auto"/>
    </w:pPr>
    <w:rPr>
      <w:rFonts w:ascii="Times New Roman" w:hAnsi="Times New Roman" w:eastAsia="仿宋_GB2312" w:cs="宋体"/>
      <w:sz w:val="28"/>
      <w:szCs w:val="20"/>
    </w:rPr>
  </w:style>
  <w:style w:type="paragraph" w:styleId="1476">
    <w:name w:val="xl215"/>
    <w:basedOn w:val="952"/>
    <w:next w:val="1476"/>
    <w:link w:val="95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77">
    <w:name w:val="xl89"/>
    <w:basedOn w:val="952"/>
    <w:next w:val="1477"/>
    <w:link w:val="952"/>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78">
    <w:name w:val="段落1"/>
    <w:basedOn w:val="952"/>
    <w:next w:val="1478"/>
    <w:link w:val="952"/>
    <w:pPr>
      <w:ind w:right="23"/>
      <w:spacing w:before="120" w:after="156" w:line="360" w:lineRule="auto"/>
    </w:pPr>
    <w:rPr>
      <w:b/>
      <w:bCs/>
    </w:rPr>
  </w:style>
  <w:style w:type="paragraph" w:styleId="1479">
    <w:name w:val="xl160"/>
    <w:basedOn w:val="952"/>
    <w:next w:val="1479"/>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80">
    <w:name w:val="附件1."/>
    <w:basedOn w:val="953"/>
    <w:next w:val="1480"/>
    <w:link w:val="952"/>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481">
    <w:name w:val="xl198"/>
    <w:basedOn w:val="952"/>
    <w:next w:val="148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82">
    <w:name w:val="Char7"/>
    <w:basedOn w:val="952"/>
    <w:next w:val="1482"/>
    <w:link w:val="952"/>
    <w:pPr>
      <w:jc w:val="left"/>
      <w:spacing w:after="160" w:line="240" w:lineRule="exact"/>
      <w:widowControl/>
    </w:pPr>
    <w:rPr>
      <w:rFonts w:ascii="Verdana" w:hAnsi="Verdana"/>
      <w:sz w:val="21"/>
      <w:szCs w:val="20"/>
      <w:lang w:eastAsia="en-US"/>
    </w:rPr>
  </w:style>
  <w:style w:type="paragraph" w:styleId="1483">
    <w:name w:val="xl77"/>
    <w:basedOn w:val="952"/>
    <w:next w:val="1483"/>
    <w:link w:val="952"/>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84">
    <w:name w:val="文档标题"/>
    <w:basedOn w:val="952"/>
    <w:next w:val="1484"/>
    <w:link w:val="952"/>
    <w:pPr>
      <w:jc w:val="center"/>
      <w:spacing w:before="300" w:after="300" w:line="360" w:lineRule="auto"/>
      <w:tabs>
        <w:tab w:val="left" w:pos="0" w:leader="none"/>
      </w:tabs>
    </w:pPr>
    <w:rPr>
      <w:rFonts w:ascii="Arial" w:hAnsi="Arial" w:eastAsia="黑体"/>
      <w:sz w:val="36"/>
      <w:szCs w:val="36"/>
    </w:rPr>
  </w:style>
  <w:style w:type="paragraph" w:styleId="1485">
    <w:name w:val="其他标准称谓"/>
    <w:next w:val="1485"/>
    <w:link w:val="952"/>
    <w:pPr>
      <w:jc w:val="both"/>
      <w:spacing w:line="0" w:lineRule="atLeast"/>
    </w:pPr>
    <w:rPr>
      <w:rFonts w:ascii="黑体" w:hAnsi="宋体" w:eastAsia="黑体"/>
      <w:sz w:val="52"/>
      <w:lang w:val="en-US" w:eastAsia="zh-CN" w:bidi="ar-SA"/>
    </w:rPr>
  </w:style>
  <w:style w:type="paragraph" w:styleId="1486">
    <w:name w:val="xl206"/>
    <w:basedOn w:val="952"/>
    <w:next w:val="1486"/>
    <w:link w:val="952"/>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87">
    <w:name w:val="Table Heading"/>
    <w:basedOn w:val="952"/>
    <w:next w:val="1487"/>
    <w:link w:val="952"/>
    <w:pPr>
      <w:jc w:val="center"/>
    </w:pPr>
    <w:rPr>
      <w:rFonts w:ascii="Arial" w:hAnsi="Arial" w:eastAsia="黑体"/>
      <w:b/>
      <w:sz w:val="21"/>
    </w:rPr>
  </w:style>
  <w:style w:type="paragraph" w:styleId="1488">
    <w:name w:val="xl102"/>
    <w:basedOn w:val="952"/>
    <w:next w:val="1488"/>
    <w:link w:val="95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89">
    <w:name w:val="样式 列表项目符号 + 段前: 0.5 行 段后: 0.25 行 + 段前: 0.25 行 段后: 0.25 行"/>
    <w:basedOn w:val="952"/>
    <w:next w:val="1489"/>
    <w:link w:val="952"/>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90">
    <w:name w:val="表格1"/>
    <w:basedOn w:val="952"/>
    <w:next w:val="1490"/>
    <w:link w:val="952"/>
    <w:pPr>
      <w:jc w:val="left"/>
      <w:spacing w:line="440" w:lineRule="exact"/>
    </w:pPr>
    <w:rPr>
      <w:sz w:val="21"/>
      <w:szCs w:val="20"/>
    </w:rPr>
  </w:style>
  <w:style w:type="paragraph" w:styleId="1491">
    <w:name w:val="xl201"/>
    <w:basedOn w:val="952"/>
    <w:next w:val="1491"/>
    <w:link w:val="952"/>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92">
    <w:name w:val="xl218"/>
    <w:basedOn w:val="952"/>
    <w:next w:val="1492"/>
    <w:link w:val="952"/>
    <w:pPr>
      <w:jc w:val="center"/>
      <w:spacing w:before="100" w:beforeAutospacing="1" w:after="100" w:afterAutospacing="1"/>
      <w:widowControl/>
    </w:pPr>
    <w:rPr>
      <w:rFonts w:ascii="Courier New" w:hAnsi="Courier New" w:cs="Courier New"/>
    </w:rPr>
  </w:style>
  <w:style w:type="paragraph" w:styleId="1493">
    <w:name w:val="Item Step"/>
    <w:basedOn w:val="952"/>
    <w:next w:val="1493"/>
    <w:link w:val="952"/>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494">
    <w:name w:val="样式2"/>
    <w:basedOn w:val="955"/>
    <w:next w:val="1494"/>
    <w:link w:val="952"/>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495">
    <w:name w:val="段 Char"/>
    <w:next w:val="1495"/>
    <w:link w:val="952"/>
    <w:pPr>
      <w:ind w:firstLine="200"/>
      <w:jc w:val="both"/>
    </w:pPr>
    <w:rPr>
      <w:rFonts w:ascii="宋体"/>
      <w:sz w:val="21"/>
      <w:lang w:val="en-US" w:eastAsia="zh-CN" w:bidi="ar-SA"/>
    </w:rPr>
  </w:style>
  <w:style w:type="paragraph" w:styleId="1496">
    <w:name w:val="xl186"/>
    <w:basedOn w:val="952"/>
    <w:next w:val="1496"/>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97">
    <w:name w:val="xl71"/>
    <w:basedOn w:val="952"/>
    <w:next w:val="1497"/>
    <w:link w:val="95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98">
    <w:name w:val=" Char Char1 Char Char Char Char"/>
    <w:basedOn w:val="983"/>
    <w:next w:val="1498"/>
    <w:link w:val="952"/>
    <w:pPr>
      <w:spacing w:line="360" w:lineRule="auto"/>
    </w:pPr>
    <w:rPr>
      <w:rFonts w:ascii="Tahoma" w:hAnsi="Tahoma"/>
    </w:rPr>
  </w:style>
  <w:style w:type="paragraph" w:styleId="1499">
    <w:name w:val="_Style 12"/>
    <w:basedOn w:val="983"/>
    <w:next w:val="1499"/>
    <w:link w:val="952"/>
    <w:pPr>
      <w:spacing w:line="360" w:lineRule="auto"/>
    </w:pPr>
    <w:rPr>
      <w:rFonts w:ascii="Times New Roman" w:hAnsi="Times New Roman"/>
      <w:sz w:val="21"/>
    </w:rPr>
  </w:style>
  <w:style w:type="paragraph" w:styleId="1500">
    <w:name w:val="xl86"/>
    <w:basedOn w:val="952"/>
    <w:next w:val="1500"/>
    <w:link w:val="952"/>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501">
    <w:name w:val="项目"/>
    <w:basedOn w:val="952"/>
    <w:next w:val="1501"/>
    <w:link w:val="952"/>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502">
    <w:name w:val="目录"/>
    <w:basedOn w:val="952"/>
    <w:next w:val="1138"/>
    <w:link w:val="952"/>
    <w:pPr>
      <w:jc w:val="center"/>
      <w:pageBreakBefore/>
      <w:spacing w:before="600" w:after="360" w:line="480" w:lineRule="auto"/>
    </w:pPr>
    <w:rPr>
      <w:rFonts w:ascii="Times New Roman" w:hAnsi="Times New Roman" w:eastAsia="楷体_GB2312"/>
      <w:spacing w:val="200"/>
      <w:sz w:val="36"/>
      <w:szCs w:val="32"/>
    </w:rPr>
  </w:style>
  <w:style w:type="paragraph" w:styleId="1503">
    <w:name w:val="文件名"/>
    <w:basedOn w:val="1502"/>
    <w:next w:val="1138"/>
    <w:link w:val="952"/>
    <w:pPr>
      <w:pageBreakBefore w:val="0"/>
    </w:pPr>
    <w:rPr>
      <w:spacing w:val="0"/>
      <w:sz w:val="52"/>
      <w:szCs w:val="44"/>
    </w:rPr>
  </w:style>
  <w:style w:type="paragraph" w:styleId="1504">
    <w:name w:val="6"/>
    <w:basedOn w:val="1452"/>
    <w:next w:val="1504"/>
    <w:link w:val="952"/>
    <w:pPr>
      <w:jc w:val="both"/>
      <w:spacing w:line="270" w:lineRule="atLeast"/>
    </w:pPr>
    <w:rPr>
      <w:b w:val="0"/>
      <w:bCs w:val="0"/>
    </w:rPr>
  </w:style>
  <w:style w:type="paragraph" w:styleId="1505">
    <w:name w:val="p0"/>
    <w:basedOn w:val="952"/>
    <w:next w:val="1505"/>
    <w:link w:val="952"/>
    <w:qFormat/>
    <w:pPr>
      <w:jc w:val="left"/>
      <w:spacing w:before="100" w:beforeAutospacing="1" w:after="100" w:afterAutospacing="1"/>
      <w:widowControl/>
    </w:pPr>
    <w:rPr>
      <w:rFonts w:cs="宋体"/>
    </w:rPr>
  </w:style>
  <w:style w:type="paragraph" w:styleId="1506">
    <w:name w:val="xl184"/>
    <w:basedOn w:val="952"/>
    <w:next w:val="1506"/>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07">
    <w:name w:val="1 Char Char Char Char"/>
    <w:basedOn w:val="952"/>
    <w:next w:val="1507"/>
    <w:link w:val="952"/>
    <w:rPr>
      <w:rFonts w:ascii="Tahoma" w:hAnsi="Tahoma"/>
      <w:szCs w:val="20"/>
    </w:rPr>
  </w:style>
  <w:style w:type="paragraph" w:styleId="1508">
    <w:name w:val="xl97"/>
    <w:basedOn w:val="952"/>
    <w:next w:val="1508"/>
    <w:link w:val="952"/>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09">
    <w:name w:val="xl111"/>
    <w:basedOn w:val="952"/>
    <w:next w:val="1509"/>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0">
    <w:name w:val="xl108"/>
    <w:basedOn w:val="952"/>
    <w:next w:val="1510"/>
    <w:link w:val="952"/>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511">
    <w:name w:val="Char3"/>
    <w:basedOn w:val="952"/>
    <w:next w:val="1511"/>
    <w:link w:val="952"/>
    <w:pPr>
      <w:jc w:val="left"/>
      <w:spacing w:after="160" w:line="240" w:lineRule="exact"/>
      <w:widowControl/>
    </w:pPr>
    <w:rPr>
      <w:rFonts w:ascii="Verdana" w:hAnsi="Verdana"/>
      <w:sz w:val="21"/>
      <w:szCs w:val="20"/>
      <w:lang w:eastAsia="en-US"/>
    </w:rPr>
  </w:style>
  <w:style w:type="paragraph" w:styleId="1512">
    <w:name w:val="7"/>
    <w:basedOn w:val="952"/>
    <w:next w:val="1018"/>
    <w:link w:val="952"/>
    <w:pPr>
      <w:ind w:firstLine="560"/>
      <w:spacing w:line="440" w:lineRule="exact"/>
    </w:pPr>
    <w:rPr>
      <w:rFonts w:ascii="Times New Roman" w:hAnsi="Times New Roman"/>
      <w:sz w:val="21"/>
    </w:rPr>
  </w:style>
  <w:style w:type="paragraph" w:styleId="1513">
    <w:name w:val="xl147"/>
    <w:basedOn w:val="952"/>
    <w:next w:val="1513"/>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14">
    <w:name w:val="xl106"/>
    <w:basedOn w:val="952"/>
    <w:next w:val="1514"/>
    <w:link w:val="952"/>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15">
    <w:name w:val="xl165"/>
    <w:basedOn w:val="952"/>
    <w:next w:val="1515"/>
    <w:link w:val="952"/>
    <w:pPr>
      <w:jc w:val="left"/>
      <w:spacing w:before="100" w:beforeAutospacing="1" w:after="100" w:afterAutospacing="1"/>
      <w:widowControl/>
    </w:pPr>
    <w:rPr>
      <w:rFonts w:ascii="Courier New" w:hAnsi="Courier New" w:cs="Courier New"/>
    </w:rPr>
  </w:style>
  <w:style w:type="paragraph" w:styleId="1516">
    <w:name w:val="表格题注"/>
    <w:next w:val="952"/>
    <w:link w:val="952"/>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517">
    <w:name w:val="xl105"/>
    <w:basedOn w:val="952"/>
    <w:next w:val="1517"/>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8">
    <w:name w:val="Table Text"/>
    <w:basedOn w:val="952"/>
    <w:next w:val="1518"/>
    <w:link w:val="952"/>
    <w:rPr>
      <w:rFonts w:ascii="Times New Roman" w:hAnsi="Times New Roman"/>
      <w:sz w:val="18"/>
    </w:rPr>
  </w:style>
  <w:style w:type="paragraph" w:styleId="1519">
    <w:name w:val="Item Step in Table"/>
    <w:basedOn w:val="952"/>
    <w:next w:val="1519"/>
    <w:link w:val="952"/>
    <w:pPr>
      <w:numPr>
        <w:ilvl w:val="0"/>
        <w:numId w:val="18"/>
      </w:numPr>
      <w:ind w:left="425" w:hanging="425"/>
      <w:jc w:val="left"/>
      <w:tabs>
        <w:tab w:val="left" w:pos="425" w:leader="none"/>
      </w:tabs>
    </w:pPr>
    <w:rPr>
      <w:rFonts w:ascii="Times New Roman" w:hAnsi="Times New Roman"/>
      <w:sz w:val="21"/>
    </w:rPr>
  </w:style>
  <w:style w:type="paragraph" w:styleId="1520">
    <w:name w:val="xl82"/>
    <w:basedOn w:val="952"/>
    <w:next w:val="1520"/>
    <w:link w:val="95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21">
    <w:name w:val="南通方案正文"/>
    <w:basedOn w:val="952"/>
    <w:next w:val="1521"/>
    <w:link w:val="952"/>
    <w:pPr>
      <w:ind w:firstLine="480"/>
      <w:jc w:val="left"/>
      <w:spacing w:line="360" w:lineRule="auto"/>
      <w:widowControl/>
    </w:pPr>
    <w:rPr>
      <w:rFonts w:cs="宋体"/>
      <w:szCs w:val="20"/>
    </w:rPr>
  </w:style>
  <w:style w:type="paragraph" w:styleId="1522">
    <w:name w:val="xl116"/>
    <w:basedOn w:val="952"/>
    <w:next w:val="1522"/>
    <w:link w:val="952"/>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23">
    <w:name w:val="xl66"/>
    <w:basedOn w:val="952"/>
    <w:next w:val="1523"/>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24">
    <w:name w:val="xl90"/>
    <w:basedOn w:val="952"/>
    <w:next w:val="1524"/>
    <w:link w:val="952"/>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25">
    <w:name w:val="xl177"/>
    <w:basedOn w:val="952"/>
    <w:next w:val="1525"/>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26">
    <w:name w:val="Char Char2 Char"/>
    <w:basedOn w:val="952"/>
    <w:next w:val="1526"/>
    <w:link w:val="952"/>
    <w:pPr>
      <w:ind w:left="390" w:hanging="390"/>
      <w:keepLines/>
      <w:keepNext/>
      <w:pageBreakBefore/>
      <w:tabs>
        <w:tab w:val="left" w:pos="390" w:leader="none"/>
      </w:tabs>
    </w:pPr>
    <w:rPr>
      <w:rFonts w:ascii="Tahoma" w:hAnsi="Tahoma"/>
      <w:szCs w:val="20"/>
    </w:rPr>
  </w:style>
  <w:style w:type="paragraph" w:styleId="1527">
    <w:name w:val="xl192"/>
    <w:basedOn w:val="952"/>
    <w:next w:val="1527"/>
    <w:link w:val="95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28">
    <w:name w:val="xl139"/>
    <w:basedOn w:val="952"/>
    <w:next w:val="1528"/>
    <w:link w:val="95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29">
    <w:name w:val="xl208"/>
    <w:basedOn w:val="952"/>
    <w:next w:val="1529"/>
    <w:link w:val="952"/>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30">
    <w:name w:val="xl110"/>
    <w:basedOn w:val="952"/>
    <w:next w:val="1530"/>
    <w:link w:val="952"/>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31">
    <w:name w:val="xl136"/>
    <w:basedOn w:val="952"/>
    <w:next w:val="1531"/>
    <w:link w:val="95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32">
    <w:name w:val="font16"/>
    <w:basedOn w:val="952"/>
    <w:next w:val="1532"/>
    <w:link w:val="952"/>
    <w:pPr>
      <w:jc w:val="left"/>
      <w:spacing w:before="100" w:beforeAutospacing="1" w:after="100" w:afterAutospacing="1"/>
      <w:widowControl/>
    </w:pPr>
    <w:rPr>
      <w:rFonts w:cs="宋体"/>
      <w:sz w:val="18"/>
      <w:szCs w:val="18"/>
    </w:rPr>
  </w:style>
  <w:style w:type="paragraph" w:styleId="1533">
    <w:name w:val="xl67"/>
    <w:basedOn w:val="952"/>
    <w:next w:val="1533"/>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34">
    <w:name w:val="xl24"/>
    <w:basedOn w:val="952"/>
    <w:next w:val="1534"/>
    <w:link w:val="952"/>
    <w:pPr>
      <w:jc w:val="center"/>
      <w:spacing w:before="100" w:beforeAutospacing="1" w:after="100" w:afterAutospacing="1"/>
      <w:widowControl/>
    </w:pPr>
    <w:rPr>
      <w:rFonts w:hint="eastAsia"/>
    </w:rPr>
  </w:style>
  <w:style w:type="paragraph" w:styleId="1535">
    <w:name w:val="xl185"/>
    <w:basedOn w:val="952"/>
    <w:next w:val="1535"/>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36">
    <w:name w:val="列出段落1"/>
    <w:basedOn w:val="952"/>
    <w:next w:val="1536"/>
    <w:link w:val="952"/>
    <w:uiPriority w:val="34"/>
    <w:qFormat/>
    <w:pPr>
      <w:ind w:firstLine="420"/>
    </w:pPr>
    <w:rPr>
      <w:rFonts w:ascii="Calibri" w:hAnsi="Calibri"/>
      <w:sz w:val="21"/>
      <w:szCs w:val="22"/>
    </w:rPr>
  </w:style>
  <w:style w:type="paragraph" w:styleId="1537">
    <w:name w:val=" Char1 Char Char Char Char Char Char"/>
    <w:basedOn w:val="952"/>
    <w:next w:val="1537"/>
    <w:link w:val="952"/>
    <w:rPr>
      <w:rFonts w:ascii="Tahoma" w:hAnsi="Tahoma"/>
      <w:szCs w:val="20"/>
    </w:rPr>
  </w:style>
  <w:style w:type="paragraph" w:styleId="1538">
    <w:name w:val="xl149"/>
    <w:basedOn w:val="952"/>
    <w:next w:val="1538"/>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39">
    <w:name w:val="封面标题"/>
    <w:basedOn w:val="952"/>
    <w:next w:val="1539"/>
    <w:link w:val="952"/>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540">
    <w:name w:val="word"/>
    <w:basedOn w:val="952"/>
    <w:next w:val="1540"/>
    <w:link w:val="952"/>
    <w:pPr>
      <w:jc w:val="left"/>
      <w:spacing w:before="100" w:beforeAutospacing="1" w:after="100" w:afterAutospacing="1" w:line="270" w:lineRule="atLeast"/>
      <w:widowControl/>
    </w:pPr>
    <w:rPr>
      <w:rFonts w:ascii="ˎ̥" w:hAnsi="ˎ̥" w:cs="宋体"/>
      <w:color w:val="000000"/>
      <w:sz w:val="18"/>
      <w:szCs w:val="18"/>
    </w:rPr>
  </w:style>
  <w:style w:type="paragraph" w:styleId="1541">
    <w:name w:val="font21"/>
    <w:basedOn w:val="952"/>
    <w:next w:val="1541"/>
    <w:link w:val="952"/>
    <w:pPr>
      <w:jc w:val="left"/>
      <w:spacing w:before="100" w:beforeAutospacing="1" w:after="100" w:afterAutospacing="1"/>
      <w:widowControl/>
    </w:pPr>
    <w:rPr>
      <w:rFonts w:cs="宋体"/>
      <w:sz w:val="18"/>
      <w:szCs w:val="18"/>
    </w:rPr>
  </w:style>
  <w:style w:type="paragraph" w:styleId="1542">
    <w:name w:val="Note heading"/>
    <w:basedOn w:val="952"/>
    <w:next w:val="952"/>
    <w:link w:val="952"/>
    <w:pPr>
      <w:ind w:left="420"/>
      <w:keepLines/>
      <w:keepNext/>
      <w:spacing w:before="100"/>
      <w:widowControl/>
      <w:pBdr>
        <w:top w:val="single" w:color="000000" w:sz="8" w:space="1"/>
      </w:pBdr>
    </w:pPr>
    <w:rPr>
      <w:rFonts w:ascii="Times New Roman" w:hAnsi="Times New Roman" w:eastAsia="黑体"/>
      <w:sz w:val="21"/>
      <w:szCs w:val="18"/>
    </w:rPr>
  </w:style>
  <w:style w:type="paragraph" w:styleId="1543">
    <w:name w:val="列项——（一级）"/>
    <w:next w:val="1543"/>
    <w:link w:val="952"/>
    <w:pPr>
      <w:ind w:left="1440" w:hanging="720"/>
      <w:jc w:val="both"/>
      <w:widowControl w:val="off"/>
      <w:tabs>
        <w:tab w:val="left" w:pos="854" w:leader="none"/>
        <w:tab w:val="left" w:pos="1440" w:leader="none"/>
      </w:tabs>
    </w:pPr>
    <w:rPr>
      <w:rFonts w:ascii="宋体"/>
      <w:sz w:val="21"/>
      <w:lang w:val="en-US" w:eastAsia="zh-CN" w:bidi="ar-SA"/>
    </w:rPr>
  </w:style>
  <w:style w:type="paragraph" w:styleId="1544">
    <w:name w:val="xl117"/>
    <w:basedOn w:val="952"/>
    <w:next w:val="1544"/>
    <w:link w:val="952"/>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45">
    <w:name w:val="xl210"/>
    <w:basedOn w:val="952"/>
    <w:next w:val="1545"/>
    <w:link w:val="952"/>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46">
    <w:name w:val="xl87"/>
    <w:basedOn w:val="952"/>
    <w:next w:val="1546"/>
    <w:link w:val="95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547">
    <w:name w:val="小四 段落 宋体 Char"/>
    <w:basedOn w:val="979"/>
    <w:next w:val="1547"/>
    <w:link w:val="952"/>
    <w:pPr>
      <w:ind w:left="0" w:right="-33" w:firstLine="480"/>
      <w:jc w:val="left"/>
      <w:spacing w:line="360" w:lineRule="auto"/>
      <w:tabs>
        <w:tab w:val="clear" w:pos="420" w:leader="none"/>
      </w:tabs>
    </w:pPr>
    <w:rPr>
      <w:sz w:val="24"/>
    </w:rPr>
  </w:style>
  <w:style w:type="paragraph" w:styleId="1548">
    <w:name w:val="表"/>
    <w:basedOn w:val="952"/>
    <w:next w:val="1548"/>
    <w:link w:val="952"/>
    <w:pPr>
      <w:ind w:left="-57" w:right="-57"/>
      <w:jc w:val="center"/>
      <w:spacing w:before="60" w:after="60"/>
    </w:pPr>
    <w:rPr>
      <w:rFonts w:ascii="Times New Roman" w:hAnsi="Times New Roman"/>
      <w:color w:val="000000"/>
      <w:sz w:val="21"/>
      <w:szCs w:val="20"/>
    </w:rPr>
  </w:style>
  <w:style w:type="paragraph" w:styleId="1549">
    <w:name w:val="font26"/>
    <w:basedOn w:val="952"/>
    <w:next w:val="1549"/>
    <w:link w:val="952"/>
    <w:pPr>
      <w:jc w:val="left"/>
      <w:spacing w:before="100" w:beforeAutospacing="1" w:after="100" w:afterAutospacing="1"/>
      <w:widowControl/>
    </w:pPr>
    <w:rPr>
      <w:rFonts w:cs="宋体"/>
      <w:b/>
      <w:bCs/>
      <w:sz w:val="18"/>
      <w:szCs w:val="18"/>
    </w:rPr>
  </w:style>
  <w:style w:type="paragraph" w:styleId="1550">
    <w:name w:val="标题5"/>
    <w:basedOn w:val="952"/>
    <w:next w:val="1550"/>
    <w:link w:val="952"/>
    <w:pPr>
      <w:spacing w:line="360" w:lineRule="auto"/>
    </w:pPr>
    <w:rPr>
      <w:rFonts w:hAnsi="Times New Roman"/>
      <w:b/>
    </w:rPr>
  </w:style>
  <w:style w:type="table" w:styleId="1551">
    <w:name w:val="Table"/>
    <w:basedOn w:val="963"/>
    <w:next w:val="1551"/>
    <w:link w:val="952"/>
    <w:pPr>
      <w:ind w:left="2520" w:hanging="420"/>
      <w:jc w:val="both"/>
    </w:pPr>
    <w:rPr>
      <w:sz w:val="18"/>
    </w:rPr>
    <w:tblPr/>
  </w:style>
  <w:style w:type="paragraph" w:styleId="1552">
    <w:name w:val="正文空2格  1."/>
    <w:basedOn w:val="952"/>
    <w:next w:val="1552"/>
    <w:link w:val="952"/>
    <w:qFormat/>
    <w:pPr>
      <w:ind w:firstLine="480"/>
      <w:spacing w:line="360" w:lineRule="auto"/>
    </w:pPr>
    <w:rPr>
      <w:rFonts w:hint="eastAsia" w:hAnsi="Times New Roman" w:eastAsia="仿宋"/>
      <w:sz w:val="28"/>
      <w:szCs w:val="20"/>
    </w:rPr>
  </w:style>
  <w:style w:type="table" w:styleId="1553">
    <w:name w:val="Table Normal"/>
    <w:next w:val="1553"/>
    <w:link w:val="952"/>
    <w:unhideWhenUsed/>
    <w:qFormat/>
    <w:rPr>
      <w:rFonts w:ascii="Arial" w:hAnsi="Arial" w:eastAsia="等线" w:cs="Arial"/>
      <w:color w:val="000000"/>
      <w:sz w:val="21"/>
      <w:szCs w:val="21"/>
      <w:lang w:val="en-US" w:eastAsia="zh-CN" w:bidi="ar-SA"/>
    </w:rPr>
    <w:tblPr/>
  </w:style>
  <w:style w:type="character" w:styleId="1554" w:default="1">
    <w:name w:val="Default Paragraph Font"/>
    <w:uiPriority w:val="1"/>
    <w:semiHidden/>
    <w:unhideWhenUsed/>
  </w:style>
  <w:style w:type="numbering" w:styleId="1555" w:default="1">
    <w:name w:val="No List"/>
    <w:uiPriority w:val="99"/>
    <w:semiHidden/>
    <w:unhideWhenUsed/>
  </w:style>
  <w:style w:type="table" w:styleId="15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jp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曾骏</cp:lastModifiedBy>
  <cp:revision>57</cp:revision>
  <dcterms:created xsi:type="dcterms:W3CDTF">2024-03-22T02:31:00Z</dcterms:created>
  <dcterms:modified xsi:type="dcterms:W3CDTF">2024-08-08T08:20:31Z</dcterms:modified>
  <cp:version>1048576</cp:version>
</cp:coreProperties>
</file>