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7D16">
      <w:pPr>
        <w:pStyle w:val="4"/>
        <w:numPr>
          <w:ilvl w:val="0"/>
          <w:numId w:val="1"/>
        </w:numPr>
        <w:spacing w:line="360" w:lineRule="auto"/>
        <w:rPr>
          <w:rFonts w:ascii="Times New Roman" w:hAnsi="Times New Roman" w:eastAsia="宋体" w:cs="Times New Roman"/>
          <w:bCs/>
          <w:iCs/>
          <w:color w:val="auto"/>
          <w:kern w:val="2"/>
          <w:highlight w:val="none"/>
        </w:rPr>
      </w:pPr>
      <w:r>
        <w:rPr>
          <w:rFonts w:hint="eastAsia" w:eastAsia="宋体"/>
          <w:bCs/>
          <w:highlight w:val="none"/>
        </w:rPr>
        <w:t>系统平台</w:t>
      </w:r>
    </w:p>
    <w:p w14:paraId="41FBEC59">
      <w:pPr>
        <w:spacing w:line="360" w:lineRule="auto"/>
        <w:ind w:firstLine="480" w:firstLineChars="200"/>
        <w:contextualSpacing/>
        <w:rPr>
          <w:rFonts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溧阳市自然资源违法行为“实时智能监管系统”平台以自然资源监控设备为基础，构建全流程自动的智能化监测监管流程，做到与遥感、无人机、执法等多平台互联互通，形成多级联动综合监管体系，服务感知、识别、预警、处置全流程，并实现自然资源自动化巡查、智能化发现、实时化预警、网络化处置、数据化监管。包括但不限于如下工作内容：</w:t>
      </w:r>
    </w:p>
    <w:p w14:paraId="0C51390D">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（1）铁塔站址服务：提供铁塔站址服务（含</w:t>
      </w:r>
      <w:r>
        <w:rPr>
          <w:rFonts w:hint="eastAsia" w:ascii="Times New Roman" w:hAnsi="Times New Roman" w:eastAsia="宋体" w:cs="Times New Roman"/>
          <w:bCs/>
          <w:iCs/>
          <w:sz w:val="24"/>
          <w:highlight w:val="none"/>
          <w:lang w:val="en-US" w:eastAsia="zh-CN"/>
        </w:rPr>
        <w:t>73个点位的</w:t>
      </w:r>
      <w:r>
        <w:rPr>
          <w:rFonts w:hint="eastAsia" w:ascii="Times New Roman" w:hAnsi="Times New Roman" w:eastAsia="宋体" w:cs="Times New Roman"/>
          <w:bCs/>
          <w:iCs/>
          <w:sz w:val="24"/>
          <w:highlight w:val="none"/>
        </w:rPr>
        <w:t>基础巡检、摄像机维护以及日常故障处理）；</w:t>
      </w:r>
    </w:p>
    <w:p w14:paraId="60759A2E">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（2）传输链路服务：提供数据传输链路，其中监控线路应为专用线路，与其他网络物理隔绝，并不得接入任何其它网络，不得出现信息泄露或危及采购人网络安全的危险及事件发生；</w:t>
      </w:r>
    </w:p>
    <w:p w14:paraId="77A70498">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（3）系统集成服务：提供系统集成服务（含摄像机安装调试）；</w:t>
      </w:r>
    </w:p>
    <w:p w14:paraId="1ADD0873">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（4）千里眼平台服务：</w:t>
      </w:r>
      <w:r>
        <w:rPr>
          <w:rFonts w:hint="eastAsia" w:ascii="Times New Roman" w:hAnsi="Times New Roman" w:eastAsia="宋体" w:cs="Times New Roman"/>
          <w:bCs/>
          <w:iCs/>
          <w:sz w:val="24"/>
          <w:highlight w:val="none"/>
          <w:lang w:val="en-US" w:eastAsia="zh-CN"/>
        </w:rPr>
        <w:t>提供一年千里眼平台服务（30天存储+平台）。</w:t>
      </w:r>
      <w:r>
        <w:rPr>
          <w:rFonts w:hint="eastAsia" w:ascii="Times New Roman" w:hAnsi="Times New Roman" w:eastAsia="宋体" w:cs="Times New Roman"/>
          <w:bCs/>
          <w:iCs/>
          <w:sz w:val="24"/>
          <w:highlight w:val="none"/>
        </w:rPr>
        <w:t>录像存储采用云存储方式存储录像，可设置用户存储空间满自动覆盖或停止录制，支持定时录制、手动录制，录像存储时间不低于30天；</w:t>
      </w:r>
    </w:p>
    <w:p w14:paraId="0BF2015B">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5）视频布设分析：结合dem，DSM，影像数据、业务等数据进行覆盖度的视频布设分析，综合摄像头点位空间布局优化算法选择结果和可视化分析优化结果，评估最优情况，实现对耕地、供地等要素可视域监控覆盖最大化；</w:t>
      </w:r>
    </w:p>
    <w:p w14:paraId="59D3E53F">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（6）摄像头接入：将所有摄像头接入现有平台，保证摄像头在现有云监管平台平稳使用，并能及时展示摄像头设备是否掉线能情况；</w:t>
      </w:r>
    </w:p>
    <w:p w14:paraId="387E4650">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（7）摄像头标定：通过对摄像头进行空间位置标定与校准，实现视频与地图的双向定位；</w:t>
      </w:r>
    </w:p>
    <w:p w14:paraId="4F3C88AB">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（8）提供本次接入的</w:t>
      </w:r>
      <w:r>
        <w:rPr>
          <w:rFonts w:hint="eastAsia" w:ascii="Times New Roman" w:hAnsi="Times New Roman" w:eastAsia="宋体" w:cs="Times New Roman"/>
          <w:bCs/>
          <w:iCs/>
          <w:sz w:val="24"/>
          <w:highlight w:val="none"/>
          <w:lang w:val="en-US" w:eastAsia="zh-CN"/>
        </w:rPr>
        <w:t>6</w:t>
      </w:r>
      <w:r>
        <w:rPr>
          <w:rFonts w:hint="eastAsia" w:ascii="Times New Roman" w:hAnsi="Times New Roman" w:eastAsia="宋体" w:cs="Times New Roman"/>
          <w:bCs/>
          <w:iCs/>
          <w:sz w:val="24"/>
          <w:highlight w:val="none"/>
        </w:rPr>
        <w:t>个摄像机点位的AI视频监控服务：采用迁移学习的方法进行模型训练，对各种土地违法行为进行特征分析并建立图像识别原型，建立AI分析模型库，通过AI对疑似违法建设、破坏耕地行为等违法行为进行自动识别；</w:t>
      </w:r>
    </w:p>
    <w:p w14:paraId="181B19FA">
      <w:pPr>
        <w:spacing w:line="360" w:lineRule="auto"/>
        <w:ind w:firstLine="480" w:firstLineChars="200"/>
        <w:contextualSpacing/>
        <w:rPr>
          <w:rFonts w:hint="eastAsia"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（9）系统部署及培训：进行日常维护，保障系统平稳运行。</w:t>
      </w:r>
    </w:p>
    <w:p w14:paraId="43F246F7">
      <w:pPr>
        <w:pStyle w:val="4"/>
        <w:numPr>
          <w:ilvl w:val="0"/>
          <w:numId w:val="1"/>
        </w:numPr>
        <w:spacing w:line="360" w:lineRule="auto"/>
        <w:rPr>
          <w:rFonts w:eastAsia="宋体"/>
          <w:bCs/>
          <w:highlight w:val="none"/>
        </w:rPr>
      </w:pPr>
      <w:r>
        <w:rPr>
          <w:rFonts w:hint="eastAsia" w:eastAsia="宋体"/>
          <w:bCs/>
          <w:highlight w:val="none"/>
        </w:rPr>
        <w:t xml:space="preserve"> 设备质保服务：</w:t>
      </w:r>
      <w:r>
        <w:rPr>
          <w:rFonts w:hint="eastAsia" w:eastAsia="宋体"/>
          <w:bCs/>
          <w:highlight w:val="none"/>
          <w:lang w:eastAsia="zh-CN"/>
        </w:rPr>
        <w:t>自项目验收合格之日起提供一年设备免费质保服务</w:t>
      </w:r>
      <w:r>
        <w:rPr>
          <w:rFonts w:hint="eastAsia" w:eastAsia="宋体"/>
          <w:bCs/>
          <w:highlight w:val="none"/>
        </w:rPr>
        <w:t>。</w:t>
      </w:r>
    </w:p>
    <w:p w14:paraId="48E08E6C">
      <w:pPr>
        <w:pStyle w:val="4"/>
        <w:numPr>
          <w:ilvl w:val="0"/>
          <w:numId w:val="1"/>
        </w:numPr>
        <w:spacing w:line="360" w:lineRule="auto"/>
        <w:rPr>
          <w:rFonts w:ascii="Times New Roman" w:hAnsi="Times New Roman" w:eastAsia="宋体" w:cs="Times New Roman"/>
          <w:bCs/>
          <w:iCs/>
          <w:highlight w:val="none"/>
        </w:rPr>
      </w:pPr>
      <w:r>
        <w:rPr>
          <w:rFonts w:ascii="Times New Roman" w:hAnsi="Times New Roman" w:eastAsia="宋体" w:cs="Times New Roman"/>
          <w:bCs/>
          <w:iCs/>
          <w:highlight w:val="none"/>
        </w:rPr>
        <w:t>软件维保服务</w:t>
      </w:r>
      <w:r>
        <w:rPr>
          <w:rFonts w:hint="eastAsia" w:ascii="Times New Roman" w:hAnsi="Times New Roman" w:eastAsia="宋体" w:cs="Times New Roman"/>
          <w:bCs/>
          <w:iCs/>
          <w:highlight w:val="none"/>
        </w:rPr>
        <w:t>：自项目验收合格之日起提供一年软件免费维保服务。</w:t>
      </w:r>
    </w:p>
    <w:p w14:paraId="17D9524C">
      <w:pPr>
        <w:spacing w:line="360" w:lineRule="auto"/>
        <w:contextualSpacing/>
        <w:rPr>
          <w:rFonts w:hint="eastAsia" w:ascii="Times New Roman" w:hAnsi="Times New Roman" w:eastAsia="宋体" w:cs="Times New Roman"/>
          <w:b/>
          <w:iCs/>
          <w:color w:val="FF0000"/>
          <w:sz w:val="24"/>
          <w:highlight w:val="none"/>
        </w:rPr>
      </w:pPr>
      <w:r>
        <w:rPr>
          <w:rFonts w:hint="eastAsia" w:ascii="Times New Roman" w:hAnsi="Times New Roman" w:eastAsia="宋体" w:cs="Times New Roman"/>
          <w:b/>
          <w:iCs/>
          <w:color w:val="FF0000"/>
          <w:sz w:val="24"/>
          <w:highlight w:val="none"/>
        </w:rPr>
        <w:t>★</w:t>
      </w:r>
      <w:r>
        <w:rPr>
          <w:rFonts w:hint="eastAsia" w:ascii="Times New Roman" w:hAnsi="Times New Roman" w:eastAsia="宋体" w:cs="Times New Roman"/>
          <w:b/>
          <w:iCs/>
          <w:color w:val="FF0000"/>
          <w:sz w:val="24"/>
          <w:highlight w:val="none"/>
          <w:lang w:val="en-US" w:eastAsia="zh-CN"/>
        </w:rPr>
        <w:t>4</w:t>
      </w:r>
      <w:r>
        <w:rPr>
          <w:rFonts w:hint="eastAsia" w:ascii="Times New Roman" w:hAnsi="Times New Roman" w:eastAsia="宋体" w:cs="Times New Roman"/>
          <w:b/>
          <w:iCs/>
          <w:color w:val="FF0000"/>
          <w:sz w:val="24"/>
          <w:highlight w:val="none"/>
        </w:rPr>
        <w:t>. 供应商须承诺本次采购的溧阳市自然资源违法行为“实时智能监管系统”平台能够与采购人现有平台实现无缝对接（响应文件中提供书面承诺书（格式自拟）并加盖供应商公章，否则作无效标处理）。签订合同前，采购人将根据项目要求及供应商提供的承诺书对其平台对接能力进行测试，若测试后发现供应商提供虚假承诺，无法达到采购文件要求，采购人有权取消其中标资格，顺延第二中标候选人为中标人。平台对接及测试等相关费用已包含在投标报价中，投标人须综合考虑。</w:t>
      </w:r>
    </w:p>
    <w:p w14:paraId="3461C7D1">
      <w:pPr>
        <w:spacing w:line="360" w:lineRule="auto"/>
        <w:contextualSpacing/>
        <w:rPr>
          <w:rFonts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lang w:val="en-US" w:eastAsia="zh-CN"/>
        </w:rPr>
        <w:t>5</w:t>
      </w:r>
      <w:r>
        <w:rPr>
          <w:rFonts w:hint="eastAsia" w:ascii="Times New Roman" w:hAnsi="Times New Roman" w:eastAsia="宋体" w:cs="Times New Roman"/>
          <w:bCs/>
          <w:iCs/>
          <w:sz w:val="24"/>
          <w:highlight w:val="none"/>
        </w:rPr>
        <w:t>. 服务标准</w:t>
      </w:r>
    </w:p>
    <w:p w14:paraId="70FAABD4">
      <w:pPr>
        <w:spacing w:line="360" w:lineRule="auto"/>
        <w:ind w:firstLine="480" w:firstLineChars="200"/>
        <w:contextualSpacing/>
        <w:rPr>
          <w:rFonts w:ascii="Times New Roman" w:hAnsi="Times New Roman" w:eastAsia="宋体" w:cs="Times New Roman"/>
          <w:bCs/>
          <w:iCs/>
          <w:sz w:val="24"/>
          <w:highlight w:val="none"/>
        </w:rPr>
      </w:pPr>
      <w:r>
        <w:rPr>
          <w:rFonts w:hint="eastAsia" w:ascii="Times New Roman" w:hAnsi="Times New Roman" w:eastAsia="宋体" w:cs="Times New Roman"/>
          <w:bCs/>
          <w:iCs/>
          <w:sz w:val="24"/>
          <w:highlight w:val="none"/>
        </w:rPr>
        <w:t>成交供应商提供的服务需达到本磋商文件所述的技术要求且通过采购人验收。</w:t>
      </w:r>
    </w:p>
    <w:p w14:paraId="135D0B6A">
      <w:pPr>
        <w:spacing w:line="360" w:lineRule="auto"/>
        <w:rPr>
          <w:rFonts w:ascii="宋体" w:hAnsi="Times New Roman" w:eastAsia="宋体" w:cs="Times New Roman"/>
          <w:sz w:val="24"/>
          <w:highlight w:val="none"/>
        </w:rPr>
      </w:pPr>
      <w:r>
        <w:rPr>
          <w:rFonts w:hint="eastAsia" w:ascii="宋体" w:hAnsi="Times New Roman" w:eastAsia="宋体" w:cs="Times New Roman"/>
          <w:sz w:val="24"/>
          <w:highlight w:val="none"/>
          <w:lang w:val="en-US" w:eastAsia="zh-CN"/>
        </w:rPr>
        <w:t>6</w:t>
      </w:r>
      <w:r>
        <w:rPr>
          <w:rFonts w:ascii="宋体" w:hAnsi="Times New Roman" w:eastAsia="宋体" w:cs="Times New Roman"/>
          <w:sz w:val="24"/>
          <w:highlight w:val="none"/>
        </w:rPr>
        <w:t>. 其他要求</w:t>
      </w:r>
    </w:p>
    <w:p w14:paraId="3D995982">
      <w:pPr>
        <w:spacing w:line="360" w:lineRule="auto"/>
        <w:ind w:firstLine="482"/>
        <w:rPr>
          <w:rFonts w:ascii="宋体" w:hAnsi="Times New Roman" w:eastAsia="宋体" w:cs="Times New Roman"/>
          <w:sz w:val="24"/>
          <w:highlight w:val="none"/>
        </w:rPr>
      </w:pPr>
      <w:r>
        <w:rPr>
          <w:rFonts w:hint="eastAsia" w:ascii="宋体" w:hAnsi="Times New Roman" w:eastAsia="宋体" w:cs="Times New Roman"/>
          <w:sz w:val="24"/>
          <w:highlight w:val="none"/>
          <w:lang w:val="en-US" w:eastAsia="zh-CN"/>
        </w:rPr>
        <w:t>6</w:t>
      </w:r>
      <w:r>
        <w:rPr>
          <w:rFonts w:ascii="宋体" w:hAnsi="Times New Roman" w:eastAsia="宋体" w:cs="Times New Roman"/>
          <w:sz w:val="24"/>
          <w:highlight w:val="none"/>
        </w:rPr>
        <w:t>.1 知识产权：采购人在使用成果任何部分时不受任何关于侵犯所有权和工业产权、著作权（版权）等知识产权的指控（采购人是免责的）。如果任何第三方提出侵权指控，成交供应商承担一切与之有关的责任。</w:t>
      </w:r>
    </w:p>
    <w:p w14:paraId="7B2E6334">
      <w:pPr>
        <w:spacing w:line="360" w:lineRule="auto"/>
        <w:ind w:firstLine="482"/>
        <w:rPr>
          <w:rFonts w:hint="eastAsia" w:ascii="Times New Roman" w:hAnsi="Times New Roman" w:eastAsia="宋体" w:cs="Times New Roman"/>
          <w:b/>
          <w:iCs/>
          <w:sz w:val="24"/>
          <w:highlight w:val="none"/>
        </w:rPr>
      </w:pPr>
      <w:r>
        <w:rPr>
          <w:rFonts w:hint="eastAsia" w:ascii="宋体" w:hAnsi="Times New Roman" w:eastAsia="宋体" w:cs="Times New Roman"/>
          <w:sz w:val="24"/>
          <w:highlight w:val="none"/>
          <w:lang w:val="en-US" w:eastAsia="zh-CN"/>
        </w:rPr>
        <w:t>6.</w:t>
      </w:r>
      <w:r>
        <w:rPr>
          <w:rFonts w:ascii="宋体" w:hAnsi="Times New Roman" w:eastAsia="宋体" w:cs="Times New Roman"/>
          <w:sz w:val="24"/>
          <w:highlight w:val="none"/>
        </w:rPr>
        <w:t>2 在项目实施或服务过程中发生的人员事故等一切责任均由成交供应商负责，采购人不承担任何法律及经济责任。</w:t>
      </w:r>
    </w:p>
    <w:p w14:paraId="5AD2AC56">
      <w:pPr>
        <w:spacing w:line="360" w:lineRule="auto"/>
        <w:ind w:firstLine="482"/>
      </w:pPr>
      <w:r>
        <w:rPr>
          <w:rFonts w:hint="eastAsia" w:ascii="宋体" w:hAnsi="Times New Roman" w:eastAsia="宋体" w:cs="Times New Roman"/>
          <w:b/>
          <w:bCs/>
          <w:sz w:val="24"/>
          <w:highlight w:val="none"/>
          <w:lang w:val="en-US" w:eastAsia="zh-CN"/>
        </w:rPr>
        <w:t>7</w:t>
      </w:r>
      <w:r>
        <w:rPr>
          <w:rFonts w:hint="eastAsia" w:ascii="宋体" w:hAnsi="Times New Roman" w:eastAsia="宋体" w:cs="Times New Roman"/>
          <w:b/>
          <w:bCs/>
          <w:sz w:val="24"/>
          <w:highlight w:val="none"/>
        </w:rPr>
        <w:t>. 成交供应商须在合同签订后3天内向采购人提供与投标所报电子文件一致的纸质投标书3份，并按要求签字盖章。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84C80"/>
    <w:multiLevelType w:val="singleLevel"/>
    <w:tmpl w:val="B6D84C8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66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2025-12-19T02:42:26Z</dcterms:created>
  <dc:creator>Administrator</dc:creator>
  <cp:lastModifiedBy>Y</cp:lastModifiedBy>
  <dcterms:modified xsi:type="dcterms:W3CDTF">2025-12-19T02:43:02Z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eyJoZGlkIjoiY2JlNTBmMDU5OWZiMjU5OWY5YmEyMGNiNDhlYWI5ZjEiLCJ1c2VySWQiOiIyNTk3NjgyOSJ9</vt:lpwstr>
  </property>
  <property fmtid="{D5CDD505-2E9C-101B-9397-08002B2CF9AE}" pid="4" name="ICV">
    <vt:lpwstr>6924A6D20BE4427289E2D4B88465E91B_12</vt:lpwstr>
  </property>
</Properties>
</file>