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0BAA1">
      <w:pPr>
        <w:pStyle w:val="23"/>
        <w:ind w:left="0"/>
        <w:rPr>
          <w:rFonts w:ascii="宋体" w:hAnsi="宋体" w:cs="宋体"/>
          <w:b/>
          <w:bCs/>
          <w:color w:val="auto"/>
          <w:sz w:val="48"/>
          <w:szCs w:val="48"/>
          <w:highlight w:val="none"/>
        </w:rPr>
      </w:pPr>
      <w:bookmarkStart w:id="20" w:name="_GoBack"/>
      <w:bookmarkEnd w:id="20"/>
    </w:p>
    <w:p w14:paraId="111B181C">
      <w:pPr>
        <w:jc w:val="center"/>
        <w:rPr>
          <w:rFonts w:hint="eastAsia" w:ascii="新宋体" w:hAnsi="新宋体" w:eastAsia="新宋体" w:cs="新宋体"/>
          <w:b/>
          <w:bCs/>
          <w:color w:val="auto"/>
          <w:spacing w:val="76"/>
          <w:sz w:val="48"/>
          <w:szCs w:val="48"/>
          <w:highlight w:val="none"/>
        </w:rPr>
      </w:pPr>
      <w:r>
        <w:rPr>
          <w:rFonts w:hint="eastAsia" w:ascii="新宋体" w:hAnsi="新宋体" w:eastAsia="新宋体" w:cs="新宋体"/>
          <w:b/>
          <w:bCs/>
          <w:color w:val="auto"/>
          <w:spacing w:val="76"/>
          <w:sz w:val="48"/>
          <w:szCs w:val="48"/>
          <w:highlight w:val="none"/>
          <w:lang w:eastAsia="zh-CN"/>
        </w:rPr>
        <w:t>大彭镇2025-2027年农村垃圾分类运营服务项目</w:t>
      </w:r>
    </w:p>
    <w:p w14:paraId="367D1F07">
      <w:pPr>
        <w:rPr>
          <w:highlight w:val="none"/>
        </w:rPr>
      </w:pPr>
    </w:p>
    <w:p w14:paraId="291528AB">
      <w:pPr>
        <w:pStyle w:val="2"/>
        <w:rPr>
          <w:highlight w:val="none"/>
        </w:rPr>
      </w:pPr>
    </w:p>
    <w:p w14:paraId="0BB4313D">
      <w:pPr>
        <w:pStyle w:val="2"/>
        <w:rPr>
          <w:highlight w:val="none"/>
        </w:rPr>
      </w:pPr>
    </w:p>
    <w:p w14:paraId="04828121">
      <w:pPr>
        <w:rPr>
          <w:highlight w:val="none"/>
        </w:rPr>
      </w:pPr>
    </w:p>
    <w:p w14:paraId="7203CAE1">
      <w:pPr>
        <w:jc w:val="center"/>
        <w:rPr>
          <w:rFonts w:hint="eastAsia" w:ascii="宋体" w:hAnsi="宋体" w:eastAsia="宋体" w:cs="宋体"/>
          <w:b/>
          <w:color w:val="auto"/>
          <w:spacing w:val="76"/>
          <w:sz w:val="96"/>
          <w:szCs w:val="96"/>
          <w:highlight w:val="none"/>
        </w:rPr>
      </w:pPr>
      <w:r>
        <w:rPr>
          <w:rFonts w:hint="eastAsia" w:ascii="宋体" w:hAnsi="宋体" w:cs="宋体"/>
          <w:b/>
          <w:color w:val="auto"/>
          <w:spacing w:val="76"/>
          <w:sz w:val="96"/>
          <w:szCs w:val="96"/>
          <w:highlight w:val="none"/>
          <w:lang w:eastAsia="zh-CN"/>
        </w:rPr>
        <w:t>竞争性</w:t>
      </w:r>
      <w:r>
        <w:rPr>
          <w:rFonts w:hint="eastAsia" w:ascii="宋体" w:hAnsi="宋体" w:eastAsia="宋体" w:cs="宋体"/>
          <w:b/>
          <w:color w:val="auto"/>
          <w:spacing w:val="76"/>
          <w:sz w:val="96"/>
          <w:szCs w:val="96"/>
          <w:highlight w:val="none"/>
          <w:lang w:eastAsia="zh-CN"/>
        </w:rPr>
        <w:t>磋商文件</w:t>
      </w:r>
    </w:p>
    <w:p w14:paraId="40145C3C">
      <w:pPr>
        <w:jc w:val="center"/>
        <w:rPr>
          <w:rFonts w:ascii="宋体" w:hAnsi="宋体"/>
          <w:b/>
          <w:color w:val="auto"/>
          <w:sz w:val="32"/>
          <w:highlight w:val="none"/>
        </w:rPr>
      </w:pPr>
    </w:p>
    <w:p w14:paraId="50F9B4E9">
      <w:pPr>
        <w:pStyle w:val="2"/>
        <w:rPr>
          <w:highlight w:val="none"/>
        </w:rPr>
      </w:pPr>
    </w:p>
    <w:p w14:paraId="7A307AF3">
      <w:pPr>
        <w:ind w:firstLine="420"/>
        <w:jc w:val="center"/>
        <w:rPr>
          <w:rFonts w:ascii="宋体" w:hAnsi="宋体" w:eastAsia="宋体" w:cs="宋体"/>
          <w:color w:val="auto"/>
          <w:szCs w:val="21"/>
          <w:highlight w:val="none"/>
        </w:rPr>
      </w:pPr>
      <w:r>
        <w:rPr>
          <w:rFonts w:ascii="宋体" w:hAnsi="宋体"/>
          <w:b/>
          <w:color w:val="auto"/>
          <w:sz w:val="32"/>
          <w:highlight w:val="none"/>
        </w:rPr>
        <w:t>项目编号：</w:t>
      </w:r>
      <w:r>
        <w:rPr>
          <w:rFonts w:hint="eastAsia" w:ascii="宋体" w:hAnsi="宋体"/>
          <w:b/>
          <w:color w:val="auto"/>
          <w:sz w:val="32"/>
          <w:highlight w:val="none"/>
          <w:lang w:val="en-US" w:eastAsia="zh-CN"/>
        </w:rPr>
        <w:t>JSZC-320312-BZDL-C2025-0058</w:t>
      </w:r>
    </w:p>
    <w:p w14:paraId="53D60E55">
      <w:pPr>
        <w:ind w:firstLine="420"/>
        <w:jc w:val="center"/>
        <w:rPr>
          <w:rFonts w:ascii="宋体" w:hAnsi="宋体" w:eastAsia="宋体" w:cs="宋体"/>
          <w:color w:val="auto"/>
          <w:szCs w:val="21"/>
          <w:highlight w:val="none"/>
        </w:rPr>
      </w:pPr>
      <w:r>
        <w:rPr>
          <w:rFonts w:hint="eastAsia" w:ascii="宋体" w:hAnsi="宋体" w:eastAsia="宋体" w:cs="宋体"/>
          <w:color w:val="auto"/>
          <w:highlight w:val="none"/>
          <w:lang w:eastAsia="zh-CN"/>
        </w:rPr>
        <w:drawing>
          <wp:inline distT="0" distB="0" distL="0" distR="0">
            <wp:extent cx="2238375" cy="2247900"/>
            <wp:effectExtent l="0" t="0" r="9525" b="0"/>
            <wp:docPr id="2" name="图片 1" descr="RK1A{YH7V$SY3~7SMGK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RK1A{YH7V$SY3~7SMGKL{}5"/>
                    <pic:cNvPicPr>
                      <a:picLocks noChangeAspect="1"/>
                    </pic:cNvPicPr>
                  </pic:nvPicPr>
                  <pic:blipFill>
                    <a:blip r:embed="rId7"/>
                    <a:stretch>
                      <a:fillRect/>
                    </a:stretch>
                  </pic:blipFill>
                  <pic:spPr>
                    <a:xfrm>
                      <a:off x="0" y="0"/>
                      <a:ext cx="2238375" cy="2247900"/>
                    </a:xfrm>
                    <a:prstGeom prst="rect">
                      <a:avLst/>
                    </a:prstGeom>
                    <a:noFill/>
                    <a:ln>
                      <a:noFill/>
                    </a:ln>
                  </pic:spPr>
                </pic:pic>
              </a:graphicData>
            </a:graphic>
          </wp:inline>
        </w:drawing>
      </w:r>
    </w:p>
    <w:p w14:paraId="0C684BF9">
      <w:pPr>
        <w:jc w:val="both"/>
        <w:rPr>
          <w:rFonts w:hint="eastAsia" w:ascii="宋体" w:hAnsi="宋体" w:eastAsia="宋体" w:cs="宋体"/>
          <w:color w:val="auto"/>
          <w:highlight w:val="none"/>
        </w:rPr>
      </w:pPr>
      <w:r>
        <w:rPr>
          <w:rFonts w:hint="eastAsia" w:ascii="宋体" w:hAnsi="宋体" w:cs="宋体"/>
          <w:color w:val="auto"/>
          <w:highlight w:val="none"/>
          <w:lang w:val="en-US" w:eastAsia="zh-CN"/>
        </w:rPr>
        <w:t xml:space="preserve">                             </w:t>
      </w:r>
    </w:p>
    <w:p w14:paraId="4A3F6847">
      <w:pPr>
        <w:pStyle w:val="69"/>
        <w:ind w:left="0" w:firstLine="0"/>
        <w:rPr>
          <w:rFonts w:hint="eastAsia" w:ascii="宋体" w:hAnsi="宋体" w:eastAsia="宋体" w:cs="宋体"/>
          <w:color w:val="auto"/>
          <w:highlight w:val="none"/>
        </w:rPr>
      </w:pPr>
    </w:p>
    <w:p w14:paraId="0C373B29">
      <w:pPr>
        <w:pStyle w:val="71"/>
        <w:rPr>
          <w:color w:val="auto"/>
          <w:highlight w:val="none"/>
        </w:rPr>
      </w:pPr>
    </w:p>
    <w:p w14:paraId="4139F4C5">
      <w:pPr>
        <w:jc w:val="center"/>
        <w:rPr>
          <w:rFonts w:ascii="宋体" w:hAnsi="宋体" w:eastAsia="宋体" w:cs="宋体"/>
          <w:color w:val="auto"/>
          <w:highlight w:val="none"/>
        </w:rPr>
      </w:pPr>
    </w:p>
    <w:tbl>
      <w:tblPr>
        <w:tblStyle w:val="51"/>
        <w:tblW w:w="0" w:type="auto"/>
        <w:jc w:val="center"/>
        <w:tblLayout w:type="fixed"/>
        <w:tblCellMar>
          <w:top w:w="0" w:type="dxa"/>
          <w:left w:w="108" w:type="dxa"/>
          <w:bottom w:w="0" w:type="dxa"/>
          <w:right w:w="108" w:type="dxa"/>
        </w:tblCellMar>
      </w:tblPr>
      <w:tblGrid>
        <w:gridCol w:w="2235"/>
        <w:gridCol w:w="283"/>
        <w:gridCol w:w="4820"/>
      </w:tblGrid>
      <w:tr w14:paraId="22EF9232">
        <w:tblPrEx>
          <w:tblCellMar>
            <w:top w:w="0" w:type="dxa"/>
            <w:left w:w="108" w:type="dxa"/>
            <w:bottom w:w="0" w:type="dxa"/>
            <w:right w:w="108" w:type="dxa"/>
          </w:tblCellMar>
        </w:tblPrEx>
        <w:trPr>
          <w:trHeight w:val="730" w:hRule="atLeast"/>
          <w:jc w:val="center"/>
        </w:trPr>
        <w:tc>
          <w:tcPr>
            <w:tcW w:w="2235" w:type="dxa"/>
            <w:noWrap w:val="0"/>
          </w:tcPr>
          <w:p w14:paraId="1F0BC8B1">
            <w:pPr>
              <w:jc w:val="both"/>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采购人</w:t>
            </w:r>
          </w:p>
        </w:tc>
        <w:tc>
          <w:tcPr>
            <w:tcW w:w="283" w:type="dxa"/>
            <w:noWrap w:val="0"/>
          </w:tcPr>
          <w:p w14:paraId="7C106FFA">
            <w:pPr>
              <w:jc w:val="both"/>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w:t>
            </w:r>
          </w:p>
        </w:tc>
        <w:tc>
          <w:tcPr>
            <w:tcW w:w="4820" w:type="dxa"/>
            <w:noWrap w:val="0"/>
          </w:tcPr>
          <w:p w14:paraId="646589EC">
            <w:pPr>
              <w:jc w:val="both"/>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eastAsia="zh-CN"/>
              </w:rPr>
              <w:t>徐州市铜山区大彭镇人民政府</w:t>
            </w:r>
          </w:p>
        </w:tc>
      </w:tr>
      <w:tr w14:paraId="22226DA4">
        <w:tblPrEx>
          <w:tblCellMar>
            <w:top w:w="0" w:type="dxa"/>
            <w:left w:w="108" w:type="dxa"/>
            <w:bottom w:w="0" w:type="dxa"/>
            <w:right w:w="108" w:type="dxa"/>
          </w:tblCellMar>
        </w:tblPrEx>
        <w:trPr>
          <w:trHeight w:val="712" w:hRule="atLeast"/>
          <w:jc w:val="center"/>
        </w:trPr>
        <w:tc>
          <w:tcPr>
            <w:tcW w:w="2235" w:type="dxa"/>
            <w:noWrap w:val="0"/>
          </w:tcPr>
          <w:p w14:paraId="71437476">
            <w:pPr>
              <w:jc w:val="both"/>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采购代理机构</w:t>
            </w:r>
          </w:p>
        </w:tc>
        <w:tc>
          <w:tcPr>
            <w:tcW w:w="283" w:type="dxa"/>
            <w:noWrap w:val="0"/>
          </w:tcPr>
          <w:p w14:paraId="1C302D80">
            <w:pPr>
              <w:jc w:val="both"/>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w:t>
            </w:r>
          </w:p>
        </w:tc>
        <w:tc>
          <w:tcPr>
            <w:tcW w:w="4820" w:type="dxa"/>
            <w:noWrap w:val="0"/>
          </w:tcPr>
          <w:p w14:paraId="6A57D5F8">
            <w:pPr>
              <w:jc w:val="both"/>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江苏博智工程咨询有限公司</w:t>
            </w:r>
          </w:p>
        </w:tc>
      </w:tr>
    </w:tbl>
    <w:p w14:paraId="3EC9E569">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二〇二</w:t>
      </w:r>
      <w:r>
        <w:rPr>
          <w:rFonts w:hint="eastAsia" w:ascii="宋体" w:hAnsi="宋体" w:eastAsia="宋体" w:cs="宋体"/>
          <w:b/>
          <w:color w:val="auto"/>
          <w:sz w:val="36"/>
          <w:szCs w:val="36"/>
          <w:highlight w:val="none"/>
          <w:lang w:val="en-US" w:eastAsia="zh-CN"/>
        </w:rPr>
        <w:t>五</w:t>
      </w:r>
      <w:r>
        <w:rPr>
          <w:rFonts w:hint="eastAsia" w:ascii="宋体" w:hAnsi="宋体" w:eastAsia="宋体" w:cs="宋体"/>
          <w:b/>
          <w:color w:val="auto"/>
          <w:sz w:val="36"/>
          <w:szCs w:val="36"/>
          <w:highlight w:val="none"/>
          <w:lang w:eastAsia="zh-CN"/>
        </w:rPr>
        <w:t>年</w:t>
      </w:r>
      <w:r>
        <w:rPr>
          <w:rFonts w:hint="eastAsia" w:ascii="宋体" w:hAnsi="宋体" w:cs="宋体"/>
          <w:b/>
          <w:color w:val="auto"/>
          <w:sz w:val="36"/>
          <w:szCs w:val="36"/>
          <w:highlight w:val="none"/>
          <w:lang w:val="en-US" w:eastAsia="zh-CN"/>
        </w:rPr>
        <w:t>十</w:t>
      </w:r>
      <w:r>
        <w:rPr>
          <w:rFonts w:hint="eastAsia" w:ascii="宋体" w:hAnsi="宋体" w:eastAsia="宋体" w:cs="宋体"/>
          <w:b/>
          <w:color w:val="auto"/>
          <w:sz w:val="36"/>
          <w:szCs w:val="36"/>
          <w:highlight w:val="none"/>
          <w:lang w:eastAsia="zh-CN"/>
        </w:rPr>
        <w:t>月</w:t>
      </w:r>
    </w:p>
    <w:p w14:paraId="1902819E">
      <w:pPr>
        <w:spacing w:line="360" w:lineRule="auto"/>
        <w:jc w:val="center"/>
        <w:rPr>
          <w:rFonts w:hint="eastAsia" w:ascii="宋体" w:hAnsi="宋体" w:cs="宋体"/>
          <w:b/>
          <w:color w:val="auto"/>
          <w:sz w:val="36"/>
          <w:highlight w:val="none"/>
        </w:rPr>
      </w:pPr>
    </w:p>
    <w:p w14:paraId="15224FF3">
      <w:pPr>
        <w:spacing w:line="360" w:lineRule="auto"/>
        <w:jc w:val="center"/>
        <w:rPr>
          <w:rFonts w:hint="eastAsia" w:ascii="宋体" w:hAnsi="宋体" w:cs="宋体"/>
          <w:b/>
          <w:color w:val="auto"/>
          <w:sz w:val="36"/>
          <w:highlight w:val="none"/>
        </w:rPr>
        <w:sectPr>
          <w:footerReference r:id="rId5" w:type="first"/>
          <w:headerReference r:id="rId3" w:type="default"/>
          <w:footerReference r:id="rId4" w:type="default"/>
          <w:pgSz w:w="11906" w:h="16838"/>
          <w:pgMar w:top="1440" w:right="1213" w:bottom="1440" w:left="1327" w:header="851" w:footer="992" w:gutter="0"/>
          <w:cols w:space="720" w:num="1"/>
          <w:titlePg/>
          <w:docGrid w:linePitch="360" w:charSpace="0"/>
        </w:sectPr>
      </w:pPr>
    </w:p>
    <w:p w14:paraId="4BAB6DCD">
      <w:pPr>
        <w:spacing w:line="360" w:lineRule="auto"/>
        <w:jc w:val="center"/>
        <w:rPr>
          <w:rFonts w:ascii="宋体" w:hAnsi="宋体" w:cs="宋体"/>
          <w:b/>
          <w:color w:val="auto"/>
          <w:sz w:val="36"/>
          <w:highlight w:val="none"/>
        </w:rPr>
      </w:pPr>
      <w:r>
        <w:rPr>
          <w:rFonts w:hint="eastAsia" w:ascii="宋体" w:hAnsi="宋体" w:cs="宋体"/>
          <w:b/>
          <w:color w:val="auto"/>
          <w:sz w:val="36"/>
          <w:highlight w:val="none"/>
        </w:rPr>
        <w:t>竞争性磋商文件</w:t>
      </w:r>
    </w:p>
    <w:p w14:paraId="6F692401">
      <w:pPr>
        <w:tabs>
          <w:tab w:val="left" w:pos="3240"/>
        </w:tabs>
        <w:spacing w:line="360" w:lineRule="auto"/>
        <w:rPr>
          <w:rFonts w:ascii="宋体" w:hAnsi="宋体" w:cs="宋体"/>
          <w:color w:val="auto"/>
          <w:sz w:val="24"/>
          <w:highlight w:val="none"/>
        </w:rPr>
      </w:pPr>
      <w:r>
        <w:rPr>
          <w:rFonts w:hint="eastAsia" w:ascii="宋体" w:hAnsi="宋体" w:cs="宋体"/>
          <w:color w:val="auto"/>
          <w:sz w:val="24"/>
          <w:highlight w:val="none"/>
        </w:rPr>
        <w:t>（供应商）：</w:t>
      </w:r>
    </w:p>
    <w:p w14:paraId="7D50F97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按照《中华人民共和国政府采购法》、《中华人民共和国政府采购法实施条例》及《政府采购竞争性磋商采购方式管理暂行办法》的规定，</w:t>
      </w:r>
      <w:r>
        <w:rPr>
          <w:rFonts w:hint="eastAsia" w:ascii="宋体" w:hAnsi="宋体" w:cs="宋体"/>
          <w:color w:val="auto"/>
          <w:sz w:val="24"/>
          <w:highlight w:val="none"/>
          <w:u w:val="single"/>
          <w:lang w:eastAsia="zh-CN"/>
        </w:rPr>
        <w:t>江苏博智工程咨询有限公司</w:t>
      </w:r>
      <w:r>
        <w:rPr>
          <w:rFonts w:hint="eastAsia" w:ascii="宋体" w:hAnsi="宋体" w:cs="宋体"/>
          <w:color w:val="auto"/>
          <w:sz w:val="24"/>
          <w:highlight w:val="none"/>
        </w:rPr>
        <w:t>对</w:t>
      </w:r>
      <w:r>
        <w:rPr>
          <w:rFonts w:hint="eastAsia" w:ascii="宋体" w:hAnsi="宋体" w:cs="宋体"/>
          <w:color w:val="auto"/>
          <w:sz w:val="24"/>
          <w:highlight w:val="none"/>
          <w:u w:val="single"/>
          <w:lang w:eastAsia="zh-CN"/>
        </w:rPr>
        <w:t>大彭镇2025-2027年农村垃圾分类运营服务项目</w:t>
      </w:r>
      <w:r>
        <w:rPr>
          <w:rFonts w:hint="eastAsia" w:ascii="宋体" w:hAnsi="宋体" w:cs="宋体"/>
          <w:color w:val="auto"/>
          <w:sz w:val="24"/>
          <w:highlight w:val="none"/>
        </w:rPr>
        <w:t>采取竞争性磋商采购方式进行采购。如贵单位有意与本公司合作，请按以下竞争性磋商文件（以下简称磋商文件）要求参加磋商。</w:t>
      </w:r>
    </w:p>
    <w:p w14:paraId="6630F798">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第一章 项目说明</w:t>
      </w:r>
    </w:p>
    <w:p w14:paraId="046FE479">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一、采购人：</w:t>
      </w:r>
      <w:r>
        <w:rPr>
          <w:rFonts w:hint="eastAsia" w:ascii="宋体" w:hAnsi="宋体" w:cs="宋体"/>
          <w:color w:val="auto"/>
          <w:sz w:val="24"/>
          <w:highlight w:val="none"/>
          <w:lang w:eastAsia="zh-CN"/>
        </w:rPr>
        <w:t>徐州市铜山区大彭镇人民政府</w:t>
      </w:r>
    </w:p>
    <w:p w14:paraId="1E4DD354">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二、项目名称：</w:t>
      </w:r>
      <w:r>
        <w:rPr>
          <w:rFonts w:hint="eastAsia" w:ascii="宋体" w:hAnsi="宋体" w:cs="宋体"/>
          <w:color w:val="auto"/>
          <w:sz w:val="24"/>
          <w:highlight w:val="none"/>
          <w:lang w:eastAsia="zh-CN"/>
        </w:rPr>
        <w:t>大彭镇2025-2027年农村垃圾分类运营服务项目</w:t>
      </w:r>
    </w:p>
    <w:p w14:paraId="325EF5D6">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三、项目编号：</w:t>
      </w:r>
      <w:r>
        <w:rPr>
          <w:rFonts w:hint="eastAsia" w:ascii="宋体" w:hAnsi="宋体" w:cs="宋体"/>
          <w:color w:val="auto"/>
          <w:sz w:val="24"/>
          <w:highlight w:val="none"/>
          <w:lang w:eastAsia="zh-CN"/>
        </w:rPr>
        <w:t>JSZC-320312-BZDL-C2025-0058</w:t>
      </w:r>
      <w:r>
        <w:rPr>
          <w:rFonts w:hint="eastAsia" w:ascii="宋体" w:hAnsi="宋体" w:cs="宋体"/>
          <w:color w:val="auto"/>
          <w:sz w:val="24"/>
          <w:highlight w:val="none"/>
        </w:rPr>
        <w:t xml:space="preserve">                                         </w:t>
      </w:r>
    </w:p>
    <w:p w14:paraId="694C216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四、采购邀请：通过发布公告的方式邀请符合相应资格条件的供应商参与竞争性磋商采购活动。</w:t>
      </w:r>
    </w:p>
    <w:p w14:paraId="27F3ECDA">
      <w:pPr>
        <w:widowControl/>
        <w:spacing w:line="360" w:lineRule="auto"/>
        <w:ind w:firstLine="480"/>
        <w:rPr>
          <w:rFonts w:ascii="宋体" w:hAnsi="宋体" w:cs="宋体"/>
          <w:color w:val="auto"/>
          <w:sz w:val="24"/>
          <w:highlight w:val="none"/>
        </w:rPr>
      </w:pPr>
      <w:r>
        <w:rPr>
          <w:rFonts w:hint="eastAsia" w:ascii="宋体" w:hAnsi="宋体" w:cs="宋体"/>
          <w:color w:val="auto"/>
          <w:sz w:val="24"/>
          <w:highlight w:val="none"/>
        </w:rPr>
        <w:t>五、采购方式：本项目采用竞争性磋商采购方式。</w:t>
      </w:r>
    </w:p>
    <w:p w14:paraId="0A30BD05">
      <w:pPr>
        <w:widowControl/>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六、供应商资格条件：见竞争性磋商公告（项目编号：</w:t>
      </w:r>
      <w:r>
        <w:rPr>
          <w:rFonts w:hint="eastAsia" w:ascii="宋体" w:hAnsi="宋体" w:cs="宋体"/>
          <w:color w:val="auto"/>
          <w:sz w:val="24"/>
          <w:highlight w:val="none"/>
          <w:lang w:eastAsia="zh-CN"/>
        </w:rPr>
        <w:t>JSZC-320312-BZDL-C2025-0058</w:t>
      </w:r>
      <w:r>
        <w:rPr>
          <w:rFonts w:hint="eastAsia" w:ascii="宋体" w:hAnsi="宋体" w:cs="宋体"/>
          <w:color w:val="auto"/>
          <w:sz w:val="24"/>
          <w:highlight w:val="none"/>
        </w:rPr>
        <w:t>）。</w:t>
      </w:r>
    </w:p>
    <w:p w14:paraId="537249E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七、采购预算（采购项目预算金额）：见《磋商文件》附件2、《项目要求（采购需求）》。</w:t>
      </w:r>
    </w:p>
    <w:p w14:paraId="3033670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八、采购需求：见《磋商文件》附件2、《项目要求（采购需求）》。</w:t>
      </w:r>
    </w:p>
    <w:p w14:paraId="4EBBED3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九、合同草案条款：见《磋商文件》附件8、《合同草案条款》。</w:t>
      </w:r>
    </w:p>
    <w:p w14:paraId="715B610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十、报价要求</w:t>
      </w:r>
    </w:p>
    <w:p w14:paraId="170F280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1、供应商报价为要约，</w:t>
      </w:r>
      <w:r>
        <w:rPr>
          <w:rFonts w:hint="eastAsia" w:ascii="宋体" w:hAnsi="宋体" w:cs="宋体"/>
          <w:color w:val="auto"/>
          <w:sz w:val="24"/>
          <w:highlight w:val="none"/>
          <w:lang w:eastAsia="zh-CN"/>
        </w:rPr>
        <w:t>江苏博智工程咨询有限公司</w:t>
      </w:r>
      <w:r>
        <w:rPr>
          <w:rFonts w:hint="eastAsia" w:ascii="宋体" w:hAnsi="宋体" w:cs="宋体"/>
          <w:color w:val="auto"/>
          <w:sz w:val="24"/>
          <w:highlight w:val="none"/>
        </w:rPr>
        <w:t>无承诺表示时视为未成交，</w:t>
      </w:r>
      <w:r>
        <w:rPr>
          <w:rFonts w:hint="eastAsia" w:ascii="宋体" w:hAnsi="宋体" w:cs="宋体"/>
          <w:color w:val="auto"/>
          <w:sz w:val="24"/>
          <w:highlight w:val="none"/>
          <w:lang w:eastAsia="zh-CN"/>
        </w:rPr>
        <w:t>江苏博智工程咨询有限公司</w:t>
      </w:r>
      <w:r>
        <w:rPr>
          <w:rFonts w:hint="eastAsia" w:ascii="宋体" w:hAnsi="宋体" w:cs="宋体"/>
          <w:color w:val="auto"/>
          <w:sz w:val="24"/>
          <w:highlight w:val="none"/>
        </w:rPr>
        <w:t>认为必要时可重新进行竞争性磋商采购或采取其它方式采购。</w:t>
      </w:r>
    </w:p>
    <w:p w14:paraId="2DD4832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2、按照《磋商报价表》要求填写首次报价。</w:t>
      </w:r>
    </w:p>
    <w:p w14:paraId="04592C2D">
      <w:pPr>
        <w:spacing w:line="360" w:lineRule="auto"/>
        <w:ind w:right="-57" w:firstLine="480"/>
        <w:rPr>
          <w:rFonts w:ascii="宋体" w:hAnsi="宋体" w:cs="宋体"/>
          <w:color w:val="auto"/>
          <w:sz w:val="24"/>
          <w:highlight w:val="none"/>
        </w:rPr>
      </w:pPr>
      <w:r>
        <w:rPr>
          <w:rFonts w:hint="eastAsia" w:ascii="宋体" w:hAnsi="宋体" w:cs="宋体"/>
          <w:color w:val="auto"/>
          <w:sz w:val="24"/>
          <w:highlight w:val="none"/>
        </w:rPr>
        <w:t>3、报价包含本项目范围内的全部费用。供应商有漏报或不报的，采购人将视为有关费用已包括在本项目的报价中而不予支付。采购人不支付报价以外的任何费用。</w:t>
      </w:r>
    </w:p>
    <w:p w14:paraId="78C433B3">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第二章 磋商保证金</w:t>
      </w:r>
    </w:p>
    <w:p w14:paraId="58C49D4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十一、供应商提交磋商保证金</w:t>
      </w:r>
    </w:p>
    <w:p w14:paraId="52A2FABB">
      <w:pPr>
        <w:spacing w:line="360" w:lineRule="auto"/>
        <w:ind w:right="-57" w:firstLine="480"/>
        <w:rPr>
          <w:rFonts w:ascii="宋体" w:hAnsi="宋体" w:cs="宋体"/>
          <w:color w:val="auto"/>
          <w:sz w:val="24"/>
          <w:highlight w:val="none"/>
        </w:rPr>
      </w:pPr>
      <w:r>
        <w:rPr>
          <w:rFonts w:hint="eastAsia" w:ascii="宋体" w:hAnsi="宋体" w:cs="宋体"/>
          <w:color w:val="auto"/>
          <w:sz w:val="24"/>
          <w:highlight w:val="none"/>
        </w:rPr>
        <w:t>1、磋商保证金交纳数额和形式：不需交纳。</w:t>
      </w:r>
    </w:p>
    <w:p w14:paraId="43442391">
      <w:pPr>
        <w:spacing w:line="360" w:lineRule="auto"/>
        <w:jc w:val="center"/>
        <w:rPr>
          <w:rFonts w:ascii="宋体" w:hAnsi="宋体" w:cs="宋体"/>
          <w:color w:val="auto"/>
          <w:sz w:val="24"/>
          <w:highlight w:val="none"/>
        </w:rPr>
      </w:pPr>
      <w:r>
        <w:rPr>
          <w:rFonts w:hint="eastAsia" w:ascii="宋体" w:hAnsi="宋体" w:cs="宋体"/>
          <w:color w:val="auto"/>
          <w:sz w:val="28"/>
          <w:szCs w:val="28"/>
          <w:highlight w:val="none"/>
        </w:rPr>
        <w:t>第三章 响应文件</w:t>
      </w:r>
    </w:p>
    <w:p w14:paraId="60505CF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十二、提交响应文件要求</w:t>
      </w:r>
    </w:p>
    <w:p w14:paraId="12B015E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（一）本项目通过“苏采云”系统进行电子采购，即供应商响应文件从政府采购客户端工具制作并通过“苏采云”系统提交。</w:t>
      </w:r>
    </w:p>
    <w:p w14:paraId="290B596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供应商应当通过“苏采云”系统提交数据电文形式的响应文件（即电子投标）。未进行线上响应文件提交并解密(因“苏采云”系统导致解密失败的除外)的供应商，响应无效。</w:t>
      </w:r>
    </w:p>
    <w:p w14:paraId="7597FB1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CA数字证书”的获取：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14:paraId="679FFD5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使用需要第三方认证的电子签名、数据电文，通过互联网方式提交首次响应文件。即：使用“电子签名认证证书（CA数字证书）”登录“苏采云”系统（网址：http://jszfcg.jsczt.cn/；或进入徐州政府采购网（网址：http://czj.xz.gov.cn/Home/HomeIndex）--业务工作--用户登录，点击“苏采云”进入系统），按照要求通过互联网方式提交首次响应文件。</w:t>
      </w:r>
    </w:p>
    <w:p w14:paraId="5DDB177F">
      <w:pPr>
        <w:pStyle w:val="63"/>
        <w:spacing w:line="360" w:lineRule="auto"/>
        <w:ind w:firstLine="482"/>
        <w:rPr>
          <w:rFonts w:ascii="宋体" w:hAnsi="宋体" w:cs="宋体"/>
          <w:b/>
          <w:color w:val="auto"/>
          <w:sz w:val="24"/>
          <w:szCs w:val="24"/>
          <w:highlight w:val="none"/>
        </w:rPr>
      </w:pPr>
      <w:r>
        <w:rPr>
          <w:rFonts w:hint="eastAsia" w:ascii="宋体" w:hAnsi="宋体" w:cs="宋体"/>
          <w:b/>
          <w:color w:val="auto"/>
          <w:sz w:val="24"/>
          <w:szCs w:val="24"/>
          <w:highlight w:val="none"/>
        </w:rPr>
        <w:t>“苏采云”系统使用要求：</w:t>
      </w:r>
    </w:p>
    <w:p w14:paraId="449F5A3A">
      <w:pPr>
        <w:pStyle w:val="63"/>
        <w:spacing w:line="360" w:lineRule="auto"/>
        <w:ind w:firstLine="480"/>
        <w:rPr>
          <w:rFonts w:ascii="宋体" w:hAnsi="宋体" w:cs="宋体"/>
          <w:b/>
          <w:color w:val="auto"/>
          <w:sz w:val="24"/>
          <w:szCs w:val="24"/>
          <w:highlight w:val="none"/>
        </w:rPr>
      </w:pPr>
      <w:r>
        <w:rPr>
          <w:rFonts w:hint="eastAsia" w:ascii="宋体" w:hAnsi="宋体" w:cs="宋体"/>
          <w:b/>
          <w:color w:val="auto"/>
          <w:sz w:val="24"/>
          <w:szCs w:val="24"/>
          <w:highlight w:val="none"/>
        </w:rPr>
        <w:t>1、使用谷歌浏览器参与不见面开标及磋商环节。</w:t>
      </w:r>
    </w:p>
    <w:p w14:paraId="3BC58836">
      <w:pPr>
        <w:pStyle w:val="63"/>
        <w:spacing w:line="360" w:lineRule="auto"/>
        <w:ind w:firstLine="480"/>
        <w:rPr>
          <w:rFonts w:ascii="宋体" w:hAnsi="宋体" w:cs="宋体"/>
          <w:b/>
          <w:color w:val="auto"/>
          <w:sz w:val="24"/>
          <w:szCs w:val="24"/>
          <w:highlight w:val="none"/>
        </w:rPr>
      </w:pPr>
      <w:r>
        <w:rPr>
          <w:rFonts w:hint="eastAsia" w:ascii="宋体" w:hAnsi="宋体" w:cs="宋体"/>
          <w:b/>
          <w:color w:val="auto"/>
          <w:sz w:val="24"/>
          <w:szCs w:val="24"/>
          <w:highlight w:val="none"/>
        </w:rPr>
        <w:t>2、电脑需提前准备好麦克风、音响，摄像头，提前检查保证能够正常使用。</w:t>
      </w:r>
    </w:p>
    <w:p w14:paraId="3C1DFDB1">
      <w:pPr>
        <w:pStyle w:val="63"/>
        <w:spacing w:line="360" w:lineRule="auto"/>
        <w:ind w:firstLine="480"/>
        <w:rPr>
          <w:rFonts w:ascii="宋体" w:hAnsi="宋体" w:cs="宋体"/>
          <w:b/>
          <w:color w:val="auto"/>
          <w:sz w:val="24"/>
          <w:szCs w:val="24"/>
          <w:highlight w:val="none"/>
        </w:rPr>
      </w:pPr>
      <w:r>
        <w:rPr>
          <w:rFonts w:hint="eastAsia" w:ascii="宋体" w:hAnsi="宋体" w:cs="宋体"/>
          <w:b/>
          <w:color w:val="auto"/>
          <w:sz w:val="24"/>
          <w:szCs w:val="24"/>
          <w:highlight w:val="none"/>
        </w:rPr>
        <w:t>3、操作系统至少win7以上，建议使用win10操作系统。</w:t>
      </w:r>
    </w:p>
    <w:p w14:paraId="15A3C425">
      <w:pPr>
        <w:pStyle w:val="62"/>
        <w:ind w:firstLine="480"/>
        <w:rPr>
          <w:rFonts w:eastAsia="宋体" w:cs="宋体"/>
          <w:color w:val="auto"/>
          <w:highlight w:val="none"/>
        </w:rPr>
      </w:pPr>
      <w:r>
        <w:rPr>
          <w:rFonts w:hint="eastAsia" w:eastAsia="宋体" w:cs="宋体"/>
          <w:b/>
          <w:bCs/>
          <w:color w:val="auto"/>
          <w:highlight w:val="none"/>
        </w:rPr>
        <w:t>（二）首次响应文件提交的截止时间：202</w:t>
      </w:r>
      <w:r>
        <w:rPr>
          <w:rFonts w:hint="eastAsia" w:eastAsia="宋体" w:cs="宋体"/>
          <w:b/>
          <w:bCs/>
          <w:color w:val="auto"/>
          <w:highlight w:val="none"/>
          <w:lang w:val="en-US" w:eastAsia="zh-CN"/>
        </w:rPr>
        <w:t>5</w:t>
      </w:r>
      <w:r>
        <w:rPr>
          <w:rFonts w:hint="eastAsia" w:eastAsia="宋体" w:cs="宋体"/>
          <w:b/>
          <w:bCs/>
          <w:color w:val="auto"/>
          <w:highlight w:val="none"/>
        </w:rPr>
        <w:t>年11月10日10:00（北京时间），</w:t>
      </w:r>
      <w:r>
        <w:rPr>
          <w:rFonts w:hint="eastAsia" w:eastAsia="宋体" w:cs="宋体"/>
          <w:color w:val="auto"/>
          <w:highlight w:val="none"/>
        </w:rPr>
        <w:t>在截止时间后提交的首次响应文件为无效文件，将被拒收。</w:t>
      </w:r>
    </w:p>
    <w:p w14:paraId="2DEAB7CA">
      <w:pPr>
        <w:pStyle w:val="62"/>
        <w:ind w:firstLine="480"/>
        <w:rPr>
          <w:rFonts w:eastAsia="宋体" w:cs="宋体"/>
          <w:b/>
          <w:bCs/>
          <w:color w:val="auto"/>
          <w:highlight w:val="none"/>
        </w:rPr>
      </w:pPr>
      <w:r>
        <w:rPr>
          <w:rFonts w:hint="eastAsia" w:eastAsia="宋体" w:cs="宋体"/>
          <w:b/>
          <w:bCs/>
          <w:color w:val="auto"/>
          <w:highlight w:val="none"/>
        </w:rPr>
        <w:t>（三）首次响应文件提交时间、地点：</w:t>
      </w:r>
    </w:p>
    <w:p w14:paraId="4E57BF2B">
      <w:pPr>
        <w:pStyle w:val="62"/>
        <w:ind w:firstLine="480"/>
        <w:rPr>
          <w:rFonts w:eastAsia="宋体" w:cs="宋体"/>
          <w:color w:val="auto"/>
          <w:highlight w:val="none"/>
        </w:rPr>
      </w:pPr>
      <w:r>
        <w:rPr>
          <w:rFonts w:hint="eastAsia" w:eastAsia="宋体" w:cs="宋体"/>
          <w:color w:val="auto"/>
          <w:highlight w:val="none"/>
        </w:rPr>
        <w:t>1、提交时间</w:t>
      </w:r>
    </w:p>
    <w:p w14:paraId="4E92A1A1">
      <w:pPr>
        <w:pStyle w:val="62"/>
        <w:ind w:firstLine="480"/>
        <w:rPr>
          <w:rFonts w:eastAsia="宋体" w:cs="宋体"/>
          <w:b/>
          <w:bCs/>
          <w:color w:val="auto"/>
          <w:highlight w:val="none"/>
        </w:rPr>
      </w:pPr>
      <w:r>
        <w:rPr>
          <w:rFonts w:hint="eastAsia" w:eastAsia="宋体" w:cs="宋体"/>
          <w:color w:val="auto"/>
          <w:highlight w:val="none"/>
        </w:rPr>
        <w:t>首次响应文件提交的截止时间</w:t>
      </w:r>
      <w:r>
        <w:rPr>
          <w:rFonts w:hint="eastAsia" w:eastAsia="宋体" w:cs="宋体"/>
          <w:b/>
          <w:bCs/>
          <w:color w:val="auto"/>
          <w:highlight w:val="none"/>
        </w:rPr>
        <w:t>202</w:t>
      </w:r>
      <w:r>
        <w:rPr>
          <w:rFonts w:hint="eastAsia" w:eastAsia="宋体" w:cs="宋体"/>
          <w:b/>
          <w:bCs/>
          <w:color w:val="auto"/>
          <w:highlight w:val="none"/>
          <w:lang w:val="en-US" w:eastAsia="zh-CN"/>
        </w:rPr>
        <w:t>5</w:t>
      </w:r>
      <w:r>
        <w:rPr>
          <w:rFonts w:hint="eastAsia" w:eastAsia="宋体" w:cs="宋体"/>
          <w:b/>
          <w:bCs/>
          <w:color w:val="auto"/>
          <w:highlight w:val="none"/>
        </w:rPr>
        <w:t>年11月10日10:00（北京时间）前。</w:t>
      </w:r>
    </w:p>
    <w:p w14:paraId="026033B7">
      <w:pPr>
        <w:pStyle w:val="62"/>
        <w:ind w:firstLine="480"/>
        <w:rPr>
          <w:rFonts w:eastAsia="宋体" w:cs="宋体"/>
          <w:color w:val="auto"/>
          <w:highlight w:val="none"/>
        </w:rPr>
      </w:pPr>
      <w:r>
        <w:rPr>
          <w:rFonts w:hint="eastAsia" w:eastAsia="宋体" w:cs="宋体"/>
          <w:color w:val="auto"/>
          <w:highlight w:val="none"/>
        </w:rPr>
        <w:t>2、提交地点：</w:t>
      </w:r>
    </w:p>
    <w:p w14:paraId="5E6F22D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“苏采云”系统（网址：http://jszfcg.jsczt.cn/）“开标大厅”或进入徐州政府采购网（网址：http://czj.xz.gov.cn/Home/HomeIndex）-业务工作-用户登录，点击“苏采云”进入系统“开标大厅”。 </w:t>
      </w:r>
    </w:p>
    <w:p w14:paraId="45F8C658">
      <w:pPr>
        <w:pStyle w:val="62"/>
        <w:ind w:firstLine="480"/>
        <w:rPr>
          <w:rFonts w:eastAsia="宋体" w:cs="宋体"/>
          <w:b/>
          <w:bCs/>
          <w:color w:val="auto"/>
          <w:highlight w:val="none"/>
        </w:rPr>
      </w:pPr>
      <w:r>
        <w:rPr>
          <w:rFonts w:hint="eastAsia" w:eastAsia="宋体" w:cs="宋体"/>
          <w:b/>
          <w:bCs/>
          <w:color w:val="auto"/>
          <w:highlight w:val="none"/>
        </w:rPr>
        <w:t>（四）首次响应文件开启时间：202</w:t>
      </w:r>
      <w:r>
        <w:rPr>
          <w:rFonts w:hint="eastAsia" w:eastAsia="宋体" w:cs="宋体"/>
          <w:b/>
          <w:bCs/>
          <w:color w:val="auto"/>
          <w:highlight w:val="none"/>
          <w:lang w:val="en-US" w:eastAsia="zh-CN"/>
        </w:rPr>
        <w:t>5</w:t>
      </w:r>
      <w:r>
        <w:rPr>
          <w:rFonts w:hint="eastAsia" w:eastAsia="宋体" w:cs="宋体"/>
          <w:b/>
          <w:bCs/>
          <w:color w:val="auto"/>
          <w:highlight w:val="none"/>
        </w:rPr>
        <w:t>年11月10日10:00（北京时间）。</w:t>
      </w:r>
    </w:p>
    <w:p w14:paraId="09CDB317">
      <w:pPr>
        <w:pStyle w:val="62"/>
        <w:spacing w:line="10" w:lineRule="atLeast"/>
        <w:ind w:firstLine="480"/>
        <w:rPr>
          <w:rFonts w:eastAsia="宋体" w:cs="宋体"/>
          <w:b/>
          <w:bCs/>
          <w:color w:val="auto"/>
          <w:highlight w:val="none"/>
        </w:rPr>
      </w:pPr>
      <w:r>
        <w:rPr>
          <w:rFonts w:hint="eastAsia" w:eastAsia="宋体" w:cs="宋体"/>
          <w:b/>
          <w:bCs/>
          <w:color w:val="auto"/>
          <w:highlight w:val="none"/>
        </w:rPr>
        <w:t>（五）首次响应文件开启地点：</w:t>
      </w:r>
    </w:p>
    <w:p w14:paraId="6819227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“苏采云”系统（网址：http://jszfcg.jsczt.cn/）“开标大厅”或进入徐州政府采购网（网址：http://czj.xz.gov.cn/Home/HomeIndex）-业务工作-用户登录，点击“苏采云”进入系统“开标大厅”。</w:t>
      </w:r>
    </w:p>
    <w:p w14:paraId="30A1A0F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六）供应商在首次响应文件提交的截止时间前，可以对所提交的首次响应文件进行补充、修改或者撤回。补充、修改的内容作为响应文件的组成部分。补充、修改的内容与首次响应文件不一致的，以补充、修改的内容为准。</w:t>
      </w:r>
    </w:p>
    <w:p w14:paraId="09A8D51D">
      <w:pPr>
        <w:pStyle w:val="62"/>
        <w:widowControl/>
        <w:shd w:val="clear" w:color="auto" w:fill="FFFFFF"/>
        <w:ind w:firstLine="480"/>
        <w:jc w:val="left"/>
        <w:outlineLvl w:val="0"/>
        <w:rPr>
          <w:rFonts w:eastAsia="宋体" w:cs="宋体"/>
          <w:color w:val="auto"/>
          <w:highlight w:val="none"/>
        </w:rPr>
      </w:pPr>
      <w:r>
        <w:rPr>
          <w:rFonts w:hint="eastAsia" w:eastAsia="宋体" w:cs="宋体"/>
          <w:color w:val="auto"/>
          <w:highlight w:val="none"/>
        </w:rPr>
        <w:t>（七）不接受不按要求加盖公章（电子签章）的首次响应文件。电子签章相关要求见“苏采云”系统。</w:t>
      </w:r>
    </w:p>
    <w:p w14:paraId="556A4BBE">
      <w:pPr>
        <w:pStyle w:val="62"/>
        <w:ind w:firstLine="480"/>
        <w:rPr>
          <w:rFonts w:eastAsia="宋体" w:cs="宋体"/>
          <w:color w:val="auto"/>
          <w:highlight w:val="none"/>
        </w:rPr>
      </w:pPr>
      <w:r>
        <w:rPr>
          <w:rFonts w:hint="eastAsia" w:eastAsia="宋体" w:cs="宋体"/>
          <w:bCs/>
          <w:color w:val="auto"/>
          <w:highlight w:val="none"/>
        </w:rPr>
        <w:t>（八）首次响应文件解密：到达开启时间，</w:t>
      </w:r>
      <w:r>
        <w:rPr>
          <w:rFonts w:hint="eastAsia" w:eastAsia="宋体" w:cs="宋体"/>
          <w:color w:val="auto"/>
          <w:highlight w:val="none"/>
        </w:rPr>
        <w:t>“苏采云”系统自动提取所有响应文件，供应商按采购文件规定方式按时在线解密。本项目采购文件规定的供应商按时在线解密方式：</w:t>
      </w:r>
      <w:r>
        <w:rPr>
          <w:rFonts w:hint="eastAsia" w:eastAsia="宋体" w:cs="宋体"/>
          <w:b/>
          <w:bCs/>
          <w:color w:val="auto"/>
          <w:highlight w:val="none"/>
        </w:rPr>
        <w:t>开启时间后30分钟内</w:t>
      </w:r>
      <w:r>
        <w:rPr>
          <w:rFonts w:hint="eastAsia" w:eastAsia="宋体" w:cs="宋体"/>
          <w:color w:val="auto"/>
          <w:highlight w:val="none"/>
        </w:rPr>
        <w:t>，通过“苏采云”系统（使用“CA数字证书”）解密。</w:t>
      </w:r>
    </w:p>
    <w:p w14:paraId="0B5A74FE">
      <w:pPr>
        <w:pStyle w:val="62"/>
        <w:ind w:firstLine="480"/>
        <w:rPr>
          <w:rFonts w:eastAsia="宋体" w:cs="宋体"/>
          <w:color w:val="auto"/>
          <w:highlight w:val="none"/>
        </w:rPr>
      </w:pPr>
      <w:r>
        <w:rPr>
          <w:rFonts w:hint="eastAsia" w:eastAsia="宋体" w:cs="宋体"/>
          <w:color w:val="auto"/>
          <w:highlight w:val="none"/>
        </w:rPr>
        <w:t>（九）采购文件（后缀名为“.kedt”）、供应商操作手册及政府采购客户端工具可通过“苏采云”系统（网址：</w:t>
      </w:r>
      <w:r>
        <w:rPr>
          <w:color w:val="auto"/>
          <w:highlight w:val="none"/>
        </w:rPr>
        <w:fldChar w:fldCharType="begin"/>
      </w:r>
      <w:r>
        <w:rPr>
          <w:color w:val="auto"/>
          <w:highlight w:val="none"/>
        </w:rPr>
        <w:instrText xml:space="preserve"> HYPERLINK "http://jszfcg.jsczt.cn/" </w:instrText>
      </w:r>
      <w:r>
        <w:rPr>
          <w:color w:val="auto"/>
          <w:highlight w:val="none"/>
        </w:rPr>
        <w:fldChar w:fldCharType="separate"/>
      </w:r>
      <w:r>
        <w:rPr>
          <w:rFonts w:hint="eastAsia" w:eastAsia="宋体" w:cs="宋体"/>
          <w:color w:val="auto"/>
          <w:highlight w:val="none"/>
        </w:rPr>
        <w:t>http://jszfcg.jsczt.cn/</w:t>
      </w:r>
      <w:r>
        <w:rPr>
          <w:rFonts w:hint="eastAsia" w:eastAsia="宋体" w:cs="宋体"/>
          <w:color w:val="auto"/>
          <w:highlight w:val="none"/>
        </w:rPr>
        <w:fldChar w:fldCharType="end"/>
      </w:r>
      <w:r>
        <w:rPr>
          <w:rFonts w:hint="eastAsia" w:eastAsia="宋体" w:cs="宋体"/>
          <w:color w:val="auto"/>
          <w:highlight w:val="none"/>
        </w:rPr>
        <w:t>）--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14:paraId="2840C82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（十）相关说明: 供应商在“苏采云”系统中提交首次响应文件的时间即为数据电文（响应文件，下同）的发送时间和接收时间。</w:t>
      </w:r>
    </w:p>
    <w:p w14:paraId="439B403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十三、响应文件编制要求</w:t>
      </w:r>
    </w:p>
    <w:p w14:paraId="335549A2">
      <w:pPr>
        <w:pStyle w:val="62"/>
        <w:ind w:firstLine="480"/>
        <w:rPr>
          <w:rFonts w:eastAsia="宋体" w:cs="宋体"/>
          <w:b/>
          <w:bCs/>
          <w:color w:val="auto"/>
          <w:highlight w:val="none"/>
        </w:rPr>
      </w:pPr>
      <w:r>
        <w:rPr>
          <w:rFonts w:hint="eastAsia" w:eastAsia="宋体" w:cs="宋体"/>
          <w:b/>
          <w:bCs/>
          <w:color w:val="auto"/>
          <w:highlight w:val="none"/>
        </w:rPr>
        <w:t>请按照以下要求（包括但不限于以下要求）制作：</w:t>
      </w:r>
    </w:p>
    <w:p w14:paraId="3FFF724A">
      <w:pPr>
        <w:pStyle w:val="62"/>
        <w:ind w:firstLine="425"/>
        <w:rPr>
          <w:rFonts w:eastAsia="宋体" w:cs="宋体"/>
          <w:b/>
          <w:color w:val="auto"/>
          <w:highlight w:val="none"/>
        </w:rPr>
      </w:pPr>
      <w:r>
        <w:rPr>
          <w:rFonts w:hint="eastAsia" w:eastAsia="宋体" w:cs="宋体"/>
          <w:b/>
          <w:color w:val="auto"/>
          <w:highlight w:val="none"/>
        </w:rPr>
        <w:t>（一）基本目录</w:t>
      </w:r>
    </w:p>
    <w:p w14:paraId="726E1EF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1、《磋商报价表》（加盖电子签章，格式见《磋商文件》附件。政府采购客户端工具输入报价自动生成）；</w:t>
      </w:r>
    </w:p>
    <w:p w14:paraId="01ED38F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2、供应商认为需要提供的其他资料的扫描件（如有）。</w:t>
      </w:r>
    </w:p>
    <w:p w14:paraId="2888151C">
      <w:pPr>
        <w:pStyle w:val="63"/>
        <w:spacing w:line="360" w:lineRule="auto"/>
        <w:ind w:firstLine="516"/>
        <w:rPr>
          <w:rFonts w:ascii="宋体" w:hAnsi="宋体" w:cs="宋体"/>
          <w:b/>
          <w:color w:val="auto"/>
          <w:sz w:val="24"/>
          <w:szCs w:val="24"/>
          <w:highlight w:val="none"/>
        </w:rPr>
      </w:pPr>
      <w:r>
        <w:rPr>
          <w:rFonts w:hint="eastAsia" w:ascii="宋体" w:hAnsi="宋体" w:cs="宋体"/>
          <w:b/>
          <w:color w:val="auto"/>
          <w:sz w:val="24"/>
          <w:szCs w:val="24"/>
          <w:highlight w:val="none"/>
        </w:rPr>
        <w:t>（二）资格条件（</w:t>
      </w:r>
      <w:r>
        <w:rPr>
          <w:rFonts w:hint="eastAsia" w:ascii="宋体" w:hAnsi="宋体" w:cs="宋体"/>
          <w:b/>
          <w:bCs/>
          <w:color w:val="auto"/>
          <w:sz w:val="24"/>
          <w:szCs w:val="24"/>
          <w:highlight w:val="none"/>
        </w:rPr>
        <w:t>1～10项必须提供原件扫描件，否则</w:t>
      </w:r>
      <w:r>
        <w:rPr>
          <w:rFonts w:hint="eastAsia" w:ascii="宋体" w:hAnsi="宋体" w:cs="宋体"/>
          <w:b/>
          <w:color w:val="auto"/>
          <w:sz w:val="24"/>
          <w:szCs w:val="24"/>
          <w:highlight w:val="none"/>
        </w:rPr>
        <w:t>响应无效）</w:t>
      </w:r>
    </w:p>
    <w:p w14:paraId="66A347C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1、具有独立承担民事责任的能力，提供合法有效的法人的营业执照或事业法人证或其他组织应提供合法证明文件或自然人提供身份证件；</w:t>
      </w:r>
    </w:p>
    <w:p w14:paraId="2B4AF5E3">
      <w:pPr>
        <w:spacing w:line="360" w:lineRule="auto"/>
        <w:ind w:firstLine="480"/>
        <w:rPr>
          <w:rFonts w:hint="eastAsia" w:ascii="宋体" w:hAnsi="宋体" w:eastAsia="宋体" w:cs="宋体"/>
          <w:color w:val="auto"/>
          <w:sz w:val="24"/>
          <w:highlight w:val="none"/>
        </w:rPr>
      </w:pPr>
      <w:r>
        <w:rPr>
          <w:rFonts w:hint="eastAsia" w:ascii="宋体" w:hAnsi="宋体" w:cs="宋体"/>
          <w:color w:val="auto"/>
          <w:sz w:val="24"/>
          <w:highlight w:val="none"/>
        </w:rPr>
        <w:t>2、具备履行合同所必需的设备和专业技术能力的证明材料</w:t>
      </w:r>
      <w:r>
        <w:rPr>
          <w:rFonts w:hint="eastAsia" w:ascii="宋体" w:hAnsi="宋体" w:cs="宋体"/>
          <w:color w:val="auto"/>
          <w:sz w:val="24"/>
          <w:highlight w:val="none"/>
          <w:lang w:eastAsia="zh-CN"/>
        </w:rPr>
        <w:t>（</w:t>
      </w:r>
      <w:r>
        <w:rPr>
          <w:rFonts w:hint="eastAsia" w:ascii="宋体" w:hAnsi="宋体" w:cs="宋体"/>
          <w:color w:val="auto"/>
          <w:sz w:val="24"/>
          <w:highlight w:val="none"/>
        </w:rPr>
        <w:t>格式见《磋商文件》附件</w:t>
      </w:r>
      <w:r>
        <w:rPr>
          <w:rFonts w:hint="eastAsia" w:ascii="宋体" w:hAnsi="宋体" w:cs="宋体"/>
          <w:color w:val="auto"/>
          <w:sz w:val="24"/>
          <w:highlight w:val="none"/>
          <w:lang w:eastAsia="zh-CN"/>
        </w:rPr>
        <w:t>）；</w:t>
      </w:r>
    </w:p>
    <w:p w14:paraId="0EBC334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3、财务状况报告，至少提供：</w:t>
      </w:r>
    </w:p>
    <w:p w14:paraId="6E514B4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供应商的提交首次响应文件时间前六个月内任何日期（不含“首次响应文件提交的截止时间”当月）的资产负债表和利润表月报表；或供应商基本开户银行出具的有效的资信证明；或财政部门认可的政府采购专业担保机构出具的有效的担保函；或合法有效的经第三方机构审计的</w:t>
      </w:r>
      <w:r>
        <w:rPr>
          <w:rFonts w:hint="eastAsia" w:ascii="宋体" w:hAnsi="宋体" w:cs="宋体"/>
          <w:color w:val="auto"/>
          <w:sz w:val="24"/>
          <w:highlight w:val="none"/>
          <w:lang w:val="en-US" w:eastAsia="zh-CN"/>
        </w:rPr>
        <w:t>2024</w:t>
      </w:r>
      <w:r>
        <w:rPr>
          <w:rFonts w:hint="eastAsia" w:ascii="宋体" w:hAnsi="宋体" w:cs="宋体"/>
          <w:color w:val="auto"/>
          <w:sz w:val="24"/>
          <w:highlight w:val="none"/>
        </w:rPr>
        <w:t>年度的年度财务审计报告。</w:t>
      </w:r>
    </w:p>
    <w:p w14:paraId="3580724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4、有依法缴纳税收和社会保障资金的良好记录，至少提供：</w:t>
      </w:r>
    </w:p>
    <w:p w14:paraId="56345AD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供应商的提交首次响应文件时间前6个月内任何1月（不含“首次响应文件提交的截止时间”当月）的依法缴纳税收和社会保障资金的相关材料；依法免税或不需要缴纳社会保障资金的供应商应提供相应其依法免税或不需要缴纳社会保障资金的证明文件。</w:t>
      </w:r>
    </w:p>
    <w:p w14:paraId="21B9CF13">
      <w:pPr>
        <w:numPr>
          <w:ilvl w:val="0"/>
          <w:numId w:val="3"/>
        </w:num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供应商为中小企业（含中型、小型、微型企业，下同）的，提供《中小企业声明函》（电子签章，须填写完整，否则响应无效。格式见《磋商文件》附件）。《中小企业声明函》查询渠道用微信搜索“中小企业规模类型自测小程序”。</w:t>
      </w:r>
    </w:p>
    <w:p w14:paraId="3A048618">
      <w:pPr>
        <w:numPr>
          <w:ilvl w:val="0"/>
          <w:numId w:val="0"/>
        </w:num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注：中小微企业，应当同时符合以下条件：</w:t>
      </w:r>
    </w:p>
    <w:p w14:paraId="73CA1262">
      <w:pPr>
        <w:pStyle w:val="62"/>
        <w:ind w:firstLine="480"/>
        <w:rPr>
          <w:rFonts w:eastAsia="宋体" w:cs="宋体"/>
          <w:color w:val="auto"/>
          <w:highlight w:val="none"/>
        </w:rPr>
      </w:pPr>
      <w:r>
        <w:rPr>
          <w:rFonts w:hint="eastAsia" w:eastAsia="宋体" w:cs="宋体"/>
          <w:color w:val="auto"/>
          <w:highlight w:val="none"/>
        </w:rPr>
        <w:t>中小企业需满足的条件具体以《政府采购促进中小企业发展管理办法》（财库﹝2020﹞46 号）和《工业和信息化部、国家统计局、国家发展和改革委员会、财政部关于印发中小企业划型标准规定的通知》（工信部联企业[2011]300号）的规定为准。</w:t>
      </w:r>
    </w:p>
    <w:p w14:paraId="18A7D2BC">
      <w:pPr>
        <w:pStyle w:val="62"/>
        <w:ind w:firstLine="480"/>
        <w:rPr>
          <w:rFonts w:eastAsia="宋体" w:cs="宋体"/>
          <w:color w:val="auto"/>
          <w:highlight w:val="none"/>
        </w:rPr>
      </w:pPr>
      <w:r>
        <w:rPr>
          <w:rFonts w:hint="eastAsia" w:eastAsia="宋体" w:cs="宋体"/>
          <w:color w:val="auto"/>
          <w:highlight w:val="none"/>
        </w:rPr>
        <w:t>供应商为残疾人福利性单位的，视同小微企业，提供《残疾人福利性单位声明函》（电子签章，格式见附件》）。具体以《关于促进残疾人就业政府采购政策的通知》（财库〔2017〕141号）的规定为准。</w:t>
      </w:r>
    </w:p>
    <w:p w14:paraId="24C0B531">
      <w:pPr>
        <w:pStyle w:val="62"/>
        <w:ind w:firstLine="480"/>
        <w:rPr>
          <w:rFonts w:eastAsia="宋体" w:cs="宋体"/>
          <w:color w:val="auto"/>
          <w:highlight w:val="none"/>
        </w:rPr>
      </w:pPr>
      <w:r>
        <w:rPr>
          <w:rFonts w:hint="eastAsia" w:eastAsia="宋体" w:cs="宋体"/>
          <w:color w:val="auto"/>
          <w:highlight w:val="none"/>
        </w:rPr>
        <w:t>供应商为监狱企业的，视同小微企业，提供省级以上监狱管理局、戒毒管理局（含新疆生产建设兵团）出具的属于监狱企业的证明文件扫描件。具体以《财政部司法部关于政府采购支持监狱企业发展有关问题的通知》（财库〔2014〕68号）的规定为准。</w:t>
      </w:r>
    </w:p>
    <w:p w14:paraId="163AB1E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6、供应商参加政府采购活动前3年内在经营活动中没有重大违法记录的书面声明(格式见《磋商文件》附件)；</w:t>
      </w:r>
    </w:p>
    <w:p w14:paraId="204E6D8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7、供应商信用信息满足磋商</w:t>
      </w:r>
      <w:r>
        <w:rPr>
          <w:rFonts w:hint="eastAsia" w:ascii="宋体" w:hAnsi="宋体" w:cs="宋体"/>
          <w:color w:val="auto"/>
          <w:sz w:val="24"/>
          <w:highlight w:val="none"/>
          <w:lang w:val="en-US" w:eastAsia="zh-CN"/>
        </w:rPr>
        <w:t>文件</w:t>
      </w:r>
      <w:r>
        <w:rPr>
          <w:rFonts w:hint="eastAsia" w:ascii="宋体" w:hAnsi="宋体" w:cs="宋体"/>
          <w:color w:val="auto"/>
          <w:sz w:val="24"/>
          <w:highlight w:val="none"/>
        </w:rPr>
        <w:t>要求；</w:t>
      </w:r>
    </w:p>
    <w:p w14:paraId="34EE2DA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8、本项目不接受联合体参与采购活动，成交后不得转包或分包（提供承诺书，格式自拟）</w:t>
      </w:r>
      <w:r>
        <w:rPr>
          <w:rFonts w:hint="eastAsia" w:ascii="宋体" w:hAnsi="宋体" w:cs="宋体"/>
          <w:color w:val="auto"/>
          <w:sz w:val="24"/>
          <w:highlight w:val="none"/>
          <w:lang w:eastAsia="zh-CN"/>
        </w:rPr>
        <w:t>；</w:t>
      </w:r>
    </w:p>
    <w:p w14:paraId="061641F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9、单位负责人为同一人或者存在直接控股、管理关系的不同供应商，不得参加同一合同项下的政府采购活动（提供承诺书，格式自拟）；</w:t>
      </w:r>
    </w:p>
    <w:p w14:paraId="101AD0C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10、为本采购项目提供整体设计、规范编制或者项目管理、监理、检测等服务的供应商，不得再参加本采购项目的采购活动（提供承诺书，格式自拟）。</w:t>
      </w:r>
    </w:p>
    <w:p w14:paraId="41B0EB0B">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（三）符合条件（必须提供，否则响应无效）</w:t>
      </w:r>
    </w:p>
    <w:p w14:paraId="7C7ACB2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1.《承诺书》（加盖电子签章，格式见《磋商文件》附件）；</w:t>
      </w:r>
    </w:p>
    <w:p w14:paraId="02EA0E79">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2.《磋商报价表》（加盖电子签章，格式见《磋商文件》附件；磋商文件格式与客户端格式不同，以《磋商文件》附件为准，但首次报价必须相同）；</w:t>
      </w:r>
    </w:p>
    <w:p w14:paraId="6E968B58">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3.《分项价格表》（加盖电子签章，格式见《磋商文件》附件）；</w:t>
      </w:r>
    </w:p>
    <w:p w14:paraId="7398FBD3">
      <w:pPr>
        <w:spacing w:line="360" w:lineRule="auto"/>
        <w:ind w:firstLine="480"/>
        <w:rPr>
          <w:rFonts w:hint="eastAsia" w:ascii="宋体" w:hAnsi="宋体" w:cs="宋体"/>
          <w:b w:val="0"/>
          <w:bCs w:val="0"/>
          <w:color w:val="auto"/>
          <w:sz w:val="24"/>
          <w:highlight w:val="none"/>
        </w:rPr>
      </w:pPr>
      <w:r>
        <w:rPr>
          <w:rFonts w:hint="eastAsia" w:ascii="宋体" w:hAnsi="宋体" w:cs="宋体"/>
          <w:color w:val="auto"/>
          <w:sz w:val="24"/>
          <w:highlight w:val="none"/>
        </w:rPr>
        <w:t>4.《偏离表》</w:t>
      </w:r>
      <w:r>
        <w:rPr>
          <w:rFonts w:hint="eastAsia" w:ascii="宋体" w:hAnsi="宋体" w:cs="宋体"/>
          <w:b w:val="0"/>
          <w:bCs w:val="0"/>
          <w:color w:val="auto"/>
          <w:sz w:val="24"/>
          <w:highlight w:val="none"/>
        </w:rPr>
        <w:t>（加盖电子签章，格式见《磋商文件》附件）；</w:t>
      </w:r>
    </w:p>
    <w:p w14:paraId="61C436B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授权委托书或法人资格证明（加盖电子签章，格式见《磋商文件》附件）；</w:t>
      </w:r>
    </w:p>
    <w:p w14:paraId="5040047F">
      <w:pPr>
        <w:spacing w:line="360" w:lineRule="auto"/>
        <w:ind w:firstLine="480"/>
        <w:rPr>
          <w:rFonts w:hint="eastAsia" w:ascii="宋体" w:hAnsi="宋体" w:cs="宋体"/>
          <w:color w:val="auto"/>
          <w:sz w:val="24"/>
          <w:highlight w:val="none"/>
        </w:rPr>
      </w:pPr>
      <w:r>
        <w:rPr>
          <w:rFonts w:hint="eastAsia" w:ascii="宋体" w:hAnsi="宋体" w:cs="宋体"/>
          <w:b/>
          <w:bCs/>
          <w:color w:val="auto"/>
          <w:sz w:val="24"/>
          <w:highlight w:val="none"/>
          <w:lang w:val="en-US" w:eastAsia="zh-CN"/>
        </w:rPr>
        <w:t>6.</w:t>
      </w:r>
      <w:r>
        <w:rPr>
          <w:rFonts w:hint="default" w:ascii="宋体" w:hAnsi="宋体" w:cs="宋体"/>
          <w:b/>
          <w:color w:val="auto"/>
          <w:sz w:val="24"/>
          <w:highlight w:val="none"/>
        </w:rPr>
        <w:t>《</w:t>
      </w:r>
      <w:r>
        <w:rPr>
          <w:rFonts w:hint="eastAsia" w:ascii="宋体" w:hAnsi="宋体" w:cs="宋体"/>
          <w:b/>
          <w:color w:val="auto"/>
          <w:sz w:val="24"/>
          <w:highlight w:val="none"/>
          <w:lang w:val="en-US" w:eastAsia="zh-CN"/>
        </w:rPr>
        <w:t>供应商</w:t>
      </w:r>
      <w:r>
        <w:rPr>
          <w:rFonts w:hint="eastAsia" w:ascii="宋体" w:hAnsi="宋体" w:cs="宋体"/>
          <w:b/>
          <w:color w:val="auto"/>
          <w:sz w:val="24"/>
          <w:highlight w:val="none"/>
          <w:lang w:val="en-US" w:eastAsia="zh-Hans"/>
        </w:rPr>
        <w:t>承诺书</w:t>
      </w:r>
      <w:r>
        <w:rPr>
          <w:rFonts w:hint="default" w:ascii="宋体" w:hAnsi="宋体" w:cs="宋体"/>
          <w:b/>
          <w:color w:val="auto"/>
          <w:sz w:val="24"/>
          <w:highlight w:val="none"/>
        </w:rPr>
        <w:t>》</w:t>
      </w:r>
      <w:r>
        <w:rPr>
          <w:rFonts w:hint="default" w:ascii="宋体" w:hAnsi="宋体" w:cs="宋体"/>
          <w:b/>
          <w:bCs w:val="0"/>
          <w:color w:val="auto"/>
          <w:sz w:val="24"/>
          <w:highlight w:val="none"/>
        </w:rPr>
        <w:t>（</w:t>
      </w:r>
      <w:r>
        <w:rPr>
          <w:rFonts w:hint="eastAsia" w:ascii="宋体" w:hAnsi="宋体" w:cs="宋体"/>
          <w:b/>
          <w:bCs w:val="0"/>
          <w:color w:val="auto"/>
          <w:sz w:val="24"/>
          <w:highlight w:val="none"/>
          <w:lang w:val="en-US" w:eastAsia="zh-Hans"/>
        </w:rPr>
        <w:t>包括</w:t>
      </w:r>
      <w:r>
        <w:rPr>
          <w:rFonts w:hint="default" w:ascii="宋体" w:hAnsi="宋体" w:cs="宋体"/>
          <w:b/>
          <w:bCs w:val="0"/>
          <w:color w:val="auto"/>
          <w:sz w:val="24"/>
          <w:highlight w:val="none"/>
          <w:lang w:eastAsia="zh-Hans"/>
        </w:rPr>
        <w:t>：</w:t>
      </w:r>
      <w:r>
        <w:rPr>
          <w:rFonts w:hint="eastAsia" w:ascii="宋体" w:hAnsi="宋体" w:cs="宋体"/>
          <w:b/>
          <w:bCs w:val="0"/>
          <w:color w:val="auto"/>
          <w:sz w:val="24"/>
          <w:highlight w:val="none"/>
          <w:lang w:eastAsia="zh-CN"/>
        </w:rPr>
        <w:t>供应商</w:t>
      </w:r>
      <w:r>
        <w:rPr>
          <w:rFonts w:hint="eastAsia" w:ascii="宋体" w:hAnsi="宋体" w:eastAsia="宋体" w:cs="宋体"/>
          <w:b/>
          <w:bCs w:val="0"/>
          <w:color w:val="auto"/>
          <w:sz w:val="24"/>
          <w:highlight w:val="none"/>
        </w:rPr>
        <w:t>对“中标后入户垃圾分类桶”的承诺（</w:t>
      </w:r>
      <w:r>
        <w:rPr>
          <w:rFonts w:hint="eastAsia" w:ascii="宋体" w:hAnsi="宋体" w:eastAsia="宋体" w:cs="宋体"/>
          <w:b/>
          <w:bCs w:val="0"/>
          <w:color w:val="auto"/>
          <w:sz w:val="24"/>
          <w:highlight w:val="none"/>
          <w:lang w:eastAsia="zh-CN"/>
        </w:rPr>
        <w:t>格式见《磋商文件》附件</w:t>
      </w:r>
      <w:r>
        <w:rPr>
          <w:rFonts w:hint="eastAsia" w:ascii="宋体" w:hAnsi="宋体" w:eastAsia="宋体" w:cs="宋体"/>
          <w:b/>
          <w:bCs w:val="0"/>
          <w:color w:val="auto"/>
          <w:sz w:val="24"/>
          <w:highlight w:val="none"/>
        </w:rPr>
        <w:t>）</w:t>
      </w:r>
      <w:r>
        <w:rPr>
          <w:rFonts w:hint="default" w:ascii="宋体" w:hAnsi="宋体" w:cs="宋体"/>
          <w:b/>
          <w:bCs w:val="0"/>
          <w:color w:val="auto"/>
          <w:sz w:val="24"/>
          <w:highlight w:val="none"/>
        </w:rPr>
        <w:t>、</w:t>
      </w:r>
      <w:r>
        <w:rPr>
          <w:rFonts w:hint="eastAsia" w:ascii="宋体" w:hAnsi="宋体" w:cs="宋体"/>
          <w:b/>
          <w:bCs w:val="0"/>
          <w:color w:val="auto"/>
          <w:sz w:val="24"/>
          <w:highlight w:val="none"/>
          <w:lang w:eastAsia="zh-CN"/>
        </w:rPr>
        <w:t>供应商</w:t>
      </w:r>
      <w:r>
        <w:rPr>
          <w:rFonts w:hint="eastAsia" w:ascii="宋体" w:hAnsi="宋体" w:eastAsia="宋体" w:cs="宋体"/>
          <w:b/>
          <w:bCs w:val="0"/>
          <w:color w:val="auto"/>
          <w:sz w:val="24"/>
          <w:highlight w:val="none"/>
        </w:rPr>
        <w:t>对“</w:t>
      </w:r>
      <w:r>
        <w:rPr>
          <w:rFonts w:hint="eastAsia" w:asciiTheme="minorEastAsia" w:hAnsiTheme="minorEastAsia" w:eastAsiaTheme="minorEastAsia" w:cstheme="minorEastAsia"/>
          <w:b/>
          <w:bCs w:val="0"/>
          <w:sz w:val="24"/>
          <w:szCs w:val="24"/>
          <w:highlight w:val="none"/>
          <w:lang w:val="en-US" w:eastAsia="zh-CN" w:bidi="ar-SA"/>
        </w:rPr>
        <w:t>中标后分类运输清运车辆配备</w:t>
      </w:r>
      <w:r>
        <w:rPr>
          <w:rFonts w:hint="eastAsia" w:ascii="宋体" w:hAnsi="宋体" w:eastAsia="宋体" w:cs="宋体"/>
          <w:b/>
          <w:bCs w:val="0"/>
          <w:color w:val="auto"/>
          <w:sz w:val="24"/>
          <w:highlight w:val="none"/>
        </w:rPr>
        <w:t>”的承诺（</w:t>
      </w:r>
      <w:r>
        <w:rPr>
          <w:rFonts w:hint="eastAsia" w:ascii="宋体" w:hAnsi="宋体" w:eastAsia="宋体" w:cs="宋体"/>
          <w:b/>
          <w:bCs w:val="0"/>
          <w:color w:val="auto"/>
          <w:sz w:val="24"/>
          <w:highlight w:val="none"/>
          <w:lang w:eastAsia="zh-CN"/>
        </w:rPr>
        <w:t>格式见《磋商文件》附件</w:t>
      </w:r>
      <w:r>
        <w:rPr>
          <w:rFonts w:hint="eastAsia" w:ascii="宋体" w:hAnsi="宋体" w:eastAsia="宋体" w:cs="宋体"/>
          <w:b/>
          <w:bCs w:val="0"/>
          <w:color w:val="auto"/>
          <w:sz w:val="24"/>
          <w:highlight w:val="none"/>
        </w:rPr>
        <w:t>）</w:t>
      </w:r>
      <w:r>
        <w:rPr>
          <w:rFonts w:hint="default" w:ascii="宋体" w:hAnsi="宋体" w:cs="宋体"/>
          <w:b/>
          <w:bCs w:val="0"/>
          <w:color w:val="auto"/>
          <w:sz w:val="24"/>
          <w:highlight w:val="none"/>
        </w:rPr>
        <w:t>、</w:t>
      </w:r>
      <w:r>
        <w:rPr>
          <w:rFonts w:hint="eastAsia" w:ascii="宋体" w:hAnsi="宋体" w:cs="宋体"/>
          <w:b/>
          <w:bCs w:val="0"/>
          <w:color w:val="auto"/>
          <w:sz w:val="24"/>
          <w:highlight w:val="none"/>
          <w:lang w:eastAsia="zh-CN"/>
        </w:rPr>
        <w:t>供应商</w:t>
      </w:r>
      <w:r>
        <w:rPr>
          <w:rFonts w:hint="eastAsia" w:ascii="宋体" w:hAnsi="宋体" w:eastAsia="宋体" w:cs="宋体"/>
          <w:b/>
          <w:bCs w:val="0"/>
          <w:color w:val="auto"/>
          <w:sz w:val="24"/>
          <w:highlight w:val="none"/>
        </w:rPr>
        <w:t>对“</w:t>
      </w:r>
      <w:r>
        <w:rPr>
          <w:rFonts w:hint="eastAsia" w:asciiTheme="minorEastAsia" w:hAnsiTheme="minorEastAsia" w:eastAsiaTheme="minorEastAsia" w:cstheme="minorEastAsia"/>
          <w:b/>
          <w:bCs w:val="0"/>
          <w:sz w:val="24"/>
          <w:szCs w:val="24"/>
          <w:highlight w:val="none"/>
          <w:lang w:val="en-US" w:eastAsia="zh-CN" w:bidi="ar-SA"/>
        </w:rPr>
        <w:t>中标后人员配备表</w:t>
      </w:r>
      <w:r>
        <w:rPr>
          <w:rFonts w:hint="eastAsia" w:ascii="宋体" w:hAnsi="宋体" w:eastAsia="宋体" w:cs="宋体"/>
          <w:b/>
          <w:bCs w:val="0"/>
          <w:color w:val="auto"/>
          <w:sz w:val="24"/>
          <w:highlight w:val="none"/>
        </w:rPr>
        <w:t>”的承诺（</w:t>
      </w:r>
      <w:r>
        <w:rPr>
          <w:rFonts w:hint="eastAsia" w:ascii="宋体" w:hAnsi="宋体" w:eastAsia="宋体" w:cs="宋体"/>
          <w:b/>
          <w:bCs w:val="0"/>
          <w:color w:val="auto"/>
          <w:sz w:val="24"/>
          <w:highlight w:val="none"/>
          <w:lang w:eastAsia="zh-CN"/>
        </w:rPr>
        <w:t>格式见《磋商文件》附件</w:t>
      </w:r>
      <w:r>
        <w:rPr>
          <w:rFonts w:hint="eastAsia" w:ascii="宋体" w:hAnsi="宋体" w:eastAsia="宋体" w:cs="宋体"/>
          <w:b/>
          <w:bCs w:val="0"/>
          <w:color w:val="auto"/>
          <w:sz w:val="24"/>
          <w:highlight w:val="none"/>
        </w:rPr>
        <w:t>）</w:t>
      </w:r>
      <w:r>
        <w:rPr>
          <w:rFonts w:hint="default" w:ascii="宋体" w:hAnsi="宋体" w:cs="宋体"/>
          <w:b/>
          <w:bCs w:val="0"/>
          <w:color w:val="auto"/>
          <w:sz w:val="24"/>
          <w:highlight w:val="none"/>
        </w:rPr>
        <w:t>）</w:t>
      </w:r>
      <w:r>
        <w:rPr>
          <w:rFonts w:hint="eastAsia" w:ascii="宋体" w:hAnsi="宋体" w:cs="宋体"/>
          <w:bCs/>
          <w:color w:val="auto"/>
          <w:sz w:val="24"/>
          <w:highlight w:val="none"/>
        </w:rPr>
        <w:t>。</w:t>
      </w:r>
      <w:r>
        <w:rPr>
          <w:rFonts w:hint="eastAsia" w:ascii="宋体" w:hAnsi="宋体" w:cs="宋体"/>
          <w:b/>
          <w:bCs/>
          <w:color w:val="auto"/>
          <w:sz w:val="24"/>
          <w:highlight w:val="none"/>
        </w:rPr>
        <w:t>必须提供，否则在符合性审查时按照投标无效处理</w:t>
      </w:r>
      <w:r>
        <w:rPr>
          <w:rFonts w:hint="eastAsia" w:ascii="宋体" w:hAnsi="宋体" w:cs="宋体"/>
          <w:bCs/>
          <w:color w:val="auto"/>
          <w:sz w:val="24"/>
          <w:highlight w:val="none"/>
        </w:rPr>
        <w:t>）。</w:t>
      </w:r>
      <w:r>
        <w:rPr>
          <w:rFonts w:hint="eastAsia" w:ascii="宋体" w:hAnsi="宋体" w:cs="宋体"/>
          <w:b/>
          <w:bCs/>
          <w:color w:val="auto"/>
          <w:sz w:val="24"/>
          <w:highlight w:val="none"/>
        </w:rPr>
        <w:t>（加盖电子签章，格式见《磋商文件》附件）；</w:t>
      </w:r>
    </w:p>
    <w:p w14:paraId="4AFA0128">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（四）综合评审评分项</w:t>
      </w:r>
    </w:p>
    <w:p w14:paraId="4319558F">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1、技术部分</w:t>
      </w:r>
    </w:p>
    <w:p w14:paraId="7C605679">
      <w:pPr>
        <w:keepNext w:val="0"/>
        <w:keepLines w:val="0"/>
        <w:pageBreakBefore w:val="0"/>
        <w:spacing w:line="356" w:lineRule="auto"/>
        <w:ind w:firstLine="422"/>
        <w:jc w:val="left"/>
        <w:rPr>
          <w:rFonts w:hint="eastAsia" w:ascii="宋体" w:hAnsi="宋体" w:cs="宋体"/>
          <w:b w:val="0"/>
          <w:bCs w:val="0"/>
          <w:color w:val="auto"/>
          <w:sz w:val="24"/>
          <w:szCs w:val="24"/>
          <w:highlight w:val="none"/>
        </w:rPr>
      </w:pPr>
      <w:r>
        <w:rPr>
          <w:rFonts w:hint="eastAsia" w:ascii="宋体" w:hAnsi="宋体" w:cs="宋体"/>
          <w:color w:val="auto"/>
          <w:sz w:val="24"/>
          <w:szCs w:val="24"/>
          <w:highlight w:val="none"/>
        </w:rPr>
        <w:t>要求见《磋商文件》</w:t>
      </w:r>
      <w:r>
        <w:rPr>
          <w:rFonts w:hint="eastAsia" w:ascii="宋体" w:hAnsi="宋体"/>
          <w:color w:val="auto"/>
          <w:sz w:val="24"/>
          <w:szCs w:val="24"/>
          <w:highlight w:val="none"/>
          <w:lang w:val="en-US" w:eastAsia="zh-CN"/>
        </w:rPr>
        <w:t>附件1、</w:t>
      </w:r>
      <w:r>
        <w:rPr>
          <w:rFonts w:hint="eastAsia" w:ascii="宋体" w:hAnsi="宋体" w:cs="宋体"/>
          <w:color w:val="auto"/>
          <w:sz w:val="24"/>
          <w:szCs w:val="24"/>
          <w:highlight w:val="none"/>
        </w:rPr>
        <w:t>《评分细则》及</w:t>
      </w:r>
      <w:r>
        <w:rPr>
          <w:rFonts w:hint="eastAsia" w:ascii="宋体" w:hAnsi="宋体" w:cs="宋体"/>
          <w:color w:val="auto"/>
          <w:sz w:val="24"/>
          <w:szCs w:val="24"/>
          <w:highlight w:val="none"/>
          <w:lang w:eastAsia="zh-CN"/>
        </w:rPr>
        <w:t>附件</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《项目要求（采购需求）》。</w:t>
      </w:r>
    </w:p>
    <w:p w14:paraId="37F5A325">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2、商务部分</w:t>
      </w:r>
    </w:p>
    <w:p w14:paraId="5874A056">
      <w:pPr>
        <w:keepNext w:val="0"/>
        <w:keepLines w:val="0"/>
        <w:pageBreakBefore w:val="0"/>
        <w:spacing w:line="356" w:lineRule="auto"/>
        <w:ind w:firstLine="42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要求见《磋商文件》</w:t>
      </w:r>
      <w:r>
        <w:rPr>
          <w:rFonts w:hint="eastAsia" w:ascii="宋体" w:hAnsi="宋体" w:cs="宋体"/>
          <w:color w:val="auto"/>
          <w:sz w:val="24"/>
          <w:szCs w:val="24"/>
          <w:highlight w:val="none"/>
          <w:lang w:val="en-US" w:eastAsia="zh-CN"/>
        </w:rPr>
        <w:t>附件1、</w:t>
      </w:r>
      <w:r>
        <w:rPr>
          <w:rFonts w:hint="eastAsia" w:ascii="宋体" w:hAnsi="宋体" w:cs="宋体"/>
          <w:color w:val="auto"/>
          <w:sz w:val="24"/>
          <w:szCs w:val="24"/>
          <w:highlight w:val="none"/>
        </w:rPr>
        <w:t>《评分细则》。</w:t>
      </w:r>
    </w:p>
    <w:p w14:paraId="5F3634CE">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（五）价格折扣文件格式</w:t>
      </w:r>
    </w:p>
    <w:p w14:paraId="39AB705A">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1、企业报价折扣证明：无。</w:t>
      </w:r>
    </w:p>
    <w:p w14:paraId="359C6840">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（六）提交的首次响应文件的加密、签署、盖章要求：</w:t>
      </w:r>
    </w:p>
    <w:p w14:paraId="72E5E1F3">
      <w:pPr>
        <w:pStyle w:val="62"/>
        <w:ind w:firstLine="480"/>
        <w:rPr>
          <w:rFonts w:eastAsia="宋体" w:cs="宋体"/>
          <w:color w:val="auto"/>
          <w:highlight w:val="none"/>
        </w:rPr>
      </w:pPr>
      <w:r>
        <w:rPr>
          <w:rFonts w:hint="eastAsia" w:eastAsia="宋体" w:cs="宋体"/>
          <w:color w:val="auto"/>
          <w:highlight w:val="none"/>
        </w:rPr>
        <w:t>1、加密要求：</w:t>
      </w:r>
    </w:p>
    <w:p w14:paraId="6A7E7A19">
      <w:pPr>
        <w:pStyle w:val="62"/>
        <w:ind w:firstLine="480"/>
        <w:rPr>
          <w:rFonts w:eastAsia="宋体" w:cs="宋体"/>
          <w:color w:val="auto"/>
          <w:highlight w:val="none"/>
        </w:rPr>
      </w:pPr>
      <w:r>
        <w:rPr>
          <w:rFonts w:hint="eastAsia" w:eastAsia="宋体" w:cs="宋体"/>
          <w:color w:val="auto"/>
          <w:highlight w:val="none"/>
        </w:rPr>
        <w:t>供应商应当按照《磋商文件》和“苏采云”系统的要求编制并加密响应文件。本项目供应商须通过“苏采云”系统提供的政府采购客户端工具（使用“CA数字证书”）对其数据电文形式的响应文件加密。</w:t>
      </w:r>
    </w:p>
    <w:p w14:paraId="38585B1E">
      <w:pPr>
        <w:pStyle w:val="62"/>
        <w:ind w:firstLine="480"/>
        <w:rPr>
          <w:rFonts w:eastAsia="宋体" w:cs="宋体"/>
          <w:color w:val="auto"/>
          <w:highlight w:val="none"/>
        </w:rPr>
      </w:pPr>
      <w:r>
        <w:rPr>
          <w:rFonts w:hint="eastAsia" w:eastAsia="宋体" w:cs="宋体"/>
          <w:color w:val="auto"/>
          <w:highlight w:val="none"/>
        </w:rPr>
        <w:t>2、签署要求：见《磋商文件》第九章附件中相关格式要求。</w:t>
      </w:r>
    </w:p>
    <w:p w14:paraId="3EDC4D14">
      <w:pPr>
        <w:pStyle w:val="62"/>
        <w:ind w:firstLine="480"/>
        <w:rPr>
          <w:rFonts w:eastAsia="宋体" w:cs="宋体"/>
          <w:color w:val="auto"/>
          <w:highlight w:val="none"/>
        </w:rPr>
      </w:pPr>
      <w:r>
        <w:rPr>
          <w:rFonts w:hint="eastAsia" w:eastAsia="宋体" w:cs="宋体"/>
          <w:b/>
          <w:bCs/>
          <w:color w:val="auto"/>
          <w:highlight w:val="none"/>
        </w:rPr>
        <w:t>特别提醒：竞争性磋商文件中如需“被授权代表签字或盖章”，供应商可打印成文档，签字或盖章后再扫描上传，最后再加盖电子签章。</w:t>
      </w:r>
    </w:p>
    <w:p w14:paraId="27279A1E">
      <w:pPr>
        <w:pStyle w:val="62"/>
        <w:ind w:firstLine="480"/>
        <w:rPr>
          <w:rFonts w:eastAsia="宋体" w:cs="宋体"/>
          <w:color w:val="auto"/>
          <w:highlight w:val="none"/>
        </w:rPr>
      </w:pPr>
      <w:r>
        <w:rPr>
          <w:rFonts w:hint="eastAsia" w:eastAsia="宋体" w:cs="宋体"/>
          <w:color w:val="auto"/>
          <w:highlight w:val="none"/>
        </w:rPr>
        <w:t>3、盖章要求：见《磋商文件》第九章附件中相关格式要求。供应商须通过“苏采云”系统提供的政府采购客户端工具（使用“CA数字证书”）加盖电子签章。</w:t>
      </w:r>
    </w:p>
    <w:p w14:paraId="0E94D926">
      <w:pPr>
        <w:pStyle w:val="62"/>
        <w:rPr>
          <w:rFonts w:eastAsia="宋体" w:cs="宋体"/>
          <w:b/>
          <w:bCs/>
          <w:color w:val="auto"/>
          <w:highlight w:val="none"/>
        </w:rPr>
      </w:pPr>
      <w:r>
        <w:rPr>
          <w:rFonts w:hint="eastAsia" w:eastAsia="宋体" w:cs="宋体"/>
          <w:b/>
          <w:bCs/>
          <w:color w:val="auto"/>
          <w:highlight w:val="none"/>
        </w:rPr>
        <w:t xml:space="preserve">（七）通过“苏采云”系统提交政府采购客户端工具导出加密的响应文件（后缀名为zip）。响应文件不得超过150M！ </w:t>
      </w:r>
    </w:p>
    <w:p w14:paraId="56FE52B9">
      <w:pPr>
        <w:pStyle w:val="62"/>
        <w:ind w:firstLine="480"/>
        <w:rPr>
          <w:rFonts w:eastAsia="宋体" w:cs="宋体"/>
          <w:color w:val="auto"/>
          <w:highlight w:val="none"/>
        </w:rPr>
      </w:pPr>
      <w:r>
        <w:rPr>
          <w:rFonts w:hint="eastAsia" w:eastAsia="宋体" w:cs="宋体"/>
          <w:color w:val="auto"/>
          <w:highlight w:val="none"/>
        </w:rPr>
        <w:t>注：</w:t>
      </w:r>
    </w:p>
    <w:p w14:paraId="4267D26E">
      <w:pPr>
        <w:pStyle w:val="62"/>
        <w:ind w:firstLine="480"/>
        <w:rPr>
          <w:rFonts w:eastAsia="宋体" w:cs="宋体"/>
          <w:color w:val="auto"/>
          <w:highlight w:val="none"/>
        </w:rPr>
      </w:pPr>
      <w:r>
        <w:rPr>
          <w:rFonts w:hint="eastAsia" w:eastAsia="宋体" w:cs="宋体"/>
          <w:color w:val="auto"/>
          <w:highlight w:val="none"/>
        </w:rPr>
        <w:t>1、供应商应当按照《磋商文件》的要求编制响应文件，并对其提交的响应文件的真实性、合法性承担法律责任。</w:t>
      </w:r>
    </w:p>
    <w:p w14:paraId="0EF07216">
      <w:pPr>
        <w:pStyle w:val="62"/>
        <w:ind w:firstLine="480"/>
        <w:rPr>
          <w:rFonts w:eastAsia="宋体" w:cs="宋体"/>
          <w:color w:val="auto"/>
          <w:highlight w:val="none"/>
        </w:rPr>
      </w:pPr>
      <w:r>
        <w:rPr>
          <w:rFonts w:hint="eastAsia" w:eastAsia="宋体" w:cs="宋体"/>
          <w:color w:val="auto"/>
          <w:highlight w:val="none"/>
        </w:rPr>
        <w:t>2、采购人索取成交供应商的响应文件，须在双方签订政府采购合同后，由采购代理机构提供给采购人。</w:t>
      </w:r>
    </w:p>
    <w:p w14:paraId="5CBC4F2B">
      <w:pPr>
        <w:spacing w:line="360" w:lineRule="auto"/>
        <w:jc w:val="center"/>
        <w:rPr>
          <w:rFonts w:ascii="宋体" w:hAnsi="宋体" w:cs="宋体"/>
          <w:color w:val="auto"/>
          <w:sz w:val="24"/>
          <w:highlight w:val="none"/>
        </w:rPr>
      </w:pPr>
      <w:r>
        <w:rPr>
          <w:rFonts w:hint="eastAsia" w:ascii="宋体" w:hAnsi="宋体" w:cs="宋体"/>
          <w:color w:val="auto"/>
          <w:sz w:val="28"/>
          <w:szCs w:val="28"/>
          <w:highlight w:val="none"/>
        </w:rPr>
        <w:t>第四章 磋商相关说明</w:t>
      </w:r>
    </w:p>
    <w:p w14:paraId="7264A883">
      <w:pPr>
        <w:pStyle w:val="62"/>
        <w:ind w:firstLine="480"/>
        <w:rPr>
          <w:rFonts w:eastAsia="宋体" w:cs="宋体"/>
          <w:color w:val="auto"/>
          <w:highlight w:val="none"/>
        </w:rPr>
      </w:pPr>
      <w:r>
        <w:rPr>
          <w:rFonts w:hint="eastAsia" w:eastAsia="宋体" w:cs="宋体"/>
          <w:color w:val="auto"/>
          <w:highlight w:val="none"/>
        </w:rPr>
        <w:t>十四、磋商程序</w:t>
      </w:r>
    </w:p>
    <w:p w14:paraId="305AF784">
      <w:pPr>
        <w:pStyle w:val="62"/>
        <w:spacing w:line="10" w:lineRule="atLeast"/>
        <w:rPr>
          <w:rFonts w:eastAsia="宋体" w:cs="宋体"/>
          <w:b/>
          <w:bCs/>
          <w:color w:val="auto"/>
          <w:highlight w:val="none"/>
        </w:rPr>
      </w:pPr>
      <w:r>
        <w:rPr>
          <w:rFonts w:hint="eastAsia" w:eastAsia="宋体" w:cs="宋体"/>
          <w:b/>
          <w:bCs/>
          <w:color w:val="auto"/>
          <w:highlight w:val="none"/>
        </w:rPr>
        <w:t>（一）磋商要求</w:t>
      </w:r>
    </w:p>
    <w:p w14:paraId="3441C280">
      <w:pPr>
        <w:pStyle w:val="62"/>
        <w:ind w:firstLine="480"/>
        <w:rPr>
          <w:rFonts w:eastAsia="宋体" w:cs="宋体"/>
          <w:color w:val="auto"/>
          <w:highlight w:val="none"/>
        </w:rPr>
      </w:pPr>
      <w:r>
        <w:rPr>
          <w:rFonts w:hint="eastAsia" w:eastAsia="宋体" w:cs="宋体"/>
          <w:color w:val="auto"/>
          <w:highlight w:val="none"/>
        </w:rPr>
        <w:t>1、被邀请参与磋商的供应商需按本竞争性磋商文件要求的截止时间、方式（地点）提交首次响应文件，同时派人通过“苏采云”系统在“开标大厅”等待磋商。</w:t>
      </w:r>
    </w:p>
    <w:p w14:paraId="3409B74C">
      <w:pPr>
        <w:pStyle w:val="62"/>
        <w:ind w:firstLine="480"/>
        <w:rPr>
          <w:rFonts w:eastAsia="宋体" w:cs="宋体"/>
          <w:color w:val="auto"/>
          <w:highlight w:val="none"/>
        </w:rPr>
      </w:pPr>
      <w:r>
        <w:rPr>
          <w:rFonts w:hint="eastAsia" w:eastAsia="宋体" w:cs="宋体"/>
          <w:color w:val="auto"/>
          <w:highlight w:val="none"/>
        </w:rPr>
        <w:t>2、供应商可通过CA数字证书，在首次响应文件开启时间后，使用CA数字证书在规定时间内解密各自响应文件。</w:t>
      </w:r>
    </w:p>
    <w:p w14:paraId="582C0A55">
      <w:pPr>
        <w:pStyle w:val="62"/>
        <w:ind w:firstLine="480"/>
        <w:rPr>
          <w:rFonts w:eastAsia="宋体" w:cs="宋体"/>
          <w:bCs/>
          <w:color w:val="auto"/>
          <w:highlight w:val="none"/>
        </w:rPr>
      </w:pPr>
      <w:r>
        <w:rPr>
          <w:rFonts w:hint="eastAsia" w:eastAsia="宋体" w:cs="宋体"/>
          <w:b/>
          <w:bCs/>
          <w:color w:val="auto"/>
          <w:highlight w:val="none"/>
        </w:rPr>
        <w:t>3.供应商的授权代表或法人须全程守候在“苏采云”系统开标大厅，并确保视频设备正常使用。</w:t>
      </w:r>
    </w:p>
    <w:p w14:paraId="7434CA3E">
      <w:pPr>
        <w:pStyle w:val="62"/>
        <w:ind w:firstLine="480"/>
        <w:rPr>
          <w:rFonts w:eastAsia="宋体" w:cs="宋体"/>
          <w:color w:val="auto"/>
          <w:highlight w:val="none"/>
        </w:rPr>
      </w:pPr>
      <w:r>
        <w:rPr>
          <w:rFonts w:hint="eastAsia" w:eastAsia="宋体" w:cs="宋体"/>
          <w:color w:val="auto"/>
          <w:highlight w:val="none"/>
        </w:rPr>
        <w:t>4、磋商顺序按照电子标书解密先后时间进行，解密时间相同的，不分先后顺序。</w:t>
      </w:r>
    </w:p>
    <w:p w14:paraId="3919BBFA">
      <w:pPr>
        <w:pStyle w:val="96"/>
        <w:spacing w:line="520" w:lineRule="exact"/>
        <w:ind w:firstLine="480"/>
        <w:rPr>
          <w:rFonts w:ascii="宋体" w:hAnsi="宋体" w:cs="宋体"/>
          <w:b/>
          <w:color w:val="auto"/>
          <w:highlight w:val="none"/>
        </w:rPr>
      </w:pPr>
      <w:r>
        <w:rPr>
          <w:rFonts w:hint="eastAsia" w:ascii="宋体" w:hAnsi="宋体" w:cs="宋体"/>
          <w:bCs/>
          <w:color w:val="auto"/>
          <w:highlight w:val="none"/>
        </w:rPr>
        <w:t>5、</w:t>
      </w:r>
      <w:r>
        <w:rPr>
          <w:rFonts w:hint="eastAsia" w:ascii="宋体" w:hAnsi="宋体" w:cs="宋体"/>
          <w:b/>
          <w:color w:val="auto"/>
          <w:highlight w:val="none"/>
        </w:rPr>
        <w:t>磋商方式：本次磋商采用“苏采云”系统中的视频会议，供应商自行选择任意地点参加远程磋商会议。请供应商在磋商前等候在开标大厅，随时接听磋商小组发出的磋商视频邀请（所有邀请等待时间2分钟，2分钟内所邀请供应商无响应，视同放弃磋商的权利，按解密顺序由下一家进行磋商，不再后补）。</w:t>
      </w:r>
    </w:p>
    <w:p w14:paraId="45567FEF">
      <w:pPr>
        <w:pStyle w:val="62"/>
        <w:ind w:firstLine="480"/>
        <w:rPr>
          <w:rFonts w:eastAsia="宋体" w:cs="宋体"/>
          <w:color w:val="auto"/>
          <w:highlight w:val="none"/>
        </w:rPr>
      </w:pPr>
      <w:r>
        <w:rPr>
          <w:rFonts w:hint="eastAsia" w:eastAsia="宋体" w:cs="宋体"/>
          <w:color w:val="auto"/>
          <w:highlight w:val="none"/>
        </w:rPr>
        <w:t>6.未在规定时间内进行答疑澄清的，视同放弃澄清。</w:t>
      </w:r>
    </w:p>
    <w:p w14:paraId="3D4B2190">
      <w:pPr>
        <w:pStyle w:val="62"/>
        <w:ind w:firstLine="480"/>
        <w:rPr>
          <w:rFonts w:eastAsia="宋体" w:cs="宋体"/>
          <w:color w:val="auto"/>
          <w:highlight w:val="none"/>
        </w:rPr>
      </w:pPr>
      <w:r>
        <w:rPr>
          <w:rFonts w:hint="eastAsia" w:eastAsia="宋体" w:cs="宋体"/>
          <w:color w:val="auto"/>
          <w:highlight w:val="none"/>
        </w:rPr>
        <w:t>7.未在规定时间内进行报价的，视为响应无效。</w:t>
      </w:r>
    </w:p>
    <w:p w14:paraId="1CC4B4A2">
      <w:pPr>
        <w:pStyle w:val="62"/>
        <w:ind w:firstLine="480"/>
        <w:rPr>
          <w:rFonts w:eastAsia="宋体" w:cs="宋体"/>
          <w:b/>
          <w:bCs/>
          <w:color w:val="auto"/>
          <w:highlight w:val="none"/>
        </w:rPr>
      </w:pPr>
      <w:r>
        <w:rPr>
          <w:rFonts w:hint="eastAsia" w:eastAsia="宋体" w:cs="宋体"/>
          <w:b/>
          <w:bCs/>
          <w:color w:val="auto"/>
          <w:highlight w:val="none"/>
        </w:rPr>
        <w:t>注：各供应商在未进行第二次报价前，请不要离开开标系统，随时接受评标委员会提出的二次报价，因供应商未能及时二次报价而引起的废标及损失，由供应商负责。</w:t>
      </w:r>
    </w:p>
    <w:p w14:paraId="1B19E979">
      <w:pPr>
        <w:pStyle w:val="62"/>
        <w:ind w:firstLine="480"/>
        <w:rPr>
          <w:rFonts w:eastAsia="宋体" w:cs="宋体"/>
          <w:color w:val="auto"/>
          <w:highlight w:val="none"/>
        </w:rPr>
      </w:pPr>
      <w:r>
        <w:rPr>
          <w:rFonts w:hint="eastAsia" w:eastAsia="宋体" w:cs="宋体"/>
          <w:color w:val="auto"/>
          <w:highlight w:val="none"/>
        </w:rPr>
        <w:t>8.被邀请参与磋商的供应商如未按上述磋商要求执行，视同放弃磋商的权利。</w:t>
      </w:r>
    </w:p>
    <w:p w14:paraId="7824A162">
      <w:pPr>
        <w:pStyle w:val="62"/>
        <w:ind w:firstLine="240"/>
        <w:rPr>
          <w:rFonts w:eastAsia="宋体" w:cs="宋体"/>
          <w:b/>
          <w:bCs/>
          <w:color w:val="auto"/>
          <w:highlight w:val="none"/>
        </w:rPr>
      </w:pPr>
      <w:r>
        <w:rPr>
          <w:rFonts w:hint="eastAsia" w:eastAsia="宋体" w:cs="宋体"/>
          <w:b/>
          <w:bCs/>
          <w:color w:val="auto"/>
          <w:highlight w:val="none"/>
        </w:rPr>
        <w:t xml:space="preserve"> (二) 查询及使用供应商信用记录</w:t>
      </w:r>
    </w:p>
    <w:p w14:paraId="3C9B167C">
      <w:pPr>
        <w:pStyle w:val="62"/>
        <w:ind w:firstLine="480"/>
        <w:rPr>
          <w:rFonts w:eastAsia="宋体" w:cs="宋体"/>
          <w:color w:val="auto"/>
          <w:highlight w:val="none"/>
        </w:rPr>
      </w:pPr>
      <w:r>
        <w:rPr>
          <w:rFonts w:hint="eastAsia" w:eastAsia="宋体" w:cs="宋体"/>
          <w:color w:val="auto"/>
          <w:highlight w:val="none"/>
        </w:rPr>
        <w:t>1.由采购人查询信用信息。</w:t>
      </w:r>
    </w:p>
    <w:p w14:paraId="5D0A9CA5">
      <w:pPr>
        <w:pStyle w:val="62"/>
        <w:ind w:firstLine="480"/>
        <w:rPr>
          <w:rFonts w:eastAsia="宋体" w:cs="宋体"/>
          <w:color w:val="auto"/>
          <w:highlight w:val="none"/>
        </w:rPr>
      </w:pPr>
      <w:r>
        <w:rPr>
          <w:rFonts w:hint="eastAsia" w:eastAsia="宋体" w:cs="宋体"/>
          <w:color w:val="auto"/>
          <w:highlight w:val="none"/>
        </w:rPr>
        <w:t>2.查询渠道包括：</w:t>
      </w:r>
    </w:p>
    <w:p w14:paraId="0E435759">
      <w:pPr>
        <w:pStyle w:val="62"/>
        <w:ind w:firstLine="480"/>
        <w:rPr>
          <w:rFonts w:eastAsia="宋体" w:cs="宋体"/>
          <w:color w:val="auto"/>
          <w:highlight w:val="none"/>
        </w:rPr>
      </w:pPr>
      <w:r>
        <w:rPr>
          <w:rFonts w:hint="eastAsia" w:eastAsia="宋体" w:cs="宋体"/>
          <w:color w:val="auto"/>
          <w:highlight w:val="none"/>
        </w:rPr>
        <w:t>(1)“信用中国”网（www.creditchina.gov.cn）；</w:t>
      </w:r>
    </w:p>
    <w:p w14:paraId="742AE848">
      <w:pPr>
        <w:pStyle w:val="62"/>
        <w:ind w:firstLine="480"/>
        <w:rPr>
          <w:rFonts w:eastAsia="宋体" w:cs="宋体"/>
          <w:color w:val="auto"/>
          <w:highlight w:val="none"/>
        </w:rPr>
      </w:pPr>
      <w:r>
        <w:rPr>
          <w:rFonts w:hint="eastAsia" w:eastAsia="宋体" w:cs="宋体"/>
          <w:color w:val="auto"/>
          <w:highlight w:val="none"/>
        </w:rPr>
        <w:t>(2) 中国政府采购网（www.ccgp.gov.cn）；</w:t>
      </w:r>
    </w:p>
    <w:p w14:paraId="2D399E82">
      <w:pPr>
        <w:pStyle w:val="62"/>
        <w:ind w:firstLine="480"/>
        <w:rPr>
          <w:rFonts w:eastAsia="宋体" w:cs="宋体"/>
          <w:color w:val="auto"/>
          <w:highlight w:val="none"/>
        </w:rPr>
      </w:pPr>
      <w:r>
        <w:rPr>
          <w:rFonts w:hint="eastAsia" w:eastAsia="宋体" w:cs="宋体"/>
          <w:color w:val="auto"/>
          <w:highlight w:val="none"/>
        </w:rPr>
        <w:t>(3)“信用江苏”网（http://credit.jiangsu.gov.cn/）；</w:t>
      </w:r>
    </w:p>
    <w:p w14:paraId="6CDC43D9">
      <w:pPr>
        <w:pStyle w:val="62"/>
        <w:ind w:firstLine="480"/>
        <w:rPr>
          <w:rFonts w:eastAsia="宋体" w:cs="宋体"/>
          <w:color w:val="auto"/>
          <w:highlight w:val="none"/>
        </w:rPr>
      </w:pPr>
      <w:r>
        <w:rPr>
          <w:rFonts w:hint="eastAsia" w:eastAsia="宋体" w:cs="宋体"/>
          <w:color w:val="auto"/>
          <w:highlight w:val="none"/>
        </w:rPr>
        <w:t>(4)“信用徐州”网（www.xuzhoucredit.gov.cn/）。</w:t>
      </w:r>
    </w:p>
    <w:p w14:paraId="6B1EB642">
      <w:pPr>
        <w:pStyle w:val="62"/>
        <w:ind w:firstLine="480"/>
        <w:rPr>
          <w:rFonts w:eastAsia="宋体" w:cs="宋体"/>
          <w:color w:val="auto"/>
          <w:highlight w:val="none"/>
        </w:rPr>
      </w:pPr>
      <w:r>
        <w:rPr>
          <w:rFonts w:hint="eastAsia" w:eastAsia="宋体" w:cs="宋体"/>
          <w:color w:val="auto"/>
          <w:highlight w:val="none"/>
        </w:rPr>
        <w:t>3.截止时点（查询环节）：首次响应文件开启后资格审查结束前。</w:t>
      </w:r>
    </w:p>
    <w:p w14:paraId="78CEDA29">
      <w:pPr>
        <w:pStyle w:val="62"/>
        <w:ind w:firstLine="480"/>
        <w:rPr>
          <w:rFonts w:eastAsia="宋体" w:cs="宋体"/>
          <w:color w:val="auto"/>
          <w:highlight w:val="none"/>
        </w:rPr>
      </w:pPr>
      <w:r>
        <w:rPr>
          <w:rFonts w:hint="eastAsia" w:eastAsia="宋体" w:cs="宋体"/>
          <w:color w:val="auto"/>
          <w:highlight w:val="none"/>
        </w:rPr>
        <w:t>4.信用信息查询记录和证据留存的具体方式：</w:t>
      </w:r>
    </w:p>
    <w:p w14:paraId="68CA2E86">
      <w:pPr>
        <w:pStyle w:val="62"/>
        <w:ind w:firstLine="480"/>
        <w:rPr>
          <w:rFonts w:eastAsia="宋体" w:cs="宋体"/>
          <w:color w:val="auto"/>
          <w:highlight w:val="none"/>
        </w:rPr>
      </w:pPr>
      <w:r>
        <w:rPr>
          <w:rFonts w:hint="eastAsia" w:eastAsia="宋体" w:cs="宋体"/>
          <w:color w:val="auto"/>
          <w:highlight w:val="none"/>
        </w:rPr>
        <w:t>网页截屏打印，与其他采购文件一并保存。</w:t>
      </w:r>
    </w:p>
    <w:p w14:paraId="662147AF">
      <w:pPr>
        <w:pStyle w:val="62"/>
        <w:ind w:firstLine="480"/>
        <w:rPr>
          <w:rFonts w:eastAsia="宋体" w:cs="宋体"/>
          <w:color w:val="auto"/>
          <w:highlight w:val="none"/>
        </w:rPr>
      </w:pPr>
      <w:r>
        <w:rPr>
          <w:rFonts w:hint="eastAsia" w:eastAsia="宋体" w:cs="宋体"/>
          <w:color w:val="auto"/>
          <w:highlight w:val="none"/>
        </w:rPr>
        <w:t>5.信用信息的使用规则：</w:t>
      </w:r>
    </w:p>
    <w:p w14:paraId="00538762">
      <w:pPr>
        <w:pStyle w:val="62"/>
        <w:ind w:firstLine="480"/>
        <w:rPr>
          <w:rFonts w:eastAsia="宋体" w:cs="宋体"/>
          <w:color w:val="auto"/>
          <w:highlight w:val="none"/>
        </w:rPr>
      </w:pPr>
      <w:r>
        <w:rPr>
          <w:rFonts w:hint="eastAsia" w:eastAsia="宋体" w:cs="宋体"/>
          <w:color w:val="auto"/>
          <w:highlight w:val="none"/>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14:paraId="43592FD7">
      <w:pPr>
        <w:pStyle w:val="62"/>
        <w:ind w:firstLine="480"/>
        <w:rPr>
          <w:rFonts w:eastAsia="宋体" w:cs="宋体"/>
          <w:color w:val="auto"/>
          <w:highlight w:val="none"/>
        </w:rPr>
      </w:pPr>
      <w:r>
        <w:rPr>
          <w:rFonts w:hint="eastAsia" w:eastAsia="宋体" w:cs="宋体"/>
          <w:color w:val="auto"/>
          <w:highlight w:val="none"/>
        </w:rPr>
        <w:t>十五、评审程序</w:t>
      </w:r>
    </w:p>
    <w:p w14:paraId="5CA56C4C">
      <w:pPr>
        <w:pStyle w:val="62"/>
        <w:ind w:firstLine="480"/>
        <w:rPr>
          <w:rFonts w:eastAsia="宋体" w:cs="宋体"/>
          <w:color w:val="auto"/>
          <w:highlight w:val="none"/>
        </w:rPr>
      </w:pPr>
      <w:r>
        <w:rPr>
          <w:rFonts w:hint="eastAsia" w:eastAsia="宋体" w:cs="宋体"/>
          <w:color w:val="auto"/>
          <w:highlight w:val="none"/>
        </w:rPr>
        <w:t>经磋商确定最终采购需求和提交最后报价的供应商后，由磋商小组采用综合评分法对提交最后报价的供应商的响应文件和最后报价进行综合评分。</w:t>
      </w:r>
    </w:p>
    <w:p w14:paraId="377E6C8A">
      <w:pPr>
        <w:pStyle w:val="62"/>
        <w:ind w:firstLine="480"/>
        <w:rPr>
          <w:rFonts w:eastAsia="宋体" w:cs="宋体"/>
          <w:color w:val="auto"/>
          <w:highlight w:val="none"/>
        </w:rPr>
      </w:pPr>
      <w:r>
        <w:rPr>
          <w:rFonts w:hint="eastAsia" w:eastAsia="宋体" w:cs="宋体"/>
          <w:color w:val="auto"/>
          <w:highlight w:val="none"/>
        </w:rPr>
        <w:t>磋商小组在阅读完所有磋商供应商的响应文件后，集中与单一供应商代表分别就技术参数等技术问题及价格和售后服务等内容进行磋商。</w:t>
      </w:r>
    </w:p>
    <w:p w14:paraId="51BCB1F9">
      <w:pPr>
        <w:pStyle w:val="62"/>
        <w:ind w:firstLine="480"/>
        <w:rPr>
          <w:rFonts w:eastAsia="宋体" w:cs="宋体"/>
          <w:color w:val="auto"/>
          <w:highlight w:val="none"/>
        </w:rPr>
      </w:pPr>
      <w:r>
        <w:rPr>
          <w:rFonts w:hint="eastAsia" w:eastAsia="宋体" w:cs="宋体"/>
          <w:color w:val="auto"/>
          <w:highlight w:val="none"/>
        </w:rPr>
        <w:t xml:space="preserve"> 磋商结束后，磋商小组应当要求所有参加磋商的供应商在规定时间内进行最后报价。供应商可按照磋商小组的要求在磋商现场（</w:t>
      </w:r>
      <w:r>
        <w:rPr>
          <w:rFonts w:hint="eastAsia" w:eastAsia="宋体" w:cs="宋体"/>
          <w:b/>
          <w:bCs/>
          <w:color w:val="auto"/>
          <w:highlight w:val="none"/>
        </w:rPr>
        <w:t>即“苏采云”系统开标大厅中</w:t>
      </w:r>
      <w:r>
        <w:rPr>
          <w:rFonts w:hint="eastAsia" w:eastAsia="宋体" w:cs="宋体"/>
          <w:color w:val="auto"/>
          <w:highlight w:val="none"/>
        </w:rPr>
        <w:t>）进行不少于两次的报价，首轮报价不公开，本项目二次报价为最后报价。</w:t>
      </w:r>
    </w:p>
    <w:p w14:paraId="7D30E1DA">
      <w:pPr>
        <w:pStyle w:val="62"/>
        <w:ind w:firstLine="480"/>
        <w:rPr>
          <w:rFonts w:eastAsia="宋体" w:cs="宋体"/>
          <w:color w:val="auto"/>
          <w:highlight w:val="none"/>
        </w:rPr>
      </w:pPr>
      <w:r>
        <w:rPr>
          <w:rFonts w:hint="eastAsia" w:eastAsia="宋体" w:cs="宋体"/>
          <w:color w:val="auto"/>
          <w:highlight w:val="none"/>
        </w:rPr>
        <w:t>磋商小组应当根据综合评分情况，按照评审得分由高到低顺序推荐3名成交候选供应商，并编写评审报告。评审得分相同的，按照最后报价由低到高的顺序推荐。评审得分且最后报价相同的，按照</w:t>
      </w:r>
      <w:r>
        <w:rPr>
          <w:rFonts w:hint="eastAsia" w:eastAsia="宋体" w:cs="宋体"/>
          <w:b/>
          <w:bCs/>
          <w:color w:val="auto"/>
          <w:highlight w:val="none"/>
        </w:rPr>
        <w:t>项目技术部分</w:t>
      </w:r>
      <w:r>
        <w:rPr>
          <w:rFonts w:hint="eastAsia" w:eastAsia="宋体" w:cs="宋体"/>
          <w:color w:val="auto"/>
          <w:highlight w:val="none"/>
        </w:rPr>
        <w:t>得分）顺序推荐。</w:t>
      </w:r>
    </w:p>
    <w:p w14:paraId="465BFDF4">
      <w:pPr>
        <w:pStyle w:val="62"/>
        <w:ind w:firstLine="480"/>
        <w:rPr>
          <w:rFonts w:eastAsia="宋体" w:cs="宋体"/>
          <w:color w:val="auto"/>
          <w:highlight w:val="none"/>
        </w:rPr>
      </w:pPr>
      <w:r>
        <w:rPr>
          <w:rFonts w:hint="eastAsia" w:eastAsia="宋体" w:cs="宋体"/>
          <w:color w:val="auto"/>
          <w:highlight w:val="none"/>
        </w:rPr>
        <w:t>磋商小组认为供应商的报价明显低于其他供应商的报价，有可能影响产品质量或者不能诚信履约的，应当要求其在评审现场合理的时间内提供书面说明，必要时提交相关证明材料；供应商不能证明其报价合理性的，磋商小组应当将其按响应无效处理。</w:t>
      </w:r>
    </w:p>
    <w:p w14:paraId="70506BE0">
      <w:pPr>
        <w:pStyle w:val="62"/>
        <w:ind w:firstLine="480"/>
        <w:rPr>
          <w:rFonts w:hint="eastAsia" w:eastAsia="宋体" w:cs="宋体"/>
          <w:b/>
          <w:bCs/>
          <w:color w:val="auto"/>
          <w:highlight w:val="none"/>
        </w:rPr>
      </w:pPr>
      <w:r>
        <w:rPr>
          <w:rFonts w:hint="eastAsia" w:eastAsia="宋体" w:cs="宋体"/>
          <w:b/>
          <w:bCs/>
          <w:color w:val="auto"/>
          <w:highlight w:val="none"/>
        </w:rPr>
        <w:t xml:space="preserve">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 </w:t>
      </w:r>
    </w:p>
    <w:p w14:paraId="1855083A">
      <w:pPr>
        <w:pStyle w:val="62"/>
        <w:ind w:firstLine="480"/>
        <w:rPr>
          <w:rFonts w:hint="eastAsia" w:eastAsia="宋体" w:cs="宋体"/>
          <w:b/>
          <w:bCs/>
          <w:color w:val="auto"/>
          <w:highlight w:val="none"/>
        </w:rPr>
      </w:pPr>
      <w:r>
        <w:rPr>
          <w:rFonts w:hint="eastAsia" w:eastAsia="宋体" w:cs="宋体"/>
          <w:b/>
          <w:bCs/>
          <w:color w:val="auto"/>
          <w:highlight w:val="none"/>
        </w:rPr>
        <w:t xml:space="preserve"> 根据铜财购[2025]12号文件，(一)评审过程中出现下列情形之一的，评审委员会应当启动异常低价投标(响应)审查程序:</w:t>
      </w:r>
    </w:p>
    <w:p w14:paraId="0482D115">
      <w:pPr>
        <w:pStyle w:val="62"/>
        <w:ind w:firstLine="480"/>
        <w:rPr>
          <w:rFonts w:hint="eastAsia" w:eastAsia="宋体" w:cs="宋体"/>
          <w:b/>
          <w:bCs/>
          <w:color w:val="auto"/>
          <w:highlight w:val="none"/>
        </w:rPr>
      </w:pPr>
      <w:r>
        <w:rPr>
          <w:rFonts w:hint="eastAsia" w:eastAsia="宋体" w:cs="宋体"/>
          <w:b/>
          <w:bCs/>
          <w:color w:val="auto"/>
          <w:highlight w:val="none"/>
        </w:rPr>
        <w:t>1.投标(响应)报价低于采购项目预算50%的，即投标(响应)报价&lt;采购项目预算×50%；</w:t>
      </w:r>
    </w:p>
    <w:p w14:paraId="1AE9B84E">
      <w:pPr>
        <w:pStyle w:val="62"/>
        <w:ind w:firstLine="480"/>
        <w:rPr>
          <w:rFonts w:hint="eastAsia" w:eastAsia="宋体" w:cs="宋体"/>
          <w:b/>
          <w:bCs/>
          <w:color w:val="auto"/>
          <w:highlight w:val="none"/>
        </w:rPr>
      </w:pPr>
      <w:r>
        <w:rPr>
          <w:rFonts w:hint="eastAsia" w:eastAsia="宋体" w:cs="宋体"/>
          <w:b/>
          <w:bCs/>
          <w:color w:val="auto"/>
          <w:highlight w:val="none"/>
        </w:rPr>
        <w:t>2.投标(响应)报价低于采购项目最高限价45%的，即投标(响应)报价&lt;采购项目最高限价×45%；</w:t>
      </w:r>
    </w:p>
    <w:p w14:paraId="670406B8">
      <w:pPr>
        <w:pStyle w:val="62"/>
        <w:ind w:firstLine="480"/>
        <w:rPr>
          <w:rFonts w:hint="eastAsia" w:eastAsia="宋体" w:cs="宋体"/>
          <w:b/>
          <w:bCs/>
          <w:color w:val="auto"/>
          <w:highlight w:val="none"/>
        </w:rPr>
      </w:pPr>
      <w:r>
        <w:rPr>
          <w:rFonts w:hint="eastAsia" w:eastAsia="宋体" w:cs="宋体"/>
          <w:b/>
          <w:bCs/>
          <w:color w:val="auto"/>
          <w:highlight w:val="none"/>
        </w:rPr>
        <w:t>3.评审委员会认定的供应商报价过低、有可能影响产品质量或者不能诚信履约的其他情形。</w:t>
      </w:r>
    </w:p>
    <w:p w14:paraId="046A5DD2">
      <w:pPr>
        <w:pStyle w:val="62"/>
        <w:ind w:firstLine="480"/>
        <w:rPr>
          <w:rFonts w:hint="eastAsia" w:eastAsia="宋体" w:cs="宋体"/>
          <w:b/>
          <w:bCs/>
          <w:color w:val="auto"/>
          <w:highlight w:val="none"/>
        </w:rPr>
      </w:pPr>
      <w:r>
        <w:rPr>
          <w:rFonts w:hint="eastAsia" w:eastAsia="宋体" w:cs="宋体"/>
          <w:b/>
          <w:bCs/>
          <w:color w:val="auto"/>
          <w:highlight w:val="none"/>
        </w:rPr>
        <w:t>(二)启动异常低价投标(响应)审查后，评审委员会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11CF1A81">
      <w:pPr>
        <w:pStyle w:val="62"/>
        <w:ind w:firstLine="480"/>
        <w:rPr>
          <w:rFonts w:hint="eastAsia" w:eastAsia="宋体" w:cs="宋体"/>
          <w:b/>
          <w:bCs/>
          <w:color w:val="auto"/>
          <w:highlight w:val="none"/>
        </w:rPr>
      </w:pPr>
      <w:r>
        <w:rPr>
          <w:rFonts w:hint="eastAsia" w:eastAsia="宋体" w:cs="宋体"/>
          <w:b/>
          <w:bCs/>
          <w:color w:val="auto"/>
          <w:highlight w:val="none"/>
        </w:rPr>
        <w:t>（三）对报价异常低且经评审委员会启动相关审查机制后仍中标或成交的供应商，采购人要重点关注其履约能力、履约承诺、实际履约情况等。如供应商在中标或成交后无正当理由拒不签订政府采购合同，采购人应将相关情况书面报送同级财政部门，由财政部门依法追究其法律责任；如供应商在签订政府采购合同后不严格履行合同，采购人应按照政府采购合同约定追究供应商违约责任，并将不良履约行为书面报送同级财政部门。</w:t>
      </w:r>
    </w:p>
    <w:p w14:paraId="2B60F520">
      <w:pPr>
        <w:pStyle w:val="62"/>
        <w:ind w:firstLine="480"/>
        <w:rPr>
          <w:rFonts w:ascii="宋体" w:hAnsi="宋体" w:cs="宋体"/>
          <w:color w:val="auto"/>
          <w:sz w:val="24"/>
          <w:highlight w:val="none"/>
        </w:rPr>
      </w:pPr>
      <w:r>
        <w:rPr>
          <w:rFonts w:hint="eastAsia" w:eastAsia="宋体" w:cs="宋体"/>
          <w:b/>
          <w:bCs/>
          <w:color w:val="auto"/>
          <w:highlight w:val="none"/>
        </w:rPr>
        <w:t>相关内容和要求见：《中华人民共和国政府采购法》、《中华人民共和国政府采购法实施条例》、《政府采购竞争性磋商采购方式管理暂行办法》及《财政部关于政府采购竞争性磋商采购方式管理暂行办法有关问题的补充通知》（财库〔2015〕124号）及铜财购[2025]12号文件。</w:t>
      </w:r>
    </w:p>
    <w:p w14:paraId="5DF92D5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十六、评审方法和评审标准</w:t>
      </w:r>
    </w:p>
    <w:p w14:paraId="6A3E6C9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1、评审方法：综合评分法</w:t>
      </w:r>
    </w:p>
    <w:p w14:paraId="0C748DE3">
      <w:pPr>
        <w:spacing w:line="360" w:lineRule="auto"/>
        <w:ind w:left="2" w:right="29" w:firstLine="480"/>
        <w:rPr>
          <w:rFonts w:ascii="宋体" w:hAnsi="宋体" w:cs="宋体"/>
          <w:color w:val="auto"/>
          <w:sz w:val="24"/>
          <w:highlight w:val="none"/>
        </w:rPr>
      </w:pPr>
      <w:r>
        <w:rPr>
          <w:rFonts w:hint="eastAsia" w:ascii="宋体" w:hAnsi="宋体" w:cs="宋体"/>
          <w:color w:val="auto"/>
          <w:sz w:val="24"/>
          <w:highlight w:val="none"/>
        </w:rPr>
        <w:t>2、评审标准：详见《磋商文件》附件1、《评分细则》</w:t>
      </w:r>
    </w:p>
    <w:p w14:paraId="77395F15">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十七、有下列情形之一的，其响应无效：</w:t>
      </w:r>
    </w:p>
    <w:p w14:paraId="02DEBF3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1、供应商未在规定时间内解密电子响应文件的； </w:t>
      </w:r>
    </w:p>
    <w:p w14:paraId="4D6BA1E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2、电子响应文件未按磋商文件要求签章的； </w:t>
      </w:r>
    </w:p>
    <w:p w14:paraId="2B43F95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3、供应商未在规定时间内进行二轮报价的； </w:t>
      </w:r>
    </w:p>
    <w:p w14:paraId="563E104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4、供应商的法定代表人参加投标未提供法人资格证明的；授权代表无法定代表人授权委托书的； </w:t>
      </w:r>
    </w:p>
    <w:p w14:paraId="4B44160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5、不具备磋商文件中规定的资格要求或未按磋商文件规定的要求提供资格、资信证明文件的； </w:t>
      </w:r>
    </w:p>
    <w:p w14:paraId="47151CD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6、被列入“信用中国”网站（www.creditchina.gov.cn）失信被执行人、重大税收违法案件当事人名单、政府采购严重违法失信行为记录名单的； </w:t>
      </w:r>
    </w:p>
    <w:p w14:paraId="36ED96F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7、响应文件未按磋商文件规定的内容和要求填写的；没有在系统指定位置上传对应</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文件、材料的；</w:t>
      </w:r>
    </w:p>
    <w:p w14:paraId="4CA0566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8、响应文件含有采购人不能接受的附加条件的； </w:t>
      </w:r>
    </w:p>
    <w:p w14:paraId="28064A96">
      <w:pPr>
        <w:pStyle w:val="62"/>
        <w:ind w:firstLine="480"/>
        <w:rPr>
          <w:rFonts w:eastAsia="宋体" w:cs="宋体"/>
          <w:color w:val="auto"/>
          <w:highlight w:val="none"/>
        </w:rPr>
      </w:pPr>
      <w:r>
        <w:rPr>
          <w:rFonts w:hint="eastAsia" w:eastAsia="宋体" w:cs="宋体"/>
          <w:color w:val="auto"/>
          <w:highlight w:val="none"/>
        </w:rPr>
        <w:t xml:space="preserve">9、磋商报价超过本项目（采购包）预算或最高限价的； </w:t>
      </w:r>
    </w:p>
    <w:p w14:paraId="3404D8D6">
      <w:pPr>
        <w:pStyle w:val="62"/>
        <w:ind w:firstLine="480"/>
        <w:rPr>
          <w:rFonts w:eastAsia="宋体" w:cs="宋体"/>
          <w:color w:val="auto"/>
          <w:highlight w:val="none"/>
        </w:rPr>
      </w:pPr>
      <w:r>
        <w:rPr>
          <w:rFonts w:hint="eastAsia" w:eastAsia="宋体" w:cs="宋体"/>
          <w:color w:val="auto"/>
          <w:highlight w:val="none"/>
        </w:rPr>
        <w:t xml:space="preserve">10、响应文件中工作人员配备要求、管理设备配置不满足项目需求的； </w:t>
      </w:r>
    </w:p>
    <w:p w14:paraId="015B0D19">
      <w:pPr>
        <w:pStyle w:val="62"/>
        <w:ind w:firstLine="480"/>
        <w:rPr>
          <w:rFonts w:eastAsia="宋体" w:cs="宋体"/>
          <w:color w:val="auto"/>
          <w:highlight w:val="none"/>
        </w:rPr>
      </w:pPr>
      <w:r>
        <w:rPr>
          <w:rFonts w:hint="eastAsia" w:eastAsia="宋体" w:cs="宋体"/>
          <w:color w:val="auto"/>
          <w:highlight w:val="none"/>
        </w:rPr>
        <w:t xml:space="preserve">11、响应文件提出了不能满足磋商文件要求或采购人不能接受的工程验收、计量、价款结算和支付办法的； </w:t>
      </w:r>
    </w:p>
    <w:p w14:paraId="363BB749">
      <w:pPr>
        <w:pStyle w:val="62"/>
        <w:ind w:firstLine="480"/>
        <w:rPr>
          <w:rFonts w:eastAsia="宋体" w:cs="宋体"/>
          <w:color w:val="auto"/>
          <w:highlight w:val="none"/>
        </w:rPr>
      </w:pPr>
      <w:r>
        <w:rPr>
          <w:rFonts w:hint="eastAsia" w:eastAsia="宋体" w:cs="宋体"/>
          <w:color w:val="auto"/>
          <w:highlight w:val="none"/>
        </w:rPr>
        <w:t xml:space="preserve">12、不同供应商的响应文件以及响应文件制作过程出现了磋商小组认为不应当雷同的情况的； </w:t>
      </w:r>
    </w:p>
    <w:p w14:paraId="26E0B14D">
      <w:pPr>
        <w:pStyle w:val="63"/>
        <w:spacing w:line="360" w:lineRule="auto"/>
        <w:ind w:firstLine="482"/>
        <w:jc w:val="left"/>
        <w:rPr>
          <w:rFonts w:ascii="宋体" w:hAnsi="宋体" w:cs="宋体"/>
          <w:color w:val="auto"/>
          <w:sz w:val="24"/>
          <w:highlight w:val="none"/>
        </w:rPr>
      </w:pPr>
      <w:r>
        <w:rPr>
          <w:rFonts w:hint="eastAsia" w:ascii="宋体" w:hAnsi="宋体" w:cs="宋体"/>
          <w:color w:val="auto"/>
          <w:sz w:val="24"/>
          <w:highlight w:val="none"/>
        </w:rPr>
        <w:t>13、不同供应商委托同一单位或者个人办理磋商事宜的。</w:t>
      </w:r>
    </w:p>
    <w:p w14:paraId="6A19DE6F">
      <w:pPr>
        <w:pStyle w:val="63"/>
        <w:spacing w:line="360" w:lineRule="auto"/>
        <w:ind w:firstLine="480"/>
        <w:jc w:val="left"/>
        <w:rPr>
          <w:rFonts w:ascii="宋体" w:hAnsi="宋体" w:cs="宋体"/>
          <w:color w:val="auto"/>
          <w:highlight w:val="none"/>
        </w:rPr>
      </w:pPr>
      <w:r>
        <w:rPr>
          <w:rFonts w:hint="eastAsia" w:ascii="宋体" w:hAnsi="宋体" w:cs="宋体"/>
          <w:color w:val="auto"/>
          <w:sz w:val="24"/>
          <w:highlight w:val="none"/>
        </w:rPr>
        <w:t>14、未按磋商文件规定的格式填写，内容不全或关键字模糊、无法辨认的；</w:t>
      </w:r>
    </w:p>
    <w:p w14:paraId="2D4C151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15、响应文件内容不全或不符合磋商文件中规定的其它实质性要求的； </w:t>
      </w:r>
    </w:p>
    <w:p w14:paraId="41BA2A6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16、磋商小组认定供应商的报价明显低于其他通过符合性审查供应商的报价，有可能影响产品质量或者不能诚信履约，且供应商不能应磋商小组要求在评审过程中要求的合理时间内提供书面说明原件扫描件（加盖公章、授权代表人签字），证明其报价合理性的，必要时磋商小组可要求供应商提交相关证明材料；</w:t>
      </w:r>
    </w:p>
    <w:p w14:paraId="2BD2FB34">
      <w:pPr>
        <w:pStyle w:val="62"/>
        <w:ind w:firstLine="480"/>
        <w:rPr>
          <w:rFonts w:eastAsia="宋体" w:cs="宋体"/>
          <w:color w:val="auto"/>
          <w:highlight w:val="none"/>
        </w:rPr>
      </w:pPr>
      <w:r>
        <w:rPr>
          <w:rFonts w:hint="eastAsia" w:eastAsia="宋体" w:cs="宋体"/>
          <w:color w:val="auto"/>
          <w:highlight w:val="none"/>
        </w:rPr>
        <w:t>17、法律法规和磋商文件规定的其它无效情形。</w:t>
      </w:r>
    </w:p>
    <w:p w14:paraId="08AEEB3B">
      <w:pPr>
        <w:pStyle w:val="62"/>
        <w:ind w:firstLine="480"/>
        <w:rPr>
          <w:rFonts w:eastAsia="宋体" w:cs="宋体"/>
          <w:color w:val="auto"/>
          <w:highlight w:val="none"/>
        </w:rPr>
      </w:pPr>
      <w:r>
        <w:rPr>
          <w:rFonts w:hint="eastAsia" w:eastAsia="宋体" w:cs="宋体"/>
          <w:color w:val="auto"/>
          <w:highlight w:val="none"/>
        </w:rPr>
        <w:t>十八、磋商过程中可能实质性变动的内容：在磋商过程中，磋商小组可以根据《磋商文件》和磋商情况实质性变动采购需求中的技术、服务要求以及合同草案条款。</w:t>
      </w:r>
    </w:p>
    <w:p w14:paraId="17BD5137">
      <w:pPr>
        <w:pStyle w:val="62"/>
        <w:ind w:firstLine="480"/>
        <w:rPr>
          <w:rFonts w:eastAsia="宋体" w:cs="宋体"/>
          <w:color w:val="auto"/>
          <w:highlight w:val="none"/>
        </w:rPr>
      </w:pPr>
      <w:r>
        <w:rPr>
          <w:rFonts w:hint="eastAsia" w:eastAsia="宋体" w:cs="宋体"/>
          <w:color w:val="auto"/>
          <w:highlight w:val="none"/>
        </w:rPr>
        <w:t>十九、采购人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承担相应的法律责任。</w:t>
      </w:r>
    </w:p>
    <w:p w14:paraId="4FD3EEB3">
      <w:pPr>
        <w:spacing w:line="360" w:lineRule="auto"/>
        <w:ind w:left="-2" w:right="29"/>
        <w:jc w:val="center"/>
        <w:rPr>
          <w:rFonts w:ascii="宋体" w:hAnsi="宋体" w:cs="宋体"/>
          <w:color w:val="auto"/>
          <w:sz w:val="24"/>
          <w:highlight w:val="none"/>
        </w:rPr>
      </w:pPr>
      <w:r>
        <w:rPr>
          <w:rFonts w:hint="eastAsia" w:ascii="宋体" w:hAnsi="宋体" w:cs="宋体"/>
          <w:color w:val="auto"/>
          <w:sz w:val="28"/>
          <w:szCs w:val="28"/>
          <w:highlight w:val="none"/>
        </w:rPr>
        <w:t>第五章 确定成交供应商及合同签订等</w:t>
      </w:r>
    </w:p>
    <w:p w14:paraId="163C03C4">
      <w:pPr>
        <w:pStyle w:val="62"/>
        <w:ind w:firstLine="480"/>
        <w:rPr>
          <w:rFonts w:eastAsia="宋体" w:cs="宋体"/>
          <w:color w:val="auto"/>
          <w:highlight w:val="none"/>
        </w:rPr>
      </w:pPr>
      <w:r>
        <w:rPr>
          <w:rFonts w:hint="eastAsia" w:eastAsia="宋体" w:cs="宋体"/>
          <w:color w:val="auto"/>
          <w:highlight w:val="none"/>
        </w:rPr>
        <w:t>二十、采购人应当在收到评审报告后5个工作日内，从评审报告提出的成交候选供应商中，按照排序由高到低的原则确定成交供应商。在省级以上财政部门指定的政府采购信息发布媒体上公告成交结果，公告标的的基本概况为成交供应商的《磋商报价表》（最后报价）。</w:t>
      </w:r>
    </w:p>
    <w:p w14:paraId="626A1EB1">
      <w:pPr>
        <w:pStyle w:val="62"/>
        <w:ind w:firstLine="480"/>
        <w:rPr>
          <w:rFonts w:eastAsia="宋体" w:cs="宋体"/>
          <w:color w:val="auto"/>
          <w:highlight w:val="none"/>
        </w:rPr>
      </w:pPr>
      <w:r>
        <w:rPr>
          <w:rFonts w:hint="eastAsia" w:eastAsia="宋体" w:cs="宋体"/>
          <w:color w:val="auto"/>
          <w:highlight w:val="none"/>
        </w:rPr>
        <w:t>二十一、采购人与成交供应商应当在成交通知书发出之日起30日内，按照《磋商文件》确定的合同文本以及采购标的、规格型号、采购金额、采购数量、技术和服务要求等事项签订政府采购合同。</w:t>
      </w:r>
    </w:p>
    <w:p w14:paraId="01D11C2F">
      <w:pPr>
        <w:pStyle w:val="62"/>
        <w:ind w:firstLine="480"/>
        <w:rPr>
          <w:rFonts w:eastAsia="宋体" w:cs="宋体"/>
          <w:color w:val="auto"/>
          <w:highlight w:val="none"/>
        </w:rPr>
      </w:pPr>
      <w:r>
        <w:rPr>
          <w:rFonts w:hint="eastAsia" w:eastAsia="宋体" w:cs="宋体"/>
          <w:color w:val="auto"/>
          <w:highlight w:val="none"/>
        </w:rPr>
        <w:t>特别说明： 按照《政府采购法》及其实施条例以及相关规定，中标或者成交后无正当理由拒不与采购人签订政府采购合同的, 在一至三年内禁止参加政府采购活动，列入政府采购严重违法失信行为记录名单。</w:t>
      </w:r>
    </w:p>
    <w:p w14:paraId="06EFC24F">
      <w:pPr>
        <w:pStyle w:val="62"/>
        <w:ind w:firstLine="480"/>
        <w:rPr>
          <w:rFonts w:eastAsia="宋体" w:cs="宋体"/>
          <w:color w:val="auto"/>
          <w:highlight w:val="none"/>
        </w:rPr>
      </w:pPr>
      <w:r>
        <w:rPr>
          <w:rFonts w:hint="eastAsia" w:eastAsia="宋体" w:cs="宋体"/>
          <w:color w:val="auto"/>
          <w:highlight w:val="none"/>
        </w:rPr>
        <w:t>二十二、成交供应商在收到成交通知书时，须向</w:t>
      </w:r>
      <w:r>
        <w:rPr>
          <w:rFonts w:hint="eastAsia" w:eastAsia="宋体" w:cs="宋体"/>
          <w:color w:val="auto"/>
          <w:highlight w:val="none"/>
          <w:lang w:eastAsia="zh-CN"/>
        </w:rPr>
        <w:t>江苏博智工程咨询有限公司</w:t>
      </w:r>
      <w:r>
        <w:rPr>
          <w:rFonts w:hint="eastAsia" w:eastAsia="宋体" w:cs="宋体"/>
          <w:color w:val="auto"/>
          <w:highlight w:val="none"/>
        </w:rPr>
        <w:t>提交《磋商报价表》（首次响应文件）和《分项价格表》（首次响应文件）的数据文件（WORD格式）。</w:t>
      </w:r>
    </w:p>
    <w:p w14:paraId="5F1E8D10">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二十三、</w:t>
      </w:r>
      <w:r>
        <w:rPr>
          <w:rFonts w:hint="eastAsia" w:ascii="宋体" w:hAnsi="宋体" w:cs="宋体"/>
          <w:bCs/>
          <w:color w:val="auto"/>
          <w:sz w:val="24"/>
          <w:highlight w:val="none"/>
        </w:rPr>
        <w:t>供应商应对响应文件的合法性、真实性负责。</w:t>
      </w:r>
      <w:r>
        <w:rPr>
          <w:rFonts w:hint="eastAsia" w:ascii="宋体" w:hAnsi="宋体" w:cs="宋体"/>
          <w:b/>
          <w:bCs/>
          <w:color w:val="auto"/>
          <w:sz w:val="24"/>
          <w:highlight w:val="none"/>
        </w:rPr>
        <w:t>签订合同前，成交供应商必须向采购人提交其响应文件中所有原件扫描件的原件，采购人核查（核对）无误后，签订合同。如成交供应商不能在采购人规定的时间内向采购人提供原件，将被采购人视为放弃中标（成交）资格。</w:t>
      </w:r>
    </w:p>
    <w:p w14:paraId="740AC181">
      <w:pPr>
        <w:widowControl/>
        <w:spacing w:line="360" w:lineRule="auto"/>
        <w:jc w:val="center"/>
        <w:rPr>
          <w:rFonts w:ascii="宋体" w:hAnsi="宋体" w:cs="宋体"/>
          <w:color w:val="auto"/>
          <w:sz w:val="24"/>
          <w:highlight w:val="none"/>
        </w:rPr>
      </w:pPr>
      <w:r>
        <w:rPr>
          <w:rFonts w:hint="eastAsia" w:ascii="宋体" w:hAnsi="宋体" w:cs="宋体"/>
          <w:color w:val="auto"/>
          <w:sz w:val="28"/>
          <w:szCs w:val="28"/>
          <w:highlight w:val="none"/>
        </w:rPr>
        <w:t>第六章 磋商文件的澄清或者修改</w:t>
      </w:r>
    </w:p>
    <w:p w14:paraId="4B3C27F2">
      <w:pPr>
        <w:pStyle w:val="62"/>
        <w:ind w:firstLine="480"/>
        <w:rPr>
          <w:rFonts w:eastAsia="宋体" w:cs="宋体"/>
          <w:color w:val="auto"/>
          <w:highlight w:val="none"/>
        </w:rPr>
      </w:pPr>
      <w:r>
        <w:rPr>
          <w:rFonts w:hint="eastAsia" w:eastAsia="宋体" w:cs="宋体"/>
          <w:color w:val="auto"/>
          <w:highlight w:val="none"/>
        </w:rPr>
        <w:t>二十四、《磋商文件》的澄清或者修改</w:t>
      </w:r>
    </w:p>
    <w:p w14:paraId="28370FC2">
      <w:pPr>
        <w:pStyle w:val="62"/>
        <w:ind w:firstLine="480"/>
        <w:rPr>
          <w:rFonts w:eastAsia="宋体" w:cs="宋体"/>
          <w:color w:val="auto"/>
          <w:highlight w:val="none"/>
        </w:rPr>
      </w:pPr>
      <w:r>
        <w:rPr>
          <w:rFonts w:hint="eastAsia" w:eastAsia="宋体" w:cs="宋体"/>
          <w:color w:val="auto"/>
          <w:highlight w:val="none"/>
        </w:rPr>
        <w:t>提交首次响应文件截止之日（即“首次响应文件提交的截止时间”）前，采购代理机构可以对已发出的《磋商文件》进行必要的澄清或者修改，澄清或者修改的内容作为《磋商文件》的组成部分。澄清或者修改的内容以所发布的本项目的“更正公告”的附件的形式通知所有获取《磋商文件》的供应商。发布本项目的“更正公告”后采购代理机构已尽通知义务。敬请各所有获取《磋商文件》的供应商关注本项目的“更正公告”及附件，否则，将自行承担相应的风险。</w:t>
      </w:r>
    </w:p>
    <w:p w14:paraId="2890EF7F">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第七章 询问和质疑</w:t>
      </w:r>
    </w:p>
    <w:p w14:paraId="1C8FBA33">
      <w:pPr>
        <w:pStyle w:val="62"/>
        <w:ind w:firstLine="480"/>
        <w:rPr>
          <w:rFonts w:eastAsia="宋体" w:cs="宋体"/>
          <w:color w:val="auto"/>
          <w:highlight w:val="none"/>
        </w:rPr>
      </w:pPr>
      <w:r>
        <w:rPr>
          <w:rFonts w:hint="eastAsia" w:eastAsia="宋体" w:cs="宋体"/>
          <w:color w:val="auto"/>
          <w:highlight w:val="none"/>
        </w:rPr>
        <w:t>二十五、询问和质疑</w:t>
      </w:r>
    </w:p>
    <w:p w14:paraId="5C4F1C92">
      <w:pPr>
        <w:pStyle w:val="62"/>
        <w:ind w:firstLine="480"/>
        <w:rPr>
          <w:rFonts w:eastAsia="宋体" w:cs="宋体"/>
          <w:color w:val="auto"/>
          <w:highlight w:val="none"/>
        </w:rPr>
      </w:pPr>
      <w:r>
        <w:rPr>
          <w:rFonts w:hint="eastAsia" w:eastAsia="宋体" w:cs="宋体"/>
          <w:color w:val="auto"/>
          <w:highlight w:val="none"/>
        </w:rPr>
        <w:t>1、根据采购代理机构与采购人签订的本采购项目的《委托代理协议》，供应商对政府采购活动事项有疑问的，可以向采购人或采购代理机构提出询问；供应商认为采购文件、采购过程、中标或成交结果使自己的权益受到损害的，可以在知道或者应知其权益受到损害之日起七个工作日内，以书面形式向采购人或采购代理机构提出质疑，由采购人或采购代理机构依法处理。</w:t>
      </w:r>
    </w:p>
    <w:p w14:paraId="4CEFECC8">
      <w:pPr>
        <w:pStyle w:val="62"/>
        <w:ind w:firstLine="480"/>
        <w:rPr>
          <w:rFonts w:eastAsia="宋体" w:cs="宋体"/>
          <w:color w:val="auto"/>
          <w:highlight w:val="none"/>
        </w:rPr>
      </w:pPr>
      <w:r>
        <w:rPr>
          <w:rFonts w:hint="eastAsia" w:eastAsia="宋体" w:cs="宋体"/>
          <w:color w:val="auto"/>
          <w:highlight w:val="none"/>
        </w:rPr>
        <w:t>2、质疑和投诉按《政府采购质疑和投诉办法》执行。</w:t>
      </w:r>
    </w:p>
    <w:p w14:paraId="20E7CD89">
      <w:pPr>
        <w:pStyle w:val="62"/>
        <w:ind w:firstLine="480"/>
        <w:rPr>
          <w:rFonts w:eastAsia="宋体" w:cs="宋体"/>
          <w:color w:val="auto"/>
          <w:highlight w:val="none"/>
        </w:rPr>
      </w:pPr>
      <w:r>
        <w:rPr>
          <w:rFonts w:hint="eastAsia" w:eastAsia="宋体" w:cs="宋体"/>
          <w:color w:val="auto"/>
          <w:highlight w:val="none"/>
        </w:rPr>
        <w:t>3、供应商对同一采购程序环节的质疑应在质疑期内一次性提出。</w:t>
      </w:r>
    </w:p>
    <w:p w14:paraId="7096133A">
      <w:pPr>
        <w:pStyle w:val="62"/>
        <w:ind w:firstLine="480"/>
        <w:rPr>
          <w:rFonts w:hint="default" w:eastAsia="宋体" w:cs="宋体"/>
          <w:color w:val="auto"/>
          <w:highlight w:val="none"/>
        </w:rPr>
      </w:pPr>
      <w:r>
        <w:rPr>
          <w:rFonts w:hint="eastAsia" w:eastAsia="宋体" w:cs="宋体"/>
          <w:color w:val="auto"/>
          <w:highlight w:val="none"/>
        </w:rPr>
        <w:t>质疑接收人：</w:t>
      </w:r>
      <w:r>
        <w:rPr>
          <w:rFonts w:hint="eastAsia" w:eastAsia="宋体" w:cs="宋体"/>
          <w:color w:val="auto"/>
          <w:highlight w:val="none"/>
          <w:lang w:val="en-US" w:eastAsia="zh-CN"/>
        </w:rPr>
        <w:t>任晓明</w:t>
      </w:r>
      <w:r>
        <w:rPr>
          <w:rFonts w:hint="eastAsia" w:eastAsia="宋体" w:cs="宋体"/>
          <w:color w:val="auto"/>
          <w:highlight w:val="none"/>
        </w:rPr>
        <w:t xml:space="preserve">         联系电话：0516-</w:t>
      </w:r>
      <w:r>
        <w:rPr>
          <w:rFonts w:hint="eastAsia" w:eastAsia="宋体" w:cs="宋体"/>
          <w:color w:val="auto"/>
          <w:highlight w:val="none"/>
          <w:lang w:val="en-US" w:eastAsia="zh-CN"/>
        </w:rPr>
        <w:t>85743599</w:t>
      </w:r>
    </w:p>
    <w:p w14:paraId="0D92CDE1">
      <w:pPr>
        <w:pStyle w:val="62"/>
        <w:ind w:firstLine="480"/>
        <w:rPr>
          <w:rFonts w:hint="default" w:eastAsia="宋体" w:cs="宋体"/>
          <w:color w:val="auto"/>
          <w:highlight w:val="none"/>
        </w:rPr>
      </w:pPr>
      <w:r>
        <w:rPr>
          <w:rFonts w:hint="eastAsia" w:eastAsia="宋体" w:cs="宋体"/>
          <w:color w:val="auto"/>
          <w:highlight w:val="none"/>
        </w:rPr>
        <w:t>地址：徐州市云龙区</w:t>
      </w:r>
      <w:r>
        <w:rPr>
          <w:rFonts w:hint="eastAsia" w:eastAsia="宋体" w:cs="宋体"/>
          <w:color w:val="auto"/>
          <w:highlight w:val="none"/>
          <w:lang w:val="en-US" w:eastAsia="zh-CN"/>
        </w:rPr>
        <w:t>淮海文博园16号楼。</w:t>
      </w:r>
    </w:p>
    <w:p w14:paraId="4975AED5">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第八章 其他</w:t>
      </w:r>
    </w:p>
    <w:p w14:paraId="57D6F628">
      <w:pPr>
        <w:pStyle w:val="62"/>
        <w:ind w:firstLine="480"/>
        <w:rPr>
          <w:rFonts w:eastAsia="宋体" w:cs="宋体"/>
          <w:color w:val="auto"/>
          <w:highlight w:val="none"/>
        </w:rPr>
      </w:pPr>
      <w:r>
        <w:rPr>
          <w:rFonts w:hint="eastAsia" w:eastAsia="宋体" w:cs="宋体"/>
          <w:color w:val="auto"/>
          <w:highlight w:val="none"/>
        </w:rPr>
        <w:t>1、代理服务费由成交人向采购代理机构支付，收取标准见附件。</w:t>
      </w:r>
    </w:p>
    <w:p w14:paraId="5B003128">
      <w:pPr>
        <w:pStyle w:val="62"/>
        <w:ind w:firstLine="480"/>
        <w:rPr>
          <w:rFonts w:eastAsia="宋体" w:cs="宋体"/>
          <w:color w:val="auto"/>
          <w:highlight w:val="none"/>
        </w:rPr>
      </w:pPr>
      <w:r>
        <w:rPr>
          <w:rFonts w:hint="eastAsia" w:eastAsia="宋体" w:cs="宋体"/>
          <w:color w:val="auto"/>
          <w:highlight w:val="none"/>
        </w:rPr>
        <w:t>2、成交结果在徐州政府采购网http://czj.xz.gov.cn/Home/HomeIndex上公布。</w:t>
      </w:r>
    </w:p>
    <w:p w14:paraId="728DB32C">
      <w:pPr>
        <w:pStyle w:val="62"/>
        <w:ind w:firstLine="480"/>
        <w:rPr>
          <w:rFonts w:hint="eastAsia" w:eastAsia="宋体" w:cs="宋体"/>
          <w:color w:val="auto"/>
          <w:highlight w:val="none"/>
        </w:rPr>
      </w:pPr>
      <w:r>
        <w:rPr>
          <w:rFonts w:hint="eastAsia" w:eastAsia="宋体" w:cs="宋体"/>
          <w:color w:val="auto"/>
          <w:highlight w:val="none"/>
        </w:rPr>
        <w:t>3、采购人：</w:t>
      </w:r>
      <w:r>
        <w:rPr>
          <w:rFonts w:hint="eastAsia" w:eastAsia="宋体" w:cs="宋体"/>
          <w:color w:val="auto"/>
          <w:highlight w:val="none"/>
          <w:lang w:eastAsia="zh-CN"/>
        </w:rPr>
        <w:t>徐州市铜山区大彭镇人民政府</w:t>
      </w:r>
      <w:r>
        <w:rPr>
          <w:rFonts w:hint="eastAsia" w:eastAsia="宋体" w:cs="宋体"/>
          <w:color w:val="auto"/>
          <w:highlight w:val="none"/>
        </w:rPr>
        <w:t> </w:t>
      </w:r>
    </w:p>
    <w:p w14:paraId="3D599838">
      <w:pPr>
        <w:pStyle w:val="62"/>
        <w:ind w:firstLine="480"/>
        <w:rPr>
          <w:rFonts w:hint="default" w:eastAsia="宋体" w:cs="宋体"/>
          <w:color w:val="auto"/>
          <w:highlight w:val="none"/>
        </w:rPr>
      </w:pPr>
      <w:r>
        <w:rPr>
          <w:rFonts w:hint="eastAsia" w:eastAsia="宋体" w:cs="宋体"/>
          <w:color w:val="auto"/>
          <w:highlight w:val="none"/>
        </w:rPr>
        <w:t>联系人：罗忠珂</w:t>
      </w:r>
    </w:p>
    <w:p w14:paraId="0F7F01E6">
      <w:pPr>
        <w:pStyle w:val="62"/>
        <w:ind w:firstLine="480"/>
        <w:rPr>
          <w:rFonts w:hint="eastAsia" w:eastAsia="宋体" w:cs="宋体"/>
          <w:color w:val="auto"/>
          <w:highlight w:val="none"/>
        </w:rPr>
      </w:pPr>
      <w:r>
        <w:rPr>
          <w:rFonts w:hint="eastAsia" w:eastAsia="宋体" w:cs="宋体"/>
          <w:color w:val="auto"/>
          <w:highlight w:val="none"/>
        </w:rPr>
        <w:t>联系电话：18118527373</w:t>
      </w:r>
    </w:p>
    <w:p w14:paraId="527CA6E8">
      <w:pPr>
        <w:pStyle w:val="62"/>
        <w:ind w:firstLine="480"/>
        <w:rPr>
          <w:rFonts w:hint="eastAsia" w:eastAsia="宋体" w:cs="宋体"/>
          <w:color w:val="auto"/>
          <w:highlight w:val="none"/>
        </w:rPr>
      </w:pPr>
      <w:r>
        <w:rPr>
          <w:rFonts w:hint="eastAsia" w:eastAsia="宋体" w:cs="宋体"/>
          <w:color w:val="auto"/>
          <w:highlight w:val="none"/>
        </w:rPr>
        <w:t>4、采购代理公司：</w:t>
      </w:r>
      <w:r>
        <w:rPr>
          <w:rFonts w:hint="eastAsia" w:eastAsia="宋体" w:cs="宋体"/>
          <w:color w:val="auto"/>
          <w:highlight w:val="none"/>
          <w:lang w:eastAsia="zh-CN"/>
        </w:rPr>
        <w:t>江苏博智工程咨询有限公司</w:t>
      </w:r>
    </w:p>
    <w:p w14:paraId="6A5FD8A3">
      <w:pPr>
        <w:pStyle w:val="62"/>
        <w:ind w:firstLine="480"/>
        <w:rPr>
          <w:rFonts w:eastAsia="宋体" w:cs="宋体"/>
          <w:color w:val="auto"/>
          <w:highlight w:val="none"/>
        </w:rPr>
      </w:pPr>
      <w:r>
        <w:rPr>
          <w:rFonts w:hint="eastAsia" w:eastAsia="宋体" w:cs="宋体"/>
          <w:color w:val="auto"/>
          <w:highlight w:val="none"/>
        </w:rPr>
        <w:t>地址：徐州市云龙区</w:t>
      </w:r>
      <w:r>
        <w:rPr>
          <w:rFonts w:hint="eastAsia" w:eastAsia="宋体" w:cs="宋体"/>
          <w:color w:val="auto"/>
          <w:highlight w:val="none"/>
          <w:lang w:val="en-US" w:eastAsia="zh-CN"/>
        </w:rPr>
        <w:t>淮海文博园16号楼。</w:t>
      </w:r>
    </w:p>
    <w:p w14:paraId="46061C91">
      <w:pPr>
        <w:pStyle w:val="62"/>
        <w:ind w:firstLine="480"/>
        <w:rPr>
          <w:rFonts w:hint="default" w:eastAsia="宋体" w:cs="宋体"/>
          <w:color w:val="auto"/>
          <w:highlight w:val="none"/>
        </w:rPr>
      </w:pPr>
      <w:r>
        <w:rPr>
          <w:rFonts w:hint="eastAsia" w:eastAsia="宋体" w:cs="宋体"/>
          <w:color w:val="auto"/>
          <w:highlight w:val="none"/>
        </w:rPr>
        <w:t>联系人：</w:t>
      </w:r>
      <w:r>
        <w:rPr>
          <w:rFonts w:hint="eastAsia" w:eastAsia="宋体" w:cs="宋体"/>
          <w:color w:val="auto"/>
          <w:highlight w:val="none"/>
          <w:lang w:val="en-US" w:eastAsia="zh-CN"/>
        </w:rPr>
        <w:t>任晓明</w:t>
      </w:r>
      <w:r>
        <w:rPr>
          <w:rFonts w:hint="eastAsia" w:eastAsia="宋体" w:cs="宋体"/>
          <w:color w:val="auto"/>
          <w:highlight w:val="none"/>
        </w:rPr>
        <w:t xml:space="preserve">     </w:t>
      </w:r>
      <w:r>
        <w:rPr>
          <w:rFonts w:hint="eastAsia" w:eastAsia="宋体" w:cs="宋体"/>
          <w:color w:val="auto"/>
          <w:highlight w:val="none"/>
          <w:lang w:val="en-US" w:eastAsia="zh-CN"/>
        </w:rPr>
        <w:t xml:space="preserve"> </w:t>
      </w:r>
      <w:r>
        <w:rPr>
          <w:rFonts w:hint="eastAsia" w:eastAsia="宋体" w:cs="宋体"/>
          <w:color w:val="auto"/>
          <w:highlight w:val="none"/>
        </w:rPr>
        <w:t>联系电话：0516-8</w:t>
      </w:r>
      <w:r>
        <w:rPr>
          <w:rFonts w:hint="eastAsia" w:eastAsia="宋体" w:cs="宋体"/>
          <w:color w:val="auto"/>
          <w:highlight w:val="none"/>
          <w:lang w:val="en-US" w:eastAsia="zh-CN"/>
        </w:rPr>
        <w:t>5743599</w:t>
      </w:r>
    </w:p>
    <w:p w14:paraId="24B1CA34">
      <w:pPr>
        <w:pStyle w:val="62"/>
        <w:ind w:firstLine="480"/>
        <w:rPr>
          <w:rFonts w:eastAsia="宋体" w:cs="宋体"/>
          <w:color w:val="auto"/>
          <w:highlight w:val="none"/>
        </w:rPr>
      </w:pPr>
    </w:p>
    <w:p w14:paraId="11EAE7FA">
      <w:pPr>
        <w:rPr>
          <w:rFonts w:ascii="宋体" w:hAnsi="宋体" w:cs="宋体"/>
          <w:color w:val="auto"/>
          <w:sz w:val="28"/>
          <w:szCs w:val="28"/>
          <w:highlight w:val="none"/>
        </w:rPr>
      </w:pPr>
      <w:r>
        <w:rPr>
          <w:rFonts w:hint="eastAsia" w:ascii="宋体" w:hAnsi="宋体" w:cs="宋体"/>
          <w:color w:val="auto"/>
          <w:sz w:val="28"/>
          <w:szCs w:val="28"/>
          <w:highlight w:val="none"/>
        </w:rPr>
        <w:br w:type="page" w:clear="all"/>
      </w:r>
    </w:p>
    <w:p w14:paraId="24F2856E">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第九章 附件</w:t>
      </w:r>
    </w:p>
    <w:p w14:paraId="12BB9A85">
      <w:pPr>
        <w:pStyle w:val="62"/>
        <w:ind w:firstLine="480"/>
        <w:rPr>
          <w:rFonts w:eastAsia="宋体" w:cs="宋体"/>
          <w:color w:val="auto"/>
          <w:highlight w:val="none"/>
        </w:rPr>
      </w:pPr>
      <w:bookmarkStart w:id="0" w:name="_Hlk81899242"/>
      <w:r>
        <w:rPr>
          <w:rFonts w:hint="eastAsia" w:eastAsia="宋体" w:cs="宋体"/>
          <w:color w:val="auto"/>
          <w:highlight w:val="none"/>
        </w:rPr>
        <w:t>1、《评分细则》</w:t>
      </w:r>
    </w:p>
    <w:p w14:paraId="7D4D5159">
      <w:pPr>
        <w:pStyle w:val="62"/>
        <w:ind w:firstLine="480"/>
        <w:rPr>
          <w:rFonts w:eastAsia="宋体" w:cs="宋体"/>
          <w:color w:val="auto"/>
          <w:highlight w:val="none"/>
        </w:rPr>
      </w:pPr>
      <w:r>
        <w:rPr>
          <w:rFonts w:hint="eastAsia" w:eastAsia="宋体" w:cs="宋体"/>
          <w:color w:val="auto"/>
          <w:highlight w:val="none"/>
        </w:rPr>
        <w:t>2、《项目要求（采购需求）》</w:t>
      </w:r>
    </w:p>
    <w:p w14:paraId="06EE53AC">
      <w:pPr>
        <w:pStyle w:val="62"/>
        <w:ind w:firstLine="480"/>
        <w:rPr>
          <w:rFonts w:eastAsia="宋体" w:cs="宋体"/>
          <w:color w:val="auto"/>
          <w:highlight w:val="none"/>
        </w:rPr>
      </w:pPr>
      <w:r>
        <w:rPr>
          <w:rFonts w:hint="eastAsia" w:eastAsia="宋体" w:cs="宋体"/>
          <w:color w:val="auto"/>
          <w:highlight w:val="none"/>
        </w:rPr>
        <w:t>3、《磋商报价表》</w:t>
      </w:r>
    </w:p>
    <w:p w14:paraId="66C08BC2">
      <w:pPr>
        <w:pStyle w:val="62"/>
        <w:ind w:firstLine="480"/>
        <w:rPr>
          <w:rFonts w:eastAsia="宋体" w:cs="宋体"/>
          <w:color w:val="auto"/>
          <w:highlight w:val="none"/>
        </w:rPr>
      </w:pPr>
      <w:r>
        <w:rPr>
          <w:rFonts w:hint="eastAsia" w:eastAsia="宋体" w:cs="宋体"/>
          <w:color w:val="auto"/>
          <w:highlight w:val="none"/>
        </w:rPr>
        <w:t>4、《分项价格表》</w:t>
      </w:r>
    </w:p>
    <w:p w14:paraId="3DC003C3">
      <w:pPr>
        <w:pStyle w:val="62"/>
        <w:ind w:firstLine="480"/>
        <w:rPr>
          <w:rFonts w:eastAsia="宋体" w:cs="宋体"/>
          <w:color w:val="auto"/>
          <w:highlight w:val="none"/>
        </w:rPr>
      </w:pPr>
      <w:r>
        <w:rPr>
          <w:rFonts w:hint="eastAsia" w:eastAsia="宋体" w:cs="宋体"/>
          <w:color w:val="auto"/>
          <w:highlight w:val="none"/>
          <w:lang w:val="en-US" w:eastAsia="zh-CN"/>
        </w:rPr>
        <w:t>5</w:t>
      </w:r>
      <w:r>
        <w:rPr>
          <w:rFonts w:hint="eastAsia" w:eastAsia="宋体" w:cs="宋体"/>
          <w:color w:val="auto"/>
          <w:highlight w:val="none"/>
        </w:rPr>
        <w:t>、《偏离表》</w:t>
      </w:r>
    </w:p>
    <w:p w14:paraId="017CE764">
      <w:pPr>
        <w:pStyle w:val="62"/>
        <w:ind w:firstLine="480"/>
        <w:rPr>
          <w:rFonts w:eastAsia="宋体" w:cs="宋体"/>
          <w:color w:val="auto"/>
          <w:highlight w:val="none"/>
        </w:rPr>
      </w:pPr>
      <w:r>
        <w:rPr>
          <w:rFonts w:hint="eastAsia" w:eastAsia="宋体" w:cs="宋体"/>
          <w:color w:val="auto"/>
          <w:highlight w:val="none"/>
          <w:lang w:val="en-US" w:eastAsia="zh-CN"/>
        </w:rPr>
        <w:t>6</w:t>
      </w:r>
      <w:r>
        <w:rPr>
          <w:rFonts w:hint="eastAsia" w:eastAsia="宋体" w:cs="宋体"/>
          <w:color w:val="auto"/>
          <w:highlight w:val="none"/>
        </w:rPr>
        <w:t>、《合同草案条款》</w:t>
      </w:r>
    </w:p>
    <w:p w14:paraId="79E6D299">
      <w:pPr>
        <w:pStyle w:val="62"/>
        <w:ind w:firstLine="480"/>
        <w:rPr>
          <w:rFonts w:eastAsia="宋体" w:cs="宋体"/>
          <w:color w:val="auto"/>
          <w:highlight w:val="none"/>
        </w:rPr>
      </w:pPr>
      <w:r>
        <w:rPr>
          <w:rFonts w:hint="eastAsia" w:eastAsia="宋体" w:cs="宋体"/>
          <w:color w:val="auto"/>
          <w:highlight w:val="none"/>
          <w:lang w:val="en-US" w:eastAsia="zh-CN"/>
        </w:rPr>
        <w:t>7</w:t>
      </w:r>
      <w:r>
        <w:rPr>
          <w:rFonts w:hint="eastAsia" w:eastAsia="宋体" w:cs="宋体"/>
          <w:color w:val="auto"/>
          <w:highlight w:val="none"/>
        </w:rPr>
        <w:t>、《承诺书》</w:t>
      </w:r>
    </w:p>
    <w:p w14:paraId="611C157A">
      <w:pPr>
        <w:pStyle w:val="62"/>
        <w:ind w:firstLine="480"/>
        <w:rPr>
          <w:rFonts w:eastAsia="宋体" w:cs="宋体"/>
          <w:color w:val="auto"/>
          <w:highlight w:val="none"/>
        </w:rPr>
      </w:pPr>
      <w:r>
        <w:rPr>
          <w:rFonts w:hint="eastAsia" w:eastAsia="宋体" w:cs="宋体"/>
          <w:color w:val="auto"/>
          <w:highlight w:val="none"/>
          <w:lang w:val="en-US" w:eastAsia="zh-CN"/>
        </w:rPr>
        <w:t>8</w:t>
      </w:r>
      <w:r>
        <w:rPr>
          <w:rFonts w:hint="eastAsia" w:eastAsia="宋体" w:cs="宋体"/>
          <w:color w:val="auto"/>
          <w:highlight w:val="none"/>
        </w:rPr>
        <w:t>、《授权委托书》</w:t>
      </w:r>
    </w:p>
    <w:p w14:paraId="2E4775CC">
      <w:pPr>
        <w:pStyle w:val="62"/>
        <w:ind w:firstLine="480"/>
        <w:rPr>
          <w:rFonts w:eastAsia="宋体" w:cs="宋体"/>
          <w:color w:val="auto"/>
          <w:highlight w:val="none"/>
        </w:rPr>
      </w:pPr>
      <w:r>
        <w:rPr>
          <w:rFonts w:hint="eastAsia" w:eastAsia="宋体" w:cs="宋体"/>
          <w:color w:val="auto"/>
          <w:highlight w:val="none"/>
          <w:lang w:val="en-US" w:eastAsia="zh-CN"/>
        </w:rPr>
        <w:t>9</w:t>
      </w:r>
      <w:r>
        <w:rPr>
          <w:rFonts w:hint="eastAsia" w:eastAsia="宋体" w:cs="宋体"/>
          <w:color w:val="auto"/>
          <w:highlight w:val="none"/>
        </w:rPr>
        <w:t>、《中小企业声明函》及自测小程序</w:t>
      </w:r>
    </w:p>
    <w:p w14:paraId="607FA55E">
      <w:pPr>
        <w:pStyle w:val="62"/>
        <w:ind w:firstLine="480"/>
        <w:rPr>
          <w:rFonts w:hint="eastAsia" w:eastAsia="宋体" w:cs="宋体"/>
          <w:color w:val="auto"/>
          <w:highlight w:val="none"/>
        </w:rPr>
      </w:pPr>
      <w:r>
        <w:rPr>
          <w:rFonts w:hint="eastAsia" w:eastAsia="宋体" w:cs="宋体"/>
          <w:color w:val="auto"/>
          <w:highlight w:val="none"/>
          <w:lang w:val="en-US" w:eastAsia="zh-CN"/>
        </w:rPr>
        <w:t>10、《供应商参加政府采购活动前3年内在经营活动中没有重大违法记录的书面声明》</w:t>
      </w:r>
    </w:p>
    <w:p w14:paraId="4DD5E7A3">
      <w:pPr>
        <w:pStyle w:val="62"/>
        <w:ind w:firstLine="480"/>
        <w:rPr>
          <w:rFonts w:hint="eastAsia" w:eastAsia="宋体" w:cs="宋体"/>
          <w:color w:val="auto"/>
          <w:highlight w:val="none"/>
        </w:rPr>
      </w:pPr>
      <w:r>
        <w:rPr>
          <w:rFonts w:hint="eastAsia" w:eastAsia="宋体" w:cs="宋体"/>
          <w:color w:val="auto"/>
          <w:highlight w:val="none"/>
          <w:lang w:val="en-US" w:eastAsia="zh-CN"/>
        </w:rPr>
        <w:t>11、《具备履行合同所必需的设备和专业技术能力的书面声明》</w:t>
      </w:r>
    </w:p>
    <w:p w14:paraId="186DAA1C">
      <w:pPr>
        <w:pStyle w:val="62"/>
        <w:ind w:firstLine="480"/>
        <w:rPr>
          <w:rFonts w:hint="eastAsia" w:eastAsia="宋体" w:cs="宋体"/>
          <w:color w:val="auto"/>
          <w:highlight w:val="none"/>
        </w:rPr>
      </w:pPr>
      <w:r>
        <w:rPr>
          <w:rFonts w:hint="eastAsia" w:eastAsia="宋体" w:cs="宋体"/>
          <w:color w:val="auto"/>
          <w:highlight w:val="none"/>
          <w:lang w:val="en-US" w:eastAsia="zh-CN"/>
        </w:rPr>
        <w:t>12、《残疾人福利性单位声明函》</w:t>
      </w:r>
    </w:p>
    <w:p w14:paraId="70893ECF">
      <w:pPr>
        <w:pStyle w:val="62"/>
        <w:ind w:firstLine="480"/>
        <w:rPr>
          <w:rFonts w:hint="eastAsia" w:eastAsia="宋体" w:cs="宋体"/>
          <w:color w:val="auto"/>
          <w:highlight w:val="none"/>
        </w:rPr>
      </w:pPr>
      <w:r>
        <w:rPr>
          <w:rFonts w:hint="eastAsia" w:eastAsia="宋体" w:cs="宋体"/>
          <w:color w:val="auto"/>
          <w:highlight w:val="none"/>
          <w:lang w:val="en-US" w:eastAsia="zh-CN"/>
        </w:rPr>
        <w:t>13、《预付款保函》</w:t>
      </w:r>
    </w:p>
    <w:p w14:paraId="2CC9400B">
      <w:pPr>
        <w:pStyle w:val="62"/>
        <w:ind w:firstLine="480"/>
        <w:rPr>
          <w:rFonts w:hint="eastAsia" w:eastAsia="宋体" w:cs="宋体"/>
          <w:color w:val="auto"/>
          <w:highlight w:val="none"/>
        </w:rPr>
      </w:pPr>
      <w:r>
        <w:rPr>
          <w:rFonts w:hint="eastAsia" w:eastAsia="宋体" w:cs="宋体"/>
          <w:color w:val="auto"/>
          <w:highlight w:val="none"/>
          <w:lang w:val="en-US" w:eastAsia="zh-CN"/>
        </w:rPr>
        <w:t>14、《代理服务收费标准》</w:t>
      </w:r>
      <w:bookmarkEnd w:id="0"/>
    </w:p>
    <w:p w14:paraId="69DBC087">
      <w:pPr>
        <w:pStyle w:val="62"/>
        <w:ind w:firstLine="480"/>
        <w:rPr>
          <w:rFonts w:hint="eastAsia" w:eastAsia="宋体" w:cs="宋体"/>
          <w:color w:val="auto"/>
          <w:highlight w:val="none"/>
        </w:rPr>
      </w:pPr>
      <w:r>
        <w:rPr>
          <w:rFonts w:hint="eastAsia" w:eastAsia="宋体" w:cs="宋体"/>
          <w:color w:val="auto"/>
          <w:highlight w:val="none"/>
          <w:lang w:val="en-US" w:eastAsia="zh-CN"/>
        </w:rPr>
        <w:t>15、供应商对“入户垃圾分类桶”的承诺</w:t>
      </w:r>
    </w:p>
    <w:p w14:paraId="70C252D1">
      <w:pPr>
        <w:pStyle w:val="62"/>
        <w:ind w:firstLine="480"/>
        <w:rPr>
          <w:rFonts w:hint="default" w:eastAsia="宋体" w:cs="宋体"/>
          <w:color w:val="auto"/>
          <w:highlight w:val="none"/>
        </w:rPr>
      </w:pPr>
      <w:r>
        <w:rPr>
          <w:rFonts w:hint="default" w:eastAsia="宋体" w:cs="宋体"/>
          <w:color w:val="auto"/>
          <w:highlight w:val="none"/>
          <w:lang w:val="en-US" w:eastAsia="zh-CN"/>
        </w:rPr>
        <w:t>1</w:t>
      </w:r>
      <w:r>
        <w:rPr>
          <w:rFonts w:hint="eastAsia" w:eastAsia="宋体" w:cs="宋体"/>
          <w:color w:val="auto"/>
          <w:highlight w:val="none"/>
          <w:lang w:val="en-US" w:eastAsia="zh-CN"/>
        </w:rPr>
        <w:t>6</w:t>
      </w:r>
      <w:r>
        <w:rPr>
          <w:rFonts w:hint="default" w:eastAsia="宋体" w:cs="宋体"/>
          <w:color w:val="auto"/>
          <w:highlight w:val="none"/>
          <w:lang w:val="en-US" w:eastAsia="zh-CN"/>
        </w:rPr>
        <w:t>、供应商对“分类运输清运车辆”的承诺</w:t>
      </w:r>
    </w:p>
    <w:p w14:paraId="7BE4FE6A">
      <w:pPr>
        <w:pStyle w:val="62"/>
        <w:ind w:firstLine="480"/>
        <w:rPr>
          <w:rFonts w:hint="default" w:eastAsia="宋体" w:cs="宋体"/>
          <w:color w:val="auto"/>
          <w:highlight w:val="none"/>
        </w:rPr>
      </w:pPr>
      <w:r>
        <w:rPr>
          <w:rFonts w:hint="default" w:eastAsia="宋体" w:cs="宋体"/>
          <w:color w:val="auto"/>
          <w:highlight w:val="none"/>
          <w:lang w:val="en-US" w:eastAsia="zh-CN"/>
        </w:rPr>
        <w:t>1</w:t>
      </w:r>
      <w:r>
        <w:rPr>
          <w:rFonts w:hint="eastAsia" w:eastAsia="宋体" w:cs="宋体"/>
          <w:color w:val="auto"/>
          <w:highlight w:val="none"/>
          <w:lang w:val="en-US" w:eastAsia="zh-CN"/>
        </w:rPr>
        <w:t>7</w:t>
      </w:r>
      <w:r>
        <w:rPr>
          <w:rFonts w:hint="default" w:eastAsia="宋体" w:cs="宋体"/>
          <w:color w:val="auto"/>
          <w:highlight w:val="none"/>
          <w:lang w:val="en-US" w:eastAsia="zh-CN"/>
        </w:rPr>
        <w:t>、供应商对“运营服务人员”的承诺</w:t>
      </w:r>
    </w:p>
    <w:p w14:paraId="76D21577">
      <w:pPr>
        <w:pStyle w:val="62"/>
        <w:ind w:firstLine="480"/>
        <w:rPr>
          <w:rFonts w:hint="default" w:eastAsia="宋体" w:cs="宋体"/>
          <w:color w:val="auto"/>
          <w:highlight w:val="none"/>
        </w:rPr>
      </w:pPr>
    </w:p>
    <w:p w14:paraId="3CB005A8">
      <w:pPr>
        <w:pStyle w:val="62"/>
        <w:ind w:firstLine="480"/>
        <w:rPr>
          <w:rFonts w:hint="default" w:eastAsia="宋体" w:cs="宋体"/>
          <w:color w:val="auto"/>
          <w:highlight w:val="none"/>
        </w:rPr>
      </w:pPr>
    </w:p>
    <w:p w14:paraId="6D504898">
      <w:pPr>
        <w:spacing w:line="360" w:lineRule="auto"/>
        <w:ind w:firstLine="480"/>
        <w:jc w:val="right"/>
        <w:rPr>
          <w:rFonts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p>
    <w:p w14:paraId="0B2D382A">
      <w:pPr>
        <w:numPr>
          <w:ilvl w:val="0"/>
          <w:numId w:val="4"/>
        </w:numPr>
        <w:spacing w:line="0" w:lineRule="atLeast"/>
        <w:jc w:val="center"/>
        <w:rPr>
          <w:rFonts w:ascii="宋体" w:hAnsi="宋体" w:cs="宋体"/>
          <w:b/>
          <w:color w:val="auto"/>
          <w:sz w:val="36"/>
          <w:highlight w:val="none"/>
        </w:rPr>
      </w:pPr>
      <w:r>
        <w:rPr>
          <w:rFonts w:hint="eastAsia" w:ascii="宋体" w:hAnsi="宋体" w:cs="宋体"/>
          <w:b/>
          <w:color w:val="auto"/>
          <w:sz w:val="36"/>
          <w:highlight w:val="none"/>
        </w:rPr>
        <w:br w:type="page" w:clear="all"/>
      </w:r>
      <w:r>
        <w:rPr>
          <w:rFonts w:hint="eastAsia" w:ascii="宋体" w:hAnsi="宋体" w:cs="宋体"/>
          <w:b/>
          <w:color w:val="auto"/>
          <w:sz w:val="36"/>
          <w:highlight w:val="none"/>
        </w:rPr>
        <w:t>评分细则</w:t>
      </w:r>
    </w:p>
    <w:tbl>
      <w:tblPr>
        <w:tblStyle w:val="51"/>
        <w:tblW w:w="105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9"/>
        <w:gridCol w:w="1541"/>
        <w:gridCol w:w="7887"/>
      </w:tblGrid>
      <w:tr w14:paraId="666A5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00" w:type="dxa"/>
            <w:gridSpan w:val="2"/>
            <w:noWrap w:val="0"/>
            <w:vAlign w:val="center"/>
          </w:tcPr>
          <w:p w14:paraId="2C6AC051">
            <w:pPr>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评审因素</w:t>
            </w:r>
          </w:p>
        </w:tc>
        <w:tc>
          <w:tcPr>
            <w:tcW w:w="7887" w:type="dxa"/>
            <w:noWrap w:val="0"/>
            <w:vAlign w:val="center"/>
          </w:tcPr>
          <w:p w14:paraId="4F6B5D19">
            <w:pPr>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评审因素细化和量化</w:t>
            </w:r>
          </w:p>
        </w:tc>
      </w:tr>
      <w:tr w14:paraId="61E54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59" w:type="dxa"/>
            <w:noWrap w:val="0"/>
            <w:vAlign w:val="center"/>
          </w:tcPr>
          <w:p w14:paraId="4F04C91A">
            <w:pPr>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价格</w:t>
            </w:r>
          </w:p>
          <w:p w14:paraId="4801C2C3">
            <w:pPr>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部分</w:t>
            </w:r>
          </w:p>
          <w:p w14:paraId="2164B419">
            <w:pPr>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（10分）</w:t>
            </w:r>
          </w:p>
        </w:tc>
        <w:tc>
          <w:tcPr>
            <w:tcW w:w="1541" w:type="dxa"/>
            <w:noWrap w:val="0"/>
            <w:vAlign w:val="center"/>
          </w:tcPr>
          <w:p w14:paraId="3CE958CC">
            <w:pPr>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价格</w:t>
            </w:r>
          </w:p>
          <w:p w14:paraId="62155E2D">
            <w:pPr>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（10分）</w:t>
            </w:r>
          </w:p>
        </w:tc>
        <w:tc>
          <w:tcPr>
            <w:tcW w:w="7887" w:type="dxa"/>
            <w:noWrap w:val="0"/>
            <w:vAlign w:val="center"/>
          </w:tcPr>
          <w:p w14:paraId="099FF03C">
            <w:pPr>
              <w:jc w:val="lef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采用低价优先法计算，即满足磋商文件要求且最后报价最低的供应商的价格为磋商基准价，其价格分为满分。其他供应商的价格分统一按照下列公式计算：</w:t>
            </w:r>
          </w:p>
          <w:p w14:paraId="4F2AB55A">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磋商报价得分=（磋商基准价/最后磋商报价）×10</w:t>
            </w:r>
          </w:p>
          <w:p w14:paraId="3D80A8B7">
            <w:pPr>
              <w:jc w:val="lef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得分四舍五入保留小数点后2位。</w:t>
            </w:r>
          </w:p>
        </w:tc>
      </w:tr>
      <w:tr w14:paraId="0183E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159" w:type="dxa"/>
            <w:vMerge w:val="restart"/>
            <w:noWrap w:val="0"/>
            <w:vAlign w:val="center"/>
          </w:tcPr>
          <w:p w14:paraId="5203E870">
            <w:pPr>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商务</w:t>
            </w:r>
          </w:p>
          <w:p w14:paraId="0D39269C">
            <w:pPr>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部分</w:t>
            </w:r>
          </w:p>
          <w:p w14:paraId="4627C2F3">
            <w:pPr>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w:t>
            </w:r>
            <w:r>
              <w:rPr>
                <w:rFonts w:hint="eastAsia" w:ascii="宋体" w:hAnsi="宋体" w:cs="宋体"/>
                <w:color w:val="auto"/>
                <w:sz w:val="22"/>
                <w:szCs w:val="22"/>
                <w:highlight w:val="none"/>
                <w:lang w:val="en-US" w:eastAsia="zh-CN" w:bidi="ar-SA"/>
              </w:rPr>
              <w:t>7</w:t>
            </w:r>
            <w:r>
              <w:rPr>
                <w:rFonts w:hint="eastAsia" w:ascii="宋体" w:hAnsi="宋体" w:eastAsia="宋体" w:cs="宋体"/>
                <w:color w:val="auto"/>
                <w:sz w:val="22"/>
                <w:szCs w:val="22"/>
                <w:highlight w:val="none"/>
                <w:lang w:val="en-US" w:eastAsia="zh-CN" w:bidi="ar-SA"/>
              </w:rPr>
              <w:t>分）</w:t>
            </w:r>
          </w:p>
        </w:tc>
        <w:tc>
          <w:tcPr>
            <w:tcW w:w="1541" w:type="dxa"/>
            <w:tcBorders>
              <w:top w:val="single" w:color="auto" w:sz="4" w:space="0"/>
            </w:tcBorders>
            <w:noWrap w:val="0"/>
            <w:vAlign w:val="center"/>
          </w:tcPr>
          <w:p w14:paraId="13B100FB">
            <w:pPr>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供应商综合实力（3分）</w:t>
            </w:r>
          </w:p>
        </w:tc>
        <w:tc>
          <w:tcPr>
            <w:tcW w:w="7887" w:type="dxa"/>
            <w:tcBorders>
              <w:top w:val="single" w:color="auto" w:sz="4" w:space="0"/>
              <w:bottom w:val="single" w:color="auto" w:sz="4" w:space="0"/>
            </w:tcBorders>
            <w:noWrap w:val="0"/>
          </w:tcPr>
          <w:p w14:paraId="4049AC2B">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响应文件中提供供应商的：ISO9001质量体系认证证书、ISO14001环境体系认证证书、GB/T28001（OHSAS18001）（ISO450001）职业健康体系认证证书，每提供一个得1分；本项最高得3分。</w:t>
            </w:r>
          </w:p>
          <w:p w14:paraId="671A939A">
            <w:pPr>
              <w:jc w:val="left"/>
              <w:rPr>
                <w:rFonts w:hint="default" w:ascii="宋体" w:hAnsi="宋体" w:eastAsia="宋体" w:cs="宋体"/>
                <w:color w:val="auto"/>
                <w:sz w:val="22"/>
                <w:szCs w:val="22"/>
                <w:highlight w:val="none"/>
              </w:rPr>
            </w:pPr>
            <w:r>
              <w:rPr>
                <w:rFonts w:hint="eastAsia" w:ascii="宋体" w:hAnsi="宋体" w:eastAsia="宋体" w:cs="宋体"/>
                <w:b/>
                <w:bCs/>
                <w:color w:val="auto"/>
                <w:sz w:val="22"/>
                <w:szCs w:val="22"/>
                <w:highlight w:val="none"/>
                <w:lang w:val="en-US" w:eastAsia="zh-CN" w:bidi="ar-SA"/>
              </w:rPr>
              <w:t>响应文件中应提供加盖公章的有效期内证书原件的扫描件。</w:t>
            </w:r>
          </w:p>
        </w:tc>
      </w:tr>
      <w:tr w14:paraId="3189A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159" w:type="dxa"/>
            <w:vMerge w:val="continue"/>
            <w:noWrap w:val="0"/>
            <w:vAlign w:val="center"/>
          </w:tcPr>
          <w:p w14:paraId="17DF5ED1">
            <w:pPr>
              <w:jc w:val="center"/>
              <w:rPr>
                <w:rFonts w:hint="eastAsia" w:ascii="宋体" w:hAnsi="宋体" w:eastAsia="宋体" w:cs="宋体"/>
                <w:color w:val="auto"/>
                <w:sz w:val="22"/>
                <w:szCs w:val="22"/>
                <w:lang w:val="en-US" w:eastAsia="zh-CN" w:bidi="ar-SA"/>
              </w:rPr>
            </w:pPr>
          </w:p>
        </w:tc>
        <w:tc>
          <w:tcPr>
            <w:tcW w:w="1541" w:type="dxa"/>
            <w:tcBorders>
              <w:top w:val="single" w:color="auto" w:sz="4" w:space="0"/>
            </w:tcBorders>
            <w:noWrap w:val="0"/>
            <w:vAlign w:val="center"/>
          </w:tcPr>
          <w:p w14:paraId="03C20A7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设备（车辆）、人员配置（4分）</w:t>
            </w:r>
          </w:p>
        </w:tc>
        <w:tc>
          <w:tcPr>
            <w:tcW w:w="7887" w:type="dxa"/>
            <w:tcBorders>
              <w:top w:val="single" w:color="auto" w:sz="4" w:space="0"/>
              <w:bottom w:val="single" w:color="auto" w:sz="4" w:space="0"/>
            </w:tcBorders>
            <w:noWrap w:val="0"/>
            <w:vAlign w:val="center"/>
          </w:tcPr>
          <w:p w14:paraId="591966A8">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1、满足磋商文件《项目要求（采购需求）》“分类运输清运车辆配备表”，另外承诺增加1辆</w:t>
            </w:r>
            <w:r>
              <w:rPr>
                <w:rFonts w:hint="eastAsia" w:hAnsi="宋体" w:cs="宋体"/>
                <w:bCs/>
                <w:sz w:val="24"/>
                <w:highlight w:val="none"/>
              </w:rPr>
              <w:t>可回收垃圾转运车</w:t>
            </w:r>
            <w:r>
              <w:rPr>
                <w:rFonts w:hint="eastAsia" w:ascii="宋体" w:hAnsi="宋体" w:eastAsia="宋体" w:cs="宋体"/>
                <w:color w:val="auto"/>
                <w:sz w:val="22"/>
                <w:szCs w:val="22"/>
                <w:highlight w:val="none"/>
                <w:lang w:val="en-US" w:eastAsia="zh-CN" w:bidi="ar-SA"/>
              </w:rPr>
              <w:t>及1名驾驶员的，加3分，本项最高得3分，以承诺书为准</w:t>
            </w:r>
            <w:r>
              <w:rPr>
                <w:rFonts w:hint="eastAsia" w:ascii="宋体" w:hAnsi="宋体" w:cs="宋体"/>
                <w:color w:val="auto"/>
                <w:sz w:val="22"/>
                <w:szCs w:val="22"/>
                <w:highlight w:val="none"/>
                <w:lang w:val="en-US" w:eastAsia="zh-CN" w:bidi="ar-SA"/>
              </w:rPr>
              <w:t>，格式自拟</w:t>
            </w:r>
            <w:r>
              <w:rPr>
                <w:rFonts w:hint="eastAsia" w:ascii="宋体" w:hAnsi="宋体" w:eastAsia="宋体" w:cs="宋体"/>
                <w:color w:val="auto"/>
                <w:sz w:val="22"/>
                <w:szCs w:val="22"/>
                <w:highlight w:val="none"/>
                <w:lang w:val="en-US" w:eastAsia="zh-CN" w:bidi="ar-SA"/>
              </w:rPr>
              <w:t>。</w:t>
            </w:r>
          </w:p>
          <w:p w14:paraId="6E31BDF0">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2、满足磋商文件《项目要求（采购需求）》“人员配备表”，另外承诺每增加1名</w:t>
            </w:r>
            <w:r>
              <w:rPr>
                <w:rFonts w:hint="eastAsia" w:ascii="宋体" w:hAnsi="宋体" w:cs="宋体"/>
                <w:color w:val="auto"/>
                <w:sz w:val="22"/>
                <w:szCs w:val="22"/>
                <w:highlight w:val="none"/>
                <w:lang w:val="en-US" w:eastAsia="zh-CN" w:bidi="ar-SA"/>
              </w:rPr>
              <w:t>项目</w:t>
            </w:r>
            <w:r>
              <w:rPr>
                <w:rFonts w:hint="eastAsia" w:ascii="宋体" w:hAnsi="宋体" w:eastAsia="宋体" w:cs="宋体"/>
                <w:color w:val="auto"/>
                <w:sz w:val="22"/>
                <w:szCs w:val="22"/>
                <w:highlight w:val="none"/>
                <w:lang w:val="en-US" w:eastAsia="zh-CN" w:bidi="ar-SA"/>
              </w:rPr>
              <w:t>管理人员，加1分；本项最高得1分，以承诺书为准</w:t>
            </w:r>
            <w:r>
              <w:rPr>
                <w:rFonts w:hint="eastAsia" w:ascii="宋体" w:hAnsi="宋体" w:cs="宋体"/>
                <w:color w:val="auto"/>
                <w:sz w:val="22"/>
                <w:szCs w:val="22"/>
                <w:highlight w:val="none"/>
                <w:lang w:val="en-US" w:eastAsia="zh-CN" w:bidi="ar-SA"/>
              </w:rPr>
              <w:t>，格式自拟</w:t>
            </w:r>
            <w:r>
              <w:rPr>
                <w:rFonts w:hint="eastAsia" w:ascii="宋体" w:hAnsi="宋体" w:eastAsia="宋体" w:cs="宋体"/>
                <w:color w:val="auto"/>
                <w:sz w:val="22"/>
                <w:szCs w:val="22"/>
                <w:highlight w:val="none"/>
                <w:lang w:val="en-US" w:eastAsia="zh-CN" w:bidi="ar-SA"/>
              </w:rPr>
              <w:t>。</w:t>
            </w:r>
          </w:p>
          <w:p w14:paraId="5CFB302E">
            <w:pPr>
              <w:jc w:val="lef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lang w:val="en-US" w:eastAsia="zh-CN" w:bidi="ar-SA"/>
              </w:rPr>
              <w:t>备注：</w:t>
            </w:r>
            <w:r>
              <w:rPr>
                <w:rFonts w:hint="eastAsia" w:ascii="宋体" w:hAnsi="宋体" w:cs="宋体"/>
                <w:b/>
                <w:bCs/>
                <w:color w:val="auto"/>
                <w:sz w:val="22"/>
                <w:szCs w:val="22"/>
                <w:highlight w:val="none"/>
                <w:lang w:val="en-US" w:eastAsia="zh-CN" w:bidi="ar-SA"/>
              </w:rPr>
              <w:t>供应商</w:t>
            </w:r>
            <w:r>
              <w:rPr>
                <w:rFonts w:hint="eastAsia" w:ascii="宋体" w:hAnsi="宋体" w:eastAsia="宋体" w:cs="宋体"/>
                <w:b/>
                <w:bCs/>
                <w:color w:val="auto"/>
                <w:sz w:val="22"/>
                <w:szCs w:val="22"/>
                <w:highlight w:val="none"/>
                <w:lang w:val="en-US" w:eastAsia="zh-CN" w:bidi="ar-SA"/>
              </w:rPr>
              <w:t>需提供承诺书及完整的人员、车辆配置清单，如未提供承诺书及配置清单视为无效。</w:t>
            </w:r>
          </w:p>
        </w:tc>
      </w:tr>
      <w:tr w14:paraId="7045A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2" w:hRule="atLeast"/>
          <w:jc w:val="center"/>
        </w:trPr>
        <w:tc>
          <w:tcPr>
            <w:tcW w:w="1159" w:type="dxa"/>
            <w:vMerge w:val="restart"/>
            <w:noWrap w:val="0"/>
            <w:vAlign w:val="center"/>
          </w:tcPr>
          <w:p w14:paraId="4FDDBC1E">
            <w:pPr>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技术</w:t>
            </w:r>
          </w:p>
          <w:p w14:paraId="796E0379">
            <w:pPr>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部分</w:t>
            </w:r>
          </w:p>
          <w:p w14:paraId="18452B66">
            <w:pPr>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（8</w:t>
            </w:r>
            <w:r>
              <w:rPr>
                <w:rFonts w:hint="eastAsia" w:ascii="宋体" w:hAnsi="宋体" w:cs="宋体"/>
                <w:color w:val="auto"/>
                <w:sz w:val="22"/>
                <w:szCs w:val="22"/>
                <w:highlight w:val="none"/>
                <w:lang w:val="en-US" w:eastAsia="zh-CN" w:bidi="ar-SA"/>
              </w:rPr>
              <w:t>3</w:t>
            </w:r>
            <w:r>
              <w:rPr>
                <w:rFonts w:hint="eastAsia" w:ascii="宋体" w:hAnsi="宋体" w:eastAsia="宋体" w:cs="宋体"/>
                <w:color w:val="auto"/>
                <w:sz w:val="22"/>
                <w:szCs w:val="22"/>
                <w:highlight w:val="none"/>
                <w:lang w:val="en-US" w:eastAsia="zh-CN" w:bidi="ar-SA"/>
              </w:rPr>
              <w:t>分）</w:t>
            </w:r>
          </w:p>
          <w:p w14:paraId="5FEA5988">
            <w:pPr>
              <w:jc w:val="center"/>
              <w:rPr>
                <w:rFonts w:hint="default" w:ascii="宋体" w:hAnsi="宋体" w:eastAsia="宋体" w:cs="宋体"/>
                <w:color w:val="auto"/>
                <w:sz w:val="22"/>
                <w:szCs w:val="22"/>
                <w:highlight w:val="none"/>
              </w:rPr>
            </w:pPr>
          </w:p>
        </w:tc>
        <w:tc>
          <w:tcPr>
            <w:tcW w:w="1541" w:type="dxa"/>
            <w:tcBorders>
              <w:top w:val="single" w:color="auto" w:sz="4" w:space="0"/>
              <w:bottom w:val="single" w:color="auto" w:sz="4" w:space="0"/>
            </w:tcBorders>
            <w:noWrap w:val="0"/>
            <w:vAlign w:val="center"/>
          </w:tcPr>
          <w:p w14:paraId="1FE6926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工作内容难点、要点</w:t>
            </w:r>
          </w:p>
          <w:p w14:paraId="7E12D30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（12分）</w:t>
            </w:r>
          </w:p>
        </w:tc>
        <w:tc>
          <w:tcPr>
            <w:tcW w:w="7887" w:type="dxa"/>
            <w:tcBorders>
              <w:top w:val="single" w:color="auto" w:sz="4" w:space="0"/>
              <w:bottom w:val="single" w:color="auto" w:sz="4" w:space="0"/>
            </w:tcBorders>
            <w:noWrap w:val="0"/>
            <w:vAlign w:val="center"/>
          </w:tcPr>
          <w:p w14:paraId="12B41CE4">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根据</w:t>
            </w:r>
            <w:r>
              <w:rPr>
                <w:rFonts w:hint="eastAsia" w:ascii="宋体" w:hAnsi="宋体" w:eastAsia="宋体" w:cs="宋体"/>
                <w:color w:val="auto"/>
                <w:sz w:val="22"/>
                <w:szCs w:val="22"/>
                <w:highlight w:val="none"/>
                <w:lang w:val="zh-CN" w:eastAsia="zh-CN" w:bidi="ar-SA"/>
              </w:rPr>
              <w:t>响应文件中本项目工作内容难点、要点调查剖析，提出克服难点和要点的技术措施，对方案的全面性、合理性、针对性进行评价。</w:t>
            </w:r>
          </w:p>
          <w:p w14:paraId="26E85794">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eastAsia="zh-CN" w:bidi="ar-SA"/>
              </w:rPr>
              <w:t>全面性(</w:t>
            </w: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zh-CN" w:eastAsia="zh-CN" w:bidi="ar-SA"/>
              </w:rPr>
              <w:t>分)：全面具体详实的得</w:t>
            </w: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zh-CN" w:eastAsia="zh-CN" w:bidi="ar-SA"/>
              </w:rPr>
              <w:t>分；较全面的得3分；基本具备的得2分；不太全面的得1分。</w:t>
            </w:r>
          </w:p>
          <w:p w14:paraId="74D7CBBF">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eastAsia="zh-CN" w:bidi="ar-SA"/>
              </w:rPr>
              <w:t>合理性（</w:t>
            </w: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zh-CN" w:eastAsia="zh-CN" w:bidi="ar-SA"/>
              </w:rPr>
              <w:t>分）：科学合理的得</w:t>
            </w: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zh-CN" w:eastAsia="zh-CN" w:bidi="ar-SA"/>
              </w:rPr>
              <w:t>分；合理性较强的得3分，合理性一般的得2分，不太合理的得1分。</w:t>
            </w:r>
          </w:p>
          <w:p w14:paraId="64409401">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eastAsia="zh-CN" w:bidi="ar-SA"/>
              </w:rPr>
              <w:t>针对性（</w:t>
            </w: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zh-CN" w:eastAsia="zh-CN" w:bidi="ar-SA"/>
              </w:rPr>
              <w:t>分)：针对性强得</w:t>
            </w: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zh-CN" w:eastAsia="zh-CN" w:bidi="ar-SA"/>
              </w:rPr>
              <w:t>分；针对性较强得3分；针对性一般的得2分；欠缺针对性的得1分。</w:t>
            </w:r>
          </w:p>
          <w:p w14:paraId="7748AA45">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eastAsia="zh-CN" w:bidi="ar-SA"/>
              </w:rPr>
              <w:t>未提供的不得分。本项最高得</w:t>
            </w:r>
            <w:r>
              <w:rPr>
                <w:rFonts w:hint="eastAsia" w:ascii="宋体" w:hAnsi="宋体" w:eastAsia="宋体" w:cs="宋体"/>
                <w:color w:val="auto"/>
                <w:sz w:val="22"/>
                <w:szCs w:val="22"/>
                <w:highlight w:val="none"/>
                <w:lang w:val="en-US" w:eastAsia="zh-CN" w:bidi="ar-SA"/>
              </w:rPr>
              <w:t>12</w:t>
            </w:r>
            <w:r>
              <w:rPr>
                <w:rFonts w:hint="eastAsia" w:ascii="宋体" w:hAnsi="宋体" w:eastAsia="宋体" w:cs="宋体"/>
                <w:color w:val="auto"/>
                <w:sz w:val="22"/>
                <w:szCs w:val="22"/>
                <w:highlight w:val="none"/>
                <w:lang w:val="zh-CN" w:eastAsia="zh-CN" w:bidi="ar-SA"/>
              </w:rPr>
              <w:t>分，最低得0分。</w:t>
            </w:r>
          </w:p>
        </w:tc>
      </w:tr>
      <w:tr w14:paraId="6E97B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5" w:hRule="atLeast"/>
          <w:jc w:val="center"/>
        </w:trPr>
        <w:tc>
          <w:tcPr>
            <w:tcW w:w="1159" w:type="dxa"/>
            <w:vMerge w:val="continue"/>
            <w:noWrap w:val="0"/>
            <w:vAlign w:val="center"/>
          </w:tcPr>
          <w:p w14:paraId="72D9C320">
            <w:pPr>
              <w:jc w:val="center"/>
              <w:rPr>
                <w:rFonts w:hint="default" w:ascii="宋体" w:hAnsi="宋体" w:eastAsia="宋体" w:cs="宋体"/>
                <w:color w:val="auto"/>
                <w:sz w:val="22"/>
                <w:szCs w:val="22"/>
                <w:lang w:val="en-US" w:eastAsia="zh-CN" w:bidi="ar-SA"/>
              </w:rPr>
            </w:pPr>
          </w:p>
        </w:tc>
        <w:tc>
          <w:tcPr>
            <w:tcW w:w="1541" w:type="dxa"/>
            <w:tcBorders>
              <w:top w:val="single" w:color="auto" w:sz="4" w:space="0"/>
              <w:bottom w:val="single" w:color="auto" w:sz="4" w:space="0"/>
            </w:tcBorders>
            <w:noWrap w:val="0"/>
            <w:vAlign w:val="center"/>
          </w:tcPr>
          <w:p w14:paraId="670E137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eastAsia="zh-CN" w:bidi="ar-SA"/>
              </w:rPr>
              <w:t>餐厨垃圾清运方案</w:t>
            </w:r>
          </w:p>
          <w:p w14:paraId="0269AE5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eastAsia="zh-CN" w:bidi="ar-SA"/>
              </w:rPr>
              <w:t>（</w:t>
            </w:r>
            <w:r>
              <w:rPr>
                <w:rFonts w:hint="eastAsia" w:ascii="宋体" w:hAnsi="宋体" w:eastAsia="宋体" w:cs="宋体"/>
                <w:color w:val="auto"/>
                <w:sz w:val="22"/>
                <w:szCs w:val="22"/>
                <w:highlight w:val="none"/>
                <w:lang w:val="en-US" w:eastAsia="zh-CN" w:bidi="ar-SA"/>
              </w:rPr>
              <w:t>1</w:t>
            </w:r>
            <w:r>
              <w:rPr>
                <w:rFonts w:hint="eastAsia" w:ascii="宋体" w:hAnsi="宋体" w:cs="宋体"/>
                <w:color w:val="auto"/>
                <w:sz w:val="22"/>
                <w:szCs w:val="22"/>
                <w:highlight w:val="none"/>
                <w:lang w:val="en-US" w:eastAsia="zh-CN" w:bidi="ar-SA"/>
              </w:rPr>
              <w:t>2</w:t>
            </w:r>
            <w:r>
              <w:rPr>
                <w:rFonts w:hint="eastAsia" w:ascii="宋体" w:hAnsi="宋体" w:eastAsia="宋体" w:cs="宋体"/>
                <w:color w:val="auto"/>
                <w:sz w:val="22"/>
                <w:szCs w:val="22"/>
                <w:highlight w:val="none"/>
                <w:lang w:val="en-US" w:eastAsia="zh-CN" w:bidi="ar-SA"/>
              </w:rPr>
              <w:t>分</w:t>
            </w:r>
            <w:r>
              <w:rPr>
                <w:rFonts w:hint="eastAsia" w:ascii="宋体" w:hAnsi="宋体" w:eastAsia="宋体" w:cs="宋体"/>
                <w:color w:val="auto"/>
                <w:sz w:val="22"/>
                <w:szCs w:val="22"/>
                <w:highlight w:val="none"/>
                <w:lang w:val="zh-CN" w:eastAsia="zh-CN" w:bidi="ar-SA"/>
              </w:rPr>
              <w:t>）</w:t>
            </w:r>
          </w:p>
        </w:tc>
        <w:tc>
          <w:tcPr>
            <w:tcW w:w="7887" w:type="dxa"/>
            <w:tcBorders>
              <w:top w:val="single" w:color="auto" w:sz="4" w:space="0"/>
              <w:bottom w:val="single" w:color="auto" w:sz="4" w:space="0"/>
            </w:tcBorders>
            <w:noWrap w:val="0"/>
            <w:vAlign w:val="center"/>
          </w:tcPr>
          <w:p w14:paraId="3BFDF435">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根据</w:t>
            </w:r>
            <w:r>
              <w:rPr>
                <w:rFonts w:hint="eastAsia" w:ascii="宋体" w:hAnsi="宋体" w:eastAsia="宋体" w:cs="宋体"/>
                <w:color w:val="auto"/>
                <w:sz w:val="22"/>
                <w:szCs w:val="22"/>
                <w:highlight w:val="none"/>
                <w:lang w:val="zh-CN" w:eastAsia="zh-CN" w:bidi="ar-SA"/>
              </w:rPr>
              <w:t>响应文件中</w:t>
            </w:r>
            <w:r>
              <w:rPr>
                <w:rFonts w:hint="eastAsia" w:ascii="宋体" w:hAnsi="宋体" w:eastAsia="宋体" w:cs="宋体"/>
                <w:color w:val="auto"/>
                <w:sz w:val="22"/>
                <w:szCs w:val="22"/>
                <w:highlight w:val="none"/>
                <w:lang w:val="en-US" w:eastAsia="zh-CN" w:bidi="ar-SA"/>
              </w:rPr>
              <w:t>提供的餐厨垃圾清运方案</w:t>
            </w:r>
            <w:r>
              <w:rPr>
                <w:rFonts w:hint="eastAsia" w:ascii="宋体" w:hAnsi="宋体" w:eastAsia="宋体" w:cs="宋体"/>
                <w:color w:val="auto"/>
                <w:sz w:val="22"/>
                <w:szCs w:val="22"/>
                <w:highlight w:val="none"/>
                <w:lang w:val="zh-CN" w:eastAsia="zh-CN" w:bidi="ar-SA"/>
              </w:rPr>
              <w:t>，对方案的全面性、合理性、针对性进行评价。</w:t>
            </w:r>
          </w:p>
          <w:p w14:paraId="4935060C">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eastAsia="zh-CN" w:bidi="ar-SA"/>
              </w:rPr>
              <w:t>全面性(</w:t>
            </w: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zh-CN" w:eastAsia="zh-CN" w:bidi="ar-SA"/>
              </w:rPr>
              <w:t>分)：全面具体详实的得</w:t>
            </w: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zh-CN" w:eastAsia="zh-CN" w:bidi="ar-SA"/>
              </w:rPr>
              <w:t>分；较全面的得3分；基本具备的得2分；不太全面的得1分。</w:t>
            </w:r>
          </w:p>
          <w:p w14:paraId="47E17135">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eastAsia="zh-CN" w:bidi="ar-SA"/>
              </w:rPr>
              <w:t>合理性（</w:t>
            </w: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zh-CN" w:eastAsia="zh-CN" w:bidi="ar-SA"/>
              </w:rPr>
              <w:t>分）：科学合理的得</w:t>
            </w: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zh-CN" w:eastAsia="zh-CN" w:bidi="ar-SA"/>
              </w:rPr>
              <w:t>分；合理性较强的得3分，合理性一般的得2分，不太合理的得1分。</w:t>
            </w:r>
          </w:p>
          <w:p w14:paraId="180ABD65">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eastAsia="zh-CN" w:bidi="ar-SA"/>
              </w:rPr>
              <w:t>针对性（</w:t>
            </w: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zh-CN" w:eastAsia="zh-CN" w:bidi="ar-SA"/>
              </w:rPr>
              <w:t>分)：针对性强得</w:t>
            </w: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zh-CN" w:eastAsia="zh-CN" w:bidi="ar-SA"/>
              </w:rPr>
              <w:t>分；针对性较强得3分；针对性一般的得2分；欠缺针对性的得1分。</w:t>
            </w:r>
          </w:p>
          <w:p w14:paraId="4635FAB4">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eastAsia="zh-CN" w:bidi="ar-SA"/>
              </w:rPr>
              <w:t>未提供的不得分。本项最高得</w:t>
            </w:r>
            <w:r>
              <w:rPr>
                <w:rFonts w:hint="eastAsia" w:ascii="宋体" w:hAnsi="宋体" w:eastAsia="宋体" w:cs="宋体"/>
                <w:color w:val="auto"/>
                <w:sz w:val="22"/>
                <w:szCs w:val="22"/>
                <w:highlight w:val="none"/>
                <w:lang w:val="en-US" w:eastAsia="zh-CN" w:bidi="ar-SA"/>
              </w:rPr>
              <w:t>12</w:t>
            </w:r>
            <w:r>
              <w:rPr>
                <w:rFonts w:hint="eastAsia" w:ascii="宋体" w:hAnsi="宋体" w:eastAsia="宋体" w:cs="宋体"/>
                <w:color w:val="auto"/>
                <w:sz w:val="22"/>
                <w:szCs w:val="22"/>
                <w:highlight w:val="none"/>
                <w:lang w:val="zh-CN" w:eastAsia="zh-CN" w:bidi="ar-SA"/>
              </w:rPr>
              <w:t>分，最低得0分。</w:t>
            </w:r>
          </w:p>
        </w:tc>
      </w:tr>
      <w:tr w14:paraId="04AD9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0" w:hRule="atLeast"/>
          <w:jc w:val="center"/>
        </w:trPr>
        <w:tc>
          <w:tcPr>
            <w:tcW w:w="1159" w:type="dxa"/>
            <w:vMerge w:val="continue"/>
            <w:noWrap w:val="0"/>
          </w:tcPr>
          <w:p w14:paraId="0EC7EC8F">
            <w:pPr>
              <w:jc w:val="center"/>
              <w:rPr>
                <w:rFonts w:hint="default" w:ascii="宋体" w:hAnsi="宋体" w:eastAsia="宋体" w:cs="宋体"/>
                <w:color w:val="auto"/>
                <w:sz w:val="22"/>
                <w:szCs w:val="22"/>
                <w:lang w:val="en-US" w:eastAsia="zh-CN" w:bidi="ar-SA"/>
              </w:rPr>
            </w:pPr>
          </w:p>
        </w:tc>
        <w:tc>
          <w:tcPr>
            <w:tcW w:w="1541" w:type="dxa"/>
            <w:tcBorders>
              <w:top w:val="single" w:color="auto" w:sz="4" w:space="0"/>
              <w:bottom w:val="single" w:color="auto" w:sz="4" w:space="0"/>
            </w:tcBorders>
            <w:noWrap w:val="0"/>
            <w:vAlign w:val="center"/>
          </w:tcPr>
          <w:p w14:paraId="013C601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eastAsia="zh-CN" w:bidi="ar-SA"/>
              </w:rPr>
              <w:t>运输的路线、时间</w:t>
            </w:r>
          </w:p>
          <w:p w14:paraId="2E5B01B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eastAsia="zh-CN" w:bidi="ar-SA"/>
              </w:rPr>
              <w:t>（</w:t>
            </w:r>
            <w:r>
              <w:rPr>
                <w:rFonts w:hint="eastAsia" w:ascii="宋体" w:hAnsi="宋体" w:eastAsia="宋体" w:cs="宋体"/>
                <w:color w:val="auto"/>
                <w:sz w:val="22"/>
                <w:szCs w:val="22"/>
                <w:highlight w:val="none"/>
                <w:lang w:val="en-US" w:eastAsia="zh-CN" w:bidi="ar-SA"/>
              </w:rPr>
              <w:t>15分</w:t>
            </w:r>
            <w:r>
              <w:rPr>
                <w:rFonts w:hint="eastAsia" w:ascii="宋体" w:hAnsi="宋体" w:eastAsia="宋体" w:cs="宋体"/>
                <w:color w:val="auto"/>
                <w:sz w:val="22"/>
                <w:szCs w:val="22"/>
                <w:highlight w:val="none"/>
                <w:lang w:val="zh-CN" w:eastAsia="zh-CN" w:bidi="ar-SA"/>
              </w:rPr>
              <w:t>）</w:t>
            </w:r>
          </w:p>
        </w:tc>
        <w:tc>
          <w:tcPr>
            <w:tcW w:w="7887" w:type="dxa"/>
            <w:tcBorders>
              <w:top w:val="single" w:color="auto" w:sz="4" w:space="0"/>
              <w:bottom w:val="single" w:color="auto" w:sz="4" w:space="0"/>
            </w:tcBorders>
            <w:noWrap w:val="0"/>
            <w:vAlign w:val="center"/>
          </w:tcPr>
          <w:p w14:paraId="1D5328E2">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根据</w:t>
            </w:r>
            <w:r>
              <w:rPr>
                <w:rFonts w:hint="eastAsia" w:ascii="宋体" w:hAnsi="宋体" w:eastAsia="宋体" w:cs="宋体"/>
                <w:color w:val="auto"/>
                <w:sz w:val="22"/>
                <w:szCs w:val="22"/>
                <w:highlight w:val="none"/>
                <w:lang w:val="zh-CN" w:eastAsia="zh-CN" w:bidi="ar-SA"/>
              </w:rPr>
              <w:t>响应文件中</w:t>
            </w:r>
            <w:r>
              <w:rPr>
                <w:rFonts w:hint="eastAsia" w:ascii="宋体" w:hAnsi="宋体" w:eastAsia="宋体" w:cs="宋体"/>
                <w:color w:val="auto"/>
                <w:sz w:val="22"/>
                <w:szCs w:val="22"/>
                <w:highlight w:val="none"/>
                <w:lang w:val="en-US" w:eastAsia="zh-CN" w:bidi="ar-SA"/>
              </w:rPr>
              <w:t>提供的餐厨垃圾装运时间安排、装运线路等方案</w:t>
            </w:r>
            <w:r>
              <w:rPr>
                <w:rFonts w:hint="eastAsia" w:ascii="宋体" w:hAnsi="宋体" w:eastAsia="宋体" w:cs="宋体"/>
                <w:color w:val="auto"/>
                <w:sz w:val="22"/>
                <w:szCs w:val="22"/>
                <w:highlight w:val="none"/>
                <w:lang w:val="zh-CN" w:eastAsia="zh-CN" w:bidi="ar-SA"/>
              </w:rPr>
              <w:t>，对方案的全面性、合理性、针对性进行评价。</w:t>
            </w:r>
          </w:p>
          <w:p w14:paraId="1676D0C0">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全面性(5分)：全面具体详实的得5分；较全面的得3分；基本具备的得2分；不太全面的得1分。</w:t>
            </w:r>
          </w:p>
          <w:p w14:paraId="3B56541A">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合理性（5分）：科学合理的得5分；合理性较强的得3分，合理性一般的得2分，不太合理的得1分。</w:t>
            </w:r>
          </w:p>
          <w:p w14:paraId="00AC8CBE">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针对性（5分)：针对性强得5分；针对性较强得3分；针对性一般的得2分；欠缺针对性的得1分。</w:t>
            </w:r>
          </w:p>
          <w:p w14:paraId="5B11BB2E">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未提供的不得分。本项最高得15分，最低得0分。</w:t>
            </w:r>
          </w:p>
        </w:tc>
      </w:tr>
      <w:tr w14:paraId="78BE7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jc w:val="center"/>
        </w:trPr>
        <w:tc>
          <w:tcPr>
            <w:tcW w:w="1159" w:type="dxa"/>
            <w:vMerge w:val="continue"/>
            <w:noWrap w:val="0"/>
          </w:tcPr>
          <w:p w14:paraId="66D803BF">
            <w:pPr>
              <w:jc w:val="center"/>
              <w:rPr>
                <w:rFonts w:hint="default" w:ascii="宋体" w:hAnsi="宋体" w:eastAsia="宋体" w:cs="宋体"/>
                <w:color w:val="auto"/>
                <w:sz w:val="22"/>
                <w:szCs w:val="22"/>
                <w:lang w:val="en-US" w:eastAsia="zh-CN" w:bidi="ar-SA"/>
              </w:rPr>
            </w:pPr>
          </w:p>
        </w:tc>
        <w:tc>
          <w:tcPr>
            <w:tcW w:w="1541" w:type="dxa"/>
            <w:tcBorders>
              <w:top w:val="single" w:color="auto" w:sz="4" w:space="0"/>
              <w:bottom w:val="single" w:color="auto" w:sz="4" w:space="0"/>
            </w:tcBorders>
            <w:noWrap w:val="0"/>
            <w:vAlign w:val="center"/>
          </w:tcPr>
          <w:p w14:paraId="3CA8E2C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eastAsia="zh-CN" w:bidi="ar-SA"/>
              </w:rPr>
              <w:t>应急救援预案</w:t>
            </w:r>
          </w:p>
          <w:p w14:paraId="2335D23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eastAsia="zh-CN" w:bidi="ar-SA"/>
              </w:rPr>
              <w:t>（</w:t>
            </w:r>
            <w:r>
              <w:rPr>
                <w:rFonts w:hint="eastAsia" w:ascii="宋体" w:hAnsi="宋体" w:eastAsia="宋体" w:cs="宋体"/>
                <w:color w:val="auto"/>
                <w:sz w:val="22"/>
                <w:szCs w:val="22"/>
                <w:highlight w:val="none"/>
                <w:lang w:val="en-US" w:eastAsia="zh-CN" w:bidi="ar-SA"/>
              </w:rPr>
              <w:t>12分</w:t>
            </w:r>
            <w:r>
              <w:rPr>
                <w:rFonts w:hint="eastAsia" w:ascii="宋体" w:hAnsi="宋体" w:eastAsia="宋体" w:cs="宋体"/>
                <w:color w:val="auto"/>
                <w:sz w:val="22"/>
                <w:szCs w:val="22"/>
                <w:highlight w:val="none"/>
                <w:lang w:val="zh-CN" w:eastAsia="zh-CN" w:bidi="ar-SA"/>
              </w:rPr>
              <w:t>）</w:t>
            </w:r>
          </w:p>
        </w:tc>
        <w:tc>
          <w:tcPr>
            <w:tcW w:w="7887" w:type="dxa"/>
            <w:tcBorders>
              <w:top w:val="single" w:color="auto" w:sz="4" w:space="0"/>
              <w:bottom w:val="single" w:color="auto" w:sz="4" w:space="0"/>
            </w:tcBorders>
            <w:noWrap w:val="0"/>
            <w:vAlign w:val="center"/>
          </w:tcPr>
          <w:p w14:paraId="4E3D98A3">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根据</w:t>
            </w:r>
            <w:r>
              <w:rPr>
                <w:rFonts w:hint="eastAsia" w:ascii="宋体" w:hAnsi="宋体" w:eastAsia="宋体" w:cs="宋体"/>
                <w:color w:val="auto"/>
                <w:sz w:val="22"/>
                <w:szCs w:val="22"/>
                <w:highlight w:val="none"/>
                <w:lang w:val="zh-CN" w:eastAsia="zh-CN" w:bidi="ar-SA"/>
              </w:rPr>
              <w:t>响应文件中</w:t>
            </w:r>
            <w:r>
              <w:rPr>
                <w:rFonts w:hint="eastAsia" w:ascii="宋体" w:hAnsi="宋体" w:eastAsia="宋体" w:cs="宋体"/>
                <w:color w:val="auto"/>
                <w:sz w:val="22"/>
                <w:szCs w:val="22"/>
                <w:highlight w:val="none"/>
                <w:lang w:val="en-US" w:eastAsia="zh-CN" w:bidi="ar-SA"/>
              </w:rPr>
              <w:t>提供的应对突发事故、自然灾害的处理及配合重大活动的应急预案，</w:t>
            </w:r>
            <w:r>
              <w:rPr>
                <w:rFonts w:hint="eastAsia" w:ascii="宋体" w:hAnsi="宋体" w:eastAsia="宋体" w:cs="宋体"/>
                <w:color w:val="auto"/>
                <w:sz w:val="22"/>
                <w:szCs w:val="22"/>
                <w:highlight w:val="none"/>
                <w:lang w:val="zh-CN" w:eastAsia="zh-CN" w:bidi="ar-SA"/>
              </w:rPr>
              <w:t>对方案的全面性、合理性、针对性进行评价。</w:t>
            </w:r>
          </w:p>
          <w:p w14:paraId="68718F00">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eastAsia="zh-CN" w:bidi="ar-SA"/>
              </w:rPr>
              <w:t>全面性(</w:t>
            </w: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zh-CN" w:eastAsia="zh-CN" w:bidi="ar-SA"/>
              </w:rPr>
              <w:t>分)：全面具体详实的得</w:t>
            </w: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zh-CN" w:eastAsia="zh-CN" w:bidi="ar-SA"/>
              </w:rPr>
              <w:t>分；较全面的得3分；基本具备的得2分；不太全面的得1分。</w:t>
            </w:r>
          </w:p>
          <w:p w14:paraId="2BAF6F4A">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eastAsia="zh-CN" w:bidi="ar-SA"/>
              </w:rPr>
              <w:t>合理性（</w:t>
            </w: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zh-CN" w:eastAsia="zh-CN" w:bidi="ar-SA"/>
              </w:rPr>
              <w:t>分）：科学合理的得</w:t>
            </w: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zh-CN" w:eastAsia="zh-CN" w:bidi="ar-SA"/>
              </w:rPr>
              <w:t>分；合理性较强的得3分，合理性一般的得2分，不太合理的得1分。</w:t>
            </w:r>
          </w:p>
          <w:p w14:paraId="42F50704">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eastAsia="zh-CN" w:bidi="ar-SA"/>
              </w:rPr>
              <w:t>针对性（</w:t>
            </w: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zh-CN" w:eastAsia="zh-CN" w:bidi="ar-SA"/>
              </w:rPr>
              <w:t>分)：针对性强得</w:t>
            </w: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zh-CN" w:eastAsia="zh-CN" w:bidi="ar-SA"/>
              </w:rPr>
              <w:t>分；针对性较强得3分；针对性一般的得2分；欠缺针对性的得1分。</w:t>
            </w:r>
          </w:p>
          <w:p w14:paraId="21B47E07">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eastAsia="zh-CN" w:bidi="ar-SA"/>
              </w:rPr>
              <w:t>未提供的不得分。本项最高得</w:t>
            </w:r>
            <w:r>
              <w:rPr>
                <w:rFonts w:hint="eastAsia" w:ascii="宋体" w:hAnsi="宋体" w:eastAsia="宋体" w:cs="宋体"/>
                <w:color w:val="auto"/>
                <w:sz w:val="22"/>
                <w:szCs w:val="22"/>
                <w:highlight w:val="none"/>
                <w:lang w:val="en-US" w:eastAsia="zh-CN" w:bidi="ar-SA"/>
              </w:rPr>
              <w:t>12</w:t>
            </w:r>
            <w:r>
              <w:rPr>
                <w:rFonts w:hint="eastAsia" w:ascii="宋体" w:hAnsi="宋体" w:eastAsia="宋体" w:cs="宋体"/>
                <w:color w:val="auto"/>
                <w:sz w:val="22"/>
                <w:szCs w:val="22"/>
                <w:highlight w:val="none"/>
                <w:lang w:val="zh-CN" w:eastAsia="zh-CN" w:bidi="ar-SA"/>
              </w:rPr>
              <w:t>分，最低得0分。</w:t>
            </w:r>
          </w:p>
        </w:tc>
      </w:tr>
      <w:tr w14:paraId="6E4E5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6" w:hRule="atLeast"/>
          <w:jc w:val="center"/>
        </w:trPr>
        <w:tc>
          <w:tcPr>
            <w:tcW w:w="1159" w:type="dxa"/>
            <w:vMerge w:val="continue"/>
            <w:noWrap w:val="0"/>
          </w:tcPr>
          <w:p w14:paraId="29B683D5">
            <w:pPr>
              <w:jc w:val="center"/>
              <w:rPr>
                <w:rFonts w:hint="default" w:ascii="宋体" w:hAnsi="宋体" w:eastAsia="宋体" w:cs="宋体"/>
                <w:color w:val="auto"/>
                <w:sz w:val="22"/>
                <w:szCs w:val="22"/>
                <w:lang w:val="en-US" w:eastAsia="zh-CN" w:bidi="ar-SA"/>
              </w:rPr>
            </w:pPr>
          </w:p>
        </w:tc>
        <w:tc>
          <w:tcPr>
            <w:tcW w:w="1541" w:type="dxa"/>
            <w:tcBorders>
              <w:top w:val="single" w:color="auto" w:sz="4" w:space="0"/>
              <w:bottom w:val="single" w:color="auto" w:sz="4" w:space="0"/>
            </w:tcBorders>
            <w:noWrap w:val="0"/>
            <w:vAlign w:val="center"/>
          </w:tcPr>
          <w:p w14:paraId="77CAEB6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人员、设备、工具</w:t>
            </w:r>
            <w:r>
              <w:rPr>
                <w:rFonts w:hint="eastAsia" w:ascii="宋体" w:hAnsi="宋体" w:eastAsia="宋体" w:cs="宋体"/>
                <w:color w:val="auto"/>
                <w:sz w:val="22"/>
                <w:szCs w:val="22"/>
                <w:highlight w:val="none"/>
                <w:lang w:val="zh-CN" w:eastAsia="zh-CN" w:bidi="ar-SA"/>
              </w:rPr>
              <w:t>配置及</w:t>
            </w:r>
            <w:r>
              <w:rPr>
                <w:rFonts w:hint="eastAsia" w:ascii="宋体" w:hAnsi="宋体" w:eastAsia="宋体" w:cs="宋体"/>
                <w:color w:val="auto"/>
                <w:sz w:val="22"/>
                <w:szCs w:val="22"/>
                <w:highlight w:val="none"/>
                <w:lang w:val="en-US" w:eastAsia="zh-CN" w:bidi="ar-SA"/>
              </w:rPr>
              <w:t>工作职责</w:t>
            </w:r>
          </w:p>
          <w:p w14:paraId="401567D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（12分）</w:t>
            </w:r>
          </w:p>
        </w:tc>
        <w:tc>
          <w:tcPr>
            <w:tcW w:w="7887" w:type="dxa"/>
            <w:tcBorders>
              <w:top w:val="single" w:color="auto" w:sz="4" w:space="0"/>
              <w:bottom w:val="single" w:color="auto" w:sz="4" w:space="0"/>
            </w:tcBorders>
            <w:noWrap w:val="0"/>
            <w:vAlign w:val="center"/>
          </w:tcPr>
          <w:p w14:paraId="39BC5450">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根据</w:t>
            </w:r>
            <w:r>
              <w:rPr>
                <w:rFonts w:hint="eastAsia" w:ascii="宋体" w:hAnsi="宋体" w:eastAsia="宋体" w:cs="宋体"/>
                <w:color w:val="auto"/>
                <w:sz w:val="22"/>
                <w:szCs w:val="22"/>
                <w:highlight w:val="none"/>
                <w:lang w:val="zh-CN" w:eastAsia="zh-CN" w:bidi="ar-SA"/>
              </w:rPr>
              <w:t>响应文件中</w:t>
            </w:r>
            <w:r>
              <w:rPr>
                <w:rFonts w:hint="eastAsia" w:ascii="宋体" w:hAnsi="宋体" w:eastAsia="宋体" w:cs="宋体"/>
                <w:color w:val="auto"/>
                <w:sz w:val="22"/>
                <w:szCs w:val="22"/>
                <w:highlight w:val="none"/>
                <w:lang w:val="en-US" w:eastAsia="zh-CN" w:bidi="ar-SA"/>
              </w:rPr>
              <w:t>提供的项目组人员岗位设置、工作内容分配、工作经验、清运设备、工具及其他专业工具配备的</w:t>
            </w:r>
            <w:r>
              <w:rPr>
                <w:rFonts w:hint="eastAsia" w:ascii="宋体" w:hAnsi="宋体" w:eastAsia="宋体" w:cs="宋体"/>
                <w:color w:val="auto"/>
                <w:sz w:val="22"/>
                <w:szCs w:val="22"/>
                <w:highlight w:val="none"/>
                <w:lang w:val="zh-CN" w:eastAsia="zh-CN" w:bidi="ar-SA"/>
              </w:rPr>
              <w:t>全面性、合理性、针对性进行评价。</w:t>
            </w:r>
          </w:p>
          <w:p w14:paraId="58B45075">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eastAsia="zh-CN" w:bidi="ar-SA"/>
              </w:rPr>
              <w:t>全面性(</w:t>
            </w: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zh-CN" w:eastAsia="zh-CN" w:bidi="ar-SA"/>
              </w:rPr>
              <w:t>分)：全面具体详实的得</w:t>
            </w: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zh-CN" w:eastAsia="zh-CN" w:bidi="ar-SA"/>
              </w:rPr>
              <w:t>分；较全面的得3分；基本具备的得2分；不太全面的得1分。</w:t>
            </w:r>
          </w:p>
          <w:p w14:paraId="3743BE19">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eastAsia="zh-CN" w:bidi="ar-SA"/>
              </w:rPr>
              <w:t>合理性（</w:t>
            </w: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zh-CN" w:eastAsia="zh-CN" w:bidi="ar-SA"/>
              </w:rPr>
              <w:t>分）：科学合理的得</w:t>
            </w: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zh-CN" w:eastAsia="zh-CN" w:bidi="ar-SA"/>
              </w:rPr>
              <w:t>分；合理性较强的得3分，合理性一般的得2分，不太合理的得1分。</w:t>
            </w:r>
          </w:p>
          <w:p w14:paraId="7BFE8506">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eastAsia="zh-CN" w:bidi="ar-SA"/>
              </w:rPr>
              <w:t>针对性（</w:t>
            </w: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zh-CN" w:eastAsia="zh-CN" w:bidi="ar-SA"/>
              </w:rPr>
              <w:t>分)：针对性强得</w:t>
            </w: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zh-CN" w:eastAsia="zh-CN" w:bidi="ar-SA"/>
              </w:rPr>
              <w:t>分；针对性较强得3分；针对性一般的得2分；欠缺针对性的得1分。</w:t>
            </w:r>
          </w:p>
          <w:p w14:paraId="56211077">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eastAsia="zh-CN" w:bidi="ar-SA"/>
              </w:rPr>
              <w:t>未提供的不得分。本项最高得</w:t>
            </w:r>
            <w:r>
              <w:rPr>
                <w:rFonts w:hint="eastAsia" w:ascii="宋体" w:hAnsi="宋体" w:eastAsia="宋体" w:cs="宋体"/>
                <w:color w:val="auto"/>
                <w:sz w:val="22"/>
                <w:szCs w:val="22"/>
                <w:highlight w:val="none"/>
                <w:lang w:val="en-US" w:eastAsia="zh-CN" w:bidi="ar-SA"/>
              </w:rPr>
              <w:t>12</w:t>
            </w:r>
            <w:r>
              <w:rPr>
                <w:rFonts w:hint="eastAsia" w:ascii="宋体" w:hAnsi="宋体" w:eastAsia="宋体" w:cs="宋体"/>
                <w:color w:val="auto"/>
                <w:sz w:val="22"/>
                <w:szCs w:val="22"/>
                <w:highlight w:val="none"/>
                <w:lang w:val="zh-CN" w:eastAsia="zh-CN" w:bidi="ar-SA"/>
              </w:rPr>
              <w:t>分，最低得0分。</w:t>
            </w:r>
          </w:p>
        </w:tc>
      </w:tr>
      <w:tr w14:paraId="10F79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8" w:hRule="atLeast"/>
          <w:jc w:val="center"/>
        </w:trPr>
        <w:tc>
          <w:tcPr>
            <w:tcW w:w="1159" w:type="dxa"/>
            <w:vMerge w:val="continue"/>
            <w:noWrap w:val="0"/>
          </w:tcPr>
          <w:p w14:paraId="529BC28C">
            <w:pPr>
              <w:jc w:val="center"/>
              <w:rPr>
                <w:rFonts w:hint="default" w:ascii="宋体" w:hAnsi="宋体" w:eastAsia="宋体" w:cs="宋体"/>
                <w:color w:val="auto"/>
                <w:sz w:val="22"/>
                <w:szCs w:val="22"/>
                <w:lang w:val="en-US" w:eastAsia="zh-CN" w:bidi="ar-SA"/>
              </w:rPr>
            </w:pPr>
          </w:p>
        </w:tc>
        <w:tc>
          <w:tcPr>
            <w:tcW w:w="1541" w:type="dxa"/>
            <w:tcBorders>
              <w:top w:val="single" w:color="auto" w:sz="4" w:space="0"/>
            </w:tcBorders>
            <w:noWrap w:val="0"/>
            <w:vAlign w:val="center"/>
          </w:tcPr>
          <w:p w14:paraId="0A01FB2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运输服务台账管理方案</w:t>
            </w:r>
          </w:p>
          <w:p w14:paraId="36A104E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（10分）</w:t>
            </w:r>
          </w:p>
        </w:tc>
        <w:tc>
          <w:tcPr>
            <w:tcW w:w="7887" w:type="dxa"/>
            <w:tcBorders>
              <w:top w:val="single" w:color="auto" w:sz="4" w:space="0"/>
              <w:bottom w:val="single" w:color="auto" w:sz="4" w:space="0"/>
            </w:tcBorders>
            <w:noWrap w:val="0"/>
            <w:vAlign w:val="center"/>
          </w:tcPr>
          <w:p w14:paraId="089FCA19">
            <w:pPr>
              <w:jc w:val="lef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根据</w:t>
            </w:r>
            <w:r>
              <w:rPr>
                <w:rFonts w:hint="eastAsia" w:ascii="宋体" w:hAnsi="宋体" w:eastAsia="宋体" w:cs="宋体"/>
                <w:color w:val="auto"/>
                <w:sz w:val="22"/>
                <w:szCs w:val="22"/>
                <w:highlight w:val="none"/>
                <w:lang w:val="zh-CN" w:eastAsia="zh-CN" w:bidi="ar-SA"/>
              </w:rPr>
              <w:t>响应文件中</w:t>
            </w:r>
            <w:r>
              <w:rPr>
                <w:rFonts w:hint="eastAsia" w:ascii="宋体" w:hAnsi="宋体" w:eastAsia="宋体" w:cs="宋体"/>
                <w:color w:val="auto"/>
                <w:sz w:val="22"/>
                <w:szCs w:val="22"/>
                <w:highlight w:val="none"/>
                <w:lang w:val="en-US" w:eastAsia="zh-CN" w:bidi="ar-SA"/>
              </w:rPr>
              <w:t>提供的运输服务台账管理方案，</w:t>
            </w:r>
            <w:r>
              <w:rPr>
                <w:rFonts w:hint="eastAsia" w:ascii="宋体" w:hAnsi="宋体" w:eastAsia="宋体" w:cs="宋体"/>
                <w:color w:val="auto"/>
                <w:sz w:val="22"/>
                <w:szCs w:val="22"/>
                <w:highlight w:val="none"/>
                <w:lang w:val="zh-CN" w:eastAsia="zh-CN" w:bidi="ar-SA"/>
              </w:rPr>
              <w:t>对方案的全面性、合理性、针对性进行评价。</w:t>
            </w:r>
          </w:p>
          <w:p w14:paraId="3DEB8463">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全面性(4分)：全面具体详实得4分；较全面得3分；基本具备得2分；不太全面得1分。</w:t>
            </w:r>
          </w:p>
          <w:p w14:paraId="792B3CEC">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可行性（3分）：可行性强得3分；较可行性得2分；欠缺可行性的得1分。</w:t>
            </w:r>
          </w:p>
          <w:p w14:paraId="4EBC0B35">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合理性（3分)：合理性强得3分；合理性较强得2分；欠缺合理性的得1分。</w:t>
            </w:r>
          </w:p>
          <w:p w14:paraId="05D44071">
            <w:pPr>
              <w:jc w:val="lef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未提供的不得分。本项最高得10分，最低得0分。</w:t>
            </w:r>
          </w:p>
        </w:tc>
      </w:tr>
      <w:tr w14:paraId="4878B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64" w:hRule="atLeast"/>
          <w:jc w:val="center"/>
        </w:trPr>
        <w:tc>
          <w:tcPr>
            <w:tcW w:w="1159" w:type="dxa"/>
            <w:vMerge w:val="continue"/>
            <w:noWrap w:val="0"/>
          </w:tcPr>
          <w:p w14:paraId="73026D2B">
            <w:pPr>
              <w:jc w:val="center"/>
              <w:rPr>
                <w:rFonts w:hint="default" w:ascii="宋体" w:hAnsi="宋体" w:eastAsia="宋体" w:cs="宋体"/>
                <w:color w:val="auto"/>
                <w:sz w:val="22"/>
                <w:szCs w:val="22"/>
                <w:lang w:val="en-US" w:eastAsia="zh-CN" w:bidi="ar-SA"/>
              </w:rPr>
            </w:pPr>
          </w:p>
        </w:tc>
        <w:tc>
          <w:tcPr>
            <w:tcW w:w="1541" w:type="dxa"/>
            <w:tcBorders>
              <w:top w:val="single" w:color="auto" w:sz="4" w:space="0"/>
              <w:bottom w:val="single" w:color="auto" w:sz="4" w:space="0"/>
            </w:tcBorders>
            <w:noWrap w:val="0"/>
            <w:vAlign w:val="center"/>
          </w:tcPr>
          <w:p w14:paraId="4C44EE2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服务承诺</w:t>
            </w:r>
          </w:p>
          <w:p w14:paraId="378E2B2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（10分）</w:t>
            </w:r>
          </w:p>
        </w:tc>
        <w:tc>
          <w:tcPr>
            <w:tcW w:w="7887" w:type="dxa"/>
            <w:tcBorders>
              <w:top w:val="single" w:color="auto" w:sz="4" w:space="0"/>
              <w:bottom w:val="single" w:color="auto" w:sz="4" w:space="0"/>
            </w:tcBorders>
            <w:noWrap w:val="0"/>
            <w:vAlign w:val="center"/>
          </w:tcPr>
          <w:p w14:paraId="794B4F3C">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根据</w:t>
            </w:r>
            <w:r>
              <w:rPr>
                <w:rFonts w:hint="eastAsia" w:ascii="宋体" w:hAnsi="宋体" w:eastAsia="宋体" w:cs="宋体"/>
                <w:color w:val="auto"/>
                <w:sz w:val="22"/>
                <w:szCs w:val="22"/>
                <w:highlight w:val="none"/>
                <w:lang w:val="zh-CN" w:eastAsia="zh-CN" w:bidi="ar-SA"/>
              </w:rPr>
              <w:t>响应文件中</w:t>
            </w:r>
            <w:r>
              <w:rPr>
                <w:rFonts w:hint="eastAsia" w:ascii="宋体" w:hAnsi="宋体" w:eastAsia="宋体" w:cs="宋体"/>
                <w:color w:val="auto"/>
                <w:sz w:val="22"/>
                <w:szCs w:val="22"/>
                <w:highlight w:val="none"/>
                <w:lang w:val="en-US" w:eastAsia="zh-CN" w:bidi="ar-SA"/>
              </w:rPr>
              <w:t>提供服务承诺，内容包括但不限于对本项目日产厨余垃圾预估量、运输时间，运输路线，处理厨余垃圾管理、服务完成时间、运输路线、运输服务台账管理等内容，</w:t>
            </w:r>
            <w:r>
              <w:rPr>
                <w:rFonts w:hint="eastAsia" w:ascii="宋体" w:hAnsi="宋体" w:eastAsia="宋体" w:cs="宋体"/>
                <w:color w:val="auto"/>
                <w:sz w:val="22"/>
                <w:szCs w:val="22"/>
                <w:highlight w:val="none"/>
                <w:lang w:val="zh-CN" w:eastAsia="zh-CN" w:bidi="ar-SA"/>
              </w:rPr>
              <w:t>对方案的全面性、合理性、针对性进行评价。</w:t>
            </w:r>
          </w:p>
          <w:p w14:paraId="38CE91D6">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全面性(4分)：全面具体详实得4分；较全面得3分；基本具备得2分；不太全面得1分。</w:t>
            </w:r>
          </w:p>
          <w:p w14:paraId="559B63F7">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可行性（3分）：可行性强得3分；较可行性得2分；欠缺可行性的得1分。</w:t>
            </w:r>
          </w:p>
          <w:p w14:paraId="12DDDB11">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合理性（3分)：合理性强得3分；合理性较强得2分；欠缺合理性的得1分。</w:t>
            </w:r>
          </w:p>
          <w:p w14:paraId="027B5BC0">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未提供的不得分。本项最高得10分，最低得0分。</w:t>
            </w:r>
          </w:p>
        </w:tc>
      </w:tr>
    </w:tbl>
    <w:p w14:paraId="1E5CA7BE">
      <w:pPr>
        <w:pStyle w:val="63"/>
        <w:widowControl w:val="0"/>
        <w:spacing w:line="312" w:lineRule="auto"/>
        <w:contextualSpacing/>
        <w:jc w:val="left"/>
        <w:rPr>
          <w:rFonts w:ascii="宋体" w:hAnsi="宋体" w:cs="宋体"/>
          <w:color w:val="auto"/>
          <w:sz w:val="24"/>
          <w:szCs w:val="24"/>
          <w:highlight w:val="none"/>
        </w:rPr>
      </w:pPr>
      <w:r>
        <w:rPr>
          <w:rFonts w:hint="eastAsia" w:ascii="宋体" w:hAnsi="宋体" w:cs="宋体"/>
          <w:b/>
          <w:bCs/>
          <w:color w:val="auto"/>
          <w:sz w:val="24"/>
          <w:szCs w:val="24"/>
          <w:highlight w:val="none"/>
        </w:rPr>
        <w:t>本章说明：</w:t>
      </w:r>
    </w:p>
    <w:p w14:paraId="32E8F424">
      <w:pPr>
        <w:pStyle w:val="63"/>
        <w:widowControl w:val="0"/>
        <w:spacing w:line="312" w:lineRule="auto"/>
        <w:contextualSpacing/>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本章说明：</w:t>
      </w:r>
      <w:r>
        <w:rPr>
          <w:rFonts w:hint="eastAsia" w:ascii="宋体" w:hAnsi="宋体" w:cs="宋体"/>
          <w:color w:val="auto"/>
          <w:sz w:val="24"/>
          <w:highlight w:val="none"/>
        </w:rPr>
        <w:t>本项目采用综合评分法。</w:t>
      </w:r>
      <w:r>
        <w:rPr>
          <w:rFonts w:hint="eastAsia" w:ascii="宋体" w:hAnsi="宋体" w:cs="宋体"/>
          <w:color w:val="auto"/>
          <w:sz w:val="24"/>
          <w:szCs w:val="24"/>
          <w:highlight w:val="none"/>
        </w:rPr>
        <w:t xml:space="preserve"> （供应商技术部分得分取所有评委的平均值，保留小数点后二位）</w:t>
      </w:r>
    </w:p>
    <w:p w14:paraId="0A05DA17">
      <w:pPr>
        <w:pStyle w:val="63"/>
        <w:widowControl w:val="0"/>
        <w:spacing w:line="312" w:lineRule="auto"/>
        <w:contextualSpacing/>
        <w:jc w:val="left"/>
        <w:rPr>
          <w:rFonts w:ascii="宋体" w:hAnsi="宋体" w:cs="宋体"/>
          <w:b/>
          <w:bCs/>
          <w:color w:val="auto"/>
          <w:sz w:val="36"/>
          <w:szCs w:val="36"/>
          <w:highlight w:val="none"/>
        </w:rPr>
      </w:pPr>
      <w:r>
        <w:rPr>
          <w:rFonts w:hint="eastAsia" w:ascii="宋体" w:hAnsi="宋体" w:cs="宋体"/>
          <w:b/>
          <w:bCs/>
          <w:color w:val="auto"/>
          <w:sz w:val="36"/>
          <w:szCs w:val="36"/>
          <w:highlight w:val="none"/>
        </w:rPr>
        <w:br w:type="page" w:clear="all"/>
      </w:r>
    </w:p>
    <w:p w14:paraId="32FFA2CC">
      <w:pPr>
        <w:tabs>
          <w:tab w:val="left" w:pos="1703"/>
        </w:tabs>
        <w:jc w:val="center"/>
        <w:rPr>
          <w:rFonts w:ascii="宋体" w:hAnsi="宋体" w:cs="宋体"/>
          <w:color w:val="auto"/>
          <w:sz w:val="24"/>
          <w:highlight w:val="none"/>
        </w:rPr>
      </w:pPr>
      <w:r>
        <w:rPr>
          <w:rFonts w:hint="eastAsia" w:ascii="宋体" w:hAnsi="宋体" w:cs="宋体"/>
          <w:b/>
          <w:bCs/>
          <w:color w:val="auto"/>
          <w:sz w:val="36"/>
          <w:szCs w:val="36"/>
          <w:highlight w:val="none"/>
        </w:rPr>
        <w:t>2、项目要求（采购需求）</w:t>
      </w:r>
    </w:p>
    <w:p w14:paraId="42EF932A">
      <w:pPr>
        <w:pStyle w:val="508"/>
        <w:rPr>
          <w:rFonts w:ascii="宋体" w:hAnsi="宋体" w:cs="宋体"/>
          <w:color w:val="auto"/>
          <w:highlight w:val="none"/>
        </w:rPr>
      </w:pPr>
    </w:p>
    <w:p w14:paraId="2EA11F45">
      <w:pPr>
        <w:numPr>
          <w:ilvl w:val="0"/>
          <w:numId w:val="5"/>
        </w:numPr>
        <w:spacing w:line="360" w:lineRule="auto"/>
        <w:jc w:val="left"/>
        <w:rPr>
          <w:rFonts w:ascii="宋体" w:hAnsi="宋体" w:cs="宋体"/>
          <w:b/>
          <w:sz w:val="24"/>
          <w:highlight w:val="none"/>
        </w:rPr>
      </w:pPr>
      <w:r>
        <w:rPr>
          <w:rFonts w:hint="eastAsia" w:asciiTheme="minorEastAsia" w:hAnsiTheme="minorEastAsia" w:eastAsiaTheme="minorEastAsia" w:cstheme="minorEastAsia"/>
          <w:b/>
          <w:sz w:val="24"/>
          <w:highlight w:val="none"/>
        </w:rPr>
        <w:t>采购项目预算金额</w:t>
      </w:r>
    </w:p>
    <w:p w14:paraId="5F6AC89B">
      <w:pPr>
        <w:spacing w:line="360" w:lineRule="auto"/>
        <w:ind w:firstLine="480"/>
        <w:jc w:val="left"/>
        <w:rPr>
          <w:rFonts w:ascii="宋体" w:hAnsi="宋体" w:cs="宋体"/>
          <w:bCs/>
          <w:sz w:val="24"/>
          <w:highlight w:val="none"/>
        </w:rPr>
      </w:pPr>
      <w:r>
        <w:rPr>
          <w:rFonts w:hint="eastAsia" w:asciiTheme="minorEastAsia" w:hAnsiTheme="minorEastAsia" w:eastAsiaTheme="minorEastAsia" w:cstheme="minorEastAsia"/>
          <w:bCs/>
          <w:sz w:val="24"/>
          <w:highlight w:val="none"/>
        </w:rPr>
        <w:t>本项目不接受超过</w:t>
      </w:r>
      <w:r>
        <w:rPr>
          <w:rFonts w:hint="eastAsia" w:asciiTheme="minorEastAsia" w:hAnsiTheme="minorEastAsia" w:eastAsiaTheme="minorEastAsia" w:cstheme="minorEastAsia"/>
          <w:bCs/>
          <w:sz w:val="24"/>
          <w:highlight w:val="none"/>
          <w:lang w:val="en-US" w:eastAsia="zh-CN"/>
        </w:rPr>
        <w:t>804190.49</w:t>
      </w:r>
      <w:r>
        <w:rPr>
          <w:rFonts w:hint="eastAsia" w:asciiTheme="minorEastAsia" w:hAnsiTheme="minorEastAsia" w:eastAsiaTheme="minorEastAsia" w:cstheme="minorEastAsia"/>
          <w:bCs/>
          <w:sz w:val="24"/>
          <w:highlight w:val="none"/>
        </w:rPr>
        <w:t>元人民币（采购项目预算金额）的报价。采购人不再支付报价以外的任何费用。</w:t>
      </w:r>
    </w:p>
    <w:p w14:paraId="349D264B">
      <w:pPr>
        <w:spacing w:line="360" w:lineRule="auto"/>
        <w:jc w:val="left"/>
        <w:rPr>
          <w:rFonts w:ascii="宋体" w:hAnsi="宋体" w:cs="宋体"/>
          <w:bCs/>
          <w:sz w:val="24"/>
          <w:highlight w:val="none"/>
        </w:rPr>
      </w:pPr>
      <w:r>
        <w:rPr>
          <w:rFonts w:hint="eastAsia" w:asciiTheme="minorEastAsia" w:hAnsiTheme="minorEastAsia" w:eastAsiaTheme="minorEastAsia" w:cstheme="minorEastAsia"/>
          <w:b/>
          <w:sz w:val="24"/>
          <w:highlight w:val="none"/>
        </w:rPr>
        <w:t>二、项目概况</w:t>
      </w:r>
    </w:p>
    <w:p w14:paraId="16888833">
      <w:pPr>
        <w:pStyle w:val="27"/>
        <w:spacing w:line="360" w:lineRule="auto"/>
        <w:ind w:firstLine="480"/>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1、项目名称：</w:t>
      </w:r>
      <w:r>
        <w:rPr>
          <w:rFonts w:hint="eastAsia" w:asciiTheme="minorEastAsia" w:hAnsiTheme="minorEastAsia" w:eastAsiaTheme="minorEastAsia" w:cstheme="minorEastAsia"/>
          <w:bCs/>
          <w:sz w:val="24"/>
          <w:highlight w:val="none"/>
          <w:lang w:eastAsia="zh-CN"/>
        </w:rPr>
        <w:t>大彭镇2025-2027年农村垃圾分类运营服务项目</w:t>
      </w:r>
    </w:p>
    <w:p w14:paraId="2DC5A33D">
      <w:pPr>
        <w:pStyle w:val="27"/>
        <w:spacing w:line="360" w:lineRule="auto"/>
        <w:ind w:firstLine="480"/>
        <w:rPr>
          <w:rFonts w:hAnsi="宋体" w:cs="宋体"/>
          <w:bCs/>
          <w:sz w:val="24"/>
          <w:szCs w:val="24"/>
          <w:highlight w:val="none"/>
        </w:rPr>
      </w:pPr>
      <w:r>
        <w:rPr>
          <w:rFonts w:hint="eastAsia" w:asciiTheme="minorEastAsia" w:hAnsiTheme="minorEastAsia" w:eastAsiaTheme="minorEastAsia" w:cstheme="minorEastAsia"/>
          <w:bCs/>
          <w:sz w:val="24"/>
          <w:szCs w:val="24"/>
          <w:highlight w:val="none"/>
        </w:rPr>
        <w:t>2、项目地点：徐州市铜山区大彭镇</w:t>
      </w:r>
    </w:p>
    <w:p w14:paraId="4E10EBE6">
      <w:pPr>
        <w:pStyle w:val="515"/>
        <w:spacing w:line="360" w:lineRule="auto"/>
        <w:ind w:left="0" w:firstLine="480"/>
        <w:rPr>
          <w:rFonts w:hint="default" w:hAnsi="宋体" w:cs="宋体" w:eastAsiaTheme="minorEastAsia"/>
          <w:bCs/>
          <w:sz w:val="24"/>
          <w:szCs w:val="24"/>
          <w:highlight w:val="none"/>
        </w:rPr>
      </w:pPr>
      <w:r>
        <w:rPr>
          <w:rFonts w:hint="eastAsia" w:asciiTheme="minorEastAsia" w:hAnsiTheme="minorEastAsia" w:eastAsiaTheme="minorEastAsia" w:cstheme="minorEastAsia"/>
          <w:bCs/>
          <w:sz w:val="24"/>
          <w:szCs w:val="24"/>
          <w:highlight w:val="none"/>
        </w:rPr>
        <w:t>3、服务期限：</w:t>
      </w:r>
      <w:r>
        <w:rPr>
          <w:rFonts w:hint="eastAsia" w:asciiTheme="minorEastAsia" w:hAnsiTheme="minorEastAsia" w:eastAsiaTheme="minorEastAsia" w:cstheme="minorEastAsia"/>
          <w:bCs/>
          <w:sz w:val="24"/>
          <w:szCs w:val="24"/>
          <w:highlight w:val="none"/>
          <w:lang w:val="en-US" w:eastAsia="zh-CN"/>
        </w:rPr>
        <w:t>15个月</w:t>
      </w:r>
    </w:p>
    <w:p w14:paraId="4A4F68A8">
      <w:pPr>
        <w:pStyle w:val="515"/>
        <w:spacing w:line="360" w:lineRule="auto"/>
        <w:ind w:firstLine="0"/>
        <w:rPr>
          <w:rFonts w:ascii="宋体" w:hAnsi="宋体" w:cs="宋体"/>
          <w:b/>
          <w:sz w:val="24"/>
          <w:szCs w:val="24"/>
          <w:highlight w:val="none"/>
        </w:rPr>
      </w:pPr>
      <w:r>
        <w:rPr>
          <w:rFonts w:hint="eastAsia" w:asciiTheme="minorEastAsia" w:hAnsiTheme="minorEastAsia" w:eastAsiaTheme="minorEastAsia" w:cstheme="minorEastAsia"/>
          <w:b/>
          <w:sz w:val="24"/>
          <w:szCs w:val="24"/>
          <w:highlight w:val="none"/>
        </w:rPr>
        <w:t>三、项目简介</w:t>
      </w:r>
    </w:p>
    <w:p w14:paraId="571495A8">
      <w:pPr>
        <w:widowControl w:val="0"/>
        <w:spacing w:line="360" w:lineRule="auto"/>
        <w:ind w:firstLine="420"/>
        <w:jc w:val="both"/>
        <w:rPr>
          <w:rFonts w:hint="default" w:ascii="Times New Roman" w:hAnsi="宋体" w:eastAsia="宋体" w:cs="宋体"/>
          <w:bCs/>
          <w:sz w:val="24"/>
          <w:szCs w:val="24"/>
          <w:highlight w:val="none"/>
        </w:rPr>
      </w:pPr>
      <w:r>
        <w:rPr>
          <w:rFonts w:hint="default" w:ascii="宋体" w:hAnsi="宋体" w:eastAsia="宋体" w:cs="宋体"/>
          <w:bCs/>
          <w:sz w:val="24"/>
          <w:szCs w:val="24"/>
          <w:highlight w:val="none"/>
          <w:lang w:val="en-US" w:eastAsia="zh-CN" w:bidi="ar-SA"/>
        </w:rPr>
        <w:t>进一步规范</w:t>
      </w:r>
      <w:r>
        <w:rPr>
          <w:rFonts w:hint="eastAsia" w:ascii="宋体" w:hAnsi="宋体" w:eastAsia="宋体" w:cs="宋体"/>
          <w:bCs/>
          <w:sz w:val="24"/>
          <w:szCs w:val="24"/>
          <w:highlight w:val="none"/>
          <w:lang w:val="en-US" w:eastAsia="zh-CN" w:bidi="ar-SA"/>
        </w:rPr>
        <w:t>大彭镇4</w:t>
      </w:r>
      <w:r>
        <w:rPr>
          <w:rFonts w:hint="default" w:ascii="宋体" w:hAnsi="宋体" w:eastAsia="宋体" w:cs="宋体"/>
          <w:bCs/>
          <w:sz w:val="24"/>
          <w:szCs w:val="24"/>
          <w:highlight w:val="none"/>
          <w:lang w:val="en-US" w:eastAsia="zh-CN" w:bidi="ar-SA"/>
        </w:rPr>
        <w:t>9</w:t>
      </w:r>
      <w:r>
        <w:rPr>
          <w:rFonts w:hint="eastAsia" w:ascii="宋体" w:hAnsi="宋体" w:eastAsia="宋体" w:cs="宋体"/>
          <w:bCs/>
          <w:sz w:val="24"/>
          <w:szCs w:val="24"/>
          <w:highlight w:val="none"/>
          <w:lang w:val="en-US" w:eastAsia="zh-CN" w:bidi="ar-SA"/>
        </w:rPr>
        <w:t>个自然村的垃圾分类体系的运营。</w:t>
      </w:r>
      <w:r>
        <w:rPr>
          <w:rFonts w:hint="default" w:ascii="宋体" w:hAnsi="宋体" w:eastAsia="宋体" w:cs="宋体"/>
          <w:bCs/>
          <w:sz w:val="24"/>
          <w:szCs w:val="24"/>
          <w:highlight w:val="none"/>
          <w:lang w:val="en-US" w:eastAsia="zh-CN" w:bidi="ar-SA"/>
        </w:rPr>
        <w:t>建立管理科学、运行高效的生活垃圾分类</w:t>
      </w:r>
      <w:r>
        <w:rPr>
          <w:rFonts w:hint="eastAsia" w:ascii="宋体" w:hAnsi="宋体" w:eastAsia="宋体" w:cs="宋体"/>
          <w:bCs/>
          <w:sz w:val="24"/>
          <w:szCs w:val="24"/>
          <w:highlight w:val="none"/>
          <w:lang w:val="en-US" w:eastAsia="zh-CN" w:bidi="ar-SA"/>
        </w:rPr>
        <w:t>运行</w:t>
      </w:r>
      <w:r>
        <w:rPr>
          <w:rFonts w:hint="default" w:ascii="宋体" w:hAnsi="宋体" w:eastAsia="宋体" w:cs="宋体"/>
          <w:bCs/>
          <w:sz w:val="24"/>
          <w:szCs w:val="24"/>
          <w:highlight w:val="none"/>
          <w:lang w:val="en-US" w:eastAsia="zh-CN" w:bidi="ar-SA"/>
        </w:rPr>
        <w:t>体系</w:t>
      </w:r>
      <w:r>
        <w:rPr>
          <w:rFonts w:hint="eastAsia" w:ascii="宋体" w:hAnsi="宋体" w:eastAsia="宋体" w:cs="宋体"/>
          <w:bCs/>
          <w:sz w:val="24"/>
          <w:szCs w:val="24"/>
          <w:highlight w:val="none"/>
          <w:lang w:val="en-US" w:eastAsia="zh-CN" w:bidi="ar-SA"/>
        </w:rPr>
        <w:t>。配备入户分类桶，促进源头分类；宣传设施的监管；收集点位的管理；实施范围内村生活垃圾分类为“四分类”，即村民要将家庭产生的垃圾分为“有害垃圾、可回收物、厨余（易腐）垃圾和其他垃圾”四种类别。清运的收运队伍及车辆，按规定要求对垃圾进行分类收运（其他垃圾延续之前的收运体系不变）；作业过程台账的记录、整理、报送。</w:t>
      </w:r>
    </w:p>
    <w:p w14:paraId="458EE989">
      <w:pPr>
        <w:pStyle w:val="515"/>
        <w:spacing w:line="360" w:lineRule="auto"/>
        <w:ind w:firstLine="0"/>
        <w:rPr>
          <w:rFonts w:ascii="宋体" w:hAnsi="宋体" w:cs="宋体"/>
          <w:b/>
          <w:sz w:val="24"/>
          <w:szCs w:val="24"/>
          <w:highlight w:val="none"/>
        </w:rPr>
      </w:pPr>
      <w:r>
        <w:rPr>
          <w:rFonts w:hint="eastAsia" w:asciiTheme="minorEastAsia" w:hAnsiTheme="minorEastAsia" w:eastAsiaTheme="minorEastAsia" w:cstheme="minorEastAsia"/>
          <w:b/>
          <w:sz w:val="24"/>
          <w:szCs w:val="24"/>
          <w:highlight w:val="none"/>
        </w:rPr>
        <w:t>四、 总体要求</w:t>
      </w:r>
      <w:bookmarkStart w:id="1" w:name="_Toc513151351"/>
      <w:bookmarkEnd w:id="1"/>
    </w:p>
    <w:p w14:paraId="1EA7202E">
      <w:pPr>
        <w:pStyle w:val="515"/>
        <w:spacing w:line="360" w:lineRule="auto"/>
        <w:ind w:firstLine="482"/>
        <w:rPr>
          <w:rFonts w:ascii="宋体" w:hAnsi="宋体" w:cs="宋体"/>
          <w:b/>
          <w:sz w:val="24"/>
          <w:szCs w:val="24"/>
          <w:highlight w:val="none"/>
        </w:rPr>
      </w:pPr>
      <w:r>
        <w:rPr>
          <w:rFonts w:hint="eastAsia" w:asciiTheme="minorEastAsia" w:hAnsiTheme="minorEastAsia" w:eastAsiaTheme="minorEastAsia" w:cstheme="minorEastAsia"/>
          <w:b/>
          <w:sz w:val="24"/>
          <w:szCs w:val="24"/>
          <w:highlight w:val="none"/>
        </w:rPr>
        <w:t>1、项目服务范围：</w:t>
      </w:r>
    </w:p>
    <w:p w14:paraId="00B3590E">
      <w:pPr>
        <w:pStyle w:val="515"/>
        <w:spacing w:line="360" w:lineRule="auto"/>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sz w:val="24"/>
          <w:szCs w:val="24"/>
          <w:highlight w:val="none"/>
        </w:rPr>
        <w:t>大彭镇农村垃圾分类的实施范</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围</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镇区临街商铺、农贸市场以及小李庄、大刘庄、东红土庙、西红土庙、冯庄、苗山、田巷、周棚、韩楼、西马林、东马林、王门、刘新庄、半步店、新张井、杨山头、义安、下王庄、小柳庄、权寨、杨楼、胡集、官庄、孟庄、程庄、土楼、两半庄、闸口、王楼、徐庵、小山子、沙塘、周庄、郝寨西、前薛湾、后薛湾、贾楼、王庄、小刘庄、新庄、付庄、新徐楼、徐大庄、和尚庄、侯楼、西小李庄、前郝庄、郝寨、郝新庄49个自然村。</w:t>
      </w:r>
    </w:p>
    <w:p w14:paraId="1E94AC7E">
      <w:pPr>
        <w:pageBreakBefore w:val="0"/>
        <w:widowControl w:val="0"/>
        <w:spacing w:line="360" w:lineRule="auto"/>
        <w:ind w:firstLine="482"/>
        <w:rPr>
          <w:rFonts w:ascii="宋体" w:hAnsi="宋体" w:cs="宋体"/>
          <w:b/>
          <w:sz w:val="24"/>
          <w:szCs w:val="24"/>
          <w:highlight w:val="none"/>
        </w:rPr>
      </w:pPr>
      <w:r>
        <w:rPr>
          <w:rFonts w:hint="eastAsia" w:asciiTheme="minorEastAsia" w:hAnsiTheme="minorEastAsia" w:eastAsiaTheme="minorEastAsia" w:cstheme="minorEastAsia"/>
          <w:b/>
          <w:sz w:val="24"/>
          <w:szCs w:val="24"/>
          <w:highlight w:val="none"/>
          <w:lang w:val="en-US" w:eastAsia="zh-CN"/>
        </w:rPr>
        <w:t>2、项目</w:t>
      </w:r>
      <w:r>
        <w:rPr>
          <w:rFonts w:hint="eastAsia" w:asciiTheme="minorEastAsia" w:hAnsiTheme="minorEastAsia" w:eastAsiaTheme="minorEastAsia" w:cstheme="minorEastAsia"/>
          <w:b/>
          <w:sz w:val="24"/>
          <w:szCs w:val="24"/>
          <w:highlight w:val="none"/>
        </w:rPr>
        <w:t>服务内容</w:t>
      </w:r>
    </w:p>
    <w:p w14:paraId="2DE90B6C">
      <w:pPr>
        <w:widowControl w:val="0"/>
        <w:spacing w:line="360" w:lineRule="auto"/>
        <w:ind w:firstLine="482"/>
        <w:jc w:val="both"/>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val="en-US" w:eastAsia="zh-CN" w:bidi="ar-SA"/>
        </w:rPr>
        <w:t>2.1垃圾分类宣传设施的监管</w:t>
      </w:r>
    </w:p>
    <w:p w14:paraId="68BA17A6">
      <w:pPr>
        <w:widowControl w:val="0"/>
        <w:spacing w:line="360" w:lineRule="auto"/>
        <w:ind w:firstLine="480"/>
        <w:jc w:val="both"/>
        <w:rPr>
          <w:rFonts w:hint="eastAsia" w:ascii="Calibri" w:hAnsi="宋体" w:eastAsia="宋体" w:cs="宋体"/>
          <w:bCs/>
          <w:color w:val="000000"/>
          <w:sz w:val="24"/>
          <w:szCs w:val="24"/>
          <w:highlight w:val="none"/>
        </w:rPr>
      </w:pPr>
      <w:r>
        <w:rPr>
          <w:rFonts w:hint="eastAsia" w:ascii="宋体" w:hAnsi="宋体" w:eastAsia="宋体" w:cs="宋体"/>
          <w:bCs/>
          <w:sz w:val="24"/>
          <w:szCs w:val="24"/>
          <w:highlight w:val="none"/>
          <w:lang w:val="en-US" w:eastAsia="zh-CN" w:bidi="ar-SA"/>
        </w:rPr>
        <w:t>在实施范围内已建成的阵地宣传设施监管，建立巡查机制，对破损、老旧的的宣传设施及时上报并维修</w:t>
      </w:r>
      <w:r>
        <w:rPr>
          <w:rFonts w:hint="eastAsia" w:ascii="宋体" w:hAnsi="宋体" w:eastAsia="宋体" w:cs="宋体"/>
          <w:bCs/>
          <w:color w:val="000000"/>
          <w:sz w:val="24"/>
          <w:szCs w:val="24"/>
          <w:highlight w:val="none"/>
          <w:lang w:val="en-US" w:eastAsia="zh-CN" w:bidi="ar-SA"/>
        </w:rPr>
        <w:t>。</w:t>
      </w:r>
    </w:p>
    <w:p w14:paraId="2EDA8CB2">
      <w:pPr>
        <w:widowControl w:val="0"/>
        <w:spacing w:line="360" w:lineRule="auto"/>
        <w:ind w:firstLine="420"/>
        <w:jc w:val="both"/>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val="en-US" w:eastAsia="zh-CN" w:bidi="ar-SA"/>
        </w:rPr>
        <w:t>2.2垃圾分类集中收集点及收集容器管理</w:t>
      </w:r>
    </w:p>
    <w:p w14:paraId="4234BF82">
      <w:pPr>
        <w:spacing w:line="360" w:lineRule="auto"/>
        <w:ind w:firstLine="420"/>
        <w:rPr>
          <w:rFonts w:hint="eastAsia" w:ascii="Calibri" w:hAnsi="宋体" w:eastAsia="宋体" w:cs="宋体"/>
          <w:bCs/>
          <w:color w:val="000000"/>
          <w:sz w:val="24"/>
          <w:highlight w:val="none"/>
        </w:rPr>
      </w:pPr>
      <w:r>
        <w:rPr>
          <w:rFonts w:hint="eastAsia" w:ascii="宋体" w:hAnsi="宋体" w:eastAsia="宋体" w:cs="宋体"/>
          <w:bCs/>
          <w:sz w:val="24"/>
          <w:highlight w:val="none"/>
        </w:rPr>
        <w:t>对实施范围内集中收集容器的卫生管理</w:t>
      </w:r>
      <w:r>
        <w:rPr>
          <w:rFonts w:hint="eastAsia" w:ascii="宋体" w:hAnsi="宋体" w:eastAsia="宋体" w:cs="宋体"/>
          <w:bCs/>
          <w:color w:val="000000"/>
          <w:sz w:val="24"/>
          <w:highlight w:val="none"/>
        </w:rPr>
        <w:t>。垃圾桶冲洗，日常蚊蝇消杀，点位消毒。</w:t>
      </w:r>
      <w:r>
        <w:rPr>
          <w:rFonts w:hint="eastAsia" w:ascii="宋体" w:hAnsi="宋体" w:eastAsia="宋体" w:cs="宋体"/>
          <w:bCs/>
          <w:sz w:val="24"/>
          <w:highlight w:val="none"/>
        </w:rPr>
        <w:t>建立巡查机制，对破损、老旧的集中收集点设施及时上报并维修</w:t>
      </w:r>
      <w:r>
        <w:rPr>
          <w:rFonts w:hint="eastAsia" w:ascii="宋体" w:hAnsi="宋体" w:eastAsia="宋体" w:cs="宋体"/>
          <w:bCs/>
          <w:color w:val="000000"/>
          <w:sz w:val="24"/>
          <w:highlight w:val="none"/>
        </w:rPr>
        <w:t>。</w:t>
      </w:r>
    </w:p>
    <w:p w14:paraId="40A8DE98">
      <w:pPr>
        <w:widowControl w:val="0"/>
        <w:spacing w:line="360" w:lineRule="auto"/>
        <w:ind w:firstLine="480"/>
        <w:jc w:val="both"/>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val="en-US" w:eastAsia="zh-CN" w:bidi="ar-SA"/>
        </w:rPr>
        <w:t>2.3厨余（易腐）垃圾入户桶的配备</w:t>
      </w:r>
    </w:p>
    <w:p w14:paraId="49848100">
      <w:pPr>
        <w:spacing w:line="360" w:lineRule="auto"/>
        <w:ind w:firstLine="420"/>
        <w:rPr>
          <w:rFonts w:hint="default" w:ascii="Calibri" w:hAnsi="Calibri" w:eastAsia="宋体" w:cs="Times New Roman"/>
          <w:highlight w:val="none"/>
        </w:rPr>
      </w:pPr>
      <w:r>
        <w:rPr>
          <w:rFonts w:hint="eastAsia" w:ascii="宋体" w:hAnsi="宋体" w:eastAsia="宋体" w:cs="宋体"/>
          <w:highlight w:val="none"/>
        </w:rPr>
        <w:t xml:space="preserve"> </w:t>
      </w:r>
      <w:r>
        <w:rPr>
          <w:rFonts w:hint="default" w:ascii="宋体" w:hAnsi="宋体" w:eastAsia="宋体" w:cs="宋体"/>
          <w:highlight w:val="none"/>
        </w:rPr>
        <w:t xml:space="preserve">  </w:t>
      </w:r>
      <w:r>
        <w:rPr>
          <w:rFonts w:hint="eastAsia" w:ascii="宋体" w:hAnsi="宋体" w:eastAsia="宋体" w:cs="宋体"/>
          <w:bCs/>
          <w:sz w:val="24"/>
          <w:highlight w:val="none"/>
        </w:rPr>
        <w:t>对服务范围内其中1000户居民（补充缺失）配备厨余（易腐）垃圾收集容器，容量不小于10</w:t>
      </w:r>
      <w:r>
        <w:rPr>
          <w:rFonts w:hint="default" w:ascii="宋体" w:hAnsi="宋体" w:eastAsia="宋体" w:cs="宋体"/>
          <w:bCs/>
          <w:sz w:val="24"/>
          <w:highlight w:val="none"/>
        </w:rPr>
        <w:t>L,</w:t>
      </w:r>
      <w:r>
        <w:rPr>
          <w:rFonts w:hint="eastAsia" w:ascii="宋体" w:hAnsi="宋体" w:eastAsia="宋体" w:cs="宋体"/>
          <w:bCs/>
          <w:sz w:val="24"/>
          <w:highlight w:val="none"/>
        </w:rPr>
        <w:t>带盖、提手。其颜色为绿色，分类标识为厨余（易腐）垃圾。</w:t>
      </w:r>
    </w:p>
    <w:tbl>
      <w:tblPr>
        <w:tblStyle w:val="51"/>
        <w:tblW w:w="8505" w:type="dxa"/>
        <w:jc w:val="center"/>
        <w:tblLayout w:type="fixed"/>
        <w:tblCellMar>
          <w:top w:w="0" w:type="dxa"/>
          <w:left w:w="108" w:type="dxa"/>
          <w:bottom w:w="0" w:type="dxa"/>
          <w:right w:w="108" w:type="dxa"/>
        </w:tblCellMar>
      </w:tblPr>
      <w:tblGrid>
        <w:gridCol w:w="716"/>
        <w:gridCol w:w="2119"/>
        <w:gridCol w:w="1593"/>
        <w:gridCol w:w="4077"/>
      </w:tblGrid>
      <w:tr w14:paraId="02C5A733">
        <w:tblPrEx>
          <w:tblCellMar>
            <w:top w:w="0" w:type="dxa"/>
            <w:left w:w="108" w:type="dxa"/>
            <w:bottom w:w="0" w:type="dxa"/>
            <w:right w:w="108" w:type="dxa"/>
          </w:tblCellMar>
        </w:tblPrEx>
        <w:trPr>
          <w:trHeight w:val="356" w:hRule="atLeast"/>
          <w:jc w:val="center"/>
        </w:trPr>
        <w:tc>
          <w:tcPr>
            <w:tcW w:w="716" w:type="dxa"/>
            <w:tcBorders>
              <w:top w:val="single" w:color="080000" w:sz="8" w:space="0"/>
              <w:left w:val="single" w:color="080000" w:sz="8" w:space="0"/>
              <w:bottom w:val="single" w:color="080000" w:sz="8" w:space="0"/>
              <w:right w:val="single" w:color="080000" w:sz="8" w:space="0"/>
            </w:tcBorders>
            <w:noWrap w:val="0"/>
          </w:tcPr>
          <w:p w14:paraId="3D5560B8">
            <w:pPr>
              <w:spacing w:line="360" w:lineRule="auto"/>
              <w:jc w:val="center"/>
              <w:rPr>
                <w:rFonts w:hint="default" w:ascii="Calibri" w:hAnsi="Calibri" w:eastAsia="宋体" w:cs="Times New Roman"/>
                <w:highlight w:val="none"/>
              </w:rPr>
            </w:pPr>
            <w:r>
              <w:rPr>
                <w:rFonts w:hint="eastAsia" w:ascii="Calibri" w:hAnsi="Calibri" w:eastAsia="宋体" w:cs="Times New Roman"/>
                <w:highlight w:val="none"/>
              </w:rPr>
              <w:t>序号</w:t>
            </w:r>
          </w:p>
        </w:tc>
        <w:tc>
          <w:tcPr>
            <w:tcW w:w="2119" w:type="dxa"/>
            <w:tcBorders>
              <w:top w:val="single" w:color="080000" w:sz="8" w:space="0"/>
              <w:left w:val="single" w:color="080000" w:sz="8" w:space="0"/>
              <w:bottom w:val="single" w:color="080000" w:sz="8" w:space="0"/>
              <w:right w:val="single" w:color="080000" w:sz="8" w:space="0"/>
            </w:tcBorders>
            <w:noWrap w:val="0"/>
            <w:vAlign w:val="center"/>
          </w:tcPr>
          <w:p w14:paraId="171F6959">
            <w:pPr>
              <w:spacing w:line="360" w:lineRule="auto"/>
              <w:jc w:val="center"/>
              <w:rPr>
                <w:rFonts w:hint="default" w:ascii="Calibri" w:hAnsi="Calibri" w:eastAsia="宋体" w:cs="Times New Roman"/>
                <w:highlight w:val="none"/>
              </w:rPr>
            </w:pPr>
            <w:r>
              <w:rPr>
                <w:rFonts w:hint="eastAsia" w:ascii="Calibri" w:hAnsi="Calibri" w:eastAsia="宋体" w:cs="Times New Roman"/>
                <w:highlight w:val="none"/>
              </w:rPr>
              <w:t>项目名称</w:t>
            </w:r>
          </w:p>
        </w:tc>
        <w:tc>
          <w:tcPr>
            <w:tcW w:w="1593" w:type="dxa"/>
            <w:tcBorders>
              <w:top w:val="single" w:color="080000" w:sz="8" w:space="0"/>
              <w:left w:val="nil"/>
              <w:bottom w:val="single" w:color="080000" w:sz="8" w:space="0"/>
              <w:right w:val="single" w:color="080000" w:sz="8" w:space="0"/>
            </w:tcBorders>
            <w:noWrap w:val="0"/>
            <w:vAlign w:val="center"/>
          </w:tcPr>
          <w:p w14:paraId="13BD59BE">
            <w:pPr>
              <w:spacing w:line="360" w:lineRule="auto"/>
              <w:jc w:val="center"/>
              <w:rPr>
                <w:rFonts w:hint="default" w:ascii="Calibri" w:hAnsi="Calibri" w:eastAsia="宋体" w:cs="Times New Roman"/>
                <w:highlight w:val="none"/>
              </w:rPr>
            </w:pPr>
            <w:r>
              <w:rPr>
                <w:rFonts w:hint="eastAsia" w:ascii="Calibri" w:hAnsi="Calibri" w:eastAsia="宋体" w:cs="Times New Roman"/>
                <w:highlight w:val="none"/>
              </w:rPr>
              <w:t>数量</w:t>
            </w:r>
          </w:p>
        </w:tc>
        <w:tc>
          <w:tcPr>
            <w:tcW w:w="4077" w:type="dxa"/>
            <w:tcBorders>
              <w:top w:val="single" w:color="080000" w:sz="8" w:space="0"/>
              <w:left w:val="nil"/>
              <w:bottom w:val="single" w:color="080000" w:sz="8" w:space="0"/>
              <w:right w:val="single" w:color="080000" w:sz="8" w:space="0"/>
            </w:tcBorders>
            <w:noWrap w:val="0"/>
            <w:vAlign w:val="center"/>
          </w:tcPr>
          <w:p w14:paraId="12B4537C">
            <w:pPr>
              <w:spacing w:line="360" w:lineRule="auto"/>
              <w:jc w:val="center"/>
              <w:rPr>
                <w:rFonts w:hint="default" w:ascii="Calibri" w:hAnsi="Calibri" w:eastAsia="宋体" w:cs="Times New Roman"/>
                <w:highlight w:val="none"/>
              </w:rPr>
            </w:pPr>
            <w:r>
              <w:rPr>
                <w:rFonts w:hint="eastAsia" w:ascii="Calibri" w:hAnsi="Calibri" w:eastAsia="宋体" w:cs="Times New Roman"/>
                <w:highlight w:val="none"/>
              </w:rPr>
              <w:t>备注</w:t>
            </w:r>
          </w:p>
        </w:tc>
      </w:tr>
      <w:tr w14:paraId="407484FB">
        <w:tblPrEx>
          <w:tblCellMar>
            <w:top w:w="0" w:type="dxa"/>
            <w:left w:w="108" w:type="dxa"/>
            <w:bottom w:w="0" w:type="dxa"/>
            <w:right w:w="108" w:type="dxa"/>
          </w:tblCellMar>
        </w:tblPrEx>
        <w:trPr>
          <w:trHeight w:val="182" w:hRule="atLeast"/>
          <w:jc w:val="center"/>
        </w:trPr>
        <w:tc>
          <w:tcPr>
            <w:tcW w:w="716" w:type="dxa"/>
            <w:tcBorders>
              <w:top w:val="nil"/>
              <w:left w:val="single" w:color="080000" w:sz="8" w:space="0"/>
              <w:bottom w:val="single" w:color="080000" w:sz="8" w:space="0"/>
              <w:right w:val="single" w:color="080000" w:sz="8" w:space="0"/>
            </w:tcBorders>
            <w:noWrap w:val="0"/>
            <w:vAlign w:val="center"/>
          </w:tcPr>
          <w:p w14:paraId="51223180">
            <w:pPr>
              <w:spacing w:line="360" w:lineRule="auto"/>
              <w:jc w:val="center"/>
              <w:rPr>
                <w:rFonts w:hint="default" w:ascii="Calibri" w:hAnsi="Calibri" w:eastAsia="宋体" w:cs="Times New Roman"/>
                <w:highlight w:val="none"/>
              </w:rPr>
            </w:pPr>
            <w:r>
              <w:rPr>
                <w:rFonts w:hint="default" w:ascii="Calibri" w:hAnsi="Calibri" w:eastAsia="宋体" w:cs="Times New Roman"/>
                <w:highlight w:val="none"/>
              </w:rPr>
              <w:t>1</w:t>
            </w:r>
          </w:p>
        </w:tc>
        <w:tc>
          <w:tcPr>
            <w:tcW w:w="2119" w:type="dxa"/>
            <w:tcBorders>
              <w:top w:val="nil"/>
              <w:left w:val="single" w:color="080000" w:sz="8" w:space="0"/>
              <w:bottom w:val="single" w:color="080000" w:sz="8" w:space="0"/>
              <w:right w:val="single" w:color="080000" w:sz="8" w:space="0"/>
            </w:tcBorders>
            <w:noWrap w:val="0"/>
            <w:vAlign w:val="center"/>
          </w:tcPr>
          <w:p w14:paraId="4B9B7217">
            <w:pPr>
              <w:spacing w:line="360" w:lineRule="auto"/>
              <w:jc w:val="center"/>
              <w:rPr>
                <w:rFonts w:hint="default" w:ascii="Calibri" w:hAnsi="Calibri" w:eastAsia="宋体" w:cs="Times New Roman"/>
                <w:highlight w:val="none"/>
              </w:rPr>
            </w:pPr>
            <w:r>
              <w:rPr>
                <w:rFonts w:hint="eastAsia" w:ascii="Calibri" w:hAnsi="Calibri" w:eastAsia="宋体" w:cs="Times New Roman"/>
                <w:highlight w:val="none"/>
              </w:rPr>
              <w:t>入户垃圾分类桶</w:t>
            </w:r>
          </w:p>
        </w:tc>
        <w:tc>
          <w:tcPr>
            <w:tcW w:w="1593" w:type="dxa"/>
            <w:tcBorders>
              <w:top w:val="nil"/>
              <w:left w:val="nil"/>
              <w:bottom w:val="single" w:color="080000" w:sz="8" w:space="0"/>
              <w:right w:val="single" w:color="080000" w:sz="8" w:space="0"/>
            </w:tcBorders>
            <w:noWrap w:val="0"/>
            <w:vAlign w:val="center"/>
          </w:tcPr>
          <w:p w14:paraId="2EC5F105">
            <w:pPr>
              <w:spacing w:line="360" w:lineRule="auto"/>
              <w:jc w:val="center"/>
              <w:rPr>
                <w:rFonts w:hint="default" w:ascii="Calibri" w:hAnsi="Calibri" w:eastAsia="宋体" w:cs="Times New Roman"/>
                <w:highlight w:val="none"/>
              </w:rPr>
            </w:pPr>
            <w:r>
              <w:rPr>
                <w:rFonts w:hint="eastAsia" w:ascii="Calibri" w:hAnsi="Calibri" w:eastAsia="宋体" w:cs="Times New Roman"/>
                <w:highlight w:val="none"/>
              </w:rPr>
              <w:t>1000只</w:t>
            </w:r>
          </w:p>
        </w:tc>
        <w:tc>
          <w:tcPr>
            <w:tcW w:w="4077" w:type="dxa"/>
            <w:tcBorders>
              <w:top w:val="nil"/>
              <w:left w:val="nil"/>
              <w:bottom w:val="single" w:color="080000" w:sz="8" w:space="0"/>
              <w:right w:val="single" w:color="080000" w:sz="8" w:space="0"/>
            </w:tcBorders>
            <w:noWrap w:val="0"/>
            <w:vAlign w:val="center"/>
          </w:tcPr>
          <w:p w14:paraId="5426450D">
            <w:pPr>
              <w:spacing w:line="360" w:lineRule="auto"/>
              <w:rPr>
                <w:rFonts w:hint="default" w:ascii="Calibri" w:hAnsi="Calibri" w:eastAsia="宋体" w:cs="Times New Roman"/>
                <w:sz w:val="18"/>
                <w:szCs w:val="18"/>
                <w:highlight w:val="none"/>
              </w:rPr>
            </w:pPr>
            <w:r>
              <w:rPr>
                <w:rFonts w:hint="eastAsia" w:ascii="Calibri" w:hAnsi="Calibri" w:eastAsia="宋体" w:cs="Times New Roman"/>
                <w:highlight w:val="none"/>
              </w:rPr>
              <w:t>对其中1000户居民，配备厨余（易腐）垃圾入户桶。（补充缺失）</w:t>
            </w:r>
          </w:p>
        </w:tc>
      </w:tr>
    </w:tbl>
    <w:p w14:paraId="55321E3D">
      <w:pPr>
        <w:widowControl w:val="0"/>
        <w:spacing w:line="360" w:lineRule="auto"/>
        <w:ind w:firstLine="480"/>
        <w:jc w:val="both"/>
        <w:rPr>
          <w:rFonts w:hint="eastAsia" w:ascii="Times New Roman" w:hAnsi="宋体" w:eastAsia="宋体" w:cs="宋体"/>
          <w:b/>
          <w:bCs/>
          <w:color w:val="000000"/>
          <w:sz w:val="24"/>
          <w:szCs w:val="24"/>
          <w:highlight w:val="none"/>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说明：响应文件中提供“中标后配备</w:t>
      </w:r>
      <w:r>
        <w:rPr>
          <w:rFonts w:hint="eastAsia" w:ascii="宋体" w:hAnsi="宋体" w:eastAsia="宋体" w:cs="宋体"/>
          <w:b/>
          <w:bCs w:val="0"/>
          <w:color w:val="000000"/>
          <w:sz w:val="24"/>
          <w:szCs w:val="24"/>
          <w:highlight w:val="none"/>
          <w:lang w:val="en-US" w:eastAsia="zh-CN" w:bidi="ar-SA"/>
        </w:rPr>
        <w:t>厨余（易腐）垃圾入户桶</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”的承诺文件，否则按照无效投标处理。</w:t>
      </w:r>
    </w:p>
    <w:p w14:paraId="0B63A52D">
      <w:pPr>
        <w:widowControl w:val="0"/>
        <w:spacing w:line="360" w:lineRule="auto"/>
        <w:ind w:firstLine="480"/>
        <w:jc w:val="both"/>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val="0"/>
          <w:color w:val="000000"/>
          <w:sz w:val="24"/>
          <w:szCs w:val="24"/>
          <w:highlight w:val="none"/>
          <w:lang w:val="en-US" w:eastAsia="zh-CN" w:bidi="ar-SA"/>
        </w:rPr>
        <w:t xml:space="preserve">2.4分类清运服务 </w:t>
      </w:r>
    </w:p>
    <w:p w14:paraId="77CA9394">
      <w:pPr>
        <w:widowControl w:val="0"/>
        <w:numPr>
          <w:ilvl w:val="0"/>
          <w:numId w:val="0"/>
        </w:numPr>
        <w:spacing w:before="156" w:after="120"/>
        <w:ind w:firstLine="480"/>
        <w:jc w:val="both"/>
        <w:rPr>
          <w:rFonts w:hint="eastAsia" w:ascii="Times New Roman"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各种垃圾分类运输要求</w:t>
      </w:r>
    </w:p>
    <w:p w14:paraId="7C50A447">
      <w:pPr>
        <w:spacing w:before="156" w:line="360" w:lineRule="auto"/>
        <w:ind w:firstLine="480"/>
        <w:rPr>
          <w:rFonts w:hint="eastAsia" w:ascii="Calibri" w:hAnsi="宋体" w:eastAsia="宋体" w:cs="宋体"/>
          <w:bCs/>
          <w:color w:val="000000"/>
          <w:sz w:val="24"/>
          <w:highlight w:val="none"/>
        </w:rPr>
      </w:pPr>
      <w:r>
        <w:rPr>
          <w:rFonts w:hint="eastAsia" w:ascii="宋体" w:hAnsi="宋体" w:eastAsia="宋体" w:cs="宋体"/>
          <w:bCs/>
          <w:sz w:val="24"/>
          <w:highlight w:val="none"/>
        </w:rPr>
        <w:t>可回收物根据产生情况按需进行回收，并使用全</w:t>
      </w:r>
      <w:r>
        <w:rPr>
          <w:rFonts w:hint="eastAsia" w:ascii="宋体" w:hAnsi="宋体" w:eastAsia="宋体" w:cs="宋体"/>
          <w:bCs/>
          <w:color w:val="000000"/>
          <w:sz w:val="24"/>
          <w:highlight w:val="none"/>
        </w:rPr>
        <w:t>封闭箱式可回收物车（符合徐州市生活垃圾分类视觉识别系统要求）分类收集，运输至分拣中心进行二次分拣后对接分类再生资源公司，进入两网融合。</w:t>
      </w:r>
    </w:p>
    <w:p w14:paraId="218C01EF">
      <w:pPr>
        <w:spacing w:line="360" w:lineRule="auto"/>
        <w:ind w:firstLine="480"/>
        <w:rPr>
          <w:rFonts w:hint="eastAsia" w:ascii="Calibri" w:hAnsi="宋体" w:eastAsia="宋体" w:cs="宋体"/>
          <w:bCs/>
          <w:color w:val="000000"/>
          <w:sz w:val="24"/>
          <w:highlight w:val="none"/>
        </w:rPr>
      </w:pPr>
      <w:r>
        <w:rPr>
          <w:rFonts w:hint="eastAsia" w:ascii="宋体" w:hAnsi="宋体" w:eastAsia="宋体" w:cs="宋体"/>
          <w:bCs/>
          <w:color w:val="000000"/>
          <w:sz w:val="24"/>
          <w:highlight w:val="none"/>
        </w:rPr>
        <w:t>有害垃圾根据产生的垃圾量，每月至少收运二次，并使用全封闭箱式有害垃圾专用车定期收运，运输至有害垃圾储存点。</w:t>
      </w:r>
    </w:p>
    <w:p w14:paraId="0831E820">
      <w:pPr>
        <w:spacing w:line="360" w:lineRule="auto"/>
        <w:ind w:firstLine="480"/>
        <w:rPr>
          <w:rFonts w:hint="eastAsia" w:ascii="Calibri" w:hAnsi="宋体" w:eastAsia="宋体" w:cs="宋体"/>
          <w:bCs/>
          <w:color w:val="000000"/>
          <w:sz w:val="24"/>
          <w:highlight w:val="none"/>
        </w:rPr>
      </w:pPr>
      <w:r>
        <w:rPr>
          <w:rFonts w:hint="eastAsia" w:ascii="宋体" w:hAnsi="宋体" w:eastAsia="宋体" w:cs="宋体"/>
          <w:bCs/>
          <w:color w:val="000000"/>
          <w:sz w:val="24"/>
          <w:highlight w:val="none"/>
        </w:rPr>
        <w:t>收集的厨余（易腐）垃圾采用全封闭厨余（易腐）垃圾专用清运车（符合徐州市生活垃圾分类视觉识别系统要求）运输至厨余（易腐）垃圾处理厂。</w:t>
      </w:r>
    </w:p>
    <w:p w14:paraId="5C693468">
      <w:pPr>
        <w:spacing w:line="360" w:lineRule="auto"/>
        <w:ind w:firstLine="480"/>
        <w:rPr>
          <w:rFonts w:hint="eastAsia" w:ascii="Calibri" w:hAnsi="宋体" w:eastAsia="宋体" w:cs="宋体"/>
          <w:bCs/>
          <w:color w:val="000000"/>
          <w:sz w:val="24"/>
          <w:highlight w:val="none"/>
        </w:rPr>
      </w:pPr>
      <w:r>
        <w:rPr>
          <w:rFonts w:hint="eastAsia" w:ascii="宋体" w:hAnsi="宋体" w:eastAsia="宋体" w:cs="宋体"/>
          <w:bCs/>
          <w:color w:val="000000"/>
          <w:sz w:val="24"/>
          <w:highlight w:val="none"/>
        </w:rPr>
        <w:t>其他垃圾每天收运至徐州鑫盛润环保能源有限公司（其他垃圾处理厂)。</w:t>
      </w:r>
    </w:p>
    <w:p w14:paraId="5E5739BE">
      <w:pPr>
        <w:widowControl w:val="0"/>
        <w:numPr>
          <w:ilvl w:val="0"/>
          <w:numId w:val="0"/>
        </w:numPr>
        <w:spacing w:after="120" w:line="360" w:lineRule="auto"/>
        <w:ind w:firstLine="480"/>
        <w:jc w:val="both"/>
        <w:rPr>
          <w:rFonts w:hint="eastAsia" w:ascii="Times New Roman"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垃圾收运作业要求</w:t>
      </w:r>
    </w:p>
    <w:p w14:paraId="69A0BED5">
      <w:pPr>
        <w:widowControl w:val="0"/>
        <w:numPr>
          <w:ilvl w:val="0"/>
          <w:numId w:val="6"/>
        </w:numPr>
        <w:spacing w:after="120" w:line="360" w:lineRule="auto"/>
        <w:ind w:left="0" w:firstLine="420"/>
        <w:jc w:val="both"/>
        <w:rPr>
          <w:rFonts w:hint="eastAsia" w:ascii="Times New Roman"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驾驶员统一着装、携带驾驶证、机动车行驶证、保险证、随车工具作业，检查全车身，灭火器具和清洁用具，搞好车辆内部卫生。</w:t>
      </w:r>
    </w:p>
    <w:p w14:paraId="358964BE">
      <w:pPr>
        <w:widowControl w:val="0"/>
        <w:numPr>
          <w:ilvl w:val="0"/>
          <w:numId w:val="6"/>
        </w:numPr>
        <w:spacing w:after="120" w:line="360" w:lineRule="auto"/>
        <w:ind w:left="0" w:firstLine="420"/>
        <w:jc w:val="both"/>
        <w:rPr>
          <w:rFonts w:hint="eastAsia" w:ascii="Times New Roman"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检查蓄电池、灯光、刮水器、气压报警器、转向机及横、直拉杆及各种音响器械是否正常；杜绝工况不正常车辆作业。</w:t>
      </w:r>
    </w:p>
    <w:p w14:paraId="48943F7A">
      <w:pPr>
        <w:widowControl w:val="0"/>
        <w:numPr>
          <w:ilvl w:val="0"/>
          <w:numId w:val="6"/>
        </w:numPr>
        <w:spacing w:after="120" w:line="360" w:lineRule="auto"/>
        <w:ind w:left="0" w:firstLine="420"/>
        <w:jc w:val="both"/>
        <w:rPr>
          <w:rFonts w:hint="eastAsia" w:ascii="Times New Roman"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合理安排装运时间减少噪声，运输垃圾应该避开居民集中出行时间段，作业时间由甲方根据季节变化调整。</w:t>
      </w:r>
    </w:p>
    <w:p w14:paraId="6F0B0306">
      <w:pPr>
        <w:widowControl w:val="0"/>
        <w:numPr>
          <w:ilvl w:val="0"/>
          <w:numId w:val="6"/>
        </w:numPr>
        <w:spacing w:after="120" w:line="360" w:lineRule="auto"/>
        <w:ind w:left="0" w:firstLine="420"/>
        <w:jc w:val="both"/>
        <w:rPr>
          <w:rFonts w:hint="eastAsia" w:ascii="Times New Roman"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厨余（易腐）垃圾、可回收物、有害垃圾分别单独收运、收集，不能与工业垃圾、大件垃圾、建筑垃圾、医疗垃圾、其他垃圾等混合收集、存放；</w:t>
      </w:r>
    </w:p>
    <w:p w14:paraId="3C4CC9CD">
      <w:pPr>
        <w:widowControl w:val="0"/>
        <w:numPr>
          <w:ilvl w:val="0"/>
          <w:numId w:val="6"/>
        </w:numPr>
        <w:spacing w:after="120" w:line="360" w:lineRule="auto"/>
        <w:ind w:left="0" w:firstLine="420"/>
        <w:jc w:val="both"/>
        <w:rPr>
          <w:rFonts w:hint="eastAsia" w:ascii="Times New Roman"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厨余（易腐）垃圾应每日收集。做到日产日清，无堆积，无漏收；</w:t>
      </w:r>
    </w:p>
    <w:p w14:paraId="405A5E7F">
      <w:pPr>
        <w:widowControl w:val="0"/>
        <w:numPr>
          <w:ilvl w:val="0"/>
          <w:numId w:val="6"/>
        </w:numPr>
        <w:spacing w:after="120" w:line="360" w:lineRule="auto"/>
        <w:ind w:left="0" w:firstLine="420"/>
        <w:jc w:val="both"/>
        <w:rPr>
          <w:rFonts w:hint="eastAsia" w:ascii="Times New Roman"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作业结束应清扫垃圾工作场所，做到工完场清，可移动垃圾容器复位，检查垃圾分类容器是否破损，发现破损由乙方更换；</w:t>
      </w:r>
    </w:p>
    <w:p w14:paraId="6299FB92">
      <w:pPr>
        <w:widowControl w:val="0"/>
        <w:numPr>
          <w:ilvl w:val="0"/>
          <w:numId w:val="6"/>
        </w:numPr>
        <w:spacing w:after="120" w:line="360" w:lineRule="auto"/>
        <w:ind w:left="0" w:firstLine="420"/>
        <w:jc w:val="both"/>
        <w:rPr>
          <w:rFonts w:hint="eastAsia" w:ascii="Times New Roman"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垃圾收集运输车应保持完好，不滴、不洒、不漏、不超量、超高装载，文明操作，安全作业，每天作业完毕后冲洗车辆，做到无异味、无污染环境。</w:t>
      </w:r>
    </w:p>
    <w:p w14:paraId="4FC366F8">
      <w:pPr>
        <w:widowControl w:val="0"/>
        <w:numPr>
          <w:ilvl w:val="0"/>
          <w:numId w:val="6"/>
        </w:numPr>
        <w:spacing w:after="120" w:line="360" w:lineRule="auto"/>
        <w:ind w:left="0" w:firstLine="420"/>
        <w:jc w:val="both"/>
        <w:rPr>
          <w:rFonts w:hint="eastAsia" w:ascii="Times New Roman"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装运垃圾以有效容积为限，不准超量超高运输；</w:t>
      </w:r>
    </w:p>
    <w:p w14:paraId="4D690864">
      <w:pPr>
        <w:widowControl w:val="0"/>
        <w:numPr>
          <w:ilvl w:val="0"/>
          <w:numId w:val="6"/>
        </w:numPr>
        <w:spacing w:after="120" w:line="360" w:lineRule="auto"/>
        <w:ind w:left="0" w:firstLine="420"/>
        <w:jc w:val="both"/>
        <w:rPr>
          <w:rFonts w:hint="eastAsia" w:ascii="Times New Roman"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运输垃圾应按指定地点和作业要求分类堆放。</w:t>
      </w:r>
    </w:p>
    <w:p w14:paraId="14DC0AFC">
      <w:pPr>
        <w:widowControl w:val="0"/>
        <w:numPr>
          <w:ilvl w:val="0"/>
          <w:numId w:val="6"/>
        </w:numPr>
        <w:spacing w:after="120" w:line="360" w:lineRule="auto"/>
        <w:ind w:left="0" w:firstLine="420"/>
        <w:jc w:val="both"/>
        <w:rPr>
          <w:rFonts w:hint="eastAsia" w:ascii="Times New Roman"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运输作业结束，及时将清运车辆清洗干净。</w:t>
      </w:r>
    </w:p>
    <w:p w14:paraId="06E405A1">
      <w:pPr>
        <w:pStyle w:val="20"/>
        <w:numPr>
          <w:ilvl w:val="0"/>
          <w:numId w:val="0"/>
        </w:numPr>
        <w:spacing w:before="156"/>
        <w:ind w:left="420" w:firstLine="241"/>
        <w:rPr>
          <w:rFonts w:hint="eastAsia" w:eastAsiaTheme="minorEastAsia"/>
          <w:b/>
          <w:bCs w:val="0"/>
          <w:sz w:val="24"/>
          <w:szCs w:val="24"/>
          <w:highlight w:val="none"/>
        </w:rPr>
      </w:pPr>
      <w:r>
        <w:rPr>
          <w:rFonts w:hint="eastAsia" w:asciiTheme="minorEastAsia" w:hAnsiTheme="minorEastAsia" w:eastAsiaTheme="minorEastAsia" w:cstheme="minorEastAsia"/>
          <w:b/>
          <w:bCs w:val="0"/>
          <w:color w:val="000000" w:themeColor="text1"/>
          <w:sz w:val="24"/>
          <w:szCs w:val="24"/>
          <w:highlight w:val="none"/>
          <w:lang w:val="en-US"/>
          <w14:textFill>
            <w14:solidFill>
              <w14:schemeClr w14:val="tx1"/>
            </w14:solidFill>
          </w14:textFill>
        </w:rPr>
        <w:t>分类运输清运车辆配备</w:t>
      </w:r>
      <w:r>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t>表</w:t>
      </w:r>
    </w:p>
    <w:tbl>
      <w:tblPr>
        <w:tblStyle w:val="51"/>
        <w:tblW w:w="8240" w:type="dxa"/>
        <w:jc w:val="center"/>
        <w:tblLayout w:type="fixed"/>
        <w:tblCellMar>
          <w:top w:w="0" w:type="dxa"/>
          <w:left w:w="108" w:type="dxa"/>
          <w:bottom w:w="0" w:type="dxa"/>
          <w:right w:w="108" w:type="dxa"/>
        </w:tblCellMar>
      </w:tblPr>
      <w:tblGrid>
        <w:gridCol w:w="895"/>
        <w:gridCol w:w="2613"/>
        <w:gridCol w:w="1072"/>
        <w:gridCol w:w="3660"/>
      </w:tblGrid>
      <w:tr w14:paraId="1592FB0F">
        <w:tblPrEx>
          <w:tblCellMar>
            <w:top w:w="0" w:type="dxa"/>
            <w:left w:w="108" w:type="dxa"/>
            <w:bottom w:w="0" w:type="dxa"/>
            <w:right w:w="108" w:type="dxa"/>
          </w:tblCellMar>
        </w:tblPrEx>
        <w:trPr>
          <w:trHeight w:val="331"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D695370">
            <w:pPr>
              <w:jc w:val="center"/>
              <w:rPr>
                <w:rFonts w:hint="eastAsia" w:ascii="Calibri" w:hAnsi="宋体" w:eastAsia="宋体" w:cs="宋体"/>
                <w:bCs/>
                <w:sz w:val="24"/>
                <w:highlight w:val="none"/>
              </w:rPr>
            </w:pPr>
            <w:r>
              <w:rPr>
                <w:rFonts w:hint="eastAsia" w:ascii="Calibri" w:hAnsi="宋体" w:eastAsia="宋体" w:cs="宋体"/>
                <w:bCs/>
                <w:sz w:val="24"/>
                <w:highlight w:val="none"/>
              </w:rPr>
              <w:t>序号</w:t>
            </w:r>
          </w:p>
        </w:tc>
        <w:tc>
          <w:tcPr>
            <w:tcW w:w="2613" w:type="dxa"/>
            <w:tcBorders>
              <w:top w:val="single" w:color="auto" w:sz="4" w:space="0"/>
              <w:left w:val="single" w:color="auto" w:sz="4" w:space="0"/>
              <w:bottom w:val="single" w:color="auto" w:sz="4" w:space="0"/>
              <w:right w:val="single" w:color="auto" w:sz="4" w:space="0"/>
            </w:tcBorders>
            <w:noWrap w:val="0"/>
            <w:vAlign w:val="center"/>
          </w:tcPr>
          <w:p w14:paraId="0F45F623">
            <w:pPr>
              <w:jc w:val="center"/>
              <w:rPr>
                <w:rFonts w:hint="eastAsia" w:ascii="Calibri" w:hAnsi="宋体" w:eastAsia="宋体" w:cs="宋体"/>
                <w:bCs/>
                <w:sz w:val="24"/>
                <w:highlight w:val="none"/>
              </w:rPr>
            </w:pPr>
            <w:r>
              <w:rPr>
                <w:rFonts w:hint="eastAsia" w:ascii="Calibri" w:hAnsi="宋体" w:eastAsia="宋体" w:cs="宋体"/>
                <w:bCs/>
                <w:sz w:val="24"/>
                <w:highlight w:val="none"/>
              </w:rPr>
              <w:t>项目名称</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B10289F">
            <w:pPr>
              <w:jc w:val="center"/>
              <w:rPr>
                <w:rFonts w:hint="eastAsia" w:ascii="Calibri" w:hAnsi="宋体" w:eastAsia="宋体" w:cs="宋体"/>
                <w:bCs/>
                <w:sz w:val="24"/>
                <w:highlight w:val="none"/>
              </w:rPr>
            </w:pPr>
            <w:r>
              <w:rPr>
                <w:rFonts w:hint="eastAsia" w:ascii="Calibri" w:hAnsi="宋体" w:eastAsia="宋体" w:cs="宋体"/>
                <w:bCs/>
                <w:sz w:val="24"/>
                <w:highlight w:val="none"/>
              </w:rPr>
              <w:t>数量</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167A2B61">
            <w:pPr>
              <w:jc w:val="center"/>
              <w:rPr>
                <w:rFonts w:hint="eastAsia" w:ascii="Calibri" w:hAnsi="宋体" w:eastAsia="宋体" w:cs="宋体"/>
                <w:bCs/>
                <w:sz w:val="24"/>
                <w:highlight w:val="none"/>
              </w:rPr>
            </w:pPr>
            <w:r>
              <w:rPr>
                <w:rFonts w:hint="eastAsia" w:ascii="Calibri" w:hAnsi="宋体" w:eastAsia="宋体" w:cs="宋体"/>
                <w:bCs/>
                <w:sz w:val="24"/>
                <w:highlight w:val="none"/>
              </w:rPr>
              <w:t>要求说明</w:t>
            </w:r>
          </w:p>
        </w:tc>
      </w:tr>
      <w:tr w14:paraId="1D95A892">
        <w:tblPrEx>
          <w:tblCellMar>
            <w:top w:w="0" w:type="dxa"/>
            <w:left w:w="108" w:type="dxa"/>
            <w:bottom w:w="0" w:type="dxa"/>
            <w:right w:w="108" w:type="dxa"/>
          </w:tblCellMar>
        </w:tblPrEx>
        <w:trPr>
          <w:trHeight w:val="1295"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B2C8988">
            <w:pPr>
              <w:jc w:val="center"/>
              <w:rPr>
                <w:rFonts w:hint="eastAsia" w:ascii="Calibri" w:hAnsi="宋体" w:eastAsia="宋体" w:cs="宋体"/>
                <w:bCs/>
                <w:sz w:val="24"/>
                <w:highlight w:val="none"/>
              </w:rPr>
            </w:pPr>
            <w:r>
              <w:rPr>
                <w:rFonts w:hint="default" w:ascii="Calibri" w:hAnsi="宋体" w:eastAsia="宋体" w:cs="宋体"/>
                <w:bCs/>
                <w:sz w:val="24"/>
                <w:highlight w:val="none"/>
              </w:rPr>
              <w:t>1</w:t>
            </w:r>
          </w:p>
        </w:tc>
        <w:tc>
          <w:tcPr>
            <w:tcW w:w="2613" w:type="dxa"/>
            <w:tcBorders>
              <w:top w:val="single" w:color="auto" w:sz="4" w:space="0"/>
              <w:left w:val="single" w:color="auto" w:sz="4" w:space="0"/>
              <w:bottom w:val="single" w:color="auto" w:sz="4" w:space="0"/>
              <w:right w:val="single" w:color="auto" w:sz="4" w:space="0"/>
            </w:tcBorders>
            <w:noWrap w:val="0"/>
            <w:vAlign w:val="center"/>
          </w:tcPr>
          <w:p w14:paraId="74A5EB17">
            <w:pPr>
              <w:jc w:val="center"/>
              <w:rPr>
                <w:rFonts w:hint="eastAsia" w:ascii="Calibri" w:hAnsi="宋体" w:eastAsia="宋体" w:cs="宋体"/>
                <w:bCs/>
                <w:sz w:val="24"/>
                <w:highlight w:val="none"/>
              </w:rPr>
            </w:pPr>
            <w:r>
              <w:rPr>
                <w:rFonts w:hint="eastAsia" w:ascii="Calibri" w:hAnsi="宋体" w:eastAsia="宋体" w:cs="宋体"/>
                <w:bCs/>
                <w:sz w:val="24"/>
                <w:highlight w:val="none"/>
              </w:rPr>
              <w:t>厨余（易腐）垃圾清运车（新能源车、配冲洗功能）</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F7DBBF0">
            <w:pPr>
              <w:jc w:val="center"/>
              <w:rPr>
                <w:rFonts w:hint="eastAsia" w:ascii="Calibri" w:hAnsi="宋体" w:eastAsia="宋体" w:cs="宋体"/>
                <w:bCs/>
                <w:sz w:val="24"/>
                <w:highlight w:val="none"/>
              </w:rPr>
            </w:pPr>
            <w:r>
              <w:rPr>
                <w:rFonts w:hint="default" w:ascii="Calibri" w:hAnsi="宋体" w:eastAsia="宋体" w:cs="宋体"/>
                <w:bCs/>
                <w:sz w:val="24"/>
                <w:highlight w:val="none"/>
              </w:rPr>
              <w:t>1</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66221B2D">
            <w:pPr>
              <w:jc w:val="center"/>
              <w:rPr>
                <w:rFonts w:hint="eastAsia" w:ascii="Calibri" w:hAnsi="宋体" w:eastAsia="宋体" w:cs="宋体"/>
                <w:bCs/>
                <w:sz w:val="24"/>
                <w:highlight w:val="none"/>
              </w:rPr>
            </w:pPr>
            <w:r>
              <w:rPr>
                <w:rFonts w:hint="eastAsia" w:ascii="Calibri" w:hAnsi="宋体" w:eastAsia="宋体" w:cs="宋体"/>
                <w:bCs/>
                <w:sz w:val="24"/>
                <w:highlight w:val="none"/>
              </w:rPr>
              <w:t>车厢全封闭、携带挂桶装置、自卸装置，箱体容积≥8（</w:t>
            </w:r>
            <w:r>
              <w:rPr>
                <w:rFonts w:hint="eastAsia" w:ascii="Calibri" w:hAnsi="宋体" w:eastAsia="宋体" w:cs="宋体"/>
                <w:bCs/>
                <w:sz w:val="24"/>
                <w:highlight w:val="none"/>
                <w:lang w:val="en-US" w:eastAsia="zh-CN"/>
              </w:rPr>
              <w:t>立方米</w:t>
            </w:r>
            <w:r>
              <w:rPr>
                <w:rFonts w:hint="eastAsia" w:ascii="Calibri" w:hAnsi="宋体" w:eastAsia="宋体" w:cs="宋体"/>
                <w:bCs/>
                <w:sz w:val="24"/>
                <w:highlight w:val="none"/>
              </w:rPr>
              <w:t>），车身分类标识使用徐州市生活垃圾分类视觉识别系统规定标识及颜色，冲洗厨余垃圾桶。</w:t>
            </w:r>
          </w:p>
        </w:tc>
      </w:tr>
      <w:tr w14:paraId="6229322A">
        <w:tblPrEx>
          <w:tblCellMar>
            <w:top w:w="0" w:type="dxa"/>
            <w:left w:w="108" w:type="dxa"/>
            <w:bottom w:w="0" w:type="dxa"/>
            <w:right w:w="108" w:type="dxa"/>
          </w:tblCellMar>
        </w:tblPrEx>
        <w:trPr>
          <w:trHeight w:val="429"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556EB97">
            <w:pPr>
              <w:jc w:val="center"/>
              <w:rPr>
                <w:rFonts w:hint="eastAsia" w:ascii="Calibri" w:hAnsi="宋体" w:eastAsia="宋体" w:cs="宋体"/>
                <w:bCs/>
                <w:sz w:val="24"/>
                <w:highlight w:val="none"/>
              </w:rPr>
            </w:pPr>
            <w:r>
              <w:rPr>
                <w:rFonts w:hint="default" w:ascii="Calibri" w:hAnsi="宋体" w:eastAsia="宋体" w:cs="宋体"/>
                <w:bCs/>
                <w:sz w:val="24"/>
                <w:highlight w:val="none"/>
              </w:rPr>
              <w:t>2</w:t>
            </w:r>
          </w:p>
        </w:tc>
        <w:tc>
          <w:tcPr>
            <w:tcW w:w="2613" w:type="dxa"/>
            <w:tcBorders>
              <w:top w:val="single" w:color="auto" w:sz="4" w:space="0"/>
              <w:left w:val="single" w:color="auto" w:sz="4" w:space="0"/>
              <w:bottom w:val="single" w:color="auto" w:sz="4" w:space="0"/>
              <w:right w:val="single" w:color="auto" w:sz="4" w:space="0"/>
            </w:tcBorders>
            <w:noWrap w:val="0"/>
            <w:vAlign w:val="center"/>
          </w:tcPr>
          <w:p w14:paraId="5B270EF2">
            <w:pPr>
              <w:jc w:val="center"/>
              <w:rPr>
                <w:rFonts w:hint="eastAsia" w:ascii="Calibri" w:hAnsi="宋体" w:eastAsia="宋体" w:cs="宋体"/>
                <w:bCs/>
                <w:sz w:val="24"/>
                <w:highlight w:val="none"/>
              </w:rPr>
            </w:pPr>
            <w:r>
              <w:rPr>
                <w:rFonts w:hint="eastAsia" w:ascii="Calibri" w:hAnsi="宋体" w:eastAsia="宋体" w:cs="宋体"/>
                <w:bCs/>
                <w:sz w:val="24"/>
                <w:highlight w:val="none"/>
              </w:rPr>
              <w:t>可回收垃圾转运车</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659FB9B">
            <w:pPr>
              <w:jc w:val="center"/>
              <w:rPr>
                <w:rFonts w:hint="eastAsia" w:ascii="Calibri" w:hAnsi="宋体" w:eastAsia="宋体" w:cs="宋体"/>
                <w:bCs/>
                <w:sz w:val="24"/>
                <w:highlight w:val="none"/>
              </w:rPr>
            </w:pPr>
            <w:r>
              <w:rPr>
                <w:rFonts w:hint="default" w:ascii="Calibri" w:hAnsi="宋体" w:eastAsia="宋体" w:cs="宋体"/>
                <w:bCs/>
                <w:sz w:val="24"/>
                <w:highlight w:val="none"/>
              </w:rPr>
              <w:t>1</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0701D727">
            <w:pPr>
              <w:jc w:val="left"/>
              <w:rPr>
                <w:rFonts w:hint="eastAsia" w:ascii="Calibri" w:hAnsi="宋体" w:eastAsia="宋体" w:cs="宋体"/>
                <w:bCs/>
                <w:sz w:val="24"/>
                <w:highlight w:val="none"/>
              </w:rPr>
            </w:pPr>
            <w:r>
              <w:rPr>
                <w:rFonts w:hint="eastAsia" w:ascii="Calibri" w:hAnsi="宋体" w:eastAsia="宋体" w:cs="宋体"/>
                <w:bCs/>
                <w:sz w:val="24"/>
                <w:highlight w:val="none"/>
              </w:rPr>
              <w:t>转运可回收垃圾至垃圾分拣中心</w:t>
            </w:r>
          </w:p>
        </w:tc>
      </w:tr>
      <w:tr w14:paraId="47B389EA">
        <w:tblPrEx>
          <w:tblCellMar>
            <w:top w:w="0" w:type="dxa"/>
            <w:left w:w="108" w:type="dxa"/>
            <w:bottom w:w="0" w:type="dxa"/>
            <w:right w:w="108" w:type="dxa"/>
          </w:tblCellMar>
        </w:tblPrEx>
        <w:trPr>
          <w:trHeight w:val="548"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36787B6">
            <w:pPr>
              <w:jc w:val="center"/>
              <w:rPr>
                <w:rFonts w:hint="eastAsia" w:ascii="Calibri" w:hAnsi="宋体" w:eastAsia="宋体" w:cs="宋体"/>
                <w:bCs/>
                <w:sz w:val="24"/>
                <w:highlight w:val="none"/>
              </w:rPr>
            </w:pPr>
            <w:r>
              <w:rPr>
                <w:rFonts w:hint="default" w:ascii="Calibri" w:hAnsi="宋体" w:eastAsia="宋体" w:cs="宋体"/>
                <w:bCs/>
                <w:sz w:val="24"/>
                <w:highlight w:val="none"/>
              </w:rPr>
              <w:t>3</w:t>
            </w:r>
          </w:p>
        </w:tc>
        <w:tc>
          <w:tcPr>
            <w:tcW w:w="2613" w:type="dxa"/>
            <w:tcBorders>
              <w:top w:val="single" w:color="auto" w:sz="4" w:space="0"/>
              <w:left w:val="single" w:color="auto" w:sz="4" w:space="0"/>
              <w:bottom w:val="single" w:color="auto" w:sz="4" w:space="0"/>
              <w:right w:val="single" w:color="auto" w:sz="4" w:space="0"/>
            </w:tcBorders>
            <w:noWrap w:val="0"/>
            <w:vAlign w:val="center"/>
          </w:tcPr>
          <w:p w14:paraId="396A3D2F">
            <w:pPr>
              <w:jc w:val="center"/>
              <w:rPr>
                <w:rFonts w:hint="eastAsia" w:ascii="Calibri" w:hAnsi="宋体" w:eastAsia="宋体" w:cs="宋体"/>
                <w:bCs/>
                <w:sz w:val="24"/>
                <w:highlight w:val="none"/>
              </w:rPr>
            </w:pPr>
            <w:r>
              <w:rPr>
                <w:rFonts w:hint="eastAsia" w:ascii="Calibri" w:hAnsi="宋体" w:eastAsia="宋体" w:cs="宋体"/>
                <w:bCs/>
                <w:sz w:val="24"/>
                <w:highlight w:val="none"/>
              </w:rPr>
              <w:t>有害垃圾转运车</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2AE046B">
            <w:pPr>
              <w:jc w:val="center"/>
              <w:rPr>
                <w:rFonts w:hint="eastAsia" w:ascii="Calibri" w:hAnsi="宋体" w:eastAsia="宋体" w:cs="宋体"/>
                <w:bCs/>
                <w:sz w:val="24"/>
                <w:highlight w:val="none"/>
              </w:rPr>
            </w:pPr>
            <w:r>
              <w:rPr>
                <w:rFonts w:hint="eastAsia" w:ascii="Calibri" w:hAnsi="宋体" w:eastAsia="宋体" w:cs="宋体"/>
                <w:bCs/>
                <w:sz w:val="24"/>
                <w:highlight w:val="none"/>
              </w:rPr>
              <w:t>1</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5CFF9FB0">
            <w:pPr>
              <w:jc w:val="left"/>
              <w:rPr>
                <w:rFonts w:hint="eastAsia" w:ascii="Calibri" w:hAnsi="宋体" w:eastAsia="宋体" w:cs="宋体"/>
                <w:bCs/>
                <w:sz w:val="24"/>
                <w:highlight w:val="none"/>
              </w:rPr>
            </w:pPr>
            <w:r>
              <w:rPr>
                <w:rFonts w:hint="eastAsia" w:ascii="Calibri" w:hAnsi="宋体" w:eastAsia="宋体" w:cs="宋体"/>
                <w:bCs/>
                <w:sz w:val="24"/>
                <w:highlight w:val="none"/>
              </w:rPr>
              <w:t>转运有害垃圾至暂存点</w:t>
            </w:r>
          </w:p>
        </w:tc>
      </w:tr>
    </w:tbl>
    <w:p w14:paraId="4165E201">
      <w:pPr>
        <w:pStyle w:val="515"/>
        <w:spacing w:line="360" w:lineRule="auto"/>
        <w:ind w:firstLine="516"/>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说明：响应文件中提供“中标后配备分类运输清运车辆”的承诺文件，否则按照无效投标处理。</w:t>
      </w:r>
    </w:p>
    <w:p w14:paraId="6F342C2B">
      <w:pPr>
        <w:rPr>
          <w:rFonts w:hint="default"/>
          <w:highlight w:val="none"/>
        </w:rPr>
      </w:pPr>
    </w:p>
    <w:p w14:paraId="6CDE54B9">
      <w:pPr>
        <w:pStyle w:val="515"/>
        <w:spacing w:line="360" w:lineRule="auto"/>
        <w:ind w:firstLine="482"/>
        <w:rPr>
          <w:rFonts w:ascii="宋体" w:hAnsi="宋体" w:cs="宋体"/>
          <w:b/>
          <w:sz w:val="24"/>
          <w:szCs w:val="24"/>
          <w:highlight w:val="none"/>
        </w:rPr>
      </w:pPr>
      <w:r>
        <w:rPr>
          <w:rFonts w:hint="eastAsia" w:asciiTheme="minorEastAsia" w:hAnsiTheme="minorEastAsia" w:eastAsiaTheme="minorEastAsia" w:cstheme="minorEastAsia"/>
          <w:b/>
          <w:sz w:val="24"/>
          <w:szCs w:val="24"/>
          <w:highlight w:val="none"/>
        </w:rPr>
        <w:t>2.</w:t>
      </w:r>
      <w:r>
        <w:rPr>
          <w:rFonts w:asciiTheme="minorEastAsia" w:hAnsiTheme="minorEastAsia" w:eastAsiaTheme="minorEastAsia" w:cstheme="minorEastAsia"/>
          <w:b/>
          <w:sz w:val="24"/>
          <w:szCs w:val="24"/>
          <w:highlight w:val="none"/>
        </w:rPr>
        <w:t>5</w:t>
      </w:r>
      <w:r>
        <w:rPr>
          <w:rFonts w:hint="eastAsia" w:asciiTheme="minorEastAsia" w:hAnsiTheme="minorEastAsia" w:eastAsiaTheme="minorEastAsia" w:cstheme="minorEastAsia"/>
          <w:b/>
          <w:sz w:val="24"/>
          <w:szCs w:val="24"/>
          <w:highlight w:val="none"/>
        </w:rPr>
        <w:t>运营服务人员配置服务</w:t>
      </w:r>
    </w:p>
    <w:p w14:paraId="085B514A">
      <w:pPr>
        <w:widowControl w:val="0"/>
        <w:spacing w:before="156" w:line="360" w:lineRule="auto"/>
        <w:ind w:firstLine="480"/>
        <w:jc w:val="both"/>
        <w:rPr>
          <w:rFonts w:hint="eastAsia" w:ascii="宋体" w:hAnsi="宋体" w:eastAsia="宋体" w:cs="宋体"/>
          <w:bCs/>
          <w:sz w:val="24"/>
          <w:szCs w:val="24"/>
          <w:highlight w:val="none"/>
        </w:rPr>
      </w:pPr>
      <w:bookmarkStart w:id="2" w:name="_Toc2191"/>
      <w:r>
        <w:rPr>
          <w:rFonts w:hint="eastAsia" w:ascii="宋体" w:hAnsi="宋体" w:eastAsia="宋体" w:cs="宋体"/>
          <w:bCs/>
          <w:sz w:val="24"/>
          <w:szCs w:val="24"/>
          <w:highlight w:val="none"/>
          <w:lang w:val="en-US" w:eastAsia="zh-CN" w:bidi="ar-SA"/>
        </w:rPr>
        <w:t>服务范围内</w:t>
      </w:r>
      <w:r>
        <w:rPr>
          <w:rFonts w:ascii="宋体" w:hAnsi="宋体" w:eastAsia="宋体" w:cs="宋体"/>
          <w:bCs/>
          <w:sz w:val="24"/>
          <w:szCs w:val="24"/>
          <w:highlight w:val="none"/>
          <w:lang w:val="en-US" w:eastAsia="zh-CN" w:bidi="ar-SA"/>
        </w:rPr>
        <w:t>49</w:t>
      </w:r>
      <w:r>
        <w:rPr>
          <w:rFonts w:hint="eastAsia" w:ascii="宋体" w:hAnsi="宋体" w:eastAsia="宋体" w:cs="宋体"/>
          <w:bCs/>
          <w:sz w:val="24"/>
          <w:szCs w:val="24"/>
          <w:highlight w:val="none"/>
          <w:lang w:val="en-US" w:eastAsia="zh-CN" w:bidi="ar-SA"/>
        </w:rPr>
        <w:t>个自然村垃圾分亭的清扫、消杀，并对村民垃圾分类行为进行引导、督促居民分类投放生活垃圾。分类、收集员上岗前须经过培训。厨余（易腐）垃圾的清运配备驾驶员</w:t>
      </w:r>
      <w:r>
        <w:rPr>
          <w:rFonts w:ascii="宋体" w:hAnsi="宋体" w:eastAsia="宋体" w:cs="宋体"/>
          <w:bCs/>
          <w:sz w:val="24"/>
          <w:szCs w:val="24"/>
          <w:highlight w:val="none"/>
          <w:lang w:val="en-US" w:eastAsia="zh-CN" w:bidi="ar-SA"/>
        </w:rPr>
        <w:t>1</w:t>
      </w:r>
      <w:r>
        <w:rPr>
          <w:rFonts w:hint="eastAsia" w:ascii="宋体" w:hAnsi="宋体" w:eastAsia="宋体" w:cs="宋体"/>
          <w:bCs/>
          <w:sz w:val="24"/>
          <w:szCs w:val="24"/>
          <w:highlight w:val="none"/>
          <w:lang w:val="en-US" w:eastAsia="zh-CN" w:bidi="ar-SA"/>
        </w:rPr>
        <w:t>人，挂桶工、高压冲洗工1人；项目经理</w:t>
      </w:r>
      <w:r>
        <w:rPr>
          <w:rFonts w:ascii="宋体" w:hAnsi="宋体" w:eastAsia="宋体" w:cs="宋体"/>
          <w:bCs/>
          <w:sz w:val="24"/>
          <w:szCs w:val="24"/>
          <w:highlight w:val="none"/>
          <w:lang w:val="en-US" w:eastAsia="zh-CN" w:bidi="ar-SA"/>
        </w:rPr>
        <w:t>1</w:t>
      </w:r>
      <w:r>
        <w:rPr>
          <w:rFonts w:hint="eastAsia" w:ascii="宋体" w:hAnsi="宋体" w:eastAsia="宋体" w:cs="宋体"/>
          <w:bCs/>
          <w:sz w:val="24"/>
          <w:szCs w:val="24"/>
          <w:highlight w:val="none"/>
          <w:lang w:val="en-US" w:eastAsia="zh-CN" w:bidi="ar-SA"/>
        </w:rPr>
        <w:t>名。</w:t>
      </w:r>
    </w:p>
    <w:p w14:paraId="6BE23A31">
      <w:pPr>
        <w:widowControl w:val="0"/>
        <w:spacing w:before="156" w:line="360" w:lineRule="auto"/>
        <w:ind w:firstLine="48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 xml:space="preserve">乙方应依法与其雇佣的所有人员签订劳动合同，依法缴纳社会保险，保障员工合法权益。因乙方人员产生的劳动争议、工伤、薪酬、社会保险等纠纷，均由乙方自行承担，甲方不承担任何连带责任。 </w:t>
      </w:r>
    </w:p>
    <w:p w14:paraId="7754A430">
      <w:pPr>
        <w:widowControl w:val="0"/>
        <w:numPr>
          <w:ilvl w:val="0"/>
          <w:numId w:val="0"/>
        </w:numPr>
        <w:spacing w:before="156" w:line="360" w:lineRule="auto"/>
        <w:ind w:firstLine="480"/>
        <w:jc w:val="both"/>
        <w:rPr>
          <w:rFonts w:hint="eastAsia" w:ascii="Calibri" w:hAnsi="宋体" w:eastAsia="宋体" w:cs="宋体"/>
          <w:bCs/>
          <w:color w:val="FF0000"/>
          <w:sz w:val="24"/>
          <w:szCs w:val="24"/>
          <w:highlight w:val="none"/>
        </w:rPr>
      </w:pPr>
      <w:r>
        <w:rPr>
          <w:rFonts w:hint="eastAsia" w:ascii="宋体" w:hAnsi="宋体" w:eastAsia="宋体" w:cs="宋体"/>
          <w:bCs/>
          <w:color w:val="000000"/>
          <w:sz w:val="24"/>
          <w:szCs w:val="24"/>
          <w:highlight w:val="none"/>
          <w:lang w:val="en-US" w:eastAsia="zh-CN" w:bidi="ar-SA"/>
        </w:rPr>
        <w:t>乙方在履约过程中如需变更服务人员、车辆、设备等，须提前书面报备甲方，经甲方书面同意后方可实施。未经甲方同意，乙方不得擅自更换或减少人员、设备。</w:t>
      </w:r>
      <w:r>
        <w:rPr>
          <w:rFonts w:hint="eastAsia" w:ascii="宋体" w:hAnsi="宋体" w:eastAsia="宋体" w:cs="宋体"/>
          <w:bCs/>
          <w:color w:val="FF0000"/>
          <w:sz w:val="24"/>
          <w:szCs w:val="24"/>
          <w:highlight w:val="none"/>
          <w:lang w:val="en-US" w:eastAsia="zh-CN" w:bidi="ar-SA"/>
        </w:rPr>
        <w:t xml:space="preserve"> </w:t>
      </w:r>
    </w:p>
    <w:p w14:paraId="5F868B85">
      <w:pPr>
        <w:pStyle w:val="515"/>
        <w:numPr>
          <w:ilvl w:val="0"/>
          <w:numId w:val="0"/>
        </w:numPr>
        <w:spacing w:before="156" w:line="360" w:lineRule="auto"/>
        <w:ind w:left="-340" w:firstLine="787"/>
        <w:rPr>
          <w:rFonts w:hAnsi="宋体" w:cs="宋体"/>
          <w:bCs/>
          <w:sz w:val="24"/>
          <w:szCs w:val="24"/>
          <w:highlight w:val="none"/>
        </w:rPr>
      </w:pPr>
      <w:r>
        <w:rPr>
          <w:rFonts w:hint="eastAsia" w:asciiTheme="minorEastAsia" w:hAnsiTheme="minorEastAsia" w:eastAsiaTheme="minorEastAsia" w:cstheme="minorEastAsia"/>
          <w:bCs/>
          <w:sz w:val="24"/>
          <w:szCs w:val="24"/>
          <w:highlight w:val="none"/>
        </w:rPr>
        <w:t>运营服务人员配备</w:t>
      </w:r>
      <w:bookmarkEnd w:id="2"/>
      <w:r>
        <w:rPr>
          <w:rFonts w:hint="eastAsia" w:asciiTheme="minorEastAsia" w:hAnsiTheme="minorEastAsia" w:eastAsiaTheme="minorEastAsia" w:cstheme="minorEastAsia"/>
          <w:bCs/>
          <w:sz w:val="24"/>
          <w:szCs w:val="24"/>
          <w:highlight w:val="none"/>
        </w:rPr>
        <w:t>表</w:t>
      </w:r>
    </w:p>
    <w:tbl>
      <w:tblPr>
        <w:tblStyle w:val="51"/>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2555"/>
        <w:gridCol w:w="978"/>
        <w:gridCol w:w="3424"/>
      </w:tblGrid>
      <w:tr w14:paraId="174D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 w:hRule="atLeast"/>
          <w:jc w:val="center"/>
        </w:trPr>
        <w:tc>
          <w:tcPr>
            <w:tcW w:w="1742" w:type="dxa"/>
            <w:noWrap w:val="0"/>
            <w:vAlign w:val="center"/>
          </w:tcPr>
          <w:p w14:paraId="17749A18">
            <w:pPr>
              <w:jc w:val="center"/>
              <w:rPr>
                <w:rFonts w:hint="eastAsia" w:ascii="仿宋" w:hAnsi="仿宋" w:eastAsia="宋体" w:cs="仿宋"/>
                <w:color w:val="000000"/>
                <w:sz w:val="28"/>
                <w:highlight w:val="none"/>
              </w:rPr>
            </w:pPr>
            <w:r>
              <w:rPr>
                <w:rFonts w:hint="eastAsia" w:ascii="仿宋" w:hAnsi="仿宋" w:eastAsia="宋体" w:cs="仿宋"/>
                <w:color w:val="000000"/>
                <w:sz w:val="28"/>
                <w:highlight w:val="none"/>
              </w:rPr>
              <w:t>类别</w:t>
            </w:r>
          </w:p>
        </w:tc>
        <w:tc>
          <w:tcPr>
            <w:tcW w:w="2555" w:type="dxa"/>
            <w:noWrap w:val="0"/>
            <w:vAlign w:val="center"/>
          </w:tcPr>
          <w:p w14:paraId="1E382C3E">
            <w:pPr>
              <w:jc w:val="center"/>
              <w:rPr>
                <w:rFonts w:hint="eastAsia" w:ascii="仿宋" w:hAnsi="仿宋" w:eastAsia="宋体" w:cs="仿宋"/>
                <w:color w:val="000000"/>
                <w:sz w:val="28"/>
                <w:highlight w:val="none"/>
              </w:rPr>
            </w:pPr>
            <w:r>
              <w:rPr>
                <w:rFonts w:hint="eastAsia" w:ascii="仿宋" w:hAnsi="仿宋" w:eastAsia="宋体" w:cs="仿宋"/>
                <w:color w:val="000000"/>
                <w:sz w:val="28"/>
                <w:highlight w:val="none"/>
              </w:rPr>
              <w:t>项目名称</w:t>
            </w:r>
          </w:p>
        </w:tc>
        <w:tc>
          <w:tcPr>
            <w:tcW w:w="978" w:type="dxa"/>
            <w:noWrap w:val="0"/>
            <w:vAlign w:val="center"/>
          </w:tcPr>
          <w:p w14:paraId="1E26FCC4">
            <w:pPr>
              <w:jc w:val="center"/>
              <w:rPr>
                <w:rFonts w:hint="eastAsia" w:ascii="仿宋" w:hAnsi="仿宋" w:eastAsia="宋体" w:cs="仿宋"/>
                <w:color w:val="000000"/>
                <w:sz w:val="28"/>
                <w:highlight w:val="none"/>
              </w:rPr>
            </w:pPr>
            <w:r>
              <w:rPr>
                <w:rFonts w:hint="eastAsia" w:ascii="仿宋" w:hAnsi="仿宋" w:eastAsia="宋体" w:cs="仿宋"/>
                <w:color w:val="000000"/>
                <w:sz w:val="28"/>
                <w:highlight w:val="none"/>
              </w:rPr>
              <w:t>数量</w:t>
            </w:r>
          </w:p>
        </w:tc>
        <w:tc>
          <w:tcPr>
            <w:tcW w:w="3424" w:type="dxa"/>
            <w:noWrap w:val="0"/>
            <w:vAlign w:val="center"/>
          </w:tcPr>
          <w:p w14:paraId="1E17E88E">
            <w:pPr>
              <w:jc w:val="center"/>
              <w:rPr>
                <w:rFonts w:hint="eastAsia" w:ascii="仿宋" w:hAnsi="仿宋" w:eastAsia="仿宋" w:cs="仿宋"/>
                <w:color w:val="000000"/>
                <w:sz w:val="28"/>
                <w:highlight w:val="none"/>
              </w:rPr>
            </w:pPr>
            <w:r>
              <w:rPr>
                <w:rFonts w:hint="eastAsia" w:ascii="仿宋" w:hAnsi="仿宋" w:eastAsia="宋体" w:cs="仿宋"/>
                <w:color w:val="000000"/>
                <w:sz w:val="28"/>
                <w:highlight w:val="none"/>
              </w:rPr>
              <w:t>说明</w:t>
            </w:r>
          </w:p>
        </w:tc>
      </w:tr>
      <w:tr w14:paraId="3B93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742" w:type="dxa"/>
            <w:noWrap w:val="0"/>
            <w:vAlign w:val="center"/>
          </w:tcPr>
          <w:p w14:paraId="5ABB81A4">
            <w:pPr>
              <w:jc w:val="center"/>
              <w:rPr>
                <w:rFonts w:hint="eastAsia" w:ascii="Calibri" w:hAnsi="宋体" w:eastAsia="宋体" w:cs="宋体"/>
                <w:bCs/>
                <w:color w:val="FF0000"/>
                <w:sz w:val="24"/>
                <w:highlight w:val="none"/>
              </w:rPr>
            </w:pPr>
            <w:r>
              <w:rPr>
                <w:rFonts w:hint="eastAsia" w:hAnsi="宋体" w:cs="宋体"/>
                <w:bCs/>
                <w:sz w:val="24"/>
                <w:highlight w:val="none"/>
              </w:rPr>
              <w:t>垃圾分类亭收集、分类人员</w:t>
            </w:r>
          </w:p>
        </w:tc>
        <w:tc>
          <w:tcPr>
            <w:tcW w:w="2555" w:type="dxa"/>
            <w:noWrap w:val="0"/>
            <w:vAlign w:val="center"/>
          </w:tcPr>
          <w:p w14:paraId="31CA2879">
            <w:pPr>
              <w:jc w:val="center"/>
              <w:rPr>
                <w:rFonts w:hint="eastAsia" w:ascii="Calibri" w:hAnsi="宋体" w:eastAsia="宋体" w:cs="宋体"/>
                <w:bCs/>
                <w:color w:val="FF0000"/>
                <w:sz w:val="24"/>
                <w:highlight w:val="none"/>
              </w:rPr>
            </w:pPr>
            <w:r>
              <w:rPr>
                <w:rFonts w:hint="eastAsia" w:hAnsi="宋体" w:cs="宋体"/>
                <w:bCs/>
                <w:sz w:val="24"/>
                <w:highlight w:val="none"/>
              </w:rPr>
              <w:t>垃圾收集、分类人员</w:t>
            </w:r>
          </w:p>
        </w:tc>
        <w:tc>
          <w:tcPr>
            <w:tcW w:w="978" w:type="dxa"/>
            <w:noWrap w:val="0"/>
            <w:vAlign w:val="center"/>
          </w:tcPr>
          <w:p w14:paraId="46378751">
            <w:pPr>
              <w:jc w:val="center"/>
              <w:rPr>
                <w:rFonts w:hint="eastAsia" w:ascii="Calibri" w:hAnsi="宋体" w:eastAsia="宋体" w:cs="宋体"/>
                <w:bCs/>
                <w:color w:val="FF0000"/>
                <w:sz w:val="24"/>
                <w:highlight w:val="none"/>
              </w:rPr>
            </w:pPr>
            <w:r>
              <w:rPr>
                <w:rFonts w:hint="eastAsia" w:hAnsi="宋体" w:cs="宋体"/>
                <w:bCs/>
                <w:sz w:val="24"/>
                <w:highlight w:val="none"/>
              </w:rPr>
              <w:t>满足垃圾分类亭需求</w:t>
            </w:r>
          </w:p>
        </w:tc>
        <w:tc>
          <w:tcPr>
            <w:tcW w:w="3424" w:type="dxa"/>
            <w:noWrap w:val="0"/>
            <w:vAlign w:val="center"/>
          </w:tcPr>
          <w:p w14:paraId="542043E9">
            <w:pPr>
              <w:rPr>
                <w:rFonts w:hint="eastAsia" w:ascii="Calibri" w:hAnsi="宋体" w:eastAsia="宋体" w:cs="宋体"/>
                <w:bCs/>
                <w:color w:val="FF0000"/>
                <w:sz w:val="24"/>
                <w:highlight w:val="none"/>
              </w:rPr>
            </w:pPr>
            <w:r>
              <w:rPr>
                <w:rFonts w:hint="eastAsia" w:hAnsi="宋体" w:cs="宋体"/>
                <w:bCs/>
                <w:sz w:val="24"/>
                <w:highlight w:val="none"/>
              </w:rPr>
              <w:t>分类亭内及周围的垃圾分类、收集、垃圾亭清扫、消杀</w:t>
            </w:r>
          </w:p>
        </w:tc>
      </w:tr>
      <w:tr w14:paraId="149F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742" w:type="dxa"/>
            <w:vMerge w:val="restart"/>
            <w:noWrap w:val="0"/>
            <w:vAlign w:val="center"/>
          </w:tcPr>
          <w:p w14:paraId="54E2264C">
            <w:pPr>
              <w:jc w:val="center"/>
              <w:rPr>
                <w:rFonts w:hint="eastAsia" w:ascii="Calibri" w:hAnsi="宋体" w:eastAsia="宋体" w:cs="宋体"/>
                <w:bCs/>
                <w:sz w:val="24"/>
                <w:highlight w:val="none"/>
              </w:rPr>
            </w:pPr>
            <w:r>
              <w:rPr>
                <w:rFonts w:hint="eastAsia" w:ascii="Calibri" w:hAnsi="宋体" w:eastAsia="宋体" w:cs="宋体"/>
                <w:bCs/>
                <w:sz w:val="24"/>
                <w:highlight w:val="none"/>
              </w:rPr>
              <w:t>分类收运人员</w:t>
            </w:r>
          </w:p>
        </w:tc>
        <w:tc>
          <w:tcPr>
            <w:tcW w:w="2555" w:type="dxa"/>
            <w:noWrap w:val="0"/>
            <w:vAlign w:val="center"/>
          </w:tcPr>
          <w:p w14:paraId="02891D90">
            <w:pPr>
              <w:jc w:val="center"/>
              <w:rPr>
                <w:rFonts w:hint="eastAsia" w:ascii="Calibri" w:hAnsi="宋体" w:eastAsia="宋体" w:cs="宋体"/>
                <w:bCs/>
                <w:sz w:val="24"/>
                <w:highlight w:val="none"/>
              </w:rPr>
            </w:pPr>
            <w:r>
              <w:rPr>
                <w:rFonts w:hint="eastAsia" w:ascii="Calibri" w:hAnsi="宋体" w:eastAsia="宋体" w:cs="宋体"/>
                <w:bCs/>
                <w:sz w:val="24"/>
                <w:highlight w:val="none"/>
              </w:rPr>
              <w:t>厨余（易腐）垃圾</w:t>
            </w:r>
          </w:p>
        </w:tc>
        <w:tc>
          <w:tcPr>
            <w:tcW w:w="978" w:type="dxa"/>
            <w:noWrap w:val="0"/>
            <w:vAlign w:val="center"/>
          </w:tcPr>
          <w:p w14:paraId="0170700B">
            <w:pPr>
              <w:jc w:val="center"/>
              <w:rPr>
                <w:rFonts w:hint="eastAsia" w:ascii="Calibri" w:hAnsi="宋体" w:eastAsia="宋体" w:cs="宋体"/>
                <w:bCs/>
                <w:sz w:val="24"/>
                <w:highlight w:val="none"/>
              </w:rPr>
            </w:pPr>
            <w:r>
              <w:rPr>
                <w:rFonts w:hint="default" w:ascii="Calibri" w:hAnsi="宋体" w:eastAsia="宋体" w:cs="宋体"/>
                <w:bCs/>
                <w:sz w:val="24"/>
                <w:highlight w:val="none"/>
              </w:rPr>
              <w:t>1</w:t>
            </w:r>
            <w:r>
              <w:rPr>
                <w:rFonts w:hint="eastAsia" w:ascii="仿宋" w:hAnsi="仿宋" w:eastAsia="宋体" w:cs="仿宋"/>
                <w:color w:val="000000"/>
                <w:highlight w:val="none"/>
              </w:rPr>
              <w:t>人</w:t>
            </w:r>
          </w:p>
        </w:tc>
        <w:tc>
          <w:tcPr>
            <w:tcW w:w="3424" w:type="dxa"/>
            <w:vMerge w:val="restart"/>
            <w:noWrap w:val="0"/>
            <w:vAlign w:val="center"/>
          </w:tcPr>
          <w:p w14:paraId="50B22DB3">
            <w:pPr>
              <w:jc w:val="center"/>
              <w:rPr>
                <w:rFonts w:hint="eastAsia" w:ascii="Calibri" w:hAnsi="宋体" w:eastAsia="宋体" w:cs="宋体"/>
                <w:bCs/>
                <w:sz w:val="24"/>
                <w:highlight w:val="none"/>
              </w:rPr>
            </w:pPr>
            <w:r>
              <w:rPr>
                <w:rFonts w:hint="eastAsia" w:ascii="Calibri" w:hAnsi="宋体" w:eastAsia="宋体" w:cs="宋体"/>
                <w:bCs/>
                <w:color w:val="000000"/>
                <w:sz w:val="24"/>
                <w:highlight w:val="none"/>
              </w:rPr>
              <w:t>厨余（易腐）垃圾清运专职驾驶员1名，随车工</w:t>
            </w:r>
            <w:r>
              <w:rPr>
                <w:rFonts w:hint="default" w:ascii="Calibri" w:hAnsi="宋体" w:eastAsia="宋体" w:cs="宋体"/>
                <w:bCs/>
                <w:color w:val="000000"/>
                <w:sz w:val="24"/>
                <w:highlight w:val="none"/>
              </w:rPr>
              <w:t>1</w:t>
            </w:r>
            <w:r>
              <w:rPr>
                <w:rFonts w:hint="eastAsia" w:ascii="Calibri" w:hAnsi="宋体" w:eastAsia="宋体" w:cs="宋体"/>
                <w:bCs/>
                <w:color w:val="000000"/>
                <w:sz w:val="24"/>
                <w:highlight w:val="none"/>
              </w:rPr>
              <w:t>名</w:t>
            </w:r>
          </w:p>
        </w:tc>
      </w:tr>
      <w:tr w14:paraId="2B1B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742" w:type="dxa"/>
            <w:vMerge w:val="continue"/>
            <w:noWrap w:val="0"/>
            <w:vAlign w:val="center"/>
          </w:tcPr>
          <w:p w14:paraId="54734D56">
            <w:pPr>
              <w:jc w:val="center"/>
              <w:rPr>
                <w:rFonts w:hint="eastAsia" w:ascii="Calibri" w:hAnsi="宋体" w:eastAsia="宋体" w:cs="宋体"/>
                <w:bCs/>
                <w:sz w:val="24"/>
              </w:rPr>
            </w:pPr>
          </w:p>
        </w:tc>
        <w:tc>
          <w:tcPr>
            <w:tcW w:w="2555" w:type="dxa"/>
            <w:noWrap w:val="0"/>
            <w:vAlign w:val="center"/>
          </w:tcPr>
          <w:p w14:paraId="0B4AAF63">
            <w:pPr>
              <w:jc w:val="center"/>
              <w:rPr>
                <w:rFonts w:hint="eastAsia" w:ascii="Calibri" w:hAnsi="宋体" w:eastAsia="宋体" w:cs="宋体"/>
                <w:bCs/>
                <w:sz w:val="24"/>
                <w:highlight w:val="none"/>
              </w:rPr>
            </w:pPr>
            <w:r>
              <w:rPr>
                <w:rFonts w:hint="eastAsia" w:ascii="Calibri" w:hAnsi="宋体" w:eastAsia="宋体" w:cs="宋体"/>
                <w:bCs/>
                <w:sz w:val="24"/>
                <w:highlight w:val="none"/>
              </w:rPr>
              <w:t>厨余（易腐）垃圾清运随车工</w:t>
            </w:r>
          </w:p>
        </w:tc>
        <w:tc>
          <w:tcPr>
            <w:tcW w:w="978" w:type="dxa"/>
            <w:noWrap w:val="0"/>
            <w:vAlign w:val="center"/>
          </w:tcPr>
          <w:p w14:paraId="71675468">
            <w:pPr>
              <w:jc w:val="center"/>
              <w:rPr>
                <w:rFonts w:hint="eastAsia" w:ascii="Calibri" w:hAnsi="宋体" w:eastAsia="宋体" w:cs="宋体"/>
                <w:bCs/>
                <w:sz w:val="24"/>
                <w:highlight w:val="none"/>
              </w:rPr>
            </w:pPr>
            <w:r>
              <w:rPr>
                <w:rFonts w:hint="default" w:ascii="Calibri" w:hAnsi="宋体" w:eastAsia="宋体" w:cs="宋体"/>
                <w:bCs/>
                <w:sz w:val="24"/>
                <w:highlight w:val="none"/>
              </w:rPr>
              <w:t>1</w:t>
            </w:r>
            <w:r>
              <w:rPr>
                <w:rFonts w:hint="eastAsia" w:ascii="仿宋" w:hAnsi="仿宋" w:eastAsia="宋体" w:cs="仿宋"/>
                <w:color w:val="000000"/>
                <w:highlight w:val="none"/>
              </w:rPr>
              <w:t>人</w:t>
            </w:r>
          </w:p>
        </w:tc>
        <w:tc>
          <w:tcPr>
            <w:tcW w:w="3424" w:type="dxa"/>
            <w:vMerge w:val="continue"/>
            <w:noWrap w:val="0"/>
            <w:vAlign w:val="center"/>
          </w:tcPr>
          <w:p w14:paraId="3AE6876E">
            <w:pPr>
              <w:jc w:val="center"/>
              <w:rPr>
                <w:rFonts w:hint="eastAsia" w:ascii="Calibri" w:hAnsi="宋体" w:eastAsia="宋体" w:cs="宋体"/>
                <w:bCs/>
                <w:sz w:val="24"/>
              </w:rPr>
            </w:pPr>
          </w:p>
        </w:tc>
      </w:tr>
      <w:tr w14:paraId="37C9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742" w:type="dxa"/>
            <w:noWrap w:val="0"/>
            <w:vAlign w:val="center"/>
          </w:tcPr>
          <w:p w14:paraId="11555627">
            <w:pPr>
              <w:jc w:val="center"/>
              <w:rPr>
                <w:rFonts w:hint="eastAsia" w:ascii="Calibri" w:hAnsi="宋体" w:eastAsia="宋体" w:cs="宋体"/>
                <w:bCs/>
                <w:sz w:val="24"/>
                <w:highlight w:val="none"/>
              </w:rPr>
            </w:pPr>
            <w:r>
              <w:rPr>
                <w:rFonts w:hint="eastAsia" w:ascii="Calibri" w:hAnsi="宋体" w:eastAsia="宋体" w:cs="宋体"/>
                <w:bCs/>
                <w:sz w:val="24"/>
                <w:highlight w:val="none"/>
              </w:rPr>
              <w:t>项目管理人员</w:t>
            </w:r>
          </w:p>
        </w:tc>
        <w:tc>
          <w:tcPr>
            <w:tcW w:w="2555" w:type="dxa"/>
            <w:noWrap w:val="0"/>
            <w:vAlign w:val="center"/>
          </w:tcPr>
          <w:p w14:paraId="541AAC15">
            <w:pPr>
              <w:jc w:val="center"/>
              <w:rPr>
                <w:rFonts w:hint="eastAsia" w:ascii="Calibri" w:hAnsi="宋体" w:eastAsia="宋体" w:cs="宋体"/>
                <w:bCs/>
                <w:sz w:val="24"/>
                <w:highlight w:val="none"/>
              </w:rPr>
            </w:pPr>
            <w:r>
              <w:rPr>
                <w:rFonts w:hint="eastAsia" w:ascii="Calibri" w:hAnsi="宋体" w:eastAsia="宋体" w:cs="宋体"/>
                <w:bCs/>
                <w:sz w:val="24"/>
                <w:highlight w:val="none"/>
              </w:rPr>
              <w:t>项目经理</w:t>
            </w:r>
          </w:p>
        </w:tc>
        <w:tc>
          <w:tcPr>
            <w:tcW w:w="978" w:type="dxa"/>
            <w:noWrap w:val="0"/>
            <w:vAlign w:val="center"/>
          </w:tcPr>
          <w:p w14:paraId="605EEE7E">
            <w:pPr>
              <w:jc w:val="center"/>
              <w:rPr>
                <w:rFonts w:hint="eastAsia" w:ascii="Calibri" w:hAnsi="宋体" w:eastAsia="宋体" w:cs="宋体"/>
                <w:bCs/>
                <w:sz w:val="24"/>
                <w:highlight w:val="none"/>
              </w:rPr>
            </w:pPr>
            <w:r>
              <w:rPr>
                <w:rFonts w:hint="eastAsia" w:ascii="Calibri" w:hAnsi="宋体" w:eastAsia="宋体" w:cs="宋体"/>
                <w:bCs/>
                <w:sz w:val="24"/>
                <w:highlight w:val="none"/>
              </w:rPr>
              <w:t>1</w:t>
            </w:r>
            <w:r>
              <w:rPr>
                <w:rFonts w:hint="eastAsia" w:ascii="仿宋" w:hAnsi="仿宋" w:eastAsia="宋体" w:cs="仿宋"/>
                <w:color w:val="000000"/>
                <w:highlight w:val="none"/>
              </w:rPr>
              <w:t>人</w:t>
            </w:r>
          </w:p>
        </w:tc>
        <w:tc>
          <w:tcPr>
            <w:tcW w:w="3424" w:type="dxa"/>
            <w:noWrap w:val="0"/>
            <w:vAlign w:val="center"/>
          </w:tcPr>
          <w:p w14:paraId="31016B69">
            <w:pPr>
              <w:jc w:val="center"/>
              <w:rPr>
                <w:rFonts w:hint="eastAsia" w:ascii="Calibri" w:hAnsi="宋体" w:eastAsia="宋体" w:cs="宋体"/>
                <w:bCs/>
                <w:sz w:val="24"/>
                <w:highlight w:val="none"/>
              </w:rPr>
            </w:pPr>
            <w:r>
              <w:rPr>
                <w:rFonts w:hint="eastAsia" w:ascii="Calibri" w:hAnsi="宋体" w:eastAsia="宋体" w:cs="宋体"/>
                <w:bCs/>
                <w:sz w:val="24"/>
                <w:highlight w:val="none"/>
              </w:rPr>
              <w:t>对项目进行管理，对各级主管部门汇报及沟通，建立垃圾分类台账。</w:t>
            </w:r>
            <w:r>
              <w:rPr>
                <w:rFonts w:hint="eastAsia" w:ascii="Calibri" w:hAnsi="宋体" w:eastAsia="宋体" w:cs="宋体"/>
                <w:bCs/>
                <w:color w:val="000000"/>
                <w:sz w:val="24"/>
                <w:highlight w:val="none"/>
              </w:rPr>
              <w:t>甲方有权随时对乙方派驻项目的人员进行监督、考核，并有权要求乙方更换不合格或不适任人员，乙方应无条件配合并在甲方要求的期限内完成人员调整。</w:t>
            </w:r>
          </w:p>
        </w:tc>
      </w:tr>
    </w:tbl>
    <w:p w14:paraId="721810BB">
      <w:pPr>
        <w:pStyle w:val="515"/>
        <w:spacing w:line="360" w:lineRule="auto"/>
        <w:ind w:firstLine="516"/>
        <w:rPr>
          <w:rFonts w:hint="eastAsia"/>
          <w:highlight w:val="none"/>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说明：响应文件中提供“中标后运营服务人员配备”的承诺文件，否则按照无效投标处理。</w:t>
      </w:r>
    </w:p>
    <w:p w14:paraId="7344DCA3">
      <w:pPr>
        <w:pStyle w:val="515"/>
        <w:spacing w:before="156" w:line="360" w:lineRule="auto"/>
        <w:ind w:firstLine="482"/>
        <w:rPr>
          <w:rFonts w:hAnsi="宋体" w:cs="宋体"/>
          <w:bCs/>
          <w:sz w:val="24"/>
          <w:szCs w:val="24"/>
          <w:highlight w:val="none"/>
        </w:rPr>
      </w:pPr>
      <w:r>
        <w:rPr>
          <w:rFonts w:hint="eastAsia" w:asciiTheme="minorEastAsia" w:hAnsiTheme="minorEastAsia" w:eastAsiaTheme="minorEastAsia" w:cstheme="minorEastAsia"/>
          <w:b/>
          <w:sz w:val="24"/>
          <w:szCs w:val="24"/>
          <w:highlight w:val="none"/>
        </w:rPr>
        <w:t>2.</w:t>
      </w:r>
      <w:r>
        <w:rPr>
          <w:rFonts w:asciiTheme="minorEastAsia" w:hAnsiTheme="minorEastAsia" w:eastAsiaTheme="minorEastAsia" w:cstheme="minorEastAsia"/>
          <w:b/>
          <w:sz w:val="24"/>
          <w:szCs w:val="24"/>
          <w:highlight w:val="none"/>
        </w:rPr>
        <w:t>6</w:t>
      </w:r>
      <w:r>
        <w:rPr>
          <w:rFonts w:hint="eastAsia" w:asciiTheme="minorEastAsia" w:hAnsiTheme="minorEastAsia" w:eastAsiaTheme="minorEastAsia" w:cstheme="minorEastAsia"/>
          <w:b/>
          <w:sz w:val="24"/>
          <w:szCs w:val="24"/>
          <w:highlight w:val="none"/>
        </w:rPr>
        <w:t>分类运营服务台账管理</w:t>
      </w:r>
    </w:p>
    <w:p w14:paraId="17946395">
      <w:pPr>
        <w:widowControl w:val="0"/>
        <w:spacing w:before="156" w:line="360" w:lineRule="auto"/>
        <w:ind w:firstLine="480"/>
        <w:jc w:val="both"/>
        <w:rPr>
          <w:rFonts w:hint="eastAsia" w:ascii="Calibri" w:hAnsi="宋体" w:eastAsia="宋体" w:cs="宋体"/>
          <w:bCs/>
          <w:sz w:val="24"/>
          <w:szCs w:val="24"/>
          <w:highlight w:val="none"/>
        </w:rPr>
      </w:pPr>
      <w:r>
        <w:rPr>
          <w:rFonts w:hint="eastAsia" w:ascii="宋体" w:hAnsi="宋体" w:eastAsia="宋体" w:cs="宋体"/>
          <w:bCs/>
          <w:sz w:val="24"/>
          <w:szCs w:val="24"/>
          <w:highlight w:val="none"/>
          <w:lang w:val="en-US" w:eastAsia="zh-CN" w:bidi="ar-SA"/>
        </w:rPr>
        <w:t>服务范围内运营作业资料按每村做好台账，包含村各收收集的桶数、分类垃圾亭清扫、消杀人员照片，清运车辆清运次数台账、清运人员花名册、清运人员照片。</w:t>
      </w:r>
    </w:p>
    <w:p w14:paraId="1C70FABB">
      <w:pPr>
        <w:widowControl w:val="0"/>
        <w:spacing w:before="156" w:line="360" w:lineRule="auto"/>
        <w:ind w:firstLine="48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bidi="ar-SA"/>
        </w:rPr>
        <w:t>配备专职档案管理人员，负责各类档案的收集、分类、整理、编目、排序、保管。对各档案进行统一管理。运营企业人员不经同意不准将文件、材料、带出公司外的任何地方。运营企业内部人员查看文件、资料必须经过公司同意，无关人员不得查看。</w:t>
      </w:r>
    </w:p>
    <w:p w14:paraId="4C94001D">
      <w:pPr>
        <w:widowControl w:val="0"/>
        <w:spacing w:before="156" w:line="360" w:lineRule="auto"/>
        <w:ind w:firstLine="48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甲方有权随时查验、复制、留存乙方运营服务台账及相关资料。若发现台账不合规、虚假或拒绝配合查验，甲方有权直接扣减服务费用或解除合同，乙方应承担由此产生的全部责任。</w:t>
      </w:r>
    </w:p>
    <w:p w14:paraId="4EBFAE0F">
      <w:pPr>
        <w:widowControl w:val="0"/>
        <w:spacing w:line="360" w:lineRule="auto"/>
        <w:ind w:firstLine="482"/>
        <w:jc w:val="both"/>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val="en-US" w:eastAsia="zh-CN" w:bidi="ar-SA"/>
        </w:rPr>
        <w:t>2.7作业范围内的重大活动保障等应急任务；</w:t>
      </w:r>
    </w:p>
    <w:p w14:paraId="77635043">
      <w:pPr>
        <w:widowControl w:val="0"/>
        <w:spacing w:line="360" w:lineRule="auto"/>
        <w:ind w:firstLine="482"/>
        <w:jc w:val="both"/>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val="en-US" w:eastAsia="zh-CN" w:bidi="ar-SA"/>
        </w:rPr>
        <w:t>2.8责任范围内人员、设备等疫情防控工作；</w:t>
      </w:r>
    </w:p>
    <w:p w14:paraId="472D27DF">
      <w:pPr>
        <w:widowControl w:val="0"/>
        <w:spacing w:line="360" w:lineRule="auto"/>
        <w:ind w:firstLine="482"/>
        <w:jc w:val="both"/>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lang w:val="en-US" w:eastAsia="zh-CN" w:bidi="ar-SA"/>
        </w:rPr>
        <w:t>2.9市、区、镇交办的临时性任务等</w:t>
      </w:r>
      <w:r>
        <w:rPr>
          <w:rFonts w:hint="eastAsia" w:ascii="宋体" w:hAnsi="宋体" w:eastAsia="宋体" w:cs="宋体"/>
          <w:bCs/>
          <w:sz w:val="24"/>
          <w:szCs w:val="24"/>
          <w:highlight w:val="none"/>
          <w:lang w:val="en-US" w:eastAsia="zh-CN" w:bidi="ar-SA"/>
        </w:rPr>
        <w:t>。</w:t>
      </w:r>
    </w:p>
    <w:p w14:paraId="28C9BACD">
      <w:pPr>
        <w:numPr>
          <w:ilvl w:val="0"/>
          <w:numId w:val="7"/>
        </w:numPr>
        <w:spacing w:line="360" w:lineRule="auto"/>
        <w:ind w:firstLine="480"/>
        <w:rPr>
          <w:rFonts w:hint="eastAsia" w:ascii="宋体" w:hAnsi="宋体" w:eastAsia="宋体" w:cs="宋体"/>
          <w:b/>
          <w:bCs w:val="0"/>
          <w:sz w:val="24"/>
          <w:highlight w:val="none"/>
        </w:rPr>
      </w:pPr>
      <w:r>
        <w:rPr>
          <w:rFonts w:hint="eastAsia" w:ascii="宋体" w:hAnsi="宋体" w:eastAsia="宋体" w:cs="宋体"/>
          <w:b/>
          <w:bCs w:val="0"/>
          <w:sz w:val="24"/>
          <w:highlight w:val="none"/>
        </w:rPr>
        <w:t>作业规范、标准及要求：</w:t>
      </w:r>
    </w:p>
    <w:p w14:paraId="7800C77E">
      <w:pPr>
        <w:numPr>
          <w:ilvl w:val="0"/>
          <w:numId w:val="0"/>
        </w:numPr>
        <w:spacing w:line="360" w:lineRule="auto"/>
        <w:ind w:firstLine="480"/>
        <w:rPr>
          <w:rFonts w:hAnsi="宋体" w:cs="宋体"/>
          <w:bCs/>
          <w:sz w:val="24"/>
          <w:szCs w:val="24"/>
          <w:highlight w:val="none"/>
        </w:rPr>
      </w:pPr>
      <w:r>
        <w:rPr>
          <w:rFonts w:hint="eastAsia" w:ascii="宋体" w:hAnsi="宋体" w:eastAsia="宋体" w:cs="宋体"/>
          <w:sz w:val="24"/>
          <w:highlight w:val="none"/>
        </w:rPr>
        <w:t>作业规范符合但不限于《江苏省城市环境卫生作业服务质量标准》、《生活垃圾分类标志》（GB/T 19095-2019）、《生活垃圾分类投放操作规程》（T/HW 00001-2018）、《生活垃圾收集运输作业规程》（T/HW 00003-2019）、《生活垃极收集运输质量标准》（T/HW 00004-2019）、《垃圾清运工职业技能标准》（T/HW 00005-2019）、《分类收运车辆/容器技术要求》（T/HW 00012-2020）等现行有关法律法规、规章和规范性文件，以及相关的作业标准、规范。乙方应根据合同要求制定工作人员作业时间表，工作人员培训计划，设施设备的维护方案，台账管理方案，报</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备案。</w:t>
      </w:r>
    </w:p>
    <w:p w14:paraId="05CF5F43">
      <w:pPr>
        <w:pStyle w:val="515"/>
        <w:spacing w:line="360" w:lineRule="auto"/>
        <w:ind w:left="0" w:firstLine="482"/>
        <w:rPr>
          <w:rFonts w:hAnsi="宋体" w:cs="宋体"/>
          <w:bCs/>
          <w:sz w:val="24"/>
          <w:szCs w:val="24"/>
          <w:highlight w:val="none"/>
        </w:rPr>
      </w:pPr>
      <w:r>
        <w:rPr>
          <w:rFonts w:hint="eastAsia" w:asciiTheme="minorEastAsia" w:hAnsiTheme="minorEastAsia" w:eastAsiaTheme="minorEastAsia" w:cstheme="minorEastAsia"/>
          <w:b/>
          <w:bCs w:val="0"/>
          <w:sz w:val="24"/>
          <w:szCs w:val="24"/>
          <w:highlight w:val="none"/>
          <w:lang w:val="en-US" w:eastAsia="zh-CN"/>
        </w:rPr>
        <w:t>六、</w:t>
      </w:r>
      <w:r>
        <w:rPr>
          <w:rFonts w:hint="eastAsia" w:asciiTheme="minorEastAsia" w:hAnsiTheme="minorEastAsia" w:eastAsiaTheme="minorEastAsia" w:cstheme="minorEastAsia"/>
          <w:b/>
          <w:bCs w:val="0"/>
          <w:sz w:val="24"/>
          <w:szCs w:val="24"/>
          <w:highlight w:val="none"/>
        </w:rPr>
        <w:t>其他要求：</w:t>
      </w:r>
      <w:r>
        <w:rPr>
          <w:rFonts w:hint="eastAsia" w:asciiTheme="minorEastAsia" w:hAnsiTheme="minorEastAsia" w:eastAsiaTheme="minorEastAsia" w:cstheme="minorEastAsia"/>
          <w:bCs/>
          <w:sz w:val="24"/>
          <w:szCs w:val="24"/>
          <w:highlight w:val="none"/>
        </w:rPr>
        <w:t>详见</w:t>
      </w:r>
      <w:r>
        <w:rPr>
          <w:rFonts w:hint="eastAsia" w:asciiTheme="minorEastAsia" w:hAnsiTheme="minorEastAsia" w:eastAsiaTheme="minorEastAsia" w:cstheme="minorEastAsia"/>
          <w:bCs/>
          <w:sz w:val="24"/>
          <w:szCs w:val="24"/>
          <w:highlight w:val="none"/>
          <w:lang w:val="en-US" w:eastAsia="zh-CN"/>
        </w:rPr>
        <w:t>竞争性磋商文件</w:t>
      </w:r>
      <w:r>
        <w:rPr>
          <w:rFonts w:hint="eastAsia" w:asciiTheme="minorEastAsia" w:hAnsiTheme="minorEastAsia" w:eastAsiaTheme="minorEastAsia" w:cstheme="minorEastAsia"/>
          <w:bCs/>
          <w:sz w:val="24"/>
          <w:szCs w:val="24"/>
          <w:highlight w:val="none"/>
        </w:rPr>
        <w:t>《拟签订的合同文本》。</w:t>
      </w:r>
    </w:p>
    <w:p w14:paraId="639C6955">
      <w:pPr>
        <w:pStyle w:val="515"/>
        <w:spacing w:line="360" w:lineRule="auto"/>
        <w:ind w:firstLine="480"/>
        <w:rPr>
          <w:rFonts w:hAnsi="宋体" w:cs="宋体"/>
          <w:bCs/>
          <w:sz w:val="24"/>
          <w:szCs w:val="24"/>
          <w:highlight w:val="none"/>
        </w:rPr>
      </w:pPr>
    </w:p>
    <w:p w14:paraId="216F5253">
      <w:pPr>
        <w:pStyle w:val="515"/>
        <w:spacing w:line="360" w:lineRule="auto"/>
        <w:ind w:firstLine="480"/>
        <w:rPr>
          <w:rFonts w:hAnsi="宋体" w:cs="宋体"/>
          <w:bCs/>
          <w:sz w:val="24"/>
          <w:szCs w:val="24"/>
          <w:highlight w:val="none"/>
        </w:rPr>
      </w:pPr>
    </w:p>
    <w:p w14:paraId="676EFB30">
      <w:pPr>
        <w:pStyle w:val="515"/>
        <w:spacing w:line="360" w:lineRule="auto"/>
        <w:ind w:firstLine="480"/>
        <w:rPr>
          <w:rFonts w:hAnsi="宋体" w:cs="宋体"/>
          <w:bCs/>
          <w:sz w:val="24"/>
          <w:szCs w:val="24"/>
          <w:highlight w:val="none"/>
        </w:rPr>
      </w:pPr>
    </w:p>
    <w:p w14:paraId="0F067DDD">
      <w:pPr>
        <w:pStyle w:val="515"/>
        <w:spacing w:line="360" w:lineRule="auto"/>
        <w:ind w:firstLine="480"/>
        <w:rPr>
          <w:rFonts w:hAnsi="宋体" w:cs="宋体"/>
          <w:bCs/>
          <w:sz w:val="24"/>
          <w:szCs w:val="24"/>
          <w:highlight w:val="none"/>
        </w:rPr>
      </w:pPr>
    </w:p>
    <w:p w14:paraId="55EB7616">
      <w:pPr>
        <w:pStyle w:val="515"/>
        <w:spacing w:line="360" w:lineRule="auto"/>
        <w:ind w:firstLine="480"/>
        <w:rPr>
          <w:rFonts w:hAnsi="宋体" w:cs="宋体"/>
          <w:bCs/>
          <w:sz w:val="24"/>
          <w:szCs w:val="24"/>
          <w:highlight w:val="none"/>
        </w:rPr>
      </w:pPr>
    </w:p>
    <w:p w14:paraId="03662C6D">
      <w:pPr>
        <w:pStyle w:val="515"/>
        <w:spacing w:line="360" w:lineRule="auto"/>
        <w:ind w:firstLine="480"/>
        <w:rPr>
          <w:rFonts w:hAnsi="宋体" w:cs="宋体"/>
          <w:bCs/>
          <w:sz w:val="24"/>
          <w:szCs w:val="24"/>
          <w:highlight w:val="none"/>
        </w:rPr>
      </w:pPr>
    </w:p>
    <w:p w14:paraId="19FD5EC8">
      <w:pPr>
        <w:pStyle w:val="515"/>
        <w:spacing w:line="360" w:lineRule="auto"/>
        <w:ind w:firstLine="480"/>
        <w:rPr>
          <w:rFonts w:hAnsi="宋体" w:cs="宋体"/>
          <w:bCs/>
          <w:sz w:val="24"/>
          <w:szCs w:val="24"/>
          <w:highlight w:val="none"/>
        </w:rPr>
      </w:pPr>
    </w:p>
    <w:p w14:paraId="2E69A8A2">
      <w:pPr>
        <w:pStyle w:val="515"/>
        <w:spacing w:line="360" w:lineRule="auto"/>
        <w:ind w:firstLine="480"/>
        <w:rPr>
          <w:rFonts w:hAnsi="宋体" w:cs="宋体"/>
          <w:bCs/>
          <w:sz w:val="24"/>
          <w:szCs w:val="24"/>
          <w:highlight w:val="none"/>
        </w:rPr>
      </w:pPr>
    </w:p>
    <w:p w14:paraId="1004194B">
      <w:pPr>
        <w:rPr>
          <w:rFonts w:hint="eastAsia" w:asciiTheme="minorEastAsia" w:hAnsiTheme="minorEastAsia" w:eastAsiaTheme="minorEastAsia" w:cstheme="minorEastAsia"/>
          <w:bCs/>
          <w:sz w:val="32"/>
          <w:szCs w:val="32"/>
          <w:highlight w:val="none"/>
        </w:rPr>
      </w:pPr>
    </w:p>
    <w:p w14:paraId="1A7C9492">
      <w:pPr>
        <w:rPr>
          <w:rFonts w:hint="eastAsia" w:asciiTheme="minorEastAsia" w:hAnsiTheme="minorEastAsia" w:eastAsiaTheme="minorEastAsia" w:cstheme="minorEastAsia"/>
          <w:bCs/>
          <w:sz w:val="32"/>
          <w:szCs w:val="32"/>
          <w:highlight w:val="none"/>
        </w:rPr>
      </w:pPr>
    </w:p>
    <w:p w14:paraId="79A350BE">
      <w:pPr>
        <w:rPr>
          <w:rFonts w:hint="eastAsia" w:asciiTheme="minorEastAsia" w:hAnsiTheme="minorEastAsia" w:eastAsiaTheme="minorEastAsia" w:cstheme="minorEastAsia"/>
          <w:bCs/>
          <w:sz w:val="32"/>
          <w:szCs w:val="32"/>
          <w:highlight w:val="none"/>
        </w:rPr>
      </w:pPr>
    </w:p>
    <w:p w14:paraId="688C7589">
      <w:pPr>
        <w:rPr>
          <w:rFonts w:hint="eastAsia" w:asciiTheme="minorEastAsia" w:hAnsiTheme="minorEastAsia" w:eastAsiaTheme="minorEastAsia" w:cstheme="minorEastAsia"/>
          <w:bCs/>
          <w:sz w:val="32"/>
          <w:szCs w:val="32"/>
          <w:highlight w:val="none"/>
        </w:rPr>
      </w:pPr>
    </w:p>
    <w:p w14:paraId="2EF269D5">
      <w:pPr>
        <w:rPr>
          <w:rFonts w:hint="eastAsia" w:asciiTheme="minorEastAsia" w:hAnsiTheme="minorEastAsia" w:eastAsiaTheme="minorEastAsia" w:cstheme="minorEastAsia"/>
          <w:bCs/>
          <w:sz w:val="32"/>
          <w:szCs w:val="32"/>
          <w:highlight w:val="none"/>
        </w:rPr>
      </w:pPr>
    </w:p>
    <w:p w14:paraId="07E8D245">
      <w:pPr>
        <w:rPr>
          <w:rFonts w:hint="eastAsia" w:asciiTheme="minorEastAsia" w:hAnsiTheme="minorEastAsia" w:eastAsiaTheme="minorEastAsia" w:cstheme="minorEastAsia"/>
          <w:bCs/>
          <w:sz w:val="32"/>
          <w:szCs w:val="32"/>
          <w:highlight w:val="none"/>
        </w:rPr>
      </w:pPr>
    </w:p>
    <w:p w14:paraId="63122054">
      <w:pPr>
        <w:rPr>
          <w:rFonts w:hint="eastAsia" w:asciiTheme="minorEastAsia" w:hAnsiTheme="minorEastAsia" w:eastAsiaTheme="minorEastAsia" w:cstheme="minorEastAsia"/>
          <w:bCs/>
          <w:sz w:val="32"/>
          <w:szCs w:val="32"/>
          <w:highlight w:val="none"/>
        </w:rPr>
      </w:pPr>
    </w:p>
    <w:p w14:paraId="5B902AF0">
      <w:pPr>
        <w:rPr>
          <w:rFonts w:hint="eastAsia" w:asciiTheme="minorEastAsia" w:hAnsiTheme="minorEastAsia" w:eastAsiaTheme="minorEastAsia" w:cstheme="minorEastAsia"/>
          <w:bCs/>
          <w:sz w:val="32"/>
          <w:szCs w:val="32"/>
          <w:highlight w:val="none"/>
        </w:rPr>
      </w:pPr>
    </w:p>
    <w:p w14:paraId="06232767">
      <w:pPr>
        <w:rPr>
          <w:rFonts w:hint="eastAsia" w:asciiTheme="minorEastAsia" w:hAnsiTheme="minorEastAsia" w:eastAsiaTheme="minorEastAsia" w:cstheme="minorEastAsia"/>
          <w:bCs/>
          <w:sz w:val="32"/>
          <w:szCs w:val="32"/>
          <w:highlight w:val="none"/>
        </w:rPr>
      </w:pPr>
    </w:p>
    <w:p w14:paraId="6A0F68CD">
      <w:pPr>
        <w:rPr>
          <w:rFonts w:hint="eastAsia" w:asciiTheme="minorEastAsia" w:hAnsiTheme="minorEastAsia" w:eastAsiaTheme="minorEastAsia" w:cstheme="minorEastAsia"/>
          <w:bCs/>
          <w:sz w:val="32"/>
          <w:szCs w:val="32"/>
          <w:highlight w:val="none"/>
        </w:rPr>
      </w:pPr>
    </w:p>
    <w:p w14:paraId="626433DA">
      <w:pPr>
        <w:rPr>
          <w:rFonts w:hint="eastAsia" w:asciiTheme="minorEastAsia" w:hAnsiTheme="minorEastAsia" w:eastAsiaTheme="minorEastAsia" w:cstheme="minorEastAsia"/>
          <w:bCs/>
          <w:sz w:val="32"/>
          <w:szCs w:val="32"/>
          <w:highlight w:val="none"/>
        </w:rPr>
      </w:pPr>
    </w:p>
    <w:p w14:paraId="3E70053C">
      <w:pPr>
        <w:rPr>
          <w:rFonts w:hint="eastAsia" w:asciiTheme="minorEastAsia" w:hAnsiTheme="minorEastAsia" w:eastAsiaTheme="minorEastAsia" w:cstheme="minorEastAsia"/>
          <w:bCs/>
          <w:sz w:val="32"/>
          <w:szCs w:val="32"/>
          <w:highlight w:val="none"/>
        </w:rPr>
      </w:pPr>
    </w:p>
    <w:p w14:paraId="0FBCE76A">
      <w:pPr>
        <w:rPr>
          <w:rFonts w:hint="eastAsia" w:asciiTheme="minorEastAsia" w:hAnsiTheme="minorEastAsia" w:eastAsiaTheme="minorEastAsia" w:cstheme="minorEastAsia"/>
          <w:bCs/>
          <w:sz w:val="32"/>
          <w:szCs w:val="32"/>
          <w:highlight w:val="none"/>
        </w:rPr>
      </w:pPr>
    </w:p>
    <w:p w14:paraId="32ACCB6A">
      <w:pPr>
        <w:rPr>
          <w:rFonts w:hint="eastAsia" w:asciiTheme="minorEastAsia" w:hAnsiTheme="minorEastAsia" w:eastAsiaTheme="minorEastAsia" w:cstheme="minorEastAsia"/>
          <w:bCs/>
          <w:sz w:val="32"/>
          <w:szCs w:val="32"/>
          <w:highlight w:val="none"/>
        </w:rPr>
      </w:pPr>
    </w:p>
    <w:p w14:paraId="70C96F74">
      <w:pPr>
        <w:rPr>
          <w:rFonts w:hint="eastAsia" w:asciiTheme="minorEastAsia" w:hAnsiTheme="minorEastAsia" w:eastAsiaTheme="minorEastAsia" w:cstheme="minorEastAsia"/>
          <w:bCs/>
          <w:sz w:val="32"/>
          <w:szCs w:val="32"/>
          <w:highlight w:val="none"/>
        </w:rPr>
      </w:pPr>
    </w:p>
    <w:p w14:paraId="37DE4D90">
      <w:pPr>
        <w:rPr>
          <w:rFonts w:hint="eastAsia" w:asciiTheme="minorEastAsia" w:hAnsiTheme="minorEastAsia" w:eastAsiaTheme="minorEastAsia" w:cstheme="minorEastAsia"/>
          <w:bCs/>
          <w:sz w:val="32"/>
          <w:szCs w:val="32"/>
          <w:highlight w:val="none"/>
        </w:rPr>
      </w:pPr>
    </w:p>
    <w:p w14:paraId="0FCC66D3">
      <w:pPr>
        <w:rPr>
          <w:rFonts w:hint="eastAsia" w:asciiTheme="minorEastAsia" w:hAnsiTheme="minorEastAsia" w:eastAsiaTheme="minorEastAsia" w:cstheme="minorEastAsia"/>
          <w:bCs/>
          <w:sz w:val="32"/>
          <w:szCs w:val="32"/>
          <w:highlight w:val="none"/>
        </w:rPr>
      </w:pPr>
    </w:p>
    <w:p w14:paraId="7104AC32">
      <w:pPr>
        <w:rPr>
          <w:rFonts w:hint="eastAsia" w:asciiTheme="minorEastAsia" w:hAnsiTheme="minorEastAsia" w:eastAsiaTheme="minorEastAsia" w:cstheme="minorEastAsia"/>
          <w:bCs/>
          <w:sz w:val="32"/>
          <w:szCs w:val="32"/>
          <w:highlight w:val="none"/>
        </w:rPr>
      </w:pPr>
    </w:p>
    <w:p w14:paraId="1844B0EB">
      <w:pPr>
        <w:rPr>
          <w:rFonts w:hint="eastAsia" w:asciiTheme="minorEastAsia" w:hAnsiTheme="minorEastAsia" w:eastAsiaTheme="minorEastAsia" w:cstheme="minorEastAsia"/>
          <w:bCs/>
          <w:sz w:val="32"/>
          <w:szCs w:val="32"/>
          <w:highlight w:val="none"/>
        </w:rPr>
      </w:pPr>
    </w:p>
    <w:p w14:paraId="2ADCD862">
      <w:pPr>
        <w:rPr>
          <w:rFonts w:hint="eastAsia" w:asciiTheme="minorEastAsia" w:hAnsiTheme="minorEastAsia" w:eastAsiaTheme="minorEastAsia" w:cstheme="minorEastAsia"/>
          <w:bCs/>
          <w:sz w:val="32"/>
          <w:szCs w:val="32"/>
          <w:highlight w:val="none"/>
        </w:rPr>
      </w:pPr>
    </w:p>
    <w:p w14:paraId="1AADDEA8">
      <w:pPr>
        <w:rPr>
          <w:rFonts w:ascii="宋体" w:hAnsi="宋体" w:cs="宋体"/>
          <w:bCs/>
          <w:sz w:val="32"/>
          <w:szCs w:val="32"/>
          <w:highlight w:val="none"/>
        </w:rPr>
      </w:pPr>
      <w:r>
        <w:rPr>
          <w:rFonts w:hint="eastAsia" w:asciiTheme="minorEastAsia" w:hAnsiTheme="minorEastAsia" w:eastAsiaTheme="minorEastAsia" w:cstheme="minorEastAsia"/>
          <w:bCs/>
          <w:sz w:val="32"/>
          <w:szCs w:val="32"/>
          <w:highlight w:val="none"/>
        </w:rPr>
        <w:t>附件一</w:t>
      </w:r>
    </w:p>
    <w:p w14:paraId="7DF640D7">
      <w:pPr>
        <w:jc w:val="center"/>
        <w:rPr>
          <w:rFonts w:hint="eastAsia" w:ascii="宋体" w:hAnsi="宋体" w:eastAsia="宋体" w:cs="宋体"/>
          <w:b/>
          <w:bCs/>
          <w:highlight w:val="none"/>
        </w:rPr>
      </w:pPr>
      <w:r>
        <w:rPr>
          <w:rFonts w:hint="eastAsia" w:ascii="宋体" w:hAnsi="宋体" w:eastAsia="宋体" w:cs="宋体"/>
          <w:b/>
          <w:bCs/>
          <w:sz w:val="32"/>
          <w:szCs w:val="32"/>
          <w:highlight w:val="none"/>
          <w:lang w:bidi="ar"/>
        </w:rPr>
        <w:t>附件：大彭镇农村生活垃圾分类工作考核评分细则</w:t>
      </w:r>
    </w:p>
    <w:tbl>
      <w:tblPr>
        <w:tblStyle w:val="51"/>
        <w:tblW w:w="9373" w:type="dxa"/>
        <w:jc w:val="center"/>
        <w:tblLayout w:type="autofit"/>
        <w:tblCellMar>
          <w:top w:w="15" w:type="dxa"/>
          <w:left w:w="15" w:type="dxa"/>
          <w:bottom w:w="15" w:type="dxa"/>
          <w:right w:w="15" w:type="dxa"/>
        </w:tblCellMar>
      </w:tblPr>
      <w:tblGrid>
        <w:gridCol w:w="1434"/>
        <w:gridCol w:w="4148"/>
        <w:gridCol w:w="832"/>
        <w:gridCol w:w="2959"/>
      </w:tblGrid>
      <w:tr w14:paraId="46544DFD">
        <w:tblPrEx>
          <w:tblCellMar>
            <w:top w:w="15" w:type="dxa"/>
            <w:left w:w="15" w:type="dxa"/>
            <w:bottom w:w="15" w:type="dxa"/>
            <w:right w:w="15" w:type="dxa"/>
          </w:tblCellMar>
        </w:tblPrEx>
        <w:trPr>
          <w:trHeight w:val="524" w:hRule="atLeast"/>
          <w:jc w:val="center"/>
        </w:trPr>
        <w:tc>
          <w:tcPr>
            <w:tcW w:w="1434" w:type="dxa"/>
            <w:tcBorders>
              <w:top w:val="single" w:color="000000" w:sz="4" w:space="0"/>
              <w:left w:val="single" w:color="000000" w:sz="4" w:space="0"/>
              <w:bottom w:val="single" w:color="000000" w:sz="4" w:space="0"/>
              <w:right w:val="single" w:color="000000" w:sz="4" w:space="0"/>
            </w:tcBorders>
            <w:noWrap w:val="0"/>
            <w:vAlign w:val="center"/>
          </w:tcPr>
          <w:p w14:paraId="48766A13">
            <w:pPr>
              <w:widowControl/>
              <w:pBdr>
                <w:top w:val="none" w:color="auto" w:sz="0" w:space="1"/>
                <w:left w:val="none" w:color="auto" w:sz="0" w:space="4"/>
                <w:bottom w:val="none" w:color="auto" w:sz="0" w:space="1"/>
                <w:right w:val="none" w:color="auto" w:sz="0" w:space="4"/>
              </w:pBdr>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lang w:bidi="ar"/>
              </w:rPr>
              <w:t>考核项目</w:t>
            </w: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7E86492E">
            <w:pPr>
              <w:widowControl/>
              <w:pBdr>
                <w:top w:val="none" w:color="auto" w:sz="0" w:space="1"/>
                <w:left w:val="none" w:color="auto" w:sz="0" w:space="4"/>
                <w:bottom w:val="none" w:color="auto" w:sz="0" w:space="1"/>
                <w:right w:val="none" w:color="auto" w:sz="0" w:space="4"/>
              </w:pBdr>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lang w:bidi="ar"/>
              </w:rPr>
              <w:t>检查内容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A7B33D2">
            <w:pPr>
              <w:widowControl/>
              <w:pBdr>
                <w:top w:val="none" w:color="auto" w:sz="0" w:space="1"/>
                <w:left w:val="none" w:color="auto" w:sz="0" w:space="4"/>
                <w:bottom w:val="none" w:color="auto" w:sz="0" w:space="1"/>
                <w:right w:val="none" w:color="auto" w:sz="0" w:space="4"/>
              </w:pBdr>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lang w:bidi="ar"/>
              </w:rPr>
              <w:t>分值</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66C53778">
            <w:pPr>
              <w:widowControl/>
              <w:pBdr>
                <w:top w:val="none" w:color="auto" w:sz="0" w:space="1"/>
                <w:left w:val="none" w:color="auto" w:sz="0" w:space="4"/>
                <w:bottom w:val="none" w:color="auto" w:sz="0" w:space="1"/>
                <w:right w:val="none" w:color="auto" w:sz="0" w:space="4"/>
              </w:pBdr>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lang w:bidi="ar"/>
              </w:rPr>
              <w:t>扣分标准</w:t>
            </w:r>
          </w:p>
        </w:tc>
      </w:tr>
      <w:tr w14:paraId="269B0E3D">
        <w:tblPrEx>
          <w:tblCellMar>
            <w:top w:w="15" w:type="dxa"/>
            <w:left w:w="15" w:type="dxa"/>
            <w:bottom w:w="15" w:type="dxa"/>
            <w:right w:w="15" w:type="dxa"/>
          </w:tblCellMar>
        </w:tblPrEx>
        <w:trPr>
          <w:trHeight w:val="887" w:hRule="atLeast"/>
          <w:jc w:val="center"/>
        </w:trPr>
        <w:tc>
          <w:tcPr>
            <w:tcW w:w="1434" w:type="dxa"/>
            <w:tcBorders>
              <w:top w:val="single" w:color="000000" w:sz="4" w:space="0"/>
              <w:left w:val="single" w:color="000000" w:sz="4" w:space="0"/>
              <w:bottom w:val="single" w:color="000000" w:sz="4" w:space="0"/>
              <w:right w:val="single" w:color="000000" w:sz="4" w:space="0"/>
            </w:tcBorders>
            <w:noWrap w:val="0"/>
            <w:vAlign w:val="center"/>
          </w:tcPr>
          <w:p w14:paraId="0B2ADAD4">
            <w:pPr>
              <w:widowControl/>
              <w:pBdr>
                <w:top w:val="none" w:color="auto" w:sz="0" w:space="1"/>
                <w:left w:val="none" w:color="auto" w:sz="0" w:space="4"/>
                <w:bottom w:val="none" w:color="auto" w:sz="0" w:space="1"/>
                <w:right w:val="none" w:color="auto" w:sz="0" w:space="4"/>
              </w:pBdr>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一、台账情况</w:t>
            </w:r>
          </w:p>
          <w:p w14:paraId="0B4BF510">
            <w:pPr>
              <w:widowControl w:val="0"/>
              <w:ind w:left="0" w:right="6" w:firstLine="400"/>
              <w:jc w:val="both"/>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bidi="ar"/>
              </w:rPr>
              <w:t>（5分）</w:t>
            </w: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4A7B4915">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sz w:val="20"/>
                <w:szCs w:val="20"/>
                <w:highlight w:val="none"/>
              </w:rPr>
            </w:pPr>
            <w:r>
              <w:rPr>
                <w:rFonts w:hint="eastAsia" w:ascii="宋体" w:hAnsi="宋体" w:eastAsia="宋体" w:cs="宋体"/>
                <w:sz w:val="20"/>
                <w:szCs w:val="20"/>
                <w:highlight w:val="none"/>
                <w:lang w:bidi="ar"/>
              </w:rPr>
              <w:t>设施设备管理、保洁人员管理、工资发放记录、有害垃圾收运、厨余垃圾收运等管理台账齐全。</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FFE49FC">
            <w:pPr>
              <w:widowControl/>
              <w:pBdr>
                <w:top w:val="none" w:color="auto" w:sz="0" w:space="1"/>
                <w:left w:val="none" w:color="auto" w:sz="0" w:space="4"/>
                <w:bottom w:val="none" w:color="auto" w:sz="0" w:space="1"/>
                <w:right w:val="none" w:color="auto" w:sz="0" w:space="4"/>
              </w:pBdr>
              <w:jc w:val="center"/>
              <w:rPr>
                <w:rFonts w:hint="eastAsia" w:ascii="宋体" w:hAnsi="宋体" w:eastAsia="宋体" w:cs="宋体"/>
                <w:sz w:val="20"/>
                <w:szCs w:val="20"/>
                <w:highlight w:val="none"/>
              </w:rPr>
            </w:pPr>
            <w:r>
              <w:rPr>
                <w:rFonts w:hint="eastAsia" w:ascii="宋体" w:hAnsi="宋体" w:eastAsia="宋体" w:cs="宋体"/>
                <w:sz w:val="20"/>
                <w:szCs w:val="20"/>
                <w:highlight w:val="none"/>
                <w:lang w:bidi="ar"/>
              </w:rPr>
              <w:t>5分</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0D77BE83">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sz w:val="20"/>
                <w:szCs w:val="20"/>
                <w:highlight w:val="none"/>
              </w:rPr>
            </w:pPr>
            <w:r>
              <w:rPr>
                <w:rFonts w:hint="eastAsia" w:ascii="宋体" w:hAnsi="宋体" w:eastAsia="宋体" w:cs="宋体"/>
                <w:sz w:val="20"/>
                <w:szCs w:val="20"/>
                <w:highlight w:val="none"/>
                <w:lang w:bidi="ar"/>
              </w:rPr>
              <w:t>台账不健全的每项扣1分。</w:t>
            </w:r>
          </w:p>
        </w:tc>
      </w:tr>
      <w:tr w14:paraId="38388C76">
        <w:tblPrEx>
          <w:tblCellMar>
            <w:top w:w="15" w:type="dxa"/>
            <w:left w:w="15" w:type="dxa"/>
            <w:bottom w:w="15" w:type="dxa"/>
            <w:right w:w="15" w:type="dxa"/>
          </w:tblCellMar>
        </w:tblPrEx>
        <w:trPr>
          <w:trHeight w:val="524" w:hRule="atLeast"/>
          <w:jc w:val="center"/>
        </w:trPr>
        <w:tc>
          <w:tcPr>
            <w:tcW w:w="1434" w:type="dxa"/>
            <w:tcBorders>
              <w:top w:val="single" w:color="000000" w:sz="4" w:space="0"/>
              <w:left w:val="single" w:color="000000" w:sz="4" w:space="0"/>
              <w:bottom w:val="single" w:color="000000" w:sz="4" w:space="0"/>
              <w:right w:val="single" w:color="000000" w:sz="4" w:space="0"/>
            </w:tcBorders>
            <w:noWrap w:val="0"/>
            <w:vAlign w:val="center"/>
          </w:tcPr>
          <w:p w14:paraId="3220A1DE">
            <w:pPr>
              <w:widowControl/>
              <w:pBdr>
                <w:top w:val="none" w:color="auto" w:sz="0" w:space="1"/>
                <w:left w:val="none" w:color="auto" w:sz="0" w:space="4"/>
                <w:bottom w:val="none" w:color="auto" w:sz="0" w:space="1"/>
                <w:right w:val="none" w:color="auto" w:sz="0" w:space="4"/>
              </w:pBdr>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二、管理制度</w:t>
            </w:r>
          </w:p>
          <w:p w14:paraId="58C571F1">
            <w:pPr>
              <w:widowControl/>
              <w:pBdr>
                <w:top w:val="none" w:color="auto" w:sz="0" w:space="1"/>
                <w:left w:val="none" w:color="auto" w:sz="0" w:space="4"/>
                <w:bottom w:val="none" w:color="auto" w:sz="0" w:space="1"/>
                <w:right w:val="none" w:color="auto" w:sz="0" w:space="4"/>
              </w:pBdr>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设置情况</w:t>
            </w:r>
          </w:p>
          <w:p w14:paraId="63D8950F">
            <w:pPr>
              <w:widowControl w:val="0"/>
              <w:ind w:left="0" w:right="6" w:firstLine="400"/>
              <w:jc w:val="both"/>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bidi="ar"/>
              </w:rPr>
              <w:t>（10分）</w:t>
            </w: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53150D3D">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sz w:val="20"/>
                <w:szCs w:val="20"/>
                <w:highlight w:val="none"/>
              </w:rPr>
            </w:pPr>
            <w:r>
              <w:rPr>
                <w:rFonts w:hint="eastAsia" w:ascii="宋体" w:hAnsi="宋体" w:eastAsia="宋体" w:cs="宋体"/>
                <w:sz w:val="20"/>
                <w:szCs w:val="20"/>
                <w:highlight w:val="none"/>
              </w:rPr>
              <w:t>按照统一要求设置垃圾分类亭管理制度公示牌。</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49AACE2">
            <w:pPr>
              <w:widowControl/>
              <w:pBdr>
                <w:top w:val="none" w:color="auto" w:sz="0" w:space="1"/>
                <w:left w:val="none" w:color="auto" w:sz="0" w:space="4"/>
                <w:bottom w:val="none" w:color="auto" w:sz="0" w:space="1"/>
                <w:right w:val="none" w:color="auto" w:sz="0" w:space="4"/>
              </w:pBdr>
              <w:jc w:val="center"/>
              <w:rPr>
                <w:rFonts w:hint="eastAsia" w:ascii="宋体" w:hAnsi="宋体" w:eastAsia="宋体" w:cs="宋体"/>
                <w:sz w:val="20"/>
                <w:szCs w:val="20"/>
                <w:highlight w:val="none"/>
              </w:rPr>
            </w:pPr>
            <w:r>
              <w:rPr>
                <w:rFonts w:hint="eastAsia" w:ascii="宋体" w:hAnsi="宋体" w:eastAsia="宋体" w:cs="宋体"/>
                <w:sz w:val="20"/>
                <w:szCs w:val="20"/>
                <w:highlight w:val="none"/>
                <w:lang w:bidi="ar"/>
              </w:rPr>
              <w:t>10分</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17D281BD">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sz w:val="20"/>
                <w:szCs w:val="20"/>
                <w:highlight w:val="none"/>
              </w:rPr>
            </w:pPr>
            <w:r>
              <w:rPr>
                <w:rFonts w:hint="eastAsia" w:ascii="宋体" w:hAnsi="宋体" w:eastAsia="宋体" w:cs="宋体"/>
                <w:sz w:val="20"/>
                <w:szCs w:val="20"/>
                <w:highlight w:val="none"/>
                <w:lang w:bidi="ar"/>
              </w:rPr>
              <w:t>未设置，或有破损的，每例扣1分。</w:t>
            </w:r>
          </w:p>
        </w:tc>
      </w:tr>
      <w:tr w14:paraId="583F5D90">
        <w:tblPrEx>
          <w:tblCellMar>
            <w:top w:w="15" w:type="dxa"/>
            <w:left w:w="15" w:type="dxa"/>
            <w:bottom w:w="15" w:type="dxa"/>
            <w:right w:w="15" w:type="dxa"/>
          </w:tblCellMar>
        </w:tblPrEx>
        <w:trPr>
          <w:trHeight w:val="524" w:hRule="atLeast"/>
          <w:jc w:val="center"/>
        </w:trPr>
        <w:tc>
          <w:tcPr>
            <w:tcW w:w="1434" w:type="dxa"/>
            <w:vMerge w:val="restart"/>
            <w:tcBorders>
              <w:top w:val="single" w:color="000000" w:sz="4" w:space="0"/>
              <w:left w:val="single" w:color="000000" w:sz="4" w:space="0"/>
              <w:right w:val="single" w:color="000000" w:sz="4" w:space="0"/>
            </w:tcBorders>
            <w:noWrap w:val="0"/>
            <w:vAlign w:val="center"/>
          </w:tcPr>
          <w:p w14:paraId="27EB49A2">
            <w:pPr>
              <w:widowControl w:val="0"/>
              <w:numPr>
                <w:ilvl w:val="0"/>
                <w:numId w:val="8"/>
              </w:numPr>
              <w:ind w:left="0" w:right="6" w:firstLine="0"/>
              <w:jc w:val="cente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bidi="ar-SA"/>
              </w:rPr>
              <w:t>运营服务</w:t>
            </w:r>
          </w:p>
          <w:p w14:paraId="19199B4D">
            <w:pPr>
              <w:widowControl w:val="0"/>
              <w:ind w:left="0" w:right="6" w:firstLine="0"/>
              <w:jc w:val="cente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bidi="ar-SA"/>
              </w:rPr>
              <w:t>管理</w:t>
            </w:r>
          </w:p>
          <w:p w14:paraId="02F99FC8">
            <w:pPr>
              <w:widowControl w:val="0"/>
              <w:ind w:left="0" w:right="6" w:firstLine="0"/>
              <w:jc w:val="cente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bidi="ar-SA"/>
              </w:rPr>
              <w:t>（35分）</w:t>
            </w: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1257581E">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sz w:val="20"/>
                <w:szCs w:val="20"/>
                <w:highlight w:val="none"/>
              </w:rPr>
            </w:pPr>
            <w:r>
              <w:rPr>
                <w:rFonts w:hint="eastAsia" w:ascii="宋体" w:hAnsi="宋体" w:eastAsia="宋体" w:cs="宋体"/>
                <w:sz w:val="20"/>
                <w:szCs w:val="20"/>
                <w:highlight w:val="none"/>
              </w:rPr>
              <w:t>垃圾分类亭开放时间：</w:t>
            </w:r>
            <w:r>
              <w:rPr>
                <w:rFonts w:hint="eastAsia" w:ascii="宋体" w:hAnsi="宋体" w:eastAsia="宋体" w:cs="宋体"/>
                <w:sz w:val="20"/>
                <w:szCs w:val="20"/>
                <w:highlight w:val="none"/>
                <w:lang w:bidi="ar"/>
              </w:rPr>
              <w:t>全天开放。</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F2C52BF">
            <w:pPr>
              <w:widowControl/>
              <w:pBdr>
                <w:top w:val="none" w:color="auto" w:sz="0" w:space="1"/>
                <w:left w:val="none" w:color="auto" w:sz="0" w:space="4"/>
                <w:bottom w:val="none" w:color="auto" w:sz="0" w:space="1"/>
                <w:right w:val="none" w:color="auto" w:sz="0" w:space="4"/>
              </w:pBdr>
              <w:jc w:val="center"/>
              <w:rPr>
                <w:rFonts w:hint="eastAsia" w:ascii="宋体" w:hAnsi="宋体" w:eastAsia="宋体" w:cs="宋体"/>
                <w:sz w:val="20"/>
                <w:szCs w:val="20"/>
                <w:highlight w:val="none"/>
              </w:rPr>
            </w:pPr>
            <w:r>
              <w:rPr>
                <w:rFonts w:hint="eastAsia" w:ascii="宋体" w:hAnsi="宋体" w:eastAsia="宋体" w:cs="宋体"/>
                <w:sz w:val="20"/>
                <w:szCs w:val="20"/>
                <w:highlight w:val="none"/>
                <w:lang w:bidi="ar"/>
              </w:rPr>
              <w:t>10分</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0E541841">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sz w:val="20"/>
                <w:szCs w:val="20"/>
                <w:highlight w:val="none"/>
              </w:rPr>
            </w:pPr>
            <w:r>
              <w:rPr>
                <w:rFonts w:hint="eastAsia" w:ascii="宋体" w:hAnsi="宋体" w:eastAsia="宋体" w:cs="宋体"/>
                <w:sz w:val="20"/>
                <w:szCs w:val="20"/>
                <w:highlight w:val="none"/>
                <w:lang w:bidi="ar"/>
              </w:rPr>
              <w:t>如发现未开放情况，每例扣2分。</w:t>
            </w:r>
          </w:p>
        </w:tc>
      </w:tr>
      <w:tr w14:paraId="3DB48F22">
        <w:tblPrEx>
          <w:tblCellMar>
            <w:top w:w="15" w:type="dxa"/>
            <w:left w:w="15" w:type="dxa"/>
            <w:bottom w:w="15" w:type="dxa"/>
            <w:right w:w="15" w:type="dxa"/>
          </w:tblCellMar>
        </w:tblPrEx>
        <w:trPr>
          <w:trHeight w:val="659" w:hRule="atLeast"/>
          <w:jc w:val="center"/>
        </w:trPr>
        <w:tc>
          <w:tcPr>
            <w:tcW w:w="1434" w:type="dxa"/>
            <w:vMerge w:val="continue"/>
            <w:tcBorders>
              <w:left w:val="single" w:color="000000" w:sz="4" w:space="0"/>
              <w:right w:val="single" w:color="000000" w:sz="4" w:space="0"/>
            </w:tcBorders>
            <w:noWrap w:val="0"/>
            <w:vAlign w:val="center"/>
          </w:tcPr>
          <w:p w14:paraId="6F9308FE">
            <w:pPr>
              <w:widowControl w:val="0"/>
              <w:ind w:left="0" w:right="6" w:firstLine="0"/>
              <w:jc w:val="center"/>
              <w:rPr>
                <w:rFonts w:hint="eastAsia" w:ascii="宋体" w:hAnsi="宋体" w:eastAsia="宋体" w:cs="宋体"/>
                <w:sz w:val="20"/>
                <w:szCs w:val="20"/>
                <w:lang w:val="en-US" w:eastAsia="zh-CN" w:bidi="ar-SA"/>
              </w:rPr>
            </w:pP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7259F5C2">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sz w:val="20"/>
                <w:szCs w:val="20"/>
                <w:highlight w:val="none"/>
              </w:rPr>
            </w:pPr>
            <w:r>
              <w:rPr>
                <w:rFonts w:hint="eastAsia" w:ascii="宋体" w:hAnsi="宋体" w:eastAsia="宋体" w:cs="宋体"/>
                <w:sz w:val="20"/>
                <w:szCs w:val="20"/>
                <w:highlight w:val="none"/>
                <w:lang w:bidi="ar"/>
              </w:rPr>
              <w:t>垃圾分类作业人员配备：人员数量和车辆要严格按照招投标合同配置到位。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85D009D">
            <w:pPr>
              <w:widowControl/>
              <w:pBdr>
                <w:top w:val="none" w:color="auto" w:sz="0" w:space="1"/>
                <w:left w:val="none" w:color="auto" w:sz="0" w:space="4"/>
                <w:bottom w:val="none" w:color="auto" w:sz="0" w:space="1"/>
                <w:right w:val="none" w:color="auto" w:sz="0" w:space="4"/>
              </w:pBdr>
              <w:jc w:val="center"/>
              <w:rPr>
                <w:rFonts w:hint="eastAsia" w:ascii="宋体" w:hAnsi="宋体" w:eastAsia="宋体" w:cs="宋体"/>
                <w:sz w:val="20"/>
                <w:szCs w:val="20"/>
                <w:highlight w:val="none"/>
              </w:rPr>
            </w:pPr>
            <w:r>
              <w:rPr>
                <w:rFonts w:hint="eastAsia" w:ascii="宋体" w:hAnsi="宋体" w:eastAsia="宋体" w:cs="宋体"/>
                <w:sz w:val="20"/>
                <w:szCs w:val="20"/>
                <w:highlight w:val="none"/>
                <w:lang w:bidi="ar"/>
              </w:rPr>
              <w:t>5分</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28AFD42E">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sz w:val="20"/>
                <w:szCs w:val="20"/>
                <w:highlight w:val="none"/>
              </w:rPr>
            </w:pPr>
            <w:r>
              <w:rPr>
                <w:rFonts w:hint="eastAsia" w:ascii="宋体" w:hAnsi="宋体" w:eastAsia="宋体" w:cs="宋体"/>
                <w:sz w:val="20"/>
                <w:szCs w:val="20"/>
                <w:highlight w:val="none"/>
                <w:lang w:bidi="ar"/>
              </w:rPr>
              <w:t>如发现未足额配备，扣5分，并责令立即整改到位。</w:t>
            </w:r>
          </w:p>
        </w:tc>
      </w:tr>
      <w:tr w14:paraId="36EDBF65">
        <w:tblPrEx>
          <w:tblCellMar>
            <w:top w:w="15" w:type="dxa"/>
            <w:left w:w="15" w:type="dxa"/>
            <w:bottom w:w="15" w:type="dxa"/>
            <w:right w:w="15" w:type="dxa"/>
          </w:tblCellMar>
        </w:tblPrEx>
        <w:trPr>
          <w:trHeight w:val="524" w:hRule="atLeast"/>
          <w:jc w:val="center"/>
        </w:trPr>
        <w:tc>
          <w:tcPr>
            <w:tcW w:w="1434" w:type="dxa"/>
            <w:vMerge w:val="continue"/>
            <w:tcBorders>
              <w:left w:val="single" w:color="000000" w:sz="4" w:space="0"/>
              <w:right w:val="single" w:color="000000" w:sz="4" w:space="0"/>
            </w:tcBorders>
            <w:noWrap w:val="0"/>
            <w:vAlign w:val="center"/>
          </w:tcPr>
          <w:p w14:paraId="41B80981">
            <w:pPr>
              <w:widowControl w:val="0"/>
              <w:ind w:left="0" w:right="6" w:firstLine="0"/>
              <w:jc w:val="center"/>
              <w:rPr>
                <w:rFonts w:hint="eastAsia" w:ascii="宋体" w:hAnsi="宋体" w:eastAsia="宋体" w:cs="宋体"/>
                <w:sz w:val="20"/>
                <w:szCs w:val="20"/>
                <w:lang w:val="en-US" w:eastAsia="zh-CN" w:bidi="ar-SA"/>
              </w:rPr>
            </w:pP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73EF5797">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sz w:val="20"/>
                <w:szCs w:val="20"/>
                <w:highlight w:val="none"/>
              </w:rPr>
            </w:pPr>
            <w:r>
              <w:rPr>
                <w:rFonts w:hint="eastAsia" w:ascii="宋体" w:hAnsi="宋体" w:eastAsia="宋体" w:cs="宋体"/>
                <w:sz w:val="20"/>
                <w:szCs w:val="20"/>
                <w:highlight w:val="none"/>
                <w:lang w:bidi="ar"/>
              </w:rPr>
              <w:t>垃圾分类作业人员在岗情况：开放时间段内，人员在进行厨余（易腐）垃圾收集作业或垃圾分类亭管理作业。</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59B14AD">
            <w:pPr>
              <w:widowControl/>
              <w:pBdr>
                <w:top w:val="none" w:color="auto" w:sz="0" w:space="1"/>
                <w:left w:val="none" w:color="auto" w:sz="0" w:space="4"/>
                <w:bottom w:val="none" w:color="auto" w:sz="0" w:space="1"/>
                <w:right w:val="none" w:color="auto" w:sz="0" w:space="4"/>
              </w:pBdr>
              <w:jc w:val="center"/>
              <w:rPr>
                <w:rFonts w:hint="eastAsia" w:ascii="宋体" w:hAnsi="宋体" w:eastAsia="宋体" w:cs="宋体"/>
                <w:sz w:val="20"/>
                <w:szCs w:val="20"/>
                <w:highlight w:val="none"/>
              </w:rPr>
            </w:pPr>
            <w:r>
              <w:rPr>
                <w:rFonts w:hint="eastAsia" w:ascii="宋体" w:hAnsi="宋体" w:eastAsia="宋体" w:cs="宋体"/>
                <w:sz w:val="20"/>
                <w:szCs w:val="20"/>
                <w:highlight w:val="none"/>
                <w:lang w:bidi="ar"/>
              </w:rPr>
              <w:t>10分</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2683BE8F">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sz w:val="20"/>
                <w:szCs w:val="20"/>
                <w:highlight w:val="none"/>
              </w:rPr>
            </w:pPr>
            <w:r>
              <w:rPr>
                <w:rFonts w:hint="eastAsia" w:ascii="宋体" w:hAnsi="宋体" w:eastAsia="宋体" w:cs="宋体"/>
                <w:sz w:val="20"/>
                <w:szCs w:val="20"/>
                <w:highlight w:val="none"/>
                <w:lang w:bidi="ar"/>
              </w:rPr>
              <w:t>通过现场查看或电话督查，如发现不在岗情况，每人次扣1分，若发现3人以上不在岗，扣10分。</w:t>
            </w:r>
          </w:p>
        </w:tc>
      </w:tr>
      <w:tr w14:paraId="10DC2370">
        <w:tblPrEx>
          <w:tblCellMar>
            <w:top w:w="15" w:type="dxa"/>
            <w:left w:w="15" w:type="dxa"/>
            <w:bottom w:w="15" w:type="dxa"/>
            <w:right w:w="15" w:type="dxa"/>
          </w:tblCellMar>
        </w:tblPrEx>
        <w:trPr>
          <w:trHeight w:val="524" w:hRule="atLeast"/>
          <w:jc w:val="center"/>
        </w:trPr>
        <w:tc>
          <w:tcPr>
            <w:tcW w:w="1434" w:type="dxa"/>
            <w:vMerge w:val="continue"/>
            <w:tcBorders>
              <w:left w:val="single" w:color="000000" w:sz="4" w:space="0"/>
              <w:right w:val="single" w:color="000000" w:sz="4" w:space="0"/>
            </w:tcBorders>
            <w:noWrap w:val="0"/>
            <w:vAlign w:val="center"/>
          </w:tcPr>
          <w:p w14:paraId="198BBE89">
            <w:pPr>
              <w:widowControl w:val="0"/>
              <w:ind w:left="0" w:right="6" w:firstLine="0"/>
              <w:jc w:val="center"/>
              <w:rPr>
                <w:rFonts w:hint="eastAsia" w:ascii="宋体" w:hAnsi="宋体" w:eastAsia="宋体" w:cs="宋体"/>
                <w:sz w:val="20"/>
                <w:szCs w:val="20"/>
                <w:lang w:val="en-US" w:eastAsia="zh-CN" w:bidi="ar-SA"/>
              </w:rPr>
            </w:pP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7504B867">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sz w:val="20"/>
                <w:szCs w:val="20"/>
                <w:highlight w:val="none"/>
              </w:rPr>
            </w:pPr>
            <w:r>
              <w:rPr>
                <w:rFonts w:hint="eastAsia" w:ascii="宋体" w:hAnsi="宋体" w:eastAsia="宋体" w:cs="宋体"/>
                <w:sz w:val="20"/>
                <w:szCs w:val="20"/>
                <w:highlight w:val="none"/>
              </w:rPr>
              <w:t>垃圾分类作业人员行为规范：作业人员工作期间应使用文明用语、不得有与他人争吵、辱骂、斗殴等行为；严禁喝酒、打牌等与工作无关的事情。</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4A432C8">
            <w:pPr>
              <w:widowControl/>
              <w:pBdr>
                <w:top w:val="none" w:color="auto" w:sz="0" w:space="1"/>
                <w:left w:val="none" w:color="auto" w:sz="0" w:space="4"/>
                <w:bottom w:val="none" w:color="auto" w:sz="0" w:space="1"/>
                <w:right w:val="none" w:color="auto" w:sz="0" w:space="4"/>
              </w:pBdr>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5分</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6626E20F">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sz w:val="20"/>
                <w:szCs w:val="20"/>
                <w:highlight w:val="none"/>
              </w:rPr>
            </w:pPr>
            <w:r>
              <w:rPr>
                <w:rFonts w:hint="eastAsia" w:ascii="宋体" w:hAnsi="宋体" w:eastAsia="宋体" w:cs="宋体"/>
                <w:sz w:val="20"/>
                <w:szCs w:val="20"/>
                <w:highlight w:val="none"/>
              </w:rPr>
              <w:t>工作期间未使用文明用语、有与他人争吵、辱骂、斗殴等行为的每例扣2分；有喝酒、打牌等与工作无关的行为，每例扣3分。</w:t>
            </w:r>
          </w:p>
        </w:tc>
      </w:tr>
      <w:tr w14:paraId="1405CFC0">
        <w:tblPrEx>
          <w:tblCellMar>
            <w:top w:w="15" w:type="dxa"/>
            <w:left w:w="15" w:type="dxa"/>
            <w:bottom w:w="15" w:type="dxa"/>
            <w:right w:w="15" w:type="dxa"/>
          </w:tblCellMar>
        </w:tblPrEx>
        <w:trPr>
          <w:trHeight w:val="524" w:hRule="atLeast"/>
          <w:jc w:val="center"/>
        </w:trPr>
        <w:tc>
          <w:tcPr>
            <w:tcW w:w="1434" w:type="dxa"/>
            <w:vMerge w:val="continue"/>
            <w:tcBorders>
              <w:left w:val="single" w:color="000000" w:sz="4" w:space="0"/>
              <w:bottom w:val="single" w:color="000000" w:sz="4" w:space="0"/>
              <w:right w:val="single" w:color="000000" w:sz="4" w:space="0"/>
            </w:tcBorders>
            <w:noWrap w:val="0"/>
            <w:vAlign w:val="center"/>
          </w:tcPr>
          <w:p w14:paraId="03CB415E">
            <w:pPr>
              <w:widowControl w:val="0"/>
              <w:ind w:left="0" w:right="6" w:firstLine="0"/>
              <w:jc w:val="center"/>
              <w:rPr>
                <w:rFonts w:hint="eastAsia" w:ascii="宋体" w:hAnsi="宋体" w:eastAsia="宋体" w:cs="宋体"/>
                <w:sz w:val="20"/>
                <w:szCs w:val="20"/>
                <w:lang w:val="en-US" w:eastAsia="zh-CN" w:bidi="ar-SA"/>
              </w:rPr>
            </w:pP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72DC0A93">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sz w:val="20"/>
                <w:szCs w:val="20"/>
                <w:highlight w:val="none"/>
              </w:rPr>
            </w:pPr>
            <w:r>
              <w:rPr>
                <w:rFonts w:hint="eastAsia" w:ascii="宋体" w:hAnsi="宋体" w:eastAsia="宋体" w:cs="宋体"/>
                <w:sz w:val="20"/>
                <w:szCs w:val="20"/>
                <w:highlight w:val="none"/>
              </w:rPr>
              <w:t>收集点作业管理：每个收集点配备一定的清洁工具、捡拾工具、作业人员统一服装、佩戴（口罩）手套上岗，保持服装整洁。</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EDD282E">
            <w:pPr>
              <w:widowControl/>
              <w:pBdr>
                <w:top w:val="none" w:color="auto" w:sz="0" w:space="1"/>
                <w:left w:val="none" w:color="auto" w:sz="0" w:space="4"/>
                <w:bottom w:val="none" w:color="auto" w:sz="0" w:space="1"/>
                <w:right w:val="none" w:color="auto" w:sz="0" w:space="4"/>
              </w:pBdr>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5分</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10F3F894">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sz w:val="20"/>
                <w:szCs w:val="20"/>
                <w:highlight w:val="none"/>
              </w:rPr>
            </w:pPr>
            <w:r>
              <w:rPr>
                <w:rFonts w:hint="eastAsia" w:ascii="宋体" w:hAnsi="宋体" w:eastAsia="宋体" w:cs="宋体"/>
                <w:sz w:val="20"/>
                <w:szCs w:val="20"/>
                <w:highlight w:val="none"/>
              </w:rPr>
              <w:t>未按要求的，每例扣1分。</w:t>
            </w:r>
          </w:p>
        </w:tc>
      </w:tr>
      <w:tr w14:paraId="152CE783">
        <w:tblPrEx>
          <w:tblCellMar>
            <w:top w:w="15" w:type="dxa"/>
            <w:left w:w="15" w:type="dxa"/>
            <w:bottom w:w="15" w:type="dxa"/>
            <w:right w:w="15" w:type="dxa"/>
          </w:tblCellMar>
        </w:tblPrEx>
        <w:trPr>
          <w:trHeight w:val="524" w:hRule="atLeast"/>
          <w:jc w:val="center"/>
        </w:trPr>
        <w:tc>
          <w:tcPr>
            <w:tcW w:w="1434" w:type="dxa"/>
            <w:vMerge w:val="restart"/>
            <w:tcBorders>
              <w:top w:val="single" w:color="000000" w:sz="4" w:space="0"/>
              <w:left w:val="single" w:color="000000" w:sz="4" w:space="0"/>
              <w:right w:val="single" w:color="000000" w:sz="4" w:space="0"/>
            </w:tcBorders>
            <w:noWrap w:val="0"/>
            <w:vAlign w:val="center"/>
          </w:tcPr>
          <w:p w14:paraId="3E97E704">
            <w:pPr>
              <w:widowControl/>
              <w:numPr>
                <w:ilvl w:val="0"/>
                <w:numId w:val="8"/>
              </w:numPr>
              <w:pBdr>
                <w:top w:val="none" w:color="auto" w:sz="0" w:space="1"/>
                <w:left w:val="none" w:color="auto" w:sz="0" w:space="4"/>
                <w:bottom w:val="none" w:color="auto" w:sz="0" w:space="1"/>
                <w:right w:val="none" w:color="auto" w:sz="0" w:space="4"/>
              </w:pBdr>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垃圾分类</w:t>
            </w:r>
          </w:p>
          <w:p w14:paraId="00932887">
            <w:pPr>
              <w:widowControl/>
              <w:pBdr>
                <w:top w:val="none" w:color="auto" w:sz="0" w:space="1"/>
                <w:left w:val="none" w:color="auto" w:sz="0" w:space="4"/>
                <w:bottom w:val="none" w:color="auto" w:sz="0" w:space="1"/>
                <w:right w:val="none" w:color="auto" w:sz="0" w:space="4"/>
              </w:pBdr>
              <w:ind w:firstLine="400"/>
              <w:rPr>
                <w:rFonts w:hint="eastAsia" w:ascii="宋体" w:hAnsi="宋体" w:eastAsia="宋体" w:cs="宋体"/>
                <w:sz w:val="20"/>
                <w:szCs w:val="20"/>
                <w:highlight w:val="none"/>
              </w:rPr>
            </w:pPr>
            <w:r>
              <w:rPr>
                <w:rFonts w:hint="eastAsia" w:ascii="宋体" w:hAnsi="宋体" w:eastAsia="宋体" w:cs="宋体"/>
                <w:sz w:val="20"/>
                <w:szCs w:val="20"/>
                <w:highlight w:val="none"/>
              </w:rPr>
              <w:t>运输</w:t>
            </w:r>
          </w:p>
          <w:p w14:paraId="2E7938EA">
            <w:pPr>
              <w:widowControl w:val="0"/>
              <w:ind w:left="0" w:right="6" w:firstLine="0"/>
              <w:jc w:val="cente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bidi="ar-SA"/>
              </w:rPr>
              <w:t>（20分）</w:t>
            </w: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0031FA07">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sz w:val="20"/>
                <w:szCs w:val="20"/>
                <w:highlight w:val="none"/>
              </w:rPr>
            </w:pPr>
            <w:r>
              <w:rPr>
                <w:rFonts w:hint="eastAsia" w:ascii="宋体" w:hAnsi="宋体" w:eastAsia="宋体" w:cs="宋体"/>
                <w:sz w:val="20"/>
                <w:szCs w:val="20"/>
                <w:highlight w:val="none"/>
              </w:rPr>
              <w:t>垃圾分类清运：易腐（厨余）垃圾要日产日清，垃圾容器内垃圾积存不得超过1/2；可回收物满则运；有害垃圾根据产生的垃圾量，每月至少收运一次。</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0F8EED4">
            <w:pPr>
              <w:widowControl/>
              <w:pBdr>
                <w:top w:val="none" w:color="auto" w:sz="0" w:space="1"/>
                <w:left w:val="none" w:color="auto" w:sz="0" w:space="4"/>
                <w:bottom w:val="none" w:color="auto" w:sz="0" w:space="1"/>
                <w:right w:val="none" w:color="auto" w:sz="0" w:space="4"/>
              </w:pBdr>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10分</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1749D0B9">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sz w:val="20"/>
                <w:szCs w:val="20"/>
                <w:highlight w:val="none"/>
              </w:rPr>
            </w:pPr>
            <w:r>
              <w:rPr>
                <w:rFonts w:hint="eastAsia" w:ascii="宋体" w:hAnsi="宋体" w:eastAsia="宋体" w:cs="宋体"/>
                <w:sz w:val="20"/>
                <w:szCs w:val="20"/>
                <w:highlight w:val="none"/>
              </w:rPr>
              <w:t>未按规定完成垃圾清运每次扣2分。</w:t>
            </w:r>
          </w:p>
        </w:tc>
      </w:tr>
      <w:tr w14:paraId="1D85D66F">
        <w:tblPrEx>
          <w:tblCellMar>
            <w:top w:w="15" w:type="dxa"/>
            <w:left w:w="15" w:type="dxa"/>
            <w:bottom w:w="15" w:type="dxa"/>
            <w:right w:w="15" w:type="dxa"/>
          </w:tblCellMar>
        </w:tblPrEx>
        <w:trPr>
          <w:trHeight w:val="524" w:hRule="atLeast"/>
          <w:jc w:val="center"/>
        </w:trPr>
        <w:tc>
          <w:tcPr>
            <w:tcW w:w="1434" w:type="dxa"/>
            <w:vMerge w:val="continue"/>
            <w:tcBorders>
              <w:left w:val="single" w:color="000000" w:sz="4" w:space="0"/>
              <w:right w:val="single" w:color="000000" w:sz="4" w:space="0"/>
            </w:tcBorders>
            <w:noWrap w:val="0"/>
            <w:vAlign w:val="center"/>
          </w:tcPr>
          <w:p w14:paraId="28E29A84">
            <w:pPr>
              <w:widowControl w:val="0"/>
              <w:ind w:left="0" w:right="6" w:firstLine="0"/>
              <w:jc w:val="center"/>
              <w:rPr>
                <w:rFonts w:hint="eastAsia" w:ascii="宋体" w:hAnsi="宋体" w:eastAsia="宋体" w:cs="宋体"/>
                <w:sz w:val="20"/>
                <w:szCs w:val="20"/>
                <w:lang w:val="en-US" w:eastAsia="zh-CN" w:bidi="ar-SA"/>
              </w:rPr>
            </w:pP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2AF75C4F">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sz w:val="20"/>
                <w:szCs w:val="20"/>
                <w:highlight w:val="none"/>
              </w:rPr>
            </w:pPr>
            <w:r>
              <w:rPr>
                <w:rFonts w:hint="eastAsia" w:ascii="宋体" w:hAnsi="宋体" w:eastAsia="宋体" w:cs="宋体"/>
                <w:sz w:val="20"/>
                <w:szCs w:val="20"/>
                <w:highlight w:val="none"/>
              </w:rPr>
              <w:t>垃圾混运：垃圾专车分类运输，不同垃圾不同车辆，禁止垃圾混运。</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B0BE77E">
            <w:pPr>
              <w:widowControl/>
              <w:pBdr>
                <w:top w:val="none" w:color="auto" w:sz="0" w:space="1"/>
                <w:left w:val="none" w:color="auto" w:sz="0" w:space="4"/>
                <w:bottom w:val="none" w:color="auto" w:sz="0" w:space="1"/>
                <w:right w:val="none" w:color="auto" w:sz="0" w:space="4"/>
              </w:pBdr>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5分</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47F7AE20">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sz w:val="20"/>
                <w:szCs w:val="20"/>
                <w:highlight w:val="none"/>
              </w:rPr>
            </w:pPr>
            <w:r>
              <w:rPr>
                <w:rFonts w:hint="eastAsia" w:ascii="宋体" w:hAnsi="宋体" w:eastAsia="宋体" w:cs="宋体"/>
                <w:sz w:val="20"/>
                <w:szCs w:val="20"/>
                <w:highlight w:val="none"/>
              </w:rPr>
              <w:t>发现有害垃圾、厨余垃圾、可回收物混运每起扣2分，扣完5分为止。</w:t>
            </w:r>
          </w:p>
        </w:tc>
      </w:tr>
      <w:tr w14:paraId="5ED0C3DD">
        <w:tblPrEx>
          <w:tblCellMar>
            <w:top w:w="15" w:type="dxa"/>
            <w:left w:w="15" w:type="dxa"/>
            <w:bottom w:w="15" w:type="dxa"/>
            <w:right w:w="15" w:type="dxa"/>
          </w:tblCellMar>
        </w:tblPrEx>
        <w:trPr>
          <w:trHeight w:val="524" w:hRule="atLeast"/>
          <w:jc w:val="center"/>
        </w:trPr>
        <w:tc>
          <w:tcPr>
            <w:tcW w:w="1434" w:type="dxa"/>
            <w:vMerge w:val="continue"/>
            <w:tcBorders>
              <w:left w:val="single" w:color="000000" w:sz="4" w:space="0"/>
              <w:bottom w:val="single" w:color="000000" w:sz="4" w:space="0"/>
              <w:right w:val="single" w:color="000000" w:sz="4" w:space="0"/>
            </w:tcBorders>
            <w:noWrap w:val="0"/>
            <w:vAlign w:val="center"/>
          </w:tcPr>
          <w:p w14:paraId="39B31478">
            <w:pPr>
              <w:widowControl w:val="0"/>
              <w:ind w:left="0" w:right="6" w:firstLine="0"/>
              <w:jc w:val="center"/>
              <w:rPr>
                <w:rFonts w:hint="eastAsia" w:ascii="宋体" w:hAnsi="宋体" w:eastAsia="宋体" w:cs="宋体"/>
                <w:sz w:val="20"/>
                <w:szCs w:val="20"/>
                <w:lang w:val="en-US" w:eastAsia="zh-CN" w:bidi="ar-SA"/>
              </w:rPr>
            </w:pP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485D0654">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sz w:val="20"/>
                <w:szCs w:val="20"/>
                <w:highlight w:val="none"/>
              </w:rPr>
            </w:pPr>
            <w:r>
              <w:rPr>
                <w:rFonts w:hint="eastAsia" w:ascii="宋体" w:hAnsi="宋体" w:eastAsia="宋体" w:cs="宋体"/>
                <w:sz w:val="20"/>
                <w:szCs w:val="20"/>
                <w:highlight w:val="none"/>
              </w:rPr>
              <w:t>交通安全：因操作不当，引发交通事故。</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D42D577">
            <w:pPr>
              <w:widowControl/>
              <w:pBdr>
                <w:top w:val="none" w:color="auto" w:sz="0" w:space="1"/>
                <w:left w:val="none" w:color="auto" w:sz="0" w:space="4"/>
                <w:bottom w:val="none" w:color="auto" w:sz="0" w:space="1"/>
                <w:right w:val="none" w:color="auto" w:sz="0" w:space="4"/>
              </w:pBdr>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5分</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077C08A3">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sz w:val="20"/>
                <w:szCs w:val="20"/>
                <w:highlight w:val="none"/>
              </w:rPr>
            </w:pPr>
            <w:r>
              <w:rPr>
                <w:rFonts w:hint="eastAsia" w:ascii="宋体" w:hAnsi="宋体" w:eastAsia="宋体" w:cs="宋体"/>
                <w:sz w:val="20"/>
                <w:szCs w:val="20"/>
                <w:highlight w:val="none"/>
              </w:rPr>
              <w:t>轻微事故，司机责任，每次扣2分；重大事故，一次扣5分。</w:t>
            </w:r>
          </w:p>
        </w:tc>
      </w:tr>
      <w:tr w14:paraId="08003615">
        <w:tblPrEx>
          <w:tblCellMar>
            <w:top w:w="15" w:type="dxa"/>
            <w:left w:w="15" w:type="dxa"/>
            <w:bottom w:w="15" w:type="dxa"/>
            <w:right w:w="15" w:type="dxa"/>
          </w:tblCellMar>
        </w:tblPrEx>
        <w:trPr>
          <w:trHeight w:val="524" w:hRule="atLeast"/>
          <w:jc w:val="center"/>
        </w:trPr>
        <w:tc>
          <w:tcPr>
            <w:tcW w:w="1434" w:type="dxa"/>
            <w:tcBorders>
              <w:top w:val="single" w:color="000000" w:sz="4" w:space="0"/>
              <w:left w:val="single" w:color="000000" w:sz="4" w:space="0"/>
              <w:bottom w:val="single" w:color="000000" w:sz="4" w:space="0"/>
              <w:right w:val="single" w:color="000000" w:sz="4" w:space="0"/>
            </w:tcBorders>
            <w:noWrap w:val="0"/>
            <w:vAlign w:val="center"/>
          </w:tcPr>
          <w:p w14:paraId="28E1F4AC">
            <w:pPr>
              <w:widowControl/>
              <w:pBdr>
                <w:top w:val="none" w:color="auto" w:sz="0" w:space="1"/>
                <w:left w:val="none" w:color="auto" w:sz="0" w:space="4"/>
                <w:bottom w:val="none" w:color="auto" w:sz="0" w:space="1"/>
                <w:right w:val="none" w:color="auto" w:sz="0" w:space="4"/>
              </w:pBdr>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五、保洁质量</w:t>
            </w:r>
          </w:p>
          <w:p w14:paraId="2679E6B7">
            <w:pPr>
              <w:widowControl w:val="0"/>
              <w:ind w:left="0" w:right="6" w:firstLine="0"/>
              <w:jc w:val="cente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bidi="ar"/>
              </w:rPr>
              <w:t>（20分）</w:t>
            </w: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5A655247">
            <w:pPr>
              <w:widowControl/>
              <w:pBdr>
                <w:top w:val="none" w:color="auto" w:sz="0" w:space="1"/>
                <w:left w:val="none" w:color="auto" w:sz="0" w:space="4"/>
                <w:bottom w:val="none" w:color="auto" w:sz="0" w:space="1"/>
                <w:right w:val="none" w:color="auto" w:sz="0" w:space="4"/>
              </w:pBdr>
              <w:jc w:val="left"/>
              <w:rPr>
                <w:rFonts w:hint="default" w:ascii="宋体" w:hAnsi="宋体" w:eastAsia="宋体" w:cs="宋体"/>
                <w:sz w:val="20"/>
                <w:szCs w:val="20"/>
                <w:highlight w:val="none"/>
              </w:rPr>
            </w:pPr>
            <w:r>
              <w:rPr>
                <w:rFonts w:hint="eastAsia" w:ascii="宋体" w:hAnsi="宋体" w:eastAsia="宋体" w:cs="宋体"/>
                <w:sz w:val="20"/>
                <w:szCs w:val="20"/>
                <w:highlight w:val="none"/>
                <w:lang w:bidi="ar"/>
              </w:rPr>
              <w:t>垃圾分类收集员做好垃圾亭内卫生，及时清洗地面垃圾污水，加强分类桶的立面清洗，蚊蝇和桶内消杀，垃圾及时清运，无外溢。同时做好垃圾亭周围5米范围内的保洁工作，无乱堆乱放、无生活垃圾、无污水四溢</w:t>
            </w:r>
            <w:r>
              <w:rPr>
                <w:rFonts w:hint="eastAsia" w:ascii="宋体" w:hAnsi="宋体" w:eastAsia="宋体" w:cs="宋体"/>
                <w:sz w:val="20"/>
                <w:szCs w:val="20"/>
                <w:highlight w:val="none"/>
                <w:lang w:eastAsia="zh-CN" w:bidi="ar"/>
              </w:rPr>
              <w:t>，</w:t>
            </w:r>
            <w:r>
              <w:rPr>
                <w:rFonts w:hint="eastAsia" w:ascii="宋体" w:hAnsi="宋体" w:eastAsia="宋体" w:cs="宋体"/>
                <w:sz w:val="20"/>
                <w:szCs w:val="20"/>
                <w:highlight w:val="none"/>
                <w:lang w:val="en-US" w:eastAsia="zh-CN" w:bidi="ar"/>
              </w:rPr>
              <w:t>无焚烧痕迹。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6D344EE">
            <w:pPr>
              <w:widowControl/>
              <w:pBdr>
                <w:top w:val="none" w:color="auto" w:sz="0" w:space="1"/>
                <w:left w:val="none" w:color="auto" w:sz="0" w:space="4"/>
                <w:bottom w:val="none" w:color="auto" w:sz="0" w:space="1"/>
                <w:right w:val="none" w:color="auto" w:sz="0" w:space="4"/>
              </w:pBdr>
              <w:jc w:val="center"/>
              <w:rPr>
                <w:rFonts w:hint="eastAsia" w:ascii="宋体" w:hAnsi="宋体" w:eastAsia="宋体" w:cs="宋体"/>
                <w:sz w:val="20"/>
                <w:szCs w:val="20"/>
                <w:highlight w:val="none"/>
              </w:rPr>
            </w:pPr>
            <w:r>
              <w:rPr>
                <w:rFonts w:hint="eastAsia" w:ascii="宋体" w:hAnsi="宋体" w:eastAsia="宋体" w:cs="宋体"/>
                <w:sz w:val="20"/>
                <w:szCs w:val="20"/>
                <w:highlight w:val="none"/>
                <w:lang w:bidi="ar"/>
              </w:rPr>
              <w:t>20分</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0A8D7CBB">
            <w:pPr>
              <w:widowControl/>
              <w:pBdr>
                <w:top w:val="none" w:color="auto" w:sz="0" w:space="1"/>
                <w:left w:val="none" w:color="auto" w:sz="0" w:space="4"/>
                <w:bottom w:val="none" w:color="auto" w:sz="0" w:space="1"/>
                <w:right w:val="none" w:color="auto" w:sz="0" w:space="4"/>
              </w:pBdr>
              <w:jc w:val="left"/>
              <w:rPr>
                <w:rFonts w:hint="default" w:ascii="宋体" w:hAnsi="宋体" w:eastAsia="宋体" w:cs="宋体"/>
                <w:sz w:val="20"/>
                <w:szCs w:val="20"/>
                <w:highlight w:val="none"/>
              </w:rPr>
            </w:pPr>
            <w:r>
              <w:rPr>
                <w:rFonts w:hint="eastAsia" w:ascii="宋体" w:hAnsi="宋体" w:eastAsia="宋体" w:cs="宋体"/>
                <w:sz w:val="20"/>
                <w:szCs w:val="20"/>
                <w:highlight w:val="none"/>
                <w:lang w:bidi="ar"/>
              </w:rPr>
              <w:t>达不到保洁要求的，每例扣2分。</w:t>
            </w:r>
            <w:r>
              <w:rPr>
                <w:rFonts w:hint="eastAsia" w:ascii="宋体" w:hAnsi="宋体" w:eastAsia="宋体" w:cs="宋体"/>
                <w:sz w:val="20"/>
                <w:szCs w:val="20"/>
                <w:highlight w:val="none"/>
                <w:lang w:val="en-US" w:eastAsia="zh-CN" w:bidi="ar"/>
              </w:rPr>
              <w:t>有焚烧痕迹扣3分。</w:t>
            </w:r>
          </w:p>
        </w:tc>
      </w:tr>
      <w:tr w14:paraId="3A44D555">
        <w:tblPrEx>
          <w:tblCellMar>
            <w:top w:w="15" w:type="dxa"/>
            <w:left w:w="15" w:type="dxa"/>
            <w:bottom w:w="15" w:type="dxa"/>
            <w:right w:w="15" w:type="dxa"/>
          </w:tblCellMar>
        </w:tblPrEx>
        <w:trPr>
          <w:trHeight w:val="877" w:hRule="atLeast"/>
          <w:jc w:val="center"/>
        </w:trPr>
        <w:tc>
          <w:tcPr>
            <w:tcW w:w="1434" w:type="dxa"/>
            <w:tcBorders>
              <w:top w:val="single" w:color="000000" w:sz="4" w:space="0"/>
              <w:left w:val="single" w:color="000000" w:sz="4" w:space="0"/>
              <w:bottom w:val="single" w:color="000000" w:sz="4" w:space="0"/>
              <w:right w:val="single" w:color="000000" w:sz="4" w:space="0"/>
            </w:tcBorders>
            <w:noWrap w:val="0"/>
            <w:vAlign w:val="center"/>
          </w:tcPr>
          <w:p w14:paraId="21DCFF11">
            <w:pPr>
              <w:widowControl/>
              <w:pBdr>
                <w:top w:val="none" w:color="auto" w:sz="0" w:space="1"/>
                <w:left w:val="none" w:color="auto" w:sz="0" w:space="4"/>
                <w:bottom w:val="none" w:color="auto" w:sz="0" w:space="1"/>
                <w:right w:val="none" w:color="auto" w:sz="0" w:space="4"/>
              </w:pBdr>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六、厨余垃圾收集量考核</w:t>
            </w:r>
          </w:p>
          <w:p w14:paraId="0E4EA6E3">
            <w:pPr>
              <w:widowControl w:val="0"/>
              <w:ind w:left="0" w:right="6" w:firstLine="0"/>
              <w:jc w:val="cente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bidi="ar"/>
              </w:rPr>
              <w:t>（10分）</w:t>
            </w: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2D319910">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sz w:val="20"/>
                <w:szCs w:val="20"/>
                <w:highlight w:val="none"/>
              </w:rPr>
            </w:pPr>
            <w:r>
              <w:rPr>
                <w:rFonts w:hint="eastAsia" w:ascii="宋体" w:hAnsi="宋体" w:eastAsia="宋体" w:cs="宋体"/>
                <w:color w:val="000000"/>
                <w:sz w:val="20"/>
                <w:szCs w:val="20"/>
                <w:highlight w:val="none"/>
                <w:lang w:bidi="ar"/>
              </w:rPr>
              <w:t>厨余垃圾收集量不得低于服务区域内居民户均日产生量的60%。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A18E664">
            <w:pPr>
              <w:widowControl/>
              <w:pBdr>
                <w:top w:val="none" w:color="auto" w:sz="0" w:space="1"/>
                <w:left w:val="none" w:color="auto" w:sz="0" w:space="4"/>
                <w:bottom w:val="none" w:color="auto" w:sz="0" w:space="1"/>
                <w:right w:val="none" w:color="auto" w:sz="0" w:space="4"/>
              </w:pBdr>
              <w:jc w:val="center"/>
              <w:rPr>
                <w:rFonts w:hint="eastAsia" w:ascii="宋体" w:hAnsi="宋体" w:eastAsia="宋体" w:cs="宋体"/>
                <w:sz w:val="20"/>
                <w:szCs w:val="20"/>
                <w:highlight w:val="none"/>
              </w:rPr>
            </w:pPr>
            <w:r>
              <w:rPr>
                <w:rFonts w:hint="eastAsia" w:ascii="宋体" w:hAnsi="宋体" w:eastAsia="宋体" w:cs="宋体"/>
                <w:sz w:val="20"/>
                <w:szCs w:val="20"/>
                <w:highlight w:val="none"/>
                <w:lang w:bidi="ar"/>
              </w:rPr>
              <w:t>10分</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4F21D627">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sz w:val="20"/>
                <w:szCs w:val="20"/>
                <w:highlight w:val="none"/>
              </w:rPr>
            </w:pPr>
            <w:r>
              <w:rPr>
                <w:rFonts w:hint="eastAsia" w:ascii="宋体" w:hAnsi="宋体" w:eastAsia="宋体" w:cs="宋体"/>
                <w:sz w:val="20"/>
                <w:szCs w:val="20"/>
                <w:highlight w:val="none"/>
                <w:lang w:bidi="ar"/>
              </w:rPr>
              <w:t>未达到标准的，酌情扣分。</w:t>
            </w:r>
          </w:p>
        </w:tc>
      </w:tr>
    </w:tbl>
    <w:p w14:paraId="49DED1BA">
      <w:pPr>
        <w:pStyle w:val="64"/>
        <w:ind w:left="0" w:firstLine="0"/>
        <w:rPr>
          <w:highlight w:val="none"/>
        </w:rPr>
      </w:pPr>
    </w:p>
    <w:p w14:paraId="751005BE">
      <w:pPr>
        <w:pStyle w:val="64"/>
        <w:ind w:left="0" w:firstLine="0"/>
        <w:rPr>
          <w:highlight w:val="none"/>
        </w:rPr>
      </w:pPr>
    </w:p>
    <w:p w14:paraId="50F0AD1B">
      <w:pPr>
        <w:pStyle w:val="515"/>
        <w:spacing w:line="360" w:lineRule="auto"/>
        <w:ind w:firstLine="0"/>
        <w:rPr>
          <w:rFonts w:hint="eastAsia" w:asciiTheme="minorEastAsia" w:hAnsiTheme="minorEastAsia" w:eastAsiaTheme="minorEastAsia" w:cstheme="minorEastAsia"/>
          <w:bCs/>
          <w:sz w:val="24"/>
          <w:szCs w:val="24"/>
          <w:highlight w:val="none"/>
        </w:rPr>
      </w:pPr>
    </w:p>
    <w:p w14:paraId="00EBDB59">
      <w:pPr>
        <w:pStyle w:val="515"/>
        <w:spacing w:line="360" w:lineRule="auto"/>
        <w:ind w:firstLine="0"/>
        <w:rPr>
          <w:rFonts w:hAnsi="宋体" w:cs="宋体"/>
          <w:bCs/>
          <w:sz w:val="24"/>
          <w:szCs w:val="24"/>
          <w:highlight w:val="none"/>
        </w:rPr>
      </w:pPr>
      <w:r>
        <w:rPr>
          <w:rFonts w:hint="eastAsia" w:asciiTheme="minorEastAsia" w:hAnsiTheme="minorEastAsia" w:eastAsiaTheme="minorEastAsia" w:cstheme="minorEastAsia"/>
          <w:bCs/>
          <w:sz w:val="24"/>
          <w:szCs w:val="24"/>
          <w:highlight w:val="none"/>
        </w:rPr>
        <w:t>附件二</w:t>
      </w:r>
    </w:p>
    <w:p w14:paraId="21838E5D">
      <w:pPr>
        <w:pStyle w:val="62"/>
        <w:ind w:firstLine="0"/>
        <w:jc w:val="center"/>
        <w:rPr>
          <w:highlight w:val="none"/>
        </w:rPr>
      </w:pPr>
      <w:r>
        <w:rPr>
          <w:rFonts w:hint="eastAsia" w:asciiTheme="minorEastAsia" w:hAnsiTheme="minorEastAsia" w:eastAsiaTheme="minorEastAsia" w:cstheme="minorEastAsia"/>
          <w:color w:val="000000"/>
          <w:sz w:val="36"/>
          <w:szCs w:val="44"/>
          <w:highlight w:val="none"/>
        </w:rPr>
        <w:t>大彭镇各村户数人口数基本情况统计表</w:t>
      </w:r>
    </w:p>
    <w:tbl>
      <w:tblPr>
        <w:tblStyle w:val="51"/>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333"/>
        <w:gridCol w:w="1351"/>
        <w:gridCol w:w="1418"/>
        <w:gridCol w:w="992"/>
        <w:gridCol w:w="1276"/>
        <w:gridCol w:w="1276"/>
      </w:tblGrid>
      <w:tr w14:paraId="2CEA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13" w:type="dxa"/>
            <w:noWrap w:val="0"/>
            <w:vAlign w:val="center"/>
          </w:tcPr>
          <w:p w14:paraId="16575719">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序号</w:t>
            </w:r>
          </w:p>
        </w:tc>
        <w:tc>
          <w:tcPr>
            <w:tcW w:w="1333" w:type="dxa"/>
            <w:noWrap w:val="0"/>
            <w:vAlign w:val="center"/>
          </w:tcPr>
          <w:p w14:paraId="48460B55">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行政村</w:t>
            </w:r>
          </w:p>
        </w:tc>
        <w:tc>
          <w:tcPr>
            <w:tcW w:w="1351" w:type="dxa"/>
            <w:noWrap w:val="0"/>
            <w:vAlign w:val="center"/>
          </w:tcPr>
          <w:p w14:paraId="6B10365E">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自然村</w:t>
            </w:r>
          </w:p>
        </w:tc>
        <w:tc>
          <w:tcPr>
            <w:tcW w:w="1418" w:type="dxa"/>
            <w:noWrap w:val="0"/>
            <w:vAlign w:val="center"/>
          </w:tcPr>
          <w:p w14:paraId="48717B04">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农户数</w:t>
            </w:r>
          </w:p>
        </w:tc>
        <w:tc>
          <w:tcPr>
            <w:tcW w:w="992" w:type="dxa"/>
            <w:noWrap w:val="0"/>
            <w:vAlign w:val="center"/>
          </w:tcPr>
          <w:p w14:paraId="5949F07C">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合计</w:t>
            </w:r>
          </w:p>
        </w:tc>
        <w:tc>
          <w:tcPr>
            <w:tcW w:w="1276" w:type="dxa"/>
            <w:noWrap w:val="0"/>
            <w:vAlign w:val="center"/>
          </w:tcPr>
          <w:p w14:paraId="50039967">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总人口</w:t>
            </w:r>
          </w:p>
        </w:tc>
        <w:tc>
          <w:tcPr>
            <w:tcW w:w="1276" w:type="dxa"/>
            <w:noWrap w:val="0"/>
            <w:vAlign w:val="center"/>
          </w:tcPr>
          <w:p w14:paraId="581C1808">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合计</w:t>
            </w:r>
          </w:p>
        </w:tc>
      </w:tr>
      <w:tr w14:paraId="5EC8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restart"/>
            <w:noWrap/>
            <w:vAlign w:val="center"/>
          </w:tcPr>
          <w:p w14:paraId="6BC8FE9A">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1333" w:type="dxa"/>
            <w:vMerge w:val="restart"/>
            <w:noWrap/>
            <w:vAlign w:val="center"/>
          </w:tcPr>
          <w:p w14:paraId="01296336">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大刘村</w:t>
            </w:r>
          </w:p>
        </w:tc>
        <w:tc>
          <w:tcPr>
            <w:tcW w:w="1351" w:type="dxa"/>
            <w:noWrap/>
            <w:vAlign w:val="center"/>
          </w:tcPr>
          <w:p w14:paraId="6FC1B17F">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小李庄</w:t>
            </w:r>
          </w:p>
        </w:tc>
        <w:tc>
          <w:tcPr>
            <w:tcW w:w="1418" w:type="dxa"/>
            <w:noWrap/>
            <w:vAlign w:val="center"/>
          </w:tcPr>
          <w:p w14:paraId="79941A25">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305</w:t>
            </w:r>
          </w:p>
        </w:tc>
        <w:tc>
          <w:tcPr>
            <w:tcW w:w="992" w:type="dxa"/>
            <w:vMerge w:val="restart"/>
            <w:noWrap/>
            <w:vAlign w:val="center"/>
          </w:tcPr>
          <w:p w14:paraId="57CD85B1">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2036</w:t>
            </w:r>
          </w:p>
        </w:tc>
        <w:tc>
          <w:tcPr>
            <w:tcW w:w="1276" w:type="dxa"/>
            <w:noWrap/>
            <w:vAlign w:val="center"/>
          </w:tcPr>
          <w:p w14:paraId="0C35EB43">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1360</w:t>
            </w:r>
          </w:p>
        </w:tc>
        <w:tc>
          <w:tcPr>
            <w:tcW w:w="1276" w:type="dxa"/>
            <w:vMerge w:val="restart"/>
            <w:noWrap/>
            <w:vAlign w:val="center"/>
          </w:tcPr>
          <w:p w14:paraId="27D3A67C">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9920</w:t>
            </w:r>
          </w:p>
        </w:tc>
      </w:tr>
      <w:tr w14:paraId="7095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05EEEF16">
            <w:pPr>
              <w:rPr>
                <w:rFonts w:hint="eastAsia" w:ascii="宋体" w:hAnsi="宋体" w:eastAsia="宋体" w:cs="宋体"/>
                <w:color w:val="000000"/>
                <w:sz w:val="24"/>
              </w:rPr>
            </w:pPr>
          </w:p>
        </w:tc>
        <w:tc>
          <w:tcPr>
            <w:tcW w:w="1333" w:type="dxa"/>
            <w:vMerge w:val="continue"/>
            <w:noWrap w:val="0"/>
            <w:vAlign w:val="center"/>
          </w:tcPr>
          <w:p w14:paraId="04B5D319">
            <w:pPr>
              <w:rPr>
                <w:rFonts w:hint="eastAsia" w:ascii="宋体" w:hAnsi="宋体" w:eastAsia="宋体" w:cs="宋体"/>
                <w:b/>
                <w:bCs/>
                <w:color w:val="000000"/>
                <w:sz w:val="24"/>
              </w:rPr>
            </w:pPr>
          </w:p>
        </w:tc>
        <w:tc>
          <w:tcPr>
            <w:tcW w:w="1351" w:type="dxa"/>
            <w:noWrap/>
            <w:vAlign w:val="center"/>
          </w:tcPr>
          <w:p w14:paraId="2744330C">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大刘庄</w:t>
            </w:r>
          </w:p>
        </w:tc>
        <w:tc>
          <w:tcPr>
            <w:tcW w:w="1418" w:type="dxa"/>
            <w:noWrap/>
            <w:vAlign w:val="center"/>
          </w:tcPr>
          <w:p w14:paraId="207FCAC9">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1350</w:t>
            </w:r>
          </w:p>
        </w:tc>
        <w:tc>
          <w:tcPr>
            <w:tcW w:w="992" w:type="dxa"/>
            <w:vMerge w:val="continue"/>
            <w:noWrap w:val="0"/>
            <w:vAlign w:val="center"/>
          </w:tcPr>
          <w:p w14:paraId="40FEF238">
            <w:pPr>
              <w:rPr>
                <w:rFonts w:hint="eastAsia" w:ascii="宋体" w:hAnsi="宋体" w:eastAsia="宋体" w:cs="宋体"/>
                <w:color w:val="000000"/>
                <w:sz w:val="24"/>
              </w:rPr>
            </w:pPr>
          </w:p>
        </w:tc>
        <w:tc>
          <w:tcPr>
            <w:tcW w:w="1276" w:type="dxa"/>
            <w:noWrap/>
            <w:vAlign w:val="center"/>
          </w:tcPr>
          <w:p w14:paraId="2CE7F0DA">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7350</w:t>
            </w:r>
          </w:p>
        </w:tc>
        <w:tc>
          <w:tcPr>
            <w:tcW w:w="1276" w:type="dxa"/>
            <w:vMerge w:val="continue"/>
            <w:noWrap w:val="0"/>
            <w:vAlign w:val="center"/>
          </w:tcPr>
          <w:p w14:paraId="279C28D1">
            <w:pPr>
              <w:rPr>
                <w:rFonts w:hint="eastAsia" w:ascii="宋体" w:hAnsi="宋体" w:eastAsia="宋体" w:cs="宋体"/>
                <w:color w:val="000000"/>
                <w:sz w:val="24"/>
              </w:rPr>
            </w:pPr>
          </w:p>
        </w:tc>
      </w:tr>
      <w:tr w14:paraId="362F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5DA729D4">
            <w:pPr>
              <w:rPr>
                <w:rFonts w:hint="eastAsia" w:ascii="宋体" w:hAnsi="宋体" w:eastAsia="宋体" w:cs="宋体"/>
                <w:color w:val="000000"/>
                <w:sz w:val="24"/>
              </w:rPr>
            </w:pPr>
          </w:p>
        </w:tc>
        <w:tc>
          <w:tcPr>
            <w:tcW w:w="1333" w:type="dxa"/>
            <w:vMerge w:val="continue"/>
            <w:noWrap w:val="0"/>
            <w:vAlign w:val="center"/>
          </w:tcPr>
          <w:p w14:paraId="7E3BA983">
            <w:pPr>
              <w:rPr>
                <w:rFonts w:hint="eastAsia" w:ascii="宋体" w:hAnsi="宋体" w:eastAsia="宋体" w:cs="宋体"/>
                <w:b/>
                <w:bCs/>
                <w:color w:val="000000"/>
                <w:sz w:val="24"/>
              </w:rPr>
            </w:pPr>
          </w:p>
        </w:tc>
        <w:tc>
          <w:tcPr>
            <w:tcW w:w="1351" w:type="dxa"/>
            <w:noWrap/>
            <w:vAlign w:val="center"/>
          </w:tcPr>
          <w:p w14:paraId="3BCF418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东红土庙</w:t>
            </w:r>
          </w:p>
        </w:tc>
        <w:tc>
          <w:tcPr>
            <w:tcW w:w="1418" w:type="dxa"/>
            <w:noWrap/>
            <w:vAlign w:val="center"/>
          </w:tcPr>
          <w:p w14:paraId="71A2EBD9">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195</w:t>
            </w:r>
          </w:p>
        </w:tc>
        <w:tc>
          <w:tcPr>
            <w:tcW w:w="992" w:type="dxa"/>
            <w:vMerge w:val="continue"/>
            <w:noWrap w:val="0"/>
            <w:vAlign w:val="center"/>
          </w:tcPr>
          <w:p w14:paraId="2AA0E17F">
            <w:pPr>
              <w:rPr>
                <w:rFonts w:hint="eastAsia" w:ascii="宋体" w:hAnsi="宋体" w:eastAsia="宋体" w:cs="宋体"/>
                <w:color w:val="000000"/>
                <w:sz w:val="24"/>
              </w:rPr>
            </w:pPr>
          </w:p>
        </w:tc>
        <w:tc>
          <w:tcPr>
            <w:tcW w:w="1276" w:type="dxa"/>
            <w:noWrap/>
            <w:vAlign w:val="center"/>
          </w:tcPr>
          <w:p w14:paraId="41F8268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620</w:t>
            </w:r>
          </w:p>
        </w:tc>
        <w:tc>
          <w:tcPr>
            <w:tcW w:w="1276" w:type="dxa"/>
            <w:vMerge w:val="continue"/>
            <w:noWrap w:val="0"/>
            <w:vAlign w:val="center"/>
          </w:tcPr>
          <w:p w14:paraId="6C5E4512">
            <w:pPr>
              <w:rPr>
                <w:rFonts w:hint="eastAsia" w:ascii="宋体" w:hAnsi="宋体" w:eastAsia="宋体" w:cs="宋体"/>
                <w:color w:val="000000"/>
                <w:sz w:val="24"/>
              </w:rPr>
            </w:pPr>
          </w:p>
        </w:tc>
      </w:tr>
      <w:tr w14:paraId="4576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03F8A295">
            <w:pPr>
              <w:rPr>
                <w:rFonts w:hint="eastAsia" w:ascii="宋体" w:hAnsi="宋体" w:eastAsia="宋体" w:cs="宋体"/>
                <w:color w:val="000000"/>
                <w:sz w:val="24"/>
              </w:rPr>
            </w:pPr>
          </w:p>
        </w:tc>
        <w:tc>
          <w:tcPr>
            <w:tcW w:w="1333" w:type="dxa"/>
            <w:vMerge w:val="continue"/>
            <w:noWrap w:val="0"/>
            <w:vAlign w:val="center"/>
          </w:tcPr>
          <w:p w14:paraId="6077C7CF">
            <w:pPr>
              <w:rPr>
                <w:rFonts w:hint="eastAsia" w:ascii="宋体" w:hAnsi="宋体" w:eastAsia="宋体" w:cs="宋体"/>
                <w:b/>
                <w:bCs/>
                <w:color w:val="000000"/>
                <w:sz w:val="24"/>
              </w:rPr>
            </w:pPr>
          </w:p>
        </w:tc>
        <w:tc>
          <w:tcPr>
            <w:tcW w:w="1351" w:type="dxa"/>
            <w:noWrap/>
            <w:vAlign w:val="center"/>
          </w:tcPr>
          <w:p w14:paraId="5000FC32">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西红土庙</w:t>
            </w:r>
          </w:p>
        </w:tc>
        <w:tc>
          <w:tcPr>
            <w:tcW w:w="1418" w:type="dxa"/>
            <w:noWrap/>
            <w:vAlign w:val="center"/>
          </w:tcPr>
          <w:p w14:paraId="33758E4D">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186</w:t>
            </w:r>
          </w:p>
        </w:tc>
        <w:tc>
          <w:tcPr>
            <w:tcW w:w="992" w:type="dxa"/>
            <w:vMerge w:val="continue"/>
            <w:noWrap w:val="0"/>
            <w:vAlign w:val="center"/>
          </w:tcPr>
          <w:p w14:paraId="13EE897C">
            <w:pPr>
              <w:rPr>
                <w:rFonts w:hint="eastAsia" w:ascii="宋体" w:hAnsi="宋体" w:eastAsia="宋体" w:cs="宋体"/>
                <w:color w:val="000000"/>
                <w:sz w:val="24"/>
              </w:rPr>
            </w:pPr>
          </w:p>
        </w:tc>
        <w:tc>
          <w:tcPr>
            <w:tcW w:w="1276" w:type="dxa"/>
            <w:noWrap/>
            <w:vAlign w:val="center"/>
          </w:tcPr>
          <w:p w14:paraId="2DE803AF">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590</w:t>
            </w:r>
          </w:p>
        </w:tc>
        <w:tc>
          <w:tcPr>
            <w:tcW w:w="1276" w:type="dxa"/>
            <w:vMerge w:val="continue"/>
            <w:noWrap w:val="0"/>
            <w:vAlign w:val="center"/>
          </w:tcPr>
          <w:p w14:paraId="3BC596E5">
            <w:pPr>
              <w:rPr>
                <w:rFonts w:hint="eastAsia" w:ascii="宋体" w:hAnsi="宋体" w:eastAsia="宋体" w:cs="宋体"/>
                <w:color w:val="000000"/>
                <w:sz w:val="24"/>
              </w:rPr>
            </w:pPr>
          </w:p>
        </w:tc>
      </w:tr>
      <w:tr w14:paraId="20E6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restart"/>
            <w:noWrap/>
            <w:vAlign w:val="center"/>
          </w:tcPr>
          <w:p w14:paraId="2FAC4FF5">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1333" w:type="dxa"/>
            <w:vMerge w:val="restart"/>
            <w:noWrap/>
            <w:vAlign w:val="center"/>
          </w:tcPr>
          <w:p w14:paraId="3E14E088">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田巷村</w:t>
            </w:r>
          </w:p>
        </w:tc>
        <w:tc>
          <w:tcPr>
            <w:tcW w:w="1351" w:type="dxa"/>
            <w:noWrap/>
            <w:vAlign w:val="center"/>
          </w:tcPr>
          <w:p w14:paraId="735830D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冯庄</w:t>
            </w:r>
          </w:p>
        </w:tc>
        <w:tc>
          <w:tcPr>
            <w:tcW w:w="1418" w:type="dxa"/>
            <w:noWrap/>
            <w:vAlign w:val="center"/>
          </w:tcPr>
          <w:p w14:paraId="312A1E01">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158</w:t>
            </w:r>
          </w:p>
        </w:tc>
        <w:tc>
          <w:tcPr>
            <w:tcW w:w="992" w:type="dxa"/>
            <w:vMerge w:val="restart"/>
            <w:noWrap/>
            <w:vAlign w:val="center"/>
          </w:tcPr>
          <w:p w14:paraId="1F31D1C3">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1605</w:t>
            </w:r>
          </w:p>
        </w:tc>
        <w:tc>
          <w:tcPr>
            <w:tcW w:w="1276" w:type="dxa"/>
            <w:noWrap/>
            <w:vAlign w:val="center"/>
          </w:tcPr>
          <w:p w14:paraId="17D6530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655</w:t>
            </w:r>
          </w:p>
        </w:tc>
        <w:tc>
          <w:tcPr>
            <w:tcW w:w="1276" w:type="dxa"/>
            <w:vMerge w:val="restart"/>
            <w:noWrap/>
            <w:vAlign w:val="center"/>
          </w:tcPr>
          <w:p w14:paraId="1A16A6EF">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4834</w:t>
            </w:r>
          </w:p>
        </w:tc>
      </w:tr>
      <w:tr w14:paraId="7664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5E569F7E">
            <w:pPr>
              <w:rPr>
                <w:rFonts w:hint="eastAsia" w:ascii="宋体" w:hAnsi="宋体" w:eastAsia="宋体" w:cs="宋体"/>
                <w:color w:val="000000"/>
                <w:sz w:val="24"/>
              </w:rPr>
            </w:pPr>
          </w:p>
        </w:tc>
        <w:tc>
          <w:tcPr>
            <w:tcW w:w="1333" w:type="dxa"/>
            <w:vMerge w:val="continue"/>
            <w:noWrap w:val="0"/>
            <w:vAlign w:val="center"/>
          </w:tcPr>
          <w:p w14:paraId="0DBBE03A">
            <w:pPr>
              <w:rPr>
                <w:rFonts w:hint="eastAsia" w:ascii="宋体" w:hAnsi="宋体" w:eastAsia="宋体" w:cs="宋体"/>
                <w:b/>
                <w:bCs/>
                <w:color w:val="000000"/>
                <w:sz w:val="24"/>
              </w:rPr>
            </w:pPr>
          </w:p>
        </w:tc>
        <w:tc>
          <w:tcPr>
            <w:tcW w:w="1351" w:type="dxa"/>
            <w:noWrap/>
            <w:vAlign w:val="center"/>
          </w:tcPr>
          <w:p w14:paraId="1C0D503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苗山</w:t>
            </w:r>
          </w:p>
        </w:tc>
        <w:tc>
          <w:tcPr>
            <w:tcW w:w="1418" w:type="dxa"/>
            <w:noWrap/>
            <w:vAlign w:val="center"/>
          </w:tcPr>
          <w:p w14:paraId="000BB08D">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562</w:t>
            </w:r>
          </w:p>
        </w:tc>
        <w:tc>
          <w:tcPr>
            <w:tcW w:w="992" w:type="dxa"/>
            <w:vMerge w:val="continue"/>
            <w:noWrap w:val="0"/>
            <w:vAlign w:val="center"/>
          </w:tcPr>
          <w:p w14:paraId="4B361D65">
            <w:pPr>
              <w:rPr>
                <w:rFonts w:hint="eastAsia" w:ascii="宋体" w:hAnsi="宋体" w:eastAsia="宋体" w:cs="宋体"/>
                <w:color w:val="000000"/>
                <w:sz w:val="24"/>
              </w:rPr>
            </w:pPr>
          </w:p>
        </w:tc>
        <w:tc>
          <w:tcPr>
            <w:tcW w:w="1276" w:type="dxa"/>
            <w:noWrap/>
            <w:vAlign w:val="center"/>
          </w:tcPr>
          <w:p w14:paraId="4BEA3C8A">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1620</w:t>
            </w:r>
          </w:p>
        </w:tc>
        <w:tc>
          <w:tcPr>
            <w:tcW w:w="1276" w:type="dxa"/>
            <w:vMerge w:val="continue"/>
            <w:noWrap w:val="0"/>
            <w:vAlign w:val="center"/>
          </w:tcPr>
          <w:p w14:paraId="673D3362">
            <w:pPr>
              <w:rPr>
                <w:rFonts w:hint="eastAsia" w:ascii="宋体" w:hAnsi="宋体" w:eastAsia="宋体" w:cs="宋体"/>
                <w:color w:val="000000"/>
                <w:sz w:val="24"/>
              </w:rPr>
            </w:pPr>
          </w:p>
        </w:tc>
      </w:tr>
      <w:tr w14:paraId="6407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6793F79C">
            <w:pPr>
              <w:rPr>
                <w:rFonts w:hint="eastAsia" w:ascii="宋体" w:hAnsi="宋体" w:eastAsia="宋体" w:cs="宋体"/>
                <w:color w:val="000000"/>
                <w:sz w:val="24"/>
              </w:rPr>
            </w:pPr>
          </w:p>
        </w:tc>
        <w:tc>
          <w:tcPr>
            <w:tcW w:w="1333" w:type="dxa"/>
            <w:vMerge w:val="continue"/>
            <w:noWrap w:val="0"/>
            <w:vAlign w:val="center"/>
          </w:tcPr>
          <w:p w14:paraId="5C2FF0DE">
            <w:pPr>
              <w:rPr>
                <w:rFonts w:hint="eastAsia" w:ascii="宋体" w:hAnsi="宋体" w:eastAsia="宋体" w:cs="宋体"/>
                <w:b/>
                <w:bCs/>
                <w:color w:val="000000"/>
                <w:sz w:val="24"/>
              </w:rPr>
            </w:pPr>
          </w:p>
        </w:tc>
        <w:tc>
          <w:tcPr>
            <w:tcW w:w="1351" w:type="dxa"/>
            <w:noWrap/>
            <w:vAlign w:val="center"/>
          </w:tcPr>
          <w:p w14:paraId="5FD259C4">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田巷</w:t>
            </w:r>
          </w:p>
        </w:tc>
        <w:tc>
          <w:tcPr>
            <w:tcW w:w="1418" w:type="dxa"/>
            <w:noWrap/>
            <w:vAlign w:val="center"/>
          </w:tcPr>
          <w:p w14:paraId="1D81DE9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885</w:t>
            </w:r>
          </w:p>
        </w:tc>
        <w:tc>
          <w:tcPr>
            <w:tcW w:w="992" w:type="dxa"/>
            <w:vMerge w:val="continue"/>
            <w:noWrap w:val="0"/>
            <w:vAlign w:val="center"/>
          </w:tcPr>
          <w:p w14:paraId="4B0F3FCF">
            <w:pPr>
              <w:rPr>
                <w:rFonts w:hint="eastAsia" w:ascii="宋体" w:hAnsi="宋体" w:eastAsia="宋体" w:cs="宋体"/>
                <w:color w:val="000000"/>
                <w:sz w:val="24"/>
              </w:rPr>
            </w:pPr>
          </w:p>
        </w:tc>
        <w:tc>
          <w:tcPr>
            <w:tcW w:w="1276" w:type="dxa"/>
            <w:noWrap/>
            <w:vAlign w:val="center"/>
          </w:tcPr>
          <w:p w14:paraId="6EECA44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2559</w:t>
            </w:r>
          </w:p>
        </w:tc>
        <w:tc>
          <w:tcPr>
            <w:tcW w:w="1276" w:type="dxa"/>
            <w:vMerge w:val="continue"/>
            <w:noWrap w:val="0"/>
            <w:vAlign w:val="center"/>
          </w:tcPr>
          <w:p w14:paraId="7F03D49D">
            <w:pPr>
              <w:rPr>
                <w:rFonts w:hint="eastAsia" w:ascii="宋体" w:hAnsi="宋体" w:eastAsia="宋体" w:cs="宋体"/>
                <w:color w:val="000000"/>
                <w:sz w:val="24"/>
              </w:rPr>
            </w:pPr>
          </w:p>
        </w:tc>
      </w:tr>
      <w:tr w14:paraId="3175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restart"/>
            <w:noWrap/>
            <w:vAlign w:val="center"/>
          </w:tcPr>
          <w:p w14:paraId="0835727A">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p>
        </w:tc>
        <w:tc>
          <w:tcPr>
            <w:tcW w:w="1333" w:type="dxa"/>
            <w:vMerge w:val="restart"/>
            <w:noWrap/>
            <w:vAlign w:val="center"/>
          </w:tcPr>
          <w:p w14:paraId="12651780">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周棚村</w:t>
            </w:r>
          </w:p>
        </w:tc>
        <w:tc>
          <w:tcPr>
            <w:tcW w:w="1351" w:type="dxa"/>
            <w:noWrap/>
            <w:vAlign w:val="center"/>
          </w:tcPr>
          <w:p w14:paraId="079DC6B3">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周棚</w:t>
            </w:r>
          </w:p>
        </w:tc>
        <w:tc>
          <w:tcPr>
            <w:tcW w:w="1418" w:type="dxa"/>
            <w:noWrap/>
            <w:vAlign w:val="center"/>
          </w:tcPr>
          <w:p w14:paraId="21D4030F">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660</w:t>
            </w:r>
          </w:p>
        </w:tc>
        <w:tc>
          <w:tcPr>
            <w:tcW w:w="992" w:type="dxa"/>
            <w:vMerge w:val="restart"/>
            <w:noWrap/>
            <w:vAlign w:val="center"/>
          </w:tcPr>
          <w:p w14:paraId="7F1D8E15">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1429</w:t>
            </w:r>
          </w:p>
        </w:tc>
        <w:tc>
          <w:tcPr>
            <w:tcW w:w="1276" w:type="dxa"/>
            <w:noWrap/>
            <w:vAlign w:val="center"/>
          </w:tcPr>
          <w:p w14:paraId="445D3C62">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2659</w:t>
            </w:r>
          </w:p>
        </w:tc>
        <w:tc>
          <w:tcPr>
            <w:tcW w:w="1276" w:type="dxa"/>
            <w:vMerge w:val="restart"/>
            <w:noWrap/>
            <w:vAlign w:val="center"/>
          </w:tcPr>
          <w:p w14:paraId="3AFF4FE2">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5879</w:t>
            </w:r>
          </w:p>
        </w:tc>
      </w:tr>
      <w:tr w14:paraId="391F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09AB03EB">
            <w:pPr>
              <w:rPr>
                <w:rFonts w:hint="eastAsia" w:ascii="宋体" w:hAnsi="宋体" w:eastAsia="宋体" w:cs="宋体"/>
                <w:color w:val="000000"/>
                <w:sz w:val="24"/>
              </w:rPr>
            </w:pPr>
          </w:p>
        </w:tc>
        <w:tc>
          <w:tcPr>
            <w:tcW w:w="1333" w:type="dxa"/>
            <w:vMerge w:val="continue"/>
            <w:noWrap w:val="0"/>
            <w:vAlign w:val="center"/>
          </w:tcPr>
          <w:p w14:paraId="1742D007">
            <w:pPr>
              <w:rPr>
                <w:rFonts w:hint="eastAsia" w:ascii="宋体" w:hAnsi="宋体" w:eastAsia="宋体" w:cs="宋体"/>
                <w:b/>
                <w:bCs/>
                <w:color w:val="000000"/>
                <w:sz w:val="24"/>
              </w:rPr>
            </w:pPr>
          </w:p>
        </w:tc>
        <w:tc>
          <w:tcPr>
            <w:tcW w:w="1351" w:type="dxa"/>
            <w:noWrap/>
            <w:vAlign w:val="center"/>
          </w:tcPr>
          <w:p w14:paraId="2D4DA452">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韩楼</w:t>
            </w:r>
          </w:p>
        </w:tc>
        <w:tc>
          <w:tcPr>
            <w:tcW w:w="1418" w:type="dxa"/>
            <w:noWrap/>
            <w:vAlign w:val="center"/>
          </w:tcPr>
          <w:p w14:paraId="0378BDC1">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160</w:t>
            </w:r>
          </w:p>
        </w:tc>
        <w:tc>
          <w:tcPr>
            <w:tcW w:w="992" w:type="dxa"/>
            <w:vMerge w:val="continue"/>
            <w:noWrap w:val="0"/>
            <w:vAlign w:val="center"/>
          </w:tcPr>
          <w:p w14:paraId="787EDDCC">
            <w:pPr>
              <w:rPr>
                <w:rFonts w:hint="eastAsia" w:ascii="宋体" w:hAnsi="宋体" w:eastAsia="宋体" w:cs="宋体"/>
                <w:color w:val="000000"/>
                <w:sz w:val="24"/>
              </w:rPr>
            </w:pPr>
          </w:p>
        </w:tc>
        <w:tc>
          <w:tcPr>
            <w:tcW w:w="1276" w:type="dxa"/>
            <w:noWrap/>
            <w:vAlign w:val="center"/>
          </w:tcPr>
          <w:p w14:paraId="0CDA9419">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610</w:t>
            </w:r>
          </w:p>
        </w:tc>
        <w:tc>
          <w:tcPr>
            <w:tcW w:w="1276" w:type="dxa"/>
            <w:vMerge w:val="continue"/>
            <w:noWrap w:val="0"/>
            <w:vAlign w:val="center"/>
          </w:tcPr>
          <w:p w14:paraId="0289A9DF">
            <w:pPr>
              <w:rPr>
                <w:rFonts w:hint="eastAsia" w:ascii="宋体" w:hAnsi="宋体" w:eastAsia="宋体" w:cs="宋体"/>
                <w:color w:val="000000"/>
                <w:sz w:val="24"/>
              </w:rPr>
            </w:pPr>
          </w:p>
        </w:tc>
      </w:tr>
      <w:tr w14:paraId="1F2F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64747D4F">
            <w:pPr>
              <w:rPr>
                <w:rFonts w:hint="eastAsia" w:ascii="宋体" w:hAnsi="宋体" w:eastAsia="宋体" w:cs="宋体"/>
                <w:color w:val="000000"/>
                <w:sz w:val="24"/>
              </w:rPr>
            </w:pPr>
          </w:p>
        </w:tc>
        <w:tc>
          <w:tcPr>
            <w:tcW w:w="1333" w:type="dxa"/>
            <w:vMerge w:val="continue"/>
            <w:noWrap w:val="0"/>
            <w:vAlign w:val="center"/>
          </w:tcPr>
          <w:p w14:paraId="13C06578">
            <w:pPr>
              <w:rPr>
                <w:rFonts w:hint="eastAsia" w:ascii="宋体" w:hAnsi="宋体" w:eastAsia="宋体" w:cs="宋体"/>
                <w:b/>
                <w:bCs/>
                <w:color w:val="000000"/>
                <w:sz w:val="24"/>
              </w:rPr>
            </w:pPr>
          </w:p>
        </w:tc>
        <w:tc>
          <w:tcPr>
            <w:tcW w:w="1351" w:type="dxa"/>
            <w:noWrap/>
            <w:vAlign w:val="center"/>
          </w:tcPr>
          <w:p w14:paraId="07E6535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西马林</w:t>
            </w:r>
          </w:p>
        </w:tc>
        <w:tc>
          <w:tcPr>
            <w:tcW w:w="1418" w:type="dxa"/>
            <w:noWrap/>
            <w:vAlign w:val="center"/>
          </w:tcPr>
          <w:p w14:paraId="2340704B">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214</w:t>
            </w:r>
          </w:p>
        </w:tc>
        <w:tc>
          <w:tcPr>
            <w:tcW w:w="992" w:type="dxa"/>
            <w:vMerge w:val="continue"/>
            <w:noWrap w:val="0"/>
            <w:vAlign w:val="center"/>
          </w:tcPr>
          <w:p w14:paraId="68CCDA2F">
            <w:pPr>
              <w:rPr>
                <w:rFonts w:hint="eastAsia" w:ascii="宋体" w:hAnsi="宋体" w:eastAsia="宋体" w:cs="宋体"/>
                <w:color w:val="000000"/>
                <w:sz w:val="24"/>
              </w:rPr>
            </w:pPr>
          </w:p>
        </w:tc>
        <w:tc>
          <w:tcPr>
            <w:tcW w:w="1276" w:type="dxa"/>
            <w:noWrap/>
            <w:vAlign w:val="center"/>
          </w:tcPr>
          <w:p w14:paraId="55502775">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860</w:t>
            </w:r>
          </w:p>
        </w:tc>
        <w:tc>
          <w:tcPr>
            <w:tcW w:w="1276" w:type="dxa"/>
            <w:vMerge w:val="continue"/>
            <w:noWrap w:val="0"/>
            <w:vAlign w:val="center"/>
          </w:tcPr>
          <w:p w14:paraId="7EAA2C20">
            <w:pPr>
              <w:rPr>
                <w:rFonts w:hint="eastAsia" w:ascii="宋体" w:hAnsi="宋体" w:eastAsia="宋体" w:cs="宋体"/>
                <w:color w:val="000000"/>
                <w:sz w:val="24"/>
              </w:rPr>
            </w:pPr>
          </w:p>
        </w:tc>
      </w:tr>
      <w:tr w14:paraId="274B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0BD28C3E">
            <w:pPr>
              <w:rPr>
                <w:rFonts w:hint="eastAsia" w:ascii="宋体" w:hAnsi="宋体" w:eastAsia="宋体" w:cs="宋体"/>
                <w:color w:val="000000"/>
                <w:sz w:val="24"/>
              </w:rPr>
            </w:pPr>
          </w:p>
        </w:tc>
        <w:tc>
          <w:tcPr>
            <w:tcW w:w="1333" w:type="dxa"/>
            <w:vMerge w:val="continue"/>
            <w:noWrap w:val="0"/>
            <w:vAlign w:val="center"/>
          </w:tcPr>
          <w:p w14:paraId="2021CD2C">
            <w:pPr>
              <w:rPr>
                <w:rFonts w:hint="eastAsia" w:ascii="宋体" w:hAnsi="宋体" w:eastAsia="宋体" w:cs="宋体"/>
                <w:b/>
                <w:bCs/>
                <w:color w:val="000000"/>
                <w:sz w:val="24"/>
              </w:rPr>
            </w:pPr>
          </w:p>
        </w:tc>
        <w:tc>
          <w:tcPr>
            <w:tcW w:w="1351" w:type="dxa"/>
            <w:noWrap/>
            <w:vAlign w:val="center"/>
          </w:tcPr>
          <w:p w14:paraId="0087F9A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东马林</w:t>
            </w:r>
          </w:p>
        </w:tc>
        <w:tc>
          <w:tcPr>
            <w:tcW w:w="1418" w:type="dxa"/>
            <w:noWrap/>
            <w:vAlign w:val="center"/>
          </w:tcPr>
          <w:p w14:paraId="4CE75AB1">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395</w:t>
            </w:r>
          </w:p>
        </w:tc>
        <w:tc>
          <w:tcPr>
            <w:tcW w:w="992" w:type="dxa"/>
            <w:vMerge w:val="continue"/>
            <w:noWrap w:val="0"/>
            <w:vAlign w:val="center"/>
          </w:tcPr>
          <w:p w14:paraId="2194F5B5">
            <w:pPr>
              <w:rPr>
                <w:rFonts w:hint="eastAsia" w:ascii="宋体" w:hAnsi="宋体" w:eastAsia="宋体" w:cs="宋体"/>
                <w:color w:val="000000"/>
                <w:sz w:val="24"/>
              </w:rPr>
            </w:pPr>
          </w:p>
        </w:tc>
        <w:tc>
          <w:tcPr>
            <w:tcW w:w="1276" w:type="dxa"/>
            <w:noWrap/>
            <w:vAlign w:val="center"/>
          </w:tcPr>
          <w:p w14:paraId="09E5C56D">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1750</w:t>
            </w:r>
          </w:p>
        </w:tc>
        <w:tc>
          <w:tcPr>
            <w:tcW w:w="1276" w:type="dxa"/>
            <w:vMerge w:val="continue"/>
            <w:noWrap w:val="0"/>
            <w:vAlign w:val="center"/>
          </w:tcPr>
          <w:p w14:paraId="3066F707">
            <w:pPr>
              <w:rPr>
                <w:rFonts w:hint="eastAsia" w:ascii="宋体" w:hAnsi="宋体" w:eastAsia="宋体" w:cs="宋体"/>
                <w:color w:val="000000"/>
                <w:sz w:val="24"/>
              </w:rPr>
            </w:pPr>
          </w:p>
        </w:tc>
      </w:tr>
      <w:tr w14:paraId="7285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restart"/>
            <w:noWrap/>
            <w:vAlign w:val="center"/>
          </w:tcPr>
          <w:p w14:paraId="0BFDE2AF">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w:t>
            </w:r>
          </w:p>
        </w:tc>
        <w:tc>
          <w:tcPr>
            <w:tcW w:w="1333" w:type="dxa"/>
            <w:vMerge w:val="restart"/>
            <w:noWrap/>
            <w:vAlign w:val="center"/>
          </w:tcPr>
          <w:p w14:paraId="68DC792C">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王门村</w:t>
            </w:r>
          </w:p>
        </w:tc>
        <w:tc>
          <w:tcPr>
            <w:tcW w:w="1351" w:type="dxa"/>
            <w:noWrap/>
            <w:vAlign w:val="center"/>
          </w:tcPr>
          <w:p w14:paraId="25CC720C">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王门</w:t>
            </w:r>
          </w:p>
        </w:tc>
        <w:tc>
          <w:tcPr>
            <w:tcW w:w="1418" w:type="dxa"/>
            <w:noWrap/>
            <w:vAlign w:val="center"/>
          </w:tcPr>
          <w:p w14:paraId="547CAC9B">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446</w:t>
            </w:r>
          </w:p>
        </w:tc>
        <w:tc>
          <w:tcPr>
            <w:tcW w:w="992" w:type="dxa"/>
            <w:vMerge w:val="restart"/>
            <w:noWrap/>
            <w:vAlign w:val="center"/>
          </w:tcPr>
          <w:p w14:paraId="041042A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1349</w:t>
            </w:r>
          </w:p>
        </w:tc>
        <w:tc>
          <w:tcPr>
            <w:tcW w:w="1276" w:type="dxa"/>
            <w:noWrap/>
            <w:vAlign w:val="center"/>
          </w:tcPr>
          <w:p w14:paraId="473DDE4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1560</w:t>
            </w:r>
          </w:p>
        </w:tc>
        <w:tc>
          <w:tcPr>
            <w:tcW w:w="1276" w:type="dxa"/>
            <w:vMerge w:val="restart"/>
            <w:noWrap/>
            <w:vAlign w:val="center"/>
          </w:tcPr>
          <w:p w14:paraId="5B0FDB9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4810</w:t>
            </w:r>
          </w:p>
        </w:tc>
      </w:tr>
      <w:tr w14:paraId="7EAB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6A618359">
            <w:pPr>
              <w:rPr>
                <w:rFonts w:hint="eastAsia" w:ascii="宋体" w:hAnsi="宋体" w:eastAsia="宋体" w:cs="宋体"/>
                <w:color w:val="000000"/>
                <w:sz w:val="24"/>
              </w:rPr>
            </w:pPr>
          </w:p>
        </w:tc>
        <w:tc>
          <w:tcPr>
            <w:tcW w:w="1333" w:type="dxa"/>
            <w:vMerge w:val="continue"/>
            <w:noWrap w:val="0"/>
            <w:vAlign w:val="center"/>
          </w:tcPr>
          <w:p w14:paraId="007675D1">
            <w:pPr>
              <w:rPr>
                <w:rFonts w:hint="eastAsia" w:ascii="宋体" w:hAnsi="宋体" w:eastAsia="宋体" w:cs="宋体"/>
                <w:b/>
                <w:bCs/>
                <w:color w:val="000000"/>
                <w:sz w:val="24"/>
              </w:rPr>
            </w:pPr>
          </w:p>
        </w:tc>
        <w:tc>
          <w:tcPr>
            <w:tcW w:w="1351" w:type="dxa"/>
            <w:noWrap/>
            <w:vAlign w:val="center"/>
          </w:tcPr>
          <w:p w14:paraId="24122512">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刘新庄</w:t>
            </w:r>
          </w:p>
        </w:tc>
        <w:tc>
          <w:tcPr>
            <w:tcW w:w="1418" w:type="dxa"/>
            <w:noWrap/>
            <w:vAlign w:val="center"/>
          </w:tcPr>
          <w:p w14:paraId="1FB42B33">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423</w:t>
            </w:r>
          </w:p>
        </w:tc>
        <w:tc>
          <w:tcPr>
            <w:tcW w:w="992" w:type="dxa"/>
            <w:vMerge w:val="continue"/>
            <w:noWrap w:val="0"/>
            <w:vAlign w:val="center"/>
          </w:tcPr>
          <w:p w14:paraId="7B3C9AC4">
            <w:pPr>
              <w:rPr>
                <w:rFonts w:hint="eastAsia" w:ascii="宋体" w:hAnsi="宋体" w:eastAsia="宋体" w:cs="宋体"/>
                <w:color w:val="000000"/>
                <w:sz w:val="24"/>
              </w:rPr>
            </w:pPr>
          </w:p>
        </w:tc>
        <w:tc>
          <w:tcPr>
            <w:tcW w:w="1276" w:type="dxa"/>
            <w:noWrap/>
            <w:vAlign w:val="center"/>
          </w:tcPr>
          <w:p w14:paraId="6048C7A1">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1430</w:t>
            </w:r>
          </w:p>
        </w:tc>
        <w:tc>
          <w:tcPr>
            <w:tcW w:w="1276" w:type="dxa"/>
            <w:vMerge w:val="continue"/>
            <w:noWrap w:val="0"/>
            <w:vAlign w:val="center"/>
          </w:tcPr>
          <w:p w14:paraId="2EECDA42">
            <w:pPr>
              <w:rPr>
                <w:rFonts w:hint="eastAsia" w:ascii="宋体" w:hAnsi="宋体" w:eastAsia="宋体" w:cs="宋体"/>
                <w:color w:val="000000"/>
                <w:sz w:val="24"/>
              </w:rPr>
            </w:pPr>
          </w:p>
        </w:tc>
      </w:tr>
      <w:tr w14:paraId="3F5F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51311D45">
            <w:pPr>
              <w:rPr>
                <w:rFonts w:hint="eastAsia" w:ascii="宋体" w:hAnsi="宋体" w:eastAsia="宋体" w:cs="宋体"/>
                <w:color w:val="000000"/>
                <w:sz w:val="24"/>
              </w:rPr>
            </w:pPr>
          </w:p>
        </w:tc>
        <w:tc>
          <w:tcPr>
            <w:tcW w:w="1333" w:type="dxa"/>
            <w:vMerge w:val="continue"/>
            <w:noWrap w:val="0"/>
            <w:vAlign w:val="center"/>
          </w:tcPr>
          <w:p w14:paraId="14508B2E">
            <w:pPr>
              <w:rPr>
                <w:rFonts w:hint="eastAsia" w:ascii="宋体" w:hAnsi="宋体" w:eastAsia="宋体" w:cs="宋体"/>
                <w:b/>
                <w:bCs/>
                <w:color w:val="000000"/>
                <w:sz w:val="24"/>
              </w:rPr>
            </w:pPr>
          </w:p>
        </w:tc>
        <w:tc>
          <w:tcPr>
            <w:tcW w:w="1351" w:type="dxa"/>
            <w:noWrap/>
            <w:vAlign w:val="center"/>
          </w:tcPr>
          <w:p w14:paraId="503F5894">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半步店</w:t>
            </w:r>
          </w:p>
        </w:tc>
        <w:tc>
          <w:tcPr>
            <w:tcW w:w="1418" w:type="dxa"/>
            <w:noWrap/>
            <w:vAlign w:val="center"/>
          </w:tcPr>
          <w:p w14:paraId="518FD36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480</w:t>
            </w:r>
          </w:p>
        </w:tc>
        <w:tc>
          <w:tcPr>
            <w:tcW w:w="992" w:type="dxa"/>
            <w:vMerge w:val="continue"/>
            <w:noWrap w:val="0"/>
            <w:vAlign w:val="center"/>
          </w:tcPr>
          <w:p w14:paraId="3587DCB7">
            <w:pPr>
              <w:rPr>
                <w:rFonts w:hint="eastAsia" w:ascii="宋体" w:hAnsi="宋体" w:eastAsia="宋体" w:cs="宋体"/>
                <w:color w:val="000000"/>
                <w:sz w:val="24"/>
              </w:rPr>
            </w:pPr>
          </w:p>
        </w:tc>
        <w:tc>
          <w:tcPr>
            <w:tcW w:w="1276" w:type="dxa"/>
            <w:noWrap/>
            <w:vAlign w:val="center"/>
          </w:tcPr>
          <w:p w14:paraId="67E19F8A">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1820</w:t>
            </w:r>
          </w:p>
        </w:tc>
        <w:tc>
          <w:tcPr>
            <w:tcW w:w="1276" w:type="dxa"/>
            <w:vMerge w:val="continue"/>
            <w:noWrap w:val="0"/>
            <w:vAlign w:val="center"/>
          </w:tcPr>
          <w:p w14:paraId="7D10B9E2">
            <w:pPr>
              <w:rPr>
                <w:rFonts w:hint="eastAsia" w:ascii="宋体" w:hAnsi="宋体" w:eastAsia="宋体" w:cs="宋体"/>
                <w:color w:val="000000"/>
                <w:sz w:val="24"/>
              </w:rPr>
            </w:pPr>
          </w:p>
        </w:tc>
      </w:tr>
      <w:tr w14:paraId="432B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noWrap/>
            <w:vAlign w:val="center"/>
          </w:tcPr>
          <w:p w14:paraId="422FEFF5">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5</w:t>
            </w:r>
          </w:p>
        </w:tc>
        <w:tc>
          <w:tcPr>
            <w:tcW w:w="1333" w:type="dxa"/>
            <w:noWrap/>
            <w:vAlign w:val="center"/>
          </w:tcPr>
          <w:p w14:paraId="50FD4B17">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大彭村</w:t>
            </w:r>
          </w:p>
        </w:tc>
        <w:tc>
          <w:tcPr>
            <w:tcW w:w="1351" w:type="dxa"/>
            <w:noWrap/>
            <w:vAlign w:val="center"/>
          </w:tcPr>
          <w:p w14:paraId="2836E503">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新张井</w:t>
            </w:r>
          </w:p>
        </w:tc>
        <w:tc>
          <w:tcPr>
            <w:tcW w:w="1418" w:type="dxa"/>
            <w:noWrap/>
            <w:vAlign w:val="center"/>
          </w:tcPr>
          <w:p w14:paraId="5D56A75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350户</w:t>
            </w:r>
          </w:p>
        </w:tc>
        <w:tc>
          <w:tcPr>
            <w:tcW w:w="992" w:type="dxa"/>
            <w:noWrap/>
            <w:vAlign w:val="center"/>
          </w:tcPr>
          <w:p w14:paraId="6AE8CBCC">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350</w:t>
            </w:r>
          </w:p>
        </w:tc>
        <w:tc>
          <w:tcPr>
            <w:tcW w:w="1276" w:type="dxa"/>
            <w:noWrap/>
            <w:vAlign w:val="center"/>
          </w:tcPr>
          <w:p w14:paraId="7B2C341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1526人</w:t>
            </w:r>
          </w:p>
        </w:tc>
        <w:tc>
          <w:tcPr>
            <w:tcW w:w="1276" w:type="dxa"/>
            <w:noWrap/>
            <w:vAlign w:val="center"/>
          </w:tcPr>
          <w:p w14:paraId="02A34D43">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1526</w:t>
            </w:r>
          </w:p>
        </w:tc>
      </w:tr>
      <w:tr w14:paraId="1479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restart"/>
            <w:noWrap/>
            <w:vAlign w:val="center"/>
          </w:tcPr>
          <w:p w14:paraId="1FF8D35C">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w:t>
            </w:r>
          </w:p>
        </w:tc>
        <w:tc>
          <w:tcPr>
            <w:tcW w:w="1333" w:type="dxa"/>
            <w:vMerge w:val="restart"/>
            <w:noWrap/>
            <w:vAlign w:val="center"/>
          </w:tcPr>
          <w:p w14:paraId="45DAB4DE">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义安村</w:t>
            </w:r>
          </w:p>
        </w:tc>
        <w:tc>
          <w:tcPr>
            <w:tcW w:w="1351" w:type="dxa"/>
            <w:noWrap/>
            <w:vAlign w:val="center"/>
          </w:tcPr>
          <w:p w14:paraId="73A1981D">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杨山头</w:t>
            </w:r>
          </w:p>
        </w:tc>
        <w:tc>
          <w:tcPr>
            <w:tcW w:w="1418" w:type="dxa"/>
            <w:noWrap/>
            <w:vAlign w:val="center"/>
          </w:tcPr>
          <w:p w14:paraId="3C24FC63">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141</w:t>
            </w:r>
          </w:p>
        </w:tc>
        <w:tc>
          <w:tcPr>
            <w:tcW w:w="992" w:type="dxa"/>
            <w:vMerge w:val="restart"/>
            <w:noWrap/>
            <w:vAlign w:val="center"/>
          </w:tcPr>
          <w:p w14:paraId="2E41050D">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830</w:t>
            </w:r>
          </w:p>
        </w:tc>
        <w:tc>
          <w:tcPr>
            <w:tcW w:w="1276" w:type="dxa"/>
            <w:noWrap/>
            <w:vAlign w:val="center"/>
          </w:tcPr>
          <w:p w14:paraId="2CEBD58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594</w:t>
            </w:r>
          </w:p>
        </w:tc>
        <w:tc>
          <w:tcPr>
            <w:tcW w:w="1276" w:type="dxa"/>
            <w:vMerge w:val="restart"/>
            <w:noWrap/>
            <w:vAlign w:val="center"/>
          </w:tcPr>
          <w:p w14:paraId="2850AE8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3440</w:t>
            </w:r>
          </w:p>
        </w:tc>
      </w:tr>
      <w:tr w14:paraId="3EBD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46B7227C">
            <w:pPr>
              <w:rPr>
                <w:rFonts w:hint="eastAsia" w:ascii="宋体" w:hAnsi="宋体" w:eastAsia="宋体" w:cs="宋体"/>
                <w:color w:val="000000"/>
                <w:sz w:val="24"/>
              </w:rPr>
            </w:pPr>
          </w:p>
        </w:tc>
        <w:tc>
          <w:tcPr>
            <w:tcW w:w="1333" w:type="dxa"/>
            <w:vMerge w:val="continue"/>
            <w:noWrap w:val="0"/>
            <w:vAlign w:val="center"/>
          </w:tcPr>
          <w:p w14:paraId="556B8C00">
            <w:pPr>
              <w:rPr>
                <w:rFonts w:hint="eastAsia" w:ascii="宋体" w:hAnsi="宋体" w:eastAsia="宋体" w:cs="宋体"/>
                <w:b/>
                <w:bCs/>
                <w:color w:val="000000"/>
                <w:sz w:val="24"/>
              </w:rPr>
            </w:pPr>
          </w:p>
        </w:tc>
        <w:tc>
          <w:tcPr>
            <w:tcW w:w="1351" w:type="dxa"/>
            <w:noWrap/>
            <w:vAlign w:val="center"/>
          </w:tcPr>
          <w:p w14:paraId="2BDC7691">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义安</w:t>
            </w:r>
          </w:p>
        </w:tc>
        <w:tc>
          <w:tcPr>
            <w:tcW w:w="1418" w:type="dxa"/>
            <w:noWrap/>
            <w:vAlign w:val="center"/>
          </w:tcPr>
          <w:p w14:paraId="3148D7E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442</w:t>
            </w:r>
          </w:p>
        </w:tc>
        <w:tc>
          <w:tcPr>
            <w:tcW w:w="992" w:type="dxa"/>
            <w:vMerge w:val="continue"/>
            <w:noWrap w:val="0"/>
            <w:vAlign w:val="center"/>
          </w:tcPr>
          <w:p w14:paraId="29F1E28C">
            <w:pPr>
              <w:rPr>
                <w:rFonts w:hint="eastAsia" w:ascii="宋体" w:hAnsi="宋体" w:eastAsia="宋体" w:cs="宋体"/>
                <w:color w:val="000000"/>
                <w:sz w:val="24"/>
              </w:rPr>
            </w:pPr>
          </w:p>
        </w:tc>
        <w:tc>
          <w:tcPr>
            <w:tcW w:w="1276" w:type="dxa"/>
            <w:noWrap/>
            <w:vAlign w:val="center"/>
          </w:tcPr>
          <w:p w14:paraId="3855B14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1903</w:t>
            </w:r>
          </w:p>
        </w:tc>
        <w:tc>
          <w:tcPr>
            <w:tcW w:w="1276" w:type="dxa"/>
            <w:vMerge w:val="continue"/>
            <w:noWrap w:val="0"/>
            <w:vAlign w:val="center"/>
          </w:tcPr>
          <w:p w14:paraId="5B87FBBC">
            <w:pPr>
              <w:rPr>
                <w:rFonts w:hint="eastAsia" w:ascii="宋体" w:hAnsi="宋体" w:eastAsia="宋体" w:cs="宋体"/>
                <w:color w:val="000000"/>
                <w:sz w:val="24"/>
              </w:rPr>
            </w:pPr>
          </w:p>
        </w:tc>
      </w:tr>
      <w:tr w14:paraId="2B20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2C892966">
            <w:pPr>
              <w:rPr>
                <w:rFonts w:hint="eastAsia" w:ascii="宋体" w:hAnsi="宋体" w:eastAsia="宋体" w:cs="宋体"/>
                <w:color w:val="000000"/>
                <w:sz w:val="24"/>
              </w:rPr>
            </w:pPr>
          </w:p>
        </w:tc>
        <w:tc>
          <w:tcPr>
            <w:tcW w:w="1333" w:type="dxa"/>
            <w:vMerge w:val="continue"/>
            <w:noWrap w:val="0"/>
            <w:vAlign w:val="center"/>
          </w:tcPr>
          <w:p w14:paraId="13A587DF">
            <w:pPr>
              <w:rPr>
                <w:rFonts w:hint="eastAsia" w:ascii="宋体" w:hAnsi="宋体" w:eastAsia="宋体" w:cs="宋体"/>
                <w:b/>
                <w:bCs/>
                <w:color w:val="000000"/>
                <w:sz w:val="24"/>
              </w:rPr>
            </w:pPr>
          </w:p>
        </w:tc>
        <w:tc>
          <w:tcPr>
            <w:tcW w:w="1351" w:type="dxa"/>
            <w:noWrap/>
            <w:vAlign w:val="center"/>
          </w:tcPr>
          <w:p w14:paraId="02AE182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下王庄</w:t>
            </w:r>
          </w:p>
        </w:tc>
        <w:tc>
          <w:tcPr>
            <w:tcW w:w="1418" w:type="dxa"/>
            <w:noWrap/>
            <w:vAlign w:val="center"/>
          </w:tcPr>
          <w:p w14:paraId="519D9A9D">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247</w:t>
            </w:r>
          </w:p>
        </w:tc>
        <w:tc>
          <w:tcPr>
            <w:tcW w:w="992" w:type="dxa"/>
            <w:vMerge w:val="continue"/>
            <w:noWrap w:val="0"/>
            <w:vAlign w:val="center"/>
          </w:tcPr>
          <w:p w14:paraId="15BEC5A7">
            <w:pPr>
              <w:rPr>
                <w:rFonts w:hint="eastAsia" w:ascii="宋体" w:hAnsi="宋体" w:eastAsia="宋体" w:cs="宋体"/>
                <w:color w:val="000000"/>
                <w:sz w:val="24"/>
              </w:rPr>
            </w:pPr>
          </w:p>
        </w:tc>
        <w:tc>
          <w:tcPr>
            <w:tcW w:w="1276" w:type="dxa"/>
            <w:noWrap/>
            <w:vAlign w:val="center"/>
          </w:tcPr>
          <w:p w14:paraId="19D0A09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943</w:t>
            </w:r>
          </w:p>
        </w:tc>
        <w:tc>
          <w:tcPr>
            <w:tcW w:w="1276" w:type="dxa"/>
            <w:vMerge w:val="continue"/>
            <w:noWrap w:val="0"/>
            <w:vAlign w:val="center"/>
          </w:tcPr>
          <w:p w14:paraId="2474BECA">
            <w:pPr>
              <w:rPr>
                <w:rFonts w:hint="eastAsia" w:ascii="宋体" w:hAnsi="宋体" w:eastAsia="宋体" w:cs="宋体"/>
                <w:color w:val="000000"/>
                <w:sz w:val="24"/>
              </w:rPr>
            </w:pPr>
          </w:p>
        </w:tc>
      </w:tr>
      <w:tr w14:paraId="2BB8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restart"/>
            <w:noWrap/>
            <w:vAlign w:val="center"/>
          </w:tcPr>
          <w:p w14:paraId="3BB8919B">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p>
        </w:tc>
        <w:tc>
          <w:tcPr>
            <w:tcW w:w="1333" w:type="dxa"/>
            <w:vMerge w:val="restart"/>
            <w:noWrap/>
            <w:vAlign w:val="center"/>
          </w:tcPr>
          <w:p w14:paraId="36C0D691">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权寨村</w:t>
            </w:r>
          </w:p>
        </w:tc>
        <w:tc>
          <w:tcPr>
            <w:tcW w:w="1351" w:type="dxa"/>
            <w:noWrap/>
            <w:vAlign w:val="center"/>
          </w:tcPr>
          <w:p w14:paraId="02BA80A3">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小柳庄</w:t>
            </w:r>
          </w:p>
        </w:tc>
        <w:tc>
          <w:tcPr>
            <w:tcW w:w="1418" w:type="dxa"/>
            <w:noWrap/>
            <w:vAlign w:val="center"/>
          </w:tcPr>
          <w:p w14:paraId="7BF88B31">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178</w:t>
            </w:r>
          </w:p>
        </w:tc>
        <w:tc>
          <w:tcPr>
            <w:tcW w:w="992" w:type="dxa"/>
            <w:vMerge w:val="restart"/>
            <w:noWrap/>
            <w:vAlign w:val="center"/>
          </w:tcPr>
          <w:p w14:paraId="799A7004">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789</w:t>
            </w:r>
          </w:p>
        </w:tc>
        <w:tc>
          <w:tcPr>
            <w:tcW w:w="1276" w:type="dxa"/>
            <w:noWrap/>
            <w:vAlign w:val="center"/>
          </w:tcPr>
          <w:p w14:paraId="7251D2F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722</w:t>
            </w:r>
          </w:p>
        </w:tc>
        <w:tc>
          <w:tcPr>
            <w:tcW w:w="1276" w:type="dxa"/>
            <w:vMerge w:val="restart"/>
            <w:noWrap/>
            <w:vAlign w:val="center"/>
          </w:tcPr>
          <w:p w14:paraId="05658D46">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3160</w:t>
            </w:r>
          </w:p>
        </w:tc>
      </w:tr>
      <w:tr w14:paraId="4C0D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658A5B7E">
            <w:pPr>
              <w:rPr>
                <w:rFonts w:hint="eastAsia" w:ascii="宋体" w:hAnsi="宋体" w:eastAsia="宋体" w:cs="宋体"/>
                <w:color w:val="000000"/>
                <w:sz w:val="24"/>
              </w:rPr>
            </w:pPr>
          </w:p>
        </w:tc>
        <w:tc>
          <w:tcPr>
            <w:tcW w:w="1333" w:type="dxa"/>
            <w:vMerge w:val="continue"/>
            <w:noWrap w:val="0"/>
            <w:vAlign w:val="center"/>
          </w:tcPr>
          <w:p w14:paraId="19C198E8">
            <w:pPr>
              <w:rPr>
                <w:rFonts w:hint="eastAsia" w:ascii="宋体" w:hAnsi="宋体" w:eastAsia="宋体" w:cs="宋体"/>
                <w:b/>
                <w:bCs/>
                <w:color w:val="000000"/>
                <w:sz w:val="24"/>
              </w:rPr>
            </w:pPr>
          </w:p>
        </w:tc>
        <w:tc>
          <w:tcPr>
            <w:tcW w:w="1351" w:type="dxa"/>
            <w:noWrap/>
            <w:vAlign w:val="center"/>
          </w:tcPr>
          <w:p w14:paraId="63D801CB">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权寨</w:t>
            </w:r>
          </w:p>
        </w:tc>
        <w:tc>
          <w:tcPr>
            <w:tcW w:w="1418" w:type="dxa"/>
            <w:noWrap/>
            <w:vAlign w:val="center"/>
          </w:tcPr>
          <w:p w14:paraId="75B420DB">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223</w:t>
            </w:r>
          </w:p>
        </w:tc>
        <w:tc>
          <w:tcPr>
            <w:tcW w:w="992" w:type="dxa"/>
            <w:vMerge w:val="continue"/>
            <w:noWrap w:val="0"/>
            <w:vAlign w:val="center"/>
          </w:tcPr>
          <w:p w14:paraId="2105AA9C">
            <w:pPr>
              <w:rPr>
                <w:rFonts w:hint="eastAsia" w:ascii="宋体" w:hAnsi="宋体" w:eastAsia="宋体" w:cs="宋体"/>
                <w:color w:val="000000"/>
                <w:sz w:val="24"/>
              </w:rPr>
            </w:pPr>
          </w:p>
        </w:tc>
        <w:tc>
          <w:tcPr>
            <w:tcW w:w="1276" w:type="dxa"/>
            <w:noWrap/>
            <w:vAlign w:val="center"/>
          </w:tcPr>
          <w:p w14:paraId="4FC4DA3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887</w:t>
            </w:r>
          </w:p>
        </w:tc>
        <w:tc>
          <w:tcPr>
            <w:tcW w:w="1276" w:type="dxa"/>
            <w:vMerge w:val="continue"/>
            <w:noWrap w:val="0"/>
            <w:vAlign w:val="center"/>
          </w:tcPr>
          <w:p w14:paraId="774F28B9">
            <w:pPr>
              <w:rPr>
                <w:rFonts w:hint="eastAsia" w:ascii="宋体" w:hAnsi="宋体" w:eastAsia="宋体" w:cs="宋体"/>
                <w:color w:val="000000"/>
                <w:sz w:val="24"/>
              </w:rPr>
            </w:pPr>
          </w:p>
        </w:tc>
      </w:tr>
      <w:tr w14:paraId="650B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1A8D83F7">
            <w:pPr>
              <w:rPr>
                <w:rFonts w:hint="eastAsia" w:ascii="宋体" w:hAnsi="宋体" w:eastAsia="宋体" w:cs="宋体"/>
                <w:color w:val="000000"/>
                <w:sz w:val="24"/>
              </w:rPr>
            </w:pPr>
          </w:p>
        </w:tc>
        <w:tc>
          <w:tcPr>
            <w:tcW w:w="1333" w:type="dxa"/>
            <w:vMerge w:val="continue"/>
            <w:noWrap w:val="0"/>
            <w:vAlign w:val="center"/>
          </w:tcPr>
          <w:p w14:paraId="59CEBC70">
            <w:pPr>
              <w:rPr>
                <w:rFonts w:hint="eastAsia" w:ascii="宋体" w:hAnsi="宋体" w:eastAsia="宋体" w:cs="宋体"/>
                <w:b/>
                <w:bCs/>
                <w:color w:val="000000"/>
                <w:sz w:val="24"/>
              </w:rPr>
            </w:pPr>
          </w:p>
        </w:tc>
        <w:tc>
          <w:tcPr>
            <w:tcW w:w="1351" w:type="dxa"/>
            <w:noWrap/>
            <w:vAlign w:val="center"/>
          </w:tcPr>
          <w:p w14:paraId="0F70F3A1">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杨楼</w:t>
            </w:r>
          </w:p>
        </w:tc>
        <w:tc>
          <w:tcPr>
            <w:tcW w:w="1418" w:type="dxa"/>
            <w:noWrap/>
            <w:vAlign w:val="center"/>
          </w:tcPr>
          <w:p w14:paraId="3D4AB41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82</w:t>
            </w:r>
          </w:p>
        </w:tc>
        <w:tc>
          <w:tcPr>
            <w:tcW w:w="992" w:type="dxa"/>
            <w:vMerge w:val="continue"/>
            <w:noWrap w:val="0"/>
            <w:vAlign w:val="center"/>
          </w:tcPr>
          <w:p w14:paraId="34BD2146">
            <w:pPr>
              <w:rPr>
                <w:rFonts w:hint="eastAsia" w:ascii="宋体" w:hAnsi="宋体" w:eastAsia="宋体" w:cs="宋体"/>
                <w:color w:val="000000"/>
                <w:sz w:val="24"/>
              </w:rPr>
            </w:pPr>
          </w:p>
        </w:tc>
        <w:tc>
          <w:tcPr>
            <w:tcW w:w="1276" w:type="dxa"/>
            <w:noWrap/>
            <w:vAlign w:val="center"/>
          </w:tcPr>
          <w:p w14:paraId="05E3D11D">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317</w:t>
            </w:r>
          </w:p>
        </w:tc>
        <w:tc>
          <w:tcPr>
            <w:tcW w:w="1276" w:type="dxa"/>
            <w:vMerge w:val="continue"/>
            <w:noWrap w:val="0"/>
            <w:vAlign w:val="center"/>
          </w:tcPr>
          <w:p w14:paraId="65A3FF19">
            <w:pPr>
              <w:rPr>
                <w:rFonts w:hint="eastAsia" w:ascii="宋体" w:hAnsi="宋体" w:eastAsia="宋体" w:cs="宋体"/>
                <w:color w:val="000000"/>
                <w:sz w:val="24"/>
              </w:rPr>
            </w:pPr>
          </w:p>
        </w:tc>
      </w:tr>
      <w:tr w14:paraId="37C8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51B4E217">
            <w:pPr>
              <w:rPr>
                <w:rFonts w:hint="eastAsia" w:ascii="宋体" w:hAnsi="宋体" w:eastAsia="宋体" w:cs="宋体"/>
                <w:color w:val="000000"/>
                <w:sz w:val="24"/>
              </w:rPr>
            </w:pPr>
          </w:p>
        </w:tc>
        <w:tc>
          <w:tcPr>
            <w:tcW w:w="1333" w:type="dxa"/>
            <w:vMerge w:val="continue"/>
            <w:noWrap w:val="0"/>
            <w:vAlign w:val="center"/>
          </w:tcPr>
          <w:p w14:paraId="51A35674">
            <w:pPr>
              <w:rPr>
                <w:rFonts w:hint="eastAsia" w:ascii="宋体" w:hAnsi="宋体" w:eastAsia="宋体" w:cs="宋体"/>
                <w:b/>
                <w:bCs/>
                <w:color w:val="000000"/>
                <w:sz w:val="24"/>
              </w:rPr>
            </w:pPr>
          </w:p>
        </w:tc>
        <w:tc>
          <w:tcPr>
            <w:tcW w:w="1351" w:type="dxa"/>
            <w:noWrap/>
            <w:vAlign w:val="center"/>
          </w:tcPr>
          <w:p w14:paraId="5F37366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胡集</w:t>
            </w:r>
          </w:p>
        </w:tc>
        <w:tc>
          <w:tcPr>
            <w:tcW w:w="1418" w:type="dxa"/>
            <w:noWrap/>
            <w:vAlign w:val="center"/>
          </w:tcPr>
          <w:p w14:paraId="135C421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178</w:t>
            </w:r>
          </w:p>
        </w:tc>
        <w:tc>
          <w:tcPr>
            <w:tcW w:w="992" w:type="dxa"/>
            <w:vMerge w:val="continue"/>
            <w:noWrap w:val="0"/>
            <w:vAlign w:val="center"/>
          </w:tcPr>
          <w:p w14:paraId="37189A7C">
            <w:pPr>
              <w:rPr>
                <w:rFonts w:hint="eastAsia" w:ascii="宋体" w:hAnsi="宋体" w:eastAsia="宋体" w:cs="宋体"/>
                <w:color w:val="000000"/>
                <w:sz w:val="24"/>
              </w:rPr>
            </w:pPr>
          </w:p>
        </w:tc>
        <w:tc>
          <w:tcPr>
            <w:tcW w:w="1276" w:type="dxa"/>
            <w:noWrap/>
            <w:vAlign w:val="center"/>
          </w:tcPr>
          <w:p w14:paraId="5DD1CCD1">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688</w:t>
            </w:r>
          </w:p>
        </w:tc>
        <w:tc>
          <w:tcPr>
            <w:tcW w:w="1276" w:type="dxa"/>
            <w:vMerge w:val="continue"/>
            <w:noWrap w:val="0"/>
            <w:vAlign w:val="center"/>
          </w:tcPr>
          <w:p w14:paraId="13D87DF7">
            <w:pPr>
              <w:rPr>
                <w:rFonts w:hint="eastAsia" w:ascii="宋体" w:hAnsi="宋体" w:eastAsia="宋体" w:cs="宋体"/>
                <w:color w:val="000000"/>
                <w:sz w:val="24"/>
              </w:rPr>
            </w:pPr>
          </w:p>
        </w:tc>
      </w:tr>
      <w:tr w14:paraId="679C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4F3D574A">
            <w:pPr>
              <w:rPr>
                <w:rFonts w:hint="eastAsia" w:ascii="宋体" w:hAnsi="宋体" w:eastAsia="宋体" w:cs="宋体"/>
                <w:color w:val="000000"/>
                <w:sz w:val="24"/>
              </w:rPr>
            </w:pPr>
          </w:p>
        </w:tc>
        <w:tc>
          <w:tcPr>
            <w:tcW w:w="1333" w:type="dxa"/>
            <w:vMerge w:val="continue"/>
            <w:noWrap w:val="0"/>
            <w:vAlign w:val="center"/>
          </w:tcPr>
          <w:p w14:paraId="7D66C0BE">
            <w:pPr>
              <w:rPr>
                <w:rFonts w:hint="eastAsia" w:ascii="宋体" w:hAnsi="宋体" w:eastAsia="宋体" w:cs="宋体"/>
                <w:b/>
                <w:bCs/>
                <w:color w:val="000000"/>
                <w:sz w:val="24"/>
              </w:rPr>
            </w:pPr>
          </w:p>
        </w:tc>
        <w:tc>
          <w:tcPr>
            <w:tcW w:w="1351" w:type="dxa"/>
            <w:noWrap/>
            <w:vAlign w:val="center"/>
          </w:tcPr>
          <w:p w14:paraId="115960EB">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官庄</w:t>
            </w:r>
          </w:p>
        </w:tc>
        <w:tc>
          <w:tcPr>
            <w:tcW w:w="1418" w:type="dxa"/>
            <w:noWrap/>
            <w:vAlign w:val="center"/>
          </w:tcPr>
          <w:p w14:paraId="3D348CB1">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66</w:t>
            </w:r>
          </w:p>
        </w:tc>
        <w:tc>
          <w:tcPr>
            <w:tcW w:w="992" w:type="dxa"/>
            <w:vMerge w:val="continue"/>
            <w:noWrap w:val="0"/>
            <w:vAlign w:val="center"/>
          </w:tcPr>
          <w:p w14:paraId="38BE05C8">
            <w:pPr>
              <w:rPr>
                <w:rFonts w:hint="eastAsia" w:ascii="宋体" w:hAnsi="宋体" w:eastAsia="宋体" w:cs="宋体"/>
                <w:color w:val="000000"/>
                <w:sz w:val="24"/>
              </w:rPr>
            </w:pPr>
          </w:p>
        </w:tc>
        <w:tc>
          <w:tcPr>
            <w:tcW w:w="1276" w:type="dxa"/>
            <w:noWrap/>
            <w:vAlign w:val="center"/>
          </w:tcPr>
          <w:p w14:paraId="325BB133">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282</w:t>
            </w:r>
          </w:p>
        </w:tc>
        <w:tc>
          <w:tcPr>
            <w:tcW w:w="1276" w:type="dxa"/>
            <w:vMerge w:val="continue"/>
            <w:noWrap w:val="0"/>
            <w:vAlign w:val="center"/>
          </w:tcPr>
          <w:p w14:paraId="601C7ACC">
            <w:pPr>
              <w:rPr>
                <w:rFonts w:hint="eastAsia" w:ascii="宋体" w:hAnsi="宋体" w:eastAsia="宋体" w:cs="宋体"/>
                <w:color w:val="000000"/>
                <w:sz w:val="24"/>
              </w:rPr>
            </w:pPr>
          </w:p>
        </w:tc>
      </w:tr>
      <w:tr w14:paraId="7F4C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7B8B3301">
            <w:pPr>
              <w:rPr>
                <w:rFonts w:hint="eastAsia" w:ascii="宋体" w:hAnsi="宋体" w:eastAsia="宋体" w:cs="宋体"/>
                <w:color w:val="000000"/>
                <w:sz w:val="24"/>
              </w:rPr>
            </w:pPr>
          </w:p>
        </w:tc>
        <w:tc>
          <w:tcPr>
            <w:tcW w:w="1333" w:type="dxa"/>
            <w:vMerge w:val="continue"/>
            <w:noWrap w:val="0"/>
            <w:vAlign w:val="center"/>
          </w:tcPr>
          <w:p w14:paraId="00D9972B">
            <w:pPr>
              <w:rPr>
                <w:rFonts w:hint="eastAsia" w:ascii="宋体" w:hAnsi="宋体" w:eastAsia="宋体" w:cs="宋体"/>
                <w:b/>
                <w:bCs/>
                <w:color w:val="000000"/>
                <w:sz w:val="24"/>
              </w:rPr>
            </w:pPr>
          </w:p>
        </w:tc>
        <w:tc>
          <w:tcPr>
            <w:tcW w:w="1351" w:type="dxa"/>
            <w:noWrap/>
            <w:vAlign w:val="center"/>
          </w:tcPr>
          <w:p w14:paraId="4BA6C8D6">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孟庄</w:t>
            </w:r>
          </w:p>
        </w:tc>
        <w:tc>
          <w:tcPr>
            <w:tcW w:w="1418" w:type="dxa"/>
            <w:noWrap/>
            <w:vAlign w:val="center"/>
          </w:tcPr>
          <w:p w14:paraId="4581FAF2">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62</w:t>
            </w:r>
          </w:p>
        </w:tc>
        <w:tc>
          <w:tcPr>
            <w:tcW w:w="992" w:type="dxa"/>
            <w:vMerge w:val="continue"/>
            <w:noWrap w:val="0"/>
            <w:vAlign w:val="center"/>
          </w:tcPr>
          <w:p w14:paraId="491F368C">
            <w:pPr>
              <w:rPr>
                <w:rFonts w:hint="eastAsia" w:ascii="宋体" w:hAnsi="宋体" w:eastAsia="宋体" w:cs="宋体"/>
                <w:color w:val="000000"/>
                <w:sz w:val="24"/>
              </w:rPr>
            </w:pPr>
          </w:p>
        </w:tc>
        <w:tc>
          <w:tcPr>
            <w:tcW w:w="1276" w:type="dxa"/>
            <w:noWrap/>
            <w:vAlign w:val="center"/>
          </w:tcPr>
          <w:p w14:paraId="646AA5E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264</w:t>
            </w:r>
          </w:p>
        </w:tc>
        <w:tc>
          <w:tcPr>
            <w:tcW w:w="1276" w:type="dxa"/>
            <w:vMerge w:val="continue"/>
            <w:noWrap w:val="0"/>
            <w:vAlign w:val="center"/>
          </w:tcPr>
          <w:p w14:paraId="7DB710E6">
            <w:pPr>
              <w:rPr>
                <w:rFonts w:hint="eastAsia" w:ascii="宋体" w:hAnsi="宋体" w:eastAsia="宋体" w:cs="宋体"/>
                <w:color w:val="000000"/>
                <w:sz w:val="24"/>
              </w:rPr>
            </w:pPr>
          </w:p>
        </w:tc>
      </w:tr>
      <w:tr w14:paraId="40BA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restart"/>
            <w:noWrap/>
            <w:vAlign w:val="center"/>
          </w:tcPr>
          <w:p w14:paraId="179610F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8</w:t>
            </w:r>
          </w:p>
        </w:tc>
        <w:tc>
          <w:tcPr>
            <w:tcW w:w="1333" w:type="dxa"/>
            <w:vMerge w:val="restart"/>
            <w:noWrap/>
            <w:vAlign w:val="center"/>
          </w:tcPr>
          <w:p w14:paraId="53529CD2">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程庄村</w:t>
            </w:r>
          </w:p>
        </w:tc>
        <w:tc>
          <w:tcPr>
            <w:tcW w:w="1351" w:type="dxa"/>
            <w:noWrap/>
            <w:vAlign w:val="center"/>
          </w:tcPr>
          <w:p w14:paraId="652E3FB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程庄</w:t>
            </w:r>
          </w:p>
        </w:tc>
        <w:tc>
          <w:tcPr>
            <w:tcW w:w="1418" w:type="dxa"/>
            <w:noWrap/>
            <w:vAlign w:val="center"/>
          </w:tcPr>
          <w:p w14:paraId="4D67338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705</w:t>
            </w:r>
          </w:p>
        </w:tc>
        <w:tc>
          <w:tcPr>
            <w:tcW w:w="992" w:type="dxa"/>
            <w:vMerge w:val="restart"/>
            <w:noWrap/>
            <w:vAlign w:val="center"/>
          </w:tcPr>
          <w:p w14:paraId="770C9CB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1735</w:t>
            </w:r>
          </w:p>
        </w:tc>
        <w:tc>
          <w:tcPr>
            <w:tcW w:w="1276" w:type="dxa"/>
            <w:noWrap/>
            <w:vAlign w:val="center"/>
          </w:tcPr>
          <w:p w14:paraId="3FF6A51D">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3070</w:t>
            </w:r>
          </w:p>
        </w:tc>
        <w:tc>
          <w:tcPr>
            <w:tcW w:w="1276" w:type="dxa"/>
            <w:vMerge w:val="restart"/>
            <w:noWrap/>
            <w:vAlign w:val="center"/>
          </w:tcPr>
          <w:p w14:paraId="070076A1">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6350</w:t>
            </w:r>
          </w:p>
        </w:tc>
      </w:tr>
      <w:tr w14:paraId="77E4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71FDE9BF">
            <w:pPr>
              <w:rPr>
                <w:rFonts w:hint="eastAsia" w:ascii="宋体" w:hAnsi="宋体" w:eastAsia="宋体" w:cs="宋体"/>
                <w:color w:val="000000"/>
                <w:sz w:val="24"/>
              </w:rPr>
            </w:pPr>
          </w:p>
        </w:tc>
        <w:tc>
          <w:tcPr>
            <w:tcW w:w="1333" w:type="dxa"/>
            <w:vMerge w:val="continue"/>
            <w:noWrap w:val="0"/>
            <w:vAlign w:val="center"/>
          </w:tcPr>
          <w:p w14:paraId="08649638">
            <w:pPr>
              <w:rPr>
                <w:rFonts w:hint="eastAsia" w:ascii="宋体" w:hAnsi="宋体" w:eastAsia="宋体" w:cs="宋体"/>
                <w:b/>
                <w:bCs/>
                <w:color w:val="000000"/>
                <w:sz w:val="24"/>
              </w:rPr>
            </w:pPr>
          </w:p>
        </w:tc>
        <w:tc>
          <w:tcPr>
            <w:tcW w:w="1351" w:type="dxa"/>
            <w:noWrap/>
            <w:vAlign w:val="center"/>
          </w:tcPr>
          <w:p w14:paraId="068FF5CA">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土楼</w:t>
            </w:r>
          </w:p>
        </w:tc>
        <w:tc>
          <w:tcPr>
            <w:tcW w:w="1418" w:type="dxa"/>
            <w:noWrap/>
            <w:vAlign w:val="center"/>
          </w:tcPr>
          <w:p w14:paraId="20D87F45">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565</w:t>
            </w:r>
          </w:p>
        </w:tc>
        <w:tc>
          <w:tcPr>
            <w:tcW w:w="992" w:type="dxa"/>
            <w:vMerge w:val="continue"/>
            <w:noWrap w:val="0"/>
            <w:vAlign w:val="center"/>
          </w:tcPr>
          <w:p w14:paraId="799C9600">
            <w:pPr>
              <w:rPr>
                <w:rFonts w:hint="eastAsia" w:ascii="宋体" w:hAnsi="宋体" w:eastAsia="宋体" w:cs="宋体"/>
                <w:color w:val="000000"/>
                <w:sz w:val="24"/>
              </w:rPr>
            </w:pPr>
          </w:p>
        </w:tc>
        <w:tc>
          <w:tcPr>
            <w:tcW w:w="1276" w:type="dxa"/>
            <w:noWrap/>
            <w:vAlign w:val="center"/>
          </w:tcPr>
          <w:p w14:paraId="20493F6C">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1810</w:t>
            </w:r>
          </w:p>
        </w:tc>
        <w:tc>
          <w:tcPr>
            <w:tcW w:w="1276" w:type="dxa"/>
            <w:vMerge w:val="continue"/>
            <w:noWrap w:val="0"/>
            <w:vAlign w:val="center"/>
          </w:tcPr>
          <w:p w14:paraId="5D5BC083">
            <w:pPr>
              <w:rPr>
                <w:rFonts w:hint="eastAsia" w:ascii="宋体" w:hAnsi="宋体" w:eastAsia="宋体" w:cs="宋体"/>
                <w:color w:val="000000"/>
                <w:sz w:val="24"/>
              </w:rPr>
            </w:pPr>
          </w:p>
        </w:tc>
      </w:tr>
      <w:tr w14:paraId="733D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673ACECE">
            <w:pPr>
              <w:rPr>
                <w:rFonts w:hint="eastAsia" w:ascii="宋体" w:hAnsi="宋体" w:eastAsia="宋体" w:cs="宋体"/>
                <w:color w:val="000000"/>
                <w:sz w:val="24"/>
              </w:rPr>
            </w:pPr>
          </w:p>
        </w:tc>
        <w:tc>
          <w:tcPr>
            <w:tcW w:w="1333" w:type="dxa"/>
            <w:vMerge w:val="continue"/>
            <w:noWrap w:val="0"/>
            <w:vAlign w:val="center"/>
          </w:tcPr>
          <w:p w14:paraId="090D4538">
            <w:pPr>
              <w:rPr>
                <w:rFonts w:hint="eastAsia" w:ascii="宋体" w:hAnsi="宋体" w:eastAsia="宋体" w:cs="宋体"/>
                <w:b/>
                <w:bCs/>
                <w:color w:val="000000"/>
                <w:sz w:val="24"/>
              </w:rPr>
            </w:pPr>
          </w:p>
        </w:tc>
        <w:tc>
          <w:tcPr>
            <w:tcW w:w="1351" w:type="dxa"/>
            <w:noWrap/>
            <w:vAlign w:val="center"/>
          </w:tcPr>
          <w:p w14:paraId="723F3EA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两半庄</w:t>
            </w:r>
          </w:p>
        </w:tc>
        <w:tc>
          <w:tcPr>
            <w:tcW w:w="1418" w:type="dxa"/>
            <w:noWrap/>
            <w:vAlign w:val="center"/>
          </w:tcPr>
          <w:p w14:paraId="4B41D04C">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465</w:t>
            </w:r>
          </w:p>
        </w:tc>
        <w:tc>
          <w:tcPr>
            <w:tcW w:w="992" w:type="dxa"/>
            <w:vMerge w:val="continue"/>
            <w:noWrap w:val="0"/>
            <w:vAlign w:val="center"/>
          </w:tcPr>
          <w:p w14:paraId="523A189C">
            <w:pPr>
              <w:rPr>
                <w:rFonts w:hint="eastAsia" w:ascii="宋体" w:hAnsi="宋体" w:eastAsia="宋体" w:cs="宋体"/>
                <w:color w:val="000000"/>
                <w:sz w:val="24"/>
              </w:rPr>
            </w:pPr>
          </w:p>
        </w:tc>
        <w:tc>
          <w:tcPr>
            <w:tcW w:w="1276" w:type="dxa"/>
            <w:noWrap/>
            <w:vAlign w:val="center"/>
          </w:tcPr>
          <w:p w14:paraId="2CC41A56">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1470</w:t>
            </w:r>
          </w:p>
        </w:tc>
        <w:tc>
          <w:tcPr>
            <w:tcW w:w="1276" w:type="dxa"/>
            <w:vMerge w:val="continue"/>
            <w:noWrap w:val="0"/>
            <w:vAlign w:val="center"/>
          </w:tcPr>
          <w:p w14:paraId="2A62FA2C">
            <w:pPr>
              <w:rPr>
                <w:rFonts w:hint="eastAsia" w:ascii="宋体" w:hAnsi="宋体" w:eastAsia="宋体" w:cs="宋体"/>
                <w:color w:val="000000"/>
                <w:sz w:val="24"/>
              </w:rPr>
            </w:pPr>
          </w:p>
        </w:tc>
      </w:tr>
      <w:tr w14:paraId="200A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restart"/>
            <w:noWrap/>
            <w:vAlign w:val="center"/>
          </w:tcPr>
          <w:p w14:paraId="3C089352">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9</w:t>
            </w:r>
          </w:p>
        </w:tc>
        <w:tc>
          <w:tcPr>
            <w:tcW w:w="1333" w:type="dxa"/>
            <w:vMerge w:val="restart"/>
            <w:noWrap/>
            <w:vAlign w:val="center"/>
          </w:tcPr>
          <w:p w14:paraId="6B167809">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闸口村</w:t>
            </w:r>
          </w:p>
        </w:tc>
        <w:tc>
          <w:tcPr>
            <w:tcW w:w="1351" w:type="dxa"/>
            <w:noWrap/>
            <w:vAlign w:val="center"/>
          </w:tcPr>
          <w:p w14:paraId="7131B9D2">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闸口</w:t>
            </w:r>
          </w:p>
        </w:tc>
        <w:tc>
          <w:tcPr>
            <w:tcW w:w="1418" w:type="dxa"/>
            <w:noWrap/>
            <w:vAlign w:val="center"/>
          </w:tcPr>
          <w:p w14:paraId="4BD2F23F">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570</w:t>
            </w:r>
          </w:p>
        </w:tc>
        <w:tc>
          <w:tcPr>
            <w:tcW w:w="992" w:type="dxa"/>
            <w:vMerge w:val="restart"/>
            <w:noWrap/>
            <w:vAlign w:val="center"/>
          </w:tcPr>
          <w:p w14:paraId="32827F7B">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1200</w:t>
            </w:r>
          </w:p>
        </w:tc>
        <w:tc>
          <w:tcPr>
            <w:tcW w:w="1276" w:type="dxa"/>
            <w:noWrap/>
            <w:vAlign w:val="center"/>
          </w:tcPr>
          <w:p w14:paraId="6CF1056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2210</w:t>
            </w:r>
          </w:p>
        </w:tc>
        <w:tc>
          <w:tcPr>
            <w:tcW w:w="1276" w:type="dxa"/>
            <w:vMerge w:val="restart"/>
            <w:noWrap/>
            <w:vAlign w:val="center"/>
          </w:tcPr>
          <w:p w14:paraId="1086D5D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4650</w:t>
            </w:r>
          </w:p>
        </w:tc>
      </w:tr>
      <w:tr w14:paraId="32F4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3731B8E7">
            <w:pPr>
              <w:rPr>
                <w:rFonts w:hint="eastAsia" w:ascii="宋体" w:hAnsi="宋体" w:eastAsia="宋体" w:cs="宋体"/>
                <w:color w:val="000000"/>
                <w:sz w:val="24"/>
              </w:rPr>
            </w:pPr>
          </w:p>
        </w:tc>
        <w:tc>
          <w:tcPr>
            <w:tcW w:w="1333" w:type="dxa"/>
            <w:vMerge w:val="continue"/>
            <w:noWrap w:val="0"/>
            <w:vAlign w:val="center"/>
          </w:tcPr>
          <w:p w14:paraId="131097CB">
            <w:pPr>
              <w:rPr>
                <w:rFonts w:hint="eastAsia" w:ascii="宋体" w:hAnsi="宋体" w:eastAsia="宋体" w:cs="宋体"/>
                <w:b/>
                <w:bCs/>
                <w:color w:val="000000"/>
                <w:sz w:val="24"/>
              </w:rPr>
            </w:pPr>
          </w:p>
        </w:tc>
        <w:tc>
          <w:tcPr>
            <w:tcW w:w="1351" w:type="dxa"/>
            <w:noWrap/>
            <w:vAlign w:val="center"/>
          </w:tcPr>
          <w:p w14:paraId="17398303">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王楼</w:t>
            </w:r>
          </w:p>
        </w:tc>
        <w:tc>
          <w:tcPr>
            <w:tcW w:w="1418" w:type="dxa"/>
            <w:noWrap/>
            <w:vAlign w:val="center"/>
          </w:tcPr>
          <w:p w14:paraId="32166D6D">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175</w:t>
            </w:r>
          </w:p>
        </w:tc>
        <w:tc>
          <w:tcPr>
            <w:tcW w:w="992" w:type="dxa"/>
            <w:vMerge w:val="continue"/>
            <w:noWrap w:val="0"/>
            <w:vAlign w:val="center"/>
          </w:tcPr>
          <w:p w14:paraId="1EFCB991">
            <w:pPr>
              <w:rPr>
                <w:rFonts w:hint="eastAsia" w:ascii="宋体" w:hAnsi="宋体" w:eastAsia="宋体" w:cs="宋体"/>
                <w:color w:val="000000"/>
                <w:sz w:val="24"/>
              </w:rPr>
            </w:pPr>
          </w:p>
        </w:tc>
        <w:tc>
          <w:tcPr>
            <w:tcW w:w="1276" w:type="dxa"/>
            <w:noWrap/>
            <w:vAlign w:val="center"/>
          </w:tcPr>
          <w:p w14:paraId="559B2D5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690</w:t>
            </w:r>
          </w:p>
        </w:tc>
        <w:tc>
          <w:tcPr>
            <w:tcW w:w="1276" w:type="dxa"/>
            <w:vMerge w:val="continue"/>
            <w:noWrap w:val="0"/>
            <w:vAlign w:val="center"/>
          </w:tcPr>
          <w:p w14:paraId="2241536A">
            <w:pPr>
              <w:rPr>
                <w:rFonts w:hint="eastAsia" w:ascii="宋体" w:hAnsi="宋体" w:eastAsia="宋体" w:cs="宋体"/>
                <w:color w:val="000000"/>
                <w:sz w:val="24"/>
              </w:rPr>
            </w:pPr>
          </w:p>
        </w:tc>
      </w:tr>
      <w:tr w14:paraId="63CC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092A3B72">
            <w:pPr>
              <w:rPr>
                <w:rFonts w:hint="eastAsia" w:ascii="宋体" w:hAnsi="宋体" w:eastAsia="宋体" w:cs="宋体"/>
                <w:color w:val="000000"/>
                <w:sz w:val="24"/>
              </w:rPr>
            </w:pPr>
          </w:p>
        </w:tc>
        <w:tc>
          <w:tcPr>
            <w:tcW w:w="1333" w:type="dxa"/>
            <w:vMerge w:val="continue"/>
            <w:noWrap w:val="0"/>
            <w:vAlign w:val="center"/>
          </w:tcPr>
          <w:p w14:paraId="05615C95">
            <w:pPr>
              <w:rPr>
                <w:rFonts w:hint="eastAsia" w:ascii="宋体" w:hAnsi="宋体" w:eastAsia="宋体" w:cs="宋体"/>
                <w:b/>
                <w:bCs/>
                <w:color w:val="000000"/>
                <w:sz w:val="24"/>
              </w:rPr>
            </w:pPr>
          </w:p>
        </w:tc>
        <w:tc>
          <w:tcPr>
            <w:tcW w:w="1351" w:type="dxa"/>
            <w:noWrap/>
            <w:vAlign w:val="center"/>
          </w:tcPr>
          <w:p w14:paraId="371C230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徐庵</w:t>
            </w:r>
          </w:p>
        </w:tc>
        <w:tc>
          <w:tcPr>
            <w:tcW w:w="1418" w:type="dxa"/>
            <w:noWrap/>
            <w:vAlign w:val="center"/>
          </w:tcPr>
          <w:p w14:paraId="6A16D5EC">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252</w:t>
            </w:r>
          </w:p>
        </w:tc>
        <w:tc>
          <w:tcPr>
            <w:tcW w:w="992" w:type="dxa"/>
            <w:vMerge w:val="continue"/>
            <w:noWrap w:val="0"/>
            <w:vAlign w:val="center"/>
          </w:tcPr>
          <w:p w14:paraId="166A18A4">
            <w:pPr>
              <w:rPr>
                <w:rFonts w:hint="eastAsia" w:ascii="宋体" w:hAnsi="宋体" w:eastAsia="宋体" w:cs="宋体"/>
                <w:color w:val="000000"/>
                <w:sz w:val="24"/>
              </w:rPr>
            </w:pPr>
          </w:p>
        </w:tc>
        <w:tc>
          <w:tcPr>
            <w:tcW w:w="1276" w:type="dxa"/>
            <w:noWrap/>
            <w:vAlign w:val="center"/>
          </w:tcPr>
          <w:p w14:paraId="3DE10F7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1030</w:t>
            </w:r>
          </w:p>
        </w:tc>
        <w:tc>
          <w:tcPr>
            <w:tcW w:w="1276" w:type="dxa"/>
            <w:vMerge w:val="continue"/>
            <w:noWrap w:val="0"/>
            <w:vAlign w:val="center"/>
          </w:tcPr>
          <w:p w14:paraId="42C83DE9">
            <w:pPr>
              <w:rPr>
                <w:rFonts w:hint="eastAsia" w:ascii="宋体" w:hAnsi="宋体" w:eastAsia="宋体" w:cs="宋体"/>
                <w:color w:val="000000"/>
                <w:sz w:val="24"/>
              </w:rPr>
            </w:pPr>
          </w:p>
        </w:tc>
      </w:tr>
      <w:tr w14:paraId="1AE1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39321044">
            <w:pPr>
              <w:rPr>
                <w:rFonts w:hint="eastAsia" w:ascii="宋体" w:hAnsi="宋体" w:eastAsia="宋体" w:cs="宋体"/>
                <w:color w:val="000000"/>
                <w:sz w:val="24"/>
              </w:rPr>
            </w:pPr>
          </w:p>
        </w:tc>
        <w:tc>
          <w:tcPr>
            <w:tcW w:w="1333" w:type="dxa"/>
            <w:vMerge w:val="continue"/>
            <w:noWrap w:val="0"/>
            <w:vAlign w:val="center"/>
          </w:tcPr>
          <w:p w14:paraId="006F11A7">
            <w:pPr>
              <w:rPr>
                <w:rFonts w:hint="eastAsia" w:ascii="宋体" w:hAnsi="宋体" w:eastAsia="宋体" w:cs="宋体"/>
                <w:b/>
                <w:bCs/>
                <w:color w:val="000000"/>
                <w:sz w:val="24"/>
              </w:rPr>
            </w:pPr>
          </w:p>
        </w:tc>
        <w:tc>
          <w:tcPr>
            <w:tcW w:w="1351" w:type="dxa"/>
            <w:noWrap/>
            <w:vAlign w:val="center"/>
          </w:tcPr>
          <w:p w14:paraId="64C87CA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小山子</w:t>
            </w:r>
          </w:p>
        </w:tc>
        <w:tc>
          <w:tcPr>
            <w:tcW w:w="1418" w:type="dxa"/>
            <w:noWrap/>
            <w:vAlign w:val="center"/>
          </w:tcPr>
          <w:p w14:paraId="0D6CAC23">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203</w:t>
            </w:r>
          </w:p>
        </w:tc>
        <w:tc>
          <w:tcPr>
            <w:tcW w:w="992" w:type="dxa"/>
            <w:vMerge w:val="continue"/>
            <w:noWrap w:val="0"/>
            <w:vAlign w:val="center"/>
          </w:tcPr>
          <w:p w14:paraId="190C18CC">
            <w:pPr>
              <w:rPr>
                <w:rFonts w:hint="eastAsia" w:ascii="宋体" w:hAnsi="宋体" w:eastAsia="宋体" w:cs="宋体"/>
                <w:color w:val="000000"/>
                <w:sz w:val="24"/>
              </w:rPr>
            </w:pPr>
          </w:p>
        </w:tc>
        <w:tc>
          <w:tcPr>
            <w:tcW w:w="1276" w:type="dxa"/>
            <w:noWrap/>
            <w:vAlign w:val="center"/>
          </w:tcPr>
          <w:p w14:paraId="5723983B">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720</w:t>
            </w:r>
          </w:p>
        </w:tc>
        <w:tc>
          <w:tcPr>
            <w:tcW w:w="1276" w:type="dxa"/>
            <w:vMerge w:val="continue"/>
            <w:noWrap w:val="0"/>
            <w:vAlign w:val="center"/>
          </w:tcPr>
          <w:p w14:paraId="3FCE3776">
            <w:pPr>
              <w:rPr>
                <w:rFonts w:hint="eastAsia" w:ascii="宋体" w:hAnsi="宋体" w:eastAsia="宋体" w:cs="宋体"/>
                <w:color w:val="000000"/>
                <w:sz w:val="24"/>
              </w:rPr>
            </w:pPr>
          </w:p>
        </w:tc>
      </w:tr>
      <w:tr w14:paraId="5A27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restart"/>
            <w:noWrap/>
            <w:vAlign w:val="center"/>
          </w:tcPr>
          <w:p w14:paraId="43644FE9">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10</w:t>
            </w:r>
          </w:p>
        </w:tc>
        <w:tc>
          <w:tcPr>
            <w:tcW w:w="1333" w:type="dxa"/>
            <w:vMerge w:val="restart"/>
            <w:noWrap/>
            <w:vAlign w:val="center"/>
          </w:tcPr>
          <w:p w14:paraId="35499EAF">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沙塘村</w:t>
            </w:r>
          </w:p>
        </w:tc>
        <w:tc>
          <w:tcPr>
            <w:tcW w:w="1351" w:type="dxa"/>
            <w:noWrap/>
            <w:vAlign w:val="center"/>
          </w:tcPr>
          <w:p w14:paraId="3150B58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沙塘</w:t>
            </w:r>
          </w:p>
        </w:tc>
        <w:tc>
          <w:tcPr>
            <w:tcW w:w="1418" w:type="dxa"/>
            <w:noWrap/>
            <w:vAlign w:val="center"/>
          </w:tcPr>
          <w:p w14:paraId="2C250D46">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570</w:t>
            </w:r>
          </w:p>
        </w:tc>
        <w:tc>
          <w:tcPr>
            <w:tcW w:w="992" w:type="dxa"/>
            <w:vMerge w:val="restart"/>
            <w:noWrap/>
            <w:vAlign w:val="center"/>
          </w:tcPr>
          <w:p w14:paraId="202B199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1081</w:t>
            </w:r>
          </w:p>
        </w:tc>
        <w:tc>
          <w:tcPr>
            <w:tcW w:w="1276" w:type="dxa"/>
            <w:noWrap/>
            <w:vAlign w:val="center"/>
          </w:tcPr>
          <w:p w14:paraId="3649C6CC">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1841</w:t>
            </w:r>
          </w:p>
        </w:tc>
        <w:tc>
          <w:tcPr>
            <w:tcW w:w="1276" w:type="dxa"/>
            <w:vMerge w:val="restart"/>
            <w:noWrap/>
            <w:vAlign w:val="center"/>
          </w:tcPr>
          <w:p w14:paraId="1DACCB6D">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3962</w:t>
            </w:r>
          </w:p>
        </w:tc>
      </w:tr>
      <w:tr w14:paraId="0A00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1F2FC637">
            <w:pPr>
              <w:rPr>
                <w:rFonts w:hint="eastAsia" w:ascii="宋体" w:hAnsi="宋体" w:eastAsia="宋体" w:cs="宋体"/>
                <w:color w:val="000000"/>
                <w:sz w:val="24"/>
              </w:rPr>
            </w:pPr>
          </w:p>
        </w:tc>
        <w:tc>
          <w:tcPr>
            <w:tcW w:w="1333" w:type="dxa"/>
            <w:vMerge w:val="continue"/>
            <w:noWrap w:val="0"/>
            <w:vAlign w:val="center"/>
          </w:tcPr>
          <w:p w14:paraId="45A01510">
            <w:pPr>
              <w:rPr>
                <w:rFonts w:hint="eastAsia" w:ascii="宋体" w:hAnsi="宋体" w:eastAsia="宋体" w:cs="宋体"/>
                <w:b/>
                <w:bCs/>
                <w:color w:val="000000"/>
                <w:sz w:val="24"/>
              </w:rPr>
            </w:pPr>
          </w:p>
        </w:tc>
        <w:tc>
          <w:tcPr>
            <w:tcW w:w="1351" w:type="dxa"/>
            <w:noWrap/>
            <w:vAlign w:val="center"/>
          </w:tcPr>
          <w:p w14:paraId="74FD5B4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周庄</w:t>
            </w:r>
          </w:p>
        </w:tc>
        <w:tc>
          <w:tcPr>
            <w:tcW w:w="1418" w:type="dxa"/>
            <w:noWrap/>
            <w:vAlign w:val="center"/>
          </w:tcPr>
          <w:p w14:paraId="05875C3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511</w:t>
            </w:r>
          </w:p>
        </w:tc>
        <w:tc>
          <w:tcPr>
            <w:tcW w:w="992" w:type="dxa"/>
            <w:vMerge w:val="continue"/>
            <w:noWrap w:val="0"/>
            <w:vAlign w:val="center"/>
          </w:tcPr>
          <w:p w14:paraId="6F8B0208">
            <w:pPr>
              <w:rPr>
                <w:rFonts w:hint="eastAsia" w:ascii="宋体" w:hAnsi="宋体" w:eastAsia="宋体" w:cs="宋体"/>
                <w:color w:val="000000"/>
                <w:sz w:val="24"/>
              </w:rPr>
            </w:pPr>
          </w:p>
        </w:tc>
        <w:tc>
          <w:tcPr>
            <w:tcW w:w="1276" w:type="dxa"/>
            <w:noWrap/>
            <w:vAlign w:val="center"/>
          </w:tcPr>
          <w:p w14:paraId="06413AE4">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2121</w:t>
            </w:r>
          </w:p>
        </w:tc>
        <w:tc>
          <w:tcPr>
            <w:tcW w:w="1276" w:type="dxa"/>
            <w:vMerge w:val="continue"/>
            <w:noWrap w:val="0"/>
            <w:vAlign w:val="center"/>
          </w:tcPr>
          <w:p w14:paraId="3EBCADD5">
            <w:pPr>
              <w:rPr>
                <w:rFonts w:hint="eastAsia" w:ascii="宋体" w:hAnsi="宋体" w:eastAsia="宋体" w:cs="宋体"/>
                <w:color w:val="000000"/>
                <w:sz w:val="24"/>
              </w:rPr>
            </w:pPr>
          </w:p>
        </w:tc>
      </w:tr>
      <w:tr w14:paraId="6371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restart"/>
            <w:noWrap/>
            <w:vAlign w:val="center"/>
          </w:tcPr>
          <w:p w14:paraId="60E107CF">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11</w:t>
            </w:r>
          </w:p>
        </w:tc>
        <w:tc>
          <w:tcPr>
            <w:tcW w:w="1333" w:type="dxa"/>
            <w:vMerge w:val="restart"/>
            <w:noWrap/>
            <w:vAlign w:val="center"/>
          </w:tcPr>
          <w:p w14:paraId="488138F8">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雁群村</w:t>
            </w:r>
          </w:p>
        </w:tc>
        <w:tc>
          <w:tcPr>
            <w:tcW w:w="1351" w:type="dxa"/>
            <w:noWrap/>
            <w:vAlign w:val="center"/>
          </w:tcPr>
          <w:p w14:paraId="2402C119">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郝寨西</w:t>
            </w:r>
          </w:p>
        </w:tc>
        <w:tc>
          <w:tcPr>
            <w:tcW w:w="1418" w:type="dxa"/>
            <w:noWrap/>
            <w:vAlign w:val="center"/>
          </w:tcPr>
          <w:p w14:paraId="0A126582">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580</w:t>
            </w:r>
          </w:p>
        </w:tc>
        <w:tc>
          <w:tcPr>
            <w:tcW w:w="992" w:type="dxa"/>
            <w:vMerge w:val="restart"/>
            <w:noWrap/>
            <w:vAlign w:val="center"/>
          </w:tcPr>
          <w:p w14:paraId="36F36365">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1417</w:t>
            </w:r>
          </w:p>
        </w:tc>
        <w:tc>
          <w:tcPr>
            <w:tcW w:w="1276" w:type="dxa"/>
            <w:noWrap/>
            <w:vAlign w:val="center"/>
          </w:tcPr>
          <w:p w14:paraId="7F2257F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2090</w:t>
            </w:r>
          </w:p>
        </w:tc>
        <w:tc>
          <w:tcPr>
            <w:tcW w:w="1276" w:type="dxa"/>
            <w:vMerge w:val="restart"/>
            <w:noWrap/>
            <w:vAlign w:val="center"/>
          </w:tcPr>
          <w:p w14:paraId="591DF419">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4839</w:t>
            </w:r>
          </w:p>
        </w:tc>
      </w:tr>
      <w:tr w14:paraId="7FA0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38C8FD0E">
            <w:pPr>
              <w:rPr>
                <w:rFonts w:hint="eastAsia" w:ascii="宋体" w:hAnsi="宋体" w:eastAsia="宋体" w:cs="宋体"/>
                <w:color w:val="000000"/>
                <w:sz w:val="24"/>
              </w:rPr>
            </w:pPr>
          </w:p>
        </w:tc>
        <w:tc>
          <w:tcPr>
            <w:tcW w:w="1333" w:type="dxa"/>
            <w:vMerge w:val="continue"/>
            <w:noWrap w:val="0"/>
            <w:vAlign w:val="center"/>
          </w:tcPr>
          <w:p w14:paraId="0902E198">
            <w:pPr>
              <w:rPr>
                <w:rFonts w:hint="eastAsia" w:ascii="宋体" w:hAnsi="宋体" w:eastAsia="宋体" w:cs="宋体"/>
                <w:b/>
                <w:bCs/>
                <w:color w:val="000000"/>
                <w:sz w:val="24"/>
              </w:rPr>
            </w:pPr>
          </w:p>
        </w:tc>
        <w:tc>
          <w:tcPr>
            <w:tcW w:w="1351" w:type="dxa"/>
            <w:noWrap/>
            <w:vAlign w:val="center"/>
          </w:tcPr>
          <w:p w14:paraId="63F2958F">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前薛湾</w:t>
            </w:r>
          </w:p>
        </w:tc>
        <w:tc>
          <w:tcPr>
            <w:tcW w:w="1418" w:type="dxa"/>
            <w:noWrap/>
            <w:vAlign w:val="center"/>
          </w:tcPr>
          <w:p w14:paraId="0AD805B2">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200</w:t>
            </w:r>
          </w:p>
        </w:tc>
        <w:tc>
          <w:tcPr>
            <w:tcW w:w="992" w:type="dxa"/>
            <w:vMerge w:val="continue"/>
            <w:noWrap w:val="0"/>
            <w:vAlign w:val="center"/>
          </w:tcPr>
          <w:p w14:paraId="27B4E4AB">
            <w:pPr>
              <w:rPr>
                <w:rFonts w:hint="eastAsia" w:ascii="宋体" w:hAnsi="宋体" w:eastAsia="宋体" w:cs="宋体"/>
                <w:color w:val="000000"/>
                <w:sz w:val="24"/>
              </w:rPr>
            </w:pPr>
          </w:p>
        </w:tc>
        <w:tc>
          <w:tcPr>
            <w:tcW w:w="1276" w:type="dxa"/>
            <w:noWrap/>
            <w:vAlign w:val="center"/>
          </w:tcPr>
          <w:p w14:paraId="0C54932A">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660</w:t>
            </w:r>
          </w:p>
        </w:tc>
        <w:tc>
          <w:tcPr>
            <w:tcW w:w="1276" w:type="dxa"/>
            <w:vMerge w:val="continue"/>
            <w:noWrap w:val="0"/>
            <w:vAlign w:val="center"/>
          </w:tcPr>
          <w:p w14:paraId="393D2711">
            <w:pPr>
              <w:rPr>
                <w:rFonts w:hint="eastAsia" w:ascii="宋体" w:hAnsi="宋体" w:eastAsia="宋体" w:cs="宋体"/>
                <w:color w:val="000000"/>
                <w:sz w:val="24"/>
              </w:rPr>
            </w:pPr>
          </w:p>
        </w:tc>
      </w:tr>
      <w:tr w14:paraId="73D3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0117EF52">
            <w:pPr>
              <w:rPr>
                <w:rFonts w:hint="eastAsia" w:ascii="宋体" w:hAnsi="宋体" w:eastAsia="宋体" w:cs="宋体"/>
                <w:color w:val="000000"/>
                <w:sz w:val="24"/>
              </w:rPr>
            </w:pPr>
          </w:p>
        </w:tc>
        <w:tc>
          <w:tcPr>
            <w:tcW w:w="1333" w:type="dxa"/>
            <w:vMerge w:val="continue"/>
            <w:noWrap w:val="0"/>
            <w:vAlign w:val="center"/>
          </w:tcPr>
          <w:p w14:paraId="5882135F">
            <w:pPr>
              <w:rPr>
                <w:rFonts w:hint="eastAsia" w:ascii="宋体" w:hAnsi="宋体" w:eastAsia="宋体" w:cs="宋体"/>
                <w:b/>
                <w:bCs/>
                <w:color w:val="000000"/>
                <w:sz w:val="24"/>
              </w:rPr>
            </w:pPr>
          </w:p>
        </w:tc>
        <w:tc>
          <w:tcPr>
            <w:tcW w:w="1351" w:type="dxa"/>
            <w:noWrap/>
            <w:vAlign w:val="center"/>
          </w:tcPr>
          <w:p w14:paraId="25EC4B6D">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后薛湾</w:t>
            </w:r>
          </w:p>
        </w:tc>
        <w:tc>
          <w:tcPr>
            <w:tcW w:w="1418" w:type="dxa"/>
            <w:noWrap/>
            <w:vAlign w:val="center"/>
          </w:tcPr>
          <w:p w14:paraId="5091647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195</w:t>
            </w:r>
          </w:p>
        </w:tc>
        <w:tc>
          <w:tcPr>
            <w:tcW w:w="992" w:type="dxa"/>
            <w:vMerge w:val="continue"/>
            <w:noWrap w:val="0"/>
            <w:vAlign w:val="center"/>
          </w:tcPr>
          <w:p w14:paraId="4DAF56E8">
            <w:pPr>
              <w:rPr>
                <w:rFonts w:hint="eastAsia" w:ascii="宋体" w:hAnsi="宋体" w:eastAsia="宋体" w:cs="宋体"/>
                <w:color w:val="000000"/>
                <w:sz w:val="24"/>
              </w:rPr>
            </w:pPr>
          </w:p>
        </w:tc>
        <w:tc>
          <w:tcPr>
            <w:tcW w:w="1276" w:type="dxa"/>
            <w:noWrap/>
            <w:vAlign w:val="center"/>
          </w:tcPr>
          <w:p w14:paraId="1F1CF3E3">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638</w:t>
            </w:r>
          </w:p>
        </w:tc>
        <w:tc>
          <w:tcPr>
            <w:tcW w:w="1276" w:type="dxa"/>
            <w:vMerge w:val="continue"/>
            <w:noWrap w:val="0"/>
            <w:vAlign w:val="center"/>
          </w:tcPr>
          <w:p w14:paraId="7FF52093">
            <w:pPr>
              <w:rPr>
                <w:rFonts w:hint="eastAsia" w:ascii="宋体" w:hAnsi="宋体" w:eastAsia="宋体" w:cs="宋体"/>
                <w:color w:val="000000"/>
                <w:sz w:val="24"/>
              </w:rPr>
            </w:pPr>
          </w:p>
        </w:tc>
      </w:tr>
      <w:tr w14:paraId="0C6F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2A34EC27">
            <w:pPr>
              <w:rPr>
                <w:rFonts w:hint="eastAsia" w:ascii="宋体" w:hAnsi="宋体" w:eastAsia="宋体" w:cs="宋体"/>
                <w:color w:val="000000"/>
                <w:sz w:val="24"/>
              </w:rPr>
            </w:pPr>
          </w:p>
        </w:tc>
        <w:tc>
          <w:tcPr>
            <w:tcW w:w="1333" w:type="dxa"/>
            <w:vMerge w:val="continue"/>
            <w:noWrap w:val="0"/>
            <w:vAlign w:val="center"/>
          </w:tcPr>
          <w:p w14:paraId="165C2C5B">
            <w:pPr>
              <w:rPr>
                <w:rFonts w:hint="eastAsia" w:ascii="宋体" w:hAnsi="宋体" w:eastAsia="宋体" w:cs="宋体"/>
                <w:b/>
                <w:bCs/>
                <w:color w:val="000000"/>
                <w:sz w:val="24"/>
              </w:rPr>
            </w:pPr>
          </w:p>
        </w:tc>
        <w:tc>
          <w:tcPr>
            <w:tcW w:w="1351" w:type="dxa"/>
            <w:noWrap/>
            <w:vAlign w:val="center"/>
          </w:tcPr>
          <w:p w14:paraId="4D401025">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贾楼</w:t>
            </w:r>
          </w:p>
        </w:tc>
        <w:tc>
          <w:tcPr>
            <w:tcW w:w="1418" w:type="dxa"/>
            <w:noWrap/>
            <w:vAlign w:val="center"/>
          </w:tcPr>
          <w:p w14:paraId="1C835EAB">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67</w:t>
            </w:r>
          </w:p>
        </w:tc>
        <w:tc>
          <w:tcPr>
            <w:tcW w:w="992" w:type="dxa"/>
            <w:vMerge w:val="continue"/>
            <w:noWrap w:val="0"/>
            <w:vAlign w:val="center"/>
          </w:tcPr>
          <w:p w14:paraId="4EF23E6F">
            <w:pPr>
              <w:rPr>
                <w:rFonts w:hint="eastAsia" w:ascii="宋体" w:hAnsi="宋体" w:eastAsia="宋体" w:cs="宋体"/>
                <w:color w:val="000000"/>
                <w:sz w:val="24"/>
              </w:rPr>
            </w:pPr>
          </w:p>
        </w:tc>
        <w:tc>
          <w:tcPr>
            <w:tcW w:w="1276" w:type="dxa"/>
            <w:noWrap/>
            <w:vAlign w:val="center"/>
          </w:tcPr>
          <w:p w14:paraId="042AD36F">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239</w:t>
            </w:r>
          </w:p>
        </w:tc>
        <w:tc>
          <w:tcPr>
            <w:tcW w:w="1276" w:type="dxa"/>
            <w:vMerge w:val="continue"/>
            <w:noWrap w:val="0"/>
            <w:vAlign w:val="center"/>
          </w:tcPr>
          <w:p w14:paraId="5A77EA03">
            <w:pPr>
              <w:rPr>
                <w:rFonts w:hint="eastAsia" w:ascii="宋体" w:hAnsi="宋体" w:eastAsia="宋体" w:cs="宋体"/>
                <w:color w:val="000000"/>
                <w:sz w:val="24"/>
              </w:rPr>
            </w:pPr>
          </w:p>
        </w:tc>
      </w:tr>
      <w:tr w14:paraId="197B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7B2D1777">
            <w:pPr>
              <w:rPr>
                <w:rFonts w:hint="eastAsia" w:ascii="宋体" w:hAnsi="宋体" w:eastAsia="宋体" w:cs="宋体"/>
                <w:color w:val="000000"/>
                <w:sz w:val="24"/>
              </w:rPr>
            </w:pPr>
          </w:p>
        </w:tc>
        <w:tc>
          <w:tcPr>
            <w:tcW w:w="1333" w:type="dxa"/>
            <w:vMerge w:val="continue"/>
            <w:noWrap w:val="0"/>
            <w:vAlign w:val="center"/>
          </w:tcPr>
          <w:p w14:paraId="02A592D2">
            <w:pPr>
              <w:rPr>
                <w:rFonts w:hint="eastAsia" w:ascii="宋体" w:hAnsi="宋体" w:eastAsia="宋体" w:cs="宋体"/>
                <w:b/>
                <w:bCs/>
                <w:color w:val="000000"/>
                <w:sz w:val="24"/>
              </w:rPr>
            </w:pPr>
          </w:p>
        </w:tc>
        <w:tc>
          <w:tcPr>
            <w:tcW w:w="1351" w:type="dxa"/>
            <w:noWrap/>
            <w:vAlign w:val="center"/>
          </w:tcPr>
          <w:p w14:paraId="5911EC13">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王庄</w:t>
            </w:r>
          </w:p>
        </w:tc>
        <w:tc>
          <w:tcPr>
            <w:tcW w:w="1418" w:type="dxa"/>
            <w:noWrap/>
            <w:vAlign w:val="center"/>
          </w:tcPr>
          <w:p w14:paraId="426A45A4">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375</w:t>
            </w:r>
          </w:p>
        </w:tc>
        <w:tc>
          <w:tcPr>
            <w:tcW w:w="992" w:type="dxa"/>
            <w:vMerge w:val="continue"/>
            <w:noWrap w:val="0"/>
            <w:vAlign w:val="center"/>
          </w:tcPr>
          <w:p w14:paraId="509609D8">
            <w:pPr>
              <w:rPr>
                <w:rFonts w:hint="eastAsia" w:ascii="宋体" w:hAnsi="宋体" w:eastAsia="宋体" w:cs="宋体"/>
                <w:color w:val="000000"/>
                <w:sz w:val="24"/>
              </w:rPr>
            </w:pPr>
          </w:p>
        </w:tc>
        <w:tc>
          <w:tcPr>
            <w:tcW w:w="1276" w:type="dxa"/>
            <w:noWrap/>
            <w:vAlign w:val="center"/>
          </w:tcPr>
          <w:p w14:paraId="761F4DAA">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1212</w:t>
            </w:r>
          </w:p>
        </w:tc>
        <w:tc>
          <w:tcPr>
            <w:tcW w:w="1276" w:type="dxa"/>
            <w:vMerge w:val="continue"/>
            <w:noWrap w:val="0"/>
            <w:vAlign w:val="center"/>
          </w:tcPr>
          <w:p w14:paraId="222A1EF0">
            <w:pPr>
              <w:rPr>
                <w:rFonts w:hint="eastAsia" w:ascii="宋体" w:hAnsi="宋体" w:eastAsia="宋体" w:cs="宋体"/>
                <w:color w:val="000000"/>
                <w:sz w:val="24"/>
              </w:rPr>
            </w:pPr>
          </w:p>
        </w:tc>
      </w:tr>
      <w:tr w14:paraId="06E3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restart"/>
            <w:noWrap/>
            <w:vAlign w:val="center"/>
          </w:tcPr>
          <w:p w14:paraId="7C9869F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12</w:t>
            </w:r>
          </w:p>
        </w:tc>
        <w:tc>
          <w:tcPr>
            <w:tcW w:w="1333" w:type="dxa"/>
            <w:vMerge w:val="restart"/>
            <w:noWrap/>
            <w:vAlign w:val="center"/>
          </w:tcPr>
          <w:p w14:paraId="4BF97904">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付庄村</w:t>
            </w:r>
          </w:p>
        </w:tc>
        <w:tc>
          <w:tcPr>
            <w:tcW w:w="1351" w:type="dxa"/>
            <w:noWrap/>
            <w:vAlign w:val="center"/>
          </w:tcPr>
          <w:p w14:paraId="51C4F783">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小刘庄</w:t>
            </w:r>
          </w:p>
        </w:tc>
        <w:tc>
          <w:tcPr>
            <w:tcW w:w="1418" w:type="dxa"/>
            <w:noWrap/>
            <w:vAlign w:val="center"/>
          </w:tcPr>
          <w:p w14:paraId="43215FC4">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306</w:t>
            </w:r>
          </w:p>
        </w:tc>
        <w:tc>
          <w:tcPr>
            <w:tcW w:w="992" w:type="dxa"/>
            <w:vMerge w:val="restart"/>
            <w:noWrap/>
            <w:vAlign w:val="center"/>
          </w:tcPr>
          <w:p w14:paraId="0BE8653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820</w:t>
            </w:r>
          </w:p>
        </w:tc>
        <w:tc>
          <w:tcPr>
            <w:tcW w:w="1276" w:type="dxa"/>
            <w:noWrap/>
            <w:vAlign w:val="center"/>
          </w:tcPr>
          <w:p w14:paraId="1F79D5FC">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1066</w:t>
            </w:r>
          </w:p>
        </w:tc>
        <w:tc>
          <w:tcPr>
            <w:tcW w:w="1276" w:type="dxa"/>
            <w:vMerge w:val="restart"/>
            <w:noWrap/>
            <w:vAlign w:val="center"/>
          </w:tcPr>
          <w:p w14:paraId="4E8FF983">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2926</w:t>
            </w:r>
          </w:p>
        </w:tc>
      </w:tr>
      <w:tr w14:paraId="49A3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37F9B41D">
            <w:pPr>
              <w:rPr>
                <w:rFonts w:hint="eastAsia" w:ascii="宋体" w:hAnsi="宋体" w:eastAsia="宋体" w:cs="宋体"/>
                <w:color w:val="000000"/>
                <w:sz w:val="24"/>
              </w:rPr>
            </w:pPr>
          </w:p>
        </w:tc>
        <w:tc>
          <w:tcPr>
            <w:tcW w:w="1333" w:type="dxa"/>
            <w:vMerge w:val="continue"/>
            <w:noWrap w:val="0"/>
            <w:vAlign w:val="center"/>
          </w:tcPr>
          <w:p w14:paraId="04F3D827">
            <w:pPr>
              <w:rPr>
                <w:rFonts w:hint="eastAsia" w:ascii="宋体" w:hAnsi="宋体" w:eastAsia="宋体" w:cs="宋体"/>
                <w:b/>
                <w:bCs/>
                <w:color w:val="000000"/>
                <w:sz w:val="24"/>
              </w:rPr>
            </w:pPr>
          </w:p>
        </w:tc>
        <w:tc>
          <w:tcPr>
            <w:tcW w:w="1351" w:type="dxa"/>
            <w:noWrap/>
            <w:vAlign w:val="center"/>
          </w:tcPr>
          <w:p w14:paraId="06C5B274">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新庄</w:t>
            </w:r>
          </w:p>
        </w:tc>
        <w:tc>
          <w:tcPr>
            <w:tcW w:w="1418" w:type="dxa"/>
            <w:noWrap/>
            <w:vAlign w:val="center"/>
          </w:tcPr>
          <w:p w14:paraId="1D88AEE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341</w:t>
            </w:r>
          </w:p>
        </w:tc>
        <w:tc>
          <w:tcPr>
            <w:tcW w:w="992" w:type="dxa"/>
            <w:vMerge w:val="continue"/>
            <w:noWrap w:val="0"/>
            <w:vAlign w:val="center"/>
          </w:tcPr>
          <w:p w14:paraId="2CB9AD2E">
            <w:pPr>
              <w:rPr>
                <w:rFonts w:hint="eastAsia" w:ascii="宋体" w:hAnsi="宋体" w:eastAsia="宋体" w:cs="宋体"/>
                <w:color w:val="000000"/>
                <w:sz w:val="24"/>
              </w:rPr>
            </w:pPr>
          </w:p>
        </w:tc>
        <w:tc>
          <w:tcPr>
            <w:tcW w:w="1276" w:type="dxa"/>
            <w:noWrap/>
            <w:vAlign w:val="center"/>
          </w:tcPr>
          <w:p w14:paraId="1BF6CAD2">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1230</w:t>
            </w:r>
          </w:p>
        </w:tc>
        <w:tc>
          <w:tcPr>
            <w:tcW w:w="1276" w:type="dxa"/>
            <w:vMerge w:val="continue"/>
            <w:noWrap w:val="0"/>
            <w:vAlign w:val="center"/>
          </w:tcPr>
          <w:p w14:paraId="620872AE">
            <w:pPr>
              <w:rPr>
                <w:rFonts w:hint="eastAsia" w:ascii="宋体" w:hAnsi="宋体" w:eastAsia="宋体" w:cs="宋体"/>
                <w:color w:val="000000"/>
                <w:sz w:val="24"/>
              </w:rPr>
            </w:pPr>
          </w:p>
        </w:tc>
      </w:tr>
      <w:tr w14:paraId="1113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2342F1AD">
            <w:pPr>
              <w:rPr>
                <w:rFonts w:hint="eastAsia" w:ascii="宋体" w:hAnsi="宋体" w:eastAsia="宋体" w:cs="宋体"/>
                <w:color w:val="000000"/>
                <w:sz w:val="24"/>
              </w:rPr>
            </w:pPr>
          </w:p>
        </w:tc>
        <w:tc>
          <w:tcPr>
            <w:tcW w:w="1333" w:type="dxa"/>
            <w:vMerge w:val="continue"/>
            <w:noWrap w:val="0"/>
            <w:vAlign w:val="center"/>
          </w:tcPr>
          <w:p w14:paraId="53761C07">
            <w:pPr>
              <w:rPr>
                <w:rFonts w:hint="eastAsia" w:ascii="宋体" w:hAnsi="宋体" w:eastAsia="宋体" w:cs="宋体"/>
                <w:b/>
                <w:bCs/>
                <w:color w:val="000000"/>
                <w:sz w:val="24"/>
              </w:rPr>
            </w:pPr>
          </w:p>
        </w:tc>
        <w:tc>
          <w:tcPr>
            <w:tcW w:w="1351" w:type="dxa"/>
            <w:noWrap/>
            <w:vAlign w:val="center"/>
          </w:tcPr>
          <w:p w14:paraId="4DA168F4">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付庄</w:t>
            </w:r>
          </w:p>
        </w:tc>
        <w:tc>
          <w:tcPr>
            <w:tcW w:w="1418" w:type="dxa"/>
            <w:noWrap/>
            <w:vAlign w:val="center"/>
          </w:tcPr>
          <w:p w14:paraId="0B733523">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173</w:t>
            </w:r>
          </w:p>
        </w:tc>
        <w:tc>
          <w:tcPr>
            <w:tcW w:w="992" w:type="dxa"/>
            <w:vMerge w:val="continue"/>
            <w:noWrap w:val="0"/>
            <w:vAlign w:val="center"/>
          </w:tcPr>
          <w:p w14:paraId="5B9DD398">
            <w:pPr>
              <w:rPr>
                <w:rFonts w:hint="eastAsia" w:ascii="宋体" w:hAnsi="宋体" w:eastAsia="宋体" w:cs="宋体"/>
                <w:color w:val="000000"/>
                <w:sz w:val="24"/>
              </w:rPr>
            </w:pPr>
          </w:p>
        </w:tc>
        <w:tc>
          <w:tcPr>
            <w:tcW w:w="1276" w:type="dxa"/>
            <w:noWrap/>
            <w:vAlign w:val="center"/>
          </w:tcPr>
          <w:p w14:paraId="75EA72F4">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630</w:t>
            </w:r>
          </w:p>
        </w:tc>
        <w:tc>
          <w:tcPr>
            <w:tcW w:w="1276" w:type="dxa"/>
            <w:vMerge w:val="continue"/>
            <w:noWrap w:val="0"/>
            <w:vAlign w:val="center"/>
          </w:tcPr>
          <w:p w14:paraId="55D5EA36">
            <w:pPr>
              <w:rPr>
                <w:rFonts w:hint="eastAsia" w:ascii="宋体" w:hAnsi="宋体" w:eastAsia="宋体" w:cs="宋体"/>
                <w:color w:val="000000"/>
                <w:sz w:val="24"/>
              </w:rPr>
            </w:pPr>
          </w:p>
        </w:tc>
      </w:tr>
      <w:tr w14:paraId="2C37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noWrap/>
            <w:vAlign w:val="center"/>
          </w:tcPr>
          <w:p w14:paraId="43B57476">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13</w:t>
            </w:r>
          </w:p>
        </w:tc>
        <w:tc>
          <w:tcPr>
            <w:tcW w:w="1333" w:type="dxa"/>
            <w:noWrap/>
            <w:vAlign w:val="center"/>
          </w:tcPr>
          <w:p w14:paraId="6CE1CD48">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夹河村</w:t>
            </w:r>
          </w:p>
        </w:tc>
        <w:tc>
          <w:tcPr>
            <w:tcW w:w="1351" w:type="dxa"/>
            <w:noWrap/>
            <w:vAlign w:val="center"/>
          </w:tcPr>
          <w:p w14:paraId="7D5C4E8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新徐楼</w:t>
            </w:r>
          </w:p>
        </w:tc>
        <w:tc>
          <w:tcPr>
            <w:tcW w:w="1418" w:type="dxa"/>
            <w:noWrap/>
            <w:vAlign w:val="center"/>
          </w:tcPr>
          <w:p w14:paraId="66D67911">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197</w:t>
            </w:r>
          </w:p>
        </w:tc>
        <w:tc>
          <w:tcPr>
            <w:tcW w:w="992" w:type="dxa"/>
            <w:noWrap/>
            <w:vAlign w:val="center"/>
          </w:tcPr>
          <w:p w14:paraId="73AD5A9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197</w:t>
            </w:r>
          </w:p>
        </w:tc>
        <w:tc>
          <w:tcPr>
            <w:tcW w:w="1276" w:type="dxa"/>
            <w:noWrap/>
            <w:vAlign w:val="center"/>
          </w:tcPr>
          <w:p w14:paraId="0D4E2BEB">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467</w:t>
            </w:r>
          </w:p>
        </w:tc>
        <w:tc>
          <w:tcPr>
            <w:tcW w:w="1276" w:type="dxa"/>
            <w:noWrap/>
            <w:vAlign w:val="center"/>
          </w:tcPr>
          <w:p w14:paraId="21930423">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467</w:t>
            </w:r>
          </w:p>
        </w:tc>
      </w:tr>
      <w:tr w14:paraId="3349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restart"/>
            <w:noWrap/>
            <w:vAlign w:val="center"/>
          </w:tcPr>
          <w:p w14:paraId="1C874BAA">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14</w:t>
            </w:r>
          </w:p>
        </w:tc>
        <w:tc>
          <w:tcPr>
            <w:tcW w:w="1333" w:type="dxa"/>
            <w:vMerge w:val="restart"/>
            <w:noWrap/>
            <w:vAlign w:val="center"/>
          </w:tcPr>
          <w:p w14:paraId="7FD21D63">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侯楼村</w:t>
            </w:r>
          </w:p>
        </w:tc>
        <w:tc>
          <w:tcPr>
            <w:tcW w:w="1351" w:type="dxa"/>
            <w:noWrap/>
            <w:vAlign w:val="center"/>
          </w:tcPr>
          <w:p w14:paraId="7DB52B86">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徐大庄</w:t>
            </w:r>
          </w:p>
        </w:tc>
        <w:tc>
          <w:tcPr>
            <w:tcW w:w="1418" w:type="dxa"/>
            <w:noWrap/>
            <w:vAlign w:val="center"/>
          </w:tcPr>
          <w:p w14:paraId="6650BF1C">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347</w:t>
            </w:r>
          </w:p>
        </w:tc>
        <w:tc>
          <w:tcPr>
            <w:tcW w:w="992" w:type="dxa"/>
            <w:vMerge w:val="restart"/>
            <w:noWrap/>
            <w:vAlign w:val="center"/>
          </w:tcPr>
          <w:p w14:paraId="3F8EC375">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2058</w:t>
            </w:r>
          </w:p>
        </w:tc>
        <w:tc>
          <w:tcPr>
            <w:tcW w:w="1276" w:type="dxa"/>
            <w:noWrap/>
            <w:vAlign w:val="center"/>
          </w:tcPr>
          <w:p w14:paraId="53A9ECF4">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1247</w:t>
            </w:r>
          </w:p>
        </w:tc>
        <w:tc>
          <w:tcPr>
            <w:tcW w:w="1276" w:type="dxa"/>
            <w:vMerge w:val="restart"/>
            <w:noWrap/>
            <w:vAlign w:val="center"/>
          </w:tcPr>
          <w:p w14:paraId="65D8F3DB">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7642</w:t>
            </w:r>
          </w:p>
        </w:tc>
      </w:tr>
      <w:tr w14:paraId="248F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1D90A888">
            <w:pPr>
              <w:rPr>
                <w:rFonts w:hint="eastAsia" w:ascii="宋体" w:hAnsi="宋体" w:eastAsia="宋体" w:cs="宋体"/>
                <w:color w:val="000000"/>
                <w:sz w:val="24"/>
              </w:rPr>
            </w:pPr>
          </w:p>
        </w:tc>
        <w:tc>
          <w:tcPr>
            <w:tcW w:w="1333" w:type="dxa"/>
            <w:vMerge w:val="continue"/>
            <w:noWrap w:val="0"/>
            <w:vAlign w:val="center"/>
          </w:tcPr>
          <w:p w14:paraId="18C1D01B">
            <w:pPr>
              <w:rPr>
                <w:rFonts w:hint="eastAsia" w:ascii="宋体" w:hAnsi="宋体" w:eastAsia="宋体" w:cs="宋体"/>
                <w:b/>
                <w:bCs/>
                <w:color w:val="000000"/>
                <w:sz w:val="24"/>
              </w:rPr>
            </w:pPr>
          </w:p>
        </w:tc>
        <w:tc>
          <w:tcPr>
            <w:tcW w:w="1351" w:type="dxa"/>
            <w:noWrap/>
            <w:vAlign w:val="center"/>
          </w:tcPr>
          <w:p w14:paraId="05098E42">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和尚庄</w:t>
            </w:r>
          </w:p>
        </w:tc>
        <w:tc>
          <w:tcPr>
            <w:tcW w:w="1418" w:type="dxa"/>
            <w:noWrap/>
            <w:vAlign w:val="center"/>
          </w:tcPr>
          <w:p w14:paraId="1FAB4BB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175</w:t>
            </w:r>
          </w:p>
        </w:tc>
        <w:tc>
          <w:tcPr>
            <w:tcW w:w="992" w:type="dxa"/>
            <w:vMerge w:val="continue"/>
            <w:noWrap w:val="0"/>
            <w:vAlign w:val="center"/>
          </w:tcPr>
          <w:p w14:paraId="21C7F2CA">
            <w:pPr>
              <w:rPr>
                <w:rFonts w:hint="eastAsia" w:ascii="宋体" w:hAnsi="宋体" w:eastAsia="宋体" w:cs="宋体"/>
                <w:color w:val="000000"/>
                <w:sz w:val="24"/>
              </w:rPr>
            </w:pPr>
          </w:p>
        </w:tc>
        <w:tc>
          <w:tcPr>
            <w:tcW w:w="1276" w:type="dxa"/>
            <w:noWrap/>
            <w:vAlign w:val="center"/>
          </w:tcPr>
          <w:p w14:paraId="2DD2125D">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693</w:t>
            </w:r>
          </w:p>
        </w:tc>
        <w:tc>
          <w:tcPr>
            <w:tcW w:w="1276" w:type="dxa"/>
            <w:vMerge w:val="continue"/>
            <w:noWrap w:val="0"/>
            <w:vAlign w:val="center"/>
          </w:tcPr>
          <w:p w14:paraId="575B4493">
            <w:pPr>
              <w:rPr>
                <w:rFonts w:hint="eastAsia" w:ascii="宋体" w:hAnsi="宋体" w:eastAsia="宋体" w:cs="宋体"/>
                <w:color w:val="000000"/>
                <w:sz w:val="24"/>
              </w:rPr>
            </w:pPr>
          </w:p>
        </w:tc>
      </w:tr>
      <w:tr w14:paraId="60D3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08525E13">
            <w:pPr>
              <w:rPr>
                <w:rFonts w:hint="eastAsia" w:ascii="宋体" w:hAnsi="宋体" w:eastAsia="宋体" w:cs="宋体"/>
                <w:color w:val="000000"/>
                <w:sz w:val="24"/>
              </w:rPr>
            </w:pPr>
          </w:p>
        </w:tc>
        <w:tc>
          <w:tcPr>
            <w:tcW w:w="1333" w:type="dxa"/>
            <w:vMerge w:val="continue"/>
            <w:noWrap w:val="0"/>
            <w:vAlign w:val="center"/>
          </w:tcPr>
          <w:p w14:paraId="44C08A58">
            <w:pPr>
              <w:rPr>
                <w:rFonts w:hint="eastAsia" w:ascii="宋体" w:hAnsi="宋体" w:eastAsia="宋体" w:cs="宋体"/>
                <w:b/>
                <w:bCs/>
                <w:color w:val="000000"/>
                <w:sz w:val="24"/>
              </w:rPr>
            </w:pPr>
          </w:p>
        </w:tc>
        <w:tc>
          <w:tcPr>
            <w:tcW w:w="1351" w:type="dxa"/>
            <w:noWrap/>
            <w:vAlign w:val="center"/>
          </w:tcPr>
          <w:p w14:paraId="0C990B7F">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侯楼</w:t>
            </w:r>
          </w:p>
        </w:tc>
        <w:tc>
          <w:tcPr>
            <w:tcW w:w="1418" w:type="dxa"/>
            <w:noWrap/>
            <w:vAlign w:val="center"/>
          </w:tcPr>
          <w:p w14:paraId="5CEC524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568</w:t>
            </w:r>
          </w:p>
        </w:tc>
        <w:tc>
          <w:tcPr>
            <w:tcW w:w="992" w:type="dxa"/>
            <w:vMerge w:val="continue"/>
            <w:noWrap w:val="0"/>
            <w:vAlign w:val="center"/>
          </w:tcPr>
          <w:p w14:paraId="2C97166F">
            <w:pPr>
              <w:rPr>
                <w:rFonts w:hint="eastAsia" w:ascii="宋体" w:hAnsi="宋体" w:eastAsia="宋体" w:cs="宋体"/>
                <w:color w:val="000000"/>
                <w:sz w:val="24"/>
              </w:rPr>
            </w:pPr>
          </w:p>
        </w:tc>
        <w:tc>
          <w:tcPr>
            <w:tcW w:w="1276" w:type="dxa"/>
            <w:noWrap/>
            <w:vAlign w:val="center"/>
          </w:tcPr>
          <w:p w14:paraId="2876DE99">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1873</w:t>
            </w:r>
          </w:p>
        </w:tc>
        <w:tc>
          <w:tcPr>
            <w:tcW w:w="1276" w:type="dxa"/>
            <w:vMerge w:val="continue"/>
            <w:noWrap w:val="0"/>
            <w:vAlign w:val="center"/>
          </w:tcPr>
          <w:p w14:paraId="4226BDF0">
            <w:pPr>
              <w:rPr>
                <w:rFonts w:hint="eastAsia" w:ascii="宋体" w:hAnsi="宋体" w:eastAsia="宋体" w:cs="宋体"/>
                <w:color w:val="000000"/>
                <w:sz w:val="24"/>
              </w:rPr>
            </w:pPr>
          </w:p>
        </w:tc>
      </w:tr>
      <w:tr w14:paraId="7318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4F59835E">
            <w:pPr>
              <w:rPr>
                <w:rFonts w:hint="eastAsia" w:ascii="宋体" w:hAnsi="宋体" w:eastAsia="宋体" w:cs="宋体"/>
                <w:color w:val="000000"/>
                <w:sz w:val="24"/>
              </w:rPr>
            </w:pPr>
          </w:p>
        </w:tc>
        <w:tc>
          <w:tcPr>
            <w:tcW w:w="1333" w:type="dxa"/>
            <w:vMerge w:val="continue"/>
            <w:noWrap w:val="0"/>
            <w:vAlign w:val="center"/>
          </w:tcPr>
          <w:p w14:paraId="6C00BBFA">
            <w:pPr>
              <w:rPr>
                <w:rFonts w:hint="eastAsia" w:ascii="宋体" w:hAnsi="宋体" w:eastAsia="宋体" w:cs="宋体"/>
                <w:b/>
                <w:bCs/>
                <w:color w:val="000000"/>
                <w:sz w:val="24"/>
              </w:rPr>
            </w:pPr>
          </w:p>
        </w:tc>
        <w:tc>
          <w:tcPr>
            <w:tcW w:w="1351" w:type="dxa"/>
            <w:noWrap/>
            <w:vAlign w:val="center"/>
          </w:tcPr>
          <w:p w14:paraId="161174A3">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西小李庄</w:t>
            </w:r>
          </w:p>
        </w:tc>
        <w:tc>
          <w:tcPr>
            <w:tcW w:w="1418" w:type="dxa"/>
            <w:noWrap/>
            <w:vAlign w:val="center"/>
          </w:tcPr>
          <w:p w14:paraId="185A5364">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301</w:t>
            </w:r>
          </w:p>
        </w:tc>
        <w:tc>
          <w:tcPr>
            <w:tcW w:w="992" w:type="dxa"/>
            <w:vMerge w:val="continue"/>
            <w:noWrap w:val="0"/>
            <w:vAlign w:val="center"/>
          </w:tcPr>
          <w:p w14:paraId="786A0E23">
            <w:pPr>
              <w:rPr>
                <w:rFonts w:hint="eastAsia" w:ascii="宋体" w:hAnsi="宋体" w:eastAsia="宋体" w:cs="宋体"/>
                <w:color w:val="000000"/>
                <w:sz w:val="24"/>
              </w:rPr>
            </w:pPr>
          </w:p>
        </w:tc>
        <w:tc>
          <w:tcPr>
            <w:tcW w:w="1276" w:type="dxa"/>
            <w:noWrap/>
            <w:vAlign w:val="center"/>
          </w:tcPr>
          <w:p w14:paraId="4A8D830C">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1174</w:t>
            </w:r>
          </w:p>
        </w:tc>
        <w:tc>
          <w:tcPr>
            <w:tcW w:w="1276" w:type="dxa"/>
            <w:vMerge w:val="continue"/>
            <w:noWrap w:val="0"/>
            <w:vAlign w:val="center"/>
          </w:tcPr>
          <w:p w14:paraId="0E1EEFED">
            <w:pPr>
              <w:rPr>
                <w:rFonts w:hint="eastAsia" w:ascii="宋体" w:hAnsi="宋体" w:eastAsia="宋体" w:cs="宋体"/>
                <w:color w:val="000000"/>
                <w:sz w:val="24"/>
              </w:rPr>
            </w:pPr>
          </w:p>
        </w:tc>
      </w:tr>
      <w:tr w14:paraId="7D97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015F268B">
            <w:pPr>
              <w:rPr>
                <w:rFonts w:hint="eastAsia" w:ascii="宋体" w:hAnsi="宋体" w:eastAsia="宋体" w:cs="宋体"/>
                <w:color w:val="000000"/>
                <w:sz w:val="24"/>
              </w:rPr>
            </w:pPr>
          </w:p>
        </w:tc>
        <w:tc>
          <w:tcPr>
            <w:tcW w:w="1333" w:type="dxa"/>
            <w:vMerge w:val="continue"/>
            <w:noWrap w:val="0"/>
            <w:vAlign w:val="center"/>
          </w:tcPr>
          <w:p w14:paraId="0E3FBCF2">
            <w:pPr>
              <w:rPr>
                <w:rFonts w:hint="eastAsia" w:ascii="宋体" w:hAnsi="宋体" w:eastAsia="宋体" w:cs="宋体"/>
                <w:b/>
                <w:bCs/>
                <w:color w:val="000000"/>
                <w:sz w:val="24"/>
              </w:rPr>
            </w:pPr>
          </w:p>
        </w:tc>
        <w:tc>
          <w:tcPr>
            <w:tcW w:w="1351" w:type="dxa"/>
            <w:noWrap/>
            <w:vAlign w:val="center"/>
          </w:tcPr>
          <w:p w14:paraId="19FB375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前郝庄</w:t>
            </w:r>
          </w:p>
        </w:tc>
        <w:tc>
          <w:tcPr>
            <w:tcW w:w="1418" w:type="dxa"/>
            <w:noWrap/>
            <w:vAlign w:val="center"/>
          </w:tcPr>
          <w:p w14:paraId="52139D1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181</w:t>
            </w:r>
          </w:p>
        </w:tc>
        <w:tc>
          <w:tcPr>
            <w:tcW w:w="992" w:type="dxa"/>
            <w:vMerge w:val="continue"/>
            <w:noWrap w:val="0"/>
            <w:vAlign w:val="center"/>
          </w:tcPr>
          <w:p w14:paraId="0725B210">
            <w:pPr>
              <w:rPr>
                <w:rFonts w:hint="eastAsia" w:ascii="宋体" w:hAnsi="宋体" w:eastAsia="宋体" w:cs="宋体"/>
                <w:color w:val="000000"/>
                <w:sz w:val="24"/>
              </w:rPr>
            </w:pPr>
          </w:p>
        </w:tc>
        <w:tc>
          <w:tcPr>
            <w:tcW w:w="1276" w:type="dxa"/>
            <w:noWrap/>
            <w:vAlign w:val="center"/>
          </w:tcPr>
          <w:p w14:paraId="3AB07C7B">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756</w:t>
            </w:r>
          </w:p>
        </w:tc>
        <w:tc>
          <w:tcPr>
            <w:tcW w:w="1276" w:type="dxa"/>
            <w:vMerge w:val="continue"/>
            <w:noWrap w:val="0"/>
            <w:vAlign w:val="center"/>
          </w:tcPr>
          <w:p w14:paraId="2D38BD9B">
            <w:pPr>
              <w:rPr>
                <w:rFonts w:hint="eastAsia" w:ascii="宋体" w:hAnsi="宋体" w:eastAsia="宋体" w:cs="宋体"/>
                <w:color w:val="000000"/>
                <w:sz w:val="24"/>
              </w:rPr>
            </w:pPr>
          </w:p>
        </w:tc>
      </w:tr>
      <w:tr w14:paraId="0E4A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7F6C7A7C">
            <w:pPr>
              <w:rPr>
                <w:rFonts w:hint="eastAsia" w:ascii="宋体" w:hAnsi="宋体" w:eastAsia="宋体" w:cs="宋体"/>
                <w:color w:val="000000"/>
                <w:sz w:val="24"/>
              </w:rPr>
            </w:pPr>
          </w:p>
        </w:tc>
        <w:tc>
          <w:tcPr>
            <w:tcW w:w="1333" w:type="dxa"/>
            <w:vMerge w:val="continue"/>
            <w:noWrap w:val="0"/>
            <w:vAlign w:val="center"/>
          </w:tcPr>
          <w:p w14:paraId="40505EA7">
            <w:pPr>
              <w:rPr>
                <w:rFonts w:hint="eastAsia" w:ascii="宋体" w:hAnsi="宋体" w:eastAsia="宋体" w:cs="宋体"/>
                <w:b/>
                <w:bCs/>
                <w:color w:val="000000"/>
                <w:sz w:val="24"/>
              </w:rPr>
            </w:pPr>
          </w:p>
        </w:tc>
        <w:tc>
          <w:tcPr>
            <w:tcW w:w="1351" w:type="dxa"/>
            <w:noWrap/>
            <w:vAlign w:val="center"/>
          </w:tcPr>
          <w:p w14:paraId="0AB916A2">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郝寨</w:t>
            </w:r>
          </w:p>
        </w:tc>
        <w:tc>
          <w:tcPr>
            <w:tcW w:w="1418" w:type="dxa"/>
            <w:noWrap/>
            <w:vAlign w:val="center"/>
          </w:tcPr>
          <w:p w14:paraId="36574FC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413</w:t>
            </w:r>
          </w:p>
        </w:tc>
        <w:tc>
          <w:tcPr>
            <w:tcW w:w="992" w:type="dxa"/>
            <w:vMerge w:val="continue"/>
            <w:noWrap w:val="0"/>
            <w:vAlign w:val="center"/>
          </w:tcPr>
          <w:p w14:paraId="56C863F7">
            <w:pPr>
              <w:rPr>
                <w:rFonts w:hint="eastAsia" w:ascii="宋体" w:hAnsi="宋体" w:eastAsia="宋体" w:cs="宋体"/>
                <w:color w:val="000000"/>
                <w:sz w:val="24"/>
              </w:rPr>
            </w:pPr>
          </w:p>
        </w:tc>
        <w:tc>
          <w:tcPr>
            <w:tcW w:w="1276" w:type="dxa"/>
            <w:noWrap/>
            <w:vAlign w:val="center"/>
          </w:tcPr>
          <w:p w14:paraId="02BC737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1647</w:t>
            </w:r>
          </w:p>
        </w:tc>
        <w:tc>
          <w:tcPr>
            <w:tcW w:w="1276" w:type="dxa"/>
            <w:vMerge w:val="continue"/>
            <w:noWrap w:val="0"/>
            <w:vAlign w:val="center"/>
          </w:tcPr>
          <w:p w14:paraId="61565E95">
            <w:pPr>
              <w:rPr>
                <w:rFonts w:hint="eastAsia" w:ascii="宋体" w:hAnsi="宋体" w:eastAsia="宋体" w:cs="宋体"/>
                <w:color w:val="000000"/>
                <w:sz w:val="24"/>
              </w:rPr>
            </w:pPr>
          </w:p>
        </w:tc>
      </w:tr>
      <w:tr w14:paraId="2B41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2D92314B">
            <w:pPr>
              <w:rPr>
                <w:rFonts w:hint="eastAsia" w:ascii="宋体" w:hAnsi="宋体" w:eastAsia="宋体" w:cs="宋体"/>
                <w:color w:val="000000"/>
                <w:sz w:val="24"/>
              </w:rPr>
            </w:pPr>
          </w:p>
        </w:tc>
        <w:tc>
          <w:tcPr>
            <w:tcW w:w="1333" w:type="dxa"/>
            <w:vMerge w:val="continue"/>
            <w:noWrap w:val="0"/>
            <w:vAlign w:val="center"/>
          </w:tcPr>
          <w:p w14:paraId="3EFDB889">
            <w:pPr>
              <w:rPr>
                <w:rFonts w:hint="eastAsia" w:ascii="宋体" w:hAnsi="宋体" w:eastAsia="宋体" w:cs="宋体"/>
                <w:b/>
                <w:bCs/>
                <w:color w:val="000000"/>
                <w:sz w:val="24"/>
              </w:rPr>
            </w:pPr>
          </w:p>
        </w:tc>
        <w:tc>
          <w:tcPr>
            <w:tcW w:w="1351" w:type="dxa"/>
            <w:noWrap/>
            <w:vAlign w:val="center"/>
          </w:tcPr>
          <w:p w14:paraId="12B6E771">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郝新庄</w:t>
            </w:r>
          </w:p>
        </w:tc>
        <w:tc>
          <w:tcPr>
            <w:tcW w:w="1418" w:type="dxa"/>
            <w:noWrap/>
            <w:vAlign w:val="center"/>
          </w:tcPr>
          <w:p w14:paraId="4A9B593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73</w:t>
            </w:r>
          </w:p>
        </w:tc>
        <w:tc>
          <w:tcPr>
            <w:tcW w:w="992" w:type="dxa"/>
            <w:vMerge w:val="continue"/>
            <w:noWrap w:val="0"/>
            <w:vAlign w:val="center"/>
          </w:tcPr>
          <w:p w14:paraId="12A54F62">
            <w:pPr>
              <w:rPr>
                <w:rFonts w:hint="eastAsia" w:ascii="宋体" w:hAnsi="宋体" w:eastAsia="宋体" w:cs="宋体"/>
                <w:color w:val="000000"/>
                <w:sz w:val="24"/>
              </w:rPr>
            </w:pPr>
          </w:p>
        </w:tc>
        <w:tc>
          <w:tcPr>
            <w:tcW w:w="1276" w:type="dxa"/>
            <w:noWrap/>
            <w:vAlign w:val="center"/>
          </w:tcPr>
          <w:p w14:paraId="7B3EBB59">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252</w:t>
            </w:r>
          </w:p>
        </w:tc>
        <w:tc>
          <w:tcPr>
            <w:tcW w:w="1276" w:type="dxa"/>
            <w:vMerge w:val="continue"/>
            <w:noWrap w:val="0"/>
            <w:vAlign w:val="center"/>
          </w:tcPr>
          <w:p w14:paraId="08DB77B7">
            <w:pPr>
              <w:rPr>
                <w:rFonts w:hint="eastAsia" w:ascii="宋体" w:hAnsi="宋体" w:eastAsia="宋体" w:cs="宋体"/>
                <w:color w:val="000000"/>
                <w:sz w:val="24"/>
              </w:rPr>
            </w:pPr>
          </w:p>
        </w:tc>
      </w:tr>
      <w:tr w14:paraId="1546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97" w:type="dxa"/>
            <w:gridSpan w:val="3"/>
            <w:noWrap/>
            <w:vAlign w:val="center"/>
          </w:tcPr>
          <w:p w14:paraId="4B2BD62D">
            <w:pPr>
              <w:jc w:val="center"/>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合计</w:t>
            </w:r>
            <w:r>
              <w:rPr>
                <w:rFonts w:hint="eastAsia" w:ascii="宋体" w:hAnsi="宋体" w:eastAsia="宋体" w:cs="宋体"/>
                <w:color w:val="000000"/>
                <w:sz w:val="24"/>
                <w:highlight w:val="none"/>
              </w:rPr>
              <w:t>　</w:t>
            </w:r>
          </w:p>
        </w:tc>
        <w:tc>
          <w:tcPr>
            <w:tcW w:w="1418" w:type="dxa"/>
            <w:noWrap/>
            <w:vAlign w:val="center"/>
          </w:tcPr>
          <w:p w14:paraId="3BD16A54">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总户数</w:t>
            </w:r>
          </w:p>
        </w:tc>
        <w:tc>
          <w:tcPr>
            <w:tcW w:w="992" w:type="dxa"/>
            <w:noWrap/>
            <w:vAlign w:val="center"/>
          </w:tcPr>
          <w:p w14:paraId="4D6B330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16896</w:t>
            </w:r>
          </w:p>
        </w:tc>
        <w:tc>
          <w:tcPr>
            <w:tcW w:w="1276" w:type="dxa"/>
            <w:noWrap/>
            <w:vAlign w:val="center"/>
          </w:tcPr>
          <w:p w14:paraId="44F77416">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总人口</w:t>
            </w:r>
          </w:p>
        </w:tc>
        <w:tc>
          <w:tcPr>
            <w:tcW w:w="1276" w:type="dxa"/>
            <w:noWrap/>
            <w:vAlign w:val="center"/>
          </w:tcPr>
          <w:p w14:paraId="5A370A55">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64405</w:t>
            </w:r>
          </w:p>
        </w:tc>
      </w:tr>
    </w:tbl>
    <w:p w14:paraId="5726FE83">
      <w:pPr>
        <w:spacing w:line="360" w:lineRule="auto"/>
        <w:jc w:val="center"/>
        <w:rPr>
          <w:rFonts w:ascii="宋体" w:hAnsi="宋体" w:cs="宋体"/>
          <w:b/>
          <w:bCs/>
          <w:color w:val="auto"/>
          <w:sz w:val="36"/>
          <w:highlight w:val="none"/>
        </w:rPr>
      </w:pPr>
      <w:r>
        <w:rPr>
          <w:rFonts w:hint="eastAsia" w:ascii="宋体" w:hAnsi="宋体" w:cs="宋体"/>
          <w:b/>
          <w:bCs/>
          <w:color w:val="auto"/>
          <w:sz w:val="36"/>
          <w:highlight w:val="none"/>
        </w:rPr>
        <w:br w:type="page" w:clear="all"/>
      </w:r>
      <w:r>
        <w:rPr>
          <w:rFonts w:hint="eastAsia" w:ascii="宋体" w:hAnsi="宋体" w:cs="宋体"/>
          <w:b/>
          <w:bCs/>
          <w:color w:val="auto"/>
          <w:sz w:val="36"/>
          <w:highlight w:val="none"/>
        </w:rPr>
        <w:t>3、磋商报价表</w:t>
      </w:r>
    </w:p>
    <w:p w14:paraId="30C6E1BF">
      <w:pPr>
        <w:spacing w:line="360" w:lineRule="auto"/>
        <w:jc w:val="left"/>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JSZC-320312-BZDL-C2025-0058</w:t>
      </w:r>
      <w:r>
        <w:rPr>
          <w:rFonts w:hint="eastAsia" w:ascii="宋体" w:hAnsi="宋体" w:cs="宋体"/>
          <w:color w:val="auto"/>
          <w:sz w:val="24"/>
          <w:highlight w:val="none"/>
        </w:rPr>
        <w:t xml:space="preserve">                                         </w:t>
      </w:r>
    </w:p>
    <w:p w14:paraId="6E58BC03">
      <w:pPr>
        <w:spacing w:line="360" w:lineRule="auto"/>
        <w:rPr>
          <w:rFonts w:ascii="宋体" w:hAnsi="宋体" w:cs="宋体"/>
          <w:color w:val="auto"/>
          <w:sz w:val="24"/>
          <w:highlight w:val="none"/>
        </w:rPr>
      </w:pPr>
      <w:r>
        <w:rPr>
          <w:rFonts w:hint="eastAsia" w:ascii="宋体" w:hAnsi="宋体" w:cs="宋体"/>
          <w:color w:val="auto"/>
          <w:sz w:val="24"/>
          <w:highlight w:val="none"/>
        </w:rPr>
        <w:t>本次为首次报价</w:t>
      </w:r>
    </w:p>
    <w:p w14:paraId="165EFDC9">
      <w:pPr>
        <w:spacing w:line="360" w:lineRule="auto"/>
        <w:rPr>
          <w:rFonts w:ascii="宋体" w:hAnsi="宋体" w:cs="宋体"/>
          <w:color w:val="auto"/>
          <w:sz w:val="24"/>
          <w:highlight w:val="none"/>
        </w:rPr>
      </w:pPr>
      <w:r>
        <w:rPr>
          <w:rFonts w:hint="eastAsia" w:ascii="宋体" w:hAnsi="宋体" w:cs="宋体"/>
          <w:color w:val="auto"/>
          <w:sz w:val="24"/>
          <w:highlight w:val="none"/>
        </w:rPr>
        <w:t>货币单位：人民币元</w:t>
      </w:r>
    </w:p>
    <w:tbl>
      <w:tblPr>
        <w:tblStyle w:val="51"/>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21"/>
        <w:gridCol w:w="2332"/>
        <w:gridCol w:w="4456"/>
      </w:tblGrid>
      <w:tr w14:paraId="20C6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7" w:hRule="atLeast"/>
          <w:jc w:val="center"/>
        </w:trPr>
        <w:tc>
          <w:tcPr>
            <w:tcW w:w="2321" w:type="dxa"/>
            <w:noWrap w:val="0"/>
            <w:vAlign w:val="center"/>
          </w:tcPr>
          <w:p w14:paraId="1F912169">
            <w:pPr>
              <w:pStyle w:val="63"/>
              <w:widowControl w:val="0"/>
              <w:jc w:val="center"/>
              <w:rPr>
                <w:rStyle w:val="505"/>
                <w:rFonts w:ascii="宋体" w:hAnsi="宋体" w:cs="宋体"/>
                <w:color w:val="auto"/>
                <w:sz w:val="24"/>
                <w:highlight w:val="none"/>
              </w:rPr>
            </w:pPr>
            <w:r>
              <w:rPr>
                <w:rStyle w:val="505"/>
                <w:rFonts w:hint="eastAsia" w:ascii="宋体" w:hAnsi="宋体" w:cs="宋体"/>
                <w:color w:val="auto"/>
                <w:sz w:val="24"/>
                <w:highlight w:val="none"/>
              </w:rPr>
              <w:t>项目名称</w:t>
            </w:r>
          </w:p>
        </w:tc>
        <w:tc>
          <w:tcPr>
            <w:tcW w:w="2332" w:type="dxa"/>
            <w:noWrap w:val="0"/>
            <w:vAlign w:val="center"/>
          </w:tcPr>
          <w:p w14:paraId="0CC50E69">
            <w:pPr>
              <w:pStyle w:val="63"/>
              <w:widowControl w:val="0"/>
              <w:jc w:val="center"/>
              <w:rPr>
                <w:rStyle w:val="505"/>
                <w:rFonts w:ascii="宋体" w:hAnsi="宋体" w:cs="宋体"/>
                <w:color w:val="auto"/>
                <w:sz w:val="24"/>
                <w:highlight w:val="none"/>
              </w:rPr>
            </w:pPr>
            <w:r>
              <w:rPr>
                <w:rStyle w:val="505"/>
                <w:rFonts w:hint="eastAsia" w:ascii="宋体" w:hAnsi="宋体" w:cs="宋体"/>
                <w:color w:val="auto"/>
                <w:sz w:val="24"/>
                <w:highlight w:val="none"/>
              </w:rPr>
              <w:t>项目内容</w:t>
            </w:r>
          </w:p>
        </w:tc>
        <w:tc>
          <w:tcPr>
            <w:tcW w:w="4456" w:type="dxa"/>
            <w:noWrap w:val="0"/>
            <w:vAlign w:val="center"/>
          </w:tcPr>
          <w:p w14:paraId="53009EC8">
            <w:pPr>
              <w:pStyle w:val="63"/>
              <w:widowControl w:val="0"/>
              <w:jc w:val="center"/>
              <w:rPr>
                <w:rStyle w:val="505"/>
                <w:rFonts w:ascii="宋体" w:hAnsi="宋体" w:cs="宋体"/>
                <w:color w:val="auto"/>
                <w:sz w:val="24"/>
                <w:highlight w:val="none"/>
              </w:rPr>
            </w:pPr>
            <w:r>
              <w:rPr>
                <w:rStyle w:val="505"/>
                <w:rFonts w:hint="eastAsia" w:ascii="宋体" w:hAnsi="宋体" w:cs="宋体"/>
                <w:color w:val="auto"/>
                <w:sz w:val="24"/>
                <w:highlight w:val="none"/>
              </w:rPr>
              <w:t>总价（小写）</w:t>
            </w:r>
          </w:p>
        </w:tc>
      </w:tr>
      <w:tr w14:paraId="2578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6" w:hRule="atLeast"/>
          <w:jc w:val="center"/>
        </w:trPr>
        <w:tc>
          <w:tcPr>
            <w:tcW w:w="2321" w:type="dxa"/>
            <w:noWrap w:val="0"/>
            <w:vAlign w:val="center"/>
          </w:tcPr>
          <w:p w14:paraId="31C83842">
            <w:pPr>
              <w:pStyle w:val="63"/>
              <w:widowControl w:val="0"/>
              <w:jc w:val="center"/>
              <w:rPr>
                <w:rStyle w:val="505"/>
                <w:rFonts w:hint="eastAsia" w:ascii="宋体" w:hAnsi="宋体" w:eastAsia="宋体" w:cs="宋体"/>
                <w:color w:val="auto"/>
                <w:sz w:val="24"/>
                <w:highlight w:val="none"/>
              </w:rPr>
            </w:pPr>
            <w:r>
              <w:rPr>
                <w:rStyle w:val="505"/>
                <w:rFonts w:hint="eastAsia" w:ascii="宋体" w:hAnsi="宋体" w:cs="宋体"/>
                <w:color w:val="auto"/>
                <w:sz w:val="24"/>
                <w:highlight w:val="none"/>
                <w:lang w:eastAsia="zh-CN"/>
              </w:rPr>
              <w:t>大彭镇2025-2027年农村垃圾分类运营服务项目</w:t>
            </w:r>
          </w:p>
        </w:tc>
        <w:tc>
          <w:tcPr>
            <w:tcW w:w="2332" w:type="dxa"/>
            <w:noWrap w:val="0"/>
            <w:vAlign w:val="center"/>
          </w:tcPr>
          <w:p w14:paraId="2FB8B92D">
            <w:pPr>
              <w:pStyle w:val="63"/>
              <w:widowControl w:val="0"/>
              <w:jc w:val="center"/>
              <w:rPr>
                <w:rStyle w:val="505"/>
                <w:rFonts w:ascii="宋体" w:hAnsi="宋体" w:cs="宋体"/>
                <w:color w:val="auto"/>
                <w:sz w:val="24"/>
                <w:highlight w:val="none"/>
              </w:rPr>
            </w:pPr>
            <w:r>
              <w:rPr>
                <w:rStyle w:val="505"/>
                <w:rFonts w:hint="eastAsia" w:ascii="宋体" w:hAnsi="宋体" w:cs="宋体"/>
                <w:color w:val="auto"/>
                <w:sz w:val="24"/>
                <w:highlight w:val="none"/>
              </w:rPr>
              <w:t>详见响应文件</w:t>
            </w:r>
          </w:p>
        </w:tc>
        <w:tc>
          <w:tcPr>
            <w:tcW w:w="4456" w:type="dxa"/>
            <w:noWrap w:val="0"/>
            <w:vAlign w:val="center"/>
          </w:tcPr>
          <w:p w14:paraId="18B29A6F">
            <w:pPr>
              <w:pStyle w:val="63"/>
              <w:widowControl w:val="0"/>
              <w:jc w:val="center"/>
              <w:rPr>
                <w:rStyle w:val="505"/>
                <w:rFonts w:ascii="宋体" w:hAnsi="宋体" w:cs="宋体"/>
                <w:color w:val="auto"/>
                <w:sz w:val="24"/>
                <w:highlight w:val="none"/>
              </w:rPr>
            </w:pPr>
          </w:p>
        </w:tc>
      </w:tr>
      <w:tr w14:paraId="0597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2321" w:type="dxa"/>
            <w:noWrap w:val="0"/>
            <w:vAlign w:val="center"/>
          </w:tcPr>
          <w:p w14:paraId="394D8CFE">
            <w:pPr>
              <w:pStyle w:val="63"/>
              <w:widowControl w:val="0"/>
              <w:jc w:val="center"/>
              <w:rPr>
                <w:rStyle w:val="505"/>
                <w:rFonts w:ascii="宋体" w:hAnsi="宋体" w:cs="宋体"/>
                <w:color w:val="auto"/>
                <w:sz w:val="24"/>
                <w:highlight w:val="none"/>
              </w:rPr>
            </w:pPr>
            <w:r>
              <w:rPr>
                <w:rStyle w:val="505"/>
                <w:rFonts w:hint="eastAsia" w:ascii="宋体" w:hAnsi="宋体" w:cs="宋体"/>
                <w:color w:val="auto"/>
                <w:sz w:val="24"/>
                <w:highlight w:val="none"/>
              </w:rPr>
              <w:t>总价（大写）：</w:t>
            </w:r>
          </w:p>
        </w:tc>
        <w:tc>
          <w:tcPr>
            <w:tcW w:w="6788" w:type="dxa"/>
            <w:gridSpan w:val="2"/>
            <w:noWrap w:val="0"/>
            <w:vAlign w:val="center"/>
          </w:tcPr>
          <w:p w14:paraId="651F1C61">
            <w:pPr>
              <w:pStyle w:val="63"/>
              <w:widowControl w:val="0"/>
              <w:jc w:val="center"/>
              <w:rPr>
                <w:rStyle w:val="505"/>
                <w:rFonts w:ascii="宋体" w:hAnsi="宋体" w:cs="宋体"/>
                <w:color w:val="auto"/>
                <w:sz w:val="24"/>
                <w:highlight w:val="none"/>
              </w:rPr>
            </w:pPr>
          </w:p>
        </w:tc>
      </w:tr>
    </w:tbl>
    <w:p w14:paraId="27E79551">
      <w:pPr>
        <w:spacing w:line="360" w:lineRule="auto"/>
        <w:rPr>
          <w:rFonts w:ascii="宋体" w:hAnsi="宋体" w:cs="宋体"/>
          <w:color w:val="auto"/>
          <w:sz w:val="24"/>
          <w:highlight w:val="none"/>
        </w:rPr>
      </w:pPr>
    </w:p>
    <w:p w14:paraId="0459DFE7">
      <w:pPr>
        <w:spacing w:line="360" w:lineRule="auto"/>
        <w:rPr>
          <w:rFonts w:ascii="宋体" w:hAnsi="宋体" w:cs="宋体"/>
          <w:color w:val="auto"/>
          <w:sz w:val="24"/>
          <w:highlight w:val="none"/>
        </w:rPr>
      </w:pPr>
      <w:r>
        <w:rPr>
          <w:rFonts w:hint="eastAsia" w:ascii="宋体" w:hAnsi="宋体" w:cs="宋体"/>
          <w:color w:val="auto"/>
          <w:sz w:val="24"/>
          <w:highlight w:val="none"/>
        </w:rPr>
        <w:t>供应商承诺：本报价（总价）为供应商本企业提供的服务。</w:t>
      </w:r>
    </w:p>
    <w:p w14:paraId="7B4DBD27">
      <w:pPr>
        <w:spacing w:line="360" w:lineRule="auto"/>
        <w:rPr>
          <w:rFonts w:ascii="宋体" w:hAnsi="宋体" w:cs="宋体"/>
          <w:color w:val="auto"/>
          <w:sz w:val="24"/>
          <w:highlight w:val="none"/>
        </w:rPr>
      </w:pPr>
    </w:p>
    <w:p w14:paraId="7BDCE35E">
      <w:pPr>
        <w:spacing w:line="360" w:lineRule="auto"/>
        <w:rPr>
          <w:rFonts w:ascii="宋体" w:hAnsi="宋体" w:cs="宋体"/>
          <w:color w:val="auto"/>
          <w:sz w:val="24"/>
          <w:highlight w:val="none"/>
        </w:rPr>
      </w:pPr>
      <w:r>
        <w:rPr>
          <w:rFonts w:hint="eastAsia" w:ascii="宋体" w:hAnsi="宋体" w:cs="宋体"/>
          <w:color w:val="auto"/>
          <w:sz w:val="24"/>
          <w:highlight w:val="none"/>
        </w:rPr>
        <w:t>报价说明：</w:t>
      </w:r>
    </w:p>
    <w:p w14:paraId="6109ED5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1、报价应包括磋商文件所确定的招标范围内所含的全部内容，以及为完成上述内容所需的全部费用。</w:t>
      </w:r>
    </w:p>
    <w:p w14:paraId="0FE1671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2、报价以总价为准，大小写不一致以大写为准；</w:t>
      </w:r>
    </w:p>
    <w:p w14:paraId="6F58039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3、偏离说明：详见《偏离表》；</w:t>
      </w:r>
    </w:p>
    <w:p w14:paraId="0CD4768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4、如最后报价未列明单价，则最后所报各项单价计算方法为：（最后报价/最初报价）* 各项最初报价的单价。</w:t>
      </w:r>
    </w:p>
    <w:p w14:paraId="24893A60">
      <w:pPr>
        <w:spacing w:line="360" w:lineRule="auto"/>
        <w:ind w:firstLine="480"/>
        <w:rPr>
          <w:rFonts w:ascii="宋体" w:hAnsi="宋体" w:cs="宋体"/>
          <w:color w:val="auto"/>
          <w:sz w:val="24"/>
          <w:highlight w:val="none"/>
        </w:rPr>
      </w:pPr>
    </w:p>
    <w:p w14:paraId="1265E812">
      <w:pPr>
        <w:spacing w:line="360" w:lineRule="auto"/>
        <w:ind w:firstLine="480"/>
        <w:rPr>
          <w:rFonts w:ascii="宋体" w:hAnsi="宋体" w:cs="宋体"/>
          <w:color w:val="auto"/>
          <w:sz w:val="24"/>
          <w:highlight w:val="none"/>
        </w:rPr>
      </w:pPr>
    </w:p>
    <w:p w14:paraId="495974B7">
      <w:pPr>
        <w:spacing w:line="360" w:lineRule="auto"/>
        <w:ind w:right="29"/>
        <w:rPr>
          <w:rFonts w:ascii="宋体" w:hAnsi="宋体" w:cs="宋体"/>
          <w:color w:val="auto"/>
          <w:sz w:val="24"/>
          <w:highlight w:val="none"/>
        </w:rPr>
      </w:pPr>
      <w:r>
        <w:rPr>
          <w:rFonts w:hint="eastAsia" w:ascii="宋体" w:hAnsi="宋体" w:cs="宋体"/>
          <w:color w:val="auto"/>
          <w:sz w:val="24"/>
          <w:highlight w:val="none"/>
        </w:rPr>
        <w:t xml:space="preserve">                       供应商（电子签章）：</w:t>
      </w:r>
    </w:p>
    <w:p w14:paraId="31D18017">
      <w:pPr>
        <w:spacing w:line="360" w:lineRule="auto"/>
        <w:ind w:right="29"/>
        <w:rPr>
          <w:rFonts w:ascii="宋体" w:hAnsi="宋体" w:cs="宋体"/>
          <w:color w:val="auto"/>
          <w:sz w:val="24"/>
          <w:highlight w:val="none"/>
        </w:rPr>
      </w:pPr>
      <w:r>
        <w:rPr>
          <w:rFonts w:hint="eastAsia" w:ascii="宋体" w:hAnsi="宋体" w:cs="宋体"/>
          <w:color w:val="auto"/>
          <w:sz w:val="24"/>
          <w:highlight w:val="none"/>
        </w:rPr>
        <w:t xml:space="preserve">                       法定代表人（负责人)或授权代表（签字或盖章）：  </w:t>
      </w:r>
    </w:p>
    <w:p w14:paraId="0A1DFC68">
      <w:pPr>
        <w:spacing w:line="360" w:lineRule="auto"/>
        <w:ind w:right="29"/>
        <w:rPr>
          <w:rFonts w:ascii="宋体" w:hAnsi="宋体" w:cs="宋体"/>
          <w:color w:val="auto"/>
          <w:sz w:val="24"/>
          <w:highlight w:val="none"/>
        </w:rPr>
      </w:pPr>
      <w:r>
        <w:rPr>
          <w:rFonts w:hint="eastAsia" w:ascii="宋体" w:hAnsi="宋体" w:cs="宋体"/>
          <w:color w:val="auto"/>
          <w:sz w:val="24"/>
          <w:highlight w:val="none"/>
        </w:rPr>
        <w:t xml:space="preserve">                       日期：</w:t>
      </w:r>
    </w:p>
    <w:p w14:paraId="55358CEB">
      <w:pPr>
        <w:rPr>
          <w:rFonts w:ascii="宋体" w:hAnsi="宋体" w:cs="宋体"/>
          <w:b/>
          <w:bCs/>
          <w:color w:val="auto"/>
          <w:sz w:val="36"/>
          <w:highlight w:val="none"/>
        </w:rPr>
      </w:pPr>
    </w:p>
    <w:p w14:paraId="63053625">
      <w:pPr>
        <w:jc w:val="center"/>
        <w:rPr>
          <w:rFonts w:ascii="宋体" w:hAnsi="宋体" w:cs="宋体"/>
          <w:b/>
          <w:bCs/>
          <w:color w:val="auto"/>
          <w:sz w:val="36"/>
          <w:highlight w:val="none"/>
        </w:rPr>
      </w:pPr>
    </w:p>
    <w:p w14:paraId="50ED2763">
      <w:pPr>
        <w:jc w:val="center"/>
        <w:rPr>
          <w:rFonts w:ascii="宋体" w:hAnsi="宋体" w:cs="宋体"/>
          <w:b/>
          <w:bCs/>
          <w:color w:val="auto"/>
          <w:sz w:val="36"/>
          <w:highlight w:val="none"/>
        </w:rPr>
      </w:pPr>
      <w:r>
        <w:rPr>
          <w:rFonts w:hint="eastAsia" w:ascii="宋体" w:hAnsi="宋体" w:cs="宋体"/>
          <w:b/>
          <w:bCs/>
          <w:color w:val="auto"/>
          <w:sz w:val="36"/>
          <w:highlight w:val="none"/>
        </w:rPr>
        <w:t>4、</w:t>
      </w:r>
      <w:bookmarkStart w:id="3" w:name="_Hlk81985238"/>
      <w:r>
        <w:rPr>
          <w:rFonts w:hint="eastAsia" w:ascii="宋体" w:hAnsi="宋体" w:cs="宋体"/>
          <w:b/>
          <w:bCs/>
          <w:color w:val="auto"/>
          <w:sz w:val="36"/>
          <w:highlight w:val="none"/>
        </w:rPr>
        <w:t>分项价格表</w:t>
      </w:r>
    </w:p>
    <w:p w14:paraId="4A5B4940">
      <w:pPr>
        <w:spacing w:line="360" w:lineRule="auto"/>
        <w:rPr>
          <w:rFonts w:ascii="宋体" w:hAnsi="宋体" w:cs="宋体"/>
          <w:color w:val="auto"/>
          <w:sz w:val="24"/>
          <w:highlight w:val="none"/>
        </w:rPr>
      </w:pPr>
      <w:r>
        <w:rPr>
          <w:rFonts w:hint="eastAsia" w:ascii="宋体" w:hAnsi="宋体" w:cs="宋体"/>
          <w:b/>
          <w:bCs/>
          <w:color w:val="auto"/>
          <w:sz w:val="36"/>
          <w:highlight w:val="none"/>
        </w:rPr>
        <w:t xml:space="preserve"> </w:t>
      </w:r>
    </w:p>
    <w:p w14:paraId="27C7B330">
      <w:pPr>
        <w:spacing w:line="360" w:lineRule="auto"/>
        <w:rPr>
          <w:rFonts w:ascii="宋体" w:hAnsi="宋体" w:cs="宋体"/>
          <w:color w:val="auto"/>
          <w:sz w:val="24"/>
          <w:highlight w:val="none"/>
        </w:rPr>
      </w:pPr>
      <w:r>
        <w:rPr>
          <w:rFonts w:hint="eastAsia" w:ascii="宋体" w:hAnsi="宋体" w:cs="宋体"/>
          <w:color w:val="auto"/>
          <w:sz w:val="24"/>
          <w:highlight w:val="none"/>
        </w:rPr>
        <w:t>本次为首次报价</w:t>
      </w:r>
    </w:p>
    <w:p w14:paraId="116F7052">
      <w:pPr>
        <w:spacing w:line="360" w:lineRule="auto"/>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JSZC-320312-BZDL-C2025-0058</w:t>
      </w:r>
      <w:r>
        <w:rPr>
          <w:rFonts w:hint="eastAsia" w:ascii="宋体" w:hAnsi="宋体" w:cs="宋体"/>
          <w:color w:val="auto"/>
          <w:sz w:val="24"/>
          <w:highlight w:val="none"/>
        </w:rPr>
        <w:t xml:space="preserve">                                         </w:t>
      </w:r>
    </w:p>
    <w:p w14:paraId="41CCAE17">
      <w:pPr>
        <w:pStyle w:val="23"/>
        <w:ind w:left="0"/>
        <w:jc w:val="both"/>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lang w:eastAsia="zh-CN"/>
        </w:rPr>
        <w:t>大彭镇2025-2027年农村垃圾分类运营服务项目</w:t>
      </w:r>
    </w:p>
    <w:p w14:paraId="72CA8067">
      <w:pPr>
        <w:pStyle w:val="23"/>
        <w:ind w:left="0"/>
        <w:jc w:val="both"/>
        <w:rPr>
          <w:rFonts w:hint="eastAsia" w:ascii="宋体" w:hAnsi="宋体" w:cs="宋体"/>
          <w:color w:val="auto"/>
          <w:sz w:val="24"/>
          <w:highlight w:val="none"/>
          <w:u w:val="single"/>
        </w:rPr>
      </w:pPr>
    </w:p>
    <w:p w14:paraId="53F54E9D">
      <w:pPr>
        <w:pStyle w:val="23"/>
        <w:ind w:left="0"/>
        <w:jc w:val="both"/>
        <w:rPr>
          <w:rFonts w:hint="eastAsia" w:ascii="宋体" w:hAnsi="宋体" w:cs="宋体"/>
          <w:color w:val="auto"/>
          <w:sz w:val="24"/>
          <w:highlight w:val="none"/>
          <w:u w:val="single"/>
        </w:rPr>
      </w:pPr>
    </w:p>
    <w:p w14:paraId="5D7F8586">
      <w:pPr>
        <w:pStyle w:val="23"/>
        <w:ind w:left="0"/>
        <w:jc w:val="both"/>
        <w:rPr>
          <w:rFonts w:ascii="宋体" w:hAnsi="宋体" w:cs="宋体"/>
          <w:color w:val="auto"/>
          <w:highlight w:val="none"/>
        </w:rPr>
      </w:pPr>
      <w:r>
        <w:rPr>
          <w:rFonts w:hint="eastAsia" w:ascii="宋体" w:hAnsi="宋体" w:cs="宋体"/>
          <w:color w:val="auto"/>
          <w:highlight w:val="none"/>
        </w:rPr>
        <w:t>【格式自拟】</w:t>
      </w:r>
    </w:p>
    <w:p w14:paraId="688A7AFE">
      <w:pPr>
        <w:spacing w:line="276"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5E544EBF">
      <w:pPr>
        <w:spacing w:line="276" w:lineRule="auto"/>
        <w:rPr>
          <w:rFonts w:ascii="宋体" w:hAnsi="宋体" w:cs="宋体"/>
          <w:color w:val="auto"/>
          <w:sz w:val="24"/>
          <w:highlight w:val="none"/>
        </w:rPr>
      </w:pPr>
    </w:p>
    <w:p w14:paraId="261002C2">
      <w:pPr>
        <w:spacing w:line="276" w:lineRule="auto"/>
        <w:rPr>
          <w:rFonts w:ascii="宋体" w:hAnsi="宋体" w:cs="宋体"/>
          <w:color w:val="auto"/>
          <w:sz w:val="24"/>
          <w:highlight w:val="none"/>
        </w:rPr>
      </w:pPr>
    </w:p>
    <w:p w14:paraId="2E3A5502">
      <w:pPr>
        <w:spacing w:line="276" w:lineRule="auto"/>
        <w:rPr>
          <w:rFonts w:ascii="宋体" w:hAnsi="宋体" w:cs="宋体"/>
          <w:color w:val="auto"/>
          <w:sz w:val="24"/>
          <w:highlight w:val="none"/>
        </w:rPr>
      </w:pPr>
    </w:p>
    <w:p w14:paraId="34CD12D7">
      <w:pPr>
        <w:spacing w:line="276" w:lineRule="auto"/>
        <w:rPr>
          <w:rFonts w:ascii="宋体" w:hAnsi="宋体" w:cs="宋体"/>
          <w:color w:val="auto"/>
          <w:sz w:val="24"/>
          <w:highlight w:val="none"/>
        </w:rPr>
      </w:pPr>
    </w:p>
    <w:p w14:paraId="3DD7F925">
      <w:pPr>
        <w:spacing w:line="276" w:lineRule="auto"/>
        <w:rPr>
          <w:rFonts w:ascii="宋体" w:hAnsi="宋体" w:cs="宋体"/>
          <w:color w:val="auto"/>
          <w:sz w:val="24"/>
          <w:highlight w:val="none"/>
        </w:rPr>
      </w:pPr>
    </w:p>
    <w:p w14:paraId="16E5B934">
      <w:pPr>
        <w:spacing w:line="276" w:lineRule="auto"/>
        <w:rPr>
          <w:rFonts w:ascii="宋体" w:hAnsi="宋体" w:cs="宋体"/>
          <w:color w:val="auto"/>
          <w:sz w:val="24"/>
          <w:highlight w:val="none"/>
        </w:rPr>
      </w:pPr>
    </w:p>
    <w:p w14:paraId="2E999451">
      <w:pPr>
        <w:spacing w:line="276" w:lineRule="auto"/>
        <w:ind w:firstLine="2280"/>
        <w:rPr>
          <w:rFonts w:ascii="宋体" w:hAnsi="宋体" w:cs="宋体"/>
          <w:color w:val="auto"/>
          <w:sz w:val="24"/>
          <w:highlight w:val="none"/>
        </w:rPr>
      </w:pPr>
      <w:r>
        <w:rPr>
          <w:rFonts w:hint="eastAsia" w:ascii="宋体" w:hAnsi="宋体" w:cs="宋体"/>
          <w:color w:val="auto"/>
          <w:sz w:val="24"/>
          <w:highlight w:val="none"/>
        </w:rPr>
        <w:t xml:space="preserve">     供应商（电子签章）：</w:t>
      </w:r>
    </w:p>
    <w:p w14:paraId="62B4F603">
      <w:pPr>
        <w:spacing w:line="276" w:lineRule="auto"/>
        <w:rPr>
          <w:rFonts w:ascii="宋体" w:hAnsi="宋体" w:cs="宋体"/>
          <w:color w:val="auto"/>
          <w:sz w:val="24"/>
          <w:highlight w:val="none"/>
        </w:rPr>
      </w:pPr>
      <w:r>
        <w:rPr>
          <w:rFonts w:hint="eastAsia" w:ascii="宋体" w:hAnsi="宋体" w:cs="宋体"/>
          <w:color w:val="auto"/>
          <w:sz w:val="24"/>
          <w:highlight w:val="none"/>
        </w:rPr>
        <w:t xml:space="preserve">                        法定代表人（负责人)或授权代表（签字或盖章）：  </w:t>
      </w:r>
    </w:p>
    <w:p w14:paraId="699D8F38">
      <w:pPr>
        <w:spacing w:line="276" w:lineRule="auto"/>
        <w:rPr>
          <w:rFonts w:ascii="宋体" w:hAnsi="宋体" w:cs="宋体"/>
          <w:color w:val="auto"/>
          <w:sz w:val="24"/>
          <w:highlight w:val="none"/>
        </w:rPr>
      </w:pPr>
      <w:r>
        <w:rPr>
          <w:rFonts w:hint="eastAsia" w:ascii="宋体" w:hAnsi="宋体" w:cs="宋体"/>
          <w:color w:val="auto"/>
          <w:sz w:val="24"/>
          <w:highlight w:val="none"/>
        </w:rPr>
        <w:t xml:space="preserve">                        日期：</w:t>
      </w:r>
    </w:p>
    <w:p w14:paraId="599C99BF">
      <w:pPr>
        <w:spacing w:line="276" w:lineRule="auto"/>
        <w:rPr>
          <w:rFonts w:ascii="宋体" w:hAnsi="宋体" w:cs="宋体"/>
          <w:b/>
          <w:bCs/>
          <w:color w:val="auto"/>
          <w:sz w:val="24"/>
          <w:highlight w:val="none"/>
        </w:rPr>
      </w:pPr>
      <w:r>
        <w:rPr>
          <w:rFonts w:hint="eastAsia" w:ascii="宋体" w:hAnsi="宋体" w:cs="宋体"/>
          <w:b/>
          <w:bCs/>
          <w:color w:val="auto"/>
          <w:sz w:val="24"/>
          <w:highlight w:val="none"/>
        </w:rPr>
        <w:t>说明：</w:t>
      </w:r>
    </w:p>
    <w:p w14:paraId="19A3280D">
      <w:pPr>
        <w:spacing w:line="276" w:lineRule="auto"/>
        <w:rPr>
          <w:rFonts w:ascii="宋体" w:hAnsi="宋体" w:cs="宋体"/>
          <w:color w:val="auto"/>
          <w:sz w:val="24"/>
          <w:highlight w:val="none"/>
        </w:rPr>
      </w:pPr>
      <w:r>
        <w:rPr>
          <w:rFonts w:hint="eastAsia" w:ascii="宋体" w:hAnsi="宋体" w:cs="宋体"/>
          <w:color w:val="auto"/>
          <w:sz w:val="24"/>
          <w:highlight w:val="none"/>
        </w:rPr>
        <w:t>1.中小微企业的划分具体以《政府采购促进中小企业发展管理办法》（财库（ 2020) 46号）和《工业和信息化部、国家统计局、国家发展和改革委员会、财政部关于印发中小企业划型标准规定的通知》（工信部联企业[2011]300号）的规定为准。</w:t>
      </w:r>
    </w:p>
    <w:p w14:paraId="1DCEFC0A">
      <w:pPr>
        <w:spacing w:line="276" w:lineRule="auto"/>
        <w:rPr>
          <w:rFonts w:ascii="宋体" w:hAnsi="宋体" w:cs="宋体"/>
          <w:color w:val="auto"/>
          <w:sz w:val="24"/>
          <w:highlight w:val="none"/>
        </w:rPr>
      </w:pPr>
      <w:r>
        <w:rPr>
          <w:rFonts w:hint="eastAsia" w:ascii="宋体" w:hAnsi="宋体" w:cs="宋体"/>
          <w:color w:val="auto"/>
          <w:sz w:val="24"/>
          <w:highlight w:val="none"/>
        </w:rPr>
        <w:t>2.享受政府采购支持政策的残疾人福利性单位应满足的条件以《关于促进残疾人就业政府采购政策的通知》（财库〔2017〕141号）的规定为准。</w:t>
      </w:r>
    </w:p>
    <w:p w14:paraId="6E86319E">
      <w:pPr>
        <w:spacing w:line="276" w:lineRule="auto"/>
        <w:rPr>
          <w:rFonts w:ascii="宋体" w:hAnsi="宋体" w:cs="宋体"/>
          <w:color w:val="auto"/>
          <w:sz w:val="24"/>
          <w:highlight w:val="none"/>
        </w:rPr>
      </w:pPr>
      <w:r>
        <w:rPr>
          <w:rFonts w:hint="eastAsia" w:ascii="宋体" w:hAnsi="宋体" w:cs="宋体"/>
          <w:color w:val="auto"/>
          <w:sz w:val="24"/>
          <w:highlight w:val="none"/>
        </w:rPr>
        <w:t>3．供应商为“小型”或“微型”或“监狱企业”、“残疾人福利性单位”的，须算出“小型和微型和监狱企业和残疾人福利性单位” 总价合计”。</w:t>
      </w:r>
    </w:p>
    <w:p w14:paraId="06F93AEB">
      <w:pPr>
        <w:spacing w:line="276" w:lineRule="auto"/>
        <w:rPr>
          <w:rFonts w:ascii="宋体" w:hAnsi="宋体" w:cs="宋体"/>
          <w:color w:val="auto"/>
          <w:sz w:val="24"/>
          <w:highlight w:val="none"/>
        </w:rPr>
      </w:pPr>
      <w:r>
        <w:rPr>
          <w:rFonts w:hint="eastAsia" w:ascii="宋体" w:hAnsi="宋体" w:cs="宋体"/>
          <w:color w:val="auto"/>
          <w:sz w:val="24"/>
          <w:highlight w:val="none"/>
        </w:rPr>
        <w:t>注：1．</w:t>
      </w:r>
      <w:r>
        <w:rPr>
          <w:rFonts w:hint="eastAsia" w:ascii="宋体" w:hAnsi="宋体" w:cs="宋体"/>
          <w:b/>
          <w:color w:val="auto"/>
          <w:sz w:val="24"/>
          <w:highlight w:val="none"/>
        </w:rPr>
        <w:t>如果不提供《分项价格表》将视为没有实质性响应。</w:t>
      </w:r>
    </w:p>
    <w:p w14:paraId="512501BB">
      <w:pPr>
        <w:numPr>
          <w:ilvl w:val="0"/>
          <w:numId w:val="9"/>
        </w:numPr>
        <w:spacing w:line="276" w:lineRule="auto"/>
        <w:ind w:firstLine="480"/>
        <w:rPr>
          <w:rFonts w:ascii="宋体" w:hAnsi="宋体" w:cs="宋体"/>
          <w:color w:val="auto"/>
          <w:sz w:val="24"/>
          <w:highlight w:val="none"/>
        </w:rPr>
      </w:pPr>
      <w:r>
        <w:rPr>
          <w:rFonts w:hint="eastAsia" w:ascii="宋体" w:hAnsi="宋体" w:cs="宋体"/>
          <w:color w:val="auto"/>
          <w:sz w:val="24"/>
          <w:highlight w:val="none"/>
        </w:rPr>
        <w:t>响应供应商对以上数据的真实性负责。</w:t>
      </w:r>
      <w:bookmarkEnd w:id="3"/>
    </w:p>
    <w:p w14:paraId="4CAD11CA">
      <w:pPr>
        <w:spacing w:line="276" w:lineRule="auto"/>
        <w:ind w:firstLine="482"/>
        <w:rPr>
          <w:rFonts w:ascii="宋体" w:hAnsi="宋体" w:cs="宋体"/>
          <w:b/>
          <w:bCs w:val="0"/>
          <w:i w:val="0"/>
          <w:iCs/>
          <w:color w:val="auto"/>
          <w:sz w:val="24"/>
          <w:highlight w:val="none"/>
        </w:rPr>
      </w:pPr>
      <w:r>
        <w:rPr>
          <w:rFonts w:hint="eastAsia" w:ascii="宋体" w:hAnsi="宋体" w:cs="宋体"/>
          <w:b/>
          <w:bCs w:val="0"/>
          <w:i w:val="0"/>
          <w:iCs/>
          <w:color w:val="auto"/>
          <w:sz w:val="24"/>
          <w:highlight w:val="none"/>
          <w:u w:val="single"/>
        </w:rPr>
        <w:t>采购人或采购代理机构有权将以上内容进行公示。</w:t>
      </w:r>
    </w:p>
    <w:p w14:paraId="603A8B99">
      <w:pPr>
        <w:rPr>
          <w:rFonts w:ascii="宋体" w:hAnsi="宋体" w:cs="宋体"/>
          <w:b/>
          <w:bCs/>
          <w:color w:val="auto"/>
          <w:sz w:val="36"/>
          <w:highlight w:val="none"/>
        </w:rPr>
      </w:pPr>
      <w:r>
        <w:rPr>
          <w:rFonts w:hint="eastAsia" w:ascii="宋体" w:hAnsi="宋体" w:cs="宋体"/>
          <w:b/>
          <w:bCs/>
          <w:color w:val="auto"/>
          <w:sz w:val="36"/>
          <w:highlight w:val="none"/>
        </w:rPr>
        <w:br w:type="page" w:clear="all"/>
      </w:r>
    </w:p>
    <w:p w14:paraId="60CB7A32">
      <w:pPr>
        <w:spacing w:line="360" w:lineRule="auto"/>
        <w:jc w:val="center"/>
        <w:rPr>
          <w:rFonts w:ascii="宋体" w:hAnsi="宋体" w:cs="宋体"/>
          <w:b/>
          <w:bCs/>
          <w:color w:val="auto"/>
          <w:sz w:val="36"/>
          <w:highlight w:val="none"/>
        </w:rPr>
      </w:pPr>
      <w:r>
        <w:rPr>
          <w:rFonts w:hint="eastAsia" w:ascii="宋体" w:hAnsi="宋体" w:cs="宋体"/>
          <w:b/>
          <w:bCs/>
          <w:color w:val="auto"/>
          <w:sz w:val="36"/>
          <w:highlight w:val="none"/>
          <w:lang w:val="en-US" w:eastAsia="zh-CN"/>
        </w:rPr>
        <w:t>5</w:t>
      </w:r>
      <w:r>
        <w:rPr>
          <w:rFonts w:hint="eastAsia" w:ascii="宋体" w:hAnsi="宋体" w:cs="宋体"/>
          <w:b/>
          <w:bCs/>
          <w:color w:val="auto"/>
          <w:sz w:val="36"/>
          <w:highlight w:val="none"/>
        </w:rPr>
        <w:t>、</w:t>
      </w:r>
      <w:bookmarkStart w:id="4" w:name="_Hlk81985343"/>
      <w:r>
        <w:rPr>
          <w:rFonts w:hint="eastAsia" w:ascii="宋体" w:hAnsi="宋体" w:cs="宋体"/>
          <w:b/>
          <w:bCs/>
          <w:color w:val="auto"/>
          <w:sz w:val="36"/>
          <w:highlight w:val="none"/>
        </w:rPr>
        <w:t>偏离表</w:t>
      </w:r>
    </w:p>
    <w:p w14:paraId="036BD3CF">
      <w:pPr>
        <w:pStyle w:val="95"/>
        <w:spacing w:before="0" w:after="0" w:line="360" w:lineRule="auto"/>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项目编号：</w:t>
      </w:r>
      <w:r>
        <w:rPr>
          <w:rFonts w:hint="eastAsia" w:ascii="宋体" w:hAnsi="宋体" w:eastAsia="宋体" w:cs="宋体"/>
          <w:b w:val="0"/>
          <w:bCs w:val="0"/>
          <w:color w:val="auto"/>
          <w:sz w:val="24"/>
          <w:highlight w:val="none"/>
          <w:lang w:eastAsia="zh-CN"/>
        </w:rPr>
        <w:t>JSZC-320312-BZDL-C2025-0058</w:t>
      </w:r>
      <w:r>
        <w:rPr>
          <w:rFonts w:hint="eastAsia" w:ascii="宋体" w:hAnsi="宋体" w:eastAsia="宋体" w:cs="宋体"/>
          <w:b w:val="0"/>
          <w:bCs w:val="0"/>
          <w:color w:val="auto"/>
          <w:sz w:val="24"/>
          <w:highlight w:val="none"/>
        </w:rPr>
        <w:t xml:space="preserve">                                         </w:t>
      </w:r>
    </w:p>
    <w:tbl>
      <w:tblPr>
        <w:tblStyle w:val="51"/>
        <w:tblW w:w="872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1280"/>
        <w:gridCol w:w="1080"/>
        <w:gridCol w:w="2845"/>
        <w:gridCol w:w="1515"/>
        <w:gridCol w:w="1230"/>
        <w:gridCol w:w="770"/>
      </w:tblGrid>
      <w:tr w14:paraId="5EE7DE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1280" w:type="dxa"/>
            <w:tcBorders>
              <w:top w:val="single" w:color="000000" w:sz="6" w:space="0"/>
              <w:left w:val="single" w:color="000000" w:sz="6" w:space="0"/>
              <w:bottom w:val="single" w:color="000000" w:sz="6" w:space="0"/>
              <w:right w:val="single" w:color="000000" w:sz="6" w:space="0"/>
            </w:tcBorders>
            <w:noWrap w:val="0"/>
            <w:vAlign w:val="center"/>
          </w:tcPr>
          <w:p w14:paraId="42777F5C">
            <w:pPr>
              <w:jc w:val="center"/>
              <w:rPr>
                <w:rFonts w:ascii="宋体" w:hAnsi="宋体" w:cs="宋体"/>
                <w:caps/>
                <w:color w:val="auto"/>
                <w:sz w:val="24"/>
                <w:highlight w:val="none"/>
              </w:rPr>
            </w:pPr>
            <w:r>
              <w:rPr>
                <w:rFonts w:hint="eastAsia" w:ascii="宋体" w:hAnsi="宋体" w:eastAsia="宋体" w:cs="宋体"/>
                <w:b w:val="0"/>
                <w:bCs w:val="0"/>
                <w:color w:val="auto"/>
                <w:sz w:val="24"/>
                <w:highlight w:val="none"/>
              </w:rPr>
              <w:t>项目名称：</w:t>
            </w:r>
            <w:r>
              <w:rPr>
                <w:rFonts w:hint="eastAsia" w:ascii="宋体" w:hAnsi="宋体" w:cs="宋体"/>
                <w:b w:val="0"/>
                <w:bCs w:val="0"/>
                <w:color w:val="auto"/>
                <w:sz w:val="24"/>
                <w:highlight w:val="none"/>
                <w:lang w:eastAsia="zh-CN"/>
              </w:rPr>
              <w:t>*</w:t>
            </w:r>
            <w:r>
              <w:rPr>
                <w:rFonts w:hint="eastAsia" w:ascii="宋体" w:hAnsi="宋体" w:cs="宋体"/>
                <w:caps/>
                <w:color w:val="auto"/>
                <w:sz w:val="24"/>
                <w:highlight w:val="none"/>
              </w:rPr>
              <w:t>序号</w:t>
            </w:r>
          </w:p>
        </w:tc>
        <w:tc>
          <w:tcPr>
            <w:tcW w:w="1080" w:type="dxa"/>
            <w:tcBorders>
              <w:top w:val="single" w:color="000000" w:sz="6" w:space="0"/>
              <w:left w:val="single" w:color="000000" w:sz="6" w:space="0"/>
              <w:bottom w:val="single" w:color="000000" w:sz="6" w:space="0"/>
              <w:right w:val="single" w:color="000000" w:sz="6" w:space="0"/>
            </w:tcBorders>
            <w:noWrap w:val="0"/>
            <w:vAlign w:val="center"/>
          </w:tcPr>
          <w:p w14:paraId="3E4DCD5D">
            <w:pPr>
              <w:jc w:val="center"/>
              <w:rPr>
                <w:rFonts w:ascii="宋体" w:hAnsi="宋体" w:cs="宋体"/>
                <w:caps/>
                <w:color w:val="auto"/>
                <w:sz w:val="24"/>
                <w:highlight w:val="none"/>
              </w:rPr>
            </w:pPr>
            <w:r>
              <w:rPr>
                <w:rFonts w:hint="eastAsia" w:ascii="宋体" w:hAnsi="宋体" w:cs="宋体"/>
                <w:caps/>
                <w:color w:val="auto"/>
                <w:sz w:val="24"/>
                <w:highlight w:val="none"/>
              </w:rPr>
              <w:t>偏离内容</w:t>
            </w:r>
          </w:p>
        </w:tc>
        <w:tc>
          <w:tcPr>
            <w:tcW w:w="2845" w:type="dxa"/>
            <w:tcBorders>
              <w:top w:val="single" w:color="000000" w:sz="6" w:space="0"/>
              <w:left w:val="single" w:color="000000" w:sz="6" w:space="0"/>
              <w:bottom w:val="single" w:color="000000" w:sz="6" w:space="0"/>
              <w:right w:val="single" w:color="000000" w:sz="6" w:space="0"/>
            </w:tcBorders>
            <w:noWrap w:val="0"/>
            <w:vAlign w:val="center"/>
          </w:tcPr>
          <w:p w14:paraId="4D640480">
            <w:pPr>
              <w:jc w:val="center"/>
              <w:rPr>
                <w:rFonts w:ascii="宋体" w:hAnsi="宋体" w:cs="宋体"/>
                <w:caps/>
                <w:color w:val="auto"/>
                <w:sz w:val="24"/>
                <w:highlight w:val="none"/>
              </w:rPr>
            </w:pPr>
            <w:r>
              <w:rPr>
                <w:rFonts w:hint="eastAsia" w:ascii="宋体" w:hAnsi="宋体" w:cs="宋体"/>
                <w:color w:val="auto"/>
                <w:sz w:val="24"/>
                <w:highlight w:val="none"/>
              </w:rPr>
              <w:t>竞争性磋商文件（含竞争性磋商文件的澄清或者修改）的要求</w:t>
            </w:r>
          </w:p>
        </w:tc>
        <w:tc>
          <w:tcPr>
            <w:tcW w:w="1515" w:type="dxa"/>
            <w:tcBorders>
              <w:top w:val="single" w:color="000000" w:sz="6" w:space="0"/>
              <w:left w:val="single" w:color="000000" w:sz="6" w:space="0"/>
              <w:bottom w:val="single" w:color="000000" w:sz="6" w:space="0"/>
              <w:right w:val="single" w:color="000000" w:sz="6" w:space="0"/>
            </w:tcBorders>
            <w:noWrap w:val="0"/>
            <w:vAlign w:val="center"/>
          </w:tcPr>
          <w:p w14:paraId="0C546599">
            <w:pPr>
              <w:jc w:val="center"/>
              <w:rPr>
                <w:rFonts w:ascii="宋体" w:hAnsi="宋体" w:cs="宋体"/>
                <w:caps/>
                <w:color w:val="auto"/>
                <w:sz w:val="24"/>
                <w:highlight w:val="none"/>
              </w:rPr>
            </w:pPr>
            <w:r>
              <w:rPr>
                <w:rFonts w:hint="eastAsia" w:ascii="宋体" w:hAnsi="宋体" w:cs="宋体"/>
                <w:color w:val="auto"/>
                <w:sz w:val="24"/>
                <w:highlight w:val="none"/>
              </w:rPr>
              <w:t>首次响应文件中的内容</w:t>
            </w: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5E5C34A4">
            <w:pPr>
              <w:rPr>
                <w:rFonts w:ascii="宋体" w:hAnsi="宋体" w:cs="宋体"/>
                <w:caps/>
                <w:color w:val="auto"/>
                <w:sz w:val="24"/>
                <w:highlight w:val="none"/>
              </w:rPr>
            </w:pPr>
            <w:r>
              <w:rPr>
                <w:rFonts w:hint="eastAsia" w:ascii="宋体" w:hAnsi="宋体" w:cs="宋体"/>
                <w:caps/>
                <w:color w:val="auto"/>
                <w:sz w:val="24"/>
                <w:highlight w:val="none"/>
              </w:rPr>
              <w:t>（正/负/无）偏离</w:t>
            </w:r>
          </w:p>
        </w:tc>
        <w:tc>
          <w:tcPr>
            <w:tcW w:w="770" w:type="dxa"/>
            <w:tcBorders>
              <w:top w:val="single" w:color="000000" w:sz="6" w:space="0"/>
              <w:left w:val="single" w:color="000000" w:sz="6" w:space="0"/>
              <w:bottom w:val="single" w:color="000000" w:sz="6" w:space="0"/>
              <w:right w:val="single" w:color="000000" w:sz="6" w:space="0"/>
            </w:tcBorders>
            <w:noWrap w:val="0"/>
            <w:vAlign w:val="center"/>
          </w:tcPr>
          <w:p w14:paraId="690B9510">
            <w:pPr>
              <w:jc w:val="center"/>
              <w:rPr>
                <w:rFonts w:ascii="宋体" w:hAnsi="宋体" w:cs="宋体"/>
                <w:caps/>
                <w:color w:val="auto"/>
                <w:sz w:val="24"/>
                <w:highlight w:val="none"/>
              </w:rPr>
            </w:pPr>
            <w:r>
              <w:rPr>
                <w:rFonts w:hint="eastAsia" w:ascii="宋体" w:hAnsi="宋体" w:cs="宋体"/>
                <w:caps/>
                <w:color w:val="auto"/>
                <w:sz w:val="24"/>
                <w:highlight w:val="none"/>
              </w:rPr>
              <w:t>说明</w:t>
            </w:r>
          </w:p>
        </w:tc>
      </w:tr>
      <w:tr w14:paraId="4F7236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280" w:type="dxa"/>
            <w:tcBorders>
              <w:top w:val="single" w:color="000000" w:sz="6" w:space="0"/>
              <w:left w:val="single" w:color="000000" w:sz="6" w:space="0"/>
              <w:bottom w:val="single" w:color="000000" w:sz="6" w:space="0"/>
              <w:right w:val="single" w:color="000000" w:sz="6" w:space="0"/>
            </w:tcBorders>
            <w:noWrap w:val="0"/>
            <w:vAlign w:val="center"/>
          </w:tcPr>
          <w:p w14:paraId="4C5C8FC9">
            <w:pPr>
              <w:jc w:val="center"/>
              <w:rPr>
                <w:rFonts w:ascii="宋体" w:hAnsi="宋体" w:cs="宋体"/>
                <w:caps/>
                <w:color w:val="auto"/>
                <w:sz w:val="24"/>
                <w:highlight w:val="none"/>
              </w:rPr>
            </w:pPr>
          </w:p>
        </w:tc>
        <w:tc>
          <w:tcPr>
            <w:tcW w:w="1080" w:type="dxa"/>
            <w:tcBorders>
              <w:top w:val="single" w:color="000000" w:sz="6" w:space="0"/>
              <w:left w:val="single" w:color="000000" w:sz="6" w:space="0"/>
              <w:bottom w:val="single" w:color="000000" w:sz="6" w:space="0"/>
              <w:right w:val="single" w:color="000000" w:sz="6" w:space="0"/>
            </w:tcBorders>
            <w:noWrap w:val="0"/>
            <w:vAlign w:val="center"/>
          </w:tcPr>
          <w:p w14:paraId="432D0230">
            <w:pPr>
              <w:jc w:val="center"/>
              <w:rPr>
                <w:rFonts w:ascii="宋体" w:hAnsi="宋体" w:cs="宋体"/>
                <w:caps/>
                <w:color w:val="auto"/>
                <w:sz w:val="24"/>
                <w:highlight w:val="none"/>
              </w:rPr>
            </w:pPr>
          </w:p>
        </w:tc>
        <w:tc>
          <w:tcPr>
            <w:tcW w:w="2845" w:type="dxa"/>
            <w:tcBorders>
              <w:top w:val="single" w:color="000000" w:sz="6" w:space="0"/>
              <w:left w:val="single" w:color="000000" w:sz="6" w:space="0"/>
              <w:bottom w:val="single" w:color="000000" w:sz="6" w:space="0"/>
              <w:right w:val="single" w:color="000000" w:sz="6" w:space="0"/>
            </w:tcBorders>
            <w:noWrap w:val="0"/>
            <w:vAlign w:val="center"/>
          </w:tcPr>
          <w:p w14:paraId="4A3467E6">
            <w:pPr>
              <w:jc w:val="center"/>
              <w:rPr>
                <w:rFonts w:ascii="宋体" w:hAnsi="宋体" w:cs="宋体"/>
                <w:caps/>
                <w:color w:val="auto"/>
                <w:sz w:val="24"/>
                <w:highlight w:val="none"/>
              </w:rPr>
            </w:pPr>
          </w:p>
        </w:tc>
        <w:tc>
          <w:tcPr>
            <w:tcW w:w="1515" w:type="dxa"/>
            <w:tcBorders>
              <w:top w:val="single" w:color="000000" w:sz="6" w:space="0"/>
              <w:left w:val="single" w:color="000000" w:sz="6" w:space="0"/>
              <w:bottom w:val="single" w:color="000000" w:sz="6" w:space="0"/>
              <w:right w:val="single" w:color="000000" w:sz="6" w:space="0"/>
            </w:tcBorders>
            <w:noWrap w:val="0"/>
            <w:vAlign w:val="center"/>
          </w:tcPr>
          <w:p w14:paraId="718F4F32">
            <w:pPr>
              <w:jc w:val="center"/>
              <w:rPr>
                <w:rFonts w:ascii="宋体" w:hAnsi="宋体" w:cs="宋体"/>
                <w:caps/>
                <w:color w:val="auto"/>
                <w:sz w:val="24"/>
                <w:highlight w:val="none"/>
              </w:rPr>
            </w:pP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4DF6BF77">
            <w:pPr>
              <w:jc w:val="center"/>
              <w:rPr>
                <w:rFonts w:ascii="宋体" w:hAnsi="宋体" w:cs="宋体"/>
                <w:caps/>
                <w:color w:val="auto"/>
                <w:sz w:val="24"/>
                <w:highlight w:val="none"/>
              </w:rPr>
            </w:pPr>
          </w:p>
        </w:tc>
        <w:tc>
          <w:tcPr>
            <w:tcW w:w="770" w:type="dxa"/>
            <w:tcBorders>
              <w:top w:val="single" w:color="000000" w:sz="6" w:space="0"/>
              <w:left w:val="single" w:color="000000" w:sz="6" w:space="0"/>
              <w:bottom w:val="single" w:color="000000" w:sz="6" w:space="0"/>
              <w:right w:val="single" w:color="000000" w:sz="6" w:space="0"/>
            </w:tcBorders>
            <w:noWrap w:val="0"/>
            <w:vAlign w:val="center"/>
          </w:tcPr>
          <w:p w14:paraId="713B38FA">
            <w:pPr>
              <w:jc w:val="center"/>
              <w:rPr>
                <w:rFonts w:ascii="宋体" w:hAnsi="宋体" w:cs="宋体"/>
                <w:caps/>
                <w:color w:val="auto"/>
                <w:sz w:val="24"/>
                <w:highlight w:val="none"/>
              </w:rPr>
            </w:pPr>
          </w:p>
        </w:tc>
      </w:tr>
      <w:tr w14:paraId="6D1336E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280" w:type="dxa"/>
            <w:tcBorders>
              <w:top w:val="single" w:color="000000" w:sz="6" w:space="0"/>
              <w:left w:val="single" w:color="000000" w:sz="6" w:space="0"/>
              <w:bottom w:val="single" w:color="000000" w:sz="6" w:space="0"/>
              <w:right w:val="single" w:color="000000" w:sz="6" w:space="0"/>
            </w:tcBorders>
            <w:noWrap w:val="0"/>
            <w:vAlign w:val="center"/>
          </w:tcPr>
          <w:p w14:paraId="51EB6F07">
            <w:pPr>
              <w:rPr>
                <w:rFonts w:ascii="宋体" w:hAnsi="宋体" w:cs="宋体"/>
                <w:color w:val="auto"/>
                <w:sz w:val="24"/>
                <w:highlight w:val="none"/>
              </w:rPr>
            </w:pPr>
          </w:p>
        </w:tc>
        <w:tc>
          <w:tcPr>
            <w:tcW w:w="1080" w:type="dxa"/>
            <w:tcBorders>
              <w:top w:val="single" w:color="000000" w:sz="6" w:space="0"/>
              <w:left w:val="single" w:color="000000" w:sz="6" w:space="0"/>
              <w:bottom w:val="single" w:color="000000" w:sz="6" w:space="0"/>
              <w:right w:val="single" w:color="000000" w:sz="6" w:space="0"/>
            </w:tcBorders>
            <w:noWrap w:val="0"/>
            <w:vAlign w:val="center"/>
          </w:tcPr>
          <w:p w14:paraId="6AB70F62">
            <w:pPr>
              <w:rPr>
                <w:rFonts w:ascii="宋体" w:hAnsi="宋体" w:cs="宋体"/>
                <w:color w:val="auto"/>
                <w:sz w:val="24"/>
                <w:highlight w:val="none"/>
              </w:rPr>
            </w:pPr>
          </w:p>
        </w:tc>
        <w:tc>
          <w:tcPr>
            <w:tcW w:w="2845" w:type="dxa"/>
            <w:tcBorders>
              <w:top w:val="single" w:color="000000" w:sz="6" w:space="0"/>
              <w:left w:val="single" w:color="000000" w:sz="6" w:space="0"/>
              <w:bottom w:val="single" w:color="000000" w:sz="6" w:space="0"/>
              <w:right w:val="single" w:color="000000" w:sz="6" w:space="0"/>
            </w:tcBorders>
            <w:noWrap w:val="0"/>
            <w:vAlign w:val="center"/>
          </w:tcPr>
          <w:p w14:paraId="3DA08023">
            <w:pPr>
              <w:rPr>
                <w:rFonts w:ascii="宋体" w:hAnsi="宋体" w:cs="宋体"/>
                <w:color w:val="auto"/>
                <w:sz w:val="24"/>
                <w:highlight w:val="none"/>
              </w:rPr>
            </w:pPr>
          </w:p>
        </w:tc>
        <w:tc>
          <w:tcPr>
            <w:tcW w:w="1515" w:type="dxa"/>
            <w:tcBorders>
              <w:top w:val="single" w:color="000000" w:sz="6" w:space="0"/>
              <w:left w:val="single" w:color="000000" w:sz="6" w:space="0"/>
              <w:bottom w:val="single" w:color="000000" w:sz="6" w:space="0"/>
              <w:right w:val="single" w:color="000000" w:sz="6" w:space="0"/>
            </w:tcBorders>
            <w:noWrap w:val="0"/>
            <w:vAlign w:val="center"/>
          </w:tcPr>
          <w:p w14:paraId="0F470FEA">
            <w:pPr>
              <w:rPr>
                <w:rFonts w:ascii="宋体" w:hAnsi="宋体" w:cs="宋体"/>
                <w:color w:val="auto"/>
                <w:sz w:val="24"/>
                <w:highlight w:val="none"/>
              </w:rPr>
            </w:pP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2F564AFC">
            <w:pPr>
              <w:rPr>
                <w:rFonts w:ascii="宋体" w:hAnsi="宋体" w:cs="宋体"/>
                <w:color w:val="auto"/>
                <w:sz w:val="24"/>
                <w:highlight w:val="none"/>
              </w:rPr>
            </w:pPr>
          </w:p>
        </w:tc>
        <w:tc>
          <w:tcPr>
            <w:tcW w:w="770" w:type="dxa"/>
            <w:tcBorders>
              <w:top w:val="single" w:color="000000" w:sz="6" w:space="0"/>
              <w:left w:val="single" w:color="000000" w:sz="6" w:space="0"/>
              <w:bottom w:val="single" w:color="000000" w:sz="6" w:space="0"/>
              <w:right w:val="single" w:color="000000" w:sz="6" w:space="0"/>
            </w:tcBorders>
            <w:noWrap w:val="0"/>
            <w:vAlign w:val="center"/>
          </w:tcPr>
          <w:p w14:paraId="0996B828">
            <w:pPr>
              <w:rPr>
                <w:rFonts w:ascii="宋体" w:hAnsi="宋体" w:cs="宋体"/>
                <w:color w:val="auto"/>
                <w:sz w:val="24"/>
                <w:highlight w:val="none"/>
              </w:rPr>
            </w:pPr>
          </w:p>
        </w:tc>
      </w:tr>
      <w:tr w14:paraId="24A86DB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280" w:type="dxa"/>
            <w:tcBorders>
              <w:top w:val="single" w:color="000000" w:sz="6" w:space="0"/>
              <w:left w:val="single" w:color="000000" w:sz="6" w:space="0"/>
              <w:bottom w:val="single" w:color="000000" w:sz="6" w:space="0"/>
              <w:right w:val="single" w:color="000000" w:sz="6" w:space="0"/>
            </w:tcBorders>
            <w:noWrap w:val="0"/>
            <w:vAlign w:val="center"/>
          </w:tcPr>
          <w:p w14:paraId="3A98CF82">
            <w:pPr>
              <w:rPr>
                <w:rFonts w:ascii="宋体" w:hAnsi="宋体" w:cs="宋体"/>
                <w:color w:val="auto"/>
                <w:sz w:val="24"/>
                <w:highlight w:val="none"/>
              </w:rPr>
            </w:pPr>
          </w:p>
        </w:tc>
        <w:tc>
          <w:tcPr>
            <w:tcW w:w="1080" w:type="dxa"/>
            <w:tcBorders>
              <w:top w:val="single" w:color="000000" w:sz="6" w:space="0"/>
              <w:left w:val="single" w:color="000000" w:sz="6" w:space="0"/>
              <w:bottom w:val="single" w:color="000000" w:sz="6" w:space="0"/>
              <w:right w:val="single" w:color="000000" w:sz="6" w:space="0"/>
            </w:tcBorders>
            <w:noWrap w:val="0"/>
            <w:vAlign w:val="center"/>
          </w:tcPr>
          <w:p w14:paraId="3A79C2CB">
            <w:pPr>
              <w:rPr>
                <w:rFonts w:ascii="宋体" w:hAnsi="宋体" w:cs="宋体"/>
                <w:color w:val="auto"/>
                <w:sz w:val="24"/>
                <w:highlight w:val="none"/>
              </w:rPr>
            </w:pPr>
          </w:p>
        </w:tc>
        <w:tc>
          <w:tcPr>
            <w:tcW w:w="2845" w:type="dxa"/>
            <w:tcBorders>
              <w:top w:val="single" w:color="000000" w:sz="6" w:space="0"/>
              <w:left w:val="single" w:color="000000" w:sz="6" w:space="0"/>
              <w:bottom w:val="single" w:color="000000" w:sz="6" w:space="0"/>
              <w:right w:val="single" w:color="000000" w:sz="6" w:space="0"/>
            </w:tcBorders>
            <w:noWrap w:val="0"/>
            <w:vAlign w:val="center"/>
          </w:tcPr>
          <w:p w14:paraId="1A94E5D8">
            <w:pPr>
              <w:rPr>
                <w:rFonts w:ascii="宋体" w:hAnsi="宋体" w:cs="宋体"/>
                <w:color w:val="auto"/>
                <w:sz w:val="24"/>
                <w:highlight w:val="none"/>
              </w:rPr>
            </w:pPr>
          </w:p>
        </w:tc>
        <w:tc>
          <w:tcPr>
            <w:tcW w:w="1515" w:type="dxa"/>
            <w:tcBorders>
              <w:top w:val="single" w:color="000000" w:sz="6" w:space="0"/>
              <w:left w:val="single" w:color="000000" w:sz="6" w:space="0"/>
              <w:bottom w:val="single" w:color="000000" w:sz="6" w:space="0"/>
              <w:right w:val="single" w:color="000000" w:sz="6" w:space="0"/>
            </w:tcBorders>
            <w:noWrap w:val="0"/>
            <w:vAlign w:val="center"/>
          </w:tcPr>
          <w:p w14:paraId="553C04F5">
            <w:pPr>
              <w:rPr>
                <w:rFonts w:ascii="宋体" w:hAnsi="宋体" w:cs="宋体"/>
                <w:color w:val="auto"/>
                <w:sz w:val="24"/>
                <w:highlight w:val="none"/>
              </w:rPr>
            </w:pP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02EB8AC2">
            <w:pPr>
              <w:rPr>
                <w:rFonts w:ascii="宋体" w:hAnsi="宋体" w:cs="宋体"/>
                <w:color w:val="auto"/>
                <w:sz w:val="24"/>
                <w:highlight w:val="none"/>
              </w:rPr>
            </w:pPr>
          </w:p>
        </w:tc>
        <w:tc>
          <w:tcPr>
            <w:tcW w:w="770" w:type="dxa"/>
            <w:tcBorders>
              <w:top w:val="single" w:color="000000" w:sz="6" w:space="0"/>
              <w:left w:val="single" w:color="000000" w:sz="6" w:space="0"/>
              <w:bottom w:val="single" w:color="000000" w:sz="6" w:space="0"/>
              <w:right w:val="single" w:color="000000" w:sz="6" w:space="0"/>
            </w:tcBorders>
            <w:noWrap w:val="0"/>
            <w:vAlign w:val="center"/>
          </w:tcPr>
          <w:p w14:paraId="262C0799">
            <w:pPr>
              <w:rPr>
                <w:rFonts w:ascii="宋体" w:hAnsi="宋体" w:cs="宋体"/>
                <w:color w:val="auto"/>
                <w:sz w:val="24"/>
                <w:highlight w:val="none"/>
              </w:rPr>
            </w:pPr>
          </w:p>
        </w:tc>
      </w:tr>
      <w:tr w14:paraId="276C47E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280" w:type="dxa"/>
            <w:tcBorders>
              <w:top w:val="single" w:color="000000" w:sz="6" w:space="0"/>
              <w:left w:val="single" w:color="000000" w:sz="6" w:space="0"/>
              <w:bottom w:val="single" w:color="000000" w:sz="6" w:space="0"/>
              <w:right w:val="single" w:color="000000" w:sz="6" w:space="0"/>
            </w:tcBorders>
            <w:noWrap w:val="0"/>
            <w:vAlign w:val="center"/>
          </w:tcPr>
          <w:p w14:paraId="55BE117B">
            <w:pPr>
              <w:rPr>
                <w:rFonts w:ascii="宋体" w:hAnsi="宋体" w:cs="宋体"/>
                <w:color w:val="auto"/>
                <w:sz w:val="24"/>
                <w:highlight w:val="none"/>
              </w:rPr>
            </w:pPr>
          </w:p>
        </w:tc>
        <w:tc>
          <w:tcPr>
            <w:tcW w:w="1080" w:type="dxa"/>
            <w:tcBorders>
              <w:top w:val="single" w:color="000000" w:sz="6" w:space="0"/>
              <w:left w:val="single" w:color="000000" w:sz="6" w:space="0"/>
              <w:bottom w:val="single" w:color="000000" w:sz="6" w:space="0"/>
              <w:right w:val="single" w:color="000000" w:sz="6" w:space="0"/>
            </w:tcBorders>
            <w:noWrap w:val="0"/>
            <w:vAlign w:val="center"/>
          </w:tcPr>
          <w:p w14:paraId="0FF7CAEE">
            <w:pPr>
              <w:rPr>
                <w:rFonts w:ascii="宋体" w:hAnsi="宋体" w:cs="宋体"/>
                <w:color w:val="auto"/>
                <w:sz w:val="24"/>
                <w:highlight w:val="none"/>
              </w:rPr>
            </w:pPr>
          </w:p>
        </w:tc>
        <w:tc>
          <w:tcPr>
            <w:tcW w:w="2845" w:type="dxa"/>
            <w:tcBorders>
              <w:top w:val="single" w:color="000000" w:sz="6" w:space="0"/>
              <w:left w:val="single" w:color="000000" w:sz="6" w:space="0"/>
              <w:bottom w:val="single" w:color="000000" w:sz="6" w:space="0"/>
              <w:right w:val="single" w:color="000000" w:sz="6" w:space="0"/>
            </w:tcBorders>
            <w:noWrap w:val="0"/>
            <w:vAlign w:val="center"/>
          </w:tcPr>
          <w:p w14:paraId="0A9D3E98">
            <w:pPr>
              <w:rPr>
                <w:rFonts w:ascii="宋体" w:hAnsi="宋体" w:cs="宋体"/>
                <w:color w:val="auto"/>
                <w:sz w:val="24"/>
                <w:highlight w:val="none"/>
              </w:rPr>
            </w:pPr>
          </w:p>
        </w:tc>
        <w:tc>
          <w:tcPr>
            <w:tcW w:w="1515" w:type="dxa"/>
            <w:tcBorders>
              <w:top w:val="single" w:color="000000" w:sz="6" w:space="0"/>
              <w:left w:val="single" w:color="000000" w:sz="6" w:space="0"/>
              <w:bottom w:val="single" w:color="000000" w:sz="6" w:space="0"/>
              <w:right w:val="single" w:color="000000" w:sz="6" w:space="0"/>
            </w:tcBorders>
            <w:noWrap w:val="0"/>
            <w:vAlign w:val="center"/>
          </w:tcPr>
          <w:p w14:paraId="22569984">
            <w:pPr>
              <w:rPr>
                <w:rFonts w:ascii="宋体" w:hAnsi="宋体" w:cs="宋体"/>
                <w:color w:val="auto"/>
                <w:sz w:val="24"/>
                <w:highlight w:val="none"/>
              </w:rPr>
            </w:pP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6FEEDEC5">
            <w:pPr>
              <w:rPr>
                <w:rFonts w:ascii="宋体" w:hAnsi="宋体" w:cs="宋体"/>
                <w:color w:val="auto"/>
                <w:sz w:val="24"/>
                <w:highlight w:val="none"/>
              </w:rPr>
            </w:pPr>
          </w:p>
        </w:tc>
        <w:tc>
          <w:tcPr>
            <w:tcW w:w="770" w:type="dxa"/>
            <w:tcBorders>
              <w:top w:val="single" w:color="000000" w:sz="6" w:space="0"/>
              <w:left w:val="single" w:color="000000" w:sz="6" w:space="0"/>
              <w:bottom w:val="single" w:color="000000" w:sz="6" w:space="0"/>
              <w:right w:val="single" w:color="000000" w:sz="6" w:space="0"/>
            </w:tcBorders>
            <w:noWrap w:val="0"/>
            <w:vAlign w:val="center"/>
          </w:tcPr>
          <w:p w14:paraId="74461799">
            <w:pPr>
              <w:rPr>
                <w:rFonts w:ascii="宋体" w:hAnsi="宋体" w:cs="宋体"/>
                <w:color w:val="auto"/>
                <w:sz w:val="24"/>
                <w:highlight w:val="none"/>
              </w:rPr>
            </w:pPr>
          </w:p>
        </w:tc>
      </w:tr>
      <w:tr w14:paraId="2FA056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280" w:type="dxa"/>
            <w:tcBorders>
              <w:top w:val="single" w:color="000000" w:sz="6" w:space="0"/>
              <w:left w:val="single" w:color="000000" w:sz="6" w:space="0"/>
              <w:bottom w:val="single" w:color="000000" w:sz="6" w:space="0"/>
              <w:right w:val="single" w:color="000000" w:sz="6" w:space="0"/>
            </w:tcBorders>
            <w:noWrap w:val="0"/>
            <w:vAlign w:val="center"/>
          </w:tcPr>
          <w:p w14:paraId="25743BDA">
            <w:pPr>
              <w:rPr>
                <w:rFonts w:ascii="宋体" w:hAnsi="宋体" w:cs="宋体"/>
                <w:color w:val="auto"/>
                <w:sz w:val="24"/>
                <w:highlight w:val="none"/>
              </w:rPr>
            </w:pPr>
          </w:p>
        </w:tc>
        <w:tc>
          <w:tcPr>
            <w:tcW w:w="1080" w:type="dxa"/>
            <w:tcBorders>
              <w:top w:val="single" w:color="000000" w:sz="6" w:space="0"/>
              <w:left w:val="single" w:color="000000" w:sz="6" w:space="0"/>
              <w:bottom w:val="single" w:color="000000" w:sz="6" w:space="0"/>
              <w:right w:val="single" w:color="000000" w:sz="6" w:space="0"/>
            </w:tcBorders>
            <w:noWrap w:val="0"/>
            <w:vAlign w:val="center"/>
          </w:tcPr>
          <w:p w14:paraId="2F550C93">
            <w:pPr>
              <w:rPr>
                <w:rFonts w:ascii="宋体" w:hAnsi="宋体" w:cs="宋体"/>
                <w:color w:val="auto"/>
                <w:sz w:val="24"/>
                <w:highlight w:val="none"/>
              </w:rPr>
            </w:pPr>
          </w:p>
        </w:tc>
        <w:tc>
          <w:tcPr>
            <w:tcW w:w="2845" w:type="dxa"/>
            <w:tcBorders>
              <w:top w:val="single" w:color="000000" w:sz="6" w:space="0"/>
              <w:left w:val="single" w:color="000000" w:sz="6" w:space="0"/>
              <w:bottom w:val="single" w:color="000000" w:sz="6" w:space="0"/>
              <w:right w:val="single" w:color="000000" w:sz="6" w:space="0"/>
            </w:tcBorders>
            <w:noWrap w:val="0"/>
            <w:vAlign w:val="center"/>
          </w:tcPr>
          <w:p w14:paraId="264A88D2">
            <w:pPr>
              <w:rPr>
                <w:rFonts w:ascii="宋体" w:hAnsi="宋体" w:cs="宋体"/>
                <w:color w:val="auto"/>
                <w:sz w:val="24"/>
                <w:highlight w:val="none"/>
              </w:rPr>
            </w:pPr>
          </w:p>
        </w:tc>
        <w:tc>
          <w:tcPr>
            <w:tcW w:w="1515" w:type="dxa"/>
            <w:tcBorders>
              <w:top w:val="single" w:color="000000" w:sz="6" w:space="0"/>
              <w:left w:val="single" w:color="000000" w:sz="6" w:space="0"/>
              <w:bottom w:val="single" w:color="000000" w:sz="6" w:space="0"/>
              <w:right w:val="single" w:color="000000" w:sz="6" w:space="0"/>
            </w:tcBorders>
            <w:noWrap w:val="0"/>
            <w:vAlign w:val="center"/>
          </w:tcPr>
          <w:p w14:paraId="48134D68">
            <w:pPr>
              <w:rPr>
                <w:rFonts w:ascii="宋体" w:hAnsi="宋体" w:cs="宋体"/>
                <w:color w:val="auto"/>
                <w:sz w:val="24"/>
                <w:highlight w:val="none"/>
              </w:rPr>
            </w:pP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111DEEB1">
            <w:pPr>
              <w:rPr>
                <w:rFonts w:ascii="宋体" w:hAnsi="宋体" w:cs="宋体"/>
                <w:color w:val="auto"/>
                <w:sz w:val="24"/>
                <w:highlight w:val="none"/>
              </w:rPr>
            </w:pPr>
          </w:p>
        </w:tc>
        <w:tc>
          <w:tcPr>
            <w:tcW w:w="770" w:type="dxa"/>
            <w:tcBorders>
              <w:top w:val="single" w:color="000000" w:sz="6" w:space="0"/>
              <w:left w:val="single" w:color="000000" w:sz="6" w:space="0"/>
              <w:bottom w:val="single" w:color="000000" w:sz="6" w:space="0"/>
              <w:right w:val="single" w:color="000000" w:sz="6" w:space="0"/>
            </w:tcBorders>
            <w:noWrap w:val="0"/>
            <w:vAlign w:val="center"/>
          </w:tcPr>
          <w:p w14:paraId="0F94FC89">
            <w:pPr>
              <w:rPr>
                <w:rFonts w:ascii="宋体" w:hAnsi="宋体" w:cs="宋体"/>
                <w:color w:val="auto"/>
                <w:sz w:val="24"/>
                <w:highlight w:val="none"/>
              </w:rPr>
            </w:pPr>
          </w:p>
        </w:tc>
      </w:tr>
      <w:tr w14:paraId="2F7427E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280" w:type="dxa"/>
            <w:tcBorders>
              <w:top w:val="single" w:color="000000" w:sz="6" w:space="0"/>
              <w:left w:val="single" w:color="000000" w:sz="6" w:space="0"/>
              <w:bottom w:val="single" w:color="000000" w:sz="6" w:space="0"/>
              <w:right w:val="single" w:color="000000" w:sz="6" w:space="0"/>
            </w:tcBorders>
            <w:noWrap w:val="0"/>
            <w:vAlign w:val="center"/>
          </w:tcPr>
          <w:p w14:paraId="24CEA341">
            <w:pPr>
              <w:rPr>
                <w:rFonts w:ascii="宋体" w:hAnsi="宋体" w:cs="宋体"/>
                <w:color w:val="auto"/>
                <w:sz w:val="24"/>
                <w:highlight w:val="none"/>
              </w:rPr>
            </w:pPr>
          </w:p>
        </w:tc>
        <w:tc>
          <w:tcPr>
            <w:tcW w:w="1080" w:type="dxa"/>
            <w:tcBorders>
              <w:top w:val="single" w:color="000000" w:sz="6" w:space="0"/>
              <w:left w:val="single" w:color="000000" w:sz="6" w:space="0"/>
              <w:bottom w:val="single" w:color="000000" w:sz="6" w:space="0"/>
              <w:right w:val="single" w:color="000000" w:sz="6" w:space="0"/>
            </w:tcBorders>
            <w:noWrap w:val="0"/>
            <w:vAlign w:val="center"/>
          </w:tcPr>
          <w:p w14:paraId="542C8784">
            <w:pPr>
              <w:rPr>
                <w:rFonts w:ascii="宋体" w:hAnsi="宋体" w:cs="宋体"/>
                <w:color w:val="auto"/>
                <w:sz w:val="24"/>
                <w:highlight w:val="none"/>
              </w:rPr>
            </w:pPr>
          </w:p>
        </w:tc>
        <w:tc>
          <w:tcPr>
            <w:tcW w:w="2845" w:type="dxa"/>
            <w:tcBorders>
              <w:top w:val="single" w:color="000000" w:sz="6" w:space="0"/>
              <w:left w:val="single" w:color="000000" w:sz="6" w:space="0"/>
              <w:bottom w:val="single" w:color="000000" w:sz="6" w:space="0"/>
              <w:right w:val="single" w:color="000000" w:sz="6" w:space="0"/>
            </w:tcBorders>
            <w:noWrap w:val="0"/>
            <w:vAlign w:val="center"/>
          </w:tcPr>
          <w:p w14:paraId="65D2638C">
            <w:pPr>
              <w:rPr>
                <w:rFonts w:ascii="宋体" w:hAnsi="宋体" w:cs="宋体"/>
                <w:color w:val="auto"/>
                <w:sz w:val="24"/>
                <w:highlight w:val="none"/>
              </w:rPr>
            </w:pPr>
          </w:p>
        </w:tc>
        <w:tc>
          <w:tcPr>
            <w:tcW w:w="1515" w:type="dxa"/>
            <w:tcBorders>
              <w:top w:val="single" w:color="000000" w:sz="6" w:space="0"/>
              <w:left w:val="single" w:color="000000" w:sz="6" w:space="0"/>
              <w:bottom w:val="single" w:color="000000" w:sz="6" w:space="0"/>
              <w:right w:val="single" w:color="000000" w:sz="6" w:space="0"/>
            </w:tcBorders>
            <w:noWrap w:val="0"/>
            <w:vAlign w:val="center"/>
          </w:tcPr>
          <w:p w14:paraId="1C3242EF">
            <w:pPr>
              <w:rPr>
                <w:rFonts w:ascii="宋体" w:hAnsi="宋体" w:cs="宋体"/>
                <w:color w:val="auto"/>
                <w:sz w:val="24"/>
                <w:highlight w:val="none"/>
              </w:rPr>
            </w:pP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50588721">
            <w:pPr>
              <w:rPr>
                <w:rFonts w:ascii="宋体" w:hAnsi="宋体" w:cs="宋体"/>
                <w:color w:val="auto"/>
                <w:sz w:val="24"/>
                <w:highlight w:val="none"/>
              </w:rPr>
            </w:pPr>
          </w:p>
        </w:tc>
        <w:tc>
          <w:tcPr>
            <w:tcW w:w="770" w:type="dxa"/>
            <w:tcBorders>
              <w:top w:val="single" w:color="000000" w:sz="6" w:space="0"/>
              <w:left w:val="single" w:color="000000" w:sz="6" w:space="0"/>
              <w:bottom w:val="single" w:color="000000" w:sz="6" w:space="0"/>
              <w:right w:val="single" w:color="000000" w:sz="6" w:space="0"/>
            </w:tcBorders>
            <w:noWrap w:val="0"/>
            <w:vAlign w:val="center"/>
          </w:tcPr>
          <w:p w14:paraId="4F3B1D9F">
            <w:pPr>
              <w:rPr>
                <w:rFonts w:ascii="宋体" w:hAnsi="宋体" w:cs="宋体"/>
                <w:color w:val="auto"/>
                <w:sz w:val="24"/>
                <w:highlight w:val="none"/>
              </w:rPr>
            </w:pPr>
          </w:p>
        </w:tc>
      </w:tr>
    </w:tbl>
    <w:p w14:paraId="20787AD2">
      <w:pPr>
        <w:rPr>
          <w:rFonts w:ascii="宋体" w:hAnsi="宋体" w:cs="宋体"/>
          <w:color w:val="auto"/>
          <w:sz w:val="24"/>
          <w:highlight w:val="none"/>
          <w:u w:val="single"/>
        </w:rPr>
      </w:pPr>
    </w:p>
    <w:p w14:paraId="69C944EC">
      <w:pPr>
        <w:spacing w:line="360" w:lineRule="auto"/>
        <w:rPr>
          <w:rFonts w:ascii="宋体" w:hAnsi="宋体" w:cs="宋体"/>
          <w:color w:val="auto"/>
          <w:sz w:val="24"/>
          <w:highlight w:val="none"/>
        </w:rPr>
      </w:pPr>
      <w:r>
        <w:rPr>
          <w:rFonts w:hint="eastAsia" w:ascii="宋体" w:hAnsi="宋体" w:cs="宋体"/>
          <w:color w:val="auto"/>
          <w:sz w:val="24"/>
          <w:highlight w:val="none"/>
          <w:u w:val="single"/>
        </w:rPr>
        <w:t>注：供应商的首次响应文件中的内容与竞争性磋商文件（含竞争性磋商文件的澄清或者修改，下同）的要求不同时，逐条列在偏离表中，否则将认为供应商接受竞争性磋商文件的要求。</w:t>
      </w:r>
    </w:p>
    <w:p w14:paraId="2093C0BF">
      <w:pPr>
        <w:spacing w:line="360" w:lineRule="auto"/>
        <w:ind w:right="29"/>
        <w:rPr>
          <w:rFonts w:ascii="宋体" w:hAnsi="宋体" w:cs="宋体"/>
          <w:color w:val="auto"/>
          <w:sz w:val="24"/>
          <w:highlight w:val="none"/>
        </w:rPr>
      </w:pPr>
      <w:r>
        <w:rPr>
          <w:rFonts w:hint="eastAsia" w:ascii="宋体" w:hAnsi="宋体" w:cs="宋体"/>
          <w:color w:val="auto"/>
          <w:sz w:val="24"/>
          <w:highlight w:val="none"/>
        </w:rPr>
        <w:t xml:space="preserve">                       供应商（电子签章）：</w:t>
      </w:r>
    </w:p>
    <w:p w14:paraId="23628F3B">
      <w:pPr>
        <w:spacing w:line="360" w:lineRule="auto"/>
        <w:ind w:right="29"/>
        <w:rPr>
          <w:rFonts w:ascii="宋体" w:hAnsi="宋体" w:cs="宋体"/>
          <w:color w:val="auto"/>
          <w:sz w:val="24"/>
          <w:highlight w:val="none"/>
        </w:rPr>
      </w:pPr>
      <w:r>
        <w:rPr>
          <w:rFonts w:hint="eastAsia" w:ascii="宋体" w:hAnsi="宋体" w:cs="宋体"/>
          <w:color w:val="auto"/>
          <w:sz w:val="24"/>
          <w:highlight w:val="none"/>
        </w:rPr>
        <w:t xml:space="preserve">                       法定代表人（负责人)或授权代表（签字或盖章）： </w:t>
      </w:r>
    </w:p>
    <w:p w14:paraId="28C93645">
      <w:pPr>
        <w:spacing w:line="360" w:lineRule="auto"/>
        <w:ind w:right="29" w:firstLine="2880"/>
        <w:rPr>
          <w:rFonts w:ascii="宋体" w:hAnsi="宋体" w:cs="宋体"/>
          <w:color w:val="auto"/>
          <w:sz w:val="24"/>
          <w:highlight w:val="none"/>
        </w:rPr>
      </w:pPr>
      <w:r>
        <w:rPr>
          <w:rFonts w:hint="eastAsia" w:ascii="宋体" w:hAnsi="宋体" w:cs="宋体"/>
          <w:color w:val="auto"/>
          <w:sz w:val="24"/>
          <w:highlight w:val="none"/>
        </w:rPr>
        <w:t>日期：</w:t>
      </w:r>
      <w:bookmarkEnd w:id="4"/>
    </w:p>
    <w:p w14:paraId="2C32906A">
      <w:pPr>
        <w:pStyle w:val="23"/>
        <w:rPr>
          <w:rFonts w:ascii="宋体" w:hAnsi="宋体" w:cs="宋体"/>
          <w:color w:val="auto"/>
          <w:highlight w:val="none"/>
        </w:rPr>
      </w:pPr>
    </w:p>
    <w:p w14:paraId="7660A308">
      <w:pPr>
        <w:spacing w:line="360" w:lineRule="auto"/>
        <w:ind w:right="29"/>
        <w:jc w:val="center"/>
        <w:rPr>
          <w:rFonts w:ascii="宋体" w:hAnsi="宋体" w:cs="宋体"/>
          <w:color w:val="auto"/>
          <w:sz w:val="24"/>
          <w:highlight w:val="none"/>
        </w:rPr>
      </w:pPr>
      <w:r>
        <w:rPr>
          <w:rFonts w:hint="eastAsia" w:ascii="宋体" w:hAnsi="宋体" w:cs="宋体"/>
          <w:b/>
          <w:color w:val="auto"/>
          <w:sz w:val="36"/>
          <w:highlight w:val="none"/>
        </w:rPr>
        <w:br w:type="page" w:clear="all"/>
      </w:r>
      <w:r>
        <w:rPr>
          <w:rFonts w:hint="eastAsia" w:ascii="宋体" w:hAnsi="宋体" w:cs="宋体"/>
          <w:b/>
          <w:color w:val="auto"/>
          <w:sz w:val="36"/>
          <w:highlight w:val="none"/>
          <w:lang w:val="en-US" w:eastAsia="zh-CN"/>
        </w:rPr>
        <w:t>6</w:t>
      </w:r>
      <w:r>
        <w:rPr>
          <w:rFonts w:hint="eastAsia" w:ascii="宋体" w:hAnsi="宋体" w:cs="宋体"/>
          <w:b/>
          <w:color w:val="auto"/>
          <w:sz w:val="36"/>
          <w:highlight w:val="none"/>
        </w:rPr>
        <w:t>、合同草案条款</w:t>
      </w:r>
    </w:p>
    <w:p w14:paraId="2B305892">
      <w:pPr>
        <w:widowControl w:val="0"/>
        <w:spacing w:line="360" w:lineRule="auto"/>
        <w:ind w:firstLine="200"/>
        <w:jc w:val="both"/>
        <w:rPr>
          <w:rFonts w:hint="eastAsia" w:ascii="宋体" w:hAnsi="宋体" w:eastAsia="宋体" w:cs="宋体"/>
          <w:sz w:val="30"/>
          <w:szCs w:val="30"/>
          <w:highlight w:val="none"/>
        </w:rPr>
      </w:pPr>
      <w:bookmarkStart w:id="5" w:name="_Toc305957326"/>
      <w:bookmarkStart w:id="6" w:name="_Toc25753"/>
      <w:r>
        <w:rPr>
          <w:rFonts w:hint="eastAsia" w:ascii="宋体" w:hAnsi="宋体" w:eastAsia="宋体" w:cs="宋体"/>
          <w:sz w:val="30"/>
          <w:szCs w:val="30"/>
          <w:highlight w:val="none"/>
          <w:lang w:val="en-US" w:eastAsia="zh-CN" w:bidi="ar-SA"/>
        </w:rPr>
        <w:t>项目名称：大彭镇2025-2027年农村垃圾分类运营服务项目</w:t>
      </w:r>
    </w:p>
    <w:p w14:paraId="6311748E">
      <w:pPr>
        <w:widowControl w:val="0"/>
        <w:spacing w:line="360" w:lineRule="auto"/>
        <w:ind w:firstLine="200"/>
        <w:jc w:val="both"/>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bidi="ar-SA"/>
        </w:rPr>
        <w:t>项目编号：</w:t>
      </w:r>
    </w:p>
    <w:p w14:paraId="06032ABB">
      <w:pPr>
        <w:widowControl w:val="0"/>
        <w:spacing w:after="120"/>
        <w:jc w:val="both"/>
        <w:rPr>
          <w:rFonts w:hint="eastAsia" w:ascii="宋体" w:hAnsi="宋体" w:eastAsia="宋体" w:cs="宋体"/>
          <w:sz w:val="30"/>
          <w:szCs w:val="30"/>
          <w:highlight w:val="none"/>
        </w:rPr>
      </w:pPr>
    </w:p>
    <w:p w14:paraId="1EA6D49B">
      <w:pPr>
        <w:widowControl w:val="0"/>
        <w:spacing w:after="120"/>
        <w:jc w:val="center"/>
        <w:rPr>
          <w:rFonts w:hint="eastAsia" w:ascii="宋体" w:hAnsi="宋体" w:eastAsia="宋体" w:cs="宋体"/>
          <w:sz w:val="44"/>
          <w:szCs w:val="44"/>
          <w:highlight w:val="none"/>
        </w:rPr>
      </w:pPr>
    </w:p>
    <w:p w14:paraId="29B8D09C">
      <w:pPr>
        <w:widowControl w:val="0"/>
        <w:spacing w:after="120"/>
        <w:jc w:val="center"/>
        <w:rPr>
          <w:rFonts w:hint="eastAsia" w:ascii="宋体" w:hAnsi="宋体" w:eastAsia="宋体" w:cs="宋体"/>
          <w:sz w:val="44"/>
          <w:szCs w:val="44"/>
          <w:highlight w:val="none"/>
        </w:rPr>
      </w:pPr>
    </w:p>
    <w:p w14:paraId="0902111D">
      <w:pPr>
        <w:widowControl w:val="0"/>
        <w:spacing w:after="120"/>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lang w:val="en-US" w:eastAsia="zh-CN" w:bidi="ar-SA"/>
        </w:rPr>
        <w:t>合</w:t>
      </w:r>
    </w:p>
    <w:p w14:paraId="2AA7E2C6">
      <w:pPr>
        <w:widowControl w:val="0"/>
        <w:spacing w:after="120"/>
        <w:jc w:val="both"/>
        <w:rPr>
          <w:rFonts w:hint="eastAsia" w:ascii="宋体" w:hAnsi="宋体" w:eastAsia="宋体" w:cs="宋体"/>
          <w:b/>
          <w:bCs/>
          <w:sz w:val="72"/>
          <w:szCs w:val="72"/>
          <w:highlight w:val="none"/>
        </w:rPr>
      </w:pPr>
    </w:p>
    <w:p w14:paraId="1ED616D1">
      <w:pPr>
        <w:widowControl w:val="0"/>
        <w:spacing w:after="120"/>
        <w:jc w:val="center"/>
        <w:rPr>
          <w:rFonts w:hint="eastAsia" w:ascii="宋体" w:hAnsi="宋体" w:eastAsia="宋体" w:cs="宋体"/>
          <w:b/>
          <w:bCs/>
          <w:sz w:val="72"/>
          <w:szCs w:val="72"/>
          <w:highlight w:val="none"/>
        </w:rPr>
      </w:pPr>
    </w:p>
    <w:p w14:paraId="4D84CBB2">
      <w:pPr>
        <w:widowControl w:val="0"/>
        <w:spacing w:after="120"/>
        <w:jc w:val="center"/>
        <w:rPr>
          <w:rFonts w:hint="eastAsia" w:ascii="宋体" w:hAnsi="宋体" w:eastAsia="宋体" w:cs="宋体"/>
          <w:sz w:val="24"/>
          <w:szCs w:val="24"/>
          <w:highlight w:val="none"/>
        </w:rPr>
      </w:pPr>
      <w:r>
        <w:rPr>
          <w:rFonts w:hint="eastAsia" w:ascii="宋体" w:hAnsi="宋体" w:eastAsia="宋体" w:cs="宋体"/>
          <w:b/>
          <w:bCs/>
          <w:sz w:val="72"/>
          <w:szCs w:val="72"/>
          <w:highlight w:val="none"/>
          <w:lang w:val="en-US" w:eastAsia="zh-CN" w:bidi="ar-SA"/>
        </w:rPr>
        <w:t>同</w:t>
      </w:r>
    </w:p>
    <w:p w14:paraId="6CAE0134">
      <w:pPr>
        <w:widowControl w:val="0"/>
        <w:spacing w:after="120"/>
        <w:jc w:val="left"/>
        <w:rPr>
          <w:rFonts w:hint="eastAsia" w:ascii="宋体" w:hAnsi="宋体" w:eastAsia="宋体" w:cs="宋体"/>
          <w:bCs/>
          <w:sz w:val="30"/>
          <w:szCs w:val="30"/>
          <w:highlight w:val="none"/>
        </w:rPr>
      </w:pPr>
    </w:p>
    <w:p w14:paraId="48980A46">
      <w:pPr>
        <w:widowControl w:val="0"/>
        <w:jc w:val="both"/>
        <w:rPr>
          <w:rFonts w:hint="eastAsia" w:ascii="宋体" w:hAnsi="宋体" w:eastAsia="宋体" w:cs="宋体"/>
          <w:bCs/>
          <w:sz w:val="30"/>
          <w:szCs w:val="30"/>
          <w:highlight w:val="none"/>
        </w:rPr>
      </w:pPr>
    </w:p>
    <w:p w14:paraId="2EDCE466">
      <w:pPr>
        <w:jc w:val="left"/>
        <w:rPr>
          <w:rFonts w:hint="eastAsia" w:ascii="宋体" w:hAnsi="宋体" w:eastAsia="宋体" w:cs="宋体"/>
          <w:bCs/>
          <w:sz w:val="30"/>
          <w:szCs w:val="30"/>
          <w:highlight w:val="none"/>
        </w:rPr>
      </w:pPr>
    </w:p>
    <w:p w14:paraId="15347C4A">
      <w:pPr>
        <w:jc w:val="left"/>
        <w:rPr>
          <w:rFonts w:hint="eastAsia" w:ascii="宋体" w:hAnsi="宋体" w:eastAsia="宋体" w:cs="宋体"/>
          <w:bCs/>
          <w:sz w:val="30"/>
          <w:szCs w:val="30"/>
          <w:highlight w:val="none"/>
        </w:rPr>
      </w:pPr>
    </w:p>
    <w:p w14:paraId="1F893A3E">
      <w:pPr>
        <w:jc w:val="left"/>
        <w:rPr>
          <w:rFonts w:hint="eastAsia" w:ascii="宋体" w:hAnsi="宋体" w:eastAsia="宋体" w:cs="宋体"/>
          <w:bCs/>
          <w:sz w:val="30"/>
          <w:szCs w:val="30"/>
          <w:highlight w:val="none"/>
        </w:rPr>
      </w:pPr>
    </w:p>
    <w:p w14:paraId="4B2724CB">
      <w:pPr>
        <w:jc w:val="left"/>
        <w:rPr>
          <w:rFonts w:hint="eastAsia" w:ascii="宋体" w:hAnsi="宋体" w:eastAsia="宋体" w:cs="宋体"/>
          <w:bCs/>
          <w:sz w:val="30"/>
          <w:szCs w:val="30"/>
          <w:highlight w:val="none"/>
        </w:rPr>
      </w:pPr>
    </w:p>
    <w:p w14:paraId="3993B764">
      <w:pPr>
        <w:jc w:val="left"/>
        <w:rPr>
          <w:rFonts w:hint="eastAsia" w:ascii="宋体" w:hAnsi="宋体" w:eastAsia="宋体" w:cs="宋体"/>
          <w:bCs/>
          <w:sz w:val="30"/>
          <w:szCs w:val="30"/>
          <w:highlight w:val="none"/>
        </w:rPr>
      </w:pPr>
      <w:r>
        <w:rPr>
          <w:rFonts w:hint="eastAsia" w:ascii="宋体" w:hAnsi="宋体" w:eastAsia="宋体" w:cs="宋体"/>
          <w:bCs/>
          <w:sz w:val="30"/>
          <w:szCs w:val="30"/>
          <w:highlight w:val="none"/>
        </w:rPr>
        <w:t>采  购  人：</w:t>
      </w:r>
      <w:r>
        <w:rPr>
          <w:rFonts w:hint="eastAsia" w:ascii="宋体" w:hAnsi="宋体" w:eastAsia="宋体" w:cs="Times New Roman"/>
          <w:sz w:val="30"/>
          <w:szCs w:val="30"/>
          <w:highlight w:val="none"/>
        </w:rPr>
        <w:t>徐州市铜山区大彭镇人民政府</w:t>
      </w:r>
    </w:p>
    <w:p w14:paraId="041C6FE0">
      <w:pPr>
        <w:widowControl/>
        <w:jc w:val="left"/>
        <w:rPr>
          <w:rFonts w:hint="eastAsia" w:ascii="宋体" w:hAnsi="宋体" w:eastAsia="宋体" w:cs="宋体"/>
          <w:bCs/>
          <w:sz w:val="30"/>
          <w:szCs w:val="30"/>
          <w:highlight w:val="none"/>
        </w:rPr>
      </w:pPr>
      <w:r>
        <w:rPr>
          <w:rFonts w:hint="eastAsia" w:ascii="宋体" w:hAnsi="宋体" w:eastAsia="宋体" w:cs="宋体"/>
          <w:bCs/>
          <w:sz w:val="30"/>
          <w:szCs w:val="30"/>
          <w:highlight w:val="none"/>
        </w:rPr>
        <w:t xml:space="preserve">成交供应商： </w:t>
      </w:r>
    </w:p>
    <w:p w14:paraId="71BA000F">
      <w:pPr>
        <w:widowControl w:val="0"/>
        <w:spacing w:after="120"/>
        <w:jc w:val="left"/>
        <w:rPr>
          <w:rFonts w:hint="eastAsia" w:ascii="宋体" w:hAnsi="宋体" w:eastAsia="宋体" w:cs="宋体"/>
          <w:bCs/>
          <w:sz w:val="30"/>
          <w:szCs w:val="30"/>
          <w:highlight w:val="none"/>
        </w:rPr>
      </w:pPr>
      <w:r>
        <w:rPr>
          <w:rFonts w:hint="eastAsia" w:ascii="宋体" w:hAnsi="宋体" w:eastAsia="宋体" w:cs="宋体"/>
          <w:bCs/>
          <w:sz w:val="30"/>
          <w:szCs w:val="30"/>
          <w:highlight w:val="none"/>
          <w:lang w:val="en-US" w:eastAsia="zh-CN" w:bidi="ar-SA"/>
        </w:rPr>
        <w:t>合同签订日期：     年     月     日</w:t>
      </w:r>
    </w:p>
    <w:p w14:paraId="6991FC22">
      <w:pPr>
        <w:jc w:val="center"/>
        <w:rPr>
          <w:rFonts w:hint="eastAsia" w:ascii="宋体" w:hAnsi="宋体" w:eastAsia="宋体" w:cs="宋体"/>
          <w:b/>
          <w:bCs/>
          <w:sz w:val="32"/>
          <w:szCs w:val="28"/>
          <w:highlight w:val="none"/>
        </w:rPr>
      </w:pPr>
    </w:p>
    <w:p w14:paraId="5EFD1200">
      <w:pPr>
        <w:jc w:val="center"/>
        <w:rPr>
          <w:rFonts w:hint="eastAsia" w:ascii="宋体" w:hAnsi="宋体" w:eastAsia="宋体" w:cs="宋体"/>
          <w:b/>
          <w:bCs/>
          <w:sz w:val="32"/>
          <w:szCs w:val="28"/>
          <w:highlight w:val="none"/>
        </w:rPr>
      </w:pPr>
    </w:p>
    <w:p w14:paraId="11C6D561">
      <w:pPr>
        <w:jc w:val="center"/>
        <w:rPr>
          <w:rFonts w:hint="eastAsia" w:ascii="宋体" w:hAnsi="宋体" w:eastAsia="宋体" w:cs="宋体"/>
          <w:b/>
          <w:bCs/>
          <w:sz w:val="32"/>
          <w:szCs w:val="28"/>
          <w:highlight w:val="none"/>
        </w:rPr>
      </w:pPr>
    </w:p>
    <w:p w14:paraId="49809F13">
      <w:pPr>
        <w:jc w:val="center"/>
        <w:rPr>
          <w:rFonts w:hint="eastAsia" w:ascii="宋体" w:hAnsi="宋体" w:eastAsia="宋体" w:cs="宋体"/>
          <w:b/>
          <w:bCs/>
          <w:sz w:val="32"/>
          <w:szCs w:val="28"/>
          <w:highlight w:val="none"/>
        </w:rPr>
      </w:pPr>
    </w:p>
    <w:p w14:paraId="2C95841C">
      <w:pPr>
        <w:jc w:val="center"/>
        <w:rPr>
          <w:rFonts w:hint="eastAsia" w:ascii="宋体" w:hAnsi="宋体" w:eastAsia="宋体" w:cs="宋体"/>
          <w:b/>
          <w:bCs/>
          <w:sz w:val="32"/>
          <w:szCs w:val="28"/>
          <w:highlight w:val="none"/>
        </w:rPr>
      </w:pPr>
    </w:p>
    <w:p w14:paraId="25D6C79B">
      <w:pPr>
        <w:jc w:val="center"/>
        <w:rPr>
          <w:rFonts w:hint="eastAsia" w:ascii="宋体" w:hAnsi="宋体" w:eastAsia="宋体" w:cs="宋体"/>
          <w:b/>
          <w:bCs/>
          <w:sz w:val="32"/>
          <w:szCs w:val="28"/>
          <w:highlight w:val="none"/>
        </w:rPr>
      </w:pPr>
      <w:r>
        <w:rPr>
          <w:rFonts w:hint="eastAsia" w:ascii="宋体" w:hAnsi="宋体" w:eastAsia="宋体" w:cs="宋体"/>
          <w:b/>
          <w:bCs/>
          <w:sz w:val="32"/>
          <w:szCs w:val="28"/>
          <w:highlight w:val="none"/>
        </w:rPr>
        <w:t>合同条款</w:t>
      </w:r>
    </w:p>
    <w:p w14:paraId="0DD52FF4">
      <w:pPr>
        <w:jc w:val="center"/>
        <w:outlineLvl w:val="0"/>
        <w:rPr>
          <w:rFonts w:hint="eastAsia" w:ascii="宋体" w:hAnsi="宋体" w:eastAsia="宋体" w:cs="宋体"/>
          <w:b/>
          <w:bCs/>
          <w:sz w:val="24"/>
          <w:highlight w:val="none"/>
        </w:rPr>
      </w:pPr>
      <w:bookmarkStart w:id="7" w:name="_Toc26581"/>
      <w:bookmarkStart w:id="8" w:name="_Toc8840"/>
      <w:r>
        <w:rPr>
          <w:rFonts w:hint="eastAsia" w:ascii="宋体" w:hAnsi="宋体" w:eastAsia="宋体" w:cs="宋体"/>
          <w:b/>
          <w:bCs/>
          <w:sz w:val="24"/>
          <w:highlight w:val="none"/>
        </w:rPr>
        <w:t>第一节 总 则</w:t>
      </w:r>
      <w:bookmarkEnd w:id="7"/>
      <w:bookmarkEnd w:id="8"/>
    </w:p>
    <w:p w14:paraId="0FD0C037">
      <w:pPr>
        <w:spacing w:line="360" w:lineRule="auto"/>
        <w:rPr>
          <w:rFonts w:hint="eastAsia" w:ascii="宋体" w:hAnsi="宋体" w:eastAsia="宋体" w:cs="宋体"/>
          <w:sz w:val="24"/>
          <w:highlight w:val="none"/>
        </w:rPr>
      </w:pPr>
      <w:r>
        <w:rPr>
          <w:rFonts w:hint="eastAsia" w:ascii="宋体" w:hAnsi="宋体" w:eastAsia="宋体" w:cs="宋体"/>
          <w:sz w:val="24"/>
          <w:highlight w:val="none"/>
        </w:rPr>
        <w:t>第一条  本合同当事人</w:t>
      </w:r>
    </w:p>
    <w:p w14:paraId="0F5645C5">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 xml:space="preserve">甲方：徐州市铜山区大彭镇人民政府                                                                                      </w:t>
      </w:r>
    </w:p>
    <w:p w14:paraId="1A0A6A7D">
      <w:pPr>
        <w:widowControl/>
        <w:ind w:firstLine="480"/>
        <w:jc w:val="left"/>
        <w:rPr>
          <w:rFonts w:hint="eastAsia" w:ascii="宋体" w:hAnsi="宋体" w:eastAsia="宋体" w:cs="宋体"/>
          <w:sz w:val="24"/>
          <w:highlight w:val="none"/>
        </w:rPr>
      </w:pPr>
      <w:r>
        <w:rPr>
          <w:rFonts w:hint="eastAsia" w:ascii="宋体" w:hAnsi="宋体" w:eastAsia="宋体" w:cs="宋体"/>
          <w:sz w:val="24"/>
          <w:highlight w:val="none"/>
        </w:rPr>
        <w:t xml:space="preserve">乙方： </w:t>
      </w:r>
    </w:p>
    <w:p w14:paraId="170897FE">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合同服务期限：</w:t>
      </w:r>
      <w:r>
        <w:rPr>
          <w:rFonts w:hint="eastAsia" w:ascii="宋体" w:hAnsi="宋体" w:eastAsia="宋体" w:cs="宋体"/>
          <w:bCs/>
          <w:sz w:val="24"/>
          <w:highlight w:val="none"/>
        </w:rPr>
        <w:t>2025年11月  日至2027年2月  日</w:t>
      </w:r>
    </w:p>
    <w:p w14:paraId="444C0A9C">
      <w:pPr>
        <w:spacing w:line="360" w:lineRule="auto"/>
        <w:rPr>
          <w:rFonts w:hint="eastAsia" w:ascii="宋体" w:hAnsi="宋体" w:eastAsia="宋体" w:cs="宋体"/>
          <w:sz w:val="24"/>
          <w:highlight w:val="none"/>
        </w:rPr>
      </w:pPr>
      <w:r>
        <w:rPr>
          <w:rFonts w:hint="eastAsia" w:ascii="宋体" w:hAnsi="宋体" w:eastAsia="宋体" w:cs="宋体"/>
          <w:sz w:val="24"/>
          <w:highlight w:val="none"/>
        </w:rPr>
        <w:t>第二条  合同编号</w:t>
      </w:r>
    </w:p>
    <w:p w14:paraId="6B91E774">
      <w:pPr>
        <w:widowControl w:val="0"/>
        <w:spacing w:line="24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SA"/>
        </w:rPr>
        <w:t xml:space="preserve">合同编号：                                                                             </w:t>
      </w:r>
    </w:p>
    <w:p w14:paraId="4C419043">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 xml:space="preserve">签订地点：徐州市铜山区大彭镇人民政府                                                </w:t>
      </w:r>
    </w:p>
    <w:p w14:paraId="63FDBE1B">
      <w:pPr>
        <w:spacing w:line="360" w:lineRule="auto"/>
        <w:rPr>
          <w:rFonts w:hint="eastAsia" w:ascii="宋体" w:hAnsi="宋体" w:eastAsia="宋体" w:cs="宋体"/>
          <w:sz w:val="24"/>
          <w:highlight w:val="none"/>
        </w:rPr>
      </w:pPr>
      <w:r>
        <w:rPr>
          <w:rFonts w:hint="eastAsia" w:ascii="宋体" w:hAnsi="宋体" w:eastAsia="宋体" w:cs="宋体"/>
          <w:sz w:val="24"/>
          <w:highlight w:val="none"/>
        </w:rPr>
        <w:t>第三条  签订依据</w:t>
      </w:r>
    </w:p>
    <w:p w14:paraId="15B4F524">
      <w:pPr>
        <w:spacing w:line="360" w:lineRule="auto"/>
        <w:ind w:left="456" w:firstLine="480"/>
        <w:jc w:val="left"/>
        <w:outlineLvl w:val="1"/>
        <w:rPr>
          <w:rFonts w:hint="eastAsia" w:ascii="宋体" w:hAnsi="宋体" w:eastAsia="宋体" w:cs="宋体"/>
          <w:sz w:val="24"/>
          <w:highlight w:val="none"/>
        </w:rPr>
      </w:pPr>
      <w:bookmarkStart w:id="9" w:name="_Toc12402"/>
      <w:r>
        <w:rPr>
          <w:rFonts w:hint="eastAsia" w:ascii="宋体" w:hAnsi="宋体" w:eastAsia="宋体" w:cs="宋体"/>
          <w:sz w:val="24"/>
          <w:highlight w:val="none"/>
        </w:rPr>
        <w:t>甲乙双方根据</w:t>
      </w:r>
      <w:r>
        <w:rPr>
          <w:rFonts w:hint="eastAsia" w:ascii="宋体" w:hAnsi="宋体" w:eastAsia="宋体" w:cs="宋体"/>
          <w:bCs/>
          <w:sz w:val="24"/>
          <w:highlight w:val="none"/>
          <w:u w:val="single"/>
        </w:rPr>
        <w:t>大彭镇</w:t>
      </w:r>
      <w:r>
        <w:rPr>
          <w:rFonts w:hint="default" w:ascii="宋体" w:hAnsi="宋体" w:eastAsia="宋体" w:cs="宋体"/>
          <w:bCs/>
          <w:sz w:val="24"/>
          <w:highlight w:val="none"/>
          <w:u w:val="single"/>
        </w:rPr>
        <w:t>202</w:t>
      </w:r>
      <w:r>
        <w:rPr>
          <w:rFonts w:hint="eastAsia" w:ascii="宋体" w:hAnsi="宋体" w:eastAsia="宋体" w:cs="宋体"/>
          <w:bCs/>
          <w:sz w:val="24"/>
          <w:highlight w:val="none"/>
          <w:u w:val="single"/>
        </w:rPr>
        <w:t>5</w:t>
      </w:r>
      <w:r>
        <w:rPr>
          <w:rFonts w:hint="default" w:ascii="宋体" w:hAnsi="宋体" w:eastAsia="宋体" w:cs="宋体"/>
          <w:bCs/>
          <w:sz w:val="24"/>
          <w:highlight w:val="none"/>
          <w:u w:val="single"/>
        </w:rPr>
        <w:t>-202</w:t>
      </w:r>
      <w:r>
        <w:rPr>
          <w:rFonts w:hint="eastAsia" w:ascii="宋体" w:hAnsi="宋体" w:eastAsia="宋体" w:cs="宋体"/>
          <w:bCs/>
          <w:sz w:val="24"/>
          <w:highlight w:val="none"/>
          <w:u w:val="single"/>
        </w:rPr>
        <w:t>7年度</w:t>
      </w:r>
      <w:r>
        <w:rPr>
          <w:rFonts w:hint="default" w:ascii="宋体" w:hAnsi="宋体" w:eastAsia="宋体" w:cs="宋体"/>
          <w:bCs/>
          <w:sz w:val="24"/>
          <w:highlight w:val="none"/>
          <w:u w:val="single"/>
        </w:rPr>
        <w:t>农村生活</w:t>
      </w:r>
      <w:r>
        <w:rPr>
          <w:rFonts w:hint="eastAsia" w:ascii="宋体" w:hAnsi="宋体" w:eastAsia="宋体" w:cs="宋体"/>
          <w:bCs/>
          <w:sz w:val="24"/>
          <w:highlight w:val="none"/>
          <w:u w:val="single"/>
        </w:rPr>
        <w:t>垃圾分类运营服务项目</w:t>
      </w:r>
      <w:r>
        <w:rPr>
          <w:rFonts w:hint="eastAsia" w:ascii="宋体" w:hAnsi="宋体" w:eastAsia="宋体" w:cs="宋体"/>
          <w:sz w:val="24"/>
          <w:highlight w:val="none"/>
        </w:rPr>
        <w:t>(项目编号：</w:t>
      </w:r>
      <w:r>
        <w:rPr>
          <w:rFonts w:hint="eastAsia" w:ascii="宋体" w:hAnsi="宋体" w:eastAsia="宋体" w:cs="宋体"/>
          <w:bCs/>
          <w:sz w:val="24"/>
          <w:highlight w:val="none"/>
          <w:u w:val="single"/>
        </w:rPr>
        <w:t xml:space="preserve">                         </w:t>
      </w:r>
      <w:r>
        <w:rPr>
          <w:rFonts w:hint="eastAsia" w:ascii="宋体" w:hAnsi="宋体" w:eastAsia="宋体" w:cs="宋体"/>
          <w:sz w:val="24"/>
          <w:highlight w:val="none"/>
        </w:rPr>
        <w:t>)招标结果，依据《中华人民共和国民法典》、《中华人民共和国政府采购法》、《中华人民共和国固体废物污染环境防治法》、《城市市容和环境卫生管理条例》、《城市生活垃圾管理办法》、《江苏省城市市容和环境卫生管理条例》、《徐州市生活垃圾管理条例》等有关法律、法规，经双方友好协商，签订本合同。</w:t>
      </w:r>
      <w:bookmarkEnd w:id="9"/>
    </w:p>
    <w:p w14:paraId="1A736B4A">
      <w:pPr>
        <w:spacing w:line="360" w:lineRule="auto"/>
        <w:rPr>
          <w:rFonts w:hint="eastAsia" w:ascii="宋体" w:hAnsi="宋体" w:eastAsia="宋体" w:cs="宋体"/>
          <w:sz w:val="24"/>
          <w:highlight w:val="none"/>
        </w:rPr>
      </w:pPr>
      <w:r>
        <w:rPr>
          <w:rFonts w:hint="eastAsia" w:ascii="宋体" w:hAnsi="宋体" w:eastAsia="宋体" w:cs="宋体"/>
          <w:sz w:val="24"/>
          <w:highlight w:val="none"/>
        </w:rPr>
        <w:t>第四条  合同文件的组成</w:t>
      </w:r>
    </w:p>
    <w:p w14:paraId="32F4D145">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本合同所附下列文件是构成本合同不可分割的部分：</w:t>
      </w:r>
    </w:p>
    <w:p w14:paraId="18987304">
      <w:pPr>
        <w:widowControl/>
        <w:spacing w:line="360" w:lineRule="auto"/>
        <w:ind w:firstLine="480"/>
        <w:outlineLvl w:val="1"/>
        <w:rPr>
          <w:rFonts w:hint="eastAsia" w:ascii="宋体" w:hAnsi="宋体" w:eastAsia="宋体" w:cs="宋体"/>
          <w:sz w:val="24"/>
          <w:highlight w:val="none"/>
        </w:rPr>
      </w:pPr>
      <w:bookmarkStart w:id="10" w:name="_Toc20883"/>
      <w:r>
        <w:rPr>
          <w:rFonts w:hint="eastAsia" w:ascii="宋体" w:hAnsi="宋体" w:eastAsia="宋体" w:cs="宋体"/>
          <w:sz w:val="24"/>
          <w:highlight w:val="none"/>
        </w:rPr>
        <w:t>1.</w:t>
      </w:r>
      <w:r>
        <w:rPr>
          <w:rFonts w:hint="eastAsia" w:ascii="宋体" w:hAnsi="宋体" w:eastAsia="宋体" w:cs="宋体"/>
          <w:bCs/>
          <w:sz w:val="24"/>
          <w:highlight w:val="none"/>
          <w:u w:val="single"/>
        </w:rPr>
        <w:t>大彭镇</w:t>
      </w:r>
      <w:r>
        <w:rPr>
          <w:rFonts w:hint="default" w:ascii="宋体" w:hAnsi="宋体" w:eastAsia="宋体" w:cs="宋体"/>
          <w:bCs/>
          <w:sz w:val="24"/>
          <w:highlight w:val="none"/>
          <w:u w:val="single"/>
        </w:rPr>
        <w:t>202</w:t>
      </w:r>
      <w:r>
        <w:rPr>
          <w:rFonts w:hint="eastAsia" w:ascii="宋体" w:hAnsi="宋体" w:eastAsia="宋体" w:cs="宋体"/>
          <w:bCs/>
          <w:sz w:val="24"/>
          <w:highlight w:val="none"/>
          <w:u w:val="single"/>
        </w:rPr>
        <w:t>5</w:t>
      </w:r>
      <w:r>
        <w:rPr>
          <w:rFonts w:hint="default" w:ascii="宋体" w:hAnsi="宋体" w:eastAsia="宋体" w:cs="宋体"/>
          <w:bCs/>
          <w:sz w:val="24"/>
          <w:highlight w:val="none"/>
          <w:u w:val="single"/>
        </w:rPr>
        <w:t>-202</w:t>
      </w:r>
      <w:r>
        <w:rPr>
          <w:rFonts w:hint="eastAsia" w:ascii="宋体" w:hAnsi="宋体" w:eastAsia="宋体" w:cs="宋体"/>
          <w:bCs/>
          <w:sz w:val="24"/>
          <w:highlight w:val="none"/>
          <w:u w:val="single"/>
        </w:rPr>
        <w:t>7年度</w:t>
      </w:r>
      <w:r>
        <w:rPr>
          <w:rFonts w:hint="default" w:ascii="宋体" w:hAnsi="宋体" w:eastAsia="宋体" w:cs="宋体"/>
          <w:bCs/>
          <w:sz w:val="24"/>
          <w:highlight w:val="none"/>
          <w:u w:val="single"/>
        </w:rPr>
        <w:t>农村生活</w:t>
      </w:r>
      <w:r>
        <w:rPr>
          <w:rFonts w:hint="eastAsia" w:ascii="宋体" w:hAnsi="宋体" w:eastAsia="宋体" w:cs="宋体"/>
          <w:bCs/>
          <w:sz w:val="24"/>
          <w:highlight w:val="none"/>
          <w:u w:val="single"/>
        </w:rPr>
        <w:t>垃圾分类运营服务项目</w:t>
      </w:r>
      <w:r>
        <w:rPr>
          <w:rFonts w:hint="eastAsia" w:ascii="宋体" w:hAnsi="宋体" w:eastAsia="宋体" w:cs="宋体"/>
          <w:sz w:val="24"/>
          <w:highlight w:val="none"/>
        </w:rPr>
        <w:t>(项目编号：</w:t>
      </w:r>
      <w:r>
        <w:rPr>
          <w:rFonts w:hint="eastAsia" w:ascii="宋体" w:hAnsi="宋体" w:eastAsia="宋体" w:cs="宋体"/>
          <w:bCs/>
          <w:sz w:val="24"/>
          <w:highlight w:val="none"/>
          <w:u w:val="single"/>
        </w:rPr>
        <w:t xml:space="preserve">                        </w:t>
      </w:r>
      <w:r>
        <w:rPr>
          <w:rFonts w:hint="eastAsia" w:ascii="宋体" w:hAnsi="宋体" w:eastAsia="宋体" w:cs="宋体"/>
          <w:sz w:val="24"/>
          <w:highlight w:val="none"/>
        </w:rPr>
        <w:t>)招标文件以及相关的澄清、补充文件等；</w:t>
      </w:r>
      <w:bookmarkEnd w:id="10"/>
    </w:p>
    <w:p w14:paraId="4B2217AB">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2.乙方的投标文件及其澄清、补充说明文件等；</w:t>
      </w:r>
    </w:p>
    <w:p w14:paraId="2382B5E6">
      <w:pPr>
        <w:spacing w:line="360" w:lineRule="auto"/>
        <w:rPr>
          <w:rFonts w:hint="eastAsia" w:ascii="宋体" w:hAnsi="宋体" w:eastAsia="宋体" w:cs="宋体"/>
          <w:sz w:val="24"/>
          <w:highlight w:val="none"/>
        </w:rPr>
      </w:pPr>
      <w:r>
        <w:rPr>
          <w:rFonts w:hint="eastAsia" w:ascii="宋体" w:hAnsi="宋体" w:eastAsia="宋体" w:cs="宋体"/>
          <w:sz w:val="24"/>
          <w:highlight w:val="none"/>
        </w:rPr>
        <w:t>第五条  承包范围</w:t>
      </w:r>
    </w:p>
    <w:p w14:paraId="3E4AF871">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招标文件</w:t>
      </w:r>
      <w:r>
        <w:rPr>
          <w:rFonts w:hint="eastAsia" w:ascii="宋体" w:hAnsi="宋体" w:eastAsia="宋体" w:cs="宋体"/>
          <w:bCs/>
          <w:sz w:val="24"/>
          <w:highlight w:val="none"/>
          <w:u w:val="single"/>
        </w:rPr>
        <w:t>大彭镇</w:t>
      </w:r>
      <w:r>
        <w:rPr>
          <w:rFonts w:hint="default" w:ascii="宋体" w:hAnsi="宋体" w:eastAsia="宋体" w:cs="宋体"/>
          <w:bCs/>
          <w:sz w:val="24"/>
          <w:highlight w:val="none"/>
          <w:u w:val="single"/>
        </w:rPr>
        <w:t>202</w:t>
      </w:r>
      <w:r>
        <w:rPr>
          <w:rFonts w:hint="eastAsia" w:ascii="宋体" w:hAnsi="宋体" w:eastAsia="宋体" w:cs="宋体"/>
          <w:bCs/>
          <w:sz w:val="24"/>
          <w:highlight w:val="none"/>
          <w:u w:val="single"/>
        </w:rPr>
        <w:t>5</w:t>
      </w:r>
      <w:r>
        <w:rPr>
          <w:rFonts w:hint="default" w:ascii="宋体" w:hAnsi="宋体" w:eastAsia="宋体" w:cs="宋体"/>
          <w:bCs/>
          <w:sz w:val="24"/>
          <w:highlight w:val="none"/>
          <w:u w:val="single"/>
        </w:rPr>
        <w:t>-202</w:t>
      </w:r>
      <w:r>
        <w:rPr>
          <w:rFonts w:hint="eastAsia" w:ascii="宋体" w:hAnsi="宋体" w:eastAsia="宋体" w:cs="宋体"/>
          <w:bCs/>
          <w:sz w:val="24"/>
          <w:highlight w:val="none"/>
          <w:u w:val="single"/>
        </w:rPr>
        <w:t>7年度</w:t>
      </w:r>
      <w:r>
        <w:rPr>
          <w:rFonts w:hint="default" w:ascii="宋体" w:hAnsi="宋体" w:eastAsia="宋体" w:cs="宋体"/>
          <w:bCs/>
          <w:sz w:val="24"/>
          <w:highlight w:val="none"/>
          <w:u w:val="single"/>
        </w:rPr>
        <w:t>农村生活</w:t>
      </w:r>
      <w:r>
        <w:rPr>
          <w:rFonts w:hint="eastAsia" w:ascii="宋体" w:hAnsi="宋体" w:eastAsia="宋体" w:cs="宋体"/>
          <w:bCs/>
          <w:sz w:val="24"/>
          <w:highlight w:val="none"/>
          <w:u w:val="single"/>
        </w:rPr>
        <w:t>垃圾分类运营服务项目</w:t>
      </w:r>
      <w:r>
        <w:rPr>
          <w:rFonts w:hint="eastAsia" w:ascii="宋体" w:hAnsi="宋体" w:eastAsia="宋体" w:cs="宋体"/>
          <w:sz w:val="24"/>
          <w:highlight w:val="none"/>
        </w:rPr>
        <w:t>(项目编号：</w:t>
      </w:r>
      <w:r>
        <w:rPr>
          <w:rFonts w:hint="eastAsia" w:ascii="宋体" w:hAnsi="宋体" w:eastAsia="宋体" w:cs="宋体"/>
          <w:bCs/>
          <w:sz w:val="24"/>
          <w:highlight w:val="none"/>
          <w:u w:val="single"/>
        </w:rPr>
        <w:t xml:space="preserve">                         </w:t>
      </w:r>
      <w:r>
        <w:rPr>
          <w:rFonts w:hint="eastAsia" w:ascii="宋体" w:hAnsi="宋体" w:eastAsia="宋体" w:cs="宋体"/>
          <w:sz w:val="24"/>
          <w:highlight w:val="none"/>
        </w:rPr>
        <w:t>)，具体内容见招标文件《项目要求》。</w:t>
      </w:r>
    </w:p>
    <w:p w14:paraId="2730BF8C">
      <w:pPr>
        <w:spacing w:line="360" w:lineRule="auto"/>
        <w:ind w:firstLine="465"/>
        <w:jc w:val="center"/>
        <w:outlineLvl w:val="0"/>
        <w:rPr>
          <w:rFonts w:hint="eastAsia" w:ascii="宋体" w:hAnsi="宋体" w:eastAsia="宋体" w:cs="宋体"/>
          <w:sz w:val="24"/>
          <w:highlight w:val="none"/>
        </w:rPr>
      </w:pPr>
      <w:bookmarkStart w:id="11" w:name="_Toc14518"/>
      <w:r>
        <w:rPr>
          <w:rFonts w:hint="eastAsia" w:ascii="宋体" w:hAnsi="宋体" w:eastAsia="宋体" w:cs="宋体"/>
          <w:b/>
          <w:bCs/>
          <w:sz w:val="24"/>
          <w:highlight w:val="none"/>
        </w:rPr>
        <w:t>第二节  项目内容</w:t>
      </w:r>
      <w:bookmarkEnd w:id="11"/>
    </w:p>
    <w:p w14:paraId="71278ABF">
      <w:pPr>
        <w:spacing w:line="360" w:lineRule="auto"/>
        <w:rPr>
          <w:rFonts w:hint="eastAsia" w:ascii="宋体" w:hAnsi="宋体" w:eastAsia="宋体" w:cs="宋体"/>
          <w:bCs/>
          <w:sz w:val="24"/>
          <w:highlight w:val="none"/>
          <w:u w:val="single"/>
        </w:rPr>
      </w:pPr>
      <w:r>
        <w:rPr>
          <w:rFonts w:hint="eastAsia" w:ascii="宋体" w:hAnsi="宋体" w:eastAsia="宋体" w:cs="宋体"/>
          <w:sz w:val="24"/>
          <w:highlight w:val="none"/>
        </w:rPr>
        <w:t>第六条 项目名称：</w:t>
      </w:r>
      <w:r>
        <w:rPr>
          <w:rFonts w:hint="eastAsia" w:ascii="宋体" w:hAnsi="宋体" w:eastAsia="宋体" w:cs="宋体"/>
          <w:bCs/>
          <w:sz w:val="24"/>
          <w:highlight w:val="none"/>
          <w:u w:val="single"/>
        </w:rPr>
        <w:t>大彭镇</w:t>
      </w:r>
      <w:r>
        <w:rPr>
          <w:rFonts w:hint="default" w:ascii="宋体" w:hAnsi="宋体" w:eastAsia="宋体" w:cs="宋体"/>
          <w:bCs/>
          <w:sz w:val="24"/>
          <w:highlight w:val="none"/>
          <w:u w:val="single"/>
        </w:rPr>
        <w:t>202</w:t>
      </w:r>
      <w:r>
        <w:rPr>
          <w:rFonts w:hint="eastAsia" w:ascii="宋体" w:hAnsi="宋体" w:eastAsia="宋体" w:cs="宋体"/>
          <w:bCs/>
          <w:sz w:val="24"/>
          <w:highlight w:val="none"/>
          <w:u w:val="single"/>
        </w:rPr>
        <w:t>5</w:t>
      </w:r>
      <w:r>
        <w:rPr>
          <w:rFonts w:hint="default" w:ascii="宋体" w:hAnsi="宋体" w:eastAsia="宋体" w:cs="宋体"/>
          <w:bCs/>
          <w:sz w:val="24"/>
          <w:highlight w:val="none"/>
          <w:u w:val="single"/>
        </w:rPr>
        <w:t>-202</w:t>
      </w:r>
      <w:r>
        <w:rPr>
          <w:rFonts w:hint="eastAsia" w:ascii="宋体" w:hAnsi="宋体" w:eastAsia="宋体" w:cs="宋体"/>
          <w:bCs/>
          <w:sz w:val="24"/>
          <w:highlight w:val="none"/>
          <w:u w:val="single"/>
        </w:rPr>
        <w:t>7年度</w:t>
      </w:r>
      <w:r>
        <w:rPr>
          <w:rFonts w:hint="default" w:ascii="宋体" w:hAnsi="宋体" w:eastAsia="宋体" w:cs="宋体"/>
          <w:bCs/>
          <w:sz w:val="24"/>
          <w:highlight w:val="none"/>
          <w:u w:val="single"/>
        </w:rPr>
        <w:t>农村生活</w:t>
      </w:r>
      <w:r>
        <w:rPr>
          <w:rFonts w:hint="eastAsia" w:ascii="宋体" w:hAnsi="宋体" w:eastAsia="宋体" w:cs="宋体"/>
          <w:bCs/>
          <w:sz w:val="24"/>
          <w:highlight w:val="none"/>
          <w:u w:val="single"/>
        </w:rPr>
        <w:t>垃圾分类运营服务项目</w:t>
      </w:r>
    </w:p>
    <w:p w14:paraId="6831A759">
      <w:pPr>
        <w:spacing w:line="360" w:lineRule="auto"/>
        <w:rPr>
          <w:rFonts w:hint="eastAsia" w:ascii="宋体" w:hAnsi="宋体" w:eastAsia="宋体" w:cs="宋体"/>
          <w:sz w:val="24"/>
          <w:highlight w:val="none"/>
        </w:rPr>
      </w:pPr>
      <w:r>
        <w:rPr>
          <w:rFonts w:hint="eastAsia" w:ascii="宋体" w:hAnsi="宋体" w:eastAsia="宋体" w:cs="宋体"/>
          <w:sz w:val="24"/>
          <w:highlight w:val="none"/>
        </w:rPr>
        <w:t>第七条 作业范围及内容：</w:t>
      </w:r>
    </w:p>
    <w:p w14:paraId="7742D1BC">
      <w:pPr>
        <w:widowControl w:val="0"/>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SA"/>
        </w:rPr>
        <w:t>1、作业范围:</w:t>
      </w:r>
      <w:r>
        <w:rPr>
          <w:rFonts w:hint="eastAsia" w:ascii="宋体" w:hAnsi="宋体" w:eastAsia="宋体" w:cs="宋体"/>
          <w:bCs/>
          <w:sz w:val="24"/>
          <w:szCs w:val="24"/>
          <w:highlight w:val="none"/>
          <w:lang w:val="en-US" w:eastAsia="zh-CN" w:bidi="ar-SA"/>
        </w:rPr>
        <w:t>大彭镇农村垃圾分类的实施范</w:t>
      </w:r>
      <w:r>
        <w:rPr>
          <w:rFonts w:hint="eastAsia" w:ascii="宋体" w:hAnsi="宋体" w:eastAsia="宋体" w:cs="宋体"/>
          <w:bCs/>
          <w:color w:val="000000"/>
          <w:sz w:val="24"/>
          <w:szCs w:val="24"/>
          <w:highlight w:val="none"/>
          <w:lang w:val="en-US" w:eastAsia="zh-CN" w:bidi="ar-SA"/>
        </w:rPr>
        <w:t>围</w:t>
      </w:r>
      <w:r>
        <w:rPr>
          <w:rFonts w:hint="eastAsia" w:ascii="宋体" w:hAnsi="宋体" w:eastAsia="宋体" w:cs="宋体"/>
          <w:color w:val="000000"/>
          <w:sz w:val="24"/>
          <w:szCs w:val="24"/>
          <w:highlight w:val="none"/>
          <w:lang w:val="en-US" w:eastAsia="zh-CN" w:bidi="ar-SA"/>
        </w:rPr>
        <w:t>：镇区临街商铺、农贸市场以及小李庄、</w:t>
      </w:r>
      <w:r>
        <w:rPr>
          <w:rFonts w:hint="eastAsia" w:ascii="宋体" w:hAnsi="宋体" w:eastAsia="宋体" w:cs="宋体"/>
          <w:sz w:val="24"/>
          <w:szCs w:val="24"/>
          <w:highlight w:val="none"/>
          <w:lang w:val="en-US" w:eastAsia="zh-CN" w:bidi="ar-SA"/>
        </w:rPr>
        <w:t>大刘庄、东红土庙、西红土庙、冯庄、苗山、田巷、周棚、韩楼、西马林、东马林、王门、刘新庄、半步店、新张井、杨山头、义安、下王庄、小柳庄、权寨、杨楼、胡集、官庄、孟庄、程庄、土楼、两半庄、闸口、王楼、徐庵、小山子、沙塘、周庄、郝寨西、前薛湾、后薛湾、贾楼、王庄、小刘庄、新庄、付庄、新徐楼、徐大庄、和尚庄、侯楼、西小李庄、前郝庄、郝寨、郝新庄49个自然村。</w:t>
      </w:r>
    </w:p>
    <w:p w14:paraId="1AD5B7DC">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2、作业内容：</w:t>
      </w:r>
    </w:p>
    <w:p w14:paraId="3B2083F1">
      <w:pPr>
        <w:widowControl w:val="0"/>
        <w:spacing w:line="360" w:lineRule="auto"/>
        <w:ind w:firstLine="482"/>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bidi="ar-SA"/>
        </w:rPr>
        <w:t>（1）垃圾分类宣传设施的监管。</w:t>
      </w:r>
    </w:p>
    <w:p w14:paraId="343E27D5">
      <w:pPr>
        <w:widowControl w:val="0"/>
        <w:spacing w:line="360" w:lineRule="auto"/>
        <w:ind w:firstLine="480"/>
        <w:jc w:val="both"/>
        <w:rPr>
          <w:rFonts w:hint="eastAsia" w:ascii="Calibri" w:hAnsi="宋体" w:eastAsia="宋体" w:cs="宋体"/>
          <w:bCs/>
          <w:color w:val="000000"/>
          <w:sz w:val="24"/>
          <w:szCs w:val="24"/>
          <w:highlight w:val="none"/>
        </w:rPr>
      </w:pPr>
      <w:r>
        <w:rPr>
          <w:rFonts w:hint="eastAsia" w:ascii="宋体" w:hAnsi="宋体" w:eastAsia="宋体" w:cs="宋体"/>
          <w:bCs/>
          <w:sz w:val="24"/>
          <w:szCs w:val="24"/>
          <w:highlight w:val="none"/>
          <w:lang w:val="en-US" w:eastAsia="zh-CN" w:bidi="ar-SA"/>
        </w:rPr>
        <w:t>在实施范围内已建成的阵地宣传设施监管，建立巡查机制，对破损、老旧的的宣传设施及时上报并维修</w:t>
      </w:r>
      <w:r>
        <w:rPr>
          <w:rFonts w:hint="eastAsia" w:ascii="宋体" w:hAnsi="宋体" w:eastAsia="宋体" w:cs="宋体"/>
          <w:bCs/>
          <w:color w:val="000000"/>
          <w:sz w:val="24"/>
          <w:szCs w:val="24"/>
          <w:highlight w:val="none"/>
          <w:lang w:val="en-US" w:eastAsia="zh-CN" w:bidi="ar-SA"/>
        </w:rPr>
        <w:t>。</w:t>
      </w:r>
    </w:p>
    <w:p w14:paraId="4E82F7E5">
      <w:pPr>
        <w:widowControl w:val="0"/>
        <w:spacing w:line="360" w:lineRule="auto"/>
        <w:ind w:firstLine="42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（2）垃圾分类集中收集点及收集容器管理</w:t>
      </w:r>
    </w:p>
    <w:p w14:paraId="45B90B96">
      <w:pPr>
        <w:spacing w:line="360" w:lineRule="auto"/>
        <w:ind w:firstLine="420"/>
        <w:rPr>
          <w:rFonts w:hint="eastAsia" w:ascii="Calibri" w:hAnsi="宋体" w:eastAsia="宋体" w:cs="宋体"/>
          <w:bCs/>
          <w:color w:val="000000"/>
          <w:sz w:val="24"/>
          <w:highlight w:val="none"/>
        </w:rPr>
      </w:pPr>
      <w:r>
        <w:rPr>
          <w:rFonts w:hint="eastAsia" w:ascii="宋体" w:hAnsi="宋体" w:eastAsia="宋体" w:cs="宋体"/>
          <w:bCs/>
          <w:sz w:val="24"/>
          <w:highlight w:val="none"/>
        </w:rPr>
        <w:t>对实施范围内集中收集容器的卫生管理</w:t>
      </w:r>
      <w:r>
        <w:rPr>
          <w:rFonts w:hint="eastAsia" w:ascii="宋体" w:hAnsi="宋体" w:eastAsia="宋体" w:cs="宋体"/>
          <w:bCs/>
          <w:color w:val="000000"/>
          <w:sz w:val="24"/>
          <w:highlight w:val="none"/>
        </w:rPr>
        <w:t>。垃圾桶冲洗，日常蚊蝇消杀，点位消毒。</w:t>
      </w:r>
      <w:r>
        <w:rPr>
          <w:rFonts w:hint="eastAsia" w:ascii="宋体" w:hAnsi="宋体" w:eastAsia="宋体" w:cs="宋体"/>
          <w:bCs/>
          <w:sz w:val="24"/>
          <w:highlight w:val="none"/>
        </w:rPr>
        <w:t>建立巡查机制，对破损、老旧的集中收集点设施及时上报并维修</w:t>
      </w:r>
      <w:r>
        <w:rPr>
          <w:rFonts w:hint="eastAsia" w:ascii="宋体" w:hAnsi="宋体" w:eastAsia="宋体" w:cs="宋体"/>
          <w:bCs/>
          <w:color w:val="000000"/>
          <w:sz w:val="24"/>
          <w:highlight w:val="none"/>
        </w:rPr>
        <w:t>。</w:t>
      </w:r>
    </w:p>
    <w:p w14:paraId="701B62A4">
      <w:pPr>
        <w:widowControl w:val="0"/>
        <w:spacing w:line="360" w:lineRule="auto"/>
        <w:ind w:firstLine="48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（3）厨余（易腐）垃圾入户桶的配备</w:t>
      </w:r>
    </w:p>
    <w:p w14:paraId="45037E13">
      <w:pPr>
        <w:spacing w:line="360" w:lineRule="auto"/>
        <w:ind w:firstLine="420"/>
        <w:rPr>
          <w:rFonts w:hint="default" w:ascii="Calibri" w:hAnsi="Calibri" w:eastAsia="宋体" w:cs="Times New Roman"/>
          <w:highlight w:val="none"/>
        </w:rPr>
      </w:pPr>
      <w:r>
        <w:rPr>
          <w:rFonts w:hint="eastAsia" w:ascii="宋体" w:hAnsi="宋体" w:eastAsia="宋体" w:cs="宋体"/>
          <w:highlight w:val="none"/>
        </w:rPr>
        <w:t xml:space="preserve"> </w:t>
      </w:r>
      <w:r>
        <w:rPr>
          <w:rFonts w:hint="default" w:ascii="宋体" w:hAnsi="宋体" w:eastAsia="宋体" w:cs="宋体"/>
          <w:highlight w:val="none"/>
        </w:rPr>
        <w:t xml:space="preserve">  </w:t>
      </w:r>
      <w:r>
        <w:rPr>
          <w:rFonts w:hint="eastAsia" w:ascii="宋体" w:hAnsi="宋体" w:eastAsia="宋体" w:cs="宋体"/>
          <w:bCs/>
          <w:sz w:val="24"/>
          <w:highlight w:val="none"/>
        </w:rPr>
        <w:t>对服务范围内其中1000户居民（补充缺失）配备厨余（易腐）垃圾收集容器，容量不小于10</w:t>
      </w:r>
      <w:r>
        <w:rPr>
          <w:rFonts w:hint="default" w:ascii="宋体" w:hAnsi="宋体" w:eastAsia="宋体" w:cs="宋体"/>
          <w:bCs/>
          <w:sz w:val="24"/>
          <w:highlight w:val="none"/>
        </w:rPr>
        <w:t>L,</w:t>
      </w:r>
      <w:r>
        <w:rPr>
          <w:rFonts w:hint="eastAsia" w:ascii="宋体" w:hAnsi="宋体" w:eastAsia="宋体" w:cs="宋体"/>
          <w:bCs/>
          <w:sz w:val="24"/>
          <w:highlight w:val="none"/>
        </w:rPr>
        <w:t>带盖、提手。其颜色为绿色，分类标识为厨余（易腐）垃圾。</w:t>
      </w:r>
    </w:p>
    <w:tbl>
      <w:tblPr>
        <w:tblStyle w:val="51"/>
        <w:tblW w:w="8505" w:type="dxa"/>
        <w:jc w:val="center"/>
        <w:tblLayout w:type="fixed"/>
        <w:tblCellMar>
          <w:top w:w="0" w:type="dxa"/>
          <w:left w:w="108" w:type="dxa"/>
          <w:bottom w:w="0" w:type="dxa"/>
          <w:right w:w="108" w:type="dxa"/>
        </w:tblCellMar>
      </w:tblPr>
      <w:tblGrid>
        <w:gridCol w:w="716"/>
        <w:gridCol w:w="2119"/>
        <w:gridCol w:w="2410"/>
        <w:gridCol w:w="3260"/>
      </w:tblGrid>
      <w:tr w14:paraId="61545FC9">
        <w:tblPrEx>
          <w:tblCellMar>
            <w:top w:w="0" w:type="dxa"/>
            <w:left w:w="108" w:type="dxa"/>
            <w:bottom w:w="0" w:type="dxa"/>
            <w:right w:w="108" w:type="dxa"/>
          </w:tblCellMar>
        </w:tblPrEx>
        <w:trPr>
          <w:trHeight w:val="356" w:hRule="atLeast"/>
          <w:jc w:val="center"/>
        </w:trPr>
        <w:tc>
          <w:tcPr>
            <w:tcW w:w="716" w:type="dxa"/>
            <w:tcBorders>
              <w:top w:val="single" w:color="080000" w:sz="8" w:space="0"/>
              <w:left w:val="single" w:color="080000" w:sz="8" w:space="0"/>
              <w:bottom w:val="single" w:color="080000" w:sz="8" w:space="0"/>
              <w:right w:val="single" w:color="080000" w:sz="8" w:space="0"/>
            </w:tcBorders>
            <w:noWrap w:val="0"/>
          </w:tcPr>
          <w:p w14:paraId="4EE6C7DC">
            <w:pPr>
              <w:spacing w:line="360" w:lineRule="auto"/>
              <w:jc w:val="center"/>
              <w:rPr>
                <w:rFonts w:hint="default" w:ascii="Calibri" w:hAnsi="Calibri" w:eastAsia="宋体" w:cs="Times New Roman"/>
                <w:highlight w:val="none"/>
              </w:rPr>
            </w:pPr>
            <w:r>
              <w:rPr>
                <w:rFonts w:hint="eastAsia" w:ascii="Calibri" w:hAnsi="Calibri" w:eastAsia="宋体" w:cs="Times New Roman"/>
                <w:highlight w:val="none"/>
              </w:rPr>
              <w:t>序号</w:t>
            </w:r>
          </w:p>
        </w:tc>
        <w:tc>
          <w:tcPr>
            <w:tcW w:w="2119" w:type="dxa"/>
            <w:tcBorders>
              <w:top w:val="single" w:color="080000" w:sz="8" w:space="0"/>
              <w:left w:val="single" w:color="080000" w:sz="8" w:space="0"/>
              <w:bottom w:val="single" w:color="080000" w:sz="8" w:space="0"/>
              <w:right w:val="single" w:color="080000" w:sz="8" w:space="0"/>
            </w:tcBorders>
            <w:noWrap w:val="0"/>
            <w:vAlign w:val="center"/>
          </w:tcPr>
          <w:p w14:paraId="6DA40C0E">
            <w:pPr>
              <w:spacing w:line="360" w:lineRule="auto"/>
              <w:jc w:val="center"/>
              <w:rPr>
                <w:rFonts w:hint="default" w:ascii="Calibri" w:hAnsi="Calibri" w:eastAsia="宋体" w:cs="Times New Roman"/>
                <w:highlight w:val="none"/>
              </w:rPr>
            </w:pPr>
            <w:r>
              <w:rPr>
                <w:rFonts w:hint="eastAsia" w:ascii="Calibri" w:hAnsi="Calibri" w:eastAsia="宋体" w:cs="Times New Roman"/>
                <w:highlight w:val="none"/>
              </w:rPr>
              <w:t>项目名称</w:t>
            </w:r>
          </w:p>
        </w:tc>
        <w:tc>
          <w:tcPr>
            <w:tcW w:w="2410" w:type="dxa"/>
            <w:tcBorders>
              <w:top w:val="single" w:color="080000" w:sz="8" w:space="0"/>
              <w:left w:val="nil"/>
              <w:bottom w:val="single" w:color="080000" w:sz="8" w:space="0"/>
              <w:right w:val="single" w:color="080000" w:sz="8" w:space="0"/>
            </w:tcBorders>
            <w:noWrap w:val="0"/>
            <w:vAlign w:val="center"/>
          </w:tcPr>
          <w:p w14:paraId="55EA9413">
            <w:pPr>
              <w:spacing w:line="360" w:lineRule="auto"/>
              <w:jc w:val="center"/>
              <w:rPr>
                <w:rFonts w:hint="default" w:ascii="Calibri" w:hAnsi="Calibri" w:eastAsia="宋体" w:cs="Times New Roman"/>
                <w:highlight w:val="none"/>
              </w:rPr>
            </w:pPr>
            <w:r>
              <w:rPr>
                <w:rFonts w:hint="eastAsia" w:ascii="Calibri" w:hAnsi="Calibri" w:eastAsia="宋体" w:cs="Times New Roman"/>
                <w:highlight w:val="none"/>
              </w:rPr>
              <w:t>数量</w:t>
            </w:r>
          </w:p>
        </w:tc>
        <w:tc>
          <w:tcPr>
            <w:tcW w:w="3260" w:type="dxa"/>
            <w:tcBorders>
              <w:top w:val="single" w:color="080000" w:sz="8" w:space="0"/>
              <w:left w:val="nil"/>
              <w:bottom w:val="single" w:color="080000" w:sz="8" w:space="0"/>
              <w:right w:val="single" w:color="080000" w:sz="8" w:space="0"/>
            </w:tcBorders>
            <w:noWrap w:val="0"/>
            <w:vAlign w:val="center"/>
          </w:tcPr>
          <w:p w14:paraId="4C7D987B">
            <w:pPr>
              <w:spacing w:line="360" w:lineRule="auto"/>
              <w:jc w:val="center"/>
              <w:rPr>
                <w:rFonts w:hint="default" w:ascii="Calibri" w:hAnsi="Calibri" w:eastAsia="宋体" w:cs="Times New Roman"/>
                <w:highlight w:val="none"/>
              </w:rPr>
            </w:pPr>
            <w:r>
              <w:rPr>
                <w:rFonts w:hint="eastAsia" w:ascii="Calibri" w:hAnsi="Calibri" w:eastAsia="宋体" w:cs="Times New Roman"/>
                <w:highlight w:val="none"/>
              </w:rPr>
              <w:t>备注</w:t>
            </w:r>
          </w:p>
        </w:tc>
      </w:tr>
      <w:tr w14:paraId="6219A175">
        <w:tblPrEx>
          <w:tblCellMar>
            <w:top w:w="0" w:type="dxa"/>
            <w:left w:w="108" w:type="dxa"/>
            <w:bottom w:w="0" w:type="dxa"/>
            <w:right w:w="108" w:type="dxa"/>
          </w:tblCellMar>
        </w:tblPrEx>
        <w:trPr>
          <w:trHeight w:val="182" w:hRule="atLeast"/>
          <w:jc w:val="center"/>
        </w:trPr>
        <w:tc>
          <w:tcPr>
            <w:tcW w:w="716" w:type="dxa"/>
            <w:tcBorders>
              <w:top w:val="nil"/>
              <w:left w:val="single" w:color="080000" w:sz="8" w:space="0"/>
              <w:bottom w:val="single" w:color="080000" w:sz="8" w:space="0"/>
              <w:right w:val="single" w:color="080000" w:sz="8" w:space="0"/>
            </w:tcBorders>
            <w:noWrap w:val="0"/>
            <w:vAlign w:val="center"/>
          </w:tcPr>
          <w:p w14:paraId="41896166">
            <w:pPr>
              <w:spacing w:line="360" w:lineRule="auto"/>
              <w:jc w:val="center"/>
              <w:rPr>
                <w:rFonts w:hint="default" w:ascii="Calibri" w:hAnsi="Calibri" w:eastAsia="宋体" w:cs="Times New Roman"/>
                <w:highlight w:val="none"/>
              </w:rPr>
            </w:pPr>
            <w:r>
              <w:rPr>
                <w:rFonts w:hint="default" w:ascii="Calibri" w:hAnsi="Calibri" w:eastAsia="宋体" w:cs="Times New Roman"/>
                <w:highlight w:val="none"/>
              </w:rPr>
              <w:t>1</w:t>
            </w:r>
          </w:p>
        </w:tc>
        <w:tc>
          <w:tcPr>
            <w:tcW w:w="2119" w:type="dxa"/>
            <w:tcBorders>
              <w:top w:val="nil"/>
              <w:left w:val="single" w:color="080000" w:sz="8" w:space="0"/>
              <w:bottom w:val="single" w:color="080000" w:sz="8" w:space="0"/>
              <w:right w:val="single" w:color="080000" w:sz="8" w:space="0"/>
            </w:tcBorders>
            <w:noWrap w:val="0"/>
            <w:vAlign w:val="center"/>
          </w:tcPr>
          <w:p w14:paraId="5A2B5B18">
            <w:pPr>
              <w:spacing w:line="360" w:lineRule="auto"/>
              <w:jc w:val="center"/>
              <w:rPr>
                <w:rFonts w:hint="default" w:ascii="Calibri" w:hAnsi="Calibri" w:eastAsia="宋体" w:cs="Times New Roman"/>
                <w:highlight w:val="none"/>
              </w:rPr>
            </w:pPr>
            <w:r>
              <w:rPr>
                <w:rFonts w:hint="eastAsia" w:ascii="Calibri" w:hAnsi="Calibri" w:eastAsia="宋体" w:cs="Times New Roman"/>
                <w:highlight w:val="none"/>
              </w:rPr>
              <w:t>入户垃圾分类桶</w:t>
            </w:r>
          </w:p>
        </w:tc>
        <w:tc>
          <w:tcPr>
            <w:tcW w:w="2410" w:type="dxa"/>
            <w:tcBorders>
              <w:top w:val="nil"/>
              <w:left w:val="nil"/>
              <w:bottom w:val="single" w:color="080000" w:sz="8" w:space="0"/>
              <w:right w:val="single" w:color="080000" w:sz="8" w:space="0"/>
            </w:tcBorders>
            <w:noWrap w:val="0"/>
            <w:vAlign w:val="center"/>
          </w:tcPr>
          <w:p w14:paraId="4789A159">
            <w:pPr>
              <w:spacing w:line="360" w:lineRule="auto"/>
              <w:jc w:val="center"/>
              <w:rPr>
                <w:rFonts w:hint="default" w:ascii="Calibri" w:hAnsi="Calibri" w:eastAsia="宋体" w:cs="Times New Roman"/>
                <w:highlight w:val="none"/>
              </w:rPr>
            </w:pPr>
            <w:r>
              <w:rPr>
                <w:rFonts w:hint="eastAsia" w:ascii="Calibri" w:hAnsi="Calibri" w:eastAsia="宋体" w:cs="Times New Roman"/>
                <w:highlight w:val="none"/>
              </w:rPr>
              <w:t>1000只</w:t>
            </w:r>
          </w:p>
        </w:tc>
        <w:tc>
          <w:tcPr>
            <w:tcW w:w="3260" w:type="dxa"/>
            <w:tcBorders>
              <w:top w:val="nil"/>
              <w:left w:val="nil"/>
              <w:bottom w:val="single" w:color="080000" w:sz="8" w:space="0"/>
              <w:right w:val="single" w:color="080000" w:sz="8" w:space="0"/>
            </w:tcBorders>
            <w:noWrap w:val="0"/>
            <w:vAlign w:val="center"/>
          </w:tcPr>
          <w:p w14:paraId="52BFDE97">
            <w:pPr>
              <w:spacing w:line="360" w:lineRule="auto"/>
              <w:rPr>
                <w:rFonts w:hint="default" w:ascii="Calibri" w:hAnsi="Calibri" w:eastAsia="宋体" w:cs="Times New Roman"/>
                <w:highlight w:val="none"/>
              </w:rPr>
            </w:pPr>
            <w:r>
              <w:rPr>
                <w:rFonts w:hint="eastAsia" w:ascii="Calibri" w:hAnsi="Calibri" w:eastAsia="宋体" w:cs="Times New Roman"/>
                <w:highlight w:val="none"/>
              </w:rPr>
              <w:t>对其中1000户居民，配备厨余（易腐）垃圾入户桶。（补充缺失）</w:t>
            </w:r>
          </w:p>
        </w:tc>
      </w:tr>
    </w:tbl>
    <w:p w14:paraId="2A9321DC">
      <w:pPr>
        <w:widowControl w:val="0"/>
        <w:spacing w:line="360" w:lineRule="auto"/>
        <w:ind w:firstLine="480"/>
        <w:jc w:val="both"/>
        <w:rPr>
          <w:rFonts w:hint="eastAsia" w:ascii="Times New Roman"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 xml:space="preserve">（4）分类清运服务 </w:t>
      </w:r>
    </w:p>
    <w:p w14:paraId="32743024">
      <w:pPr>
        <w:widowControl w:val="0"/>
        <w:numPr>
          <w:ilvl w:val="0"/>
          <w:numId w:val="10"/>
        </w:numPr>
        <w:spacing w:before="156" w:after="120"/>
        <w:ind w:left="420" w:hanging="420"/>
        <w:jc w:val="both"/>
        <w:rPr>
          <w:rFonts w:hint="eastAsia" w:ascii="Times New Roman"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各种垃圾分类运输要求</w:t>
      </w:r>
    </w:p>
    <w:p w14:paraId="20A0E9AF">
      <w:pPr>
        <w:spacing w:before="156" w:line="360" w:lineRule="auto"/>
        <w:ind w:firstLine="480"/>
        <w:rPr>
          <w:rFonts w:hint="eastAsia" w:ascii="Calibri" w:hAnsi="宋体" w:eastAsia="宋体" w:cs="宋体"/>
          <w:bCs/>
          <w:color w:val="000000"/>
          <w:sz w:val="24"/>
          <w:highlight w:val="none"/>
        </w:rPr>
      </w:pPr>
      <w:r>
        <w:rPr>
          <w:rFonts w:hint="eastAsia" w:ascii="宋体" w:hAnsi="宋体" w:eastAsia="宋体" w:cs="宋体"/>
          <w:bCs/>
          <w:sz w:val="24"/>
          <w:highlight w:val="none"/>
        </w:rPr>
        <w:t>可回收物根据产生情况按需进行回收，并使用全</w:t>
      </w:r>
      <w:r>
        <w:rPr>
          <w:rFonts w:hint="eastAsia" w:ascii="宋体" w:hAnsi="宋体" w:eastAsia="宋体" w:cs="宋体"/>
          <w:bCs/>
          <w:color w:val="000000"/>
          <w:sz w:val="24"/>
          <w:highlight w:val="none"/>
        </w:rPr>
        <w:t>封闭箱式可回收物车（符合徐州市生活垃圾分类视觉识别系统要求）分类收集，运输至分拣中心进行二次分拣后对接分类再生资源公司，进入两网融合。</w:t>
      </w:r>
    </w:p>
    <w:p w14:paraId="03E6583C">
      <w:pPr>
        <w:spacing w:line="360" w:lineRule="auto"/>
        <w:ind w:firstLine="480"/>
        <w:rPr>
          <w:rFonts w:hint="eastAsia" w:ascii="Calibri" w:hAnsi="宋体" w:eastAsia="宋体" w:cs="宋体"/>
          <w:bCs/>
          <w:color w:val="000000"/>
          <w:sz w:val="24"/>
          <w:highlight w:val="none"/>
        </w:rPr>
      </w:pPr>
      <w:r>
        <w:rPr>
          <w:rFonts w:hint="eastAsia" w:ascii="宋体" w:hAnsi="宋体" w:eastAsia="宋体" w:cs="宋体"/>
          <w:bCs/>
          <w:color w:val="000000"/>
          <w:sz w:val="24"/>
          <w:highlight w:val="none"/>
        </w:rPr>
        <w:t>有害垃圾根据产生的垃圾量，每月至少收运二次，并使用全封闭箱式有害垃圾专用车定期收运，运输至有害垃圾储存点。</w:t>
      </w:r>
    </w:p>
    <w:p w14:paraId="3AECE840">
      <w:pPr>
        <w:spacing w:line="360" w:lineRule="auto"/>
        <w:ind w:firstLine="480"/>
        <w:rPr>
          <w:rFonts w:hint="eastAsia" w:ascii="Calibri" w:hAnsi="宋体" w:eastAsia="宋体" w:cs="宋体"/>
          <w:bCs/>
          <w:color w:val="000000"/>
          <w:sz w:val="24"/>
          <w:highlight w:val="none"/>
        </w:rPr>
      </w:pPr>
      <w:r>
        <w:rPr>
          <w:rFonts w:hint="eastAsia" w:ascii="宋体" w:hAnsi="宋体" w:eastAsia="宋体" w:cs="宋体"/>
          <w:bCs/>
          <w:color w:val="000000"/>
          <w:sz w:val="24"/>
          <w:highlight w:val="none"/>
        </w:rPr>
        <w:t>收集的厨余（易腐）垃圾采用全封闭厨余（易腐）垃圾专用清运车（符合徐州市生活垃圾分类视觉识别系统要求）运输至厨余（易腐）垃圾处理厂。</w:t>
      </w:r>
    </w:p>
    <w:p w14:paraId="386830ED">
      <w:pPr>
        <w:spacing w:line="360" w:lineRule="auto"/>
        <w:ind w:firstLine="480"/>
        <w:rPr>
          <w:rFonts w:hint="eastAsia" w:ascii="Calibri" w:hAnsi="宋体" w:eastAsia="宋体" w:cs="宋体"/>
          <w:bCs/>
          <w:color w:val="000000"/>
          <w:sz w:val="24"/>
          <w:highlight w:val="none"/>
        </w:rPr>
      </w:pPr>
      <w:r>
        <w:rPr>
          <w:rFonts w:hint="eastAsia" w:ascii="宋体" w:hAnsi="宋体" w:eastAsia="宋体" w:cs="宋体"/>
          <w:bCs/>
          <w:color w:val="000000"/>
          <w:sz w:val="24"/>
          <w:highlight w:val="none"/>
        </w:rPr>
        <w:t>其他垃圾每天收运至徐州鑫盛润环保能源有限公司（其他垃圾处理厂)。</w:t>
      </w:r>
    </w:p>
    <w:p w14:paraId="578F857B">
      <w:pPr>
        <w:widowControl w:val="0"/>
        <w:numPr>
          <w:ilvl w:val="0"/>
          <w:numId w:val="10"/>
        </w:numPr>
        <w:spacing w:after="120" w:line="360" w:lineRule="auto"/>
        <w:ind w:left="420" w:hanging="420"/>
        <w:jc w:val="both"/>
        <w:rPr>
          <w:rFonts w:hint="eastAsia" w:ascii="Times New Roman"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垃圾收运作业要求</w:t>
      </w:r>
    </w:p>
    <w:p w14:paraId="44F4B05F">
      <w:pPr>
        <w:widowControl w:val="0"/>
        <w:numPr>
          <w:ilvl w:val="0"/>
          <w:numId w:val="6"/>
        </w:numPr>
        <w:spacing w:after="120" w:line="360" w:lineRule="auto"/>
        <w:ind w:left="0" w:firstLine="420"/>
        <w:jc w:val="both"/>
        <w:rPr>
          <w:rFonts w:hint="eastAsia" w:ascii="Times New Roman"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驾驶员统一着装、携带驾驶证、机动车行驶证、保险证、随车工具作业，检查全车身，灭火器具和清洁用具，搞好车辆内部卫生。</w:t>
      </w:r>
    </w:p>
    <w:p w14:paraId="31F42C28">
      <w:pPr>
        <w:widowControl w:val="0"/>
        <w:numPr>
          <w:ilvl w:val="0"/>
          <w:numId w:val="6"/>
        </w:numPr>
        <w:spacing w:after="120" w:line="360" w:lineRule="auto"/>
        <w:ind w:left="0" w:firstLine="420"/>
        <w:jc w:val="both"/>
        <w:rPr>
          <w:rFonts w:hint="eastAsia" w:ascii="Times New Roman"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检查蓄电池、灯光、刮水器、气压报警器、转向机及横、直拉杆及各种音响器械是否正常；杜绝工况不正常车辆作业。</w:t>
      </w:r>
    </w:p>
    <w:p w14:paraId="67BC4BB4">
      <w:pPr>
        <w:widowControl w:val="0"/>
        <w:numPr>
          <w:ilvl w:val="0"/>
          <w:numId w:val="6"/>
        </w:numPr>
        <w:spacing w:after="120" w:line="360" w:lineRule="auto"/>
        <w:ind w:left="0" w:firstLine="420"/>
        <w:jc w:val="both"/>
        <w:rPr>
          <w:rFonts w:hint="eastAsia" w:ascii="Times New Roman"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合理安排装运时间减少噪声，运输垃圾应该避开居民集中出行时间段，作业时间由甲方根据季节变化调整。</w:t>
      </w:r>
    </w:p>
    <w:p w14:paraId="760A65A6">
      <w:pPr>
        <w:widowControl w:val="0"/>
        <w:numPr>
          <w:ilvl w:val="0"/>
          <w:numId w:val="6"/>
        </w:numPr>
        <w:spacing w:after="120" w:line="360" w:lineRule="auto"/>
        <w:ind w:left="0" w:firstLine="420"/>
        <w:jc w:val="both"/>
        <w:rPr>
          <w:rFonts w:hint="eastAsia" w:ascii="Times New Roman"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厨余（易腐）垃圾、可回收物、有害垃圾分别单独收运、收集，不能与工业垃圾、大件垃圾、建筑垃圾、医疗垃圾、其他垃圾等混合收集、存放；</w:t>
      </w:r>
    </w:p>
    <w:p w14:paraId="48BF3B1E">
      <w:pPr>
        <w:widowControl w:val="0"/>
        <w:numPr>
          <w:ilvl w:val="0"/>
          <w:numId w:val="6"/>
        </w:numPr>
        <w:spacing w:after="120" w:line="360" w:lineRule="auto"/>
        <w:ind w:left="0" w:firstLine="420"/>
        <w:jc w:val="both"/>
        <w:rPr>
          <w:rFonts w:hint="eastAsia" w:ascii="Times New Roman"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厨余（易腐）垃圾应每日收集。做到日产日清，无堆积，无漏收；</w:t>
      </w:r>
    </w:p>
    <w:p w14:paraId="2CFDED00">
      <w:pPr>
        <w:widowControl w:val="0"/>
        <w:numPr>
          <w:ilvl w:val="0"/>
          <w:numId w:val="6"/>
        </w:numPr>
        <w:spacing w:after="120" w:line="360" w:lineRule="auto"/>
        <w:ind w:left="0" w:firstLine="420"/>
        <w:jc w:val="both"/>
        <w:rPr>
          <w:rFonts w:hint="eastAsia" w:ascii="Times New Roman"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作业结束应清扫垃圾工作场所，做到工完场清，可移动垃圾容器复位，检查垃圾分类容器是否破损，发现破损由乙方更换；</w:t>
      </w:r>
    </w:p>
    <w:p w14:paraId="4530F48A">
      <w:pPr>
        <w:widowControl w:val="0"/>
        <w:numPr>
          <w:ilvl w:val="0"/>
          <w:numId w:val="6"/>
        </w:numPr>
        <w:spacing w:after="120" w:line="360" w:lineRule="auto"/>
        <w:ind w:left="0" w:firstLine="420"/>
        <w:jc w:val="both"/>
        <w:rPr>
          <w:rFonts w:hint="eastAsia" w:ascii="Times New Roman"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垃圾收集运输车应保持完好，不滴、不洒、不漏、不超量、超高装载，文明操作，安全作业，每天作业完毕后冲洗车辆，做到无异味、无污染环境。</w:t>
      </w:r>
    </w:p>
    <w:p w14:paraId="4D19D054">
      <w:pPr>
        <w:widowControl w:val="0"/>
        <w:numPr>
          <w:ilvl w:val="0"/>
          <w:numId w:val="6"/>
        </w:numPr>
        <w:spacing w:after="120" w:line="360" w:lineRule="auto"/>
        <w:ind w:left="0" w:firstLine="420"/>
        <w:jc w:val="both"/>
        <w:rPr>
          <w:rFonts w:hint="eastAsia" w:ascii="Times New Roman"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装运垃圾以有效容积为限，不准超量超高运输；</w:t>
      </w:r>
    </w:p>
    <w:p w14:paraId="6E0F14A1">
      <w:pPr>
        <w:widowControl w:val="0"/>
        <w:numPr>
          <w:ilvl w:val="0"/>
          <w:numId w:val="6"/>
        </w:numPr>
        <w:spacing w:after="120" w:line="360" w:lineRule="auto"/>
        <w:ind w:left="0" w:firstLine="420"/>
        <w:jc w:val="both"/>
        <w:rPr>
          <w:rFonts w:hint="eastAsia" w:ascii="Times New Roman"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运输垃圾应按指定地点和作业要求分类堆放。</w:t>
      </w:r>
    </w:p>
    <w:p w14:paraId="1CF94720">
      <w:pPr>
        <w:widowControl w:val="0"/>
        <w:numPr>
          <w:ilvl w:val="0"/>
          <w:numId w:val="6"/>
        </w:numPr>
        <w:spacing w:after="120" w:line="360" w:lineRule="auto"/>
        <w:ind w:left="0" w:firstLine="420"/>
        <w:jc w:val="both"/>
        <w:rPr>
          <w:rFonts w:hint="eastAsia" w:ascii="Times New Roman"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运输作业结束，及时将清运车辆清洗干净。</w:t>
      </w:r>
    </w:p>
    <w:p w14:paraId="5BD18CC1">
      <w:pPr>
        <w:widowControl w:val="0"/>
        <w:numPr>
          <w:ilvl w:val="0"/>
          <w:numId w:val="10"/>
        </w:numPr>
        <w:spacing w:before="156" w:after="120"/>
        <w:ind w:left="420" w:hanging="420"/>
        <w:jc w:val="both"/>
        <w:rPr>
          <w:rFonts w:hint="eastAsia" w:ascii="Times New Roman"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分类运输清运车辆配备</w:t>
      </w:r>
    </w:p>
    <w:p w14:paraId="2BA05E82">
      <w:pPr>
        <w:widowControl w:val="0"/>
        <w:spacing w:after="120"/>
        <w:ind w:left="420"/>
        <w:jc w:val="both"/>
        <w:rPr>
          <w:rFonts w:ascii="Calibri" w:hAnsi="Calibri" w:eastAsia="宋体" w:cs="Times New Roman"/>
          <w:sz w:val="24"/>
          <w:szCs w:val="24"/>
          <w:highlight w:val="none"/>
        </w:rPr>
      </w:pPr>
    </w:p>
    <w:tbl>
      <w:tblPr>
        <w:tblStyle w:val="51"/>
        <w:tblW w:w="8240" w:type="dxa"/>
        <w:jc w:val="center"/>
        <w:tblLayout w:type="fixed"/>
        <w:tblCellMar>
          <w:top w:w="0" w:type="dxa"/>
          <w:left w:w="108" w:type="dxa"/>
          <w:bottom w:w="0" w:type="dxa"/>
          <w:right w:w="108" w:type="dxa"/>
        </w:tblCellMar>
      </w:tblPr>
      <w:tblGrid>
        <w:gridCol w:w="895"/>
        <w:gridCol w:w="2613"/>
        <w:gridCol w:w="1072"/>
        <w:gridCol w:w="3660"/>
      </w:tblGrid>
      <w:tr w14:paraId="2EA83645">
        <w:tblPrEx>
          <w:tblCellMar>
            <w:top w:w="0" w:type="dxa"/>
            <w:left w:w="108" w:type="dxa"/>
            <w:bottom w:w="0" w:type="dxa"/>
            <w:right w:w="108" w:type="dxa"/>
          </w:tblCellMar>
        </w:tblPrEx>
        <w:trPr>
          <w:trHeight w:val="331"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69208B3">
            <w:pPr>
              <w:jc w:val="center"/>
              <w:rPr>
                <w:rFonts w:hint="eastAsia" w:ascii="Calibri" w:hAnsi="宋体" w:eastAsia="宋体" w:cs="宋体"/>
                <w:bCs/>
                <w:sz w:val="24"/>
                <w:highlight w:val="none"/>
              </w:rPr>
            </w:pPr>
            <w:r>
              <w:rPr>
                <w:rFonts w:hint="eastAsia" w:ascii="Calibri" w:hAnsi="宋体" w:eastAsia="宋体" w:cs="宋体"/>
                <w:bCs/>
                <w:sz w:val="24"/>
                <w:highlight w:val="none"/>
              </w:rPr>
              <w:t>序号</w:t>
            </w:r>
          </w:p>
        </w:tc>
        <w:tc>
          <w:tcPr>
            <w:tcW w:w="2613" w:type="dxa"/>
            <w:tcBorders>
              <w:top w:val="single" w:color="auto" w:sz="4" w:space="0"/>
              <w:left w:val="single" w:color="auto" w:sz="4" w:space="0"/>
              <w:bottom w:val="single" w:color="auto" w:sz="4" w:space="0"/>
              <w:right w:val="single" w:color="auto" w:sz="4" w:space="0"/>
            </w:tcBorders>
            <w:noWrap w:val="0"/>
            <w:vAlign w:val="center"/>
          </w:tcPr>
          <w:p w14:paraId="59CAE668">
            <w:pPr>
              <w:jc w:val="center"/>
              <w:rPr>
                <w:rFonts w:hint="eastAsia" w:ascii="Calibri" w:hAnsi="宋体" w:eastAsia="宋体" w:cs="宋体"/>
                <w:bCs/>
                <w:sz w:val="24"/>
                <w:highlight w:val="none"/>
              </w:rPr>
            </w:pPr>
            <w:r>
              <w:rPr>
                <w:rFonts w:hint="eastAsia" w:ascii="Calibri" w:hAnsi="宋体" w:eastAsia="宋体" w:cs="宋体"/>
                <w:bCs/>
                <w:sz w:val="24"/>
                <w:highlight w:val="none"/>
              </w:rPr>
              <w:t>项目名称</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A2E68E2">
            <w:pPr>
              <w:jc w:val="center"/>
              <w:rPr>
                <w:rFonts w:hint="eastAsia" w:ascii="Calibri" w:hAnsi="宋体" w:eastAsia="宋体" w:cs="宋体"/>
                <w:bCs/>
                <w:sz w:val="24"/>
                <w:highlight w:val="none"/>
              </w:rPr>
            </w:pPr>
            <w:r>
              <w:rPr>
                <w:rFonts w:hint="eastAsia" w:ascii="Calibri" w:hAnsi="宋体" w:eastAsia="宋体" w:cs="宋体"/>
                <w:bCs/>
                <w:sz w:val="24"/>
                <w:highlight w:val="none"/>
              </w:rPr>
              <w:t>数量</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501911F5">
            <w:pPr>
              <w:jc w:val="center"/>
              <w:rPr>
                <w:rFonts w:hint="eastAsia" w:ascii="Calibri" w:hAnsi="宋体" w:eastAsia="宋体" w:cs="宋体"/>
                <w:bCs/>
                <w:sz w:val="24"/>
                <w:highlight w:val="none"/>
              </w:rPr>
            </w:pPr>
            <w:r>
              <w:rPr>
                <w:rFonts w:hint="eastAsia" w:ascii="Calibri" w:hAnsi="宋体" w:eastAsia="宋体" w:cs="宋体"/>
                <w:bCs/>
                <w:sz w:val="24"/>
                <w:highlight w:val="none"/>
              </w:rPr>
              <w:t>要求说明</w:t>
            </w:r>
          </w:p>
        </w:tc>
      </w:tr>
      <w:tr w14:paraId="2C66D096">
        <w:tblPrEx>
          <w:tblCellMar>
            <w:top w:w="0" w:type="dxa"/>
            <w:left w:w="108" w:type="dxa"/>
            <w:bottom w:w="0" w:type="dxa"/>
            <w:right w:w="108" w:type="dxa"/>
          </w:tblCellMar>
        </w:tblPrEx>
        <w:trPr>
          <w:trHeight w:val="1295"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FE62251">
            <w:pPr>
              <w:jc w:val="center"/>
              <w:rPr>
                <w:rFonts w:hint="eastAsia" w:ascii="Calibri" w:hAnsi="宋体" w:eastAsia="宋体" w:cs="宋体"/>
                <w:bCs/>
                <w:sz w:val="24"/>
                <w:highlight w:val="none"/>
              </w:rPr>
            </w:pPr>
            <w:r>
              <w:rPr>
                <w:rFonts w:hint="default" w:ascii="Calibri" w:hAnsi="宋体" w:eastAsia="宋体" w:cs="宋体"/>
                <w:bCs/>
                <w:sz w:val="24"/>
                <w:highlight w:val="none"/>
              </w:rPr>
              <w:t>1</w:t>
            </w:r>
          </w:p>
        </w:tc>
        <w:tc>
          <w:tcPr>
            <w:tcW w:w="2613" w:type="dxa"/>
            <w:tcBorders>
              <w:top w:val="single" w:color="auto" w:sz="4" w:space="0"/>
              <w:left w:val="single" w:color="auto" w:sz="4" w:space="0"/>
              <w:bottom w:val="single" w:color="auto" w:sz="4" w:space="0"/>
              <w:right w:val="single" w:color="auto" w:sz="4" w:space="0"/>
            </w:tcBorders>
            <w:noWrap w:val="0"/>
            <w:vAlign w:val="center"/>
          </w:tcPr>
          <w:p w14:paraId="273329D7">
            <w:pPr>
              <w:jc w:val="center"/>
              <w:rPr>
                <w:rFonts w:hint="eastAsia" w:ascii="Calibri" w:hAnsi="宋体" w:eastAsia="宋体" w:cs="宋体"/>
                <w:bCs/>
                <w:sz w:val="24"/>
                <w:highlight w:val="none"/>
              </w:rPr>
            </w:pPr>
            <w:r>
              <w:rPr>
                <w:rFonts w:hint="eastAsia" w:ascii="Calibri" w:hAnsi="宋体" w:eastAsia="宋体" w:cs="宋体"/>
                <w:bCs/>
                <w:sz w:val="24"/>
                <w:highlight w:val="none"/>
              </w:rPr>
              <w:t>厨余（易腐）垃圾清运车（新能源车、配冲洗功能）</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FCBA205">
            <w:pPr>
              <w:jc w:val="center"/>
              <w:rPr>
                <w:rFonts w:hint="eastAsia" w:ascii="Calibri" w:hAnsi="宋体" w:eastAsia="宋体" w:cs="宋体"/>
                <w:bCs/>
                <w:sz w:val="24"/>
                <w:highlight w:val="none"/>
              </w:rPr>
            </w:pPr>
            <w:r>
              <w:rPr>
                <w:rFonts w:hint="default" w:ascii="Calibri" w:hAnsi="宋体" w:eastAsia="宋体" w:cs="宋体"/>
                <w:bCs/>
                <w:sz w:val="24"/>
                <w:highlight w:val="none"/>
              </w:rPr>
              <w:t>1</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1218DBD1">
            <w:pPr>
              <w:jc w:val="center"/>
              <w:rPr>
                <w:rFonts w:hint="eastAsia" w:ascii="Calibri" w:hAnsi="宋体" w:eastAsia="宋体" w:cs="宋体"/>
                <w:bCs/>
                <w:sz w:val="24"/>
                <w:highlight w:val="none"/>
              </w:rPr>
            </w:pPr>
            <w:r>
              <w:rPr>
                <w:rFonts w:hint="eastAsia" w:ascii="Calibri" w:hAnsi="宋体" w:eastAsia="宋体" w:cs="宋体"/>
                <w:bCs/>
                <w:sz w:val="24"/>
                <w:highlight w:val="none"/>
              </w:rPr>
              <w:t>车厢全封闭、携带挂桶装置、自卸装置，箱体容积≥8（m3），车身分类标识使用徐州市生活垃圾分类视觉识别系统规定标识及颜色，冲洗厨余垃圾桶。</w:t>
            </w:r>
          </w:p>
        </w:tc>
      </w:tr>
      <w:tr w14:paraId="5786C3D2">
        <w:tblPrEx>
          <w:tblCellMar>
            <w:top w:w="0" w:type="dxa"/>
            <w:left w:w="108" w:type="dxa"/>
            <w:bottom w:w="0" w:type="dxa"/>
            <w:right w:w="108" w:type="dxa"/>
          </w:tblCellMar>
        </w:tblPrEx>
        <w:trPr>
          <w:trHeight w:val="651"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E698A35">
            <w:pPr>
              <w:jc w:val="center"/>
              <w:rPr>
                <w:rFonts w:hint="eastAsia" w:ascii="Calibri" w:hAnsi="宋体" w:eastAsia="宋体" w:cs="宋体"/>
                <w:bCs/>
                <w:sz w:val="24"/>
                <w:highlight w:val="none"/>
              </w:rPr>
            </w:pPr>
            <w:r>
              <w:rPr>
                <w:rFonts w:hint="default" w:ascii="Calibri" w:hAnsi="宋体" w:eastAsia="宋体" w:cs="宋体"/>
                <w:bCs/>
                <w:sz w:val="24"/>
                <w:highlight w:val="none"/>
              </w:rPr>
              <w:t>2</w:t>
            </w:r>
          </w:p>
        </w:tc>
        <w:tc>
          <w:tcPr>
            <w:tcW w:w="2613" w:type="dxa"/>
            <w:tcBorders>
              <w:top w:val="single" w:color="auto" w:sz="4" w:space="0"/>
              <w:left w:val="single" w:color="auto" w:sz="4" w:space="0"/>
              <w:bottom w:val="single" w:color="auto" w:sz="4" w:space="0"/>
              <w:right w:val="single" w:color="auto" w:sz="4" w:space="0"/>
            </w:tcBorders>
            <w:noWrap w:val="0"/>
            <w:vAlign w:val="center"/>
          </w:tcPr>
          <w:p w14:paraId="16CC4F16">
            <w:pPr>
              <w:jc w:val="center"/>
              <w:rPr>
                <w:rFonts w:hint="eastAsia" w:ascii="Calibri" w:hAnsi="宋体" w:eastAsia="宋体" w:cs="宋体"/>
                <w:bCs/>
                <w:sz w:val="24"/>
                <w:highlight w:val="none"/>
              </w:rPr>
            </w:pPr>
            <w:r>
              <w:rPr>
                <w:rFonts w:hint="eastAsia" w:ascii="Calibri" w:hAnsi="宋体" w:eastAsia="宋体" w:cs="宋体"/>
                <w:bCs/>
                <w:sz w:val="24"/>
                <w:highlight w:val="none"/>
              </w:rPr>
              <w:t>可回收垃圾转运车</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0B3BB6E">
            <w:pPr>
              <w:jc w:val="center"/>
              <w:rPr>
                <w:rFonts w:hint="eastAsia" w:ascii="Calibri" w:hAnsi="宋体" w:eastAsia="宋体" w:cs="宋体"/>
                <w:bCs/>
                <w:sz w:val="24"/>
                <w:highlight w:val="none"/>
              </w:rPr>
            </w:pPr>
            <w:r>
              <w:rPr>
                <w:rFonts w:hint="default" w:ascii="Calibri" w:hAnsi="宋体" w:eastAsia="宋体" w:cs="宋体"/>
                <w:bCs/>
                <w:sz w:val="24"/>
                <w:highlight w:val="none"/>
              </w:rPr>
              <w:t>1</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10751FE0">
            <w:pPr>
              <w:jc w:val="left"/>
              <w:rPr>
                <w:rFonts w:hint="eastAsia" w:ascii="Calibri" w:hAnsi="宋体" w:eastAsia="宋体" w:cs="宋体"/>
                <w:bCs/>
                <w:sz w:val="24"/>
                <w:highlight w:val="none"/>
              </w:rPr>
            </w:pPr>
            <w:r>
              <w:rPr>
                <w:rFonts w:hint="eastAsia" w:ascii="Calibri" w:hAnsi="宋体" w:eastAsia="宋体" w:cs="宋体"/>
                <w:bCs/>
                <w:sz w:val="24"/>
                <w:highlight w:val="none"/>
              </w:rPr>
              <w:t>转运可回收垃圾至垃圾分拣中心</w:t>
            </w:r>
          </w:p>
        </w:tc>
      </w:tr>
      <w:tr w14:paraId="71A5291E">
        <w:tblPrEx>
          <w:tblCellMar>
            <w:top w:w="0" w:type="dxa"/>
            <w:left w:w="108" w:type="dxa"/>
            <w:bottom w:w="0" w:type="dxa"/>
            <w:right w:w="108" w:type="dxa"/>
          </w:tblCellMar>
        </w:tblPrEx>
        <w:trPr>
          <w:trHeight w:val="973"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88C2010">
            <w:pPr>
              <w:jc w:val="center"/>
              <w:rPr>
                <w:rFonts w:hint="eastAsia" w:ascii="Calibri" w:hAnsi="宋体" w:eastAsia="宋体" w:cs="宋体"/>
                <w:bCs/>
                <w:sz w:val="24"/>
                <w:highlight w:val="none"/>
              </w:rPr>
            </w:pPr>
            <w:r>
              <w:rPr>
                <w:rFonts w:hint="default" w:ascii="Calibri" w:hAnsi="宋体" w:eastAsia="宋体" w:cs="宋体"/>
                <w:bCs/>
                <w:sz w:val="24"/>
                <w:highlight w:val="none"/>
              </w:rPr>
              <w:t>3</w:t>
            </w:r>
          </w:p>
        </w:tc>
        <w:tc>
          <w:tcPr>
            <w:tcW w:w="2613" w:type="dxa"/>
            <w:tcBorders>
              <w:top w:val="single" w:color="auto" w:sz="4" w:space="0"/>
              <w:left w:val="single" w:color="auto" w:sz="4" w:space="0"/>
              <w:bottom w:val="single" w:color="auto" w:sz="4" w:space="0"/>
              <w:right w:val="single" w:color="auto" w:sz="4" w:space="0"/>
            </w:tcBorders>
            <w:noWrap w:val="0"/>
            <w:vAlign w:val="center"/>
          </w:tcPr>
          <w:p w14:paraId="3F7FDD49">
            <w:pPr>
              <w:jc w:val="center"/>
              <w:rPr>
                <w:rFonts w:hint="eastAsia" w:ascii="Calibri" w:hAnsi="宋体" w:eastAsia="宋体" w:cs="宋体"/>
                <w:bCs/>
                <w:sz w:val="24"/>
                <w:highlight w:val="none"/>
              </w:rPr>
            </w:pPr>
            <w:r>
              <w:rPr>
                <w:rFonts w:hint="eastAsia" w:ascii="Calibri" w:hAnsi="宋体" w:eastAsia="宋体" w:cs="宋体"/>
                <w:bCs/>
                <w:sz w:val="24"/>
                <w:highlight w:val="none"/>
              </w:rPr>
              <w:t>有害垃圾转运车</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ABEB455">
            <w:pPr>
              <w:jc w:val="center"/>
              <w:rPr>
                <w:rFonts w:hint="eastAsia" w:ascii="Calibri" w:hAnsi="宋体" w:eastAsia="宋体" w:cs="宋体"/>
                <w:bCs/>
                <w:sz w:val="24"/>
                <w:highlight w:val="none"/>
              </w:rPr>
            </w:pPr>
            <w:r>
              <w:rPr>
                <w:rFonts w:hint="eastAsia" w:ascii="Calibri" w:hAnsi="宋体" w:eastAsia="宋体" w:cs="宋体"/>
                <w:bCs/>
                <w:sz w:val="24"/>
                <w:highlight w:val="none"/>
              </w:rPr>
              <w:t>1</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56120B52">
            <w:pPr>
              <w:jc w:val="left"/>
              <w:rPr>
                <w:rFonts w:hint="eastAsia" w:ascii="Calibri" w:hAnsi="宋体" w:eastAsia="宋体" w:cs="宋体"/>
                <w:bCs/>
                <w:sz w:val="24"/>
                <w:highlight w:val="none"/>
              </w:rPr>
            </w:pPr>
            <w:r>
              <w:rPr>
                <w:rFonts w:hint="eastAsia" w:ascii="Calibri" w:hAnsi="宋体" w:eastAsia="宋体" w:cs="宋体"/>
                <w:bCs/>
                <w:sz w:val="24"/>
                <w:highlight w:val="none"/>
              </w:rPr>
              <w:t>转运有害垃圾至暂存点</w:t>
            </w:r>
          </w:p>
        </w:tc>
      </w:tr>
    </w:tbl>
    <w:p w14:paraId="5E34ACCA">
      <w:pPr>
        <w:widowControl w:val="0"/>
        <w:spacing w:after="120"/>
        <w:ind w:left="420"/>
        <w:jc w:val="both"/>
        <w:rPr>
          <w:rFonts w:ascii="Calibri" w:hAnsi="Calibri" w:eastAsia="宋体" w:cs="Times New Roman"/>
          <w:sz w:val="24"/>
          <w:szCs w:val="24"/>
          <w:highlight w:val="none"/>
        </w:rPr>
      </w:pPr>
    </w:p>
    <w:p w14:paraId="1292D2EC">
      <w:pPr>
        <w:widowControl w:val="0"/>
        <w:spacing w:line="360" w:lineRule="auto"/>
        <w:ind w:firstLine="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bidi="ar-SA"/>
        </w:rPr>
        <w:t>（5）运营服务人员配置服务</w:t>
      </w:r>
    </w:p>
    <w:p w14:paraId="4C7D1D9F">
      <w:pPr>
        <w:widowControl w:val="0"/>
        <w:spacing w:before="156" w:line="360" w:lineRule="auto"/>
        <w:ind w:firstLine="48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bidi="ar-SA"/>
        </w:rPr>
        <w:t>服务范围内</w:t>
      </w:r>
      <w:r>
        <w:rPr>
          <w:rFonts w:ascii="宋体" w:hAnsi="宋体" w:eastAsia="宋体" w:cs="宋体"/>
          <w:bCs/>
          <w:sz w:val="24"/>
          <w:szCs w:val="24"/>
          <w:highlight w:val="none"/>
          <w:lang w:val="en-US" w:eastAsia="zh-CN" w:bidi="ar-SA"/>
        </w:rPr>
        <w:t>49</w:t>
      </w:r>
      <w:r>
        <w:rPr>
          <w:rFonts w:hint="eastAsia" w:ascii="宋体" w:hAnsi="宋体" w:eastAsia="宋体" w:cs="宋体"/>
          <w:bCs/>
          <w:sz w:val="24"/>
          <w:szCs w:val="24"/>
          <w:highlight w:val="none"/>
          <w:lang w:val="en-US" w:eastAsia="zh-CN" w:bidi="ar-SA"/>
        </w:rPr>
        <w:t>个自然村垃圾分亭的清扫、消杀，并对村民垃圾分类行为进行引导、督促居民分类投放生活垃圾。分类、收集员上岗前须经过培训。厨余（易腐）垃圾的清运配备驾驶员</w:t>
      </w:r>
      <w:r>
        <w:rPr>
          <w:rFonts w:ascii="宋体" w:hAnsi="宋体" w:eastAsia="宋体" w:cs="宋体"/>
          <w:bCs/>
          <w:sz w:val="24"/>
          <w:szCs w:val="24"/>
          <w:highlight w:val="none"/>
          <w:lang w:val="en-US" w:eastAsia="zh-CN" w:bidi="ar-SA"/>
        </w:rPr>
        <w:t>1</w:t>
      </w:r>
      <w:r>
        <w:rPr>
          <w:rFonts w:hint="eastAsia" w:ascii="宋体" w:hAnsi="宋体" w:eastAsia="宋体" w:cs="宋体"/>
          <w:bCs/>
          <w:sz w:val="24"/>
          <w:szCs w:val="24"/>
          <w:highlight w:val="none"/>
          <w:lang w:val="en-US" w:eastAsia="zh-CN" w:bidi="ar-SA"/>
        </w:rPr>
        <w:t>人，挂桶工、高压冲洗工1人；项目经理</w:t>
      </w:r>
      <w:r>
        <w:rPr>
          <w:rFonts w:ascii="宋体" w:hAnsi="宋体" w:eastAsia="宋体" w:cs="宋体"/>
          <w:bCs/>
          <w:sz w:val="24"/>
          <w:szCs w:val="24"/>
          <w:highlight w:val="none"/>
          <w:lang w:val="en-US" w:eastAsia="zh-CN" w:bidi="ar-SA"/>
        </w:rPr>
        <w:t>1</w:t>
      </w:r>
      <w:r>
        <w:rPr>
          <w:rFonts w:hint="eastAsia" w:ascii="宋体" w:hAnsi="宋体" w:eastAsia="宋体" w:cs="宋体"/>
          <w:bCs/>
          <w:sz w:val="24"/>
          <w:szCs w:val="24"/>
          <w:highlight w:val="none"/>
          <w:lang w:val="en-US" w:eastAsia="zh-CN" w:bidi="ar-SA"/>
        </w:rPr>
        <w:t>名。</w:t>
      </w:r>
    </w:p>
    <w:p w14:paraId="1A5B3D32">
      <w:pPr>
        <w:widowControl w:val="0"/>
        <w:spacing w:before="156" w:line="360" w:lineRule="auto"/>
        <w:ind w:firstLine="48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 xml:space="preserve">乙方应依法与其雇佣的所有人员签订劳动合同，依法缴纳社会保险，保障员工合法权益。因乙方人员产生的劳动争议、工伤、薪酬、社会保险等纠纷，均由乙方自行承担，甲方不承担任何连带责任。 </w:t>
      </w:r>
    </w:p>
    <w:p w14:paraId="106A135E">
      <w:pPr>
        <w:widowControl w:val="0"/>
        <w:numPr>
          <w:ilvl w:val="0"/>
          <w:numId w:val="0"/>
        </w:numPr>
        <w:spacing w:before="156" w:line="360" w:lineRule="auto"/>
        <w:ind w:firstLine="480"/>
        <w:jc w:val="both"/>
        <w:rPr>
          <w:rFonts w:hint="eastAsia" w:ascii="Calibri" w:hAnsi="宋体" w:eastAsia="宋体" w:cs="宋体"/>
          <w:bCs/>
          <w:color w:val="FF0000"/>
          <w:sz w:val="24"/>
          <w:szCs w:val="24"/>
          <w:highlight w:val="none"/>
        </w:rPr>
      </w:pPr>
      <w:r>
        <w:rPr>
          <w:rFonts w:hint="eastAsia" w:ascii="宋体" w:hAnsi="宋体" w:eastAsia="宋体" w:cs="宋体"/>
          <w:bCs/>
          <w:color w:val="000000"/>
          <w:sz w:val="24"/>
          <w:szCs w:val="24"/>
          <w:highlight w:val="none"/>
          <w:lang w:val="en-US" w:eastAsia="zh-CN" w:bidi="ar-SA"/>
        </w:rPr>
        <w:t>乙方在履约过程中如需变更服务人员、车辆、设备等，须提前书面报备甲方，经甲方书面同意后方可实施。未经甲方同意，乙方不得擅自更换或减少人员、设备。</w:t>
      </w:r>
      <w:r>
        <w:rPr>
          <w:rFonts w:hint="eastAsia" w:ascii="宋体" w:hAnsi="宋体" w:eastAsia="宋体" w:cs="宋体"/>
          <w:bCs/>
          <w:color w:val="FF0000"/>
          <w:sz w:val="24"/>
          <w:szCs w:val="24"/>
          <w:highlight w:val="none"/>
          <w:lang w:val="en-US" w:eastAsia="zh-CN" w:bidi="ar-SA"/>
        </w:rPr>
        <w:t xml:space="preserve"> </w:t>
      </w:r>
    </w:p>
    <w:p w14:paraId="5F203533">
      <w:pPr>
        <w:widowControl w:val="0"/>
        <w:numPr>
          <w:ilvl w:val="0"/>
          <w:numId w:val="0"/>
        </w:numPr>
        <w:spacing w:before="156" w:line="360" w:lineRule="auto"/>
        <w:ind w:left="140" w:firstLine="480"/>
        <w:jc w:val="both"/>
        <w:rPr>
          <w:rFonts w:hint="eastAsia" w:ascii="Calibri" w:hAnsi="宋体" w:eastAsia="宋体" w:cs="宋体"/>
          <w:bCs/>
          <w:sz w:val="24"/>
          <w:szCs w:val="24"/>
          <w:highlight w:val="none"/>
        </w:rPr>
      </w:pPr>
      <w:r>
        <w:rPr>
          <w:rFonts w:hint="eastAsia" w:ascii="宋体" w:hAnsi="宋体" w:eastAsia="宋体" w:cs="宋体"/>
          <w:bCs/>
          <w:sz w:val="24"/>
          <w:szCs w:val="24"/>
          <w:highlight w:val="none"/>
          <w:lang w:val="en-US" w:eastAsia="zh-CN" w:bidi="ar-SA"/>
        </w:rPr>
        <w:t>人员配备表</w:t>
      </w:r>
    </w:p>
    <w:tbl>
      <w:tblPr>
        <w:tblStyle w:val="51"/>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2555"/>
        <w:gridCol w:w="978"/>
        <w:gridCol w:w="3424"/>
      </w:tblGrid>
      <w:tr w14:paraId="01B1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742" w:type="dxa"/>
            <w:noWrap w:val="0"/>
            <w:vAlign w:val="center"/>
          </w:tcPr>
          <w:p w14:paraId="404774A5">
            <w:pPr>
              <w:jc w:val="center"/>
              <w:rPr>
                <w:rFonts w:hint="eastAsia" w:ascii="仿宋" w:hAnsi="仿宋" w:eastAsia="宋体" w:cs="仿宋"/>
                <w:color w:val="000000"/>
                <w:sz w:val="28"/>
                <w:highlight w:val="none"/>
              </w:rPr>
            </w:pPr>
            <w:r>
              <w:rPr>
                <w:rFonts w:hint="eastAsia" w:ascii="仿宋" w:hAnsi="仿宋" w:eastAsia="宋体" w:cs="仿宋"/>
                <w:color w:val="000000"/>
                <w:sz w:val="28"/>
                <w:highlight w:val="none"/>
              </w:rPr>
              <w:t>类别</w:t>
            </w:r>
          </w:p>
        </w:tc>
        <w:tc>
          <w:tcPr>
            <w:tcW w:w="2555" w:type="dxa"/>
            <w:noWrap w:val="0"/>
            <w:vAlign w:val="center"/>
          </w:tcPr>
          <w:p w14:paraId="3E8D422B">
            <w:pPr>
              <w:jc w:val="center"/>
              <w:rPr>
                <w:rFonts w:hint="eastAsia" w:ascii="仿宋" w:hAnsi="仿宋" w:eastAsia="宋体" w:cs="仿宋"/>
                <w:color w:val="000000"/>
                <w:sz w:val="28"/>
                <w:highlight w:val="none"/>
              </w:rPr>
            </w:pPr>
            <w:r>
              <w:rPr>
                <w:rFonts w:hint="eastAsia" w:ascii="仿宋" w:hAnsi="仿宋" w:eastAsia="宋体" w:cs="仿宋"/>
                <w:color w:val="000000"/>
                <w:sz w:val="28"/>
                <w:highlight w:val="none"/>
              </w:rPr>
              <w:t>项目名称</w:t>
            </w:r>
          </w:p>
        </w:tc>
        <w:tc>
          <w:tcPr>
            <w:tcW w:w="978" w:type="dxa"/>
            <w:noWrap w:val="0"/>
            <w:vAlign w:val="center"/>
          </w:tcPr>
          <w:p w14:paraId="1E5E17BC">
            <w:pPr>
              <w:jc w:val="center"/>
              <w:rPr>
                <w:rFonts w:hint="eastAsia" w:ascii="仿宋" w:hAnsi="仿宋" w:eastAsia="宋体" w:cs="仿宋"/>
                <w:color w:val="000000"/>
                <w:sz w:val="28"/>
                <w:highlight w:val="none"/>
              </w:rPr>
            </w:pPr>
            <w:r>
              <w:rPr>
                <w:rFonts w:hint="eastAsia" w:ascii="仿宋" w:hAnsi="仿宋" w:eastAsia="宋体" w:cs="仿宋"/>
                <w:color w:val="000000"/>
                <w:sz w:val="28"/>
                <w:highlight w:val="none"/>
              </w:rPr>
              <w:t>数量</w:t>
            </w:r>
          </w:p>
        </w:tc>
        <w:tc>
          <w:tcPr>
            <w:tcW w:w="3424" w:type="dxa"/>
            <w:noWrap w:val="0"/>
            <w:vAlign w:val="center"/>
          </w:tcPr>
          <w:p w14:paraId="0F124F92">
            <w:pPr>
              <w:jc w:val="center"/>
              <w:rPr>
                <w:rFonts w:hint="eastAsia" w:ascii="仿宋" w:hAnsi="仿宋" w:eastAsia="仿宋" w:cs="仿宋"/>
                <w:color w:val="000000"/>
                <w:sz w:val="28"/>
                <w:highlight w:val="none"/>
              </w:rPr>
            </w:pPr>
            <w:r>
              <w:rPr>
                <w:rFonts w:hint="eastAsia" w:ascii="仿宋" w:hAnsi="仿宋" w:eastAsia="宋体" w:cs="仿宋"/>
                <w:color w:val="000000"/>
                <w:sz w:val="28"/>
                <w:highlight w:val="none"/>
              </w:rPr>
              <w:t>说明</w:t>
            </w:r>
          </w:p>
        </w:tc>
      </w:tr>
      <w:tr w14:paraId="49F5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742" w:type="dxa"/>
            <w:noWrap w:val="0"/>
            <w:vAlign w:val="center"/>
          </w:tcPr>
          <w:p w14:paraId="1C3692D9">
            <w:pPr>
              <w:jc w:val="center"/>
              <w:rPr>
                <w:rFonts w:hint="eastAsia" w:ascii="Calibri" w:hAnsi="宋体" w:eastAsia="宋体" w:cs="宋体"/>
                <w:bCs/>
                <w:color w:val="FF0000"/>
                <w:sz w:val="24"/>
                <w:highlight w:val="none"/>
              </w:rPr>
            </w:pPr>
            <w:r>
              <w:rPr>
                <w:rFonts w:hint="eastAsia" w:hAnsi="宋体" w:cs="宋体"/>
                <w:bCs/>
                <w:sz w:val="24"/>
                <w:highlight w:val="none"/>
              </w:rPr>
              <w:t>垃圾分类亭收集、分类人员</w:t>
            </w:r>
          </w:p>
        </w:tc>
        <w:tc>
          <w:tcPr>
            <w:tcW w:w="2555" w:type="dxa"/>
            <w:noWrap w:val="0"/>
            <w:vAlign w:val="center"/>
          </w:tcPr>
          <w:p w14:paraId="33ECD9BF">
            <w:pPr>
              <w:jc w:val="center"/>
              <w:rPr>
                <w:rFonts w:hint="eastAsia" w:ascii="Calibri" w:hAnsi="宋体" w:eastAsia="宋体" w:cs="宋体"/>
                <w:bCs/>
                <w:color w:val="FF0000"/>
                <w:sz w:val="24"/>
                <w:highlight w:val="none"/>
              </w:rPr>
            </w:pPr>
            <w:r>
              <w:rPr>
                <w:rFonts w:hint="eastAsia" w:hAnsi="宋体" w:cs="宋体"/>
                <w:bCs/>
                <w:sz w:val="24"/>
                <w:highlight w:val="none"/>
              </w:rPr>
              <w:t>垃圾收集、分类人员</w:t>
            </w:r>
          </w:p>
        </w:tc>
        <w:tc>
          <w:tcPr>
            <w:tcW w:w="978" w:type="dxa"/>
            <w:noWrap w:val="0"/>
            <w:vAlign w:val="center"/>
          </w:tcPr>
          <w:p w14:paraId="26792A96">
            <w:pPr>
              <w:jc w:val="center"/>
              <w:rPr>
                <w:rFonts w:hint="eastAsia" w:ascii="Calibri" w:hAnsi="宋体" w:eastAsia="宋体" w:cs="宋体"/>
                <w:bCs/>
                <w:color w:val="FF0000"/>
                <w:sz w:val="24"/>
                <w:highlight w:val="none"/>
              </w:rPr>
            </w:pPr>
            <w:r>
              <w:rPr>
                <w:rFonts w:hint="eastAsia" w:hAnsi="宋体" w:cs="宋体"/>
                <w:bCs/>
                <w:sz w:val="24"/>
                <w:highlight w:val="none"/>
              </w:rPr>
              <w:t>满足垃圾分类亭需求</w:t>
            </w:r>
          </w:p>
        </w:tc>
        <w:tc>
          <w:tcPr>
            <w:tcW w:w="3424" w:type="dxa"/>
            <w:noWrap w:val="0"/>
            <w:vAlign w:val="center"/>
          </w:tcPr>
          <w:p w14:paraId="3F7F9BEB">
            <w:pPr>
              <w:rPr>
                <w:rFonts w:hint="eastAsia" w:ascii="Calibri" w:hAnsi="宋体" w:eastAsia="宋体" w:cs="宋体"/>
                <w:bCs/>
                <w:color w:val="FF0000"/>
                <w:sz w:val="24"/>
                <w:highlight w:val="none"/>
              </w:rPr>
            </w:pPr>
            <w:r>
              <w:rPr>
                <w:rFonts w:hint="eastAsia" w:hAnsi="宋体" w:cs="宋体"/>
                <w:bCs/>
                <w:sz w:val="24"/>
                <w:highlight w:val="none"/>
              </w:rPr>
              <w:t>分类亭内及周围的垃圾分类、收集、垃圾亭清扫、消杀</w:t>
            </w:r>
          </w:p>
        </w:tc>
      </w:tr>
      <w:tr w14:paraId="6F99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742" w:type="dxa"/>
            <w:vMerge w:val="restart"/>
            <w:noWrap w:val="0"/>
            <w:vAlign w:val="center"/>
          </w:tcPr>
          <w:p w14:paraId="444F433D">
            <w:pPr>
              <w:jc w:val="center"/>
              <w:rPr>
                <w:rFonts w:hint="eastAsia" w:ascii="Calibri" w:hAnsi="宋体" w:eastAsia="宋体" w:cs="宋体"/>
                <w:bCs/>
                <w:sz w:val="24"/>
                <w:highlight w:val="none"/>
              </w:rPr>
            </w:pPr>
            <w:r>
              <w:rPr>
                <w:rFonts w:hint="eastAsia" w:ascii="Calibri" w:hAnsi="宋体" w:eastAsia="宋体" w:cs="宋体"/>
                <w:bCs/>
                <w:sz w:val="24"/>
                <w:highlight w:val="none"/>
              </w:rPr>
              <w:t>分类收运人员</w:t>
            </w:r>
          </w:p>
        </w:tc>
        <w:tc>
          <w:tcPr>
            <w:tcW w:w="2555" w:type="dxa"/>
            <w:noWrap w:val="0"/>
            <w:vAlign w:val="center"/>
          </w:tcPr>
          <w:p w14:paraId="07717CE1">
            <w:pPr>
              <w:jc w:val="center"/>
              <w:rPr>
                <w:rFonts w:hint="eastAsia" w:ascii="Calibri" w:hAnsi="宋体" w:eastAsia="宋体" w:cs="宋体"/>
                <w:bCs/>
                <w:sz w:val="24"/>
                <w:highlight w:val="none"/>
              </w:rPr>
            </w:pPr>
            <w:r>
              <w:rPr>
                <w:rFonts w:hint="eastAsia" w:ascii="Calibri" w:hAnsi="宋体" w:eastAsia="宋体" w:cs="宋体"/>
                <w:bCs/>
                <w:sz w:val="24"/>
                <w:highlight w:val="none"/>
              </w:rPr>
              <w:t>厨余（易腐）垃圾</w:t>
            </w:r>
          </w:p>
        </w:tc>
        <w:tc>
          <w:tcPr>
            <w:tcW w:w="978" w:type="dxa"/>
            <w:noWrap w:val="0"/>
            <w:vAlign w:val="center"/>
          </w:tcPr>
          <w:p w14:paraId="5A2344E9">
            <w:pPr>
              <w:jc w:val="center"/>
              <w:rPr>
                <w:rFonts w:hint="eastAsia" w:ascii="Calibri" w:hAnsi="宋体" w:eastAsia="宋体" w:cs="宋体"/>
                <w:bCs/>
                <w:sz w:val="24"/>
                <w:highlight w:val="none"/>
              </w:rPr>
            </w:pPr>
            <w:r>
              <w:rPr>
                <w:rFonts w:hint="default" w:ascii="Calibri" w:hAnsi="宋体" w:eastAsia="宋体" w:cs="宋体"/>
                <w:bCs/>
                <w:sz w:val="24"/>
                <w:highlight w:val="none"/>
              </w:rPr>
              <w:t>1</w:t>
            </w:r>
            <w:r>
              <w:rPr>
                <w:rFonts w:hint="eastAsia" w:ascii="仿宋" w:hAnsi="仿宋" w:eastAsia="宋体" w:cs="仿宋"/>
                <w:color w:val="000000"/>
                <w:highlight w:val="none"/>
              </w:rPr>
              <w:t>人</w:t>
            </w:r>
          </w:p>
        </w:tc>
        <w:tc>
          <w:tcPr>
            <w:tcW w:w="3424" w:type="dxa"/>
            <w:vMerge w:val="restart"/>
            <w:noWrap w:val="0"/>
            <w:vAlign w:val="center"/>
          </w:tcPr>
          <w:p w14:paraId="235A58C8">
            <w:pPr>
              <w:jc w:val="center"/>
              <w:rPr>
                <w:rFonts w:hint="eastAsia" w:ascii="Calibri" w:hAnsi="宋体" w:eastAsia="宋体" w:cs="宋体"/>
                <w:bCs/>
                <w:sz w:val="24"/>
                <w:highlight w:val="none"/>
              </w:rPr>
            </w:pPr>
            <w:r>
              <w:rPr>
                <w:rFonts w:hint="eastAsia" w:ascii="Calibri" w:hAnsi="宋体" w:eastAsia="宋体" w:cs="宋体"/>
                <w:bCs/>
                <w:color w:val="000000"/>
                <w:sz w:val="24"/>
                <w:highlight w:val="none"/>
              </w:rPr>
              <w:t>厨余（易腐）垃圾清运专职驾驶员1名，随车工</w:t>
            </w:r>
            <w:r>
              <w:rPr>
                <w:rFonts w:hint="default" w:ascii="Calibri" w:hAnsi="宋体" w:eastAsia="宋体" w:cs="宋体"/>
                <w:bCs/>
                <w:color w:val="000000"/>
                <w:sz w:val="24"/>
                <w:highlight w:val="none"/>
              </w:rPr>
              <w:t>1</w:t>
            </w:r>
            <w:r>
              <w:rPr>
                <w:rFonts w:hint="eastAsia" w:ascii="Calibri" w:hAnsi="宋体" w:eastAsia="宋体" w:cs="宋体"/>
                <w:bCs/>
                <w:color w:val="000000"/>
                <w:sz w:val="24"/>
                <w:highlight w:val="none"/>
              </w:rPr>
              <w:t>名</w:t>
            </w:r>
          </w:p>
        </w:tc>
      </w:tr>
      <w:tr w14:paraId="6DBB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742" w:type="dxa"/>
            <w:vMerge w:val="continue"/>
            <w:noWrap w:val="0"/>
            <w:vAlign w:val="center"/>
          </w:tcPr>
          <w:p w14:paraId="018C55FB">
            <w:pPr>
              <w:jc w:val="center"/>
              <w:rPr>
                <w:rFonts w:hint="eastAsia" w:ascii="Calibri" w:hAnsi="宋体" w:eastAsia="宋体" w:cs="宋体"/>
                <w:bCs/>
                <w:sz w:val="24"/>
              </w:rPr>
            </w:pPr>
          </w:p>
        </w:tc>
        <w:tc>
          <w:tcPr>
            <w:tcW w:w="2555" w:type="dxa"/>
            <w:noWrap w:val="0"/>
            <w:vAlign w:val="center"/>
          </w:tcPr>
          <w:p w14:paraId="185CD944">
            <w:pPr>
              <w:jc w:val="center"/>
              <w:rPr>
                <w:rFonts w:hint="eastAsia" w:ascii="Calibri" w:hAnsi="宋体" w:eastAsia="宋体" w:cs="宋体"/>
                <w:bCs/>
                <w:sz w:val="24"/>
                <w:highlight w:val="none"/>
              </w:rPr>
            </w:pPr>
            <w:r>
              <w:rPr>
                <w:rFonts w:hint="eastAsia" w:ascii="Calibri" w:hAnsi="宋体" w:eastAsia="宋体" w:cs="宋体"/>
                <w:bCs/>
                <w:sz w:val="24"/>
                <w:highlight w:val="none"/>
              </w:rPr>
              <w:t>厨余（易腐）垃圾清运随车工</w:t>
            </w:r>
          </w:p>
        </w:tc>
        <w:tc>
          <w:tcPr>
            <w:tcW w:w="978" w:type="dxa"/>
            <w:noWrap w:val="0"/>
            <w:vAlign w:val="center"/>
          </w:tcPr>
          <w:p w14:paraId="6E149B1E">
            <w:pPr>
              <w:jc w:val="center"/>
              <w:rPr>
                <w:rFonts w:hint="eastAsia" w:ascii="Calibri" w:hAnsi="宋体" w:eastAsia="宋体" w:cs="宋体"/>
                <w:bCs/>
                <w:sz w:val="24"/>
                <w:highlight w:val="none"/>
              </w:rPr>
            </w:pPr>
            <w:r>
              <w:rPr>
                <w:rFonts w:hint="default" w:ascii="Calibri" w:hAnsi="宋体" w:eastAsia="宋体" w:cs="宋体"/>
                <w:bCs/>
                <w:sz w:val="24"/>
                <w:highlight w:val="none"/>
              </w:rPr>
              <w:t>1</w:t>
            </w:r>
            <w:r>
              <w:rPr>
                <w:rFonts w:hint="eastAsia" w:ascii="仿宋" w:hAnsi="仿宋" w:eastAsia="宋体" w:cs="仿宋"/>
                <w:color w:val="000000"/>
                <w:highlight w:val="none"/>
              </w:rPr>
              <w:t>人</w:t>
            </w:r>
          </w:p>
        </w:tc>
        <w:tc>
          <w:tcPr>
            <w:tcW w:w="3424" w:type="dxa"/>
            <w:vMerge w:val="continue"/>
            <w:noWrap w:val="0"/>
            <w:vAlign w:val="center"/>
          </w:tcPr>
          <w:p w14:paraId="593942FF">
            <w:pPr>
              <w:jc w:val="center"/>
              <w:rPr>
                <w:rFonts w:hint="eastAsia" w:ascii="Calibri" w:hAnsi="宋体" w:eastAsia="宋体" w:cs="宋体"/>
                <w:bCs/>
                <w:sz w:val="24"/>
              </w:rPr>
            </w:pPr>
          </w:p>
        </w:tc>
      </w:tr>
      <w:tr w14:paraId="5DC8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742" w:type="dxa"/>
            <w:noWrap w:val="0"/>
            <w:vAlign w:val="center"/>
          </w:tcPr>
          <w:p w14:paraId="6D4CB0C6">
            <w:pPr>
              <w:jc w:val="center"/>
              <w:rPr>
                <w:rFonts w:hint="eastAsia" w:ascii="Calibri" w:hAnsi="宋体" w:eastAsia="宋体" w:cs="宋体"/>
                <w:bCs/>
                <w:sz w:val="24"/>
                <w:highlight w:val="none"/>
              </w:rPr>
            </w:pPr>
            <w:r>
              <w:rPr>
                <w:rFonts w:hint="eastAsia" w:ascii="Calibri" w:hAnsi="宋体" w:eastAsia="宋体" w:cs="宋体"/>
                <w:bCs/>
                <w:sz w:val="24"/>
                <w:highlight w:val="none"/>
              </w:rPr>
              <w:t>项目管理人员</w:t>
            </w:r>
          </w:p>
        </w:tc>
        <w:tc>
          <w:tcPr>
            <w:tcW w:w="2555" w:type="dxa"/>
            <w:noWrap w:val="0"/>
            <w:vAlign w:val="center"/>
          </w:tcPr>
          <w:p w14:paraId="7E19143D">
            <w:pPr>
              <w:jc w:val="center"/>
              <w:rPr>
                <w:rFonts w:hint="eastAsia" w:ascii="Calibri" w:hAnsi="宋体" w:eastAsia="宋体" w:cs="宋体"/>
                <w:bCs/>
                <w:sz w:val="24"/>
                <w:highlight w:val="none"/>
              </w:rPr>
            </w:pPr>
            <w:r>
              <w:rPr>
                <w:rFonts w:hint="eastAsia" w:ascii="Calibri" w:hAnsi="宋体" w:eastAsia="宋体" w:cs="宋体"/>
                <w:bCs/>
                <w:sz w:val="24"/>
                <w:highlight w:val="none"/>
              </w:rPr>
              <w:t>项目经理</w:t>
            </w:r>
          </w:p>
        </w:tc>
        <w:tc>
          <w:tcPr>
            <w:tcW w:w="978" w:type="dxa"/>
            <w:noWrap w:val="0"/>
            <w:vAlign w:val="center"/>
          </w:tcPr>
          <w:p w14:paraId="3883E11F">
            <w:pPr>
              <w:jc w:val="center"/>
              <w:rPr>
                <w:rFonts w:hint="eastAsia" w:ascii="Calibri" w:hAnsi="宋体" w:eastAsia="宋体" w:cs="宋体"/>
                <w:bCs/>
                <w:sz w:val="24"/>
                <w:highlight w:val="none"/>
              </w:rPr>
            </w:pPr>
            <w:r>
              <w:rPr>
                <w:rFonts w:hint="eastAsia" w:ascii="Calibri" w:hAnsi="宋体" w:eastAsia="宋体" w:cs="宋体"/>
                <w:bCs/>
                <w:sz w:val="24"/>
                <w:highlight w:val="none"/>
              </w:rPr>
              <w:t>1</w:t>
            </w:r>
            <w:r>
              <w:rPr>
                <w:rFonts w:hint="eastAsia" w:ascii="仿宋" w:hAnsi="仿宋" w:eastAsia="宋体" w:cs="仿宋"/>
                <w:color w:val="000000"/>
                <w:highlight w:val="none"/>
              </w:rPr>
              <w:t>人</w:t>
            </w:r>
          </w:p>
        </w:tc>
        <w:tc>
          <w:tcPr>
            <w:tcW w:w="3424" w:type="dxa"/>
            <w:noWrap w:val="0"/>
            <w:vAlign w:val="center"/>
          </w:tcPr>
          <w:p w14:paraId="586E4475">
            <w:pPr>
              <w:jc w:val="center"/>
              <w:rPr>
                <w:rFonts w:hint="eastAsia" w:ascii="Calibri" w:hAnsi="宋体" w:eastAsia="宋体" w:cs="宋体"/>
                <w:bCs/>
                <w:sz w:val="24"/>
                <w:highlight w:val="none"/>
              </w:rPr>
            </w:pPr>
            <w:r>
              <w:rPr>
                <w:rFonts w:hint="eastAsia" w:ascii="Calibri" w:hAnsi="宋体" w:eastAsia="宋体" w:cs="宋体"/>
                <w:bCs/>
                <w:sz w:val="24"/>
                <w:highlight w:val="none"/>
              </w:rPr>
              <w:t>对项目进行管理，对各级主管部门汇报及沟通，建立垃圾分类台账。</w:t>
            </w:r>
            <w:r>
              <w:rPr>
                <w:rFonts w:hint="eastAsia" w:ascii="Calibri" w:hAnsi="宋体" w:eastAsia="宋体" w:cs="宋体"/>
                <w:bCs/>
                <w:color w:val="000000"/>
                <w:sz w:val="24"/>
                <w:highlight w:val="none"/>
              </w:rPr>
              <w:t>甲方有权随时对乙方派驻项目的人员进行监督、考核，并有权要求乙方更换不合格或不适任人员，乙方应无条件配合并在甲方要求的期限内完成人员调整。</w:t>
            </w:r>
          </w:p>
        </w:tc>
      </w:tr>
    </w:tbl>
    <w:p w14:paraId="37884D48">
      <w:pPr>
        <w:widowControl w:val="0"/>
        <w:spacing w:before="156" w:line="360" w:lineRule="auto"/>
        <w:ind w:firstLine="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bidi="ar-SA"/>
        </w:rPr>
        <w:t>（6）分类运营服务台账管理</w:t>
      </w:r>
    </w:p>
    <w:p w14:paraId="647EC2C2">
      <w:pPr>
        <w:widowControl w:val="0"/>
        <w:spacing w:before="156" w:line="360" w:lineRule="auto"/>
        <w:ind w:firstLine="480"/>
        <w:jc w:val="both"/>
        <w:rPr>
          <w:rFonts w:hint="eastAsia" w:ascii="Calibri" w:hAnsi="宋体" w:eastAsia="宋体" w:cs="宋体"/>
          <w:bCs/>
          <w:sz w:val="24"/>
          <w:szCs w:val="24"/>
          <w:highlight w:val="none"/>
        </w:rPr>
      </w:pPr>
      <w:r>
        <w:rPr>
          <w:rFonts w:hint="eastAsia" w:ascii="宋体" w:hAnsi="宋体" w:eastAsia="宋体" w:cs="宋体"/>
          <w:bCs/>
          <w:sz w:val="24"/>
          <w:szCs w:val="24"/>
          <w:highlight w:val="none"/>
          <w:lang w:val="en-US" w:eastAsia="zh-CN" w:bidi="ar-SA"/>
        </w:rPr>
        <w:t>服务范围内运营作业资料按每村做好台账，包含村各收收集的桶数、分类垃圾亭清扫、消杀人员照片，清运车辆清运次数台账、清运人员花名册、清运人员照片。</w:t>
      </w:r>
    </w:p>
    <w:p w14:paraId="7DD124D3">
      <w:pPr>
        <w:widowControl w:val="0"/>
        <w:spacing w:before="156" w:line="360" w:lineRule="auto"/>
        <w:ind w:firstLine="48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bidi="ar-SA"/>
        </w:rPr>
        <w:t>配备专职档案管理人员，负责各类档案的收集、分类、整理、编目、排序、保管。对各档案进行统一管理。运营企业人员不经同意不准将文件、材料、带出公司外的任何地方。运营企业内部人员查看文件、资料必须经过公司同意，无关人员不得查看。</w:t>
      </w:r>
    </w:p>
    <w:p w14:paraId="125238E6">
      <w:pPr>
        <w:widowControl w:val="0"/>
        <w:spacing w:before="156" w:line="360" w:lineRule="auto"/>
        <w:ind w:firstLine="48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bidi="ar-SA"/>
        </w:rPr>
        <w:t>甲方有权随时查验、复制、留存乙方运营服务台账及相关资料。若发现台账不合规、虚假或拒绝配合查验，甲方有权直接扣减服务费用或解除合同，乙方应承担由此产生的全部责任。</w:t>
      </w:r>
    </w:p>
    <w:p w14:paraId="0826DDD1">
      <w:pPr>
        <w:widowControl w:val="0"/>
        <w:spacing w:line="360" w:lineRule="auto"/>
        <w:ind w:firstLine="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bidi="ar-SA"/>
        </w:rPr>
        <w:t>（7）作业范围内的重大活动保障等应急任务；</w:t>
      </w:r>
    </w:p>
    <w:p w14:paraId="3984B471">
      <w:pPr>
        <w:widowControl w:val="0"/>
        <w:spacing w:line="360" w:lineRule="auto"/>
        <w:ind w:firstLine="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bidi="ar-SA"/>
        </w:rPr>
        <w:t>（8）责任范围内人员、设备等疫情防控工作；</w:t>
      </w:r>
    </w:p>
    <w:p w14:paraId="207D330E">
      <w:pPr>
        <w:widowControl w:val="0"/>
        <w:spacing w:line="360" w:lineRule="auto"/>
        <w:ind w:firstLine="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bidi="ar-SA"/>
        </w:rPr>
        <w:t>（9）市、区、镇交办的临时性任务等。</w:t>
      </w:r>
    </w:p>
    <w:p w14:paraId="0480308C">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第八条 作业规范、标准及要求：作业规范符合但不限于《江苏省城市环境卫生作业服务质量标准》、《生活垃圾分类标志》（GB/T 19095-2019）、《生活垃圾分类投放操作规程》（T/HW 00001-2018）、《生活垃圾收集运输作业规程》（T/HW 00003-2019）、《生活垃极收集运输质量标准》（T/HW 00004-2019）、《垃圾清运工职业技能标准》（T/HW 00005-2019）、《分类收运车辆/容器技术要求》（T/HW 00012-2020）等现行有关法律法规、规章和规范性文件，以及相关的作业标准、规范。</w:t>
      </w:r>
      <w:bookmarkStart w:id="12" w:name="_Toc19100"/>
      <w:r>
        <w:rPr>
          <w:rFonts w:hint="eastAsia" w:ascii="宋体" w:hAnsi="宋体" w:eastAsia="宋体" w:cs="宋体"/>
          <w:sz w:val="24"/>
          <w:highlight w:val="none"/>
        </w:rPr>
        <w:t>乙方应根据合同要求制定工作人员作业时间表，工作人员培训计划，设施设备的维护方案，台账管理方案，报甲方备案。</w:t>
      </w:r>
    </w:p>
    <w:p w14:paraId="65669F99">
      <w:pPr>
        <w:widowControl w:val="0"/>
        <w:spacing w:line="360" w:lineRule="atLeast"/>
        <w:ind w:firstLine="200"/>
        <w:jc w:val="left"/>
        <w:rPr>
          <w:rFonts w:ascii="宋体" w:hAnsi="Calibri" w:eastAsia="仿宋_GB2312" w:cs="Times New Roman"/>
          <w:sz w:val="24"/>
          <w:szCs w:val="20"/>
          <w:highlight w:val="none"/>
        </w:rPr>
      </w:pPr>
    </w:p>
    <w:p w14:paraId="05999F11">
      <w:pPr>
        <w:tabs>
          <w:tab w:val="center" w:pos="5131"/>
        </w:tabs>
        <w:spacing w:line="400" w:lineRule="exact"/>
        <w:jc w:val="center"/>
        <w:outlineLvl w:val="0"/>
        <w:rPr>
          <w:rFonts w:hint="eastAsia" w:ascii="宋体" w:hAnsi="宋体" w:eastAsia="宋体" w:cs="宋体"/>
          <w:sz w:val="24"/>
          <w:highlight w:val="none"/>
        </w:rPr>
      </w:pPr>
      <w:bookmarkStart w:id="13" w:name="_Toc12648"/>
      <w:r>
        <w:rPr>
          <w:rFonts w:hint="eastAsia" w:ascii="宋体" w:hAnsi="宋体" w:eastAsia="宋体" w:cs="宋体"/>
          <w:b/>
          <w:bCs/>
          <w:sz w:val="24"/>
          <w:highlight w:val="none"/>
        </w:rPr>
        <w:t>第三节 合同价款与支付</w:t>
      </w:r>
      <w:bookmarkEnd w:id="12"/>
      <w:bookmarkEnd w:id="13"/>
    </w:p>
    <w:p w14:paraId="736BC0AD">
      <w:pPr>
        <w:spacing w:line="360" w:lineRule="auto"/>
        <w:ind w:firstLine="480"/>
        <w:rPr>
          <w:rFonts w:hint="eastAsia" w:ascii="宋体" w:hAnsi="宋体" w:eastAsia="宋体" w:cs="宋体"/>
          <w:sz w:val="24"/>
          <w:highlight w:val="none"/>
          <w:u w:val="single"/>
        </w:rPr>
      </w:pPr>
      <w:r>
        <w:rPr>
          <w:rFonts w:hint="eastAsia" w:ascii="宋体" w:hAnsi="宋体" w:eastAsia="宋体" w:cs="宋体"/>
          <w:sz w:val="24"/>
          <w:highlight w:val="none"/>
        </w:rPr>
        <w:t xml:space="preserve">第九条 </w:t>
      </w:r>
    </w:p>
    <w:p w14:paraId="34350F22">
      <w:pPr>
        <w:widowControl w:val="0"/>
        <w:spacing w:line="360" w:lineRule="auto"/>
        <w:ind w:firstLine="48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1、合同金额：本合同总金额为人民币大写金额</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元（小写金额：</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元），</w:t>
      </w:r>
    </w:p>
    <w:p w14:paraId="0FFEEAB2">
      <w:pPr>
        <w:widowControl w:val="0"/>
        <w:spacing w:line="360" w:lineRule="auto"/>
        <w:ind w:firstLine="48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2、付款方式：经双方协商一致，选择以下第</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种付款方式：</w:t>
      </w:r>
    </w:p>
    <w:p w14:paraId="4D271B54">
      <w:pPr>
        <w:widowControl w:val="0"/>
        <w:spacing w:line="360" w:lineRule="auto"/>
        <w:ind w:firstLine="48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（一）付款方式一：提交预付款保函的</w:t>
      </w:r>
    </w:p>
    <w:p w14:paraId="234356F1">
      <w:pPr>
        <w:widowControl w:val="0"/>
        <w:spacing w:line="360" w:lineRule="auto"/>
        <w:ind w:firstLine="48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①合同金额的百分之四十(40%)即￥</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，大写：人民币</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元整，</w:t>
      </w:r>
      <w:r>
        <w:rPr>
          <w:rFonts w:hint="eastAsia" w:ascii="宋体" w:hAnsi="宋体" w:eastAsia="宋体" w:cs="宋体"/>
          <w:color w:val="auto"/>
          <w:sz w:val="24"/>
          <w:szCs w:val="24"/>
          <w:highlight w:val="none"/>
          <w:lang w:val="en-US" w:eastAsia="zh-CN" w:bidi="ar"/>
        </w:rPr>
        <w:t>在合同签订生效且乙方向甲方出具等额预付款保函</w:t>
      </w:r>
      <w:r>
        <w:rPr>
          <w:rFonts w:hint="eastAsia" w:ascii="宋体" w:hAnsi="宋体" w:eastAsia="宋体" w:cs="宋体"/>
          <w:color w:val="auto"/>
          <w:sz w:val="24"/>
          <w:szCs w:val="24"/>
          <w:highlight w:val="none"/>
          <w:lang w:val="en-US" w:eastAsia="zh-CN" w:bidi="ar-SA"/>
        </w:rPr>
        <w:t>，乙方提供对应金额的增值税发票后7个工作日内，甲方办理政府采购资金结算手续支付给乙方；如乙方未提供合格发票，甲方有权拒绝付款。</w:t>
      </w:r>
    </w:p>
    <w:p w14:paraId="256F688A">
      <w:pPr>
        <w:spacing w:line="360" w:lineRule="auto"/>
        <w:ind w:firstLine="48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bidi="ar"/>
        </w:rPr>
        <w:t>②</w:t>
      </w:r>
      <w:r>
        <w:rPr>
          <w:rFonts w:hint="eastAsia" w:ascii="宋体" w:hAnsi="宋体" w:cs="宋体"/>
          <w:color w:val="auto"/>
          <w:sz w:val="24"/>
          <w:szCs w:val="24"/>
          <w:highlight w:val="none"/>
          <w:u w:val="single"/>
          <w:lang w:eastAsia="zh-CN" w:bidi="ar"/>
        </w:rPr>
        <w:t>生活</w:t>
      </w:r>
      <w:r>
        <w:rPr>
          <w:rFonts w:hint="eastAsia" w:ascii="宋体" w:hAnsi="宋体" w:cs="宋体"/>
          <w:color w:val="auto"/>
          <w:sz w:val="24"/>
          <w:szCs w:val="24"/>
          <w:highlight w:val="none"/>
          <w:u w:val="single"/>
          <w:lang w:bidi="ar"/>
        </w:rPr>
        <w:t>垃圾运输费按自然月结算，乙方每月10日前向甲方提交上一自然月运输量月报及付费申请，甲方根据对乙方提交</w:t>
      </w:r>
      <w:r>
        <w:rPr>
          <w:rFonts w:hint="eastAsia" w:ascii="宋体" w:hAnsi="宋体" w:cs="宋体"/>
          <w:color w:val="auto"/>
          <w:sz w:val="24"/>
          <w:szCs w:val="24"/>
          <w:highlight w:val="none"/>
          <w:u w:val="single"/>
          <w:lang w:val="en-US" w:eastAsia="zh-CN" w:bidi="ar"/>
        </w:rPr>
        <w:t>的</w:t>
      </w:r>
      <w:r>
        <w:rPr>
          <w:rFonts w:hint="eastAsia" w:ascii="宋体" w:hAnsi="宋体" w:cs="宋体"/>
          <w:color w:val="auto"/>
          <w:sz w:val="24"/>
          <w:szCs w:val="24"/>
          <w:highlight w:val="none"/>
          <w:u w:val="single"/>
          <w:lang w:bidi="ar"/>
        </w:rPr>
        <w:t>材料的审核结果及监管考核情况向财政部门提交付费意见，由财政部门据此向乙方按月支付</w:t>
      </w:r>
      <w:r>
        <w:rPr>
          <w:rFonts w:hint="eastAsia" w:ascii="宋体" w:hAnsi="宋体" w:cs="宋体"/>
          <w:color w:val="auto"/>
          <w:sz w:val="24"/>
          <w:szCs w:val="24"/>
          <w:highlight w:val="none"/>
          <w:u w:val="single"/>
          <w:lang w:eastAsia="zh-CN" w:bidi="ar"/>
        </w:rPr>
        <w:t>生活</w:t>
      </w:r>
      <w:r>
        <w:rPr>
          <w:rFonts w:hint="eastAsia" w:ascii="宋体" w:hAnsi="宋体" w:cs="宋体"/>
          <w:color w:val="auto"/>
          <w:sz w:val="24"/>
          <w:szCs w:val="24"/>
          <w:highlight w:val="none"/>
          <w:u w:val="single"/>
          <w:lang w:bidi="ar"/>
        </w:rPr>
        <w:t>垃圾运输费</w:t>
      </w:r>
      <w:r>
        <w:rPr>
          <w:rFonts w:hint="eastAsia" w:ascii="宋体" w:hAnsi="宋体" w:cs="宋体"/>
          <w:color w:val="auto"/>
          <w:sz w:val="24"/>
          <w:szCs w:val="24"/>
          <w:highlight w:val="none"/>
          <w:lang w:bidi="ar"/>
        </w:rPr>
        <w:t>。</w:t>
      </w:r>
    </w:p>
    <w:p w14:paraId="7BFA10AE">
      <w:pPr>
        <w:widowControl w:val="0"/>
        <w:spacing w:line="360" w:lineRule="auto"/>
        <w:ind w:firstLine="48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（二）付款方式二：不提交预付款保函的</w:t>
      </w:r>
    </w:p>
    <w:p w14:paraId="7565F820">
      <w:pPr>
        <w:widowControl w:val="0"/>
        <w:spacing w:line="360" w:lineRule="auto"/>
        <w:ind w:firstLine="48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①合同金额的百分之三十(30%)即￥</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，大写：人民币</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元整，</w:t>
      </w:r>
      <w:r>
        <w:rPr>
          <w:rFonts w:hint="eastAsia" w:ascii="宋体" w:hAnsi="宋体" w:eastAsia="宋体" w:cs="宋体"/>
          <w:color w:val="auto"/>
          <w:sz w:val="24"/>
          <w:szCs w:val="24"/>
          <w:highlight w:val="none"/>
          <w:lang w:val="en-US" w:eastAsia="zh-CN" w:bidi="ar"/>
        </w:rPr>
        <w:t>在合同签订生效</w:t>
      </w:r>
      <w:r>
        <w:rPr>
          <w:rFonts w:hint="eastAsia" w:ascii="宋体" w:hAnsi="宋体" w:eastAsia="宋体" w:cs="宋体"/>
          <w:color w:val="auto"/>
          <w:sz w:val="24"/>
          <w:szCs w:val="24"/>
          <w:highlight w:val="none"/>
          <w:lang w:val="en-US" w:eastAsia="zh-CN" w:bidi="ar-SA"/>
        </w:rPr>
        <w:t>，乙方提供对应金额的增值税发票后7个工作日内，甲方办理政府采购资金结算手续支付给乙方；如乙方未提供合格发票，甲方有权拒绝付款。</w:t>
      </w:r>
    </w:p>
    <w:p w14:paraId="19C789E5">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bidi="ar"/>
        </w:rPr>
        <w:t>②</w:t>
      </w:r>
      <w:r>
        <w:rPr>
          <w:rFonts w:hint="eastAsia" w:ascii="宋体" w:hAnsi="宋体" w:cs="宋体"/>
          <w:color w:val="auto"/>
          <w:sz w:val="24"/>
          <w:szCs w:val="24"/>
          <w:highlight w:val="none"/>
          <w:u w:val="single"/>
          <w:lang w:eastAsia="zh-CN" w:bidi="ar"/>
        </w:rPr>
        <w:t>生活</w:t>
      </w:r>
      <w:r>
        <w:rPr>
          <w:rFonts w:hint="eastAsia" w:ascii="宋体" w:hAnsi="宋体" w:cs="宋体"/>
          <w:color w:val="auto"/>
          <w:sz w:val="24"/>
          <w:szCs w:val="24"/>
          <w:highlight w:val="none"/>
          <w:u w:val="single"/>
          <w:lang w:bidi="ar"/>
        </w:rPr>
        <w:t>垃圾运输费按自然月结算，乙方每月10日前向甲方提交上一自然月运输量月报及付费申请，甲方根据对乙方提交</w:t>
      </w:r>
      <w:r>
        <w:rPr>
          <w:rFonts w:hint="eastAsia" w:ascii="宋体" w:hAnsi="宋体" w:cs="宋体"/>
          <w:color w:val="auto"/>
          <w:sz w:val="24"/>
          <w:szCs w:val="24"/>
          <w:highlight w:val="none"/>
          <w:u w:val="single"/>
          <w:lang w:val="en-US" w:eastAsia="zh-CN" w:bidi="ar"/>
        </w:rPr>
        <w:t>的</w:t>
      </w:r>
      <w:r>
        <w:rPr>
          <w:rFonts w:hint="eastAsia" w:ascii="宋体" w:hAnsi="宋体" w:cs="宋体"/>
          <w:color w:val="auto"/>
          <w:sz w:val="24"/>
          <w:szCs w:val="24"/>
          <w:highlight w:val="none"/>
          <w:u w:val="single"/>
          <w:lang w:bidi="ar"/>
        </w:rPr>
        <w:t>材料的审核结果及监管考核情况向财政部门提交付费意见，由财政部门据此向乙方按月支付</w:t>
      </w:r>
      <w:r>
        <w:rPr>
          <w:rFonts w:hint="eastAsia" w:ascii="宋体" w:hAnsi="宋体" w:cs="宋体"/>
          <w:color w:val="auto"/>
          <w:sz w:val="24"/>
          <w:szCs w:val="24"/>
          <w:highlight w:val="none"/>
          <w:u w:val="single"/>
          <w:lang w:eastAsia="zh-CN" w:bidi="ar"/>
        </w:rPr>
        <w:t>生活</w:t>
      </w:r>
      <w:r>
        <w:rPr>
          <w:rFonts w:hint="eastAsia" w:ascii="宋体" w:hAnsi="宋体" w:cs="宋体"/>
          <w:color w:val="auto"/>
          <w:sz w:val="24"/>
          <w:szCs w:val="24"/>
          <w:highlight w:val="none"/>
          <w:u w:val="single"/>
          <w:lang w:bidi="ar"/>
        </w:rPr>
        <w:t>垃圾运输费</w:t>
      </w:r>
      <w:r>
        <w:rPr>
          <w:rFonts w:hint="eastAsia" w:ascii="宋体" w:hAnsi="宋体" w:cs="宋体"/>
          <w:color w:val="auto"/>
          <w:sz w:val="24"/>
          <w:szCs w:val="24"/>
          <w:highlight w:val="none"/>
          <w:lang w:bidi="ar"/>
        </w:rPr>
        <w:t>。</w:t>
      </w:r>
    </w:p>
    <w:p w14:paraId="5C7D4C94">
      <w:pPr>
        <w:widowControl/>
        <w:spacing w:after="200" w:line="276" w:lineRule="auto"/>
        <w:ind w:firstLine="480"/>
        <w:jc w:val="left"/>
        <w:rPr>
          <w:highlight w:val="none"/>
        </w:rPr>
      </w:pPr>
      <w:r>
        <w:rPr>
          <w:rFonts w:hint="eastAsia" w:ascii="宋体" w:hAnsi="宋体" w:eastAsia="宋体" w:cs="宋体"/>
          <w:sz w:val="24"/>
          <w:szCs w:val="22"/>
          <w:highlight w:val="none"/>
          <w:lang w:eastAsia="zh-CN"/>
        </w:rPr>
        <w:t>（在签订合同时，如乙方明确表示无需预付款的，按照苏财购【2020】52号文件相关规定，在出具相关说明后</w:t>
      </w:r>
      <w:r>
        <w:rPr>
          <w:rFonts w:hint="eastAsia" w:ascii="宋体" w:hAnsi="宋体" w:eastAsia="宋体" w:cs="宋体"/>
          <w:sz w:val="24"/>
          <w:szCs w:val="22"/>
          <w:highlight w:val="none"/>
          <w:lang w:val="en-US" w:eastAsia="zh-CN"/>
        </w:rPr>
        <w:t>按自然月结算合同费用</w:t>
      </w:r>
      <w:r>
        <w:rPr>
          <w:rFonts w:hint="eastAsia" w:ascii="宋体" w:hAnsi="宋体" w:eastAsia="宋体" w:cs="宋体"/>
          <w:sz w:val="24"/>
          <w:szCs w:val="22"/>
          <w:highlight w:val="none"/>
          <w:lang w:eastAsia="zh-CN"/>
        </w:rPr>
        <w:t>）</w:t>
      </w:r>
    </w:p>
    <w:p w14:paraId="044CE8C9">
      <w:pPr>
        <w:spacing w:line="360" w:lineRule="auto"/>
        <w:ind w:firstLine="540"/>
        <w:rPr>
          <w:rFonts w:hint="eastAsia" w:ascii="宋体" w:hAnsi="宋体" w:eastAsia="宋体" w:cs="宋体"/>
          <w:sz w:val="24"/>
          <w:highlight w:val="none"/>
        </w:rPr>
      </w:pPr>
      <w:r>
        <w:rPr>
          <w:rFonts w:hint="eastAsia" w:ascii="宋体" w:hAnsi="宋体" w:eastAsia="宋体" w:cs="宋体"/>
          <w:sz w:val="24"/>
          <w:highlight w:val="none"/>
        </w:rPr>
        <w:t>由甲方办理政府采购资金结算手续，经审核后支付给乙方。</w:t>
      </w:r>
    </w:p>
    <w:p w14:paraId="1D1A90D8">
      <w:pPr>
        <w:spacing w:line="360" w:lineRule="auto"/>
        <w:ind w:firstLine="540"/>
        <w:rPr>
          <w:rFonts w:hint="eastAsia" w:ascii="宋体" w:hAnsi="宋体" w:eastAsia="宋体" w:cs="宋体"/>
          <w:sz w:val="24"/>
          <w:highlight w:val="none"/>
        </w:rPr>
      </w:pPr>
      <w:r>
        <w:rPr>
          <w:rFonts w:hint="eastAsia" w:ascii="宋体" w:hAnsi="宋体" w:eastAsia="宋体" w:cs="宋体"/>
          <w:sz w:val="24"/>
          <w:highlight w:val="none"/>
        </w:rPr>
        <w:t>乙方需提交的支付文件包括：</w:t>
      </w:r>
    </w:p>
    <w:p w14:paraId="62E7774C">
      <w:pPr>
        <w:numPr>
          <w:ilvl w:val="0"/>
          <w:numId w:val="11"/>
        </w:numPr>
        <w:spacing w:line="360" w:lineRule="auto"/>
        <w:ind w:firstLine="540"/>
        <w:rPr>
          <w:rFonts w:hint="eastAsia" w:ascii="宋体" w:hAnsi="宋体" w:eastAsia="宋体" w:cs="宋体"/>
          <w:sz w:val="24"/>
          <w:highlight w:val="none"/>
        </w:rPr>
      </w:pPr>
      <w:r>
        <w:rPr>
          <w:rFonts w:hint="eastAsia" w:ascii="宋体" w:hAnsi="宋体" w:eastAsia="宋体" w:cs="宋体"/>
          <w:sz w:val="24"/>
          <w:highlight w:val="none"/>
        </w:rPr>
        <w:t>乙方出具的全额正式发票；2、甲方出具的验收合格证明。</w:t>
      </w:r>
    </w:p>
    <w:p w14:paraId="0AE1EF4D">
      <w:pPr>
        <w:tabs>
          <w:tab w:val="center" w:pos="5131"/>
        </w:tabs>
        <w:spacing w:line="360" w:lineRule="auto"/>
        <w:ind w:firstLine="480"/>
        <w:jc w:val="left"/>
        <w:rPr>
          <w:rFonts w:hint="eastAsia" w:ascii="宋体" w:hAnsi="宋体" w:eastAsia="宋体" w:cs="宋体"/>
          <w:sz w:val="24"/>
          <w:highlight w:val="none"/>
        </w:rPr>
      </w:pPr>
      <w:r>
        <w:rPr>
          <w:rFonts w:hint="eastAsia" w:ascii="宋体" w:hAnsi="宋体" w:eastAsia="宋体" w:cs="宋体"/>
          <w:sz w:val="24"/>
          <w:highlight w:val="none"/>
        </w:rPr>
        <w:t xml:space="preserve">收款人： </w:t>
      </w:r>
    </w:p>
    <w:p w14:paraId="26C18025">
      <w:pPr>
        <w:tabs>
          <w:tab w:val="center" w:pos="5131"/>
        </w:tabs>
        <w:spacing w:line="360" w:lineRule="auto"/>
        <w:ind w:firstLine="480"/>
        <w:jc w:val="left"/>
        <w:rPr>
          <w:rFonts w:hint="eastAsia" w:ascii="宋体" w:hAnsi="宋体" w:eastAsia="宋体" w:cs="宋体"/>
          <w:sz w:val="24"/>
          <w:highlight w:val="none"/>
        </w:rPr>
      </w:pPr>
      <w:r>
        <w:rPr>
          <w:rFonts w:hint="eastAsia" w:ascii="宋体" w:hAnsi="宋体" w:eastAsia="宋体" w:cs="宋体"/>
          <w:sz w:val="24"/>
          <w:highlight w:val="none"/>
        </w:rPr>
        <w:t xml:space="preserve">开户行： </w:t>
      </w:r>
    </w:p>
    <w:p w14:paraId="3715A6B6">
      <w:pPr>
        <w:tabs>
          <w:tab w:val="center" w:pos="5131"/>
        </w:tabs>
        <w:spacing w:line="360" w:lineRule="auto"/>
        <w:ind w:firstLine="480"/>
        <w:jc w:val="left"/>
        <w:rPr>
          <w:rFonts w:hint="eastAsia" w:ascii="宋体" w:hAnsi="宋体" w:eastAsia="宋体" w:cs="宋体"/>
          <w:sz w:val="24"/>
          <w:highlight w:val="none"/>
        </w:rPr>
      </w:pPr>
      <w:r>
        <w:rPr>
          <w:rFonts w:hint="eastAsia" w:ascii="宋体" w:hAnsi="宋体" w:eastAsia="宋体" w:cs="宋体"/>
          <w:sz w:val="24"/>
          <w:highlight w:val="none"/>
        </w:rPr>
        <w:t>账  号：</w:t>
      </w:r>
      <w:r>
        <w:rPr>
          <w:rFonts w:hint="eastAsia" w:ascii="宋体" w:hAnsi="宋体" w:eastAsia="宋体" w:cs="宋体"/>
          <w:color w:val="000000"/>
          <w:sz w:val="24"/>
          <w:highlight w:val="none"/>
        </w:rPr>
        <w:t xml:space="preserve"> </w:t>
      </w:r>
    </w:p>
    <w:p w14:paraId="46142899">
      <w:pPr>
        <w:spacing w:line="360" w:lineRule="auto"/>
        <w:ind w:firstLine="504"/>
        <w:rPr>
          <w:rFonts w:hint="eastAsia" w:ascii="宋体" w:hAnsi="宋体" w:eastAsia="宋体" w:cs="宋体"/>
          <w:sz w:val="24"/>
          <w:highlight w:val="none"/>
        </w:rPr>
      </w:pPr>
      <w:r>
        <w:rPr>
          <w:rFonts w:hint="eastAsia" w:ascii="宋体" w:hAnsi="宋体" w:eastAsia="宋体" w:cs="宋体"/>
          <w:sz w:val="24"/>
          <w:highlight w:val="none"/>
        </w:rPr>
        <w:t>第十条</w:t>
      </w:r>
      <w:r>
        <w:rPr>
          <w:rFonts w:hint="eastAsia" w:ascii="宋体" w:hAnsi="宋体" w:eastAsia="宋体" w:cs="宋体"/>
          <w:b/>
          <w:sz w:val="24"/>
          <w:highlight w:val="none"/>
        </w:rPr>
        <w:t xml:space="preserve">  </w:t>
      </w:r>
      <w:r>
        <w:rPr>
          <w:rFonts w:hint="eastAsia" w:ascii="宋体" w:hAnsi="宋体" w:eastAsia="宋体" w:cs="宋体"/>
          <w:sz w:val="24"/>
          <w:highlight w:val="none"/>
        </w:rPr>
        <w:t>甲方根据检查考核结果按照合同价款支付。</w:t>
      </w:r>
    </w:p>
    <w:p w14:paraId="5E27C1FE">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 xml:space="preserve">第十一条 </w:t>
      </w:r>
      <w:r>
        <w:rPr>
          <w:rFonts w:hint="eastAsia" w:ascii="宋体" w:hAnsi="宋体" w:eastAsia="宋体" w:cs="宋体"/>
          <w:b/>
          <w:sz w:val="24"/>
          <w:highlight w:val="none"/>
        </w:rPr>
        <w:t xml:space="preserve"> </w:t>
      </w:r>
      <w:r>
        <w:rPr>
          <w:rFonts w:hint="eastAsia" w:ascii="宋体" w:hAnsi="宋体" w:eastAsia="宋体" w:cs="宋体"/>
          <w:sz w:val="24"/>
          <w:highlight w:val="none"/>
        </w:rPr>
        <w:t>合同价款实行包干制。在合同约定的作业量范围内，甲方不再额外支付本合同约定以外的任何费用。人口户数和服务范围变化，甲方有权据实调整服务内容和费用。</w:t>
      </w:r>
    </w:p>
    <w:p w14:paraId="4B4FB024">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第十二条 进场作业后，于次月起甲方根据检查考核结果按照财政拨款进度向乙方支付，乙方须凭项目所在地税务机关开具的等额发票办理结算。</w:t>
      </w:r>
    </w:p>
    <w:p w14:paraId="3D341C01">
      <w:pPr>
        <w:widowControl w:val="0"/>
        <w:shd w:val="clear" w:color="auto" w:fill="auto"/>
        <w:spacing w:line="360" w:lineRule="auto"/>
        <w:ind w:firstLine="480"/>
        <w:jc w:val="both"/>
        <w:rPr>
          <w:rFonts w:hint="eastAsia" w:ascii="宋体" w:hAnsi="宋体" w:eastAsia="宋体" w:cs="宋体"/>
          <w:b/>
          <w:bCs/>
          <w:color w:val="000000"/>
          <w:sz w:val="24"/>
          <w:szCs w:val="24"/>
          <w:highlight w:val="none"/>
        </w:rPr>
      </w:pPr>
      <w:r>
        <w:rPr>
          <w:rFonts w:hint="eastAsia" w:ascii="宋体" w:hAnsi="宋体" w:eastAsia="宋体" w:cs="宋体"/>
          <w:b/>
          <w:bCs/>
          <w:color w:val="auto"/>
          <w:sz w:val="24"/>
          <w:szCs w:val="24"/>
          <w:highlight w:val="none"/>
          <w:lang w:val="en-US" w:eastAsia="zh-CN" w:bidi="ar-SA"/>
        </w:rPr>
        <w:t>第十三条</w:t>
      </w:r>
      <w:r>
        <w:rPr>
          <w:rFonts w:hint="eastAsia" w:ascii="宋体" w:hAnsi="宋体" w:eastAsia="宋体" w:cs="宋体"/>
          <w:b/>
          <w:bCs/>
          <w:color w:val="000000"/>
          <w:sz w:val="24"/>
          <w:szCs w:val="24"/>
          <w:highlight w:val="none"/>
          <w:lang w:val="en-US" w:eastAsia="zh-CN" w:bidi="ar-SA"/>
        </w:rPr>
        <w:t>履约验收</w:t>
      </w:r>
    </w:p>
    <w:p w14:paraId="57D8642E">
      <w:pPr>
        <w:widowControl w:val="0"/>
        <w:numPr>
          <w:ilvl w:val="0"/>
          <w:numId w:val="0"/>
        </w:numPr>
        <w:shd w:val="clear" w:color="auto" w:fill="auto"/>
        <w:spacing w:line="360" w:lineRule="auto"/>
        <w:ind w:firstLine="480"/>
        <w:jc w:val="both"/>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bidi="ar-SA"/>
        </w:rPr>
        <w:t>1、验收时间：每月月末。</w:t>
      </w:r>
    </w:p>
    <w:p w14:paraId="061E0535">
      <w:pPr>
        <w:widowControl w:val="0"/>
        <w:numPr>
          <w:ilvl w:val="0"/>
          <w:numId w:val="0"/>
        </w:numPr>
        <w:shd w:val="clear" w:color="auto" w:fill="auto"/>
        <w:spacing w:line="360" w:lineRule="auto"/>
        <w:ind w:firstLine="480"/>
        <w:jc w:val="both"/>
        <w:rPr>
          <w:rFonts w:hint="default" w:ascii="宋体" w:hAnsi="宋体" w:eastAsia="宋体" w:cs="宋体"/>
          <w:b/>
          <w:bCs/>
          <w:color w:val="000000"/>
          <w:sz w:val="24"/>
          <w:szCs w:val="24"/>
          <w:highlight w:val="none"/>
        </w:rPr>
      </w:pPr>
      <w:r>
        <w:rPr>
          <w:rFonts w:hint="default" w:ascii="宋体" w:hAnsi="宋体" w:eastAsia="宋体" w:cs="宋体"/>
          <w:b/>
          <w:bCs/>
          <w:color w:val="000000"/>
          <w:sz w:val="24"/>
          <w:szCs w:val="24"/>
          <w:highlight w:val="none"/>
          <w:lang w:val="en-US" w:eastAsia="zh-CN" w:bidi="ar-SA"/>
        </w:rPr>
        <w:t>2、</w:t>
      </w:r>
      <w:r>
        <w:rPr>
          <w:rFonts w:hint="eastAsia" w:ascii="宋体" w:hAnsi="宋体" w:eastAsia="宋体" w:cs="宋体"/>
          <w:b/>
          <w:bCs/>
          <w:color w:val="000000"/>
          <w:sz w:val="24"/>
          <w:szCs w:val="24"/>
          <w:highlight w:val="none"/>
          <w:lang w:val="en-US" w:eastAsia="zh-CN" w:bidi="ar-SA"/>
        </w:rPr>
        <w:t>验收主体：大彭镇人民政府和涉及验收村村委会</w:t>
      </w:r>
    </w:p>
    <w:p w14:paraId="067FE255">
      <w:pPr>
        <w:widowControl w:val="0"/>
        <w:numPr>
          <w:ilvl w:val="0"/>
          <w:numId w:val="0"/>
        </w:numPr>
        <w:shd w:val="clear" w:color="auto" w:fill="auto"/>
        <w:spacing w:line="360" w:lineRule="auto"/>
        <w:ind w:firstLine="480"/>
        <w:jc w:val="both"/>
        <w:rPr>
          <w:rFonts w:hint="default"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bidi="ar-SA"/>
        </w:rPr>
        <w:t>3、验收地点：大彭镇49个自然村</w:t>
      </w:r>
    </w:p>
    <w:p w14:paraId="1259E0C4">
      <w:pPr>
        <w:widowControl w:val="0"/>
        <w:numPr>
          <w:ilvl w:val="0"/>
          <w:numId w:val="0"/>
        </w:numPr>
        <w:shd w:val="clear" w:color="auto" w:fill="auto"/>
        <w:spacing w:line="360" w:lineRule="auto"/>
        <w:ind w:firstLine="480"/>
        <w:jc w:val="both"/>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bidi="ar-SA"/>
        </w:rPr>
        <w:t>4、验收方式：服务期内每月进行一次综合考评</w:t>
      </w:r>
    </w:p>
    <w:p w14:paraId="0CF0C5BA">
      <w:pPr>
        <w:widowControl w:val="0"/>
        <w:numPr>
          <w:ilvl w:val="0"/>
          <w:numId w:val="0"/>
        </w:numPr>
        <w:shd w:val="clear" w:color="auto" w:fill="auto"/>
        <w:spacing w:line="360" w:lineRule="auto"/>
        <w:ind w:firstLine="480"/>
        <w:jc w:val="both"/>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bidi="ar-SA"/>
        </w:rPr>
        <w:t>5、验收内容：</w:t>
      </w:r>
      <w:r>
        <w:rPr>
          <w:rFonts w:hint="eastAsia" w:ascii="宋体" w:hAnsi="宋体" w:eastAsia="宋体" w:cs="宋体"/>
          <w:b/>
          <w:bCs/>
          <w:color w:val="000000"/>
          <w:sz w:val="24"/>
          <w:szCs w:val="24"/>
          <w:highlight w:val="none"/>
          <w:lang w:bidi="ar-SA"/>
        </w:rPr>
        <w:t>实施范围内村庄生活垃圾分类为“</w:t>
      </w:r>
      <w:r>
        <w:rPr>
          <w:rFonts w:hint="eastAsia" w:ascii="宋体" w:hAnsi="宋体" w:eastAsia="宋体" w:cs="宋体"/>
          <w:b/>
          <w:bCs/>
          <w:color w:val="000000"/>
          <w:sz w:val="24"/>
          <w:szCs w:val="24"/>
          <w:highlight w:val="none"/>
          <w:lang w:val="en-US" w:eastAsia="zh-CN" w:bidi="ar-SA"/>
        </w:rPr>
        <w:t>四</w:t>
      </w:r>
      <w:r>
        <w:rPr>
          <w:rFonts w:hint="eastAsia" w:ascii="宋体" w:hAnsi="宋体" w:eastAsia="宋体" w:cs="宋体"/>
          <w:b/>
          <w:bCs/>
          <w:color w:val="000000"/>
          <w:sz w:val="24"/>
          <w:szCs w:val="24"/>
          <w:highlight w:val="none"/>
          <w:lang w:bidi="ar-SA"/>
        </w:rPr>
        <w:t>分类”，即村民要将家庭产生的垃圾分为“可回收物、</w:t>
      </w:r>
      <w:r>
        <w:rPr>
          <w:rFonts w:hint="eastAsia" w:ascii="宋体" w:hAnsi="宋体" w:eastAsia="宋体" w:cs="宋体"/>
          <w:b/>
          <w:bCs/>
          <w:color w:val="000000"/>
          <w:sz w:val="24"/>
          <w:szCs w:val="24"/>
          <w:highlight w:val="none"/>
          <w:lang w:eastAsia="zh-CN" w:bidi="ar-SA"/>
        </w:rPr>
        <w:t>易腐垃圾</w:t>
      </w:r>
      <w:r>
        <w:rPr>
          <w:rFonts w:hint="eastAsia" w:ascii="宋体" w:hAnsi="宋体" w:eastAsia="宋体" w:cs="宋体"/>
          <w:b/>
          <w:bCs/>
          <w:color w:val="000000"/>
          <w:sz w:val="24"/>
          <w:szCs w:val="24"/>
          <w:highlight w:val="none"/>
          <w:lang w:bidi="ar-SA"/>
        </w:rPr>
        <w:t>、有害垃圾</w:t>
      </w:r>
      <w:r>
        <w:rPr>
          <w:rFonts w:hint="eastAsia" w:ascii="宋体" w:hAnsi="宋体" w:eastAsia="宋体" w:cs="宋体"/>
          <w:b/>
          <w:bCs/>
          <w:color w:val="000000"/>
          <w:sz w:val="24"/>
          <w:szCs w:val="24"/>
          <w:highlight w:val="none"/>
          <w:lang w:eastAsia="zh-CN" w:bidi="ar-SA"/>
        </w:rPr>
        <w:t>、</w:t>
      </w:r>
      <w:r>
        <w:rPr>
          <w:rFonts w:hint="eastAsia" w:ascii="宋体" w:hAnsi="宋体" w:eastAsia="宋体" w:cs="宋体"/>
          <w:b/>
          <w:bCs/>
          <w:color w:val="000000"/>
          <w:sz w:val="24"/>
          <w:szCs w:val="24"/>
          <w:highlight w:val="none"/>
          <w:lang w:bidi="ar-SA"/>
        </w:rPr>
        <w:t>其他垃圾”</w:t>
      </w:r>
      <w:r>
        <w:rPr>
          <w:rFonts w:hint="eastAsia" w:ascii="宋体" w:hAnsi="宋体" w:eastAsia="宋体" w:cs="宋体"/>
          <w:b/>
          <w:bCs/>
          <w:color w:val="000000"/>
          <w:sz w:val="24"/>
          <w:szCs w:val="24"/>
          <w:highlight w:val="none"/>
          <w:lang w:val="en-US" w:eastAsia="zh-CN" w:bidi="ar-SA"/>
        </w:rPr>
        <w:t>四</w:t>
      </w:r>
      <w:r>
        <w:rPr>
          <w:rFonts w:hint="eastAsia" w:ascii="宋体" w:hAnsi="宋体" w:eastAsia="宋体" w:cs="宋体"/>
          <w:b/>
          <w:bCs/>
          <w:color w:val="000000"/>
          <w:sz w:val="24"/>
          <w:szCs w:val="24"/>
          <w:highlight w:val="none"/>
          <w:lang w:bidi="ar-SA"/>
        </w:rPr>
        <w:t>种类别并分类投放，村民</w:t>
      </w:r>
      <w:r>
        <w:rPr>
          <w:rFonts w:hint="eastAsia" w:ascii="宋体" w:hAnsi="宋体" w:eastAsia="宋体" w:cs="宋体"/>
          <w:b/>
          <w:bCs/>
          <w:color w:val="000000"/>
          <w:sz w:val="24"/>
          <w:szCs w:val="24"/>
          <w:highlight w:val="none"/>
          <w:lang w:val="en-US" w:eastAsia="zh-CN" w:bidi="ar-SA"/>
        </w:rPr>
        <w:t>易腐</w:t>
      </w:r>
      <w:r>
        <w:rPr>
          <w:rFonts w:hint="eastAsia" w:ascii="宋体" w:hAnsi="宋体" w:eastAsia="宋体" w:cs="宋体"/>
          <w:b/>
          <w:bCs/>
          <w:color w:val="000000"/>
          <w:sz w:val="24"/>
          <w:szCs w:val="24"/>
          <w:highlight w:val="none"/>
          <w:lang w:bidi="ar-SA"/>
        </w:rPr>
        <w:t>垃圾推行</w:t>
      </w:r>
      <w:r>
        <w:rPr>
          <w:rFonts w:hint="eastAsia" w:ascii="宋体" w:hAnsi="宋体" w:eastAsia="宋体" w:cs="宋体"/>
          <w:b/>
          <w:bCs/>
          <w:color w:val="000000"/>
          <w:sz w:val="24"/>
          <w:szCs w:val="24"/>
          <w:highlight w:val="none"/>
          <w:lang w:val="en-US" w:eastAsia="zh-CN" w:bidi="ar-SA"/>
        </w:rPr>
        <w:t>上门收集结合，</w:t>
      </w:r>
      <w:r>
        <w:rPr>
          <w:rFonts w:hint="eastAsia" w:ascii="宋体" w:hAnsi="宋体" w:eastAsia="宋体" w:cs="宋体"/>
          <w:b/>
          <w:bCs/>
          <w:color w:val="000000"/>
          <w:sz w:val="24"/>
          <w:szCs w:val="24"/>
          <w:highlight w:val="none"/>
          <w:lang w:bidi="ar-SA"/>
        </w:rPr>
        <w:t>健全分类收运体系，村民分类投放的各类垃圾，要严格按照“不同垃圾、不同车辆、不同去向”的原则实行分类收运。按相关标准配备与垃圾分类要求相匹配的专用运输车辆，</w:t>
      </w:r>
      <w:r>
        <w:rPr>
          <w:rFonts w:hint="eastAsia" w:ascii="宋体" w:hAnsi="宋体" w:eastAsia="宋体" w:cs="宋体"/>
          <w:b/>
          <w:bCs/>
          <w:color w:val="000000"/>
          <w:sz w:val="24"/>
          <w:szCs w:val="24"/>
          <w:highlight w:val="none"/>
          <w:lang w:val="en-US" w:eastAsia="zh-CN" w:bidi="ar-SA"/>
        </w:rPr>
        <w:t>依据</w:t>
      </w:r>
      <w:r>
        <w:rPr>
          <w:rFonts w:hint="eastAsia" w:ascii="宋体" w:hAnsi="宋体" w:eastAsia="宋体" w:cs="宋体"/>
          <w:b/>
          <w:bCs/>
          <w:color w:val="000000"/>
          <w:sz w:val="24"/>
          <w:szCs w:val="24"/>
          <w:highlight w:val="none"/>
          <w:lang w:bidi="ar-SA"/>
        </w:rPr>
        <w:t>有害垃圾、</w:t>
      </w:r>
      <w:r>
        <w:rPr>
          <w:rFonts w:hint="eastAsia" w:ascii="宋体" w:hAnsi="宋体" w:eastAsia="宋体" w:cs="宋体"/>
          <w:b/>
          <w:bCs/>
          <w:color w:val="000000"/>
          <w:sz w:val="24"/>
          <w:szCs w:val="24"/>
          <w:highlight w:val="none"/>
          <w:lang w:eastAsia="zh-CN" w:bidi="ar-SA"/>
        </w:rPr>
        <w:t>易腐垃圾</w:t>
      </w:r>
      <w:r>
        <w:rPr>
          <w:rFonts w:hint="eastAsia" w:ascii="宋体" w:hAnsi="宋体" w:eastAsia="宋体" w:cs="宋体"/>
          <w:b/>
          <w:bCs/>
          <w:color w:val="000000"/>
          <w:sz w:val="24"/>
          <w:szCs w:val="24"/>
          <w:highlight w:val="none"/>
          <w:lang w:bidi="ar-SA"/>
        </w:rPr>
        <w:t>单独收运体系，收运车辆标志标识与徐州市垃圾分类视觉系统一致，车体要密闭环保、干净整洁</w:t>
      </w:r>
      <w:r>
        <w:rPr>
          <w:rFonts w:hint="eastAsia" w:ascii="宋体" w:hAnsi="宋体" w:eastAsia="宋体" w:cs="宋体"/>
          <w:b/>
          <w:bCs/>
          <w:color w:val="000000"/>
          <w:sz w:val="24"/>
          <w:szCs w:val="24"/>
          <w:highlight w:val="none"/>
          <w:lang w:eastAsia="zh-CN" w:bidi="ar-SA"/>
        </w:rPr>
        <w:t>。</w:t>
      </w:r>
    </w:p>
    <w:p w14:paraId="7C38F916">
      <w:pPr>
        <w:widowControl w:val="0"/>
        <w:numPr>
          <w:ilvl w:val="0"/>
          <w:numId w:val="0"/>
        </w:numPr>
        <w:shd w:val="clear" w:color="auto" w:fill="auto"/>
        <w:spacing w:line="360" w:lineRule="auto"/>
        <w:ind w:firstLine="480"/>
        <w:jc w:val="both"/>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bidi="ar-SA"/>
        </w:rPr>
        <w:t>6、验收标准：</w:t>
      </w:r>
      <w:r>
        <w:rPr>
          <w:rFonts w:hint="eastAsia" w:ascii="宋体" w:hAnsi="宋体" w:eastAsia="宋体" w:cs="宋体"/>
          <w:b/>
          <w:bCs/>
          <w:color w:val="000000"/>
          <w:sz w:val="24"/>
          <w:szCs w:val="24"/>
          <w:highlight w:val="none"/>
          <w:lang w:bidi="ar-SA"/>
        </w:rPr>
        <w:t>服务期内每月进行一次综合考评，</w:t>
      </w:r>
      <w:r>
        <w:rPr>
          <w:rFonts w:hint="eastAsia" w:ascii="宋体" w:hAnsi="宋体" w:eastAsia="宋体" w:cs="宋体"/>
          <w:b/>
          <w:bCs/>
          <w:color w:val="000000"/>
          <w:sz w:val="24"/>
          <w:szCs w:val="24"/>
          <w:highlight w:val="none"/>
          <w:lang w:val="en-US" w:eastAsia="zh-CN" w:bidi="ar-SA"/>
        </w:rPr>
        <w:t>具体参见</w:t>
      </w:r>
      <w:r>
        <w:rPr>
          <w:rFonts w:hint="eastAsia" w:ascii="宋体" w:hAnsi="宋体" w:eastAsia="宋体" w:cs="宋体"/>
          <w:b/>
          <w:bCs/>
          <w:color w:val="000000"/>
          <w:sz w:val="24"/>
          <w:szCs w:val="24"/>
          <w:highlight w:val="none"/>
          <w:lang w:bidi="ar-SA"/>
        </w:rPr>
        <w:t>大彭镇农村生活垃圾分类工作考核办法。</w:t>
      </w:r>
    </w:p>
    <w:p w14:paraId="14356FF2">
      <w:pPr>
        <w:pStyle w:val="62"/>
        <w:rPr>
          <w:rFonts w:hint="default"/>
          <w:highlight w:val="none"/>
        </w:rPr>
      </w:pPr>
    </w:p>
    <w:p w14:paraId="6063B63F">
      <w:pPr>
        <w:spacing w:line="400" w:lineRule="exact"/>
        <w:jc w:val="center"/>
        <w:outlineLvl w:val="0"/>
        <w:rPr>
          <w:rFonts w:hint="eastAsia" w:ascii="宋体" w:hAnsi="宋体" w:eastAsia="宋体" w:cs="宋体"/>
          <w:sz w:val="24"/>
          <w:highlight w:val="none"/>
        </w:rPr>
      </w:pPr>
      <w:bookmarkStart w:id="14" w:name="_Toc21495"/>
      <w:bookmarkStart w:id="15" w:name="_Toc15061"/>
      <w:r>
        <w:rPr>
          <w:rFonts w:hint="eastAsia" w:ascii="宋体" w:hAnsi="宋体" w:eastAsia="宋体" w:cs="宋体"/>
          <w:b/>
          <w:bCs/>
          <w:sz w:val="24"/>
          <w:highlight w:val="none"/>
        </w:rPr>
        <w:t>第四节  附则</w:t>
      </w:r>
      <w:bookmarkEnd w:id="14"/>
      <w:bookmarkEnd w:id="15"/>
    </w:p>
    <w:p w14:paraId="64635EB7">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第十</w:t>
      </w:r>
      <w:r>
        <w:rPr>
          <w:rFonts w:hint="eastAsia" w:ascii="宋体" w:hAnsi="宋体" w:cs="宋体"/>
          <w:sz w:val="24"/>
          <w:highlight w:val="none"/>
          <w:lang w:val="en-US" w:eastAsia="zh-CN"/>
        </w:rPr>
        <w:t>四</w:t>
      </w:r>
      <w:r>
        <w:rPr>
          <w:rFonts w:hint="eastAsia" w:ascii="宋体" w:hAnsi="宋体" w:eastAsia="宋体" w:cs="宋体"/>
          <w:sz w:val="24"/>
          <w:highlight w:val="none"/>
        </w:rPr>
        <w:t xml:space="preserve">条  双方约定自本合同生效之日起，根据甲方委托承包事项，办理接管验收手续。 </w:t>
      </w:r>
    </w:p>
    <w:p w14:paraId="5F4EDABE">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第十</w:t>
      </w:r>
      <w:r>
        <w:rPr>
          <w:rFonts w:hint="eastAsia" w:ascii="宋体" w:hAnsi="宋体" w:cs="宋体"/>
          <w:sz w:val="24"/>
          <w:highlight w:val="none"/>
          <w:lang w:val="en-US" w:eastAsia="zh-CN"/>
        </w:rPr>
        <w:t>五</w:t>
      </w:r>
      <w:r>
        <w:rPr>
          <w:rFonts w:hint="eastAsia" w:ascii="宋体" w:hAnsi="宋体" w:eastAsia="宋体" w:cs="宋体"/>
          <w:sz w:val="24"/>
          <w:highlight w:val="none"/>
        </w:rPr>
        <w:t>条  本合同之附件均为合同有效组成部分。本合同及其附件和补充协议未规定的事宜，均遵照中华人民共和国有关法律、法规和规章执行。</w:t>
      </w:r>
    </w:p>
    <w:p w14:paraId="31DE3669">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第十</w:t>
      </w:r>
      <w:r>
        <w:rPr>
          <w:rFonts w:hint="eastAsia" w:ascii="宋体" w:hAnsi="宋体" w:cs="宋体"/>
          <w:sz w:val="24"/>
          <w:highlight w:val="none"/>
          <w:lang w:val="en-US" w:eastAsia="zh-CN"/>
        </w:rPr>
        <w:t>六</w:t>
      </w:r>
      <w:r>
        <w:rPr>
          <w:rFonts w:hint="eastAsia" w:ascii="宋体" w:hAnsi="宋体" w:eastAsia="宋体" w:cs="宋体"/>
          <w:sz w:val="24"/>
          <w:highlight w:val="none"/>
        </w:rPr>
        <w:t>条  本合同连同附件页，一式肆份，具有同等法律效力，甲方贰份，乙方贰份。</w:t>
      </w:r>
    </w:p>
    <w:p w14:paraId="78B376EC">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第十</w:t>
      </w:r>
      <w:r>
        <w:rPr>
          <w:rFonts w:hint="eastAsia" w:ascii="宋体" w:hAnsi="宋体" w:cs="宋体"/>
          <w:sz w:val="24"/>
          <w:highlight w:val="none"/>
          <w:lang w:val="en-US" w:eastAsia="zh-CN"/>
        </w:rPr>
        <w:t>七</w:t>
      </w:r>
      <w:r>
        <w:rPr>
          <w:rFonts w:hint="eastAsia" w:ascii="宋体" w:hAnsi="宋体" w:eastAsia="宋体" w:cs="宋体"/>
          <w:sz w:val="24"/>
          <w:highlight w:val="none"/>
        </w:rPr>
        <w:t>条 本合同执行期限内如因自然灾害、城市建设、政策调整或者不可抗力导致合同不得不终止，甲乙双方应该相互理解，妥善处理终止合同所涉及相关事宜，互不追究对方责任。</w:t>
      </w:r>
    </w:p>
    <w:p w14:paraId="73669DAB">
      <w:pPr>
        <w:spacing w:line="360" w:lineRule="auto"/>
        <w:ind w:firstLine="480"/>
        <w:rPr>
          <w:rFonts w:hint="default" w:ascii="Calibri" w:hAnsi="Calibri" w:eastAsia="宋体" w:cs="Times New Roman"/>
          <w:highlight w:val="none"/>
        </w:rPr>
      </w:pPr>
      <w:r>
        <w:rPr>
          <w:rFonts w:hint="eastAsia" w:ascii="宋体" w:hAnsi="宋体" w:eastAsia="宋体" w:cs="宋体"/>
          <w:sz w:val="24"/>
          <w:highlight w:val="none"/>
        </w:rPr>
        <w:t>第十</w:t>
      </w:r>
      <w:r>
        <w:rPr>
          <w:rFonts w:hint="eastAsia" w:ascii="宋体" w:hAnsi="宋体" w:cs="宋体"/>
          <w:sz w:val="24"/>
          <w:highlight w:val="none"/>
          <w:lang w:val="en-US" w:eastAsia="zh-CN"/>
        </w:rPr>
        <w:t>八</w:t>
      </w:r>
      <w:r>
        <w:rPr>
          <w:rFonts w:hint="eastAsia" w:ascii="宋体" w:hAnsi="宋体" w:eastAsia="宋体" w:cs="宋体"/>
          <w:sz w:val="24"/>
          <w:highlight w:val="none"/>
        </w:rPr>
        <w:t>条 未按本合同及附件约定完成服务内容和标准的，违约金按本合同的5%扣除。</w:t>
      </w:r>
    </w:p>
    <w:p w14:paraId="752A1219">
      <w:pPr>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因乙方作业车辆泄漏、消杀不到位等导致环境污染事件的，导致甲方受到损失的，由乙方全额承担。乙方在履行本合同过程中所造成的第三方损害的，由乙方全额承担。</w:t>
      </w:r>
    </w:p>
    <w:p w14:paraId="22A29CF3">
      <w:pPr>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第十</w:t>
      </w:r>
      <w:r>
        <w:rPr>
          <w:rFonts w:hint="eastAsia" w:ascii="宋体" w:hAnsi="宋体" w:cs="宋体"/>
          <w:color w:val="000000"/>
          <w:sz w:val="24"/>
          <w:highlight w:val="none"/>
          <w:lang w:val="en-US" w:eastAsia="zh-CN"/>
        </w:rPr>
        <w:t>九</w:t>
      </w:r>
      <w:r>
        <w:rPr>
          <w:rFonts w:hint="eastAsia" w:ascii="宋体" w:hAnsi="宋体" w:eastAsia="宋体" w:cs="宋体"/>
          <w:color w:val="000000"/>
          <w:sz w:val="24"/>
          <w:highlight w:val="none"/>
        </w:rPr>
        <w:t>条  乙方违约的认定标准包括但不限于未按合同及附件约定完成服务内容、服务标准、人员配置、设备配备、台账管理等。违约金按未履行部分合同金额的5%计算，甲方有权从应付服务费中直接扣除。乙方应赔偿甲方因此遭受的全部直接和间接损失，包括但不限于行政处罚、第三方索赔、信誉损失等。</w:t>
      </w:r>
    </w:p>
    <w:p w14:paraId="4F466CA5">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 xml:space="preserve">除本合同已有约定外，若乙方违反本合同书约定，甲方有权要求乙方立即采取补救措施，并赔偿甲方由此而产生的一切损失，包括但不限于合理的律师费、差旅费、公证费。因服务中断产生的应急费用。 </w:t>
      </w:r>
    </w:p>
    <w:p w14:paraId="19EB9F54">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第</w:t>
      </w:r>
      <w:r>
        <w:rPr>
          <w:rFonts w:hint="eastAsia" w:ascii="宋体" w:hAnsi="宋体" w:cs="宋体"/>
          <w:sz w:val="24"/>
          <w:highlight w:val="none"/>
          <w:lang w:val="en-US" w:eastAsia="zh-CN"/>
        </w:rPr>
        <w:t>二十条</w:t>
      </w:r>
      <w:r>
        <w:rPr>
          <w:rFonts w:hint="eastAsia" w:ascii="宋体" w:hAnsi="宋体" w:eastAsia="宋体" w:cs="宋体"/>
          <w:sz w:val="24"/>
          <w:highlight w:val="none"/>
        </w:rPr>
        <w:t xml:space="preserve"> 争议解决。所有由本合同未尽事宜或产生争议，双方应当友好协商解决。协商解决不成的，双方均同意将前述争议提交甲方所在地人民法院裁决。诉讼费用由败诉方承担，除非诉讼裁决另有裁定。</w:t>
      </w:r>
    </w:p>
    <w:p w14:paraId="24655B24">
      <w:pPr>
        <w:widowControl w:val="0"/>
        <w:spacing w:line="360" w:lineRule="atLeast"/>
        <w:ind w:firstLine="0"/>
        <w:jc w:val="left"/>
        <w:rPr>
          <w:rFonts w:ascii="宋体" w:hAnsi="Calibri" w:eastAsia="仿宋_GB2312" w:cs="Times New Roman"/>
          <w:sz w:val="24"/>
          <w:szCs w:val="20"/>
          <w:highlight w:val="none"/>
        </w:rPr>
      </w:pPr>
    </w:p>
    <w:p w14:paraId="43F151C4">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 xml:space="preserve"> 合同附件1：大彭镇各村户数人口数基本情况统计表</w:t>
      </w:r>
    </w:p>
    <w:p w14:paraId="2577E155">
      <w:pPr>
        <w:widowControl w:val="0"/>
        <w:spacing w:line="360" w:lineRule="atLeast"/>
        <w:ind w:firstLine="200"/>
        <w:jc w:val="left"/>
        <w:rPr>
          <w:rFonts w:ascii="宋体" w:hAnsi="Calibri" w:eastAsia="仿宋_GB2312" w:cs="Times New Roman"/>
          <w:sz w:val="24"/>
          <w:szCs w:val="20"/>
          <w:highlight w:val="none"/>
        </w:rPr>
      </w:pPr>
      <w:r>
        <w:rPr>
          <w:rFonts w:hint="eastAsia" w:ascii="宋体" w:hAnsi="宋体" w:eastAsia="仿宋_GB2312" w:cs="宋体"/>
          <w:sz w:val="24"/>
          <w:szCs w:val="20"/>
          <w:highlight w:val="none"/>
          <w:lang w:val="en-US" w:eastAsia="zh-CN" w:bidi="ar-SA"/>
        </w:rPr>
        <w:t xml:space="preserve"> </w:t>
      </w:r>
      <w:r>
        <w:rPr>
          <w:rFonts w:hint="eastAsia" w:ascii="宋体" w:hAnsi="宋体" w:eastAsia="宋体" w:cs="宋体"/>
          <w:sz w:val="24"/>
          <w:szCs w:val="24"/>
          <w:highlight w:val="none"/>
          <w:lang w:val="en-US" w:eastAsia="zh-CN" w:bidi="ar-SA"/>
        </w:rPr>
        <w:t xml:space="preserve">  合同附件2：大彭镇农村生活垃圾分类工作考核办法</w:t>
      </w:r>
    </w:p>
    <w:p w14:paraId="6A3D00F1">
      <w:pPr>
        <w:rPr>
          <w:rFonts w:hint="default" w:ascii="Calibri" w:hAnsi="Calibri" w:eastAsia="宋体" w:cs="Times New Roman"/>
          <w:highlight w:val="none"/>
        </w:rPr>
      </w:pPr>
    </w:p>
    <w:p w14:paraId="6DB2EDBD">
      <w:pPr>
        <w:spacing w:line="480" w:lineRule="auto"/>
        <w:rPr>
          <w:rFonts w:ascii="宋体" w:hAnsi="Calibri" w:eastAsia="仿宋_GB2312" w:cs="Times New Roman"/>
          <w:sz w:val="24"/>
          <w:szCs w:val="20"/>
          <w:highlight w:val="none"/>
        </w:rPr>
      </w:pPr>
      <w:r>
        <w:rPr>
          <w:rFonts w:hint="eastAsia" w:ascii="宋体" w:hAnsi="宋体" w:eastAsia="宋体" w:cs="宋体"/>
          <w:sz w:val="24"/>
          <w:highlight w:val="none"/>
        </w:rPr>
        <w:t>【以下无正文】</w:t>
      </w:r>
    </w:p>
    <w:p w14:paraId="61E3BA2C">
      <w:pPr>
        <w:rPr>
          <w:rFonts w:hint="default" w:ascii="Calibri" w:hAnsi="Calibri" w:eastAsia="宋体" w:cs="Times New Roman"/>
          <w:highlight w:val="none"/>
        </w:rPr>
      </w:pPr>
    </w:p>
    <w:p w14:paraId="35B1ED01">
      <w:pPr>
        <w:spacing w:line="480" w:lineRule="auto"/>
        <w:rPr>
          <w:rFonts w:hint="eastAsia" w:ascii="宋体" w:hAnsi="宋体" w:eastAsia="宋体" w:cs="宋体"/>
          <w:sz w:val="24"/>
          <w:highlight w:val="none"/>
        </w:rPr>
      </w:pPr>
      <w:r>
        <w:rPr>
          <w:rFonts w:hint="eastAsia" w:ascii="宋体" w:hAnsi="宋体" w:eastAsia="宋体" w:cs="宋体"/>
          <w:sz w:val="24"/>
          <w:highlight w:val="none"/>
        </w:rPr>
        <w:t xml:space="preserve">甲方：（签章）徐州市大彭镇人民政府 </w:t>
      </w:r>
      <w:r>
        <w:rPr>
          <w:rFonts w:hint="default" w:ascii="宋体" w:hAnsi="宋体" w:eastAsia="宋体" w:cs="宋体"/>
          <w:sz w:val="24"/>
          <w:highlight w:val="none"/>
        </w:rPr>
        <w:t xml:space="preserve">            </w:t>
      </w:r>
    </w:p>
    <w:p w14:paraId="5AF78871">
      <w:pPr>
        <w:spacing w:line="480" w:lineRule="auto"/>
        <w:rPr>
          <w:rFonts w:hint="eastAsia" w:ascii="宋体" w:hAnsi="宋体" w:eastAsia="宋体" w:cs="宋体"/>
          <w:sz w:val="24"/>
          <w:highlight w:val="none"/>
        </w:rPr>
      </w:pPr>
      <w:r>
        <w:rPr>
          <w:rFonts w:hint="eastAsia" w:ascii="宋体" w:hAnsi="宋体" w:eastAsia="宋体" w:cs="宋体"/>
          <w:sz w:val="24"/>
          <w:highlight w:val="none"/>
        </w:rPr>
        <w:t xml:space="preserve">地址：江苏省徐州市铜山区大彭镇                                                                                        </w:t>
      </w:r>
    </w:p>
    <w:p w14:paraId="15B6B280">
      <w:pPr>
        <w:spacing w:line="480" w:lineRule="auto"/>
        <w:rPr>
          <w:rFonts w:hint="eastAsia" w:ascii="宋体" w:hAnsi="宋体" w:eastAsia="宋体" w:cs="宋体"/>
          <w:sz w:val="24"/>
          <w:highlight w:val="none"/>
        </w:rPr>
      </w:pPr>
      <w:r>
        <w:rPr>
          <w:rFonts w:hint="eastAsia" w:ascii="宋体" w:hAnsi="宋体" w:eastAsia="宋体" w:cs="宋体"/>
          <w:sz w:val="24"/>
          <w:highlight w:val="none"/>
        </w:rPr>
        <w:t xml:space="preserve">法定代表人或授权代表(签名)：         </w:t>
      </w:r>
    </w:p>
    <w:p w14:paraId="340E86A2">
      <w:pPr>
        <w:spacing w:line="480" w:lineRule="auto"/>
        <w:ind w:firstLine="960"/>
        <w:rPr>
          <w:rFonts w:hint="eastAsia" w:ascii="宋体" w:hAnsi="宋体" w:eastAsia="宋体" w:cs="宋体"/>
          <w:b/>
          <w:bCs/>
          <w:sz w:val="24"/>
          <w:highlight w:val="none"/>
        </w:rPr>
      </w:pPr>
      <w:r>
        <w:rPr>
          <w:rFonts w:hint="eastAsia" w:ascii="宋体" w:hAnsi="宋体" w:eastAsia="宋体" w:cs="宋体"/>
          <w:sz w:val="24"/>
          <w:highlight w:val="none"/>
        </w:rPr>
        <w:t xml:space="preserve">年    月    日                    </w:t>
      </w:r>
    </w:p>
    <w:p w14:paraId="6A5B13C8">
      <w:pPr>
        <w:spacing w:line="480" w:lineRule="auto"/>
        <w:rPr>
          <w:rFonts w:hint="eastAsia" w:ascii="宋体" w:hAnsi="宋体" w:eastAsia="宋体" w:cs="宋体"/>
          <w:sz w:val="24"/>
          <w:highlight w:val="none"/>
        </w:rPr>
      </w:pPr>
      <w:r>
        <w:rPr>
          <w:rFonts w:hint="eastAsia" w:ascii="宋体" w:hAnsi="宋体" w:eastAsia="宋体" w:cs="宋体"/>
          <w:sz w:val="24"/>
          <w:highlight w:val="none"/>
        </w:rPr>
        <w:t>乙方：（签章）</w:t>
      </w:r>
    </w:p>
    <w:p w14:paraId="4DCEFD9C">
      <w:pPr>
        <w:spacing w:line="480" w:lineRule="auto"/>
        <w:rPr>
          <w:rFonts w:hint="eastAsia" w:ascii="宋体" w:hAnsi="宋体" w:eastAsia="宋体" w:cs="宋体"/>
          <w:sz w:val="24"/>
          <w:highlight w:val="none"/>
        </w:rPr>
      </w:pPr>
      <w:r>
        <w:rPr>
          <w:rFonts w:hint="eastAsia" w:ascii="宋体" w:hAnsi="宋体" w:eastAsia="宋体" w:cs="宋体"/>
          <w:sz w:val="24"/>
          <w:highlight w:val="none"/>
        </w:rPr>
        <w:t>地址：</w:t>
      </w:r>
    </w:p>
    <w:p w14:paraId="58135FF4">
      <w:pPr>
        <w:spacing w:line="480" w:lineRule="auto"/>
        <w:rPr>
          <w:rFonts w:hint="eastAsia" w:ascii="宋体" w:hAnsi="宋体" w:eastAsia="宋体" w:cs="宋体"/>
          <w:sz w:val="24"/>
          <w:highlight w:val="none"/>
        </w:rPr>
      </w:pPr>
      <w:r>
        <w:rPr>
          <w:rFonts w:hint="eastAsia" w:ascii="宋体" w:hAnsi="宋体" w:eastAsia="宋体" w:cs="宋体"/>
          <w:sz w:val="24"/>
          <w:highlight w:val="none"/>
        </w:rPr>
        <w:t>法定代表人或授权代表(签名)：</w:t>
      </w:r>
    </w:p>
    <w:p w14:paraId="17C39465">
      <w:pPr>
        <w:spacing w:line="480" w:lineRule="auto"/>
        <w:ind w:firstLine="960"/>
        <w:rPr>
          <w:rFonts w:hint="eastAsia" w:ascii="宋体" w:hAnsi="宋体" w:eastAsia="宋体" w:cs="宋体"/>
          <w:sz w:val="24"/>
          <w:highlight w:val="none"/>
        </w:rPr>
      </w:pPr>
      <w:r>
        <w:rPr>
          <w:rFonts w:hint="eastAsia" w:ascii="宋体" w:hAnsi="宋体" w:eastAsia="宋体" w:cs="宋体"/>
          <w:sz w:val="24"/>
          <w:highlight w:val="none"/>
        </w:rPr>
        <w:t xml:space="preserve">年    月    日        </w:t>
      </w:r>
    </w:p>
    <w:p w14:paraId="14A797F1">
      <w:pPr>
        <w:rPr>
          <w:rFonts w:hint="default" w:ascii="Calibri" w:hAnsi="Calibri" w:eastAsia="宋体" w:cs="Times New Roman"/>
          <w:highlight w:val="none"/>
        </w:rPr>
      </w:pPr>
    </w:p>
    <w:p w14:paraId="7A0F48A8">
      <w:pPr>
        <w:widowControl w:val="0"/>
        <w:spacing w:line="360" w:lineRule="atLeast"/>
        <w:ind w:firstLine="200"/>
        <w:jc w:val="left"/>
        <w:rPr>
          <w:rFonts w:ascii="宋体" w:hAnsi="Calibri" w:eastAsia="仿宋_GB2312" w:cs="Times New Roman"/>
          <w:sz w:val="24"/>
          <w:szCs w:val="20"/>
          <w:highlight w:val="none"/>
        </w:rPr>
      </w:pPr>
    </w:p>
    <w:p w14:paraId="5DBF883D">
      <w:pPr>
        <w:rPr>
          <w:rFonts w:hint="default" w:ascii="Calibri" w:hAnsi="Calibri" w:eastAsia="宋体" w:cs="Times New Roman"/>
          <w:highlight w:val="none"/>
        </w:rPr>
      </w:pPr>
    </w:p>
    <w:p w14:paraId="57EC3E69">
      <w:pPr>
        <w:widowControl w:val="0"/>
        <w:spacing w:line="360" w:lineRule="atLeast"/>
        <w:ind w:firstLine="200"/>
        <w:jc w:val="left"/>
        <w:rPr>
          <w:rFonts w:ascii="宋体" w:hAnsi="Calibri" w:eastAsia="仿宋_GB2312" w:cs="Times New Roman"/>
          <w:sz w:val="24"/>
          <w:szCs w:val="20"/>
          <w:highlight w:val="none"/>
        </w:rPr>
      </w:pPr>
    </w:p>
    <w:p w14:paraId="373BE330">
      <w:pPr>
        <w:widowControl w:val="0"/>
        <w:spacing w:after="120" w:line="360" w:lineRule="auto"/>
        <w:ind w:firstLine="0"/>
        <w:jc w:val="both"/>
        <w:rPr>
          <w:rFonts w:hint="eastAsia" w:ascii="宋体" w:hAnsi="宋体" w:eastAsia="宋体" w:cs="宋体"/>
          <w:b/>
          <w:bCs/>
          <w:sz w:val="28"/>
          <w:szCs w:val="28"/>
          <w:highlight w:val="none"/>
        </w:rPr>
      </w:pPr>
    </w:p>
    <w:p w14:paraId="2EFAC6E7">
      <w:pPr>
        <w:widowControl w:val="0"/>
        <w:spacing w:after="0" w:line="360" w:lineRule="auto"/>
        <w:ind w:left="0" w:firstLine="420"/>
        <w:jc w:val="both"/>
        <w:rPr>
          <w:rFonts w:hint="eastAsia" w:ascii="宋体" w:hAnsi="宋体" w:eastAsia="宋体" w:cs="Times New Roman"/>
          <w:sz w:val="20"/>
          <w:szCs w:val="20"/>
          <w:highlight w:val="none"/>
        </w:rPr>
      </w:pPr>
    </w:p>
    <w:p w14:paraId="6AC054BE">
      <w:pPr>
        <w:rPr>
          <w:rFonts w:hint="default" w:ascii="Calibri" w:hAnsi="Calibri" w:eastAsia="宋体" w:cs="Times New Roman"/>
          <w:highlight w:val="none"/>
        </w:rPr>
      </w:pPr>
    </w:p>
    <w:p w14:paraId="58B519EB">
      <w:pPr>
        <w:widowControl w:val="0"/>
        <w:spacing w:line="360" w:lineRule="atLeast"/>
        <w:ind w:firstLine="200"/>
        <w:jc w:val="left"/>
        <w:rPr>
          <w:rFonts w:ascii="宋体" w:hAnsi="Calibri" w:eastAsia="仿宋_GB2312" w:cs="Times New Roman"/>
          <w:sz w:val="24"/>
          <w:szCs w:val="20"/>
          <w:highlight w:val="none"/>
        </w:rPr>
      </w:pPr>
    </w:p>
    <w:p w14:paraId="51509E7B">
      <w:pPr>
        <w:rPr>
          <w:rFonts w:hint="default" w:ascii="Calibri" w:hAnsi="Calibri" w:eastAsia="宋体" w:cs="Times New Roman"/>
          <w:highlight w:val="none"/>
        </w:rPr>
      </w:pPr>
    </w:p>
    <w:p w14:paraId="6E0033FC">
      <w:pPr>
        <w:widowControl w:val="0"/>
        <w:spacing w:line="360" w:lineRule="atLeast"/>
        <w:ind w:firstLine="200"/>
        <w:jc w:val="left"/>
        <w:rPr>
          <w:rFonts w:ascii="宋体" w:hAnsi="Calibri" w:eastAsia="仿宋_GB2312" w:cs="Times New Roman"/>
          <w:sz w:val="24"/>
          <w:szCs w:val="20"/>
          <w:highlight w:val="none"/>
        </w:rPr>
      </w:pPr>
    </w:p>
    <w:p w14:paraId="19B386D2">
      <w:pPr>
        <w:rPr>
          <w:rFonts w:hint="default" w:ascii="Calibri" w:hAnsi="Calibri" w:eastAsia="宋体" w:cs="Times New Roman"/>
          <w:highlight w:val="none"/>
        </w:rPr>
      </w:pPr>
    </w:p>
    <w:p w14:paraId="77BB73F3">
      <w:pPr>
        <w:widowControl w:val="0"/>
        <w:spacing w:line="360" w:lineRule="atLeast"/>
        <w:ind w:firstLine="200"/>
        <w:jc w:val="left"/>
        <w:rPr>
          <w:rFonts w:ascii="宋体" w:hAnsi="Calibri" w:eastAsia="仿宋_GB2312" w:cs="Times New Roman"/>
          <w:sz w:val="24"/>
          <w:szCs w:val="20"/>
          <w:highlight w:val="none"/>
        </w:rPr>
      </w:pPr>
    </w:p>
    <w:p w14:paraId="3516C074">
      <w:pPr>
        <w:rPr>
          <w:rFonts w:hint="default" w:ascii="Calibri" w:hAnsi="Calibri" w:eastAsia="宋体" w:cs="Times New Roman"/>
          <w:highlight w:val="none"/>
        </w:rPr>
      </w:pPr>
    </w:p>
    <w:p w14:paraId="601CD326">
      <w:pPr>
        <w:widowControl w:val="0"/>
        <w:spacing w:after="120" w:line="360" w:lineRule="auto"/>
        <w:ind w:firstLine="0"/>
        <w:jc w:val="both"/>
        <w:rPr>
          <w:rFonts w:hint="eastAsia" w:ascii="宋体" w:hAnsi="宋体" w:eastAsia="宋体" w:cs="宋体"/>
          <w:b/>
          <w:bCs/>
          <w:sz w:val="28"/>
          <w:szCs w:val="28"/>
          <w:highlight w:val="none"/>
        </w:rPr>
      </w:pPr>
    </w:p>
    <w:p w14:paraId="7A43E742">
      <w:pPr>
        <w:widowControl w:val="0"/>
        <w:spacing w:after="120" w:line="360" w:lineRule="auto"/>
        <w:ind w:firstLine="0"/>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bidi="ar-SA"/>
        </w:rPr>
        <w:t>合同附件1：</w:t>
      </w:r>
    </w:p>
    <w:p w14:paraId="06D936AB">
      <w:pPr>
        <w:widowControl w:val="0"/>
        <w:spacing w:line="360" w:lineRule="atLeast"/>
        <w:ind w:firstLine="0"/>
        <w:jc w:val="center"/>
        <w:rPr>
          <w:rFonts w:hint="eastAsia" w:ascii="宋体" w:hAnsi="宋体" w:eastAsia="宋体" w:cs="宋体"/>
          <w:b/>
          <w:bCs/>
          <w:sz w:val="28"/>
          <w:szCs w:val="28"/>
          <w:highlight w:val="none"/>
        </w:rPr>
      </w:pPr>
      <w:r>
        <w:rPr>
          <w:rFonts w:hint="eastAsia" w:ascii="宋体" w:hAnsi="宋体" w:eastAsia="宋体" w:cs="宋体"/>
          <w:b/>
          <w:bCs/>
          <w:color w:val="000000"/>
          <w:sz w:val="28"/>
          <w:szCs w:val="28"/>
          <w:highlight w:val="none"/>
          <w:lang w:val="en-US" w:eastAsia="zh-CN" w:bidi="ar-SA"/>
        </w:rPr>
        <w:t>大彭镇各村户数人口数基本情况统计表</w:t>
      </w:r>
    </w:p>
    <w:tbl>
      <w:tblPr>
        <w:tblStyle w:val="51"/>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333"/>
        <w:gridCol w:w="1351"/>
        <w:gridCol w:w="1418"/>
        <w:gridCol w:w="992"/>
        <w:gridCol w:w="1276"/>
        <w:gridCol w:w="1276"/>
      </w:tblGrid>
      <w:tr w14:paraId="720F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13" w:type="dxa"/>
            <w:noWrap w:val="0"/>
            <w:vAlign w:val="center"/>
          </w:tcPr>
          <w:p w14:paraId="7DEBCA1C">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序号</w:t>
            </w:r>
          </w:p>
        </w:tc>
        <w:tc>
          <w:tcPr>
            <w:tcW w:w="1333" w:type="dxa"/>
            <w:noWrap w:val="0"/>
            <w:vAlign w:val="center"/>
          </w:tcPr>
          <w:p w14:paraId="6003DA5C">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行政村</w:t>
            </w:r>
          </w:p>
        </w:tc>
        <w:tc>
          <w:tcPr>
            <w:tcW w:w="1351" w:type="dxa"/>
            <w:noWrap w:val="0"/>
            <w:vAlign w:val="center"/>
          </w:tcPr>
          <w:p w14:paraId="267A7230">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自然村</w:t>
            </w:r>
          </w:p>
        </w:tc>
        <w:tc>
          <w:tcPr>
            <w:tcW w:w="1418" w:type="dxa"/>
            <w:noWrap w:val="0"/>
            <w:vAlign w:val="center"/>
          </w:tcPr>
          <w:p w14:paraId="28697EF1">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农户数</w:t>
            </w:r>
          </w:p>
        </w:tc>
        <w:tc>
          <w:tcPr>
            <w:tcW w:w="992" w:type="dxa"/>
            <w:noWrap w:val="0"/>
            <w:vAlign w:val="center"/>
          </w:tcPr>
          <w:p w14:paraId="7DB5F266">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合计</w:t>
            </w:r>
          </w:p>
        </w:tc>
        <w:tc>
          <w:tcPr>
            <w:tcW w:w="1276" w:type="dxa"/>
            <w:noWrap w:val="0"/>
            <w:vAlign w:val="center"/>
          </w:tcPr>
          <w:p w14:paraId="3E169C99">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总人口</w:t>
            </w:r>
          </w:p>
        </w:tc>
        <w:tc>
          <w:tcPr>
            <w:tcW w:w="1276" w:type="dxa"/>
            <w:noWrap w:val="0"/>
            <w:vAlign w:val="center"/>
          </w:tcPr>
          <w:p w14:paraId="45D07480">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合计</w:t>
            </w:r>
          </w:p>
        </w:tc>
      </w:tr>
      <w:tr w14:paraId="7AB1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restart"/>
            <w:noWrap/>
            <w:vAlign w:val="center"/>
          </w:tcPr>
          <w:p w14:paraId="72C2FB34">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1333" w:type="dxa"/>
            <w:vMerge w:val="restart"/>
            <w:noWrap/>
            <w:vAlign w:val="center"/>
          </w:tcPr>
          <w:p w14:paraId="05178FF6">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大刘村</w:t>
            </w:r>
          </w:p>
        </w:tc>
        <w:tc>
          <w:tcPr>
            <w:tcW w:w="1351" w:type="dxa"/>
            <w:noWrap/>
            <w:vAlign w:val="center"/>
          </w:tcPr>
          <w:p w14:paraId="4E3814FA">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小李庄</w:t>
            </w:r>
          </w:p>
        </w:tc>
        <w:tc>
          <w:tcPr>
            <w:tcW w:w="1418" w:type="dxa"/>
            <w:noWrap/>
            <w:vAlign w:val="center"/>
          </w:tcPr>
          <w:p w14:paraId="2A9D668D">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305</w:t>
            </w:r>
          </w:p>
        </w:tc>
        <w:tc>
          <w:tcPr>
            <w:tcW w:w="992" w:type="dxa"/>
            <w:vMerge w:val="restart"/>
            <w:noWrap/>
            <w:vAlign w:val="center"/>
          </w:tcPr>
          <w:p w14:paraId="068FDF74">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2036</w:t>
            </w:r>
          </w:p>
        </w:tc>
        <w:tc>
          <w:tcPr>
            <w:tcW w:w="1276" w:type="dxa"/>
            <w:noWrap/>
            <w:vAlign w:val="center"/>
          </w:tcPr>
          <w:p w14:paraId="705209D2">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1360</w:t>
            </w:r>
          </w:p>
        </w:tc>
        <w:tc>
          <w:tcPr>
            <w:tcW w:w="1276" w:type="dxa"/>
            <w:vMerge w:val="restart"/>
            <w:noWrap/>
            <w:vAlign w:val="center"/>
          </w:tcPr>
          <w:p w14:paraId="6443F3C1">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9920</w:t>
            </w:r>
          </w:p>
        </w:tc>
      </w:tr>
      <w:tr w14:paraId="3DD9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10896DCE">
            <w:pPr>
              <w:rPr>
                <w:rFonts w:hint="eastAsia" w:ascii="宋体" w:hAnsi="宋体" w:eastAsia="宋体" w:cs="宋体"/>
                <w:color w:val="000000"/>
                <w:sz w:val="24"/>
              </w:rPr>
            </w:pPr>
          </w:p>
        </w:tc>
        <w:tc>
          <w:tcPr>
            <w:tcW w:w="1333" w:type="dxa"/>
            <w:vMerge w:val="continue"/>
            <w:noWrap w:val="0"/>
            <w:vAlign w:val="center"/>
          </w:tcPr>
          <w:p w14:paraId="65D75AF0">
            <w:pPr>
              <w:rPr>
                <w:rFonts w:hint="eastAsia" w:ascii="宋体" w:hAnsi="宋体" w:eastAsia="宋体" w:cs="宋体"/>
                <w:b/>
                <w:bCs/>
                <w:color w:val="000000"/>
                <w:sz w:val="24"/>
              </w:rPr>
            </w:pPr>
          </w:p>
        </w:tc>
        <w:tc>
          <w:tcPr>
            <w:tcW w:w="1351" w:type="dxa"/>
            <w:noWrap/>
            <w:vAlign w:val="center"/>
          </w:tcPr>
          <w:p w14:paraId="6F76354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大刘庄</w:t>
            </w:r>
          </w:p>
        </w:tc>
        <w:tc>
          <w:tcPr>
            <w:tcW w:w="1418" w:type="dxa"/>
            <w:noWrap/>
            <w:vAlign w:val="center"/>
          </w:tcPr>
          <w:p w14:paraId="397381B4">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1350</w:t>
            </w:r>
          </w:p>
        </w:tc>
        <w:tc>
          <w:tcPr>
            <w:tcW w:w="992" w:type="dxa"/>
            <w:vMerge w:val="continue"/>
            <w:noWrap w:val="0"/>
            <w:vAlign w:val="center"/>
          </w:tcPr>
          <w:p w14:paraId="1C128D99">
            <w:pPr>
              <w:rPr>
                <w:rFonts w:hint="eastAsia" w:ascii="宋体" w:hAnsi="宋体" w:eastAsia="宋体" w:cs="宋体"/>
                <w:color w:val="000000"/>
                <w:sz w:val="24"/>
              </w:rPr>
            </w:pPr>
          </w:p>
        </w:tc>
        <w:tc>
          <w:tcPr>
            <w:tcW w:w="1276" w:type="dxa"/>
            <w:noWrap/>
            <w:vAlign w:val="center"/>
          </w:tcPr>
          <w:p w14:paraId="6EACC8E5">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7350</w:t>
            </w:r>
          </w:p>
        </w:tc>
        <w:tc>
          <w:tcPr>
            <w:tcW w:w="1276" w:type="dxa"/>
            <w:vMerge w:val="continue"/>
            <w:noWrap w:val="0"/>
            <w:vAlign w:val="center"/>
          </w:tcPr>
          <w:p w14:paraId="0DEE2705">
            <w:pPr>
              <w:rPr>
                <w:rFonts w:hint="eastAsia" w:ascii="宋体" w:hAnsi="宋体" w:eastAsia="宋体" w:cs="宋体"/>
                <w:color w:val="000000"/>
                <w:sz w:val="24"/>
              </w:rPr>
            </w:pPr>
          </w:p>
        </w:tc>
      </w:tr>
      <w:tr w14:paraId="4A48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48773968">
            <w:pPr>
              <w:rPr>
                <w:rFonts w:hint="eastAsia" w:ascii="宋体" w:hAnsi="宋体" w:eastAsia="宋体" w:cs="宋体"/>
                <w:color w:val="000000"/>
                <w:sz w:val="24"/>
              </w:rPr>
            </w:pPr>
          </w:p>
        </w:tc>
        <w:tc>
          <w:tcPr>
            <w:tcW w:w="1333" w:type="dxa"/>
            <w:vMerge w:val="continue"/>
            <w:noWrap w:val="0"/>
            <w:vAlign w:val="center"/>
          </w:tcPr>
          <w:p w14:paraId="558B07F4">
            <w:pPr>
              <w:rPr>
                <w:rFonts w:hint="eastAsia" w:ascii="宋体" w:hAnsi="宋体" w:eastAsia="宋体" w:cs="宋体"/>
                <w:b/>
                <w:bCs/>
                <w:color w:val="000000"/>
                <w:sz w:val="24"/>
              </w:rPr>
            </w:pPr>
          </w:p>
        </w:tc>
        <w:tc>
          <w:tcPr>
            <w:tcW w:w="1351" w:type="dxa"/>
            <w:noWrap/>
            <w:vAlign w:val="center"/>
          </w:tcPr>
          <w:p w14:paraId="42118B29">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东红土庙</w:t>
            </w:r>
          </w:p>
        </w:tc>
        <w:tc>
          <w:tcPr>
            <w:tcW w:w="1418" w:type="dxa"/>
            <w:noWrap/>
            <w:vAlign w:val="center"/>
          </w:tcPr>
          <w:p w14:paraId="039451BD">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195</w:t>
            </w:r>
          </w:p>
        </w:tc>
        <w:tc>
          <w:tcPr>
            <w:tcW w:w="992" w:type="dxa"/>
            <w:vMerge w:val="continue"/>
            <w:noWrap w:val="0"/>
            <w:vAlign w:val="center"/>
          </w:tcPr>
          <w:p w14:paraId="32FF7AD6">
            <w:pPr>
              <w:rPr>
                <w:rFonts w:hint="eastAsia" w:ascii="宋体" w:hAnsi="宋体" w:eastAsia="宋体" w:cs="宋体"/>
                <w:color w:val="000000"/>
                <w:sz w:val="24"/>
              </w:rPr>
            </w:pPr>
          </w:p>
        </w:tc>
        <w:tc>
          <w:tcPr>
            <w:tcW w:w="1276" w:type="dxa"/>
            <w:noWrap/>
            <w:vAlign w:val="center"/>
          </w:tcPr>
          <w:p w14:paraId="50D51A3B">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620</w:t>
            </w:r>
          </w:p>
        </w:tc>
        <w:tc>
          <w:tcPr>
            <w:tcW w:w="1276" w:type="dxa"/>
            <w:vMerge w:val="continue"/>
            <w:noWrap w:val="0"/>
            <w:vAlign w:val="center"/>
          </w:tcPr>
          <w:p w14:paraId="13C756AE">
            <w:pPr>
              <w:rPr>
                <w:rFonts w:hint="eastAsia" w:ascii="宋体" w:hAnsi="宋体" w:eastAsia="宋体" w:cs="宋体"/>
                <w:color w:val="000000"/>
                <w:sz w:val="24"/>
              </w:rPr>
            </w:pPr>
          </w:p>
        </w:tc>
      </w:tr>
      <w:tr w14:paraId="2932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0E391C85">
            <w:pPr>
              <w:rPr>
                <w:rFonts w:hint="eastAsia" w:ascii="宋体" w:hAnsi="宋体" w:eastAsia="宋体" w:cs="宋体"/>
                <w:color w:val="000000"/>
                <w:sz w:val="24"/>
              </w:rPr>
            </w:pPr>
          </w:p>
        </w:tc>
        <w:tc>
          <w:tcPr>
            <w:tcW w:w="1333" w:type="dxa"/>
            <w:vMerge w:val="continue"/>
            <w:noWrap w:val="0"/>
            <w:vAlign w:val="center"/>
          </w:tcPr>
          <w:p w14:paraId="5CAD9DD5">
            <w:pPr>
              <w:rPr>
                <w:rFonts w:hint="eastAsia" w:ascii="宋体" w:hAnsi="宋体" w:eastAsia="宋体" w:cs="宋体"/>
                <w:b/>
                <w:bCs/>
                <w:color w:val="000000"/>
                <w:sz w:val="24"/>
              </w:rPr>
            </w:pPr>
          </w:p>
        </w:tc>
        <w:tc>
          <w:tcPr>
            <w:tcW w:w="1351" w:type="dxa"/>
            <w:noWrap/>
            <w:vAlign w:val="center"/>
          </w:tcPr>
          <w:p w14:paraId="61D353E9">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西红土庙</w:t>
            </w:r>
          </w:p>
        </w:tc>
        <w:tc>
          <w:tcPr>
            <w:tcW w:w="1418" w:type="dxa"/>
            <w:noWrap/>
            <w:vAlign w:val="center"/>
          </w:tcPr>
          <w:p w14:paraId="74668ED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186</w:t>
            </w:r>
          </w:p>
        </w:tc>
        <w:tc>
          <w:tcPr>
            <w:tcW w:w="992" w:type="dxa"/>
            <w:vMerge w:val="continue"/>
            <w:noWrap w:val="0"/>
            <w:vAlign w:val="center"/>
          </w:tcPr>
          <w:p w14:paraId="1BC54462">
            <w:pPr>
              <w:rPr>
                <w:rFonts w:hint="eastAsia" w:ascii="宋体" w:hAnsi="宋体" w:eastAsia="宋体" w:cs="宋体"/>
                <w:color w:val="000000"/>
                <w:sz w:val="24"/>
              </w:rPr>
            </w:pPr>
          </w:p>
        </w:tc>
        <w:tc>
          <w:tcPr>
            <w:tcW w:w="1276" w:type="dxa"/>
            <w:noWrap/>
            <w:vAlign w:val="center"/>
          </w:tcPr>
          <w:p w14:paraId="0EFAF0CA">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590</w:t>
            </w:r>
          </w:p>
        </w:tc>
        <w:tc>
          <w:tcPr>
            <w:tcW w:w="1276" w:type="dxa"/>
            <w:vMerge w:val="continue"/>
            <w:noWrap w:val="0"/>
            <w:vAlign w:val="center"/>
          </w:tcPr>
          <w:p w14:paraId="27B8C989">
            <w:pPr>
              <w:rPr>
                <w:rFonts w:hint="eastAsia" w:ascii="宋体" w:hAnsi="宋体" w:eastAsia="宋体" w:cs="宋体"/>
                <w:color w:val="000000"/>
                <w:sz w:val="24"/>
              </w:rPr>
            </w:pPr>
          </w:p>
        </w:tc>
      </w:tr>
      <w:tr w14:paraId="07FB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restart"/>
            <w:noWrap/>
            <w:vAlign w:val="center"/>
          </w:tcPr>
          <w:p w14:paraId="06AA53AB">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1333" w:type="dxa"/>
            <w:vMerge w:val="restart"/>
            <w:noWrap/>
            <w:vAlign w:val="center"/>
          </w:tcPr>
          <w:p w14:paraId="3D334DD7">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田巷村</w:t>
            </w:r>
          </w:p>
        </w:tc>
        <w:tc>
          <w:tcPr>
            <w:tcW w:w="1351" w:type="dxa"/>
            <w:noWrap/>
            <w:vAlign w:val="center"/>
          </w:tcPr>
          <w:p w14:paraId="4AA06752">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冯庄</w:t>
            </w:r>
          </w:p>
        </w:tc>
        <w:tc>
          <w:tcPr>
            <w:tcW w:w="1418" w:type="dxa"/>
            <w:noWrap/>
            <w:vAlign w:val="center"/>
          </w:tcPr>
          <w:p w14:paraId="21DC729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158</w:t>
            </w:r>
          </w:p>
        </w:tc>
        <w:tc>
          <w:tcPr>
            <w:tcW w:w="992" w:type="dxa"/>
            <w:vMerge w:val="restart"/>
            <w:noWrap/>
            <w:vAlign w:val="center"/>
          </w:tcPr>
          <w:p w14:paraId="6E497C0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1605</w:t>
            </w:r>
          </w:p>
        </w:tc>
        <w:tc>
          <w:tcPr>
            <w:tcW w:w="1276" w:type="dxa"/>
            <w:noWrap/>
            <w:vAlign w:val="center"/>
          </w:tcPr>
          <w:p w14:paraId="7B4B4A35">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655</w:t>
            </w:r>
          </w:p>
        </w:tc>
        <w:tc>
          <w:tcPr>
            <w:tcW w:w="1276" w:type="dxa"/>
            <w:vMerge w:val="restart"/>
            <w:noWrap/>
            <w:vAlign w:val="center"/>
          </w:tcPr>
          <w:p w14:paraId="5BC98C8C">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4834</w:t>
            </w:r>
          </w:p>
        </w:tc>
      </w:tr>
      <w:tr w14:paraId="75B9A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282CF860">
            <w:pPr>
              <w:rPr>
                <w:rFonts w:hint="eastAsia" w:ascii="宋体" w:hAnsi="宋体" w:eastAsia="宋体" w:cs="宋体"/>
                <w:color w:val="000000"/>
                <w:sz w:val="24"/>
              </w:rPr>
            </w:pPr>
          </w:p>
        </w:tc>
        <w:tc>
          <w:tcPr>
            <w:tcW w:w="1333" w:type="dxa"/>
            <w:vMerge w:val="continue"/>
            <w:noWrap w:val="0"/>
            <w:vAlign w:val="center"/>
          </w:tcPr>
          <w:p w14:paraId="103D699F">
            <w:pPr>
              <w:rPr>
                <w:rFonts w:hint="eastAsia" w:ascii="宋体" w:hAnsi="宋体" w:eastAsia="宋体" w:cs="宋体"/>
                <w:b/>
                <w:bCs/>
                <w:color w:val="000000"/>
                <w:sz w:val="24"/>
              </w:rPr>
            </w:pPr>
          </w:p>
        </w:tc>
        <w:tc>
          <w:tcPr>
            <w:tcW w:w="1351" w:type="dxa"/>
            <w:noWrap/>
            <w:vAlign w:val="center"/>
          </w:tcPr>
          <w:p w14:paraId="3C2FAEB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苗山</w:t>
            </w:r>
          </w:p>
        </w:tc>
        <w:tc>
          <w:tcPr>
            <w:tcW w:w="1418" w:type="dxa"/>
            <w:noWrap/>
            <w:vAlign w:val="center"/>
          </w:tcPr>
          <w:p w14:paraId="6BE0BB2D">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562</w:t>
            </w:r>
          </w:p>
        </w:tc>
        <w:tc>
          <w:tcPr>
            <w:tcW w:w="992" w:type="dxa"/>
            <w:vMerge w:val="continue"/>
            <w:noWrap w:val="0"/>
            <w:vAlign w:val="center"/>
          </w:tcPr>
          <w:p w14:paraId="02E9C6AD">
            <w:pPr>
              <w:rPr>
                <w:rFonts w:hint="eastAsia" w:ascii="宋体" w:hAnsi="宋体" w:eastAsia="宋体" w:cs="宋体"/>
                <w:color w:val="000000"/>
                <w:sz w:val="24"/>
              </w:rPr>
            </w:pPr>
          </w:p>
        </w:tc>
        <w:tc>
          <w:tcPr>
            <w:tcW w:w="1276" w:type="dxa"/>
            <w:noWrap/>
            <w:vAlign w:val="center"/>
          </w:tcPr>
          <w:p w14:paraId="018E1562">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1620</w:t>
            </w:r>
          </w:p>
        </w:tc>
        <w:tc>
          <w:tcPr>
            <w:tcW w:w="1276" w:type="dxa"/>
            <w:vMerge w:val="continue"/>
            <w:noWrap w:val="0"/>
            <w:vAlign w:val="center"/>
          </w:tcPr>
          <w:p w14:paraId="71C9C003">
            <w:pPr>
              <w:rPr>
                <w:rFonts w:hint="eastAsia" w:ascii="宋体" w:hAnsi="宋体" w:eastAsia="宋体" w:cs="宋体"/>
                <w:color w:val="000000"/>
                <w:sz w:val="24"/>
              </w:rPr>
            </w:pPr>
          </w:p>
        </w:tc>
      </w:tr>
      <w:tr w14:paraId="1159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20D16955">
            <w:pPr>
              <w:rPr>
                <w:rFonts w:hint="eastAsia" w:ascii="宋体" w:hAnsi="宋体" w:eastAsia="宋体" w:cs="宋体"/>
                <w:color w:val="000000"/>
                <w:sz w:val="24"/>
              </w:rPr>
            </w:pPr>
          </w:p>
        </w:tc>
        <w:tc>
          <w:tcPr>
            <w:tcW w:w="1333" w:type="dxa"/>
            <w:vMerge w:val="continue"/>
            <w:noWrap w:val="0"/>
            <w:vAlign w:val="center"/>
          </w:tcPr>
          <w:p w14:paraId="1D9EE838">
            <w:pPr>
              <w:rPr>
                <w:rFonts w:hint="eastAsia" w:ascii="宋体" w:hAnsi="宋体" w:eastAsia="宋体" w:cs="宋体"/>
                <w:b/>
                <w:bCs/>
                <w:color w:val="000000"/>
                <w:sz w:val="24"/>
              </w:rPr>
            </w:pPr>
          </w:p>
        </w:tc>
        <w:tc>
          <w:tcPr>
            <w:tcW w:w="1351" w:type="dxa"/>
            <w:noWrap/>
            <w:vAlign w:val="center"/>
          </w:tcPr>
          <w:p w14:paraId="19D7FAC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田巷</w:t>
            </w:r>
          </w:p>
        </w:tc>
        <w:tc>
          <w:tcPr>
            <w:tcW w:w="1418" w:type="dxa"/>
            <w:noWrap/>
            <w:vAlign w:val="center"/>
          </w:tcPr>
          <w:p w14:paraId="6EF70D29">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885</w:t>
            </w:r>
          </w:p>
        </w:tc>
        <w:tc>
          <w:tcPr>
            <w:tcW w:w="992" w:type="dxa"/>
            <w:vMerge w:val="continue"/>
            <w:noWrap w:val="0"/>
            <w:vAlign w:val="center"/>
          </w:tcPr>
          <w:p w14:paraId="3175E394">
            <w:pPr>
              <w:rPr>
                <w:rFonts w:hint="eastAsia" w:ascii="宋体" w:hAnsi="宋体" w:eastAsia="宋体" w:cs="宋体"/>
                <w:color w:val="000000"/>
                <w:sz w:val="24"/>
              </w:rPr>
            </w:pPr>
          </w:p>
        </w:tc>
        <w:tc>
          <w:tcPr>
            <w:tcW w:w="1276" w:type="dxa"/>
            <w:noWrap/>
            <w:vAlign w:val="center"/>
          </w:tcPr>
          <w:p w14:paraId="12D6C4CA">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2559</w:t>
            </w:r>
          </w:p>
        </w:tc>
        <w:tc>
          <w:tcPr>
            <w:tcW w:w="1276" w:type="dxa"/>
            <w:vMerge w:val="continue"/>
            <w:noWrap w:val="0"/>
            <w:vAlign w:val="center"/>
          </w:tcPr>
          <w:p w14:paraId="05520612">
            <w:pPr>
              <w:rPr>
                <w:rFonts w:hint="eastAsia" w:ascii="宋体" w:hAnsi="宋体" w:eastAsia="宋体" w:cs="宋体"/>
                <w:color w:val="000000"/>
                <w:sz w:val="24"/>
              </w:rPr>
            </w:pPr>
          </w:p>
        </w:tc>
      </w:tr>
      <w:tr w14:paraId="626F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restart"/>
            <w:noWrap/>
            <w:vAlign w:val="center"/>
          </w:tcPr>
          <w:p w14:paraId="77CCABE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p>
        </w:tc>
        <w:tc>
          <w:tcPr>
            <w:tcW w:w="1333" w:type="dxa"/>
            <w:vMerge w:val="restart"/>
            <w:noWrap/>
            <w:vAlign w:val="center"/>
          </w:tcPr>
          <w:p w14:paraId="75F38E67">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周棚村</w:t>
            </w:r>
          </w:p>
        </w:tc>
        <w:tc>
          <w:tcPr>
            <w:tcW w:w="1351" w:type="dxa"/>
            <w:noWrap/>
            <w:vAlign w:val="center"/>
          </w:tcPr>
          <w:p w14:paraId="728AC85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周棚</w:t>
            </w:r>
          </w:p>
        </w:tc>
        <w:tc>
          <w:tcPr>
            <w:tcW w:w="1418" w:type="dxa"/>
            <w:noWrap/>
            <w:vAlign w:val="center"/>
          </w:tcPr>
          <w:p w14:paraId="1DC3DB9F">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660</w:t>
            </w:r>
          </w:p>
        </w:tc>
        <w:tc>
          <w:tcPr>
            <w:tcW w:w="992" w:type="dxa"/>
            <w:vMerge w:val="restart"/>
            <w:noWrap/>
            <w:vAlign w:val="center"/>
          </w:tcPr>
          <w:p w14:paraId="5B25B0D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1429</w:t>
            </w:r>
          </w:p>
        </w:tc>
        <w:tc>
          <w:tcPr>
            <w:tcW w:w="1276" w:type="dxa"/>
            <w:noWrap/>
            <w:vAlign w:val="center"/>
          </w:tcPr>
          <w:p w14:paraId="496F1E3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2659</w:t>
            </w:r>
          </w:p>
        </w:tc>
        <w:tc>
          <w:tcPr>
            <w:tcW w:w="1276" w:type="dxa"/>
            <w:vMerge w:val="restart"/>
            <w:noWrap/>
            <w:vAlign w:val="center"/>
          </w:tcPr>
          <w:p w14:paraId="0FEDCB0F">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5879</w:t>
            </w:r>
          </w:p>
        </w:tc>
      </w:tr>
      <w:tr w14:paraId="400F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0FA407FD">
            <w:pPr>
              <w:rPr>
                <w:rFonts w:hint="eastAsia" w:ascii="宋体" w:hAnsi="宋体" w:eastAsia="宋体" w:cs="宋体"/>
                <w:color w:val="000000"/>
                <w:sz w:val="24"/>
              </w:rPr>
            </w:pPr>
          </w:p>
        </w:tc>
        <w:tc>
          <w:tcPr>
            <w:tcW w:w="1333" w:type="dxa"/>
            <w:vMerge w:val="continue"/>
            <w:noWrap w:val="0"/>
            <w:vAlign w:val="center"/>
          </w:tcPr>
          <w:p w14:paraId="730453BF">
            <w:pPr>
              <w:rPr>
                <w:rFonts w:hint="eastAsia" w:ascii="宋体" w:hAnsi="宋体" w:eastAsia="宋体" w:cs="宋体"/>
                <w:b/>
                <w:bCs/>
                <w:color w:val="000000"/>
                <w:sz w:val="24"/>
              </w:rPr>
            </w:pPr>
          </w:p>
        </w:tc>
        <w:tc>
          <w:tcPr>
            <w:tcW w:w="1351" w:type="dxa"/>
            <w:noWrap/>
            <w:vAlign w:val="center"/>
          </w:tcPr>
          <w:p w14:paraId="2D284BD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韩楼</w:t>
            </w:r>
          </w:p>
        </w:tc>
        <w:tc>
          <w:tcPr>
            <w:tcW w:w="1418" w:type="dxa"/>
            <w:noWrap/>
            <w:vAlign w:val="center"/>
          </w:tcPr>
          <w:p w14:paraId="4ADE739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160</w:t>
            </w:r>
          </w:p>
        </w:tc>
        <w:tc>
          <w:tcPr>
            <w:tcW w:w="992" w:type="dxa"/>
            <w:vMerge w:val="continue"/>
            <w:noWrap w:val="0"/>
            <w:vAlign w:val="center"/>
          </w:tcPr>
          <w:p w14:paraId="54FD2DF8">
            <w:pPr>
              <w:rPr>
                <w:rFonts w:hint="eastAsia" w:ascii="宋体" w:hAnsi="宋体" w:eastAsia="宋体" w:cs="宋体"/>
                <w:color w:val="000000"/>
                <w:sz w:val="24"/>
              </w:rPr>
            </w:pPr>
          </w:p>
        </w:tc>
        <w:tc>
          <w:tcPr>
            <w:tcW w:w="1276" w:type="dxa"/>
            <w:noWrap/>
            <w:vAlign w:val="center"/>
          </w:tcPr>
          <w:p w14:paraId="72FE1CED">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610</w:t>
            </w:r>
          </w:p>
        </w:tc>
        <w:tc>
          <w:tcPr>
            <w:tcW w:w="1276" w:type="dxa"/>
            <w:vMerge w:val="continue"/>
            <w:noWrap w:val="0"/>
            <w:vAlign w:val="center"/>
          </w:tcPr>
          <w:p w14:paraId="5D9BA0B5">
            <w:pPr>
              <w:rPr>
                <w:rFonts w:hint="eastAsia" w:ascii="宋体" w:hAnsi="宋体" w:eastAsia="宋体" w:cs="宋体"/>
                <w:color w:val="000000"/>
                <w:sz w:val="24"/>
              </w:rPr>
            </w:pPr>
          </w:p>
        </w:tc>
      </w:tr>
      <w:tr w14:paraId="0131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03C8A743">
            <w:pPr>
              <w:rPr>
                <w:rFonts w:hint="eastAsia" w:ascii="宋体" w:hAnsi="宋体" w:eastAsia="宋体" w:cs="宋体"/>
                <w:color w:val="000000"/>
                <w:sz w:val="24"/>
              </w:rPr>
            </w:pPr>
          </w:p>
        </w:tc>
        <w:tc>
          <w:tcPr>
            <w:tcW w:w="1333" w:type="dxa"/>
            <w:vMerge w:val="continue"/>
            <w:noWrap w:val="0"/>
            <w:vAlign w:val="center"/>
          </w:tcPr>
          <w:p w14:paraId="7BF9A3F9">
            <w:pPr>
              <w:rPr>
                <w:rFonts w:hint="eastAsia" w:ascii="宋体" w:hAnsi="宋体" w:eastAsia="宋体" w:cs="宋体"/>
                <w:b/>
                <w:bCs/>
                <w:color w:val="000000"/>
                <w:sz w:val="24"/>
              </w:rPr>
            </w:pPr>
          </w:p>
        </w:tc>
        <w:tc>
          <w:tcPr>
            <w:tcW w:w="1351" w:type="dxa"/>
            <w:noWrap/>
            <w:vAlign w:val="center"/>
          </w:tcPr>
          <w:p w14:paraId="1C4F471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西马林</w:t>
            </w:r>
          </w:p>
        </w:tc>
        <w:tc>
          <w:tcPr>
            <w:tcW w:w="1418" w:type="dxa"/>
            <w:noWrap/>
            <w:vAlign w:val="center"/>
          </w:tcPr>
          <w:p w14:paraId="1FA9344D">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214</w:t>
            </w:r>
          </w:p>
        </w:tc>
        <w:tc>
          <w:tcPr>
            <w:tcW w:w="992" w:type="dxa"/>
            <w:vMerge w:val="continue"/>
            <w:noWrap w:val="0"/>
            <w:vAlign w:val="center"/>
          </w:tcPr>
          <w:p w14:paraId="78122633">
            <w:pPr>
              <w:rPr>
                <w:rFonts w:hint="eastAsia" w:ascii="宋体" w:hAnsi="宋体" w:eastAsia="宋体" w:cs="宋体"/>
                <w:color w:val="000000"/>
                <w:sz w:val="24"/>
              </w:rPr>
            </w:pPr>
          </w:p>
        </w:tc>
        <w:tc>
          <w:tcPr>
            <w:tcW w:w="1276" w:type="dxa"/>
            <w:noWrap/>
            <w:vAlign w:val="center"/>
          </w:tcPr>
          <w:p w14:paraId="7D19F451">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860</w:t>
            </w:r>
          </w:p>
        </w:tc>
        <w:tc>
          <w:tcPr>
            <w:tcW w:w="1276" w:type="dxa"/>
            <w:vMerge w:val="continue"/>
            <w:noWrap w:val="0"/>
            <w:vAlign w:val="center"/>
          </w:tcPr>
          <w:p w14:paraId="333A6215">
            <w:pPr>
              <w:rPr>
                <w:rFonts w:hint="eastAsia" w:ascii="宋体" w:hAnsi="宋体" w:eastAsia="宋体" w:cs="宋体"/>
                <w:color w:val="000000"/>
                <w:sz w:val="24"/>
              </w:rPr>
            </w:pPr>
          </w:p>
        </w:tc>
      </w:tr>
      <w:tr w14:paraId="447A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3641305F">
            <w:pPr>
              <w:rPr>
                <w:rFonts w:hint="eastAsia" w:ascii="宋体" w:hAnsi="宋体" w:eastAsia="宋体" w:cs="宋体"/>
                <w:color w:val="000000"/>
                <w:sz w:val="24"/>
              </w:rPr>
            </w:pPr>
          </w:p>
        </w:tc>
        <w:tc>
          <w:tcPr>
            <w:tcW w:w="1333" w:type="dxa"/>
            <w:vMerge w:val="continue"/>
            <w:noWrap w:val="0"/>
            <w:vAlign w:val="center"/>
          </w:tcPr>
          <w:p w14:paraId="6709E489">
            <w:pPr>
              <w:rPr>
                <w:rFonts w:hint="eastAsia" w:ascii="宋体" w:hAnsi="宋体" w:eastAsia="宋体" w:cs="宋体"/>
                <w:b/>
                <w:bCs/>
                <w:color w:val="000000"/>
                <w:sz w:val="24"/>
              </w:rPr>
            </w:pPr>
          </w:p>
        </w:tc>
        <w:tc>
          <w:tcPr>
            <w:tcW w:w="1351" w:type="dxa"/>
            <w:noWrap/>
            <w:vAlign w:val="center"/>
          </w:tcPr>
          <w:p w14:paraId="17BEB11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东马林</w:t>
            </w:r>
          </w:p>
        </w:tc>
        <w:tc>
          <w:tcPr>
            <w:tcW w:w="1418" w:type="dxa"/>
            <w:noWrap/>
            <w:vAlign w:val="center"/>
          </w:tcPr>
          <w:p w14:paraId="542BD9B3">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395</w:t>
            </w:r>
          </w:p>
        </w:tc>
        <w:tc>
          <w:tcPr>
            <w:tcW w:w="992" w:type="dxa"/>
            <w:vMerge w:val="continue"/>
            <w:noWrap w:val="0"/>
            <w:vAlign w:val="center"/>
          </w:tcPr>
          <w:p w14:paraId="09050459">
            <w:pPr>
              <w:rPr>
                <w:rFonts w:hint="eastAsia" w:ascii="宋体" w:hAnsi="宋体" w:eastAsia="宋体" w:cs="宋体"/>
                <w:color w:val="000000"/>
                <w:sz w:val="24"/>
              </w:rPr>
            </w:pPr>
          </w:p>
        </w:tc>
        <w:tc>
          <w:tcPr>
            <w:tcW w:w="1276" w:type="dxa"/>
            <w:noWrap/>
            <w:vAlign w:val="center"/>
          </w:tcPr>
          <w:p w14:paraId="0947567C">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1750</w:t>
            </w:r>
          </w:p>
        </w:tc>
        <w:tc>
          <w:tcPr>
            <w:tcW w:w="1276" w:type="dxa"/>
            <w:vMerge w:val="continue"/>
            <w:noWrap w:val="0"/>
            <w:vAlign w:val="center"/>
          </w:tcPr>
          <w:p w14:paraId="52D3219A">
            <w:pPr>
              <w:rPr>
                <w:rFonts w:hint="eastAsia" w:ascii="宋体" w:hAnsi="宋体" w:eastAsia="宋体" w:cs="宋体"/>
                <w:color w:val="000000"/>
                <w:sz w:val="24"/>
              </w:rPr>
            </w:pPr>
          </w:p>
        </w:tc>
      </w:tr>
      <w:tr w14:paraId="7899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restart"/>
            <w:noWrap/>
            <w:vAlign w:val="center"/>
          </w:tcPr>
          <w:p w14:paraId="30A474EC">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w:t>
            </w:r>
          </w:p>
        </w:tc>
        <w:tc>
          <w:tcPr>
            <w:tcW w:w="1333" w:type="dxa"/>
            <w:vMerge w:val="restart"/>
            <w:noWrap/>
            <w:vAlign w:val="center"/>
          </w:tcPr>
          <w:p w14:paraId="55CE4793">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王门村</w:t>
            </w:r>
          </w:p>
        </w:tc>
        <w:tc>
          <w:tcPr>
            <w:tcW w:w="1351" w:type="dxa"/>
            <w:noWrap/>
            <w:vAlign w:val="center"/>
          </w:tcPr>
          <w:p w14:paraId="10DE30B5">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王门</w:t>
            </w:r>
          </w:p>
        </w:tc>
        <w:tc>
          <w:tcPr>
            <w:tcW w:w="1418" w:type="dxa"/>
            <w:noWrap/>
            <w:vAlign w:val="center"/>
          </w:tcPr>
          <w:p w14:paraId="46E7F46F">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446</w:t>
            </w:r>
          </w:p>
        </w:tc>
        <w:tc>
          <w:tcPr>
            <w:tcW w:w="992" w:type="dxa"/>
            <w:vMerge w:val="restart"/>
            <w:noWrap/>
            <w:vAlign w:val="center"/>
          </w:tcPr>
          <w:p w14:paraId="1516B706">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1349</w:t>
            </w:r>
          </w:p>
        </w:tc>
        <w:tc>
          <w:tcPr>
            <w:tcW w:w="1276" w:type="dxa"/>
            <w:noWrap/>
            <w:vAlign w:val="center"/>
          </w:tcPr>
          <w:p w14:paraId="09827A1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1560</w:t>
            </w:r>
          </w:p>
        </w:tc>
        <w:tc>
          <w:tcPr>
            <w:tcW w:w="1276" w:type="dxa"/>
            <w:vMerge w:val="restart"/>
            <w:noWrap/>
            <w:vAlign w:val="center"/>
          </w:tcPr>
          <w:p w14:paraId="6DA460C4">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4810</w:t>
            </w:r>
          </w:p>
        </w:tc>
      </w:tr>
      <w:tr w14:paraId="31F0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21209144">
            <w:pPr>
              <w:rPr>
                <w:rFonts w:hint="eastAsia" w:ascii="宋体" w:hAnsi="宋体" w:eastAsia="宋体" w:cs="宋体"/>
                <w:color w:val="000000"/>
                <w:sz w:val="24"/>
              </w:rPr>
            </w:pPr>
          </w:p>
        </w:tc>
        <w:tc>
          <w:tcPr>
            <w:tcW w:w="1333" w:type="dxa"/>
            <w:vMerge w:val="continue"/>
            <w:noWrap w:val="0"/>
            <w:vAlign w:val="center"/>
          </w:tcPr>
          <w:p w14:paraId="4025EDB9">
            <w:pPr>
              <w:rPr>
                <w:rFonts w:hint="eastAsia" w:ascii="宋体" w:hAnsi="宋体" w:eastAsia="宋体" w:cs="宋体"/>
                <w:b/>
                <w:bCs/>
                <w:color w:val="000000"/>
                <w:sz w:val="24"/>
              </w:rPr>
            </w:pPr>
          </w:p>
        </w:tc>
        <w:tc>
          <w:tcPr>
            <w:tcW w:w="1351" w:type="dxa"/>
            <w:noWrap/>
            <w:vAlign w:val="center"/>
          </w:tcPr>
          <w:p w14:paraId="4A4E9772">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刘新庄</w:t>
            </w:r>
          </w:p>
        </w:tc>
        <w:tc>
          <w:tcPr>
            <w:tcW w:w="1418" w:type="dxa"/>
            <w:noWrap/>
            <w:vAlign w:val="center"/>
          </w:tcPr>
          <w:p w14:paraId="5DB9B51F">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423</w:t>
            </w:r>
          </w:p>
        </w:tc>
        <w:tc>
          <w:tcPr>
            <w:tcW w:w="992" w:type="dxa"/>
            <w:vMerge w:val="continue"/>
            <w:noWrap w:val="0"/>
            <w:vAlign w:val="center"/>
          </w:tcPr>
          <w:p w14:paraId="3BEA994A">
            <w:pPr>
              <w:rPr>
                <w:rFonts w:hint="eastAsia" w:ascii="宋体" w:hAnsi="宋体" w:eastAsia="宋体" w:cs="宋体"/>
                <w:color w:val="000000"/>
                <w:sz w:val="24"/>
              </w:rPr>
            </w:pPr>
          </w:p>
        </w:tc>
        <w:tc>
          <w:tcPr>
            <w:tcW w:w="1276" w:type="dxa"/>
            <w:noWrap/>
            <w:vAlign w:val="center"/>
          </w:tcPr>
          <w:p w14:paraId="1CB38754">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1430</w:t>
            </w:r>
          </w:p>
        </w:tc>
        <w:tc>
          <w:tcPr>
            <w:tcW w:w="1276" w:type="dxa"/>
            <w:vMerge w:val="continue"/>
            <w:noWrap w:val="0"/>
            <w:vAlign w:val="center"/>
          </w:tcPr>
          <w:p w14:paraId="30607ACD">
            <w:pPr>
              <w:rPr>
                <w:rFonts w:hint="eastAsia" w:ascii="宋体" w:hAnsi="宋体" w:eastAsia="宋体" w:cs="宋体"/>
                <w:color w:val="000000"/>
                <w:sz w:val="24"/>
              </w:rPr>
            </w:pPr>
          </w:p>
        </w:tc>
      </w:tr>
      <w:tr w14:paraId="37B9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1F6C2CC3">
            <w:pPr>
              <w:rPr>
                <w:rFonts w:hint="eastAsia" w:ascii="宋体" w:hAnsi="宋体" w:eastAsia="宋体" w:cs="宋体"/>
                <w:color w:val="000000"/>
                <w:sz w:val="24"/>
              </w:rPr>
            </w:pPr>
          </w:p>
        </w:tc>
        <w:tc>
          <w:tcPr>
            <w:tcW w:w="1333" w:type="dxa"/>
            <w:vMerge w:val="continue"/>
            <w:noWrap w:val="0"/>
            <w:vAlign w:val="center"/>
          </w:tcPr>
          <w:p w14:paraId="0804C4BE">
            <w:pPr>
              <w:rPr>
                <w:rFonts w:hint="eastAsia" w:ascii="宋体" w:hAnsi="宋体" w:eastAsia="宋体" w:cs="宋体"/>
                <w:b/>
                <w:bCs/>
                <w:color w:val="000000"/>
                <w:sz w:val="24"/>
              </w:rPr>
            </w:pPr>
          </w:p>
        </w:tc>
        <w:tc>
          <w:tcPr>
            <w:tcW w:w="1351" w:type="dxa"/>
            <w:noWrap/>
            <w:vAlign w:val="center"/>
          </w:tcPr>
          <w:p w14:paraId="58416C6B">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半步店</w:t>
            </w:r>
          </w:p>
        </w:tc>
        <w:tc>
          <w:tcPr>
            <w:tcW w:w="1418" w:type="dxa"/>
            <w:noWrap/>
            <w:vAlign w:val="center"/>
          </w:tcPr>
          <w:p w14:paraId="36EA323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480</w:t>
            </w:r>
          </w:p>
        </w:tc>
        <w:tc>
          <w:tcPr>
            <w:tcW w:w="992" w:type="dxa"/>
            <w:vMerge w:val="continue"/>
            <w:noWrap w:val="0"/>
            <w:vAlign w:val="center"/>
          </w:tcPr>
          <w:p w14:paraId="0795BEBD">
            <w:pPr>
              <w:rPr>
                <w:rFonts w:hint="eastAsia" w:ascii="宋体" w:hAnsi="宋体" w:eastAsia="宋体" w:cs="宋体"/>
                <w:color w:val="000000"/>
                <w:sz w:val="24"/>
              </w:rPr>
            </w:pPr>
          </w:p>
        </w:tc>
        <w:tc>
          <w:tcPr>
            <w:tcW w:w="1276" w:type="dxa"/>
            <w:noWrap/>
            <w:vAlign w:val="center"/>
          </w:tcPr>
          <w:p w14:paraId="4E20E51C">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1820</w:t>
            </w:r>
          </w:p>
        </w:tc>
        <w:tc>
          <w:tcPr>
            <w:tcW w:w="1276" w:type="dxa"/>
            <w:vMerge w:val="continue"/>
            <w:noWrap w:val="0"/>
            <w:vAlign w:val="center"/>
          </w:tcPr>
          <w:p w14:paraId="5EA3CDD9">
            <w:pPr>
              <w:rPr>
                <w:rFonts w:hint="eastAsia" w:ascii="宋体" w:hAnsi="宋体" w:eastAsia="宋体" w:cs="宋体"/>
                <w:color w:val="000000"/>
                <w:sz w:val="24"/>
              </w:rPr>
            </w:pPr>
          </w:p>
        </w:tc>
      </w:tr>
      <w:tr w14:paraId="3A71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noWrap/>
            <w:vAlign w:val="center"/>
          </w:tcPr>
          <w:p w14:paraId="2B491B7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5</w:t>
            </w:r>
          </w:p>
        </w:tc>
        <w:tc>
          <w:tcPr>
            <w:tcW w:w="1333" w:type="dxa"/>
            <w:noWrap/>
            <w:vAlign w:val="center"/>
          </w:tcPr>
          <w:p w14:paraId="28D0D4B6">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大彭村</w:t>
            </w:r>
          </w:p>
        </w:tc>
        <w:tc>
          <w:tcPr>
            <w:tcW w:w="1351" w:type="dxa"/>
            <w:noWrap/>
            <w:vAlign w:val="center"/>
          </w:tcPr>
          <w:p w14:paraId="02DA930D">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新张井</w:t>
            </w:r>
          </w:p>
        </w:tc>
        <w:tc>
          <w:tcPr>
            <w:tcW w:w="1418" w:type="dxa"/>
            <w:noWrap/>
            <w:vAlign w:val="center"/>
          </w:tcPr>
          <w:p w14:paraId="7B6C4DC6">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350户</w:t>
            </w:r>
          </w:p>
        </w:tc>
        <w:tc>
          <w:tcPr>
            <w:tcW w:w="992" w:type="dxa"/>
            <w:noWrap/>
            <w:vAlign w:val="center"/>
          </w:tcPr>
          <w:p w14:paraId="495F1AC6">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350</w:t>
            </w:r>
          </w:p>
        </w:tc>
        <w:tc>
          <w:tcPr>
            <w:tcW w:w="1276" w:type="dxa"/>
            <w:noWrap/>
            <w:vAlign w:val="center"/>
          </w:tcPr>
          <w:p w14:paraId="788F921B">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1526人</w:t>
            </w:r>
          </w:p>
        </w:tc>
        <w:tc>
          <w:tcPr>
            <w:tcW w:w="1276" w:type="dxa"/>
            <w:noWrap/>
            <w:vAlign w:val="center"/>
          </w:tcPr>
          <w:p w14:paraId="7AB34FBC">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1526</w:t>
            </w:r>
          </w:p>
        </w:tc>
      </w:tr>
      <w:tr w14:paraId="6A75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restart"/>
            <w:noWrap/>
            <w:vAlign w:val="center"/>
          </w:tcPr>
          <w:p w14:paraId="7444D74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w:t>
            </w:r>
          </w:p>
        </w:tc>
        <w:tc>
          <w:tcPr>
            <w:tcW w:w="1333" w:type="dxa"/>
            <w:vMerge w:val="restart"/>
            <w:noWrap/>
            <w:vAlign w:val="center"/>
          </w:tcPr>
          <w:p w14:paraId="1814049D">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义安村</w:t>
            </w:r>
          </w:p>
        </w:tc>
        <w:tc>
          <w:tcPr>
            <w:tcW w:w="1351" w:type="dxa"/>
            <w:noWrap/>
            <w:vAlign w:val="center"/>
          </w:tcPr>
          <w:p w14:paraId="760FEEE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杨山头</w:t>
            </w:r>
          </w:p>
        </w:tc>
        <w:tc>
          <w:tcPr>
            <w:tcW w:w="1418" w:type="dxa"/>
            <w:noWrap/>
            <w:vAlign w:val="center"/>
          </w:tcPr>
          <w:p w14:paraId="03309001">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141</w:t>
            </w:r>
          </w:p>
        </w:tc>
        <w:tc>
          <w:tcPr>
            <w:tcW w:w="992" w:type="dxa"/>
            <w:vMerge w:val="restart"/>
            <w:noWrap/>
            <w:vAlign w:val="center"/>
          </w:tcPr>
          <w:p w14:paraId="6DF38865">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830</w:t>
            </w:r>
          </w:p>
        </w:tc>
        <w:tc>
          <w:tcPr>
            <w:tcW w:w="1276" w:type="dxa"/>
            <w:noWrap/>
            <w:vAlign w:val="center"/>
          </w:tcPr>
          <w:p w14:paraId="3B89BC7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594</w:t>
            </w:r>
          </w:p>
        </w:tc>
        <w:tc>
          <w:tcPr>
            <w:tcW w:w="1276" w:type="dxa"/>
            <w:vMerge w:val="restart"/>
            <w:noWrap/>
            <w:vAlign w:val="center"/>
          </w:tcPr>
          <w:p w14:paraId="76871F9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3440</w:t>
            </w:r>
          </w:p>
        </w:tc>
      </w:tr>
      <w:tr w14:paraId="1FC1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37163435">
            <w:pPr>
              <w:rPr>
                <w:rFonts w:hint="eastAsia" w:ascii="宋体" w:hAnsi="宋体" w:eastAsia="宋体" w:cs="宋体"/>
                <w:color w:val="000000"/>
                <w:sz w:val="24"/>
              </w:rPr>
            </w:pPr>
          </w:p>
        </w:tc>
        <w:tc>
          <w:tcPr>
            <w:tcW w:w="1333" w:type="dxa"/>
            <w:vMerge w:val="continue"/>
            <w:noWrap w:val="0"/>
            <w:vAlign w:val="center"/>
          </w:tcPr>
          <w:p w14:paraId="17DA97BD">
            <w:pPr>
              <w:rPr>
                <w:rFonts w:hint="eastAsia" w:ascii="宋体" w:hAnsi="宋体" w:eastAsia="宋体" w:cs="宋体"/>
                <w:b/>
                <w:bCs/>
                <w:color w:val="000000"/>
                <w:sz w:val="24"/>
              </w:rPr>
            </w:pPr>
          </w:p>
        </w:tc>
        <w:tc>
          <w:tcPr>
            <w:tcW w:w="1351" w:type="dxa"/>
            <w:noWrap/>
            <w:vAlign w:val="center"/>
          </w:tcPr>
          <w:p w14:paraId="1A741432">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义安</w:t>
            </w:r>
          </w:p>
        </w:tc>
        <w:tc>
          <w:tcPr>
            <w:tcW w:w="1418" w:type="dxa"/>
            <w:noWrap/>
            <w:vAlign w:val="center"/>
          </w:tcPr>
          <w:p w14:paraId="14C76CC5">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442</w:t>
            </w:r>
          </w:p>
        </w:tc>
        <w:tc>
          <w:tcPr>
            <w:tcW w:w="992" w:type="dxa"/>
            <w:vMerge w:val="continue"/>
            <w:noWrap w:val="0"/>
            <w:vAlign w:val="center"/>
          </w:tcPr>
          <w:p w14:paraId="5707AD79">
            <w:pPr>
              <w:rPr>
                <w:rFonts w:hint="eastAsia" w:ascii="宋体" w:hAnsi="宋体" w:eastAsia="宋体" w:cs="宋体"/>
                <w:color w:val="000000"/>
                <w:sz w:val="24"/>
              </w:rPr>
            </w:pPr>
          </w:p>
        </w:tc>
        <w:tc>
          <w:tcPr>
            <w:tcW w:w="1276" w:type="dxa"/>
            <w:noWrap/>
            <w:vAlign w:val="center"/>
          </w:tcPr>
          <w:p w14:paraId="2E60468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1903</w:t>
            </w:r>
          </w:p>
        </w:tc>
        <w:tc>
          <w:tcPr>
            <w:tcW w:w="1276" w:type="dxa"/>
            <w:vMerge w:val="continue"/>
            <w:noWrap w:val="0"/>
            <w:vAlign w:val="center"/>
          </w:tcPr>
          <w:p w14:paraId="738C9B54">
            <w:pPr>
              <w:rPr>
                <w:rFonts w:hint="eastAsia" w:ascii="宋体" w:hAnsi="宋体" w:eastAsia="宋体" w:cs="宋体"/>
                <w:color w:val="000000"/>
                <w:sz w:val="24"/>
              </w:rPr>
            </w:pPr>
          </w:p>
        </w:tc>
      </w:tr>
      <w:tr w14:paraId="4444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660AB541">
            <w:pPr>
              <w:rPr>
                <w:rFonts w:hint="eastAsia" w:ascii="宋体" w:hAnsi="宋体" w:eastAsia="宋体" w:cs="宋体"/>
                <w:color w:val="000000"/>
                <w:sz w:val="24"/>
              </w:rPr>
            </w:pPr>
          </w:p>
        </w:tc>
        <w:tc>
          <w:tcPr>
            <w:tcW w:w="1333" w:type="dxa"/>
            <w:vMerge w:val="continue"/>
            <w:noWrap w:val="0"/>
            <w:vAlign w:val="center"/>
          </w:tcPr>
          <w:p w14:paraId="6A5B1E36">
            <w:pPr>
              <w:rPr>
                <w:rFonts w:hint="eastAsia" w:ascii="宋体" w:hAnsi="宋体" w:eastAsia="宋体" w:cs="宋体"/>
                <w:b/>
                <w:bCs/>
                <w:color w:val="000000"/>
                <w:sz w:val="24"/>
              </w:rPr>
            </w:pPr>
          </w:p>
        </w:tc>
        <w:tc>
          <w:tcPr>
            <w:tcW w:w="1351" w:type="dxa"/>
            <w:noWrap/>
            <w:vAlign w:val="center"/>
          </w:tcPr>
          <w:p w14:paraId="43F3BCA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下王庄</w:t>
            </w:r>
          </w:p>
        </w:tc>
        <w:tc>
          <w:tcPr>
            <w:tcW w:w="1418" w:type="dxa"/>
            <w:noWrap/>
            <w:vAlign w:val="center"/>
          </w:tcPr>
          <w:p w14:paraId="478ECDE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247</w:t>
            </w:r>
          </w:p>
        </w:tc>
        <w:tc>
          <w:tcPr>
            <w:tcW w:w="992" w:type="dxa"/>
            <w:vMerge w:val="continue"/>
            <w:noWrap w:val="0"/>
            <w:vAlign w:val="center"/>
          </w:tcPr>
          <w:p w14:paraId="417DB8B1">
            <w:pPr>
              <w:rPr>
                <w:rFonts w:hint="eastAsia" w:ascii="宋体" w:hAnsi="宋体" w:eastAsia="宋体" w:cs="宋体"/>
                <w:color w:val="000000"/>
                <w:sz w:val="24"/>
              </w:rPr>
            </w:pPr>
          </w:p>
        </w:tc>
        <w:tc>
          <w:tcPr>
            <w:tcW w:w="1276" w:type="dxa"/>
            <w:noWrap/>
            <w:vAlign w:val="center"/>
          </w:tcPr>
          <w:p w14:paraId="202222D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943</w:t>
            </w:r>
          </w:p>
        </w:tc>
        <w:tc>
          <w:tcPr>
            <w:tcW w:w="1276" w:type="dxa"/>
            <w:vMerge w:val="continue"/>
            <w:noWrap w:val="0"/>
            <w:vAlign w:val="center"/>
          </w:tcPr>
          <w:p w14:paraId="33378E01">
            <w:pPr>
              <w:rPr>
                <w:rFonts w:hint="eastAsia" w:ascii="宋体" w:hAnsi="宋体" w:eastAsia="宋体" w:cs="宋体"/>
                <w:color w:val="000000"/>
                <w:sz w:val="24"/>
              </w:rPr>
            </w:pPr>
          </w:p>
        </w:tc>
      </w:tr>
      <w:tr w14:paraId="5EF3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restart"/>
            <w:noWrap/>
            <w:vAlign w:val="center"/>
          </w:tcPr>
          <w:p w14:paraId="17C815C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p>
        </w:tc>
        <w:tc>
          <w:tcPr>
            <w:tcW w:w="1333" w:type="dxa"/>
            <w:vMerge w:val="restart"/>
            <w:noWrap/>
            <w:vAlign w:val="center"/>
          </w:tcPr>
          <w:p w14:paraId="6565D083">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权寨村</w:t>
            </w:r>
          </w:p>
        </w:tc>
        <w:tc>
          <w:tcPr>
            <w:tcW w:w="1351" w:type="dxa"/>
            <w:noWrap/>
            <w:vAlign w:val="center"/>
          </w:tcPr>
          <w:p w14:paraId="3CB66FE6">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小柳庄</w:t>
            </w:r>
          </w:p>
        </w:tc>
        <w:tc>
          <w:tcPr>
            <w:tcW w:w="1418" w:type="dxa"/>
            <w:noWrap/>
            <w:vAlign w:val="center"/>
          </w:tcPr>
          <w:p w14:paraId="280D44D6">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178</w:t>
            </w:r>
          </w:p>
        </w:tc>
        <w:tc>
          <w:tcPr>
            <w:tcW w:w="992" w:type="dxa"/>
            <w:vMerge w:val="restart"/>
            <w:noWrap/>
            <w:vAlign w:val="center"/>
          </w:tcPr>
          <w:p w14:paraId="6A221C0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789</w:t>
            </w:r>
          </w:p>
        </w:tc>
        <w:tc>
          <w:tcPr>
            <w:tcW w:w="1276" w:type="dxa"/>
            <w:noWrap/>
            <w:vAlign w:val="center"/>
          </w:tcPr>
          <w:p w14:paraId="64703512">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722</w:t>
            </w:r>
          </w:p>
        </w:tc>
        <w:tc>
          <w:tcPr>
            <w:tcW w:w="1276" w:type="dxa"/>
            <w:vMerge w:val="restart"/>
            <w:noWrap/>
            <w:vAlign w:val="center"/>
          </w:tcPr>
          <w:p w14:paraId="23D1FC53">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3160</w:t>
            </w:r>
          </w:p>
        </w:tc>
      </w:tr>
      <w:tr w14:paraId="3920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0E7A8EE7">
            <w:pPr>
              <w:rPr>
                <w:rFonts w:hint="eastAsia" w:ascii="宋体" w:hAnsi="宋体" w:eastAsia="宋体" w:cs="宋体"/>
                <w:color w:val="000000"/>
                <w:sz w:val="24"/>
              </w:rPr>
            </w:pPr>
          </w:p>
        </w:tc>
        <w:tc>
          <w:tcPr>
            <w:tcW w:w="1333" w:type="dxa"/>
            <w:vMerge w:val="continue"/>
            <w:noWrap w:val="0"/>
            <w:vAlign w:val="center"/>
          </w:tcPr>
          <w:p w14:paraId="6EB75B6F">
            <w:pPr>
              <w:rPr>
                <w:rFonts w:hint="eastAsia" w:ascii="宋体" w:hAnsi="宋体" w:eastAsia="宋体" w:cs="宋体"/>
                <w:b/>
                <w:bCs/>
                <w:color w:val="000000"/>
                <w:sz w:val="24"/>
              </w:rPr>
            </w:pPr>
          </w:p>
        </w:tc>
        <w:tc>
          <w:tcPr>
            <w:tcW w:w="1351" w:type="dxa"/>
            <w:noWrap/>
            <w:vAlign w:val="center"/>
          </w:tcPr>
          <w:p w14:paraId="190CA17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权寨</w:t>
            </w:r>
          </w:p>
        </w:tc>
        <w:tc>
          <w:tcPr>
            <w:tcW w:w="1418" w:type="dxa"/>
            <w:noWrap/>
            <w:vAlign w:val="center"/>
          </w:tcPr>
          <w:p w14:paraId="0A7B7B1B">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223</w:t>
            </w:r>
          </w:p>
        </w:tc>
        <w:tc>
          <w:tcPr>
            <w:tcW w:w="992" w:type="dxa"/>
            <w:vMerge w:val="continue"/>
            <w:noWrap w:val="0"/>
            <w:vAlign w:val="center"/>
          </w:tcPr>
          <w:p w14:paraId="5CE375F2">
            <w:pPr>
              <w:rPr>
                <w:rFonts w:hint="eastAsia" w:ascii="宋体" w:hAnsi="宋体" w:eastAsia="宋体" w:cs="宋体"/>
                <w:color w:val="000000"/>
                <w:sz w:val="24"/>
              </w:rPr>
            </w:pPr>
          </w:p>
        </w:tc>
        <w:tc>
          <w:tcPr>
            <w:tcW w:w="1276" w:type="dxa"/>
            <w:noWrap/>
            <w:vAlign w:val="center"/>
          </w:tcPr>
          <w:p w14:paraId="37BEA15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887</w:t>
            </w:r>
          </w:p>
        </w:tc>
        <w:tc>
          <w:tcPr>
            <w:tcW w:w="1276" w:type="dxa"/>
            <w:vMerge w:val="continue"/>
            <w:noWrap w:val="0"/>
            <w:vAlign w:val="center"/>
          </w:tcPr>
          <w:p w14:paraId="4F9E7BDD">
            <w:pPr>
              <w:rPr>
                <w:rFonts w:hint="eastAsia" w:ascii="宋体" w:hAnsi="宋体" w:eastAsia="宋体" w:cs="宋体"/>
                <w:color w:val="000000"/>
                <w:sz w:val="24"/>
              </w:rPr>
            </w:pPr>
          </w:p>
        </w:tc>
      </w:tr>
      <w:tr w14:paraId="23B4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701AD1FC">
            <w:pPr>
              <w:rPr>
                <w:rFonts w:hint="eastAsia" w:ascii="宋体" w:hAnsi="宋体" w:eastAsia="宋体" w:cs="宋体"/>
                <w:color w:val="000000"/>
                <w:sz w:val="24"/>
              </w:rPr>
            </w:pPr>
          </w:p>
        </w:tc>
        <w:tc>
          <w:tcPr>
            <w:tcW w:w="1333" w:type="dxa"/>
            <w:vMerge w:val="continue"/>
            <w:noWrap w:val="0"/>
            <w:vAlign w:val="center"/>
          </w:tcPr>
          <w:p w14:paraId="31FDB049">
            <w:pPr>
              <w:rPr>
                <w:rFonts w:hint="eastAsia" w:ascii="宋体" w:hAnsi="宋体" w:eastAsia="宋体" w:cs="宋体"/>
                <w:b/>
                <w:bCs/>
                <w:color w:val="000000"/>
                <w:sz w:val="24"/>
              </w:rPr>
            </w:pPr>
          </w:p>
        </w:tc>
        <w:tc>
          <w:tcPr>
            <w:tcW w:w="1351" w:type="dxa"/>
            <w:noWrap/>
            <w:vAlign w:val="center"/>
          </w:tcPr>
          <w:p w14:paraId="7046EBD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杨楼</w:t>
            </w:r>
          </w:p>
        </w:tc>
        <w:tc>
          <w:tcPr>
            <w:tcW w:w="1418" w:type="dxa"/>
            <w:noWrap/>
            <w:vAlign w:val="center"/>
          </w:tcPr>
          <w:p w14:paraId="460DC3EF">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82</w:t>
            </w:r>
          </w:p>
        </w:tc>
        <w:tc>
          <w:tcPr>
            <w:tcW w:w="992" w:type="dxa"/>
            <w:vMerge w:val="continue"/>
            <w:noWrap w:val="0"/>
            <w:vAlign w:val="center"/>
          </w:tcPr>
          <w:p w14:paraId="0D8573DA">
            <w:pPr>
              <w:rPr>
                <w:rFonts w:hint="eastAsia" w:ascii="宋体" w:hAnsi="宋体" w:eastAsia="宋体" w:cs="宋体"/>
                <w:color w:val="000000"/>
                <w:sz w:val="24"/>
              </w:rPr>
            </w:pPr>
          </w:p>
        </w:tc>
        <w:tc>
          <w:tcPr>
            <w:tcW w:w="1276" w:type="dxa"/>
            <w:noWrap/>
            <w:vAlign w:val="center"/>
          </w:tcPr>
          <w:p w14:paraId="43A09C76">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317</w:t>
            </w:r>
          </w:p>
        </w:tc>
        <w:tc>
          <w:tcPr>
            <w:tcW w:w="1276" w:type="dxa"/>
            <w:vMerge w:val="continue"/>
            <w:noWrap w:val="0"/>
            <w:vAlign w:val="center"/>
          </w:tcPr>
          <w:p w14:paraId="1A865020">
            <w:pPr>
              <w:rPr>
                <w:rFonts w:hint="eastAsia" w:ascii="宋体" w:hAnsi="宋体" w:eastAsia="宋体" w:cs="宋体"/>
                <w:color w:val="000000"/>
                <w:sz w:val="24"/>
              </w:rPr>
            </w:pPr>
          </w:p>
        </w:tc>
      </w:tr>
      <w:tr w14:paraId="37CB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2331D60C">
            <w:pPr>
              <w:rPr>
                <w:rFonts w:hint="eastAsia" w:ascii="宋体" w:hAnsi="宋体" w:eastAsia="宋体" w:cs="宋体"/>
                <w:color w:val="000000"/>
                <w:sz w:val="24"/>
              </w:rPr>
            </w:pPr>
          </w:p>
        </w:tc>
        <w:tc>
          <w:tcPr>
            <w:tcW w:w="1333" w:type="dxa"/>
            <w:vMerge w:val="continue"/>
            <w:noWrap w:val="0"/>
            <w:vAlign w:val="center"/>
          </w:tcPr>
          <w:p w14:paraId="0415C551">
            <w:pPr>
              <w:rPr>
                <w:rFonts w:hint="eastAsia" w:ascii="宋体" w:hAnsi="宋体" w:eastAsia="宋体" w:cs="宋体"/>
                <w:b/>
                <w:bCs/>
                <w:color w:val="000000"/>
                <w:sz w:val="24"/>
              </w:rPr>
            </w:pPr>
          </w:p>
        </w:tc>
        <w:tc>
          <w:tcPr>
            <w:tcW w:w="1351" w:type="dxa"/>
            <w:noWrap/>
            <w:vAlign w:val="center"/>
          </w:tcPr>
          <w:p w14:paraId="5A58BC79">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胡集</w:t>
            </w:r>
          </w:p>
        </w:tc>
        <w:tc>
          <w:tcPr>
            <w:tcW w:w="1418" w:type="dxa"/>
            <w:noWrap/>
            <w:vAlign w:val="center"/>
          </w:tcPr>
          <w:p w14:paraId="5A44324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178</w:t>
            </w:r>
          </w:p>
        </w:tc>
        <w:tc>
          <w:tcPr>
            <w:tcW w:w="992" w:type="dxa"/>
            <w:vMerge w:val="continue"/>
            <w:noWrap w:val="0"/>
            <w:vAlign w:val="center"/>
          </w:tcPr>
          <w:p w14:paraId="3693D141">
            <w:pPr>
              <w:rPr>
                <w:rFonts w:hint="eastAsia" w:ascii="宋体" w:hAnsi="宋体" w:eastAsia="宋体" w:cs="宋体"/>
                <w:color w:val="000000"/>
                <w:sz w:val="24"/>
              </w:rPr>
            </w:pPr>
          </w:p>
        </w:tc>
        <w:tc>
          <w:tcPr>
            <w:tcW w:w="1276" w:type="dxa"/>
            <w:noWrap/>
            <w:vAlign w:val="center"/>
          </w:tcPr>
          <w:p w14:paraId="2088A5C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688</w:t>
            </w:r>
          </w:p>
        </w:tc>
        <w:tc>
          <w:tcPr>
            <w:tcW w:w="1276" w:type="dxa"/>
            <w:vMerge w:val="continue"/>
            <w:noWrap w:val="0"/>
            <w:vAlign w:val="center"/>
          </w:tcPr>
          <w:p w14:paraId="44A39455">
            <w:pPr>
              <w:rPr>
                <w:rFonts w:hint="eastAsia" w:ascii="宋体" w:hAnsi="宋体" w:eastAsia="宋体" w:cs="宋体"/>
                <w:color w:val="000000"/>
                <w:sz w:val="24"/>
              </w:rPr>
            </w:pPr>
          </w:p>
        </w:tc>
      </w:tr>
      <w:tr w14:paraId="2C0A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55A92C04">
            <w:pPr>
              <w:rPr>
                <w:rFonts w:hint="eastAsia" w:ascii="宋体" w:hAnsi="宋体" w:eastAsia="宋体" w:cs="宋体"/>
                <w:color w:val="000000"/>
                <w:sz w:val="24"/>
              </w:rPr>
            </w:pPr>
          </w:p>
        </w:tc>
        <w:tc>
          <w:tcPr>
            <w:tcW w:w="1333" w:type="dxa"/>
            <w:vMerge w:val="continue"/>
            <w:noWrap w:val="0"/>
            <w:vAlign w:val="center"/>
          </w:tcPr>
          <w:p w14:paraId="4F51766A">
            <w:pPr>
              <w:rPr>
                <w:rFonts w:hint="eastAsia" w:ascii="宋体" w:hAnsi="宋体" w:eastAsia="宋体" w:cs="宋体"/>
                <w:b/>
                <w:bCs/>
                <w:color w:val="000000"/>
                <w:sz w:val="24"/>
              </w:rPr>
            </w:pPr>
          </w:p>
        </w:tc>
        <w:tc>
          <w:tcPr>
            <w:tcW w:w="1351" w:type="dxa"/>
            <w:noWrap/>
            <w:vAlign w:val="center"/>
          </w:tcPr>
          <w:p w14:paraId="3CFC3AFF">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官庄</w:t>
            </w:r>
          </w:p>
        </w:tc>
        <w:tc>
          <w:tcPr>
            <w:tcW w:w="1418" w:type="dxa"/>
            <w:noWrap/>
            <w:vAlign w:val="center"/>
          </w:tcPr>
          <w:p w14:paraId="39FA9575">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66</w:t>
            </w:r>
          </w:p>
        </w:tc>
        <w:tc>
          <w:tcPr>
            <w:tcW w:w="992" w:type="dxa"/>
            <w:vMerge w:val="continue"/>
            <w:noWrap w:val="0"/>
            <w:vAlign w:val="center"/>
          </w:tcPr>
          <w:p w14:paraId="3C55BECA">
            <w:pPr>
              <w:rPr>
                <w:rFonts w:hint="eastAsia" w:ascii="宋体" w:hAnsi="宋体" w:eastAsia="宋体" w:cs="宋体"/>
                <w:color w:val="000000"/>
                <w:sz w:val="24"/>
              </w:rPr>
            </w:pPr>
          </w:p>
        </w:tc>
        <w:tc>
          <w:tcPr>
            <w:tcW w:w="1276" w:type="dxa"/>
            <w:noWrap/>
            <w:vAlign w:val="center"/>
          </w:tcPr>
          <w:p w14:paraId="31BF84DA">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282</w:t>
            </w:r>
          </w:p>
        </w:tc>
        <w:tc>
          <w:tcPr>
            <w:tcW w:w="1276" w:type="dxa"/>
            <w:vMerge w:val="continue"/>
            <w:noWrap w:val="0"/>
            <w:vAlign w:val="center"/>
          </w:tcPr>
          <w:p w14:paraId="112867B2">
            <w:pPr>
              <w:rPr>
                <w:rFonts w:hint="eastAsia" w:ascii="宋体" w:hAnsi="宋体" w:eastAsia="宋体" w:cs="宋体"/>
                <w:color w:val="000000"/>
                <w:sz w:val="24"/>
              </w:rPr>
            </w:pPr>
          </w:p>
        </w:tc>
      </w:tr>
      <w:tr w14:paraId="0C49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015A12C5">
            <w:pPr>
              <w:rPr>
                <w:rFonts w:hint="eastAsia" w:ascii="宋体" w:hAnsi="宋体" w:eastAsia="宋体" w:cs="宋体"/>
                <w:color w:val="000000"/>
                <w:sz w:val="24"/>
              </w:rPr>
            </w:pPr>
          </w:p>
        </w:tc>
        <w:tc>
          <w:tcPr>
            <w:tcW w:w="1333" w:type="dxa"/>
            <w:vMerge w:val="continue"/>
            <w:noWrap w:val="0"/>
            <w:vAlign w:val="center"/>
          </w:tcPr>
          <w:p w14:paraId="0CE74A7F">
            <w:pPr>
              <w:rPr>
                <w:rFonts w:hint="eastAsia" w:ascii="宋体" w:hAnsi="宋体" w:eastAsia="宋体" w:cs="宋体"/>
                <w:b/>
                <w:bCs/>
                <w:color w:val="000000"/>
                <w:sz w:val="24"/>
              </w:rPr>
            </w:pPr>
          </w:p>
        </w:tc>
        <w:tc>
          <w:tcPr>
            <w:tcW w:w="1351" w:type="dxa"/>
            <w:noWrap/>
            <w:vAlign w:val="center"/>
          </w:tcPr>
          <w:p w14:paraId="36748819">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孟庄</w:t>
            </w:r>
          </w:p>
        </w:tc>
        <w:tc>
          <w:tcPr>
            <w:tcW w:w="1418" w:type="dxa"/>
            <w:noWrap/>
            <w:vAlign w:val="center"/>
          </w:tcPr>
          <w:p w14:paraId="70AE695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62</w:t>
            </w:r>
          </w:p>
        </w:tc>
        <w:tc>
          <w:tcPr>
            <w:tcW w:w="992" w:type="dxa"/>
            <w:vMerge w:val="continue"/>
            <w:noWrap w:val="0"/>
            <w:vAlign w:val="center"/>
          </w:tcPr>
          <w:p w14:paraId="6217E47B">
            <w:pPr>
              <w:rPr>
                <w:rFonts w:hint="eastAsia" w:ascii="宋体" w:hAnsi="宋体" w:eastAsia="宋体" w:cs="宋体"/>
                <w:color w:val="000000"/>
                <w:sz w:val="24"/>
              </w:rPr>
            </w:pPr>
          </w:p>
        </w:tc>
        <w:tc>
          <w:tcPr>
            <w:tcW w:w="1276" w:type="dxa"/>
            <w:noWrap/>
            <w:vAlign w:val="center"/>
          </w:tcPr>
          <w:p w14:paraId="68BB5E3A">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264</w:t>
            </w:r>
          </w:p>
        </w:tc>
        <w:tc>
          <w:tcPr>
            <w:tcW w:w="1276" w:type="dxa"/>
            <w:vMerge w:val="continue"/>
            <w:noWrap w:val="0"/>
            <w:vAlign w:val="center"/>
          </w:tcPr>
          <w:p w14:paraId="12581051">
            <w:pPr>
              <w:rPr>
                <w:rFonts w:hint="eastAsia" w:ascii="宋体" w:hAnsi="宋体" w:eastAsia="宋体" w:cs="宋体"/>
                <w:color w:val="000000"/>
                <w:sz w:val="24"/>
              </w:rPr>
            </w:pPr>
          </w:p>
        </w:tc>
      </w:tr>
      <w:tr w14:paraId="52AF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restart"/>
            <w:noWrap/>
            <w:vAlign w:val="center"/>
          </w:tcPr>
          <w:p w14:paraId="64939275">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8</w:t>
            </w:r>
          </w:p>
        </w:tc>
        <w:tc>
          <w:tcPr>
            <w:tcW w:w="1333" w:type="dxa"/>
            <w:vMerge w:val="restart"/>
            <w:noWrap/>
            <w:vAlign w:val="center"/>
          </w:tcPr>
          <w:p w14:paraId="4AC7D81D">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程庄村</w:t>
            </w:r>
          </w:p>
        </w:tc>
        <w:tc>
          <w:tcPr>
            <w:tcW w:w="1351" w:type="dxa"/>
            <w:noWrap/>
            <w:vAlign w:val="center"/>
          </w:tcPr>
          <w:p w14:paraId="34B77A96">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程庄</w:t>
            </w:r>
          </w:p>
        </w:tc>
        <w:tc>
          <w:tcPr>
            <w:tcW w:w="1418" w:type="dxa"/>
            <w:noWrap/>
            <w:vAlign w:val="center"/>
          </w:tcPr>
          <w:p w14:paraId="49D30BAD">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705</w:t>
            </w:r>
          </w:p>
        </w:tc>
        <w:tc>
          <w:tcPr>
            <w:tcW w:w="992" w:type="dxa"/>
            <w:vMerge w:val="restart"/>
            <w:noWrap/>
            <w:vAlign w:val="center"/>
          </w:tcPr>
          <w:p w14:paraId="58868C0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1735</w:t>
            </w:r>
          </w:p>
        </w:tc>
        <w:tc>
          <w:tcPr>
            <w:tcW w:w="1276" w:type="dxa"/>
            <w:noWrap/>
            <w:vAlign w:val="center"/>
          </w:tcPr>
          <w:p w14:paraId="57C83704">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3070</w:t>
            </w:r>
          </w:p>
        </w:tc>
        <w:tc>
          <w:tcPr>
            <w:tcW w:w="1276" w:type="dxa"/>
            <w:vMerge w:val="restart"/>
            <w:noWrap/>
            <w:vAlign w:val="center"/>
          </w:tcPr>
          <w:p w14:paraId="164EDE86">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6350</w:t>
            </w:r>
          </w:p>
        </w:tc>
      </w:tr>
      <w:tr w14:paraId="710D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27269E27">
            <w:pPr>
              <w:rPr>
                <w:rFonts w:hint="eastAsia" w:ascii="宋体" w:hAnsi="宋体" w:eastAsia="宋体" w:cs="宋体"/>
                <w:color w:val="000000"/>
                <w:sz w:val="24"/>
              </w:rPr>
            </w:pPr>
          </w:p>
        </w:tc>
        <w:tc>
          <w:tcPr>
            <w:tcW w:w="1333" w:type="dxa"/>
            <w:vMerge w:val="continue"/>
            <w:noWrap w:val="0"/>
            <w:vAlign w:val="center"/>
          </w:tcPr>
          <w:p w14:paraId="43C1367C">
            <w:pPr>
              <w:rPr>
                <w:rFonts w:hint="eastAsia" w:ascii="宋体" w:hAnsi="宋体" w:eastAsia="宋体" w:cs="宋体"/>
                <w:b/>
                <w:bCs/>
                <w:color w:val="000000"/>
                <w:sz w:val="24"/>
              </w:rPr>
            </w:pPr>
          </w:p>
        </w:tc>
        <w:tc>
          <w:tcPr>
            <w:tcW w:w="1351" w:type="dxa"/>
            <w:noWrap/>
            <w:vAlign w:val="center"/>
          </w:tcPr>
          <w:p w14:paraId="654AAD24">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土楼</w:t>
            </w:r>
          </w:p>
        </w:tc>
        <w:tc>
          <w:tcPr>
            <w:tcW w:w="1418" w:type="dxa"/>
            <w:noWrap/>
            <w:vAlign w:val="center"/>
          </w:tcPr>
          <w:p w14:paraId="71DE89B4">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565</w:t>
            </w:r>
          </w:p>
        </w:tc>
        <w:tc>
          <w:tcPr>
            <w:tcW w:w="992" w:type="dxa"/>
            <w:vMerge w:val="continue"/>
            <w:noWrap w:val="0"/>
            <w:vAlign w:val="center"/>
          </w:tcPr>
          <w:p w14:paraId="537B8224">
            <w:pPr>
              <w:rPr>
                <w:rFonts w:hint="eastAsia" w:ascii="宋体" w:hAnsi="宋体" w:eastAsia="宋体" w:cs="宋体"/>
                <w:color w:val="000000"/>
                <w:sz w:val="24"/>
              </w:rPr>
            </w:pPr>
          </w:p>
        </w:tc>
        <w:tc>
          <w:tcPr>
            <w:tcW w:w="1276" w:type="dxa"/>
            <w:noWrap/>
            <w:vAlign w:val="center"/>
          </w:tcPr>
          <w:p w14:paraId="2FD517D1">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1810</w:t>
            </w:r>
          </w:p>
        </w:tc>
        <w:tc>
          <w:tcPr>
            <w:tcW w:w="1276" w:type="dxa"/>
            <w:vMerge w:val="continue"/>
            <w:noWrap w:val="0"/>
            <w:vAlign w:val="center"/>
          </w:tcPr>
          <w:p w14:paraId="0541EDA6">
            <w:pPr>
              <w:rPr>
                <w:rFonts w:hint="eastAsia" w:ascii="宋体" w:hAnsi="宋体" w:eastAsia="宋体" w:cs="宋体"/>
                <w:color w:val="000000"/>
                <w:sz w:val="24"/>
              </w:rPr>
            </w:pPr>
          </w:p>
        </w:tc>
      </w:tr>
      <w:tr w14:paraId="1D55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2E04A4ED">
            <w:pPr>
              <w:rPr>
                <w:rFonts w:hint="eastAsia" w:ascii="宋体" w:hAnsi="宋体" w:eastAsia="宋体" w:cs="宋体"/>
                <w:color w:val="000000"/>
                <w:sz w:val="24"/>
              </w:rPr>
            </w:pPr>
          </w:p>
        </w:tc>
        <w:tc>
          <w:tcPr>
            <w:tcW w:w="1333" w:type="dxa"/>
            <w:vMerge w:val="continue"/>
            <w:noWrap w:val="0"/>
            <w:vAlign w:val="center"/>
          </w:tcPr>
          <w:p w14:paraId="499E01D4">
            <w:pPr>
              <w:rPr>
                <w:rFonts w:hint="eastAsia" w:ascii="宋体" w:hAnsi="宋体" w:eastAsia="宋体" w:cs="宋体"/>
                <w:b/>
                <w:bCs/>
                <w:color w:val="000000"/>
                <w:sz w:val="24"/>
              </w:rPr>
            </w:pPr>
          </w:p>
        </w:tc>
        <w:tc>
          <w:tcPr>
            <w:tcW w:w="1351" w:type="dxa"/>
            <w:noWrap/>
            <w:vAlign w:val="center"/>
          </w:tcPr>
          <w:p w14:paraId="1E0D48F9">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两半庄</w:t>
            </w:r>
          </w:p>
        </w:tc>
        <w:tc>
          <w:tcPr>
            <w:tcW w:w="1418" w:type="dxa"/>
            <w:noWrap/>
            <w:vAlign w:val="center"/>
          </w:tcPr>
          <w:p w14:paraId="3A970971">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465</w:t>
            </w:r>
          </w:p>
        </w:tc>
        <w:tc>
          <w:tcPr>
            <w:tcW w:w="992" w:type="dxa"/>
            <w:vMerge w:val="continue"/>
            <w:noWrap w:val="0"/>
            <w:vAlign w:val="center"/>
          </w:tcPr>
          <w:p w14:paraId="5FA1072B">
            <w:pPr>
              <w:rPr>
                <w:rFonts w:hint="eastAsia" w:ascii="宋体" w:hAnsi="宋体" w:eastAsia="宋体" w:cs="宋体"/>
                <w:color w:val="000000"/>
                <w:sz w:val="24"/>
              </w:rPr>
            </w:pPr>
          </w:p>
        </w:tc>
        <w:tc>
          <w:tcPr>
            <w:tcW w:w="1276" w:type="dxa"/>
            <w:noWrap/>
            <w:vAlign w:val="center"/>
          </w:tcPr>
          <w:p w14:paraId="6C109122">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1470</w:t>
            </w:r>
          </w:p>
        </w:tc>
        <w:tc>
          <w:tcPr>
            <w:tcW w:w="1276" w:type="dxa"/>
            <w:vMerge w:val="continue"/>
            <w:noWrap w:val="0"/>
            <w:vAlign w:val="center"/>
          </w:tcPr>
          <w:p w14:paraId="2EC367C1">
            <w:pPr>
              <w:rPr>
                <w:rFonts w:hint="eastAsia" w:ascii="宋体" w:hAnsi="宋体" w:eastAsia="宋体" w:cs="宋体"/>
                <w:color w:val="000000"/>
                <w:sz w:val="24"/>
              </w:rPr>
            </w:pPr>
          </w:p>
        </w:tc>
      </w:tr>
      <w:tr w14:paraId="56DC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restart"/>
            <w:noWrap/>
            <w:vAlign w:val="center"/>
          </w:tcPr>
          <w:p w14:paraId="12EBC255">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9</w:t>
            </w:r>
          </w:p>
        </w:tc>
        <w:tc>
          <w:tcPr>
            <w:tcW w:w="1333" w:type="dxa"/>
            <w:vMerge w:val="restart"/>
            <w:noWrap/>
            <w:vAlign w:val="center"/>
          </w:tcPr>
          <w:p w14:paraId="4B198892">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闸口村</w:t>
            </w:r>
          </w:p>
        </w:tc>
        <w:tc>
          <w:tcPr>
            <w:tcW w:w="1351" w:type="dxa"/>
            <w:noWrap/>
            <w:vAlign w:val="center"/>
          </w:tcPr>
          <w:p w14:paraId="0EC98301">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闸口</w:t>
            </w:r>
          </w:p>
        </w:tc>
        <w:tc>
          <w:tcPr>
            <w:tcW w:w="1418" w:type="dxa"/>
            <w:noWrap/>
            <w:vAlign w:val="center"/>
          </w:tcPr>
          <w:p w14:paraId="5E789FC2">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570</w:t>
            </w:r>
          </w:p>
        </w:tc>
        <w:tc>
          <w:tcPr>
            <w:tcW w:w="992" w:type="dxa"/>
            <w:vMerge w:val="restart"/>
            <w:noWrap/>
            <w:vAlign w:val="center"/>
          </w:tcPr>
          <w:p w14:paraId="073D0B3B">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1200</w:t>
            </w:r>
          </w:p>
        </w:tc>
        <w:tc>
          <w:tcPr>
            <w:tcW w:w="1276" w:type="dxa"/>
            <w:noWrap/>
            <w:vAlign w:val="center"/>
          </w:tcPr>
          <w:p w14:paraId="2536F72F">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2210</w:t>
            </w:r>
          </w:p>
        </w:tc>
        <w:tc>
          <w:tcPr>
            <w:tcW w:w="1276" w:type="dxa"/>
            <w:vMerge w:val="restart"/>
            <w:noWrap/>
            <w:vAlign w:val="center"/>
          </w:tcPr>
          <w:p w14:paraId="5E44E97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4650</w:t>
            </w:r>
          </w:p>
        </w:tc>
      </w:tr>
      <w:tr w14:paraId="699E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14155A5D">
            <w:pPr>
              <w:rPr>
                <w:rFonts w:hint="eastAsia" w:ascii="宋体" w:hAnsi="宋体" w:eastAsia="宋体" w:cs="宋体"/>
                <w:color w:val="000000"/>
                <w:sz w:val="24"/>
              </w:rPr>
            </w:pPr>
          </w:p>
        </w:tc>
        <w:tc>
          <w:tcPr>
            <w:tcW w:w="1333" w:type="dxa"/>
            <w:vMerge w:val="continue"/>
            <w:noWrap w:val="0"/>
            <w:vAlign w:val="center"/>
          </w:tcPr>
          <w:p w14:paraId="5EC2D595">
            <w:pPr>
              <w:rPr>
                <w:rFonts w:hint="eastAsia" w:ascii="宋体" w:hAnsi="宋体" w:eastAsia="宋体" w:cs="宋体"/>
                <w:b/>
                <w:bCs/>
                <w:color w:val="000000"/>
                <w:sz w:val="24"/>
              </w:rPr>
            </w:pPr>
          </w:p>
        </w:tc>
        <w:tc>
          <w:tcPr>
            <w:tcW w:w="1351" w:type="dxa"/>
            <w:noWrap/>
            <w:vAlign w:val="center"/>
          </w:tcPr>
          <w:p w14:paraId="70FDB07C">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王楼</w:t>
            </w:r>
          </w:p>
        </w:tc>
        <w:tc>
          <w:tcPr>
            <w:tcW w:w="1418" w:type="dxa"/>
            <w:noWrap/>
            <w:vAlign w:val="center"/>
          </w:tcPr>
          <w:p w14:paraId="083D188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175</w:t>
            </w:r>
          </w:p>
        </w:tc>
        <w:tc>
          <w:tcPr>
            <w:tcW w:w="992" w:type="dxa"/>
            <w:vMerge w:val="continue"/>
            <w:noWrap w:val="0"/>
            <w:vAlign w:val="center"/>
          </w:tcPr>
          <w:p w14:paraId="75CAFADB">
            <w:pPr>
              <w:rPr>
                <w:rFonts w:hint="eastAsia" w:ascii="宋体" w:hAnsi="宋体" w:eastAsia="宋体" w:cs="宋体"/>
                <w:color w:val="000000"/>
                <w:sz w:val="24"/>
              </w:rPr>
            </w:pPr>
          </w:p>
        </w:tc>
        <w:tc>
          <w:tcPr>
            <w:tcW w:w="1276" w:type="dxa"/>
            <w:noWrap/>
            <w:vAlign w:val="center"/>
          </w:tcPr>
          <w:p w14:paraId="5E2D0A0B">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690</w:t>
            </w:r>
          </w:p>
        </w:tc>
        <w:tc>
          <w:tcPr>
            <w:tcW w:w="1276" w:type="dxa"/>
            <w:vMerge w:val="continue"/>
            <w:noWrap w:val="0"/>
            <w:vAlign w:val="center"/>
          </w:tcPr>
          <w:p w14:paraId="0CF023CD">
            <w:pPr>
              <w:rPr>
                <w:rFonts w:hint="eastAsia" w:ascii="宋体" w:hAnsi="宋体" w:eastAsia="宋体" w:cs="宋体"/>
                <w:color w:val="000000"/>
                <w:sz w:val="24"/>
              </w:rPr>
            </w:pPr>
          </w:p>
        </w:tc>
      </w:tr>
      <w:tr w14:paraId="69D1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5AD6D836">
            <w:pPr>
              <w:rPr>
                <w:rFonts w:hint="eastAsia" w:ascii="宋体" w:hAnsi="宋体" w:eastAsia="宋体" w:cs="宋体"/>
                <w:color w:val="000000"/>
                <w:sz w:val="24"/>
              </w:rPr>
            </w:pPr>
          </w:p>
        </w:tc>
        <w:tc>
          <w:tcPr>
            <w:tcW w:w="1333" w:type="dxa"/>
            <w:vMerge w:val="continue"/>
            <w:noWrap w:val="0"/>
            <w:vAlign w:val="center"/>
          </w:tcPr>
          <w:p w14:paraId="6DF681CB">
            <w:pPr>
              <w:rPr>
                <w:rFonts w:hint="eastAsia" w:ascii="宋体" w:hAnsi="宋体" w:eastAsia="宋体" w:cs="宋体"/>
                <w:b/>
                <w:bCs/>
                <w:color w:val="000000"/>
                <w:sz w:val="24"/>
              </w:rPr>
            </w:pPr>
          </w:p>
        </w:tc>
        <w:tc>
          <w:tcPr>
            <w:tcW w:w="1351" w:type="dxa"/>
            <w:noWrap/>
            <w:vAlign w:val="center"/>
          </w:tcPr>
          <w:p w14:paraId="699B4C5F">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徐庵</w:t>
            </w:r>
          </w:p>
        </w:tc>
        <w:tc>
          <w:tcPr>
            <w:tcW w:w="1418" w:type="dxa"/>
            <w:noWrap/>
            <w:vAlign w:val="center"/>
          </w:tcPr>
          <w:p w14:paraId="1294EB63">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252</w:t>
            </w:r>
          </w:p>
        </w:tc>
        <w:tc>
          <w:tcPr>
            <w:tcW w:w="992" w:type="dxa"/>
            <w:vMerge w:val="continue"/>
            <w:noWrap w:val="0"/>
            <w:vAlign w:val="center"/>
          </w:tcPr>
          <w:p w14:paraId="674960D4">
            <w:pPr>
              <w:rPr>
                <w:rFonts w:hint="eastAsia" w:ascii="宋体" w:hAnsi="宋体" w:eastAsia="宋体" w:cs="宋体"/>
                <w:color w:val="000000"/>
                <w:sz w:val="24"/>
              </w:rPr>
            </w:pPr>
          </w:p>
        </w:tc>
        <w:tc>
          <w:tcPr>
            <w:tcW w:w="1276" w:type="dxa"/>
            <w:noWrap/>
            <w:vAlign w:val="center"/>
          </w:tcPr>
          <w:p w14:paraId="52805575">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1030</w:t>
            </w:r>
          </w:p>
        </w:tc>
        <w:tc>
          <w:tcPr>
            <w:tcW w:w="1276" w:type="dxa"/>
            <w:vMerge w:val="continue"/>
            <w:noWrap w:val="0"/>
            <w:vAlign w:val="center"/>
          </w:tcPr>
          <w:p w14:paraId="72406AA4">
            <w:pPr>
              <w:rPr>
                <w:rFonts w:hint="eastAsia" w:ascii="宋体" w:hAnsi="宋体" w:eastAsia="宋体" w:cs="宋体"/>
                <w:color w:val="000000"/>
                <w:sz w:val="24"/>
              </w:rPr>
            </w:pPr>
          </w:p>
        </w:tc>
      </w:tr>
      <w:tr w14:paraId="13C6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6F3BD033">
            <w:pPr>
              <w:rPr>
                <w:rFonts w:hint="eastAsia" w:ascii="宋体" w:hAnsi="宋体" w:eastAsia="宋体" w:cs="宋体"/>
                <w:color w:val="000000"/>
                <w:sz w:val="24"/>
              </w:rPr>
            </w:pPr>
          </w:p>
        </w:tc>
        <w:tc>
          <w:tcPr>
            <w:tcW w:w="1333" w:type="dxa"/>
            <w:vMerge w:val="continue"/>
            <w:noWrap w:val="0"/>
            <w:vAlign w:val="center"/>
          </w:tcPr>
          <w:p w14:paraId="1F899979">
            <w:pPr>
              <w:rPr>
                <w:rFonts w:hint="eastAsia" w:ascii="宋体" w:hAnsi="宋体" w:eastAsia="宋体" w:cs="宋体"/>
                <w:b/>
                <w:bCs/>
                <w:color w:val="000000"/>
                <w:sz w:val="24"/>
              </w:rPr>
            </w:pPr>
          </w:p>
        </w:tc>
        <w:tc>
          <w:tcPr>
            <w:tcW w:w="1351" w:type="dxa"/>
            <w:noWrap/>
            <w:vAlign w:val="center"/>
          </w:tcPr>
          <w:p w14:paraId="7CFF3FC6">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小山子</w:t>
            </w:r>
          </w:p>
        </w:tc>
        <w:tc>
          <w:tcPr>
            <w:tcW w:w="1418" w:type="dxa"/>
            <w:noWrap/>
            <w:vAlign w:val="center"/>
          </w:tcPr>
          <w:p w14:paraId="5F55BF0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203</w:t>
            </w:r>
          </w:p>
        </w:tc>
        <w:tc>
          <w:tcPr>
            <w:tcW w:w="992" w:type="dxa"/>
            <w:vMerge w:val="continue"/>
            <w:noWrap w:val="0"/>
            <w:vAlign w:val="center"/>
          </w:tcPr>
          <w:p w14:paraId="7F8EE900">
            <w:pPr>
              <w:rPr>
                <w:rFonts w:hint="eastAsia" w:ascii="宋体" w:hAnsi="宋体" w:eastAsia="宋体" w:cs="宋体"/>
                <w:color w:val="000000"/>
                <w:sz w:val="24"/>
              </w:rPr>
            </w:pPr>
          </w:p>
        </w:tc>
        <w:tc>
          <w:tcPr>
            <w:tcW w:w="1276" w:type="dxa"/>
            <w:noWrap/>
            <w:vAlign w:val="center"/>
          </w:tcPr>
          <w:p w14:paraId="456AF67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720</w:t>
            </w:r>
          </w:p>
        </w:tc>
        <w:tc>
          <w:tcPr>
            <w:tcW w:w="1276" w:type="dxa"/>
            <w:vMerge w:val="continue"/>
            <w:noWrap w:val="0"/>
            <w:vAlign w:val="center"/>
          </w:tcPr>
          <w:p w14:paraId="7DE814DE">
            <w:pPr>
              <w:rPr>
                <w:rFonts w:hint="eastAsia" w:ascii="宋体" w:hAnsi="宋体" w:eastAsia="宋体" w:cs="宋体"/>
                <w:color w:val="000000"/>
                <w:sz w:val="24"/>
              </w:rPr>
            </w:pPr>
          </w:p>
        </w:tc>
      </w:tr>
      <w:tr w14:paraId="6AC3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restart"/>
            <w:noWrap/>
            <w:vAlign w:val="center"/>
          </w:tcPr>
          <w:p w14:paraId="60B4298C">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10</w:t>
            </w:r>
          </w:p>
        </w:tc>
        <w:tc>
          <w:tcPr>
            <w:tcW w:w="1333" w:type="dxa"/>
            <w:vMerge w:val="restart"/>
            <w:noWrap/>
            <w:vAlign w:val="center"/>
          </w:tcPr>
          <w:p w14:paraId="2DA5FABC">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沙塘村</w:t>
            </w:r>
          </w:p>
        </w:tc>
        <w:tc>
          <w:tcPr>
            <w:tcW w:w="1351" w:type="dxa"/>
            <w:noWrap/>
            <w:vAlign w:val="center"/>
          </w:tcPr>
          <w:p w14:paraId="1BF9992D">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沙塘</w:t>
            </w:r>
          </w:p>
        </w:tc>
        <w:tc>
          <w:tcPr>
            <w:tcW w:w="1418" w:type="dxa"/>
            <w:noWrap/>
            <w:vAlign w:val="center"/>
          </w:tcPr>
          <w:p w14:paraId="69794956">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570</w:t>
            </w:r>
          </w:p>
        </w:tc>
        <w:tc>
          <w:tcPr>
            <w:tcW w:w="992" w:type="dxa"/>
            <w:vMerge w:val="restart"/>
            <w:noWrap/>
            <w:vAlign w:val="center"/>
          </w:tcPr>
          <w:p w14:paraId="0A96DA5D">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1081</w:t>
            </w:r>
          </w:p>
        </w:tc>
        <w:tc>
          <w:tcPr>
            <w:tcW w:w="1276" w:type="dxa"/>
            <w:noWrap/>
            <w:vAlign w:val="center"/>
          </w:tcPr>
          <w:p w14:paraId="65D11359">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1841</w:t>
            </w:r>
          </w:p>
        </w:tc>
        <w:tc>
          <w:tcPr>
            <w:tcW w:w="1276" w:type="dxa"/>
            <w:vMerge w:val="restart"/>
            <w:noWrap/>
            <w:vAlign w:val="center"/>
          </w:tcPr>
          <w:p w14:paraId="34CAB2EF">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3962</w:t>
            </w:r>
          </w:p>
        </w:tc>
      </w:tr>
      <w:tr w14:paraId="022E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5BE1DDCB">
            <w:pPr>
              <w:rPr>
                <w:rFonts w:hint="eastAsia" w:ascii="宋体" w:hAnsi="宋体" w:eastAsia="宋体" w:cs="宋体"/>
                <w:color w:val="000000"/>
                <w:sz w:val="24"/>
              </w:rPr>
            </w:pPr>
          </w:p>
        </w:tc>
        <w:tc>
          <w:tcPr>
            <w:tcW w:w="1333" w:type="dxa"/>
            <w:vMerge w:val="continue"/>
            <w:noWrap w:val="0"/>
            <w:vAlign w:val="center"/>
          </w:tcPr>
          <w:p w14:paraId="10669790">
            <w:pPr>
              <w:rPr>
                <w:rFonts w:hint="eastAsia" w:ascii="宋体" w:hAnsi="宋体" w:eastAsia="宋体" w:cs="宋体"/>
                <w:b/>
                <w:bCs/>
                <w:color w:val="000000"/>
                <w:sz w:val="24"/>
              </w:rPr>
            </w:pPr>
          </w:p>
        </w:tc>
        <w:tc>
          <w:tcPr>
            <w:tcW w:w="1351" w:type="dxa"/>
            <w:noWrap/>
            <w:vAlign w:val="center"/>
          </w:tcPr>
          <w:p w14:paraId="2B3242B3">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周庄</w:t>
            </w:r>
          </w:p>
        </w:tc>
        <w:tc>
          <w:tcPr>
            <w:tcW w:w="1418" w:type="dxa"/>
            <w:noWrap/>
            <w:vAlign w:val="center"/>
          </w:tcPr>
          <w:p w14:paraId="7188DFE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511</w:t>
            </w:r>
          </w:p>
        </w:tc>
        <w:tc>
          <w:tcPr>
            <w:tcW w:w="992" w:type="dxa"/>
            <w:vMerge w:val="continue"/>
            <w:noWrap w:val="0"/>
            <w:vAlign w:val="center"/>
          </w:tcPr>
          <w:p w14:paraId="7CC4802B">
            <w:pPr>
              <w:rPr>
                <w:rFonts w:hint="eastAsia" w:ascii="宋体" w:hAnsi="宋体" w:eastAsia="宋体" w:cs="宋体"/>
                <w:color w:val="000000"/>
                <w:sz w:val="24"/>
              </w:rPr>
            </w:pPr>
          </w:p>
        </w:tc>
        <w:tc>
          <w:tcPr>
            <w:tcW w:w="1276" w:type="dxa"/>
            <w:noWrap/>
            <w:vAlign w:val="center"/>
          </w:tcPr>
          <w:p w14:paraId="1F89587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2121</w:t>
            </w:r>
          </w:p>
        </w:tc>
        <w:tc>
          <w:tcPr>
            <w:tcW w:w="1276" w:type="dxa"/>
            <w:vMerge w:val="continue"/>
            <w:noWrap w:val="0"/>
            <w:vAlign w:val="center"/>
          </w:tcPr>
          <w:p w14:paraId="6A5D6D66">
            <w:pPr>
              <w:rPr>
                <w:rFonts w:hint="eastAsia" w:ascii="宋体" w:hAnsi="宋体" w:eastAsia="宋体" w:cs="宋体"/>
                <w:color w:val="000000"/>
                <w:sz w:val="24"/>
              </w:rPr>
            </w:pPr>
          </w:p>
        </w:tc>
      </w:tr>
      <w:tr w14:paraId="7C94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restart"/>
            <w:noWrap/>
            <w:vAlign w:val="center"/>
          </w:tcPr>
          <w:p w14:paraId="50A31A1A">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11</w:t>
            </w:r>
          </w:p>
        </w:tc>
        <w:tc>
          <w:tcPr>
            <w:tcW w:w="1333" w:type="dxa"/>
            <w:vMerge w:val="restart"/>
            <w:noWrap/>
            <w:vAlign w:val="center"/>
          </w:tcPr>
          <w:p w14:paraId="123161B8">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雁群村</w:t>
            </w:r>
          </w:p>
        </w:tc>
        <w:tc>
          <w:tcPr>
            <w:tcW w:w="1351" w:type="dxa"/>
            <w:noWrap/>
            <w:vAlign w:val="center"/>
          </w:tcPr>
          <w:p w14:paraId="72C9B4D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郝寨西</w:t>
            </w:r>
          </w:p>
        </w:tc>
        <w:tc>
          <w:tcPr>
            <w:tcW w:w="1418" w:type="dxa"/>
            <w:noWrap/>
            <w:vAlign w:val="center"/>
          </w:tcPr>
          <w:p w14:paraId="5645CB35">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580</w:t>
            </w:r>
          </w:p>
        </w:tc>
        <w:tc>
          <w:tcPr>
            <w:tcW w:w="992" w:type="dxa"/>
            <w:vMerge w:val="restart"/>
            <w:noWrap/>
            <w:vAlign w:val="center"/>
          </w:tcPr>
          <w:p w14:paraId="3EB95CA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1417</w:t>
            </w:r>
          </w:p>
        </w:tc>
        <w:tc>
          <w:tcPr>
            <w:tcW w:w="1276" w:type="dxa"/>
            <w:noWrap/>
            <w:vAlign w:val="center"/>
          </w:tcPr>
          <w:p w14:paraId="7DEACE0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2090</w:t>
            </w:r>
          </w:p>
        </w:tc>
        <w:tc>
          <w:tcPr>
            <w:tcW w:w="1276" w:type="dxa"/>
            <w:vMerge w:val="restart"/>
            <w:noWrap/>
            <w:vAlign w:val="center"/>
          </w:tcPr>
          <w:p w14:paraId="0A1E6BB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4839</w:t>
            </w:r>
          </w:p>
        </w:tc>
      </w:tr>
      <w:tr w14:paraId="31C0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476B9168">
            <w:pPr>
              <w:rPr>
                <w:rFonts w:hint="eastAsia" w:ascii="宋体" w:hAnsi="宋体" w:eastAsia="宋体" w:cs="宋体"/>
                <w:color w:val="000000"/>
                <w:sz w:val="24"/>
              </w:rPr>
            </w:pPr>
          </w:p>
        </w:tc>
        <w:tc>
          <w:tcPr>
            <w:tcW w:w="1333" w:type="dxa"/>
            <w:vMerge w:val="continue"/>
            <w:noWrap w:val="0"/>
            <w:vAlign w:val="center"/>
          </w:tcPr>
          <w:p w14:paraId="594CDC36">
            <w:pPr>
              <w:rPr>
                <w:rFonts w:hint="eastAsia" w:ascii="宋体" w:hAnsi="宋体" w:eastAsia="宋体" w:cs="宋体"/>
                <w:b/>
                <w:bCs/>
                <w:color w:val="000000"/>
                <w:sz w:val="24"/>
              </w:rPr>
            </w:pPr>
          </w:p>
        </w:tc>
        <w:tc>
          <w:tcPr>
            <w:tcW w:w="1351" w:type="dxa"/>
            <w:noWrap/>
            <w:vAlign w:val="center"/>
          </w:tcPr>
          <w:p w14:paraId="4C2116AA">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前薛湾</w:t>
            </w:r>
          </w:p>
        </w:tc>
        <w:tc>
          <w:tcPr>
            <w:tcW w:w="1418" w:type="dxa"/>
            <w:noWrap/>
            <w:vAlign w:val="center"/>
          </w:tcPr>
          <w:p w14:paraId="350C512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200</w:t>
            </w:r>
          </w:p>
        </w:tc>
        <w:tc>
          <w:tcPr>
            <w:tcW w:w="992" w:type="dxa"/>
            <w:vMerge w:val="continue"/>
            <w:noWrap w:val="0"/>
            <w:vAlign w:val="center"/>
          </w:tcPr>
          <w:p w14:paraId="4BDFF55A">
            <w:pPr>
              <w:rPr>
                <w:rFonts w:hint="eastAsia" w:ascii="宋体" w:hAnsi="宋体" w:eastAsia="宋体" w:cs="宋体"/>
                <w:color w:val="000000"/>
                <w:sz w:val="24"/>
              </w:rPr>
            </w:pPr>
          </w:p>
        </w:tc>
        <w:tc>
          <w:tcPr>
            <w:tcW w:w="1276" w:type="dxa"/>
            <w:noWrap/>
            <w:vAlign w:val="center"/>
          </w:tcPr>
          <w:p w14:paraId="29549A1A">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660</w:t>
            </w:r>
          </w:p>
        </w:tc>
        <w:tc>
          <w:tcPr>
            <w:tcW w:w="1276" w:type="dxa"/>
            <w:vMerge w:val="continue"/>
            <w:noWrap w:val="0"/>
            <w:vAlign w:val="center"/>
          </w:tcPr>
          <w:p w14:paraId="77240E90">
            <w:pPr>
              <w:rPr>
                <w:rFonts w:hint="eastAsia" w:ascii="宋体" w:hAnsi="宋体" w:eastAsia="宋体" w:cs="宋体"/>
                <w:color w:val="000000"/>
                <w:sz w:val="24"/>
              </w:rPr>
            </w:pPr>
          </w:p>
        </w:tc>
      </w:tr>
      <w:tr w14:paraId="7C9D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052E7CBC">
            <w:pPr>
              <w:rPr>
                <w:rFonts w:hint="eastAsia" w:ascii="宋体" w:hAnsi="宋体" w:eastAsia="宋体" w:cs="宋体"/>
                <w:color w:val="000000"/>
                <w:sz w:val="24"/>
              </w:rPr>
            </w:pPr>
          </w:p>
        </w:tc>
        <w:tc>
          <w:tcPr>
            <w:tcW w:w="1333" w:type="dxa"/>
            <w:vMerge w:val="continue"/>
            <w:noWrap w:val="0"/>
            <w:vAlign w:val="center"/>
          </w:tcPr>
          <w:p w14:paraId="2DF89146">
            <w:pPr>
              <w:rPr>
                <w:rFonts w:hint="eastAsia" w:ascii="宋体" w:hAnsi="宋体" w:eastAsia="宋体" w:cs="宋体"/>
                <w:b/>
                <w:bCs/>
                <w:color w:val="000000"/>
                <w:sz w:val="24"/>
              </w:rPr>
            </w:pPr>
          </w:p>
        </w:tc>
        <w:tc>
          <w:tcPr>
            <w:tcW w:w="1351" w:type="dxa"/>
            <w:noWrap/>
            <w:vAlign w:val="center"/>
          </w:tcPr>
          <w:p w14:paraId="23F2C07B">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后薛湾</w:t>
            </w:r>
          </w:p>
        </w:tc>
        <w:tc>
          <w:tcPr>
            <w:tcW w:w="1418" w:type="dxa"/>
            <w:noWrap/>
            <w:vAlign w:val="center"/>
          </w:tcPr>
          <w:p w14:paraId="4A4B762B">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195</w:t>
            </w:r>
          </w:p>
        </w:tc>
        <w:tc>
          <w:tcPr>
            <w:tcW w:w="992" w:type="dxa"/>
            <w:vMerge w:val="continue"/>
            <w:noWrap w:val="0"/>
            <w:vAlign w:val="center"/>
          </w:tcPr>
          <w:p w14:paraId="32F1E910">
            <w:pPr>
              <w:rPr>
                <w:rFonts w:hint="eastAsia" w:ascii="宋体" w:hAnsi="宋体" w:eastAsia="宋体" w:cs="宋体"/>
                <w:color w:val="000000"/>
                <w:sz w:val="24"/>
              </w:rPr>
            </w:pPr>
          </w:p>
        </w:tc>
        <w:tc>
          <w:tcPr>
            <w:tcW w:w="1276" w:type="dxa"/>
            <w:noWrap/>
            <w:vAlign w:val="center"/>
          </w:tcPr>
          <w:p w14:paraId="2598EAE2">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638</w:t>
            </w:r>
          </w:p>
        </w:tc>
        <w:tc>
          <w:tcPr>
            <w:tcW w:w="1276" w:type="dxa"/>
            <w:vMerge w:val="continue"/>
            <w:noWrap w:val="0"/>
            <w:vAlign w:val="center"/>
          </w:tcPr>
          <w:p w14:paraId="511F44A1">
            <w:pPr>
              <w:rPr>
                <w:rFonts w:hint="eastAsia" w:ascii="宋体" w:hAnsi="宋体" w:eastAsia="宋体" w:cs="宋体"/>
                <w:color w:val="000000"/>
                <w:sz w:val="24"/>
              </w:rPr>
            </w:pPr>
          </w:p>
        </w:tc>
      </w:tr>
      <w:tr w14:paraId="3B43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2EF4D053">
            <w:pPr>
              <w:rPr>
                <w:rFonts w:hint="eastAsia" w:ascii="宋体" w:hAnsi="宋体" w:eastAsia="宋体" w:cs="宋体"/>
                <w:color w:val="000000"/>
                <w:sz w:val="24"/>
              </w:rPr>
            </w:pPr>
          </w:p>
        </w:tc>
        <w:tc>
          <w:tcPr>
            <w:tcW w:w="1333" w:type="dxa"/>
            <w:vMerge w:val="continue"/>
            <w:noWrap w:val="0"/>
            <w:vAlign w:val="center"/>
          </w:tcPr>
          <w:p w14:paraId="7D3D9F57">
            <w:pPr>
              <w:rPr>
                <w:rFonts w:hint="eastAsia" w:ascii="宋体" w:hAnsi="宋体" w:eastAsia="宋体" w:cs="宋体"/>
                <w:b/>
                <w:bCs/>
                <w:color w:val="000000"/>
                <w:sz w:val="24"/>
              </w:rPr>
            </w:pPr>
          </w:p>
        </w:tc>
        <w:tc>
          <w:tcPr>
            <w:tcW w:w="1351" w:type="dxa"/>
            <w:noWrap/>
            <w:vAlign w:val="center"/>
          </w:tcPr>
          <w:p w14:paraId="0254393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贾楼</w:t>
            </w:r>
          </w:p>
        </w:tc>
        <w:tc>
          <w:tcPr>
            <w:tcW w:w="1418" w:type="dxa"/>
            <w:noWrap/>
            <w:vAlign w:val="center"/>
          </w:tcPr>
          <w:p w14:paraId="1CEFD94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67</w:t>
            </w:r>
          </w:p>
        </w:tc>
        <w:tc>
          <w:tcPr>
            <w:tcW w:w="992" w:type="dxa"/>
            <w:vMerge w:val="continue"/>
            <w:noWrap w:val="0"/>
            <w:vAlign w:val="center"/>
          </w:tcPr>
          <w:p w14:paraId="280E904F">
            <w:pPr>
              <w:rPr>
                <w:rFonts w:hint="eastAsia" w:ascii="宋体" w:hAnsi="宋体" w:eastAsia="宋体" w:cs="宋体"/>
                <w:color w:val="000000"/>
                <w:sz w:val="24"/>
              </w:rPr>
            </w:pPr>
          </w:p>
        </w:tc>
        <w:tc>
          <w:tcPr>
            <w:tcW w:w="1276" w:type="dxa"/>
            <w:noWrap/>
            <w:vAlign w:val="center"/>
          </w:tcPr>
          <w:p w14:paraId="0B612EE5">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239</w:t>
            </w:r>
          </w:p>
        </w:tc>
        <w:tc>
          <w:tcPr>
            <w:tcW w:w="1276" w:type="dxa"/>
            <w:vMerge w:val="continue"/>
            <w:noWrap w:val="0"/>
            <w:vAlign w:val="center"/>
          </w:tcPr>
          <w:p w14:paraId="3607E70A">
            <w:pPr>
              <w:rPr>
                <w:rFonts w:hint="eastAsia" w:ascii="宋体" w:hAnsi="宋体" w:eastAsia="宋体" w:cs="宋体"/>
                <w:color w:val="000000"/>
                <w:sz w:val="24"/>
              </w:rPr>
            </w:pPr>
          </w:p>
        </w:tc>
      </w:tr>
      <w:tr w14:paraId="708B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5E9AFC66">
            <w:pPr>
              <w:rPr>
                <w:rFonts w:hint="eastAsia" w:ascii="宋体" w:hAnsi="宋体" w:eastAsia="宋体" w:cs="宋体"/>
                <w:color w:val="000000"/>
                <w:sz w:val="24"/>
              </w:rPr>
            </w:pPr>
          </w:p>
        </w:tc>
        <w:tc>
          <w:tcPr>
            <w:tcW w:w="1333" w:type="dxa"/>
            <w:vMerge w:val="continue"/>
            <w:noWrap w:val="0"/>
            <w:vAlign w:val="center"/>
          </w:tcPr>
          <w:p w14:paraId="04B5C356">
            <w:pPr>
              <w:rPr>
                <w:rFonts w:hint="eastAsia" w:ascii="宋体" w:hAnsi="宋体" w:eastAsia="宋体" w:cs="宋体"/>
                <w:b/>
                <w:bCs/>
                <w:color w:val="000000"/>
                <w:sz w:val="24"/>
              </w:rPr>
            </w:pPr>
          </w:p>
        </w:tc>
        <w:tc>
          <w:tcPr>
            <w:tcW w:w="1351" w:type="dxa"/>
            <w:noWrap/>
            <w:vAlign w:val="center"/>
          </w:tcPr>
          <w:p w14:paraId="186157E9">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王庄</w:t>
            </w:r>
          </w:p>
        </w:tc>
        <w:tc>
          <w:tcPr>
            <w:tcW w:w="1418" w:type="dxa"/>
            <w:noWrap/>
            <w:vAlign w:val="center"/>
          </w:tcPr>
          <w:p w14:paraId="41343ED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375</w:t>
            </w:r>
          </w:p>
        </w:tc>
        <w:tc>
          <w:tcPr>
            <w:tcW w:w="992" w:type="dxa"/>
            <w:vMerge w:val="continue"/>
            <w:noWrap w:val="0"/>
            <w:vAlign w:val="center"/>
          </w:tcPr>
          <w:p w14:paraId="2D4279D1">
            <w:pPr>
              <w:rPr>
                <w:rFonts w:hint="eastAsia" w:ascii="宋体" w:hAnsi="宋体" w:eastAsia="宋体" w:cs="宋体"/>
                <w:color w:val="000000"/>
                <w:sz w:val="24"/>
              </w:rPr>
            </w:pPr>
          </w:p>
        </w:tc>
        <w:tc>
          <w:tcPr>
            <w:tcW w:w="1276" w:type="dxa"/>
            <w:noWrap/>
            <w:vAlign w:val="center"/>
          </w:tcPr>
          <w:p w14:paraId="54755ED3">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1212</w:t>
            </w:r>
          </w:p>
        </w:tc>
        <w:tc>
          <w:tcPr>
            <w:tcW w:w="1276" w:type="dxa"/>
            <w:vMerge w:val="continue"/>
            <w:noWrap w:val="0"/>
            <w:vAlign w:val="center"/>
          </w:tcPr>
          <w:p w14:paraId="29F90B02">
            <w:pPr>
              <w:rPr>
                <w:rFonts w:hint="eastAsia" w:ascii="宋体" w:hAnsi="宋体" w:eastAsia="宋体" w:cs="宋体"/>
                <w:color w:val="000000"/>
                <w:sz w:val="24"/>
              </w:rPr>
            </w:pPr>
          </w:p>
        </w:tc>
      </w:tr>
      <w:tr w14:paraId="3725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restart"/>
            <w:noWrap/>
            <w:vAlign w:val="center"/>
          </w:tcPr>
          <w:p w14:paraId="7EA94C99">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12</w:t>
            </w:r>
          </w:p>
        </w:tc>
        <w:tc>
          <w:tcPr>
            <w:tcW w:w="1333" w:type="dxa"/>
            <w:vMerge w:val="restart"/>
            <w:noWrap/>
            <w:vAlign w:val="center"/>
          </w:tcPr>
          <w:p w14:paraId="23D2D744">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付庄村</w:t>
            </w:r>
          </w:p>
        </w:tc>
        <w:tc>
          <w:tcPr>
            <w:tcW w:w="1351" w:type="dxa"/>
            <w:noWrap/>
            <w:vAlign w:val="center"/>
          </w:tcPr>
          <w:p w14:paraId="729E2AA4">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小刘庄</w:t>
            </w:r>
          </w:p>
        </w:tc>
        <w:tc>
          <w:tcPr>
            <w:tcW w:w="1418" w:type="dxa"/>
            <w:noWrap/>
            <w:vAlign w:val="center"/>
          </w:tcPr>
          <w:p w14:paraId="0CD98DF1">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306</w:t>
            </w:r>
          </w:p>
        </w:tc>
        <w:tc>
          <w:tcPr>
            <w:tcW w:w="992" w:type="dxa"/>
            <w:vMerge w:val="restart"/>
            <w:noWrap/>
            <w:vAlign w:val="center"/>
          </w:tcPr>
          <w:p w14:paraId="0F65160A">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820</w:t>
            </w:r>
          </w:p>
        </w:tc>
        <w:tc>
          <w:tcPr>
            <w:tcW w:w="1276" w:type="dxa"/>
            <w:noWrap/>
            <w:vAlign w:val="center"/>
          </w:tcPr>
          <w:p w14:paraId="76544625">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1066</w:t>
            </w:r>
          </w:p>
        </w:tc>
        <w:tc>
          <w:tcPr>
            <w:tcW w:w="1276" w:type="dxa"/>
            <w:vMerge w:val="restart"/>
            <w:noWrap/>
            <w:vAlign w:val="center"/>
          </w:tcPr>
          <w:p w14:paraId="48137FBB">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2926</w:t>
            </w:r>
          </w:p>
        </w:tc>
      </w:tr>
      <w:tr w14:paraId="382B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16631AAE">
            <w:pPr>
              <w:rPr>
                <w:rFonts w:hint="eastAsia" w:ascii="宋体" w:hAnsi="宋体" w:eastAsia="宋体" w:cs="宋体"/>
                <w:color w:val="000000"/>
                <w:sz w:val="24"/>
              </w:rPr>
            </w:pPr>
          </w:p>
        </w:tc>
        <w:tc>
          <w:tcPr>
            <w:tcW w:w="1333" w:type="dxa"/>
            <w:vMerge w:val="continue"/>
            <w:noWrap w:val="0"/>
            <w:vAlign w:val="center"/>
          </w:tcPr>
          <w:p w14:paraId="5B51E3CC">
            <w:pPr>
              <w:rPr>
                <w:rFonts w:hint="eastAsia" w:ascii="宋体" w:hAnsi="宋体" w:eastAsia="宋体" w:cs="宋体"/>
                <w:b/>
                <w:bCs/>
                <w:color w:val="000000"/>
                <w:sz w:val="24"/>
              </w:rPr>
            </w:pPr>
          </w:p>
        </w:tc>
        <w:tc>
          <w:tcPr>
            <w:tcW w:w="1351" w:type="dxa"/>
            <w:noWrap/>
            <w:vAlign w:val="center"/>
          </w:tcPr>
          <w:p w14:paraId="36F4FAB3">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新庄</w:t>
            </w:r>
          </w:p>
        </w:tc>
        <w:tc>
          <w:tcPr>
            <w:tcW w:w="1418" w:type="dxa"/>
            <w:noWrap/>
            <w:vAlign w:val="center"/>
          </w:tcPr>
          <w:p w14:paraId="2430CA6D">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341</w:t>
            </w:r>
          </w:p>
        </w:tc>
        <w:tc>
          <w:tcPr>
            <w:tcW w:w="992" w:type="dxa"/>
            <w:vMerge w:val="continue"/>
            <w:noWrap w:val="0"/>
            <w:vAlign w:val="center"/>
          </w:tcPr>
          <w:p w14:paraId="48CF1671">
            <w:pPr>
              <w:rPr>
                <w:rFonts w:hint="eastAsia" w:ascii="宋体" w:hAnsi="宋体" w:eastAsia="宋体" w:cs="宋体"/>
                <w:color w:val="000000"/>
                <w:sz w:val="24"/>
              </w:rPr>
            </w:pPr>
          </w:p>
        </w:tc>
        <w:tc>
          <w:tcPr>
            <w:tcW w:w="1276" w:type="dxa"/>
            <w:noWrap/>
            <w:vAlign w:val="center"/>
          </w:tcPr>
          <w:p w14:paraId="0EF645A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1230</w:t>
            </w:r>
          </w:p>
        </w:tc>
        <w:tc>
          <w:tcPr>
            <w:tcW w:w="1276" w:type="dxa"/>
            <w:vMerge w:val="continue"/>
            <w:noWrap w:val="0"/>
            <w:vAlign w:val="center"/>
          </w:tcPr>
          <w:p w14:paraId="114CF76F">
            <w:pPr>
              <w:rPr>
                <w:rFonts w:hint="eastAsia" w:ascii="宋体" w:hAnsi="宋体" w:eastAsia="宋体" w:cs="宋体"/>
                <w:color w:val="000000"/>
                <w:sz w:val="24"/>
              </w:rPr>
            </w:pPr>
          </w:p>
        </w:tc>
      </w:tr>
      <w:tr w14:paraId="55B9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7E91868E">
            <w:pPr>
              <w:rPr>
                <w:rFonts w:hint="eastAsia" w:ascii="宋体" w:hAnsi="宋体" w:eastAsia="宋体" w:cs="宋体"/>
                <w:color w:val="000000"/>
                <w:sz w:val="24"/>
              </w:rPr>
            </w:pPr>
          </w:p>
        </w:tc>
        <w:tc>
          <w:tcPr>
            <w:tcW w:w="1333" w:type="dxa"/>
            <w:vMerge w:val="continue"/>
            <w:noWrap w:val="0"/>
            <w:vAlign w:val="center"/>
          </w:tcPr>
          <w:p w14:paraId="07AA609A">
            <w:pPr>
              <w:rPr>
                <w:rFonts w:hint="eastAsia" w:ascii="宋体" w:hAnsi="宋体" w:eastAsia="宋体" w:cs="宋体"/>
                <w:b/>
                <w:bCs/>
                <w:color w:val="000000"/>
                <w:sz w:val="24"/>
              </w:rPr>
            </w:pPr>
          </w:p>
        </w:tc>
        <w:tc>
          <w:tcPr>
            <w:tcW w:w="1351" w:type="dxa"/>
            <w:noWrap/>
            <w:vAlign w:val="center"/>
          </w:tcPr>
          <w:p w14:paraId="79E1101B">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付庄</w:t>
            </w:r>
          </w:p>
        </w:tc>
        <w:tc>
          <w:tcPr>
            <w:tcW w:w="1418" w:type="dxa"/>
            <w:noWrap/>
            <w:vAlign w:val="center"/>
          </w:tcPr>
          <w:p w14:paraId="216133E2">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173</w:t>
            </w:r>
          </w:p>
        </w:tc>
        <w:tc>
          <w:tcPr>
            <w:tcW w:w="992" w:type="dxa"/>
            <w:vMerge w:val="continue"/>
            <w:noWrap w:val="0"/>
            <w:vAlign w:val="center"/>
          </w:tcPr>
          <w:p w14:paraId="363E286F">
            <w:pPr>
              <w:rPr>
                <w:rFonts w:hint="eastAsia" w:ascii="宋体" w:hAnsi="宋体" w:eastAsia="宋体" w:cs="宋体"/>
                <w:color w:val="000000"/>
                <w:sz w:val="24"/>
              </w:rPr>
            </w:pPr>
          </w:p>
        </w:tc>
        <w:tc>
          <w:tcPr>
            <w:tcW w:w="1276" w:type="dxa"/>
            <w:noWrap/>
            <w:vAlign w:val="center"/>
          </w:tcPr>
          <w:p w14:paraId="09AE63A4">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630</w:t>
            </w:r>
          </w:p>
        </w:tc>
        <w:tc>
          <w:tcPr>
            <w:tcW w:w="1276" w:type="dxa"/>
            <w:vMerge w:val="continue"/>
            <w:noWrap w:val="0"/>
            <w:vAlign w:val="center"/>
          </w:tcPr>
          <w:p w14:paraId="3448CF76">
            <w:pPr>
              <w:rPr>
                <w:rFonts w:hint="eastAsia" w:ascii="宋体" w:hAnsi="宋体" w:eastAsia="宋体" w:cs="宋体"/>
                <w:color w:val="000000"/>
                <w:sz w:val="24"/>
              </w:rPr>
            </w:pPr>
          </w:p>
        </w:tc>
      </w:tr>
      <w:tr w14:paraId="44E4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noWrap/>
            <w:vAlign w:val="center"/>
          </w:tcPr>
          <w:p w14:paraId="6DF8C2B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13</w:t>
            </w:r>
          </w:p>
        </w:tc>
        <w:tc>
          <w:tcPr>
            <w:tcW w:w="1333" w:type="dxa"/>
            <w:noWrap/>
            <w:vAlign w:val="center"/>
          </w:tcPr>
          <w:p w14:paraId="01D1569B">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夹河村</w:t>
            </w:r>
          </w:p>
        </w:tc>
        <w:tc>
          <w:tcPr>
            <w:tcW w:w="1351" w:type="dxa"/>
            <w:noWrap/>
            <w:vAlign w:val="center"/>
          </w:tcPr>
          <w:p w14:paraId="71C6A85D">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新徐楼</w:t>
            </w:r>
          </w:p>
        </w:tc>
        <w:tc>
          <w:tcPr>
            <w:tcW w:w="1418" w:type="dxa"/>
            <w:noWrap/>
            <w:vAlign w:val="center"/>
          </w:tcPr>
          <w:p w14:paraId="46534895">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197</w:t>
            </w:r>
          </w:p>
        </w:tc>
        <w:tc>
          <w:tcPr>
            <w:tcW w:w="992" w:type="dxa"/>
            <w:noWrap/>
            <w:vAlign w:val="center"/>
          </w:tcPr>
          <w:p w14:paraId="338A1D76">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197</w:t>
            </w:r>
          </w:p>
        </w:tc>
        <w:tc>
          <w:tcPr>
            <w:tcW w:w="1276" w:type="dxa"/>
            <w:noWrap/>
            <w:vAlign w:val="center"/>
          </w:tcPr>
          <w:p w14:paraId="10015DBC">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467</w:t>
            </w:r>
          </w:p>
        </w:tc>
        <w:tc>
          <w:tcPr>
            <w:tcW w:w="1276" w:type="dxa"/>
            <w:noWrap/>
            <w:vAlign w:val="center"/>
          </w:tcPr>
          <w:p w14:paraId="21C2AF41">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467</w:t>
            </w:r>
          </w:p>
        </w:tc>
      </w:tr>
      <w:tr w14:paraId="5715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restart"/>
            <w:noWrap/>
            <w:vAlign w:val="center"/>
          </w:tcPr>
          <w:p w14:paraId="36DA24A2">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14</w:t>
            </w:r>
          </w:p>
        </w:tc>
        <w:tc>
          <w:tcPr>
            <w:tcW w:w="1333" w:type="dxa"/>
            <w:vMerge w:val="restart"/>
            <w:noWrap/>
            <w:vAlign w:val="center"/>
          </w:tcPr>
          <w:p w14:paraId="183657FB">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侯楼村</w:t>
            </w:r>
          </w:p>
        </w:tc>
        <w:tc>
          <w:tcPr>
            <w:tcW w:w="1351" w:type="dxa"/>
            <w:noWrap/>
            <w:vAlign w:val="center"/>
          </w:tcPr>
          <w:p w14:paraId="4D5BF41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徐大庄</w:t>
            </w:r>
          </w:p>
        </w:tc>
        <w:tc>
          <w:tcPr>
            <w:tcW w:w="1418" w:type="dxa"/>
            <w:noWrap/>
            <w:vAlign w:val="center"/>
          </w:tcPr>
          <w:p w14:paraId="6C4B7B16">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347</w:t>
            </w:r>
          </w:p>
        </w:tc>
        <w:tc>
          <w:tcPr>
            <w:tcW w:w="992" w:type="dxa"/>
            <w:vMerge w:val="restart"/>
            <w:noWrap/>
            <w:vAlign w:val="center"/>
          </w:tcPr>
          <w:p w14:paraId="1956A4A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2058</w:t>
            </w:r>
          </w:p>
        </w:tc>
        <w:tc>
          <w:tcPr>
            <w:tcW w:w="1276" w:type="dxa"/>
            <w:noWrap/>
            <w:vAlign w:val="center"/>
          </w:tcPr>
          <w:p w14:paraId="32C88B1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1247</w:t>
            </w:r>
          </w:p>
        </w:tc>
        <w:tc>
          <w:tcPr>
            <w:tcW w:w="1276" w:type="dxa"/>
            <w:vMerge w:val="restart"/>
            <w:noWrap/>
            <w:vAlign w:val="center"/>
          </w:tcPr>
          <w:p w14:paraId="5BF54E16">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7642</w:t>
            </w:r>
          </w:p>
        </w:tc>
      </w:tr>
      <w:tr w14:paraId="0492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3708E5C0">
            <w:pPr>
              <w:rPr>
                <w:rFonts w:hint="eastAsia" w:ascii="宋体" w:hAnsi="宋体" w:eastAsia="宋体" w:cs="宋体"/>
                <w:color w:val="000000"/>
                <w:sz w:val="24"/>
              </w:rPr>
            </w:pPr>
          </w:p>
        </w:tc>
        <w:tc>
          <w:tcPr>
            <w:tcW w:w="1333" w:type="dxa"/>
            <w:vMerge w:val="continue"/>
            <w:noWrap w:val="0"/>
            <w:vAlign w:val="center"/>
          </w:tcPr>
          <w:p w14:paraId="5D8B550C">
            <w:pPr>
              <w:rPr>
                <w:rFonts w:hint="eastAsia" w:ascii="宋体" w:hAnsi="宋体" w:eastAsia="宋体" w:cs="宋体"/>
                <w:b/>
                <w:bCs/>
                <w:color w:val="000000"/>
                <w:sz w:val="24"/>
              </w:rPr>
            </w:pPr>
          </w:p>
        </w:tc>
        <w:tc>
          <w:tcPr>
            <w:tcW w:w="1351" w:type="dxa"/>
            <w:noWrap/>
            <w:vAlign w:val="center"/>
          </w:tcPr>
          <w:p w14:paraId="6CCE8433">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和尚庄</w:t>
            </w:r>
          </w:p>
        </w:tc>
        <w:tc>
          <w:tcPr>
            <w:tcW w:w="1418" w:type="dxa"/>
            <w:noWrap/>
            <w:vAlign w:val="center"/>
          </w:tcPr>
          <w:p w14:paraId="6C79CFAA">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175</w:t>
            </w:r>
          </w:p>
        </w:tc>
        <w:tc>
          <w:tcPr>
            <w:tcW w:w="992" w:type="dxa"/>
            <w:vMerge w:val="continue"/>
            <w:noWrap w:val="0"/>
            <w:vAlign w:val="center"/>
          </w:tcPr>
          <w:p w14:paraId="40122C14">
            <w:pPr>
              <w:rPr>
                <w:rFonts w:hint="eastAsia" w:ascii="宋体" w:hAnsi="宋体" w:eastAsia="宋体" w:cs="宋体"/>
                <w:color w:val="000000"/>
                <w:sz w:val="24"/>
              </w:rPr>
            </w:pPr>
          </w:p>
        </w:tc>
        <w:tc>
          <w:tcPr>
            <w:tcW w:w="1276" w:type="dxa"/>
            <w:noWrap/>
            <w:vAlign w:val="center"/>
          </w:tcPr>
          <w:p w14:paraId="4D1F9189">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693</w:t>
            </w:r>
          </w:p>
        </w:tc>
        <w:tc>
          <w:tcPr>
            <w:tcW w:w="1276" w:type="dxa"/>
            <w:vMerge w:val="continue"/>
            <w:noWrap w:val="0"/>
            <w:vAlign w:val="center"/>
          </w:tcPr>
          <w:p w14:paraId="430FAAE2">
            <w:pPr>
              <w:rPr>
                <w:rFonts w:hint="eastAsia" w:ascii="宋体" w:hAnsi="宋体" w:eastAsia="宋体" w:cs="宋体"/>
                <w:color w:val="000000"/>
                <w:sz w:val="24"/>
              </w:rPr>
            </w:pPr>
          </w:p>
        </w:tc>
      </w:tr>
      <w:tr w14:paraId="79A9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51AE4039">
            <w:pPr>
              <w:rPr>
                <w:rFonts w:hint="eastAsia" w:ascii="宋体" w:hAnsi="宋体" w:eastAsia="宋体" w:cs="宋体"/>
                <w:color w:val="000000"/>
                <w:sz w:val="24"/>
              </w:rPr>
            </w:pPr>
          </w:p>
        </w:tc>
        <w:tc>
          <w:tcPr>
            <w:tcW w:w="1333" w:type="dxa"/>
            <w:vMerge w:val="continue"/>
            <w:noWrap w:val="0"/>
            <w:vAlign w:val="center"/>
          </w:tcPr>
          <w:p w14:paraId="4A965EB1">
            <w:pPr>
              <w:rPr>
                <w:rFonts w:hint="eastAsia" w:ascii="宋体" w:hAnsi="宋体" w:eastAsia="宋体" w:cs="宋体"/>
                <w:b/>
                <w:bCs/>
                <w:color w:val="000000"/>
                <w:sz w:val="24"/>
              </w:rPr>
            </w:pPr>
          </w:p>
        </w:tc>
        <w:tc>
          <w:tcPr>
            <w:tcW w:w="1351" w:type="dxa"/>
            <w:noWrap/>
            <w:vAlign w:val="center"/>
          </w:tcPr>
          <w:p w14:paraId="6268756A">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侯楼</w:t>
            </w:r>
          </w:p>
        </w:tc>
        <w:tc>
          <w:tcPr>
            <w:tcW w:w="1418" w:type="dxa"/>
            <w:noWrap/>
            <w:vAlign w:val="center"/>
          </w:tcPr>
          <w:p w14:paraId="141A634A">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568</w:t>
            </w:r>
          </w:p>
        </w:tc>
        <w:tc>
          <w:tcPr>
            <w:tcW w:w="992" w:type="dxa"/>
            <w:vMerge w:val="continue"/>
            <w:noWrap w:val="0"/>
            <w:vAlign w:val="center"/>
          </w:tcPr>
          <w:p w14:paraId="5E7B7257">
            <w:pPr>
              <w:rPr>
                <w:rFonts w:hint="eastAsia" w:ascii="宋体" w:hAnsi="宋体" w:eastAsia="宋体" w:cs="宋体"/>
                <w:color w:val="000000"/>
                <w:sz w:val="24"/>
              </w:rPr>
            </w:pPr>
          </w:p>
        </w:tc>
        <w:tc>
          <w:tcPr>
            <w:tcW w:w="1276" w:type="dxa"/>
            <w:noWrap/>
            <w:vAlign w:val="center"/>
          </w:tcPr>
          <w:p w14:paraId="6361AE1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1873</w:t>
            </w:r>
          </w:p>
        </w:tc>
        <w:tc>
          <w:tcPr>
            <w:tcW w:w="1276" w:type="dxa"/>
            <w:vMerge w:val="continue"/>
            <w:noWrap w:val="0"/>
            <w:vAlign w:val="center"/>
          </w:tcPr>
          <w:p w14:paraId="33AD2864">
            <w:pPr>
              <w:rPr>
                <w:rFonts w:hint="eastAsia" w:ascii="宋体" w:hAnsi="宋体" w:eastAsia="宋体" w:cs="宋体"/>
                <w:color w:val="000000"/>
                <w:sz w:val="24"/>
              </w:rPr>
            </w:pPr>
          </w:p>
        </w:tc>
      </w:tr>
      <w:tr w14:paraId="26C9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3786ECA2">
            <w:pPr>
              <w:rPr>
                <w:rFonts w:hint="eastAsia" w:ascii="宋体" w:hAnsi="宋体" w:eastAsia="宋体" w:cs="宋体"/>
                <w:color w:val="000000"/>
                <w:sz w:val="24"/>
              </w:rPr>
            </w:pPr>
          </w:p>
        </w:tc>
        <w:tc>
          <w:tcPr>
            <w:tcW w:w="1333" w:type="dxa"/>
            <w:vMerge w:val="continue"/>
            <w:noWrap w:val="0"/>
            <w:vAlign w:val="center"/>
          </w:tcPr>
          <w:p w14:paraId="33EB1F48">
            <w:pPr>
              <w:rPr>
                <w:rFonts w:hint="eastAsia" w:ascii="宋体" w:hAnsi="宋体" w:eastAsia="宋体" w:cs="宋体"/>
                <w:b/>
                <w:bCs/>
                <w:color w:val="000000"/>
                <w:sz w:val="24"/>
              </w:rPr>
            </w:pPr>
          </w:p>
        </w:tc>
        <w:tc>
          <w:tcPr>
            <w:tcW w:w="1351" w:type="dxa"/>
            <w:noWrap/>
            <w:vAlign w:val="center"/>
          </w:tcPr>
          <w:p w14:paraId="5D217C7C">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西小李庄</w:t>
            </w:r>
          </w:p>
        </w:tc>
        <w:tc>
          <w:tcPr>
            <w:tcW w:w="1418" w:type="dxa"/>
            <w:noWrap/>
            <w:vAlign w:val="center"/>
          </w:tcPr>
          <w:p w14:paraId="3A52D0F1">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301</w:t>
            </w:r>
          </w:p>
        </w:tc>
        <w:tc>
          <w:tcPr>
            <w:tcW w:w="992" w:type="dxa"/>
            <w:vMerge w:val="continue"/>
            <w:noWrap w:val="0"/>
            <w:vAlign w:val="center"/>
          </w:tcPr>
          <w:p w14:paraId="13D23A7F">
            <w:pPr>
              <w:rPr>
                <w:rFonts w:hint="eastAsia" w:ascii="宋体" w:hAnsi="宋体" w:eastAsia="宋体" w:cs="宋体"/>
                <w:color w:val="000000"/>
                <w:sz w:val="24"/>
              </w:rPr>
            </w:pPr>
          </w:p>
        </w:tc>
        <w:tc>
          <w:tcPr>
            <w:tcW w:w="1276" w:type="dxa"/>
            <w:noWrap/>
            <w:vAlign w:val="center"/>
          </w:tcPr>
          <w:p w14:paraId="3D5EBA6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1174</w:t>
            </w:r>
          </w:p>
        </w:tc>
        <w:tc>
          <w:tcPr>
            <w:tcW w:w="1276" w:type="dxa"/>
            <w:vMerge w:val="continue"/>
            <w:noWrap w:val="0"/>
            <w:vAlign w:val="center"/>
          </w:tcPr>
          <w:p w14:paraId="10396F5F">
            <w:pPr>
              <w:rPr>
                <w:rFonts w:hint="eastAsia" w:ascii="宋体" w:hAnsi="宋体" w:eastAsia="宋体" w:cs="宋体"/>
                <w:color w:val="000000"/>
                <w:sz w:val="24"/>
              </w:rPr>
            </w:pPr>
          </w:p>
        </w:tc>
      </w:tr>
      <w:tr w14:paraId="0B8C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26BDD35C">
            <w:pPr>
              <w:rPr>
                <w:rFonts w:hint="eastAsia" w:ascii="宋体" w:hAnsi="宋体" w:eastAsia="宋体" w:cs="宋体"/>
                <w:color w:val="000000"/>
                <w:sz w:val="24"/>
              </w:rPr>
            </w:pPr>
          </w:p>
        </w:tc>
        <w:tc>
          <w:tcPr>
            <w:tcW w:w="1333" w:type="dxa"/>
            <w:vMerge w:val="continue"/>
            <w:noWrap w:val="0"/>
            <w:vAlign w:val="center"/>
          </w:tcPr>
          <w:p w14:paraId="2E2990F5">
            <w:pPr>
              <w:rPr>
                <w:rFonts w:hint="eastAsia" w:ascii="宋体" w:hAnsi="宋体" w:eastAsia="宋体" w:cs="宋体"/>
                <w:b/>
                <w:bCs/>
                <w:color w:val="000000"/>
                <w:sz w:val="24"/>
              </w:rPr>
            </w:pPr>
          </w:p>
        </w:tc>
        <w:tc>
          <w:tcPr>
            <w:tcW w:w="1351" w:type="dxa"/>
            <w:noWrap/>
            <w:vAlign w:val="center"/>
          </w:tcPr>
          <w:p w14:paraId="6C58BF1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前郝庄</w:t>
            </w:r>
          </w:p>
        </w:tc>
        <w:tc>
          <w:tcPr>
            <w:tcW w:w="1418" w:type="dxa"/>
            <w:noWrap/>
            <w:vAlign w:val="center"/>
          </w:tcPr>
          <w:p w14:paraId="1BC7901B">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181</w:t>
            </w:r>
          </w:p>
        </w:tc>
        <w:tc>
          <w:tcPr>
            <w:tcW w:w="992" w:type="dxa"/>
            <w:vMerge w:val="continue"/>
            <w:noWrap w:val="0"/>
            <w:vAlign w:val="center"/>
          </w:tcPr>
          <w:p w14:paraId="79F3DF94">
            <w:pPr>
              <w:rPr>
                <w:rFonts w:hint="eastAsia" w:ascii="宋体" w:hAnsi="宋体" w:eastAsia="宋体" w:cs="宋体"/>
                <w:color w:val="000000"/>
                <w:sz w:val="24"/>
              </w:rPr>
            </w:pPr>
          </w:p>
        </w:tc>
        <w:tc>
          <w:tcPr>
            <w:tcW w:w="1276" w:type="dxa"/>
            <w:noWrap/>
            <w:vAlign w:val="center"/>
          </w:tcPr>
          <w:p w14:paraId="74F05BE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756</w:t>
            </w:r>
          </w:p>
        </w:tc>
        <w:tc>
          <w:tcPr>
            <w:tcW w:w="1276" w:type="dxa"/>
            <w:vMerge w:val="continue"/>
            <w:noWrap w:val="0"/>
            <w:vAlign w:val="center"/>
          </w:tcPr>
          <w:p w14:paraId="05DD1288">
            <w:pPr>
              <w:rPr>
                <w:rFonts w:hint="eastAsia" w:ascii="宋体" w:hAnsi="宋体" w:eastAsia="宋体" w:cs="宋体"/>
                <w:color w:val="000000"/>
                <w:sz w:val="24"/>
              </w:rPr>
            </w:pPr>
          </w:p>
        </w:tc>
      </w:tr>
      <w:tr w14:paraId="386D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73EEB604">
            <w:pPr>
              <w:rPr>
                <w:rFonts w:hint="eastAsia" w:ascii="宋体" w:hAnsi="宋体" w:eastAsia="宋体" w:cs="宋体"/>
                <w:color w:val="000000"/>
                <w:sz w:val="24"/>
              </w:rPr>
            </w:pPr>
          </w:p>
        </w:tc>
        <w:tc>
          <w:tcPr>
            <w:tcW w:w="1333" w:type="dxa"/>
            <w:vMerge w:val="continue"/>
            <w:noWrap w:val="0"/>
            <w:vAlign w:val="center"/>
          </w:tcPr>
          <w:p w14:paraId="5B42395E">
            <w:pPr>
              <w:rPr>
                <w:rFonts w:hint="eastAsia" w:ascii="宋体" w:hAnsi="宋体" w:eastAsia="宋体" w:cs="宋体"/>
                <w:b/>
                <w:bCs/>
                <w:color w:val="000000"/>
                <w:sz w:val="24"/>
              </w:rPr>
            </w:pPr>
          </w:p>
        </w:tc>
        <w:tc>
          <w:tcPr>
            <w:tcW w:w="1351" w:type="dxa"/>
            <w:noWrap/>
            <w:vAlign w:val="center"/>
          </w:tcPr>
          <w:p w14:paraId="092A5461">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郝寨</w:t>
            </w:r>
          </w:p>
        </w:tc>
        <w:tc>
          <w:tcPr>
            <w:tcW w:w="1418" w:type="dxa"/>
            <w:noWrap/>
            <w:vAlign w:val="center"/>
          </w:tcPr>
          <w:p w14:paraId="7289967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413</w:t>
            </w:r>
          </w:p>
        </w:tc>
        <w:tc>
          <w:tcPr>
            <w:tcW w:w="992" w:type="dxa"/>
            <w:vMerge w:val="continue"/>
            <w:noWrap w:val="0"/>
            <w:vAlign w:val="center"/>
          </w:tcPr>
          <w:p w14:paraId="413C84EC">
            <w:pPr>
              <w:rPr>
                <w:rFonts w:hint="eastAsia" w:ascii="宋体" w:hAnsi="宋体" w:eastAsia="宋体" w:cs="宋体"/>
                <w:color w:val="000000"/>
                <w:sz w:val="24"/>
              </w:rPr>
            </w:pPr>
          </w:p>
        </w:tc>
        <w:tc>
          <w:tcPr>
            <w:tcW w:w="1276" w:type="dxa"/>
            <w:noWrap/>
            <w:vAlign w:val="center"/>
          </w:tcPr>
          <w:p w14:paraId="570C2295">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1647</w:t>
            </w:r>
          </w:p>
        </w:tc>
        <w:tc>
          <w:tcPr>
            <w:tcW w:w="1276" w:type="dxa"/>
            <w:vMerge w:val="continue"/>
            <w:noWrap w:val="0"/>
            <w:vAlign w:val="center"/>
          </w:tcPr>
          <w:p w14:paraId="5849FA80">
            <w:pPr>
              <w:rPr>
                <w:rFonts w:hint="eastAsia" w:ascii="宋体" w:hAnsi="宋体" w:eastAsia="宋体" w:cs="宋体"/>
                <w:color w:val="000000"/>
                <w:sz w:val="24"/>
              </w:rPr>
            </w:pPr>
          </w:p>
        </w:tc>
      </w:tr>
      <w:tr w14:paraId="5123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3" w:type="dxa"/>
            <w:vMerge w:val="continue"/>
            <w:noWrap w:val="0"/>
            <w:vAlign w:val="center"/>
          </w:tcPr>
          <w:p w14:paraId="19481D84">
            <w:pPr>
              <w:rPr>
                <w:rFonts w:hint="eastAsia" w:ascii="宋体" w:hAnsi="宋体" w:eastAsia="宋体" w:cs="宋体"/>
                <w:color w:val="000000"/>
                <w:sz w:val="24"/>
              </w:rPr>
            </w:pPr>
          </w:p>
        </w:tc>
        <w:tc>
          <w:tcPr>
            <w:tcW w:w="1333" w:type="dxa"/>
            <w:vMerge w:val="continue"/>
            <w:noWrap w:val="0"/>
            <w:vAlign w:val="center"/>
          </w:tcPr>
          <w:p w14:paraId="2F058013">
            <w:pPr>
              <w:rPr>
                <w:rFonts w:hint="eastAsia" w:ascii="宋体" w:hAnsi="宋体" w:eastAsia="宋体" w:cs="宋体"/>
                <w:b/>
                <w:bCs/>
                <w:color w:val="000000"/>
                <w:sz w:val="24"/>
              </w:rPr>
            </w:pPr>
          </w:p>
        </w:tc>
        <w:tc>
          <w:tcPr>
            <w:tcW w:w="1351" w:type="dxa"/>
            <w:noWrap/>
            <w:vAlign w:val="center"/>
          </w:tcPr>
          <w:p w14:paraId="28A36CF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郝新庄</w:t>
            </w:r>
          </w:p>
        </w:tc>
        <w:tc>
          <w:tcPr>
            <w:tcW w:w="1418" w:type="dxa"/>
            <w:noWrap/>
            <w:vAlign w:val="center"/>
          </w:tcPr>
          <w:p w14:paraId="221C95A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73</w:t>
            </w:r>
          </w:p>
        </w:tc>
        <w:tc>
          <w:tcPr>
            <w:tcW w:w="992" w:type="dxa"/>
            <w:vMerge w:val="continue"/>
            <w:noWrap w:val="0"/>
            <w:vAlign w:val="center"/>
          </w:tcPr>
          <w:p w14:paraId="1113076E">
            <w:pPr>
              <w:rPr>
                <w:rFonts w:hint="eastAsia" w:ascii="宋体" w:hAnsi="宋体" w:eastAsia="宋体" w:cs="宋体"/>
                <w:color w:val="000000"/>
                <w:sz w:val="24"/>
              </w:rPr>
            </w:pPr>
          </w:p>
        </w:tc>
        <w:tc>
          <w:tcPr>
            <w:tcW w:w="1276" w:type="dxa"/>
            <w:noWrap/>
            <w:vAlign w:val="center"/>
          </w:tcPr>
          <w:p w14:paraId="79D784E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252</w:t>
            </w:r>
          </w:p>
        </w:tc>
        <w:tc>
          <w:tcPr>
            <w:tcW w:w="1276" w:type="dxa"/>
            <w:vMerge w:val="continue"/>
            <w:noWrap w:val="0"/>
            <w:vAlign w:val="center"/>
          </w:tcPr>
          <w:p w14:paraId="2B9B3760">
            <w:pPr>
              <w:rPr>
                <w:rFonts w:hint="eastAsia" w:ascii="宋体" w:hAnsi="宋体" w:eastAsia="宋体" w:cs="宋体"/>
                <w:color w:val="000000"/>
                <w:sz w:val="24"/>
              </w:rPr>
            </w:pPr>
          </w:p>
        </w:tc>
      </w:tr>
      <w:tr w14:paraId="0A56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97" w:type="dxa"/>
            <w:gridSpan w:val="3"/>
            <w:noWrap/>
            <w:vAlign w:val="center"/>
          </w:tcPr>
          <w:p w14:paraId="4D21F059">
            <w:pPr>
              <w:jc w:val="center"/>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合计</w:t>
            </w:r>
            <w:r>
              <w:rPr>
                <w:rFonts w:hint="eastAsia" w:ascii="宋体" w:hAnsi="宋体" w:eastAsia="宋体" w:cs="宋体"/>
                <w:color w:val="000000"/>
                <w:sz w:val="24"/>
                <w:highlight w:val="none"/>
              </w:rPr>
              <w:t>　</w:t>
            </w:r>
          </w:p>
        </w:tc>
        <w:tc>
          <w:tcPr>
            <w:tcW w:w="1418" w:type="dxa"/>
            <w:noWrap/>
            <w:vAlign w:val="center"/>
          </w:tcPr>
          <w:p w14:paraId="21E6505E">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总户数</w:t>
            </w:r>
          </w:p>
        </w:tc>
        <w:tc>
          <w:tcPr>
            <w:tcW w:w="992" w:type="dxa"/>
            <w:noWrap/>
            <w:vAlign w:val="center"/>
          </w:tcPr>
          <w:p w14:paraId="3AACF8C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16896</w:t>
            </w:r>
          </w:p>
        </w:tc>
        <w:tc>
          <w:tcPr>
            <w:tcW w:w="1276" w:type="dxa"/>
            <w:noWrap/>
            <w:vAlign w:val="center"/>
          </w:tcPr>
          <w:p w14:paraId="4F1C9568">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总人口</w:t>
            </w:r>
          </w:p>
        </w:tc>
        <w:tc>
          <w:tcPr>
            <w:tcW w:w="1276" w:type="dxa"/>
            <w:noWrap/>
            <w:vAlign w:val="center"/>
          </w:tcPr>
          <w:p w14:paraId="37F9E8C1">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64405</w:t>
            </w:r>
          </w:p>
        </w:tc>
      </w:tr>
    </w:tbl>
    <w:p w14:paraId="73656E20">
      <w:pPr>
        <w:rPr>
          <w:rFonts w:hint="default" w:ascii="Calibri" w:hAnsi="Calibri" w:eastAsia="宋体" w:cs="Times New Roman"/>
          <w:highlight w:val="none"/>
        </w:rPr>
      </w:pPr>
    </w:p>
    <w:p w14:paraId="138402D7">
      <w:pPr>
        <w:widowControl w:val="0"/>
        <w:spacing w:line="360" w:lineRule="atLeast"/>
        <w:ind w:firstLine="200"/>
        <w:jc w:val="left"/>
        <w:rPr>
          <w:rFonts w:ascii="宋体" w:hAnsi="Calibri" w:eastAsia="仿宋_GB2312" w:cs="Times New Roman"/>
          <w:sz w:val="24"/>
          <w:szCs w:val="20"/>
          <w:highlight w:val="none"/>
        </w:rPr>
      </w:pPr>
    </w:p>
    <w:p w14:paraId="0E3D6A76">
      <w:pPr>
        <w:rPr>
          <w:rFonts w:hint="default" w:ascii="Calibri" w:hAnsi="Calibri" w:eastAsia="宋体" w:cs="Times New Roman"/>
          <w:highlight w:val="none"/>
        </w:rPr>
      </w:pPr>
    </w:p>
    <w:p w14:paraId="51157C7C">
      <w:pPr>
        <w:widowControl w:val="0"/>
        <w:spacing w:line="360" w:lineRule="atLeast"/>
        <w:ind w:firstLine="200"/>
        <w:jc w:val="left"/>
        <w:rPr>
          <w:rFonts w:ascii="宋体" w:hAnsi="Calibri" w:eastAsia="仿宋_GB2312" w:cs="Times New Roman"/>
          <w:sz w:val="24"/>
          <w:szCs w:val="20"/>
          <w:highlight w:val="none"/>
        </w:rPr>
      </w:pPr>
    </w:p>
    <w:p w14:paraId="5077FE47">
      <w:pPr>
        <w:rPr>
          <w:rFonts w:hint="default" w:ascii="Calibri" w:hAnsi="Calibri" w:eastAsia="宋体" w:cs="Times New Roman"/>
          <w:highlight w:val="none"/>
        </w:rPr>
      </w:pPr>
    </w:p>
    <w:p w14:paraId="44AEEF43">
      <w:pPr>
        <w:widowControl w:val="0"/>
        <w:spacing w:line="360" w:lineRule="atLeast"/>
        <w:ind w:firstLine="200"/>
        <w:jc w:val="left"/>
        <w:rPr>
          <w:rFonts w:ascii="宋体" w:hAnsi="Calibri" w:eastAsia="仿宋_GB2312" w:cs="Times New Roman"/>
          <w:sz w:val="24"/>
          <w:szCs w:val="20"/>
          <w:highlight w:val="none"/>
        </w:rPr>
      </w:pPr>
    </w:p>
    <w:p w14:paraId="2AC4A61F">
      <w:pPr>
        <w:rPr>
          <w:rFonts w:hint="default" w:ascii="Calibri" w:hAnsi="Calibri" w:eastAsia="宋体" w:cs="Times New Roman"/>
          <w:highlight w:val="none"/>
        </w:rPr>
      </w:pPr>
    </w:p>
    <w:p w14:paraId="4CAF193E">
      <w:pPr>
        <w:widowControl w:val="0"/>
        <w:spacing w:line="360" w:lineRule="atLeast"/>
        <w:ind w:firstLine="200"/>
        <w:jc w:val="left"/>
        <w:rPr>
          <w:rFonts w:ascii="宋体" w:hAnsi="Calibri" w:eastAsia="仿宋_GB2312" w:cs="Times New Roman"/>
          <w:sz w:val="24"/>
          <w:szCs w:val="20"/>
          <w:highlight w:val="none"/>
        </w:rPr>
      </w:pPr>
    </w:p>
    <w:p w14:paraId="12F23600">
      <w:pPr>
        <w:rPr>
          <w:rFonts w:hint="default" w:ascii="Calibri" w:hAnsi="Calibri" w:eastAsia="宋体" w:cs="Times New Roman"/>
          <w:highlight w:val="none"/>
        </w:rPr>
      </w:pPr>
    </w:p>
    <w:p w14:paraId="2F6B6B10">
      <w:pPr>
        <w:widowControl w:val="0"/>
        <w:spacing w:line="360" w:lineRule="atLeast"/>
        <w:ind w:firstLine="200"/>
        <w:jc w:val="left"/>
        <w:rPr>
          <w:rFonts w:ascii="宋体" w:hAnsi="Calibri" w:eastAsia="仿宋_GB2312" w:cs="Times New Roman"/>
          <w:sz w:val="24"/>
          <w:szCs w:val="20"/>
          <w:highlight w:val="none"/>
        </w:rPr>
      </w:pPr>
    </w:p>
    <w:p w14:paraId="6DA6CFAD">
      <w:pPr>
        <w:rPr>
          <w:rFonts w:hint="default" w:ascii="Calibri" w:hAnsi="Calibri" w:eastAsia="宋体" w:cs="Times New Roman"/>
          <w:highlight w:val="none"/>
        </w:rPr>
      </w:pPr>
    </w:p>
    <w:p w14:paraId="7B651A49">
      <w:pPr>
        <w:widowControl w:val="0"/>
        <w:spacing w:line="360" w:lineRule="atLeast"/>
        <w:ind w:firstLine="200"/>
        <w:jc w:val="left"/>
        <w:rPr>
          <w:rFonts w:ascii="宋体" w:hAnsi="Calibri" w:eastAsia="仿宋_GB2312" w:cs="Times New Roman"/>
          <w:sz w:val="24"/>
          <w:szCs w:val="20"/>
          <w:highlight w:val="none"/>
        </w:rPr>
      </w:pPr>
    </w:p>
    <w:p w14:paraId="6C7BE369">
      <w:pPr>
        <w:rPr>
          <w:rFonts w:hint="default" w:ascii="Calibri" w:hAnsi="Calibri" w:eastAsia="宋体" w:cs="Times New Roman"/>
          <w:highlight w:val="none"/>
        </w:rPr>
      </w:pPr>
    </w:p>
    <w:p w14:paraId="28555481">
      <w:pPr>
        <w:widowControl w:val="0"/>
        <w:spacing w:line="360" w:lineRule="atLeast"/>
        <w:ind w:firstLine="200"/>
        <w:jc w:val="left"/>
        <w:rPr>
          <w:rFonts w:ascii="宋体" w:hAnsi="Calibri" w:eastAsia="仿宋_GB2312" w:cs="Times New Roman"/>
          <w:sz w:val="24"/>
          <w:szCs w:val="20"/>
          <w:highlight w:val="none"/>
        </w:rPr>
      </w:pPr>
    </w:p>
    <w:p w14:paraId="142A081D">
      <w:pPr>
        <w:rPr>
          <w:rFonts w:hint="default" w:ascii="Calibri" w:hAnsi="Calibri" w:eastAsia="宋体" w:cs="Times New Roman"/>
          <w:highlight w:val="none"/>
        </w:rPr>
      </w:pPr>
    </w:p>
    <w:p w14:paraId="3D15F57D">
      <w:pPr>
        <w:widowControl w:val="0"/>
        <w:spacing w:line="360" w:lineRule="atLeast"/>
        <w:ind w:firstLine="200"/>
        <w:jc w:val="left"/>
        <w:rPr>
          <w:rFonts w:ascii="宋体" w:hAnsi="Calibri" w:eastAsia="仿宋_GB2312" w:cs="Times New Roman"/>
          <w:sz w:val="24"/>
          <w:szCs w:val="20"/>
          <w:highlight w:val="none"/>
        </w:rPr>
      </w:pPr>
    </w:p>
    <w:p w14:paraId="690D6856">
      <w:pPr>
        <w:rPr>
          <w:rFonts w:hint="default" w:ascii="Calibri" w:hAnsi="Calibri" w:eastAsia="宋体" w:cs="Times New Roman"/>
          <w:highlight w:val="none"/>
        </w:rPr>
      </w:pPr>
    </w:p>
    <w:p w14:paraId="79D4CAA3">
      <w:pPr>
        <w:widowControl w:val="0"/>
        <w:spacing w:line="360" w:lineRule="atLeast"/>
        <w:ind w:firstLine="200"/>
        <w:jc w:val="left"/>
        <w:rPr>
          <w:rFonts w:ascii="宋体" w:hAnsi="Calibri" w:eastAsia="仿宋_GB2312" w:cs="Times New Roman"/>
          <w:sz w:val="24"/>
          <w:szCs w:val="20"/>
          <w:highlight w:val="none"/>
        </w:rPr>
      </w:pPr>
    </w:p>
    <w:p w14:paraId="5678C0B6">
      <w:pPr>
        <w:rPr>
          <w:rFonts w:hint="default" w:ascii="Calibri" w:hAnsi="Calibri" w:eastAsia="宋体" w:cs="Times New Roman"/>
          <w:highlight w:val="none"/>
        </w:rPr>
      </w:pPr>
    </w:p>
    <w:p w14:paraId="6288CBE7">
      <w:pPr>
        <w:widowControl w:val="0"/>
        <w:spacing w:line="360" w:lineRule="atLeast"/>
        <w:ind w:firstLine="200"/>
        <w:jc w:val="left"/>
        <w:rPr>
          <w:rFonts w:ascii="宋体" w:hAnsi="Calibri" w:eastAsia="仿宋_GB2312" w:cs="Times New Roman"/>
          <w:sz w:val="24"/>
          <w:szCs w:val="20"/>
          <w:highlight w:val="none"/>
        </w:rPr>
      </w:pPr>
    </w:p>
    <w:p w14:paraId="560B09CD">
      <w:pPr>
        <w:rPr>
          <w:rFonts w:hint="default" w:ascii="Calibri" w:hAnsi="Calibri" w:eastAsia="宋体" w:cs="Times New Roman"/>
          <w:highlight w:val="none"/>
        </w:rPr>
      </w:pPr>
    </w:p>
    <w:p w14:paraId="4677EC28">
      <w:pPr>
        <w:widowControl w:val="0"/>
        <w:spacing w:line="360" w:lineRule="atLeast"/>
        <w:ind w:firstLine="200"/>
        <w:jc w:val="left"/>
        <w:rPr>
          <w:rFonts w:ascii="宋体" w:hAnsi="Calibri" w:eastAsia="仿宋_GB2312" w:cs="Times New Roman"/>
          <w:sz w:val="24"/>
          <w:szCs w:val="20"/>
          <w:highlight w:val="none"/>
        </w:rPr>
      </w:pPr>
    </w:p>
    <w:p w14:paraId="1E5FBBBF">
      <w:pPr>
        <w:rPr>
          <w:rFonts w:hint="default" w:ascii="Calibri" w:hAnsi="Calibri" w:eastAsia="宋体" w:cs="Times New Roman"/>
          <w:highlight w:val="none"/>
        </w:rPr>
      </w:pPr>
    </w:p>
    <w:p w14:paraId="5402C3AF">
      <w:pPr>
        <w:widowControl w:val="0"/>
        <w:spacing w:line="360" w:lineRule="atLeast"/>
        <w:ind w:firstLine="200"/>
        <w:jc w:val="left"/>
        <w:rPr>
          <w:rFonts w:ascii="宋体" w:hAnsi="Calibri" w:eastAsia="仿宋_GB2312" w:cs="Times New Roman"/>
          <w:sz w:val="24"/>
          <w:szCs w:val="20"/>
          <w:highlight w:val="none"/>
        </w:rPr>
      </w:pPr>
    </w:p>
    <w:p w14:paraId="3C2F62B5">
      <w:pPr>
        <w:rPr>
          <w:rFonts w:hint="default" w:ascii="Calibri" w:hAnsi="Calibri" w:eastAsia="宋体" w:cs="Times New Roman"/>
          <w:highlight w:val="none"/>
        </w:rPr>
      </w:pPr>
    </w:p>
    <w:p w14:paraId="443B714F">
      <w:pPr>
        <w:widowControl w:val="0"/>
        <w:spacing w:after="120" w:line="360" w:lineRule="auto"/>
        <w:ind w:firstLine="0"/>
        <w:jc w:val="both"/>
        <w:rPr>
          <w:rFonts w:hint="eastAsia" w:ascii="宋体" w:hAnsi="宋体" w:eastAsia="宋体" w:cs="宋体"/>
          <w:b/>
          <w:bCs/>
          <w:sz w:val="28"/>
          <w:szCs w:val="28"/>
          <w:highlight w:val="none"/>
        </w:rPr>
      </w:pPr>
    </w:p>
    <w:p w14:paraId="7B86550C">
      <w:pPr>
        <w:widowControl w:val="0"/>
        <w:spacing w:after="120" w:line="360" w:lineRule="auto"/>
        <w:ind w:firstLine="0"/>
        <w:jc w:val="both"/>
        <w:rPr>
          <w:rFonts w:hint="eastAsia" w:ascii="宋体" w:hAnsi="宋体" w:eastAsia="宋体" w:cs="宋体"/>
          <w:b/>
          <w:bCs/>
          <w:sz w:val="28"/>
          <w:szCs w:val="28"/>
          <w:highlight w:val="none"/>
        </w:rPr>
      </w:pPr>
    </w:p>
    <w:p w14:paraId="150045E4">
      <w:pPr>
        <w:widowControl w:val="0"/>
        <w:spacing w:after="120" w:line="360" w:lineRule="auto"/>
        <w:ind w:firstLine="0"/>
        <w:jc w:val="both"/>
        <w:rPr>
          <w:rFonts w:hint="eastAsia" w:ascii="宋体" w:hAnsi="宋体" w:eastAsia="宋体" w:cs="宋体"/>
          <w:b/>
          <w:bCs/>
          <w:sz w:val="28"/>
          <w:szCs w:val="28"/>
          <w:highlight w:val="none"/>
        </w:rPr>
      </w:pPr>
    </w:p>
    <w:p w14:paraId="3258B130">
      <w:pPr>
        <w:widowControl w:val="0"/>
        <w:spacing w:after="120" w:line="360" w:lineRule="auto"/>
        <w:ind w:firstLine="0"/>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bidi="ar-SA"/>
        </w:rPr>
        <w:t>合同附件2：</w:t>
      </w:r>
    </w:p>
    <w:p w14:paraId="364688F6">
      <w:pPr>
        <w:jc w:val="center"/>
        <w:rPr>
          <w:rFonts w:hint="eastAsia" w:ascii="仿宋" w:hAnsi="仿宋" w:eastAsia="仿宋" w:cs="仿宋"/>
          <w:b w:val="0"/>
          <w:bCs/>
          <w:sz w:val="24"/>
          <w:szCs w:val="24"/>
          <w:highlight w:val="none"/>
        </w:rPr>
      </w:pPr>
      <w:r>
        <w:rPr>
          <w:rFonts w:hint="eastAsia" w:ascii="方正公文小标宋" w:hAnsi="方正公文小标宋" w:eastAsia="方正公文小标宋" w:cs="方正公文小标宋"/>
          <w:b w:val="0"/>
          <w:bCs/>
          <w:sz w:val="36"/>
          <w:szCs w:val="36"/>
          <w:highlight w:val="none"/>
        </w:rPr>
        <w:t>大彭镇农村生活垃圾分类工作考核办法</w:t>
      </w:r>
    </w:p>
    <w:p w14:paraId="75FB501A">
      <w:pPr>
        <w:ind w:firstLine="48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bidi="ar"/>
        </w:rPr>
        <w:t>为进一步完善农村生活垃圾分类体系,全面提升农村生活垃圾治理水平,推动农村垃圾减量化、资源化、无害化治理,现就大彭镇农村生活垃圾分类工作考核办法明确如下:</w:t>
      </w:r>
    </w:p>
    <w:p w14:paraId="0A32EF6D">
      <w:pPr>
        <w:ind w:firstLine="600"/>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lang w:bidi="ar"/>
        </w:rPr>
        <w:t>一、考核对象</w:t>
      </w:r>
    </w:p>
    <w:p w14:paraId="474542A7">
      <w:pPr>
        <w:ind w:firstLine="6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bidi="ar"/>
        </w:rPr>
        <w:t>大彭镇农村生活垃圾分类运营公司</w:t>
      </w:r>
    </w:p>
    <w:p w14:paraId="1A3EAB22">
      <w:pPr>
        <w:ind w:firstLine="600"/>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lang w:bidi="ar"/>
        </w:rPr>
        <w:t>二、考核内容及指标</w:t>
      </w:r>
    </w:p>
    <w:p w14:paraId="29C58C04">
      <w:pPr>
        <w:ind w:firstLine="600"/>
        <w:rPr>
          <w:rFonts w:hint="eastAsia" w:ascii="仿宋" w:hAnsi="仿宋" w:eastAsia="仿宋" w:cs="仿宋"/>
          <w:b w:val="0"/>
          <w:bCs/>
          <w:sz w:val="24"/>
          <w:szCs w:val="24"/>
          <w:highlight w:val="none"/>
        </w:rPr>
      </w:pPr>
      <w:r>
        <w:rPr>
          <w:rFonts w:hint="eastAsia" w:ascii="楷体" w:hAnsi="楷体" w:eastAsia="楷体" w:cs="楷体"/>
          <w:b w:val="0"/>
          <w:bCs/>
          <w:sz w:val="24"/>
          <w:szCs w:val="24"/>
          <w:highlight w:val="none"/>
          <w:lang w:bidi="ar"/>
        </w:rPr>
        <w:t>1、垃圾分类作业人员管理。</w:t>
      </w:r>
      <w:r>
        <w:rPr>
          <w:rFonts w:hint="eastAsia" w:ascii="仿宋" w:hAnsi="仿宋" w:eastAsia="仿宋" w:cs="仿宋"/>
          <w:b w:val="0"/>
          <w:bCs/>
          <w:sz w:val="24"/>
          <w:szCs w:val="24"/>
          <w:highlight w:val="none"/>
          <w:lang w:bidi="ar"/>
        </w:rPr>
        <w:t>每个垃圾分类亭配备一名专职收集、分类人员，居民把垃圾自主投放到分类亭，易腐垃圾和有害垃圾由专职收集人员指导投放。每个专职收集、分类人员负责管理1个垃圾分类亭。分类收集队伍稳定，服装规范统一，配备必要的清扫工具和垃圾收集车辆，工资及时发放，定期发放劳保用品，保障工作人员合法权益。在组建垃圾分类管理人员队伍方面，尽量选用年轻力壮的管理员，人员数量和车辆要严格按照招投标合同配置到位。</w:t>
      </w:r>
    </w:p>
    <w:p w14:paraId="09BFB012">
      <w:pPr>
        <w:ind w:firstLine="600"/>
        <w:rPr>
          <w:rFonts w:hint="eastAsia" w:ascii="仿宋" w:hAnsi="仿宋" w:eastAsia="仿宋" w:cs="仿宋"/>
          <w:b w:val="0"/>
          <w:bCs/>
          <w:sz w:val="24"/>
          <w:szCs w:val="24"/>
          <w:highlight w:val="none"/>
        </w:rPr>
      </w:pPr>
      <w:r>
        <w:rPr>
          <w:rFonts w:hint="eastAsia" w:ascii="楷体" w:hAnsi="楷体" w:eastAsia="楷体" w:cs="楷体"/>
          <w:b w:val="0"/>
          <w:bCs/>
          <w:sz w:val="24"/>
          <w:szCs w:val="24"/>
          <w:highlight w:val="none"/>
          <w:lang w:bidi="ar"/>
        </w:rPr>
        <w:t>2、垃圾分类设施配备。</w:t>
      </w:r>
      <w:r>
        <w:rPr>
          <w:rFonts w:hint="eastAsia" w:ascii="仿宋" w:hAnsi="仿宋" w:eastAsia="仿宋" w:cs="仿宋"/>
          <w:b w:val="0"/>
          <w:bCs/>
          <w:sz w:val="24"/>
          <w:szCs w:val="24"/>
          <w:highlight w:val="none"/>
          <w:lang w:bidi="ar"/>
        </w:rPr>
        <w:t>采取“桶车对接”方式开展生活垃圾收运，实现“垃圾不落地”；采用单户或联户的形式合理配置易腐垃圾收集容器；垃圾分类收集容器外观整洁，无残缺、破损。配备8吨运力厨余垃圾收运车，按徐州生活垃圾分类视觉系统喷涂。有害垃圾和可回收垃圾清运由项目运营公司无偿运输。</w:t>
      </w:r>
    </w:p>
    <w:p w14:paraId="64CF8F6D">
      <w:pPr>
        <w:ind w:firstLine="600"/>
        <w:rPr>
          <w:rFonts w:hint="eastAsia" w:ascii="仿宋" w:hAnsi="仿宋" w:eastAsia="仿宋" w:cs="仿宋"/>
          <w:b w:val="0"/>
          <w:bCs/>
          <w:sz w:val="24"/>
          <w:szCs w:val="24"/>
          <w:highlight w:val="none"/>
        </w:rPr>
      </w:pPr>
      <w:r>
        <w:rPr>
          <w:rFonts w:hint="eastAsia" w:ascii="楷体" w:hAnsi="楷体" w:eastAsia="楷体" w:cs="楷体"/>
          <w:b w:val="0"/>
          <w:bCs/>
          <w:sz w:val="24"/>
          <w:szCs w:val="24"/>
          <w:highlight w:val="none"/>
          <w:lang w:bidi="ar"/>
        </w:rPr>
        <w:t>3、垃圾分类亭环境卫生质量标准。</w:t>
      </w:r>
      <w:r>
        <w:rPr>
          <w:rFonts w:hint="eastAsia" w:ascii="仿宋" w:hAnsi="仿宋" w:eastAsia="仿宋" w:cs="仿宋"/>
          <w:b w:val="0"/>
          <w:bCs/>
          <w:sz w:val="24"/>
          <w:szCs w:val="24"/>
          <w:highlight w:val="none"/>
          <w:lang w:bidi="ar"/>
        </w:rPr>
        <w:t>垃圾分类亭全天正常开放；垃圾分类收集员做好垃圾亭内卫生，蚊蝇消杀，及时清洗地面污渍，加强分类桶的立面清洗、桶内消杀，垃圾无外溢并及时清运；做好垃圾亭周围5米范围内的保洁工作，无乱堆乱放、无生活垃圾、无污水四溢。</w:t>
      </w:r>
    </w:p>
    <w:p w14:paraId="49B85678">
      <w:pPr>
        <w:ind w:firstLine="600"/>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lang w:bidi="ar"/>
        </w:rPr>
        <w:t>三、考核方法</w:t>
      </w:r>
    </w:p>
    <w:p w14:paraId="0CFCF0D2">
      <w:pPr>
        <w:ind w:firstLine="480"/>
        <w:rPr>
          <w:rFonts w:hint="eastAsia" w:ascii="仿宋" w:hAnsi="仿宋" w:eastAsia="仿宋" w:cs="Times New Roman"/>
          <w:b w:val="0"/>
          <w:bCs/>
          <w:color w:val="000000"/>
          <w:sz w:val="24"/>
          <w:szCs w:val="21"/>
          <w:highlight w:val="none"/>
        </w:rPr>
      </w:pPr>
      <w:r>
        <w:rPr>
          <w:rFonts w:hint="eastAsia" w:ascii="楷体" w:hAnsi="楷体" w:eastAsia="楷体" w:cs="楷体"/>
          <w:b w:val="0"/>
          <w:bCs/>
          <w:color w:val="000000"/>
          <w:sz w:val="24"/>
          <w:szCs w:val="21"/>
          <w:highlight w:val="none"/>
        </w:rPr>
        <w:t>1、每月通报考核。</w:t>
      </w:r>
      <w:r>
        <w:rPr>
          <w:rFonts w:hint="eastAsia" w:ascii="仿宋" w:hAnsi="仿宋" w:eastAsia="仿宋" w:cs="Times New Roman"/>
          <w:b w:val="0"/>
          <w:bCs/>
          <w:color w:val="000000"/>
          <w:sz w:val="24"/>
          <w:szCs w:val="21"/>
          <w:highlight w:val="none"/>
        </w:rPr>
        <w:t>镇长效办每月依据考核结果,下发每月考核通报,点评垃圾分类工作开展情况及存在问题,公布考核扣分情况。</w:t>
      </w:r>
    </w:p>
    <w:p w14:paraId="61D68AE5">
      <w:pPr>
        <w:ind w:firstLine="480"/>
        <w:rPr>
          <w:rFonts w:hint="eastAsia" w:ascii="仿宋" w:hAnsi="仿宋" w:eastAsia="仿宋" w:cs="Times New Roman"/>
          <w:b w:val="0"/>
          <w:bCs/>
          <w:sz w:val="24"/>
          <w:szCs w:val="21"/>
          <w:highlight w:val="none"/>
        </w:rPr>
      </w:pPr>
      <w:r>
        <w:rPr>
          <w:rFonts w:hint="eastAsia" w:ascii="楷体" w:hAnsi="楷体" w:eastAsia="楷体" w:cs="楷体"/>
          <w:b w:val="0"/>
          <w:bCs/>
          <w:sz w:val="24"/>
          <w:szCs w:val="21"/>
          <w:highlight w:val="none"/>
        </w:rPr>
        <w:t>2、建立奖惩制度</w:t>
      </w:r>
      <w:r>
        <w:rPr>
          <w:rFonts w:hint="eastAsia" w:ascii="仿宋" w:hAnsi="仿宋" w:eastAsia="仿宋" w:cs="Times New Roman"/>
          <w:b w:val="0"/>
          <w:bCs/>
          <w:sz w:val="24"/>
          <w:szCs w:val="21"/>
          <w:highlight w:val="none"/>
        </w:rPr>
        <w:t>。镇长效办每月依据考核扣分情况进行处罚。奖罚办法如下：依据镇长效办每月考核通报结果，每扣一分，罚款100元。</w:t>
      </w:r>
    </w:p>
    <w:p w14:paraId="3530871B">
      <w:pPr>
        <w:widowControl w:val="0"/>
        <w:spacing w:line="360" w:lineRule="atLeast"/>
        <w:ind w:firstLine="480"/>
        <w:jc w:val="left"/>
        <w:rPr>
          <w:rFonts w:ascii="宋体" w:hAnsi="Calibri" w:eastAsia="仿宋_GB2312" w:cs="Times New Roman"/>
          <w:b w:val="0"/>
          <w:bCs/>
          <w:color w:val="000000"/>
          <w:sz w:val="21"/>
          <w:szCs w:val="16"/>
          <w:highlight w:val="none"/>
        </w:rPr>
      </w:pPr>
      <w:r>
        <w:rPr>
          <w:rFonts w:hint="eastAsia" w:ascii="仿宋" w:hAnsi="仿宋" w:eastAsia="仿宋" w:cs="Times New Roman"/>
          <w:b w:val="0"/>
          <w:bCs/>
          <w:color w:val="000000"/>
          <w:sz w:val="24"/>
          <w:szCs w:val="16"/>
          <w:highlight w:val="none"/>
          <w:lang w:val="en-US" w:eastAsia="zh-CN" w:bidi="ar-SA"/>
        </w:rPr>
        <w:t>考核罚款累计金额不影响甲方对乙方其他违约责任的追究，亦不影响甲方随时依据本合同约定解除合同的权利。考核罚款不设上限，但甲方有权根据实际情况决定是否继续履行或解除合同，乙方不得以罚款金额为由拒绝履约或主张免责。</w:t>
      </w:r>
    </w:p>
    <w:p w14:paraId="105062EB">
      <w:pPr>
        <w:ind w:firstLine="480"/>
        <w:rPr>
          <w:rFonts w:hint="eastAsia" w:ascii="仿宋" w:hAnsi="仿宋" w:eastAsia="仿宋" w:cs="Times New Roman"/>
          <w:b w:val="0"/>
          <w:bCs/>
          <w:sz w:val="24"/>
          <w:szCs w:val="21"/>
          <w:highlight w:val="none"/>
        </w:rPr>
      </w:pPr>
      <w:r>
        <w:rPr>
          <w:rFonts w:hint="eastAsia" w:ascii="楷体" w:hAnsi="楷体" w:eastAsia="楷体" w:cs="楷体"/>
          <w:b w:val="0"/>
          <w:bCs/>
          <w:sz w:val="24"/>
          <w:szCs w:val="21"/>
          <w:highlight w:val="none"/>
        </w:rPr>
        <w:t>3、强化问题整改。</w:t>
      </w:r>
      <w:r>
        <w:rPr>
          <w:rFonts w:hint="eastAsia" w:ascii="仿宋" w:hAnsi="仿宋" w:eastAsia="仿宋" w:cs="Times New Roman"/>
          <w:b w:val="0"/>
          <w:bCs/>
          <w:sz w:val="24"/>
          <w:szCs w:val="21"/>
          <w:highlight w:val="none"/>
        </w:rPr>
        <w:t>垃圾分类公司要切实加强日常工作开展和督促检查,对现场考核发现的问题要及时整改,整改结果以图片或文字形式反馈至镇长效办,接到问题告知后48小时内完成整改。</w:t>
      </w:r>
      <w:r>
        <w:rPr>
          <w:rFonts w:hint="eastAsia" w:ascii="仿宋" w:hAnsi="仿宋" w:eastAsia="仿宋" w:cs="Times New Roman"/>
          <w:b w:val="0"/>
          <w:bCs/>
          <w:color w:val="000000"/>
          <w:sz w:val="24"/>
          <w:szCs w:val="21"/>
          <w:highlight w:val="none"/>
        </w:rPr>
        <w:t>凡逾期超过5个工作日未完</w:t>
      </w:r>
      <w:r>
        <w:rPr>
          <w:rFonts w:hint="eastAsia" w:ascii="仿宋" w:hAnsi="仿宋" w:eastAsia="仿宋" w:cs="Times New Roman"/>
          <w:b w:val="0"/>
          <w:bCs/>
          <w:sz w:val="24"/>
          <w:szCs w:val="21"/>
          <w:highlight w:val="none"/>
        </w:rPr>
        <w:t>成整改或整改不彻底的,双倍扣分并计入下月考核成绩。</w:t>
      </w:r>
    </w:p>
    <w:p w14:paraId="749C5CE2">
      <w:pPr>
        <w:ind w:firstLine="480"/>
        <w:rPr>
          <w:rFonts w:hint="eastAsia" w:ascii="仿宋" w:hAnsi="仿宋" w:eastAsia="仿宋" w:cs="Times New Roman"/>
          <w:b w:val="0"/>
          <w:bCs/>
          <w:sz w:val="24"/>
          <w:szCs w:val="21"/>
          <w:highlight w:val="none"/>
        </w:rPr>
      </w:pPr>
      <w:r>
        <w:rPr>
          <w:rFonts w:hint="eastAsia" w:ascii="楷体" w:hAnsi="楷体" w:eastAsia="楷体" w:cs="楷体"/>
          <w:b w:val="0"/>
          <w:bCs/>
          <w:sz w:val="24"/>
          <w:szCs w:val="21"/>
          <w:highlight w:val="none"/>
        </w:rPr>
        <w:t>4、严肃考核纪律。</w:t>
      </w:r>
      <w:r>
        <w:rPr>
          <w:rFonts w:hint="eastAsia" w:ascii="仿宋" w:hAnsi="仿宋" w:eastAsia="仿宋" w:cs="Times New Roman"/>
          <w:b w:val="0"/>
          <w:bCs/>
          <w:sz w:val="24"/>
          <w:szCs w:val="21"/>
          <w:highlight w:val="none"/>
        </w:rPr>
        <w:t>按照客观公正、精简高效的原则组织实施考核工作,工作人员要严格执行中央八项规定和省、市、区委十项规定等纪律要求，对违规违纪行为一律严肃追责。</w:t>
      </w:r>
    </w:p>
    <w:p w14:paraId="64A1791B">
      <w:pPr>
        <w:ind w:firstLine="600"/>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lang w:bidi="ar"/>
        </w:rPr>
        <w:t>四、评分细则</w:t>
      </w:r>
    </w:p>
    <w:p w14:paraId="40058700">
      <w:pPr>
        <w:ind w:firstLine="6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bidi="ar"/>
        </w:rPr>
        <w:t>按照评分细则（附件一）要求实行倒扣分制度。</w:t>
      </w:r>
    </w:p>
    <w:p w14:paraId="230170A8">
      <w:pPr>
        <w:ind w:firstLine="600"/>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lang w:bidi="ar"/>
        </w:rPr>
        <w:t>五、考核评价和结果运用</w:t>
      </w:r>
    </w:p>
    <w:p w14:paraId="369BDE0B">
      <w:pPr>
        <w:ind w:firstLine="6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bidi="ar"/>
        </w:rPr>
        <w:t>根据月考核结果及时拨付运营公司工作经费。</w:t>
      </w:r>
    </w:p>
    <w:p w14:paraId="611E7CFE">
      <w:pPr>
        <w:ind w:firstLine="600"/>
        <w:rPr>
          <w:rFonts w:hint="default" w:ascii="Calibri" w:hAnsi="Calibri" w:eastAsia="宋体" w:cs="Times New Roman"/>
          <w:b w:val="0"/>
          <w:bCs/>
          <w:color w:val="000000"/>
          <w:sz w:val="18"/>
          <w:szCs w:val="21"/>
          <w:highlight w:val="none"/>
        </w:rPr>
      </w:pPr>
      <w:r>
        <w:rPr>
          <w:rFonts w:hint="eastAsia" w:ascii="仿宋" w:hAnsi="仿宋" w:eastAsia="仿宋" w:cs="仿宋"/>
          <w:b w:val="0"/>
          <w:bCs/>
          <w:color w:val="000000"/>
          <w:sz w:val="24"/>
          <w:szCs w:val="24"/>
          <w:highlight w:val="none"/>
          <w:lang w:bidi="ar"/>
        </w:rPr>
        <w:t>考核结果直接影响服务费支付。乙方如因考核扣分被处罚，甲方有权在服务费中直接扣除相应罚款。对考核发现的问题，乙方应在甲方规定期限内完成整改，逾期未整改或整改不彻底的，甲方有权加倍扣分并计入下月考核。甲方对考核标准和结果拥有最终解释权，并可根据实际情况调整考核标准，调整前应提前7日书面通知乙方。</w:t>
      </w:r>
    </w:p>
    <w:p w14:paraId="6EE87178">
      <w:pPr>
        <w:spacing w:line="520" w:lineRule="exact"/>
        <w:ind w:firstLine="480"/>
        <w:rPr>
          <w:rFonts w:hint="eastAsia" w:ascii="仿宋" w:hAnsi="仿宋" w:eastAsia="仿宋" w:cs="Times New Roman"/>
          <w:b w:val="0"/>
          <w:bCs/>
          <w:sz w:val="24"/>
          <w:szCs w:val="21"/>
          <w:highlight w:val="none"/>
        </w:rPr>
      </w:pPr>
      <w:r>
        <w:rPr>
          <w:rFonts w:hint="eastAsia" w:ascii="仿宋" w:hAnsi="仿宋" w:eastAsia="仿宋" w:cs="Times New Roman"/>
          <w:b w:val="0"/>
          <w:bCs/>
          <w:sz w:val="24"/>
          <w:szCs w:val="21"/>
          <w:highlight w:val="none"/>
        </w:rPr>
        <w:t>本考核办法自下发之日起开始实施。</w:t>
      </w:r>
    </w:p>
    <w:p w14:paraId="7B9968B9">
      <w:pPr>
        <w:rPr>
          <w:rFonts w:hint="eastAsia" w:ascii="仿宋" w:hAnsi="仿宋" w:eastAsia="仿宋" w:cs="仿宋"/>
          <w:b w:val="0"/>
          <w:bCs/>
          <w:sz w:val="24"/>
          <w:szCs w:val="24"/>
          <w:highlight w:val="none"/>
        </w:rPr>
      </w:pPr>
    </w:p>
    <w:p w14:paraId="5BBCC87D">
      <w:pPr>
        <w:ind w:firstLine="6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附件：</w:t>
      </w:r>
      <w:r>
        <w:rPr>
          <w:rFonts w:hint="eastAsia" w:ascii="仿宋" w:hAnsi="仿宋" w:eastAsia="仿宋" w:cs="仿宋"/>
          <w:b w:val="0"/>
          <w:bCs/>
          <w:sz w:val="24"/>
          <w:szCs w:val="24"/>
          <w:highlight w:val="none"/>
          <w:lang w:bidi="ar"/>
        </w:rPr>
        <w:t>大彭镇农村生活垃圾分类工作考核评分细则</w:t>
      </w:r>
    </w:p>
    <w:p w14:paraId="7C06428A">
      <w:pPr>
        <w:rPr>
          <w:rFonts w:hint="eastAsia" w:ascii="仿宋" w:hAnsi="仿宋" w:eastAsia="仿宋" w:cs="仿宋"/>
          <w:sz w:val="32"/>
          <w:szCs w:val="32"/>
          <w:highlight w:val="none"/>
        </w:rPr>
      </w:pPr>
    </w:p>
    <w:p w14:paraId="240036DA">
      <w:pPr>
        <w:ind w:firstLine="600"/>
        <w:rPr>
          <w:rFonts w:hint="eastAsia" w:ascii="仿宋" w:hAnsi="仿宋" w:eastAsia="仿宋" w:cs="仿宋"/>
          <w:sz w:val="32"/>
          <w:szCs w:val="32"/>
          <w:highlight w:val="none"/>
        </w:rPr>
      </w:pPr>
    </w:p>
    <w:p w14:paraId="710B6F2E">
      <w:pPr>
        <w:widowControl w:val="0"/>
        <w:ind w:left="256" w:right="6" w:firstLine="624"/>
        <w:jc w:val="both"/>
        <w:rPr>
          <w:rFonts w:ascii="Times New Roman" w:hAnsi="Times New Roman" w:eastAsia="仿宋_GB2312" w:cs="Times New Roman"/>
          <w:sz w:val="28"/>
          <w:szCs w:val="20"/>
          <w:highlight w:val="none"/>
        </w:rPr>
      </w:pPr>
    </w:p>
    <w:p w14:paraId="69895DF4">
      <w:pPr>
        <w:widowControl w:val="0"/>
        <w:ind w:left="256" w:right="6" w:firstLine="624"/>
        <w:jc w:val="both"/>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bidi="ar"/>
        </w:rPr>
        <w:t xml:space="preserve">                              </w:t>
      </w:r>
    </w:p>
    <w:p w14:paraId="4BEB44C4">
      <w:pPr>
        <w:widowControl w:val="0"/>
        <w:ind w:left="256" w:right="6" w:firstLine="624"/>
        <w:jc w:val="both"/>
        <w:rPr>
          <w:rFonts w:hint="eastAsia" w:ascii="仿宋" w:hAnsi="仿宋" w:eastAsia="仿宋" w:cs="仿宋"/>
          <w:sz w:val="32"/>
          <w:szCs w:val="32"/>
          <w:highlight w:val="none"/>
        </w:rPr>
      </w:pPr>
    </w:p>
    <w:p w14:paraId="0B932600">
      <w:pPr>
        <w:widowControl w:val="0"/>
        <w:ind w:left="256" w:right="6" w:firstLine="624"/>
        <w:jc w:val="both"/>
        <w:rPr>
          <w:rFonts w:hint="eastAsia" w:ascii="仿宋" w:hAnsi="仿宋" w:eastAsia="仿宋" w:cs="仿宋"/>
          <w:sz w:val="32"/>
          <w:szCs w:val="32"/>
          <w:highlight w:val="none"/>
        </w:rPr>
      </w:pPr>
    </w:p>
    <w:p w14:paraId="5656FD44">
      <w:pPr>
        <w:widowControl w:val="0"/>
        <w:ind w:left="256" w:right="6" w:firstLine="624"/>
        <w:jc w:val="both"/>
        <w:rPr>
          <w:rFonts w:hint="eastAsia" w:ascii="仿宋" w:hAnsi="仿宋" w:eastAsia="仿宋" w:cs="仿宋"/>
          <w:sz w:val="32"/>
          <w:szCs w:val="32"/>
          <w:highlight w:val="none"/>
        </w:rPr>
      </w:pPr>
    </w:p>
    <w:p w14:paraId="1532AEAD">
      <w:pPr>
        <w:widowControl w:val="0"/>
        <w:ind w:left="256" w:right="6" w:firstLine="624"/>
        <w:jc w:val="both"/>
        <w:rPr>
          <w:rFonts w:hint="eastAsia" w:ascii="方正公文小标宋" w:hAnsi="方正公文小标宋" w:eastAsia="方正公文小标宋" w:cs="方正公文小标宋"/>
          <w:bCs/>
          <w:sz w:val="44"/>
          <w:szCs w:val="44"/>
          <w:highlight w:val="none"/>
        </w:rPr>
      </w:pPr>
    </w:p>
    <w:p w14:paraId="0901A253">
      <w:pPr>
        <w:widowControl w:val="0"/>
        <w:ind w:left="256" w:right="6" w:firstLine="624"/>
        <w:jc w:val="both"/>
        <w:rPr>
          <w:rFonts w:hint="eastAsia" w:ascii="方正公文小标宋" w:hAnsi="方正公文小标宋" w:eastAsia="方正公文小标宋" w:cs="方正公文小标宋"/>
          <w:bCs/>
          <w:sz w:val="44"/>
          <w:szCs w:val="44"/>
          <w:highlight w:val="none"/>
        </w:rPr>
      </w:pPr>
    </w:p>
    <w:p w14:paraId="7290403E">
      <w:pPr>
        <w:widowControl w:val="0"/>
        <w:ind w:left="0" w:right="6" w:firstLine="0"/>
        <w:jc w:val="both"/>
        <w:rPr>
          <w:rFonts w:ascii="Times New Roman" w:hAnsi="Times New Roman" w:eastAsia="仿宋_GB2312" w:cs="Times New Roman"/>
          <w:sz w:val="28"/>
          <w:szCs w:val="20"/>
          <w:highlight w:val="none"/>
        </w:rPr>
      </w:pPr>
    </w:p>
    <w:p w14:paraId="7CA929B2">
      <w:pPr>
        <w:widowControl w:val="0"/>
        <w:ind w:left="0" w:right="6" w:firstLine="0"/>
        <w:jc w:val="both"/>
        <w:rPr>
          <w:rFonts w:ascii="Times New Roman" w:hAnsi="Times New Roman" w:eastAsia="仿宋_GB2312" w:cs="Times New Roman"/>
          <w:sz w:val="28"/>
          <w:szCs w:val="20"/>
          <w:highlight w:val="none"/>
        </w:rPr>
      </w:pPr>
    </w:p>
    <w:p w14:paraId="17AB2B3A">
      <w:pPr>
        <w:jc w:val="center"/>
        <w:rPr>
          <w:rFonts w:hint="eastAsia" w:ascii="宋体" w:hAnsi="宋体" w:eastAsia="宋体" w:cs="宋体"/>
          <w:b/>
          <w:bCs/>
          <w:sz w:val="32"/>
          <w:szCs w:val="32"/>
          <w:highlight w:val="none"/>
        </w:rPr>
      </w:pPr>
    </w:p>
    <w:p w14:paraId="79CEE367">
      <w:pPr>
        <w:jc w:val="center"/>
        <w:rPr>
          <w:rFonts w:hint="eastAsia" w:ascii="宋体" w:hAnsi="宋体" w:eastAsia="宋体" w:cs="宋体"/>
          <w:b/>
          <w:bCs/>
          <w:sz w:val="32"/>
          <w:szCs w:val="32"/>
          <w:highlight w:val="none"/>
        </w:rPr>
      </w:pPr>
    </w:p>
    <w:p w14:paraId="2541F0B4">
      <w:pPr>
        <w:jc w:val="center"/>
        <w:rPr>
          <w:rFonts w:hint="eastAsia" w:ascii="宋体" w:hAnsi="宋体" w:eastAsia="宋体" w:cs="宋体"/>
          <w:b/>
          <w:bCs/>
          <w:sz w:val="32"/>
          <w:szCs w:val="32"/>
          <w:highlight w:val="none"/>
        </w:rPr>
      </w:pPr>
    </w:p>
    <w:p w14:paraId="5FB8268A">
      <w:pPr>
        <w:jc w:val="center"/>
        <w:rPr>
          <w:rFonts w:hint="eastAsia" w:ascii="宋体" w:hAnsi="宋体" w:eastAsia="宋体" w:cs="宋体"/>
          <w:b/>
          <w:bCs/>
          <w:sz w:val="32"/>
          <w:szCs w:val="32"/>
          <w:highlight w:val="none"/>
        </w:rPr>
      </w:pPr>
    </w:p>
    <w:p w14:paraId="793DDCF6">
      <w:pPr>
        <w:jc w:val="center"/>
        <w:rPr>
          <w:rFonts w:hint="eastAsia" w:ascii="宋体" w:hAnsi="宋体" w:eastAsia="宋体" w:cs="宋体"/>
          <w:b/>
          <w:bCs/>
          <w:sz w:val="32"/>
          <w:szCs w:val="32"/>
          <w:highlight w:val="none"/>
        </w:rPr>
      </w:pPr>
    </w:p>
    <w:p w14:paraId="76EED6AC">
      <w:pPr>
        <w:jc w:val="center"/>
        <w:rPr>
          <w:rFonts w:hint="eastAsia" w:ascii="宋体" w:hAnsi="宋体" w:eastAsia="宋体" w:cs="宋体"/>
          <w:b/>
          <w:bCs/>
          <w:sz w:val="32"/>
          <w:szCs w:val="32"/>
          <w:highlight w:val="none"/>
        </w:rPr>
      </w:pPr>
    </w:p>
    <w:p w14:paraId="6E56D7FF">
      <w:pPr>
        <w:jc w:val="center"/>
        <w:rPr>
          <w:rFonts w:hint="eastAsia" w:ascii="宋体" w:hAnsi="宋体" w:eastAsia="宋体" w:cs="宋体"/>
          <w:b/>
          <w:bCs/>
          <w:sz w:val="32"/>
          <w:szCs w:val="32"/>
          <w:highlight w:val="none"/>
        </w:rPr>
      </w:pPr>
    </w:p>
    <w:p w14:paraId="69F6141D">
      <w:pPr>
        <w:jc w:val="center"/>
        <w:rPr>
          <w:rFonts w:hint="eastAsia" w:ascii="宋体" w:hAnsi="宋体" w:eastAsia="宋体" w:cs="宋体"/>
          <w:b/>
          <w:bCs/>
          <w:sz w:val="32"/>
          <w:szCs w:val="32"/>
          <w:highlight w:val="none"/>
        </w:rPr>
      </w:pPr>
    </w:p>
    <w:p w14:paraId="64AC9E04">
      <w:pPr>
        <w:jc w:val="center"/>
        <w:rPr>
          <w:rFonts w:hint="eastAsia" w:ascii="宋体" w:hAnsi="宋体" w:eastAsia="宋体" w:cs="宋体"/>
          <w:b/>
          <w:bCs/>
          <w:sz w:val="32"/>
          <w:szCs w:val="32"/>
          <w:highlight w:val="none"/>
        </w:rPr>
      </w:pPr>
    </w:p>
    <w:p w14:paraId="6CC26CD0">
      <w:pPr>
        <w:jc w:val="center"/>
        <w:rPr>
          <w:rFonts w:hint="eastAsia" w:ascii="仿宋" w:hAnsi="仿宋" w:eastAsia="仿宋" w:cs="仿宋"/>
          <w:b/>
          <w:bCs/>
          <w:sz w:val="32"/>
          <w:szCs w:val="32"/>
          <w:highlight w:val="none"/>
        </w:rPr>
      </w:pPr>
    </w:p>
    <w:p w14:paraId="28186557">
      <w:pPr>
        <w:jc w:val="center"/>
        <w:rPr>
          <w:rFonts w:hint="eastAsia" w:ascii="仿宋" w:hAnsi="仿宋" w:eastAsia="仿宋" w:cs="仿宋"/>
          <w:b/>
          <w:bCs/>
          <w:sz w:val="32"/>
          <w:szCs w:val="32"/>
          <w:highlight w:val="none"/>
        </w:rPr>
      </w:pPr>
    </w:p>
    <w:p w14:paraId="1E609BF3">
      <w:pPr>
        <w:jc w:val="center"/>
        <w:rPr>
          <w:rFonts w:hint="eastAsia" w:ascii="仿宋" w:hAnsi="仿宋" w:eastAsia="仿宋" w:cs="仿宋"/>
          <w:b/>
          <w:bCs/>
          <w:sz w:val="32"/>
          <w:szCs w:val="32"/>
          <w:highlight w:val="none"/>
        </w:rPr>
      </w:pPr>
    </w:p>
    <w:p w14:paraId="68BB9286">
      <w:pPr>
        <w:jc w:val="center"/>
        <w:rPr>
          <w:rFonts w:hint="eastAsia" w:ascii="仿宋" w:hAnsi="仿宋" w:eastAsia="仿宋" w:cs="仿宋"/>
          <w:b/>
          <w:bCs/>
          <w:sz w:val="32"/>
          <w:szCs w:val="32"/>
          <w:highlight w:val="none"/>
        </w:rPr>
      </w:pPr>
    </w:p>
    <w:p w14:paraId="36000F4D">
      <w:pPr>
        <w:jc w:val="center"/>
        <w:rPr>
          <w:rFonts w:hint="eastAsia" w:ascii="仿宋" w:hAnsi="仿宋" w:eastAsia="仿宋" w:cs="仿宋"/>
          <w:b/>
          <w:bCs/>
          <w:sz w:val="32"/>
          <w:szCs w:val="32"/>
          <w:highlight w:val="none"/>
        </w:rPr>
      </w:pPr>
    </w:p>
    <w:p w14:paraId="2866A8E9">
      <w:pPr>
        <w:jc w:val="center"/>
        <w:rPr>
          <w:rFonts w:hint="eastAsia" w:ascii="仿宋" w:hAnsi="仿宋" w:eastAsia="仿宋" w:cs="仿宋"/>
          <w:b/>
          <w:bCs/>
          <w:sz w:val="32"/>
          <w:szCs w:val="32"/>
          <w:highlight w:val="none"/>
        </w:rPr>
      </w:pPr>
    </w:p>
    <w:p w14:paraId="4B61E54C">
      <w:pPr>
        <w:jc w:val="center"/>
        <w:rPr>
          <w:rFonts w:hint="eastAsia" w:ascii="仿宋" w:hAnsi="仿宋" w:eastAsia="仿宋" w:cs="仿宋"/>
          <w:b/>
          <w:bCs/>
          <w:sz w:val="32"/>
          <w:szCs w:val="32"/>
          <w:highlight w:val="none"/>
        </w:rPr>
      </w:pPr>
    </w:p>
    <w:p w14:paraId="7FFDB4E7">
      <w:pPr>
        <w:jc w:val="center"/>
        <w:rPr>
          <w:rFonts w:hint="eastAsia" w:ascii="仿宋" w:hAnsi="仿宋" w:eastAsia="仿宋" w:cs="仿宋"/>
          <w:b/>
          <w:bCs/>
          <w:sz w:val="32"/>
          <w:szCs w:val="32"/>
          <w:highlight w:val="none"/>
        </w:rPr>
      </w:pPr>
    </w:p>
    <w:p w14:paraId="2E281539">
      <w:pPr>
        <w:jc w:val="center"/>
        <w:rPr>
          <w:rFonts w:hint="eastAsia" w:ascii="仿宋" w:hAnsi="仿宋" w:eastAsia="仿宋" w:cs="仿宋"/>
          <w:b/>
          <w:bCs/>
          <w:sz w:val="32"/>
          <w:szCs w:val="32"/>
          <w:highlight w:val="none"/>
        </w:rPr>
      </w:pPr>
    </w:p>
    <w:p w14:paraId="63DC57CE">
      <w:pPr>
        <w:jc w:val="center"/>
        <w:rPr>
          <w:rFonts w:hint="eastAsia" w:ascii="仿宋" w:hAnsi="仿宋" w:eastAsia="仿宋" w:cs="仿宋"/>
          <w:b/>
          <w:bCs/>
          <w:sz w:val="32"/>
          <w:szCs w:val="32"/>
          <w:highlight w:val="none"/>
        </w:rPr>
      </w:pPr>
    </w:p>
    <w:p w14:paraId="7641B9F6">
      <w:pPr>
        <w:jc w:val="center"/>
        <w:rPr>
          <w:rFonts w:hint="eastAsia" w:ascii="仿宋" w:hAnsi="仿宋" w:eastAsia="仿宋" w:cs="仿宋"/>
          <w:b/>
          <w:bCs/>
          <w:highlight w:val="none"/>
        </w:rPr>
      </w:pPr>
      <w:r>
        <w:rPr>
          <w:rFonts w:hint="eastAsia" w:ascii="仿宋" w:hAnsi="仿宋" w:eastAsia="仿宋" w:cs="仿宋"/>
          <w:b/>
          <w:bCs/>
          <w:sz w:val="32"/>
          <w:szCs w:val="32"/>
          <w:highlight w:val="none"/>
          <w:lang w:bidi="ar"/>
        </w:rPr>
        <w:t>附件：大彭镇农村生活垃圾分类工作考核评分细则</w:t>
      </w:r>
    </w:p>
    <w:tbl>
      <w:tblPr>
        <w:tblStyle w:val="51"/>
        <w:tblW w:w="9373" w:type="dxa"/>
        <w:jc w:val="center"/>
        <w:tblLayout w:type="autofit"/>
        <w:tblCellMar>
          <w:top w:w="15" w:type="dxa"/>
          <w:left w:w="15" w:type="dxa"/>
          <w:bottom w:w="15" w:type="dxa"/>
          <w:right w:w="15" w:type="dxa"/>
        </w:tblCellMar>
      </w:tblPr>
      <w:tblGrid>
        <w:gridCol w:w="1434"/>
        <w:gridCol w:w="4148"/>
        <w:gridCol w:w="832"/>
        <w:gridCol w:w="2959"/>
      </w:tblGrid>
      <w:tr w14:paraId="3A1905C3">
        <w:tblPrEx>
          <w:tblCellMar>
            <w:top w:w="15" w:type="dxa"/>
            <w:left w:w="15" w:type="dxa"/>
            <w:bottom w:w="15" w:type="dxa"/>
            <w:right w:w="15" w:type="dxa"/>
          </w:tblCellMar>
        </w:tblPrEx>
        <w:trPr>
          <w:trHeight w:val="524" w:hRule="atLeast"/>
          <w:jc w:val="center"/>
        </w:trPr>
        <w:tc>
          <w:tcPr>
            <w:tcW w:w="1434" w:type="dxa"/>
            <w:tcBorders>
              <w:top w:val="single" w:color="000000" w:sz="4" w:space="0"/>
              <w:left w:val="single" w:color="000000" w:sz="4" w:space="0"/>
              <w:bottom w:val="single" w:color="000000" w:sz="4" w:space="0"/>
              <w:right w:val="single" w:color="000000" w:sz="4" w:space="0"/>
            </w:tcBorders>
            <w:noWrap w:val="0"/>
            <w:vAlign w:val="center"/>
          </w:tcPr>
          <w:p w14:paraId="0D6BDEB1">
            <w:pPr>
              <w:widowControl/>
              <w:pBdr>
                <w:top w:val="none" w:color="auto" w:sz="0" w:space="1"/>
                <w:left w:val="none" w:color="auto" w:sz="0" w:space="4"/>
                <w:bottom w:val="none" w:color="auto" w:sz="0" w:space="1"/>
                <w:right w:val="none" w:color="auto" w:sz="0" w:space="4"/>
              </w:pBdr>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lang w:bidi="ar"/>
              </w:rPr>
              <w:t>考核项目</w:t>
            </w: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5442F5FE">
            <w:pPr>
              <w:widowControl/>
              <w:pBdr>
                <w:top w:val="none" w:color="auto" w:sz="0" w:space="1"/>
                <w:left w:val="none" w:color="auto" w:sz="0" w:space="4"/>
                <w:bottom w:val="none" w:color="auto" w:sz="0" w:space="1"/>
                <w:right w:val="none" w:color="auto" w:sz="0" w:space="4"/>
              </w:pBdr>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lang w:bidi="ar"/>
              </w:rPr>
              <w:t>检查内容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A141985">
            <w:pPr>
              <w:widowControl/>
              <w:pBdr>
                <w:top w:val="none" w:color="auto" w:sz="0" w:space="1"/>
                <w:left w:val="none" w:color="auto" w:sz="0" w:space="4"/>
                <w:bottom w:val="none" w:color="auto" w:sz="0" w:space="1"/>
                <w:right w:val="none" w:color="auto" w:sz="0" w:space="4"/>
              </w:pBdr>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lang w:bidi="ar"/>
              </w:rPr>
              <w:t>分值</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2A2F85A1">
            <w:pPr>
              <w:widowControl/>
              <w:pBdr>
                <w:top w:val="none" w:color="auto" w:sz="0" w:space="1"/>
                <w:left w:val="none" w:color="auto" w:sz="0" w:space="4"/>
                <w:bottom w:val="none" w:color="auto" w:sz="0" w:space="1"/>
                <w:right w:val="none" w:color="auto" w:sz="0" w:space="4"/>
              </w:pBdr>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lang w:bidi="ar"/>
              </w:rPr>
              <w:t>扣分标准</w:t>
            </w:r>
          </w:p>
        </w:tc>
      </w:tr>
      <w:tr w14:paraId="6E820F8B">
        <w:tblPrEx>
          <w:tblCellMar>
            <w:top w:w="15" w:type="dxa"/>
            <w:left w:w="15" w:type="dxa"/>
            <w:bottom w:w="15" w:type="dxa"/>
            <w:right w:w="15" w:type="dxa"/>
          </w:tblCellMar>
        </w:tblPrEx>
        <w:trPr>
          <w:trHeight w:val="887" w:hRule="atLeast"/>
          <w:jc w:val="center"/>
        </w:trPr>
        <w:tc>
          <w:tcPr>
            <w:tcW w:w="1434" w:type="dxa"/>
            <w:tcBorders>
              <w:top w:val="single" w:color="000000" w:sz="4" w:space="0"/>
              <w:left w:val="single" w:color="000000" w:sz="4" w:space="0"/>
              <w:bottom w:val="single" w:color="000000" w:sz="4" w:space="0"/>
              <w:right w:val="single" w:color="000000" w:sz="4" w:space="0"/>
            </w:tcBorders>
            <w:noWrap w:val="0"/>
            <w:vAlign w:val="center"/>
          </w:tcPr>
          <w:p w14:paraId="3ADE0F49">
            <w:pPr>
              <w:widowControl/>
              <w:pBdr>
                <w:top w:val="none" w:color="auto" w:sz="0" w:space="1"/>
                <w:left w:val="none" w:color="auto" w:sz="0" w:space="4"/>
                <w:bottom w:val="none" w:color="auto" w:sz="0" w:space="1"/>
                <w:right w:val="none" w:color="auto" w:sz="0" w:space="4"/>
              </w:pBdr>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一、台账情况</w:t>
            </w:r>
          </w:p>
          <w:p w14:paraId="5B5A2BA3">
            <w:pPr>
              <w:widowControl w:val="0"/>
              <w:ind w:left="0" w:right="6" w:firstLine="400"/>
              <w:jc w:val="both"/>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bidi="ar"/>
              </w:rPr>
              <w:t>（5分）</w:t>
            </w: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5F9F17C1">
            <w:pPr>
              <w:widowControl/>
              <w:pBdr>
                <w:top w:val="none" w:color="auto" w:sz="0" w:space="1"/>
                <w:left w:val="none" w:color="auto" w:sz="0" w:space="4"/>
                <w:bottom w:val="none" w:color="auto" w:sz="0" w:space="1"/>
                <w:right w:val="none" w:color="auto" w:sz="0" w:space="4"/>
              </w:pBdr>
              <w:jc w:val="left"/>
              <w:rPr>
                <w:rFonts w:hint="eastAsia" w:ascii="仿宋" w:hAnsi="仿宋" w:eastAsia="仿宋" w:cs="仿宋"/>
                <w:sz w:val="20"/>
                <w:szCs w:val="20"/>
                <w:highlight w:val="none"/>
              </w:rPr>
            </w:pPr>
            <w:r>
              <w:rPr>
                <w:rFonts w:hint="eastAsia" w:ascii="仿宋" w:hAnsi="仿宋" w:eastAsia="仿宋" w:cs="仿宋"/>
                <w:sz w:val="20"/>
                <w:szCs w:val="20"/>
                <w:highlight w:val="none"/>
                <w:lang w:bidi="ar"/>
              </w:rPr>
              <w:t>设施设备管理、保洁人员管理、工资发放记录、有害垃圾收运、厨余垃圾收运等管理台账齐全。</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A3FD040">
            <w:pPr>
              <w:widowControl/>
              <w:pBdr>
                <w:top w:val="none" w:color="auto" w:sz="0" w:space="1"/>
                <w:left w:val="none" w:color="auto" w:sz="0" w:space="4"/>
                <w:bottom w:val="none" w:color="auto" w:sz="0" w:space="1"/>
                <w:right w:val="none" w:color="auto" w:sz="0" w:space="4"/>
              </w:pBdr>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bidi="ar"/>
              </w:rPr>
              <w:t>5分</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79A540EF">
            <w:pPr>
              <w:widowControl/>
              <w:pBdr>
                <w:top w:val="none" w:color="auto" w:sz="0" w:space="1"/>
                <w:left w:val="none" w:color="auto" w:sz="0" w:space="4"/>
                <w:bottom w:val="none" w:color="auto" w:sz="0" w:space="1"/>
                <w:right w:val="none" w:color="auto" w:sz="0" w:space="4"/>
              </w:pBdr>
              <w:jc w:val="left"/>
              <w:rPr>
                <w:rFonts w:hint="eastAsia" w:ascii="仿宋" w:hAnsi="仿宋" w:eastAsia="仿宋" w:cs="仿宋"/>
                <w:sz w:val="20"/>
                <w:szCs w:val="20"/>
                <w:highlight w:val="none"/>
              </w:rPr>
            </w:pPr>
            <w:r>
              <w:rPr>
                <w:rFonts w:hint="eastAsia" w:ascii="仿宋" w:hAnsi="仿宋" w:eastAsia="仿宋" w:cs="仿宋"/>
                <w:sz w:val="20"/>
                <w:szCs w:val="20"/>
                <w:highlight w:val="none"/>
                <w:lang w:bidi="ar"/>
              </w:rPr>
              <w:t>台账不健全的每项扣1分。</w:t>
            </w:r>
          </w:p>
        </w:tc>
      </w:tr>
      <w:tr w14:paraId="741DA9A2">
        <w:tblPrEx>
          <w:tblCellMar>
            <w:top w:w="15" w:type="dxa"/>
            <w:left w:w="15" w:type="dxa"/>
            <w:bottom w:w="15" w:type="dxa"/>
            <w:right w:w="15" w:type="dxa"/>
          </w:tblCellMar>
        </w:tblPrEx>
        <w:trPr>
          <w:trHeight w:val="524" w:hRule="atLeast"/>
          <w:jc w:val="center"/>
        </w:trPr>
        <w:tc>
          <w:tcPr>
            <w:tcW w:w="1434" w:type="dxa"/>
            <w:tcBorders>
              <w:top w:val="single" w:color="000000" w:sz="4" w:space="0"/>
              <w:left w:val="single" w:color="000000" w:sz="4" w:space="0"/>
              <w:bottom w:val="single" w:color="000000" w:sz="4" w:space="0"/>
              <w:right w:val="single" w:color="000000" w:sz="4" w:space="0"/>
            </w:tcBorders>
            <w:noWrap w:val="0"/>
            <w:vAlign w:val="center"/>
          </w:tcPr>
          <w:p w14:paraId="46C397BD">
            <w:pPr>
              <w:widowControl/>
              <w:pBdr>
                <w:top w:val="none" w:color="auto" w:sz="0" w:space="1"/>
                <w:left w:val="none" w:color="auto" w:sz="0" w:space="4"/>
                <w:bottom w:val="none" w:color="auto" w:sz="0" w:space="1"/>
                <w:right w:val="none" w:color="auto" w:sz="0" w:space="4"/>
              </w:pBdr>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二、管理制度</w:t>
            </w:r>
          </w:p>
          <w:p w14:paraId="386E771E">
            <w:pPr>
              <w:widowControl/>
              <w:pBdr>
                <w:top w:val="none" w:color="auto" w:sz="0" w:space="1"/>
                <w:left w:val="none" w:color="auto" w:sz="0" w:space="4"/>
                <w:bottom w:val="none" w:color="auto" w:sz="0" w:space="1"/>
                <w:right w:val="none" w:color="auto" w:sz="0" w:space="4"/>
              </w:pBdr>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设置情况</w:t>
            </w:r>
          </w:p>
          <w:p w14:paraId="50D5698F">
            <w:pPr>
              <w:widowControl w:val="0"/>
              <w:ind w:left="0" w:right="6" w:firstLine="400"/>
              <w:jc w:val="both"/>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bidi="ar"/>
              </w:rPr>
              <w:t>（10分）</w:t>
            </w: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2D7D1BE9">
            <w:pPr>
              <w:widowControl/>
              <w:pBdr>
                <w:top w:val="none" w:color="auto" w:sz="0" w:space="1"/>
                <w:left w:val="none" w:color="auto" w:sz="0" w:space="4"/>
                <w:bottom w:val="none" w:color="auto" w:sz="0" w:space="1"/>
                <w:right w:val="none" w:color="auto" w:sz="0" w:space="4"/>
              </w:pBdr>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按照统一要求设置垃圾分类亭管理制度公示牌。</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3FC13E3">
            <w:pPr>
              <w:widowControl/>
              <w:pBdr>
                <w:top w:val="none" w:color="auto" w:sz="0" w:space="1"/>
                <w:left w:val="none" w:color="auto" w:sz="0" w:space="4"/>
                <w:bottom w:val="none" w:color="auto" w:sz="0" w:space="1"/>
                <w:right w:val="none" w:color="auto" w:sz="0" w:space="4"/>
              </w:pBdr>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bidi="ar"/>
              </w:rPr>
              <w:t>10分</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68FD077A">
            <w:pPr>
              <w:widowControl/>
              <w:pBdr>
                <w:top w:val="none" w:color="auto" w:sz="0" w:space="1"/>
                <w:left w:val="none" w:color="auto" w:sz="0" w:space="4"/>
                <w:bottom w:val="none" w:color="auto" w:sz="0" w:space="1"/>
                <w:right w:val="none" w:color="auto" w:sz="0" w:space="4"/>
              </w:pBdr>
              <w:jc w:val="left"/>
              <w:rPr>
                <w:rFonts w:hint="eastAsia" w:ascii="仿宋" w:hAnsi="仿宋" w:eastAsia="仿宋" w:cs="仿宋"/>
                <w:sz w:val="20"/>
                <w:szCs w:val="20"/>
                <w:highlight w:val="none"/>
              </w:rPr>
            </w:pPr>
            <w:r>
              <w:rPr>
                <w:rFonts w:hint="eastAsia" w:ascii="仿宋" w:hAnsi="仿宋" w:eastAsia="仿宋" w:cs="仿宋"/>
                <w:sz w:val="20"/>
                <w:szCs w:val="20"/>
                <w:highlight w:val="none"/>
                <w:lang w:bidi="ar"/>
              </w:rPr>
              <w:t>未设置，或有破损的，每例扣1分。</w:t>
            </w:r>
          </w:p>
        </w:tc>
      </w:tr>
      <w:tr w14:paraId="0C7BC3B5">
        <w:tblPrEx>
          <w:tblCellMar>
            <w:top w:w="15" w:type="dxa"/>
            <w:left w:w="15" w:type="dxa"/>
            <w:bottom w:w="15" w:type="dxa"/>
            <w:right w:w="15" w:type="dxa"/>
          </w:tblCellMar>
        </w:tblPrEx>
        <w:trPr>
          <w:trHeight w:val="524" w:hRule="atLeast"/>
          <w:jc w:val="center"/>
        </w:trPr>
        <w:tc>
          <w:tcPr>
            <w:tcW w:w="1434" w:type="dxa"/>
            <w:vMerge w:val="restart"/>
            <w:tcBorders>
              <w:top w:val="single" w:color="000000" w:sz="4" w:space="0"/>
              <w:left w:val="single" w:color="000000" w:sz="4" w:space="0"/>
              <w:right w:val="single" w:color="000000" w:sz="4" w:space="0"/>
            </w:tcBorders>
            <w:noWrap w:val="0"/>
            <w:vAlign w:val="center"/>
          </w:tcPr>
          <w:p w14:paraId="53A2482C">
            <w:pPr>
              <w:widowControl w:val="0"/>
              <w:numPr>
                <w:ilvl w:val="0"/>
                <w:numId w:val="8"/>
              </w:numPr>
              <w:ind w:left="0" w:right="6" w:firstLine="0"/>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bidi="ar-SA"/>
              </w:rPr>
              <w:t>运营服务</w:t>
            </w:r>
          </w:p>
          <w:p w14:paraId="173EB80E">
            <w:pPr>
              <w:widowControl w:val="0"/>
              <w:ind w:left="0" w:right="6" w:firstLine="0"/>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bidi="ar-SA"/>
              </w:rPr>
              <w:t>管理</w:t>
            </w:r>
          </w:p>
          <w:p w14:paraId="7E58C127">
            <w:pPr>
              <w:widowControl w:val="0"/>
              <w:ind w:left="0" w:right="6" w:firstLine="0"/>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bidi="ar-SA"/>
              </w:rPr>
              <w:t>（35分）</w:t>
            </w: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5D1DA5B7">
            <w:pPr>
              <w:widowControl/>
              <w:pBdr>
                <w:top w:val="none" w:color="auto" w:sz="0" w:space="1"/>
                <w:left w:val="none" w:color="auto" w:sz="0" w:space="4"/>
                <w:bottom w:val="none" w:color="auto" w:sz="0" w:space="1"/>
                <w:right w:val="none" w:color="auto" w:sz="0" w:space="4"/>
              </w:pBdr>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垃圾分类亭开放时间：</w:t>
            </w:r>
            <w:r>
              <w:rPr>
                <w:rFonts w:hint="eastAsia" w:ascii="仿宋" w:hAnsi="仿宋" w:eastAsia="仿宋" w:cs="仿宋"/>
                <w:sz w:val="20"/>
                <w:szCs w:val="20"/>
                <w:highlight w:val="none"/>
                <w:lang w:bidi="ar"/>
              </w:rPr>
              <w:t>全天开放。</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587C9D9">
            <w:pPr>
              <w:widowControl/>
              <w:pBdr>
                <w:top w:val="none" w:color="auto" w:sz="0" w:space="1"/>
                <w:left w:val="none" w:color="auto" w:sz="0" w:space="4"/>
                <w:bottom w:val="none" w:color="auto" w:sz="0" w:space="1"/>
                <w:right w:val="none" w:color="auto" w:sz="0" w:space="4"/>
              </w:pBdr>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bidi="ar"/>
              </w:rPr>
              <w:t>10分</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34E55A44">
            <w:pPr>
              <w:widowControl/>
              <w:pBdr>
                <w:top w:val="none" w:color="auto" w:sz="0" w:space="1"/>
                <w:left w:val="none" w:color="auto" w:sz="0" w:space="4"/>
                <w:bottom w:val="none" w:color="auto" w:sz="0" w:space="1"/>
                <w:right w:val="none" w:color="auto" w:sz="0" w:space="4"/>
              </w:pBdr>
              <w:jc w:val="left"/>
              <w:rPr>
                <w:rFonts w:hint="eastAsia" w:ascii="仿宋" w:hAnsi="仿宋" w:eastAsia="仿宋" w:cs="仿宋"/>
                <w:sz w:val="20"/>
                <w:szCs w:val="20"/>
                <w:highlight w:val="none"/>
              </w:rPr>
            </w:pPr>
            <w:r>
              <w:rPr>
                <w:rFonts w:hint="eastAsia" w:ascii="仿宋" w:hAnsi="仿宋" w:eastAsia="仿宋" w:cs="仿宋"/>
                <w:sz w:val="20"/>
                <w:szCs w:val="20"/>
                <w:highlight w:val="none"/>
                <w:lang w:bidi="ar"/>
              </w:rPr>
              <w:t>如发现未开放情况，每例扣2分。</w:t>
            </w:r>
          </w:p>
        </w:tc>
      </w:tr>
      <w:tr w14:paraId="6DFB83F1">
        <w:tblPrEx>
          <w:tblCellMar>
            <w:top w:w="15" w:type="dxa"/>
            <w:left w:w="15" w:type="dxa"/>
            <w:bottom w:w="15" w:type="dxa"/>
            <w:right w:w="15" w:type="dxa"/>
          </w:tblCellMar>
        </w:tblPrEx>
        <w:trPr>
          <w:trHeight w:val="659" w:hRule="atLeast"/>
          <w:jc w:val="center"/>
        </w:trPr>
        <w:tc>
          <w:tcPr>
            <w:tcW w:w="1434" w:type="dxa"/>
            <w:vMerge w:val="continue"/>
            <w:tcBorders>
              <w:left w:val="single" w:color="000000" w:sz="4" w:space="0"/>
              <w:right w:val="single" w:color="000000" w:sz="4" w:space="0"/>
            </w:tcBorders>
            <w:noWrap w:val="0"/>
            <w:vAlign w:val="center"/>
          </w:tcPr>
          <w:p w14:paraId="64F2B582">
            <w:pPr>
              <w:widowControl w:val="0"/>
              <w:ind w:left="0" w:right="6" w:firstLine="0"/>
              <w:jc w:val="center"/>
              <w:rPr>
                <w:rFonts w:hint="eastAsia" w:ascii="仿宋" w:hAnsi="仿宋" w:eastAsia="仿宋" w:cs="仿宋"/>
                <w:sz w:val="20"/>
                <w:szCs w:val="20"/>
                <w:lang w:val="en-US" w:eastAsia="zh-CN" w:bidi="ar-SA"/>
              </w:rPr>
            </w:pP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0686E3CB">
            <w:pPr>
              <w:widowControl/>
              <w:pBdr>
                <w:top w:val="none" w:color="auto" w:sz="0" w:space="1"/>
                <w:left w:val="none" w:color="auto" w:sz="0" w:space="4"/>
                <w:bottom w:val="none" w:color="auto" w:sz="0" w:space="1"/>
                <w:right w:val="none" w:color="auto" w:sz="0" w:space="4"/>
              </w:pBdr>
              <w:jc w:val="left"/>
              <w:rPr>
                <w:rFonts w:hint="eastAsia" w:ascii="仿宋" w:hAnsi="仿宋" w:eastAsia="仿宋" w:cs="仿宋"/>
                <w:sz w:val="20"/>
                <w:szCs w:val="20"/>
                <w:highlight w:val="none"/>
              </w:rPr>
            </w:pPr>
            <w:r>
              <w:rPr>
                <w:rFonts w:hint="eastAsia" w:ascii="仿宋" w:hAnsi="仿宋" w:eastAsia="仿宋" w:cs="仿宋"/>
                <w:sz w:val="20"/>
                <w:szCs w:val="20"/>
                <w:highlight w:val="none"/>
                <w:lang w:bidi="ar"/>
              </w:rPr>
              <w:t>垃圾分类作业人员配备：人员数量和车辆要严格按照招投标合同配置到位。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9AB7A14">
            <w:pPr>
              <w:widowControl/>
              <w:pBdr>
                <w:top w:val="none" w:color="auto" w:sz="0" w:space="1"/>
                <w:left w:val="none" w:color="auto" w:sz="0" w:space="4"/>
                <w:bottom w:val="none" w:color="auto" w:sz="0" w:space="1"/>
                <w:right w:val="none" w:color="auto" w:sz="0" w:space="4"/>
              </w:pBdr>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bidi="ar"/>
              </w:rPr>
              <w:t>5分</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24A6867B">
            <w:pPr>
              <w:widowControl/>
              <w:pBdr>
                <w:top w:val="none" w:color="auto" w:sz="0" w:space="1"/>
                <w:left w:val="none" w:color="auto" w:sz="0" w:space="4"/>
                <w:bottom w:val="none" w:color="auto" w:sz="0" w:space="1"/>
                <w:right w:val="none" w:color="auto" w:sz="0" w:space="4"/>
              </w:pBdr>
              <w:jc w:val="left"/>
              <w:rPr>
                <w:rFonts w:hint="eastAsia" w:ascii="仿宋" w:hAnsi="仿宋" w:eastAsia="仿宋" w:cs="仿宋"/>
                <w:sz w:val="20"/>
                <w:szCs w:val="20"/>
                <w:highlight w:val="none"/>
              </w:rPr>
            </w:pPr>
            <w:r>
              <w:rPr>
                <w:rFonts w:hint="eastAsia" w:ascii="仿宋" w:hAnsi="仿宋" w:eastAsia="仿宋" w:cs="仿宋"/>
                <w:sz w:val="20"/>
                <w:szCs w:val="20"/>
                <w:highlight w:val="none"/>
                <w:lang w:bidi="ar"/>
              </w:rPr>
              <w:t>如发现未足额配备，扣5分，并责令立即整改到位。</w:t>
            </w:r>
          </w:p>
        </w:tc>
      </w:tr>
      <w:tr w14:paraId="406708BB">
        <w:tblPrEx>
          <w:tblCellMar>
            <w:top w:w="15" w:type="dxa"/>
            <w:left w:w="15" w:type="dxa"/>
            <w:bottom w:w="15" w:type="dxa"/>
            <w:right w:w="15" w:type="dxa"/>
          </w:tblCellMar>
        </w:tblPrEx>
        <w:trPr>
          <w:trHeight w:val="524" w:hRule="atLeast"/>
          <w:jc w:val="center"/>
        </w:trPr>
        <w:tc>
          <w:tcPr>
            <w:tcW w:w="1434" w:type="dxa"/>
            <w:vMerge w:val="continue"/>
            <w:tcBorders>
              <w:left w:val="single" w:color="000000" w:sz="4" w:space="0"/>
              <w:right w:val="single" w:color="000000" w:sz="4" w:space="0"/>
            </w:tcBorders>
            <w:noWrap w:val="0"/>
            <w:vAlign w:val="center"/>
          </w:tcPr>
          <w:p w14:paraId="2D69E4FD">
            <w:pPr>
              <w:widowControl w:val="0"/>
              <w:ind w:left="0" w:right="6" w:firstLine="0"/>
              <w:jc w:val="center"/>
              <w:rPr>
                <w:rFonts w:hint="eastAsia" w:ascii="仿宋" w:hAnsi="仿宋" w:eastAsia="仿宋" w:cs="仿宋"/>
                <w:sz w:val="20"/>
                <w:szCs w:val="20"/>
                <w:lang w:val="en-US" w:eastAsia="zh-CN" w:bidi="ar-SA"/>
              </w:rPr>
            </w:pP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6046A3DE">
            <w:pPr>
              <w:widowControl/>
              <w:pBdr>
                <w:top w:val="none" w:color="auto" w:sz="0" w:space="1"/>
                <w:left w:val="none" w:color="auto" w:sz="0" w:space="4"/>
                <w:bottom w:val="none" w:color="auto" w:sz="0" w:space="1"/>
                <w:right w:val="none" w:color="auto" w:sz="0" w:space="4"/>
              </w:pBdr>
              <w:jc w:val="left"/>
              <w:rPr>
                <w:rFonts w:hint="eastAsia" w:ascii="仿宋" w:hAnsi="仿宋" w:eastAsia="仿宋" w:cs="仿宋"/>
                <w:sz w:val="20"/>
                <w:szCs w:val="20"/>
                <w:highlight w:val="none"/>
              </w:rPr>
            </w:pPr>
            <w:r>
              <w:rPr>
                <w:rFonts w:hint="eastAsia" w:ascii="仿宋" w:hAnsi="仿宋" w:eastAsia="仿宋" w:cs="仿宋"/>
                <w:sz w:val="20"/>
                <w:szCs w:val="20"/>
                <w:highlight w:val="none"/>
                <w:lang w:bidi="ar"/>
              </w:rPr>
              <w:t>垃圾分类作业人员在岗情况：开放时间段内，人员在进行厨余（易腐）垃圾收集作业或垃圾分类亭管理作业。</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B96B5C0">
            <w:pPr>
              <w:widowControl/>
              <w:pBdr>
                <w:top w:val="none" w:color="auto" w:sz="0" w:space="1"/>
                <w:left w:val="none" w:color="auto" w:sz="0" w:space="4"/>
                <w:bottom w:val="none" w:color="auto" w:sz="0" w:space="1"/>
                <w:right w:val="none" w:color="auto" w:sz="0" w:space="4"/>
              </w:pBdr>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bidi="ar"/>
              </w:rPr>
              <w:t>10分</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2A7221B8">
            <w:pPr>
              <w:widowControl/>
              <w:pBdr>
                <w:top w:val="none" w:color="auto" w:sz="0" w:space="1"/>
                <w:left w:val="none" w:color="auto" w:sz="0" w:space="4"/>
                <w:bottom w:val="none" w:color="auto" w:sz="0" w:space="1"/>
                <w:right w:val="none" w:color="auto" w:sz="0" w:space="4"/>
              </w:pBdr>
              <w:jc w:val="left"/>
              <w:rPr>
                <w:rFonts w:hint="eastAsia" w:ascii="仿宋" w:hAnsi="仿宋" w:eastAsia="仿宋" w:cs="仿宋"/>
                <w:sz w:val="20"/>
                <w:szCs w:val="20"/>
                <w:highlight w:val="none"/>
              </w:rPr>
            </w:pPr>
            <w:r>
              <w:rPr>
                <w:rFonts w:hint="eastAsia" w:ascii="仿宋" w:hAnsi="仿宋" w:eastAsia="仿宋" w:cs="仿宋"/>
                <w:sz w:val="20"/>
                <w:szCs w:val="20"/>
                <w:highlight w:val="none"/>
                <w:lang w:bidi="ar"/>
              </w:rPr>
              <w:t>通过现场查看或电话督查，如发现不在岗情况，每人次扣1分，若发现3人以上不在岗，扣10分。</w:t>
            </w:r>
          </w:p>
        </w:tc>
      </w:tr>
      <w:tr w14:paraId="0C5D60CA">
        <w:tblPrEx>
          <w:tblCellMar>
            <w:top w:w="15" w:type="dxa"/>
            <w:left w:w="15" w:type="dxa"/>
            <w:bottom w:w="15" w:type="dxa"/>
            <w:right w:w="15" w:type="dxa"/>
          </w:tblCellMar>
        </w:tblPrEx>
        <w:trPr>
          <w:trHeight w:val="524" w:hRule="atLeast"/>
          <w:jc w:val="center"/>
        </w:trPr>
        <w:tc>
          <w:tcPr>
            <w:tcW w:w="1434" w:type="dxa"/>
            <w:vMerge w:val="continue"/>
            <w:tcBorders>
              <w:left w:val="single" w:color="000000" w:sz="4" w:space="0"/>
              <w:right w:val="single" w:color="000000" w:sz="4" w:space="0"/>
            </w:tcBorders>
            <w:noWrap w:val="0"/>
            <w:vAlign w:val="center"/>
          </w:tcPr>
          <w:p w14:paraId="79705E32">
            <w:pPr>
              <w:widowControl w:val="0"/>
              <w:ind w:left="0" w:right="6" w:firstLine="0"/>
              <w:jc w:val="center"/>
              <w:rPr>
                <w:rFonts w:hint="eastAsia" w:ascii="仿宋" w:hAnsi="仿宋" w:eastAsia="仿宋" w:cs="仿宋"/>
                <w:sz w:val="20"/>
                <w:szCs w:val="20"/>
                <w:lang w:val="en-US" w:eastAsia="zh-CN" w:bidi="ar-SA"/>
              </w:rPr>
            </w:pP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2B7AEE8D">
            <w:pPr>
              <w:widowControl/>
              <w:pBdr>
                <w:top w:val="none" w:color="auto" w:sz="0" w:space="1"/>
                <w:left w:val="none" w:color="auto" w:sz="0" w:space="4"/>
                <w:bottom w:val="none" w:color="auto" w:sz="0" w:space="1"/>
                <w:right w:val="none" w:color="auto" w:sz="0" w:space="4"/>
              </w:pBdr>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垃圾分类作业人员行为规范：作业人员工作期间应使用文明用语、不得有与他人争吵、辱骂、斗殴等行为；严禁喝酒、打牌等与工作无关的事情。</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FCA074D">
            <w:pPr>
              <w:widowControl/>
              <w:pBdr>
                <w:top w:val="none" w:color="auto" w:sz="0" w:space="1"/>
                <w:left w:val="none" w:color="auto" w:sz="0" w:space="4"/>
                <w:bottom w:val="none" w:color="auto" w:sz="0" w:space="1"/>
                <w:right w:val="none" w:color="auto" w:sz="0" w:space="4"/>
              </w:pBdr>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5分</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6F0579D8">
            <w:pPr>
              <w:widowControl/>
              <w:pBdr>
                <w:top w:val="none" w:color="auto" w:sz="0" w:space="1"/>
                <w:left w:val="none" w:color="auto" w:sz="0" w:space="4"/>
                <w:bottom w:val="none" w:color="auto" w:sz="0" w:space="1"/>
                <w:right w:val="none" w:color="auto" w:sz="0" w:space="4"/>
              </w:pBdr>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工作期间未使用文明用语、有与他人争吵、辱骂、斗殴等行为的每例扣2分；有喝酒、打牌等与工作无关的行为，每例扣3分。</w:t>
            </w:r>
          </w:p>
        </w:tc>
      </w:tr>
      <w:tr w14:paraId="52C6DECE">
        <w:tblPrEx>
          <w:tblCellMar>
            <w:top w:w="15" w:type="dxa"/>
            <w:left w:w="15" w:type="dxa"/>
            <w:bottom w:w="15" w:type="dxa"/>
            <w:right w:w="15" w:type="dxa"/>
          </w:tblCellMar>
        </w:tblPrEx>
        <w:trPr>
          <w:trHeight w:val="524" w:hRule="atLeast"/>
          <w:jc w:val="center"/>
        </w:trPr>
        <w:tc>
          <w:tcPr>
            <w:tcW w:w="1434" w:type="dxa"/>
            <w:vMerge w:val="continue"/>
            <w:tcBorders>
              <w:left w:val="single" w:color="000000" w:sz="4" w:space="0"/>
              <w:bottom w:val="single" w:color="000000" w:sz="4" w:space="0"/>
              <w:right w:val="single" w:color="000000" w:sz="4" w:space="0"/>
            </w:tcBorders>
            <w:noWrap w:val="0"/>
            <w:vAlign w:val="center"/>
          </w:tcPr>
          <w:p w14:paraId="53187179">
            <w:pPr>
              <w:widowControl w:val="0"/>
              <w:ind w:left="0" w:right="6" w:firstLine="0"/>
              <w:jc w:val="center"/>
              <w:rPr>
                <w:rFonts w:hint="eastAsia" w:ascii="仿宋" w:hAnsi="仿宋" w:eastAsia="仿宋" w:cs="仿宋"/>
                <w:sz w:val="20"/>
                <w:szCs w:val="20"/>
                <w:lang w:val="en-US" w:eastAsia="zh-CN" w:bidi="ar-SA"/>
              </w:rPr>
            </w:pP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7EDCF6EB">
            <w:pPr>
              <w:widowControl/>
              <w:pBdr>
                <w:top w:val="none" w:color="auto" w:sz="0" w:space="1"/>
                <w:left w:val="none" w:color="auto" w:sz="0" w:space="4"/>
                <w:bottom w:val="none" w:color="auto" w:sz="0" w:space="1"/>
                <w:right w:val="none" w:color="auto" w:sz="0" w:space="4"/>
              </w:pBdr>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收集点作业管理：每个收集点配备一定的清洁工具、捡拾工具、作业人员统一服装、佩戴（口罩）手套上岗，保持服装整洁。</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B121E60">
            <w:pPr>
              <w:widowControl/>
              <w:pBdr>
                <w:top w:val="none" w:color="auto" w:sz="0" w:space="1"/>
                <w:left w:val="none" w:color="auto" w:sz="0" w:space="4"/>
                <w:bottom w:val="none" w:color="auto" w:sz="0" w:space="1"/>
                <w:right w:val="none" w:color="auto" w:sz="0" w:space="4"/>
              </w:pBdr>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5分</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328E9025">
            <w:pPr>
              <w:widowControl/>
              <w:pBdr>
                <w:top w:val="none" w:color="auto" w:sz="0" w:space="1"/>
                <w:left w:val="none" w:color="auto" w:sz="0" w:space="4"/>
                <w:bottom w:val="none" w:color="auto" w:sz="0" w:space="1"/>
                <w:right w:val="none" w:color="auto" w:sz="0" w:space="4"/>
              </w:pBdr>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未按要求的，每例扣1分。</w:t>
            </w:r>
          </w:p>
        </w:tc>
      </w:tr>
      <w:tr w14:paraId="58F52327">
        <w:tblPrEx>
          <w:tblCellMar>
            <w:top w:w="15" w:type="dxa"/>
            <w:left w:w="15" w:type="dxa"/>
            <w:bottom w:w="15" w:type="dxa"/>
            <w:right w:w="15" w:type="dxa"/>
          </w:tblCellMar>
        </w:tblPrEx>
        <w:trPr>
          <w:trHeight w:val="524" w:hRule="atLeast"/>
          <w:jc w:val="center"/>
        </w:trPr>
        <w:tc>
          <w:tcPr>
            <w:tcW w:w="1434" w:type="dxa"/>
            <w:vMerge w:val="restart"/>
            <w:tcBorders>
              <w:top w:val="single" w:color="000000" w:sz="4" w:space="0"/>
              <w:left w:val="single" w:color="000000" w:sz="4" w:space="0"/>
              <w:right w:val="single" w:color="000000" w:sz="4" w:space="0"/>
            </w:tcBorders>
            <w:noWrap w:val="0"/>
            <w:vAlign w:val="center"/>
          </w:tcPr>
          <w:p w14:paraId="6CDADCE5">
            <w:pPr>
              <w:widowControl/>
              <w:numPr>
                <w:ilvl w:val="0"/>
                <w:numId w:val="8"/>
              </w:numPr>
              <w:pBdr>
                <w:top w:val="none" w:color="auto" w:sz="0" w:space="1"/>
                <w:left w:val="none" w:color="auto" w:sz="0" w:space="4"/>
                <w:bottom w:val="none" w:color="auto" w:sz="0" w:space="1"/>
                <w:right w:val="none" w:color="auto" w:sz="0" w:space="4"/>
              </w:pBdr>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垃圾分类</w:t>
            </w:r>
          </w:p>
          <w:p w14:paraId="56DB0E66">
            <w:pPr>
              <w:widowControl/>
              <w:pBdr>
                <w:top w:val="none" w:color="auto" w:sz="0" w:space="1"/>
                <w:left w:val="none" w:color="auto" w:sz="0" w:space="4"/>
                <w:bottom w:val="none" w:color="auto" w:sz="0" w:space="1"/>
                <w:right w:val="none" w:color="auto" w:sz="0" w:space="4"/>
              </w:pBdr>
              <w:ind w:firstLine="400"/>
              <w:rPr>
                <w:rFonts w:hint="eastAsia" w:ascii="仿宋" w:hAnsi="仿宋" w:eastAsia="仿宋" w:cs="仿宋"/>
                <w:sz w:val="20"/>
                <w:szCs w:val="20"/>
                <w:highlight w:val="none"/>
              </w:rPr>
            </w:pPr>
            <w:r>
              <w:rPr>
                <w:rFonts w:hint="eastAsia" w:ascii="仿宋" w:hAnsi="仿宋" w:eastAsia="仿宋" w:cs="仿宋"/>
                <w:sz w:val="20"/>
                <w:szCs w:val="20"/>
                <w:highlight w:val="none"/>
              </w:rPr>
              <w:t>运输</w:t>
            </w:r>
          </w:p>
          <w:p w14:paraId="1FD47619">
            <w:pPr>
              <w:widowControl w:val="0"/>
              <w:ind w:left="0" w:right="6" w:firstLine="0"/>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bidi="ar-SA"/>
              </w:rPr>
              <w:t>（20分）</w:t>
            </w: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0A5B104D">
            <w:pPr>
              <w:widowControl/>
              <w:pBdr>
                <w:top w:val="none" w:color="auto" w:sz="0" w:space="1"/>
                <w:left w:val="none" w:color="auto" w:sz="0" w:space="4"/>
                <w:bottom w:val="none" w:color="auto" w:sz="0" w:space="1"/>
                <w:right w:val="none" w:color="auto" w:sz="0" w:space="4"/>
              </w:pBdr>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垃圾分类清运：易腐（厨余）垃圾要日产日清，垃圾容器内垃圾积存不得超过1/2；可回收物满则运；有害垃圾根据产生的垃圾量，每月至少收运一次。</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56C0D36">
            <w:pPr>
              <w:widowControl/>
              <w:pBdr>
                <w:top w:val="none" w:color="auto" w:sz="0" w:space="1"/>
                <w:left w:val="none" w:color="auto" w:sz="0" w:space="4"/>
                <w:bottom w:val="none" w:color="auto" w:sz="0" w:space="1"/>
                <w:right w:val="none" w:color="auto" w:sz="0" w:space="4"/>
              </w:pBdr>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10分</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70125FB7">
            <w:pPr>
              <w:widowControl/>
              <w:pBdr>
                <w:top w:val="none" w:color="auto" w:sz="0" w:space="1"/>
                <w:left w:val="none" w:color="auto" w:sz="0" w:space="4"/>
                <w:bottom w:val="none" w:color="auto" w:sz="0" w:space="1"/>
                <w:right w:val="none" w:color="auto" w:sz="0" w:space="4"/>
              </w:pBdr>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未按规定完成垃圾清运每次扣2分。</w:t>
            </w:r>
          </w:p>
        </w:tc>
      </w:tr>
      <w:tr w14:paraId="3F681DA4">
        <w:tblPrEx>
          <w:tblCellMar>
            <w:top w:w="15" w:type="dxa"/>
            <w:left w:w="15" w:type="dxa"/>
            <w:bottom w:w="15" w:type="dxa"/>
            <w:right w:w="15" w:type="dxa"/>
          </w:tblCellMar>
        </w:tblPrEx>
        <w:trPr>
          <w:trHeight w:val="524" w:hRule="atLeast"/>
          <w:jc w:val="center"/>
        </w:trPr>
        <w:tc>
          <w:tcPr>
            <w:tcW w:w="1434" w:type="dxa"/>
            <w:vMerge w:val="continue"/>
            <w:tcBorders>
              <w:left w:val="single" w:color="000000" w:sz="4" w:space="0"/>
              <w:right w:val="single" w:color="000000" w:sz="4" w:space="0"/>
            </w:tcBorders>
            <w:noWrap w:val="0"/>
            <w:vAlign w:val="center"/>
          </w:tcPr>
          <w:p w14:paraId="569AB5A9">
            <w:pPr>
              <w:widowControl w:val="0"/>
              <w:ind w:left="0" w:right="6" w:firstLine="0"/>
              <w:jc w:val="center"/>
              <w:rPr>
                <w:rFonts w:hint="eastAsia" w:ascii="仿宋" w:hAnsi="仿宋" w:eastAsia="仿宋" w:cs="仿宋"/>
                <w:sz w:val="20"/>
                <w:szCs w:val="20"/>
                <w:lang w:val="en-US" w:eastAsia="zh-CN" w:bidi="ar-SA"/>
              </w:rPr>
            </w:pP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100E4874">
            <w:pPr>
              <w:widowControl/>
              <w:pBdr>
                <w:top w:val="none" w:color="auto" w:sz="0" w:space="1"/>
                <w:left w:val="none" w:color="auto" w:sz="0" w:space="4"/>
                <w:bottom w:val="none" w:color="auto" w:sz="0" w:space="1"/>
                <w:right w:val="none" w:color="auto" w:sz="0" w:space="4"/>
              </w:pBdr>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垃圾混运：垃圾专车分类运输，不同垃圾不同车辆，禁止垃圾混运。</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EF1279B">
            <w:pPr>
              <w:widowControl/>
              <w:pBdr>
                <w:top w:val="none" w:color="auto" w:sz="0" w:space="1"/>
                <w:left w:val="none" w:color="auto" w:sz="0" w:space="4"/>
                <w:bottom w:val="none" w:color="auto" w:sz="0" w:space="1"/>
                <w:right w:val="none" w:color="auto" w:sz="0" w:space="4"/>
              </w:pBdr>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5分</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477402C4">
            <w:pPr>
              <w:widowControl/>
              <w:pBdr>
                <w:top w:val="none" w:color="auto" w:sz="0" w:space="1"/>
                <w:left w:val="none" w:color="auto" w:sz="0" w:space="4"/>
                <w:bottom w:val="none" w:color="auto" w:sz="0" w:space="1"/>
                <w:right w:val="none" w:color="auto" w:sz="0" w:space="4"/>
              </w:pBdr>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发现有害垃圾、厨余垃圾、可回收物混运每起扣2分，扣完5分为止。</w:t>
            </w:r>
          </w:p>
        </w:tc>
      </w:tr>
      <w:tr w14:paraId="50722213">
        <w:tblPrEx>
          <w:tblCellMar>
            <w:top w:w="15" w:type="dxa"/>
            <w:left w:w="15" w:type="dxa"/>
            <w:bottom w:w="15" w:type="dxa"/>
            <w:right w:w="15" w:type="dxa"/>
          </w:tblCellMar>
        </w:tblPrEx>
        <w:trPr>
          <w:trHeight w:val="524" w:hRule="atLeast"/>
          <w:jc w:val="center"/>
        </w:trPr>
        <w:tc>
          <w:tcPr>
            <w:tcW w:w="1434" w:type="dxa"/>
            <w:vMerge w:val="continue"/>
            <w:tcBorders>
              <w:left w:val="single" w:color="000000" w:sz="4" w:space="0"/>
              <w:bottom w:val="single" w:color="000000" w:sz="4" w:space="0"/>
              <w:right w:val="single" w:color="000000" w:sz="4" w:space="0"/>
            </w:tcBorders>
            <w:noWrap w:val="0"/>
            <w:vAlign w:val="center"/>
          </w:tcPr>
          <w:p w14:paraId="2F9C92B0">
            <w:pPr>
              <w:widowControl w:val="0"/>
              <w:ind w:left="0" w:right="6" w:firstLine="0"/>
              <w:jc w:val="center"/>
              <w:rPr>
                <w:rFonts w:hint="eastAsia" w:ascii="仿宋" w:hAnsi="仿宋" w:eastAsia="仿宋" w:cs="仿宋"/>
                <w:sz w:val="20"/>
                <w:szCs w:val="20"/>
                <w:lang w:val="en-US" w:eastAsia="zh-CN" w:bidi="ar-SA"/>
              </w:rPr>
            </w:pP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3830768B">
            <w:pPr>
              <w:widowControl/>
              <w:pBdr>
                <w:top w:val="none" w:color="auto" w:sz="0" w:space="1"/>
                <w:left w:val="none" w:color="auto" w:sz="0" w:space="4"/>
                <w:bottom w:val="none" w:color="auto" w:sz="0" w:space="1"/>
                <w:right w:val="none" w:color="auto" w:sz="0" w:space="4"/>
              </w:pBdr>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交通安全：因操作不当，引发交通事故。</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0400778">
            <w:pPr>
              <w:widowControl/>
              <w:pBdr>
                <w:top w:val="none" w:color="auto" w:sz="0" w:space="1"/>
                <w:left w:val="none" w:color="auto" w:sz="0" w:space="4"/>
                <w:bottom w:val="none" w:color="auto" w:sz="0" w:space="1"/>
                <w:right w:val="none" w:color="auto" w:sz="0" w:space="4"/>
              </w:pBdr>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5分</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3996014D">
            <w:pPr>
              <w:widowControl/>
              <w:pBdr>
                <w:top w:val="none" w:color="auto" w:sz="0" w:space="1"/>
                <w:left w:val="none" w:color="auto" w:sz="0" w:space="4"/>
                <w:bottom w:val="none" w:color="auto" w:sz="0" w:space="1"/>
                <w:right w:val="none" w:color="auto" w:sz="0" w:space="4"/>
              </w:pBdr>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轻微事故，司机责任，每次扣2分；重大事故，一次扣5分。</w:t>
            </w:r>
          </w:p>
        </w:tc>
      </w:tr>
      <w:tr w14:paraId="62EF5D44">
        <w:tblPrEx>
          <w:tblCellMar>
            <w:top w:w="15" w:type="dxa"/>
            <w:left w:w="15" w:type="dxa"/>
            <w:bottom w:w="15" w:type="dxa"/>
            <w:right w:w="15" w:type="dxa"/>
          </w:tblCellMar>
        </w:tblPrEx>
        <w:trPr>
          <w:trHeight w:val="524" w:hRule="atLeast"/>
          <w:jc w:val="center"/>
        </w:trPr>
        <w:tc>
          <w:tcPr>
            <w:tcW w:w="1434" w:type="dxa"/>
            <w:tcBorders>
              <w:top w:val="single" w:color="000000" w:sz="4" w:space="0"/>
              <w:left w:val="single" w:color="000000" w:sz="4" w:space="0"/>
              <w:bottom w:val="single" w:color="000000" w:sz="4" w:space="0"/>
              <w:right w:val="single" w:color="000000" w:sz="4" w:space="0"/>
            </w:tcBorders>
            <w:noWrap w:val="0"/>
            <w:vAlign w:val="center"/>
          </w:tcPr>
          <w:p w14:paraId="785EB4CF">
            <w:pPr>
              <w:widowControl/>
              <w:pBdr>
                <w:top w:val="none" w:color="auto" w:sz="0" w:space="1"/>
                <w:left w:val="none" w:color="auto" w:sz="0" w:space="4"/>
                <w:bottom w:val="none" w:color="auto" w:sz="0" w:space="1"/>
                <w:right w:val="none" w:color="auto" w:sz="0" w:space="4"/>
              </w:pBdr>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五、保洁质量</w:t>
            </w:r>
          </w:p>
          <w:p w14:paraId="45760B2F">
            <w:pPr>
              <w:widowControl w:val="0"/>
              <w:ind w:left="0" w:right="6" w:firstLine="0"/>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bidi="ar"/>
              </w:rPr>
              <w:t>（20分）</w:t>
            </w: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285C671B">
            <w:pPr>
              <w:widowControl/>
              <w:pBdr>
                <w:top w:val="none" w:color="auto" w:sz="0" w:space="1"/>
                <w:left w:val="none" w:color="auto" w:sz="0" w:space="4"/>
                <w:bottom w:val="none" w:color="auto" w:sz="0" w:space="1"/>
                <w:right w:val="none" w:color="auto" w:sz="0" w:space="4"/>
              </w:pBdr>
              <w:jc w:val="left"/>
              <w:rPr>
                <w:rFonts w:hint="eastAsia" w:ascii="仿宋" w:hAnsi="仿宋" w:eastAsia="仿宋" w:cs="仿宋"/>
                <w:sz w:val="20"/>
                <w:szCs w:val="20"/>
                <w:highlight w:val="none"/>
              </w:rPr>
            </w:pPr>
            <w:r>
              <w:rPr>
                <w:rFonts w:hint="eastAsia" w:ascii="仿宋" w:hAnsi="仿宋" w:eastAsia="仿宋" w:cs="仿宋"/>
                <w:sz w:val="20"/>
                <w:szCs w:val="20"/>
                <w:highlight w:val="none"/>
                <w:lang w:bidi="ar"/>
              </w:rPr>
              <w:t>垃圾分类收集员做好垃圾亭内卫生，及时清洗地面垃圾污水，加强分类桶的立面清洗，蚊蝇和桶内消杀，垃圾及时清运，无外溢。同时做好垃圾亭周围5米范围内的保洁工作，无乱堆乱放、无生活垃圾、无污水四溢</w:t>
            </w:r>
            <w:r>
              <w:rPr>
                <w:rFonts w:hint="eastAsia" w:ascii="仿宋" w:hAnsi="仿宋" w:eastAsia="仿宋" w:cs="仿宋"/>
                <w:sz w:val="20"/>
                <w:szCs w:val="20"/>
                <w:highlight w:val="none"/>
                <w:lang w:eastAsia="zh-CN" w:bidi="ar"/>
              </w:rPr>
              <w:t>，</w:t>
            </w:r>
            <w:r>
              <w:rPr>
                <w:rFonts w:hint="eastAsia" w:ascii="仿宋" w:hAnsi="仿宋" w:eastAsia="仿宋" w:cs="仿宋"/>
                <w:sz w:val="20"/>
                <w:szCs w:val="20"/>
                <w:highlight w:val="none"/>
                <w:lang w:val="en-US" w:eastAsia="zh-CN" w:bidi="ar"/>
              </w:rPr>
              <w:t>无焚烧痕迹。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B4A8C9D">
            <w:pPr>
              <w:widowControl/>
              <w:pBdr>
                <w:top w:val="none" w:color="auto" w:sz="0" w:space="1"/>
                <w:left w:val="none" w:color="auto" w:sz="0" w:space="4"/>
                <w:bottom w:val="none" w:color="auto" w:sz="0" w:space="1"/>
                <w:right w:val="none" w:color="auto" w:sz="0" w:space="4"/>
              </w:pBdr>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bidi="ar"/>
              </w:rPr>
              <w:t>20分</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739BEC58">
            <w:pPr>
              <w:widowControl/>
              <w:pBdr>
                <w:top w:val="none" w:color="auto" w:sz="0" w:space="1"/>
                <w:left w:val="none" w:color="auto" w:sz="0" w:space="4"/>
                <w:bottom w:val="none" w:color="auto" w:sz="0" w:space="1"/>
                <w:right w:val="none" w:color="auto" w:sz="0" w:space="4"/>
              </w:pBdr>
              <w:jc w:val="left"/>
              <w:rPr>
                <w:rFonts w:hint="eastAsia" w:ascii="仿宋" w:hAnsi="仿宋" w:eastAsia="仿宋" w:cs="仿宋"/>
                <w:sz w:val="20"/>
                <w:szCs w:val="20"/>
                <w:highlight w:val="none"/>
              </w:rPr>
            </w:pPr>
            <w:r>
              <w:rPr>
                <w:rFonts w:hint="eastAsia" w:ascii="仿宋" w:hAnsi="仿宋" w:eastAsia="仿宋" w:cs="仿宋"/>
                <w:sz w:val="20"/>
                <w:szCs w:val="20"/>
                <w:highlight w:val="none"/>
                <w:lang w:bidi="ar"/>
              </w:rPr>
              <w:t>达不到保洁要求的，每例扣2分。</w:t>
            </w:r>
            <w:r>
              <w:rPr>
                <w:rFonts w:hint="eastAsia" w:ascii="仿宋" w:hAnsi="仿宋" w:eastAsia="仿宋" w:cs="仿宋"/>
                <w:sz w:val="20"/>
                <w:szCs w:val="20"/>
                <w:highlight w:val="none"/>
                <w:lang w:val="en-US" w:eastAsia="zh-CN" w:bidi="ar"/>
              </w:rPr>
              <w:t>有焚烧痕迹扣3分。</w:t>
            </w:r>
          </w:p>
        </w:tc>
      </w:tr>
      <w:tr w14:paraId="1076ACAF">
        <w:tblPrEx>
          <w:tblCellMar>
            <w:top w:w="15" w:type="dxa"/>
            <w:left w:w="15" w:type="dxa"/>
            <w:bottom w:w="15" w:type="dxa"/>
            <w:right w:w="15" w:type="dxa"/>
          </w:tblCellMar>
        </w:tblPrEx>
        <w:trPr>
          <w:trHeight w:val="877" w:hRule="atLeast"/>
          <w:jc w:val="center"/>
        </w:trPr>
        <w:tc>
          <w:tcPr>
            <w:tcW w:w="1434" w:type="dxa"/>
            <w:tcBorders>
              <w:top w:val="single" w:color="000000" w:sz="4" w:space="0"/>
              <w:left w:val="single" w:color="000000" w:sz="4" w:space="0"/>
              <w:bottom w:val="single" w:color="000000" w:sz="4" w:space="0"/>
              <w:right w:val="single" w:color="000000" w:sz="4" w:space="0"/>
            </w:tcBorders>
            <w:noWrap w:val="0"/>
            <w:vAlign w:val="center"/>
          </w:tcPr>
          <w:p w14:paraId="6E7A0609">
            <w:pPr>
              <w:widowControl/>
              <w:pBdr>
                <w:top w:val="none" w:color="auto" w:sz="0" w:space="1"/>
                <w:left w:val="none" w:color="auto" w:sz="0" w:space="4"/>
                <w:bottom w:val="none" w:color="auto" w:sz="0" w:space="1"/>
                <w:right w:val="none" w:color="auto" w:sz="0" w:space="4"/>
              </w:pBdr>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六、厨余垃圾收集量考核</w:t>
            </w:r>
          </w:p>
          <w:p w14:paraId="72EEA21B">
            <w:pPr>
              <w:widowControl w:val="0"/>
              <w:ind w:left="0" w:right="6" w:firstLine="0"/>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bidi="ar"/>
              </w:rPr>
              <w:t>（10分）</w:t>
            </w:r>
          </w:p>
        </w:tc>
        <w:tc>
          <w:tcPr>
            <w:tcW w:w="4148" w:type="dxa"/>
            <w:tcBorders>
              <w:top w:val="single" w:color="000000" w:sz="4" w:space="0"/>
              <w:left w:val="single" w:color="000000" w:sz="4" w:space="0"/>
              <w:bottom w:val="single" w:color="000000" w:sz="4" w:space="0"/>
              <w:right w:val="single" w:color="000000" w:sz="4" w:space="0"/>
            </w:tcBorders>
            <w:noWrap w:val="0"/>
            <w:vAlign w:val="center"/>
          </w:tcPr>
          <w:p w14:paraId="21317D41">
            <w:pPr>
              <w:widowControl/>
              <w:pBdr>
                <w:top w:val="none" w:color="auto" w:sz="0" w:space="1"/>
                <w:left w:val="none" w:color="auto" w:sz="0" w:space="4"/>
                <w:bottom w:val="none" w:color="auto" w:sz="0" w:space="1"/>
                <w:right w:val="none" w:color="auto" w:sz="0" w:space="4"/>
              </w:pBdr>
              <w:jc w:val="left"/>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bidi="ar"/>
              </w:rPr>
              <w:t>厨余垃圾收集量不得低于服务区域内居民户均日产生量的60%。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C3D42C6">
            <w:pPr>
              <w:widowControl/>
              <w:pBdr>
                <w:top w:val="none" w:color="auto" w:sz="0" w:space="1"/>
                <w:left w:val="none" w:color="auto" w:sz="0" w:space="4"/>
                <w:bottom w:val="none" w:color="auto" w:sz="0" w:space="1"/>
                <w:right w:val="none" w:color="auto" w:sz="0" w:space="4"/>
              </w:pBdr>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bidi="ar"/>
              </w:rPr>
              <w:t>10分</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609734F0">
            <w:pPr>
              <w:widowControl/>
              <w:pBdr>
                <w:top w:val="none" w:color="auto" w:sz="0" w:space="1"/>
                <w:left w:val="none" w:color="auto" w:sz="0" w:space="4"/>
                <w:bottom w:val="none" w:color="auto" w:sz="0" w:space="1"/>
                <w:right w:val="none" w:color="auto" w:sz="0" w:space="4"/>
              </w:pBdr>
              <w:jc w:val="left"/>
              <w:rPr>
                <w:rFonts w:hint="eastAsia" w:ascii="仿宋" w:hAnsi="仿宋" w:eastAsia="仿宋" w:cs="仿宋"/>
                <w:sz w:val="20"/>
                <w:szCs w:val="20"/>
                <w:highlight w:val="none"/>
              </w:rPr>
            </w:pPr>
            <w:r>
              <w:rPr>
                <w:rFonts w:hint="eastAsia" w:ascii="仿宋" w:hAnsi="仿宋" w:eastAsia="仿宋" w:cs="仿宋"/>
                <w:sz w:val="20"/>
                <w:szCs w:val="20"/>
                <w:highlight w:val="none"/>
                <w:lang w:bidi="ar"/>
              </w:rPr>
              <w:t>未达到标准的，酌情扣分。</w:t>
            </w:r>
          </w:p>
        </w:tc>
      </w:tr>
    </w:tbl>
    <w:p w14:paraId="081205F9">
      <w:pPr>
        <w:spacing w:line="360" w:lineRule="auto"/>
        <w:jc w:val="left"/>
        <w:rPr>
          <w:rFonts w:hint="eastAsia" w:ascii="宋体" w:hAnsi="宋体" w:cs="宋体"/>
          <w:sz w:val="24"/>
          <w:szCs w:val="24"/>
          <w:highlight w:val="none"/>
        </w:rPr>
      </w:pPr>
      <w:r>
        <w:rPr>
          <w:rFonts w:hint="eastAsia" w:ascii="宋体" w:hAnsi="宋体" w:cs="宋体"/>
          <w:sz w:val="24"/>
          <w:szCs w:val="24"/>
          <w:highlight w:val="none"/>
          <w:lang w:bidi="ar"/>
        </w:rPr>
        <w:t xml:space="preserve"> </w:t>
      </w:r>
      <w:bookmarkEnd w:id="5"/>
      <w:bookmarkEnd w:id="6"/>
    </w:p>
    <w:p w14:paraId="328E7157">
      <w:pPr>
        <w:pStyle w:val="23"/>
        <w:rPr>
          <w:rFonts w:hint="eastAsia" w:ascii="宋体" w:hAnsi="宋体" w:cs="宋体"/>
          <w:sz w:val="24"/>
          <w:szCs w:val="24"/>
          <w:highlight w:val="none"/>
        </w:rPr>
      </w:pPr>
    </w:p>
    <w:p w14:paraId="68A0B3B3">
      <w:pPr>
        <w:pStyle w:val="23"/>
        <w:rPr>
          <w:rFonts w:hint="eastAsia" w:ascii="宋体" w:hAnsi="宋体" w:cs="宋体"/>
          <w:sz w:val="24"/>
          <w:szCs w:val="24"/>
          <w:highlight w:val="none"/>
        </w:rPr>
      </w:pPr>
    </w:p>
    <w:p w14:paraId="25084B7F">
      <w:pPr>
        <w:pStyle w:val="23"/>
        <w:rPr>
          <w:rFonts w:hint="eastAsia" w:ascii="宋体" w:hAnsi="宋体" w:cs="宋体"/>
          <w:sz w:val="24"/>
          <w:szCs w:val="24"/>
          <w:highlight w:val="none"/>
        </w:rPr>
      </w:pPr>
    </w:p>
    <w:p w14:paraId="5804A0DC">
      <w:pPr>
        <w:spacing w:line="360" w:lineRule="auto"/>
        <w:ind w:firstLine="420"/>
        <w:jc w:val="center"/>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7</w:t>
      </w:r>
      <w:r>
        <w:rPr>
          <w:rFonts w:hint="eastAsia" w:ascii="宋体" w:hAnsi="宋体" w:cs="宋体"/>
          <w:b/>
          <w:color w:val="auto"/>
          <w:sz w:val="36"/>
          <w:szCs w:val="36"/>
          <w:highlight w:val="none"/>
        </w:rPr>
        <w:t>、承诺书</w:t>
      </w:r>
    </w:p>
    <w:p w14:paraId="4FB67A11">
      <w:pPr>
        <w:spacing w:line="312"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14:paraId="759B5B68">
      <w:pPr>
        <w:pStyle w:val="280"/>
        <w:spacing w:line="312"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根据贵方《</w:t>
      </w:r>
      <w:r>
        <w:rPr>
          <w:rFonts w:hint="eastAsia" w:ascii="宋体" w:hAnsi="宋体" w:cs="宋体"/>
          <w:bCs/>
          <w:color w:val="auto"/>
          <w:sz w:val="24"/>
          <w:szCs w:val="24"/>
          <w:highlight w:val="none"/>
        </w:rPr>
        <w:t>磋商文件</w:t>
      </w: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lang w:eastAsia="zh-CN"/>
        </w:rPr>
        <w:t>JSZC-320312-BZDL-C2025-0058</w:t>
      </w:r>
      <w:r>
        <w:rPr>
          <w:rFonts w:hint="eastAsia" w:ascii="宋体" w:hAnsi="宋体" w:cs="宋体"/>
          <w:color w:val="auto"/>
          <w:sz w:val="24"/>
          <w:szCs w:val="24"/>
          <w:highlight w:val="none"/>
        </w:rPr>
        <w:t>）要求，本供应商正式提交以下首次响应文件。</w:t>
      </w:r>
    </w:p>
    <w:p w14:paraId="480059AF">
      <w:pPr>
        <w:pStyle w:val="280"/>
        <w:spacing w:line="312"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（1）承诺书； </w:t>
      </w:r>
    </w:p>
    <w:p w14:paraId="7D6E2D03">
      <w:pPr>
        <w:pStyle w:val="280"/>
        <w:spacing w:line="312"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（2）磋商报价表； </w:t>
      </w:r>
    </w:p>
    <w:p w14:paraId="007885AA">
      <w:pPr>
        <w:pStyle w:val="280"/>
        <w:spacing w:line="312"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（3）偏离表；</w:t>
      </w:r>
    </w:p>
    <w:p w14:paraId="706FD01E">
      <w:pPr>
        <w:pStyle w:val="280"/>
        <w:spacing w:line="312"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（4）磋商</w:t>
      </w:r>
      <w:r>
        <w:rPr>
          <w:rFonts w:hint="eastAsia" w:ascii="宋体" w:hAnsi="宋体" w:cs="宋体"/>
          <w:bCs/>
          <w:color w:val="auto"/>
          <w:sz w:val="24"/>
          <w:szCs w:val="24"/>
          <w:highlight w:val="none"/>
        </w:rPr>
        <w:t>文件</w:t>
      </w:r>
      <w:r>
        <w:rPr>
          <w:rFonts w:hint="eastAsia" w:ascii="宋体" w:hAnsi="宋体" w:cs="宋体"/>
          <w:color w:val="auto"/>
          <w:sz w:val="24"/>
          <w:szCs w:val="24"/>
          <w:highlight w:val="none"/>
        </w:rPr>
        <w:t>要求提供的其他响应文件。</w:t>
      </w:r>
    </w:p>
    <w:p w14:paraId="5261ECCB">
      <w:pPr>
        <w:pStyle w:val="280"/>
        <w:spacing w:line="312"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我单位符合《中华人民共和国政府采购法》第二十二条的规定，符合本项目供应商资格要求。</w:t>
      </w:r>
    </w:p>
    <w:p w14:paraId="17F6B399">
      <w:pPr>
        <w:pStyle w:val="280"/>
        <w:spacing w:line="312"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我单位按照磋商文件的要求编制响应文件，并对其提交的响应文件的真实性、合法性承担法律责任。</w:t>
      </w:r>
    </w:p>
    <w:p w14:paraId="2178BA19">
      <w:pPr>
        <w:spacing w:line="312"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供应商兹宣布同意如下： </w:t>
      </w:r>
    </w:p>
    <w:p w14:paraId="3F599F31">
      <w:pPr>
        <w:pStyle w:val="280"/>
        <w:spacing w:line="312"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一、完全承担根据《磋商文件》规定完成合同的责任和义务（如有偏离，将全部填写在偏离表中）。</w:t>
      </w:r>
    </w:p>
    <w:p w14:paraId="24BD45A6">
      <w:pPr>
        <w:pStyle w:val="280"/>
        <w:spacing w:line="312"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二、保证所提供的响应文件及所有材料的真实、合法、有效，并对其负责。</w:t>
      </w:r>
    </w:p>
    <w:p w14:paraId="54F660CB">
      <w:pPr>
        <w:spacing w:line="312"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三、已详细审核竞争性磋商文件（含竞争性磋商文件的澄清或者修改），本供应商完全理解并同意放弃对这方面不明及误解的权利。</w:t>
      </w:r>
    </w:p>
    <w:p w14:paraId="5C9731AC">
      <w:pPr>
        <w:spacing w:line="312"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四、所供货物</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保证符合国家有关产品质量、性能和安全标准，无权利瑕疵。</w:t>
      </w:r>
    </w:p>
    <w:p w14:paraId="33888D39">
      <w:pPr>
        <w:spacing w:line="312"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五、报价有效期为30个工作日。</w:t>
      </w:r>
    </w:p>
    <w:p w14:paraId="753AF8E4">
      <w:pPr>
        <w:spacing w:line="312"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六、同意向贵方提供贵方可能要求的与本次磋商采购有关的任何证据或资料。</w:t>
      </w:r>
    </w:p>
    <w:p w14:paraId="211B7CD7">
      <w:pPr>
        <w:spacing w:line="312"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七、完全理解贵方不一定要接受最低的报价或收到的任何报价。</w:t>
      </w:r>
    </w:p>
    <w:p w14:paraId="0DC8DF01">
      <w:pPr>
        <w:spacing w:line="312"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八、采购人或采购代理机构有权将我单位本项目的《磋商报价表》和《分项价格表》予以公示，公示的方式由</w:t>
      </w:r>
      <w:r>
        <w:rPr>
          <w:rFonts w:hint="eastAsia" w:ascii="宋体" w:hAnsi="宋体" w:cs="宋体"/>
          <w:color w:val="auto"/>
          <w:sz w:val="24"/>
          <w:szCs w:val="24"/>
          <w:highlight w:val="none"/>
          <w:lang w:eastAsia="zh-CN"/>
        </w:rPr>
        <w:t>江苏博智工程咨询有限公司</w:t>
      </w:r>
      <w:r>
        <w:rPr>
          <w:rFonts w:hint="eastAsia" w:ascii="宋体" w:hAnsi="宋体" w:cs="宋体"/>
          <w:color w:val="auto"/>
          <w:sz w:val="24"/>
          <w:szCs w:val="24"/>
          <w:highlight w:val="none"/>
        </w:rPr>
        <w:t>确定。</w:t>
      </w:r>
    </w:p>
    <w:p w14:paraId="643BCAC9">
      <w:pPr>
        <w:spacing w:line="312"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九、采购人或采购代理机构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承担相应的法律责任。</w:t>
      </w:r>
    </w:p>
    <w:p w14:paraId="57CA03C5">
      <w:pPr>
        <w:spacing w:line="312" w:lineRule="auto"/>
        <w:ind w:firstLine="1920"/>
        <w:jc w:val="left"/>
        <w:rPr>
          <w:rFonts w:ascii="宋体" w:hAnsi="宋体" w:cs="宋体"/>
          <w:color w:val="auto"/>
          <w:sz w:val="24"/>
          <w:szCs w:val="24"/>
          <w:highlight w:val="none"/>
        </w:rPr>
      </w:pPr>
      <w:r>
        <w:rPr>
          <w:rFonts w:hint="eastAsia" w:ascii="宋体" w:hAnsi="宋体" w:cs="宋体"/>
          <w:color w:val="auto"/>
          <w:sz w:val="24"/>
          <w:szCs w:val="24"/>
          <w:highlight w:val="none"/>
        </w:rPr>
        <w:t>供应商（电子签章）：</w:t>
      </w:r>
    </w:p>
    <w:p w14:paraId="0F0FCEDD">
      <w:pPr>
        <w:spacing w:line="312" w:lineRule="auto"/>
        <w:ind w:firstLine="192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法定代表人（负责人)或授权代表（签字或盖章）：  </w:t>
      </w:r>
    </w:p>
    <w:p w14:paraId="2A9908A5">
      <w:pPr>
        <w:spacing w:line="312" w:lineRule="auto"/>
        <w:ind w:firstLine="1920"/>
        <w:jc w:val="left"/>
        <w:rPr>
          <w:rFonts w:ascii="宋体" w:hAnsi="宋体" w:cs="宋体"/>
          <w:color w:val="auto"/>
          <w:sz w:val="24"/>
          <w:szCs w:val="24"/>
          <w:highlight w:val="none"/>
        </w:rPr>
      </w:pPr>
      <w:r>
        <w:rPr>
          <w:rFonts w:hint="eastAsia" w:ascii="宋体" w:hAnsi="宋体" w:cs="宋体"/>
          <w:color w:val="auto"/>
          <w:sz w:val="24"/>
          <w:szCs w:val="24"/>
          <w:highlight w:val="none"/>
        </w:rPr>
        <w:t>联系电话：</w:t>
      </w:r>
    </w:p>
    <w:p w14:paraId="40006535">
      <w:pPr>
        <w:spacing w:line="312" w:lineRule="auto"/>
        <w:ind w:firstLine="1920"/>
        <w:jc w:val="left"/>
        <w:rPr>
          <w:rFonts w:ascii="宋体" w:hAnsi="宋体" w:cs="宋体"/>
          <w:color w:val="auto"/>
          <w:sz w:val="24"/>
          <w:szCs w:val="24"/>
          <w:highlight w:val="none"/>
        </w:rPr>
      </w:pPr>
      <w:r>
        <w:rPr>
          <w:rFonts w:hint="eastAsia" w:ascii="宋体" w:hAnsi="宋体" w:cs="宋体"/>
          <w:color w:val="auto"/>
          <w:sz w:val="24"/>
          <w:szCs w:val="24"/>
          <w:highlight w:val="none"/>
        </w:rPr>
        <w:t>移动电话：</w:t>
      </w:r>
    </w:p>
    <w:p w14:paraId="0076832D">
      <w:pPr>
        <w:spacing w:line="312" w:lineRule="auto"/>
        <w:ind w:firstLine="1920"/>
        <w:jc w:val="left"/>
        <w:rPr>
          <w:rFonts w:ascii="宋体" w:hAnsi="宋体" w:cs="宋体"/>
          <w:color w:val="auto"/>
          <w:sz w:val="24"/>
          <w:szCs w:val="24"/>
          <w:highlight w:val="none"/>
        </w:rPr>
      </w:pPr>
      <w:r>
        <w:rPr>
          <w:rFonts w:hint="eastAsia" w:ascii="宋体" w:hAnsi="宋体" w:cs="宋体"/>
          <w:color w:val="auto"/>
          <w:sz w:val="24"/>
          <w:szCs w:val="24"/>
          <w:highlight w:val="none"/>
        </w:rPr>
        <w:t>日期：</w:t>
      </w:r>
    </w:p>
    <w:p w14:paraId="3972D366">
      <w:pPr>
        <w:spacing w:line="0" w:lineRule="atLeast"/>
        <w:ind w:left="1800" w:firstLine="1446"/>
        <w:rPr>
          <w:rFonts w:ascii="宋体" w:hAnsi="宋体" w:cs="宋体"/>
          <w:b/>
          <w:color w:val="auto"/>
          <w:sz w:val="36"/>
          <w:highlight w:val="none"/>
        </w:rPr>
      </w:pPr>
      <w:r>
        <w:rPr>
          <w:rFonts w:hint="eastAsia" w:ascii="宋体" w:hAnsi="宋体" w:cs="宋体"/>
          <w:b/>
          <w:color w:val="auto"/>
          <w:sz w:val="36"/>
          <w:highlight w:val="none"/>
          <w:lang w:val="en-US" w:eastAsia="zh-CN"/>
        </w:rPr>
        <w:t>8</w:t>
      </w:r>
      <w:r>
        <w:rPr>
          <w:rFonts w:hint="eastAsia" w:ascii="宋体" w:hAnsi="宋体" w:cs="宋体"/>
          <w:b/>
          <w:color w:val="auto"/>
          <w:sz w:val="36"/>
          <w:highlight w:val="none"/>
        </w:rPr>
        <w:t>、法定代表人身份证明</w:t>
      </w:r>
    </w:p>
    <w:p w14:paraId="732C6660">
      <w:pPr>
        <w:rPr>
          <w:rFonts w:ascii="宋体" w:hAnsi="宋体" w:cs="宋体"/>
          <w:color w:val="auto"/>
          <w:sz w:val="24"/>
          <w:highlight w:val="none"/>
        </w:rPr>
      </w:pPr>
    </w:p>
    <w:p w14:paraId="233BAE8F">
      <w:pPr>
        <w:rPr>
          <w:rFonts w:ascii="宋体" w:hAnsi="宋体" w:cs="宋体"/>
          <w:color w:val="auto"/>
          <w:sz w:val="24"/>
          <w:highlight w:val="none"/>
        </w:rPr>
      </w:pPr>
      <w:r>
        <w:rPr>
          <w:rFonts w:hint="eastAsia" w:ascii="宋体" w:hAnsi="宋体" w:cs="宋体"/>
          <w:color w:val="auto"/>
          <w:sz w:val="24"/>
          <w:highlight w:val="none"/>
        </w:rPr>
        <w:t>若法定代表人亲自签署文件则按下列格式：</w:t>
      </w:r>
    </w:p>
    <w:p w14:paraId="30A651F6">
      <w:pPr>
        <w:rPr>
          <w:rFonts w:ascii="宋体" w:hAnsi="宋体" w:cs="宋体"/>
          <w:color w:val="auto"/>
          <w:sz w:val="24"/>
          <w:highlight w:val="none"/>
        </w:rPr>
      </w:pPr>
    </w:p>
    <w:p w14:paraId="7145AFAD">
      <w:pPr>
        <w:spacing w:before="40"/>
        <w:ind w:left="3158"/>
        <w:rPr>
          <w:rFonts w:ascii="宋体" w:hAnsi="宋体" w:cs="宋体"/>
          <w:color w:val="auto"/>
          <w:sz w:val="24"/>
          <w:highlight w:val="none"/>
        </w:rPr>
      </w:pPr>
      <w:r>
        <w:rPr>
          <w:rFonts w:hint="eastAsia" w:ascii="宋体" w:hAnsi="宋体" w:cs="宋体"/>
          <w:color w:val="auto"/>
          <w:sz w:val="24"/>
          <w:highlight w:val="none"/>
        </w:rPr>
        <w:t>法定代表人身份证明</w:t>
      </w:r>
    </w:p>
    <w:p w14:paraId="6601379D">
      <w:pPr>
        <w:pStyle w:val="20"/>
        <w:rPr>
          <w:rFonts w:ascii="宋体" w:hAnsi="宋体" w:cs="宋体"/>
          <w:color w:val="auto"/>
          <w:highlight w:val="none"/>
        </w:rPr>
      </w:pPr>
    </w:p>
    <w:p w14:paraId="52426431">
      <w:pPr>
        <w:pStyle w:val="20"/>
        <w:rPr>
          <w:rFonts w:ascii="宋体" w:hAnsi="宋体" w:cs="宋体"/>
          <w:color w:val="auto"/>
          <w:highlight w:val="none"/>
        </w:rPr>
      </w:pPr>
    </w:p>
    <w:p w14:paraId="52FE8055">
      <w:pPr>
        <w:pStyle w:val="20"/>
        <w:spacing w:before="11"/>
        <w:rPr>
          <w:rFonts w:ascii="宋体" w:hAnsi="宋体" w:cs="宋体"/>
          <w:color w:val="auto"/>
          <w:highlight w:val="none"/>
        </w:rPr>
      </w:pPr>
    </w:p>
    <w:p w14:paraId="0AB8FE83">
      <w:pPr>
        <w:spacing w:before="66"/>
        <w:ind w:left="215"/>
        <w:rPr>
          <w:rFonts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p>
    <w:p w14:paraId="2E20B02D">
      <w:pPr>
        <w:pStyle w:val="20"/>
        <w:rPr>
          <w:rFonts w:ascii="宋体" w:hAnsi="宋体" w:cs="宋体"/>
          <w:color w:val="auto"/>
          <w:highlight w:val="none"/>
        </w:rPr>
      </w:pPr>
    </w:p>
    <w:p w14:paraId="0C6E5AD1">
      <w:pPr>
        <w:pStyle w:val="20"/>
        <w:spacing w:before="9"/>
        <w:rPr>
          <w:rFonts w:ascii="宋体" w:hAnsi="宋体" w:cs="宋体"/>
          <w:color w:val="auto"/>
          <w:highlight w:val="none"/>
        </w:rPr>
      </w:pPr>
    </w:p>
    <w:p w14:paraId="7163F377">
      <w:pPr>
        <w:tabs>
          <w:tab w:val="left" w:pos="2495"/>
          <w:tab w:val="left" w:pos="6215"/>
          <w:tab w:val="left" w:pos="7655"/>
        </w:tabs>
        <w:spacing w:line="360" w:lineRule="auto"/>
        <w:ind w:left="215"/>
        <w:rPr>
          <w:rFonts w:ascii="宋体" w:hAnsi="宋体" w:cs="宋体"/>
          <w:color w:val="auto"/>
          <w:sz w:val="24"/>
          <w:highlight w:val="none"/>
        </w:rPr>
      </w:pPr>
      <w:r>
        <w:rPr>
          <w:rFonts w:hint="eastAsia" w:ascii="宋体" w:hAnsi="宋体" w:cs="宋体"/>
          <w:color w:val="auto"/>
          <w:sz w:val="24"/>
          <w:highlight w:val="none"/>
        </w:rPr>
        <w:t>姓名：</w:t>
      </w:r>
      <w:r>
        <w:rPr>
          <w:rFonts w:hint="eastAsia" w:ascii="宋体" w:hAnsi="宋体" w:cs="宋体"/>
          <w:color w:val="auto"/>
          <w:sz w:val="24"/>
          <w:highlight w:val="none"/>
          <w:u w:val="single"/>
        </w:rPr>
        <w:tab/>
      </w:r>
      <w:r>
        <w:rPr>
          <w:rFonts w:hint="eastAsia" w:ascii="宋体" w:hAnsi="宋体" w:cs="宋体"/>
          <w:color w:val="auto"/>
          <w:sz w:val="24"/>
          <w:highlight w:val="none"/>
        </w:rPr>
        <w:t>（法定代表人亲笔签字）性别：</w:t>
      </w:r>
      <w:r>
        <w:rPr>
          <w:rFonts w:hint="eastAsia" w:ascii="宋体" w:hAnsi="宋体" w:cs="宋体"/>
          <w:color w:val="auto"/>
          <w:sz w:val="24"/>
          <w:highlight w:val="none"/>
          <w:u w:val="single"/>
        </w:rPr>
        <w:tab/>
      </w:r>
      <w:r>
        <w:rPr>
          <w:rFonts w:hint="eastAsia" w:ascii="宋体" w:hAnsi="宋体" w:cs="宋体"/>
          <w:color w:val="auto"/>
          <w:sz w:val="24"/>
          <w:highlight w:val="none"/>
        </w:rPr>
        <w:t>年龄：</w:t>
      </w:r>
      <w:r>
        <w:rPr>
          <w:rFonts w:hint="eastAsia" w:ascii="宋体" w:hAnsi="宋体" w:cs="宋体"/>
          <w:color w:val="auto"/>
          <w:sz w:val="24"/>
          <w:highlight w:val="none"/>
          <w:u w:val="single"/>
        </w:rPr>
        <w:tab/>
      </w:r>
      <w:r>
        <w:rPr>
          <w:rFonts w:hint="eastAsia" w:ascii="宋体" w:hAnsi="宋体" w:cs="宋体"/>
          <w:color w:val="auto"/>
          <w:sz w:val="24"/>
          <w:highlight w:val="none"/>
        </w:rPr>
        <w:t>职务：</w:t>
      </w:r>
    </w:p>
    <w:p w14:paraId="2B2B511A">
      <w:pPr>
        <w:tabs>
          <w:tab w:val="left" w:pos="1895"/>
        </w:tabs>
        <w:spacing w:line="360" w:lineRule="auto"/>
        <w:ind w:left="215"/>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ab/>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名称）的法定代表人。</w:t>
      </w:r>
    </w:p>
    <w:p w14:paraId="5EC82492">
      <w:pPr>
        <w:spacing w:line="360" w:lineRule="auto"/>
        <w:ind w:left="215"/>
        <w:rPr>
          <w:rFonts w:ascii="宋体" w:hAnsi="宋体" w:cs="宋体"/>
          <w:color w:val="auto"/>
          <w:sz w:val="24"/>
          <w:highlight w:val="none"/>
        </w:rPr>
      </w:pPr>
      <w:r>
        <w:rPr>
          <w:rFonts w:hint="eastAsia" w:ascii="宋体" w:hAnsi="宋体" w:cs="宋体"/>
          <w:color w:val="auto"/>
          <w:sz w:val="24"/>
          <w:highlight w:val="none"/>
        </w:rPr>
        <w:t>特此证明。</w:t>
      </w:r>
    </w:p>
    <w:p w14:paraId="0CFE137F">
      <w:pPr>
        <w:pStyle w:val="20"/>
        <w:rPr>
          <w:rFonts w:ascii="宋体" w:hAnsi="宋体" w:cs="宋体"/>
          <w:color w:val="auto"/>
          <w:highlight w:val="none"/>
        </w:rPr>
      </w:pPr>
    </w:p>
    <w:p w14:paraId="3164B531">
      <w:pPr>
        <w:pStyle w:val="20"/>
        <w:rPr>
          <w:rFonts w:ascii="宋体" w:hAnsi="宋体" w:cs="宋体"/>
          <w:color w:val="auto"/>
          <w:highlight w:val="none"/>
        </w:rPr>
      </w:pPr>
    </w:p>
    <w:p w14:paraId="1FAB23EC">
      <w:pPr>
        <w:ind w:left="215"/>
        <w:rPr>
          <w:rFonts w:ascii="宋体" w:hAnsi="宋体" w:cs="宋体"/>
          <w:color w:val="auto"/>
          <w:sz w:val="24"/>
          <w:highlight w:val="none"/>
        </w:rPr>
      </w:pPr>
      <w:r>
        <w:rPr>
          <w:rFonts w:hint="eastAsia" w:ascii="宋体" w:hAnsi="宋体" w:cs="宋体"/>
          <w:color w:val="auto"/>
          <w:sz w:val="24"/>
          <w:highlight w:val="none"/>
        </w:rPr>
        <w:t>附：法定代表人身份证复印件。</w:t>
      </w:r>
    </w:p>
    <w:p w14:paraId="43D1DF36">
      <w:pPr>
        <w:pStyle w:val="20"/>
        <w:rPr>
          <w:rFonts w:ascii="宋体" w:hAnsi="宋体" w:cs="宋体"/>
          <w:color w:val="auto"/>
          <w:highlight w:val="none"/>
        </w:rPr>
      </w:pPr>
    </w:p>
    <w:p w14:paraId="11A27CF0">
      <w:pPr>
        <w:pStyle w:val="20"/>
        <w:rPr>
          <w:rFonts w:ascii="宋体" w:hAnsi="宋体" w:cs="宋体"/>
          <w:color w:val="auto"/>
          <w:highlight w:val="none"/>
        </w:rPr>
      </w:pPr>
    </w:p>
    <w:p w14:paraId="53505EFA">
      <w:pPr>
        <w:pStyle w:val="20"/>
        <w:rPr>
          <w:rFonts w:ascii="宋体" w:hAnsi="宋体" w:cs="宋体"/>
          <w:color w:val="auto"/>
          <w:highlight w:val="none"/>
        </w:rPr>
      </w:pPr>
    </w:p>
    <w:p w14:paraId="46975BB7">
      <w:pPr>
        <w:pStyle w:val="20"/>
        <w:spacing w:before="10"/>
        <w:rPr>
          <w:rFonts w:ascii="宋体" w:hAnsi="宋体" w:cs="宋体"/>
          <w:color w:val="auto"/>
          <w:highlight w:val="none"/>
        </w:rPr>
      </w:pPr>
    </w:p>
    <w:p w14:paraId="558F1775">
      <w:pPr>
        <w:tabs>
          <w:tab w:val="left" w:pos="5529"/>
        </w:tabs>
        <w:ind w:left="3369"/>
        <w:jc w:val="right"/>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ab/>
      </w:r>
      <w:r>
        <w:rPr>
          <w:rFonts w:hint="eastAsia" w:ascii="宋体" w:hAnsi="宋体" w:cs="宋体"/>
          <w:color w:val="auto"/>
          <w:sz w:val="24"/>
          <w:highlight w:val="none"/>
        </w:rPr>
        <w:t>(</w:t>
      </w:r>
      <w:r>
        <w:rPr>
          <w:rFonts w:hint="eastAsia" w:ascii="宋体" w:hAnsi="宋体" w:cs="宋体"/>
          <w:bCs/>
          <w:color w:val="auto"/>
          <w:sz w:val="24"/>
          <w:highlight w:val="none"/>
        </w:rPr>
        <w:t>电子签章</w:t>
      </w:r>
      <w:r>
        <w:rPr>
          <w:rFonts w:hint="eastAsia" w:ascii="宋体" w:hAnsi="宋体" w:cs="宋体"/>
          <w:color w:val="auto"/>
          <w:sz w:val="24"/>
          <w:highlight w:val="none"/>
        </w:rPr>
        <w:t>)</w:t>
      </w:r>
    </w:p>
    <w:p w14:paraId="38819329">
      <w:pPr>
        <w:pStyle w:val="20"/>
        <w:spacing w:before="7"/>
        <w:jc w:val="right"/>
        <w:rPr>
          <w:rFonts w:ascii="宋体" w:hAnsi="宋体" w:cs="宋体"/>
          <w:color w:val="auto"/>
          <w:highlight w:val="none"/>
        </w:rPr>
      </w:pPr>
    </w:p>
    <w:p w14:paraId="1ADA6E34">
      <w:pPr>
        <w:tabs>
          <w:tab w:val="left" w:pos="719"/>
          <w:tab w:val="left" w:pos="1559"/>
          <w:tab w:val="left" w:pos="2279"/>
        </w:tabs>
        <w:spacing w:before="74"/>
        <w:ind w:right="406"/>
        <w:jc w:val="right"/>
        <w:rPr>
          <w:rFonts w:ascii="宋体" w:hAnsi="宋体" w:cs="宋体"/>
          <w:color w:val="auto"/>
          <w:sz w:val="24"/>
          <w:highlight w:val="none"/>
        </w:rPr>
      </w:pPr>
      <w:r>
        <w:rPr>
          <w:rFonts w:hint="eastAsia" w:ascii="宋体" w:hAnsi="宋体" w:cs="宋体"/>
          <w:color w:val="auto"/>
          <w:sz w:val="24"/>
          <w:highlight w:val="none"/>
          <w:u w:val="single"/>
        </w:rPr>
        <w:tab/>
      </w:r>
      <w:r>
        <w:rPr>
          <w:rFonts w:hint="eastAsia" w:ascii="宋体"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rPr>
        <w:t>日</w:t>
      </w:r>
    </w:p>
    <w:p w14:paraId="4EE524D0">
      <w:pPr>
        <w:pStyle w:val="20"/>
        <w:rPr>
          <w:rFonts w:ascii="宋体" w:hAnsi="宋体" w:cs="宋体"/>
          <w:color w:val="auto"/>
          <w:highlight w:val="none"/>
        </w:rPr>
      </w:pPr>
    </w:p>
    <w:p w14:paraId="429828EB">
      <w:pPr>
        <w:pStyle w:val="20"/>
        <w:rPr>
          <w:rFonts w:ascii="宋体" w:hAnsi="宋体" w:cs="宋体"/>
          <w:color w:val="auto"/>
          <w:highlight w:val="none"/>
        </w:rPr>
      </w:pPr>
    </w:p>
    <w:p w14:paraId="330CBF9A">
      <w:pPr>
        <w:jc w:val="center"/>
        <w:rPr>
          <w:rFonts w:ascii="宋体" w:hAnsi="宋体" w:cs="宋体"/>
          <w:b/>
          <w:color w:val="auto"/>
          <w:sz w:val="36"/>
          <w:highlight w:val="none"/>
        </w:rPr>
      </w:pPr>
    </w:p>
    <w:p w14:paraId="34964E15">
      <w:pPr>
        <w:jc w:val="center"/>
        <w:rPr>
          <w:rFonts w:ascii="宋体" w:hAnsi="宋体" w:cs="宋体"/>
          <w:color w:val="auto"/>
          <w:sz w:val="24"/>
          <w:highlight w:val="none"/>
        </w:rPr>
      </w:pPr>
      <w:r>
        <w:rPr>
          <w:rFonts w:hint="eastAsia" w:ascii="宋体" w:hAnsi="宋体" w:cs="宋体"/>
          <w:color w:val="auto"/>
          <w:sz w:val="24"/>
          <w:highlight w:val="none"/>
        </w:rPr>
        <w:t>（法定代表人身份证扫描件附后)</w:t>
      </w:r>
    </w:p>
    <w:p w14:paraId="52EF6A19">
      <w:pPr>
        <w:jc w:val="center"/>
        <w:rPr>
          <w:rFonts w:ascii="宋体" w:hAnsi="宋体" w:cs="宋体"/>
          <w:b/>
          <w:color w:val="auto"/>
          <w:sz w:val="36"/>
          <w:highlight w:val="none"/>
        </w:rPr>
      </w:pPr>
    </w:p>
    <w:p w14:paraId="4C864EB6">
      <w:pPr>
        <w:jc w:val="center"/>
        <w:rPr>
          <w:rFonts w:ascii="宋体" w:hAnsi="宋体" w:cs="宋体"/>
          <w:b/>
          <w:color w:val="auto"/>
          <w:sz w:val="36"/>
          <w:highlight w:val="none"/>
        </w:rPr>
      </w:pPr>
    </w:p>
    <w:p w14:paraId="1F1A563F">
      <w:pPr>
        <w:jc w:val="center"/>
        <w:rPr>
          <w:rFonts w:ascii="宋体" w:hAnsi="宋体" w:cs="宋体"/>
          <w:b/>
          <w:color w:val="auto"/>
          <w:sz w:val="36"/>
          <w:highlight w:val="none"/>
        </w:rPr>
      </w:pPr>
    </w:p>
    <w:p w14:paraId="234022F0">
      <w:pPr>
        <w:jc w:val="center"/>
        <w:rPr>
          <w:rFonts w:ascii="宋体" w:hAnsi="宋体" w:cs="宋体"/>
          <w:b/>
          <w:color w:val="auto"/>
          <w:sz w:val="36"/>
          <w:highlight w:val="none"/>
        </w:rPr>
      </w:pPr>
    </w:p>
    <w:p w14:paraId="7234A43E">
      <w:pPr>
        <w:jc w:val="center"/>
        <w:rPr>
          <w:rFonts w:ascii="宋体" w:hAnsi="宋体" w:cs="宋体"/>
          <w:b/>
          <w:color w:val="auto"/>
          <w:sz w:val="36"/>
          <w:highlight w:val="none"/>
        </w:rPr>
      </w:pPr>
    </w:p>
    <w:p w14:paraId="4A0F0E2F">
      <w:pPr>
        <w:jc w:val="center"/>
        <w:rPr>
          <w:rFonts w:ascii="宋体" w:hAnsi="宋体" w:cs="宋体"/>
          <w:b/>
          <w:color w:val="auto"/>
          <w:sz w:val="36"/>
          <w:highlight w:val="none"/>
        </w:rPr>
      </w:pPr>
    </w:p>
    <w:p w14:paraId="28C7E31D">
      <w:pPr>
        <w:jc w:val="center"/>
        <w:rPr>
          <w:rFonts w:ascii="宋体" w:hAnsi="宋体" w:cs="宋体"/>
          <w:b/>
          <w:color w:val="auto"/>
          <w:sz w:val="36"/>
          <w:highlight w:val="none"/>
        </w:rPr>
      </w:pPr>
    </w:p>
    <w:p w14:paraId="425440F5">
      <w:pPr>
        <w:jc w:val="center"/>
        <w:rPr>
          <w:rFonts w:ascii="宋体" w:hAnsi="宋体" w:cs="宋体"/>
          <w:b/>
          <w:color w:val="auto"/>
          <w:sz w:val="36"/>
          <w:highlight w:val="none"/>
        </w:rPr>
      </w:pPr>
      <w:r>
        <w:rPr>
          <w:rFonts w:hint="eastAsia" w:ascii="宋体" w:hAnsi="宋体" w:cs="宋体"/>
          <w:b/>
          <w:color w:val="auto"/>
          <w:sz w:val="36"/>
          <w:highlight w:val="none"/>
        </w:rPr>
        <w:t>授权委托书</w:t>
      </w:r>
    </w:p>
    <w:p w14:paraId="24A8A455">
      <w:pPr>
        <w:spacing w:line="500" w:lineRule="exact"/>
        <w:rPr>
          <w:rFonts w:ascii="宋体" w:hAnsi="宋体" w:cs="宋体"/>
          <w:color w:val="auto"/>
          <w:sz w:val="24"/>
          <w:highlight w:val="none"/>
        </w:rPr>
      </w:pPr>
      <w:r>
        <w:rPr>
          <w:rFonts w:hint="eastAsia" w:ascii="宋体" w:hAnsi="宋体" w:cs="宋体"/>
          <w:color w:val="auto"/>
          <w:sz w:val="24"/>
          <w:highlight w:val="none"/>
        </w:rPr>
        <w:t>委托人（全称）：</w:t>
      </w:r>
    </w:p>
    <w:p w14:paraId="025B0BC1">
      <w:pPr>
        <w:spacing w:line="500" w:lineRule="exact"/>
        <w:rPr>
          <w:rFonts w:ascii="宋体" w:hAnsi="宋体" w:cs="宋体"/>
          <w:color w:val="auto"/>
          <w:sz w:val="24"/>
          <w:highlight w:val="none"/>
        </w:rPr>
      </w:pPr>
      <w:r>
        <w:rPr>
          <w:rFonts w:hint="eastAsia" w:ascii="宋体" w:hAnsi="宋体" w:cs="宋体"/>
          <w:color w:val="auto"/>
          <w:sz w:val="24"/>
          <w:highlight w:val="none"/>
        </w:rPr>
        <w:t>地  址：</w:t>
      </w:r>
    </w:p>
    <w:p w14:paraId="7900BF82">
      <w:pPr>
        <w:spacing w:line="500" w:lineRule="exact"/>
        <w:rPr>
          <w:rFonts w:ascii="宋体" w:hAnsi="宋体" w:cs="宋体"/>
          <w:color w:val="auto"/>
          <w:sz w:val="24"/>
          <w:highlight w:val="none"/>
        </w:rPr>
      </w:pPr>
      <w:r>
        <w:rPr>
          <w:rFonts w:hint="eastAsia" w:ascii="宋体" w:hAnsi="宋体" w:cs="宋体"/>
          <w:color w:val="auto"/>
          <w:sz w:val="24"/>
          <w:highlight w:val="none"/>
        </w:rPr>
        <w:t xml:space="preserve">法定代表人（负责人）：               </w:t>
      </w:r>
    </w:p>
    <w:p w14:paraId="7359491C">
      <w:pPr>
        <w:spacing w:line="500" w:lineRule="exact"/>
        <w:rPr>
          <w:rFonts w:ascii="宋体" w:hAnsi="宋体" w:cs="宋体"/>
          <w:color w:val="auto"/>
          <w:sz w:val="24"/>
          <w:highlight w:val="none"/>
        </w:rPr>
      </w:pPr>
      <w:r>
        <w:rPr>
          <w:rFonts w:hint="eastAsia" w:ascii="宋体" w:hAnsi="宋体" w:cs="宋体"/>
          <w:color w:val="auto"/>
          <w:sz w:val="24"/>
          <w:highlight w:val="none"/>
        </w:rPr>
        <w:t>统一社会信用代码：</w:t>
      </w:r>
    </w:p>
    <w:p w14:paraId="3B6EA979">
      <w:pPr>
        <w:spacing w:line="500" w:lineRule="exact"/>
        <w:rPr>
          <w:rFonts w:ascii="宋体" w:hAnsi="宋体" w:cs="宋体"/>
          <w:color w:val="auto"/>
          <w:sz w:val="24"/>
          <w:highlight w:val="none"/>
        </w:rPr>
      </w:pPr>
    </w:p>
    <w:p w14:paraId="0F11A0B9">
      <w:pPr>
        <w:spacing w:line="500" w:lineRule="exact"/>
        <w:rPr>
          <w:rFonts w:ascii="宋体" w:hAnsi="宋体" w:cs="宋体"/>
          <w:color w:val="auto"/>
          <w:sz w:val="24"/>
          <w:highlight w:val="none"/>
        </w:rPr>
      </w:pPr>
      <w:r>
        <w:rPr>
          <w:rFonts w:hint="eastAsia" w:ascii="宋体" w:hAnsi="宋体" w:cs="宋体"/>
          <w:color w:val="auto"/>
          <w:sz w:val="24"/>
          <w:highlight w:val="none"/>
        </w:rPr>
        <w:t>受托人：                  先生（女士）</w:t>
      </w:r>
    </w:p>
    <w:p w14:paraId="7AFEB9D0">
      <w:pPr>
        <w:spacing w:line="500" w:lineRule="exact"/>
        <w:rPr>
          <w:rFonts w:ascii="宋体" w:hAnsi="宋体" w:cs="宋体"/>
          <w:color w:val="auto"/>
          <w:sz w:val="24"/>
          <w:highlight w:val="none"/>
        </w:rPr>
      </w:pPr>
      <w:r>
        <w:rPr>
          <w:rFonts w:hint="eastAsia" w:ascii="宋体" w:hAnsi="宋体" w:cs="宋体"/>
          <w:color w:val="auto"/>
          <w:sz w:val="24"/>
          <w:highlight w:val="none"/>
        </w:rPr>
        <w:t>身份证号：</w:t>
      </w:r>
    </w:p>
    <w:p w14:paraId="2ECA0C97">
      <w:pPr>
        <w:spacing w:line="0" w:lineRule="atLeast"/>
        <w:jc w:val="center"/>
        <w:rPr>
          <w:rFonts w:ascii="宋体" w:hAnsi="宋体" w:cs="宋体"/>
          <w:color w:val="auto"/>
          <w:sz w:val="24"/>
          <w:highlight w:val="none"/>
        </w:rPr>
      </w:pPr>
    </w:p>
    <w:p w14:paraId="668DFD9C">
      <w:pPr>
        <w:spacing w:line="500" w:lineRule="exact"/>
        <w:rPr>
          <w:rFonts w:ascii="宋体" w:hAnsi="宋体" w:cs="宋体"/>
          <w:color w:val="auto"/>
          <w:sz w:val="24"/>
          <w:highlight w:val="none"/>
        </w:rPr>
      </w:pPr>
    </w:p>
    <w:p w14:paraId="76E8C3A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兹委托（            ）全权代表我企业（公司）参与</w:t>
      </w:r>
      <w:r>
        <w:rPr>
          <w:rFonts w:hint="eastAsia" w:ascii="宋体" w:hAnsi="宋体" w:cs="宋体"/>
          <w:color w:val="auto"/>
          <w:sz w:val="24"/>
          <w:highlight w:val="none"/>
          <w:u w:val="single"/>
          <w:lang w:eastAsia="zh-CN"/>
        </w:rPr>
        <w:t>大彭镇2025-2027年农村垃圾分类运营服务项目</w:t>
      </w: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JSZC-320312-BZDL-C2025-0058</w:t>
      </w:r>
      <w:r>
        <w:rPr>
          <w:rFonts w:hint="eastAsia" w:ascii="宋体" w:hAnsi="宋体" w:cs="宋体"/>
          <w:color w:val="auto"/>
          <w:sz w:val="24"/>
          <w:highlight w:val="none"/>
        </w:rPr>
        <w:t>]的磋商活动及签订合同。（         ）以我企业（公司）名义所为的行为及签署的文件，我企业（公司）均予以认可。有关法律责任均由我企业（公司）承担。（         ）无转委托权。委托期限自    年  月   日起至    年  月    日止。</w:t>
      </w:r>
    </w:p>
    <w:p w14:paraId="662673E6">
      <w:pPr>
        <w:spacing w:line="500" w:lineRule="exact"/>
        <w:rPr>
          <w:rFonts w:ascii="宋体" w:hAnsi="宋体" w:cs="宋体"/>
          <w:color w:val="auto"/>
          <w:sz w:val="24"/>
          <w:highlight w:val="none"/>
        </w:rPr>
      </w:pPr>
    </w:p>
    <w:p w14:paraId="2A568A23">
      <w:pPr>
        <w:spacing w:line="500" w:lineRule="exact"/>
        <w:rPr>
          <w:rFonts w:ascii="宋体" w:hAnsi="宋体" w:cs="宋体"/>
          <w:color w:val="auto"/>
          <w:sz w:val="24"/>
          <w:highlight w:val="none"/>
        </w:rPr>
      </w:pPr>
      <w:r>
        <w:rPr>
          <w:rFonts w:hint="eastAsia" w:ascii="宋体" w:hAnsi="宋体" w:cs="宋体"/>
          <w:color w:val="auto"/>
          <w:sz w:val="24"/>
          <w:highlight w:val="none"/>
        </w:rPr>
        <w:t>委托人（电子签章）：</w:t>
      </w:r>
    </w:p>
    <w:p w14:paraId="3C942CDB">
      <w:pPr>
        <w:spacing w:line="500" w:lineRule="exact"/>
        <w:rPr>
          <w:rFonts w:ascii="宋体" w:hAnsi="宋体" w:cs="宋体"/>
          <w:color w:val="auto"/>
          <w:sz w:val="24"/>
          <w:highlight w:val="none"/>
        </w:rPr>
      </w:pPr>
    </w:p>
    <w:p w14:paraId="024DFAF4">
      <w:pPr>
        <w:spacing w:line="500" w:lineRule="exact"/>
        <w:rPr>
          <w:rFonts w:ascii="宋体" w:hAnsi="宋体" w:cs="宋体"/>
          <w:color w:val="auto"/>
          <w:sz w:val="24"/>
          <w:highlight w:val="none"/>
        </w:rPr>
      </w:pPr>
      <w:r>
        <w:rPr>
          <w:rFonts w:hint="eastAsia" w:ascii="宋体" w:hAnsi="宋体" w:cs="宋体"/>
          <w:color w:val="auto"/>
          <w:sz w:val="24"/>
          <w:highlight w:val="none"/>
        </w:rPr>
        <w:t>法定代表人（签字或盖章）：</w:t>
      </w:r>
    </w:p>
    <w:p w14:paraId="6219A15A">
      <w:pPr>
        <w:spacing w:line="500" w:lineRule="exact"/>
        <w:rPr>
          <w:rFonts w:ascii="宋体" w:hAnsi="宋体" w:cs="宋体"/>
          <w:color w:val="auto"/>
          <w:sz w:val="24"/>
          <w:highlight w:val="none"/>
        </w:rPr>
      </w:pPr>
      <w:r>
        <w:rPr>
          <w:rFonts w:hint="eastAsia" w:ascii="宋体" w:hAnsi="宋体" w:cs="宋体"/>
          <w:color w:val="auto"/>
          <w:sz w:val="24"/>
          <w:highlight w:val="none"/>
        </w:rPr>
        <w:t xml:space="preserve"> 受托人（签字或盖章）：</w:t>
      </w:r>
    </w:p>
    <w:p w14:paraId="1A4C1417">
      <w:pPr>
        <w:spacing w:line="500" w:lineRule="exact"/>
        <w:ind w:firstLine="3561"/>
        <w:rPr>
          <w:rFonts w:ascii="宋体" w:hAnsi="宋体" w:cs="宋体"/>
          <w:color w:val="auto"/>
          <w:sz w:val="24"/>
          <w:highlight w:val="none"/>
        </w:rPr>
      </w:pPr>
      <w:r>
        <w:rPr>
          <w:rFonts w:hint="eastAsia" w:ascii="宋体" w:hAnsi="宋体" w:cs="宋体"/>
          <w:color w:val="auto"/>
          <w:sz w:val="24"/>
          <w:highlight w:val="none"/>
        </w:rPr>
        <w:t xml:space="preserve">                   年   月   日</w:t>
      </w:r>
    </w:p>
    <w:p w14:paraId="72EA17CA">
      <w:pPr>
        <w:jc w:val="center"/>
        <w:rPr>
          <w:rFonts w:ascii="宋体" w:hAnsi="宋体" w:cs="宋体"/>
          <w:color w:val="auto"/>
          <w:sz w:val="24"/>
          <w:highlight w:val="none"/>
        </w:rPr>
      </w:pPr>
    </w:p>
    <w:p w14:paraId="571D52E1">
      <w:pPr>
        <w:jc w:val="center"/>
        <w:rPr>
          <w:rFonts w:ascii="宋体" w:hAnsi="宋体" w:cs="宋体"/>
          <w:color w:val="auto"/>
          <w:sz w:val="24"/>
          <w:highlight w:val="none"/>
        </w:rPr>
      </w:pPr>
    </w:p>
    <w:p w14:paraId="28E48919">
      <w:pPr>
        <w:jc w:val="center"/>
        <w:rPr>
          <w:rFonts w:ascii="宋体" w:hAnsi="宋体" w:cs="宋体"/>
          <w:color w:val="auto"/>
          <w:sz w:val="24"/>
          <w:highlight w:val="none"/>
        </w:rPr>
      </w:pPr>
    </w:p>
    <w:p w14:paraId="760163BB">
      <w:pPr>
        <w:jc w:val="center"/>
        <w:rPr>
          <w:rFonts w:ascii="宋体" w:hAnsi="宋体" w:cs="宋体"/>
          <w:color w:val="auto"/>
          <w:sz w:val="24"/>
          <w:highlight w:val="none"/>
        </w:rPr>
      </w:pPr>
    </w:p>
    <w:p w14:paraId="183E4E66">
      <w:pPr>
        <w:jc w:val="center"/>
        <w:rPr>
          <w:rFonts w:ascii="宋体" w:hAnsi="宋体" w:cs="宋体"/>
          <w:color w:val="auto"/>
          <w:sz w:val="24"/>
          <w:highlight w:val="none"/>
        </w:rPr>
      </w:pPr>
    </w:p>
    <w:p w14:paraId="154928BC">
      <w:pPr>
        <w:jc w:val="center"/>
        <w:rPr>
          <w:rFonts w:ascii="宋体" w:hAnsi="宋体" w:cs="宋体"/>
          <w:color w:val="auto"/>
          <w:sz w:val="24"/>
          <w:highlight w:val="none"/>
        </w:rPr>
      </w:pPr>
    </w:p>
    <w:p w14:paraId="2665274A">
      <w:pPr>
        <w:jc w:val="center"/>
        <w:rPr>
          <w:rFonts w:ascii="宋体" w:hAnsi="宋体" w:cs="宋体"/>
          <w:color w:val="auto"/>
          <w:sz w:val="24"/>
          <w:highlight w:val="none"/>
        </w:rPr>
      </w:pPr>
      <w:r>
        <w:rPr>
          <w:rFonts w:hint="eastAsia" w:ascii="宋体" w:hAnsi="宋体" w:cs="宋体"/>
          <w:color w:val="auto"/>
          <w:sz w:val="24"/>
          <w:highlight w:val="none"/>
        </w:rPr>
        <w:t>（受托人身份证扫描件附后)</w:t>
      </w:r>
    </w:p>
    <w:p w14:paraId="3B41D04D">
      <w:pPr>
        <w:widowControl/>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br w:type="page" w:clear="all"/>
      </w:r>
      <w:r>
        <w:rPr>
          <w:rFonts w:hint="eastAsia" w:ascii="宋体" w:hAnsi="宋体" w:cs="宋体"/>
          <w:b/>
          <w:color w:val="auto"/>
          <w:sz w:val="36"/>
          <w:szCs w:val="36"/>
          <w:highlight w:val="none"/>
          <w:lang w:val="en-US" w:eastAsia="zh-CN"/>
        </w:rPr>
        <w:t>9</w:t>
      </w:r>
      <w:r>
        <w:rPr>
          <w:rFonts w:hint="eastAsia" w:ascii="宋体" w:hAnsi="宋体" w:cs="宋体"/>
          <w:b/>
          <w:color w:val="auto"/>
          <w:sz w:val="36"/>
          <w:szCs w:val="36"/>
          <w:highlight w:val="none"/>
        </w:rPr>
        <w:t>、</w:t>
      </w:r>
      <w:bookmarkStart w:id="16" w:name="_Hlk81985284"/>
      <w:r>
        <w:rPr>
          <w:rFonts w:hint="eastAsia" w:ascii="宋体" w:hAnsi="宋体" w:cs="宋体"/>
          <w:b/>
          <w:color w:val="auto"/>
          <w:sz w:val="36"/>
          <w:szCs w:val="36"/>
          <w:highlight w:val="none"/>
        </w:rPr>
        <w:t>中小企业声明函</w:t>
      </w:r>
    </w:p>
    <w:p w14:paraId="34C2C6B3">
      <w:pPr>
        <w:spacing w:line="360" w:lineRule="auto"/>
        <w:jc w:val="center"/>
        <w:rPr>
          <w:rFonts w:ascii="宋体" w:hAnsi="宋体" w:cs="宋体"/>
          <w:color w:val="auto"/>
          <w:sz w:val="24"/>
          <w:highlight w:val="none"/>
        </w:rPr>
      </w:pPr>
      <w:r>
        <w:rPr>
          <w:rFonts w:hint="eastAsia" w:ascii="宋体" w:hAnsi="宋体" w:cs="宋体"/>
          <w:color w:val="auto"/>
          <w:sz w:val="24"/>
          <w:szCs w:val="21"/>
          <w:highlight w:val="none"/>
        </w:rPr>
        <w:t xml:space="preserve">                                      </w:t>
      </w:r>
    </w:p>
    <w:p w14:paraId="1F6473A8">
      <w:pPr>
        <w:spacing w:line="480" w:lineRule="exact"/>
        <w:ind w:firstLine="504"/>
        <w:rPr>
          <w:rFonts w:ascii="宋体" w:hAnsi="宋体" w:cs="宋体"/>
          <w:color w:val="auto"/>
          <w:spacing w:val="6"/>
          <w:sz w:val="24"/>
          <w:highlight w:val="none"/>
        </w:rPr>
      </w:pPr>
      <w:r>
        <w:rPr>
          <w:rFonts w:hint="eastAsia" w:ascii="宋体" w:hAnsi="宋体" w:cs="宋体"/>
          <w:color w:val="auto"/>
          <w:spacing w:val="6"/>
          <w:sz w:val="24"/>
          <w:highlight w:val="none"/>
        </w:rPr>
        <w:t>项目名称：</w:t>
      </w:r>
      <w:r>
        <w:rPr>
          <w:rFonts w:hint="eastAsia" w:ascii="宋体" w:hAnsi="宋体" w:cs="宋体"/>
          <w:color w:val="auto"/>
          <w:sz w:val="24"/>
          <w:highlight w:val="none"/>
          <w:u w:val="single"/>
          <w:lang w:eastAsia="zh-CN"/>
        </w:rPr>
        <w:t>大彭镇2025-2027年农村垃圾分类运营服务项目</w:t>
      </w:r>
      <w:r>
        <w:rPr>
          <w:rFonts w:hint="eastAsia" w:ascii="宋体" w:hAnsi="宋体" w:cs="宋体"/>
          <w:color w:val="auto"/>
          <w:spacing w:val="6"/>
          <w:sz w:val="24"/>
          <w:highlight w:val="none"/>
        </w:rPr>
        <w:t>项目编号：</w:t>
      </w:r>
      <w:r>
        <w:rPr>
          <w:rFonts w:hint="eastAsia" w:ascii="宋体" w:hAnsi="宋体" w:cs="宋体"/>
          <w:color w:val="auto"/>
          <w:spacing w:val="6"/>
          <w:sz w:val="24"/>
          <w:highlight w:val="none"/>
          <w:lang w:eastAsia="zh-CN"/>
        </w:rPr>
        <w:t>JSZC-320312-BZDL-C2025-0058</w:t>
      </w:r>
      <w:r>
        <w:rPr>
          <w:rFonts w:hint="eastAsia" w:ascii="宋体" w:hAnsi="宋体" w:cs="宋体"/>
          <w:color w:val="auto"/>
          <w:spacing w:val="6"/>
          <w:sz w:val="24"/>
          <w:highlight w:val="none"/>
        </w:rPr>
        <w:t xml:space="preserve">                                         </w:t>
      </w:r>
    </w:p>
    <w:p w14:paraId="210E5851">
      <w:pPr>
        <w:spacing w:line="360" w:lineRule="auto"/>
        <w:ind w:firstLine="504"/>
        <w:rPr>
          <w:rFonts w:ascii="宋体" w:hAnsi="宋体" w:cs="宋体"/>
          <w:color w:val="auto"/>
          <w:spacing w:val="6"/>
          <w:sz w:val="24"/>
          <w:highlight w:val="none"/>
        </w:rPr>
      </w:pPr>
      <w:r>
        <w:rPr>
          <w:rFonts w:hint="eastAsia" w:ascii="宋体" w:hAnsi="宋体" w:cs="宋体"/>
          <w:color w:val="auto"/>
          <w:spacing w:val="6"/>
          <w:sz w:val="24"/>
          <w:highlight w:val="none"/>
        </w:rPr>
        <w:t>本公司郑重声明，根据《政府采购促进中小企业发展管理办法》（财库[2020]46号）的规定，本公司</w:t>
      </w:r>
      <w:r>
        <w:rPr>
          <w:rFonts w:hint="eastAsia" w:ascii="宋体" w:hAnsi="宋体" w:cs="宋体"/>
          <w:color w:val="auto"/>
          <w:sz w:val="24"/>
          <w:highlight w:val="none"/>
        </w:rPr>
        <w:t>参加</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徐州市铜山区大彭镇人民政府</w:t>
      </w:r>
      <w:r>
        <w:rPr>
          <w:rFonts w:hint="eastAsia" w:ascii="宋体" w:hAnsi="宋体" w:cs="宋体"/>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大彭镇2025-2027年农村垃圾分类运营服务项目</w:t>
      </w:r>
      <w:r>
        <w:rPr>
          <w:rFonts w:hint="eastAsia" w:ascii="宋体" w:hAnsi="宋体" w:cs="宋体"/>
          <w:color w:val="auto"/>
          <w:sz w:val="24"/>
          <w:highlight w:val="none"/>
          <w:u w:val="single"/>
        </w:rPr>
        <w:t>）</w:t>
      </w:r>
      <w:r>
        <w:rPr>
          <w:rFonts w:hint="eastAsia" w:ascii="宋体" w:hAnsi="宋体" w:cs="宋体"/>
          <w:color w:val="auto"/>
          <w:sz w:val="24"/>
          <w:highlight w:val="none"/>
        </w:rPr>
        <w:t>采购活动</w:t>
      </w:r>
      <w:r>
        <w:rPr>
          <w:rFonts w:hint="eastAsia" w:ascii="宋体" w:hAnsi="宋体" w:cs="宋体"/>
          <w:color w:val="auto"/>
          <w:spacing w:val="6"/>
          <w:sz w:val="24"/>
          <w:highlight w:val="none"/>
        </w:rPr>
        <w:t>，服务全部由符合政策要求的中小企业承接。相关企业的具体情况如下：</w:t>
      </w:r>
    </w:p>
    <w:p w14:paraId="076AF130">
      <w:pPr>
        <w:spacing w:line="360" w:lineRule="auto"/>
        <w:ind w:firstLine="504"/>
        <w:rPr>
          <w:rFonts w:ascii="宋体" w:hAnsi="宋体" w:cs="宋体"/>
          <w:color w:val="auto"/>
          <w:spacing w:val="6"/>
          <w:sz w:val="24"/>
          <w:highlight w:val="none"/>
        </w:rPr>
      </w:pP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；承建（承建）企业为（企业名称），从业人员（  ）人，营业收入为（   万元），资产总额为（  万元），属于（中型企业、小型企业、微型企业,</w:t>
      </w:r>
      <w:r>
        <w:rPr>
          <w:rFonts w:hint="eastAsia" w:ascii="宋体" w:hAnsi="宋体" w:cs="宋体"/>
          <w:b/>
          <w:bCs/>
          <w:color w:val="auto"/>
          <w:spacing w:val="6"/>
          <w:sz w:val="24"/>
          <w:highlight w:val="none"/>
        </w:rPr>
        <w:t>请勾选！</w:t>
      </w:r>
      <w:r>
        <w:rPr>
          <w:rFonts w:hint="eastAsia" w:ascii="宋体" w:hAnsi="宋体" w:cs="宋体"/>
          <w:color w:val="auto"/>
          <w:spacing w:val="6"/>
          <w:sz w:val="24"/>
          <w:highlight w:val="none"/>
        </w:rPr>
        <w:t>）；</w:t>
      </w:r>
    </w:p>
    <w:p w14:paraId="492C5F4D">
      <w:pPr>
        <w:pStyle w:val="63"/>
        <w:widowControl w:val="0"/>
        <w:spacing w:line="360" w:lineRule="auto"/>
        <w:ind w:firstLine="48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w:t>
      </w:r>
    </w:p>
    <w:p w14:paraId="290EC9F8">
      <w:pPr>
        <w:spacing w:line="480" w:lineRule="exact"/>
        <w:ind w:firstLine="482"/>
        <w:rPr>
          <w:rFonts w:ascii="宋体" w:hAnsi="宋体" w:cs="宋体"/>
          <w:b/>
          <w:bCs/>
          <w:color w:val="auto"/>
          <w:spacing w:val="6"/>
          <w:sz w:val="24"/>
          <w:highlight w:val="none"/>
        </w:rPr>
      </w:pPr>
      <w:r>
        <w:rPr>
          <w:rFonts w:hint="eastAsia" w:ascii="宋体" w:hAnsi="宋体" w:cs="宋体"/>
          <w:b/>
          <w:bCs/>
          <w:color w:val="auto"/>
          <w:sz w:val="24"/>
          <w:highlight w:val="none"/>
        </w:rPr>
        <w:t>以上企业，不属于大企业的分支机构，不存在控股股东为大企业的情形，也不存在与大企业的负责人为同一人的情形。</w:t>
      </w:r>
    </w:p>
    <w:p w14:paraId="66E7F1D1">
      <w:pPr>
        <w:spacing w:line="480" w:lineRule="exact"/>
        <w:ind w:firstLine="480"/>
        <w:rPr>
          <w:rFonts w:ascii="宋体" w:hAnsi="宋体" w:cs="宋体"/>
          <w:color w:val="auto"/>
          <w:spacing w:val="6"/>
          <w:sz w:val="24"/>
          <w:highlight w:val="none"/>
        </w:rPr>
      </w:pPr>
      <w:r>
        <w:rPr>
          <w:rFonts w:hint="eastAsia" w:ascii="宋体" w:hAnsi="宋体" w:cs="宋体"/>
          <w:color w:val="auto"/>
          <w:sz w:val="24"/>
          <w:highlight w:val="none"/>
        </w:rPr>
        <w:t>本企业对上述声明内容的真实性负责。如有虚假，将依法承担相应责任。</w:t>
      </w:r>
    </w:p>
    <w:p w14:paraId="03287E95">
      <w:pPr>
        <w:widowControl/>
        <w:spacing w:line="480" w:lineRule="exact"/>
        <w:ind w:firstLine="600"/>
        <w:jc w:val="left"/>
        <w:rPr>
          <w:rFonts w:ascii="宋体" w:hAnsi="宋体" w:cs="宋体"/>
          <w:color w:val="auto"/>
          <w:sz w:val="24"/>
          <w:highlight w:val="none"/>
        </w:rPr>
      </w:pPr>
    </w:p>
    <w:p w14:paraId="4A43D0A0">
      <w:pPr>
        <w:spacing w:line="480" w:lineRule="exact"/>
        <w:ind w:firstLine="480"/>
        <w:rPr>
          <w:rFonts w:ascii="宋体" w:hAnsi="宋体" w:cs="宋体"/>
          <w:color w:val="auto"/>
          <w:sz w:val="24"/>
          <w:highlight w:val="none"/>
        </w:rPr>
      </w:pPr>
      <w:r>
        <w:rPr>
          <w:rFonts w:hint="eastAsia" w:ascii="宋体" w:hAnsi="宋体" w:cs="宋体"/>
          <w:color w:val="auto"/>
          <w:sz w:val="24"/>
          <w:highlight w:val="none"/>
        </w:rPr>
        <w:t xml:space="preserve">                         企业名称（电子签章）：</w:t>
      </w:r>
    </w:p>
    <w:p w14:paraId="5E888F89">
      <w:pPr>
        <w:spacing w:line="480" w:lineRule="exact"/>
        <w:ind w:firstLine="480"/>
        <w:rPr>
          <w:rFonts w:ascii="宋体" w:hAnsi="宋体" w:cs="宋体"/>
          <w:color w:val="auto"/>
          <w:sz w:val="24"/>
          <w:highlight w:val="none"/>
        </w:rPr>
      </w:pPr>
      <w:r>
        <w:rPr>
          <w:rFonts w:hint="eastAsia" w:ascii="宋体" w:hAnsi="宋体" w:cs="宋体"/>
          <w:color w:val="auto"/>
          <w:sz w:val="24"/>
          <w:highlight w:val="none"/>
        </w:rPr>
        <w:t xml:space="preserve">                         日期：</w:t>
      </w:r>
    </w:p>
    <w:p w14:paraId="7AE4A4C6">
      <w:pPr>
        <w:spacing w:line="480" w:lineRule="exact"/>
        <w:ind w:firstLine="600"/>
        <w:rPr>
          <w:rFonts w:ascii="宋体" w:hAnsi="宋体" w:cs="宋体"/>
          <w:color w:val="auto"/>
          <w:sz w:val="30"/>
          <w:szCs w:val="30"/>
          <w:highlight w:val="none"/>
        </w:rPr>
      </w:pPr>
    </w:p>
    <w:p w14:paraId="35CD8A48">
      <w:pPr>
        <w:spacing w:line="480" w:lineRule="exact"/>
        <w:ind w:firstLine="482"/>
        <w:rPr>
          <w:rFonts w:ascii="宋体" w:hAnsi="宋体" w:cs="宋体"/>
          <w:b/>
          <w:color w:val="auto"/>
          <w:sz w:val="24"/>
          <w:highlight w:val="none"/>
        </w:rPr>
      </w:pPr>
    </w:p>
    <w:p w14:paraId="0726CBAA">
      <w:pPr>
        <w:spacing w:line="480" w:lineRule="exact"/>
        <w:ind w:firstLine="482"/>
        <w:rPr>
          <w:rFonts w:ascii="宋体" w:hAnsi="宋体" w:cs="宋体"/>
          <w:b/>
          <w:color w:val="auto"/>
          <w:sz w:val="24"/>
          <w:highlight w:val="none"/>
        </w:rPr>
      </w:pPr>
    </w:p>
    <w:p w14:paraId="173C8651">
      <w:pPr>
        <w:spacing w:line="480" w:lineRule="exact"/>
        <w:ind w:firstLine="482"/>
        <w:rPr>
          <w:rFonts w:ascii="宋体" w:hAnsi="宋体" w:cs="宋体"/>
          <w:b/>
          <w:color w:val="auto"/>
          <w:sz w:val="24"/>
          <w:highlight w:val="none"/>
        </w:rPr>
      </w:pPr>
    </w:p>
    <w:p w14:paraId="5F773237">
      <w:pPr>
        <w:spacing w:line="480" w:lineRule="exact"/>
        <w:ind w:firstLine="482"/>
        <w:rPr>
          <w:rFonts w:ascii="宋体" w:hAnsi="宋体" w:cs="宋体"/>
          <w:b/>
          <w:color w:val="auto"/>
          <w:sz w:val="24"/>
          <w:highlight w:val="none"/>
        </w:rPr>
      </w:pPr>
      <w:r>
        <w:rPr>
          <w:rFonts w:hint="eastAsia" w:ascii="宋体" w:hAnsi="宋体" w:cs="宋体"/>
          <w:b/>
          <w:color w:val="auto"/>
          <w:sz w:val="24"/>
          <w:highlight w:val="none"/>
        </w:rPr>
        <w:t>注：本项目采购项目属性为：</w:t>
      </w:r>
      <w:r>
        <w:rPr>
          <w:rFonts w:hint="eastAsia" w:ascii="宋体" w:hAnsi="宋体" w:cs="宋体"/>
          <w:b/>
          <w:color w:val="auto"/>
          <w:sz w:val="24"/>
          <w:highlight w:val="none"/>
          <w:u w:val="single"/>
        </w:rPr>
        <w:t>其他服务业</w:t>
      </w:r>
      <w:r>
        <w:rPr>
          <w:rFonts w:hint="eastAsia" w:ascii="宋体" w:hAnsi="宋体" w:cs="宋体"/>
          <w:b/>
          <w:color w:val="auto"/>
          <w:sz w:val="24"/>
          <w:highlight w:val="none"/>
        </w:rPr>
        <w:t>。</w:t>
      </w:r>
    </w:p>
    <w:p w14:paraId="6C3CDAA4">
      <w:pPr>
        <w:spacing w:line="480" w:lineRule="exact"/>
        <w:ind w:firstLine="482"/>
        <w:rPr>
          <w:rFonts w:ascii="宋体" w:hAnsi="宋体" w:cs="宋体"/>
          <w:color w:val="auto"/>
          <w:sz w:val="30"/>
          <w:szCs w:val="30"/>
          <w:highlight w:val="none"/>
        </w:rPr>
      </w:pPr>
      <w:r>
        <w:rPr>
          <w:rFonts w:hint="eastAsia" w:ascii="宋体" w:hAnsi="宋体" w:cs="宋体"/>
          <w:b/>
          <w:color w:val="auto"/>
          <w:sz w:val="24"/>
          <w:highlight w:val="none"/>
        </w:rPr>
        <w:t>备注：从业人员、营业收入、资产总额填报上一年度数据，无上一年度数据的新成立企业可不填报。</w:t>
      </w:r>
    </w:p>
    <w:p w14:paraId="6D5F6EA8">
      <w:pPr>
        <w:spacing w:line="360" w:lineRule="auto"/>
        <w:rPr>
          <w:rFonts w:ascii="宋体" w:hAnsi="宋体" w:cs="宋体"/>
          <w:color w:val="auto"/>
          <w:sz w:val="24"/>
          <w:highlight w:val="none"/>
          <w:u w:val="single"/>
        </w:rPr>
      </w:pPr>
    </w:p>
    <w:p w14:paraId="47645BFA">
      <w:pPr>
        <w:pStyle w:val="23"/>
        <w:rPr>
          <w:rFonts w:ascii="宋体" w:hAnsi="宋体" w:cs="宋体"/>
          <w:color w:val="auto"/>
          <w:highlight w:val="none"/>
        </w:rPr>
      </w:pPr>
    </w:p>
    <w:p w14:paraId="1FCD033F">
      <w:pPr>
        <w:spacing w:line="360" w:lineRule="auto"/>
        <w:rPr>
          <w:rFonts w:ascii="宋体" w:hAnsi="宋体" w:cs="宋体"/>
          <w:color w:val="auto"/>
          <w:sz w:val="24"/>
          <w:highlight w:val="none"/>
          <w:u w:val="single"/>
        </w:rPr>
      </w:pPr>
    </w:p>
    <w:p w14:paraId="2A4861E2">
      <w:pPr>
        <w:pStyle w:val="507"/>
        <w:spacing w:before="0" w:beforeAutospacing="0" w:after="0" w:afterAutospacing="0" w:line="360" w:lineRule="auto"/>
        <w:rPr>
          <w:rFonts w:cs="宋体"/>
          <w:color w:val="auto"/>
          <w:sz w:val="15"/>
          <w:szCs w:val="15"/>
          <w:highlight w:val="none"/>
        </w:rPr>
      </w:pPr>
      <w:r>
        <w:rPr>
          <w:rFonts w:hint="eastAsia" w:cs="宋体"/>
          <w:color w:val="auto"/>
          <w:sz w:val="15"/>
          <w:szCs w:val="15"/>
          <w:highlight w:val="none"/>
        </w:rPr>
        <w:br w:type="page" w:clear="all"/>
      </w:r>
      <w:bookmarkEnd w:id="16"/>
    </w:p>
    <w:p w14:paraId="3B0E9B8D">
      <w:pPr>
        <w:spacing w:line="360" w:lineRule="auto"/>
        <w:ind w:firstLine="504"/>
        <w:rPr>
          <w:rFonts w:hint="eastAsia" w:hAnsi="宋体" w:cs="宋体"/>
          <w:b/>
          <w:bCs/>
          <w:color w:val="auto"/>
          <w:sz w:val="24"/>
          <w:highlight w:val="none"/>
        </w:rPr>
      </w:pPr>
      <w:r>
        <w:rPr>
          <w:rFonts w:hint="eastAsia" w:ascii="宋体" w:hAnsi="宋体" w:cs="宋体"/>
          <w:b/>
          <w:bCs/>
          <w:color w:val="auto"/>
          <w:sz w:val="24"/>
          <w:highlight w:val="none"/>
        </w:rPr>
        <w:t>《中小企业声明函》查询渠道用微信搜索“中小企业规模类型自测小程序”</w:t>
      </w:r>
      <w:r>
        <w:rPr>
          <w:rFonts w:hint="eastAsia" w:hAnsi="宋体" w:cs="宋体"/>
          <w:b/>
          <w:bCs/>
          <w:color w:val="auto"/>
          <w:sz w:val="24"/>
          <w:highlight w:val="none"/>
        </w:rPr>
        <w:t>。</w:t>
      </w:r>
    </w:p>
    <w:p w14:paraId="71662215">
      <w:pPr>
        <w:widowControl/>
        <w:spacing w:line="360" w:lineRule="auto"/>
        <w:jc w:val="center"/>
        <w:rPr>
          <w:rFonts w:hint="eastAsia" w:asciiTheme="minorEastAsia" w:hAnsiTheme="minorEastAsia" w:eastAsiaTheme="minorEastAsia" w:cstheme="minorEastAsia"/>
          <w:b/>
          <w:sz w:val="36"/>
          <w:szCs w:val="36"/>
          <w:highlight w:val="none"/>
        </w:rPr>
      </w:pPr>
    </w:p>
    <w:p w14:paraId="79DE5A60">
      <w:pPr>
        <w:spacing w:line="360" w:lineRule="auto"/>
        <w:jc w:val="center"/>
        <w:rPr>
          <w:rFonts w:ascii="宋体" w:hAnsi="宋体" w:cs="宋体"/>
          <w:color w:val="auto"/>
          <w:sz w:val="24"/>
          <w:szCs w:val="21"/>
          <w:highlight w:val="none"/>
        </w:rPr>
      </w:pPr>
      <w:r>
        <w:rPr>
          <w:color w:val="auto"/>
          <w:highlight w:val="none"/>
        </w:rPr>
        <w:drawing>
          <wp:inline distT="0" distB="0" distL="0" distR="0">
            <wp:extent cx="2734945" cy="5634990"/>
            <wp:effectExtent l="0" t="0" r="8255" b="3810"/>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8"/>
                    <a:srcRect t="4825"/>
                    <a:stretch>
                      <a:fillRect/>
                    </a:stretch>
                  </pic:blipFill>
                  <pic:spPr>
                    <a:xfrm>
                      <a:off x="0" y="0"/>
                      <a:ext cx="2734945" cy="5634990"/>
                    </a:xfrm>
                    <a:prstGeom prst="rect">
                      <a:avLst/>
                    </a:prstGeom>
                    <a:noFill/>
                    <a:ln>
                      <a:noFill/>
                      <a:miter/>
                    </a:ln>
                  </pic:spPr>
                </pic:pic>
              </a:graphicData>
            </a:graphic>
          </wp:inline>
        </w:drawing>
      </w:r>
    </w:p>
    <w:p w14:paraId="4EDB1B97">
      <w:pPr>
        <w:widowControl/>
        <w:spacing w:before="100" w:beforeAutospacing="1" w:afterAutospacing="1" w:line="450" w:lineRule="atLeast"/>
        <w:ind w:right="480"/>
        <w:rPr>
          <w:rFonts w:ascii="宋体" w:hAnsi="宋体" w:cs="宋体"/>
          <w:color w:val="auto"/>
          <w:sz w:val="24"/>
          <w:highlight w:val="none"/>
        </w:rPr>
      </w:pPr>
    </w:p>
    <w:p w14:paraId="5F11CF8A">
      <w:pPr>
        <w:jc w:val="center"/>
        <w:rPr>
          <w:rFonts w:ascii="宋体" w:hAnsi="宋体" w:cs="宋体"/>
          <w:b/>
          <w:color w:val="auto"/>
          <w:sz w:val="36"/>
          <w:szCs w:val="36"/>
          <w:highlight w:val="none"/>
        </w:rPr>
      </w:pPr>
      <w:r>
        <w:rPr>
          <w:rFonts w:hint="eastAsia" w:ascii="宋体" w:hAnsi="宋体" w:cs="宋体"/>
          <w:color w:val="auto"/>
          <w:sz w:val="36"/>
          <w:szCs w:val="36"/>
          <w:highlight w:val="none"/>
        </w:rPr>
        <w:br w:type="page" w:clear="all"/>
      </w:r>
      <w:r>
        <w:rPr>
          <w:rFonts w:hint="eastAsia" w:ascii="宋体" w:hAnsi="宋体" w:cs="宋体"/>
          <w:b/>
          <w:bCs/>
          <w:color w:val="auto"/>
          <w:sz w:val="36"/>
          <w:szCs w:val="36"/>
          <w:highlight w:val="none"/>
          <w:lang w:val="en-US" w:eastAsia="zh-CN"/>
        </w:rPr>
        <w:t>10</w:t>
      </w:r>
      <w:r>
        <w:rPr>
          <w:rFonts w:hint="eastAsia" w:ascii="宋体" w:hAnsi="宋体" w:cs="宋体"/>
          <w:b/>
          <w:bCs/>
          <w:color w:val="auto"/>
          <w:sz w:val="36"/>
          <w:szCs w:val="36"/>
          <w:highlight w:val="none"/>
        </w:rPr>
        <w:t>、</w:t>
      </w:r>
      <w:r>
        <w:rPr>
          <w:rFonts w:hint="eastAsia" w:ascii="宋体" w:hAnsi="宋体" w:cs="宋体"/>
          <w:b/>
          <w:color w:val="auto"/>
          <w:sz w:val="36"/>
          <w:szCs w:val="36"/>
          <w:highlight w:val="none"/>
        </w:rPr>
        <w:t>供应商参加政府采购活动前3年内在经营活动中没有重大违法记录的书面声明</w:t>
      </w:r>
    </w:p>
    <w:p w14:paraId="32112B8B">
      <w:pPr>
        <w:widowControl/>
        <w:spacing w:before="100" w:beforeAutospacing="1" w:after="100" w:afterAutospacing="1"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我单位在参加</w:t>
      </w:r>
      <w:r>
        <w:rPr>
          <w:rFonts w:hint="eastAsia" w:ascii="宋体" w:hAnsi="宋体" w:cs="宋体"/>
          <w:color w:val="auto"/>
          <w:sz w:val="24"/>
          <w:highlight w:val="none"/>
          <w:u w:val="single"/>
          <w:lang w:eastAsia="zh-CN"/>
        </w:rPr>
        <w:t>大彭镇2025-2027年农村垃圾分类运营服务项目</w:t>
      </w: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JSZC-320312-BZDL-C2025-0058</w:t>
      </w:r>
      <w:r>
        <w:rPr>
          <w:rFonts w:hint="eastAsia" w:ascii="宋体" w:hAnsi="宋体" w:cs="宋体"/>
          <w:color w:val="auto"/>
          <w:sz w:val="24"/>
          <w:highlight w:val="none"/>
        </w:rPr>
        <w:t>）政府采购活动前3年内在经营活动中没有重大违法记录。重大违法记录是指因违法经营受到刑事处罚或者责令停产停业、吊销许可证或者执照、较大数额罚款等行政处罚。</w:t>
      </w:r>
    </w:p>
    <w:p w14:paraId="45A0DA54">
      <w:pPr>
        <w:widowControl/>
        <w:spacing w:before="100" w:beforeAutospacing="1" w:after="100" w:afterAutospacing="1"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我单位对上述声明的真实性负责。如有虚假，将依法承担相应责任。</w:t>
      </w:r>
    </w:p>
    <w:p w14:paraId="73F91B7B">
      <w:pPr>
        <w:ind w:right="29"/>
        <w:rPr>
          <w:rFonts w:ascii="宋体" w:hAnsi="宋体" w:cs="宋体"/>
          <w:color w:val="auto"/>
          <w:sz w:val="24"/>
          <w:highlight w:val="none"/>
        </w:rPr>
      </w:pPr>
    </w:p>
    <w:p w14:paraId="0177936E">
      <w:pPr>
        <w:ind w:right="29"/>
        <w:rPr>
          <w:rFonts w:ascii="宋体" w:hAnsi="宋体" w:cs="宋体"/>
          <w:color w:val="auto"/>
          <w:sz w:val="24"/>
          <w:highlight w:val="none"/>
        </w:rPr>
      </w:pPr>
    </w:p>
    <w:p w14:paraId="4EB67EC0">
      <w:pPr>
        <w:spacing w:line="360" w:lineRule="auto"/>
        <w:ind w:right="29"/>
        <w:rPr>
          <w:rFonts w:ascii="宋体" w:hAnsi="宋体" w:cs="宋体"/>
          <w:color w:val="auto"/>
          <w:sz w:val="24"/>
          <w:highlight w:val="none"/>
        </w:rPr>
      </w:pPr>
      <w:r>
        <w:rPr>
          <w:rFonts w:hint="eastAsia" w:ascii="宋体" w:hAnsi="宋体" w:cs="宋体"/>
          <w:color w:val="auto"/>
          <w:sz w:val="24"/>
          <w:highlight w:val="none"/>
        </w:rPr>
        <w:t xml:space="preserve">                           供应商（电子签章）：</w:t>
      </w:r>
    </w:p>
    <w:p w14:paraId="60FE87D6">
      <w:pPr>
        <w:spacing w:line="360" w:lineRule="auto"/>
        <w:ind w:right="29"/>
        <w:rPr>
          <w:rFonts w:ascii="宋体" w:hAnsi="宋体" w:cs="宋体"/>
          <w:color w:val="auto"/>
          <w:sz w:val="24"/>
          <w:highlight w:val="none"/>
        </w:rPr>
      </w:pPr>
      <w:r>
        <w:rPr>
          <w:rFonts w:hint="eastAsia" w:ascii="宋体" w:hAnsi="宋体" w:cs="宋体"/>
          <w:color w:val="auto"/>
          <w:sz w:val="24"/>
          <w:highlight w:val="none"/>
        </w:rPr>
        <w:t xml:space="preserve">                           法定代表人（负责人)或授权代表（签字或盖章）：  </w:t>
      </w:r>
    </w:p>
    <w:p w14:paraId="69D120B3">
      <w:pPr>
        <w:spacing w:line="360" w:lineRule="auto"/>
        <w:ind w:right="29"/>
        <w:rPr>
          <w:rFonts w:ascii="宋体" w:hAnsi="宋体" w:cs="宋体"/>
          <w:color w:val="auto"/>
          <w:sz w:val="24"/>
          <w:highlight w:val="none"/>
        </w:rPr>
      </w:pPr>
      <w:r>
        <w:rPr>
          <w:rFonts w:hint="eastAsia" w:ascii="宋体" w:hAnsi="宋体" w:cs="宋体"/>
          <w:color w:val="auto"/>
          <w:sz w:val="24"/>
          <w:highlight w:val="none"/>
        </w:rPr>
        <w:t xml:space="preserve">                           日期：</w:t>
      </w:r>
    </w:p>
    <w:p w14:paraId="7491F8ED">
      <w:pPr>
        <w:pStyle w:val="46"/>
        <w:spacing w:before="0" w:beforeAutospacing="0" w:after="0" w:afterAutospacing="0" w:line="360" w:lineRule="auto"/>
        <w:ind w:left="239" w:firstLine="2640"/>
        <w:rPr>
          <w:rFonts w:cs="宋体"/>
          <w:color w:val="auto"/>
          <w:highlight w:val="none"/>
        </w:rPr>
      </w:pPr>
    </w:p>
    <w:p w14:paraId="688EAEC5">
      <w:pPr>
        <w:pStyle w:val="46"/>
        <w:ind w:left="239" w:firstLine="2640"/>
        <w:rPr>
          <w:rFonts w:cs="宋体"/>
          <w:color w:val="auto"/>
          <w:highlight w:val="none"/>
        </w:rPr>
      </w:pPr>
    </w:p>
    <w:p w14:paraId="5036609B">
      <w:pPr>
        <w:pStyle w:val="46"/>
        <w:ind w:left="239" w:firstLine="2640"/>
        <w:rPr>
          <w:rFonts w:cs="宋体"/>
          <w:color w:val="auto"/>
          <w:highlight w:val="none"/>
        </w:rPr>
      </w:pPr>
    </w:p>
    <w:p w14:paraId="68E5D819">
      <w:pPr>
        <w:pStyle w:val="46"/>
        <w:ind w:left="239" w:firstLine="2640"/>
        <w:rPr>
          <w:rFonts w:cs="宋体"/>
          <w:color w:val="auto"/>
          <w:highlight w:val="none"/>
        </w:rPr>
      </w:pPr>
    </w:p>
    <w:p w14:paraId="6E086A24">
      <w:pPr>
        <w:pStyle w:val="46"/>
        <w:ind w:left="239" w:firstLine="2640"/>
        <w:rPr>
          <w:rFonts w:cs="宋体"/>
          <w:color w:val="auto"/>
          <w:highlight w:val="none"/>
        </w:rPr>
      </w:pPr>
    </w:p>
    <w:p w14:paraId="77B301E9">
      <w:pPr>
        <w:pStyle w:val="46"/>
        <w:ind w:left="239" w:firstLine="2640"/>
        <w:rPr>
          <w:rFonts w:cs="宋体"/>
          <w:color w:val="auto"/>
          <w:highlight w:val="none"/>
        </w:rPr>
      </w:pPr>
    </w:p>
    <w:p w14:paraId="6305E642">
      <w:pPr>
        <w:pStyle w:val="46"/>
        <w:ind w:left="239" w:firstLine="2640"/>
        <w:rPr>
          <w:rFonts w:cs="宋体"/>
          <w:color w:val="auto"/>
          <w:highlight w:val="none"/>
        </w:rPr>
      </w:pPr>
    </w:p>
    <w:p w14:paraId="4B9F355B">
      <w:pPr>
        <w:pStyle w:val="46"/>
        <w:ind w:left="239" w:firstLine="2640"/>
        <w:rPr>
          <w:rFonts w:cs="宋体"/>
          <w:color w:val="auto"/>
          <w:highlight w:val="none"/>
        </w:rPr>
      </w:pPr>
    </w:p>
    <w:p w14:paraId="76B5A888">
      <w:pPr>
        <w:jc w:val="center"/>
        <w:rPr>
          <w:rFonts w:ascii="宋体" w:hAnsi="宋体" w:cs="宋体"/>
          <w:color w:val="auto"/>
          <w:sz w:val="36"/>
          <w:szCs w:val="36"/>
          <w:highlight w:val="none"/>
        </w:rPr>
        <w:sectPr>
          <w:pgSz w:w="11906" w:h="16838"/>
          <w:pgMar w:top="1440" w:right="1213" w:bottom="1440" w:left="1327" w:header="851" w:footer="992" w:gutter="0"/>
          <w:cols w:space="720" w:num="1"/>
          <w:titlePg/>
          <w:docGrid w:linePitch="360" w:charSpace="0"/>
        </w:sectPr>
      </w:pPr>
    </w:p>
    <w:p w14:paraId="7A7EFC06">
      <w:pPr>
        <w:ind w:left="840"/>
        <w:rPr>
          <w:rFonts w:ascii="宋体" w:hAnsi="宋体" w:cs="宋体"/>
          <w:b/>
          <w:color w:val="auto"/>
          <w:sz w:val="36"/>
          <w:szCs w:val="36"/>
          <w:highlight w:val="none"/>
        </w:rPr>
      </w:pPr>
      <w:r>
        <w:rPr>
          <w:rFonts w:hint="eastAsia" w:ascii="宋体" w:hAnsi="宋体" w:cs="宋体"/>
          <w:b/>
          <w:color w:val="auto"/>
          <w:sz w:val="36"/>
          <w:szCs w:val="36"/>
          <w:highlight w:val="none"/>
        </w:rPr>
        <w:t>1</w:t>
      </w:r>
      <w:r>
        <w:rPr>
          <w:rFonts w:hint="eastAsia" w:ascii="宋体" w:hAnsi="宋体" w:cs="宋体"/>
          <w:b/>
          <w:color w:val="auto"/>
          <w:sz w:val="36"/>
          <w:szCs w:val="36"/>
          <w:highlight w:val="none"/>
          <w:lang w:val="en-US" w:eastAsia="zh-CN"/>
        </w:rPr>
        <w:t>1</w:t>
      </w:r>
      <w:r>
        <w:rPr>
          <w:rFonts w:hint="eastAsia" w:ascii="宋体" w:hAnsi="宋体" w:cs="宋体"/>
          <w:b/>
          <w:color w:val="auto"/>
          <w:sz w:val="36"/>
          <w:szCs w:val="36"/>
          <w:highlight w:val="none"/>
        </w:rPr>
        <w:t>、具备履行合同所必需的设备和专业技术能力的</w:t>
      </w:r>
    </w:p>
    <w:p w14:paraId="3C1F94C7">
      <w:pPr>
        <w:jc w:val="center"/>
        <w:rPr>
          <w:rFonts w:ascii="宋体" w:hAnsi="宋体" w:cs="宋体"/>
          <w:b/>
          <w:color w:val="auto"/>
          <w:sz w:val="36"/>
          <w:szCs w:val="36"/>
          <w:highlight w:val="none"/>
        </w:rPr>
      </w:pPr>
      <w:r>
        <w:rPr>
          <w:rFonts w:hint="eastAsia" w:ascii="宋体" w:hAnsi="宋体" w:cs="宋体"/>
          <w:b/>
          <w:color w:val="auto"/>
          <w:sz w:val="36"/>
          <w:szCs w:val="36"/>
          <w:highlight w:val="none"/>
        </w:rPr>
        <w:t>书面声明</w:t>
      </w:r>
    </w:p>
    <w:p w14:paraId="7220CFC4">
      <w:pPr>
        <w:spacing w:line="360" w:lineRule="auto"/>
        <w:ind w:firstLine="480"/>
        <w:rPr>
          <w:rFonts w:ascii="宋体" w:hAnsi="宋体" w:cs="宋体"/>
          <w:color w:val="auto"/>
          <w:sz w:val="24"/>
          <w:highlight w:val="none"/>
        </w:rPr>
      </w:pPr>
    </w:p>
    <w:p w14:paraId="5FFD6C98">
      <w:pPr>
        <w:spacing w:line="480" w:lineRule="exact"/>
        <w:ind w:firstLine="480"/>
        <w:rPr>
          <w:rFonts w:hint="eastAsia" w:ascii="宋体" w:hAnsi="宋体" w:eastAsia="宋体" w:cs="宋体"/>
          <w:highlight w:val="none"/>
        </w:rPr>
      </w:pPr>
      <w:r>
        <w:rPr>
          <w:rFonts w:hint="eastAsia" w:ascii="宋体" w:hAnsi="宋体" w:eastAsia="宋体" w:cs="宋体"/>
          <w:highlight w:val="none"/>
        </w:rPr>
        <w:t>项目编号：</w:t>
      </w:r>
      <w:r>
        <w:rPr>
          <w:rFonts w:hint="eastAsia" w:ascii="宋体" w:hAnsi="宋体" w:cs="宋体"/>
          <w:highlight w:val="none"/>
          <w:lang w:eastAsia="zh-CN"/>
        </w:rPr>
        <w:t>JSZC-320312-BZDL-C2025-0058</w:t>
      </w:r>
      <w:r>
        <w:rPr>
          <w:rFonts w:hint="eastAsia" w:ascii="宋体" w:hAnsi="宋体" w:eastAsia="宋体" w:cs="宋体"/>
          <w:highlight w:val="none"/>
        </w:rPr>
        <w:t xml:space="preserve">                                         </w:t>
      </w:r>
    </w:p>
    <w:p w14:paraId="6BD55542">
      <w:pPr>
        <w:spacing w:line="480" w:lineRule="exact"/>
        <w:ind w:firstLine="480"/>
        <w:rPr>
          <w:rFonts w:hint="eastAsia" w:ascii="宋体" w:hAnsi="宋体" w:eastAsia="宋体" w:cs="宋体"/>
          <w:highlight w:val="none"/>
        </w:rPr>
      </w:pPr>
      <w:r>
        <w:rPr>
          <w:rFonts w:hint="eastAsia" w:ascii="宋体" w:hAnsi="宋体" w:eastAsia="宋体" w:cs="宋体"/>
          <w:highlight w:val="none"/>
        </w:rPr>
        <w:t>项目名称：</w:t>
      </w:r>
      <w:r>
        <w:rPr>
          <w:rFonts w:hint="eastAsia" w:ascii="宋体" w:hAnsi="宋体" w:cs="宋体"/>
          <w:highlight w:val="none"/>
          <w:lang w:eastAsia="zh-CN"/>
        </w:rPr>
        <w:t>大彭镇2025-2027年农村垃圾分类运营服务项目</w:t>
      </w:r>
      <w:r>
        <w:rPr>
          <w:rFonts w:hint="eastAsia" w:ascii="宋体" w:hAnsi="宋体" w:eastAsia="宋体" w:cs="宋体"/>
          <w:highlight w:val="none"/>
        </w:rPr>
        <w:t>供应商郑重声明：供应商具备履行合同（项目名称：</w:t>
      </w:r>
      <w:r>
        <w:rPr>
          <w:rFonts w:hint="eastAsia" w:ascii="宋体" w:hAnsi="宋体" w:cs="宋体"/>
          <w:highlight w:val="none"/>
          <w:lang w:eastAsia="zh-CN"/>
        </w:rPr>
        <w:t>大彭镇2025-2027年农村垃圾分类运营服务项目</w:t>
      </w:r>
      <w:r>
        <w:rPr>
          <w:rFonts w:hint="eastAsia" w:ascii="宋体" w:hAnsi="宋体" w:eastAsia="宋体" w:cs="宋体"/>
          <w:highlight w:val="none"/>
        </w:rPr>
        <w:t>），项目编号：</w:t>
      </w:r>
      <w:r>
        <w:rPr>
          <w:rFonts w:hint="eastAsia" w:ascii="宋体" w:hAnsi="宋体" w:cs="宋体"/>
          <w:highlight w:val="none"/>
          <w:lang w:eastAsia="zh-CN"/>
        </w:rPr>
        <w:t>JSZC-320312-BZDL-C2025-0058</w:t>
      </w:r>
      <w:r>
        <w:rPr>
          <w:rFonts w:hint="eastAsia" w:ascii="宋体" w:hAnsi="宋体" w:eastAsia="宋体" w:cs="宋体"/>
          <w:highlight w:val="none"/>
        </w:rPr>
        <w:t>）所必需的设备和专业技术能力，具体为：</w:t>
      </w:r>
      <w:r>
        <w:rPr>
          <w:rFonts w:hint="eastAsia" w:ascii="宋体" w:hAnsi="宋体" w:eastAsia="宋体" w:cs="宋体"/>
          <w:highlight w:val="none"/>
          <w:lang w:val="en-US" w:eastAsia="zh-CN"/>
        </w:rPr>
        <w:t xml:space="preserve"> </w:t>
      </w:r>
    </w:p>
    <w:p w14:paraId="685942E8">
      <w:pPr>
        <w:spacing w:line="480" w:lineRule="exact"/>
        <w:ind w:firstLine="480"/>
        <w:rPr>
          <w:rFonts w:hint="eastAsia" w:ascii="宋体" w:hAnsi="宋体" w:eastAsia="宋体" w:cs="宋体"/>
          <w:highlight w:val="none"/>
        </w:rPr>
      </w:pPr>
      <w:r>
        <w:rPr>
          <w:rFonts w:hint="eastAsia" w:ascii="宋体" w:hAnsi="宋体" w:eastAsia="宋体" w:cs="宋体"/>
          <w:highlight w:val="none"/>
        </w:rPr>
        <w:t>设备：</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若为自有设备，需提供设备</w:t>
      </w:r>
      <w:r>
        <w:rPr>
          <w:rFonts w:hint="eastAsia" w:ascii="宋体" w:hAnsi="宋体" w:cs="宋体"/>
          <w:highlight w:val="none"/>
          <w:lang w:val="en-US" w:eastAsia="zh-CN"/>
        </w:rPr>
        <w:t>购买</w:t>
      </w:r>
      <w:r>
        <w:rPr>
          <w:rFonts w:hint="eastAsia" w:ascii="宋体" w:hAnsi="宋体" w:eastAsia="宋体" w:cs="宋体"/>
          <w:highlight w:val="none"/>
          <w:lang w:val="en-US" w:eastAsia="zh-CN"/>
        </w:rPr>
        <w:t>发票；若为租赁设备，需提供</w:t>
      </w:r>
      <w:r>
        <w:rPr>
          <w:rFonts w:hint="eastAsia" w:ascii="宋体" w:hAnsi="宋体" w:cs="宋体"/>
          <w:highlight w:val="none"/>
          <w:lang w:val="en-US" w:eastAsia="zh-CN"/>
        </w:rPr>
        <w:t>设备</w:t>
      </w:r>
      <w:r>
        <w:rPr>
          <w:rFonts w:hint="eastAsia" w:ascii="宋体" w:hAnsi="宋体" w:eastAsia="宋体" w:cs="宋体"/>
          <w:highlight w:val="none"/>
          <w:lang w:val="en-US" w:eastAsia="zh-CN"/>
        </w:rPr>
        <w:t>租赁协议；若为承诺</w:t>
      </w:r>
      <w:r>
        <w:rPr>
          <w:rFonts w:hint="eastAsia" w:ascii="宋体" w:hAnsi="宋体" w:cs="宋体"/>
          <w:highlight w:val="none"/>
          <w:lang w:val="en-US" w:eastAsia="zh-CN"/>
        </w:rPr>
        <w:t>成交</w:t>
      </w:r>
      <w:r>
        <w:rPr>
          <w:rFonts w:hint="eastAsia" w:ascii="宋体" w:hAnsi="宋体" w:eastAsia="宋体" w:cs="宋体"/>
          <w:highlight w:val="none"/>
          <w:lang w:val="en-US" w:eastAsia="zh-CN"/>
        </w:rPr>
        <w:t>后购买，需提供</w:t>
      </w:r>
      <w:r>
        <w:rPr>
          <w:rFonts w:hint="eastAsia" w:ascii="宋体" w:hAnsi="宋体" w:cs="宋体"/>
          <w:highlight w:val="none"/>
          <w:lang w:val="en-US" w:eastAsia="zh-CN"/>
        </w:rPr>
        <w:t>成交后购买的</w:t>
      </w:r>
      <w:r>
        <w:rPr>
          <w:rFonts w:hint="eastAsia" w:ascii="宋体" w:hAnsi="宋体" w:eastAsia="宋体" w:cs="宋体"/>
          <w:highlight w:val="none"/>
          <w:lang w:val="en-US" w:eastAsia="zh-CN"/>
        </w:rPr>
        <w:t>承诺书）</w:t>
      </w:r>
      <w:r>
        <w:rPr>
          <w:rFonts w:hint="eastAsia" w:ascii="宋体" w:hAnsi="宋体" w:cs="宋体"/>
          <w:highlight w:val="none"/>
          <w:lang w:val="en-US" w:eastAsia="zh-CN"/>
        </w:rPr>
        <w:t>。</w:t>
      </w:r>
    </w:p>
    <w:p w14:paraId="5238E49F">
      <w:pPr>
        <w:numPr>
          <w:ilvl w:val="0"/>
          <w:numId w:val="12"/>
        </w:numPr>
        <w:spacing w:line="480" w:lineRule="exact"/>
        <w:ind w:firstLine="480"/>
        <w:rPr>
          <w:rFonts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rPr>
        <w:t>（证明材料复印件附后）</w:t>
      </w:r>
    </w:p>
    <w:p w14:paraId="51C3C236">
      <w:pPr>
        <w:spacing w:line="480" w:lineRule="exact"/>
        <w:ind w:firstLine="480"/>
        <w:rPr>
          <w:rFonts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u w:val="single"/>
        </w:rPr>
        <w:t xml:space="preserve">                           </w:t>
      </w:r>
      <w:r>
        <w:rPr>
          <w:rFonts w:hint="eastAsia" w:ascii="宋体" w:hAnsi="宋体" w:eastAsia="宋体" w:cs="宋体"/>
          <w:highlight w:val="none"/>
        </w:rPr>
        <w:t>（证明材料复印件附后）</w:t>
      </w:r>
    </w:p>
    <w:p w14:paraId="5E8DAB71">
      <w:pPr>
        <w:spacing w:line="480" w:lineRule="exact"/>
        <w:ind w:firstLine="480"/>
        <w:rPr>
          <w:rFonts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（证明材料复印件附后）</w:t>
      </w:r>
    </w:p>
    <w:p w14:paraId="4D799124">
      <w:pPr>
        <w:spacing w:line="480" w:lineRule="exact"/>
        <w:ind w:firstLine="480"/>
        <w:rPr>
          <w:rFonts w:ascii="宋体" w:hAnsi="宋体" w:eastAsia="宋体" w:cs="宋体"/>
          <w:highlight w:val="none"/>
        </w:rPr>
      </w:pPr>
      <w:r>
        <w:rPr>
          <w:rFonts w:hint="eastAsia" w:ascii="宋体" w:hAnsi="宋体" w:eastAsia="宋体" w:cs="宋体"/>
          <w:highlight w:val="none"/>
        </w:rPr>
        <w:t>…………</w:t>
      </w:r>
    </w:p>
    <w:p w14:paraId="717663C5">
      <w:pPr>
        <w:spacing w:line="480" w:lineRule="exact"/>
        <w:ind w:firstLine="480"/>
        <w:rPr>
          <w:rFonts w:hint="default" w:ascii="宋体" w:hAnsi="宋体" w:eastAsia="宋体" w:cs="宋体"/>
          <w:highlight w:val="none"/>
        </w:rPr>
      </w:pPr>
      <w:r>
        <w:rPr>
          <w:rFonts w:hint="eastAsia" w:ascii="宋体" w:hAnsi="宋体" w:eastAsia="宋体" w:cs="宋体"/>
          <w:highlight w:val="none"/>
        </w:rPr>
        <w:t>专业技术能力：</w:t>
      </w:r>
      <w:r>
        <w:rPr>
          <w:rFonts w:hint="eastAsia" w:ascii="宋体" w:hAnsi="宋体" w:cs="宋体"/>
          <w:highlight w:val="none"/>
          <w:lang w:eastAsia="zh-CN"/>
        </w:rPr>
        <w:t>（</w:t>
      </w:r>
      <w:r>
        <w:rPr>
          <w:rFonts w:hint="eastAsia" w:ascii="宋体" w:hAnsi="宋体" w:cs="宋体"/>
          <w:highlight w:val="none"/>
          <w:lang w:val="en-US" w:eastAsia="zh-CN"/>
        </w:rPr>
        <w:t>提供至少1名为本项目服务的项目经理的学历证书复印件或承诺函（格式自拟）。</w:t>
      </w:r>
    </w:p>
    <w:p w14:paraId="48F9A8A6">
      <w:pPr>
        <w:spacing w:line="480" w:lineRule="exact"/>
        <w:ind w:firstLine="480"/>
        <w:rPr>
          <w:rFonts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（证明材料复印件附后）</w:t>
      </w:r>
    </w:p>
    <w:p w14:paraId="6DCDCE28">
      <w:pPr>
        <w:spacing w:line="480" w:lineRule="exact"/>
        <w:ind w:firstLine="480"/>
        <w:rPr>
          <w:rFonts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（证明材料复印件附后）</w:t>
      </w:r>
    </w:p>
    <w:p w14:paraId="66EC290D">
      <w:pPr>
        <w:spacing w:line="480" w:lineRule="exact"/>
        <w:ind w:firstLine="480"/>
        <w:rPr>
          <w:rFonts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（证明材料复印件附后）</w:t>
      </w:r>
    </w:p>
    <w:p w14:paraId="6D51474A">
      <w:pPr>
        <w:spacing w:line="480" w:lineRule="exact"/>
        <w:ind w:firstLine="480"/>
        <w:rPr>
          <w:rFonts w:ascii="宋体" w:hAnsi="宋体" w:eastAsia="宋体" w:cs="宋体"/>
          <w:highlight w:val="none"/>
        </w:rPr>
      </w:pPr>
      <w:r>
        <w:rPr>
          <w:rFonts w:hint="eastAsia" w:ascii="宋体" w:hAnsi="宋体" w:eastAsia="宋体" w:cs="宋体"/>
          <w:highlight w:val="none"/>
        </w:rPr>
        <w:t>…………</w:t>
      </w:r>
    </w:p>
    <w:p w14:paraId="2742925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特此声明。</w:t>
      </w:r>
    </w:p>
    <w:p w14:paraId="238F7E8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供应商对上述声明的真实性负责。如有虚假，将依法承担相应责任。</w:t>
      </w:r>
    </w:p>
    <w:p w14:paraId="5A6F9056">
      <w:pPr>
        <w:spacing w:line="360" w:lineRule="auto"/>
        <w:rPr>
          <w:rFonts w:ascii="宋体" w:hAnsi="宋体" w:cs="宋体"/>
          <w:color w:val="auto"/>
          <w:sz w:val="24"/>
          <w:highlight w:val="none"/>
        </w:rPr>
      </w:pPr>
    </w:p>
    <w:p w14:paraId="2376B944">
      <w:pPr>
        <w:spacing w:line="300" w:lineRule="auto"/>
        <w:ind w:firstLine="3600"/>
        <w:rPr>
          <w:rFonts w:ascii="宋体" w:hAnsi="宋体" w:cs="宋体"/>
          <w:color w:val="auto"/>
          <w:sz w:val="24"/>
          <w:highlight w:val="none"/>
        </w:rPr>
      </w:pPr>
      <w:r>
        <w:rPr>
          <w:rFonts w:hint="eastAsia" w:ascii="宋体" w:hAnsi="宋体" w:cs="宋体"/>
          <w:color w:val="auto"/>
          <w:sz w:val="24"/>
          <w:highlight w:val="none"/>
        </w:rPr>
        <w:t>供应商：（盖单位公章）</w:t>
      </w:r>
    </w:p>
    <w:p w14:paraId="34844521">
      <w:pPr>
        <w:spacing w:line="300" w:lineRule="auto"/>
        <w:ind w:firstLine="3600"/>
        <w:rPr>
          <w:rFonts w:ascii="宋体" w:hAnsi="宋体" w:cs="宋体"/>
          <w:color w:val="auto"/>
          <w:sz w:val="24"/>
          <w:highlight w:val="none"/>
        </w:rPr>
      </w:pPr>
    </w:p>
    <w:p w14:paraId="34509216">
      <w:pPr>
        <w:spacing w:line="300" w:lineRule="auto"/>
        <w:ind w:firstLine="3600"/>
        <w:rPr>
          <w:rFonts w:ascii="宋体" w:hAnsi="宋体" w:cs="宋体"/>
          <w:color w:val="auto"/>
          <w:sz w:val="24"/>
          <w:highlight w:val="none"/>
        </w:rPr>
      </w:pPr>
      <w:r>
        <w:rPr>
          <w:rFonts w:hint="eastAsia" w:ascii="宋体" w:hAnsi="宋体" w:cs="宋体"/>
          <w:color w:val="auto"/>
          <w:sz w:val="24"/>
          <w:highlight w:val="none"/>
        </w:rPr>
        <w:t xml:space="preserve">供应商授权代表：（签字或盖章）  </w:t>
      </w:r>
    </w:p>
    <w:p w14:paraId="6F7A5DE6">
      <w:pPr>
        <w:spacing w:line="300" w:lineRule="auto"/>
        <w:ind w:firstLine="3600"/>
        <w:rPr>
          <w:rFonts w:ascii="宋体" w:hAnsi="宋体" w:cs="宋体"/>
          <w:color w:val="auto"/>
          <w:sz w:val="24"/>
          <w:highlight w:val="none"/>
        </w:rPr>
      </w:pPr>
    </w:p>
    <w:p w14:paraId="24ED6B70">
      <w:pPr>
        <w:spacing w:line="300" w:lineRule="auto"/>
        <w:ind w:firstLine="3600"/>
        <w:rPr>
          <w:rFonts w:ascii="宋体" w:hAnsi="宋体" w:cs="宋体"/>
          <w:color w:val="auto"/>
          <w:highlight w:val="none"/>
        </w:rPr>
      </w:pPr>
      <w:r>
        <w:rPr>
          <w:rFonts w:hint="eastAsia" w:ascii="宋体" w:hAnsi="宋体" w:cs="宋体"/>
          <w:color w:val="auto"/>
          <w:sz w:val="24"/>
          <w:highlight w:val="none"/>
        </w:rPr>
        <w:t>日期：   年  月  日</w:t>
      </w:r>
    </w:p>
    <w:p w14:paraId="2E5B2548">
      <w:pPr>
        <w:spacing w:line="588"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br w:type="page" w:clear="all"/>
      </w:r>
      <w:bookmarkStart w:id="17" w:name="OLE_LINK14"/>
      <w:bookmarkStart w:id="18" w:name="OLE_LINK13"/>
      <w:r>
        <w:rPr>
          <w:rFonts w:hint="eastAsia" w:ascii="宋体" w:hAnsi="宋体" w:cs="宋体"/>
          <w:b/>
          <w:color w:val="auto"/>
          <w:sz w:val="36"/>
          <w:szCs w:val="36"/>
          <w:highlight w:val="none"/>
        </w:rPr>
        <w:t>1</w:t>
      </w:r>
      <w:r>
        <w:rPr>
          <w:rFonts w:hint="eastAsia" w:ascii="宋体" w:hAnsi="宋体" w:cs="宋体"/>
          <w:b/>
          <w:color w:val="auto"/>
          <w:sz w:val="36"/>
          <w:szCs w:val="36"/>
          <w:highlight w:val="none"/>
          <w:lang w:val="en-US" w:eastAsia="zh-CN"/>
        </w:rPr>
        <w:t>2</w:t>
      </w:r>
      <w:r>
        <w:rPr>
          <w:rFonts w:hint="eastAsia" w:ascii="宋体" w:hAnsi="宋体" w:cs="宋体"/>
          <w:b/>
          <w:color w:val="auto"/>
          <w:sz w:val="36"/>
          <w:szCs w:val="36"/>
          <w:highlight w:val="none"/>
        </w:rPr>
        <w:t>、</w:t>
      </w:r>
      <w:bookmarkStart w:id="19" w:name="_Hlk81985305"/>
      <w:r>
        <w:rPr>
          <w:rFonts w:hint="eastAsia" w:ascii="宋体" w:hAnsi="宋体" w:cs="宋体"/>
          <w:b/>
          <w:color w:val="auto"/>
          <w:sz w:val="36"/>
          <w:szCs w:val="36"/>
          <w:highlight w:val="none"/>
        </w:rPr>
        <w:t>残疾人福利性单位声明函</w:t>
      </w:r>
      <w:bookmarkEnd w:id="17"/>
      <w:bookmarkEnd w:id="18"/>
    </w:p>
    <w:p w14:paraId="550CB333">
      <w:pPr>
        <w:pStyle w:val="63"/>
        <w:spacing w:line="0" w:lineRule="atLeast"/>
        <w:jc w:val="center"/>
        <w:rPr>
          <w:rFonts w:ascii="宋体" w:hAnsi="宋体" w:cs="宋体"/>
          <w:color w:val="auto"/>
          <w:sz w:val="24"/>
          <w:highlight w:val="none"/>
        </w:rPr>
      </w:pPr>
      <w:r>
        <w:rPr>
          <w:rFonts w:hint="eastAsia" w:ascii="宋体" w:hAnsi="宋体" w:cs="宋体"/>
          <w:b/>
          <w:bCs/>
          <w:color w:val="auto"/>
          <w:sz w:val="24"/>
          <w:highlight w:val="none"/>
        </w:rPr>
        <w:t>（注：如供应商不属于残疾人福利性单位，不需提供此声明函）</w:t>
      </w:r>
    </w:p>
    <w:p w14:paraId="2DACCDFF">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JSZC-320312-BZDL-C2025-0058</w:t>
      </w:r>
      <w:r>
        <w:rPr>
          <w:rFonts w:hint="eastAsia" w:ascii="宋体" w:hAnsi="宋体" w:cs="宋体"/>
          <w:color w:val="auto"/>
          <w:sz w:val="24"/>
          <w:highlight w:val="none"/>
        </w:rPr>
        <w:t xml:space="preserve">                                          </w:t>
      </w:r>
    </w:p>
    <w:p w14:paraId="48F93182">
      <w:pPr>
        <w:spacing w:line="520" w:lineRule="exact"/>
        <w:ind w:firstLine="504"/>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C441DE4">
      <w:pPr>
        <w:spacing w:line="520" w:lineRule="exact"/>
        <w:ind w:firstLine="504"/>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1CE20052">
      <w:pPr>
        <w:spacing w:line="520" w:lineRule="exact"/>
        <w:ind w:firstLine="504"/>
        <w:rPr>
          <w:rFonts w:ascii="宋体" w:hAnsi="宋体" w:cs="宋体"/>
          <w:color w:val="auto"/>
          <w:spacing w:val="6"/>
          <w:sz w:val="24"/>
          <w:highlight w:val="none"/>
        </w:rPr>
      </w:pPr>
    </w:p>
    <w:p w14:paraId="1F347C2A">
      <w:pPr>
        <w:spacing w:line="520" w:lineRule="exact"/>
        <w:ind w:firstLine="504"/>
        <w:rPr>
          <w:rFonts w:ascii="宋体" w:hAnsi="宋体" w:cs="宋体"/>
          <w:color w:val="auto"/>
          <w:spacing w:val="6"/>
          <w:sz w:val="24"/>
          <w:highlight w:val="none"/>
        </w:rPr>
      </w:pPr>
    </w:p>
    <w:p w14:paraId="23123816">
      <w:pPr>
        <w:tabs>
          <w:tab w:val="left" w:pos="4860"/>
        </w:tabs>
        <w:spacing w:line="520" w:lineRule="exact"/>
        <w:ind w:right="1560" w:firstLine="504"/>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单位名称（电子签章）：</w:t>
      </w:r>
    </w:p>
    <w:p w14:paraId="39A3975D">
      <w:pPr>
        <w:tabs>
          <w:tab w:val="left" w:pos="4860"/>
        </w:tabs>
        <w:spacing w:line="520" w:lineRule="exact"/>
        <w:ind w:right="1560" w:firstLine="504"/>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日  期：</w:t>
      </w:r>
    </w:p>
    <w:p w14:paraId="2744A8B3">
      <w:pPr>
        <w:spacing w:line="520" w:lineRule="exact"/>
        <w:rPr>
          <w:rFonts w:ascii="宋体" w:hAnsi="宋体" w:cs="宋体"/>
          <w:color w:val="auto"/>
          <w:sz w:val="24"/>
          <w:highlight w:val="none"/>
        </w:rPr>
      </w:pPr>
    </w:p>
    <w:p w14:paraId="2393A04B">
      <w:pPr>
        <w:widowControl/>
        <w:spacing w:line="520" w:lineRule="exact"/>
        <w:jc w:val="left"/>
        <w:rPr>
          <w:rFonts w:ascii="宋体" w:hAnsi="宋体" w:cs="宋体"/>
          <w:color w:val="auto"/>
          <w:sz w:val="24"/>
          <w:highlight w:val="none"/>
        </w:rPr>
      </w:pPr>
      <w:r>
        <w:rPr>
          <w:rFonts w:hint="eastAsia" w:ascii="宋体" w:hAnsi="宋体" w:cs="宋体"/>
          <w:color w:val="auto"/>
          <w:sz w:val="24"/>
          <w:highlight w:val="none"/>
        </w:rPr>
        <w:t>说明：</w:t>
      </w:r>
    </w:p>
    <w:p w14:paraId="144C53BE">
      <w:pPr>
        <w:widowControl/>
        <w:spacing w:line="520" w:lineRule="exact"/>
        <w:ind w:firstLine="480"/>
        <w:jc w:val="left"/>
        <w:rPr>
          <w:rFonts w:ascii="宋体" w:hAnsi="宋体" w:cs="宋体"/>
          <w:color w:val="auto"/>
          <w:sz w:val="24"/>
          <w:highlight w:val="none"/>
        </w:rPr>
      </w:pPr>
      <w:r>
        <w:rPr>
          <w:rFonts w:hint="eastAsia" w:ascii="宋体" w:hAnsi="宋体" w:cs="宋体"/>
          <w:color w:val="auto"/>
          <w:sz w:val="24"/>
          <w:highlight w:val="none"/>
        </w:rPr>
        <w:t>中标、成交供应商为残疾人福利性单位的，采购人或者其委托的采购代理机构应当随中标、成交结果同时公告其《残疾人福利性单位声明函》，接受社会监督。</w:t>
      </w:r>
    </w:p>
    <w:p w14:paraId="435AD9D3">
      <w:pPr>
        <w:widowControl/>
        <w:spacing w:line="520" w:lineRule="exact"/>
        <w:ind w:firstLine="480"/>
        <w:jc w:val="left"/>
        <w:rPr>
          <w:rFonts w:ascii="宋体" w:hAnsi="宋体" w:cs="宋体"/>
          <w:color w:val="auto"/>
          <w:sz w:val="24"/>
          <w:highlight w:val="none"/>
        </w:rPr>
      </w:pPr>
      <w:r>
        <w:rPr>
          <w:rFonts w:hint="eastAsia" w:ascii="宋体" w:hAnsi="宋体" w:cs="宋体"/>
          <w:color w:val="auto"/>
          <w:sz w:val="24"/>
          <w:highlight w:val="none"/>
        </w:rPr>
        <w:t>供应商提供的《残疾人福利性单位声明函》与事实不符的，依照《政府采购法》第七十七条第一款的规定追究法律责任。</w:t>
      </w:r>
      <w:bookmarkEnd w:id="19"/>
    </w:p>
    <w:p w14:paraId="1DC45ECC">
      <w:pPr>
        <w:widowControl/>
        <w:ind w:firstLine="600"/>
        <w:jc w:val="left"/>
        <w:rPr>
          <w:rFonts w:ascii="宋体" w:hAnsi="宋体" w:cs="宋体"/>
          <w:color w:val="auto"/>
          <w:sz w:val="30"/>
          <w:szCs w:val="30"/>
          <w:highlight w:val="none"/>
        </w:rPr>
      </w:pPr>
    </w:p>
    <w:p w14:paraId="19CE8501">
      <w:pPr>
        <w:spacing w:line="360" w:lineRule="auto"/>
        <w:jc w:val="center"/>
        <w:rPr>
          <w:rFonts w:ascii="宋体" w:hAnsi="宋体" w:cs="宋体"/>
          <w:b/>
          <w:color w:val="auto"/>
          <w:sz w:val="36"/>
          <w:szCs w:val="36"/>
          <w:highlight w:val="none"/>
        </w:rPr>
      </w:pPr>
      <w:r>
        <w:rPr>
          <w:rFonts w:hint="eastAsia" w:ascii="宋体" w:hAnsi="宋体" w:cs="宋体"/>
          <w:color w:val="auto"/>
          <w:sz w:val="30"/>
          <w:szCs w:val="30"/>
          <w:highlight w:val="none"/>
        </w:rPr>
        <w:br w:type="page" w:clear="all"/>
      </w:r>
      <w:r>
        <w:rPr>
          <w:rFonts w:hint="eastAsia" w:ascii="宋体" w:hAnsi="宋体" w:cs="宋体"/>
          <w:b/>
          <w:color w:val="auto"/>
          <w:sz w:val="36"/>
          <w:szCs w:val="36"/>
          <w:highlight w:val="none"/>
        </w:rPr>
        <w:t>1</w:t>
      </w:r>
      <w:r>
        <w:rPr>
          <w:rFonts w:hint="eastAsia" w:ascii="宋体" w:hAnsi="宋体" w:cs="宋体"/>
          <w:b/>
          <w:color w:val="auto"/>
          <w:sz w:val="36"/>
          <w:szCs w:val="36"/>
          <w:highlight w:val="none"/>
          <w:lang w:val="en-US" w:eastAsia="zh-CN"/>
        </w:rPr>
        <w:t>3</w:t>
      </w:r>
      <w:r>
        <w:rPr>
          <w:rFonts w:hint="eastAsia" w:ascii="宋体" w:hAnsi="宋体" w:cs="宋体"/>
          <w:b/>
          <w:color w:val="auto"/>
          <w:sz w:val="36"/>
          <w:szCs w:val="36"/>
          <w:highlight w:val="none"/>
        </w:rPr>
        <w:t>、预付款保函支付条款模板</w:t>
      </w:r>
    </w:p>
    <w:p w14:paraId="182F01F7">
      <w:pPr>
        <w:pStyle w:val="20"/>
        <w:spacing w:line="360" w:lineRule="auto"/>
        <w:rPr>
          <w:rFonts w:ascii="宋体" w:hAnsi="宋体" w:cs="宋体"/>
          <w:color w:val="auto"/>
          <w:sz w:val="24"/>
          <w:highlight w:val="none"/>
        </w:rPr>
      </w:pPr>
    </w:p>
    <w:p w14:paraId="01031582">
      <w:pPr>
        <w:pStyle w:val="20"/>
        <w:spacing w:line="360" w:lineRule="auto"/>
        <w:ind w:firstLine="480"/>
        <w:rPr>
          <w:rFonts w:ascii="宋体" w:hAnsi="宋体" w:cs="宋体"/>
          <w:color w:val="auto"/>
          <w:sz w:val="24"/>
          <w:highlight w:val="none"/>
        </w:rPr>
      </w:pPr>
      <w:r>
        <w:rPr>
          <w:rFonts w:hint="eastAsia" w:ascii="宋体" w:hAnsi="宋体" w:cs="宋体"/>
          <w:color w:val="auto"/>
          <w:sz w:val="24"/>
          <w:highlight w:val="none"/>
        </w:rPr>
        <w:t>付款条件一：提交预付款保函的</w:t>
      </w:r>
    </w:p>
    <w:p w14:paraId="6F1387F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（1）合同签订且乙方向甲方出具预付款保函后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个工作日内，甲方应支付合同价款的百分之</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人民币。</w:t>
      </w:r>
    </w:p>
    <w:p w14:paraId="6C6F3D4C">
      <w:pPr>
        <w:pStyle w:val="20"/>
        <w:tabs>
          <w:tab w:val="left" w:pos="5508"/>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（2）验收合格后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个工作日内，甲方应支付合同价款的百分之</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人民币。</w:t>
      </w:r>
    </w:p>
    <w:p w14:paraId="1BB3F350">
      <w:pPr>
        <w:pStyle w:val="20"/>
        <w:spacing w:line="360" w:lineRule="auto"/>
        <w:ind w:firstLine="480"/>
        <w:rPr>
          <w:rFonts w:ascii="宋体" w:hAnsi="宋体" w:cs="宋体"/>
          <w:color w:val="auto"/>
          <w:sz w:val="24"/>
          <w:highlight w:val="none"/>
        </w:rPr>
      </w:pPr>
      <w:r>
        <w:rPr>
          <w:rFonts w:hint="eastAsia" w:ascii="宋体" w:hAnsi="宋体" w:cs="宋体"/>
          <w:color w:val="auto"/>
          <w:sz w:val="24"/>
          <w:highlight w:val="none"/>
        </w:rPr>
        <w:t>……</w:t>
      </w:r>
    </w:p>
    <w:p w14:paraId="276D0FE5">
      <w:pPr>
        <w:pStyle w:val="20"/>
        <w:spacing w:line="360" w:lineRule="auto"/>
        <w:ind w:firstLine="480"/>
        <w:rPr>
          <w:rFonts w:ascii="宋体" w:hAnsi="宋体" w:cs="宋体"/>
          <w:color w:val="auto"/>
          <w:sz w:val="24"/>
          <w:highlight w:val="none"/>
        </w:rPr>
      </w:pPr>
      <w:r>
        <w:rPr>
          <w:rFonts w:hint="eastAsia" w:ascii="宋体" w:hAnsi="宋体" w:cs="宋体"/>
          <w:color w:val="auto"/>
          <w:sz w:val="24"/>
          <w:highlight w:val="none"/>
        </w:rPr>
        <w:t>付款条件二： 不提交预付款保函的</w:t>
      </w:r>
    </w:p>
    <w:p w14:paraId="04E25E47">
      <w:pPr>
        <w:pStyle w:val="20"/>
        <w:tabs>
          <w:tab w:val="left" w:pos="2017"/>
          <w:tab w:val="left" w:pos="2468"/>
          <w:tab w:val="left" w:pos="4313"/>
          <w:tab w:val="left" w:pos="5811"/>
          <w:tab w:val="left" w:pos="9007"/>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（1）合同签订后</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个工作日内，甲方应支付合同价款的百分之</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人民币。</w:t>
      </w:r>
    </w:p>
    <w:p w14:paraId="4689FA14">
      <w:pPr>
        <w:pStyle w:val="20"/>
        <w:tabs>
          <w:tab w:val="left" w:pos="2151"/>
          <w:tab w:val="left" w:pos="4183"/>
          <w:tab w:val="left" w:pos="5500"/>
          <w:tab w:val="left" w:pos="8573"/>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（2）验收合格后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个工作日内，甲方应支付合同价款的百分之</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人民币。</w:t>
      </w:r>
    </w:p>
    <w:p w14:paraId="686022B4">
      <w:pPr>
        <w:pStyle w:val="20"/>
        <w:spacing w:line="360" w:lineRule="auto"/>
        <w:ind w:firstLine="480"/>
        <w:rPr>
          <w:rFonts w:ascii="宋体" w:hAnsi="宋体" w:cs="宋体"/>
          <w:color w:val="auto"/>
          <w:sz w:val="24"/>
          <w:highlight w:val="none"/>
        </w:rPr>
      </w:pPr>
    </w:p>
    <w:p w14:paraId="4D7AAEF5">
      <w:pPr>
        <w:pStyle w:val="20"/>
        <w:spacing w:line="360" w:lineRule="auto"/>
        <w:ind w:firstLine="480"/>
        <w:rPr>
          <w:rFonts w:ascii="宋体" w:hAnsi="宋体" w:cs="宋体"/>
          <w:color w:val="auto"/>
          <w:sz w:val="24"/>
          <w:highlight w:val="none"/>
        </w:rPr>
      </w:pPr>
    </w:p>
    <w:p w14:paraId="7DE66E8E">
      <w:pPr>
        <w:pStyle w:val="20"/>
        <w:spacing w:line="360" w:lineRule="auto"/>
        <w:ind w:firstLine="480"/>
        <w:rPr>
          <w:rFonts w:ascii="宋体" w:hAnsi="宋体" w:cs="宋体"/>
          <w:color w:val="auto"/>
          <w:sz w:val="24"/>
          <w:highlight w:val="none"/>
        </w:rPr>
      </w:pPr>
    </w:p>
    <w:p w14:paraId="079EBC6C">
      <w:pPr>
        <w:pStyle w:val="20"/>
        <w:spacing w:line="360" w:lineRule="auto"/>
        <w:ind w:firstLine="480"/>
        <w:rPr>
          <w:rFonts w:ascii="宋体" w:hAnsi="宋体" w:cs="宋体"/>
          <w:color w:val="auto"/>
          <w:sz w:val="24"/>
          <w:highlight w:val="none"/>
        </w:rPr>
      </w:pPr>
    </w:p>
    <w:p w14:paraId="1A2737A4">
      <w:pPr>
        <w:pStyle w:val="23"/>
        <w:rPr>
          <w:rFonts w:ascii="宋体" w:hAnsi="宋体" w:cs="宋体"/>
          <w:color w:val="auto"/>
          <w:szCs w:val="24"/>
          <w:highlight w:val="none"/>
        </w:rPr>
      </w:pPr>
      <w:r>
        <w:rPr>
          <w:rFonts w:hint="eastAsia" w:ascii="宋体" w:hAnsi="宋体" w:cs="宋体"/>
          <w:color w:val="auto"/>
          <w:szCs w:val="24"/>
          <w:highlight w:val="none"/>
        </w:rPr>
        <w:t>注：1、付款条件一中，出具预付款保函后支付的合同款应当与保函金额一致。</w:t>
      </w:r>
    </w:p>
    <w:p w14:paraId="2A7F79A6">
      <w:pPr>
        <w:pStyle w:val="23"/>
        <w:rPr>
          <w:rFonts w:ascii="宋体" w:hAnsi="宋体" w:cs="宋体"/>
          <w:color w:val="auto"/>
          <w:szCs w:val="24"/>
          <w:highlight w:val="none"/>
        </w:rPr>
      </w:pPr>
      <w:r>
        <w:rPr>
          <w:rFonts w:hint="eastAsia" w:ascii="宋体" w:hAnsi="宋体" w:cs="宋体"/>
          <w:color w:val="auto"/>
          <w:szCs w:val="24"/>
          <w:highlight w:val="none"/>
        </w:rPr>
        <w:t>2、付款条件二中，预付款比例设定应符合《关于做好政府采购支持企业发展有关事项的通知》（苏财购（2020)52号）要求。</w:t>
      </w:r>
    </w:p>
    <w:p w14:paraId="179B19B1">
      <w:pPr>
        <w:rPr>
          <w:rFonts w:ascii="宋体" w:hAnsi="宋体" w:cs="宋体"/>
          <w:color w:val="auto"/>
          <w:sz w:val="24"/>
          <w:highlight w:val="none"/>
        </w:rPr>
      </w:pPr>
      <w:r>
        <w:rPr>
          <w:rFonts w:hint="eastAsia" w:ascii="宋体" w:hAnsi="宋体" w:cs="宋体"/>
          <w:color w:val="auto"/>
          <w:sz w:val="24"/>
          <w:highlight w:val="none"/>
        </w:rPr>
        <w:br w:type="page" w:clear="all"/>
      </w:r>
    </w:p>
    <w:p w14:paraId="57151BB7">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1</w:t>
      </w:r>
      <w:r>
        <w:rPr>
          <w:rFonts w:hint="eastAsia" w:ascii="宋体" w:hAnsi="宋体" w:cs="宋体"/>
          <w:b/>
          <w:color w:val="auto"/>
          <w:sz w:val="36"/>
          <w:szCs w:val="36"/>
          <w:highlight w:val="none"/>
          <w:lang w:val="en-US" w:eastAsia="zh-CN"/>
        </w:rPr>
        <w:t>4</w:t>
      </w:r>
      <w:r>
        <w:rPr>
          <w:rFonts w:hint="eastAsia" w:ascii="宋体" w:hAnsi="宋体" w:cs="宋体"/>
          <w:b/>
          <w:color w:val="auto"/>
          <w:sz w:val="36"/>
          <w:szCs w:val="36"/>
          <w:highlight w:val="none"/>
        </w:rPr>
        <w:t>、招标代理服务收费标准</w:t>
      </w:r>
    </w:p>
    <w:p w14:paraId="6A469621">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20" w:beforeAutospacing="0" w:after="200" w:afterAutospacing="0" w:line="250" w:lineRule="atLeast"/>
        <w:ind w:left="0" w:right="0" w:firstLine="720"/>
        <w:rPr>
          <w:highlight w:val="none"/>
        </w:rPr>
      </w:pPr>
      <w:r>
        <w:rPr>
          <w:rFonts w:hint="eastAsia" w:ascii="宋体" w:hAnsi="宋体" w:eastAsia="宋体" w:cs="宋体"/>
          <w:color w:val="000000"/>
          <w:sz w:val="24"/>
          <w:szCs w:val="24"/>
          <w:highlight w:val="none"/>
        </w:rPr>
        <w:t>徐州市政府采购业务代理服务费行业指导价格标准</w:t>
      </w:r>
    </w:p>
    <w:tbl>
      <w:tblPr>
        <w:tblStyle w:val="51"/>
        <w:tblW w:w="0" w:type="auto"/>
        <w:tblCellSpacing w:w="0"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270"/>
        <w:gridCol w:w="2580"/>
      </w:tblGrid>
      <w:tr w14:paraId="4B2C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7" w:hRule="atLeast"/>
          <w:tblCellSpacing w:w="0" w:type="dxa"/>
        </w:trPr>
        <w:tc>
          <w:tcPr>
            <w:tcW w:w="6270" w:type="dxa"/>
            <w:shd w:val="clear" w:color="auto" w:fill="auto"/>
            <w:noWrap w:val="0"/>
            <w:vAlign w:val="center"/>
          </w:tcPr>
          <w:p w14:paraId="416E1CE5">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b w:val="0"/>
                <w:bCs w:val="0"/>
                <w:highlight w:val="none"/>
              </w:rPr>
            </w:pPr>
            <w:r>
              <w:rPr>
                <w:rFonts w:hint="eastAsia" w:ascii="宋体" w:hAnsi="宋体" w:eastAsia="宋体" w:cs="宋体"/>
                <w:b w:val="0"/>
                <w:bCs w:val="0"/>
                <w:color w:val="000000"/>
                <w:sz w:val="24"/>
                <w:szCs w:val="24"/>
                <w:highlight w:val="none"/>
              </w:rPr>
              <w:t>中标或者成交金额</w:t>
            </w:r>
          </w:p>
        </w:tc>
        <w:tc>
          <w:tcPr>
            <w:tcW w:w="2580" w:type="dxa"/>
            <w:shd w:val="clear" w:color="auto" w:fill="auto"/>
            <w:noWrap w:val="0"/>
            <w:vAlign w:val="center"/>
          </w:tcPr>
          <w:p w14:paraId="2FAEAD7F">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b w:val="0"/>
                <w:bCs w:val="0"/>
                <w:highlight w:val="none"/>
              </w:rPr>
            </w:pPr>
            <w:r>
              <w:rPr>
                <w:rFonts w:hint="eastAsia" w:ascii="宋体" w:hAnsi="宋体" w:eastAsia="宋体" w:cs="宋体"/>
                <w:b w:val="0"/>
                <w:bCs w:val="0"/>
                <w:color w:val="000000"/>
                <w:sz w:val="24"/>
                <w:szCs w:val="24"/>
                <w:highlight w:val="none"/>
              </w:rPr>
              <w:t>费率</w:t>
            </w:r>
          </w:p>
        </w:tc>
      </w:tr>
      <w:tr w14:paraId="2396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tblCellSpacing w:w="0" w:type="dxa"/>
        </w:trPr>
        <w:tc>
          <w:tcPr>
            <w:tcW w:w="6270" w:type="dxa"/>
            <w:shd w:val="clear" w:color="auto" w:fill="auto"/>
            <w:noWrap w:val="0"/>
            <w:vAlign w:val="center"/>
          </w:tcPr>
          <w:p w14:paraId="305424D4">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54" w:beforeAutospacing="0" w:after="80" w:afterAutospacing="0" w:line="218" w:lineRule="auto"/>
              <w:ind w:left="175"/>
              <w:rPr>
                <w:b w:val="0"/>
                <w:bCs w:val="0"/>
                <w:highlight w:val="none"/>
              </w:rPr>
            </w:pPr>
            <w:r>
              <w:rPr>
                <w:rFonts w:hint="eastAsia" w:ascii="宋体" w:hAnsi="宋体" w:eastAsia="宋体" w:cs="宋体"/>
                <w:b w:val="0"/>
                <w:bCs w:val="0"/>
                <w:color w:val="000000"/>
                <w:sz w:val="24"/>
                <w:szCs w:val="24"/>
                <w:highlight w:val="none"/>
              </w:rPr>
              <w:t>最低收费金额(每个委托项目)</w:t>
            </w:r>
          </w:p>
        </w:tc>
        <w:tc>
          <w:tcPr>
            <w:tcW w:w="2580" w:type="dxa"/>
            <w:shd w:val="clear" w:color="auto" w:fill="auto"/>
            <w:noWrap w:val="0"/>
            <w:vAlign w:val="center"/>
          </w:tcPr>
          <w:p w14:paraId="44A0B2D9">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55" w:beforeAutospacing="0" w:after="80" w:afterAutospacing="0" w:line="218" w:lineRule="auto"/>
              <w:jc w:val="center"/>
              <w:rPr>
                <w:b w:val="0"/>
                <w:bCs w:val="0"/>
                <w:highlight w:val="none"/>
              </w:rPr>
            </w:pPr>
            <w:r>
              <w:rPr>
                <w:rFonts w:hint="eastAsia" w:ascii="宋体" w:hAnsi="宋体" w:eastAsia="宋体" w:cs="宋体"/>
                <w:b w:val="0"/>
                <w:bCs w:val="0"/>
                <w:color w:val="000000"/>
                <w:sz w:val="24"/>
                <w:szCs w:val="24"/>
                <w:highlight w:val="none"/>
              </w:rPr>
              <w:t>5000元</w:t>
            </w:r>
          </w:p>
        </w:tc>
      </w:tr>
      <w:tr w14:paraId="68C7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blCellSpacing w:w="0" w:type="dxa"/>
        </w:trPr>
        <w:tc>
          <w:tcPr>
            <w:tcW w:w="6270" w:type="dxa"/>
            <w:shd w:val="clear" w:color="auto" w:fill="auto"/>
            <w:noWrap w:val="0"/>
            <w:vAlign w:val="center"/>
          </w:tcPr>
          <w:p w14:paraId="00853A8F">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55" w:beforeAutospacing="0" w:after="80" w:afterAutospacing="0" w:line="218" w:lineRule="auto"/>
              <w:rPr>
                <w:b w:val="0"/>
                <w:bCs w:val="0"/>
                <w:highlight w:val="none"/>
              </w:rPr>
            </w:pPr>
            <w:r>
              <w:rPr>
                <w:rFonts w:hint="eastAsia" w:ascii="宋体" w:hAnsi="宋体" w:eastAsia="宋体" w:cs="宋体"/>
                <w:b w:val="0"/>
                <w:bCs w:val="0"/>
                <w:color w:val="000000"/>
                <w:sz w:val="24"/>
                <w:szCs w:val="24"/>
                <w:highlight w:val="none"/>
              </w:rPr>
              <w:t>50万元以下(含50万元)</w:t>
            </w:r>
          </w:p>
        </w:tc>
        <w:tc>
          <w:tcPr>
            <w:tcW w:w="2580" w:type="dxa"/>
            <w:shd w:val="clear" w:color="auto" w:fill="auto"/>
            <w:noWrap w:val="0"/>
            <w:vAlign w:val="center"/>
          </w:tcPr>
          <w:p w14:paraId="25929E43">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36" w:beforeAutospacing="0" w:after="80" w:afterAutospacing="0" w:line="182" w:lineRule="auto"/>
              <w:jc w:val="center"/>
              <w:rPr>
                <w:b w:val="0"/>
                <w:bCs w:val="0"/>
                <w:highlight w:val="none"/>
              </w:rPr>
            </w:pPr>
            <w:r>
              <w:rPr>
                <w:rFonts w:hint="eastAsia" w:ascii="宋体" w:hAnsi="宋体" w:eastAsia="宋体" w:cs="宋体"/>
                <w:b w:val="0"/>
                <w:bCs w:val="0"/>
                <w:color w:val="000000"/>
                <w:sz w:val="24"/>
                <w:szCs w:val="24"/>
                <w:highlight w:val="none"/>
              </w:rPr>
              <w:t>1.6%</w:t>
            </w:r>
          </w:p>
        </w:tc>
      </w:tr>
      <w:tr w14:paraId="0C94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tblCellSpacing w:w="0" w:type="dxa"/>
        </w:trPr>
        <w:tc>
          <w:tcPr>
            <w:tcW w:w="6270" w:type="dxa"/>
            <w:shd w:val="clear" w:color="auto" w:fill="auto"/>
            <w:noWrap w:val="0"/>
            <w:vAlign w:val="center"/>
          </w:tcPr>
          <w:p w14:paraId="619A8576">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56" w:beforeAutospacing="0" w:after="80" w:afterAutospacing="0" w:line="218" w:lineRule="auto"/>
              <w:rPr>
                <w:b w:val="0"/>
                <w:bCs w:val="0"/>
                <w:highlight w:val="none"/>
              </w:rPr>
            </w:pPr>
            <w:r>
              <w:rPr>
                <w:rFonts w:hint="eastAsia" w:ascii="宋体" w:hAnsi="宋体" w:eastAsia="宋体" w:cs="宋体"/>
                <w:b w:val="0"/>
                <w:bCs w:val="0"/>
                <w:color w:val="000000"/>
                <w:sz w:val="24"/>
                <w:szCs w:val="24"/>
                <w:highlight w:val="none"/>
              </w:rPr>
              <w:t>50-400万元(含400万元)</w:t>
            </w:r>
          </w:p>
        </w:tc>
        <w:tc>
          <w:tcPr>
            <w:tcW w:w="2580" w:type="dxa"/>
            <w:shd w:val="clear" w:color="auto" w:fill="auto"/>
            <w:noWrap w:val="0"/>
            <w:vAlign w:val="center"/>
          </w:tcPr>
          <w:p w14:paraId="08D6D023">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37" w:beforeAutospacing="0" w:after="80" w:afterAutospacing="0" w:line="182" w:lineRule="auto"/>
              <w:jc w:val="center"/>
              <w:rPr>
                <w:b w:val="0"/>
                <w:bCs w:val="0"/>
                <w:highlight w:val="none"/>
              </w:rPr>
            </w:pPr>
            <w:r>
              <w:rPr>
                <w:rFonts w:hint="eastAsia" w:ascii="宋体" w:hAnsi="宋体" w:eastAsia="宋体" w:cs="宋体"/>
                <w:b w:val="0"/>
                <w:bCs w:val="0"/>
                <w:color w:val="000000"/>
                <w:sz w:val="24"/>
                <w:szCs w:val="24"/>
                <w:highlight w:val="none"/>
              </w:rPr>
              <w:t>1.5%</w:t>
            </w:r>
          </w:p>
        </w:tc>
      </w:tr>
      <w:tr w14:paraId="62D9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blCellSpacing w:w="0" w:type="dxa"/>
        </w:trPr>
        <w:tc>
          <w:tcPr>
            <w:tcW w:w="6270" w:type="dxa"/>
            <w:shd w:val="clear" w:color="auto" w:fill="auto"/>
            <w:noWrap w:val="0"/>
            <w:vAlign w:val="center"/>
          </w:tcPr>
          <w:p w14:paraId="4CEE0F0C">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7" w:beforeAutospacing="0" w:after="80" w:afterAutospacing="0" w:line="218" w:lineRule="auto"/>
              <w:rPr>
                <w:b w:val="0"/>
                <w:bCs w:val="0"/>
                <w:highlight w:val="none"/>
              </w:rPr>
            </w:pPr>
            <w:r>
              <w:rPr>
                <w:rFonts w:hint="eastAsia" w:ascii="宋体" w:hAnsi="宋体" w:eastAsia="宋体" w:cs="宋体"/>
                <w:b w:val="0"/>
                <w:bCs w:val="0"/>
                <w:color w:val="000000"/>
                <w:sz w:val="24"/>
                <w:szCs w:val="24"/>
                <w:highlight w:val="none"/>
              </w:rPr>
              <w:t>400-1000万元(含1000万元)</w:t>
            </w:r>
          </w:p>
        </w:tc>
        <w:tc>
          <w:tcPr>
            <w:tcW w:w="2580" w:type="dxa"/>
            <w:shd w:val="clear" w:color="auto" w:fill="auto"/>
            <w:noWrap w:val="0"/>
            <w:vAlign w:val="center"/>
          </w:tcPr>
          <w:p w14:paraId="5FF75A25">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48" w:beforeAutospacing="0" w:after="80" w:afterAutospacing="0" w:line="182" w:lineRule="auto"/>
              <w:jc w:val="center"/>
              <w:rPr>
                <w:b w:val="0"/>
                <w:bCs w:val="0"/>
                <w:highlight w:val="none"/>
              </w:rPr>
            </w:pPr>
            <w:r>
              <w:rPr>
                <w:rFonts w:hint="eastAsia" w:ascii="宋体" w:hAnsi="宋体" w:eastAsia="宋体" w:cs="宋体"/>
                <w:b w:val="0"/>
                <w:bCs w:val="0"/>
                <w:color w:val="000000"/>
                <w:sz w:val="24"/>
                <w:szCs w:val="24"/>
                <w:highlight w:val="none"/>
              </w:rPr>
              <w:t>1.1%</w:t>
            </w:r>
          </w:p>
        </w:tc>
      </w:tr>
      <w:tr w14:paraId="1E29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blCellSpacing w:w="0" w:type="dxa"/>
        </w:trPr>
        <w:tc>
          <w:tcPr>
            <w:tcW w:w="6270" w:type="dxa"/>
            <w:shd w:val="clear" w:color="auto" w:fill="auto"/>
            <w:noWrap w:val="0"/>
            <w:vAlign w:val="center"/>
          </w:tcPr>
          <w:p w14:paraId="186FF22D">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58" w:beforeAutospacing="0" w:after="80" w:afterAutospacing="0" w:line="218" w:lineRule="auto"/>
              <w:rPr>
                <w:b w:val="0"/>
                <w:bCs w:val="0"/>
                <w:highlight w:val="none"/>
              </w:rPr>
            </w:pPr>
            <w:r>
              <w:rPr>
                <w:rFonts w:hint="eastAsia" w:ascii="宋体" w:hAnsi="宋体" w:eastAsia="宋体" w:cs="宋体"/>
                <w:b w:val="0"/>
                <w:bCs w:val="0"/>
                <w:color w:val="000000"/>
                <w:sz w:val="24"/>
                <w:szCs w:val="24"/>
                <w:highlight w:val="none"/>
              </w:rPr>
              <w:t>1000-5000万元(含5000万元)</w:t>
            </w:r>
          </w:p>
        </w:tc>
        <w:tc>
          <w:tcPr>
            <w:tcW w:w="2580" w:type="dxa"/>
            <w:shd w:val="clear" w:color="auto" w:fill="auto"/>
            <w:noWrap w:val="0"/>
            <w:vAlign w:val="center"/>
          </w:tcPr>
          <w:p w14:paraId="0F1A5C8F">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40" w:beforeAutospacing="0" w:after="80" w:afterAutospacing="0" w:line="182" w:lineRule="auto"/>
              <w:jc w:val="center"/>
              <w:rPr>
                <w:b w:val="0"/>
                <w:bCs w:val="0"/>
                <w:highlight w:val="none"/>
              </w:rPr>
            </w:pPr>
            <w:r>
              <w:rPr>
                <w:rFonts w:hint="eastAsia" w:ascii="宋体" w:hAnsi="宋体" w:eastAsia="宋体" w:cs="宋体"/>
                <w:b w:val="0"/>
                <w:bCs w:val="0"/>
                <w:color w:val="000000"/>
                <w:sz w:val="24"/>
                <w:szCs w:val="24"/>
                <w:highlight w:val="none"/>
              </w:rPr>
              <w:t>0.8%</w:t>
            </w:r>
          </w:p>
        </w:tc>
      </w:tr>
      <w:tr w14:paraId="6723C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blCellSpacing w:w="0" w:type="dxa"/>
        </w:trPr>
        <w:tc>
          <w:tcPr>
            <w:tcW w:w="6270" w:type="dxa"/>
            <w:shd w:val="clear" w:color="auto" w:fill="auto"/>
            <w:noWrap w:val="0"/>
            <w:vAlign w:val="center"/>
          </w:tcPr>
          <w:p w14:paraId="42AD0D63">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59" w:beforeAutospacing="0" w:after="80" w:afterAutospacing="0" w:line="218" w:lineRule="auto"/>
              <w:rPr>
                <w:b w:val="0"/>
                <w:bCs w:val="0"/>
                <w:highlight w:val="none"/>
              </w:rPr>
            </w:pPr>
            <w:r>
              <w:rPr>
                <w:rFonts w:hint="eastAsia" w:ascii="宋体" w:hAnsi="宋体" w:eastAsia="宋体" w:cs="宋体"/>
                <w:b w:val="0"/>
                <w:bCs w:val="0"/>
                <w:color w:val="000000"/>
                <w:sz w:val="24"/>
                <w:szCs w:val="24"/>
                <w:highlight w:val="none"/>
              </w:rPr>
              <w:t>5000-1亿元(含1亿元)</w:t>
            </w:r>
          </w:p>
        </w:tc>
        <w:tc>
          <w:tcPr>
            <w:tcW w:w="2580" w:type="dxa"/>
            <w:shd w:val="clear" w:color="auto" w:fill="auto"/>
            <w:noWrap w:val="0"/>
            <w:vAlign w:val="center"/>
          </w:tcPr>
          <w:p w14:paraId="336F3910">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41" w:beforeAutospacing="0" w:after="80" w:afterAutospacing="0" w:line="182" w:lineRule="auto"/>
              <w:jc w:val="center"/>
              <w:rPr>
                <w:b w:val="0"/>
                <w:bCs w:val="0"/>
                <w:highlight w:val="none"/>
              </w:rPr>
            </w:pPr>
            <w:r>
              <w:rPr>
                <w:rFonts w:hint="eastAsia" w:ascii="宋体" w:hAnsi="宋体" w:eastAsia="宋体" w:cs="宋体"/>
                <w:b w:val="0"/>
                <w:bCs w:val="0"/>
                <w:color w:val="000000"/>
                <w:sz w:val="24"/>
                <w:szCs w:val="24"/>
                <w:highlight w:val="none"/>
              </w:rPr>
              <w:t>0.25%</w:t>
            </w:r>
          </w:p>
        </w:tc>
      </w:tr>
      <w:tr w14:paraId="6A12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blCellSpacing w:w="0" w:type="dxa"/>
        </w:trPr>
        <w:tc>
          <w:tcPr>
            <w:tcW w:w="6270" w:type="dxa"/>
            <w:shd w:val="clear" w:color="auto" w:fill="auto"/>
            <w:noWrap w:val="0"/>
            <w:vAlign w:val="center"/>
          </w:tcPr>
          <w:p w14:paraId="4A7596F0">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70" w:beforeAutospacing="0" w:after="80" w:afterAutospacing="0" w:line="218" w:lineRule="auto"/>
              <w:rPr>
                <w:b w:val="0"/>
                <w:bCs w:val="0"/>
                <w:highlight w:val="none"/>
              </w:rPr>
            </w:pPr>
            <w:r>
              <w:rPr>
                <w:rFonts w:hint="eastAsia" w:ascii="宋体" w:hAnsi="宋体" w:eastAsia="宋体" w:cs="宋体"/>
                <w:b w:val="0"/>
                <w:bCs w:val="0"/>
                <w:color w:val="000000"/>
                <w:sz w:val="24"/>
                <w:szCs w:val="24"/>
                <w:highlight w:val="none"/>
              </w:rPr>
              <w:t>1-10亿元(含10亿元)</w:t>
            </w:r>
          </w:p>
        </w:tc>
        <w:tc>
          <w:tcPr>
            <w:tcW w:w="2580" w:type="dxa"/>
            <w:shd w:val="clear" w:color="auto" w:fill="auto"/>
            <w:noWrap w:val="0"/>
            <w:vAlign w:val="center"/>
          </w:tcPr>
          <w:p w14:paraId="61BB61B3">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52" w:beforeAutospacing="0" w:after="80" w:afterAutospacing="0" w:line="182" w:lineRule="auto"/>
              <w:jc w:val="center"/>
              <w:rPr>
                <w:b w:val="0"/>
                <w:bCs w:val="0"/>
                <w:highlight w:val="none"/>
              </w:rPr>
            </w:pPr>
            <w:r>
              <w:rPr>
                <w:rFonts w:hint="eastAsia" w:ascii="宋体" w:hAnsi="宋体" w:eastAsia="宋体" w:cs="宋体"/>
                <w:b w:val="0"/>
                <w:bCs w:val="0"/>
                <w:color w:val="000000"/>
                <w:sz w:val="24"/>
                <w:szCs w:val="24"/>
                <w:highlight w:val="none"/>
              </w:rPr>
              <w:t>0.05%</w:t>
            </w:r>
          </w:p>
        </w:tc>
      </w:tr>
      <w:tr w14:paraId="6CFE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blCellSpacing w:w="0" w:type="dxa"/>
        </w:trPr>
        <w:tc>
          <w:tcPr>
            <w:tcW w:w="6270" w:type="dxa"/>
            <w:shd w:val="clear" w:color="auto" w:fill="auto"/>
            <w:noWrap w:val="0"/>
            <w:vAlign w:val="center"/>
          </w:tcPr>
          <w:p w14:paraId="496F73C8">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2" w:beforeAutospacing="0" w:after="80" w:afterAutospacing="0" w:line="218" w:lineRule="auto"/>
              <w:rPr>
                <w:b w:val="0"/>
                <w:bCs w:val="0"/>
                <w:highlight w:val="none"/>
              </w:rPr>
            </w:pPr>
            <w:r>
              <w:rPr>
                <w:rFonts w:hint="eastAsia" w:ascii="宋体" w:hAnsi="宋体" w:eastAsia="宋体" w:cs="宋体"/>
                <w:b w:val="0"/>
                <w:bCs w:val="0"/>
                <w:color w:val="000000"/>
                <w:sz w:val="24"/>
                <w:szCs w:val="24"/>
                <w:highlight w:val="none"/>
              </w:rPr>
              <w:t>10-50亿元(含50亿元)</w:t>
            </w:r>
          </w:p>
        </w:tc>
        <w:tc>
          <w:tcPr>
            <w:tcW w:w="2580" w:type="dxa"/>
            <w:shd w:val="clear" w:color="auto" w:fill="auto"/>
            <w:noWrap w:val="0"/>
            <w:vAlign w:val="center"/>
          </w:tcPr>
          <w:p w14:paraId="16810AFA">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43" w:beforeAutospacing="0" w:after="80" w:afterAutospacing="0" w:line="182" w:lineRule="auto"/>
              <w:jc w:val="center"/>
              <w:rPr>
                <w:b w:val="0"/>
                <w:bCs w:val="0"/>
                <w:highlight w:val="none"/>
              </w:rPr>
            </w:pPr>
            <w:r>
              <w:rPr>
                <w:rFonts w:hint="eastAsia" w:ascii="宋体" w:hAnsi="宋体" w:eastAsia="宋体" w:cs="宋体"/>
                <w:b w:val="0"/>
                <w:bCs w:val="0"/>
                <w:color w:val="000000"/>
                <w:sz w:val="24"/>
                <w:szCs w:val="24"/>
                <w:highlight w:val="none"/>
              </w:rPr>
              <w:t>0.01%</w:t>
            </w:r>
          </w:p>
        </w:tc>
      </w:tr>
      <w:tr w14:paraId="7AD4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blCellSpacing w:w="0" w:type="dxa"/>
        </w:trPr>
        <w:tc>
          <w:tcPr>
            <w:tcW w:w="6270" w:type="dxa"/>
            <w:shd w:val="clear" w:color="auto" w:fill="auto"/>
            <w:noWrap w:val="0"/>
            <w:vAlign w:val="center"/>
          </w:tcPr>
          <w:p w14:paraId="5A4856BE">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4" w:beforeAutospacing="0" w:after="80" w:afterAutospacing="0" w:line="218" w:lineRule="auto"/>
              <w:rPr>
                <w:b w:val="0"/>
                <w:bCs w:val="0"/>
                <w:highlight w:val="none"/>
              </w:rPr>
            </w:pPr>
            <w:r>
              <w:rPr>
                <w:rFonts w:hint="eastAsia" w:ascii="宋体" w:hAnsi="宋体" w:eastAsia="宋体" w:cs="宋体"/>
                <w:b w:val="0"/>
                <w:bCs w:val="0"/>
                <w:color w:val="000000"/>
                <w:sz w:val="24"/>
                <w:szCs w:val="24"/>
                <w:highlight w:val="none"/>
              </w:rPr>
              <w:t>50亿元以上</w:t>
            </w:r>
          </w:p>
        </w:tc>
        <w:tc>
          <w:tcPr>
            <w:tcW w:w="2580" w:type="dxa"/>
            <w:shd w:val="clear" w:color="auto" w:fill="auto"/>
            <w:noWrap w:val="0"/>
            <w:vAlign w:val="center"/>
          </w:tcPr>
          <w:p w14:paraId="0E58A4AC">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45" w:beforeAutospacing="0" w:after="80" w:afterAutospacing="0" w:line="182" w:lineRule="auto"/>
              <w:jc w:val="center"/>
              <w:rPr>
                <w:b w:val="0"/>
                <w:bCs w:val="0"/>
                <w:highlight w:val="none"/>
              </w:rPr>
            </w:pPr>
            <w:r>
              <w:rPr>
                <w:rFonts w:hint="eastAsia" w:ascii="宋体" w:hAnsi="宋体" w:eastAsia="宋体" w:cs="宋体"/>
                <w:b w:val="0"/>
                <w:bCs w:val="0"/>
                <w:color w:val="000000"/>
                <w:sz w:val="24"/>
                <w:szCs w:val="24"/>
                <w:highlight w:val="none"/>
              </w:rPr>
              <w:t>0.005%</w:t>
            </w:r>
          </w:p>
        </w:tc>
      </w:tr>
    </w:tbl>
    <w:p w14:paraId="4FD6A8C7">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highlight w:val="none"/>
        </w:rPr>
      </w:pPr>
      <w:r>
        <w:rPr>
          <w:highlight w:val="none"/>
        </w:rPr>
        <w:t>  </w:t>
      </w:r>
    </w:p>
    <w:p w14:paraId="1403FD85">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highlight w:val="none"/>
        </w:rPr>
      </w:pPr>
      <w:r>
        <w:rPr>
          <w:rFonts w:hint="eastAsia" w:ascii="宋体" w:hAnsi="宋体" w:eastAsia="宋体" w:cs="宋体"/>
          <w:color w:val="000000"/>
          <w:sz w:val="24"/>
          <w:szCs w:val="24"/>
          <w:highlight w:val="none"/>
        </w:rPr>
        <w:t>说明：</w:t>
      </w:r>
    </w:p>
    <w:p w14:paraId="45A27A7A">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200" w:afterAutospacing="0" w:line="312" w:lineRule="auto"/>
        <w:rPr>
          <w:highlight w:val="none"/>
        </w:rPr>
      </w:pPr>
      <w:r>
        <w:rPr>
          <w:rFonts w:hint="eastAsia" w:ascii="宋体" w:hAnsi="宋体" w:eastAsia="宋体" w:cs="宋体"/>
          <w:color w:val="000000"/>
          <w:sz w:val="24"/>
          <w:szCs w:val="24"/>
          <w:highlight w:val="none"/>
        </w:rPr>
        <w:t>1.按上表计算的收费为代理服务全过程的收费金额。各社会代理机构不再收取采购文件制作售卖费用。</w:t>
      </w:r>
    </w:p>
    <w:p w14:paraId="78752267">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200" w:afterAutospacing="0" w:line="312" w:lineRule="auto"/>
        <w:rPr>
          <w:highlight w:val="none"/>
        </w:rPr>
      </w:pPr>
      <w:r>
        <w:rPr>
          <w:rFonts w:hint="eastAsia" w:ascii="宋体" w:hAnsi="宋体" w:eastAsia="宋体" w:cs="宋体"/>
          <w:color w:val="000000"/>
          <w:sz w:val="24"/>
          <w:szCs w:val="24"/>
          <w:highlight w:val="none"/>
        </w:rPr>
        <w:t>2.代理服务费按差额定率累进法计算。</w:t>
      </w:r>
    </w:p>
    <w:p w14:paraId="2E47BC61">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200" w:afterAutospacing="0" w:line="312" w:lineRule="auto"/>
        <w:rPr>
          <w:highlight w:val="none"/>
        </w:rPr>
      </w:pPr>
      <w:r>
        <w:rPr>
          <w:rFonts w:hint="eastAsia" w:ascii="宋体" w:hAnsi="宋体" w:eastAsia="宋体" w:cs="宋体"/>
          <w:color w:val="000000"/>
          <w:sz w:val="24"/>
          <w:szCs w:val="24"/>
          <w:highlight w:val="none"/>
        </w:rPr>
        <w:t>3.代理服务费基准金额（按差额定率累进法计算的）=中标金额（按差额定率累进法计算的） * 费率（%）。</w:t>
      </w:r>
    </w:p>
    <w:p w14:paraId="0055FCED">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200" w:afterAutospacing="0" w:line="312" w:lineRule="auto"/>
        <w:rPr>
          <w:highlight w:val="none"/>
        </w:rPr>
      </w:pPr>
      <w:r>
        <w:rPr>
          <w:rFonts w:hint="eastAsia" w:ascii="宋体" w:hAnsi="宋体" w:eastAsia="宋体" w:cs="宋体"/>
          <w:color w:val="000000"/>
          <w:sz w:val="24"/>
          <w:szCs w:val="24"/>
          <w:highlight w:val="none"/>
        </w:rPr>
        <w:t>4.代理服务费应收取金额=代理服务费基准金额（按差额定率累进法计算的）的合计数。</w:t>
      </w:r>
    </w:p>
    <w:p w14:paraId="7D3B9107">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200" w:afterAutospacing="0" w:line="312" w:lineRule="auto"/>
        <w:rPr>
          <w:highlight w:val="none"/>
        </w:rPr>
      </w:pPr>
      <w:r>
        <w:rPr>
          <w:rFonts w:hint="eastAsia" w:ascii="宋体" w:hAnsi="宋体" w:eastAsia="宋体" w:cs="宋体"/>
          <w:color w:val="000000"/>
          <w:sz w:val="24"/>
          <w:szCs w:val="24"/>
          <w:highlight w:val="none"/>
        </w:rPr>
        <w:t>5.定点类等无金额或事先不能计算出价格总额的项目，按中标（成交）金额100万元计算。</w:t>
      </w:r>
    </w:p>
    <w:p w14:paraId="2D1A909C">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200" w:afterAutospacing="0" w:line="312" w:lineRule="auto"/>
        <w:rPr>
          <w:highlight w:val="none"/>
        </w:rPr>
      </w:pPr>
      <w:r>
        <w:rPr>
          <w:rFonts w:hint="eastAsia" w:ascii="宋体" w:hAnsi="宋体" w:eastAsia="宋体" w:cs="宋体"/>
          <w:color w:val="000000"/>
          <w:sz w:val="24"/>
          <w:szCs w:val="24"/>
          <w:highlight w:val="none"/>
        </w:rPr>
        <w:t>6.有分包（分标段）的按一个项目计算。</w:t>
      </w:r>
    </w:p>
    <w:p w14:paraId="21710453">
      <w:pPr>
        <w:pStyle w:val="46"/>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200" w:afterAutospacing="0" w:line="312" w:lineRule="auto"/>
        <w:rPr>
          <w:highlight w:val="none"/>
        </w:rPr>
      </w:pPr>
      <w:r>
        <w:rPr>
          <w:highlight w:val="none"/>
        </w:rPr>
        <w:t>7.以上价格为协会指导价，双方可根据项目难易程度和优质优价原则协商确定。</w:t>
      </w:r>
    </w:p>
    <w:p w14:paraId="36D8BBC7">
      <w:pPr>
        <w:spacing w:line="360" w:lineRule="auto"/>
        <w:ind w:firstLine="420"/>
        <w:rPr>
          <w:rFonts w:ascii="宋体" w:hAnsi="宋体" w:cs="宋体"/>
          <w:color w:val="auto"/>
          <w:sz w:val="24"/>
          <w:highlight w:val="none"/>
        </w:rPr>
      </w:pPr>
    </w:p>
    <w:p w14:paraId="6BCB1564">
      <w:pPr>
        <w:spacing w:line="360" w:lineRule="auto"/>
        <w:ind w:firstLine="420"/>
        <w:rPr>
          <w:rFonts w:ascii="宋体" w:hAnsi="宋体" w:cs="宋体"/>
          <w:color w:val="auto"/>
          <w:sz w:val="24"/>
          <w:highlight w:val="none"/>
        </w:rPr>
      </w:pPr>
    </w:p>
    <w:p w14:paraId="64F69925">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lang w:val="en-US" w:eastAsia="zh-CN"/>
        </w:rPr>
        <w:t>15、供应商</w:t>
      </w:r>
      <w:r>
        <w:rPr>
          <w:rFonts w:hint="eastAsia" w:ascii="宋体" w:hAnsi="宋体" w:cs="宋体"/>
          <w:b/>
          <w:color w:val="auto"/>
          <w:sz w:val="36"/>
          <w:szCs w:val="36"/>
          <w:highlight w:val="none"/>
        </w:rPr>
        <w:t>对“入户垃圾分类桶”的承诺</w:t>
      </w:r>
    </w:p>
    <w:p w14:paraId="7F55F5B1">
      <w:pPr>
        <w:rPr>
          <w:rFonts w:ascii="仿宋" w:hAnsi="仿宋" w:eastAsia="仿宋"/>
          <w:sz w:val="24"/>
          <w:highlight w:val="none"/>
        </w:rPr>
      </w:pPr>
    </w:p>
    <w:p w14:paraId="75E8650F">
      <w:pPr>
        <w:spacing w:line="360" w:lineRule="auto"/>
        <w:rPr>
          <w:rFonts w:ascii="宋体" w:hAnsi="宋体" w:cs="宋体"/>
          <w:color w:val="auto"/>
          <w:sz w:val="24"/>
          <w:szCs w:val="21"/>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JSZC-320312-BZDL-C2025-0058</w:t>
      </w:r>
      <w:r>
        <w:rPr>
          <w:rFonts w:hint="eastAsia" w:ascii="宋体" w:hAnsi="宋体" w:cs="宋体"/>
          <w:color w:val="auto"/>
          <w:sz w:val="24"/>
          <w:highlight w:val="none"/>
        </w:rPr>
        <w:t xml:space="preserve">                                         </w:t>
      </w:r>
    </w:p>
    <w:p w14:paraId="5A98653D">
      <w:pPr>
        <w:spacing w:line="360" w:lineRule="auto"/>
        <w:ind w:firstLine="480"/>
        <w:jc w:val="left"/>
        <w:rPr>
          <w:rFonts w:ascii="宋体" w:hAnsi="宋体" w:cs="宋体"/>
          <w:bCs/>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大彭镇2025-2027年农村垃圾分类运营服务项目</w:t>
      </w:r>
      <w:r>
        <w:rPr>
          <w:rFonts w:hint="eastAsia" w:ascii="宋体" w:hAnsi="宋体" w:cs="宋体"/>
          <w:bCs/>
          <w:color w:val="auto"/>
          <w:sz w:val="24"/>
          <w:highlight w:val="none"/>
          <w:lang w:val="en-US" w:eastAsia="zh-CN"/>
        </w:rPr>
        <w:t>供应商</w:t>
      </w:r>
      <w:r>
        <w:rPr>
          <w:rFonts w:hint="eastAsia" w:ascii="宋体" w:hAnsi="宋体" w:cs="宋体"/>
          <w:bCs/>
          <w:color w:val="auto"/>
          <w:sz w:val="24"/>
          <w:highlight w:val="none"/>
        </w:rPr>
        <w:t>承诺：如我单位被确定为</w:t>
      </w:r>
      <w:r>
        <w:rPr>
          <w:rFonts w:hint="eastAsia" w:ascii="宋体" w:hAnsi="宋体" w:cs="宋体"/>
          <w:bCs/>
          <w:color w:val="auto"/>
          <w:sz w:val="24"/>
          <w:highlight w:val="none"/>
          <w:lang w:val="en-US" w:eastAsia="zh-CN"/>
        </w:rPr>
        <w:t>成交</w:t>
      </w:r>
      <w:r>
        <w:rPr>
          <w:rFonts w:hint="eastAsia" w:ascii="宋体" w:hAnsi="宋体" w:cs="宋体"/>
          <w:bCs/>
          <w:color w:val="auto"/>
          <w:sz w:val="24"/>
          <w:highlight w:val="none"/>
        </w:rPr>
        <w:t>人，</w:t>
      </w:r>
      <w:r>
        <w:rPr>
          <w:rFonts w:hint="eastAsia" w:ascii="宋体" w:hAnsi="宋体" w:cs="宋体"/>
          <w:color w:val="auto"/>
          <w:sz w:val="24"/>
          <w:highlight w:val="none"/>
        </w:rPr>
        <w:t>对</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项目所配备的</w:t>
      </w:r>
      <w:r>
        <w:rPr>
          <w:rFonts w:hint="eastAsia" w:ascii="宋体" w:hAnsi="宋体" w:cs="宋体"/>
          <w:color w:val="auto"/>
          <w:sz w:val="24"/>
          <w:highlight w:val="none"/>
          <w:lang w:val="en-US" w:eastAsia="zh-CN"/>
        </w:rPr>
        <w:t>入户垃圾分类桶</w:t>
      </w:r>
      <w:r>
        <w:rPr>
          <w:rFonts w:hint="eastAsia" w:ascii="宋体" w:hAnsi="宋体" w:cs="宋体"/>
          <w:color w:val="auto"/>
          <w:sz w:val="24"/>
          <w:highlight w:val="none"/>
        </w:rPr>
        <w:t>不低于</w:t>
      </w:r>
      <w:r>
        <w:rPr>
          <w:rFonts w:hint="eastAsia" w:ascii="宋体" w:hAnsi="宋体" w:cs="宋体"/>
          <w:color w:val="auto"/>
          <w:sz w:val="24"/>
          <w:highlight w:val="none"/>
          <w:lang w:val="en-US" w:eastAsia="zh-CN"/>
        </w:rPr>
        <w:t>竞争性磋商</w:t>
      </w:r>
      <w:r>
        <w:rPr>
          <w:rFonts w:hint="eastAsia" w:ascii="宋体" w:hAnsi="宋体" w:cs="宋体"/>
          <w:color w:val="auto"/>
          <w:sz w:val="24"/>
          <w:highlight w:val="none"/>
        </w:rPr>
        <w:t>文件的要求（最低标准）</w:t>
      </w:r>
      <w:r>
        <w:rPr>
          <w:rFonts w:hint="eastAsia" w:ascii="宋体" w:hAnsi="宋体" w:cs="宋体"/>
          <w:bCs/>
          <w:color w:val="auto"/>
          <w:sz w:val="24"/>
          <w:highlight w:val="none"/>
        </w:rPr>
        <w:t>。具体如下：</w:t>
      </w:r>
    </w:p>
    <w:tbl>
      <w:tblPr>
        <w:tblStyle w:val="51"/>
        <w:tblW w:w="8839" w:type="dxa"/>
        <w:tblInd w:w="274" w:type="dxa"/>
        <w:tblLayout w:type="fixed"/>
        <w:tblCellMar>
          <w:top w:w="0" w:type="dxa"/>
          <w:left w:w="108" w:type="dxa"/>
          <w:bottom w:w="0" w:type="dxa"/>
          <w:right w:w="108" w:type="dxa"/>
        </w:tblCellMar>
      </w:tblPr>
      <w:tblGrid>
        <w:gridCol w:w="716"/>
        <w:gridCol w:w="2377"/>
        <w:gridCol w:w="2008"/>
        <w:gridCol w:w="3738"/>
      </w:tblGrid>
      <w:tr w14:paraId="60F35057">
        <w:tblPrEx>
          <w:tblCellMar>
            <w:top w:w="0" w:type="dxa"/>
            <w:left w:w="108" w:type="dxa"/>
            <w:bottom w:w="0" w:type="dxa"/>
            <w:right w:w="108" w:type="dxa"/>
          </w:tblCellMar>
        </w:tblPrEx>
        <w:trPr>
          <w:trHeight w:val="356" w:hRule="atLeast"/>
        </w:trPr>
        <w:tc>
          <w:tcPr>
            <w:tcW w:w="716" w:type="dxa"/>
            <w:tcBorders>
              <w:top w:val="single" w:color="080000" w:sz="8" w:space="0"/>
              <w:left w:val="single" w:color="080000" w:sz="8" w:space="0"/>
              <w:bottom w:val="single" w:color="080000" w:sz="8" w:space="0"/>
              <w:right w:val="single" w:color="080000" w:sz="8" w:space="0"/>
            </w:tcBorders>
            <w:noWrap w:val="0"/>
          </w:tcPr>
          <w:p w14:paraId="783A8306">
            <w:pPr>
              <w:spacing w:line="360" w:lineRule="auto"/>
              <w:jc w:val="center"/>
              <w:rPr>
                <w:rFonts w:hint="eastAsia"/>
                <w:highlight w:val="none"/>
              </w:rPr>
            </w:pPr>
            <w:r>
              <w:rPr>
                <w:rFonts w:hint="eastAsia"/>
                <w:highlight w:val="none"/>
              </w:rPr>
              <w:t>序号</w:t>
            </w:r>
          </w:p>
        </w:tc>
        <w:tc>
          <w:tcPr>
            <w:tcW w:w="2377" w:type="dxa"/>
            <w:tcBorders>
              <w:top w:val="single" w:color="080000" w:sz="8" w:space="0"/>
              <w:left w:val="single" w:color="080000" w:sz="8" w:space="0"/>
              <w:bottom w:val="single" w:color="080000" w:sz="8" w:space="0"/>
              <w:right w:val="single" w:color="080000" w:sz="8" w:space="0"/>
            </w:tcBorders>
            <w:shd w:val="clear" w:color="auto" w:fill="auto"/>
            <w:noWrap w:val="0"/>
            <w:vAlign w:val="center"/>
          </w:tcPr>
          <w:p w14:paraId="65EC912A">
            <w:pPr>
              <w:spacing w:line="360" w:lineRule="auto"/>
              <w:jc w:val="center"/>
              <w:rPr>
                <w:rFonts w:hint="eastAsia"/>
                <w:highlight w:val="none"/>
              </w:rPr>
            </w:pPr>
            <w:r>
              <w:rPr>
                <w:rFonts w:hint="eastAsia"/>
                <w:highlight w:val="none"/>
              </w:rPr>
              <w:t>项目名称</w:t>
            </w:r>
          </w:p>
        </w:tc>
        <w:tc>
          <w:tcPr>
            <w:tcW w:w="2008" w:type="dxa"/>
            <w:tcBorders>
              <w:top w:val="single" w:color="080000" w:sz="8" w:space="0"/>
              <w:left w:val="nil"/>
              <w:bottom w:val="single" w:color="080000" w:sz="8" w:space="0"/>
              <w:right w:val="single" w:color="080000" w:sz="8" w:space="0"/>
            </w:tcBorders>
            <w:shd w:val="clear" w:color="auto" w:fill="auto"/>
            <w:noWrap w:val="0"/>
            <w:vAlign w:val="center"/>
          </w:tcPr>
          <w:p w14:paraId="4D53655E">
            <w:pPr>
              <w:spacing w:line="360" w:lineRule="auto"/>
              <w:jc w:val="center"/>
              <w:rPr>
                <w:rFonts w:hint="eastAsia"/>
                <w:highlight w:val="none"/>
              </w:rPr>
            </w:pPr>
            <w:r>
              <w:rPr>
                <w:rFonts w:hint="eastAsia"/>
                <w:highlight w:val="none"/>
              </w:rPr>
              <w:t>数量</w:t>
            </w:r>
          </w:p>
        </w:tc>
        <w:tc>
          <w:tcPr>
            <w:tcW w:w="3738" w:type="dxa"/>
            <w:tcBorders>
              <w:top w:val="single" w:color="080000" w:sz="8" w:space="0"/>
              <w:left w:val="nil"/>
              <w:bottom w:val="single" w:color="080000" w:sz="8" w:space="0"/>
              <w:right w:val="single" w:color="080000" w:sz="8" w:space="0"/>
            </w:tcBorders>
            <w:shd w:val="clear" w:color="auto" w:fill="auto"/>
            <w:noWrap w:val="0"/>
            <w:vAlign w:val="center"/>
          </w:tcPr>
          <w:p w14:paraId="3DCB9912">
            <w:pPr>
              <w:spacing w:line="360" w:lineRule="auto"/>
              <w:jc w:val="center"/>
              <w:rPr>
                <w:rFonts w:hint="eastAsia"/>
                <w:highlight w:val="none"/>
              </w:rPr>
            </w:pPr>
            <w:r>
              <w:rPr>
                <w:rFonts w:hint="eastAsia"/>
                <w:highlight w:val="none"/>
              </w:rPr>
              <w:t>备注</w:t>
            </w:r>
          </w:p>
        </w:tc>
      </w:tr>
      <w:tr w14:paraId="37303B73">
        <w:tblPrEx>
          <w:tblCellMar>
            <w:top w:w="0" w:type="dxa"/>
            <w:left w:w="108" w:type="dxa"/>
            <w:bottom w:w="0" w:type="dxa"/>
            <w:right w:w="108" w:type="dxa"/>
          </w:tblCellMar>
        </w:tblPrEx>
        <w:trPr>
          <w:trHeight w:val="182" w:hRule="atLeast"/>
        </w:trPr>
        <w:tc>
          <w:tcPr>
            <w:tcW w:w="716" w:type="dxa"/>
            <w:tcBorders>
              <w:top w:val="nil"/>
              <w:left w:val="single" w:color="080000" w:sz="8" w:space="0"/>
              <w:bottom w:val="single" w:color="080000" w:sz="8" w:space="0"/>
              <w:right w:val="single" w:color="080000" w:sz="8" w:space="0"/>
            </w:tcBorders>
            <w:noWrap w:val="0"/>
            <w:vAlign w:val="center"/>
          </w:tcPr>
          <w:p w14:paraId="475A7559">
            <w:pPr>
              <w:spacing w:line="360" w:lineRule="auto"/>
              <w:jc w:val="center"/>
              <w:rPr>
                <w:rFonts w:hint="eastAsia"/>
                <w:highlight w:val="none"/>
              </w:rPr>
            </w:pPr>
            <w:r>
              <w:rPr>
                <w:rFonts w:hint="eastAsia"/>
                <w:highlight w:val="none"/>
              </w:rPr>
              <w:t>1</w:t>
            </w:r>
          </w:p>
        </w:tc>
        <w:tc>
          <w:tcPr>
            <w:tcW w:w="2377" w:type="dxa"/>
            <w:tcBorders>
              <w:top w:val="nil"/>
              <w:left w:val="single" w:color="080000" w:sz="8" w:space="0"/>
              <w:bottom w:val="single" w:color="080000" w:sz="8" w:space="0"/>
              <w:right w:val="single" w:color="080000" w:sz="8" w:space="0"/>
            </w:tcBorders>
            <w:shd w:val="clear" w:color="auto" w:fill="auto"/>
            <w:noWrap w:val="0"/>
            <w:vAlign w:val="center"/>
          </w:tcPr>
          <w:p w14:paraId="58EA3972">
            <w:pPr>
              <w:spacing w:line="360" w:lineRule="auto"/>
              <w:jc w:val="center"/>
              <w:rPr>
                <w:rFonts w:hint="eastAsia"/>
                <w:highlight w:val="none"/>
              </w:rPr>
            </w:pPr>
            <w:r>
              <w:rPr>
                <w:rFonts w:hint="eastAsia"/>
                <w:highlight w:val="none"/>
              </w:rPr>
              <w:t>入户垃圾分类桶</w:t>
            </w:r>
          </w:p>
        </w:tc>
        <w:tc>
          <w:tcPr>
            <w:tcW w:w="2008" w:type="dxa"/>
            <w:tcBorders>
              <w:top w:val="nil"/>
              <w:left w:val="nil"/>
              <w:bottom w:val="single" w:color="080000" w:sz="8" w:space="0"/>
              <w:right w:val="single" w:color="080000" w:sz="8" w:space="0"/>
            </w:tcBorders>
            <w:shd w:val="clear" w:color="auto" w:fill="auto"/>
            <w:noWrap w:val="0"/>
            <w:vAlign w:val="center"/>
          </w:tcPr>
          <w:p w14:paraId="0864EDBD">
            <w:pPr>
              <w:spacing w:line="360" w:lineRule="auto"/>
              <w:jc w:val="center"/>
              <w:rPr>
                <w:rFonts w:hint="eastAsia"/>
                <w:highlight w:val="none"/>
              </w:rPr>
            </w:pPr>
            <w:r>
              <w:rPr>
                <w:rFonts w:hint="eastAsia"/>
                <w:highlight w:val="none"/>
              </w:rPr>
              <w:t>1000</w:t>
            </w:r>
          </w:p>
        </w:tc>
        <w:tc>
          <w:tcPr>
            <w:tcW w:w="3738" w:type="dxa"/>
            <w:tcBorders>
              <w:top w:val="nil"/>
              <w:left w:val="nil"/>
              <w:bottom w:val="single" w:color="080000" w:sz="8" w:space="0"/>
              <w:right w:val="single" w:color="080000" w:sz="8" w:space="0"/>
            </w:tcBorders>
            <w:shd w:val="clear" w:color="auto" w:fill="auto"/>
            <w:noWrap w:val="0"/>
            <w:vAlign w:val="center"/>
          </w:tcPr>
          <w:p w14:paraId="534A3105">
            <w:pPr>
              <w:spacing w:line="360" w:lineRule="auto"/>
              <w:jc w:val="center"/>
              <w:rPr>
                <w:rFonts w:hint="eastAsia"/>
                <w:highlight w:val="none"/>
              </w:rPr>
            </w:pPr>
            <w:r>
              <w:rPr>
                <w:rFonts w:hint="eastAsia"/>
                <w:highlight w:val="none"/>
              </w:rPr>
              <w:t>对其中1000户居民，配备厨余（易腐）垃圾入户桶。（补充缺失）</w:t>
            </w:r>
          </w:p>
        </w:tc>
      </w:tr>
    </w:tbl>
    <w:p w14:paraId="18D0FCCE">
      <w:pPr>
        <w:spacing w:line="300" w:lineRule="auto"/>
        <w:ind w:firstLine="3120"/>
        <w:jc w:val="right"/>
        <w:rPr>
          <w:rFonts w:hint="eastAsia" w:ascii="新宋体" w:hAnsi="新宋体" w:eastAsia="新宋体" w:cs="新宋体"/>
          <w:sz w:val="24"/>
          <w:highlight w:val="none"/>
        </w:rPr>
      </w:pPr>
    </w:p>
    <w:p w14:paraId="5E859E1A">
      <w:pPr>
        <w:spacing w:line="300" w:lineRule="auto"/>
        <w:ind w:firstLine="3120"/>
        <w:jc w:val="right"/>
        <w:rPr>
          <w:rFonts w:hint="eastAsia" w:ascii="新宋体" w:hAnsi="新宋体" w:eastAsia="新宋体" w:cs="新宋体"/>
          <w:sz w:val="24"/>
          <w:highlight w:val="none"/>
        </w:rPr>
      </w:pPr>
    </w:p>
    <w:p w14:paraId="35C042D1">
      <w:pPr>
        <w:spacing w:line="300" w:lineRule="auto"/>
        <w:ind w:firstLine="3120"/>
        <w:jc w:val="right"/>
        <w:rPr>
          <w:rFonts w:hint="eastAsia" w:ascii="新宋体" w:hAnsi="新宋体" w:eastAsia="新宋体" w:cs="新宋体"/>
          <w:sz w:val="24"/>
          <w:highlight w:val="none"/>
        </w:rPr>
      </w:pPr>
      <w:r>
        <w:rPr>
          <w:rFonts w:hint="eastAsia" w:ascii="新宋体" w:hAnsi="新宋体" w:eastAsia="新宋体" w:cs="新宋体"/>
          <w:sz w:val="24"/>
          <w:highlight w:val="none"/>
          <w:lang w:eastAsia="zh-CN"/>
        </w:rPr>
        <w:t>供应商</w:t>
      </w:r>
      <w:r>
        <w:rPr>
          <w:rFonts w:hint="eastAsia" w:ascii="新宋体" w:hAnsi="新宋体" w:eastAsia="新宋体" w:cs="新宋体"/>
          <w:sz w:val="24"/>
          <w:highlight w:val="none"/>
        </w:rPr>
        <w:t>：</w:t>
      </w:r>
      <w:r>
        <w:rPr>
          <w:rFonts w:hint="eastAsia" w:ascii="新宋体" w:hAnsi="新宋体" w:eastAsia="新宋体" w:cs="新宋体"/>
          <w:sz w:val="24"/>
          <w:highlight w:val="none"/>
          <w:u w:val="single"/>
        </w:rPr>
        <w:t xml:space="preserve">                  </w:t>
      </w:r>
      <w:r>
        <w:rPr>
          <w:rFonts w:hint="eastAsia" w:ascii="新宋体" w:hAnsi="新宋体" w:eastAsia="新宋体" w:cs="新宋体"/>
          <w:sz w:val="24"/>
          <w:highlight w:val="none"/>
        </w:rPr>
        <w:t xml:space="preserve">（电子签章）  </w:t>
      </w:r>
    </w:p>
    <w:p w14:paraId="09AEED55">
      <w:pPr>
        <w:spacing w:line="360" w:lineRule="auto"/>
        <w:ind w:firstLine="3120"/>
        <w:jc w:val="right"/>
        <w:rPr>
          <w:rFonts w:hint="eastAsia" w:ascii="新宋体" w:hAnsi="新宋体" w:eastAsia="新宋体" w:cs="新宋体"/>
          <w:sz w:val="24"/>
          <w:highlight w:val="none"/>
        </w:rPr>
        <w:sectPr>
          <w:pgSz w:w="11906" w:h="16838"/>
          <w:pgMar w:top="1440" w:right="1440" w:bottom="1440" w:left="1440" w:header="851" w:footer="992" w:gutter="0"/>
          <w:cols w:space="720" w:num="1"/>
          <w:titlePg/>
          <w:docGrid w:linePitch="360" w:charSpace="0"/>
        </w:sectPr>
      </w:pPr>
      <w:r>
        <w:rPr>
          <w:rFonts w:hint="eastAsia" w:ascii="新宋体" w:hAnsi="新宋体" w:eastAsia="新宋体" w:cs="新宋体"/>
          <w:sz w:val="24"/>
          <w:highlight w:val="none"/>
        </w:rPr>
        <w:t>日期：   年  月  日</w:t>
      </w:r>
    </w:p>
    <w:p w14:paraId="6B870C23">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lang w:val="en-US" w:eastAsia="zh-CN"/>
        </w:rPr>
        <w:t>16、供应商</w:t>
      </w:r>
      <w:r>
        <w:rPr>
          <w:rFonts w:hint="eastAsia" w:ascii="宋体" w:hAnsi="宋体" w:cs="宋体"/>
          <w:b/>
          <w:color w:val="auto"/>
          <w:sz w:val="36"/>
          <w:szCs w:val="36"/>
          <w:highlight w:val="none"/>
        </w:rPr>
        <w:t>对“分类运输清运车辆配备”的承诺</w:t>
      </w:r>
    </w:p>
    <w:p w14:paraId="3E07CC56">
      <w:pPr>
        <w:rPr>
          <w:rFonts w:ascii="仿宋" w:hAnsi="仿宋" w:eastAsia="仿宋"/>
          <w:sz w:val="24"/>
          <w:highlight w:val="none"/>
        </w:rPr>
      </w:pPr>
    </w:p>
    <w:p w14:paraId="0BDF640E">
      <w:pPr>
        <w:spacing w:line="360" w:lineRule="auto"/>
        <w:rPr>
          <w:rFonts w:ascii="宋体" w:hAnsi="宋体" w:cs="宋体"/>
          <w:color w:val="auto"/>
          <w:sz w:val="24"/>
          <w:szCs w:val="21"/>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JSZC-320312-BZDL-C2025-0058</w:t>
      </w:r>
      <w:r>
        <w:rPr>
          <w:rFonts w:hint="eastAsia" w:ascii="宋体" w:hAnsi="宋体" w:cs="宋体"/>
          <w:color w:val="auto"/>
          <w:sz w:val="24"/>
          <w:highlight w:val="none"/>
        </w:rPr>
        <w:t xml:space="preserve">                                         </w:t>
      </w:r>
    </w:p>
    <w:p w14:paraId="0E6210FF">
      <w:pPr>
        <w:spacing w:line="360" w:lineRule="auto"/>
        <w:ind w:firstLine="480"/>
        <w:jc w:val="left"/>
        <w:rPr>
          <w:rFonts w:ascii="宋体" w:hAnsi="宋体" w:cs="宋体"/>
          <w:bCs/>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大彭镇2025-2027年农村垃圾分类运营服务项目</w:t>
      </w:r>
      <w:r>
        <w:rPr>
          <w:rFonts w:hint="eastAsia" w:ascii="宋体" w:hAnsi="宋体" w:cs="宋体"/>
          <w:bCs/>
          <w:color w:val="auto"/>
          <w:sz w:val="24"/>
          <w:highlight w:val="none"/>
          <w:lang w:val="en-US" w:eastAsia="zh-CN"/>
        </w:rPr>
        <w:t>供应商</w:t>
      </w:r>
      <w:r>
        <w:rPr>
          <w:rFonts w:hint="eastAsia" w:ascii="宋体" w:hAnsi="宋体" w:cs="宋体"/>
          <w:bCs/>
          <w:color w:val="auto"/>
          <w:sz w:val="24"/>
          <w:highlight w:val="none"/>
        </w:rPr>
        <w:t>承诺：如我单位被确定为</w:t>
      </w:r>
      <w:r>
        <w:rPr>
          <w:rFonts w:hint="eastAsia" w:ascii="宋体" w:hAnsi="宋体" w:cs="宋体"/>
          <w:bCs/>
          <w:color w:val="auto"/>
          <w:sz w:val="24"/>
          <w:highlight w:val="none"/>
          <w:lang w:val="en-US" w:eastAsia="zh-CN"/>
        </w:rPr>
        <w:t>成交</w:t>
      </w:r>
      <w:r>
        <w:rPr>
          <w:rFonts w:hint="eastAsia" w:ascii="宋体" w:hAnsi="宋体" w:cs="宋体"/>
          <w:bCs/>
          <w:color w:val="auto"/>
          <w:sz w:val="24"/>
          <w:highlight w:val="none"/>
        </w:rPr>
        <w:t>人，</w:t>
      </w:r>
      <w:r>
        <w:rPr>
          <w:rFonts w:hint="eastAsia" w:ascii="宋体" w:hAnsi="宋体" w:cs="宋体"/>
          <w:color w:val="auto"/>
          <w:sz w:val="24"/>
          <w:highlight w:val="none"/>
        </w:rPr>
        <w:t>对</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项目所配备的</w:t>
      </w:r>
      <w:r>
        <w:rPr>
          <w:rFonts w:hint="eastAsia" w:ascii="宋体" w:hAnsi="宋体" w:cs="宋体"/>
          <w:color w:val="auto"/>
          <w:sz w:val="24"/>
          <w:highlight w:val="none"/>
          <w:lang w:val="en-US" w:eastAsia="zh-CN"/>
        </w:rPr>
        <w:t>分类运输清运车辆</w:t>
      </w:r>
      <w:r>
        <w:rPr>
          <w:rFonts w:hint="eastAsia" w:ascii="宋体" w:hAnsi="宋体" w:cs="宋体"/>
          <w:color w:val="auto"/>
          <w:sz w:val="24"/>
          <w:highlight w:val="none"/>
        </w:rPr>
        <w:t>不低于</w:t>
      </w:r>
      <w:r>
        <w:rPr>
          <w:rFonts w:hint="eastAsia" w:ascii="宋体" w:hAnsi="宋体" w:cs="宋体"/>
          <w:color w:val="auto"/>
          <w:sz w:val="24"/>
          <w:highlight w:val="none"/>
          <w:lang w:val="en-US" w:eastAsia="zh-CN"/>
        </w:rPr>
        <w:t>竞争性磋商</w:t>
      </w:r>
      <w:r>
        <w:rPr>
          <w:rFonts w:hint="eastAsia" w:ascii="宋体" w:hAnsi="宋体" w:cs="宋体"/>
          <w:color w:val="auto"/>
          <w:sz w:val="24"/>
          <w:highlight w:val="none"/>
        </w:rPr>
        <w:t>文件的要求（最低标准）</w:t>
      </w:r>
      <w:r>
        <w:rPr>
          <w:rFonts w:hint="eastAsia" w:ascii="宋体" w:hAnsi="宋体" w:cs="宋体"/>
          <w:bCs/>
          <w:color w:val="auto"/>
          <w:sz w:val="24"/>
          <w:highlight w:val="none"/>
        </w:rPr>
        <w:t>。具体如下：</w:t>
      </w:r>
    </w:p>
    <w:tbl>
      <w:tblPr>
        <w:tblStyle w:val="51"/>
        <w:tblW w:w="8240" w:type="dxa"/>
        <w:jc w:val="center"/>
        <w:tblLayout w:type="fixed"/>
        <w:tblCellMar>
          <w:top w:w="0" w:type="dxa"/>
          <w:left w:w="108" w:type="dxa"/>
          <w:bottom w:w="0" w:type="dxa"/>
          <w:right w:w="108" w:type="dxa"/>
        </w:tblCellMar>
      </w:tblPr>
      <w:tblGrid>
        <w:gridCol w:w="895"/>
        <w:gridCol w:w="2613"/>
        <w:gridCol w:w="1072"/>
        <w:gridCol w:w="3660"/>
      </w:tblGrid>
      <w:tr w14:paraId="1CC8A82A">
        <w:tblPrEx>
          <w:tblCellMar>
            <w:top w:w="0" w:type="dxa"/>
            <w:left w:w="108" w:type="dxa"/>
            <w:bottom w:w="0" w:type="dxa"/>
            <w:right w:w="108" w:type="dxa"/>
          </w:tblCellMar>
        </w:tblPrEx>
        <w:trPr>
          <w:trHeight w:val="331"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CDED387">
            <w:pPr>
              <w:jc w:val="center"/>
              <w:rPr>
                <w:rFonts w:hint="eastAsia" w:ascii="Calibri" w:hAnsi="宋体" w:eastAsia="宋体" w:cs="宋体"/>
                <w:bCs/>
                <w:sz w:val="24"/>
                <w:highlight w:val="none"/>
              </w:rPr>
            </w:pPr>
            <w:r>
              <w:rPr>
                <w:rFonts w:hint="eastAsia" w:ascii="Calibri" w:hAnsi="宋体" w:eastAsia="宋体" w:cs="宋体"/>
                <w:bCs/>
                <w:sz w:val="24"/>
                <w:highlight w:val="none"/>
              </w:rPr>
              <w:t>序号</w:t>
            </w:r>
          </w:p>
        </w:tc>
        <w:tc>
          <w:tcPr>
            <w:tcW w:w="2613" w:type="dxa"/>
            <w:tcBorders>
              <w:top w:val="single" w:color="auto" w:sz="4" w:space="0"/>
              <w:left w:val="single" w:color="auto" w:sz="4" w:space="0"/>
              <w:bottom w:val="single" w:color="auto" w:sz="4" w:space="0"/>
              <w:right w:val="single" w:color="auto" w:sz="4" w:space="0"/>
            </w:tcBorders>
            <w:noWrap w:val="0"/>
            <w:vAlign w:val="center"/>
          </w:tcPr>
          <w:p w14:paraId="458E8FD8">
            <w:pPr>
              <w:jc w:val="center"/>
              <w:rPr>
                <w:rFonts w:hint="eastAsia" w:ascii="Calibri" w:hAnsi="宋体" w:eastAsia="宋体" w:cs="宋体"/>
                <w:bCs/>
                <w:sz w:val="24"/>
                <w:highlight w:val="none"/>
              </w:rPr>
            </w:pPr>
            <w:r>
              <w:rPr>
                <w:rFonts w:hint="eastAsia" w:ascii="Calibri" w:hAnsi="宋体" w:eastAsia="宋体" w:cs="宋体"/>
                <w:bCs/>
                <w:sz w:val="24"/>
                <w:highlight w:val="none"/>
              </w:rPr>
              <w:t>项目名称</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D79519B">
            <w:pPr>
              <w:jc w:val="center"/>
              <w:rPr>
                <w:rFonts w:hint="eastAsia" w:ascii="Calibri" w:hAnsi="宋体" w:eastAsia="宋体" w:cs="宋体"/>
                <w:bCs/>
                <w:sz w:val="24"/>
                <w:highlight w:val="none"/>
              </w:rPr>
            </w:pPr>
            <w:r>
              <w:rPr>
                <w:rFonts w:hint="eastAsia" w:ascii="Calibri" w:hAnsi="宋体" w:eastAsia="宋体" w:cs="宋体"/>
                <w:bCs/>
                <w:sz w:val="24"/>
                <w:highlight w:val="none"/>
              </w:rPr>
              <w:t>数量</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3BF5C496">
            <w:pPr>
              <w:jc w:val="center"/>
              <w:rPr>
                <w:rFonts w:hint="eastAsia" w:ascii="Calibri" w:hAnsi="宋体" w:eastAsia="宋体" w:cs="宋体"/>
                <w:bCs/>
                <w:sz w:val="24"/>
                <w:highlight w:val="none"/>
              </w:rPr>
            </w:pPr>
            <w:r>
              <w:rPr>
                <w:rFonts w:hint="eastAsia" w:ascii="Calibri" w:hAnsi="宋体" w:eastAsia="宋体" w:cs="宋体"/>
                <w:bCs/>
                <w:sz w:val="24"/>
                <w:highlight w:val="none"/>
              </w:rPr>
              <w:t>要求说明</w:t>
            </w:r>
          </w:p>
        </w:tc>
      </w:tr>
      <w:tr w14:paraId="0ECC63E0">
        <w:tblPrEx>
          <w:tblCellMar>
            <w:top w:w="0" w:type="dxa"/>
            <w:left w:w="108" w:type="dxa"/>
            <w:bottom w:w="0" w:type="dxa"/>
            <w:right w:w="108" w:type="dxa"/>
          </w:tblCellMar>
        </w:tblPrEx>
        <w:trPr>
          <w:trHeight w:val="1295"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DF37886">
            <w:pPr>
              <w:jc w:val="center"/>
              <w:rPr>
                <w:rFonts w:hint="eastAsia" w:ascii="Calibri" w:hAnsi="宋体" w:eastAsia="宋体" w:cs="宋体"/>
                <w:bCs/>
                <w:sz w:val="24"/>
                <w:highlight w:val="none"/>
              </w:rPr>
            </w:pPr>
            <w:r>
              <w:rPr>
                <w:rFonts w:hint="default" w:ascii="Calibri" w:hAnsi="宋体" w:eastAsia="宋体" w:cs="宋体"/>
                <w:bCs/>
                <w:sz w:val="24"/>
                <w:highlight w:val="none"/>
              </w:rPr>
              <w:t>1</w:t>
            </w:r>
          </w:p>
        </w:tc>
        <w:tc>
          <w:tcPr>
            <w:tcW w:w="2613" w:type="dxa"/>
            <w:tcBorders>
              <w:top w:val="single" w:color="auto" w:sz="4" w:space="0"/>
              <w:left w:val="single" w:color="auto" w:sz="4" w:space="0"/>
              <w:bottom w:val="single" w:color="auto" w:sz="4" w:space="0"/>
              <w:right w:val="single" w:color="auto" w:sz="4" w:space="0"/>
            </w:tcBorders>
            <w:noWrap w:val="0"/>
            <w:vAlign w:val="center"/>
          </w:tcPr>
          <w:p w14:paraId="65C24DF7">
            <w:pPr>
              <w:jc w:val="center"/>
              <w:rPr>
                <w:rFonts w:hint="eastAsia" w:ascii="Calibri" w:hAnsi="宋体" w:eastAsia="宋体" w:cs="宋体"/>
                <w:bCs/>
                <w:sz w:val="24"/>
                <w:highlight w:val="none"/>
              </w:rPr>
            </w:pPr>
            <w:r>
              <w:rPr>
                <w:rFonts w:hint="eastAsia" w:ascii="Calibri" w:hAnsi="宋体" w:eastAsia="宋体" w:cs="宋体"/>
                <w:bCs/>
                <w:sz w:val="24"/>
                <w:highlight w:val="none"/>
              </w:rPr>
              <w:t>厨余（易腐）垃圾清运车（新能源车、配冲洗功能）</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B3F8C5A">
            <w:pPr>
              <w:jc w:val="center"/>
              <w:rPr>
                <w:rFonts w:hint="eastAsia" w:ascii="Calibri" w:hAnsi="宋体" w:eastAsia="宋体" w:cs="宋体"/>
                <w:bCs/>
                <w:sz w:val="24"/>
                <w:highlight w:val="none"/>
              </w:rPr>
            </w:pPr>
            <w:r>
              <w:rPr>
                <w:rFonts w:hint="default" w:ascii="Calibri" w:hAnsi="宋体" w:eastAsia="宋体" w:cs="宋体"/>
                <w:bCs/>
                <w:sz w:val="24"/>
                <w:highlight w:val="none"/>
              </w:rPr>
              <w:t>1</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7F431C75">
            <w:pPr>
              <w:jc w:val="center"/>
              <w:rPr>
                <w:rFonts w:hint="eastAsia" w:ascii="Calibri" w:hAnsi="宋体" w:eastAsia="宋体" w:cs="宋体"/>
                <w:bCs/>
                <w:sz w:val="24"/>
                <w:highlight w:val="none"/>
              </w:rPr>
            </w:pPr>
            <w:r>
              <w:rPr>
                <w:rFonts w:hint="eastAsia" w:ascii="Calibri" w:hAnsi="宋体" w:eastAsia="宋体" w:cs="宋体"/>
                <w:bCs/>
                <w:sz w:val="24"/>
                <w:highlight w:val="none"/>
              </w:rPr>
              <w:t>车厢全封闭、携带挂桶装置、自卸装置，箱体容积≥8（</w:t>
            </w:r>
            <w:r>
              <w:rPr>
                <w:rFonts w:hint="eastAsia" w:ascii="Calibri" w:hAnsi="宋体" w:eastAsia="宋体" w:cs="宋体"/>
                <w:bCs/>
                <w:sz w:val="24"/>
                <w:highlight w:val="none"/>
                <w:lang w:val="en-US" w:eastAsia="zh-CN"/>
              </w:rPr>
              <w:t>立方米</w:t>
            </w:r>
            <w:r>
              <w:rPr>
                <w:rFonts w:hint="eastAsia" w:ascii="Calibri" w:hAnsi="宋体" w:eastAsia="宋体" w:cs="宋体"/>
                <w:bCs/>
                <w:sz w:val="24"/>
                <w:highlight w:val="none"/>
              </w:rPr>
              <w:t>），车身分类标识使用徐州市生活垃圾分类视觉识别系统规定标识及颜色，冲洗厨余垃圾桶。</w:t>
            </w:r>
          </w:p>
        </w:tc>
      </w:tr>
      <w:tr w14:paraId="763F9C9F">
        <w:tblPrEx>
          <w:tblCellMar>
            <w:top w:w="0" w:type="dxa"/>
            <w:left w:w="108" w:type="dxa"/>
            <w:bottom w:w="0" w:type="dxa"/>
            <w:right w:w="108" w:type="dxa"/>
          </w:tblCellMar>
        </w:tblPrEx>
        <w:trPr>
          <w:trHeight w:val="651"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A8F458C">
            <w:pPr>
              <w:jc w:val="center"/>
              <w:rPr>
                <w:rFonts w:hint="eastAsia" w:ascii="Calibri" w:hAnsi="宋体" w:eastAsia="宋体" w:cs="宋体"/>
                <w:bCs/>
                <w:sz w:val="24"/>
                <w:highlight w:val="none"/>
              </w:rPr>
            </w:pPr>
            <w:r>
              <w:rPr>
                <w:rFonts w:hint="default" w:ascii="Calibri" w:hAnsi="宋体" w:eastAsia="宋体" w:cs="宋体"/>
                <w:bCs/>
                <w:sz w:val="24"/>
                <w:highlight w:val="none"/>
              </w:rPr>
              <w:t>2</w:t>
            </w:r>
          </w:p>
        </w:tc>
        <w:tc>
          <w:tcPr>
            <w:tcW w:w="2613" w:type="dxa"/>
            <w:tcBorders>
              <w:top w:val="single" w:color="auto" w:sz="4" w:space="0"/>
              <w:left w:val="single" w:color="auto" w:sz="4" w:space="0"/>
              <w:bottom w:val="single" w:color="auto" w:sz="4" w:space="0"/>
              <w:right w:val="single" w:color="auto" w:sz="4" w:space="0"/>
            </w:tcBorders>
            <w:noWrap w:val="0"/>
            <w:vAlign w:val="center"/>
          </w:tcPr>
          <w:p w14:paraId="6A6574C3">
            <w:pPr>
              <w:jc w:val="center"/>
              <w:rPr>
                <w:rFonts w:hint="eastAsia" w:ascii="Calibri" w:hAnsi="宋体" w:eastAsia="宋体" w:cs="宋体"/>
                <w:bCs/>
                <w:sz w:val="24"/>
                <w:highlight w:val="none"/>
              </w:rPr>
            </w:pPr>
            <w:r>
              <w:rPr>
                <w:rFonts w:hint="eastAsia" w:ascii="Calibri" w:hAnsi="宋体" w:eastAsia="宋体" w:cs="宋体"/>
                <w:bCs/>
                <w:sz w:val="24"/>
                <w:highlight w:val="none"/>
              </w:rPr>
              <w:t>可回收垃圾转运车</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3F458C2">
            <w:pPr>
              <w:jc w:val="center"/>
              <w:rPr>
                <w:rFonts w:hint="eastAsia" w:ascii="Calibri" w:hAnsi="宋体" w:eastAsia="宋体" w:cs="宋体"/>
                <w:bCs/>
                <w:sz w:val="24"/>
                <w:highlight w:val="none"/>
              </w:rPr>
            </w:pPr>
            <w:r>
              <w:rPr>
                <w:rFonts w:hint="default" w:ascii="Calibri" w:hAnsi="宋体" w:eastAsia="宋体" w:cs="宋体"/>
                <w:bCs/>
                <w:sz w:val="24"/>
                <w:highlight w:val="none"/>
              </w:rPr>
              <w:t>1</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48931A43">
            <w:pPr>
              <w:jc w:val="left"/>
              <w:rPr>
                <w:rFonts w:hint="eastAsia" w:ascii="Calibri" w:hAnsi="宋体" w:eastAsia="宋体" w:cs="宋体"/>
                <w:bCs/>
                <w:sz w:val="24"/>
                <w:highlight w:val="none"/>
              </w:rPr>
            </w:pPr>
            <w:r>
              <w:rPr>
                <w:rFonts w:hint="eastAsia" w:ascii="Calibri" w:hAnsi="宋体" w:eastAsia="宋体" w:cs="宋体"/>
                <w:bCs/>
                <w:sz w:val="24"/>
                <w:highlight w:val="none"/>
              </w:rPr>
              <w:t>转运可回收垃圾至垃圾分拣中心</w:t>
            </w:r>
          </w:p>
        </w:tc>
      </w:tr>
      <w:tr w14:paraId="1267AB1D">
        <w:tblPrEx>
          <w:tblCellMar>
            <w:top w:w="0" w:type="dxa"/>
            <w:left w:w="108" w:type="dxa"/>
            <w:bottom w:w="0" w:type="dxa"/>
            <w:right w:w="108" w:type="dxa"/>
          </w:tblCellMar>
        </w:tblPrEx>
        <w:trPr>
          <w:trHeight w:val="973"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C7D8A66">
            <w:pPr>
              <w:jc w:val="center"/>
              <w:rPr>
                <w:rFonts w:hint="eastAsia" w:ascii="Calibri" w:hAnsi="宋体" w:eastAsia="宋体" w:cs="宋体"/>
                <w:bCs/>
                <w:sz w:val="24"/>
                <w:highlight w:val="none"/>
              </w:rPr>
            </w:pPr>
            <w:r>
              <w:rPr>
                <w:rFonts w:hint="default" w:ascii="Calibri" w:hAnsi="宋体" w:eastAsia="宋体" w:cs="宋体"/>
                <w:bCs/>
                <w:sz w:val="24"/>
                <w:highlight w:val="none"/>
              </w:rPr>
              <w:t>3</w:t>
            </w:r>
          </w:p>
        </w:tc>
        <w:tc>
          <w:tcPr>
            <w:tcW w:w="2613" w:type="dxa"/>
            <w:tcBorders>
              <w:top w:val="single" w:color="auto" w:sz="4" w:space="0"/>
              <w:left w:val="single" w:color="auto" w:sz="4" w:space="0"/>
              <w:bottom w:val="single" w:color="auto" w:sz="4" w:space="0"/>
              <w:right w:val="single" w:color="auto" w:sz="4" w:space="0"/>
            </w:tcBorders>
            <w:noWrap w:val="0"/>
            <w:vAlign w:val="center"/>
          </w:tcPr>
          <w:p w14:paraId="3FB134F6">
            <w:pPr>
              <w:jc w:val="center"/>
              <w:rPr>
                <w:rFonts w:hint="eastAsia" w:ascii="Calibri" w:hAnsi="宋体" w:eastAsia="宋体" w:cs="宋体"/>
                <w:bCs/>
                <w:sz w:val="24"/>
                <w:highlight w:val="none"/>
              </w:rPr>
            </w:pPr>
            <w:r>
              <w:rPr>
                <w:rFonts w:hint="eastAsia" w:ascii="Calibri" w:hAnsi="宋体" w:eastAsia="宋体" w:cs="宋体"/>
                <w:bCs/>
                <w:sz w:val="24"/>
                <w:highlight w:val="none"/>
              </w:rPr>
              <w:t>有害垃圾转运车</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A76A1F7">
            <w:pPr>
              <w:jc w:val="center"/>
              <w:rPr>
                <w:rFonts w:hint="eastAsia" w:ascii="Calibri" w:hAnsi="宋体" w:eastAsia="宋体" w:cs="宋体"/>
                <w:bCs/>
                <w:sz w:val="24"/>
                <w:highlight w:val="none"/>
              </w:rPr>
            </w:pPr>
            <w:r>
              <w:rPr>
                <w:rFonts w:hint="eastAsia" w:ascii="Calibri" w:hAnsi="宋体" w:eastAsia="宋体" w:cs="宋体"/>
                <w:bCs/>
                <w:sz w:val="24"/>
                <w:highlight w:val="none"/>
              </w:rPr>
              <w:t>1</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5FB2C07B">
            <w:pPr>
              <w:jc w:val="left"/>
              <w:rPr>
                <w:rFonts w:hint="eastAsia" w:ascii="Calibri" w:hAnsi="宋体" w:eastAsia="宋体" w:cs="宋体"/>
                <w:bCs/>
                <w:sz w:val="24"/>
                <w:highlight w:val="none"/>
              </w:rPr>
            </w:pPr>
            <w:r>
              <w:rPr>
                <w:rFonts w:hint="eastAsia" w:ascii="Calibri" w:hAnsi="宋体" w:eastAsia="宋体" w:cs="宋体"/>
                <w:bCs/>
                <w:sz w:val="24"/>
                <w:highlight w:val="none"/>
              </w:rPr>
              <w:t>转运有害垃圾至暂存点</w:t>
            </w:r>
          </w:p>
        </w:tc>
      </w:tr>
    </w:tbl>
    <w:p w14:paraId="2B240553">
      <w:pPr>
        <w:spacing w:line="300" w:lineRule="auto"/>
        <w:jc w:val="both"/>
        <w:rPr>
          <w:rFonts w:hint="eastAsia" w:ascii="新宋体" w:hAnsi="新宋体" w:eastAsia="新宋体" w:cs="新宋体"/>
          <w:sz w:val="24"/>
          <w:highlight w:val="none"/>
        </w:rPr>
      </w:pPr>
    </w:p>
    <w:p w14:paraId="576EAA4C">
      <w:pPr>
        <w:spacing w:line="300" w:lineRule="auto"/>
        <w:ind w:firstLine="3120"/>
        <w:jc w:val="right"/>
        <w:rPr>
          <w:rFonts w:hint="eastAsia" w:ascii="新宋体" w:hAnsi="新宋体" w:eastAsia="新宋体" w:cs="新宋体"/>
          <w:sz w:val="24"/>
          <w:highlight w:val="none"/>
        </w:rPr>
      </w:pPr>
    </w:p>
    <w:p w14:paraId="515D8AA0">
      <w:pPr>
        <w:spacing w:line="300" w:lineRule="auto"/>
        <w:ind w:firstLine="3120"/>
        <w:jc w:val="right"/>
        <w:rPr>
          <w:rFonts w:hint="eastAsia" w:ascii="新宋体" w:hAnsi="新宋体" w:eastAsia="新宋体" w:cs="新宋体"/>
          <w:sz w:val="24"/>
          <w:highlight w:val="none"/>
        </w:rPr>
      </w:pPr>
      <w:r>
        <w:rPr>
          <w:rFonts w:hint="eastAsia" w:ascii="新宋体" w:hAnsi="新宋体" w:eastAsia="新宋体" w:cs="新宋体"/>
          <w:sz w:val="24"/>
          <w:highlight w:val="none"/>
          <w:lang w:eastAsia="zh-CN"/>
        </w:rPr>
        <w:t>供应商</w:t>
      </w:r>
      <w:r>
        <w:rPr>
          <w:rFonts w:hint="eastAsia" w:ascii="新宋体" w:hAnsi="新宋体" w:eastAsia="新宋体" w:cs="新宋体"/>
          <w:sz w:val="24"/>
          <w:highlight w:val="none"/>
        </w:rPr>
        <w:t>：</w:t>
      </w:r>
      <w:r>
        <w:rPr>
          <w:rFonts w:hint="eastAsia" w:ascii="新宋体" w:hAnsi="新宋体" w:eastAsia="新宋体" w:cs="新宋体"/>
          <w:sz w:val="24"/>
          <w:highlight w:val="none"/>
          <w:u w:val="single"/>
        </w:rPr>
        <w:t xml:space="preserve">                  </w:t>
      </w:r>
      <w:r>
        <w:rPr>
          <w:rFonts w:hint="eastAsia" w:ascii="新宋体" w:hAnsi="新宋体" w:eastAsia="新宋体" w:cs="新宋体"/>
          <w:sz w:val="24"/>
          <w:highlight w:val="none"/>
        </w:rPr>
        <w:t xml:space="preserve">（电子签章）  </w:t>
      </w:r>
    </w:p>
    <w:p w14:paraId="0E975622">
      <w:pPr>
        <w:spacing w:line="360" w:lineRule="auto"/>
        <w:ind w:firstLine="3120"/>
        <w:jc w:val="right"/>
        <w:rPr>
          <w:rFonts w:hint="eastAsia" w:ascii="新宋体" w:hAnsi="新宋体" w:eastAsia="新宋体" w:cs="新宋体"/>
          <w:sz w:val="24"/>
          <w:highlight w:val="none"/>
        </w:rPr>
        <w:sectPr>
          <w:pgSz w:w="11906" w:h="16838"/>
          <w:pgMar w:top="1440" w:right="1440" w:bottom="1440" w:left="1440" w:header="851" w:footer="992" w:gutter="0"/>
          <w:cols w:space="720" w:num="1"/>
          <w:titlePg/>
          <w:docGrid w:linePitch="360" w:charSpace="0"/>
        </w:sectPr>
      </w:pPr>
      <w:r>
        <w:rPr>
          <w:rFonts w:hint="eastAsia" w:ascii="新宋体" w:hAnsi="新宋体" w:eastAsia="新宋体" w:cs="新宋体"/>
          <w:sz w:val="24"/>
          <w:highlight w:val="none"/>
        </w:rPr>
        <w:t>日期：   年  月  日</w:t>
      </w:r>
    </w:p>
    <w:p w14:paraId="732D83CD">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lang w:val="en-US" w:eastAsia="zh-CN"/>
        </w:rPr>
        <w:t>17、供应商</w:t>
      </w:r>
      <w:r>
        <w:rPr>
          <w:rFonts w:hint="eastAsia" w:ascii="宋体" w:hAnsi="宋体" w:cs="宋体"/>
          <w:b/>
          <w:color w:val="auto"/>
          <w:sz w:val="36"/>
          <w:szCs w:val="36"/>
          <w:highlight w:val="none"/>
        </w:rPr>
        <w:t>对“人员配备表”的承诺</w:t>
      </w:r>
    </w:p>
    <w:p w14:paraId="1F26CB36">
      <w:pPr>
        <w:rPr>
          <w:rFonts w:ascii="仿宋" w:hAnsi="仿宋" w:eastAsia="仿宋"/>
          <w:sz w:val="24"/>
          <w:highlight w:val="none"/>
        </w:rPr>
      </w:pPr>
    </w:p>
    <w:p w14:paraId="444370B9">
      <w:pPr>
        <w:spacing w:line="360" w:lineRule="auto"/>
        <w:rPr>
          <w:rFonts w:ascii="宋体" w:hAnsi="宋体" w:cs="宋体"/>
          <w:color w:val="auto"/>
          <w:sz w:val="24"/>
          <w:szCs w:val="21"/>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JSZC-320312-BZDL-C2025-0058</w:t>
      </w:r>
      <w:r>
        <w:rPr>
          <w:rFonts w:hint="eastAsia" w:ascii="宋体" w:hAnsi="宋体" w:cs="宋体"/>
          <w:color w:val="auto"/>
          <w:sz w:val="24"/>
          <w:highlight w:val="none"/>
        </w:rPr>
        <w:t xml:space="preserve">                                         </w:t>
      </w:r>
    </w:p>
    <w:p w14:paraId="6DF48E6F">
      <w:pPr>
        <w:spacing w:line="360" w:lineRule="auto"/>
        <w:ind w:firstLine="480"/>
        <w:jc w:val="left"/>
        <w:rPr>
          <w:rFonts w:ascii="宋体" w:hAnsi="宋体" w:cs="宋体"/>
          <w:bCs/>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大彭镇2025-2027年农村垃圾分类运营服务项目</w:t>
      </w:r>
      <w:r>
        <w:rPr>
          <w:rFonts w:hint="eastAsia" w:ascii="宋体" w:hAnsi="宋体" w:cs="宋体"/>
          <w:bCs/>
          <w:color w:val="auto"/>
          <w:sz w:val="24"/>
          <w:highlight w:val="none"/>
          <w:lang w:val="en-US" w:eastAsia="zh-CN"/>
        </w:rPr>
        <w:t>供应商</w:t>
      </w:r>
      <w:r>
        <w:rPr>
          <w:rFonts w:hint="eastAsia" w:ascii="宋体" w:hAnsi="宋体" w:cs="宋体"/>
          <w:bCs/>
          <w:color w:val="auto"/>
          <w:sz w:val="24"/>
          <w:highlight w:val="none"/>
        </w:rPr>
        <w:t>承诺：如我单位被确定为</w:t>
      </w:r>
      <w:r>
        <w:rPr>
          <w:rFonts w:hint="eastAsia" w:ascii="宋体" w:hAnsi="宋体" w:cs="宋体"/>
          <w:bCs/>
          <w:color w:val="auto"/>
          <w:sz w:val="24"/>
          <w:highlight w:val="none"/>
          <w:lang w:val="en-US" w:eastAsia="zh-CN"/>
        </w:rPr>
        <w:t>成交</w:t>
      </w:r>
      <w:r>
        <w:rPr>
          <w:rFonts w:hint="eastAsia" w:ascii="宋体" w:hAnsi="宋体" w:cs="宋体"/>
          <w:bCs/>
          <w:color w:val="auto"/>
          <w:sz w:val="24"/>
          <w:highlight w:val="none"/>
        </w:rPr>
        <w:t>人，</w:t>
      </w:r>
      <w:r>
        <w:rPr>
          <w:rFonts w:hint="eastAsia" w:ascii="宋体" w:hAnsi="宋体" w:cs="宋体"/>
          <w:color w:val="auto"/>
          <w:sz w:val="24"/>
          <w:highlight w:val="none"/>
        </w:rPr>
        <w:t>对</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项目所配备的</w:t>
      </w:r>
      <w:r>
        <w:rPr>
          <w:rFonts w:hint="eastAsia" w:ascii="宋体" w:hAnsi="宋体" w:cs="宋体"/>
          <w:color w:val="auto"/>
          <w:sz w:val="24"/>
          <w:highlight w:val="none"/>
          <w:lang w:val="en-US" w:eastAsia="zh-CN"/>
        </w:rPr>
        <w:t>运营服务人员</w:t>
      </w:r>
      <w:r>
        <w:rPr>
          <w:rFonts w:hint="eastAsia" w:ascii="宋体" w:hAnsi="宋体" w:cs="宋体"/>
          <w:color w:val="auto"/>
          <w:sz w:val="24"/>
          <w:highlight w:val="none"/>
        </w:rPr>
        <w:t>不低于</w:t>
      </w:r>
      <w:r>
        <w:rPr>
          <w:rFonts w:hint="eastAsia" w:ascii="宋体" w:hAnsi="宋体" w:cs="宋体"/>
          <w:color w:val="auto"/>
          <w:sz w:val="24"/>
          <w:highlight w:val="none"/>
          <w:lang w:val="en-US" w:eastAsia="zh-CN"/>
        </w:rPr>
        <w:t>竞争性磋商</w:t>
      </w:r>
      <w:r>
        <w:rPr>
          <w:rFonts w:hint="eastAsia" w:ascii="宋体" w:hAnsi="宋体" w:cs="宋体"/>
          <w:color w:val="auto"/>
          <w:sz w:val="24"/>
          <w:highlight w:val="none"/>
        </w:rPr>
        <w:t>文件的要求（最低标准）</w:t>
      </w:r>
      <w:r>
        <w:rPr>
          <w:rFonts w:hint="eastAsia" w:ascii="宋体" w:hAnsi="宋体" w:cs="宋体"/>
          <w:bCs/>
          <w:color w:val="auto"/>
          <w:sz w:val="24"/>
          <w:highlight w:val="none"/>
        </w:rPr>
        <w:t>。具体如下：</w:t>
      </w:r>
    </w:p>
    <w:tbl>
      <w:tblPr>
        <w:tblStyle w:val="51"/>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2555"/>
        <w:gridCol w:w="978"/>
        <w:gridCol w:w="3424"/>
      </w:tblGrid>
      <w:tr w14:paraId="4C16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742" w:type="dxa"/>
            <w:noWrap w:val="0"/>
            <w:vAlign w:val="center"/>
          </w:tcPr>
          <w:p w14:paraId="37C5273C">
            <w:pPr>
              <w:jc w:val="center"/>
              <w:rPr>
                <w:rFonts w:hint="eastAsia" w:ascii="仿宋" w:hAnsi="仿宋" w:eastAsia="宋体" w:cs="仿宋"/>
                <w:color w:val="000000"/>
                <w:sz w:val="28"/>
                <w:highlight w:val="none"/>
              </w:rPr>
            </w:pPr>
            <w:r>
              <w:rPr>
                <w:rFonts w:hint="eastAsia" w:ascii="仿宋" w:hAnsi="仿宋" w:eastAsia="宋体" w:cs="仿宋"/>
                <w:color w:val="000000"/>
                <w:sz w:val="28"/>
                <w:highlight w:val="none"/>
              </w:rPr>
              <w:t>类别</w:t>
            </w:r>
          </w:p>
        </w:tc>
        <w:tc>
          <w:tcPr>
            <w:tcW w:w="2555" w:type="dxa"/>
            <w:noWrap w:val="0"/>
            <w:vAlign w:val="center"/>
          </w:tcPr>
          <w:p w14:paraId="19736583">
            <w:pPr>
              <w:jc w:val="center"/>
              <w:rPr>
                <w:rFonts w:hint="eastAsia" w:ascii="仿宋" w:hAnsi="仿宋" w:eastAsia="宋体" w:cs="仿宋"/>
                <w:color w:val="000000"/>
                <w:sz w:val="28"/>
                <w:highlight w:val="none"/>
              </w:rPr>
            </w:pPr>
            <w:r>
              <w:rPr>
                <w:rFonts w:hint="eastAsia" w:ascii="仿宋" w:hAnsi="仿宋" w:eastAsia="宋体" w:cs="仿宋"/>
                <w:color w:val="000000"/>
                <w:sz w:val="28"/>
                <w:highlight w:val="none"/>
              </w:rPr>
              <w:t>项目名称</w:t>
            </w:r>
          </w:p>
        </w:tc>
        <w:tc>
          <w:tcPr>
            <w:tcW w:w="978" w:type="dxa"/>
            <w:noWrap w:val="0"/>
            <w:vAlign w:val="center"/>
          </w:tcPr>
          <w:p w14:paraId="05CB58E9">
            <w:pPr>
              <w:jc w:val="center"/>
              <w:rPr>
                <w:rFonts w:hint="eastAsia" w:ascii="仿宋" w:hAnsi="仿宋" w:eastAsia="宋体" w:cs="仿宋"/>
                <w:color w:val="000000"/>
                <w:sz w:val="28"/>
                <w:highlight w:val="none"/>
              </w:rPr>
            </w:pPr>
            <w:r>
              <w:rPr>
                <w:rFonts w:hint="eastAsia" w:ascii="仿宋" w:hAnsi="仿宋" w:eastAsia="宋体" w:cs="仿宋"/>
                <w:color w:val="000000"/>
                <w:sz w:val="28"/>
                <w:highlight w:val="none"/>
              </w:rPr>
              <w:t>数量</w:t>
            </w:r>
          </w:p>
        </w:tc>
        <w:tc>
          <w:tcPr>
            <w:tcW w:w="3424" w:type="dxa"/>
            <w:noWrap w:val="0"/>
            <w:vAlign w:val="center"/>
          </w:tcPr>
          <w:p w14:paraId="02456FED">
            <w:pPr>
              <w:jc w:val="center"/>
              <w:rPr>
                <w:rFonts w:hint="eastAsia" w:ascii="仿宋" w:hAnsi="仿宋" w:eastAsia="仿宋" w:cs="仿宋"/>
                <w:color w:val="000000"/>
                <w:sz w:val="28"/>
                <w:highlight w:val="none"/>
              </w:rPr>
            </w:pPr>
            <w:r>
              <w:rPr>
                <w:rFonts w:hint="eastAsia" w:ascii="仿宋" w:hAnsi="仿宋" w:eastAsia="宋体" w:cs="仿宋"/>
                <w:color w:val="000000"/>
                <w:sz w:val="28"/>
                <w:highlight w:val="none"/>
              </w:rPr>
              <w:t>说明</w:t>
            </w:r>
          </w:p>
        </w:tc>
      </w:tr>
      <w:tr w14:paraId="10A0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742" w:type="dxa"/>
            <w:noWrap w:val="0"/>
            <w:vAlign w:val="center"/>
          </w:tcPr>
          <w:p w14:paraId="10BDB322">
            <w:pPr>
              <w:jc w:val="center"/>
              <w:rPr>
                <w:rFonts w:hint="eastAsia" w:ascii="Calibri" w:hAnsi="宋体" w:eastAsia="宋体" w:cs="宋体"/>
                <w:bCs/>
                <w:color w:val="FF0000"/>
                <w:sz w:val="24"/>
                <w:highlight w:val="none"/>
              </w:rPr>
            </w:pPr>
            <w:r>
              <w:rPr>
                <w:rFonts w:hint="eastAsia" w:hAnsi="宋体" w:cs="宋体"/>
                <w:bCs/>
                <w:sz w:val="24"/>
                <w:highlight w:val="none"/>
              </w:rPr>
              <w:t>垃圾分类亭收集、分类人员</w:t>
            </w:r>
          </w:p>
        </w:tc>
        <w:tc>
          <w:tcPr>
            <w:tcW w:w="2555" w:type="dxa"/>
            <w:noWrap w:val="0"/>
            <w:vAlign w:val="center"/>
          </w:tcPr>
          <w:p w14:paraId="2FD6F825">
            <w:pPr>
              <w:jc w:val="center"/>
              <w:rPr>
                <w:rFonts w:hint="eastAsia" w:ascii="Calibri" w:hAnsi="宋体" w:eastAsia="宋体" w:cs="宋体"/>
                <w:bCs/>
                <w:color w:val="FF0000"/>
                <w:sz w:val="24"/>
                <w:highlight w:val="none"/>
              </w:rPr>
            </w:pPr>
            <w:r>
              <w:rPr>
                <w:rFonts w:hint="eastAsia" w:hAnsi="宋体" w:cs="宋体"/>
                <w:bCs/>
                <w:sz w:val="24"/>
                <w:highlight w:val="none"/>
              </w:rPr>
              <w:t>垃圾收集、分类人员</w:t>
            </w:r>
          </w:p>
        </w:tc>
        <w:tc>
          <w:tcPr>
            <w:tcW w:w="978" w:type="dxa"/>
            <w:noWrap w:val="0"/>
            <w:vAlign w:val="center"/>
          </w:tcPr>
          <w:p w14:paraId="23E77140">
            <w:pPr>
              <w:jc w:val="center"/>
              <w:rPr>
                <w:rFonts w:hint="eastAsia" w:ascii="Calibri" w:hAnsi="宋体" w:eastAsia="宋体" w:cs="宋体"/>
                <w:bCs/>
                <w:color w:val="FF0000"/>
                <w:sz w:val="24"/>
                <w:highlight w:val="none"/>
              </w:rPr>
            </w:pPr>
            <w:r>
              <w:rPr>
                <w:rFonts w:hint="eastAsia" w:hAnsi="宋体" w:cs="宋体"/>
                <w:bCs/>
                <w:sz w:val="24"/>
                <w:highlight w:val="none"/>
              </w:rPr>
              <w:t>满足垃圾分类亭需求</w:t>
            </w:r>
          </w:p>
        </w:tc>
        <w:tc>
          <w:tcPr>
            <w:tcW w:w="3424" w:type="dxa"/>
            <w:noWrap w:val="0"/>
            <w:vAlign w:val="center"/>
          </w:tcPr>
          <w:p w14:paraId="339885F8">
            <w:pPr>
              <w:rPr>
                <w:rFonts w:hint="eastAsia" w:ascii="Calibri" w:hAnsi="宋体" w:eastAsia="宋体" w:cs="宋体"/>
                <w:bCs/>
                <w:color w:val="FF0000"/>
                <w:sz w:val="24"/>
                <w:highlight w:val="none"/>
              </w:rPr>
            </w:pPr>
            <w:r>
              <w:rPr>
                <w:rFonts w:hint="eastAsia" w:hAnsi="宋体" w:cs="宋体"/>
                <w:bCs/>
                <w:sz w:val="24"/>
                <w:highlight w:val="none"/>
              </w:rPr>
              <w:t>分类亭内及周围的垃圾分类、收集、垃圾亭清扫、消杀</w:t>
            </w:r>
          </w:p>
        </w:tc>
      </w:tr>
      <w:tr w14:paraId="3356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742" w:type="dxa"/>
            <w:vMerge w:val="restart"/>
            <w:noWrap w:val="0"/>
            <w:vAlign w:val="center"/>
          </w:tcPr>
          <w:p w14:paraId="370EE03A">
            <w:pPr>
              <w:jc w:val="center"/>
              <w:rPr>
                <w:rFonts w:hint="eastAsia" w:ascii="Calibri" w:hAnsi="宋体" w:eastAsia="宋体" w:cs="宋体"/>
                <w:bCs/>
                <w:sz w:val="24"/>
                <w:highlight w:val="none"/>
              </w:rPr>
            </w:pPr>
            <w:r>
              <w:rPr>
                <w:rFonts w:hint="eastAsia" w:ascii="Calibri" w:hAnsi="宋体" w:eastAsia="宋体" w:cs="宋体"/>
                <w:bCs/>
                <w:sz w:val="24"/>
                <w:highlight w:val="none"/>
              </w:rPr>
              <w:t>分类收运人员</w:t>
            </w:r>
          </w:p>
        </w:tc>
        <w:tc>
          <w:tcPr>
            <w:tcW w:w="2555" w:type="dxa"/>
            <w:noWrap w:val="0"/>
            <w:vAlign w:val="center"/>
          </w:tcPr>
          <w:p w14:paraId="56E63525">
            <w:pPr>
              <w:jc w:val="center"/>
              <w:rPr>
                <w:rFonts w:hint="eastAsia" w:ascii="Calibri" w:hAnsi="宋体" w:eastAsia="宋体" w:cs="宋体"/>
                <w:bCs/>
                <w:sz w:val="24"/>
                <w:highlight w:val="none"/>
              </w:rPr>
            </w:pPr>
            <w:r>
              <w:rPr>
                <w:rFonts w:hint="eastAsia" w:ascii="Calibri" w:hAnsi="宋体" w:eastAsia="宋体" w:cs="宋体"/>
                <w:bCs/>
                <w:sz w:val="24"/>
                <w:highlight w:val="none"/>
              </w:rPr>
              <w:t>厨余（易腐）垃圾</w:t>
            </w:r>
          </w:p>
        </w:tc>
        <w:tc>
          <w:tcPr>
            <w:tcW w:w="978" w:type="dxa"/>
            <w:noWrap w:val="0"/>
            <w:vAlign w:val="center"/>
          </w:tcPr>
          <w:p w14:paraId="2F785A2A">
            <w:pPr>
              <w:jc w:val="center"/>
              <w:rPr>
                <w:rFonts w:hint="eastAsia" w:ascii="Calibri" w:hAnsi="宋体" w:eastAsia="宋体" w:cs="宋体"/>
                <w:bCs/>
                <w:sz w:val="24"/>
                <w:highlight w:val="none"/>
              </w:rPr>
            </w:pPr>
            <w:r>
              <w:rPr>
                <w:rFonts w:hint="default" w:ascii="Calibri" w:hAnsi="宋体" w:eastAsia="宋体" w:cs="宋体"/>
                <w:bCs/>
                <w:sz w:val="24"/>
                <w:highlight w:val="none"/>
              </w:rPr>
              <w:t>1</w:t>
            </w:r>
            <w:r>
              <w:rPr>
                <w:rFonts w:hint="eastAsia" w:ascii="仿宋" w:hAnsi="仿宋" w:eastAsia="宋体" w:cs="仿宋"/>
                <w:color w:val="000000"/>
                <w:highlight w:val="none"/>
              </w:rPr>
              <w:t>人</w:t>
            </w:r>
          </w:p>
        </w:tc>
        <w:tc>
          <w:tcPr>
            <w:tcW w:w="3424" w:type="dxa"/>
            <w:vMerge w:val="restart"/>
            <w:noWrap w:val="0"/>
            <w:vAlign w:val="center"/>
          </w:tcPr>
          <w:p w14:paraId="0672C2E1">
            <w:pPr>
              <w:jc w:val="center"/>
              <w:rPr>
                <w:rFonts w:hint="eastAsia" w:ascii="Calibri" w:hAnsi="宋体" w:eastAsia="宋体" w:cs="宋体"/>
                <w:bCs/>
                <w:sz w:val="24"/>
                <w:highlight w:val="none"/>
              </w:rPr>
            </w:pPr>
            <w:r>
              <w:rPr>
                <w:rFonts w:hint="eastAsia" w:ascii="Calibri" w:hAnsi="宋体" w:eastAsia="宋体" w:cs="宋体"/>
                <w:bCs/>
                <w:color w:val="000000"/>
                <w:sz w:val="24"/>
                <w:highlight w:val="none"/>
              </w:rPr>
              <w:t>厨余（易腐）垃圾清运专职驾驶员1名，随车工</w:t>
            </w:r>
            <w:r>
              <w:rPr>
                <w:rFonts w:hint="default" w:ascii="Calibri" w:hAnsi="宋体" w:eastAsia="宋体" w:cs="宋体"/>
                <w:bCs/>
                <w:color w:val="000000"/>
                <w:sz w:val="24"/>
                <w:highlight w:val="none"/>
              </w:rPr>
              <w:t>1</w:t>
            </w:r>
            <w:r>
              <w:rPr>
                <w:rFonts w:hint="eastAsia" w:ascii="Calibri" w:hAnsi="宋体" w:eastAsia="宋体" w:cs="宋体"/>
                <w:bCs/>
                <w:color w:val="000000"/>
                <w:sz w:val="24"/>
                <w:highlight w:val="none"/>
              </w:rPr>
              <w:t>名</w:t>
            </w:r>
          </w:p>
        </w:tc>
      </w:tr>
      <w:tr w14:paraId="17E4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742" w:type="dxa"/>
            <w:vMerge w:val="continue"/>
            <w:noWrap w:val="0"/>
            <w:vAlign w:val="center"/>
          </w:tcPr>
          <w:p w14:paraId="3F9FCB95">
            <w:pPr>
              <w:jc w:val="center"/>
              <w:rPr>
                <w:rFonts w:hint="eastAsia" w:ascii="Calibri" w:hAnsi="宋体" w:eastAsia="宋体" w:cs="宋体"/>
                <w:bCs/>
                <w:sz w:val="24"/>
              </w:rPr>
            </w:pPr>
          </w:p>
        </w:tc>
        <w:tc>
          <w:tcPr>
            <w:tcW w:w="2555" w:type="dxa"/>
            <w:noWrap w:val="0"/>
            <w:vAlign w:val="center"/>
          </w:tcPr>
          <w:p w14:paraId="0584C3F3">
            <w:pPr>
              <w:jc w:val="center"/>
              <w:rPr>
                <w:rFonts w:hint="eastAsia" w:ascii="Calibri" w:hAnsi="宋体" w:eastAsia="宋体" w:cs="宋体"/>
                <w:bCs/>
                <w:sz w:val="24"/>
                <w:highlight w:val="none"/>
              </w:rPr>
            </w:pPr>
            <w:r>
              <w:rPr>
                <w:rFonts w:hint="eastAsia" w:ascii="Calibri" w:hAnsi="宋体" w:eastAsia="宋体" w:cs="宋体"/>
                <w:bCs/>
                <w:sz w:val="24"/>
                <w:highlight w:val="none"/>
              </w:rPr>
              <w:t>厨余（易腐）垃圾清运随车工</w:t>
            </w:r>
          </w:p>
        </w:tc>
        <w:tc>
          <w:tcPr>
            <w:tcW w:w="978" w:type="dxa"/>
            <w:noWrap w:val="0"/>
            <w:vAlign w:val="center"/>
          </w:tcPr>
          <w:p w14:paraId="598A7077">
            <w:pPr>
              <w:jc w:val="center"/>
              <w:rPr>
                <w:rFonts w:hint="eastAsia" w:ascii="Calibri" w:hAnsi="宋体" w:eastAsia="宋体" w:cs="宋体"/>
                <w:bCs/>
                <w:sz w:val="24"/>
                <w:highlight w:val="none"/>
              </w:rPr>
            </w:pPr>
            <w:r>
              <w:rPr>
                <w:rFonts w:hint="default" w:ascii="Calibri" w:hAnsi="宋体" w:eastAsia="宋体" w:cs="宋体"/>
                <w:bCs/>
                <w:sz w:val="24"/>
                <w:highlight w:val="none"/>
              </w:rPr>
              <w:t>1</w:t>
            </w:r>
            <w:r>
              <w:rPr>
                <w:rFonts w:hint="eastAsia" w:ascii="仿宋" w:hAnsi="仿宋" w:eastAsia="宋体" w:cs="仿宋"/>
                <w:color w:val="000000"/>
                <w:highlight w:val="none"/>
              </w:rPr>
              <w:t>人</w:t>
            </w:r>
          </w:p>
        </w:tc>
        <w:tc>
          <w:tcPr>
            <w:tcW w:w="3424" w:type="dxa"/>
            <w:vMerge w:val="continue"/>
            <w:noWrap w:val="0"/>
            <w:vAlign w:val="center"/>
          </w:tcPr>
          <w:p w14:paraId="3A905DB0">
            <w:pPr>
              <w:jc w:val="center"/>
              <w:rPr>
                <w:rFonts w:hint="eastAsia" w:ascii="Calibri" w:hAnsi="宋体" w:eastAsia="宋体" w:cs="宋体"/>
                <w:bCs/>
                <w:sz w:val="24"/>
              </w:rPr>
            </w:pPr>
          </w:p>
        </w:tc>
      </w:tr>
      <w:tr w14:paraId="4800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742" w:type="dxa"/>
            <w:noWrap w:val="0"/>
            <w:vAlign w:val="center"/>
          </w:tcPr>
          <w:p w14:paraId="66D2FA5B">
            <w:pPr>
              <w:jc w:val="center"/>
              <w:rPr>
                <w:rFonts w:hint="eastAsia" w:ascii="Calibri" w:hAnsi="宋体" w:eastAsia="宋体" w:cs="宋体"/>
                <w:bCs/>
                <w:sz w:val="24"/>
                <w:highlight w:val="none"/>
              </w:rPr>
            </w:pPr>
            <w:r>
              <w:rPr>
                <w:rFonts w:hint="eastAsia" w:ascii="Calibri" w:hAnsi="宋体" w:eastAsia="宋体" w:cs="宋体"/>
                <w:bCs/>
                <w:sz w:val="24"/>
                <w:highlight w:val="none"/>
              </w:rPr>
              <w:t>项目管理人员</w:t>
            </w:r>
          </w:p>
        </w:tc>
        <w:tc>
          <w:tcPr>
            <w:tcW w:w="2555" w:type="dxa"/>
            <w:noWrap w:val="0"/>
            <w:vAlign w:val="center"/>
          </w:tcPr>
          <w:p w14:paraId="58D3AA22">
            <w:pPr>
              <w:jc w:val="center"/>
              <w:rPr>
                <w:rFonts w:hint="eastAsia" w:ascii="Calibri" w:hAnsi="宋体" w:eastAsia="宋体" w:cs="宋体"/>
                <w:bCs/>
                <w:sz w:val="24"/>
                <w:highlight w:val="none"/>
              </w:rPr>
            </w:pPr>
            <w:r>
              <w:rPr>
                <w:rFonts w:hint="eastAsia" w:ascii="Calibri" w:hAnsi="宋体" w:eastAsia="宋体" w:cs="宋体"/>
                <w:bCs/>
                <w:sz w:val="24"/>
                <w:highlight w:val="none"/>
              </w:rPr>
              <w:t>项目经理</w:t>
            </w:r>
          </w:p>
        </w:tc>
        <w:tc>
          <w:tcPr>
            <w:tcW w:w="978" w:type="dxa"/>
            <w:noWrap w:val="0"/>
            <w:vAlign w:val="center"/>
          </w:tcPr>
          <w:p w14:paraId="799EFEE6">
            <w:pPr>
              <w:jc w:val="center"/>
              <w:rPr>
                <w:rFonts w:hint="eastAsia" w:ascii="Calibri" w:hAnsi="宋体" w:eastAsia="宋体" w:cs="宋体"/>
                <w:bCs/>
                <w:sz w:val="24"/>
                <w:highlight w:val="none"/>
              </w:rPr>
            </w:pPr>
            <w:r>
              <w:rPr>
                <w:rFonts w:hint="eastAsia" w:ascii="Calibri" w:hAnsi="宋体" w:eastAsia="宋体" w:cs="宋体"/>
                <w:bCs/>
                <w:sz w:val="24"/>
                <w:highlight w:val="none"/>
              </w:rPr>
              <w:t>1</w:t>
            </w:r>
            <w:r>
              <w:rPr>
                <w:rFonts w:hint="eastAsia" w:ascii="仿宋" w:hAnsi="仿宋" w:eastAsia="宋体" w:cs="仿宋"/>
                <w:color w:val="000000"/>
                <w:highlight w:val="none"/>
              </w:rPr>
              <w:t>人</w:t>
            </w:r>
          </w:p>
        </w:tc>
        <w:tc>
          <w:tcPr>
            <w:tcW w:w="3424" w:type="dxa"/>
            <w:noWrap w:val="0"/>
            <w:vAlign w:val="center"/>
          </w:tcPr>
          <w:p w14:paraId="5894F2A6">
            <w:pPr>
              <w:jc w:val="center"/>
              <w:rPr>
                <w:rFonts w:hint="eastAsia" w:ascii="Calibri" w:hAnsi="宋体" w:eastAsia="宋体" w:cs="宋体"/>
                <w:bCs/>
                <w:sz w:val="24"/>
                <w:highlight w:val="none"/>
              </w:rPr>
            </w:pPr>
            <w:r>
              <w:rPr>
                <w:rFonts w:hint="eastAsia" w:ascii="Calibri" w:hAnsi="宋体" w:eastAsia="宋体" w:cs="宋体"/>
                <w:bCs/>
                <w:sz w:val="24"/>
                <w:highlight w:val="none"/>
              </w:rPr>
              <w:t>对项目进行管理，对各级主管部门汇报及沟通，建立垃圾分类台账。</w:t>
            </w:r>
            <w:r>
              <w:rPr>
                <w:rFonts w:hint="eastAsia" w:ascii="Calibri" w:hAnsi="宋体" w:eastAsia="宋体" w:cs="宋体"/>
                <w:bCs/>
                <w:color w:val="000000"/>
                <w:sz w:val="24"/>
                <w:highlight w:val="none"/>
              </w:rPr>
              <w:t>甲方有权随时对乙方派驻项目的人员进行监督、考核，并有权要求乙方更换不合格或不适任人员，乙方应无条件配合并在甲方要求的期限内完成人员调整。</w:t>
            </w:r>
          </w:p>
        </w:tc>
      </w:tr>
    </w:tbl>
    <w:p w14:paraId="0E094E21">
      <w:pPr>
        <w:spacing w:line="300" w:lineRule="auto"/>
        <w:jc w:val="both"/>
        <w:rPr>
          <w:rFonts w:hint="eastAsia" w:ascii="新宋体" w:hAnsi="新宋体" w:eastAsia="新宋体" w:cs="新宋体"/>
          <w:sz w:val="24"/>
          <w:highlight w:val="none"/>
        </w:rPr>
      </w:pPr>
    </w:p>
    <w:p w14:paraId="461A2990">
      <w:pPr>
        <w:spacing w:line="300" w:lineRule="auto"/>
        <w:ind w:firstLine="3120"/>
        <w:jc w:val="right"/>
        <w:rPr>
          <w:rFonts w:hint="eastAsia" w:ascii="新宋体" w:hAnsi="新宋体" w:eastAsia="新宋体" w:cs="新宋体"/>
          <w:sz w:val="24"/>
          <w:highlight w:val="none"/>
        </w:rPr>
      </w:pPr>
    </w:p>
    <w:p w14:paraId="273D6143">
      <w:pPr>
        <w:spacing w:line="300" w:lineRule="auto"/>
        <w:ind w:firstLine="3120"/>
        <w:jc w:val="right"/>
        <w:rPr>
          <w:rFonts w:hint="eastAsia" w:ascii="新宋体" w:hAnsi="新宋体" w:eastAsia="新宋体" w:cs="新宋体"/>
          <w:sz w:val="24"/>
          <w:highlight w:val="none"/>
        </w:rPr>
      </w:pPr>
      <w:r>
        <w:rPr>
          <w:rFonts w:hint="eastAsia" w:ascii="新宋体" w:hAnsi="新宋体" w:eastAsia="新宋体" w:cs="新宋体"/>
          <w:sz w:val="24"/>
          <w:highlight w:val="none"/>
          <w:lang w:eastAsia="zh-CN"/>
        </w:rPr>
        <w:t>供应商</w:t>
      </w:r>
      <w:r>
        <w:rPr>
          <w:rFonts w:hint="eastAsia" w:ascii="新宋体" w:hAnsi="新宋体" w:eastAsia="新宋体" w:cs="新宋体"/>
          <w:sz w:val="24"/>
          <w:highlight w:val="none"/>
        </w:rPr>
        <w:t>：</w:t>
      </w:r>
      <w:r>
        <w:rPr>
          <w:rFonts w:hint="eastAsia" w:ascii="新宋体" w:hAnsi="新宋体" w:eastAsia="新宋体" w:cs="新宋体"/>
          <w:sz w:val="24"/>
          <w:highlight w:val="none"/>
          <w:u w:val="single"/>
        </w:rPr>
        <w:t xml:space="preserve">                  </w:t>
      </w:r>
      <w:r>
        <w:rPr>
          <w:rFonts w:hint="eastAsia" w:ascii="新宋体" w:hAnsi="新宋体" w:eastAsia="新宋体" w:cs="新宋体"/>
          <w:sz w:val="24"/>
          <w:highlight w:val="none"/>
        </w:rPr>
        <w:t xml:space="preserve">（电子签章）  </w:t>
      </w:r>
    </w:p>
    <w:p w14:paraId="418994EB">
      <w:pPr>
        <w:spacing w:line="360" w:lineRule="auto"/>
        <w:ind w:firstLine="3120"/>
        <w:jc w:val="center"/>
        <w:rPr>
          <w:rFonts w:ascii="宋体" w:hAnsi="宋体" w:cs="宋体"/>
          <w:color w:val="auto"/>
          <w:highlight w:val="none"/>
        </w:rPr>
      </w:pPr>
      <w:r>
        <w:rPr>
          <w:rFonts w:hint="eastAsia" w:ascii="新宋体" w:hAnsi="新宋体" w:eastAsia="新宋体" w:cs="新宋体"/>
          <w:sz w:val="24"/>
          <w:highlight w:val="none"/>
        </w:rPr>
        <w:t>日期：   年  月  日</w:t>
      </w:r>
    </w:p>
    <w:sectPr>
      <w:pgSz w:w="11906" w:h="16838"/>
      <w:pgMar w:top="1440" w:right="1440" w:bottom="1440" w:left="1440" w:header="851" w:footer="992"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B0503020202020204"/>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仿宋_GB2312">
    <w:altName w:val="仿宋"/>
    <w:panose1 w:val="02010609060101010101"/>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楷体_GB2312">
    <w:altName w:val="楷体"/>
    <w:panose1 w:val="02010609060101010101"/>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Unicode MS">
    <w:altName w:val="Arial"/>
    <w:panose1 w:val="020B0604020202020204"/>
    <w:charset w:val="00"/>
    <w:family w:val="auto"/>
    <w:pitch w:val="default"/>
    <w:sig w:usb0="00000000" w:usb1="00000000" w:usb2="00000000" w:usb3="00000000" w:csb0="00000000" w:csb1="00000000"/>
  </w:font>
  <w:font w:name="MingLiU">
    <w:altName w:val="Sitka Text"/>
    <w:panose1 w:val="02020500000000000000"/>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Arial Rounded MT Bold">
    <w:altName w:val="Arial"/>
    <w:panose1 w:val="020F0704030504030204"/>
    <w:charset w:val="00"/>
    <w:family w:val="auto"/>
    <w:pitch w:val="default"/>
    <w:sig w:usb0="00000000" w:usb1="00000000" w:usb2="00000000" w:usb3="00000000" w:csb0="00000000" w:csb1="00000000"/>
  </w:font>
  <w:font w:name="幼圆">
    <w:altName w:val="Yu Gothic UI"/>
    <w:panose1 w:val="02010509060101010101"/>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auto"/>
    <w:pitch w:val="default"/>
    <w:sig w:usb0="A00002AF" w:usb1="400078FB" w:usb2="00000000" w:usb3="00000000" w:csb0="6000009F" w:csb1="DFD70000"/>
  </w:font>
  <w:font w:name="方正楷体_GBK">
    <w:altName w:val="微软雅黑"/>
    <w:panose1 w:val="020B0503020202020204"/>
    <w:charset w:val="00"/>
    <w:family w:val="auto"/>
    <w:pitch w:val="default"/>
    <w:sig w:usb0="00000000" w:usb1="00000000" w:usb2="00000000" w:usb3="00000000" w:csb0="00000000" w:csb1="00000000"/>
  </w:font>
  <w:font w:name="PMingLiU">
    <w:altName w:val="Sitka Text"/>
    <w:panose1 w:val="02020500000000000000"/>
    <w:charset w:val="00"/>
    <w:family w:val="auto"/>
    <w:pitch w:val="default"/>
    <w:sig w:usb0="00000000" w:usb1="00000000" w:usb2="00000000" w:usb3="00000000" w:csb0="00000000" w:csb1="00000000"/>
  </w:font>
  <w:font w:name="全真中明體">
    <w:altName w:val="DejaVu Math TeX Gyre"/>
    <w:panose1 w:val="020B0503020202020204"/>
    <w:charset w:val="00"/>
    <w:family w:val="auto"/>
    <w:pitch w:val="default"/>
    <w:sig w:usb0="00000000" w:usb1="00000000" w:usb2="00000000" w:usb3="00000000" w:csb0="00000000" w:csb1="00000000"/>
  </w:font>
  <w:font w:name="Futura Bk">
    <w:altName w:val="DejaVu Math TeX Gyre"/>
    <w:panose1 w:val="020B0503020202020204"/>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方正公文小标宋">
    <w:altName w:val="宋体"/>
    <w:panose1 w:val="020B0503020202020204"/>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itka Text">
    <w:panose1 w:val="02000505000000020004"/>
    <w:charset w:val="00"/>
    <w:family w:val="auto"/>
    <w:pitch w:val="default"/>
    <w:sig w:usb0="A00002EF" w:usb1="4000204B" w:usb2="00000000" w:usb3="00000000" w:csb0="2000019F" w:csb1="00000000"/>
  </w:font>
  <w:font w:name="Yu Gothic UI">
    <w:panose1 w:val="020B0500000000000000"/>
    <w:charset w:val="80"/>
    <w:family w:val="auto"/>
    <w:pitch w:val="default"/>
    <w:sig w:usb0="E00002FF" w:usb1="2AC7FDFF" w:usb2="00000016" w:usb3="00000000" w:csb0="2002009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4435989"/>
      <w:lock w:val="sdtContentLocked"/>
    </w:sdtPr>
    <w:sdtContent>
      <w:p w14:paraId="136A18D4">
        <w:pPr>
          <w:pStyle w:val="33"/>
          <w:ind w:firstLine="360"/>
          <w:jc w:val="center"/>
        </w:pPr>
        <w:r>
          <w:fldChar w:fldCharType="begin"/>
        </w:r>
        <w:r>
          <w:instrText xml:space="preserve"> PAGE   \* MERGEFORMAT </w:instrText>
        </w:r>
        <w:r>
          <w:fldChar w:fldCharType="separate"/>
        </w:r>
        <w:r>
          <w:rPr>
            <w:lang w:val="zh-CN"/>
          </w:rPr>
          <w:t>15</w:t>
        </w:r>
        <w:r>
          <w:rPr>
            <w:lang w:val="zh-CN"/>
          </w:rPr>
          <w:fldChar w:fldCharType="end"/>
        </w:r>
      </w:p>
    </w:sdtContent>
  </w:sdt>
  <w:p w14:paraId="606E38A0">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76D02">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51D2569">
                          <w:pPr>
                            <w:pStyle w:val="3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fpkpMwBAACbAwAADgAAAGRycy9lMm9Eb2MueG1srVNLbtswEN0XyB0I&#10;7mMpLlAYguUggeGiQH9A2gNQFGURIDkEh7bkC7Q36Kqb7nsun6NDfdw22WSRjTCceXwz73G0vu2t&#10;YUcVUIMr+c0i50w5CbV2+5J//bK7XnGGUbhaGHCq5CeF/HZz9Wrd+UItoQVTq8CIxGHR+ZK3Mfoi&#10;y1C2ygpcgFeOig0EKyIdwz6rg+iI3Zpsmedvsg5C7QNIhUjZ7VjkE2N4DiE0jZZqC/JglYsja1BG&#10;RJKErfbIN8O0TaNk/NQ0qCIzJSelcfhSE4qr9M02a1Hsg/CtltMI4jkjPNJkhXbU9EK1FVGwQ9BP&#10;qKyWARCauJBgs1HI4AipuMkfefPQCq8GLWQ1+ovp+HK08uPxc2C6pk3gzAlLD37+8f388/f51zf2&#10;OtnTeSwI9eAJF/t76BN0ymNKVt0HqOmeOEQYPOibYJMXpI4Rmqw+XaxWfWQyUayWq1VOJUm1+UCs&#10;mSjm6z5gfKvAshSUPNBbDvTi+B7jCJ0hqZuDnTaG8qIw7r8EcaZMlpSkiUdNsa/6SUYF9YmEdLQG&#10;JXe09ZyZd45cThszB2EOqilIPdDfkeqdHuZJ/CPV1IzebFA07Vdain/PA+rvP7X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J+mSkzAEAAJsDAAAOAAAAAAAAAAEAIAAAAB4BAABkcnMvZTJv&#10;RG9jLnhtbFBLBQYAAAAABgAGAFkBAABcBQAAAAA=&#10;">
              <v:fill on="f" focussize="0,0"/>
              <v:stroke on="f"/>
              <v:imagedata o:title=""/>
              <o:lock v:ext="edit" aspectratio="f"/>
              <v:textbox inset="0mm,0mm,0mm,0mm" style="mso-fit-shape-to-text:t;">
                <w:txbxContent>
                  <w:p w14:paraId="751D2569">
                    <w:pPr>
                      <w:pStyle w:val="3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05409">
    <w:pPr>
      <w:rPr>
        <w:iCs/>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9ED20"/>
    <w:multiLevelType w:val="multilevel"/>
    <w:tmpl w:val="9559ED20"/>
    <w:lvl w:ilvl="0" w:tentative="0">
      <w:start w:val="5"/>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95AD4FE4"/>
    <w:multiLevelType w:val="multilevel"/>
    <w:tmpl w:val="95AD4FE4"/>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B4D0E552"/>
    <w:multiLevelType w:val="multilevel"/>
    <w:tmpl w:val="B4D0E552"/>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CF092B84"/>
    <w:multiLevelType w:val="multilevel"/>
    <w:tmpl w:val="CF092B84"/>
    <w:lvl w:ilvl="0" w:tentative="0">
      <w:start w:val="1"/>
      <w:numFmt w:val="decimal"/>
      <w:lvlText w:val="%1."/>
      <w:lvlJc w:val="left"/>
      <w:pPr>
        <w:tabs>
          <w:tab w:val="left" w:pos="720"/>
        </w:tabs>
        <w:ind w:left="720" w:hanging="360"/>
      </w:pPr>
      <w:rPr>
        <w:rFonts w:hint="default"/>
      </w:rPr>
    </w:lvl>
    <w:lvl w:ilvl="1" w:tentative="0">
      <w:start w:val="1"/>
      <w:numFmt w:val="lowerLetter"/>
      <w:pStyle w:val="300"/>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pStyle w:val="301"/>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
    <w:nsid w:val="E2ABF7BC"/>
    <w:multiLevelType w:val="multilevel"/>
    <w:tmpl w:val="E2ABF7BC"/>
    <w:lvl w:ilvl="0" w:tentative="0">
      <w:start w:val="1"/>
      <w:numFmt w:val="chineseCounting"/>
      <w:suff w:val="nothing"/>
      <w:lvlText w:val="（%1）"/>
      <w:lvlJc w:val="left"/>
      <w:pPr>
        <w:ind w:left="0" w:firstLine="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0053208E"/>
    <w:multiLevelType w:val="multilevel"/>
    <w:tmpl w:val="0053208E"/>
    <w:lvl w:ilvl="0" w:tentative="0">
      <w:start w:val="1"/>
      <w:numFmt w:val="decimal"/>
      <w:pStyle w:val="113"/>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82996F9"/>
    <w:multiLevelType w:val="multilevel"/>
    <w:tmpl w:val="082996F9"/>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2301B374"/>
    <w:multiLevelType w:val="multilevel"/>
    <w:tmpl w:val="2301B374"/>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445C4A86"/>
    <w:multiLevelType w:val="multilevel"/>
    <w:tmpl w:val="445C4A86"/>
    <w:lvl w:ilvl="0" w:tentative="0">
      <w:start w:val="5"/>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9">
    <w:nsid w:val="45290B68"/>
    <w:multiLevelType w:val="multilevel"/>
    <w:tmpl w:val="45290B68"/>
    <w:lvl w:ilvl="0" w:tentative="0">
      <w:start w:val="2"/>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0">
    <w:nsid w:val="5210EFAA"/>
    <w:multiLevelType w:val="multilevel"/>
    <w:tmpl w:val="5210EFAA"/>
    <w:lvl w:ilvl="0" w:tentative="0">
      <w:start w:val="3"/>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1">
    <w:nsid w:val="750352F6"/>
    <w:multiLevelType w:val="multilevel"/>
    <w:tmpl w:val="750352F6"/>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5"/>
  </w:num>
  <w:num w:numId="2">
    <w:abstractNumId w:val="3"/>
  </w:num>
  <w:num w:numId="3">
    <w:abstractNumId w:val="0"/>
  </w:num>
  <w:num w:numId="4">
    <w:abstractNumId w:val="1"/>
  </w:num>
  <w:num w:numId="5">
    <w:abstractNumId w:val="2"/>
  </w:num>
  <w:num w:numId="6">
    <w:abstractNumId w:val="4"/>
  </w:num>
  <w:num w:numId="7">
    <w:abstractNumId w:val="8"/>
  </w:num>
  <w:num w:numId="8">
    <w:abstractNumId w:val="10"/>
  </w:num>
  <w:num w:numId="9">
    <w:abstractNumId w:val="9"/>
  </w:num>
  <w:num w:numId="10">
    <w:abstractNumId w:val="6"/>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800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nhideWhenUsed="0" w:uiPriority="9"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0" w:semiHidden="0"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6" w:semiHidden="0" w:name="Block Text"/>
    <w:lsdException w:qFormat="1" w:uiPriority="0"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315"/>
    <w:qFormat/>
    <w:uiPriority w:val="99"/>
    <w:pPr>
      <w:keepNext/>
      <w:keepLines/>
      <w:spacing w:before="340" w:after="330" w:line="578" w:lineRule="atLeast"/>
      <w:outlineLvl w:val="0"/>
    </w:pPr>
    <w:rPr>
      <w:rFonts w:eastAsia="方正仿宋_GBK"/>
      <w:b/>
      <w:sz w:val="44"/>
      <w:szCs w:val="20"/>
    </w:rPr>
  </w:style>
  <w:style w:type="paragraph" w:styleId="4">
    <w:name w:val="heading 2"/>
    <w:basedOn w:val="1"/>
    <w:next w:val="1"/>
    <w:link w:val="307"/>
    <w:qFormat/>
    <w:uiPriority w:val="99"/>
    <w:pPr>
      <w:keepNext/>
      <w:keepLines/>
      <w:spacing w:before="260" w:after="260" w:line="360" w:lineRule="auto"/>
      <w:ind w:firstLine="200"/>
      <w:jc w:val="center"/>
      <w:outlineLvl w:val="1"/>
    </w:pPr>
    <w:rPr>
      <w:rFonts w:ascii="Cambria" w:hAnsi="Cambria"/>
      <w:b/>
      <w:bCs/>
      <w:sz w:val="32"/>
      <w:szCs w:val="32"/>
    </w:rPr>
  </w:style>
  <w:style w:type="paragraph" w:styleId="5">
    <w:name w:val="heading 3"/>
    <w:basedOn w:val="1"/>
    <w:next w:val="1"/>
    <w:link w:val="314"/>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316"/>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317"/>
    <w:qFormat/>
    <w:uiPriority w:val="99"/>
    <w:pPr>
      <w:keepNext/>
      <w:keepLines/>
      <w:spacing w:before="280" w:after="290" w:line="376" w:lineRule="auto"/>
      <w:outlineLvl w:val="4"/>
    </w:pPr>
    <w:rPr>
      <w:b/>
      <w:bCs/>
      <w:sz w:val="28"/>
      <w:szCs w:val="28"/>
    </w:rPr>
  </w:style>
  <w:style w:type="paragraph" w:styleId="8">
    <w:name w:val="heading 6"/>
    <w:basedOn w:val="1"/>
    <w:next w:val="1"/>
    <w:link w:val="318"/>
    <w:qFormat/>
    <w:uiPriority w:val="0"/>
    <w:pPr>
      <w:keepNext/>
      <w:keepLines/>
      <w:tabs>
        <w:tab w:val="left" w:pos="2520"/>
      </w:tabs>
      <w:spacing w:before="240" w:after="64" w:line="320" w:lineRule="auto"/>
      <w:ind w:left="2520" w:hanging="420"/>
      <w:outlineLvl w:val="5"/>
    </w:pPr>
    <w:rPr>
      <w:rFonts w:ascii="Arial" w:hAnsi="Arial" w:eastAsia="黑体"/>
      <w:b/>
      <w:bCs/>
      <w:sz w:val="24"/>
      <w:lang w:val="zh-CN"/>
    </w:rPr>
  </w:style>
  <w:style w:type="paragraph" w:styleId="9">
    <w:name w:val="heading 7"/>
    <w:basedOn w:val="1"/>
    <w:next w:val="1"/>
    <w:link w:val="319"/>
    <w:qFormat/>
    <w:uiPriority w:val="0"/>
    <w:pPr>
      <w:keepNext/>
      <w:keepLines/>
      <w:tabs>
        <w:tab w:val="left" w:pos="2940"/>
      </w:tabs>
      <w:spacing w:before="240" w:after="64" w:line="320" w:lineRule="auto"/>
      <w:ind w:left="2940" w:hanging="420"/>
      <w:outlineLvl w:val="6"/>
    </w:pPr>
    <w:rPr>
      <w:b/>
      <w:bCs/>
      <w:sz w:val="24"/>
      <w:lang w:val="zh-CN"/>
    </w:rPr>
  </w:style>
  <w:style w:type="paragraph" w:styleId="10">
    <w:name w:val="heading 8"/>
    <w:basedOn w:val="1"/>
    <w:next w:val="1"/>
    <w:link w:val="320"/>
    <w:qFormat/>
    <w:uiPriority w:val="0"/>
    <w:pPr>
      <w:keepNext/>
      <w:keepLines/>
      <w:tabs>
        <w:tab w:val="left" w:pos="3360"/>
      </w:tabs>
      <w:spacing w:before="240" w:after="64" w:line="320" w:lineRule="auto"/>
      <w:ind w:left="3360" w:hanging="420"/>
      <w:outlineLvl w:val="7"/>
    </w:pPr>
    <w:rPr>
      <w:rFonts w:ascii="Arial" w:hAnsi="Arial" w:eastAsia="黑体"/>
      <w:sz w:val="24"/>
      <w:lang w:val="zh-CN"/>
    </w:rPr>
  </w:style>
  <w:style w:type="paragraph" w:styleId="11">
    <w:name w:val="heading 9"/>
    <w:basedOn w:val="1"/>
    <w:next w:val="1"/>
    <w:link w:val="321"/>
    <w:qFormat/>
    <w:uiPriority w:val="0"/>
    <w:pPr>
      <w:keepNext/>
      <w:keepLines/>
      <w:tabs>
        <w:tab w:val="left" w:pos="3780"/>
      </w:tabs>
      <w:spacing w:before="240" w:after="64" w:line="320" w:lineRule="auto"/>
      <w:ind w:left="3780" w:hanging="420"/>
      <w:outlineLvl w:val="8"/>
    </w:pPr>
    <w:rPr>
      <w:rFonts w:ascii="Arial" w:hAnsi="Arial" w:eastAsia="黑体"/>
      <w:szCs w:val="21"/>
      <w:lang w:val="zh-CN"/>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408"/>
    <w:qFormat/>
    <w:uiPriority w:val="99"/>
    <w:pPr>
      <w:ind w:firstLine="420"/>
    </w:pPr>
  </w:style>
  <w:style w:type="paragraph" w:styleId="12">
    <w:name w:val="List 3"/>
    <w:basedOn w:val="1"/>
    <w:link w:val="373"/>
    <w:qFormat/>
    <w:uiPriority w:val="0"/>
    <w:pPr>
      <w:ind w:left="100" w:hanging="200"/>
    </w:pPr>
    <w:rPr>
      <w:bCs/>
      <w:sz w:val="24"/>
      <w:szCs w:val="32"/>
    </w:rPr>
  </w:style>
  <w:style w:type="paragraph" w:styleId="13">
    <w:name w:val="toc 7"/>
    <w:basedOn w:val="1"/>
    <w:next w:val="1"/>
    <w:unhideWhenUsed/>
    <w:qFormat/>
    <w:uiPriority w:val="39"/>
    <w:pPr>
      <w:spacing w:after="57"/>
      <w:ind w:left="1701"/>
    </w:pPr>
  </w:style>
  <w:style w:type="paragraph" w:styleId="14">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5">
    <w:name w:val="index 5"/>
    <w:basedOn w:val="1"/>
    <w:next w:val="1"/>
    <w:qFormat/>
    <w:uiPriority w:val="0"/>
    <w:pPr>
      <w:ind w:left="798"/>
      <w:jc w:val="left"/>
    </w:pPr>
    <w:rPr>
      <w:rFonts w:ascii="Calibri" w:hAnsi="Calibri"/>
    </w:rPr>
  </w:style>
  <w:style w:type="paragraph" w:styleId="16">
    <w:name w:val="List Bullet"/>
    <w:basedOn w:val="1"/>
    <w:unhideWhenUsed/>
    <w:qFormat/>
    <w:uiPriority w:val="99"/>
    <w:pPr>
      <w:tabs>
        <w:tab w:val="left" w:pos="360"/>
        <w:tab w:val="left" w:pos="720"/>
      </w:tabs>
      <w:ind w:left="720" w:firstLine="200"/>
    </w:pPr>
    <w:rPr>
      <w:sz w:val="20"/>
      <w:szCs w:val="20"/>
    </w:rPr>
  </w:style>
  <w:style w:type="paragraph" w:styleId="17">
    <w:name w:val="Document Map"/>
    <w:basedOn w:val="1"/>
    <w:link w:val="383"/>
    <w:unhideWhenUsed/>
    <w:qFormat/>
    <w:uiPriority w:val="99"/>
    <w:rPr>
      <w:rFonts w:ascii="宋体"/>
      <w:sz w:val="18"/>
      <w:szCs w:val="18"/>
    </w:rPr>
  </w:style>
  <w:style w:type="paragraph" w:styleId="18">
    <w:name w:val="annotation text"/>
    <w:basedOn w:val="1"/>
    <w:link w:val="282"/>
    <w:qFormat/>
    <w:uiPriority w:val="99"/>
    <w:pPr>
      <w:jc w:val="left"/>
    </w:pPr>
  </w:style>
  <w:style w:type="paragraph" w:styleId="19">
    <w:name w:val="Body Text 3"/>
    <w:basedOn w:val="1"/>
    <w:link w:val="364"/>
    <w:qFormat/>
    <w:uiPriority w:val="0"/>
    <w:rPr>
      <w:rFonts w:ascii="仿宋_GB2312" w:hAnsi="Arial" w:eastAsia="仿宋_GB2312"/>
      <w:sz w:val="32"/>
      <w:szCs w:val="32"/>
    </w:rPr>
  </w:style>
  <w:style w:type="paragraph" w:styleId="20">
    <w:name w:val="Body Text"/>
    <w:basedOn w:val="1"/>
    <w:next w:val="1"/>
    <w:link w:val="456"/>
    <w:qFormat/>
    <w:uiPriority w:val="0"/>
    <w:pPr>
      <w:spacing w:after="120"/>
    </w:pPr>
  </w:style>
  <w:style w:type="paragraph" w:styleId="21">
    <w:name w:val="Body Text Indent"/>
    <w:basedOn w:val="1"/>
    <w:next w:val="22"/>
    <w:link w:val="390"/>
    <w:qFormat/>
    <w:uiPriority w:val="99"/>
    <w:pPr>
      <w:spacing w:after="120"/>
      <w:ind w:left="420"/>
    </w:pPr>
  </w:style>
  <w:style w:type="paragraph" w:styleId="22">
    <w:name w:val="envelope return"/>
    <w:basedOn w:val="1"/>
    <w:qFormat/>
    <w:uiPriority w:val="0"/>
    <w:rPr>
      <w:rFonts w:ascii="Arial" w:hAnsi="Arial"/>
    </w:rPr>
  </w:style>
  <w:style w:type="paragraph" w:styleId="23">
    <w:name w:val="Block Text"/>
    <w:basedOn w:val="1"/>
    <w:qFormat/>
    <w:uiPriority w:val="6"/>
    <w:pPr>
      <w:ind w:left="420" w:right="33"/>
      <w:jc w:val="left"/>
    </w:pPr>
    <w:rPr>
      <w:sz w:val="24"/>
      <w:szCs w:val="20"/>
    </w:rPr>
  </w:style>
  <w:style w:type="paragraph" w:styleId="24">
    <w:name w:val="HTML Address"/>
    <w:basedOn w:val="1"/>
    <w:link w:val="404"/>
    <w:qFormat/>
    <w:uiPriority w:val="0"/>
    <w:rPr>
      <w:rFonts w:ascii="宋体"/>
      <w:i/>
      <w:iCs/>
      <w:sz w:val="20"/>
      <w:szCs w:val="21"/>
    </w:rPr>
  </w:style>
  <w:style w:type="paragraph" w:styleId="25">
    <w:name w:val="toc 5"/>
    <w:basedOn w:val="1"/>
    <w:next w:val="1"/>
    <w:unhideWhenUsed/>
    <w:qFormat/>
    <w:uiPriority w:val="39"/>
    <w:pPr>
      <w:spacing w:after="57"/>
      <w:ind w:left="1134"/>
    </w:pPr>
  </w:style>
  <w:style w:type="paragraph" w:styleId="26">
    <w:name w:val="toc 3"/>
    <w:basedOn w:val="1"/>
    <w:next w:val="1"/>
    <w:unhideWhenUsed/>
    <w:qFormat/>
    <w:uiPriority w:val="39"/>
    <w:pPr>
      <w:spacing w:after="57"/>
      <w:ind w:left="567"/>
    </w:pPr>
  </w:style>
  <w:style w:type="paragraph" w:styleId="27">
    <w:name w:val="Plain Text"/>
    <w:basedOn w:val="1"/>
    <w:link w:val="283"/>
    <w:qFormat/>
    <w:uiPriority w:val="0"/>
    <w:rPr>
      <w:rFonts w:ascii="宋体" w:hAnsi="Courier New"/>
      <w:szCs w:val="21"/>
    </w:rPr>
  </w:style>
  <w:style w:type="paragraph" w:styleId="28">
    <w:name w:val="toc 8"/>
    <w:basedOn w:val="1"/>
    <w:next w:val="1"/>
    <w:unhideWhenUsed/>
    <w:qFormat/>
    <w:uiPriority w:val="39"/>
    <w:pPr>
      <w:spacing w:after="57"/>
      <w:ind w:left="1984"/>
    </w:pPr>
  </w:style>
  <w:style w:type="paragraph" w:styleId="29">
    <w:name w:val="Date"/>
    <w:basedOn w:val="1"/>
    <w:next w:val="1"/>
    <w:link w:val="360"/>
    <w:qFormat/>
    <w:uiPriority w:val="99"/>
    <w:rPr>
      <w:sz w:val="24"/>
    </w:rPr>
  </w:style>
  <w:style w:type="paragraph" w:styleId="30">
    <w:name w:val="Body Text Indent 2"/>
    <w:basedOn w:val="1"/>
    <w:link w:val="337"/>
    <w:qFormat/>
    <w:uiPriority w:val="99"/>
    <w:pPr>
      <w:ind w:left="630" w:firstLine="645"/>
    </w:pPr>
    <w:rPr>
      <w:rFonts w:ascii="Arial" w:hAnsi="Arial" w:eastAsia="仿宋_GB2312"/>
      <w:sz w:val="32"/>
      <w:szCs w:val="32"/>
    </w:rPr>
  </w:style>
  <w:style w:type="paragraph" w:styleId="31">
    <w:name w:val="endnote text"/>
    <w:basedOn w:val="1"/>
    <w:link w:val="277"/>
    <w:unhideWhenUsed/>
    <w:qFormat/>
    <w:uiPriority w:val="0"/>
    <w:rPr>
      <w:sz w:val="20"/>
    </w:rPr>
  </w:style>
  <w:style w:type="paragraph" w:styleId="32">
    <w:name w:val="Balloon Text"/>
    <w:basedOn w:val="1"/>
    <w:link w:val="284"/>
    <w:qFormat/>
    <w:uiPriority w:val="99"/>
    <w:rPr>
      <w:sz w:val="18"/>
      <w:szCs w:val="18"/>
    </w:rPr>
  </w:style>
  <w:style w:type="paragraph" w:styleId="33">
    <w:name w:val="footer"/>
    <w:basedOn w:val="1"/>
    <w:link w:val="311"/>
    <w:unhideWhenUsed/>
    <w:qFormat/>
    <w:uiPriority w:val="99"/>
    <w:pPr>
      <w:tabs>
        <w:tab w:val="center" w:pos="4153"/>
        <w:tab w:val="right" w:pos="8306"/>
      </w:tabs>
      <w:jc w:val="left"/>
    </w:pPr>
    <w:rPr>
      <w:sz w:val="18"/>
      <w:szCs w:val="18"/>
    </w:rPr>
  </w:style>
  <w:style w:type="paragraph" w:styleId="34">
    <w:name w:val="header"/>
    <w:basedOn w:val="1"/>
    <w:link w:val="310"/>
    <w:unhideWhenUsed/>
    <w:qFormat/>
    <w:uiPriority w:val="99"/>
    <w:pPr>
      <w:pBdr>
        <w:bottom w:val="single" w:color="auto" w:sz="6" w:space="1"/>
      </w:pBdr>
      <w:tabs>
        <w:tab w:val="center" w:pos="4153"/>
        <w:tab w:val="right" w:pos="8306"/>
      </w:tabs>
      <w:jc w:val="center"/>
    </w:pPr>
    <w:rPr>
      <w:sz w:val="18"/>
      <w:szCs w:val="18"/>
    </w:rPr>
  </w:style>
  <w:style w:type="paragraph" w:styleId="35">
    <w:name w:val="toc 1"/>
    <w:basedOn w:val="1"/>
    <w:next w:val="1"/>
    <w:unhideWhenUsed/>
    <w:qFormat/>
    <w:uiPriority w:val="39"/>
    <w:pPr>
      <w:spacing w:after="57"/>
    </w:pPr>
  </w:style>
  <w:style w:type="paragraph" w:styleId="36">
    <w:name w:val="toc 4"/>
    <w:basedOn w:val="1"/>
    <w:next w:val="1"/>
    <w:unhideWhenUsed/>
    <w:qFormat/>
    <w:uiPriority w:val="39"/>
    <w:pPr>
      <w:spacing w:after="57"/>
      <w:ind w:left="850"/>
    </w:pPr>
  </w:style>
  <w:style w:type="paragraph" w:styleId="37">
    <w:name w:val="Subtitle"/>
    <w:basedOn w:val="1"/>
    <w:next w:val="1"/>
    <w:link w:val="141"/>
    <w:qFormat/>
    <w:uiPriority w:val="11"/>
    <w:pPr>
      <w:spacing w:before="200" w:after="200"/>
    </w:pPr>
    <w:rPr>
      <w:sz w:val="24"/>
    </w:rPr>
  </w:style>
  <w:style w:type="paragraph" w:styleId="38">
    <w:name w:val="footnote text"/>
    <w:basedOn w:val="1"/>
    <w:next w:val="15"/>
    <w:link w:val="276"/>
    <w:unhideWhenUsed/>
    <w:qFormat/>
    <w:uiPriority w:val="0"/>
    <w:pPr>
      <w:spacing w:after="40"/>
    </w:pPr>
    <w:rPr>
      <w:sz w:val="18"/>
    </w:rPr>
  </w:style>
  <w:style w:type="paragraph" w:styleId="39">
    <w:name w:val="toc 6"/>
    <w:basedOn w:val="1"/>
    <w:next w:val="1"/>
    <w:unhideWhenUsed/>
    <w:qFormat/>
    <w:uiPriority w:val="39"/>
    <w:pPr>
      <w:spacing w:after="57"/>
      <w:ind w:left="1417"/>
    </w:pPr>
  </w:style>
  <w:style w:type="paragraph" w:styleId="40">
    <w:name w:val="Body Text Indent 3"/>
    <w:basedOn w:val="1"/>
    <w:link w:val="339"/>
    <w:qFormat/>
    <w:uiPriority w:val="0"/>
    <w:pPr>
      <w:ind w:left="645" w:firstLine="645"/>
    </w:pPr>
    <w:rPr>
      <w:rFonts w:ascii="Arial" w:hAnsi="Arial" w:eastAsia="仿宋_GB2312"/>
      <w:color w:val="FFFF00"/>
      <w:sz w:val="32"/>
      <w:szCs w:val="32"/>
    </w:rPr>
  </w:style>
  <w:style w:type="paragraph" w:styleId="41">
    <w:name w:val="table of figures"/>
    <w:basedOn w:val="1"/>
    <w:next w:val="1"/>
    <w:unhideWhenUsed/>
    <w:qFormat/>
    <w:uiPriority w:val="99"/>
  </w:style>
  <w:style w:type="paragraph" w:styleId="42">
    <w:name w:val="toc 2"/>
    <w:basedOn w:val="1"/>
    <w:next w:val="1"/>
    <w:unhideWhenUsed/>
    <w:qFormat/>
    <w:uiPriority w:val="39"/>
    <w:pPr>
      <w:spacing w:after="57"/>
      <w:ind w:left="283"/>
    </w:pPr>
  </w:style>
  <w:style w:type="paragraph" w:styleId="43">
    <w:name w:val="toc 9"/>
    <w:basedOn w:val="1"/>
    <w:next w:val="1"/>
    <w:unhideWhenUsed/>
    <w:qFormat/>
    <w:uiPriority w:val="39"/>
    <w:pPr>
      <w:spacing w:after="57"/>
      <w:ind w:left="2268"/>
    </w:pPr>
  </w:style>
  <w:style w:type="paragraph" w:styleId="44">
    <w:name w:val="Body Text 2"/>
    <w:basedOn w:val="1"/>
    <w:link w:val="345"/>
    <w:qFormat/>
    <w:uiPriority w:val="0"/>
    <w:pPr>
      <w:widowControl/>
      <w:jc w:val="center"/>
    </w:pPr>
    <w:rPr>
      <w:rFonts w:ascii="楷体_GB2312" w:eastAsia="楷体_GB2312"/>
      <w:sz w:val="28"/>
      <w:szCs w:val="28"/>
    </w:rPr>
  </w:style>
  <w:style w:type="paragraph" w:styleId="45">
    <w:name w:val="HTML Preformatted"/>
    <w:basedOn w:val="1"/>
    <w:link w:val="42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46">
    <w:name w:val="Normal (Web)"/>
    <w:basedOn w:val="1"/>
    <w:link w:val="285"/>
    <w:qFormat/>
    <w:uiPriority w:val="0"/>
    <w:pPr>
      <w:widowControl/>
      <w:spacing w:before="100" w:beforeAutospacing="1" w:after="100" w:afterAutospacing="1"/>
      <w:jc w:val="left"/>
    </w:pPr>
    <w:rPr>
      <w:rFonts w:ascii="宋体" w:hAnsi="宋体"/>
      <w:sz w:val="24"/>
    </w:rPr>
  </w:style>
  <w:style w:type="paragraph" w:styleId="47">
    <w:name w:val="Title"/>
    <w:basedOn w:val="1"/>
    <w:next w:val="1"/>
    <w:link w:val="140"/>
    <w:qFormat/>
    <w:uiPriority w:val="10"/>
    <w:pPr>
      <w:spacing w:before="300" w:after="200"/>
      <w:contextualSpacing/>
    </w:pPr>
    <w:rPr>
      <w:sz w:val="48"/>
      <w:szCs w:val="48"/>
    </w:rPr>
  </w:style>
  <w:style w:type="paragraph" w:styleId="48">
    <w:name w:val="annotation subject"/>
    <w:basedOn w:val="18"/>
    <w:next w:val="18"/>
    <w:link w:val="286"/>
    <w:qFormat/>
    <w:uiPriority w:val="99"/>
    <w:rPr>
      <w:b/>
      <w:bCs/>
    </w:rPr>
  </w:style>
  <w:style w:type="paragraph" w:styleId="49">
    <w:name w:val="Body Text First Indent"/>
    <w:basedOn w:val="20"/>
    <w:link w:val="402"/>
    <w:qFormat/>
    <w:uiPriority w:val="0"/>
    <w:pPr>
      <w:spacing w:line="360" w:lineRule="auto"/>
      <w:ind w:firstLine="200"/>
    </w:pPr>
    <w:rPr>
      <w:rFonts w:ascii="仿宋_GB2312" w:eastAsia="仿宋_GB2312"/>
      <w:sz w:val="30"/>
      <w:szCs w:val="30"/>
    </w:rPr>
  </w:style>
  <w:style w:type="paragraph" w:styleId="50">
    <w:name w:val="Body Text First Indent 2"/>
    <w:basedOn w:val="21"/>
    <w:next w:val="1"/>
    <w:link w:val="367"/>
    <w:qFormat/>
    <w:uiPriority w:val="99"/>
    <w:pPr>
      <w:spacing w:after="0" w:line="360" w:lineRule="auto"/>
      <w:ind w:left="0" w:firstLine="420"/>
    </w:pPr>
    <w:rPr>
      <w:rFonts w:ascii="宋体" w:hAnsi="宋体"/>
    </w:r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qFormat/>
    <w:uiPriority w:val="22"/>
    <w:rPr>
      <w:b/>
      <w:sz w:val="21"/>
    </w:rPr>
  </w:style>
  <w:style w:type="character" w:styleId="55">
    <w:name w:val="endnote reference"/>
    <w:basedOn w:val="53"/>
    <w:semiHidden/>
    <w:unhideWhenUsed/>
    <w:qFormat/>
    <w:uiPriority w:val="99"/>
    <w:rPr>
      <w:vertAlign w:val="superscript"/>
    </w:rPr>
  </w:style>
  <w:style w:type="character" w:styleId="56">
    <w:name w:val="page number"/>
    <w:basedOn w:val="53"/>
    <w:qFormat/>
    <w:uiPriority w:val="0"/>
  </w:style>
  <w:style w:type="character" w:styleId="57">
    <w:name w:val="FollowedHyperlink"/>
    <w:basedOn w:val="53"/>
    <w:semiHidden/>
    <w:unhideWhenUsed/>
    <w:qFormat/>
    <w:uiPriority w:val="99"/>
    <w:rPr>
      <w:color w:val="954F72" w:themeColor="followedHyperlink"/>
      <w:u w:val="single"/>
      <w14:textFill>
        <w14:solidFill>
          <w14:schemeClr w14:val="folHlink"/>
        </w14:solidFill>
      </w14:textFill>
    </w:rPr>
  </w:style>
  <w:style w:type="character" w:styleId="58">
    <w:name w:val="Emphasis"/>
    <w:qFormat/>
    <w:uiPriority w:val="0"/>
    <w:rPr>
      <w:i/>
      <w:iCs/>
    </w:rPr>
  </w:style>
  <w:style w:type="character" w:styleId="59">
    <w:name w:val="Hyperlink"/>
    <w:unhideWhenUsed/>
    <w:qFormat/>
    <w:uiPriority w:val="0"/>
    <w:rPr>
      <w:color w:val="0563C1" w:themeColor="hyperlink"/>
      <w:u w:val="single"/>
      <w14:textFill>
        <w14:solidFill>
          <w14:schemeClr w14:val="hlink"/>
        </w14:solidFill>
      </w14:textFill>
    </w:rPr>
  </w:style>
  <w:style w:type="character" w:styleId="60">
    <w:name w:val="annotation reference"/>
    <w:qFormat/>
    <w:uiPriority w:val="0"/>
    <w:rPr>
      <w:sz w:val="21"/>
      <w:szCs w:val="21"/>
    </w:rPr>
  </w:style>
  <w:style w:type="character" w:styleId="61">
    <w:name w:val="footnote reference"/>
    <w:basedOn w:val="53"/>
    <w:unhideWhenUsed/>
    <w:qFormat/>
    <w:uiPriority w:val="99"/>
    <w:rPr>
      <w:vertAlign w:val="superscript"/>
    </w:rPr>
  </w:style>
  <w:style w:type="paragraph" w:customStyle="1" w:styleId="62">
    <w:name w:val="正文1"/>
    <w:basedOn w:val="63"/>
    <w:next w:val="1"/>
    <w:link w:val="509"/>
    <w:qFormat/>
    <w:uiPriority w:val="0"/>
    <w:pPr>
      <w:spacing w:line="360" w:lineRule="auto"/>
      <w:ind w:firstLine="361"/>
    </w:pPr>
    <w:rPr>
      <w:rFonts w:ascii="宋体" w:hAnsi="宋体" w:eastAsia="仿宋_GB2312"/>
      <w:sz w:val="24"/>
    </w:rPr>
  </w:style>
  <w:style w:type="paragraph" w:customStyle="1" w:styleId="63">
    <w:name w:val="正文11"/>
    <w:next w:val="64"/>
    <w:link w:val="510"/>
    <w:qFormat/>
    <w:uiPriority w:val="0"/>
    <w:pPr>
      <w:jc w:val="both"/>
    </w:pPr>
    <w:rPr>
      <w:rFonts w:hint="default" w:ascii="Times New Roman" w:hAnsi="Times New Roman" w:eastAsia="宋体" w:cs="Times New Roman"/>
      <w:lang w:val="en-US" w:eastAsia="zh-CN" w:bidi="ar-SA"/>
    </w:rPr>
  </w:style>
  <w:style w:type="paragraph" w:customStyle="1" w:styleId="64">
    <w:name w:val="文本块1"/>
    <w:basedOn w:val="65"/>
    <w:qFormat/>
    <w:uiPriority w:val="0"/>
    <w:pPr>
      <w:ind w:left="256" w:right="6" w:firstLine="624"/>
    </w:pPr>
    <w:rPr>
      <w:rFonts w:eastAsia="仿宋_GB2312"/>
      <w:sz w:val="28"/>
    </w:rPr>
  </w:style>
  <w:style w:type="paragraph" w:customStyle="1" w:styleId="65">
    <w:name w:val="正文111"/>
    <w:next w:val="6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6">
    <w:name w:val="正文首行缩进1"/>
    <w:basedOn w:val="67"/>
    <w:next w:val="73"/>
    <w:qFormat/>
    <w:uiPriority w:val="0"/>
    <w:pPr>
      <w:ind w:firstLine="420"/>
    </w:pPr>
    <w:rPr>
      <w:szCs w:val="22"/>
    </w:rPr>
  </w:style>
  <w:style w:type="paragraph" w:customStyle="1" w:styleId="67">
    <w:name w:val="正文文本11"/>
    <w:basedOn w:val="68"/>
    <w:next w:val="69"/>
    <w:qFormat/>
    <w:uiPriority w:val="0"/>
    <w:pPr>
      <w:spacing w:after="120"/>
    </w:pPr>
  </w:style>
  <w:style w:type="paragraph" w:customStyle="1" w:styleId="68">
    <w:name w:val="正文112"/>
    <w:next w:val="6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9">
    <w:name w:val="一级条标题"/>
    <w:basedOn w:val="70"/>
    <w:next w:val="71"/>
    <w:link w:val="365"/>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70">
    <w:name w:val="章标题"/>
    <w:next w:val="1"/>
    <w:link w:val="435"/>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71">
    <w:name w:val="段"/>
    <w:basedOn w:val="72"/>
    <w:next w:val="1"/>
    <w:qFormat/>
    <w:uiPriority w:val="0"/>
    <w:pPr>
      <w:ind w:firstLine="200"/>
    </w:pPr>
    <w:rPr>
      <w:rFonts w:hint="eastAsia" w:ascii="宋体"/>
    </w:rPr>
  </w:style>
  <w:style w:type="paragraph" w:customStyle="1" w:styleId="72">
    <w:name w:val="正文13"/>
    <w:next w:val="6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73">
    <w:name w:val="正文首行缩进 21"/>
    <w:basedOn w:val="74"/>
    <w:next w:val="65"/>
    <w:qFormat/>
    <w:uiPriority w:val="0"/>
    <w:pPr>
      <w:widowControl/>
      <w:ind w:firstLine="420"/>
    </w:pPr>
    <w:rPr>
      <w:rFonts w:ascii="仿宋_GB2312"/>
      <w:color w:val="FF6600"/>
      <w:sz w:val="21"/>
    </w:rPr>
  </w:style>
  <w:style w:type="paragraph" w:customStyle="1" w:styleId="74">
    <w:name w:val="正文文本缩进1"/>
    <w:basedOn w:val="63"/>
    <w:qFormat/>
    <w:uiPriority w:val="0"/>
    <w:pPr>
      <w:spacing w:after="120"/>
      <w:ind w:left="420"/>
    </w:pPr>
  </w:style>
  <w:style w:type="table" w:customStyle="1" w:styleId="75">
    <w:name w:val="Plain Table 1"/>
    <w:basedOn w:val="5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6">
    <w:name w:val="Plain Table 2"/>
    <w:basedOn w:val="51"/>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7">
    <w:name w:val="Plain Table 3"/>
    <w:basedOn w:val="51"/>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Plain Table 4"/>
    <w:basedOn w:val="51"/>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9">
    <w:name w:val="Plain Table 5"/>
    <w:basedOn w:val="51"/>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0">
    <w:name w:val="Grid Table 1 Light"/>
    <w:basedOn w:val="51"/>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1">
    <w:name w:val="Grid Table 2"/>
    <w:basedOn w:val="5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3"/>
    <w:basedOn w:val="5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w:basedOn w:val="51"/>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5 Dark"/>
    <w:basedOn w:val="5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5">
    <w:name w:val="Grid Table 6 Colorful"/>
    <w:basedOn w:val="51"/>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6">
    <w:name w:val="Grid Table 7 Colorful"/>
    <w:basedOn w:val="51"/>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7">
    <w:name w:val="List Table 1 Light"/>
    <w:basedOn w:val="51"/>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88">
    <w:name w:val="List Table 2"/>
    <w:basedOn w:val="51"/>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9">
    <w:name w:val="List Table 3"/>
    <w:basedOn w:val="5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90">
    <w:name w:val="List Table 4"/>
    <w:basedOn w:val="5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91">
    <w:name w:val="List Table 5 Dark"/>
    <w:basedOn w:val="51"/>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92">
    <w:name w:val="List Table 6 Colorful"/>
    <w:basedOn w:val="51"/>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93">
    <w:name w:val="List Table 7 Colorful"/>
    <w:basedOn w:val="51"/>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94">
    <w:name w:val="TOC Heading"/>
    <w:unhideWhenUsed/>
    <w:qFormat/>
    <w:uiPriority w:val="39"/>
    <w:rPr>
      <w:rFonts w:hint="default" w:ascii="Times New Roman" w:hAnsi="Times New Roman" w:eastAsia="宋体" w:cs="Times New Roman"/>
    </w:rPr>
  </w:style>
  <w:style w:type="paragraph" w:customStyle="1" w:styleId="95">
    <w:name w:val="标题 41"/>
    <w:basedOn w:val="96"/>
    <w:next w:val="63"/>
    <w:link w:val="129"/>
    <w:qFormat/>
    <w:uiPriority w:val="0"/>
    <w:pPr>
      <w:keepNext/>
      <w:keepLines/>
      <w:spacing w:before="280" w:after="290" w:line="376" w:lineRule="auto"/>
      <w:outlineLvl w:val="3"/>
    </w:pPr>
    <w:rPr>
      <w:rFonts w:ascii="Arial" w:hAnsi="Arial" w:eastAsia="黑体"/>
      <w:b/>
      <w:bCs/>
      <w:sz w:val="28"/>
      <w:szCs w:val="28"/>
    </w:rPr>
  </w:style>
  <w:style w:type="paragraph" w:customStyle="1" w:styleId="96">
    <w:name w:val="正文12"/>
    <w:next w:val="97"/>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97">
    <w:name w:val="脚注文本1"/>
    <w:basedOn w:val="62"/>
    <w:next w:val="98"/>
    <w:qFormat/>
    <w:uiPriority w:val="0"/>
    <w:rPr>
      <w:sz w:val="18"/>
      <w:szCs w:val="18"/>
    </w:rPr>
  </w:style>
  <w:style w:type="paragraph" w:customStyle="1" w:styleId="98">
    <w:name w:val="索引 51"/>
    <w:basedOn w:val="96"/>
    <w:next w:val="62"/>
    <w:qFormat/>
    <w:uiPriority w:val="0"/>
    <w:pPr>
      <w:ind w:left="798"/>
      <w:jc w:val="left"/>
    </w:pPr>
  </w:style>
  <w:style w:type="paragraph" w:customStyle="1" w:styleId="99">
    <w:name w:val="正文文本1"/>
    <w:basedOn w:val="100"/>
    <w:next w:val="69"/>
    <w:qFormat/>
    <w:uiPriority w:val="0"/>
    <w:pPr>
      <w:ind w:left="1540"/>
    </w:pPr>
    <w:rPr>
      <w:sz w:val="24"/>
    </w:rPr>
  </w:style>
  <w:style w:type="paragraph" w:customStyle="1" w:styleId="100">
    <w:name w:val="正文1111"/>
    <w:next w:val="10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01">
    <w:name w:val="标题 211"/>
    <w:basedOn w:val="63"/>
    <w:next w:val="100"/>
    <w:qFormat/>
    <w:uiPriority w:val="0"/>
    <w:pPr>
      <w:keepNext/>
      <w:keepLines/>
      <w:spacing w:before="260" w:after="260" w:line="416" w:lineRule="auto"/>
      <w:outlineLvl w:val="1"/>
    </w:pPr>
    <w:rPr>
      <w:rFonts w:ascii="Calibri Light" w:hAnsi="Calibri Light"/>
      <w:b/>
      <w:bCs/>
      <w:sz w:val="32"/>
      <w:szCs w:val="32"/>
    </w:rPr>
  </w:style>
  <w:style w:type="paragraph" w:customStyle="1" w:styleId="102">
    <w:name w:val="寄信人地址1"/>
    <w:basedOn w:val="63"/>
    <w:qFormat/>
    <w:uiPriority w:val="0"/>
    <w:rPr>
      <w:rFonts w:ascii="Arial" w:hAnsi="Arial"/>
    </w:rPr>
  </w:style>
  <w:style w:type="paragraph" w:customStyle="1" w:styleId="103">
    <w:name w:val="正文首行缩进 211"/>
    <w:basedOn w:val="104"/>
    <w:next w:val="68"/>
    <w:qFormat/>
    <w:uiPriority w:val="0"/>
    <w:pPr>
      <w:ind w:firstLine="420"/>
    </w:pPr>
    <w:rPr>
      <w:rFonts w:ascii="Times New Roman" w:hAnsi="Times New Roman"/>
    </w:rPr>
  </w:style>
  <w:style w:type="paragraph" w:customStyle="1" w:styleId="104">
    <w:name w:val="正文文本缩进11"/>
    <w:basedOn w:val="63"/>
    <w:next w:val="68"/>
    <w:qFormat/>
    <w:uiPriority w:val="0"/>
    <w:pPr>
      <w:spacing w:after="120"/>
      <w:ind w:left="420"/>
    </w:pPr>
    <w:rPr>
      <w:rFonts w:ascii="Calibri" w:hAnsi="Calibri"/>
    </w:rPr>
  </w:style>
  <w:style w:type="paragraph" w:customStyle="1" w:styleId="105">
    <w:name w:val="标题 111"/>
    <w:basedOn w:val="63"/>
    <w:next w:val="63"/>
    <w:qFormat/>
    <w:uiPriority w:val="0"/>
    <w:pPr>
      <w:keepNext/>
      <w:keepLines/>
      <w:spacing w:line="578" w:lineRule="auto"/>
      <w:jc w:val="center"/>
      <w:outlineLvl w:val="0"/>
    </w:pPr>
    <w:rPr>
      <w:rFonts w:eastAsia="新宋体"/>
      <w:b/>
      <w:bCs/>
      <w:sz w:val="30"/>
      <w:szCs w:val="44"/>
    </w:rPr>
  </w:style>
  <w:style w:type="paragraph" w:styleId="106">
    <w:name w:val="List Paragraph"/>
    <w:basedOn w:val="1"/>
    <w:link w:val="308"/>
    <w:qFormat/>
    <w:uiPriority w:val="0"/>
    <w:pPr>
      <w:ind w:left="720"/>
      <w:contextualSpacing/>
    </w:pPr>
  </w:style>
  <w:style w:type="paragraph" w:customStyle="1" w:styleId="107">
    <w:name w:val="目录 11"/>
    <w:basedOn w:val="96"/>
    <w:next w:val="63"/>
    <w:qFormat/>
    <w:uiPriority w:val="0"/>
  </w:style>
  <w:style w:type="paragraph" w:customStyle="1" w:styleId="108">
    <w:name w:val="正文文本111"/>
    <w:basedOn w:val="96"/>
    <w:next w:val="96"/>
    <w:qFormat/>
    <w:uiPriority w:val="0"/>
  </w:style>
  <w:style w:type="paragraph" w:customStyle="1" w:styleId="109">
    <w:name w:val="正文首行缩进11"/>
    <w:basedOn w:val="67"/>
    <w:next w:val="103"/>
    <w:qFormat/>
    <w:uiPriority w:val="0"/>
    <w:pPr>
      <w:ind w:firstLine="420"/>
    </w:pPr>
    <w:rPr>
      <w:rFonts w:ascii="仿宋_GB2312" w:eastAsia="仿宋_GB2312"/>
      <w:sz w:val="30"/>
      <w:szCs w:val="30"/>
    </w:rPr>
  </w:style>
  <w:style w:type="paragraph" w:customStyle="1" w:styleId="110">
    <w:name w:val="寄信人地址11"/>
    <w:basedOn w:val="63"/>
    <w:qFormat/>
    <w:uiPriority w:val="0"/>
    <w:rPr>
      <w:rFonts w:ascii="Arial" w:hAnsi="Arial"/>
    </w:rPr>
  </w:style>
  <w:style w:type="paragraph" w:customStyle="1" w:styleId="111">
    <w:name w:val="Default"/>
    <w:qFormat/>
    <w:uiPriority w:val="0"/>
    <w:pPr>
      <w:widowControl w:val="0"/>
    </w:pPr>
    <w:rPr>
      <w:rFonts w:hint="default" w:ascii="Times New Roman" w:hAnsi="Times New Roman" w:eastAsia="宋体" w:cs="Times New Roman"/>
      <w:color w:val="000000"/>
      <w:sz w:val="24"/>
      <w:szCs w:val="24"/>
      <w:lang w:val="en-US" w:eastAsia="zh-CN" w:bidi="ar-SA"/>
    </w:rPr>
  </w:style>
  <w:style w:type="paragraph" w:customStyle="1" w:styleId="112">
    <w:name w:val="列表段落1"/>
    <w:basedOn w:val="62"/>
    <w:next w:val="1"/>
    <w:qFormat/>
    <w:uiPriority w:val="0"/>
    <w:pPr>
      <w:ind w:firstLine="420"/>
    </w:pPr>
  </w:style>
  <w:style w:type="paragraph" w:customStyle="1" w:styleId="113">
    <w:name w:val="标题 21"/>
    <w:basedOn w:val="62"/>
    <w:next w:val="63"/>
    <w:link w:val="281"/>
    <w:qFormat/>
    <w:uiPriority w:val="9"/>
    <w:pPr>
      <w:keepNext/>
      <w:keepLines/>
      <w:numPr>
        <w:ilvl w:val="0"/>
        <w:numId w:val="1"/>
      </w:numPr>
      <w:spacing w:before="260" w:after="260" w:line="416" w:lineRule="auto"/>
      <w:outlineLvl w:val="1"/>
    </w:pPr>
    <w:rPr>
      <w:rFonts w:ascii="Cambria" w:hAnsi="Cambria"/>
      <w:b/>
      <w:bCs/>
      <w:sz w:val="28"/>
      <w:szCs w:val="32"/>
    </w:rPr>
  </w:style>
  <w:style w:type="paragraph" w:customStyle="1" w:styleId="114">
    <w:name w:val="正文113"/>
    <w:next w:val="11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15">
    <w:name w:val="目录 21"/>
    <w:basedOn w:val="114"/>
    <w:next w:val="114"/>
    <w:qFormat/>
    <w:uiPriority w:val="0"/>
    <w:pPr>
      <w:ind w:left="240"/>
      <w:jc w:val="left"/>
    </w:pPr>
    <w:rPr>
      <w:rFonts w:ascii="等线" w:eastAsia="等线"/>
      <w:smallCaps/>
      <w:sz w:val="20"/>
      <w:szCs w:val="20"/>
    </w:rPr>
  </w:style>
  <w:style w:type="paragraph" w:customStyle="1" w:styleId="116">
    <w:name w:val="文本块11"/>
    <w:basedOn w:val="96"/>
    <w:qFormat/>
    <w:uiPriority w:val="0"/>
    <w:pPr>
      <w:ind w:left="256" w:right="6" w:firstLine="624"/>
    </w:pPr>
    <w:rPr>
      <w:rFonts w:ascii="Arial" w:hAnsi="Arial" w:eastAsia="仿宋"/>
      <w:sz w:val="28"/>
    </w:rPr>
  </w:style>
  <w:style w:type="character" w:customStyle="1" w:styleId="117">
    <w:name w:val="Title Char"/>
    <w:basedOn w:val="53"/>
    <w:qFormat/>
    <w:uiPriority w:val="10"/>
    <w:rPr>
      <w:sz w:val="48"/>
      <w:szCs w:val="48"/>
    </w:rPr>
  </w:style>
  <w:style w:type="character" w:customStyle="1" w:styleId="118">
    <w:name w:val="Subtitle Char"/>
    <w:basedOn w:val="53"/>
    <w:qFormat/>
    <w:uiPriority w:val="11"/>
    <w:rPr>
      <w:sz w:val="24"/>
      <w:szCs w:val="24"/>
    </w:rPr>
  </w:style>
  <w:style w:type="character" w:customStyle="1" w:styleId="119">
    <w:name w:val="Quote Char"/>
    <w:qFormat/>
    <w:uiPriority w:val="29"/>
    <w:rPr>
      <w:i/>
    </w:rPr>
  </w:style>
  <w:style w:type="character" w:customStyle="1" w:styleId="120">
    <w:name w:val="Intense Quote Char"/>
    <w:qFormat/>
    <w:uiPriority w:val="30"/>
    <w:rPr>
      <w:i/>
    </w:rPr>
  </w:style>
  <w:style w:type="character" w:customStyle="1" w:styleId="121">
    <w:name w:val="Footnote Text Char"/>
    <w:qFormat/>
    <w:uiPriority w:val="99"/>
    <w:rPr>
      <w:sz w:val="18"/>
    </w:rPr>
  </w:style>
  <w:style w:type="character" w:customStyle="1" w:styleId="122">
    <w:name w:val="Endnote Text Char"/>
    <w:qFormat/>
    <w:uiPriority w:val="99"/>
    <w:rPr>
      <w:sz w:val="20"/>
    </w:rPr>
  </w:style>
  <w:style w:type="paragraph" w:customStyle="1" w:styleId="123">
    <w:name w:val="TOC 标题1"/>
    <w:unhideWhenUsed/>
    <w:qFormat/>
    <w:uiPriority w:val="39"/>
    <w:rPr>
      <w:rFonts w:hint="default" w:ascii="Times New Roman" w:hAnsi="Times New Roman" w:eastAsia="宋体" w:cs="Times New Roman"/>
      <w:lang w:val="en-US" w:eastAsia="zh-CN" w:bidi="ar-SA"/>
    </w:rPr>
  </w:style>
  <w:style w:type="character" w:customStyle="1" w:styleId="124">
    <w:name w:val="Heading 1 Char"/>
    <w:basedOn w:val="53"/>
    <w:link w:val="125"/>
    <w:qFormat/>
    <w:uiPriority w:val="9"/>
    <w:rPr>
      <w:rFonts w:ascii="Arial" w:hAnsi="Arial" w:eastAsia="Arial" w:cs="Arial"/>
      <w:sz w:val="40"/>
      <w:szCs w:val="40"/>
    </w:rPr>
  </w:style>
  <w:style w:type="paragraph" w:customStyle="1" w:styleId="125">
    <w:name w:val="标题 11"/>
    <w:basedOn w:val="1"/>
    <w:next w:val="1"/>
    <w:link w:val="124"/>
    <w:qFormat/>
    <w:uiPriority w:val="0"/>
    <w:pPr>
      <w:keepNext/>
      <w:keepLines/>
      <w:spacing w:before="340" w:after="330" w:line="578" w:lineRule="auto"/>
      <w:jc w:val="center"/>
      <w:outlineLvl w:val="0"/>
    </w:pPr>
    <w:rPr>
      <w:rFonts w:eastAsia="仿宋"/>
      <w:bCs/>
      <w:sz w:val="30"/>
      <w:szCs w:val="44"/>
    </w:rPr>
  </w:style>
  <w:style w:type="character" w:customStyle="1" w:styleId="126">
    <w:name w:val="Heading 2 Char"/>
    <w:basedOn w:val="53"/>
    <w:qFormat/>
    <w:uiPriority w:val="9"/>
    <w:rPr>
      <w:rFonts w:ascii="Arial" w:hAnsi="Arial" w:eastAsia="Arial" w:cs="Arial"/>
      <w:sz w:val="34"/>
    </w:rPr>
  </w:style>
  <w:style w:type="paragraph" w:customStyle="1" w:styleId="127">
    <w:name w:val="标题 31"/>
    <w:basedOn w:val="63"/>
    <w:next w:val="63"/>
    <w:link w:val="128"/>
    <w:unhideWhenUsed/>
    <w:qFormat/>
    <w:uiPriority w:val="9"/>
    <w:pPr>
      <w:keepNext/>
      <w:keepLines/>
      <w:spacing w:before="320" w:after="200"/>
      <w:outlineLvl w:val="2"/>
    </w:pPr>
    <w:rPr>
      <w:rFonts w:ascii="Arial" w:hAnsi="Arial" w:eastAsia="Arial" w:cs="Arial"/>
      <w:sz w:val="30"/>
      <w:szCs w:val="30"/>
    </w:rPr>
  </w:style>
  <w:style w:type="character" w:customStyle="1" w:styleId="128">
    <w:name w:val="Heading 3 Char"/>
    <w:basedOn w:val="53"/>
    <w:link w:val="127"/>
    <w:qFormat/>
    <w:uiPriority w:val="9"/>
    <w:rPr>
      <w:rFonts w:ascii="Arial" w:hAnsi="Arial" w:eastAsia="Arial" w:cs="Arial"/>
      <w:sz w:val="30"/>
      <w:szCs w:val="30"/>
    </w:rPr>
  </w:style>
  <w:style w:type="character" w:customStyle="1" w:styleId="129">
    <w:name w:val="Heading 4 Char"/>
    <w:basedOn w:val="53"/>
    <w:link w:val="95"/>
    <w:qFormat/>
    <w:uiPriority w:val="9"/>
    <w:rPr>
      <w:rFonts w:ascii="Arial" w:hAnsi="Arial" w:eastAsia="Arial" w:cs="Arial"/>
      <w:b/>
      <w:bCs/>
      <w:sz w:val="26"/>
      <w:szCs w:val="26"/>
    </w:rPr>
  </w:style>
  <w:style w:type="character" w:customStyle="1" w:styleId="130">
    <w:name w:val="Heading 5 Char"/>
    <w:basedOn w:val="53"/>
    <w:qFormat/>
    <w:uiPriority w:val="9"/>
    <w:rPr>
      <w:rFonts w:ascii="Arial" w:hAnsi="Arial" w:eastAsia="Arial" w:cs="Arial"/>
      <w:b/>
      <w:bCs/>
      <w:sz w:val="24"/>
      <w:szCs w:val="24"/>
    </w:rPr>
  </w:style>
  <w:style w:type="paragraph" w:customStyle="1" w:styleId="131">
    <w:name w:val="标题 61"/>
    <w:basedOn w:val="1"/>
    <w:next w:val="1"/>
    <w:link w:val="132"/>
    <w:unhideWhenUsed/>
    <w:qFormat/>
    <w:uiPriority w:val="9"/>
    <w:pPr>
      <w:keepNext/>
      <w:keepLines/>
      <w:spacing w:before="320" w:after="200"/>
      <w:outlineLvl w:val="5"/>
    </w:pPr>
    <w:rPr>
      <w:rFonts w:ascii="Arial" w:hAnsi="Arial" w:eastAsia="Arial" w:cs="Arial"/>
      <w:b/>
      <w:bCs/>
      <w:sz w:val="22"/>
      <w:szCs w:val="22"/>
    </w:rPr>
  </w:style>
  <w:style w:type="character" w:customStyle="1" w:styleId="132">
    <w:name w:val="Heading 6 Char"/>
    <w:basedOn w:val="53"/>
    <w:link w:val="131"/>
    <w:qFormat/>
    <w:uiPriority w:val="9"/>
    <w:rPr>
      <w:rFonts w:ascii="Arial" w:hAnsi="Arial" w:eastAsia="Arial" w:cs="Arial"/>
      <w:b/>
      <w:bCs/>
      <w:sz w:val="22"/>
      <w:szCs w:val="22"/>
    </w:rPr>
  </w:style>
  <w:style w:type="paragraph" w:customStyle="1" w:styleId="133">
    <w:name w:val="标题 71"/>
    <w:basedOn w:val="1"/>
    <w:next w:val="1"/>
    <w:link w:val="134"/>
    <w:unhideWhenUsed/>
    <w:qFormat/>
    <w:uiPriority w:val="9"/>
    <w:pPr>
      <w:keepNext/>
      <w:keepLines/>
      <w:spacing w:before="320" w:after="200"/>
      <w:outlineLvl w:val="6"/>
    </w:pPr>
    <w:rPr>
      <w:rFonts w:ascii="Arial" w:hAnsi="Arial" w:eastAsia="Arial" w:cs="Arial"/>
      <w:b/>
      <w:bCs/>
      <w:i/>
      <w:iCs/>
      <w:sz w:val="22"/>
      <w:szCs w:val="22"/>
    </w:rPr>
  </w:style>
  <w:style w:type="character" w:customStyle="1" w:styleId="134">
    <w:name w:val="Heading 7 Char"/>
    <w:basedOn w:val="53"/>
    <w:link w:val="133"/>
    <w:qFormat/>
    <w:uiPriority w:val="9"/>
    <w:rPr>
      <w:rFonts w:ascii="Arial" w:hAnsi="Arial" w:eastAsia="Arial" w:cs="Arial"/>
      <w:b/>
      <w:bCs/>
      <w:i/>
      <w:iCs/>
      <w:sz w:val="22"/>
      <w:szCs w:val="22"/>
    </w:rPr>
  </w:style>
  <w:style w:type="paragraph" w:customStyle="1" w:styleId="135">
    <w:name w:val="标题 81"/>
    <w:basedOn w:val="1"/>
    <w:next w:val="1"/>
    <w:link w:val="136"/>
    <w:unhideWhenUsed/>
    <w:qFormat/>
    <w:uiPriority w:val="9"/>
    <w:pPr>
      <w:keepNext/>
      <w:keepLines/>
      <w:spacing w:before="320" w:after="200"/>
      <w:outlineLvl w:val="7"/>
    </w:pPr>
    <w:rPr>
      <w:rFonts w:ascii="Arial" w:hAnsi="Arial" w:eastAsia="Arial" w:cs="Arial"/>
      <w:i/>
      <w:iCs/>
      <w:sz w:val="22"/>
      <w:szCs w:val="22"/>
    </w:rPr>
  </w:style>
  <w:style w:type="character" w:customStyle="1" w:styleId="136">
    <w:name w:val="Heading 8 Char"/>
    <w:basedOn w:val="53"/>
    <w:link w:val="135"/>
    <w:qFormat/>
    <w:uiPriority w:val="9"/>
    <w:rPr>
      <w:rFonts w:ascii="Arial" w:hAnsi="Arial" w:eastAsia="Arial" w:cs="Arial"/>
      <w:i/>
      <w:iCs/>
      <w:sz w:val="22"/>
      <w:szCs w:val="22"/>
    </w:rPr>
  </w:style>
  <w:style w:type="paragraph" w:customStyle="1" w:styleId="137">
    <w:name w:val="标题 91"/>
    <w:basedOn w:val="1"/>
    <w:next w:val="1"/>
    <w:link w:val="138"/>
    <w:unhideWhenUsed/>
    <w:qFormat/>
    <w:uiPriority w:val="9"/>
    <w:pPr>
      <w:keepNext/>
      <w:keepLines/>
      <w:spacing w:before="320" w:after="200"/>
      <w:outlineLvl w:val="8"/>
    </w:pPr>
    <w:rPr>
      <w:rFonts w:ascii="Arial" w:hAnsi="Arial" w:eastAsia="Arial" w:cs="Arial"/>
      <w:i/>
      <w:iCs/>
      <w:szCs w:val="21"/>
    </w:rPr>
  </w:style>
  <w:style w:type="character" w:customStyle="1" w:styleId="138">
    <w:name w:val="Heading 9 Char"/>
    <w:basedOn w:val="53"/>
    <w:link w:val="137"/>
    <w:qFormat/>
    <w:uiPriority w:val="9"/>
    <w:rPr>
      <w:rFonts w:ascii="Arial" w:hAnsi="Arial" w:eastAsia="Arial" w:cs="Arial"/>
      <w:i/>
      <w:iCs/>
      <w:sz w:val="21"/>
      <w:szCs w:val="21"/>
    </w:rPr>
  </w:style>
  <w:style w:type="paragraph" w:styleId="139">
    <w:name w:val="No Spacing"/>
    <w:qFormat/>
    <w:uiPriority w:val="1"/>
    <w:rPr>
      <w:rFonts w:hint="default" w:ascii="Times New Roman" w:hAnsi="Times New Roman" w:eastAsia="宋体" w:cs="Times New Roman"/>
      <w:lang w:val="en-US" w:eastAsia="zh-CN" w:bidi="ar-SA"/>
    </w:rPr>
  </w:style>
  <w:style w:type="character" w:customStyle="1" w:styleId="140">
    <w:name w:val="标题 字符1"/>
    <w:basedOn w:val="53"/>
    <w:link w:val="47"/>
    <w:qFormat/>
    <w:uiPriority w:val="10"/>
    <w:rPr>
      <w:sz w:val="48"/>
      <w:szCs w:val="48"/>
    </w:rPr>
  </w:style>
  <w:style w:type="character" w:customStyle="1" w:styleId="141">
    <w:name w:val="副标题 字符"/>
    <w:basedOn w:val="53"/>
    <w:link w:val="37"/>
    <w:qFormat/>
    <w:uiPriority w:val="11"/>
    <w:rPr>
      <w:sz w:val="24"/>
      <w:szCs w:val="24"/>
    </w:rPr>
  </w:style>
  <w:style w:type="paragraph" w:styleId="142">
    <w:name w:val="Quote"/>
    <w:basedOn w:val="1"/>
    <w:next w:val="1"/>
    <w:link w:val="143"/>
    <w:qFormat/>
    <w:uiPriority w:val="29"/>
    <w:pPr>
      <w:ind w:left="720" w:right="720"/>
    </w:pPr>
    <w:rPr>
      <w:i/>
    </w:rPr>
  </w:style>
  <w:style w:type="character" w:customStyle="1" w:styleId="143">
    <w:name w:val="引用 字符"/>
    <w:link w:val="142"/>
    <w:qFormat/>
    <w:uiPriority w:val="29"/>
    <w:rPr>
      <w:i/>
    </w:rPr>
  </w:style>
  <w:style w:type="paragraph" w:styleId="144">
    <w:name w:val="Intense Quote"/>
    <w:basedOn w:val="1"/>
    <w:next w:val="1"/>
    <w:link w:val="14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45">
    <w:name w:val="明显引用 字符"/>
    <w:link w:val="144"/>
    <w:qFormat/>
    <w:uiPriority w:val="30"/>
    <w:rPr>
      <w:i/>
    </w:rPr>
  </w:style>
  <w:style w:type="character" w:customStyle="1" w:styleId="146">
    <w:name w:val="Header Char"/>
    <w:basedOn w:val="53"/>
    <w:link w:val="147"/>
    <w:qFormat/>
    <w:uiPriority w:val="99"/>
  </w:style>
  <w:style w:type="paragraph" w:customStyle="1" w:styleId="147">
    <w:name w:val="页眉1"/>
    <w:basedOn w:val="1"/>
    <w:link w:val="146"/>
    <w:qFormat/>
    <w:uiPriority w:val="0"/>
    <w:pPr>
      <w:pBdr>
        <w:bottom w:val="single" w:color="auto" w:sz="6" w:space="1"/>
      </w:pBdr>
      <w:tabs>
        <w:tab w:val="center" w:pos="4153"/>
        <w:tab w:val="right" w:pos="8306"/>
      </w:tabs>
      <w:jc w:val="center"/>
    </w:pPr>
    <w:rPr>
      <w:sz w:val="18"/>
      <w:szCs w:val="18"/>
    </w:rPr>
  </w:style>
  <w:style w:type="character" w:customStyle="1" w:styleId="148">
    <w:name w:val="Footer Char"/>
    <w:basedOn w:val="53"/>
    <w:qFormat/>
    <w:uiPriority w:val="99"/>
  </w:style>
  <w:style w:type="paragraph" w:customStyle="1" w:styleId="149">
    <w:name w:val="题注1"/>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character" w:customStyle="1" w:styleId="150">
    <w:name w:val="Caption Char"/>
    <w:qFormat/>
    <w:uiPriority w:val="99"/>
  </w:style>
  <w:style w:type="table" w:customStyle="1" w:styleId="151">
    <w:name w:val="Table Grid Light"/>
    <w:basedOn w:val="5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152">
    <w:name w:val="无格式表格 11"/>
    <w:basedOn w:val="5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53">
    <w:name w:val="无格式表格 21"/>
    <w:basedOn w:val="5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54">
    <w:name w:val="无格式表格 31"/>
    <w:basedOn w:val="51"/>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55">
    <w:name w:val="无格式表格 41"/>
    <w:basedOn w:val="51"/>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56">
    <w:name w:val="无格式表格 51"/>
    <w:basedOn w:val="51"/>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57">
    <w:name w:val="网格表 1 浅色1"/>
    <w:basedOn w:val="5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58">
    <w:name w:val="Grid Table 1 Light - Accent 1"/>
    <w:basedOn w:val="51"/>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59">
    <w:name w:val="Grid Table 1 Light - Accent 2"/>
    <w:basedOn w:val="51"/>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60">
    <w:name w:val="Grid Table 1 Light - Accent 3"/>
    <w:basedOn w:val="51"/>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61">
    <w:name w:val="Grid Table 1 Light - Accent 4"/>
    <w:basedOn w:val="51"/>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62">
    <w:name w:val="Grid Table 1 Light - Accent 5"/>
    <w:basedOn w:val="51"/>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63">
    <w:name w:val="Grid Table 1 Light - Accent 6"/>
    <w:basedOn w:val="51"/>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164">
    <w:name w:val="网格表 21"/>
    <w:basedOn w:val="5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65">
    <w:name w:val="Grid Table 2 - Accent 1"/>
    <w:basedOn w:val="51"/>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166">
    <w:name w:val="Grid Table 2 - Accent 2"/>
    <w:basedOn w:val="51"/>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67">
    <w:name w:val="Grid Table 2 - Accent 3"/>
    <w:basedOn w:val="51"/>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68">
    <w:name w:val="Grid Table 2 - Accent 4"/>
    <w:basedOn w:val="51"/>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69">
    <w:name w:val="Grid Table 2 - Accent 5"/>
    <w:basedOn w:val="51"/>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70">
    <w:name w:val="Grid Table 2 - Accent 6"/>
    <w:basedOn w:val="51"/>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71">
    <w:name w:val="网格表 31"/>
    <w:basedOn w:val="5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72">
    <w:name w:val="Grid Table 3 - Accent 1"/>
    <w:basedOn w:val="51"/>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173">
    <w:name w:val="Grid Table 3 - Accent 2"/>
    <w:basedOn w:val="51"/>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74">
    <w:name w:val="Grid Table 3 - Accent 3"/>
    <w:basedOn w:val="51"/>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75">
    <w:name w:val="Grid Table 3 - Accent 4"/>
    <w:basedOn w:val="51"/>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76">
    <w:name w:val="Grid Table 3 - Accent 5"/>
    <w:basedOn w:val="51"/>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77">
    <w:name w:val="Grid Table 3 - Accent 6"/>
    <w:basedOn w:val="51"/>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78">
    <w:name w:val="网格表 41"/>
    <w:basedOn w:val="5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79">
    <w:name w:val="Grid Table 4 - Accent 1"/>
    <w:basedOn w:val="51"/>
    <w:qFormat/>
    <w:uiPriority w:val="5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180">
    <w:name w:val="Grid Table 4 - Accent 2"/>
    <w:basedOn w:val="51"/>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81">
    <w:name w:val="Grid Table 4 - Accent 3"/>
    <w:basedOn w:val="51"/>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82">
    <w:name w:val="Grid Table 4 - Accent 4"/>
    <w:basedOn w:val="51"/>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83">
    <w:name w:val="Grid Table 4 - Accent 5"/>
    <w:basedOn w:val="51"/>
    <w:qFormat/>
    <w:uiPriority w:val="5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84">
    <w:name w:val="Grid Table 4 - Accent 6"/>
    <w:basedOn w:val="51"/>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85">
    <w:name w:val="网格表 5 深色1"/>
    <w:basedOn w:val="5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86">
    <w:name w:val="Grid Table 5 Dark- Accent 1"/>
    <w:basedOn w:val="5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187">
    <w:name w:val="Grid Table 5 Dark - Accent 2"/>
    <w:basedOn w:val="5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88">
    <w:name w:val="Grid Table 5 Dark - Accent 3"/>
    <w:basedOn w:val="5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89">
    <w:name w:val="Grid Table 5 Dark- Accent 4"/>
    <w:basedOn w:val="5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90">
    <w:name w:val="Grid Table 5 Dark - Accent 5"/>
    <w:basedOn w:val="5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191">
    <w:name w:val="Grid Table 5 Dark - Accent 6"/>
    <w:basedOn w:val="5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92">
    <w:name w:val="网格表 6 彩色1"/>
    <w:basedOn w:val="5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93">
    <w:name w:val="Grid Table 6 Colorful - Accent 1"/>
    <w:basedOn w:val="51"/>
    <w:qFormat/>
    <w:uiPriority w:val="99"/>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94">
    <w:name w:val="Grid Table 6 Colorful - Accent 2"/>
    <w:basedOn w:val="51"/>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95">
    <w:name w:val="Grid Table 6 Colorful - Accent 3"/>
    <w:basedOn w:val="51"/>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96">
    <w:name w:val="Grid Table 6 Colorful - Accent 4"/>
    <w:basedOn w:val="51"/>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97">
    <w:name w:val="Grid Table 6 Colorful - Accent 5"/>
    <w:basedOn w:val="51"/>
    <w:qFormat/>
    <w:uiPriority w:val="99"/>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98">
    <w:name w:val="Grid Table 6 Colorful - Accent 6"/>
    <w:basedOn w:val="51"/>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99">
    <w:name w:val="网格表 7 彩色1"/>
    <w:basedOn w:val="5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200">
    <w:name w:val="Grid Table 7 Colorful - Accent 1"/>
    <w:basedOn w:val="51"/>
    <w:qFormat/>
    <w:uiPriority w:val="99"/>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201">
    <w:name w:val="Grid Table 7 Colorful - Accent 2"/>
    <w:basedOn w:val="51"/>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202">
    <w:name w:val="Grid Table 7 Colorful - Accent 3"/>
    <w:basedOn w:val="51"/>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203">
    <w:name w:val="Grid Table 7 Colorful - Accent 4"/>
    <w:basedOn w:val="51"/>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204">
    <w:name w:val="Grid Table 7 Colorful - Accent 5"/>
    <w:basedOn w:val="51"/>
    <w:qFormat/>
    <w:uiPriority w:val="99"/>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205">
    <w:name w:val="Grid Table 7 Colorful - Accent 6"/>
    <w:basedOn w:val="51"/>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206">
    <w:name w:val="清单表 1 浅色1"/>
    <w:basedOn w:val="51"/>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207">
    <w:name w:val="List Table 1 Light - Accent 1"/>
    <w:basedOn w:val="51"/>
    <w:qFormat/>
    <w:uiPriority w:val="99"/>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208">
    <w:name w:val="List Table 1 Light - Accent 2"/>
    <w:basedOn w:val="51"/>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209">
    <w:name w:val="List Table 1 Light - Accent 3"/>
    <w:basedOn w:val="51"/>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210">
    <w:name w:val="List Table 1 Light - Accent 4"/>
    <w:basedOn w:val="51"/>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211">
    <w:name w:val="List Table 1 Light - Accent 5"/>
    <w:basedOn w:val="51"/>
    <w:qFormat/>
    <w:uiPriority w:val="99"/>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212">
    <w:name w:val="List Table 1 Light - Accent 6"/>
    <w:basedOn w:val="51"/>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213">
    <w:name w:val="清单表 21"/>
    <w:basedOn w:val="5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214">
    <w:name w:val="List Table 2 - Accent 1"/>
    <w:basedOn w:val="51"/>
    <w:qFormat/>
    <w:uiPriority w:val="99"/>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215">
    <w:name w:val="List Table 2 - Accent 2"/>
    <w:basedOn w:val="51"/>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216">
    <w:name w:val="List Table 2 - Accent 3"/>
    <w:basedOn w:val="51"/>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217">
    <w:name w:val="List Table 2 - Accent 4"/>
    <w:basedOn w:val="51"/>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218">
    <w:name w:val="List Table 2 - Accent 5"/>
    <w:basedOn w:val="51"/>
    <w:qFormat/>
    <w:uiPriority w:val="99"/>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219">
    <w:name w:val="List Table 2 - Accent 6"/>
    <w:basedOn w:val="51"/>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220">
    <w:name w:val="清单表 31"/>
    <w:basedOn w:val="5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221">
    <w:name w:val="List Table 3 - Accent 1"/>
    <w:basedOn w:val="51"/>
    <w:qFormat/>
    <w:uiPriority w:val="99"/>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222">
    <w:name w:val="List Table 3 - Accent 2"/>
    <w:basedOn w:val="51"/>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223">
    <w:name w:val="List Table 3 - Accent 3"/>
    <w:basedOn w:val="51"/>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224">
    <w:name w:val="List Table 3 - Accent 4"/>
    <w:basedOn w:val="51"/>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225">
    <w:name w:val="List Table 3 - Accent 5"/>
    <w:basedOn w:val="51"/>
    <w:qFormat/>
    <w:uiPriority w:val="99"/>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226">
    <w:name w:val="List Table 3 - Accent 6"/>
    <w:basedOn w:val="51"/>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227">
    <w:name w:val="清单表 41"/>
    <w:basedOn w:val="5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228">
    <w:name w:val="List Table 4 - Accent 1"/>
    <w:basedOn w:val="51"/>
    <w:qFormat/>
    <w:uiPriority w:val="9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229">
    <w:name w:val="List Table 4 - Accent 2"/>
    <w:basedOn w:val="51"/>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230">
    <w:name w:val="List Table 4 - Accent 3"/>
    <w:basedOn w:val="51"/>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231">
    <w:name w:val="List Table 4 - Accent 4"/>
    <w:basedOn w:val="51"/>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232">
    <w:name w:val="List Table 4 - Accent 5"/>
    <w:basedOn w:val="51"/>
    <w:qFormat/>
    <w:uiPriority w:val="9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233">
    <w:name w:val="List Table 4 - Accent 6"/>
    <w:basedOn w:val="51"/>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234">
    <w:name w:val="清单表 5 深色1"/>
    <w:basedOn w:val="5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235">
    <w:name w:val="List Table 5 Dark - Accent 1"/>
    <w:basedOn w:val="51"/>
    <w:qFormat/>
    <w:uiPriority w:val="99"/>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236">
    <w:name w:val="List Table 5 Dark - Accent 2"/>
    <w:basedOn w:val="51"/>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237">
    <w:name w:val="List Table 5 Dark - Accent 3"/>
    <w:basedOn w:val="51"/>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238">
    <w:name w:val="List Table 5 Dark - Accent 4"/>
    <w:basedOn w:val="51"/>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239">
    <w:name w:val="List Table 5 Dark - Accent 5"/>
    <w:basedOn w:val="51"/>
    <w:qFormat/>
    <w:uiPriority w:val="99"/>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240">
    <w:name w:val="List Table 5 Dark - Accent 6"/>
    <w:basedOn w:val="51"/>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241">
    <w:name w:val="清单表 6 彩色1"/>
    <w:basedOn w:val="51"/>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242">
    <w:name w:val="List Table 6 Colorful - Accent 1"/>
    <w:basedOn w:val="51"/>
    <w:qFormat/>
    <w:uiPriority w:val="99"/>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243">
    <w:name w:val="List Table 6 Colorful - Accent 2"/>
    <w:basedOn w:val="51"/>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244">
    <w:name w:val="List Table 6 Colorful - Accent 3"/>
    <w:basedOn w:val="51"/>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245">
    <w:name w:val="List Table 6 Colorful - Accent 4"/>
    <w:basedOn w:val="51"/>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246">
    <w:name w:val="List Table 6 Colorful - Accent 5"/>
    <w:basedOn w:val="51"/>
    <w:qFormat/>
    <w:uiPriority w:val="99"/>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247">
    <w:name w:val="List Table 6 Colorful - Accent 6"/>
    <w:basedOn w:val="51"/>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248">
    <w:name w:val="清单表 7 彩色1"/>
    <w:basedOn w:val="51"/>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249">
    <w:name w:val="List Table 7 Colorful - Accent 1"/>
    <w:basedOn w:val="51"/>
    <w:qFormat/>
    <w:uiPriority w:val="99"/>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250">
    <w:name w:val="List Table 7 Colorful - Accent 2"/>
    <w:basedOn w:val="51"/>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251">
    <w:name w:val="List Table 7 Colorful - Accent 3"/>
    <w:basedOn w:val="51"/>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252">
    <w:name w:val="List Table 7 Colorful - Accent 4"/>
    <w:basedOn w:val="51"/>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253">
    <w:name w:val="List Table 7 Colorful - Accent 5"/>
    <w:basedOn w:val="51"/>
    <w:qFormat/>
    <w:uiPriority w:val="99"/>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254">
    <w:name w:val="List Table 7 Colorful - Accent 6"/>
    <w:basedOn w:val="51"/>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255">
    <w:name w:val="Lined - Accent"/>
    <w:basedOn w:val="51"/>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56">
    <w:name w:val="Lined - Accent 1"/>
    <w:basedOn w:val="51"/>
    <w:qFormat/>
    <w:uiPriority w:val="99"/>
    <w:rPr>
      <w:color w:val="404040"/>
    </w:r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257">
    <w:name w:val="Lined - Accent 2"/>
    <w:basedOn w:val="51"/>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58">
    <w:name w:val="Lined - Accent 3"/>
    <w:basedOn w:val="51"/>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59">
    <w:name w:val="Lined - Accent 4"/>
    <w:basedOn w:val="51"/>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60">
    <w:name w:val="Lined - Accent 5"/>
    <w:basedOn w:val="51"/>
    <w:qFormat/>
    <w:uiPriority w:val="99"/>
    <w:rPr>
      <w:color w:val="404040"/>
    </w:r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261">
    <w:name w:val="Lined - Accent 6"/>
    <w:basedOn w:val="51"/>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62">
    <w:name w:val="Bordered &amp; Lined - Accent"/>
    <w:basedOn w:val="51"/>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63">
    <w:name w:val="Bordered &amp; Lined - Accent 1"/>
    <w:basedOn w:val="51"/>
    <w:qFormat/>
    <w:uiPriority w:val="99"/>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264">
    <w:name w:val="Bordered &amp; Lined - Accent 2"/>
    <w:basedOn w:val="51"/>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65">
    <w:name w:val="Bordered &amp; Lined - Accent 3"/>
    <w:basedOn w:val="51"/>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66">
    <w:name w:val="Bordered &amp; Lined - Accent 4"/>
    <w:basedOn w:val="51"/>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67">
    <w:name w:val="Bordered &amp; Lined - Accent 5"/>
    <w:basedOn w:val="51"/>
    <w:qFormat/>
    <w:uiPriority w:val="99"/>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268">
    <w:name w:val="Bordered &amp; Lined - Accent 6"/>
    <w:basedOn w:val="51"/>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69">
    <w:name w:val="Bordered"/>
    <w:basedOn w:val="51"/>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70">
    <w:name w:val="Bordered - Accent 1"/>
    <w:basedOn w:val="51"/>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271">
    <w:name w:val="Bordered - Accent 2"/>
    <w:basedOn w:val="51"/>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272">
    <w:name w:val="Bordered - Accent 3"/>
    <w:basedOn w:val="51"/>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73">
    <w:name w:val="Bordered - Accent 4"/>
    <w:basedOn w:val="51"/>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74">
    <w:name w:val="Bordered - Accent 5"/>
    <w:basedOn w:val="51"/>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275">
    <w:name w:val="Bordered - Accent 6"/>
    <w:basedOn w:val="51"/>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76">
    <w:name w:val="脚注文本 字符"/>
    <w:link w:val="38"/>
    <w:qFormat/>
    <w:uiPriority w:val="99"/>
    <w:rPr>
      <w:sz w:val="18"/>
    </w:rPr>
  </w:style>
  <w:style w:type="character" w:customStyle="1" w:styleId="277">
    <w:name w:val="尾注文本 字符1"/>
    <w:link w:val="31"/>
    <w:qFormat/>
    <w:uiPriority w:val="0"/>
    <w:rPr>
      <w:sz w:val="20"/>
    </w:rPr>
  </w:style>
  <w:style w:type="paragraph" w:customStyle="1" w:styleId="278">
    <w:name w:val="TOC 标题11"/>
    <w:unhideWhenUsed/>
    <w:qFormat/>
    <w:uiPriority w:val="39"/>
    <w:rPr>
      <w:rFonts w:hint="default" w:ascii="Times New Roman" w:hAnsi="Times New Roman" w:eastAsia="宋体" w:cs="Times New Roman"/>
      <w:lang w:val="en-US" w:eastAsia="zh-CN" w:bidi="ar-SA"/>
    </w:rPr>
  </w:style>
  <w:style w:type="paragraph" w:customStyle="1" w:styleId="279">
    <w:name w:val="标题 51"/>
    <w:basedOn w:val="1"/>
    <w:next w:val="1"/>
    <w:link w:val="302"/>
    <w:semiHidden/>
    <w:unhideWhenUsed/>
    <w:qFormat/>
    <w:uiPriority w:val="0"/>
    <w:pPr>
      <w:keepNext/>
      <w:keepLines/>
      <w:spacing w:before="280" w:after="290" w:line="376" w:lineRule="auto"/>
      <w:outlineLvl w:val="4"/>
    </w:pPr>
    <w:rPr>
      <w:b/>
      <w:bCs/>
      <w:sz w:val="28"/>
      <w:szCs w:val="28"/>
    </w:rPr>
  </w:style>
  <w:style w:type="paragraph" w:customStyle="1" w:styleId="280">
    <w:name w:val="页脚1"/>
    <w:basedOn w:val="1"/>
    <w:link w:val="303"/>
    <w:qFormat/>
    <w:uiPriority w:val="99"/>
    <w:pPr>
      <w:tabs>
        <w:tab w:val="center" w:pos="4153"/>
        <w:tab w:val="right" w:pos="8306"/>
      </w:tabs>
      <w:jc w:val="left"/>
    </w:pPr>
    <w:rPr>
      <w:sz w:val="18"/>
      <w:szCs w:val="18"/>
    </w:rPr>
  </w:style>
  <w:style w:type="character" w:customStyle="1" w:styleId="281">
    <w:name w:val="标题 2 字符"/>
    <w:link w:val="113"/>
    <w:qFormat/>
    <w:uiPriority w:val="0"/>
    <w:rPr>
      <w:rFonts w:ascii="Cambria" w:hAnsi="Cambria"/>
      <w:b/>
      <w:bCs/>
      <w:sz w:val="28"/>
      <w:szCs w:val="32"/>
    </w:rPr>
  </w:style>
  <w:style w:type="character" w:customStyle="1" w:styleId="282">
    <w:name w:val="批注文字 字符1"/>
    <w:link w:val="18"/>
    <w:qFormat/>
    <w:uiPriority w:val="99"/>
    <w:rPr>
      <w:sz w:val="21"/>
      <w:szCs w:val="24"/>
    </w:rPr>
  </w:style>
  <w:style w:type="character" w:customStyle="1" w:styleId="283">
    <w:name w:val="纯文本 字符1"/>
    <w:link w:val="27"/>
    <w:qFormat/>
    <w:uiPriority w:val="0"/>
    <w:rPr>
      <w:rFonts w:ascii="宋体" w:hAnsi="Courier New" w:eastAsia="宋体"/>
      <w:sz w:val="21"/>
      <w:szCs w:val="21"/>
      <w:lang w:bidi="ar-SA"/>
    </w:rPr>
  </w:style>
  <w:style w:type="character" w:customStyle="1" w:styleId="284">
    <w:name w:val="批注框文本 字符1"/>
    <w:link w:val="32"/>
    <w:qFormat/>
    <w:uiPriority w:val="99"/>
    <w:rPr>
      <w:sz w:val="18"/>
      <w:szCs w:val="18"/>
    </w:rPr>
  </w:style>
  <w:style w:type="character" w:customStyle="1" w:styleId="285">
    <w:name w:val="普通(网站) 字符"/>
    <w:link w:val="46"/>
    <w:qFormat/>
    <w:uiPriority w:val="99"/>
    <w:rPr>
      <w:rFonts w:ascii="宋体" w:hAnsi="宋体" w:cs="宋体"/>
      <w:sz w:val="24"/>
      <w:szCs w:val="24"/>
    </w:rPr>
  </w:style>
  <w:style w:type="character" w:customStyle="1" w:styleId="286">
    <w:name w:val="批注主题 字符1"/>
    <w:link w:val="48"/>
    <w:qFormat/>
    <w:uiPriority w:val="99"/>
    <w:rPr>
      <w:b/>
      <w:bCs/>
      <w:sz w:val="21"/>
      <w:szCs w:val="24"/>
    </w:rPr>
  </w:style>
  <w:style w:type="character" w:customStyle="1" w:styleId="287">
    <w:name w:val="font112"/>
    <w:qFormat/>
    <w:uiPriority w:val="0"/>
    <w:rPr>
      <w:rFonts w:hint="eastAsia" w:ascii="宋体" w:hAnsi="宋体" w:eastAsia="宋体" w:cs="宋体"/>
      <w:b/>
      <w:color w:val="000000"/>
      <w:sz w:val="20"/>
      <w:szCs w:val="20"/>
      <w:u w:val="none"/>
    </w:rPr>
  </w:style>
  <w:style w:type="character" w:customStyle="1" w:styleId="288">
    <w:name w:val="10"/>
    <w:qFormat/>
    <w:uiPriority w:val="0"/>
  </w:style>
  <w:style w:type="character" w:customStyle="1" w:styleId="289">
    <w:name w:val="font101"/>
    <w:qFormat/>
    <w:uiPriority w:val="99"/>
    <w:rPr>
      <w:rFonts w:hint="eastAsia" w:ascii="宋体" w:hAnsi="宋体" w:eastAsia="宋体" w:cs="宋体"/>
      <w:b/>
      <w:color w:val="000000"/>
      <w:sz w:val="20"/>
      <w:szCs w:val="20"/>
      <w:u w:val="none"/>
    </w:rPr>
  </w:style>
  <w:style w:type="paragraph" w:customStyle="1" w:styleId="290">
    <w:name w:val="默认段落字体 Para Char Char Char Char Char Char Char"/>
    <w:basedOn w:val="1"/>
    <w:qFormat/>
    <w:uiPriority w:val="0"/>
    <w:rPr>
      <w:rFonts w:ascii="Tahoma" w:hAnsi="Tahoma"/>
      <w:sz w:val="24"/>
      <w:szCs w:val="20"/>
    </w:rPr>
  </w:style>
  <w:style w:type="paragraph" w:customStyle="1" w:styleId="291">
    <w:name w:val="正文缩进2字符"/>
    <w:basedOn w:val="1"/>
    <w:qFormat/>
    <w:uiPriority w:val="0"/>
    <w:pPr>
      <w:spacing w:line="360" w:lineRule="auto"/>
      <w:ind w:firstLine="200"/>
      <w:jc w:val="left"/>
    </w:pPr>
    <w:rPr>
      <w:sz w:val="24"/>
      <w:szCs w:val="20"/>
    </w:rPr>
  </w:style>
  <w:style w:type="paragraph" w:customStyle="1" w:styleId="292">
    <w:name w:val="BodyText"/>
    <w:basedOn w:val="1"/>
    <w:qFormat/>
    <w:uiPriority w:val="0"/>
    <w:pPr>
      <w:spacing w:line="380" w:lineRule="exact"/>
    </w:pPr>
  </w:style>
  <w:style w:type="paragraph" w:customStyle="1" w:styleId="293">
    <w:name w:val="p0"/>
    <w:basedOn w:val="1"/>
    <w:qFormat/>
    <w:uiPriority w:val="0"/>
    <w:pPr>
      <w:widowControl/>
    </w:pPr>
    <w:rPr>
      <w:szCs w:val="21"/>
    </w:rPr>
  </w:style>
  <w:style w:type="paragraph" w:customStyle="1" w:styleId="294">
    <w:name w:val="并列样式"/>
    <w:basedOn w:val="1"/>
    <w:qFormat/>
    <w:uiPriority w:val="0"/>
    <w:pPr>
      <w:spacing w:before="60" w:after="60"/>
    </w:pPr>
    <w:rPr>
      <w:sz w:val="24"/>
      <w:szCs w:val="20"/>
    </w:rPr>
  </w:style>
  <w:style w:type="paragraph" w:customStyle="1" w:styleId="295">
    <w:name w:val="正文 A"/>
    <w:qFormat/>
    <w:uiPriority w:val="0"/>
    <w:pPr>
      <w:widowControl w:val="0"/>
      <w:jc w:val="both"/>
    </w:pPr>
    <w:rPr>
      <w:rFonts w:hint="default" w:ascii="Times New Roman" w:hAnsi="Times New Roman" w:eastAsia="Arial Unicode MS" w:cs="Arial Unicode MS"/>
      <w:color w:val="000000"/>
      <w:sz w:val="32"/>
      <w:szCs w:val="32"/>
      <w:lang w:val="en-US" w:eastAsia="zh-CN" w:bidi="ar-SA"/>
    </w:rPr>
  </w:style>
  <w:style w:type="paragraph" w:customStyle="1" w:styleId="296">
    <w:name w:val="Blockquote"/>
    <w:basedOn w:val="1"/>
    <w:qFormat/>
    <w:uiPriority w:val="0"/>
    <w:pPr>
      <w:spacing w:before="100" w:after="100"/>
      <w:ind w:left="764" w:right="567"/>
      <w:jc w:val="left"/>
    </w:pPr>
    <w:rPr>
      <w:sz w:val="24"/>
    </w:rPr>
  </w:style>
  <w:style w:type="paragraph" w:customStyle="1" w:styleId="297">
    <w:name w:val="修订1"/>
    <w:unhideWhenUsed/>
    <w:qFormat/>
    <w:uiPriority w:val="99"/>
    <w:rPr>
      <w:rFonts w:hint="default" w:ascii="Times New Roman" w:hAnsi="Times New Roman" w:eastAsia="宋体" w:cs="Times New Roman"/>
      <w:sz w:val="21"/>
      <w:szCs w:val="24"/>
      <w:lang w:val="en-US" w:eastAsia="zh-CN" w:bidi="ar-SA"/>
    </w:rPr>
  </w:style>
  <w:style w:type="paragraph" w:customStyle="1" w:styleId="298">
    <w:name w:val="表格3"/>
    <w:basedOn w:val="1"/>
    <w:qFormat/>
    <w:uiPriority w:val="0"/>
    <w:pPr>
      <w:jc w:val="center"/>
    </w:pPr>
  </w:style>
  <w:style w:type="paragraph" w:customStyle="1" w:styleId="299">
    <w:name w:val="Char"/>
    <w:basedOn w:val="1"/>
    <w:qFormat/>
    <w:uiPriority w:val="0"/>
    <w:pPr>
      <w:tabs>
        <w:tab w:val="left" w:pos="360"/>
      </w:tabs>
    </w:pPr>
    <w:rPr>
      <w:sz w:val="24"/>
    </w:rPr>
  </w:style>
  <w:style w:type="paragraph" w:customStyle="1" w:styleId="300">
    <w:name w:val="一级无"/>
    <w:basedOn w:val="1"/>
    <w:qFormat/>
    <w:uiPriority w:val="0"/>
    <w:pPr>
      <w:widowControl/>
      <w:numPr>
        <w:ilvl w:val="1"/>
        <w:numId w:val="2"/>
      </w:numPr>
      <w:tabs>
        <w:tab w:val="left" w:pos="1440"/>
      </w:tabs>
      <w:jc w:val="left"/>
      <w:outlineLvl w:val="2"/>
    </w:pPr>
    <w:rPr>
      <w:rFonts w:ascii="宋体"/>
      <w:szCs w:val="21"/>
    </w:rPr>
  </w:style>
  <w:style w:type="paragraph" w:customStyle="1" w:styleId="301">
    <w:name w:val="MM Topic 4"/>
    <w:basedOn w:val="279"/>
    <w:qFormat/>
    <w:uiPriority w:val="0"/>
    <w:pPr>
      <w:keepNext w:val="0"/>
      <w:keepLines w:val="0"/>
      <w:widowControl/>
      <w:numPr>
        <w:ilvl w:val="4"/>
        <w:numId w:val="2"/>
      </w:numPr>
      <w:tabs>
        <w:tab w:val="left" w:pos="1440"/>
        <w:tab w:val="clear" w:pos="2460"/>
      </w:tabs>
      <w:spacing w:before="240" w:after="60" w:line="240" w:lineRule="auto"/>
      <w:ind w:left="1008" w:hanging="1008"/>
      <w:jc w:val="left"/>
    </w:pPr>
    <w:rPr>
      <w:rFonts w:ascii="宋体" w:hAnsi="宋体"/>
      <w:b w:val="0"/>
      <w:i/>
      <w:iCs/>
      <w:sz w:val="26"/>
      <w:szCs w:val="26"/>
    </w:rPr>
  </w:style>
  <w:style w:type="character" w:customStyle="1" w:styleId="302">
    <w:name w:val="标题 5 字符"/>
    <w:link w:val="279"/>
    <w:qFormat/>
    <w:uiPriority w:val="0"/>
    <w:rPr>
      <w:b/>
      <w:bCs/>
      <w:sz w:val="28"/>
      <w:szCs w:val="28"/>
    </w:rPr>
  </w:style>
  <w:style w:type="character" w:customStyle="1" w:styleId="303">
    <w:name w:val="页脚 字符"/>
    <w:link w:val="280"/>
    <w:qFormat/>
    <w:uiPriority w:val="0"/>
    <w:rPr>
      <w:sz w:val="18"/>
      <w:szCs w:val="18"/>
    </w:rPr>
  </w:style>
  <w:style w:type="paragraph" w:customStyle="1" w:styleId="304">
    <w:name w:val="正文_0_0_0"/>
    <w:unhideWhenUsed/>
    <w:qFormat/>
    <w:uiPriority w:val="99"/>
    <w:rPr>
      <w:rFonts w:hint="eastAsia" w:ascii="Times New Roman" w:hAnsi="Times New Roman" w:eastAsia="宋体" w:cs="Times New Roman"/>
      <w:sz w:val="21"/>
      <w:lang w:val="en-US" w:eastAsia="zh-CN" w:bidi="ar-SA"/>
    </w:rPr>
  </w:style>
  <w:style w:type="paragraph" w:customStyle="1" w:styleId="305">
    <w:name w:val="正文_0_0"/>
    <w:unhideWhenUsed/>
    <w:qFormat/>
    <w:uiPriority w:val="99"/>
    <w:rPr>
      <w:rFonts w:hint="default" w:ascii="Calibri" w:hAnsi="Calibri" w:eastAsia="宋体" w:cs="Times New Roman"/>
      <w:sz w:val="21"/>
      <w:lang w:val="en-US" w:eastAsia="zh-CN" w:bidi="ar-SA"/>
    </w:rPr>
  </w:style>
  <w:style w:type="paragraph" w:customStyle="1" w:styleId="306">
    <w:name w:val="正文_0"/>
    <w:unhideWhenUsed/>
    <w:qFormat/>
    <w:uiPriority w:val="0"/>
    <w:rPr>
      <w:rFonts w:hint="eastAsia" w:ascii="Times New Roman" w:hAnsi="Times New Roman" w:eastAsia="宋体" w:cs="Times New Roman"/>
      <w:sz w:val="21"/>
      <w:lang w:val="en-US" w:eastAsia="zh-CN" w:bidi="ar-SA"/>
    </w:rPr>
  </w:style>
  <w:style w:type="character" w:customStyle="1" w:styleId="307">
    <w:name w:val="标题 2 字符1"/>
    <w:basedOn w:val="53"/>
    <w:link w:val="4"/>
    <w:qFormat/>
    <w:uiPriority w:val="99"/>
    <w:rPr>
      <w:rFonts w:ascii="Cambria" w:hAnsi="Cambria"/>
      <w:b/>
      <w:bCs/>
      <w:sz w:val="32"/>
      <w:szCs w:val="32"/>
    </w:rPr>
  </w:style>
  <w:style w:type="character" w:customStyle="1" w:styleId="308">
    <w:name w:val="列表段落 字符1"/>
    <w:link w:val="106"/>
    <w:qFormat/>
    <w:uiPriority w:val="0"/>
    <w:rPr>
      <w:sz w:val="21"/>
      <w:szCs w:val="24"/>
    </w:rPr>
  </w:style>
  <w:style w:type="paragraph" w:customStyle="1" w:styleId="309">
    <w:name w:val="xc正文"/>
    <w:basedOn w:val="1"/>
    <w:qFormat/>
    <w:uiPriority w:val="0"/>
    <w:pPr>
      <w:spacing w:line="360" w:lineRule="auto"/>
      <w:ind w:firstLine="200"/>
    </w:pPr>
    <w:rPr>
      <w:rFonts w:ascii="Calibri" w:hAnsi="Calibri" w:eastAsia="仿宋_GB2312"/>
      <w:sz w:val="24"/>
      <w:lang w:val="zh-CN"/>
    </w:rPr>
  </w:style>
  <w:style w:type="character" w:customStyle="1" w:styleId="310">
    <w:name w:val="页眉 字符1"/>
    <w:basedOn w:val="53"/>
    <w:link w:val="34"/>
    <w:qFormat/>
    <w:uiPriority w:val="99"/>
    <w:rPr>
      <w:sz w:val="18"/>
      <w:szCs w:val="18"/>
    </w:rPr>
  </w:style>
  <w:style w:type="character" w:customStyle="1" w:styleId="311">
    <w:name w:val="页脚 字符1"/>
    <w:basedOn w:val="53"/>
    <w:link w:val="33"/>
    <w:qFormat/>
    <w:uiPriority w:val="99"/>
    <w:rPr>
      <w:sz w:val="18"/>
      <w:szCs w:val="18"/>
    </w:rPr>
  </w:style>
  <w:style w:type="character" w:customStyle="1" w:styleId="312">
    <w:name w:val="列表段落 字符"/>
    <w:link w:val="313"/>
    <w:qFormat/>
    <w:uiPriority w:val="0"/>
    <w:rPr>
      <w:sz w:val="21"/>
      <w:szCs w:val="24"/>
      <w:lang w:val="en-US" w:eastAsia="zh-CN"/>
    </w:rPr>
  </w:style>
  <w:style w:type="paragraph" w:customStyle="1" w:styleId="313">
    <w:name w:val="_Style 34"/>
    <w:basedOn w:val="1"/>
    <w:next w:val="106"/>
    <w:link w:val="312"/>
    <w:qFormat/>
    <w:uiPriority w:val="0"/>
    <w:pPr>
      <w:spacing w:line="274" w:lineRule="auto"/>
      <w:ind w:firstLine="420"/>
    </w:pPr>
  </w:style>
  <w:style w:type="character" w:customStyle="1" w:styleId="314">
    <w:name w:val="标题 3 字符1"/>
    <w:basedOn w:val="53"/>
    <w:link w:val="5"/>
    <w:qFormat/>
    <w:uiPriority w:val="9"/>
    <w:rPr>
      <w:b/>
      <w:bCs/>
      <w:sz w:val="32"/>
      <w:szCs w:val="32"/>
    </w:rPr>
  </w:style>
  <w:style w:type="character" w:customStyle="1" w:styleId="315">
    <w:name w:val="标题 1 字符1"/>
    <w:basedOn w:val="53"/>
    <w:link w:val="3"/>
    <w:qFormat/>
    <w:uiPriority w:val="99"/>
    <w:rPr>
      <w:rFonts w:eastAsia="方正仿宋_GBK"/>
      <w:b/>
      <w:sz w:val="44"/>
    </w:rPr>
  </w:style>
  <w:style w:type="character" w:customStyle="1" w:styleId="316">
    <w:name w:val="标题 4 字符1"/>
    <w:basedOn w:val="53"/>
    <w:link w:val="6"/>
    <w:qFormat/>
    <w:uiPriority w:val="9"/>
    <w:rPr>
      <w:rFonts w:ascii="Cambria" w:hAnsi="Cambria"/>
      <w:b/>
      <w:bCs/>
      <w:sz w:val="28"/>
      <w:szCs w:val="28"/>
    </w:rPr>
  </w:style>
  <w:style w:type="character" w:customStyle="1" w:styleId="317">
    <w:name w:val="标题 5 字符1"/>
    <w:basedOn w:val="53"/>
    <w:link w:val="7"/>
    <w:qFormat/>
    <w:uiPriority w:val="99"/>
    <w:rPr>
      <w:b/>
      <w:bCs/>
      <w:sz w:val="28"/>
      <w:szCs w:val="28"/>
    </w:rPr>
  </w:style>
  <w:style w:type="character" w:customStyle="1" w:styleId="318">
    <w:name w:val="标题 6 字符1"/>
    <w:basedOn w:val="53"/>
    <w:link w:val="8"/>
    <w:qFormat/>
    <w:uiPriority w:val="0"/>
    <w:rPr>
      <w:rFonts w:ascii="Arial" w:hAnsi="Arial" w:eastAsia="黑体"/>
      <w:b/>
      <w:bCs/>
      <w:sz w:val="24"/>
      <w:szCs w:val="24"/>
      <w:lang w:val="zh-CN" w:eastAsia="zh-CN"/>
    </w:rPr>
  </w:style>
  <w:style w:type="character" w:customStyle="1" w:styleId="319">
    <w:name w:val="标题 7 字符1"/>
    <w:basedOn w:val="53"/>
    <w:link w:val="9"/>
    <w:qFormat/>
    <w:uiPriority w:val="0"/>
    <w:rPr>
      <w:b/>
      <w:bCs/>
      <w:sz w:val="24"/>
      <w:szCs w:val="24"/>
      <w:lang w:val="zh-CN" w:eastAsia="zh-CN"/>
    </w:rPr>
  </w:style>
  <w:style w:type="character" w:customStyle="1" w:styleId="320">
    <w:name w:val="标题 8 字符1"/>
    <w:basedOn w:val="53"/>
    <w:link w:val="10"/>
    <w:qFormat/>
    <w:uiPriority w:val="0"/>
    <w:rPr>
      <w:rFonts w:ascii="Arial" w:hAnsi="Arial" w:eastAsia="黑体"/>
      <w:sz w:val="24"/>
      <w:szCs w:val="24"/>
      <w:lang w:val="zh-CN" w:eastAsia="zh-CN"/>
    </w:rPr>
  </w:style>
  <w:style w:type="character" w:customStyle="1" w:styleId="321">
    <w:name w:val="标题 9 字符1"/>
    <w:basedOn w:val="53"/>
    <w:link w:val="11"/>
    <w:qFormat/>
    <w:uiPriority w:val="0"/>
    <w:rPr>
      <w:rFonts w:ascii="Arial" w:hAnsi="Arial" w:eastAsia="黑体"/>
      <w:sz w:val="21"/>
      <w:szCs w:val="21"/>
      <w:lang w:val="zh-CN" w:eastAsia="zh-CN"/>
    </w:rPr>
  </w:style>
  <w:style w:type="paragraph" w:customStyle="1" w:styleId="322">
    <w:name w:val="_Style 243"/>
    <w:unhideWhenUsed/>
    <w:qFormat/>
    <w:uiPriority w:val="99"/>
    <w:pPr>
      <w:widowControl w:val="0"/>
      <w:jc w:val="both"/>
    </w:pPr>
    <w:rPr>
      <w:rFonts w:hint="default" w:ascii="Times New Roman" w:hAnsi="Times New Roman" w:eastAsia="宋体" w:cs="Times New Roman"/>
      <w:sz w:val="21"/>
      <w:szCs w:val="24"/>
      <w:lang w:val="en-US" w:eastAsia="zh-CN" w:bidi="ar-SA"/>
    </w:rPr>
  </w:style>
  <w:style w:type="character" w:customStyle="1" w:styleId="323">
    <w:name w:val="正文文本 字符"/>
    <w:qFormat/>
    <w:uiPriority w:val="0"/>
    <w:rPr>
      <w:sz w:val="20"/>
    </w:rPr>
  </w:style>
  <w:style w:type="character" w:customStyle="1" w:styleId="324">
    <w:name w:val="font71"/>
    <w:qFormat/>
    <w:uiPriority w:val="99"/>
    <w:rPr>
      <w:rFonts w:ascii="仿宋_GB2312" w:eastAsia="仿宋_GB2312" w:cs="仿宋_GB2312"/>
      <w:color w:val="000000"/>
      <w:sz w:val="24"/>
      <w:szCs w:val="24"/>
      <w:u w:val="none"/>
    </w:rPr>
  </w:style>
  <w:style w:type="character" w:customStyle="1" w:styleId="325">
    <w:name w:val="正文文本 (2)_"/>
    <w:link w:val="326"/>
    <w:qFormat/>
    <w:uiPriority w:val="0"/>
    <w:rPr>
      <w:rFonts w:ascii="MingLiU" w:hAnsi="MingLiU" w:eastAsia="MingLiU"/>
      <w:spacing w:val="10"/>
      <w:sz w:val="18"/>
      <w:szCs w:val="18"/>
      <w:shd w:val="clear" w:color="auto" w:fill="FFFFFF"/>
    </w:rPr>
  </w:style>
  <w:style w:type="paragraph" w:customStyle="1" w:styleId="326">
    <w:name w:val="正文文本 (2)11"/>
    <w:basedOn w:val="1"/>
    <w:link w:val="325"/>
    <w:qFormat/>
    <w:uiPriority w:val="0"/>
    <w:pPr>
      <w:shd w:val="clear" w:color="auto" w:fill="FFFFFF"/>
      <w:spacing w:after="1620" w:line="216" w:lineRule="exact"/>
      <w:jc w:val="left"/>
    </w:pPr>
    <w:rPr>
      <w:rFonts w:ascii="MingLiU" w:hAnsi="MingLiU" w:eastAsia="MingLiU"/>
      <w:spacing w:val="10"/>
      <w:sz w:val="18"/>
      <w:szCs w:val="18"/>
      <w:shd w:val="clear" w:color="auto" w:fill="FFFFFF"/>
    </w:rPr>
  </w:style>
  <w:style w:type="character" w:customStyle="1" w:styleId="327">
    <w:name w:val="标题 3 字符"/>
    <w:qFormat/>
    <w:uiPriority w:val="0"/>
    <w:rPr>
      <w:b/>
      <w:sz w:val="20"/>
    </w:rPr>
  </w:style>
  <w:style w:type="character" w:customStyle="1" w:styleId="328">
    <w:name w:val="二级条标题 Char"/>
    <w:link w:val="329"/>
    <w:qFormat/>
    <w:uiPriority w:val="0"/>
    <w:rPr>
      <w:rFonts w:ascii="黑体" w:hAnsi="宋体" w:eastAsia="黑体"/>
    </w:rPr>
  </w:style>
  <w:style w:type="paragraph" w:customStyle="1" w:styleId="329">
    <w:name w:val="二级条标题"/>
    <w:basedOn w:val="69"/>
    <w:next w:val="71"/>
    <w:link w:val="328"/>
    <w:qFormat/>
    <w:uiPriority w:val="0"/>
    <w:pPr>
      <w:outlineLvl w:val="3"/>
    </w:pPr>
  </w:style>
  <w:style w:type="character" w:customStyle="1" w:styleId="330">
    <w:name w:val="font111"/>
    <w:qFormat/>
    <w:uiPriority w:val="99"/>
    <w:rPr>
      <w:rFonts w:ascii="Verdana" w:hAnsi="Verdana" w:cs="Verdana"/>
      <w:color w:val="333333"/>
      <w:sz w:val="20"/>
      <w:szCs w:val="20"/>
      <w:u w:val="none"/>
    </w:rPr>
  </w:style>
  <w:style w:type="character" w:customStyle="1" w:styleId="331">
    <w:name w:val="标题 B Char"/>
    <w:link w:val="332"/>
    <w:qFormat/>
    <w:uiPriority w:val="0"/>
    <w:rPr>
      <w:rFonts w:ascii="Arial Rounded MT Bold" w:hAnsi="Arial Rounded MT Bold" w:eastAsia="黑体"/>
      <w:spacing w:val="8"/>
      <w:sz w:val="32"/>
    </w:rPr>
  </w:style>
  <w:style w:type="paragraph" w:customStyle="1" w:styleId="332">
    <w:name w:val="标题 B"/>
    <w:basedOn w:val="4"/>
    <w:link w:val="331"/>
    <w:qFormat/>
    <w:uiPriority w:val="0"/>
    <w:pPr>
      <w:keepLines w:val="0"/>
      <w:spacing w:before="840" w:after="240" w:line="400" w:lineRule="exact"/>
      <w:ind w:firstLine="0"/>
      <w:outlineLvl w:val="9"/>
    </w:pPr>
    <w:rPr>
      <w:rFonts w:ascii="Arial Rounded MT Bold" w:hAnsi="Arial Rounded MT Bold" w:eastAsia="黑体"/>
      <w:b w:val="0"/>
      <w:bCs w:val="0"/>
      <w:spacing w:val="8"/>
      <w:sz w:val="20"/>
      <w:szCs w:val="20"/>
    </w:rPr>
  </w:style>
  <w:style w:type="character" w:customStyle="1" w:styleId="333">
    <w:name w:val="纯文本 字符"/>
    <w:qFormat/>
    <w:uiPriority w:val="0"/>
    <w:rPr>
      <w:sz w:val="20"/>
    </w:rPr>
  </w:style>
  <w:style w:type="character" w:customStyle="1" w:styleId="334">
    <w:name w:val="Item List Char"/>
    <w:link w:val="335"/>
    <w:qFormat/>
    <w:uiPriority w:val="0"/>
    <w:rPr>
      <w:rFonts w:eastAsia="Times New Roman" w:cs="Arial"/>
      <w:sz w:val="21"/>
      <w:szCs w:val="21"/>
    </w:rPr>
  </w:style>
  <w:style w:type="paragraph" w:customStyle="1" w:styleId="335">
    <w:name w:val="Item List"/>
    <w:link w:val="334"/>
    <w:qFormat/>
    <w:uiPriority w:val="0"/>
    <w:pPr>
      <w:tabs>
        <w:tab w:val="left" w:pos="810"/>
        <w:tab w:val="left" w:pos="2126"/>
      </w:tabs>
      <w:spacing w:before="80" w:after="80" w:line="240" w:lineRule="atLeast"/>
      <w:ind w:left="810" w:hanging="330"/>
    </w:pPr>
    <w:rPr>
      <w:rFonts w:hint="default" w:ascii="Times New Roman" w:hAnsi="Times New Roman" w:eastAsia="Times New Roman" w:cs="Arial"/>
      <w:sz w:val="21"/>
      <w:szCs w:val="21"/>
      <w:lang w:val="en-US" w:eastAsia="zh-CN" w:bidi="ar-SA"/>
    </w:rPr>
  </w:style>
  <w:style w:type="character" w:customStyle="1" w:styleId="336">
    <w:name w:val="font131"/>
    <w:qFormat/>
    <w:uiPriority w:val="99"/>
    <w:rPr>
      <w:rFonts w:ascii="Tahoma" w:hAnsi="Tahoma" w:cs="Tahoma"/>
      <w:color w:val="333333"/>
      <w:sz w:val="20"/>
      <w:szCs w:val="20"/>
      <w:u w:val="none"/>
    </w:rPr>
  </w:style>
  <w:style w:type="character" w:customStyle="1" w:styleId="337">
    <w:name w:val="正文文本缩进 2 字符"/>
    <w:link w:val="30"/>
    <w:qFormat/>
    <w:uiPriority w:val="99"/>
    <w:rPr>
      <w:rFonts w:ascii="Arial" w:hAnsi="Arial" w:eastAsia="仿宋_GB2312"/>
      <w:sz w:val="32"/>
      <w:szCs w:val="32"/>
      <w:lang w:val="en-US" w:eastAsia="zh-CN"/>
    </w:rPr>
  </w:style>
  <w:style w:type="character" w:customStyle="1" w:styleId="338">
    <w:name w:val="批注主题 字符"/>
    <w:qFormat/>
    <w:uiPriority w:val="0"/>
    <w:rPr>
      <w:b/>
      <w:sz w:val="20"/>
    </w:rPr>
  </w:style>
  <w:style w:type="character" w:customStyle="1" w:styleId="339">
    <w:name w:val="正文文本缩进 3 字符1"/>
    <w:link w:val="40"/>
    <w:qFormat/>
    <w:uiPriority w:val="0"/>
    <w:rPr>
      <w:rFonts w:ascii="Arial" w:hAnsi="Arial" w:eastAsia="仿宋_GB2312"/>
      <w:color w:val="FFFF00"/>
      <w:sz w:val="32"/>
      <w:szCs w:val="32"/>
    </w:rPr>
  </w:style>
  <w:style w:type="character" w:customStyle="1" w:styleId="340">
    <w:name w:val="font21"/>
    <w:qFormat/>
    <w:uiPriority w:val="99"/>
    <w:rPr>
      <w:rFonts w:ascii="仿宋_GB2312" w:eastAsia="仿宋_GB2312" w:cs="仿宋_GB2312"/>
      <w:b/>
      <w:color w:val="000000"/>
      <w:sz w:val="24"/>
      <w:szCs w:val="24"/>
      <w:u w:val="none"/>
    </w:rPr>
  </w:style>
  <w:style w:type="character" w:customStyle="1" w:styleId="341">
    <w:name w:val="标题 字符"/>
    <w:qFormat/>
    <w:uiPriority w:val="0"/>
    <w:rPr>
      <w:sz w:val="20"/>
    </w:rPr>
  </w:style>
  <w:style w:type="character" w:customStyle="1" w:styleId="342">
    <w:name w:val="曹阿龙 Char"/>
    <w:link w:val="343"/>
    <w:qFormat/>
    <w:uiPriority w:val="0"/>
    <w:rPr>
      <w:rFonts w:ascii="宋体" w:hAnsi="宋体" w:eastAsia="幼圆"/>
      <w:b/>
      <w:bCs/>
      <w:sz w:val="28"/>
      <w:szCs w:val="28"/>
    </w:rPr>
  </w:style>
  <w:style w:type="paragraph" w:customStyle="1" w:styleId="343">
    <w:name w:val="曹阿龙"/>
    <w:basedOn w:val="4"/>
    <w:link w:val="342"/>
    <w:qFormat/>
    <w:uiPriority w:val="0"/>
    <w:pPr>
      <w:spacing w:line="400" w:lineRule="exact"/>
      <w:ind w:firstLine="561"/>
      <w:jc w:val="left"/>
    </w:pPr>
    <w:rPr>
      <w:rFonts w:ascii="宋体" w:hAnsi="宋体" w:eastAsia="幼圆"/>
      <w:sz w:val="28"/>
      <w:szCs w:val="28"/>
    </w:rPr>
  </w:style>
  <w:style w:type="character" w:customStyle="1" w:styleId="344">
    <w:name w:val="日期 字符"/>
    <w:qFormat/>
    <w:uiPriority w:val="0"/>
    <w:rPr>
      <w:sz w:val="20"/>
    </w:rPr>
  </w:style>
  <w:style w:type="character" w:customStyle="1" w:styleId="345">
    <w:name w:val="正文文本 2 字符1"/>
    <w:link w:val="44"/>
    <w:qFormat/>
    <w:uiPriority w:val="0"/>
    <w:rPr>
      <w:rFonts w:ascii="楷体_GB2312" w:eastAsia="楷体_GB2312"/>
      <w:sz w:val="28"/>
      <w:szCs w:val="28"/>
    </w:rPr>
  </w:style>
  <w:style w:type="character" w:customStyle="1" w:styleId="346">
    <w:name w:val="尾注文本 字符"/>
    <w:qFormat/>
    <w:uiPriority w:val="0"/>
    <w:rPr>
      <w:sz w:val="20"/>
    </w:rPr>
  </w:style>
  <w:style w:type="character" w:customStyle="1" w:styleId="347">
    <w:name w:val="彩色列表 - 强调文字颜色 1 Char1"/>
    <w:link w:val="348"/>
    <w:qFormat/>
    <w:uiPriority w:val="0"/>
    <w:rPr>
      <w:rFonts w:ascii="Calibri" w:hAnsi="Calibri"/>
      <w:sz w:val="24"/>
      <w:szCs w:val="24"/>
      <w:lang w:eastAsia="en-US" w:bidi="en-US"/>
    </w:rPr>
  </w:style>
  <w:style w:type="paragraph" w:customStyle="1" w:styleId="348">
    <w:name w:val="彩色列表 - 强调文字颜色 11"/>
    <w:basedOn w:val="1"/>
    <w:link w:val="347"/>
    <w:qFormat/>
    <w:uiPriority w:val="0"/>
    <w:pPr>
      <w:widowControl/>
      <w:ind w:left="720"/>
      <w:contextualSpacing/>
      <w:jc w:val="left"/>
    </w:pPr>
    <w:rPr>
      <w:rFonts w:ascii="Calibri" w:hAnsi="Calibri"/>
      <w:sz w:val="24"/>
      <w:lang w:eastAsia="en-US" w:bidi="en-US"/>
    </w:rPr>
  </w:style>
  <w:style w:type="character" w:customStyle="1" w:styleId="349">
    <w:name w:val="书籍标题1"/>
    <w:qFormat/>
    <w:uiPriority w:val="0"/>
    <w:rPr>
      <w:b/>
      <w:i/>
      <w:sz w:val="21"/>
    </w:rPr>
  </w:style>
  <w:style w:type="character" w:customStyle="1" w:styleId="350">
    <w:name w:val="表头 Char"/>
    <w:link w:val="351"/>
    <w:qFormat/>
    <w:uiPriority w:val="0"/>
    <w:rPr>
      <w:rFonts w:eastAsia="黑体"/>
      <w:spacing w:val="-10"/>
    </w:rPr>
  </w:style>
  <w:style w:type="paragraph" w:customStyle="1" w:styleId="351">
    <w:name w:val="表头"/>
    <w:basedOn w:val="1"/>
    <w:link w:val="350"/>
    <w:qFormat/>
    <w:uiPriority w:val="0"/>
    <w:pPr>
      <w:spacing w:line="320" w:lineRule="atLeast"/>
      <w:jc w:val="center"/>
    </w:pPr>
    <w:rPr>
      <w:rFonts w:eastAsia="黑体"/>
      <w:spacing w:val="-10"/>
      <w:sz w:val="20"/>
      <w:szCs w:val="20"/>
    </w:rPr>
  </w:style>
  <w:style w:type="character" w:customStyle="1" w:styleId="352">
    <w:name w:val="文档结构图 字符"/>
    <w:semiHidden/>
    <w:qFormat/>
    <w:uiPriority w:val="0"/>
    <w:rPr>
      <w:sz w:val="20"/>
    </w:rPr>
  </w:style>
  <w:style w:type="character" w:customStyle="1" w:styleId="353">
    <w:name w:val="12black1"/>
    <w:qFormat/>
    <w:uiPriority w:val="0"/>
    <w:rPr>
      <w:color w:val="000000"/>
      <w:sz w:val="24"/>
      <w:szCs w:val="24"/>
      <w:u w:val="none"/>
    </w:rPr>
  </w:style>
  <w:style w:type="character" w:customStyle="1" w:styleId="354">
    <w:name w:val="标题 9 字符"/>
    <w:qFormat/>
    <w:uiPriority w:val="0"/>
    <w:rPr>
      <w:sz w:val="20"/>
    </w:rPr>
  </w:style>
  <w:style w:type="character" w:customStyle="1" w:styleId="355">
    <w:name w:val="普通正文 Char"/>
    <w:link w:val="356"/>
    <w:qFormat/>
    <w:uiPriority w:val="0"/>
    <w:rPr>
      <w:rFonts w:ascii="Arial" w:hAnsi="Arial"/>
      <w:sz w:val="24"/>
      <w:szCs w:val="24"/>
    </w:rPr>
  </w:style>
  <w:style w:type="paragraph" w:customStyle="1" w:styleId="356">
    <w:name w:val="普通正文"/>
    <w:basedOn w:val="1"/>
    <w:link w:val="355"/>
    <w:qFormat/>
    <w:uiPriority w:val="0"/>
    <w:pPr>
      <w:spacing w:before="120" w:after="120" w:line="360" w:lineRule="auto"/>
      <w:ind w:firstLine="480"/>
      <w:jc w:val="left"/>
    </w:pPr>
    <w:rPr>
      <w:rFonts w:ascii="Arial" w:hAnsi="Arial"/>
      <w:sz w:val="24"/>
    </w:rPr>
  </w:style>
  <w:style w:type="character" w:customStyle="1" w:styleId="357">
    <w:name w:val="fix161 Char"/>
    <w:link w:val="358"/>
    <w:qFormat/>
    <w:uiPriority w:val="0"/>
    <w:rPr>
      <w:rFonts w:ascii="宋体" w:hAnsi="宋体"/>
      <w:sz w:val="24"/>
      <w:szCs w:val="24"/>
    </w:rPr>
  </w:style>
  <w:style w:type="paragraph" w:customStyle="1" w:styleId="358">
    <w:name w:val="fix161"/>
    <w:basedOn w:val="1"/>
    <w:link w:val="357"/>
    <w:qFormat/>
    <w:uiPriority w:val="0"/>
    <w:pPr>
      <w:widowControl/>
      <w:spacing w:before="100" w:beforeAutospacing="1" w:after="100" w:afterAutospacing="1"/>
      <w:jc w:val="left"/>
    </w:pPr>
    <w:rPr>
      <w:rFonts w:ascii="宋体" w:hAnsi="宋体"/>
      <w:sz w:val="24"/>
    </w:rPr>
  </w:style>
  <w:style w:type="character" w:customStyle="1" w:styleId="359">
    <w:name w:val="Char Char17"/>
    <w:qFormat/>
    <w:uiPriority w:val="0"/>
    <w:rPr>
      <w:rFonts w:eastAsia="宋体"/>
      <w:sz w:val="18"/>
      <w:szCs w:val="18"/>
      <w:lang w:bidi="ar-SA"/>
    </w:rPr>
  </w:style>
  <w:style w:type="character" w:customStyle="1" w:styleId="360">
    <w:name w:val="日期 字符1"/>
    <w:link w:val="29"/>
    <w:qFormat/>
    <w:uiPriority w:val="99"/>
    <w:rPr>
      <w:sz w:val="24"/>
      <w:szCs w:val="24"/>
    </w:rPr>
  </w:style>
  <w:style w:type="character" w:customStyle="1" w:styleId="361">
    <w:name w:val="DeltaView Insertion"/>
    <w:qFormat/>
    <w:uiPriority w:val="0"/>
    <w:rPr>
      <w:color w:val="0000FF"/>
      <w:spacing w:val="0"/>
      <w:u w:val="single"/>
    </w:rPr>
  </w:style>
  <w:style w:type="character" w:customStyle="1" w:styleId="362">
    <w:name w:val="apple-converted-space"/>
    <w:basedOn w:val="53"/>
    <w:qFormat/>
    <w:uiPriority w:val="0"/>
  </w:style>
  <w:style w:type="character" w:customStyle="1" w:styleId="363">
    <w:name w:val="正文1 Char"/>
    <w:qFormat/>
    <w:uiPriority w:val="0"/>
    <w:rPr>
      <w:rFonts w:ascii="宋体" w:hAnsi="宋体" w:eastAsia="仿宋_GB2312"/>
      <w:sz w:val="24"/>
      <w:szCs w:val="24"/>
    </w:rPr>
  </w:style>
  <w:style w:type="character" w:customStyle="1" w:styleId="364">
    <w:name w:val="正文文本 3 字符1"/>
    <w:link w:val="19"/>
    <w:qFormat/>
    <w:uiPriority w:val="0"/>
    <w:rPr>
      <w:rFonts w:ascii="仿宋_GB2312" w:hAnsi="Arial" w:eastAsia="仿宋_GB2312"/>
      <w:sz w:val="32"/>
      <w:szCs w:val="32"/>
    </w:rPr>
  </w:style>
  <w:style w:type="character" w:customStyle="1" w:styleId="365">
    <w:name w:val="一级条标题 Char"/>
    <w:link w:val="69"/>
    <w:qFormat/>
    <w:uiPriority w:val="0"/>
    <w:rPr>
      <w:rFonts w:ascii="黑体" w:hAnsi="宋体" w:eastAsia="黑体"/>
    </w:rPr>
  </w:style>
  <w:style w:type="character" w:customStyle="1" w:styleId="366">
    <w:name w:val="Char Char33"/>
    <w:qFormat/>
    <w:uiPriority w:val="0"/>
    <w:rPr>
      <w:rFonts w:eastAsia="方正仿宋_GBK"/>
      <w:b/>
      <w:sz w:val="44"/>
      <w:lang w:val="en-US" w:eastAsia="zh-CN" w:bidi="ar-SA"/>
    </w:rPr>
  </w:style>
  <w:style w:type="character" w:customStyle="1" w:styleId="367">
    <w:name w:val="正文文本首行缩进 2 字符"/>
    <w:link w:val="50"/>
    <w:qFormat/>
    <w:uiPriority w:val="99"/>
    <w:rPr>
      <w:rFonts w:ascii="宋体" w:hAnsi="宋体"/>
      <w:sz w:val="21"/>
      <w:szCs w:val="24"/>
      <w:lang w:val="en-US" w:eastAsia="zh-CN"/>
    </w:rPr>
  </w:style>
  <w:style w:type="character" w:customStyle="1" w:styleId="368">
    <w:name w:val="批注框文本 字符"/>
    <w:semiHidden/>
    <w:qFormat/>
    <w:uiPriority w:val="0"/>
    <w:rPr>
      <w:sz w:val="20"/>
    </w:rPr>
  </w:style>
  <w:style w:type="character" w:customStyle="1" w:styleId="369">
    <w:name w:val="HTML 预设格式 字符"/>
    <w:qFormat/>
    <w:uiPriority w:val="0"/>
    <w:rPr>
      <w:sz w:val="20"/>
    </w:rPr>
  </w:style>
  <w:style w:type="character" w:customStyle="1" w:styleId="370">
    <w:name w:val="美标题3 Char Char"/>
    <w:link w:val="371"/>
    <w:qFormat/>
    <w:uiPriority w:val="0"/>
    <w:rPr>
      <w:rFonts w:ascii="宋体" w:hAnsi="宋体"/>
      <w:b/>
    </w:rPr>
  </w:style>
  <w:style w:type="paragraph" w:customStyle="1" w:styleId="371">
    <w:name w:val="美标题3"/>
    <w:basedOn w:val="1"/>
    <w:link w:val="370"/>
    <w:qFormat/>
    <w:uiPriority w:val="0"/>
    <w:pPr>
      <w:spacing w:line="360" w:lineRule="auto"/>
    </w:pPr>
    <w:rPr>
      <w:rFonts w:ascii="宋体" w:hAnsi="宋体"/>
      <w:b/>
      <w:sz w:val="20"/>
      <w:szCs w:val="20"/>
    </w:rPr>
  </w:style>
  <w:style w:type="character" w:customStyle="1" w:styleId="372">
    <w:name w:val="font11"/>
    <w:qFormat/>
    <w:uiPriority w:val="0"/>
    <w:rPr>
      <w:rFonts w:ascii="Times New Roman" w:hAnsi="Times New Roman" w:cs="Times New Roman"/>
      <w:color w:val="000000"/>
      <w:sz w:val="24"/>
      <w:szCs w:val="24"/>
      <w:u w:val="none"/>
    </w:rPr>
  </w:style>
  <w:style w:type="character" w:customStyle="1" w:styleId="373">
    <w:name w:val="列表 3 字符1"/>
    <w:link w:val="12"/>
    <w:qFormat/>
    <w:uiPriority w:val="0"/>
    <w:rPr>
      <w:bCs/>
      <w:sz w:val="24"/>
      <w:szCs w:val="32"/>
    </w:rPr>
  </w:style>
  <w:style w:type="character" w:customStyle="1" w:styleId="374">
    <w:name w:val="不明显强调1"/>
    <w:qFormat/>
    <w:uiPriority w:val="0"/>
    <w:rPr>
      <w:i/>
      <w:color w:val="auto"/>
      <w:sz w:val="21"/>
    </w:rPr>
  </w:style>
  <w:style w:type="character" w:customStyle="1" w:styleId="375">
    <w:name w:val="不明显参考1"/>
    <w:qFormat/>
    <w:uiPriority w:val="0"/>
    <w:rPr>
      <w:smallCaps/>
      <w:color w:val="C0504D"/>
      <w:u w:val="single"/>
    </w:rPr>
  </w:style>
  <w:style w:type="character" w:customStyle="1" w:styleId="376">
    <w:name w:val="标题 8 字符"/>
    <w:qFormat/>
    <w:uiPriority w:val="0"/>
    <w:rPr>
      <w:sz w:val="20"/>
    </w:rPr>
  </w:style>
  <w:style w:type="character" w:customStyle="1" w:styleId="377">
    <w:name w:val="缺省文本 Char"/>
    <w:link w:val="378"/>
    <w:qFormat/>
    <w:uiPriority w:val="0"/>
    <w:rPr>
      <w:rFonts w:ascii="Arial" w:hAnsi="Arial"/>
      <w:sz w:val="24"/>
      <w:szCs w:val="21"/>
    </w:rPr>
  </w:style>
  <w:style w:type="paragraph" w:customStyle="1" w:styleId="378">
    <w:name w:val="缺省文本"/>
    <w:basedOn w:val="1"/>
    <w:link w:val="377"/>
    <w:qFormat/>
    <w:uiPriority w:val="0"/>
    <w:pPr>
      <w:spacing w:line="360" w:lineRule="auto"/>
      <w:jc w:val="left"/>
    </w:pPr>
    <w:rPr>
      <w:rFonts w:ascii="Arial" w:hAnsi="Arial"/>
      <w:sz w:val="24"/>
      <w:szCs w:val="21"/>
    </w:rPr>
  </w:style>
  <w:style w:type="character" w:customStyle="1" w:styleId="379">
    <w:name w:val="正文文本首行缩进 字符"/>
    <w:qFormat/>
    <w:uiPriority w:val="0"/>
    <w:rPr>
      <w:sz w:val="20"/>
    </w:rPr>
  </w:style>
  <w:style w:type="character" w:customStyle="1" w:styleId="380">
    <w:name w:val="表蕊 Char1"/>
    <w:link w:val="381"/>
    <w:qFormat/>
    <w:uiPriority w:val="0"/>
    <w:rPr>
      <w:rFonts w:eastAsia="楷体_GB2312"/>
      <w:spacing w:val="-10"/>
    </w:rPr>
  </w:style>
  <w:style w:type="paragraph" w:customStyle="1" w:styleId="381">
    <w:name w:val="表蕊"/>
    <w:basedOn w:val="1"/>
    <w:link w:val="380"/>
    <w:qFormat/>
    <w:uiPriority w:val="0"/>
    <w:pPr>
      <w:spacing w:line="320" w:lineRule="atLeast"/>
      <w:jc w:val="left"/>
    </w:pPr>
    <w:rPr>
      <w:rFonts w:eastAsia="楷体_GB2312"/>
      <w:spacing w:val="-10"/>
      <w:sz w:val="20"/>
      <w:szCs w:val="20"/>
    </w:rPr>
  </w:style>
  <w:style w:type="character" w:customStyle="1" w:styleId="382">
    <w:name w:val="正文文本缩进 字符"/>
    <w:qFormat/>
    <w:uiPriority w:val="0"/>
    <w:rPr>
      <w:sz w:val="20"/>
    </w:rPr>
  </w:style>
  <w:style w:type="character" w:customStyle="1" w:styleId="383">
    <w:name w:val="文档结构图 字符1"/>
    <w:link w:val="17"/>
    <w:qFormat/>
    <w:uiPriority w:val="99"/>
    <w:rPr>
      <w:rFonts w:ascii="宋体"/>
      <w:sz w:val="18"/>
      <w:szCs w:val="18"/>
    </w:rPr>
  </w:style>
  <w:style w:type="character" w:customStyle="1" w:styleId="384">
    <w:name w:val="批注文字 字符"/>
    <w:qFormat/>
    <w:uiPriority w:val="0"/>
    <w:rPr>
      <w:sz w:val="20"/>
    </w:rPr>
  </w:style>
  <w:style w:type="character" w:customStyle="1" w:styleId="385">
    <w:name w:val="Table Heading Char"/>
    <w:link w:val="386"/>
    <w:qFormat/>
    <w:uiPriority w:val="0"/>
    <w:rPr>
      <w:rFonts w:ascii="Arial" w:hAnsi="Arial" w:eastAsia="黑体"/>
      <w:sz w:val="18"/>
      <w:szCs w:val="22"/>
      <w:lang w:eastAsia="en-US"/>
    </w:rPr>
  </w:style>
  <w:style w:type="paragraph" w:customStyle="1" w:styleId="386">
    <w:name w:val="Table Heading"/>
    <w:link w:val="385"/>
    <w:qFormat/>
    <w:uiPriority w:val="0"/>
    <w:pPr>
      <w:keepNext/>
      <w:widowControl w:val="0"/>
      <w:spacing w:line="360" w:lineRule="atLeast"/>
      <w:jc w:val="center"/>
    </w:pPr>
    <w:rPr>
      <w:rFonts w:hint="default" w:ascii="Arial" w:hAnsi="Arial" w:eastAsia="黑体" w:cs="Times New Roman"/>
      <w:sz w:val="18"/>
      <w:szCs w:val="22"/>
      <w:lang w:val="en-US" w:eastAsia="en-US" w:bidi="ar-SA"/>
    </w:rPr>
  </w:style>
  <w:style w:type="character" w:customStyle="1" w:styleId="387">
    <w:name w:val="明显参考1"/>
    <w:qFormat/>
    <w:uiPriority w:val="0"/>
    <w:rPr>
      <w:b/>
      <w:bCs/>
      <w:smallCaps/>
      <w:color w:val="C0504D"/>
      <w:spacing w:val="5"/>
      <w:u w:val="single"/>
    </w:rPr>
  </w:style>
  <w:style w:type="character" w:customStyle="1" w:styleId="388">
    <w:name w:val="Char Char30"/>
    <w:qFormat/>
    <w:uiPriority w:val="0"/>
    <w:rPr>
      <w:rFonts w:eastAsia="宋体"/>
      <w:b/>
      <w:bCs/>
      <w:sz w:val="32"/>
      <w:szCs w:val="32"/>
      <w:lang w:val="en-US" w:eastAsia="zh-CN" w:bidi="ar-SA"/>
    </w:rPr>
  </w:style>
  <w:style w:type="character" w:customStyle="1" w:styleId="389">
    <w:name w:val="标题 6 字符"/>
    <w:qFormat/>
    <w:uiPriority w:val="0"/>
    <w:rPr>
      <w:b/>
      <w:sz w:val="20"/>
    </w:rPr>
  </w:style>
  <w:style w:type="character" w:customStyle="1" w:styleId="390">
    <w:name w:val="正文文本缩进 字符1"/>
    <w:link w:val="21"/>
    <w:qFormat/>
    <w:uiPriority w:val="99"/>
    <w:rPr>
      <w:sz w:val="21"/>
      <w:szCs w:val="24"/>
    </w:rPr>
  </w:style>
  <w:style w:type="character" w:customStyle="1" w:styleId="391">
    <w:name w:val="正文文本缩进 3 字符"/>
    <w:qFormat/>
    <w:uiPriority w:val="0"/>
    <w:rPr>
      <w:color w:val="FFFF00"/>
      <w:sz w:val="20"/>
    </w:rPr>
  </w:style>
  <w:style w:type="character" w:customStyle="1" w:styleId="392">
    <w:name w:val="Table Text Char1"/>
    <w:link w:val="393"/>
    <w:qFormat/>
    <w:uiPriority w:val="0"/>
    <w:rPr>
      <w:rFonts w:ascii="Arial" w:hAnsi="Arial" w:eastAsia="Times New Roman"/>
      <w:sz w:val="18"/>
      <w:szCs w:val="18"/>
    </w:rPr>
  </w:style>
  <w:style w:type="paragraph" w:customStyle="1" w:styleId="393">
    <w:name w:val="Table Text"/>
    <w:link w:val="392"/>
    <w:qFormat/>
    <w:uiPriority w:val="0"/>
    <w:pPr>
      <w:spacing w:before="80" w:after="80"/>
    </w:pPr>
    <w:rPr>
      <w:rFonts w:hint="default" w:ascii="Arial" w:hAnsi="Arial" w:eastAsia="Times New Roman" w:cs="Times New Roman"/>
      <w:sz w:val="18"/>
      <w:szCs w:val="18"/>
      <w:lang w:val="en-US" w:eastAsia="zh-CN" w:bidi="ar-SA"/>
    </w:rPr>
  </w:style>
  <w:style w:type="character" w:customStyle="1" w:styleId="394">
    <w:name w:val="首行缩进正文 Char"/>
    <w:link w:val="395"/>
    <w:qFormat/>
    <w:uiPriority w:val="0"/>
    <w:rPr>
      <w:rFonts w:ascii="微软雅黑" w:hAnsi="微软雅黑" w:eastAsia="微软雅黑"/>
      <w:sz w:val="24"/>
      <w:szCs w:val="24"/>
    </w:rPr>
  </w:style>
  <w:style w:type="paragraph" w:customStyle="1" w:styleId="395">
    <w:name w:val="首行缩进正文"/>
    <w:basedOn w:val="1"/>
    <w:link w:val="394"/>
    <w:qFormat/>
    <w:uiPriority w:val="0"/>
    <w:pPr>
      <w:widowControl/>
      <w:spacing w:line="400" w:lineRule="exact"/>
      <w:ind w:firstLine="420"/>
      <w:jc w:val="left"/>
    </w:pPr>
    <w:rPr>
      <w:rFonts w:ascii="微软雅黑" w:hAnsi="微软雅黑" w:eastAsia="微软雅黑"/>
      <w:sz w:val="20"/>
    </w:rPr>
  </w:style>
  <w:style w:type="character" w:customStyle="1" w:styleId="396">
    <w:name w:val="二级目录 Char"/>
    <w:link w:val="397"/>
    <w:qFormat/>
    <w:uiPriority w:val="0"/>
    <w:rPr>
      <w:rFonts w:eastAsia="Times New Roman"/>
      <w:b/>
      <w:sz w:val="30"/>
      <w:szCs w:val="28"/>
    </w:rPr>
  </w:style>
  <w:style w:type="paragraph" w:customStyle="1" w:styleId="397">
    <w:name w:val="二级目录"/>
    <w:next w:val="1"/>
    <w:link w:val="396"/>
    <w:qFormat/>
    <w:uiPriority w:val="0"/>
    <w:pPr>
      <w:tabs>
        <w:tab w:val="left" w:pos="907"/>
        <w:tab w:val="left" w:pos="1145"/>
      </w:tabs>
      <w:ind w:left="907" w:hanging="907"/>
      <w:outlineLvl w:val="1"/>
    </w:pPr>
    <w:rPr>
      <w:rFonts w:hint="default" w:ascii="Times New Roman" w:hAnsi="Times New Roman" w:eastAsia="Times New Roman" w:cs="Times New Roman"/>
      <w:b/>
      <w:sz w:val="30"/>
      <w:szCs w:val="28"/>
      <w:lang w:val="en-US" w:eastAsia="zh-CN" w:bidi="ar-SA"/>
    </w:rPr>
  </w:style>
  <w:style w:type="character" w:customStyle="1" w:styleId="398">
    <w:name w:val="HTML 地址 Char1"/>
    <w:qFormat/>
    <w:uiPriority w:val="0"/>
    <w:rPr>
      <w:i/>
      <w:iCs/>
      <w:sz w:val="21"/>
      <w:szCs w:val="21"/>
    </w:rPr>
  </w:style>
  <w:style w:type="character" w:customStyle="1" w:styleId="399">
    <w:name w:val="表格标题 Char"/>
    <w:link w:val="400"/>
    <w:qFormat/>
    <w:uiPriority w:val="0"/>
    <w:rPr>
      <w:rFonts w:ascii="Arial Black" w:hAnsi="Arial Black" w:eastAsia="黑体"/>
      <w:sz w:val="24"/>
      <w:szCs w:val="24"/>
    </w:rPr>
  </w:style>
  <w:style w:type="paragraph" w:customStyle="1" w:styleId="400">
    <w:name w:val="表格标题"/>
    <w:basedOn w:val="1"/>
    <w:link w:val="399"/>
    <w:qFormat/>
    <w:uiPriority w:val="0"/>
    <w:pPr>
      <w:spacing w:after="156" w:line="400" w:lineRule="exact"/>
      <w:jc w:val="center"/>
    </w:pPr>
    <w:rPr>
      <w:rFonts w:ascii="Arial Black" w:hAnsi="Arial Black" w:eastAsia="黑体"/>
      <w:sz w:val="24"/>
    </w:rPr>
  </w:style>
  <w:style w:type="character" w:customStyle="1" w:styleId="401">
    <w:name w:val="正文缩进 字符"/>
    <w:qFormat/>
    <w:uiPriority w:val="0"/>
    <w:rPr>
      <w:sz w:val="20"/>
    </w:rPr>
  </w:style>
  <w:style w:type="character" w:customStyle="1" w:styleId="402">
    <w:name w:val="正文文本首行缩进 字符1"/>
    <w:link w:val="49"/>
    <w:qFormat/>
    <w:uiPriority w:val="0"/>
    <w:rPr>
      <w:rFonts w:ascii="仿宋_GB2312" w:eastAsia="仿宋_GB2312"/>
      <w:sz w:val="30"/>
      <w:szCs w:val="30"/>
    </w:rPr>
  </w:style>
  <w:style w:type="character" w:customStyle="1" w:styleId="403">
    <w:name w:val="font91"/>
    <w:qFormat/>
    <w:uiPriority w:val="99"/>
    <w:rPr>
      <w:rFonts w:ascii="仿宋_GB2312" w:eastAsia="仿宋_GB2312" w:cs="仿宋_GB2312"/>
      <w:color w:val="FF0000"/>
      <w:sz w:val="24"/>
      <w:szCs w:val="24"/>
      <w:u w:val="none"/>
    </w:rPr>
  </w:style>
  <w:style w:type="character" w:customStyle="1" w:styleId="404">
    <w:name w:val="HTML 地址 字符1"/>
    <w:link w:val="24"/>
    <w:qFormat/>
    <w:uiPriority w:val="0"/>
    <w:rPr>
      <w:rFonts w:ascii="宋体"/>
      <w:i/>
      <w:iCs/>
      <w:sz w:val="21"/>
      <w:szCs w:val="21"/>
    </w:rPr>
  </w:style>
  <w:style w:type="character" w:customStyle="1" w:styleId="405">
    <w:name w:val="正文4 Char"/>
    <w:link w:val="406"/>
    <w:qFormat/>
    <w:uiPriority w:val="0"/>
    <w:rPr>
      <w:rFonts w:eastAsia="楷体_GB2312"/>
      <w:spacing w:val="8"/>
      <w:sz w:val="28"/>
    </w:rPr>
  </w:style>
  <w:style w:type="paragraph" w:customStyle="1" w:styleId="406">
    <w:name w:val="正文4"/>
    <w:basedOn w:val="1"/>
    <w:link w:val="405"/>
    <w:qFormat/>
    <w:uiPriority w:val="0"/>
    <w:pPr>
      <w:spacing w:line="440" w:lineRule="exact"/>
      <w:ind w:firstLine="601"/>
    </w:pPr>
    <w:rPr>
      <w:rFonts w:eastAsia="楷体_GB2312"/>
      <w:spacing w:val="8"/>
      <w:sz w:val="28"/>
      <w:szCs w:val="20"/>
    </w:rPr>
  </w:style>
  <w:style w:type="character" w:customStyle="1" w:styleId="407">
    <w:name w:val="Plain Text Char"/>
    <w:qFormat/>
    <w:uiPriority w:val="99"/>
    <w:rPr>
      <w:rFonts w:ascii="宋体" w:hAnsi="Courier New"/>
      <w:sz w:val="21"/>
    </w:rPr>
  </w:style>
  <w:style w:type="character" w:customStyle="1" w:styleId="408">
    <w:name w:val="正文缩进 字符1"/>
    <w:link w:val="2"/>
    <w:qFormat/>
    <w:uiPriority w:val="99"/>
    <w:rPr>
      <w:sz w:val="21"/>
      <w:szCs w:val="24"/>
    </w:rPr>
  </w:style>
  <w:style w:type="character" w:customStyle="1" w:styleId="409">
    <w:name w:val="标题 1 字符"/>
    <w:qFormat/>
    <w:uiPriority w:val="0"/>
    <w:rPr>
      <w:b/>
      <w:sz w:val="20"/>
    </w:rPr>
  </w:style>
  <w:style w:type="character" w:customStyle="1" w:styleId="410">
    <w:name w:val="正文（首行缩进2字符） Char"/>
    <w:link w:val="411"/>
    <w:qFormat/>
    <w:uiPriority w:val="0"/>
    <w:rPr>
      <w:sz w:val="21"/>
      <w:szCs w:val="21"/>
    </w:rPr>
  </w:style>
  <w:style w:type="paragraph" w:customStyle="1" w:styleId="411">
    <w:name w:val="正文（首行缩进2字符）"/>
    <w:basedOn w:val="1"/>
    <w:link w:val="410"/>
    <w:qFormat/>
    <w:uiPriority w:val="0"/>
    <w:pPr>
      <w:spacing w:line="360" w:lineRule="auto"/>
      <w:ind w:firstLine="420"/>
    </w:pPr>
    <w:rPr>
      <w:sz w:val="20"/>
      <w:szCs w:val="21"/>
    </w:rPr>
  </w:style>
  <w:style w:type="character" w:customStyle="1" w:styleId="412">
    <w:name w:val="HTML 预设格式 Char1"/>
    <w:semiHidden/>
    <w:qFormat/>
    <w:uiPriority w:val="99"/>
    <w:rPr>
      <w:rFonts w:ascii="Courier New" w:hAnsi="Courier New" w:eastAsia="仿宋_GB2312" w:cs="Courier New"/>
    </w:rPr>
  </w:style>
  <w:style w:type="character" w:customStyle="1" w:styleId="413">
    <w:name w:val="三级条标题 Char"/>
    <w:link w:val="414"/>
    <w:qFormat/>
    <w:uiPriority w:val="0"/>
    <w:rPr>
      <w:rFonts w:ascii="黑体" w:hAnsi="宋体" w:eastAsia="黑体"/>
    </w:rPr>
  </w:style>
  <w:style w:type="paragraph" w:customStyle="1" w:styleId="414">
    <w:name w:val="三级条标题"/>
    <w:basedOn w:val="329"/>
    <w:next w:val="71"/>
    <w:link w:val="413"/>
    <w:qFormat/>
    <w:uiPriority w:val="0"/>
    <w:pPr>
      <w:outlineLvl w:val="4"/>
    </w:pPr>
  </w:style>
  <w:style w:type="character" w:customStyle="1" w:styleId="415">
    <w:name w:val="font141"/>
    <w:qFormat/>
    <w:uiPriority w:val="99"/>
    <w:rPr>
      <w:rFonts w:ascii="Tahoma" w:hAnsi="Tahoma" w:cs="Tahoma"/>
      <w:color w:val="000000"/>
      <w:sz w:val="20"/>
      <w:szCs w:val="20"/>
      <w:u w:val="none"/>
    </w:rPr>
  </w:style>
  <w:style w:type="character" w:customStyle="1" w:styleId="416">
    <w:name w:val="Para head"/>
    <w:basedOn w:val="53"/>
    <w:qFormat/>
    <w:uiPriority w:val="0"/>
  </w:style>
  <w:style w:type="character" w:customStyle="1" w:styleId="417">
    <w:name w:val="font81"/>
    <w:qFormat/>
    <w:uiPriority w:val="99"/>
    <w:rPr>
      <w:rFonts w:ascii="仿宋_GB2312" w:eastAsia="仿宋_GB2312" w:cs="仿宋_GB2312"/>
      <w:b/>
      <w:color w:val="000000"/>
      <w:sz w:val="24"/>
      <w:szCs w:val="24"/>
      <w:u w:val="none"/>
    </w:rPr>
  </w:style>
  <w:style w:type="character" w:customStyle="1" w:styleId="418">
    <w:name w:val="美标题一 Char Char"/>
    <w:link w:val="419"/>
    <w:qFormat/>
    <w:uiPriority w:val="0"/>
    <w:rPr>
      <w:rFonts w:ascii="Calibri" w:hAnsi="Calibri"/>
      <w:b/>
      <w:sz w:val="36"/>
      <w:szCs w:val="24"/>
    </w:rPr>
  </w:style>
  <w:style w:type="paragraph" w:customStyle="1" w:styleId="419">
    <w:name w:val="美标题一"/>
    <w:basedOn w:val="1"/>
    <w:link w:val="418"/>
    <w:qFormat/>
    <w:uiPriority w:val="0"/>
    <w:pPr>
      <w:tabs>
        <w:tab w:val="left" w:pos="480"/>
        <w:tab w:val="left" w:pos="907"/>
        <w:tab w:val="left" w:pos="1035"/>
        <w:tab w:val="left" w:pos="1995"/>
      </w:tabs>
      <w:ind w:left="480" w:hanging="480"/>
      <w:jc w:val="center"/>
    </w:pPr>
    <w:rPr>
      <w:rFonts w:ascii="Calibri" w:hAnsi="Calibri"/>
      <w:b/>
      <w:sz w:val="36"/>
    </w:rPr>
  </w:style>
  <w:style w:type="character" w:customStyle="1" w:styleId="420">
    <w:name w:val="标题2 Char Char"/>
    <w:link w:val="421"/>
    <w:qFormat/>
    <w:uiPriority w:val="0"/>
    <w:rPr>
      <w:rFonts w:eastAsia="方正楷体_GBK"/>
      <w:sz w:val="32"/>
    </w:rPr>
  </w:style>
  <w:style w:type="paragraph" w:customStyle="1" w:styleId="421">
    <w:name w:val="标题2"/>
    <w:basedOn w:val="1"/>
    <w:next w:val="1"/>
    <w:link w:val="420"/>
    <w:qFormat/>
    <w:uiPriority w:val="0"/>
    <w:pPr>
      <w:jc w:val="center"/>
    </w:pPr>
    <w:rPr>
      <w:rFonts w:eastAsia="方正楷体_GBK"/>
      <w:sz w:val="32"/>
      <w:szCs w:val="20"/>
    </w:rPr>
  </w:style>
  <w:style w:type="character" w:customStyle="1" w:styleId="422">
    <w:name w:val="正文文本 3 字符"/>
    <w:qFormat/>
    <w:uiPriority w:val="0"/>
    <w:rPr>
      <w:sz w:val="20"/>
    </w:rPr>
  </w:style>
  <w:style w:type="character" w:customStyle="1" w:styleId="423">
    <w:name w:val="纯文本 Char1"/>
    <w:semiHidden/>
    <w:qFormat/>
    <w:uiPriority w:val="0"/>
    <w:rPr>
      <w:rFonts w:ascii="宋体" w:hAnsi="Courier New" w:cs="Courier New"/>
      <w:sz w:val="21"/>
      <w:szCs w:val="21"/>
    </w:rPr>
  </w:style>
  <w:style w:type="character" w:customStyle="1" w:styleId="424">
    <w:name w:val="明显强调1"/>
    <w:qFormat/>
    <w:uiPriority w:val="0"/>
    <w:rPr>
      <w:i/>
      <w:color w:val="auto"/>
      <w:sz w:val="21"/>
    </w:rPr>
  </w:style>
  <w:style w:type="character" w:customStyle="1" w:styleId="425">
    <w:name w:val="标题 7 字符"/>
    <w:qFormat/>
    <w:uiPriority w:val="0"/>
    <w:rPr>
      <w:b/>
      <w:sz w:val="20"/>
    </w:rPr>
  </w:style>
  <w:style w:type="character" w:customStyle="1" w:styleId="426">
    <w:name w:val="HTML 预设格式 字符1"/>
    <w:link w:val="45"/>
    <w:qFormat/>
    <w:uiPriority w:val="99"/>
    <w:rPr>
      <w:rFonts w:ascii="宋体" w:hAnsi="宋体"/>
      <w:sz w:val="24"/>
      <w:szCs w:val="24"/>
    </w:rPr>
  </w:style>
  <w:style w:type="character" w:customStyle="1" w:styleId="427">
    <w:name w:val="Plain Text Char1"/>
    <w:semiHidden/>
    <w:qFormat/>
    <w:uiPriority w:val="99"/>
    <w:rPr>
      <w:rFonts w:ascii="宋体" w:hAnsi="Courier New" w:cs="Courier New"/>
      <w:sz w:val="21"/>
      <w:szCs w:val="21"/>
    </w:rPr>
  </w:style>
  <w:style w:type="character" w:customStyle="1" w:styleId="428">
    <w:name w:val="正文文本缩进 Char1"/>
    <w:semiHidden/>
    <w:qFormat/>
    <w:uiPriority w:val="0"/>
    <w:rPr>
      <w:sz w:val="21"/>
      <w:szCs w:val="24"/>
    </w:rPr>
  </w:style>
  <w:style w:type="character" w:customStyle="1" w:styleId="429">
    <w:name w:val="正文文本 (9)_"/>
    <w:link w:val="430"/>
    <w:qFormat/>
    <w:uiPriority w:val="0"/>
    <w:rPr>
      <w:rFonts w:ascii="MingLiU" w:hAnsi="MingLiU" w:eastAsia="MingLiU"/>
      <w:spacing w:val="20"/>
      <w:sz w:val="16"/>
      <w:szCs w:val="16"/>
      <w:shd w:val="clear" w:color="auto" w:fill="FFFFFF"/>
    </w:rPr>
  </w:style>
  <w:style w:type="paragraph" w:customStyle="1" w:styleId="430">
    <w:name w:val="正文文本 (9)3"/>
    <w:basedOn w:val="1"/>
    <w:link w:val="429"/>
    <w:qFormat/>
    <w:uiPriority w:val="0"/>
    <w:pPr>
      <w:shd w:val="clear" w:color="auto" w:fill="FFFFFF"/>
      <w:spacing w:line="0" w:lineRule="atLeast"/>
      <w:jc w:val="left"/>
    </w:pPr>
    <w:rPr>
      <w:rFonts w:ascii="MingLiU" w:hAnsi="MingLiU" w:eastAsia="MingLiU"/>
      <w:spacing w:val="20"/>
      <w:sz w:val="16"/>
      <w:szCs w:val="16"/>
      <w:shd w:val="clear" w:color="auto" w:fill="FFFFFF"/>
    </w:rPr>
  </w:style>
  <w:style w:type="character" w:customStyle="1" w:styleId="431">
    <w:name w:val="正文文本 Char"/>
    <w:qFormat/>
    <w:uiPriority w:val="0"/>
    <w:rPr>
      <w:rFonts w:ascii="楷体_GB2312" w:hAnsi="Arial" w:eastAsia="楷体_GB2312"/>
      <w:sz w:val="28"/>
      <w:szCs w:val="28"/>
      <w:lang w:bidi="ar-SA"/>
    </w:rPr>
  </w:style>
  <w:style w:type="character" w:customStyle="1" w:styleId="432">
    <w:name w:val="wwwww Char"/>
    <w:link w:val="433"/>
    <w:qFormat/>
    <w:uiPriority w:val="0"/>
    <w:rPr>
      <w:rFonts w:ascii="宋体" w:hAnsi="宋体"/>
      <w:sz w:val="24"/>
      <w:szCs w:val="21"/>
    </w:rPr>
  </w:style>
  <w:style w:type="paragraph" w:customStyle="1" w:styleId="433">
    <w:name w:val="wwwww"/>
    <w:basedOn w:val="1"/>
    <w:link w:val="432"/>
    <w:qFormat/>
    <w:uiPriority w:val="0"/>
    <w:pPr>
      <w:widowControl/>
      <w:spacing w:line="400" w:lineRule="exact"/>
    </w:pPr>
    <w:rPr>
      <w:rFonts w:ascii="宋体" w:hAnsi="宋体"/>
      <w:sz w:val="24"/>
      <w:szCs w:val="21"/>
    </w:rPr>
  </w:style>
  <w:style w:type="character" w:customStyle="1" w:styleId="434">
    <w:name w:val="Char Char7"/>
    <w:qFormat/>
    <w:uiPriority w:val="0"/>
    <w:rPr>
      <w:rFonts w:ascii="Arial" w:hAnsi="Arial" w:eastAsia="幼圆"/>
      <w:b/>
      <w:bCs/>
      <w:sz w:val="44"/>
      <w:szCs w:val="44"/>
      <w:lang w:val="en-US" w:eastAsia="zh-CN" w:bidi="ar-SA"/>
    </w:rPr>
  </w:style>
  <w:style w:type="character" w:customStyle="1" w:styleId="435">
    <w:name w:val="章标题 Char"/>
    <w:link w:val="70"/>
    <w:qFormat/>
    <w:uiPriority w:val="0"/>
    <w:rPr>
      <w:rFonts w:ascii="黑体" w:eastAsia="黑体"/>
      <w:sz w:val="21"/>
      <w:szCs w:val="22"/>
    </w:rPr>
  </w:style>
  <w:style w:type="character" w:customStyle="1" w:styleId="436">
    <w:name w:val="二级条标题 + 宋体 Char"/>
    <w:link w:val="437"/>
    <w:qFormat/>
    <w:uiPriority w:val="0"/>
    <w:rPr>
      <w:rFonts w:ascii="宋体" w:hAnsi="宋体" w:eastAsia="黑体"/>
    </w:rPr>
  </w:style>
  <w:style w:type="paragraph" w:customStyle="1" w:styleId="437">
    <w:name w:val="二级条标题 + 宋体"/>
    <w:basedOn w:val="329"/>
    <w:link w:val="436"/>
    <w:qFormat/>
    <w:uiPriority w:val="0"/>
    <w:pPr>
      <w:tabs>
        <w:tab w:val="clear" w:pos="907"/>
      </w:tabs>
      <w:ind w:left="0" w:firstLine="0"/>
    </w:pPr>
    <w:rPr>
      <w:rFonts w:ascii="宋体"/>
    </w:rPr>
  </w:style>
  <w:style w:type="character" w:customStyle="1" w:styleId="438">
    <w:name w:val="方案文档 Char Char"/>
    <w:link w:val="439"/>
    <w:qFormat/>
    <w:uiPriority w:val="0"/>
    <w:rPr>
      <w:rFonts w:ascii="宋体" w:hAnsi="宋体"/>
      <w:b/>
    </w:rPr>
  </w:style>
  <w:style w:type="paragraph" w:customStyle="1" w:styleId="439">
    <w:name w:val="方案文档"/>
    <w:basedOn w:val="1"/>
    <w:link w:val="438"/>
    <w:qFormat/>
    <w:uiPriority w:val="0"/>
    <w:pPr>
      <w:tabs>
        <w:tab w:val="left" w:pos="420"/>
      </w:tabs>
      <w:spacing w:line="360" w:lineRule="auto"/>
      <w:ind w:left="420"/>
    </w:pPr>
    <w:rPr>
      <w:rFonts w:ascii="宋体" w:hAnsi="宋体"/>
      <w:b/>
      <w:sz w:val="20"/>
      <w:szCs w:val="20"/>
    </w:rPr>
  </w:style>
  <w:style w:type="character" w:customStyle="1" w:styleId="440">
    <w:name w:val="HTML 地址 字符"/>
    <w:qFormat/>
    <w:uiPriority w:val="0"/>
    <w:rPr>
      <w:i/>
      <w:sz w:val="20"/>
    </w:rPr>
  </w:style>
  <w:style w:type="character" w:customStyle="1" w:styleId="441">
    <w:name w:val="font01"/>
    <w:qFormat/>
    <w:uiPriority w:val="99"/>
    <w:rPr>
      <w:rFonts w:ascii="仿宋_GB2312" w:eastAsia="仿宋_GB2312" w:cs="仿宋_GB2312"/>
      <w:color w:val="000000"/>
      <w:sz w:val="24"/>
      <w:szCs w:val="24"/>
      <w:u w:val="none"/>
    </w:rPr>
  </w:style>
  <w:style w:type="character" w:customStyle="1" w:styleId="442">
    <w:name w:val="表格 Char Char"/>
    <w:link w:val="443"/>
    <w:qFormat/>
    <w:uiPriority w:val="0"/>
    <w:rPr>
      <w:rFonts w:ascii="宋体" w:hAnsi="宋体"/>
    </w:rPr>
  </w:style>
  <w:style w:type="paragraph" w:customStyle="1" w:styleId="443">
    <w:name w:val="表格"/>
    <w:basedOn w:val="1"/>
    <w:link w:val="442"/>
    <w:qFormat/>
    <w:uiPriority w:val="0"/>
    <w:pPr>
      <w:ind w:firstLine="42"/>
    </w:pPr>
    <w:rPr>
      <w:rFonts w:ascii="宋体" w:hAnsi="宋体"/>
      <w:sz w:val="20"/>
      <w:szCs w:val="20"/>
    </w:rPr>
  </w:style>
  <w:style w:type="character" w:customStyle="1" w:styleId="444">
    <w:name w:val="Char Char31"/>
    <w:qFormat/>
    <w:uiPriority w:val="0"/>
    <w:rPr>
      <w:rFonts w:ascii="Arial" w:hAnsi="Arial" w:eastAsia="幼圆"/>
      <w:b/>
      <w:bCs/>
      <w:sz w:val="44"/>
      <w:szCs w:val="44"/>
      <w:lang w:val="en-US" w:eastAsia="zh-CN" w:bidi="ar-SA"/>
    </w:rPr>
  </w:style>
  <w:style w:type="character" w:customStyle="1" w:styleId="445">
    <w:name w:val="页眉 字符"/>
    <w:qFormat/>
    <w:uiPriority w:val="0"/>
    <w:rPr>
      <w:sz w:val="20"/>
    </w:rPr>
  </w:style>
  <w:style w:type="character" w:customStyle="1" w:styleId="446">
    <w:name w:val="正文文本 (10)_"/>
    <w:link w:val="447"/>
    <w:qFormat/>
    <w:uiPriority w:val="0"/>
    <w:rPr>
      <w:rFonts w:ascii="MingLiU" w:hAnsi="MingLiU" w:eastAsia="MingLiU"/>
      <w:spacing w:val="40"/>
      <w:sz w:val="19"/>
      <w:szCs w:val="19"/>
      <w:shd w:val="clear" w:color="auto" w:fill="FFFFFF"/>
    </w:rPr>
  </w:style>
  <w:style w:type="paragraph" w:customStyle="1" w:styleId="447">
    <w:name w:val="正文文本 (10)6"/>
    <w:basedOn w:val="1"/>
    <w:link w:val="446"/>
    <w:qFormat/>
    <w:uiPriority w:val="0"/>
    <w:pPr>
      <w:shd w:val="clear" w:color="auto" w:fill="FFFFFF"/>
      <w:spacing w:line="0" w:lineRule="atLeast"/>
      <w:jc w:val="left"/>
    </w:pPr>
    <w:rPr>
      <w:rFonts w:ascii="MingLiU" w:hAnsi="MingLiU" w:eastAsia="MingLiU"/>
      <w:spacing w:val="40"/>
      <w:sz w:val="19"/>
      <w:szCs w:val="19"/>
      <w:shd w:val="clear" w:color="auto" w:fill="FFFFFF"/>
    </w:rPr>
  </w:style>
  <w:style w:type="character" w:customStyle="1" w:styleId="448">
    <w:name w:val="列表 3 字符"/>
    <w:qFormat/>
    <w:uiPriority w:val="0"/>
    <w:rPr>
      <w:sz w:val="20"/>
    </w:rPr>
  </w:style>
  <w:style w:type="character" w:customStyle="1" w:styleId="449">
    <w:name w:val="美标题2 Char Char"/>
    <w:link w:val="450"/>
    <w:qFormat/>
    <w:uiPriority w:val="0"/>
    <w:rPr>
      <w:rFonts w:ascii="宋体" w:hAnsi="宋体"/>
      <w:b/>
      <w:sz w:val="28"/>
    </w:rPr>
  </w:style>
  <w:style w:type="paragraph" w:customStyle="1" w:styleId="450">
    <w:name w:val="美标题2"/>
    <w:basedOn w:val="1"/>
    <w:link w:val="449"/>
    <w:qFormat/>
    <w:uiPriority w:val="0"/>
    <w:rPr>
      <w:rFonts w:ascii="宋体" w:hAnsi="宋体"/>
      <w:b/>
      <w:sz w:val="28"/>
      <w:szCs w:val="20"/>
    </w:rPr>
  </w:style>
  <w:style w:type="character" w:customStyle="1" w:styleId="451">
    <w:name w:val="标题 4 字符"/>
    <w:qFormat/>
    <w:uiPriority w:val="0"/>
    <w:rPr>
      <w:b/>
      <w:sz w:val="20"/>
    </w:rPr>
  </w:style>
  <w:style w:type="character" w:customStyle="1" w:styleId="452">
    <w:name w:val="fontstyle01"/>
    <w:qFormat/>
    <w:uiPriority w:val="0"/>
    <w:rPr>
      <w:rFonts w:hint="eastAsia" w:ascii="宋体" w:hAnsi="宋体" w:eastAsia="宋体"/>
      <w:color w:val="000000"/>
      <w:sz w:val="24"/>
      <w:szCs w:val="24"/>
    </w:rPr>
  </w:style>
  <w:style w:type="character" w:customStyle="1" w:styleId="453">
    <w:name w:val="正文文本 2 字符"/>
    <w:qFormat/>
    <w:uiPriority w:val="0"/>
    <w:rPr>
      <w:sz w:val="20"/>
    </w:rPr>
  </w:style>
  <w:style w:type="character" w:customStyle="1" w:styleId="454">
    <w:name w:val="Char Char29"/>
    <w:qFormat/>
    <w:uiPriority w:val="0"/>
    <w:rPr>
      <w:rFonts w:ascii="Arial" w:hAnsi="Arial" w:eastAsia="黑体"/>
      <w:b/>
      <w:bCs/>
      <w:sz w:val="28"/>
      <w:szCs w:val="28"/>
      <w:lang w:val="en-US" w:eastAsia="zh-CN" w:bidi="ar-SA"/>
    </w:rPr>
  </w:style>
  <w:style w:type="character" w:customStyle="1" w:styleId="455">
    <w:name w:val="正文文本缩进 2 Char1"/>
    <w:basedOn w:val="53"/>
    <w:semiHidden/>
    <w:qFormat/>
    <w:uiPriority w:val="99"/>
    <w:rPr>
      <w:sz w:val="21"/>
      <w:szCs w:val="24"/>
    </w:rPr>
  </w:style>
  <w:style w:type="character" w:customStyle="1" w:styleId="456">
    <w:name w:val="正文文本 字符1"/>
    <w:basedOn w:val="53"/>
    <w:link w:val="20"/>
    <w:qFormat/>
    <w:uiPriority w:val="0"/>
    <w:rPr>
      <w:sz w:val="21"/>
      <w:szCs w:val="24"/>
    </w:rPr>
  </w:style>
  <w:style w:type="character" w:customStyle="1" w:styleId="457">
    <w:name w:val="正文首行缩进 Char1"/>
    <w:basedOn w:val="456"/>
    <w:semiHidden/>
    <w:qFormat/>
    <w:uiPriority w:val="99"/>
    <w:rPr>
      <w:sz w:val="21"/>
      <w:szCs w:val="24"/>
    </w:rPr>
  </w:style>
  <w:style w:type="character" w:customStyle="1" w:styleId="458">
    <w:name w:val="正文文本 2 Char1"/>
    <w:basedOn w:val="53"/>
    <w:semiHidden/>
    <w:qFormat/>
    <w:uiPriority w:val="99"/>
    <w:rPr>
      <w:sz w:val="21"/>
      <w:szCs w:val="24"/>
    </w:rPr>
  </w:style>
  <w:style w:type="character" w:customStyle="1" w:styleId="459">
    <w:name w:val="正文文本缩进 Char2"/>
    <w:basedOn w:val="53"/>
    <w:semiHidden/>
    <w:qFormat/>
    <w:uiPriority w:val="99"/>
    <w:rPr>
      <w:sz w:val="21"/>
      <w:szCs w:val="24"/>
    </w:rPr>
  </w:style>
  <w:style w:type="character" w:customStyle="1" w:styleId="460">
    <w:name w:val="日期 Char1"/>
    <w:basedOn w:val="53"/>
    <w:semiHidden/>
    <w:qFormat/>
    <w:uiPriority w:val="99"/>
    <w:rPr>
      <w:sz w:val="21"/>
      <w:szCs w:val="24"/>
    </w:rPr>
  </w:style>
  <w:style w:type="character" w:customStyle="1" w:styleId="461">
    <w:name w:val="正文首行缩进 2 Char1"/>
    <w:basedOn w:val="459"/>
    <w:semiHidden/>
    <w:qFormat/>
    <w:uiPriority w:val="99"/>
    <w:rPr>
      <w:sz w:val="21"/>
      <w:szCs w:val="24"/>
    </w:rPr>
  </w:style>
  <w:style w:type="character" w:customStyle="1" w:styleId="462">
    <w:name w:val="文档结构图 Char1"/>
    <w:basedOn w:val="53"/>
    <w:semiHidden/>
    <w:qFormat/>
    <w:uiPriority w:val="99"/>
    <w:rPr>
      <w:rFonts w:ascii="宋体"/>
      <w:sz w:val="18"/>
      <w:szCs w:val="18"/>
    </w:rPr>
  </w:style>
  <w:style w:type="character" w:customStyle="1" w:styleId="463">
    <w:name w:val="正文文本 3 Char1"/>
    <w:basedOn w:val="53"/>
    <w:semiHidden/>
    <w:qFormat/>
    <w:uiPriority w:val="99"/>
    <w:rPr>
      <w:sz w:val="16"/>
      <w:szCs w:val="16"/>
    </w:rPr>
  </w:style>
  <w:style w:type="character" w:customStyle="1" w:styleId="464">
    <w:name w:val="HTML 地址 Char2"/>
    <w:basedOn w:val="53"/>
    <w:semiHidden/>
    <w:qFormat/>
    <w:uiPriority w:val="99"/>
    <w:rPr>
      <w:i/>
      <w:iCs/>
      <w:sz w:val="21"/>
      <w:szCs w:val="24"/>
    </w:rPr>
  </w:style>
  <w:style w:type="character" w:customStyle="1" w:styleId="465">
    <w:name w:val="正文文本缩进 3 Char1"/>
    <w:basedOn w:val="53"/>
    <w:semiHidden/>
    <w:qFormat/>
    <w:uiPriority w:val="99"/>
    <w:rPr>
      <w:sz w:val="16"/>
      <w:szCs w:val="16"/>
    </w:rPr>
  </w:style>
  <w:style w:type="character" w:customStyle="1" w:styleId="466">
    <w:name w:val="HTML 预设格式 Char2"/>
    <w:basedOn w:val="53"/>
    <w:semiHidden/>
    <w:qFormat/>
    <w:uiPriority w:val="99"/>
    <w:rPr>
      <w:rFonts w:ascii="Courier New" w:hAnsi="Courier New" w:cs="Courier New"/>
    </w:rPr>
  </w:style>
  <w:style w:type="paragraph" w:customStyle="1" w:styleId="467">
    <w:name w:val="正文2"/>
    <w:next w:val="46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68">
    <w:name w:val="Default_0"/>
    <w:qFormat/>
    <w:uiPriority w:val="0"/>
    <w:pPr>
      <w:widowControl w:val="0"/>
    </w:pPr>
    <w:rPr>
      <w:rFonts w:hint="default" w:ascii="宋体" w:hAnsi="Times New Roman" w:eastAsia="宋体" w:cs="宋体"/>
      <w:color w:val="000000"/>
      <w:sz w:val="24"/>
      <w:szCs w:val="24"/>
      <w:lang w:val="en-US" w:eastAsia="zh-CN" w:bidi="ar-SA"/>
    </w:rPr>
  </w:style>
  <w:style w:type="paragraph" w:customStyle="1" w:styleId="469">
    <w:name w:val="_Style 10"/>
    <w:basedOn w:val="1"/>
    <w:qFormat/>
    <w:uiPriority w:val="0"/>
    <w:rPr>
      <w:rFonts w:ascii="Tahoma" w:hAnsi="Tahoma"/>
      <w:sz w:val="24"/>
      <w:szCs w:val="20"/>
    </w:rPr>
  </w:style>
  <w:style w:type="paragraph" w:customStyle="1" w:styleId="470">
    <w:name w:val="正文缩进编号"/>
    <w:basedOn w:val="1"/>
    <w:qFormat/>
    <w:uiPriority w:val="0"/>
    <w:pPr>
      <w:spacing w:line="360" w:lineRule="auto"/>
      <w:ind w:left="840"/>
    </w:pPr>
    <w:rPr>
      <w:rFonts w:ascii="Calibri" w:hAnsi="Calibri"/>
      <w:sz w:val="24"/>
      <w:szCs w:val="21"/>
    </w:rPr>
  </w:style>
  <w:style w:type="paragraph" w:customStyle="1" w:styleId="471">
    <w:name w:val="Char1"/>
    <w:basedOn w:val="1"/>
    <w:qFormat/>
    <w:uiPriority w:val="0"/>
    <w:pPr>
      <w:tabs>
        <w:tab w:val="left" w:pos="432"/>
      </w:tabs>
      <w:spacing w:before="156" w:after="156"/>
      <w:ind w:left="432" w:hanging="432"/>
    </w:pPr>
  </w:style>
  <w:style w:type="paragraph" w:customStyle="1" w:styleId="472">
    <w:name w:val="jx标题1"/>
    <w:basedOn w:val="3"/>
    <w:qFormat/>
    <w:uiPriority w:val="0"/>
    <w:pPr>
      <w:tabs>
        <w:tab w:val="left" w:pos="425"/>
      </w:tabs>
      <w:spacing w:line="360" w:lineRule="auto"/>
    </w:pPr>
    <w:rPr>
      <w:rFonts w:ascii="Calibri" w:hAnsi="Calibri" w:eastAsia="黑体"/>
      <w:bCs/>
      <w:szCs w:val="44"/>
    </w:rPr>
  </w:style>
  <w:style w:type="paragraph" w:customStyle="1" w:styleId="473">
    <w:name w:val="GP（表格）"/>
    <w:basedOn w:val="1"/>
    <w:qFormat/>
    <w:uiPriority w:val="0"/>
    <w:rPr>
      <w:rFonts w:ascii="Arial" w:hAnsi="Arial"/>
      <w:sz w:val="18"/>
    </w:rPr>
  </w:style>
  <w:style w:type="paragraph" w:customStyle="1" w:styleId="474">
    <w:name w:val="列出段落1"/>
    <w:basedOn w:val="1"/>
    <w:qFormat/>
    <w:uiPriority w:val="0"/>
    <w:pPr>
      <w:ind w:left="480"/>
      <w:jc w:val="left"/>
    </w:pPr>
    <w:rPr>
      <w:rFonts w:ascii="Calibri" w:hAnsi="Calibri" w:eastAsia="PMingLiU"/>
      <w:sz w:val="24"/>
      <w:szCs w:val="20"/>
      <w:lang w:val="zh-CN" w:eastAsia="zh-TW"/>
    </w:rPr>
  </w:style>
  <w:style w:type="paragraph" w:customStyle="1" w:styleId="475">
    <w:name w:val="Default Text"/>
    <w:basedOn w:val="1"/>
    <w:qFormat/>
    <w:uiPriority w:val="0"/>
    <w:pPr>
      <w:widowControl/>
      <w:jc w:val="left"/>
    </w:pPr>
    <w:rPr>
      <w:rFonts w:ascii="Calibri" w:hAnsi="Calibri"/>
      <w:sz w:val="20"/>
      <w:szCs w:val="20"/>
      <w:lang w:eastAsia="en-US"/>
    </w:rPr>
  </w:style>
  <w:style w:type="paragraph" w:customStyle="1" w:styleId="476">
    <w:name w:val="正文2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77">
    <w:name w:val="彩色列表 - 着色 11"/>
    <w:basedOn w:val="1"/>
    <w:qFormat/>
    <w:uiPriority w:val="99"/>
    <w:pPr>
      <w:spacing w:line="274" w:lineRule="auto"/>
      <w:ind w:firstLine="420"/>
    </w:pPr>
    <w:rPr>
      <w:rFonts w:ascii="仿宋_GB2312" w:hAnsi="Calibri" w:eastAsia="仿宋_GB2312"/>
      <w:sz w:val="20"/>
    </w:rPr>
  </w:style>
  <w:style w:type="paragraph" w:customStyle="1" w:styleId="478">
    <w:name w:val="注×："/>
    <w:qFormat/>
    <w:uiPriority w:val="0"/>
    <w:pPr>
      <w:widowControl w:val="0"/>
      <w:tabs>
        <w:tab w:val="left" w:pos="312"/>
        <w:tab w:val="left" w:pos="630"/>
        <w:tab w:val="left" w:pos="1035"/>
      </w:tabs>
      <w:jc w:val="both"/>
    </w:pPr>
    <w:rPr>
      <w:rFonts w:hint="default" w:ascii="宋体" w:hAnsi="Times New Roman" w:eastAsia="宋体" w:cs="Times New Roman"/>
      <w:sz w:val="18"/>
      <w:lang w:val="en-US" w:eastAsia="zh-CN" w:bidi="ar-SA"/>
    </w:rPr>
  </w:style>
  <w:style w:type="paragraph" w:customStyle="1" w:styleId="479">
    <w:name w:val="正文_0_1"/>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480">
    <w:name w:val="修订2"/>
    <w:semiHidden/>
    <w:qFormat/>
    <w:uiPriority w:val="99"/>
    <w:rPr>
      <w:rFonts w:hint="default" w:ascii="Times New Roman" w:hAnsi="Times New Roman" w:eastAsia="宋体" w:cs="Times New Roman"/>
      <w:sz w:val="21"/>
      <w:szCs w:val="24"/>
      <w:lang w:val="en-US" w:eastAsia="zh-CN" w:bidi="ar-SA"/>
    </w:rPr>
  </w:style>
  <w:style w:type="paragraph" w:customStyle="1" w:styleId="481">
    <w:name w:val="_Style 0"/>
    <w:qFormat/>
    <w:uiPriority w:val="0"/>
    <w:pPr>
      <w:widowControl w:val="0"/>
      <w:jc w:val="center"/>
    </w:pPr>
    <w:rPr>
      <w:rFonts w:hint="default" w:ascii="Times New Roman" w:hAnsi="Times New Roman" w:eastAsia="仿宋_GB2312" w:cs="Times New Roman"/>
      <w:b/>
      <w:sz w:val="21"/>
      <w:lang w:val="en-US" w:eastAsia="zh-CN" w:bidi="ar-SA"/>
    </w:rPr>
  </w:style>
  <w:style w:type="paragraph" w:customStyle="1" w:styleId="482">
    <w:name w:val="xl70"/>
    <w:basedOn w:val="1"/>
    <w:qFormat/>
    <w:uiPriority w:val="0"/>
    <w:pPr>
      <w:widowControl/>
      <w:pBdr>
        <w:top w:val="single" w:color="auto" w:sz="4" w:space="0"/>
        <w:bottom w:val="single" w:color="auto" w:sz="4" w:space="0"/>
      </w:pBdr>
      <w:spacing w:before="100" w:beforeAutospacing="1" w:after="100" w:afterAutospacing="1"/>
    </w:pPr>
    <w:rPr>
      <w:rFonts w:ascii="宋体" w:hAnsi="宋体"/>
      <w:b/>
      <w:sz w:val="28"/>
      <w:szCs w:val="20"/>
    </w:rPr>
  </w:style>
  <w:style w:type="paragraph" w:customStyle="1" w:styleId="483">
    <w:name w:val="列出段落3"/>
    <w:basedOn w:val="467"/>
    <w:qFormat/>
    <w:uiPriority w:val="34"/>
    <w:pPr>
      <w:ind w:firstLine="420"/>
    </w:pPr>
    <w:rPr>
      <w:rFonts w:ascii="Calibri" w:hAnsi="Calibri"/>
      <w:sz w:val="22"/>
      <w:szCs w:val="22"/>
    </w:rPr>
  </w:style>
  <w:style w:type="paragraph" w:customStyle="1" w:styleId="484">
    <w:name w:val="样式2"/>
    <w:basedOn w:val="3"/>
    <w:qFormat/>
    <w:uiPriority w:val="0"/>
    <w:pPr>
      <w:widowControl/>
      <w:tabs>
        <w:tab w:val="left" w:pos="312"/>
        <w:tab w:val="left" w:pos="480"/>
      </w:tabs>
      <w:spacing w:before="0" w:after="0" w:line="400" w:lineRule="atLeast"/>
      <w:ind w:left="360" w:hanging="360"/>
      <w:outlineLvl w:val="9"/>
    </w:pPr>
    <w:rPr>
      <w:rFonts w:ascii="宋体" w:eastAsia="黑体"/>
      <w:sz w:val="21"/>
    </w:rPr>
  </w:style>
  <w:style w:type="paragraph" w:customStyle="1" w:styleId="485">
    <w:name w:val="P3"/>
    <w:qFormat/>
    <w:uiPriority w:val="0"/>
    <w:pPr>
      <w:widowControl w:val="0"/>
      <w:spacing w:after="240" w:line="0" w:lineRule="atLeast"/>
      <w:ind w:left="2880" w:hanging="576"/>
      <w:jc w:val="both"/>
    </w:pPr>
    <w:rPr>
      <w:rFonts w:hint="default" w:ascii="Times New Roman" w:hAnsi="Times New Roman" w:eastAsia="全真中明體" w:cs="Times New Roman"/>
      <w:spacing w:val="30"/>
      <w:sz w:val="24"/>
      <w:lang w:val="en-GB" w:eastAsia="zh-TW" w:bidi="ar-SA"/>
    </w:rPr>
  </w:style>
  <w:style w:type="paragraph" w:customStyle="1" w:styleId="486">
    <w:name w:val="WPSOffice手动目录 2"/>
    <w:qFormat/>
    <w:uiPriority w:val="0"/>
    <w:pPr>
      <w:ind w:left="200"/>
    </w:pPr>
    <w:rPr>
      <w:rFonts w:hint="default" w:ascii="Times New Roman" w:hAnsi="Times New Roman" w:eastAsia="宋体" w:cs="Times New Roman"/>
      <w:lang w:val="en-US" w:eastAsia="zh-CN" w:bidi="ar-SA"/>
    </w:rPr>
  </w:style>
  <w:style w:type="paragraph" w:customStyle="1" w:styleId="487">
    <w:name w:val="正文图标题"/>
    <w:basedOn w:val="1"/>
    <w:next w:val="71"/>
    <w:qFormat/>
    <w:uiPriority w:val="0"/>
    <w:pPr>
      <w:widowControl/>
      <w:tabs>
        <w:tab w:val="left" w:pos="480"/>
      </w:tabs>
      <w:ind w:left="720" w:hanging="720"/>
      <w:jc w:val="center"/>
    </w:pPr>
    <w:rPr>
      <w:rFonts w:hint="eastAsia" w:ascii="黑体" w:eastAsia="黑体"/>
      <w:sz w:val="20"/>
      <w:szCs w:val="20"/>
    </w:rPr>
  </w:style>
  <w:style w:type="paragraph" w:customStyle="1" w:styleId="488">
    <w:name w:val="正文编号"/>
    <w:basedOn w:val="1"/>
    <w:qFormat/>
    <w:uiPriority w:val="0"/>
    <w:pPr>
      <w:tabs>
        <w:tab w:val="left" w:pos="720"/>
      </w:tabs>
      <w:spacing w:line="400" w:lineRule="exact"/>
    </w:pPr>
    <w:rPr>
      <w:rFonts w:eastAsia="楷体_GB2312"/>
      <w:spacing w:val="8"/>
      <w:sz w:val="28"/>
      <w:szCs w:val="20"/>
    </w:rPr>
  </w:style>
  <w:style w:type="paragraph" w:customStyle="1" w:styleId="489">
    <w:name w:val="样式 Numbered list 2.1 +"/>
    <w:basedOn w:val="1"/>
    <w:qFormat/>
    <w:uiPriority w:val="0"/>
    <w:pPr>
      <w:keepNext/>
      <w:widowControl/>
      <w:tabs>
        <w:tab w:val="left" w:pos="425"/>
        <w:tab w:val="left" w:pos="720"/>
      </w:tabs>
      <w:spacing w:before="240" w:after="60"/>
      <w:ind w:left="709" w:hanging="709"/>
      <w:jc w:val="left"/>
      <w:outlineLvl w:val="0"/>
    </w:pPr>
    <w:rPr>
      <w:rFonts w:ascii="Futura Bk" w:hAnsi="Futura Bk"/>
      <w:b/>
      <w:bCs/>
      <w:sz w:val="28"/>
      <w:szCs w:val="20"/>
      <w:lang w:eastAsia="en-US"/>
    </w:rPr>
  </w:style>
  <w:style w:type="paragraph" w:customStyle="1" w:styleId="490">
    <w:name w:val="Section VII Header2"/>
    <w:basedOn w:val="3"/>
    <w:qFormat/>
    <w:uiPriority w:val="0"/>
    <w:pPr>
      <w:keepNext w:val="0"/>
      <w:keepLines w:val="0"/>
      <w:widowControl/>
      <w:tabs>
        <w:tab w:val="right" w:pos="9000"/>
      </w:tabs>
      <w:spacing w:before="120" w:after="120" w:line="260" w:lineRule="exact"/>
      <w:ind w:right="12"/>
      <w:jc w:val="center"/>
      <w:outlineLvl w:val="9"/>
    </w:pPr>
    <w:rPr>
      <w:rFonts w:ascii="宋体" w:hAnsi="宋体" w:eastAsia="宋体" w:cs="Arial"/>
      <w:bCs/>
      <w:sz w:val="24"/>
    </w:rPr>
  </w:style>
  <w:style w:type="paragraph" w:customStyle="1" w:styleId="491">
    <w:name w:val="HPC正文"/>
    <w:basedOn w:val="1"/>
    <w:qFormat/>
    <w:uiPriority w:val="0"/>
    <w:pPr>
      <w:spacing w:line="360" w:lineRule="auto"/>
      <w:ind w:firstLine="424"/>
    </w:pPr>
    <w:rPr>
      <w:sz w:val="24"/>
    </w:rPr>
  </w:style>
  <w:style w:type="paragraph" w:customStyle="1" w:styleId="492">
    <w:name w:val="示例"/>
    <w:next w:val="71"/>
    <w:qFormat/>
    <w:uiPriority w:val="0"/>
    <w:pPr>
      <w:tabs>
        <w:tab w:val="left" w:pos="720"/>
        <w:tab w:val="left" w:pos="816"/>
      </w:tabs>
      <w:ind w:left="720" w:firstLine="419"/>
      <w:jc w:val="both"/>
    </w:pPr>
    <w:rPr>
      <w:rFonts w:hint="default" w:ascii="宋体" w:hAnsi="Times New Roman" w:eastAsia="宋体" w:cs="Times New Roman"/>
      <w:sz w:val="18"/>
      <w:lang w:val="en-US" w:eastAsia="zh-CN" w:bidi="ar-SA"/>
    </w:rPr>
  </w:style>
  <w:style w:type="paragraph" w:customStyle="1" w:styleId="493">
    <w:name w:val="Sub Item List"/>
    <w:basedOn w:val="1"/>
    <w:qFormat/>
    <w:uiPriority w:val="0"/>
    <w:pPr>
      <w:widowControl/>
      <w:tabs>
        <w:tab w:val="left" w:pos="397"/>
        <w:tab w:val="left" w:pos="1922"/>
      </w:tabs>
      <w:spacing w:before="80" w:line="240" w:lineRule="atLeast"/>
      <w:ind w:left="397" w:hanging="397"/>
      <w:jc w:val="left"/>
    </w:pPr>
    <w:rPr>
      <w:rFonts w:hint="eastAsia" w:cs="Arial"/>
      <w:szCs w:val="21"/>
    </w:rPr>
  </w:style>
  <w:style w:type="paragraph" w:customStyle="1" w:styleId="494">
    <w:name w:val="xl62"/>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sz w:val="22"/>
      <w:szCs w:val="20"/>
    </w:rPr>
  </w:style>
  <w:style w:type="paragraph" w:customStyle="1" w:styleId="495">
    <w:name w:val="一级项目符号"/>
    <w:basedOn w:val="1"/>
    <w:qFormat/>
    <w:uiPriority w:val="0"/>
    <w:pPr>
      <w:widowControl/>
      <w:tabs>
        <w:tab w:val="left" w:pos="425"/>
        <w:tab w:val="left" w:pos="840"/>
      </w:tabs>
      <w:spacing w:line="360" w:lineRule="auto"/>
      <w:ind w:left="425" w:hanging="425"/>
    </w:pPr>
    <w:rPr>
      <w:rFonts w:ascii="Calibri" w:hAnsi="Calibri"/>
      <w:sz w:val="24"/>
    </w:rPr>
  </w:style>
  <w:style w:type="paragraph" w:customStyle="1" w:styleId="496">
    <w:name w:val="列项——"/>
    <w:qFormat/>
    <w:uiPriority w:val="0"/>
    <w:pPr>
      <w:widowControl w:val="0"/>
      <w:tabs>
        <w:tab w:val="left" w:pos="720"/>
        <w:tab w:val="left" w:pos="854"/>
        <w:tab w:val="left" w:pos="1035"/>
      </w:tabs>
      <w:ind w:left="200" w:hanging="200"/>
      <w:jc w:val="both"/>
    </w:pPr>
    <w:rPr>
      <w:rFonts w:hint="default" w:ascii="宋体" w:hAnsi="Times New Roman" w:eastAsia="宋体" w:cs="Times New Roman"/>
      <w:sz w:val="21"/>
      <w:lang w:val="en-US" w:eastAsia="zh-CN" w:bidi="ar-SA"/>
    </w:rPr>
  </w:style>
  <w:style w:type="paragraph" w:customStyle="1" w:styleId="497">
    <w:name w:val="Char Char1 Char Char Char Char Char Char Char Char Char Char Char Char Char Char Char"/>
    <w:basedOn w:val="1"/>
    <w:qFormat/>
    <w:uiPriority w:val="0"/>
    <w:pPr>
      <w:widowControl/>
      <w:tabs>
        <w:tab w:val="left" w:pos="4200"/>
        <w:tab w:val="left" w:pos="4260"/>
      </w:tabs>
      <w:spacing w:after="160" w:line="240" w:lineRule="exact"/>
      <w:ind w:left="4260"/>
      <w:jc w:val="left"/>
    </w:pPr>
    <w:rPr>
      <w:rFonts w:ascii="Verdana" w:hAnsi="Verdana"/>
      <w:sz w:val="20"/>
      <w:szCs w:val="20"/>
      <w:lang w:eastAsia="en-US"/>
    </w:rPr>
  </w:style>
  <w:style w:type="paragraph" w:customStyle="1" w:styleId="498">
    <w:name w:val="Char11"/>
    <w:basedOn w:val="1"/>
    <w:qFormat/>
    <w:uiPriority w:val="0"/>
    <w:pPr>
      <w:spacing w:line="360" w:lineRule="auto"/>
    </w:pPr>
    <w:rPr>
      <w:sz w:val="24"/>
      <w:szCs w:val="20"/>
    </w:rPr>
  </w:style>
  <w:style w:type="paragraph" w:customStyle="1" w:styleId="49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12"/>
      <w:szCs w:val="12"/>
    </w:rPr>
  </w:style>
  <w:style w:type="paragraph" w:customStyle="1" w:styleId="500">
    <w:name w:val="Body text|3"/>
    <w:basedOn w:val="1"/>
    <w:qFormat/>
    <w:uiPriority w:val="0"/>
    <w:pPr>
      <w:ind w:left="260" w:hanging="260"/>
      <w:jc w:val="left"/>
    </w:pPr>
    <w:rPr>
      <w:color w:val="000000"/>
      <w:sz w:val="26"/>
      <w:szCs w:val="26"/>
    </w:rPr>
  </w:style>
  <w:style w:type="paragraph" w:customStyle="1" w:styleId="501">
    <w:name w:val="Body text|1"/>
    <w:basedOn w:val="1"/>
    <w:qFormat/>
    <w:uiPriority w:val="0"/>
    <w:pPr>
      <w:spacing w:line="417" w:lineRule="auto"/>
      <w:ind w:firstLine="400"/>
      <w:jc w:val="left"/>
    </w:pPr>
    <w:rPr>
      <w:rFonts w:ascii="宋体" w:hAnsi="宋体" w:cs="宋体"/>
      <w:color w:val="000000"/>
      <w:sz w:val="30"/>
      <w:szCs w:val="30"/>
    </w:rPr>
  </w:style>
  <w:style w:type="character" w:customStyle="1" w:styleId="502">
    <w:name w:val="font51"/>
    <w:basedOn w:val="53"/>
    <w:qFormat/>
    <w:uiPriority w:val="0"/>
    <w:rPr>
      <w:rFonts w:hint="eastAsia" w:ascii="宋体" w:hAnsi="宋体" w:eastAsia="宋体" w:cs="宋体"/>
      <w:b/>
      <w:color w:val="000000"/>
      <w:sz w:val="36"/>
      <w:szCs w:val="36"/>
      <w:u w:val="none"/>
    </w:rPr>
  </w:style>
  <w:style w:type="character" w:customStyle="1" w:styleId="503">
    <w:name w:val="font41"/>
    <w:basedOn w:val="53"/>
    <w:qFormat/>
    <w:uiPriority w:val="0"/>
    <w:rPr>
      <w:rFonts w:hint="eastAsia" w:ascii="宋体" w:hAnsi="宋体" w:eastAsia="宋体" w:cs="宋体"/>
      <w:color w:val="000000"/>
      <w:sz w:val="22"/>
      <w:szCs w:val="22"/>
      <w:u w:val="none"/>
    </w:rPr>
  </w:style>
  <w:style w:type="character" w:customStyle="1" w:styleId="504">
    <w:name w:val="font31"/>
    <w:basedOn w:val="53"/>
    <w:qFormat/>
    <w:uiPriority w:val="0"/>
    <w:rPr>
      <w:rFonts w:hint="default" w:ascii="Calibri" w:hAnsi="Calibri" w:eastAsia="宋体" w:cs="Calibri"/>
      <w:color w:val="000000"/>
      <w:sz w:val="22"/>
      <w:szCs w:val="22"/>
      <w:u w:val="none"/>
    </w:rPr>
  </w:style>
  <w:style w:type="character" w:customStyle="1" w:styleId="505">
    <w:name w:val="NormalCharacter"/>
    <w:link w:val="62"/>
    <w:semiHidden/>
    <w:qFormat/>
    <w:uiPriority w:val="0"/>
    <w:rPr>
      <w:rFonts w:hint="default" w:ascii="Times New Roman" w:hAnsi="Times New Roman" w:eastAsia="宋体" w:cs="Times New Roman"/>
      <w:sz w:val="21"/>
      <w:szCs w:val="24"/>
    </w:rPr>
  </w:style>
  <w:style w:type="character" w:customStyle="1" w:styleId="506">
    <w:name w:val="bsharetext"/>
    <w:basedOn w:val="53"/>
    <w:qFormat/>
    <w:uiPriority w:val="0"/>
  </w:style>
  <w:style w:type="paragraph" w:customStyle="1" w:styleId="507">
    <w:name w:val="普通(网站)1"/>
    <w:basedOn w:val="63"/>
    <w:qFormat/>
    <w:uiPriority w:val="0"/>
    <w:pPr>
      <w:spacing w:before="100" w:beforeAutospacing="1" w:after="100" w:afterAutospacing="1"/>
      <w:jc w:val="left"/>
    </w:pPr>
    <w:rPr>
      <w:rFonts w:ascii="宋体" w:hAnsi="宋体"/>
      <w:sz w:val="24"/>
      <w:szCs w:val="24"/>
    </w:rPr>
  </w:style>
  <w:style w:type="paragraph" w:customStyle="1" w:styleId="508">
    <w:name w:val="Fließtext"/>
    <w:basedOn w:val="1"/>
    <w:qFormat/>
    <w:uiPriority w:val="99"/>
    <w:rPr>
      <w:rFonts w:ascii="Calibri" w:hAnsi="Calibri"/>
    </w:rPr>
  </w:style>
  <w:style w:type="character" w:customStyle="1" w:styleId="509">
    <w:name w:val="超链接1"/>
    <w:link w:val="62"/>
    <w:qFormat/>
    <w:uiPriority w:val="0"/>
    <w:rPr>
      <w:rFonts w:ascii="Times New Roman" w:hAnsi="Times New Roman" w:eastAsia="宋体"/>
      <w:sz w:val="21"/>
      <w:szCs w:val="24"/>
      <w:lang w:val="en-US" w:eastAsia="zh-CN" w:bidi="ar-SA"/>
    </w:rPr>
  </w:style>
  <w:style w:type="character" w:customStyle="1" w:styleId="510">
    <w:name w:val="页码1"/>
    <w:link w:val="63"/>
    <w:qFormat/>
    <w:uiPriority w:val="0"/>
    <w:rPr>
      <w:rFonts w:hint="default" w:ascii="Times New Roman" w:hAnsi="Times New Roman" w:eastAsia="宋体" w:cs="Times New Roman"/>
      <w:lang w:val="en-US" w:eastAsia="zh-CN" w:bidi="ar-SA"/>
    </w:rPr>
  </w:style>
  <w:style w:type="paragraph" w:customStyle="1" w:styleId="511">
    <w:name w:val="批注文字1"/>
    <w:basedOn w:val="63"/>
    <w:semiHidden/>
    <w:qFormat/>
    <w:uiPriority w:val="0"/>
    <w:pPr>
      <w:jc w:val="left"/>
    </w:pPr>
    <w:rPr>
      <w:sz w:val="21"/>
    </w:rPr>
  </w:style>
  <w:style w:type="paragraph" w:customStyle="1" w:styleId="512">
    <w:name w:val="Table Paragraph"/>
    <w:basedOn w:val="63"/>
    <w:qFormat/>
    <w:uiPriority w:val="1"/>
    <w:pPr>
      <w:jc w:val="left"/>
    </w:pPr>
    <w:rPr>
      <w:rFonts w:asciiTheme="minorHAnsi" w:hAnsiTheme="minorHAnsi" w:eastAsiaTheme="minorEastAsia" w:cstheme="minorBidi"/>
      <w:sz w:val="22"/>
      <w:szCs w:val="22"/>
      <w:lang w:eastAsia="en-US"/>
    </w:rPr>
  </w:style>
  <w:style w:type="paragraph" w:customStyle="1" w:styleId="513">
    <w:name w:val="目录 111"/>
    <w:basedOn w:val="65"/>
    <w:next w:val="1"/>
    <w:qFormat/>
    <w:uiPriority w:val="0"/>
  </w:style>
  <w:style w:type="paragraph" w:customStyle="1" w:styleId="514">
    <w:name w:val="正文缩进1"/>
    <w:basedOn w:val="65"/>
    <w:next w:val="65"/>
    <w:qFormat/>
    <w:uiPriority w:val="0"/>
    <w:pPr>
      <w:ind w:firstLine="420"/>
    </w:pPr>
    <w:rPr>
      <w:szCs w:val="21"/>
    </w:rPr>
  </w:style>
  <w:style w:type="paragraph" w:customStyle="1" w:styleId="515">
    <w:name w:val="列出段落2"/>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4.xml><?xml version="1.0" encoding="utf-8"?>
<w:settings xmlns:w="http://schemas.openxmlformats.org/wordprocessingml/2006/main">
  <w:SpecialFormsHighlight w:val="c9c8ff"/>
</w:setting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customXml/itemProps3.xml><?xml version="1.0" encoding="utf-8"?>
<ds:datastoreItem xmlns:ds="http://schemas.openxmlformats.org/officeDocument/2006/customXml" ds:itemID="{5D0AEA6B-E499-4EEF-98A3-AFBB261C493E}">
  <ds:schemaRefs/>
</ds:datastoreItem>
</file>

<file path=customXml/itemProps4.xml><?xml version="1.0" encoding="utf-8"?>
<ds:datastoreItem xmlns:ds="http://schemas.openxmlformats.org/officeDocument/2006/customXml" ds:itemID="{5D0AEA6B-E499-4EEF-98A3-AFBB261C493E}">
  <ds:schemaRefs/>
</ds:datastoreItem>
</file>

<file path=customXml/itemProps5.xml><?xml version="1.0" encoding="utf-8"?>
<ds:datastoreItem xmlns:ds="http://schemas.openxmlformats.org/officeDocument/2006/customXml" ds:itemID="{58EB6DBD-9B1D-4997-BBA5-829B1B8FE165}">
  <ds:schemaRefs/>
</ds:datastoreItem>
</file>

<file path=customXml/itemProps6.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53</Pages>
  <Words>13971</Words>
  <Characters>14797</Characters>
  <TotalTime>0</TotalTime>
  <ScaleCrop>false</ScaleCrop>
  <LinksUpToDate>false</LinksUpToDate>
  <CharactersWithSpaces>14931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2021-09-07T07:04:00Z</dcterms:created>
  <dc:creator>xz</dc:creator>
  <cp:lastModifiedBy>Administrator</cp:lastModifiedBy>
  <dcterms:modified xsi:type="dcterms:W3CDTF">2025-11-10T05:20:53Z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09B7763DCF0E4F94992EAB101D28AAA2_13</vt:lpwstr>
  </property>
  <property fmtid="{D5CDD505-2E9C-101B-9397-08002B2CF9AE}" pid="4" name="commondata">
    <vt:lpwstr>eyJoZGlkIjoiZjE1Yzg0ZTk2YmZkN2Q4OWRhMThhOGViZDNmODgwMjIifQ==</vt:lpwstr>
  </property>
  <property fmtid="{D5CDD505-2E9C-101B-9397-08002B2CF9AE}" pid="5" name="KSOTemplateDocerSaveRecord">
    <vt:lpwstr>eyJoZGlkIjoiOTEyYjBjYzFkZGNkMTEzZGU0ODZmZTM3NGUwNTE4MzUiLCJ1c2VySWQiOiI0NTEyMTAyODMifQ==</vt:lpwstr>
  </property>
</Properties>
</file>