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b/>
          <w:sz w:val="84"/>
          <w:szCs w:val="84"/>
        </w:rPr>
      </w:pPr>
      <w:r>
        <w:rPr>
          <w:rFonts w:hint="eastAsia"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left="2244" w:hanging="1606"/>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w:t>
      </w:r>
      <w:r>
        <w:rPr>
          <w:rFonts w:hint="eastAsia" w:ascii="宋体" w:hAnsi="宋体"/>
          <w:b/>
          <w:color w:val="000000" w:themeColor="text1"/>
          <w:sz w:val="32"/>
          <w:szCs w:val="32"/>
          <w14:textFill>
            <w14:solidFill>
              <w14:schemeClr w14:val="tx1"/>
            </w14:solidFill>
          </w14:textFill>
        </w:rPr>
        <w:t xml:space="preserve">2024年生态环境第三方监测服务项目</w:t>
      </w:r>
      <w:r/>
    </w:p>
    <w:p>
      <w:pPr>
        <w:ind w:firstLine="643"/>
        <w:spacing w:line="480" w:lineRule="auto"/>
        <w:rPr>
          <w:rFonts w:ascii="黑体" w:hAnsi="Arial" w:eastAsia="黑体"/>
          <w:b/>
          <w:color w:val="auto"/>
          <w:sz w:val="44"/>
          <w:szCs w:val="21"/>
        </w:rPr>
      </w:pPr>
      <w:r>
        <w:rPr>
          <w:rFonts w:hint="eastAsia" w:ascii="Arial" w:hAnsi="Arial"/>
          <w:b/>
          <w:bCs/>
          <w:color w:val="auto"/>
          <w:sz w:val="32"/>
          <w:szCs w:val="24"/>
        </w:rPr>
        <w:t xml:space="preserve">项目编号：JSZC-320700-CWGC-G2024-0003</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ind w:firstLine="643"/>
        <w:spacing w:before="120" w:after="120" w:line="360" w:lineRule="auto"/>
        <w:rPr>
          <w:rFonts w:ascii="Arial" w:hAnsi="Arial"/>
          <w:b/>
          <w:bCs/>
          <w:sz w:val="32"/>
        </w:rPr>
        <w:outlineLvl w:val="0"/>
      </w:pPr>
      <w:r/>
      <w:bookmarkStart w:id="0" w:name="_Toc10987"/>
      <w:r>
        <w:rPr>
          <w:rFonts w:hint="eastAsia" w:ascii="Arial" w:hAnsi="Arial"/>
          <w:b/>
          <w:bCs/>
          <w:sz w:val="32"/>
        </w:rPr>
        <w:t xml:space="preserve">采   购   人：</w:t>
      </w:r>
      <w:bookmarkEnd w:id="0"/>
      <w:r>
        <w:rPr>
          <w:rFonts w:hint="eastAsia" w:ascii="Arial" w:hAnsi="Arial"/>
          <w:b/>
          <w:bCs/>
          <w:sz w:val="32"/>
        </w:rPr>
        <w:t xml:space="preserve">连云港市生态环境局</w:t>
      </w:r>
      <w:r/>
    </w:p>
    <w:p>
      <w:pPr>
        <w:ind w:firstLine="643"/>
        <w:jc w:val="left"/>
        <w:spacing w:before="120" w:after="120" w:line="360" w:lineRule="auto"/>
        <w:rPr>
          <w:rFonts w:ascii="宋体" w:hAnsi="宋体" w:cs="宋体"/>
          <w:b/>
          <w:bCs/>
          <w:sz w:val="32"/>
          <w:szCs w:val="32"/>
        </w:rPr>
      </w:pPr>
      <w:r>
        <w:rPr>
          <w:rFonts w:hint="eastAsia" w:ascii="Arial" w:hAnsi="Arial"/>
          <w:b/>
          <w:bCs/>
          <w:sz w:val="32"/>
        </w:rPr>
        <w:t xml:space="preserve">采购代理机构：连云港苍梧工程管理咨询有限公司</w:t>
      </w:r>
      <w:r/>
    </w:p>
    <w:p>
      <w:pPr>
        <w:jc w:val="center"/>
        <w:spacing w:before="120" w:after="120" w:line="360" w:lineRule="auto"/>
      </w:pPr>
      <w:r>
        <w:rPr>
          <w:rFonts w:hint="eastAsia" w:ascii="Arial" w:hAnsi="Arial"/>
          <w:b/>
          <w:bCs/>
          <w:color w:val="000000"/>
          <w:sz w:val="32"/>
          <w:szCs w:val="24"/>
        </w:rPr>
        <w:t xml:space="preserve">2024年9月</w:t>
      </w:r>
      <w:r>
        <w:br w:type="page" w:clear="all"/>
      </w:r>
      <w:r>
        <w:fldChar w:fldCharType="begin"/>
      </w:r>
      <w:r>
        <w:instrText xml:space="preserve"> TOC \o "1-1" \u </w:instrText>
      </w:r>
      <w:r>
        <w:fldChar w:fldCharType="separate"/>
      </w:r>
      <w:r/>
    </w:p>
    <w:p>
      <w:pPr>
        <w:pStyle w:val="845"/>
        <w:jc w:val="center"/>
        <w:spacing w:before="156" w:after="156" w:line="360" w:lineRule="auto"/>
        <w:rPr>
          <w:rFonts w:ascii="黑体" w:hAnsi="黑体" w:eastAsia="黑体"/>
          <w:b w:val="0"/>
        </w:rPr>
      </w:pPr>
      <w:r>
        <w:rPr>
          <w:rFonts w:hint="eastAsia" w:ascii="黑体" w:hAnsi="黑体" w:eastAsia="黑体"/>
          <w:b w:val="0"/>
        </w:rPr>
        <w:t xml:space="preserve">目录</w:t>
      </w:r>
      <w:r/>
    </w:p>
    <w:p>
      <w:pPr>
        <w:pStyle w:val="872"/>
        <w:tabs>
          <w:tab w:val="right" w:pos="8296" w:leader="dot"/>
        </w:tabs>
        <w:rPr>
          <w:sz w:val="32"/>
        </w:rPr>
      </w:pPr>
      <w:r>
        <w:rPr>
          <w:rFonts w:hint="eastAsia" w:ascii="黑体" w:hAnsi="黑体" w:eastAsia="黑体"/>
          <w:sz w:val="32"/>
        </w:rPr>
        <w:t xml:space="preserve">第一章投标邀请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872"/>
        <w:tabs>
          <w:tab w:val="right" w:pos="8296" w:leader="dot"/>
        </w:tabs>
        <w:rPr>
          <w:sz w:val="32"/>
        </w:rPr>
      </w:pPr>
      <w:r>
        <w:rPr>
          <w:rFonts w:hint="eastAsia" w:ascii="黑体" w:hAnsi="黑体" w:eastAsia="黑体"/>
          <w:sz w:val="32"/>
        </w:rPr>
        <w:t xml:space="preserve">第二章投标人须知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6</w:t>
      </w:r>
      <w:r>
        <w:rPr>
          <w:sz w:val="32"/>
        </w:rPr>
        <w:fldChar w:fldCharType="end"/>
      </w:r>
      <w:r/>
    </w:p>
    <w:p>
      <w:pPr>
        <w:pStyle w:val="872"/>
        <w:tabs>
          <w:tab w:val="right" w:pos="8296" w:leader="dot"/>
        </w:tabs>
        <w:rPr>
          <w:sz w:val="32"/>
        </w:rPr>
      </w:pPr>
      <w:r>
        <w:rPr>
          <w:rFonts w:hint="eastAsia" w:ascii="黑体" w:hAnsi="黑体" w:eastAsia="黑体"/>
          <w:sz w:val="32"/>
        </w:rPr>
        <w:t xml:space="preserve">第三章合同文本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24</w:t>
      </w:r>
      <w:r>
        <w:rPr>
          <w:sz w:val="32"/>
        </w:rPr>
        <w:fldChar w:fldCharType="end"/>
      </w:r>
      <w:r/>
    </w:p>
    <w:p>
      <w:pPr>
        <w:pStyle w:val="872"/>
        <w:tabs>
          <w:tab w:val="right" w:pos="8296" w:leader="dot"/>
        </w:tabs>
        <w:rPr>
          <w:sz w:val="32"/>
        </w:rPr>
      </w:pPr>
      <w:r>
        <w:rPr>
          <w:rFonts w:hint="eastAsia" w:ascii="黑体" w:hAnsi="黑体" w:eastAsia="黑体"/>
          <w:sz w:val="32"/>
        </w:rPr>
        <w:t xml:space="preserve">第四章采购需求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29</w:t>
      </w:r>
      <w:r>
        <w:rPr>
          <w:sz w:val="32"/>
        </w:rPr>
        <w:fldChar w:fldCharType="end"/>
      </w:r>
      <w:r/>
    </w:p>
    <w:p>
      <w:pPr>
        <w:pStyle w:val="872"/>
        <w:tabs>
          <w:tab w:val="right" w:pos="8296" w:leader="dot"/>
        </w:tabs>
        <w:rPr>
          <w:sz w:val="32"/>
        </w:rPr>
      </w:pPr>
      <w:r>
        <w:rPr>
          <w:rFonts w:hint="eastAsia" w:ascii="黑体" w:hAnsi="黑体" w:eastAsia="黑体"/>
          <w:sz w:val="32"/>
        </w:rPr>
        <w:t xml:space="preserve">第五章评标方法与评标标准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42</w:t>
      </w:r>
      <w:r>
        <w:rPr>
          <w:sz w:val="32"/>
        </w:rPr>
        <w:fldChar w:fldCharType="end"/>
      </w:r>
      <w:r/>
    </w:p>
    <w:p>
      <w:pPr>
        <w:pStyle w:val="872"/>
        <w:tabs>
          <w:tab w:val="right" w:pos="8296" w:leader="dot"/>
        </w:tabs>
        <w:rPr>
          <w:sz w:val="32"/>
        </w:rPr>
      </w:pPr>
      <w:r>
        <w:rPr>
          <w:rFonts w:hint="eastAsia" w:ascii="黑体" w:hAnsi="黑体" w:eastAsia="黑体"/>
          <w:sz w:val="32"/>
        </w:rPr>
        <w:t xml:space="preserve">第六章投标文件格式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45</w:t>
      </w:r>
      <w:r>
        <w:rPr>
          <w:sz w:val="32"/>
        </w:rPr>
        <w:fldChar w:fldCharType="end"/>
      </w:r>
      <w:r/>
    </w:p>
    <w:p>
      <w:pPr>
        <w:jc w:val="left"/>
        <w:widowControl/>
      </w:pPr>
      <w:r>
        <w:fldChar w:fldCharType="end"/>
      </w:r>
      <w:r>
        <w:br w:type="page" w:clear="all"/>
      </w:r>
      <w:r/>
    </w:p>
    <w:p>
      <w:pPr>
        <w:pStyle w:val="845"/>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1" w:name="_Toc155796356"/>
      <w:r/>
      <w:r/>
    </w:p>
    <w:p>
      <w:pPr>
        <w:pStyle w:val="845"/>
        <w:jc w:val="center"/>
        <w:spacing w:before="156" w:after="156" w:line="360" w:lineRule="auto"/>
        <w:rPr>
          <w:rFonts w:ascii="黑体" w:hAnsi="黑体" w:eastAsia="黑体"/>
          <w:b w:val="0"/>
        </w:rPr>
      </w:pPr>
      <w:r>
        <w:rPr>
          <w:rFonts w:hint="eastAsia" w:ascii="黑体" w:hAnsi="黑体" w:eastAsia="黑体"/>
          <w:b w:val="0"/>
        </w:rPr>
        <w:t xml:space="preserve">第一章投标邀请</w:t>
      </w:r>
      <w:bookmarkEnd w:id="1"/>
      <w:r/>
      <w:r/>
    </w:p>
    <w:p>
      <w:pPr>
        <w:ind w:firstLine="480"/>
        <w:jc w:val="left"/>
        <w:spacing w:line="500" w:lineRule="exact"/>
        <w:rPr>
          <w:sz w:val="24"/>
          <w:szCs w:val="24"/>
        </w:rPr>
      </w:pPr>
      <w:r>
        <w:rPr>
          <w:rFonts w:hint="eastAsia"/>
          <w:sz w:val="24"/>
          <w:szCs w:val="24"/>
        </w:rPr>
        <w:t xml:space="preserve">受连云港市生态环境局的委托，连云港苍梧工程管理咨询有限公司就2024年生态环境第三方监测服务项目（JSZC-320700-CWGC-G2024-0003）进行公开招标采购，欢迎符合条件的供应商投标。</w:t>
      </w:r>
      <w:r/>
    </w:p>
    <w:tbl>
      <w:tblPr>
        <w:tblStyle w:val="64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ind w:firstLine="480"/>
              <w:jc w:val="left"/>
              <w:spacing w:line="500" w:lineRule="exact"/>
              <w:rPr>
                <w:sz w:val="24"/>
                <w:szCs w:val="24"/>
              </w:rPr>
            </w:pPr>
            <w:r>
              <w:rPr>
                <w:rFonts w:hint="eastAsia"/>
                <w:sz w:val="24"/>
                <w:szCs w:val="24"/>
              </w:rPr>
              <w:t xml:space="preserve">2024年生态环境第三方监测服务项目招标的潜在投标人应在江苏政府采购网自行免费下载招标文件，并于2024年10月</w:t>
            </w:r>
            <w:r>
              <w:rPr>
                <w:rFonts w:hint="eastAsia"/>
                <w:sz w:val="24"/>
                <w:szCs w:val="24"/>
                <w:lang w:val="en-US" w:eastAsia="zh-CN"/>
              </w:rPr>
              <w:t xml:space="preserve">14</w:t>
            </w:r>
            <w:r>
              <w:rPr>
                <w:rFonts w:hint="eastAsia"/>
                <w:sz w:val="24"/>
                <w:szCs w:val="24"/>
              </w:rPr>
              <w:t xml:space="preserve">日</w:t>
            </w:r>
            <w:r>
              <w:rPr>
                <w:rFonts w:hint="eastAsia"/>
                <w:sz w:val="24"/>
                <w:szCs w:val="24"/>
                <w:lang w:val="en-US" w:eastAsia="zh-CN"/>
              </w:rPr>
              <w:t xml:space="preserve">9</w:t>
            </w:r>
            <w:r>
              <w:rPr>
                <w:rFonts w:hint="eastAsia"/>
                <w:sz w:val="24"/>
                <w:szCs w:val="24"/>
              </w:rPr>
              <w:t xml:space="preserve">:00（北京时间）前递交（上传）投标文件。</w:t>
            </w:r>
            <w:r/>
          </w:p>
        </w:tc>
      </w:tr>
    </w:tbl>
    <w:p>
      <w:pPr>
        <w:pStyle w:val="846"/>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sz w:val="24"/>
          <w:szCs w:val="24"/>
        </w:rPr>
      </w:pPr>
      <w:r>
        <w:rPr>
          <w:rFonts w:hint="eastAsia"/>
          <w:sz w:val="24"/>
          <w:szCs w:val="24"/>
        </w:rPr>
        <w:t xml:space="preserve">项目编号：JSZC-320700-CWGC-G2024-0003</w:t>
      </w:r>
      <w:r/>
    </w:p>
    <w:p>
      <w:pPr>
        <w:ind w:firstLine="480"/>
        <w:jc w:val="left"/>
        <w:spacing w:line="500" w:lineRule="exact"/>
        <w:rPr>
          <w:rFonts w:ascii="宋体" w:hAnsi="宋体" w:cs="宋体"/>
          <w:sz w:val="24"/>
          <w:szCs w:val="24"/>
        </w:rPr>
      </w:pPr>
      <w:r>
        <w:rPr>
          <w:rFonts w:hint="eastAsia"/>
          <w:sz w:val="24"/>
          <w:szCs w:val="24"/>
        </w:rPr>
        <w:t xml:space="preserve">项</w:t>
      </w:r>
      <w:r>
        <w:rPr>
          <w:rFonts w:hint="eastAsia" w:ascii="宋体" w:hAnsi="宋体" w:cs="宋体"/>
          <w:sz w:val="24"/>
          <w:szCs w:val="24"/>
        </w:rPr>
        <w:t xml:space="preserve">目名称：2024年生态环境第三方监测服务项目</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预算金额：173万元（一标段：44万元；二标段：83万元；三标段：46万元）</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最高限价：173万元（一标段：44万元；二标段：83万元；三标段：46万元）</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采购方式：公开招标</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采购需求：</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一标段：声环境、海水浴场专项监测、临时委托监测等监测服务；</w:t>
      </w:r>
      <w:r/>
    </w:p>
    <w:p>
      <w:pPr>
        <w:ind w:firstLine="480"/>
        <w:jc w:val="left"/>
        <w:spacing w:line="500" w:lineRule="exact"/>
        <w:rPr>
          <w:rFonts w:ascii="宋体" w:hAnsi="宋体" w:cs="宋体"/>
          <w:sz w:val="24"/>
          <w:szCs w:val="24"/>
          <w:highlight w:val="none"/>
        </w:rPr>
      </w:pPr>
      <w:r>
        <w:rPr>
          <w:rFonts w:hint="eastAsia" w:ascii="宋体" w:hAnsi="宋体" w:cs="宋体"/>
          <w:sz w:val="24"/>
          <w:szCs w:val="24"/>
        </w:rPr>
        <w:t xml:space="preserve">1、声环境质量监测：市区及各功能板块120个区域声环境、51个道路交通声环境、10个功能区声环境质量监测；2、海水浴场专项监测：对连岛海滨浴场和苏马湾海水浴场开展专项监测。3、临时性委托任务：根据工作需要开展的</w:t>
      </w:r>
      <w:r>
        <w:rPr>
          <w:rFonts w:hint="eastAsia" w:ascii="宋体" w:hAnsi="宋体" w:cs="宋体"/>
          <w:sz w:val="24"/>
          <w:szCs w:val="24"/>
          <w:highlight w:val="none"/>
        </w:rPr>
        <w:t xml:space="preserve">临时委托任务。</w:t>
      </w:r>
      <w:r/>
    </w:p>
    <w:p>
      <w:pPr>
        <w:ind w:firstLine="480"/>
        <w:jc w:val="left"/>
        <w:spacing w:line="500" w:lineRule="exact"/>
        <w:rPr>
          <w:rFonts w:ascii="宋体" w:hAnsi="宋体" w:cs="宋体"/>
          <w:sz w:val="24"/>
          <w:szCs w:val="24"/>
          <w:highlight w:val="none"/>
        </w:rPr>
      </w:pPr>
      <w:r>
        <w:rPr>
          <w:rFonts w:hint="eastAsia" w:ascii="宋体" w:hAnsi="宋体" w:cs="宋体"/>
          <w:sz w:val="24"/>
          <w:szCs w:val="24"/>
          <w:highlight w:val="none"/>
        </w:rPr>
        <w:t xml:space="preserve">二标段：污染源监测、总量核算质控监测、迁址期间日常监测等监测服务；</w:t>
      </w:r>
      <w:r/>
    </w:p>
    <w:p>
      <w:pPr>
        <w:ind w:firstLine="480"/>
        <w:jc w:val="left"/>
        <w:spacing w:line="500" w:lineRule="exact"/>
        <w:rPr>
          <w:rFonts w:ascii="宋体" w:hAnsi="宋体" w:cs="宋体"/>
          <w:sz w:val="24"/>
          <w:szCs w:val="24"/>
        </w:rPr>
      </w:pPr>
      <w:r>
        <w:rPr>
          <w:rFonts w:hint="eastAsia" w:ascii="宋体" w:hAnsi="宋体" w:cs="宋体"/>
          <w:sz w:val="24"/>
          <w:szCs w:val="24"/>
          <w:highlight w:val="none"/>
        </w:rPr>
        <w:t xml:space="preserve">1、污染源监测：对</w:t>
      </w:r>
      <w:r>
        <w:rPr>
          <w:rFonts w:ascii="宋体" w:hAnsi="宋体" w:cs="宋体"/>
          <w:sz w:val="24"/>
          <w:szCs w:val="24"/>
          <w:highlight w:val="none"/>
        </w:rPr>
        <w:t xml:space="preserve">54家</w:t>
      </w:r>
      <w:r>
        <w:rPr>
          <w:rFonts w:hint="eastAsia" w:ascii="宋体" w:hAnsi="宋体" w:cs="宋体"/>
          <w:sz w:val="24"/>
          <w:szCs w:val="24"/>
          <w:highlight w:val="none"/>
        </w:rPr>
        <w:t xml:space="preserve">列入环境监管重点单位名录中涉气排污单位和</w:t>
      </w:r>
      <w:r>
        <w:rPr>
          <w:rFonts w:ascii="宋体" w:hAnsi="宋体" w:cs="宋体"/>
          <w:sz w:val="24"/>
          <w:szCs w:val="24"/>
          <w:highlight w:val="none"/>
        </w:rPr>
        <w:t xml:space="preserve">20家</w:t>
      </w:r>
      <w:r>
        <w:rPr>
          <w:rFonts w:hint="eastAsia" w:ascii="宋体" w:hAnsi="宋体" w:cs="宋体"/>
          <w:sz w:val="24"/>
          <w:szCs w:val="24"/>
          <w:highlight w:val="none"/>
        </w:rPr>
        <w:t xml:space="preserve">非环境监管重点单位开展监测。2、污染源总量核算质控监测：对11家涉气企业开展总量核算质控监测。3、迁址期间日常监测</w:t>
      </w:r>
      <w:r>
        <w:rPr>
          <w:rFonts w:hint="eastAsia" w:ascii="宋体" w:hAnsi="宋体" w:cs="宋体"/>
          <w:sz w:val="24"/>
          <w:szCs w:val="24"/>
        </w:rPr>
        <w:t xml:space="preserve">：中心迁址期间常规项目的监测。</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三标段：危险废物发证经营单位监督监测、伴生放射性矿开发利用企业监督监测、生活垃圾焚烧单位监督监测、临时委托监测等监测服务；</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1、危险废物发证经营单位监督监测：对全市</w:t>
      </w:r>
      <w:r>
        <w:rPr>
          <w:rFonts w:ascii="宋体" w:hAnsi="宋体" w:cs="宋体"/>
          <w:sz w:val="24"/>
          <w:szCs w:val="24"/>
        </w:rPr>
        <w:t xml:space="preserve">危险废物焚烧处置单位、市区及各功能板块辖区内危险废物发证经营单位</w:t>
      </w:r>
      <w:r>
        <w:rPr>
          <w:rFonts w:hint="eastAsia" w:ascii="宋体" w:hAnsi="宋体" w:cs="宋体"/>
          <w:sz w:val="24"/>
          <w:szCs w:val="24"/>
        </w:rPr>
        <w:t xml:space="preserve">开展</w:t>
      </w:r>
      <w:r>
        <w:rPr>
          <w:rFonts w:ascii="宋体" w:hAnsi="宋体" w:cs="宋体"/>
          <w:sz w:val="24"/>
          <w:szCs w:val="24"/>
        </w:rPr>
        <w:t xml:space="preserve">监督监测</w:t>
      </w:r>
      <w:r>
        <w:rPr>
          <w:rFonts w:hint="eastAsia" w:ascii="宋体" w:hAnsi="宋体" w:cs="宋体"/>
          <w:sz w:val="24"/>
          <w:szCs w:val="24"/>
        </w:rPr>
        <w:t xml:space="preserve">。2、伴生放射性矿开发利用企业监督监测：对江苏丽港稀土材料有限公司、</w:t>
      </w:r>
      <w:bookmarkStart w:id="2" w:name="_Hlk129707364"/>
      <w:r>
        <w:rPr>
          <w:rFonts w:hint="eastAsia" w:ascii="宋体" w:hAnsi="宋体" w:cs="宋体"/>
          <w:sz w:val="24"/>
          <w:szCs w:val="24"/>
        </w:rPr>
        <w:t xml:space="preserve">盛和资源（连云港）新材料科技有限公司</w:t>
      </w:r>
      <w:bookmarkEnd w:id="2"/>
      <w:r>
        <w:rPr>
          <w:rFonts w:hint="eastAsia" w:ascii="宋体" w:hAnsi="宋体" w:cs="宋体"/>
          <w:sz w:val="24"/>
          <w:szCs w:val="24"/>
        </w:rPr>
        <w:t xml:space="preserve">两家企业开展环境空气、土壤及地下水中有关放射性指标监测。3、生活垃圾焚烧单位监督监测：对市区1家生活垃圾焚烧企业开展监测。4、临时性委托任务：根据工作需要开展的临时委托任务。</w:t>
      </w:r>
      <w:r/>
    </w:p>
    <w:p>
      <w:pPr>
        <w:ind w:firstLine="482"/>
        <w:jc w:val="left"/>
        <w:spacing w:line="500" w:lineRule="exact"/>
        <w:rPr>
          <w:rFonts w:ascii="宋体" w:hAnsi="宋体" w:cs="宋体"/>
          <w:b/>
          <w:sz w:val="24"/>
          <w:szCs w:val="24"/>
        </w:rPr>
      </w:pPr>
      <w:r>
        <w:rPr>
          <w:rFonts w:hint="eastAsia" w:ascii="宋体" w:hAnsi="宋体" w:cs="宋体"/>
          <w:b/>
          <w:sz w:val="24"/>
          <w:szCs w:val="24"/>
        </w:rPr>
        <w:t xml:space="preserve">投标人三个标段皆可投，但一、三标段不可以是同一中标人。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评标、中标规则如下：开标、评标顺序以一至三标段依次进行，中标顺序以评标顺序确定。如投标人在参与的一标段被确定为中标人，三标段将不推荐为中标候选人。</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合同履行期限：一年（自合同签订之日起）。</w:t>
      </w:r>
      <w:r/>
    </w:p>
    <w:p>
      <w:pPr>
        <w:ind w:firstLine="480"/>
        <w:jc w:val="left"/>
        <w:spacing w:line="500" w:lineRule="exact"/>
        <w:rPr>
          <w:sz w:val="24"/>
          <w:szCs w:val="24"/>
        </w:rPr>
      </w:pPr>
      <w:r>
        <w:rPr>
          <w:rFonts w:hint="eastAsia"/>
          <w:b/>
          <w:sz w:val="24"/>
          <w:szCs w:val="24"/>
        </w:rPr>
        <w:t xml:space="preserve">本项目（是/否）接受联合体投标：否。</w:t>
      </w:r>
      <w:r/>
    </w:p>
    <w:p>
      <w:pPr>
        <w:pStyle w:val="846"/>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rFonts w:hint="eastAsia"/>
          <w:b/>
          <w:sz w:val="24"/>
          <w:szCs w:val="24"/>
        </w:rPr>
        <w:t xml:space="preserve">：</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7.资格审查现场查询信用中国、中国政府采购网，投标人被列入失信被执行人、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p>
    <w:p>
      <w:pPr>
        <w:pStyle w:val="670"/>
        <w:ind w:firstLine="480"/>
        <w:jc w:val="both"/>
        <w:spacing w:beforeAutospacing="0" w:afterAutospacing="0" w:line="460" w:lineRule="exact"/>
        <w:rPr>
          <w:szCs w:val="24"/>
        </w:rPr>
      </w:pPr>
      <w:r>
        <w:rPr>
          <w:rFonts w:hint="eastAsia" w:ascii="Calibri" w:hAnsi="Calibri" w:cs="Times New Roman"/>
          <w:szCs w:val="24"/>
        </w:rPr>
        <w:t xml:space="preserve">（二）落实政府采购政策需满足的资格要求：</w:t>
      </w:r>
      <w:bookmarkStart w:id="3" w:name="OLE_LINK33"/>
      <w:r/>
      <w:bookmarkStart w:id="4" w:name="OLE_LINK29"/>
      <w:r/>
      <w:bookmarkStart w:id="5" w:name="OLE_LINK44"/>
      <w:r>
        <w:rPr>
          <w:rFonts w:hint="eastAsia" w:ascii="Calibri" w:hAnsi="Calibri" w:cs="Times New Roman"/>
          <w:szCs w:val="24"/>
        </w:rPr>
        <w:t xml:space="preserve">本项目专门面向中型企业、小型企业、微型企业、残疾人福利性单位、监狱企业采购，符合要求的投标人须提供《中小企业声明函》或《残疾人福利性单位声明函》或属于监狱企业的证明文件，否则投标无效。</w:t>
      </w:r>
      <w:bookmarkEnd w:id="3"/>
      <w:r/>
      <w:bookmarkEnd w:id="4"/>
      <w:r/>
      <w:bookmarkEnd w:id="5"/>
      <w:r/>
      <w:r/>
    </w:p>
    <w:p>
      <w:pPr>
        <w:ind w:firstLine="480"/>
        <w:jc w:val="left"/>
        <w:spacing w:line="500" w:lineRule="exact"/>
        <w:rPr>
          <w:sz w:val="24"/>
          <w:szCs w:val="24"/>
        </w:rPr>
      </w:pPr>
      <w:r>
        <w:rPr>
          <w:rFonts w:hint="eastAsia"/>
          <w:sz w:val="24"/>
          <w:szCs w:val="24"/>
        </w:rPr>
        <w:t xml:space="preserve">（三）本项目的特定资格要求：</w:t>
      </w:r>
      <w:r/>
    </w:p>
    <w:p>
      <w:pPr>
        <w:ind w:firstLine="480"/>
        <w:jc w:val="left"/>
        <w:spacing w:line="500" w:lineRule="exact"/>
        <w:rPr>
          <w:b/>
          <w:bCs/>
          <w:color w:val="auto"/>
        </w:rPr>
      </w:pPr>
      <w:r>
        <w:rPr>
          <w:rFonts w:hint="eastAsia" w:ascii="宋体" w:hAnsi="宋体"/>
          <w:b/>
          <w:bCs/>
          <w:sz w:val="24"/>
          <w:szCs w:val="28"/>
        </w:rPr>
        <w:t xml:space="preserve">投标人具有</w:t>
      </w:r>
      <w:r>
        <w:rPr>
          <w:rFonts w:hint="eastAsia" w:ascii="宋体" w:hAnsi="宋体"/>
          <w:b/>
          <w:bCs/>
          <w:color w:val="auto"/>
          <w:sz w:val="24"/>
          <w:szCs w:val="28"/>
        </w:rPr>
        <w:t xml:space="preserve">有效期内的实验室CMA资质证书。</w:t>
      </w:r>
      <w:r/>
    </w:p>
    <w:p>
      <w:pPr>
        <w:pStyle w:val="846"/>
        <w:spacing w:before="0" w:after="0" w:line="360" w:lineRule="auto"/>
        <w:rPr>
          <w:rFonts w:ascii="黑体" w:hAnsi="黑体" w:eastAsia="黑体"/>
          <w:b w:val="0"/>
          <w:color w:val="auto"/>
        </w:rPr>
      </w:pPr>
      <w:r>
        <w:rPr>
          <w:rFonts w:hint="eastAsia" w:ascii="黑体" w:hAnsi="黑体" w:eastAsia="黑体"/>
          <w:b w:val="0"/>
          <w:color w:val="auto"/>
        </w:rPr>
        <w:t xml:space="preserve">三、获取招标文件</w:t>
      </w:r>
      <w:r/>
    </w:p>
    <w:p>
      <w:pPr>
        <w:ind w:firstLine="480"/>
        <w:jc w:val="left"/>
        <w:spacing w:line="500" w:lineRule="exact"/>
        <w:rPr>
          <w:rFonts w:ascii="宋体" w:hAnsi="宋体"/>
          <w:color w:val="auto"/>
          <w:sz w:val="24"/>
          <w:szCs w:val="24"/>
        </w:rPr>
      </w:pPr>
      <w:r>
        <w:rPr>
          <w:rFonts w:hint="eastAsia" w:ascii="宋体" w:hAnsi="宋体"/>
          <w:color w:val="auto"/>
          <w:sz w:val="24"/>
          <w:szCs w:val="24"/>
        </w:rPr>
        <w:t xml:space="preserve">时间：自发布之日起至2024年9月29</w:t>
      </w:r>
      <w:r>
        <w:rPr>
          <w:rFonts w:hint="eastAsia" w:ascii="宋体" w:hAnsi="宋体"/>
          <w:color w:val="auto"/>
          <w:sz w:val="24"/>
          <w:szCs w:val="24"/>
        </w:rPr>
        <w:t xml:space="preserve">日（北京时间）</w:t>
      </w:r>
      <w:r/>
    </w:p>
    <w:p>
      <w:pPr>
        <w:ind w:firstLine="480"/>
        <w:jc w:val="left"/>
        <w:spacing w:line="500" w:lineRule="exact"/>
        <w:rPr>
          <w:color w:val="auto"/>
          <w:sz w:val="24"/>
          <w:szCs w:val="24"/>
        </w:rPr>
      </w:pPr>
      <w:r>
        <w:rPr>
          <w:rFonts w:hint="eastAsia"/>
          <w:color w:val="auto"/>
          <w:sz w:val="24"/>
          <w:szCs w:val="24"/>
        </w:rPr>
        <w:t xml:space="preserve">地点：江苏政府采购网</w:t>
      </w:r>
      <w:r/>
    </w:p>
    <w:p>
      <w:pPr>
        <w:ind w:firstLine="480"/>
        <w:jc w:val="left"/>
        <w:spacing w:line="500" w:lineRule="exact"/>
        <w:rPr>
          <w:color w:val="auto"/>
          <w:sz w:val="24"/>
          <w:szCs w:val="24"/>
        </w:rPr>
      </w:pPr>
      <w:r>
        <w:rPr>
          <w:rFonts w:hint="eastAsia"/>
          <w:color w:val="auto"/>
          <w:sz w:val="24"/>
          <w:szCs w:val="24"/>
        </w:rPr>
        <w:t xml:space="preserve">方式：投标人办理江苏省政府采购交易系统CA数字证书，登录“苏采云”政府采购交易系统，自行下载。</w:t>
      </w:r>
      <w:r/>
    </w:p>
    <w:p>
      <w:pPr>
        <w:ind w:firstLine="480"/>
        <w:jc w:val="left"/>
        <w:spacing w:line="500" w:lineRule="exact"/>
        <w:rPr>
          <w:color w:val="auto"/>
          <w:sz w:val="24"/>
          <w:szCs w:val="24"/>
        </w:rPr>
      </w:pPr>
      <w:r>
        <w:rPr>
          <w:rFonts w:hint="eastAsia"/>
          <w:color w:val="auto"/>
          <w:sz w:val="24"/>
          <w:szCs w:val="24"/>
        </w:rPr>
        <w:t xml:space="preserve">售价：0.00元</w:t>
      </w:r>
      <w:r/>
    </w:p>
    <w:p>
      <w:pPr>
        <w:pStyle w:val="846"/>
        <w:spacing w:before="0" w:after="0" w:line="360" w:lineRule="auto"/>
        <w:rPr>
          <w:rFonts w:ascii="黑体" w:hAnsi="黑体" w:eastAsia="黑体"/>
          <w:b w:val="0"/>
          <w:color w:val="auto"/>
        </w:rPr>
      </w:pPr>
      <w:r>
        <w:rPr>
          <w:rFonts w:hint="eastAsia" w:ascii="黑体" w:hAnsi="黑体" w:eastAsia="黑体"/>
          <w:b w:val="0"/>
          <w:color w:val="auto"/>
        </w:rPr>
        <w:t xml:space="preserve">四、提交投标文件截止时间、开标时间和地点</w:t>
      </w:r>
      <w:r/>
    </w:p>
    <w:p>
      <w:pPr>
        <w:ind w:firstLine="480"/>
        <w:jc w:val="left"/>
        <w:spacing w:line="500" w:lineRule="exact"/>
        <w:rPr>
          <w:color w:val="auto"/>
          <w:sz w:val="24"/>
          <w:szCs w:val="24"/>
        </w:rPr>
      </w:pPr>
      <w:r>
        <w:rPr>
          <w:rFonts w:hint="eastAsia"/>
          <w:color w:val="auto"/>
          <w:sz w:val="24"/>
          <w:szCs w:val="24"/>
        </w:rPr>
        <w:t xml:space="preserve">提交投标文件截止时间：2024年10月</w:t>
      </w:r>
      <w:r>
        <w:rPr>
          <w:rFonts w:hint="eastAsia"/>
          <w:color w:val="auto"/>
          <w:sz w:val="24"/>
          <w:szCs w:val="24"/>
          <w:lang w:val="en-US" w:eastAsia="zh-CN"/>
        </w:rPr>
        <w:t xml:space="preserve">14</w:t>
      </w:r>
      <w:r>
        <w:rPr>
          <w:rFonts w:hint="eastAsia"/>
          <w:color w:val="auto"/>
          <w:sz w:val="24"/>
          <w:szCs w:val="24"/>
        </w:rPr>
        <w:t xml:space="preserve">日</w:t>
      </w:r>
      <w:r>
        <w:rPr>
          <w:rFonts w:hint="eastAsia"/>
          <w:color w:val="auto"/>
          <w:sz w:val="24"/>
          <w:szCs w:val="24"/>
          <w:lang w:val="en-US" w:eastAsia="zh-CN"/>
        </w:rPr>
        <w:t xml:space="preserve">9</w:t>
      </w:r>
      <w:r>
        <w:rPr>
          <w:rFonts w:hint="eastAsia"/>
          <w:color w:val="auto"/>
          <w:sz w:val="24"/>
          <w:szCs w:val="24"/>
        </w:rPr>
        <w:t xml:space="preserve">:00（北京时间）</w:t>
      </w:r>
      <w:r/>
    </w:p>
    <w:p>
      <w:pPr>
        <w:ind w:firstLine="480"/>
        <w:jc w:val="left"/>
        <w:spacing w:line="500" w:lineRule="exact"/>
        <w:rPr>
          <w:color w:val="auto"/>
          <w:sz w:val="24"/>
          <w:szCs w:val="24"/>
        </w:rPr>
      </w:pPr>
      <w:r>
        <w:rPr>
          <w:rFonts w:hint="eastAsia"/>
          <w:color w:val="auto"/>
          <w:sz w:val="24"/>
          <w:szCs w:val="24"/>
        </w:rPr>
        <w:t xml:space="preserve">开标时间：提交投标文件截止时间</w:t>
      </w:r>
      <w:r/>
    </w:p>
    <w:p>
      <w:pPr>
        <w:ind w:firstLine="480"/>
        <w:jc w:val="left"/>
        <w:spacing w:line="500" w:lineRule="exact"/>
        <w:rPr>
          <w:color w:val="auto"/>
        </w:rPr>
      </w:pPr>
      <w:r>
        <w:rPr>
          <w:rFonts w:hint="eastAsia"/>
          <w:color w:val="auto"/>
          <w:sz w:val="24"/>
          <w:szCs w:val="24"/>
        </w:rPr>
        <w:t xml:space="preserve">开标地点：“苏采云”政府采购交易系统网上开标大厅</w:t>
      </w:r>
      <w:bookmarkStart w:id="71" w:name="_GoBack"/>
      <w:r/>
      <w:bookmarkEnd w:id="71"/>
      <w:r/>
      <w:r/>
    </w:p>
    <w:p>
      <w:pPr>
        <w:pStyle w:val="846"/>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846"/>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w:t>
      </w:r>
      <w:r>
        <w:rPr>
          <w:rFonts w:hint="eastAsia"/>
          <w:sz w:val="24"/>
          <w:szCs w:val="24"/>
        </w:rPr>
        <w:t xml:space="preserve">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46"/>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名称：连云港市生态环境局</w:t>
      </w:r>
      <w:r/>
    </w:p>
    <w:p>
      <w:pPr>
        <w:ind w:firstLine="480"/>
        <w:jc w:val="left"/>
        <w:spacing w:line="500" w:lineRule="exact"/>
        <w:rPr>
          <w:sz w:val="24"/>
          <w:szCs w:val="24"/>
        </w:rPr>
      </w:pPr>
      <w:r>
        <w:rPr>
          <w:rFonts w:hint="eastAsia"/>
          <w:sz w:val="24"/>
          <w:szCs w:val="24"/>
        </w:rPr>
        <w:t xml:space="preserve">地址：连云港市海州区海昌南路7</w:t>
      </w:r>
      <w:r>
        <w:rPr>
          <w:sz w:val="24"/>
          <w:szCs w:val="24"/>
        </w:rPr>
        <w:t xml:space="preserve">8</w:t>
      </w:r>
      <w:r>
        <w:rPr>
          <w:rFonts w:hint="eastAsia"/>
          <w:sz w:val="24"/>
          <w:szCs w:val="24"/>
        </w:rPr>
        <w:t xml:space="preserve">号</w:t>
      </w:r>
      <w:r/>
    </w:p>
    <w:p>
      <w:pPr>
        <w:ind w:firstLine="480"/>
        <w:jc w:val="left"/>
        <w:spacing w:line="500" w:lineRule="exact"/>
        <w:rPr>
          <w:sz w:val="24"/>
          <w:szCs w:val="24"/>
        </w:rPr>
      </w:pPr>
      <w:r>
        <w:rPr>
          <w:rFonts w:hint="eastAsia"/>
          <w:sz w:val="24"/>
          <w:szCs w:val="24"/>
        </w:rPr>
        <w:t xml:space="preserve">联系人：李科长</w:t>
      </w:r>
      <w:r/>
    </w:p>
    <w:p>
      <w:pPr>
        <w:ind w:firstLine="480"/>
        <w:jc w:val="left"/>
        <w:spacing w:line="500" w:lineRule="exact"/>
        <w:rPr>
          <w:sz w:val="24"/>
          <w:szCs w:val="24"/>
        </w:rPr>
      </w:pPr>
      <w:r>
        <w:rPr>
          <w:rFonts w:hint="eastAsia"/>
          <w:sz w:val="24"/>
          <w:szCs w:val="24"/>
        </w:rPr>
        <w:t xml:space="preserve">联系电话：0</w:t>
      </w:r>
      <w:r>
        <w:rPr>
          <w:sz w:val="24"/>
          <w:szCs w:val="24"/>
        </w:rPr>
        <w:t xml:space="preserve">518-85683983</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名称：连云港苍梧工程管理咨询有限公司</w:t>
      </w:r>
      <w:r/>
    </w:p>
    <w:p>
      <w:pPr>
        <w:ind w:firstLine="480"/>
        <w:jc w:val="left"/>
        <w:spacing w:line="500" w:lineRule="exact"/>
        <w:rPr>
          <w:sz w:val="24"/>
          <w:szCs w:val="24"/>
        </w:rPr>
      </w:pPr>
      <w:r>
        <w:rPr>
          <w:rFonts w:hint="eastAsia"/>
          <w:sz w:val="24"/>
          <w:szCs w:val="24"/>
        </w:rPr>
        <w:t xml:space="preserve">地址：连云港市海州区凤凰大厦1号港城新世界2号楼8楼</w:t>
      </w:r>
      <w:r/>
    </w:p>
    <w:p>
      <w:pPr>
        <w:ind w:firstLine="480"/>
        <w:jc w:val="left"/>
        <w:spacing w:line="500" w:lineRule="exact"/>
        <w:rPr>
          <w:sz w:val="24"/>
          <w:szCs w:val="24"/>
        </w:rPr>
      </w:pPr>
      <w:r>
        <w:rPr>
          <w:rFonts w:hint="eastAsia"/>
          <w:sz w:val="24"/>
          <w:szCs w:val="24"/>
        </w:rPr>
        <w:t xml:space="preserve">联系人：</w:t>
      </w:r>
      <w:r>
        <w:rPr>
          <w:rFonts w:hint="eastAsia"/>
          <w:sz w:val="24"/>
          <w:szCs w:val="24"/>
        </w:rPr>
        <w:t xml:space="preserve">陆</w:t>
      </w:r>
      <w:r>
        <w:rPr>
          <w:rFonts w:hint="eastAsia"/>
          <w:sz w:val="24"/>
          <w:szCs w:val="24"/>
        </w:rPr>
        <w:t xml:space="preserve">工</w:t>
      </w:r>
      <w:r/>
    </w:p>
    <w:p>
      <w:pPr>
        <w:ind w:firstLine="480"/>
        <w:jc w:val="left"/>
        <w:spacing w:line="500" w:lineRule="exact"/>
        <w:rPr>
          <w:sz w:val="24"/>
          <w:szCs w:val="24"/>
        </w:rPr>
      </w:pPr>
      <w:r>
        <w:rPr>
          <w:rFonts w:hint="eastAsia"/>
          <w:sz w:val="24"/>
          <w:szCs w:val="24"/>
        </w:rPr>
        <w:t xml:space="preserve">联系电话：0518-85838066</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项目联系人：李科长</w:t>
      </w:r>
      <w:r/>
    </w:p>
    <w:p>
      <w:pPr>
        <w:ind w:firstLine="480"/>
        <w:jc w:val="left"/>
        <w:spacing w:line="500" w:lineRule="exact"/>
        <w:rPr>
          <w:sz w:val="24"/>
          <w:szCs w:val="24"/>
        </w:rPr>
      </w:pPr>
      <w:r>
        <w:rPr>
          <w:rFonts w:hint="eastAsia"/>
          <w:sz w:val="24"/>
          <w:szCs w:val="24"/>
        </w:rPr>
        <w:t xml:space="preserve">电话：0</w:t>
      </w:r>
      <w:r>
        <w:rPr>
          <w:sz w:val="24"/>
          <w:szCs w:val="24"/>
        </w:rPr>
        <w:t xml:space="preserve">518-85683983</w:t>
      </w:r>
      <w:r/>
    </w:p>
    <w:p>
      <w:pPr>
        <w:jc w:val="left"/>
        <w:widowControl/>
        <w:rPr>
          <w:rFonts w:ascii="黑体" w:hAnsi="黑体" w:eastAsia="黑体"/>
          <w:bCs/>
          <w:sz w:val="44"/>
          <w:szCs w:val="44"/>
        </w:rPr>
      </w:pPr>
      <w:r/>
      <w:bookmarkStart w:id="6" w:name="_Toc155796357"/>
      <w:r>
        <w:rPr>
          <w:rFonts w:ascii="黑体" w:hAnsi="黑体" w:eastAsia="黑体"/>
          <w:b/>
        </w:rPr>
        <w:br w:type="page" w:clear="all"/>
      </w:r>
      <w:r/>
    </w:p>
    <w:p>
      <w:pPr>
        <w:pStyle w:val="845"/>
        <w:jc w:val="center"/>
        <w:spacing w:before="156" w:after="156" w:line="360" w:lineRule="auto"/>
        <w:rPr>
          <w:rFonts w:ascii="黑体" w:hAnsi="黑体" w:eastAsia="黑体"/>
          <w:b w:val="0"/>
        </w:rPr>
      </w:pPr>
      <w:r>
        <w:rPr>
          <w:rFonts w:hint="eastAsia" w:ascii="黑体" w:hAnsi="黑体" w:eastAsia="黑体"/>
          <w:b w:val="0"/>
        </w:rPr>
        <w:t xml:space="preserve">第二章投标人须知</w:t>
      </w:r>
      <w:bookmarkEnd w:id="6"/>
      <w:r/>
      <w:r/>
    </w:p>
    <w:p>
      <w:pPr>
        <w:pStyle w:val="846"/>
        <w:spacing w:before="0" w:after="0" w:line="360" w:lineRule="auto"/>
        <w:rPr>
          <w:rFonts w:ascii="黑体" w:hAnsi="黑体" w:eastAsia="黑体"/>
          <w:b w:val="0"/>
        </w:rPr>
      </w:pPr>
      <w:r>
        <w:rPr>
          <w:rFonts w:hint="eastAsia" w:ascii="黑体" w:hAnsi="黑体" w:eastAsia="黑体"/>
          <w:b w:val="0"/>
        </w:rPr>
        <w:t xml:space="preserve">一、总则</w:t>
      </w:r>
      <w:r/>
    </w:p>
    <w:p>
      <w:pPr>
        <w:pStyle w:val="847"/>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47"/>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847"/>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47"/>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投标人应自行承担所有与参与投标有关的费用，无论投标过程中的做法和结果如何，采购人和连云港苍梧工程管理咨询有限公司（以下简称代理机构）在任何情况下均无义务和责任承担这些费用。</w:t>
      </w:r>
      <w:r/>
    </w:p>
    <w:p>
      <w:pPr>
        <w:ind w:firstLine="480"/>
        <w:jc w:val="left"/>
        <w:spacing w:line="500" w:lineRule="exact"/>
        <w:rPr>
          <w:sz w:val="24"/>
          <w:szCs w:val="24"/>
        </w:rPr>
      </w:pPr>
      <w:r>
        <w:rPr>
          <w:rFonts w:hint="eastAsia" w:ascii="宋体" w:hAnsi="宋体" w:cs="宋体"/>
          <w:sz w:val="24"/>
          <w:lang w:bidi="ar"/>
        </w:rPr>
        <w:t xml:space="preserve">4.2本次招标采购代理服务费：按陆仟元整计取；以上费用由中标人在领取中标通知书时一次性支付，投标人须将此部分费用综合考虑在报价中，不得单列。</w:t>
      </w:r>
      <w:r/>
    </w:p>
    <w:p>
      <w:pPr>
        <w:pStyle w:val="847"/>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46"/>
        <w:spacing w:before="0" w:after="0" w:line="360" w:lineRule="auto"/>
        <w:rPr>
          <w:rFonts w:ascii="黑体" w:hAnsi="黑体" w:eastAsia="黑体"/>
          <w:b w:val="0"/>
        </w:rPr>
      </w:pPr>
      <w:r>
        <w:rPr>
          <w:rFonts w:hint="eastAsia" w:ascii="黑体" w:hAnsi="黑体" w:eastAsia="黑体"/>
          <w:b w:val="0"/>
        </w:rPr>
        <w:t xml:space="preserve">二、招标文件</w:t>
      </w:r>
      <w:r/>
    </w:p>
    <w:p>
      <w:pPr>
        <w:pStyle w:val="847"/>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请仔细检查招标文件是否齐全，如有缺漏请立即与代理机构联系解决。</w:t>
      </w:r>
      <w:r/>
    </w:p>
    <w:p>
      <w:pPr>
        <w:pStyle w:val="847"/>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任何要求对招标文件进行澄清的投标人，应在投标截止时间十日前按招标公告中的通讯地址，以书面形式通知采购人或者代理机构。</w:t>
      </w:r>
      <w:r/>
    </w:p>
    <w:p>
      <w:pPr>
        <w:pStyle w:val="847"/>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在投标截止时间前，采购人和代理机构可以对招标文件进行修改。</w:t>
      </w:r>
      <w:r/>
    </w:p>
    <w:p>
      <w:pPr>
        <w:ind w:firstLine="480"/>
        <w:jc w:val="left"/>
        <w:spacing w:line="500" w:lineRule="exact"/>
        <w:rPr>
          <w:sz w:val="24"/>
          <w:szCs w:val="24"/>
        </w:rPr>
      </w:pPr>
      <w:r>
        <w:rPr>
          <w:rFonts w:hint="eastAsia"/>
          <w:sz w:val="24"/>
          <w:szCs w:val="24"/>
        </w:rPr>
        <w:t xml:space="preserve">8.2 采购人和代理机构有权按照法定的要求推迟投标截止时间和开标时间。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46"/>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47"/>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47"/>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47"/>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47"/>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47"/>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47"/>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47"/>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投标人应根据招标文件要求提供所投标的主要组成部分、功能设计、实现思路及关键技术等。</w:t>
      </w:r>
      <w:r/>
    </w:p>
    <w:p>
      <w:pPr>
        <w:pStyle w:val="847"/>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47"/>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846"/>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47"/>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47"/>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采购人和代理机构可以按照规定，通过修改招标文件酌情延长投标截止时间，在此情况下，投标人的所有权利和义务以及投标人受制的截止时间均应以延长后新的截止时间为准。</w:t>
      </w:r>
      <w:r/>
    </w:p>
    <w:p>
      <w:pPr>
        <w:pStyle w:val="847"/>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20.1代理机构拒绝接收在招标文件规定的投标截止时间后递交（上传）的任何投标文件。</w:t>
      </w:r>
      <w:r/>
    </w:p>
    <w:p>
      <w:pPr>
        <w:pStyle w:val="847"/>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46"/>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47"/>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代理机构将在招标公告中规定的时间和地点组织公开开标。投标人应当按时参加开标活动，并在“苏采云”系统规定的时间内对其投标文件进行解密。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开标仪式由代理机构组织。“苏采云”系统将自动对项目进行开标，并宣布各投标人名称和投标价格。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投标人在开标、评标全过程中应保持通讯畅通，及时登录“苏采云”系统查阅、答复相关信息，并安排专人与代理机构及评委会联系。</w:t>
      </w:r>
      <w:r/>
    </w:p>
    <w:p>
      <w:pPr>
        <w:pStyle w:val="847"/>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开标后，代理机构将组织评委会进行评标。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47"/>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凡是与审查、澄清、评价和比较投标的有关资料以及成交建议等，采购人、评审专家、代理机构均不得向投标人或与评标无关的其他人员透露。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47"/>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47"/>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500" w:lineRule="exact"/>
        <w:rPr>
          <w:sz w:val="24"/>
          <w:szCs w:val="24"/>
        </w:rPr>
      </w:pPr>
      <w:r>
        <w:rPr>
          <w:rFonts w:hint="eastAsia"/>
          <w:sz w:val="24"/>
          <w:szCs w:val="24"/>
        </w:rPr>
        <w:t xml:space="preserve">26.1 投标文件初审分为资格审查和符合性审查。</w:t>
      </w:r>
      <w:r/>
    </w:p>
    <w:p>
      <w:pPr>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未通过资格审查或符合性审查的投标人，将通过“苏采云”系统告知其未通过的原因，评审结束后，将不再告知。</w:t>
      </w:r>
      <w:r/>
    </w:p>
    <w:p>
      <w:pPr>
        <w:ind w:firstLine="480"/>
        <w:jc w:val="left"/>
        <w:spacing w:line="500" w:lineRule="exact"/>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47"/>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（13）投标人的商务技术部分得分相差异常悬殊，评标委员会一致认为得分畸低者有可能影响产品质量或者不能诚信履约的。</w:t>
      </w:r>
      <w:r/>
    </w:p>
    <w:p>
      <w:pPr>
        <w:ind w:firstLine="480"/>
        <w:jc w:val="left"/>
        <w:spacing w:line="500" w:lineRule="exact"/>
        <w:rPr>
          <w:sz w:val="24"/>
          <w:szCs w:val="24"/>
        </w:rPr>
      </w:pPr>
      <w:r>
        <w:rPr>
          <w:rFonts w:hint="eastAsia"/>
          <w:sz w:val="24"/>
          <w:szCs w:val="24"/>
        </w:rPr>
        <w:t xml:space="preserve">（14）其他法律、法规及本招标文件规定的属于无效投标的情形。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46"/>
        <w:spacing w:before="0" w:after="0" w:line="360" w:lineRule="auto"/>
        <w:rPr>
          <w:rFonts w:ascii="黑体" w:hAnsi="黑体" w:eastAsia="黑体"/>
          <w:b w:val="0"/>
        </w:rPr>
      </w:pPr>
      <w:r>
        <w:rPr>
          <w:rFonts w:hint="eastAsia" w:ascii="黑体" w:hAnsi="黑体" w:eastAsia="黑体"/>
          <w:b w:val="0"/>
        </w:rPr>
        <w:t xml:space="preserve">六、定标</w:t>
      </w:r>
      <w:r/>
    </w:p>
    <w:p>
      <w:pPr>
        <w:pStyle w:val="847"/>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代理机构将在江苏政府采购网发布中标公告，公告期限为1个工作日。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（3）与采购人、其他供应商或者代理机构恶意串通的。</w:t>
      </w:r>
      <w:r/>
    </w:p>
    <w:p>
      <w:pPr>
        <w:ind w:firstLine="480"/>
        <w:jc w:val="left"/>
        <w:spacing w:line="500" w:lineRule="exact"/>
        <w:rPr>
          <w:sz w:val="24"/>
          <w:szCs w:val="24"/>
        </w:rPr>
      </w:pPr>
      <w:r>
        <w:rPr>
          <w:rFonts w:hint="eastAsia"/>
          <w:sz w:val="24"/>
          <w:szCs w:val="24"/>
        </w:rPr>
        <w:t xml:space="preserve">（4）向采购人、代理机构行贿或者提供其他不正当利益的。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47"/>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中标人应在中标后七个工作日内，向采购人和代理机构各提供一份与电子投标文件一致的纸质打印胶装投标文件，封面、骑缝需加盖公章。</w:t>
      </w:r>
      <w:r/>
    </w:p>
    <w:p>
      <w:pPr>
        <w:pStyle w:val="846"/>
        <w:spacing w:before="0" w:after="0" w:line="360" w:lineRule="auto"/>
        <w:rPr>
          <w:rFonts w:ascii="黑体" w:hAnsi="黑体" w:eastAsia="黑体"/>
          <w:b w:val="0"/>
        </w:rPr>
      </w:pPr>
      <w:r>
        <w:rPr>
          <w:rFonts w:hint="eastAsia" w:ascii="黑体" w:hAnsi="黑体" w:eastAsia="黑体"/>
          <w:b w:val="0"/>
        </w:rPr>
        <w:t xml:space="preserve">七、授予合同</w:t>
      </w:r>
      <w:r/>
    </w:p>
    <w:p>
      <w:pPr>
        <w:pStyle w:val="847"/>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jc w:val="left"/>
        <w:spacing w:line="500" w:lineRule="exact"/>
        <w:rPr>
          <w:sz w:val="24"/>
          <w:szCs w:val="24"/>
        </w:rPr>
      </w:pPr>
      <w:r>
        <w:rPr>
          <w:rFonts w:hint="eastAsia"/>
          <w:sz w:val="24"/>
          <w:szCs w:val="24"/>
        </w:rPr>
        <w:t xml:space="preserve">30.6本项目履约保证金要求详见招标文件第四章采购需求。</w:t>
      </w:r>
      <w:r/>
    </w:p>
    <w:p>
      <w:pPr>
        <w:pStyle w:val="847"/>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签订合同后，中标人不得将合同标的转包。未经采购人同意，中标人也不得采用标段的形式履行合同，否则采购人有权终止合同。转包或标段造成采购人损失的，中标人应承担相应赔偿责任。</w:t>
      </w:r>
      <w:r/>
    </w:p>
    <w:p>
      <w:pPr>
        <w:pStyle w:val="847"/>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47"/>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46"/>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47"/>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其向采购人提出。</w:t>
      </w:r>
      <w:r/>
    </w:p>
    <w:p>
      <w:pPr>
        <w:pStyle w:val="847"/>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47"/>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对不符合质疑要求的，采购人、代理机构有权要求其补充必要的证明材料，质疑供应商未在法定时间内补充必要的证明材料的，视同放弃质疑。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采购人、代理机构依法受理的质疑，将按照政府采购有关规定，在法定期限内作出答复。</w:t>
      </w:r>
      <w:r/>
    </w:p>
    <w:p>
      <w:pPr>
        <w:pStyle w:val="847"/>
        <w:ind w:firstLine="562"/>
        <w:jc w:val="left"/>
        <w:spacing w:before="0" w:after="0" w:line="360" w:lineRule="auto"/>
        <w:rPr>
          <w:sz w:val="28"/>
          <w:szCs w:val="28"/>
        </w:rPr>
      </w:pPr>
      <w:r>
        <w:rPr>
          <w:rFonts w:hint="eastAsia"/>
          <w:sz w:val="28"/>
          <w:szCs w:val="28"/>
        </w:rPr>
        <w:t xml:space="preserve">37、质疑处理</w:t>
      </w:r>
      <w:r/>
    </w:p>
    <w:p>
      <w:pPr>
        <w:ind w:firstLine="480"/>
        <w:jc w:val="left"/>
        <w:spacing w:line="500" w:lineRule="exact"/>
        <w:rPr>
          <w:sz w:val="24"/>
          <w:szCs w:val="24"/>
        </w:rPr>
      </w:pPr>
      <w:r>
        <w:rPr>
          <w:rFonts w:hint="eastAsia"/>
          <w:sz w:val="24"/>
          <w:szCs w:val="24"/>
        </w:rPr>
        <w:t xml:space="preserve">37.1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37.7 未尽事宜，依照有关法律、法规执行。</w:t>
      </w:r>
      <w:r/>
    </w:p>
    <w:p>
      <w:pPr>
        <w:pStyle w:val="846"/>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47"/>
        <w:ind w:firstLine="562"/>
        <w:jc w:val="left"/>
        <w:spacing w:before="0" w:after="0" w:line="360" w:lineRule="auto"/>
        <w:rPr>
          <w:sz w:val="28"/>
          <w:szCs w:val="28"/>
        </w:rPr>
      </w:pPr>
      <w:r>
        <w:rPr>
          <w:rFonts w:hint="eastAsia"/>
          <w:sz w:val="28"/>
          <w:szCs w:val="28"/>
        </w:rPr>
        <w:t xml:space="preserve">38、促进中小企业发展</w:t>
      </w:r>
      <w:r/>
    </w:p>
    <w:p>
      <w:pPr>
        <w:ind w:firstLine="480"/>
        <w:jc w:val="left"/>
        <w:spacing w:line="500" w:lineRule="exact"/>
        <w:rPr>
          <w:sz w:val="24"/>
          <w:szCs w:val="24"/>
        </w:rPr>
      </w:pPr>
      <w:r>
        <w:rPr>
          <w:rFonts w:hint="eastAsia"/>
          <w:sz w:val="24"/>
          <w:szCs w:val="24"/>
        </w:rPr>
        <w:t xml:space="preserve">38.1.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江苏省财政厅关于进一步加大政府采购支持中小企业力度的通知》（苏财购〔2022〕45号）的规定。</w:t>
      </w:r>
      <w:r/>
    </w:p>
    <w:p>
      <w:pPr>
        <w:ind w:firstLine="480"/>
        <w:jc w:val="left"/>
        <w:spacing w:line="500" w:lineRule="exact"/>
        <w:rPr>
          <w:sz w:val="24"/>
          <w:szCs w:val="24"/>
        </w:rPr>
      </w:pPr>
      <w:r>
        <w:rPr>
          <w:rFonts w:hint="eastAsia"/>
          <w:sz w:val="24"/>
          <w:szCs w:val="24"/>
        </w:rPr>
        <w:t xml:space="preserve">38.2.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sz w:val="24"/>
          <w:szCs w:val="24"/>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型标准确定的中小企业，不得按《通知》规定声明为中小微企业，也不适用《办法》。</w:t>
      </w:r>
      <w:r/>
    </w:p>
    <w:p>
      <w:pPr>
        <w:ind w:firstLine="480"/>
        <w:jc w:val="left"/>
        <w:spacing w:line="500" w:lineRule="exact"/>
        <w:rPr>
          <w:sz w:val="24"/>
          <w:szCs w:val="24"/>
        </w:rPr>
      </w:pPr>
      <w:r>
        <w:rPr>
          <w:rFonts w:hint="eastAsia"/>
          <w:sz w:val="24"/>
          <w:szCs w:val="24"/>
        </w:rPr>
        <w:t xml:space="preserve">38.3. 参加政府采购活动的投标人应当提供的材料： </w:t>
      </w:r>
      <w:r/>
    </w:p>
    <w:p>
      <w:pPr>
        <w:ind w:firstLine="480"/>
        <w:jc w:val="left"/>
        <w:spacing w:line="500" w:lineRule="exact"/>
        <w:rPr>
          <w:sz w:val="24"/>
          <w:szCs w:val="24"/>
        </w:rPr>
      </w:pPr>
      <w:r>
        <w:rPr>
          <w:rFonts w:hint="eastAsia"/>
          <w:sz w:val="24"/>
          <w:szCs w:val="24"/>
        </w:rPr>
        <w:t xml:space="preserve">本项目专门面向中型企业、小型企业、微型企业、残疾人福利性单位、监狱企业，参加政府采购活动的投标人应当提供的材料：</w:t>
      </w:r>
      <w:r/>
    </w:p>
    <w:p>
      <w:pPr>
        <w:ind w:firstLine="480"/>
        <w:jc w:val="left"/>
        <w:spacing w:line="500" w:lineRule="exact"/>
        <w:rPr>
          <w:sz w:val="24"/>
          <w:szCs w:val="24"/>
        </w:rPr>
      </w:pPr>
      <w:r>
        <w:rPr>
          <w:rFonts w:hint="eastAsia"/>
          <w:sz w:val="24"/>
          <w:szCs w:val="24"/>
        </w:rPr>
        <w:t xml:space="preserve">（1）投标人为中型企业、小型企业、微型企业的，提供《中小企业声明函》（第六部分“投标文件格式”）。</w:t>
      </w:r>
      <w:r/>
    </w:p>
    <w:p>
      <w:pPr>
        <w:ind w:firstLine="480"/>
        <w:jc w:val="left"/>
        <w:spacing w:line="500" w:lineRule="exact"/>
        <w:rPr>
          <w:sz w:val="24"/>
          <w:szCs w:val="24"/>
        </w:rPr>
      </w:pPr>
      <w:r>
        <w:rPr>
          <w:rFonts w:hint="eastAsia"/>
          <w:sz w:val="24"/>
          <w:szCs w:val="24"/>
        </w:rPr>
        <w:t xml:space="preserve">（2）投标人为残疾人福利性单位的，符合财库〔2017〕141号文件规定条件的残疾人福利性单位视同小型企业、微型企业，提供《残疾人福利性单位声明函》（第六部分“投标文件格式”）。</w:t>
      </w:r>
      <w:r/>
    </w:p>
    <w:p>
      <w:pPr>
        <w:ind w:firstLine="480"/>
        <w:jc w:val="left"/>
        <w:spacing w:line="500" w:lineRule="exact"/>
        <w:rPr>
          <w:sz w:val="24"/>
          <w:szCs w:val="24"/>
        </w:rPr>
      </w:pPr>
      <w:r>
        <w:rPr>
          <w:rFonts w:hint="eastAsia"/>
          <w:sz w:val="24"/>
          <w:szCs w:val="24"/>
        </w:rPr>
        <w:t xml:space="preserve">（3）投标人为监狱企业的，提供省级以上监狱管理局、戒毒管理局（含新疆生产建设兵团）出具的属于监狱企业的证明文件。</w:t>
      </w:r>
      <w:r/>
    </w:p>
    <w:p>
      <w:pPr>
        <w:ind w:firstLine="480"/>
        <w:jc w:val="left"/>
        <w:spacing w:line="500" w:lineRule="exact"/>
        <w:rPr>
          <w:sz w:val="24"/>
          <w:szCs w:val="24"/>
        </w:rPr>
      </w:pPr>
      <w:r>
        <w:rPr>
          <w:rFonts w:hint="eastAsia"/>
          <w:sz w:val="24"/>
          <w:szCs w:val="24"/>
        </w:rPr>
        <w:t xml:space="preserve">根据《财政部司法部</w:t>
      </w:r>
      <w:r>
        <w:rPr>
          <w:rFonts w:hint="eastAsia"/>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pStyle w:val="847"/>
        <w:ind w:firstLine="562"/>
        <w:jc w:val="left"/>
        <w:spacing w:before="0" w:after="0" w:line="360" w:lineRule="auto"/>
        <w:rPr>
          <w:sz w:val="28"/>
          <w:szCs w:val="28"/>
        </w:rPr>
      </w:pPr>
      <w:r>
        <w:rPr>
          <w:rFonts w:hint="eastAsia"/>
          <w:sz w:val="28"/>
          <w:szCs w:val="28"/>
        </w:rPr>
        <w:t xml:space="preserve">39、支持绿色发展</w:t>
      </w:r>
      <w:r/>
    </w:p>
    <w:p>
      <w:pPr>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39.3政府采购项目执行《财政部 生态环境部 工业和信息化部关于印发&lt;绿色数据中心政府采购需求标准（试行）&gt;的通知》（财库〔2023〕7号）相关要求。</w:t>
      </w:r>
      <w:r/>
    </w:p>
    <w:p>
      <w:pPr>
        <w:ind w:firstLine="480"/>
        <w:jc w:val="left"/>
        <w:spacing w:line="500" w:lineRule="exact"/>
        <w:rPr>
          <w:sz w:val="24"/>
          <w:szCs w:val="24"/>
        </w:rPr>
      </w:pPr>
      <w:r>
        <w:rPr>
          <w:rFonts w:hint="eastAsia"/>
          <w:sz w:val="24"/>
          <w:szCs w:val="24"/>
        </w:rPr>
        <w:t xml:space="preserve">39.4落实挥发性有机化合物（VOCs）治理要求，政府采购项目中涉及涂料、胶黏剂、油墨、清洗剂等挥发性有机物产品的，属于强制性标准的，投标人须执行国家和我省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jc w:val="left"/>
        <w:widowControl/>
        <w:rPr>
          <w:sz w:val="24"/>
          <w:szCs w:val="24"/>
        </w:rPr>
      </w:pPr>
      <w:r>
        <w:rPr>
          <w:sz w:val="24"/>
          <w:szCs w:val="24"/>
        </w:rPr>
        <w:br w:type="page" w:clear="all"/>
      </w:r>
      <w:r/>
    </w:p>
    <w:p>
      <w:pPr>
        <w:pStyle w:val="845"/>
        <w:jc w:val="center"/>
        <w:spacing w:before="156" w:after="156" w:line="360" w:lineRule="auto"/>
        <w:rPr>
          <w:rFonts w:ascii="黑体" w:hAnsi="黑体" w:eastAsia="黑体"/>
          <w:b w:val="0"/>
        </w:rPr>
      </w:pPr>
      <w:r/>
      <w:bookmarkStart w:id="7" w:name="_Toc155796358"/>
      <w:r>
        <w:rPr>
          <w:rFonts w:hint="eastAsia" w:ascii="黑体" w:hAnsi="黑体" w:eastAsia="黑体"/>
          <w:b w:val="0"/>
        </w:rPr>
        <w:t xml:space="preserve">第三章合同文本</w:t>
      </w:r>
      <w:r/>
    </w:p>
    <w:p>
      <w:pPr>
        <w:pStyle w:val="670"/>
        <w:jc w:val="both"/>
        <w:spacing w:beforeAutospacing="0" w:afterAutospacing="0" w:line="360" w:lineRule="auto"/>
      </w:pPr>
      <w:r>
        <w:rPr>
          <w:rFonts w:hint="eastAsia"/>
        </w:rPr>
        <w:t xml:space="preserve">（以下为中标后签订本项目合同的通用条款，中标人不得提出实质性的修改）</w:t>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p>
    <w:p>
      <w:pPr>
        <w:ind w:firstLine="480"/>
        <w:jc w:val="left"/>
        <w:spacing w:line="500" w:lineRule="exact"/>
        <w:rPr>
          <w:sz w:val="24"/>
          <w:szCs w:val="24"/>
        </w:rPr>
      </w:pPr>
      <w:r>
        <w:rPr>
          <w:sz w:val="24"/>
          <w:szCs w:val="24"/>
        </w:rPr>
        <w:t xml:space="preserve">1.2 服务要求：。</w:t>
      </w:r>
      <w:r/>
    </w:p>
    <w:p>
      <w:pPr>
        <w:ind w:firstLine="480"/>
        <w:jc w:val="left"/>
        <w:spacing w:line="500" w:lineRule="exact"/>
        <w:rPr>
          <w:sz w:val="24"/>
          <w:szCs w:val="24"/>
        </w:rPr>
      </w:pPr>
      <w:r>
        <w:rPr>
          <w:rFonts w:hint="eastAsia"/>
          <w:sz w:val="24"/>
          <w:szCs w:val="24"/>
        </w:rPr>
        <w:t xml:space="preserve">1.3 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补充条款：。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本合同金额为人民币（大写）：元（¥）。</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本项目不收取履约保证金。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七、合同转包或标段</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本合同范围内产品或服务，应由乙方直接供应，不得转让他人供应或部分标段给他人供应。</w:t>
      </w:r>
      <w:r/>
    </w:p>
    <w:p>
      <w:pPr>
        <w:ind w:firstLine="480"/>
        <w:jc w:val="left"/>
        <w:spacing w:line="500" w:lineRule="exact"/>
        <w:rPr>
          <w:sz w:val="24"/>
          <w:szCs w:val="24"/>
        </w:rPr>
      </w:pPr>
      <w:r>
        <w:rPr>
          <w:rFonts w:hint="eastAsia"/>
          <w:sz w:val="24"/>
          <w:szCs w:val="24"/>
        </w:rPr>
        <w:t xml:space="preserve">7.2 如有转让和未经甲方同意的标段行为，甲方有权终止合同。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交付期：_________。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pStyle w:val="1042"/>
        <w:ind w:firstLine="480"/>
        <w:jc w:val="left"/>
        <w:spacing w:line="540" w:lineRule="exact"/>
        <w:rPr>
          <w:sz w:val="24"/>
          <w:szCs w:val="24"/>
        </w:rPr>
      </w:pPr>
      <w:r>
        <w:rPr>
          <w:rFonts w:hint="eastAsia"/>
          <w:sz w:val="24"/>
          <w:szCs w:val="24"/>
        </w:rPr>
        <w:t xml:space="preserve">10.1 付款方式：</w:t>
      </w:r>
      <w:r>
        <w:rPr>
          <w:rFonts w:hint="eastAsia" w:ascii="Times New Roman" w:hAnsi="宋体"/>
          <w:bCs/>
          <w:sz w:val="24"/>
          <w:szCs w:val="24"/>
        </w:rPr>
        <w:t xml:space="preserve">项目签订合同后，完成任务清单的30%支付合同金额的30%；完成任务清单的60%后支付合同金额的30%；合同期满并完成全部任务后支付合同金额的40%（如有罚款须扣除）。</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乙方逾期交付合同标的的，乙方应按逾期交付总额每日向甲方支付违约金，由甲方从待付合同款中扣除，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rPr>
        <w:t xml:space="preserve">。逾期超过约定日期不能交付的，甲方可解除本合同。乙方因逾期交付或因其他违约行为导致甲方解除合同的，乙方应向甲方支付合同总额的违约金，如造成甲方损失超过违约金的，超出部分由乙方继续承担赔偿责任。</w:t>
      </w:r>
      <w:r/>
    </w:p>
    <w:p>
      <w:pPr>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p>
    <w:p>
      <w:pPr>
        <w:ind w:firstLine="480"/>
        <w:jc w:val="left"/>
        <w:spacing w:line="500" w:lineRule="exact"/>
        <w:rPr>
          <w:sz w:val="24"/>
          <w:szCs w:val="24"/>
        </w:rPr>
      </w:pPr>
      <w:r>
        <w:rPr>
          <w:rFonts w:hint="eastAsia"/>
          <w:sz w:val="24"/>
          <w:szCs w:val="24"/>
        </w:rPr>
        <w:t xml:space="preserve">甲方：                         乙方：</w:t>
      </w:r>
      <w:r/>
    </w:p>
    <w:p>
      <w:pPr>
        <w:ind w:firstLine="480"/>
        <w:jc w:val="left"/>
        <w:spacing w:line="500" w:lineRule="exact"/>
        <w:rPr>
          <w:sz w:val="24"/>
          <w:szCs w:val="24"/>
        </w:rPr>
      </w:pPr>
      <w:r>
        <w:rPr>
          <w:rFonts w:hint="eastAsia"/>
          <w:sz w:val="24"/>
          <w:szCs w:val="24"/>
        </w:rPr>
        <w:t xml:space="preserve">地址：                         地址：</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w:t>
      </w:r>
      <w:r/>
    </w:p>
    <w:p>
      <w:pPr>
        <w:ind w:firstLine="480"/>
        <w:jc w:val="right"/>
        <w:spacing w:line="500" w:lineRule="exact"/>
        <w:rPr>
          <w:sz w:val="24"/>
          <w:szCs w:val="24"/>
        </w:rPr>
      </w:pPr>
      <w:r>
        <w:rPr>
          <w:rFonts w:hint="eastAsia"/>
          <w:sz w:val="24"/>
          <w:szCs w:val="24"/>
        </w:rPr>
        <w:t xml:space="preserve">签订日期：年月日</w:t>
      </w:r>
      <w:r/>
    </w:p>
    <w:p>
      <w:pPr>
        <w:jc w:val="left"/>
        <w:widowControl/>
        <w:rPr>
          <w:sz w:val="24"/>
          <w:szCs w:val="24"/>
        </w:rPr>
      </w:pPr>
      <w:r>
        <w:rPr>
          <w:sz w:val="24"/>
          <w:szCs w:val="24"/>
        </w:rPr>
        <w:br w:type="page" w:clear="all"/>
      </w:r>
      <w:bookmarkEnd w:id="7"/>
      <w:r/>
    </w:p>
    <w:p>
      <w:pPr>
        <w:pStyle w:val="845"/>
        <w:jc w:val="center"/>
        <w:spacing w:before="156" w:after="156" w:line="360" w:lineRule="auto"/>
        <w:rPr>
          <w:rFonts w:ascii="黑体" w:hAnsi="黑体" w:eastAsia="黑体"/>
          <w:b w:val="0"/>
        </w:rPr>
      </w:pPr>
      <w:r/>
      <w:bookmarkStart w:id="8" w:name="_Toc155796359"/>
      <w:r>
        <w:rPr>
          <w:rFonts w:hint="eastAsia" w:ascii="黑体" w:hAnsi="黑体" w:eastAsia="黑体"/>
          <w:b w:val="0"/>
        </w:rPr>
        <w:t xml:space="preserve">第四章采购需求</w:t>
      </w:r>
      <w:bookmarkEnd w:id="8"/>
      <w:r/>
      <w:r/>
    </w:p>
    <w:p>
      <w:pPr>
        <w:ind w:firstLine="480"/>
        <w:jc w:val="left"/>
        <w:spacing w:line="500" w:lineRule="exact"/>
        <w:rPr>
          <w:rFonts w:ascii="宋体" w:hAnsi="宋体" w:cs="宋体"/>
          <w:b/>
          <w:color w:val="auto"/>
          <w:sz w:val="24"/>
        </w:rPr>
      </w:pPr>
      <w:r>
        <w:rPr>
          <w:rFonts w:hint="eastAsia"/>
          <w:sz w:val="24"/>
          <w:szCs w:val="24"/>
        </w:rPr>
        <w:t xml:space="preserve">说明：</w:t>
      </w:r>
      <w:r>
        <w:rPr>
          <w:rFonts w:hint="eastAsia" w:ascii="宋体" w:hAnsi="宋体" w:cs="宋体"/>
          <w:b/>
          <w:sz w:val="24"/>
        </w:rPr>
        <w:t xml:space="preserve">本项目采购方式为公开招标，项目属性为</w:t>
      </w:r>
      <w:r>
        <w:rPr>
          <w:rFonts w:hint="eastAsia" w:ascii="宋体" w:hAnsi="宋体" w:cs="宋体"/>
          <w:b/>
          <w:sz w:val="24"/>
          <w:u w:val="single"/>
        </w:rPr>
        <w:t xml:space="preserve">服务</w:t>
      </w:r>
      <w:r>
        <w:rPr>
          <w:rFonts w:hint="eastAsia" w:ascii="宋体" w:hAnsi="宋体" w:cs="宋体"/>
          <w:b/>
          <w:sz w:val="24"/>
        </w:rPr>
        <w:t xml:space="preserve">，采购标的对应的中小企业划分标准所属</w:t>
      </w:r>
      <w:r>
        <w:rPr>
          <w:rFonts w:hint="eastAsia" w:ascii="宋体" w:hAnsi="宋体" w:cs="宋体"/>
          <w:b/>
          <w:color w:val="auto"/>
          <w:sz w:val="24"/>
        </w:rPr>
        <w:t xml:space="preserve">行业为 </w:t>
      </w:r>
      <w:r>
        <w:rPr>
          <w:rFonts w:hint="eastAsia" w:ascii="宋体" w:hAnsi="宋体" w:cs="宋体"/>
          <w:b/>
          <w:color w:val="auto"/>
          <w:sz w:val="24"/>
          <w:u w:val="single"/>
        </w:rPr>
        <w:t xml:space="preserve">其他未列明行业</w:t>
      </w:r>
      <w:r>
        <w:rPr>
          <w:rFonts w:hint="eastAsia" w:ascii="宋体" w:hAnsi="宋体" w:cs="宋体"/>
          <w:b/>
          <w:color w:val="auto"/>
          <w:sz w:val="24"/>
        </w:rPr>
        <w:t xml:space="preserve">。</w:t>
      </w:r>
      <w:r/>
    </w:p>
    <w:p>
      <w:pPr>
        <w:ind w:firstLine="480"/>
        <w:jc w:val="left"/>
        <w:spacing w:line="500" w:lineRule="exact"/>
        <w:rPr>
          <w:color w:val="auto"/>
          <w:sz w:val="24"/>
          <w:szCs w:val="24"/>
        </w:rPr>
      </w:pPr>
      <w:r>
        <w:rPr>
          <w:rFonts w:hint="eastAsia"/>
          <w:b/>
          <w:color w:val="auto"/>
          <w:sz w:val="24"/>
          <w:szCs w:val="24"/>
        </w:rPr>
        <w:t xml:space="preserve">本招标文件中</w:t>
      </w:r>
      <w:r>
        <w:rPr>
          <w:rFonts w:hint="eastAsia"/>
          <w:b/>
          <w:i/>
          <w:color w:val="auto"/>
          <w:sz w:val="24"/>
          <w:szCs w:val="24"/>
          <w:u w:val="single"/>
        </w:rPr>
        <w:t xml:space="preserve">斜体且有下划线部分</w:t>
      </w:r>
      <w:r>
        <w:rPr>
          <w:rFonts w:hint="eastAsia"/>
          <w:b/>
          <w:color w:val="auto"/>
          <w:sz w:val="24"/>
          <w:szCs w:val="24"/>
        </w:rPr>
        <w:t xml:space="preserve">为实质性要求和条件</w:t>
      </w:r>
      <w:r>
        <w:rPr>
          <w:rFonts w:hint="eastAsia"/>
          <w:color w:val="auto"/>
          <w:sz w:val="24"/>
          <w:szCs w:val="24"/>
        </w:rPr>
        <w:t xml:space="preserve">，由采购人根据实际情况设置，投标人须逐条明确作出满足实质性要求和条件的响应，否则将按无效响应处理。</w:t>
      </w:r>
      <w:r/>
    </w:p>
    <w:p>
      <w:pPr>
        <w:ind w:firstLine="562"/>
        <w:spacing w:line="360" w:lineRule="auto"/>
        <w:rPr>
          <w:rFonts w:ascii="Times New Roman" w:hAnsi="Times New Roman"/>
          <w:b/>
          <w:color w:val="auto"/>
          <w:sz w:val="28"/>
          <w:szCs w:val="28"/>
        </w:rPr>
      </w:pPr>
      <w:r>
        <w:rPr>
          <w:rFonts w:hint="eastAsia" w:ascii="Times New Roman" w:hAnsi="Times New Roman"/>
          <w:b/>
          <w:color w:val="auto"/>
          <w:sz w:val="28"/>
          <w:szCs w:val="28"/>
        </w:rPr>
        <w:t xml:space="preserve">一、项目需求</w:t>
      </w:r>
      <w:r/>
    </w:p>
    <w:p>
      <w:pPr>
        <w:pStyle w:val="654"/>
        <w:ind w:left="0" w:firstLine="482"/>
        <w:rPr>
          <w:b/>
          <w:bCs/>
        </w:rPr>
      </w:pPr>
      <w:r>
        <w:rPr>
          <w:rFonts w:hint="eastAsia" w:ascii="宋体" w:hAnsi="宋体"/>
          <w:b/>
          <w:bCs/>
          <w:color w:val="auto"/>
          <w:sz w:val="24"/>
          <w:szCs w:val="24"/>
        </w:rPr>
        <w:t xml:space="preserve">一标段：声环境、海水浴场专项监测、临时委托监测等</w:t>
      </w:r>
      <w:r>
        <w:rPr>
          <w:rFonts w:hint="eastAsia" w:ascii="宋体" w:hAnsi="宋体"/>
          <w:b/>
          <w:bCs/>
          <w:sz w:val="24"/>
          <w:szCs w:val="24"/>
        </w:rPr>
        <w:t xml:space="preserve">监测服务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1、声环境质量监测</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①、监测范围：市区及各功能板块120个区域声环境，51个道路交通声环境，10个功能区声环境质量监测。</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②、监测项目：区域声环境质量监测、道路交通声环境质量监测及功能区声环境质量监测。</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③、监测频次：执行《环境噪声监测技术规范 城市声环境常规监测》（HJ 640）等相关要求。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（1）区域声环境质量和道路交通声环境质量</w:t>
      </w:r>
      <w:r/>
    </w:p>
    <w:p>
      <w:pPr>
        <w:ind w:firstLine="480"/>
        <w:spacing w:line="360" w:lineRule="auto"/>
        <w:rPr>
          <w:rFonts w:ascii="宋体" w:hAnsi="宋体" w:cs="宋体"/>
          <w:color w:val="000000"/>
          <w:sz w:val="24"/>
        </w:rPr>
      </w:pPr>
      <w:r>
        <w:rPr>
          <w:rFonts w:hint="eastAsia" w:ascii="宋体" w:hAnsi="宋体" w:cs="宋体"/>
          <w:color w:val="000000"/>
          <w:sz w:val="24"/>
        </w:rPr>
        <w:t xml:space="preserve">城市区域声环境质量和城市道路交通声环境质量本年度开展1次昼间监测。昼间监测应在昼间正常工作时段内测量，测量时段应覆盖整个正常工作时段。</w:t>
      </w:r>
      <w:r/>
    </w:p>
    <w:p>
      <w:pPr>
        <w:ind w:firstLine="480"/>
        <w:spacing w:line="360" w:lineRule="auto"/>
        <w:rPr>
          <w:rFonts w:ascii="宋体" w:hAnsi="宋体" w:cs="宋体"/>
          <w:color w:val="000000"/>
          <w:sz w:val="24"/>
        </w:rPr>
      </w:pPr>
      <w:r>
        <w:rPr>
          <w:rFonts w:hint="eastAsia" w:ascii="宋体" w:hAnsi="宋体" w:cs="宋体"/>
          <w:color w:val="000000"/>
          <w:sz w:val="24"/>
        </w:rPr>
        <w:t xml:space="preserve">区域声环境质量监测，每个网格监测10分钟的等效声级Leq并记录累积百分声级L10、L50、L90、Lmax、Lmin和标准偏差（SD），同时记录声源代码、监测前后校准值及相关仪器基本信息。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道路交通声环境质量监测，每个测点监测20分钟的等效声级Leq，记录L10、L50、L90、Lmax、Lmin和标准偏差（SD）、20分钟车流量（大型车、中小型车），同时记录监测前后校准值及相关仪器基本信息。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监测工作应安排在每年的春季或秋季，每次监测时间应固定，监测应避开节假日和非正常工作日。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功能区声环境质量</w:t>
      </w:r>
      <w:r/>
    </w:p>
    <w:p>
      <w:pPr>
        <w:ind w:firstLine="480"/>
        <w:spacing w:line="360" w:lineRule="auto"/>
        <w:rPr>
          <w:rFonts w:ascii="宋体" w:hAnsi="宋体" w:cs="宋体"/>
          <w:color w:val="000000"/>
          <w:sz w:val="24"/>
        </w:rPr>
      </w:pPr>
      <w:r>
        <w:rPr>
          <w:rFonts w:hint="eastAsia" w:ascii="宋体" w:hAnsi="宋体" w:cs="宋体"/>
          <w:color w:val="000000"/>
          <w:sz w:val="24"/>
        </w:rPr>
        <w:t xml:space="preserve">城市各类功能区声环境质量监测每季度监测1次，本年度开展4次，每个点位连续监测24个小时，每小时测量60分钟，记录小时等效声级Leq、L10、L50、L90、Lmax、Lmin和标准偏差（SD），同时记录监测前后校准值及相关仪器基本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每次功能区声环境质量监测日期应相对固定，监测应避开节假日和非正常工作日。</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④、质量保证：监测数据实行三级审核制度，监测任务承担单位对监测结果负责。质量保证按照《声环境质量标准》（GB 3096）、《环境噪声监测技术规范 城市声环境常规监测》（HJ640）的相关规定执行。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⑤、数据报送时间及要求：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功能区声环境质量监测数据：每季度报送1次数据和简要情况及结果说明，报送时间为当季第2个月15日前，数据报送至连云港市环境监测监控中心。</w:t>
      </w:r>
      <w:r/>
    </w:p>
    <w:p>
      <w:pPr>
        <w:ind w:firstLine="480"/>
        <w:spacing w:line="360" w:lineRule="auto"/>
        <w:rPr>
          <w:rFonts w:ascii="宋体" w:hAnsi="宋体" w:cs="宋体"/>
          <w:color w:val="000000"/>
          <w:sz w:val="24"/>
        </w:rPr>
      </w:pPr>
      <w:r>
        <w:rPr>
          <w:rFonts w:hint="eastAsia" w:ascii="宋体" w:hAnsi="宋体" w:cs="宋体"/>
          <w:color w:val="000000"/>
          <w:sz w:val="24"/>
        </w:rPr>
        <w:t xml:space="preserve">区域和道路交通声环境质量监测数据：11月15日前报送年度监测数据和简要情况及结果说明，数据报送至连云港市环境监测监控中心。</w:t>
      </w:r>
      <w:r/>
    </w:p>
    <w:p>
      <w:pPr>
        <w:ind w:firstLine="480"/>
        <w:spacing w:line="360" w:lineRule="auto"/>
        <w:rPr>
          <w:rFonts w:ascii="宋体" w:hAnsi="宋体" w:cs="宋体"/>
          <w:color w:val="000000"/>
          <w:sz w:val="24"/>
        </w:rPr>
      </w:pPr>
      <w:r/>
      <w:bookmarkStart w:id="9" w:name="_Toc164265297"/>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海水浴场水质监测</w:t>
      </w:r>
      <w:bookmarkEnd w:id="9"/>
      <w:r/>
      <w:r/>
    </w:p>
    <w:p>
      <w:pPr>
        <w:ind w:firstLine="480"/>
        <w:spacing w:line="360" w:lineRule="auto"/>
        <w:rPr>
          <w:rFonts w:ascii="宋体" w:hAnsi="宋体" w:cs="宋体"/>
          <w:color w:val="000000"/>
          <w:sz w:val="24"/>
        </w:rPr>
      </w:pPr>
      <w:r>
        <w:rPr>
          <w:rFonts w:hint="eastAsia" w:ascii="宋体" w:hAnsi="宋体" w:cs="宋体"/>
          <w:color w:val="000000"/>
          <w:sz w:val="24"/>
        </w:rPr>
        <w:t xml:space="preserve">①、监测范围：在连岛海滨浴场和苏马湾海水浴场开展监测工作。</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②、监测项目： </w:t>
      </w:r>
      <w:r/>
    </w:p>
    <w:p>
      <w:pPr>
        <w:ind w:firstLine="480"/>
        <w:spacing w:line="360" w:lineRule="auto"/>
        <w:rPr>
          <w:rFonts w:ascii="宋体" w:hAnsi="宋体" w:cs="宋体"/>
          <w:color w:val="000000"/>
          <w:sz w:val="24"/>
        </w:rPr>
      </w:pPr>
      <w:r>
        <w:rPr>
          <w:rFonts w:hint="eastAsia" w:ascii="宋体" w:hAnsi="宋体" w:cs="宋体"/>
          <w:color w:val="000000"/>
          <w:sz w:val="24"/>
        </w:rPr>
        <w:t xml:space="preserve">水质指标：粪大肠菌群、肠球菌、漂浮物、溶解氧、透明度、石油类、色、臭和味、赤潮发生情况；</w:t>
      </w:r>
      <w:r/>
    </w:p>
    <w:p>
      <w:pPr>
        <w:ind w:firstLine="480"/>
        <w:spacing w:line="360" w:lineRule="auto"/>
        <w:rPr>
          <w:rFonts w:ascii="宋体" w:hAnsi="宋体" w:cs="宋体"/>
          <w:color w:val="000000"/>
          <w:sz w:val="24"/>
        </w:rPr>
      </w:pPr>
      <w:r>
        <w:rPr>
          <w:rFonts w:hint="eastAsia" w:ascii="宋体" w:hAnsi="宋体" w:cs="宋体"/>
          <w:color w:val="000000"/>
          <w:sz w:val="24"/>
        </w:rPr>
        <w:t xml:space="preserve">其他指标：水温、浪高、天气现象、风向、风速、总云量、降水量、气温、能见度等。</w:t>
      </w:r>
      <w:r/>
    </w:p>
    <w:p>
      <w:pPr>
        <w:ind w:firstLine="480"/>
        <w:spacing w:line="360" w:lineRule="auto"/>
        <w:rPr>
          <w:rFonts w:ascii="宋体" w:hAnsi="宋体" w:cs="宋体"/>
          <w:color w:val="000000"/>
          <w:sz w:val="24"/>
        </w:rPr>
      </w:pPr>
      <w:r>
        <w:rPr>
          <w:rFonts w:hint="eastAsia" w:ascii="宋体" w:hAnsi="宋体" w:cs="宋体"/>
          <w:color w:val="000000"/>
          <w:sz w:val="24"/>
        </w:rPr>
        <w:t xml:space="preserve">采样当天，记录实时水文气象情况和浴场环境质量分析所需的相关信息（浴场人数、周边陆源排污情况、降雨量等）。</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③、监测频次和时间：于7月1日～9月30日开展监测，每周开展2次监测，后续视国家下达任务要求，如有变化动态调整。</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④、数据上报：通过海洋生态环境监测数据传输系统将数据报送海洋中心。任务承担单位负责编制浴场水质周报和年度浴场水质分析报告，监测数据于每周一、周四9:00前报送至连云港市环境监测监控中心。</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⑤、质量保证与质量控制：依据《海水浴场监测与评价指南》（HY/T 0276）的要求实施，其中粪大肠菌群采用发酵法分析。</w:t>
      </w:r>
      <w:r/>
    </w:p>
    <w:p>
      <w:pPr>
        <w:ind w:firstLine="480"/>
        <w:spacing w:line="360" w:lineRule="auto"/>
        <w:rPr>
          <w:rFonts w:ascii="宋体" w:hAnsi="宋体" w:cs="宋体"/>
          <w:color w:val="000000"/>
          <w:sz w:val="24"/>
        </w:rPr>
      </w:pPr>
      <w:r>
        <w:rPr>
          <w:rFonts w:hint="eastAsia" w:ascii="宋体" w:hAnsi="宋体" w:cs="宋体"/>
          <w:color w:val="000000"/>
          <w:sz w:val="24"/>
        </w:rPr>
        <w:t xml:space="preserve">3、临时性委托任务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①日常管理：各监测机构要做好日常应急监测值守值班工作，定期维护仪器装备、及时更新试剂耗材，确保应急监测仪器装备保持最佳状态。</w:t>
      </w:r>
      <w:r/>
    </w:p>
    <w:p>
      <w:pPr>
        <w:ind w:firstLine="480"/>
        <w:spacing w:line="360" w:lineRule="auto"/>
        <w:rPr>
          <w:b/>
          <w:bCs/>
        </w:rPr>
      </w:pPr>
      <w:r>
        <w:rPr>
          <w:rFonts w:hint="eastAsia" w:ascii="宋体" w:hAnsi="宋体" w:cs="宋体"/>
          <w:color w:val="000000"/>
          <w:sz w:val="24"/>
        </w:rPr>
        <w:t xml:space="preserve">②工作任务</w:t>
      </w:r>
      <w:bookmarkStart w:id="10" w:name="_Hlk139875256"/>
      <w:r>
        <w:rPr>
          <w:rFonts w:hint="eastAsia" w:ascii="宋体" w:hAnsi="宋体" w:cs="宋体"/>
          <w:color w:val="000000"/>
          <w:sz w:val="24"/>
        </w:rPr>
        <w:t xml:space="preserve">：根据工作需要开展应急监测及其他委托监测，报价明细表中应包含应急监测项目报价。水和废水监测项目包括化学需氧量、氨氮、总磷、总氮、高锰酸盐指数、重金属及有机类化合物等，环境空气和废气监测项目包括氮氧化物、颗粒物、二氧化硫、重金属及</w:t>
      </w:r>
      <w:bookmarkStart w:id="11" w:name="_Hlk139875152"/>
      <w:r>
        <w:rPr>
          <w:rFonts w:hint="eastAsia" w:ascii="宋体" w:hAnsi="宋体" w:cs="宋体"/>
          <w:color w:val="000000"/>
          <w:sz w:val="24"/>
        </w:rPr>
        <w:t xml:space="preserve">有机类化合物</w:t>
      </w:r>
      <w:bookmarkEnd w:id="11"/>
      <w:r>
        <w:rPr>
          <w:rFonts w:hint="eastAsia" w:ascii="宋体" w:hAnsi="宋体" w:cs="宋体"/>
          <w:color w:val="000000"/>
          <w:sz w:val="24"/>
        </w:rPr>
        <w:t xml:space="preserve">等，土壤和沉积物监测项目包括重金属及有机类化合物，以及餐饮油烟和噪声等。投标人须承诺不得以任何理由拒绝应急监测和其他委托监测工作安排。临时性委托任务金额不得超过18万元，实际工作低于预算的按照实际工作量计。</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rPr>
        <w:t xml:space="preserve">二标段：</w:t>
      </w:r>
      <w:r>
        <w:rPr>
          <w:rFonts w:hint="eastAsia" w:ascii="宋体" w:hAnsi="宋体" w:cs="宋体"/>
          <w:b/>
          <w:bCs/>
          <w:color w:val="000000"/>
          <w:sz w:val="24"/>
          <w:highlight w:val="none"/>
        </w:rPr>
        <w:t xml:space="preserve">污染源监测、总量核算质控监测、迁址期间日常监测等监测服务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1、污染源执法监测</w:t>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①、监测范围：</w:t>
      </w:r>
      <w:r>
        <w:rPr>
          <w:rFonts w:ascii="宋体" w:hAnsi="宋体" w:cs="宋体"/>
          <w:b/>
          <w:bCs/>
          <w:sz w:val="24"/>
          <w:highlight w:val="none"/>
        </w:rPr>
        <w:t xml:space="preserve">54家</w:t>
      </w:r>
      <w:r>
        <w:rPr>
          <w:rFonts w:hint="eastAsia" w:ascii="宋体" w:hAnsi="宋体" w:cs="宋体"/>
          <w:b/>
          <w:bCs/>
          <w:sz w:val="24"/>
          <w:highlight w:val="none"/>
        </w:rPr>
        <w:t xml:space="preserve">列入环境监管重点单位名录中涉气排污单位和</w:t>
      </w:r>
      <w:r>
        <w:rPr>
          <w:rFonts w:ascii="宋体" w:hAnsi="宋体" w:cs="宋体"/>
          <w:b/>
          <w:bCs/>
          <w:sz w:val="24"/>
          <w:highlight w:val="none"/>
        </w:rPr>
        <w:t xml:space="preserve">20家</w:t>
      </w:r>
      <w:r>
        <w:rPr>
          <w:rFonts w:hint="eastAsia" w:ascii="宋体" w:hAnsi="宋体" w:cs="宋体"/>
          <w:b/>
          <w:bCs/>
          <w:sz w:val="24"/>
          <w:highlight w:val="none"/>
        </w:rPr>
        <w:t xml:space="preserve">非环境监管重点单位。详见附件。</w:t>
      </w:r>
      <w:r/>
    </w:p>
    <w:p>
      <w:pPr>
        <w:ind w:firstLine="480"/>
        <w:spacing w:line="360" w:lineRule="auto"/>
        <w:rPr>
          <w:rFonts w:ascii="宋体" w:hAnsi="宋体" w:cs="宋体"/>
          <w:color w:val="000000"/>
          <w:sz w:val="24"/>
          <w:highlight w:val="none"/>
        </w:rPr>
      </w:pPr>
      <w:r/>
      <w:bookmarkStart w:id="12" w:name="_Toc28025"/>
      <w:r/>
      <w:bookmarkStart w:id="13" w:name="_Toc150430293"/>
      <w:r>
        <w:rPr>
          <w:rFonts w:hint="eastAsia" w:ascii="宋体" w:hAnsi="宋体" w:cs="宋体"/>
          <w:color w:val="000000"/>
          <w:sz w:val="24"/>
          <w:highlight w:val="none"/>
        </w:rPr>
        <w:t xml:space="preserve">②、项目</w:t>
      </w:r>
      <w:bookmarkEnd w:id="12"/>
      <w:r/>
      <w:bookmarkEnd w:id="13"/>
      <w:r>
        <w:rPr>
          <w:rFonts w:hint="eastAsia" w:ascii="宋体" w:hAnsi="宋体" w:cs="宋体"/>
          <w:color w:val="000000"/>
          <w:sz w:val="24"/>
          <w:highlight w:val="none"/>
        </w:rPr>
        <w:t xml:space="preserve">及频次：按照执行的排污许可证、排放标准及管理需求等确定监测项目及频次。废气至少包括SO2、NOx、颗粒物、废气流量等。对于监测超标的排污单位，根据采购方管理要求适当增加频次。涉及VOCs监测的应按照《关于加强挥发性有机物监测工作的通知》（环办监测函〔2020〕335号）要求开展VOCs抽测的，并与常规监测项目同步开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③、质量保证：承担执法监测的各级环境监测机构，应严格按照《固定源废气监测技术规范》（HJ/T 397）、《固定污染源监测质量控制和质量保证技术规范》（HJ/T 373）等要求，对污染源监测的全过程进行质量控制和质量保证，执法监测期间，应记录企业生产负荷情况，并提前联系采购人，执法人员现场陪同。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④、数据报送要求：中标方完成执法监测工作后4个工作日内提交检测报告及原始记录复印件（扫描件）。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2、污染源总量核算质控监测</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①、监测范围：11家污染源总量核算质控监测涉气排污单位。详见附件。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监测内容：按照执行的排污许可证要求确定主要监测指标。废气至少包括SO2、NOx、颗粒物、废气流量等。安装有验收合格的自动监控设施的，需进行单个数据的比对分析（直接利用监测结果与自动监控数据进行比对分析）。</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③、监测频次：环境监管重点单位主要污染源废气排口每年监测2次（上、下半年各1次）。</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④、质量保证：</w:t>
      </w:r>
      <w:r/>
    </w:p>
    <w:p>
      <w:pPr>
        <w:ind w:firstLine="480"/>
        <w:spacing w:line="360" w:lineRule="auto"/>
        <w:rPr>
          <w:rFonts w:ascii="宋体" w:hAnsi="宋体" w:cs="宋体"/>
          <w:color w:val="000000"/>
          <w:sz w:val="24"/>
        </w:rPr>
      </w:pPr>
      <w:r>
        <w:rPr>
          <w:rFonts w:hint="eastAsia" w:ascii="宋体" w:hAnsi="宋体" w:cs="宋体"/>
          <w:color w:val="000000"/>
          <w:sz w:val="24"/>
        </w:rPr>
        <w:t xml:space="preserve">承担专项监测的各级环境监测机构，应严格按照《固定源废气监测技术规范》（HJ/T 397）、《固定污染源烟气（SO2、NOx、颗粒物）排放连续监测技术规范》（HJ 75）、《固定污染源监测质量控制和质量保证技术规范》（HJ/T 373）等要求，对污染源监测的全过程进行质量控制和质量保证。监测期间，企业生产负荷满足正常生产要求，记录生产负荷（以百分计）；总量自动法核算单位应记录同期自动监测数据，总量手工法核算单位应记录最近一期自行监测数据。</w:t>
      </w:r>
      <w:r/>
    </w:p>
    <w:p>
      <w:pPr>
        <w:ind w:firstLine="480"/>
        <w:spacing w:line="360" w:lineRule="auto"/>
        <w:rPr>
          <w:rFonts w:ascii="宋体" w:hAnsi="宋体" w:cs="宋体"/>
          <w:color w:val="000000"/>
          <w:sz w:val="24"/>
        </w:rPr>
      </w:pPr>
      <w:r>
        <w:rPr>
          <w:rFonts w:hint="eastAsia" w:ascii="宋体" w:hAnsi="宋体" w:cs="宋体"/>
          <w:color w:val="000000"/>
          <w:sz w:val="24"/>
        </w:rPr>
        <w:t xml:space="preserve">排放监测有异常的，及时通知连云港市环境监测监控中心；并通过拍摄照片或者摄像短视频证明开展监测。</w:t>
      </w:r>
      <w:r/>
    </w:p>
    <w:p>
      <w:pPr>
        <w:ind w:firstLine="480"/>
        <w:spacing w:line="360" w:lineRule="auto"/>
        <w:rPr>
          <w:rFonts w:ascii="宋体" w:hAnsi="宋体" w:cs="宋体"/>
          <w:color w:val="auto"/>
          <w:sz w:val="24"/>
        </w:rPr>
      </w:pPr>
      <w:r>
        <w:rPr>
          <w:rFonts w:hint="eastAsia" w:ascii="宋体" w:hAnsi="宋体" w:cs="宋体"/>
          <w:color w:val="000000"/>
          <w:sz w:val="24"/>
        </w:rPr>
        <w:t xml:space="preserve">⑤、数据报送及格式要求</w:t>
      </w:r>
      <w:r>
        <w:rPr>
          <w:rFonts w:hint="eastAsia" w:ascii="宋体" w:hAnsi="宋体" w:cs="宋体"/>
          <w:color w:val="auto"/>
          <w:sz w:val="24"/>
        </w:rPr>
        <w:t xml:space="preserve">：各监测机构完成监测工作后，6月10日、12月10日前分别将上、下半年监测数据及同期自动监测数据或近期自行监测数据暂以EXCEL格式上报连云港市环境监测监控中心，并编制所在行政区域内的比对报告，一并上报。</w:t>
      </w:r>
      <w:r/>
    </w:p>
    <w:p>
      <w:pPr>
        <w:ind w:firstLine="480"/>
        <w:spacing w:line="360" w:lineRule="auto"/>
        <w:rPr>
          <w:rFonts w:ascii="宋体" w:hAnsi="宋体" w:cs="宋体"/>
          <w:color w:val="auto"/>
          <w:sz w:val="24"/>
        </w:rPr>
      </w:pPr>
      <w:r>
        <w:rPr>
          <w:rFonts w:hint="eastAsia" w:ascii="宋体" w:hAnsi="宋体" w:cs="宋体"/>
          <w:color w:val="auto"/>
          <w:sz w:val="24"/>
        </w:rPr>
        <w:t xml:space="preserve">3、迁址期间日常监测等监测服务（服务时长：</w:t>
      </w:r>
      <w:r>
        <w:rPr>
          <w:rFonts w:ascii="宋体" w:hAnsi="宋体" w:cs="宋体"/>
          <w:color w:val="auto"/>
          <w:sz w:val="24"/>
        </w:rPr>
        <w:t xml:space="preserve">3个月）</w:t>
      </w:r>
      <w:r/>
    </w:p>
    <w:p>
      <w:pPr>
        <w:ind w:firstLine="480"/>
        <w:spacing w:line="360" w:lineRule="auto"/>
        <w:rPr>
          <w:rFonts w:ascii="宋体" w:hAnsi="宋体" w:cs="宋体"/>
          <w:color w:val="auto"/>
          <w:sz w:val="24"/>
        </w:rPr>
      </w:pPr>
      <w:r/>
      <w:bookmarkStart w:id="14" w:name="_Toc129790973"/>
      <w:r/>
      <w:bookmarkStart w:id="15" w:name="_Toc164265275"/>
      <w:r/>
      <w:bookmarkStart w:id="16" w:name="_Toc13762"/>
      <w:r>
        <w:rPr>
          <w:rFonts w:hint="eastAsia" w:ascii="宋体" w:hAnsi="宋体" w:cs="宋体"/>
          <w:color w:val="auto"/>
          <w:sz w:val="24"/>
        </w:rPr>
        <w:t xml:space="preserve">3.1、集中式饮用水水源地水质监测</w:t>
      </w:r>
      <w:bookmarkEnd w:id="14"/>
      <w:r/>
      <w:bookmarkEnd w:id="15"/>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①、监测范围：市区及功能板块集中式饮用水水源地（含备用水源地）共4个断面（见附件），具体名单以省级年度水生态环境保护工作计划为准，年内根据水源地核销或核准情况动态调整，详见附件。</w:t>
      </w:r>
      <w:r/>
    </w:p>
    <w:p>
      <w:pPr>
        <w:ind w:firstLine="480"/>
        <w:spacing w:line="360" w:lineRule="auto"/>
        <w:rPr>
          <w:rFonts w:ascii="宋体" w:hAnsi="宋体" w:cs="宋体"/>
          <w:color w:val="auto"/>
          <w:sz w:val="24"/>
        </w:rPr>
      </w:pPr>
      <w:r/>
      <w:bookmarkStart w:id="17" w:name="_Toc129790976"/>
      <w:r>
        <w:rPr>
          <w:rFonts w:hint="eastAsia" w:ascii="宋体" w:hAnsi="宋体" w:cs="宋体"/>
          <w:color w:val="auto"/>
          <w:sz w:val="24"/>
        </w:rPr>
        <w:t xml:space="preserve">②、监测项目</w:t>
      </w:r>
      <w:bookmarkEnd w:id="17"/>
      <w:r>
        <w:rPr>
          <w:rFonts w:hint="eastAsia" w:ascii="宋体" w:hAnsi="宋体" w:cs="宋体"/>
          <w:color w:val="auto"/>
          <w:sz w:val="24"/>
        </w:rPr>
        <w:t xml:space="preserve">：《地表水环境质量标准》（GB3838）中表1基本项目24项、表2补充项目5项，以及表3的优选特定项目33项，共62项；河流型加测电导率和浊度，湖库型加测电导率、浊度、透明度和叶绿素a；同时填报水源地当月取水水量。水量和指标均不得缺项。</w:t>
      </w:r>
      <w:r/>
    </w:p>
    <w:p>
      <w:pPr>
        <w:ind w:firstLine="480"/>
        <w:spacing w:line="360" w:lineRule="auto"/>
        <w:rPr>
          <w:rFonts w:ascii="宋体" w:hAnsi="宋体" w:cs="宋体"/>
          <w:color w:val="auto"/>
          <w:sz w:val="24"/>
        </w:rPr>
      </w:pPr>
      <w:r/>
      <w:bookmarkStart w:id="18" w:name="_Toc129790977"/>
      <w:r>
        <w:rPr>
          <w:rFonts w:hint="eastAsia" w:ascii="宋体" w:hAnsi="宋体" w:cs="宋体"/>
          <w:color w:val="auto"/>
          <w:sz w:val="24"/>
        </w:rPr>
        <w:t xml:space="preserve">③、监测频次和时间</w:t>
      </w:r>
      <w:bookmarkEnd w:id="18"/>
      <w:r>
        <w:rPr>
          <w:rFonts w:hint="eastAsia" w:ascii="宋体" w:hAnsi="宋体" w:cs="宋体"/>
          <w:color w:val="auto"/>
          <w:sz w:val="24"/>
        </w:rPr>
        <w:t xml:space="preserve">：</w:t>
      </w:r>
      <w:r/>
    </w:p>
    <w:p>
      <w:pPr>
        <w:ind w:firstLine="480"/>
        <w:spacing w:line="360" w:lineRule="auto"/>
        <w:rPr>
          <w:rFonts w:ascii="宋体" w:hAnsi="宋体" w:cs="宋体"/>
          <w:color w:val="000000"/>
          <w:sz w:val="24"/>
        </w:rPr>
      </w:pPr>
      <w:r>
        <w:rPr>
          <w:rFonts w:hint="eastAsia" w:ascii="宋体" w:hAnsi="宋体" w:cs="宋体"/>
          <w:color w:val="auto"/>
          <w:sz w:val="24"/>
        </w:rPr>
        <w:t xml:space="preserve">监测范围内的县级及以上集中式饮用水水源地（含备用水源地</w:t>
      </w:r>
      <w:r>
        <w:rPr>
          <w:rFonts w:hint="eastAsia" w:ascii="宋体" w:hAnsi="宋体" w:cs="宋体"/>
          <w:color w:val="000000"/>
          <w:sz w:val="24"/>
        </w:rPr>
        <w:t xml:space="preserve">）每月监测1次，共3次，在确保数据报送时间的前提下，自行确定采样时间。</w:t>
      </w:r>
      <w:r/>
    </w:p>
    <w:p>
      <w:pPr>
        <w:ind w:firstLine="480"/>
        <w:spacing w:line="360" w:lineRule="auto"/>
        <w:rPr>
          <w:rFonts w:ascii="宋体" w:hAnsi="宋体" w:cs="宋体"/>
          <w:color w:val="000000"/>
          <w:sz w:val="24"/>
        </w:rPr>
      </w:pPr>
      <w:r>
        <w:rPr>
          <w:rFonts w:hint="eastAsia" w:ascii="宋体" w:hAnsi="宋体" w:cs="宋体"/>
          <w:color w:val="000000"/>
          <w:sz w:val="24"/>
        </w:rPr>
        <w:t xml:space="preserve">如遇水源地水质异常情况特别是敏感指标超标时，任务承担机构须按《江苏省水环境质量监测预警方案（试行）》（苏环办〔2020〕158号）及时报送预警信息至连云港市环境监测监控中心，并开展相关加密监测工作，及时跟踪水质变化和处置情况，形成工作闭环。</w:t>
      </w:r>
      <w:r/>
    </w:p>
    <w:p>
      <w:pPr>
        <w:ind w:firstLine="480"/>
        <w:spacing w:line="360" w:lineRule="auto"/>
        <w:rPr>
          <w:rFonts w:ascii="宋体" w:hAnsi="宋体" w:cs="宋体"/>
          <w:color w:val="000000"/>
          <w:sz w:val="24"/>
        </w:rPr>
      </w:pPr>
      <w:r/>
      <w:bookmarkStart w:id="19" w:name="_Toc129790978"/>
      <w:r>
        <w:rPr>
          <w:rFonts w:hint="eastAsia" w:ascii="宋体" w:hAnsi="宋体" w:cs="宋体"/>
          <w:color w:val="000000"/>
          <w:sz w:val="24"/>
        </w:rPr>
        <w:t xml:space="preserve">④、数据传输及格式要求</w:t>
      </w:r>
      <w:bookmarkEnd w:id="19"/>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（1）任务承担机构对所报出数据质量负责，每月10日前将当月监测数据及三级审核表报送连云港市环境监测监控中心。</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（2）报送监测数据时，若监测值低于检测限，则填写“检出限L”，基本项检测限应该满足国家地表水Ⅰ类标准值的1/4，补充项、特定项检测限应满足集中式生活饮用水水源地标准限值的1/4。</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（3）报送取水量时，水源地当月未取水填写“0”，并注明原因（如备用水源地等）；未获得取水量信息填写“-1”。</w:t>
      </w:r>
      <w:r/>
    </w:p>
    <w:p>
      <w:pPr>
        <w:ind w:firstLine="480"/>
        <w:spacing w:line="360" w:lineRule="auto"/>
        <w:rPr>
          <w:rFonts w:ascii="宋体" w:hAnsi="宋体" w:cs="宋体"/>
          <w:color w:val="000000"/>
          <w:sz w:val="24"/>
        </w:rPr>
      </w:pPr>
      <w:r>
        <w:rPr>
          <w:rFonts w:hint="eastAsia" w:ascii="宋体" w:hAnsi="宋体" w:cs="宋体"/>
          <w:color w:val="000000"/>
          <w:sz w:val="24"/>
        </w:rPr>
        <w:t xml:space="preserve">（4）若在用水源地当月未监测，则该水源地数据行填“-1”，并注明原因；不再报送已停用水源地监测数据，需提供权威部门相关证明材料。</w:t>
      </w:r>
      <w:r/>
    </w:p>
    <w:p>
      <w:pPr>
        <w:ind w:firstLine="480"/>
        <w:spacing w:line="360" w:lineRule="auto"/>
        <w:rPr>
          <w:rFonts w:ascii="宋体" w:hAnsi="宋体" w:cs="宋体"/>
          <w:color w:val="000000"/>
          <w:sz w:val="24"/>
        </w:rPr>
      </w:pPr>
      <w:r/>
      <w:bookmarkStart w:id="20" w:name="_Toc129790979"/>
      <w:r>
        <w:rPr>
          <w:rFonts w:hint="eastAsia" w:ascii="宋体" w:hAnsi="宋体" w:cs="宋体"/>
          <w:color w:val="000000"/>
          <w:sz w:val="24"/>
        </w:rPr>
        <w:t xml:space="preserve">⑤、质量保证与质量控制</w:t>
      </w:r>
      <w:bookmarkEnd w:id="20"/>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bookmarkStart w:id="21" w:name="_Hlk163752764"/>
      <w:r>
        <w:rPr>
          <w:rFonts w:hint="eastAsia" w:ascii="宋体" w:hAnsi="宋体" w:cs="宋体"/>
          <w:color w:val="000000"/>
          <w:sz w:val="24"/>
        </w:rPr>
        <w:t xml:space="preserve">严格按照《地表水环境质量监测技术规范》（HJ/T91.2）、《环境水质监测质量保证手册（第二版）》、</w:t>
      </w:r>
      <w:bookmarkStart w:id="22" w:name="_Hlk163752607"/>
      <w:r>
        <w:rPr>
          <w:rFonts w:hint="eastAsia" w:ascii="宋体" w:hAnsi="宋体" w:cs="宋体"/>
          <w:color w:val="000000"/>
          <w:sz w:val="24"/>
        </w:rPr>
        <w:t xml:space="preserve">《国家地表水环境质量监测网监测任务作业指导书（试行）》等有关要求开展监测和质控</w:t>
      </w:r>
      <w:bookmarkEnd w:id="22"/>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监测和评价数据填报与修约执行《国家地表水环境质量监测数据修约处理规则》（总站水字〔2018〕87 号）、《地表水环境质量监测数据统计技术规定（试行）》（环办监测函〔2020〕82 号）和《省环境监测中心关于印发&lt;江苏省地表水环境质量监测数据修约处理规定（试行）&gt;的通知》（苏环监〔2019〕11 号）。</w:t>
      </w:r>
      <w:r/>
    </w:p>
    <w:p>
      <w:pPr>
        <w:ind w:firstLine="480"/>
        <w:spacing w:line="360" w:lineRule="auto"/>
        <w:rPr>
          <w:rFonts w:ascii="宋体" w:hAnsi="宋体" w:cs="宋体"/>
          <w:color w:val="000000"/>
          <w:sz w:val="24"/>
        </w:rPr>
      </w:pPr>
      <w:r/>
      <w:bookmarkStart w:id="23" w:name="_Toc164265277"/>
      <w:r>
        <w:rPr>
          <w:rFonts w:hint="eastAsia" w:ascii="宋体" w:hAnsi="宋体" w:cs="宋体"/>
          <w:color w:val="000000"/>
          <w:sz w:val="24"/>
        </w:rPr>
        <w:t xml:space="preserve">3.2、市控断面监测</w:t>
      </w:r>
      <w:bookmarkEnd w:id="23"/>
      <w:r>
        <w:rPr>
          <w:rFonts w:hint="eastAsia" w:ascii="宋体" w:hAnsi="宋体" w:cs="宋体"/>
          <w:color w:val="000000"/>
          <w:sz w:val="24"/>
        </w:rPr>
        <w:t xml:space="preserve"> </w:t>
      </w:r>
      <w:r/>
    </w:p>
    <w:p>
      <w:pPr>
        <w:ind w:firstLine="482"/>
        <w:spacing w:line="360" w:lineRule="auto"/>
        <w:rPr>
          <w:rFonts w:ascii="宋体" w:hAnsi="宋体" w:cs="宋体"/>
          <w:b/>
          <w:bCs/>
          <w:sz w:val="24"/>
        </w:rPr>
      </w:pPr>
      <w:r>
        <w:rPr>
          <w:rFonts w:hint="eastAsia" w:ascii="宋体" w:hAnsi="宋体" w:cs="宋体"/>
          <w:b/>
          <w:bCs/>
          <w:sz w:val="24"/>
        </w:rPr>
        <w:t xml:space="preserve">①、监测范围：全市19条河流共19个断面，详见附件。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②、监测项目及监测频次：</w:t>
      </w:r>
      <w:r/>
    </w:p>
    <w:p>
      <w:pPr>
        <w:ind w:firstLine="480"/>
        <w:spacing w:line="360" w:lineRule="auto"/>
        <w:rPr>
          <w:rFonts w:ascii="宋体" w:hAnsi="宋体" w:cs="宋体"/>
          <w:color w:val="000000"/>
          <w:sz w:val="24"/>
        </w:rPr>
      </w:pPr>
      <w:r>
        <w:rPr>
          <w:rFonts w:hint="eastAsia" w:ascii="宋体" w:hAnsi="宋体" w:cs="宋体"/>
          <w:color w:val="000000"/>
          <w:sz w:val="24"/>
        </w:rPr>
        <w:t xml:space="preserve">原则上为《地表水环境质量标准》（GB3838）表1中规定的24项指标。河流加测电导率、流向、流量和浊度；湖库加测水深、透明度、叶绿素a、电导率和浊度。</w:t>
      </w:r>
      <w:r/>
    </w:p>
    <w:p>
      <w:pPr>
        <w:ind w:firstLine="480"/>
        <w:spacing w:line="360" w:lineRule="auto"/>
        <w:rPr>
          <w:rFonts w:ascii="宋体" w:hAnsi="宋体" w:cs="宋体"/>
          <w:color w:val="000000"/>
          <w:sz w:val="24"/>
        </w:rPr>
      </w:pPr>
      <w:r>
        <w:rPr>
          <w:rFonts w:hint="eastAsia" w:ascii="宋体" w:hAnsi="宋体" w:cs="宋体"/>
          <w:color w:val="000000"/>
          <w:sz w:val="24"/>
        </w:rPr>
        <w:t xml:space="preserve">若断面为入海控制断面，需加测盐度、硝酸盐氮、亚硝酸盐氮和活性磷酸盐，可选测硫酸盐、氯化物、铁、锰、硅酸盐项目。</w:t>
      </w:r>
      <w:r/>
    </w:p>
    <w:p>
      <w:pPr>
        <w:ind w:firstLine="480"/>
        <w:spacing w:line="360" w:lineRule="auto"/>
        <w:rPr>
          <w:rFonts w:ascii="宋体" w:hAnsi="宋体" w:cs="宋体"/>
          <w:color w:val="000000"/>
          <w:sz w:val="24"/>
        </w:rPr>
      </w:pPr>
      <w:r>
        <w:rPr>
          <w:rFonts w:hint="eastAsia" w:ascii="宋体" w:hAnsi="宋体" w:cs="宋体"/>
          <w:color w:val="000000"/>
          <w:sz w:val="24"/>
        </w:rPr>
        <w:t xml:space="preserve">每月监测1次，共3次，在确保数据报送时间的前提下，自行确定采样时间。</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③、数据报送：每月12日前提交当月监测数据报表及三级审核表至连云港市环境监测监控中心。</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④、质量保证与质量控制：</w:t>
      </w:r>
      <w:r/>
    </w:p>
    <w:p>
      <w:pPr>
        <w:ind w:firstLine="480"/>
        <w:spacing w:line="360" w:lineRule="auto"/>
        <w:rPr>
          <w:rFonts w:ascii="宋体" w:hAnsi="宋体" w:cs="宋体"/>
          <w:color w:val="000000"/>
          <w:sz w:val="24"/>
        </w:rPr>
      </w:pPr>
      <w:r>
        <w:rPr>
          <w:rFonts w:hint="eastAsia" w:ascii="宋体" w:hAnsi="宋体" w:cs="宋体"/>
          <w:color w:val="000000"/>
          <w:sz w:val="24"/>
        </w:rPr>
        <w:t xml:space="preserve">所有断面（点位）监测分析结果须经过数据生产单位内部三级审核，并对数据质量负责。监测分析须严格按照《地表水环境质量监测技术规范》（HJ/T91.2-2022）、《环境水质监测质量保证手册（第二版）》《国家地表水环境质量监测网监测任务作业指导书（试行）》等有关要求开展监测和质控。</w:t>
      </w:r>
      <w:r/>
    </w:p>
    <w:p>
      <w:pPr>
        <w:ind w:firstLine="480"/>
        <w:spacing w:line="360" w:lineRule="auto"/>
        <w:rPr>
          <w:rFonts w:ascii="宋体" w:hAnsi="宋体" w:cs="宋体"/>
          <w:color w:val="000000"/>
          <w:sz w:val="24"/>
        </w:rPr>
      </w:pPr>
      <w:r>
        <w:rPr>
          <w:rFonts w:hint="eastAsia" w:ascii="宋体" w:hAnsi="宋体" w:cs="宋体"/>
          <w:color w:val="000000"/>
          <w:sz w:val="24"/>
        </w:rPr>
        <w:t xml:space="preserve">监测和评价数据填报和修约可参照执行《国家地表水环境质量监测数据修约处理规则》（总站水字〔2018〕87号）、《地表水环境质量监测数据统计技术规定（试行）》（环办监测函〔2020〕82号）和《省环境监测中心关于印发&lt;江苏省地表水环境质量监测数据修约处理规定（试行）&gt;的通知》（苏环监〔2019〕11号）。</w:t>
      </w:r>
      <w:r/>
    </w:p>
    <w:p>
      <w:pPr>
        <w:ind w:firstLine="480"/>
        <w:spacing w:line="360" w:lineRule="auto"/>
        <w:rPr>
          <w:rFonts w:ascii="宋体" w:hAnsi="宋体" w:cs="宋体"/>
          <w:color w:val="000000"/>
          <w:sz w:val="24"/>
        </w:rPr>
      </w:pPr>
      <w:r/>
      <w:bookmarkStart w:id="24" w:name="_Toc164265280"/>
      <w:r>
        <w:rPr>
          <w:rFonts w:hint="eastAsia" w:ascii="宋体" w:hAnsi="宋体" w:cs="宋体"/>
          <w:color w:val="000000"/>
          <w:sz w:val="24"/>
        </w:rPr>
        <w:t xml:space="preserve">3.3、龙尾河水质监测</w:t>
      </w:r>
      <w:bookmarkEnd w:id="24"/>
      <w:r/>
      <w:r/>
    </w:p>
    <w:p>
      <w:pPr>
        <w:ind w:firstLine="480"/>
        <w:spacing w:line="360" w:lineRule="auto"/>
        <w:rPr>
          <w:rFonts w:ascii="宋体" w:hAnsi="宋体" w:cs="宋体"/>
          <w:color w:val="000000"/>
          <w:sz w:val="24"/>
        </w:rPr>
      </w:pPr>
      <w:r>
        <w:rPr>
          <w:rFonts w:hint="eastAsia" w:ascii="宋体" w:hAnsi="宋体" w:cs="宋体"/>
          <w:sz w:val="24"/>
        </w:rPr>
        <w:t xml:space="preserve">①</w:t>
      </w:r>
      <w:r>
        <w:rPr>
          <w:rFonts w:hint="eastAsia" w:ascii="宋体" w:hAnsi="宋体" w:cs="宋体"/>
          <w:color w:val="000000"/>
          <w:sz w:val="24"/>
        </w:rPr>
        <w:t xml:space="preserve">、监测项目及监测频次：氨氮、透明度、溶解氧、氧化还原电位，原则上每月</w:t>
      </w:r>
      <w:bookmarkStart w:id="25" w:name="_Hlk163753954"/>
      <w:r>
        <w:rPr>
          <w:rFonts w:hint="eastAsia" w:ascii="宋体" w:hAnsi="宋体" w:cs="宋体"/>
          <w:color w:val="000000"/>
          <w:sz w:val="24"/>
        </w:rPr>
        <w:t xml:space="preserve">监</w:t>
      </w:r>
      <w:bookmarkEnd w:id="25"/>
      <w:r>
        <w:rPr>
          <w:rFonts w:hint="eastAsia" w:ascii="宋体" w:hAnsi="宋体" w:cs="宋体"/>
          <w:color w:val="000000"/>
          <w:sz w:val="24"/>
        </w:rPr>
        <w:t xml:space="preserve">测1次，至少3次，遇中雨及以上时，雨后24小时内加测一次。</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②、监测范围：朝阳路桥、和平桥两个断面。</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③、数据报送：每月监测完成后3个工作日内提交监测数据至连云港市环境监测监控中心。</w:t>
      </w:r>
      <w:bookmarkEnd w:id="16"/>
      <w:bookmarkEnd w:id="21"/>
      <w:r/>
    </w:p>
    <w:p>
      <w:pPr>
        <w:ind w:firstLine="480"/>
        <w:spacing w:line="360" w:lineRule="auto"/>
        <w:rPr>
          <w:rFonts w:ascii="宋体" w:hAnsi="宋体" w:cs="宋体"/>
          <w:color w:val="000000"/>
          <w:sz w:val="24"/>
        </w:rPr>
      </w:pPr>
      <w:r>
        <w:rPr>
          <w:rFonts w:hint="eastAsia" w:ascii="宋体" w:hAnsi="宋体" w:cs="宋体"/>
          <w:color w:val="000000"/>
          <w:sz w:val="24"/>
        </w:rPr>
        <w:t xml:space="preserve">3.4、排淡河、烧香河加密监测</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①、监测项目及监测频次：高锰酸盐指数、氨氮、总磷、化学需氧量、总氮；每旬监测1次，共9次。</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②、监测范围：排淡河、烧香河各16个断面，具体点位见附件，断面若有调整，按照最新要求执行。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③、数据报送：每月6日、16日、26日前提交本旬监测数据至连云港市环境监测监控中心。</w:t>
      </w:r>
      <w:r/>
    </w:p>
    <w:p>
      <w:pPr>
        <w:ind w:firstLine="480"/>
        <w:spacing w:line="360" w:lineRule="auto"/>
        <w:rPr>
          <w:rFonts w:ascii="宋体" w:hAnsi="宋体" w:cs="宋体"/>
          <w:color w:val="000000"/>
          <w:sz w:val="24"/>
        </w:rPr>
      </w:pPr>
      <w:r/>
      <w:bookmarkStart w:id="26" w:name="_Toc18547"/>
      <w:r/>
      <w:bookmarkStart w:id="27" w:name="_Toc164265300"/>
      <w:r>
        <w:rPr>
          <w:rFonts w:hint="eastAsia" w:ascii="宋体" w:hAnsi="宋体" w:cs="宋体"/>
          <w:color w:val="000000"/>
          <w:sz w:val="24"/>
        </w:rPr>
        <w:t xml:space="preserve">3.5、直排海污染源</w:t>
      </w:r>
      <w:bookmarkEnd w:id="26"/>
      <w:r>
        <w:rPr>
          <w:rFonts w:hint="eastAsia" w:ascii="宋体" w:hAnsi="宋体" w:cs="宋体"/>
          <w:color w:val="000000"/>
          <w:sz w:val="24"/>
        </w:rPr>
        <w:t xml:space="preserve">监测</w:t>
      </w:r>
      <w:bookmarkEnd w:id="27"/>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①、监测范围：通过大陆岸线和岛屿岸线直接向海域排放污染物的日排放污水量大于或等于100立方米的直排海污染源，详见附件。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②、监测项目：排污口的地理位置（经纬度信息）、瞬时污水流量（监测时段要求能代表该排污口日平均污水流量）、按照排口执行标准的全部项目和（HJ/T 92）相关规定执行；标准中无总氮和总磷要求的，增加总氮和总磷。现场拍摄不少于三幅排污口数码照片（不同角度，大于300万像素水印照片）。</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③、监测频次和时间：直排海污染源每月监测1次，共3次。</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数据上报：按照《关于启用中国环境监测总站环境数据监测平台近岸海域数据填报与传输分系统的通知》（总站海字〔2015〕99号）和《关于印发&lt;陆域直排海污染源监测技术要求（试行）&gt;和&lt;全国近岸海域环境监测网质量保证和质量控制工作规定（试行）&gt;的通知》（总站海字〔2007〕152号）文件要求报送监测数据。于每月12日前报送连云港市环境监测监控中心。</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⑤、质量保证与质量控制：按照《污水监测技术规范》（HJ/T 91.1）、《近岸海域环境监测规范》（HJ 442）、《环境水质监测质量保证手册》（第二版）及《全国近岸海域环境监测网质量保证和质量控制工作规定（试行）》（总站海字〔2007〕152号）要求执行。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3.6、重点入海排污口监测</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①、监测范围及项目：</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监测范围：全市13个重点入海排污口，详见附件；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监测项目：pH 、盐度、溶解氧、化学需氧量、高锰酸盐指数、氨氮、总磷、总氮。</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②、监测频次和时间：月度监测1次，共3次。</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③、数据上报：每月12日前提交当月监测数据报表至连云港市环境监测监控中心。</w:t>
      </w:r>
      <w:r/>
    </w:p>
    <w:p>
      <w:pPr>
        <w:ind w:firstLine="480"/>
        <w:spacing w:line="360" w:lineRule="auto"/>
        <w:rPr>
          <w:rFonts w:ascii="宋体" w:hAnsi="宋体" w:cs="宋体"/>
          <w:color w:val="000000"/>
          <w:sz w:val="24"/>
        </w:rPr>
      </w:pPr>
      <w:r/>
      <w:bookmarkStart w:id="28" w:name="_Toc164265306"/>
      <w:r>
        <w:rPr>
          <w:rFonts w:hint="eastAsia" w:ascii="宋体" w:hAnsi="宋体" w:cs="宋体"/>
          <w:color w:val="000000"/>
          <w:sz w:val="24"/>
        </w:rPr>
        <w:t xml:space="preserve">3.7、重点入海河口监测</w:t>
      </w:r>
      <w:bookmarkEnd w:id="28"/>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①、监测范围：选择在兴庄河口、青口河口、临洪河口、排淡河口、埒子河口5处重点入海河口实施重点入海河口监测（25个点位），详见附件。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②、监测项目：</w:t>
      </w:r>
      <w:r/>
    </w:p>
    <w:p>
      <w:pPr>
        <w:ind w:firstLine="480"/>
        <w:spacing w:line="360" w:lineRule="auto"/>
        <w:rPr>
          <w:rFonts w:ascii="宋体" w:hAnsi="宋体" w:cs="宋体"/>
          <w:color w:val="000000"/>
          <w:sz w:val="24"/>
        </w:rPr>
      </w:pPr>
      <w:r>
        <w:rPr>
          <w:rFonts w:hint="eastAsia" w:ascii="宋体" w:hAnsi="宋体" w:cs="宋体"/>
          <w:color w:val="000000"/>
          <w:sz w:val="24"/>
        </w:rPr>
        <w:t xml:space="preserve">基础指标：水温、水深（选测）、盐度；</w:t>
      </w:r>
      <w:r/>
    </w:p>
    <w:p>
      <w:pPr>
        <w:ind w:firstLine="480"/>
        <w:spacing w:line="360" w:lineRule="auto"/>
        <w:rPr>
          <w:rFonts w:ascii="宋体" w:hAnsi="宋体" w:cs="宋体"/>
          <w:color w:val="000000"/>
          <w:sz w:val="24"/>
        </w:rPr>
      </w:pPr>
      <w:r>
        <w:rPr>
          <w:rFonts w:hint="eastAsia" w:ascii="宋体" w:hAnsi="宋体" w:cs="宋体"/>
          <w:color w:val="000000"/>
          <w:sz w:val="24"/>
        </w:rPr>
        <w:t xml:space="preserve">化学指标：pH、溶解氧、化学需氧量、氨氮、亚硝酸盐氮、硝酸盐氮、活性磷酸盐、石油类、总磷、总氮。</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③、监测频次：月度监测一次，共3次。</w:t>
      </w:r>
      <w:bookmarkStart w:id="29" w:name="_Hlk162552027"/>
      <w:r/>
      <w:bookmarkEnd w:id="29"/>
      <w:r/>
    </w:p>
    <w:p>
      <w:pPr>
        <w:ind w:firstLine="480"/>
        <w:spacing w:line="360" w:lineRule="auto"/>
        <w:rPr>
          <w:rFonts w:ascii="宋体" w:hAnsi="宋体" w:cs="宋体"/>
          <w:color w:val="000000"/>
          <w:sz w:val="24"/>
        </w:rPr>
      </w:pPr>
      <w:r>
        <w:rPr>
          <w:rFonts w:hint="eastAsia" w:ascii="宋体" w:hAnsi="宋体" w:cs="宋体"/>
          <w:color w:val="000000"/>
          <w:sz w:val="24"/>
        </w:rPr>
        <w:t xml:space="preserve">④、数据上报：每月12日前提交当月监测数据报表至连云港市环境监测监控中心。</w:t>
      </w:r>
      <w:r/>
    </w:p>
    <w:p>
      <w:pPr>
        <w:ind w:firstLine="480"/>
        <w:spacing w:line="360" w:lineRule="auto"/>
        <w:rPr>
          <w:rFonts w:ascii="宋体" w:hAnsi="宋体" w:cs="宋体"/>
          <w:color w:val="000000"/>
          <w:sz w:val="24"/>
        </w:rPr>
      </w:pPr>
      <w:r/>
      <w:bookmarkStart w:id="30" w:name="_Toc164265307"/>
      <w:r/>
      <w:bookmarkStart w:id="31" w:name="_Hlk129715228"/>
      <w:r>
        <w:rPr>
          <w:rFonts w:hint="eastAsia" w:ascii="宋体" w:hAnsi="宋体" w:cs="宋体"/>
          <w:color w:val="000000"/>
          <w:sz w:val="24"/>
        </w:rPr>
        <w:t xml:space="preserve">3.8、港口、渔港码头区域水质监测</w:t>
      </w:r>
      <w:bookmarkEnd w:id="30"/>
      <w:r/>
      <w:bookmarkEnd w:id="31"/>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①、监测范围：选择在连岛、高公岛等2处渔港码头，主港区、赣榆港区、徐圩港区等3处港口实施监测，每个港池均匀布设4个监测点位。监测点位详见附件。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②、监测指标：pH、溶解氧、化学需氧量、氨氮、亚硝酸盐氮、硝酸盐氮、活性磷酸盐、石油类、总磷、总氮。</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③、监测频次：4～12月开展，月度监测1次，共3次。</w:t>
      </w:r>
      <w:bookmarkStart w:id="32" w:name="_Hlk162552079"/>
      <w:r/>
      <w:bookmarkEnd w:id="32"/>
      <w:r/>
    </w:p>
    <w:p>
      <w:pPr>
        <w:ind w:firstLine="480"/>
        <w:spacing w:line="360" w:lineRule="auto"/>
        <w:rPr>
          <w:rFonts w:ascii="宋体" w:hAnsi="宋体" w:cs="宋体"/>
          <w:color w:val="000000"/>
          <w:sz w:val="24"/>
        </w:rPr>
      </w:pPr>
      <w:r>
        <w:rPr>
          <w:rFonts w:hint="eastAsia" w:ascii="宋体" w:hAnsi="宋体" w:cs="宋体"/>
          <w:color w:val="000000"/>
          <w:sz w:val="24"/>
        </w:rPr>
        <w:t xml:space="preserve">④、数据上报：于监测月12日前提交当次监测数据报表至连云港市环境监测监控中心。</w:t>
      </w:r>
      <w:r/>
    </w:p>
    <w:p>
      <w:pPr>
        <w:ind w:firstLine="480"/>
        <w:spacing w:line="360" w:lineRule="auto"/>
        <w:rPr>
          <w:rFonts w:ascii="宋体" w:hAnsi="宋体" w:cs="宋体"/>
          <w:color w:val="000000"/>
          <w:sz w:val="24"/>
        </w:rPr>
      </w:pPr>
      <w:r/>
      <w:bookmarkStart w:id="33" w:name="_Toc164265308"/>
      <w:r/>
      <w:bookmarkStart w:id="34" w:name="_Hlk129715235"/>
      <w:r>
        <w:rPr>
          <w:rFonts w:hint="eastAsia" w:ascii="宋体" w:hAnsi="宋体" w:cs="宋体"/>
          <w:color w:val="000000"/>
          <w:sz w:val="24"/>
        </w:rPr>
        <w:t xml:space="preserve">3.9、入海闸坝、排涝泵站水质监测</w:t>
      </w:r>
      <w:bookmarkEnd w:id="33"/>
      <w:r/>
      <w:bookmarkEnd w:id="34"/>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①、监测范围：全市范围内入海闸坝、排涝泵站共24个，点位详见附件。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②、监测项目：</w:t>
      </w:r>
      <w:r/>
    </w:p>
    <w:p>
      <w:pPr>
        <w:ind w:firstLine="480"/>
        <w:spacing w:line="360" w:lineRule="auto"/>
        <w:rPr>
          <w:rFonts w:ascii="宋体" w:hAnsi="宋体" w:cs="宋体"/>
          <w:color w:val="000000"/>
          <w:sz w:val="24"/>
        </w:rPr>
      </w:pPr>
      <w:r>
        <w:rPr>
          <w:rFonts w:hint="eastAsia" w:ascii="宋体" w:hAnsi="宋体" w:cs="宋体"/>
          <w:color w:val="000000"/>
          <w:sz w:val="24"/>
        </w:rPr>
        <w:t xml:space="preserve">基础指标：pH、盐度；</w:t>
      </w:r>
      <w:r/>
    </w:p>
    <w:p>
      <w:pPr>
        <w:ind w:firstLine="480"/>
        <w:spacing w:line="360" w:lineRule="auto"/>
        <w:rPr>
          <w:rFonts w:ascii="宋体" w:hAnsi="宋体" w:cs="宋体"/>
          <w:color w:val="000000"/>
          <w:sz w:val="24"/>
        </w:rPr>
      </w:pPr>
      <w:r>
        <w:rPr>
          <w:rFonts w:hint="eastAsia" w:ascii="宋体" w:hAnsi="宋体" w:cs="宋体"/>
          <w:color w:val="000000"/>
          <w:sz w:val="24"/>
        </w:rPr>
        <w:t xml:space="preserve">淡水（盐度在2‰以下，含2‰）：高锰酸盐指数、氨氮、总磷、总氮；</w:t>
      </w:r>
      <w:r/>
    </w:p>
    <w:p>
      <w:pPr>
        <w:ind w:firstLine="480"/>
        <w:spacing w:line="360" w:lineRule="auto"/>
        <w:rPr>
          <w:rFonts w:ascii="宋体" w:hAnsi="宋体" w:cs="宋体"/>
          <w:color w:val="000000"/>
          <w:sz w:val="24"/>
        </w:rPr>
      </w:pPr>
      <w:r>
        <w:rPr>
          <w:rFonts w:hint="eastAsia" w:ascii="宋体" w:hAnsi="宋体" w:cs="宋体"/>
          <w:color w:val="000000"/>
          <w:sz w:val="24"/>
        </w:rPr>
        <w:t xml:space="preserve">海水（盐度在2‰以上）：化学需氧量、氨氮、硝酸盐氮、亚硝酸盐氮、活性磷酸盐、总磷、总氮。</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③、监测频次：3～10月开展，月度监测1次，共3次。</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④、数据上报：监测月当月18日前报送监测数据至连云港市环境监测监控中心。</w:t>
      </w:r>
      <w:r/>
    </w:p>
    <w:p>
      <w:pPr>
        <w:ind w:firstLine="480"/>
        <w:spacing w:line="360" w:lineRule="auto"/>
        <w:rPr>
          <w:rFonts w:ascii="宋体" w:hAnsi="宋体" w:cs="宋体"/>
          <w:color w:val="000000"/>
          <w:sz w:val="24"/>
        </w:rPr>
      </w:pPr>
      <w:r/>
      <w:bookmarkStart w:id="35" w:name="_Toc164265267"/>
      <w:r>
        <w:rPr>
          <w:rFonts w:hint="eastAsia" w:ascii="宋体" w:hAnsi="宋体" w:cs="宋体"/>
          <w:color w:val="000000"/>
          <w:sz w:val="24"/>
        </w:rPr>
        <w:t xml:space="preserve">4.0、全市网格化降尘监测</w:t>
      </w:r>
      <w:bookmarkEnd w:id="35"/>
      <w:r/>
      <w:r/>
    </w:p>
    <w:p>
      <w:pPr>
        <w:ind w:firstLine="482"/>
        <w:spacing w:line="360" w:lineRule="auto"/>
        <w:rPr>
          <w:rFonts w:ascii="宋体" w:hAnsi="宋体" w:cs="宋体"/>
          <w:b/>
          <w:bCs/>
          <w:color w:val="000000"/>
          <w:sz w:val="24"/>
        </w:rPr>
      </w:pPr>
      <w:r/>
      <w:bookmarkStart w:id="36" w:name="_Toc129790936"/>
      <w:r>
        <w:rPr>
          <w:rFonts w:hint="eastAsia" w:ascii="宋体" w:hAnsi="宋体" w:cs="宋体"/>
          <w:b/>
          <w:bCs/>
          <w:color w:val="000000"/>
          <w:sz w:val="24"/>
        </w:rPr>
        <w:t xml:space="preserve">①、监测范围</w:t>
      </w:r>
      <w:bookmarkEnd w:id="36"/>
      <w:r/>
      <w:bookmarkStart w:id="37" w:name="_Toc129790937"/>
      <w:r>
        <w:rPr>
          <w:rFonts w:hint="eastAsia" w:ascii="宋体" w:hAnsi="宋体" w:cs="宋体"/>
          <w:b/>
          <w:bCs/>
          <w:color w:val="000000"/>
          <w:sz w:val="24"/>
        </w:rPr>
        <w:t xml:space="preserve">：市区及各功能板块乡镇街道39个点位，详见附件。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②、监测频次</w:t>
      </w:r>
      <w:bookmarkEnd w:id="37"/>
      <w:r>
        <w:rPr>
          <w:rFonts w:hint="eastAsia" w:ascii="宋体" w:hAnsi="宋体" w:cs="宋体"/>
          <w:color w:val="000000"/>
          <w:sz w:val="24"/>
        </w:rPr>
        <w:t xml:space="preserve">：每月监测1次，周期（28～31 d），共3次。</w:t>
      </w:r>
      <w:r/>
    </w:p>
    <w:p>
      <w:pPr>
        <w:ind w:firstLine="480"/>
        <w:spacing w:line="360" w:lineRule="auto"/>
        <w:rPr>
          <w:rFonts w:ascii="宋体" w:hAnsi="宋体" w:cs="宋体"/>
          <w:color w:val="000000"/>
          <w:sz w:val="24"/>
        </w:rPr>
      </w:pPr>
      <w:r/>
      <w:bookmarkStart w:id="38" w:name="_Toc129790938"/>
      <w:r>
        <w:rPr>
          <w:rFonts w:hint="eastAsia" w:ascii="宋体" w:hAnsi="宋体" w:cs="宋体"/>
          <w:color w:val="000000"/>
          <w:sz w:val="24"/>
        </w:rPr>
        <w:t xml:space="preserve">③、质量保证</w:t>
      </w:r>
      <w:bookmarkEnd w:id="38"/>
      <w:r>
        <w:rPr>
          <w:rFonts w:hint="eastAsia" w:ascii="宋体" w:hAnsi="宋体" w:cs="宋体"/>
          <w:color w:val="000000"/>
          <w:sz w:val="24"/>
        </w:rPr>
        <w:t xml:space="preserve">：依据《“2+26”城市县（市、区）环境空气降尘监测方案》（环办监测〔2017〕46号）和《汾渭平原、长三角地区城市环境空气降尘监测方案》（环办监测函〔2018〕1519号）、《省环境监测中心关于加强降尘监测点位运行管理及质量控制工作的通知》（苏环监〔2021〕66号）、《环境空气降尘的测定重量法》（HJ1221）开展质控工作。</w:t>
      </w:r>
      <w:r/>
    </w:p>
    <w:p>
      <w:pPr>
        <w:ind w:firstLine="480"/>
        <w:spacing w:line="360" w:lineRule="auto"/>
        <w:rPr>
          <w:rFonts w:ascii="宋体" w:hAnsi="宋体" w:cs="宋体"/>
          <w:color w:val="000000"/>
          <w:sz w:val="24"/>
        </w:rPr>
      </w:pPr>
      <w:r/>
      <w:bookmarkStart w:id="39" w:name="_Toc129790939"/>
      <w:r>
        <w:rPr>
          <w:rFonts w:hint="eastAsia" w:ascii="宋体" w:hAnsi="宋体" w:cs="宋体"/>
          <w:color w:val="000000"/>
          <w:sz w:val="24"/>
        </w:rPr>
        <w:t xml:space="preserve">④、数据传输及格式要求</w:t>
      </w:r>
      <w:bookmarkEnd w:id="39"/>
      <w:r>
        <w:rPr>
          <w:rFonts w:hint="eastAsia" w:ascii="宋体" w:hAnsi="宋体" w:cs="宋体"/>
          <w:color w:val="000000"/>
          <w:sz w:val="24"/>
        </w:rPr>
        <w:t xml:space="preserve">：每月5日前报送上月监测数据至连云港市环境监测监控中心。</w:t>
      </w:r>
      <w:r/>
    </w:p>
    <w:p>
      <w:pPr>
        <w:ind w:firstLine="480"/>
        <w:spacing w:line="360" w:lineRule="auto"/>
        <w:rPr>
          <w:rFonts w:ascii="宋体" w:hAnsi="宋体" w:cs="宋体"/>
          <w:color w:val="000000"/>
          <w:sz w:val="24"/>
        </w:rPr>
      </w:pPr>
      <w:r/>
      <w:bookmarkStart w:id="40" w:name="_Toc164265292"/>
      <w:r>
        <w:rPr>
          <w:rFonts w:hint="eastAsia" w:ascii="宋体" w:hAnsi="宋体" w:cs="宋体"/>
          <w:color w:val="000000"/>
          <w:sz w:val="24"/>
        </w:rPr>
        <w:t xml:space="preserve">4.1、农村黑臭水体水质监测</w:t>
      </w:r>
      <w:bookmarkEnd w:id="40"/>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①、 监测范围：国家监管清单中已完成整治的农村黑臭水体（市区及功能板块辖区内），监测点位详见附件。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原则上每个农村黑臭水体至少布设1个监测点位；对于河流和沟渠型的黑臭水体应在河道下游设置1个监测点位，水体较长时可适当在上游和中游增加监测点位；对于坑塘型黑臭水体应在水体中心点布设1个监测点位，水体面积较大时可适当增加监测点位。</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②、监测项目：必测指标：透明度、溶解氧和氨氮。</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③、监测频次：监测1次，选择水体水量正常的时期采样，应避免雨季和汛期采样。</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④、数据报送</w:t>
      </w:r>
      <w:bookmarkStart w:id="41" w:name="_Hlk163812163"/>
      <w:r>
        <w:rPr>
          <w:rFonts w:hint="eastAsia" w:ascii="宋体" w:hAnsi="宋体" w:cs="宋体"/>
          <w:color w:val="000000"/>
          <w:sz w:val="24"/>
        </w:rPr>
        <w:t xml:space="preserve">：监测季度最后一个月的15日前</w:t>
      </w:r>
      <w:bookmarkEnd w:id="41"/>
      <w:r>
        <w:rPr>
          <w:rFonts w:hint="eastAsia" w:ascii="宋体" w:hAnsi="宋体" w:cs="宋体"/>
          <w:color w:val="000000"/>
          <w:sz w:val="24"/>
        </w:rPr>
        <w:t xml:space="preserve">，提交监测数据至连云港市环境监测监控中心。</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⑤、质量保证与质量控制：《地表水环境质量监测技术规范》（HJ 91.2）、《污水监测技术规范》（HJ/T 91.1）、《环境水质监测质量保证手册》（第二版）有关要求执行。</w:t>
      </w:r>
      <w:r/>
    </w:p>
    <w:p>
      <w:pPr>
        <w:ind w:firstLine="480"/>
        <w:spacing w:line="360" w:lineRule="auto"/>
        <w:rPr>
          <w:rFonts w:ascii="宋体" w:hAnsi="宋体" w:cs="宋体"/>
          <w:color w:val="000000"/>
          <w:sz w:val="24"/>
        </w:rPr>
      </w:pPr>
      <w:r/>
      <w:bookmarkStart w:id="42" w:name="_Toc164265288"/>
      <w:r>
        <w:rPr>
          <w:rFonts w:hint="eastAsia" w:ascii="宋体" w:hAnsi="宋体" w:cs="宋体"/>
          <w:color w:val="000000"/>
          <w:sz w:val="24"/>
        </w:rPr>
        <w:t xml:space="preserve">4.2、农村农业环境质量监测</w:t>
      </w:r>
      <w:bookmarkEnd w:id="42"/>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①、监测范围：2个县域河流湖库点位，监测点位详见附件。</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1个农业面源污染控制断面，监测点位详见附件。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②、监测项目：</w:t>
      </w:r>
      <w:r/>
    </w:p>
    <w:p>
      <w:pPr>
        <w:ind w:firstLine="480"/>
        <w:spacing w:line="360" w:lineRule="auto"/>
        <w:rPr>
          <w:rFonts w:ascii="宋体" w:hAnsi="宋体" w:cs="宋体"/>
          <w:color w:val="000000"/>
          <w:sz w:val="24"/>
        </w:rPr>
      </w:pPr>
      <w:r>
        <w:rPr>
          <w:rFonts w:hint="eastAsia" w:ascii="宋体" w:hAnsi="宋体" w:cs="宋体"/>
          <w:color w:val="000000"/>
          <w:sz w:val="24"/>
        </w:rPr>
        <w:t xml:space="preserve">县域河流湖库点位：《地表水环境质量标准》（GB 3838）表1中基本项目（共24项），加测“流量”和“粪大肠菌群”。</w:t>
      </w:r>
      <w:r/>
    </w:p>
    <w:p>
      <w:pPr>
        <w:ind w:firstLine="480"/>
        <w:spacing w:line="360" w:lineRule="auto"/>
        <w:rPr>
          <w:rFonts w:ascii="宋体" w:hAnsi="宋体" w:cs="宋体"/>
          <w:color w:val="000000"/>
          <w:sz w:val="24"/>
        </w:rPr>
      </w:pPr>
      <w:r>
        <w:rPr>
          <w:rFonts w:hint="eastAsia" w:ascii="宋体" w:hAnsi="宋体" w:cs="宋体"/>
          <w:color w:val="000000"/>
          <w:sz w:val="24"/>
        </w:rPr>
        <w:t xml:space="preserve">农业面源污染控制断面：流量、总氮、总磷、氨氮、硝酸盐（以氮计）、高锰酸盐指数、化学需氧量。</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③、监测频次：季度监测 1 次； </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④、监测方法：执行《地表水环境质量监测技术规范》（HJ 91.2）。</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⑤、数据报送：监测季度最后一个月的15日前报送相关监测数据至连云港市环境监测监控中心。</w:t>
      </w:r>
      <w:r/>
    </w:p>
    <w:p>
      <w:pPr>
        <w:ind w:firstLine="480"/>
        <w:spacing w:line="360" w:lineRule="auto"/>
        <w:rPr>
          <w:rFonts w:ascii="宋体" w:hAnsi="宋体" w:cs="宋体"/>
          <w:b/>
          <w:bCs/>
          <w:iCs/>
          <w:sz w:val="24"/>
          <w:szCs w:val="24"/>
        </w:rPr>
      </w:pPr>
      <w:r>
        <w:rPr>
          <w:rFonts w:hint="eastAsia" w:ascii="宋体" w:hAnsi="宋体" w:cs="宋体"/>
          <w:color w:val="000000"/>
          <w:sz w:val="24"/>
        </w:rPr>
        <w:fldChar w:fldCharType="begin"/>
      </w:r>
      <w:r>
        <w:rPr>
          <w:rFonts w:hint="eastAsia" w:ascii="宋体" w:hAnsi="宋体" w:cs="宋体"/>
          <w:color w:val="000000"/>
          <w:sz w:val="24"/>
        </w:rPr>
        <w:instrText xml:space="preserve"> = 6 \* GB3 </w:instrText>
      </w:r>
      <w:r>
        <w:rPr>
          <w:rFonts w:hint="eastAsia" w:ascii="宋体" w:hAnsi="宋体" w:cs="宋体"/>
          <w:color w:val="000000"/>
          <w:sz w:val="24"/>
        </w:rPr>
        <w:fldChar w:fldCharType="separate"/>
      </w:r>
      <w:r>
        <w:rPr>
          <w:rFonts w:hint="eastAsia" w:ascii="宋体" w:hAnsi="宋体" w:cs="宋体"/>
          <w:color w:val="000000"/>
          <w:sz w:val="24"/>
        </w:rPr>
        <w:t xml:space="preserve">⑥</w:t>
      </w:r>
      <w:r>
        <w:rPr>
          <w:rFonts w:hint="eastAsia" w:ascii="宋体" w:hAnsi="宋体" w:cs="宋体"/>
          <w:color w:val="000000"/>
          <w:sz w:val="24"/>
        </w:rPr>
        <w:fldChar w:fldCharType="end"/>
      </w:r>
      <w:r>
        <w:rPr>
          <w:rFonts w:hint="eastAsia" w:ascii="宋体" w:hAnsi="宋体" w:cs="宋体"/>
          <w:color w:val="000000"/>
          <w:sz w:val="24"/>
        </w:rPr>
        <w:t xml:space="preserve">、质量保证与质量控制：内部质控执行《关于印发&lt;全国农村环境质量试点监测工作方案&gt;和&lt;全国农村环境质量试点监测技术方案&gt;的通知》（环发〔2014〕125号）文件有关要求。</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三标段：危险废物发证经营单位监督监测、伴生放射性矿开发利用企业监督监测、生活垃圾焚烧单位监督监测、临时委托监测等监测服务</w:t>
      </w:r>
      <w:r/>
    </w:p>
    <w:p>
      <w:pPr>
        <w:ind w:firstLine="480"/>
        <w:spacing w:line="360" w:lineRule="auto"/>
        <w:rPr>
          <w:rFonts w:ascii="宋体" w:hAnsi="宋体" w:cs="宋体"/>
          <w:color w:val="000000"/>
          <w:sz w:val="24"/>
        </w:rPr>
      </w:pPr>
      <w:r/>
      <w:bookmarkStart w:id="43" w:name="_Toc164265318"/>
      <w:r/>
      <w:bookmarkStart w:id="44" w:name="_Toc129790993"/>
      <w:r>
        <w:rPr>
          <w:rFonts w:hint="eastAsia" w:ascii="宋体" w:hAnsi="宋体" w:cs="宋体"/>
          <w:color w:val="000000"/>
          <w:sz w:val="24"/>
        </w:rPr>
        <w:t xml:space="preserve">1、危险废物发证经营单位监督监测</w:t>
      </w:r>
      <w:bookmarkEnd w:id="43"/>
      <w:r/>
      <w:bookmarkEnd w:id="44"/>
      <w:r/>
      <w:r/>
    </w:p>
    <w:p>
      <w:pPr>
        <w:ind w:firstLine="480"/>
        <w:spacing w:line="360" w:lineRule="auto"/>
        <w:rPr>
          <w:rFonts w:ascii="宋体" w:hAnsi="宋体" w:cs="宋体"/>
          <w:color w:val="000000"/>
          <w:sz w:val="24"/>
        </w:rPr>
      </w:pPr>
      <w:r>
        <w:rPr>
          <w:rFonts w:hint="eastAsia" w:ascii="宋体" w:hAnsi="宋体" w:cs="宋体"/>
          <w:color w:val="000000"/>
          <w:sz w:val="24"/>
        </w:rPr>
        <w:t xml:space="preserve">①、监测范围：</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10家危险废物发证经营单位监督监测</w:t>
      </w:r>
      <w:r/>
    </w:p>
    <w:p>
      <w:pPr>
        <w:ind w:firstLine="480"/>
        <w:jc w:val="center"/>
        <w:spacing w:line="360" w:lineRule="auto"/>
        <w:rPr>
          <w:rFonts w:ascii="宋体" w:hAnsi="宋体" w:cs="宋体"/>
          <w:color w:val="000000"/>
          <w:sz w:val="24"/>
        </w:rPr>
      </w:pPr>
      <w:r>
        <w:rPr>
          <w:rFonts w:hint="eastAsia" w:ascii="宋体" w:hAnsi="宋体" w:cs="宋体"/>
          <w:color w:val="000000"/>
          <w:sz w:val="24"/>
        </w:rPr>
        <w:t xml:space="preserve">表1危险废物发证经营单位监督监测名单</w:t>
      </w:r>
      <w:r/>
    </w:p>
    <w:tbl>
      <w:tblPr>
        <w:tblStyle w:val="647"/>
        <w:tblpPr w:horzAnchor="margin" w:tblpXSpec="left" w:vertAnchor="text" w:tblpY="109" w:leftFromText="180" w:topFromText="0" w:rightFromText="180" w:bottomFromText="0"/>
        <w:tblW w:w="90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105"/>
        <w:gridCol w:w="4036"/>
        <w:gridCol w:w="3191"/>
      </w:tblGrid>
      <w:tr>
        <w:trPr>
          <w:trHeight w:val="554"/>
        </w:trPr>
        <w:tc>
          <w:tcPr>
            <w:shd w:val="clear" w:color="auto" w:fill="auto"/>
            <w:tcW w:w="688"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1105"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地区</w:t>
            </w:r>
            <w:r/>
          </w:p>
        </w:tc>
        <w:tc>
          <w:tcPr>
            <w:shd w:val="clear" w:color="auto" w:fill="auto"/>
            <w:tcW w:w="4036"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单位名称</w:t>
            </w:r>
            <w:r/>
          </w:p>
        </w:tc>
        <w:tc>
          <w:tcPr>
            <w:shd w:val="clear" w:color="auto" w:fill="auto"/>
            <w:tcW w:w="3191" w:type="dxa"/>
            <w:vAlign w:val="bottom"/>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经营类别</w:t>
            </w:r>
            <w:r/>
          </w:p>
        </w:tc>
      </w:tr>
      <w:tr>
        <w:trPr>
          <w:trHeight w:val="270"/>
        </w:trPr>
        <w:tc>
          <w:tcPr>
            <w:shd w:val="clear" w:color="auto" w:fill="auto"/>
            <w:tcW w:w="688" w:type="dxa"/>
            <w:vAlign w:val="bottom"/>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105"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海州区</w:t>
            </w:r>
            <w:r/>
          </w:p>
        </w:tc>
        <w:tc>
          <w:tcPr>
            <w:shd w:val="clear" w:color="auto" w:fill="auto"/>
            <w:tcW w:w="4036"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连云港坤鑫再生资源有限公司</w:t>
            </w:r>
            <w:r/>
          </w:p>
        </w:tc>
        <w:tc>
          <w:tcPr>
            <w:shd w:val="clear" w:color="auto" w:fill="auto"/>
            <w:tcW w:w="3191" w:type="dxa"/>
            <w:vAlign w:val="bottom"/>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收集、贮存、利用（省厅发证）</w:t>
            </w:r>
            <w:r/>
          </w:p>
        </w:tc>
      </w:tr>
      <w:tr>
        <w:trPr>
          <w:trHeight w:val="270"/>
        </w:trPr>
        <w:tc>
          <w:tcPr>
            <w:shd w:val="clear" w:color="auto" w:fill="auto"/>
            <w:tcW w:w="688" w:type="dxa"/>
            <w:vAlign w:val="bottom"/>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1105"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海州区</w:t>
            </w:r>
            <w:r/>
          </w:p>
        </w:tc>
        <w:tc>
          <w:tcPr>
            <w:shd w:val="clear" w:color="auto" w:fill="auto"/>
            <w:tcW w:w="4036"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江苏致和再生资源利用有限公司</w:t>
            </w:r>
            <w:r/>
          </w:p>
        </w:tc>
        <w:tc>
          <w:tcPr>
            <w:shd w:val="clear" w:color="auto" w:fill="auto"/>
            <w:tcW w:w="3191" w:type="dxa"/>
            <w:vAlign w:val="bottom"/>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收集（市级发证）</w:t>
            </w:r>
            <w:r/>
          </w:p>
        </w:tc>
      </w:tr>
      <w:tr>
        <w:trPr>
          <w:trHeight w:val="270"/>
        </w:trPr>
        <w:tc>
          <w:tcPr>
            <w:shd w:val="clear" w:color="auto" w:fill="auto"/>
            <w:tcW w:w="688" w:type="dxa"/>
            <w:vAlign w:val="bottom"/>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1105"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连云区</w:t>
            </w:r>
            <w:r/>
          </w:p>
        </w:tc>
        <w:tc>
          <w:tcPr>
            <w:shd w:val="clear" w:color="auto" w:fill="auto"/>
            <w:tcW w:w="4036"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丰益高分子材料（连云港）有限公司</w:t>
            </w:r>
            <w:r/>
          </w:p>
        </w:tc>
        <w:tc>
          <w:tcPr>
            <w:shd w:val="clear" w:color="auto" w:fill="auto"/>
            <w:tcW w:w="3191" w:type="dxa"/>
            <w:vAlign w:val="bottom"/>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焚烧（市级发证）</w:t>
            </w:r>
            <w:r/>
          </w:p>
        </w:tc>
      </w:tr>
      <w:tr>
        <w:trPr>
          <w:trHeight w:val="270"/>
        </w:trPr>
        <w:tc>
          <w:tcPr>
            <w:shd w:val="clear" w:color="auto" w:fill="auto"/>
            <w:tcW w:w="688" w:type="dxa"/>
            <w:vAlign w:val="bottom"/>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1105"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徐圩新区</w:t>
            </w:r>
            <w:r/>
          </w:p>
        </w:tc>
        <w:tc>
          <w:tcPr>
            <w:shd w:val="clear" w:color="auto" w:fill="auto"/>
            <w:tcW w:w="4036"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中节能（连云港）清洁技术发展有限公司</w:t>
            </w:r>
            <w:r/>
          </w:p>
        </w:tc>
        <w:tc>
          <w:tcPr>
            <w:shd w:val="clear" w:color="auto" w:fill="auto"/>
            <w:tcW w:w="3191" w:type="dxa"/>
            <w:vAlign w:val="bottom"/>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刚性填埋+焚烧（省厅发证）</w:t>
            </w:r>
            <w:r/>
          </w:p>
        </w:tc>
      </w:tr>
      <w:tr>
        <w:trPr>
          <w:trHeight w:val="365"/>
        </w:trPr>
        <w:tc>
          <w:tcPr>
            <w:shd w:val="clear" w:color="auto" w:fill="auto"/>
            <w:tcW w:w="688"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1105"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海州区</w:t>
            </w:r>
            <w:r/>
          </w:p>
        </w:tc>
        <w:tc>
          <w:tcPr>
            <w:shd w:val="clear" w:color="auto" w:fill="auto"/>
            <w:tcW w:w="4036"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连云港轩瑞环保科技有限公司</w:t>
            </w:r>
            <w:r/>
          </w:p>
        </w:tc>
        <w:tc>
          <w:tcPr>
            <w:shd w:val="clear" w:color="auto" w:fill="auto"/>
            <w:tcW w:w="3191"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收集（县区发证）</w:t>
            </w:r>
            <w:r/>
          </w:p>
        </w:tc>
      </w:tr>
      <w:tr>
        <w:trPr>
          <w:trHeight w:val="365"/>
        </w:trPr>
        <w:tc>
          <w:tcPr>
            <w:shd w:val="clear" w:color="auto" w:fill="auto"/>
            <w:tcW w:w="688"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1105"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灌云县</w:t>
            </w:r>
            <w:r/>
          </w:p>
        </w:tc>
        <w:tc>
          <w:tcPr>
            <w:shd w:val="clear" w:color="auto" w:fill="auto"/>
            <w:tcW w:w="4036"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光大环保（连云港）废弃物处理有限公司</w:t>
            </w:r>
            <w:r/>
          </w:p>
        </w:tc>
        <w:tc>
          <w:tcPr>
            <w:shd w:val="clear" w:color="auto" w:fill="auto"/>
            <w:tcW w:w="3191"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焚烧（省厅发证）</w:t>
            </w:r>
            <w:r/>
          </w:p>
        </w:tc>
      </w:tr>
      <w:tr>
        <w:trPr>
          <w:trHeight w:val="365"/>
        </w:trPr>
        <w:tc>
          <w:tcPr>
            <w:shd w:val="clear" w:color="auto" w:fill="auto"/>
            <w:tcW w:w="688"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1105"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灌南县</w:t>
            </w:r>
            <w:r/>
          </w:p>
        </w:tc>
        <w:tc>
          <w:tcPr>
            <w:shd w:val="clear" w:color="auto" w:fill="auto"/>
            <w:tcW w:w="4036"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连云港赛科废料处置有限公司</w:t>
            </w:r>
            <w:r/>
          </w:p>
        </w:tc>
        <w:tc>
          <w:tcPr>
            <w:shd w:val="clear" w:color="auto" w:fill="auto"/>
            <w:tcW w:w="3191"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焚烧（省厅发证）</w:t>
            </w:r>
            <w:r/>
          </w:p>
        </w:tc>
      </w:tr>
      <w:tr>
        <w:trPr>
          <w:trHeight w:val="382"/>
        </w:trPr>
        <w:tc>
          <w:tcPr>
            <w:shd w:val="clear" w:color="auto" w:fill="auto"/>
            <w:tcW w:w="688"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8</w:t>
            </w:r>
            <w:r/>
          </w:p>
        </w:tc>
        <w:tc>
          <w:tcPr>
            <w:shd w:val="clear" w:color="auto" w:fill="auto"/>
            <w:tcW w:w="1105"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灌南县</w:t>
            </w:r>
            <w:r/>
          </w:p>
        </w:tc>
        <w:tc>
          <w:tcPr>
            <w:shd w:val="clear" w:color="auto" w:fill="auto"/>
            <w:tcW w:w="4036"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灌南金圆环保科技有限公司</w:t>
            </w:r>
            <w:r/>
          </w:p>
        </w:tc>
        <w:tc>
          <w:tcPr>
            <w:shd w:val="clear" w:color="auto" w:fill="auto"/>
            <w:tcW w:w="3191"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焚烧（省厅发证）</w:t>
            </w:r>
            <w:r/>
          </w:p>
        </w:tc>
      </w:tr>
      <w:tr>
        <w:trPr>
          <w:trHeight w:val="365"/>
        </w:trPr>
        <w:tc>
          <w:tcPr>
            <w:shd w:val="clear" w:color="auto" w:fill="auto"/>
            <w:tcW w:w="688"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9</w:t>
            </w:r>
            <w:r/>
          </w:p>
        </w:tc>
        <w:tc>
          <w:tcPr>
            <w:shd w:val="clear" w:color="auto" w:fill="auto"/>
            <w:tcW w:w="1105"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赣榆区</w:t>
            </w:r>
            <w:r/>
          </w:p>
        </w:tc>
        <w:tc>
          <w:tcPr>
            <w:shd w:val="clear" w:color="auto" w:fill="auto"/>
            <w:tcW w:w="4036"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渤海宏铄（连云港）清洁技术有限公司</w:t>
            </w:r>
            <w:r/>
          </w:p>
        </w:tc>
        <w:tc>
          <w:tcPr>
            <w:shd w:val="clear" w:color="auto" w:fill="auto"/>
            <w:tcW w:w="3191"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焚烧（省厅发证）</w:t>
            </w:r>
            <w:r/>
          </w:p>
        </w:tc>
      </w:tr>
      <w:tr>
        <w:trPr>
          <w:trHeight w:val="365"/>
        </w:trPr>
        <w:tc>
          <w:tcPr>
            <w:shd w:val="clear" w:color="auto" w:fill="auto"/>
            <w:tcW w:w="688"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10</w:t>
            </w:r>
            <w:r/>
          </w:p>
        </w:tc>
        <w:tc>
          <w:tcPr>
            <w:shd w:val="clear" w:color="auto" w:fill="auto"/>
            <w:tcW w:w="1105"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赣榆区</w:t>
            </w:r>
            <w:r/>
          </w:p>
        </w:tc>
        <w:tc>
          <w:tcPr>
            <w:shd w:val="clear" w:color="auto" w:fill="auto"/>
            <w:tcW w:w="4036"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江苏恒兴环保科技有限公司</w:t>
            </w:r>
            <w:r/>
          </w:p>
        </w:tc>
        <w:tc>
          <w:tcPr>
            <w:shd w:val="clear" w:color="auto" w:fill="auto"/>
            <w:tcW w:w="3191" w:type="dxa"/>
            <w:vAlign w:val="bottom"/>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利用+焚烧（市级发证）</w:t>
            </w:r>
            <w:r/>
          </w:p>
        </w:tc>
      </w:tr>
    </w:tbl>
    <w:p>
      <w:pPr>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②、监测项目：根据《危险废物焚烧污染控制标准》（GB18484）、《危险废物填埋污染控制标准》（GB18598）、项目环评文件和批复以及排污许可证规定的监测方案确定。</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③、监测频次：1次/年。</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④、数据报送及格式要求：于监测任务完成后5日内将监测数据报表及检测报告及原始记录复印件（扫描件）报送至连云港市环境监测监控中心，并于12月底前报送监测工作开展情况总结报告。</w:t>
      </w:r>
      <w:r/>
    </w:p>
    <w:p>
      <w:pPr>
        <w:ind w:firstLine="480"/>
        <w:spacing w:line="360" w:lineRule="auto"/>
        <w:rPr>
          <w:rFonts w:ascii="宋体" w:hAnsi="宋体" w:cs="宋体"/>
          <w:color w:val="000000"/>
          <w:sz w:val="24"/>
        </w:rPr>
      </w:pPr>
      <w:r/>
      <w:bookmarkStart w:id="45" w:name="_Toc130395915"/>
      <w:r/>
      <w:bookmarkStart w:id="46" w:name="_Toc164265319"/>
      <w:r>
        <w:rPr>
          <w:rFonts w:hint="eastAsia" w:ascii="宋体" w:hAnsi="宋体" w:cs="宋体"/>
          <w:color w:val="000000"/>
          <w:sz w:val="24"/>
        </w:rPr>
        <w:t xml:space="preserve">2、伴生放射性矿开发利用企业监督监测</w:t>
      </w:r>
      <w:bookmarkEnd w:id="45"/>
      <w:bookmarkEnd w:id="46"/>
      <w:r/>
    </w:p>
    <w:p>
      <w:pPr>
        <w:ind w:firstLine="480"/>
        <w:spacing w:line="360" w:lineRule="auto"/>
        <w:rPr>
          <w:rFonts w:ascii="宋体" w:hAnsi="宋体" w:cs="宋体"/>
          <w:color w:val="000000"/>
          <w:sz w:val="24"/>
        </w:rPr>
      </w:pPr>
      <w:r>
        <w:rPr>
          <w:rFonts w:hint="eastAsia" w:ascii="宋体" w:hAnsi="宋体" w:cs="宋体"/>
          <w:color w:val="000000"/>
          <w:sz w:val="24"/>
        </w:rPr>
        <w:t xml:space="preserve">①、监测范围：江苏丽港稀土材料有限公司、盛和资源（连云港）新材料科技有限公司。</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②、监测项目：</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（1）江苏丽港稀土材料有限公司：</w:t>
      </w:r>
      <w:r/>
    </w:p>
    <w:p>
      <w:pPr>
        <w:ind w:firstLine="480"/>
        <w:spacing w:line="360" w:lineRule="auto"/>
        <w:rPr>
          <w:rFonts w:ascii="宋体" w:hAnsi="宋体" w:cs="宋体"/>
          <w:color w:val="000000"/>
          <w:sz w:val="24"/>
        </w:rPr>
      </w:pPr>
      <w:r>
        <w:rPr>
          <w:rFonts w:hint="eastAsia" w:ascii="宋体" w:hAnsi="宋体" w:cs="宋体"/>
          <w:color w:val="000000"/>
          <w:sz w:val="24"/>
        </w:rPr>
        <w:t xml:space="preserve">γ辐射空气吸收剂量率：厂界四周环境空气，易洒落矿物的公路；对照点（厂界外500m处）。</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土壤U天然、Th、226Ra：厂界四周500米范围内农田或环境土壤，对照点（厂界外500m处）。</w:t>
      </w:r>
      <w:r/>
    </w:p>
    <w:p>
      <w:pPr>
        <w:ind w:firstLine="480"/>
        <w:spacing w:line="360" w:lineRule="auto"/>
        <w:rPr>
          <w:rFonts w:ascii="宋体" w:hAnsi="宋体" w:cs="宋体"/>
          <w:color w:val="000000"/>
          <w:sz w:val="24"/>
        </w:rPr>
      </w:pPr>
      <w:r>
        <w:rPr>
          <w:rFonts w:hint="eastAsia" w:ascii="宋体" w:hAnsi="宋体" w:cs="宋体"/>
          <w:color w:val="000000"/>
          <w:sz w:val="24"/>
        </w:rPr>
        <w:t xml:space="preserve">（2）盛和资源（连云港）新材料科技有限公司：</w:t>
      </w:r>
      <w:r/>
    </w:p>
    <w:p>
      <w:pPr>
        <w:ind w:firstLine="480"/>
        <w:spacing w:line="360" w:lineRule="auto"/>
        <w:rPr>
          <w:rFonts w:ascii="宋体" w:hAnsi="宋体" w:cs="宋体"/>
          <w:color w:val="000000"/>
          <w:sz w:val="24"/>
        </w:rPr>
      </w:pPr>
      <w:r>
        <w:rPr>
          <w:rFonts w:hint="eastAsia" w:ascii="宋体" w:hAnsi="宋体" w:cs="宋体"/>
          <w:color w:val="000000"/>
          <w:sz w:val="24"/>
        </w:rPr>
        <w:t xml:space="preserve">γ辐射空气吸收剂量率：厂界四周，空气、土壤取样点、瑞和路和云港路（进厂公路，易洒落矿物公路），皇冠酒店（对照点）</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土壤U天然、Th、226Ra：厂界边界绿化带土壤；距厂界外西北方向780m处农田（下风向），距厂界外东南方向350m处农田（最近农田），皇冠酒店（对照点）</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地下水U天然、Th、226Ra：厂区内监测井。</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③、监测频次：1次/年。</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④、数据传输及格式要求：所有监测数据采用excel格式汇总报送，同时附盖章版检测报告和原始记录（扫描件），于监测任务完成后5日内报送至连云港市环境监测监控中心。</w:t>
      </w:r>
      <w:r/>
    </w:p>
    <w:p>
      <w:pPr>
        <w:ind w:firstLine="480"/>
        <w:spacing w:line="360" w:lineRule="auto"/>
        <w:rPr>
          <w:rFonts w:ascii="宋体" w:hAnsi="宋体" w:cs="宋体"/>
          <w:color w:val="000000"/>
          <w:sz w:val="24"/>
        </w:rPr>
      </w:pPr>
      <w:r/>
      <w:bookmarkStart w:id="47" w:name="_Toc164265320"/>
      <w:r>
        <w:rPr>
          <w:rFonts w:hint="eastAsia" w:ascii="宋体" w:hAnsi="宋体" w:cs="宋体"/>
          <w:color w:val="000000"/>
          <w:sz w:val="24"/>
        </w:rPr>
        <w:t xml:space="preserve">3、生活垃圾焚烧单位监督监测</w:t>
      </w:r>
      <w:bookmarkEnd w:id="47"/>
      <w:r/>
      <w:r/>
    </w:p>
    <w:p>
      <w:pPr>
        <w:ind w:firstLine="480"/>
        <w:spacing w:line="360" w:lineRule="auto"/>
        <w:rPr>
          <w:rFonts w:ascii="宋体" w:hAnsi="宋体" w:cs="宋体"/>
          <w:color w:val="000000"/>
          <w:sz w:val="24"/>
        </w:rPr>
      </w:pPr>
      <w:r>
        <w:rPr>
          <w:rFonts w:hint="eastAsia" w:ascii="宋体" w:hAnsi="宋体" w:cs="宋体"/>
          <w:color w:val="000000"/>
          <w:sz w:val="24"/>
        </w:rPr>
        <w:t xml:space="preserve">①、监测范围：对市区1家生活垃圾焚烧单位开展监测（连云港晨兴环保产业有限公司）。</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②、监测项目及频次：颗粒物、二氧化硫、氮氧化物、氯化氢、重金属类污染物和一氧化碳的监测应每季度至少开展1次，对烟气中二噁英类的监测应每年至少开展1次。</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③、结果报送及要求：所有监测数据采用excel格式汇总报送，同时附盖章版检测报告及原始记录（扫描件），于监测任务完成后5日内报送至连云港市环境监测监控中心。</w:t>
      </w:r>
      <w:r/>
    </w:p>
    <w:p>
      <w:pPr>
        <w:ind w:firstLine="480"/>
        <w:spacing w:line="360" w:lineRule="auto"/>
        <w:rPr>
          <w:rFonts w:ascii="宋体" w:hAnsi="宋体" w:cs="宋体"/>
          <w:color w:val="000000"/>
          <w:sz w:val="24"/>
        </w:rPr>
      </w:pPr>
      <w:r>
        <w:rPr>
          <w:rFonts w:hint="eastAsia" w:ascii="宋体" w:hAnsi="宋体" w:cs="宋体"/>
          <w:color w:val="000000"/>
          <w:sz w:val="24"/>
        </w:rPr>
        <w:t xml:space="preserve">4、临时性委托任务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①日常管理：各监测机构要做好日常应急监测值守值班工作，定期维护仪器装备、及时更新试剂耗材，确保应急监测仪器装备保持最佳状态。</w:t>
      </w:r>
      <w:r/>
    </w:p>
    <w:p>
      <w:pPr>
        <w:ind w:firstLine="480"/>
        <w:spacing w:line="360" w:lineRule="auto"/>
      </w:pPr>
      <w:r>
        <w:rPr>
          <w:rFonts w:hint="eastAsia" w:ascii="宋体" w:hAnsi="宋体" w:cs="宋体"/>
          <w:color w:val="000000"/>
          <w:sz w:val="24"/>
        </w:rPr>
        <w:t xml:space="preserve">②工作任务：根据工作需要开展应急监测及其他委托监测，报价明细表中应包含应急监测项目报价。水和废水监测项目包括化学需氧量、氨氮、总磷、总氮、高锰酸盐、重金属及有机类化合物，环境空气和废气监测项目包括氮氧化物、颗粒物、二氧化硫、重金属及有机类化合物，土壤和沉积物监测项目包括重金属及有机类化合物，以及餐饮油烟和噪声等。投标人须承诺不得以任何理由拒绝应急监测和其他委托监测工作安排。临时性委托任务金额不得超过18万元，实际工作低于预算的按照实际工作量计。</w:t>
      </w:r>
      <w:bookmarkEnd w:id="10"/>
      <w:r/>
    </w:p>
    <w:p>
      <w:pPr>
        <w:ind w:firstLine="562"/>
        <w:spacing w:line="360" w:lineRule="auto"/>
        <w:rPr>
          <w:rFonts w:ascii="宋体" w:hAnsi="宋体" w:cs="宋体"/>
          <w:b/>
          <w:sz w:val="28"/>
          <w:szCs w:val="28"/>
        </w:rPr>
      </w:pPr>
      <w:r>
        <w:rPr>
          <w:rFonts w:hint="eastAsia" w:ascii="宋体" w:hAnsi="宋体" w:cs="宋体"/>
          <w:b/>
          <w:sz w:val="28"/>
          <w:szCs w:val="28"/>
        </w:rPr>
        <w:t xml:space="preserve">二、服务技术要求及其他：</w:t>
      </w:r>
      <w:r/>
    </w:p>
    <w:p>
      <w:pPr>
        <w:ind w:firstLine="480"/>
        <w:spacing w:line="360" w:lineRule="auto"/>
        <w:rPr>
          <w:rFonts w:ascii="宋体" w:hAnsi="宋体" w:cs="宋体"/>
          <w:bCs/>
          <w:sz w:val="24"/>
        </w:rPr>
      </w:pPr>
      <w:r>
        <w:rPr>
          <w:rFonts w:hint="eastAsia" w:ascii="宋体" w:hAnsi="宋体" w:cs="宋体"/>
          <w:bCs/>
          <w:sz w:val="24"/>
        </w:rPr>
        <w:t xml:space="preserve">1、服务范围和要求：按照项目需求开展检测任务并按时报送数据和报告。</w:t>
      </w:r>
      <w:r/>
    </w:p>
    <w:p>
      <w:pPr>
        <w:ind w:firstLine="480"/>
        <w:spacing w:line="360" w:lineRule="auto"/>
        <w:rPr>
          <w:rFonts w:ascii="宋体" w:hAnsi="宋体" w:cs="宋体"/>
          <w:bCs/>
          <w:i/>
          <w:iCs/>
          <w:sz w:val="24"/>
          <w:u w:val="single"/>
        </w:rPr>
      </w:pPr>
      <w:r>
        <w:rPr>
          <w:rFonts w:hint="eastAsia" w:ascii="宋体" w:hAnsi="宋体" w:cs="宋体"/>
          <w:bCs/>
          <w:i/>
          <w:iCs/>
          <w:sz w:val="24"/>
          <w:u w:val="single"/>
        </w:rPr>
        <w:t xml:space="preserve">2、服务时间：自签订合同之日起一年。</w:t>
      </w:r>
      <w:r/>
    </w:p>
    <w:p>
      <w:pPr>
        <w:ind w:firstLine="480"/>
        <w:spacing w:line="360" w:lineRule="auto"/>
        <w:rPr>
          <w:rFonts w:ascii="宋体" w:hAnsi="宋体" w:cs="宋体"/>
          <w:bCs/>
          <w:sz w:val="24"/>
        </w:rPr>
      </w:pPr>
      <w:r>
        <w:rPr>
          <w:rFonts w:hint="eastAsia" w:ascii="宋体" w:hAnsi="宋体" w:cs="宋体"/>
          <w:bCs/>
          <w:sz w:val="24"/>
        </w:rPr>
        <w:t xml:space="preserve">3、其他要求：</w:t>
      </w:r>
      <w:r/>
    </w:p>
    <w:p>
      <w:pPr>
        <w:ind w:firstLine="480"/>
        <w:spacing w:line="360" w:lineRule="auto"/>
        <w:rPr>
          <w:rFonts w:ascii="宋体" w:hAnsi="宋体" w:cs="宋体"/>
          <w:bCs/>
          <w:i/>
          <w:iCs/>
          <w:sz w:val="24"/>
          <w:u w:val="single"/>
        </w:rPr>
      </w:pPr>
      <w:r>
        <w:rPr>
          <w:rFonts w:hint="eastAsia" w:ascii="宋体" w:hAnsi="宋体" w:cs="宋体"/>
          <w:bCs/>
          <w:i/>
          <w:iCs/>
          <w:sz w:val="24"/>
          <w:u w:val="single"/>
        </w:rPr>
        <w:t xml:space="preserve">（1）投标人须承诺自备采样监测车辆，遇紧急信访、应急事件等特殊情况时（含夜间突发情况），</w:t>
      </w:r>
      <w:bookmarkStart w:id="48" w:name="_Hlk102859670"/>
      <w:r>
        <w:rPr>
          <w:rFonts w:hint="eastAsia" w:ascii="宋体" w:hAnsi="宋体" w:cs="宋体"/>
          <w:bCs/>
          <w:i/>
          <w:iCs/>
          <w:sz w:val="24"/>
          <w:u w:val="single"/>
        </w:rPr>
        <w:t xml:space="preserve">监测人员须立即响应</w:t>
      </w:r>
      <w:bookmarkStart w:id="49" w:name="_Hlk102859124"/>
      <w:r>
        <w:rPr>
          <w:rFonts w:hint="eastAsia" w:ascii="宋体" w:hAnsi="宋体" w:cs="宋体"/>
          <w:bCs/>
          <w:i/>
          <w:iCs/>
          <w:sz w:val="24"/>
          <w:u w:val="single"/>
        </w:rPr>
        <w:t xml:space="preserve">按照投标文件承诺时间内到达采购单位报到。</w:t>
      </w:r>
      <w:bookmarkEnd w:id="48"/>
      <w:r/>
      <w:bookmarkEnd w:id="49"/>
      <w:r>
        <w:rPr>
          <w:rFonts w:hint="eastAsia" w:ascii="宋体" w:hAnsi="宋体" w:cs="宋体"/>
          <w:bCs/>
          <w:i/>
          <w:iCs/>
          <w:sz w:val="24"/>
          <w:u w:val="single"/>
        </w:rPr>
        <w:t xml:space="preserve">（投标文件中须提供承诺书</w:t>
      </w:r>
      <w:bookmarkStart w:id="50" w:name="_Hlk102390348"/>
      <w:r>
        <w:rPr>
          <w:rFonts w:hint="eastAsia" w:ascii="宋体" w:hAnsi="宋体" w:cs="宋体"/>
          <w:bCs/>
          <w:i/>
          <w:iCs/>
          <w:sz w:val="24"/>
          <w:u w:val="single"/>
        </w:rPr>
        <w:t xml:space="preserve">加盖公章</w:t>
      </w:r>
      <w:bookmarkEnd w:id="50"/>
      <w:r>
        <w:rPr>
          <w:rFonts w:hint="eastAsia" w:ascii="宋体" w:hAnsi="宋体" w:cs="宋体"/>
          <w:bCs/>
          <w:i/>
          <w:iCs/>
          <w:sz w:val="24"/>
          <w:u w:val="single"/>
        </w:rPr>
        <w:t xml:space="preserve">），如投标人不能按照承诺时间到达，迟到一次则处2000元罚款，罚款费用从监测费中扣除。</w:t>
      </w:r>
      <w:r/>
    </w:p>
    <w:p>
      <w:pPr>
        <w:ind w:firstLine="480"/>
        <w:spacing w:line="360" w:lineRule="auto"/>
        <w:rPr>
          <w:rFonts w:ascii="宋体" w:hAnsi="宋体" w:cs="宋体"/>
          <w:bCs/>
          <w:i/>
          <w:iCs/>
          <w:color w:val="000000"/>
          <w:sz w:val="24"/>
          <w:u w:val="single"/>
        </w:rPr>
      </w:pPr>
      <w:r>
        <w:rPr>
          <w:rFonts w:hint="eastAsia" w:ascii="宋体" w:hAnsi="宋体" w:cs="宋体"/>
          <w:bCs/>
          <w:i/>
          <w:iCs/>
          <w:sz w:val="24"/>
          <w:u w:val="single"/>
        </w:rPr>
        <w:t xml:space="preserve">（2）投标人须按时按质完成监测工作，没有按时完成数据报送且无正当理由的扣除当次监测费用，造成重大影响的招标人有权立即终止合同。投标人对于承担的监测项目接受省生态环境</w:t>
      </w:r>
      <w:r>
        <w:rPr>
          <w:rFonts w:hint="eastAsia" w:ascii="宋体" w:hAnsi="宋体" w:cs="宋体"/>
          <w:bCs/>
          <w:i/>
          <w:iCs/>
          <w:color w:val="000000"/>
          <w:sz w:val="24"/>
          <w:u w:val="single"/>
        </w:rPr>
        <w:t xml:space="preserve">厅、市生态环境局及各级市场监督管理部门组织的实验室能力验证考核及现场监督检查中，考核不合格的每次扣除2000元监测费，并按要求进行整改</w:t>
      </w:r>
      <w:bookmarkStart w:id="51" w:name="_Hlk102765453"/>
      <w:r>
        <w:rPr>
          <w:rFonts w:hint="eastAsia" w:ascii="宋体" w:hAnsi="宋体" w:cs="宋体"/>
          <w:bCs/>
          <w:i/>
          <w:iCs/>
          <w:color w:val="000000"/>
          <w:sz w:val="24"/>
          <w:u w:val="single"/>
        </w:rPr>
        <w:t xml:space="preserve">。中标人须承诺不得以任何理由拒绝应急监测和其他委托监测工作任务安排，违反此项要求的每次扣除2000元监测费。</w:t>
      </w:r>
      <w:bookmarkEnd w:id="51"/>
      <w:r>
        <w:rPr>
          <w:rFonts w:hint="eastAsia" w:ascii="宋体" w:hAnsi="宋体" w:cs="宋体"/>
          <w:bCs/>
          <w:i/>
          <w:iCs/>
          <w:color w:val="000000"/>
          <w:sz w:val="24"/>
          <w:u w:val="single"/>
        </w:rPr>
        <w:t xml:space="preserve">（投标文件中须提供承诺书加盖公章）</w:t>
      </w:r>
      <w:r/>
    </w:p>
    <w:p>
      <w:pPr>
        <w:ind w:firstLine="480"/>
        <w:spacing w:line="360" w:lineRule="auto"/>
        <w:rPr>
          <w:rFonts w:ascii="宋体" w:hAnsi="宋体" w:cs="宋体"/>
          <w:bCs/>
          <w:i/>
          <w:iCs/>
          <w:color w:val="000000"/>
          <w:sz w:val="24"/>
          <w:u w:val="single"/>
        </w:rPr>
      </w:pPr>
      <w:r/>
      <w:bookmarkStart w:id="52" w:name="_Hlk102858994"/>
      <w:r>
        <w:rPr>
          <w:rFonts w:hint="eastAsia" w:ascii="宋体" w:hAnsi="宋体" w:cs="宋体"/>
          <w:bCs/>
          <w:i/>
          <w:iCs/>
          <w:color w:val="000000"/>
          <w:sz w:val="24"/>
          <w:u w:val="single"/>
        </w:rPr>
        <w:t xml:space="preserve">（3）投标人必须对本项目现场采样及实验室分析过程进行视频录像，并至少保存3个月以上备查。需提供至少2台执法记录仪购买合同或发票。</w:t>
      </w:r>
      <w:bookmarkEnd w:id="52"/>
      <w:r/>
    </w:p>
    <w:p>
      <w:pPr>
        <w:ind w:firstLine="480"/>
        <w:spacing w:line="360" w:lineRule="auto"/>
        <w:rPr>
          <w:rFonts w:ascii="宋体" w:hAnsi="宋体" w:cs="宋体"/>
          <w:sz w:val="24"/>
        </w:rPr>
      </w:pPr>
      <w:r>
        <w:rPr>
          <w:rFonts w:hint="eastAsia" w:ascii="宋体" w:hAnsi="宋体" w:cs="宋体"/>
          <w:sz w:val="24"/>
        </w:rPr>
        <w:t xml:space="preserve">（4）投标人对监测结果质量、准确性、真实性负责。</w:t>
      </w:r>
      <w:r/>
    </w:p>
    <w:p>
      <w:pPr>
        <w:ind w:firstLine="480"/>
        <w:spacing w:line="360" w:lineRule="auto"/>
        <w:rPr>
          <w:rFonts w:ascii="宋体" w:hAnsi="宋体" w:cs="宋体"/>
          <w:bCs/>
          <w:i/>
          <w:iCs/>
          <w:sz w:val="24"/>
          <w:u w:val="single"/>
        </w:rPr>
      </w:pPr>
      <w:r>
        <w:rPr>
          <w:rFonts w:hint="eastAsia" w:ascii="宋体" w:hAnsi="宋体" w:cs="宋体"/>
          <w:bCs/>
          <w:i/>
          <w:iCs/>
          <w:sz w:val="24"/>
          <w:u w:val="single"/>
        </w:rPr>
        <w:t xml:space="preserve">如出现违反《江苏省生态环境监测条例》等法律法规行为，</w:t>
      </w:r>
      <w:bookmarkStart w:id="53" w:name="_Hlk102765526"/>
      <w:r>
        <w:rPr>
          <w:rFonts w:hint="eastAsia" w:ascii="宋体" w:hAnsi="宋体" w:cs="宋体"/>
          <w:bCs/>
          <w:i/>
          <w:iCs/>
          <w:sz w:val="24"/>
          <w:u w:val="single"/>
        </w:rPr>
        <w:t xml:space="preserve">以及被行政管理部门通报违规、违法行为的，</w:t>
      </w:r>
      <w:bookmarkEnd w:id="53"/>
      <w:r>
        <w:rPr>
          <w:rFonts w:hint="eastAsia" w:ascii="宋体" w:hAnsi="宋体" w:cs="宋体"/>
          <w:bCs/>
          <w:i/>
          <w:iCs/>
          <w:sz w:val="24"/>
          <w:u w:val="single"/>
        </w:rPr>
        <w:t xml:space="preserve">一经查实的，采购人有权立即终止合同。（投标文件中须提供承诺书原件）</w:t>
      </w:r>
      <w:r/>
    </w:p>
    <w:p>
      <w:pPr>
        <w:ind w:firstLine="480"/>
        <w:spacing w:line="360" w:lineRule="auto"/>
        <w:rPr>
          <w:rFonts w:ascii="宋体" w:hAnsi="宋体" w:cs="宋体"/>
          <w:sz w:val="24"/>
        </w:rPr>
      </w:pPr>
      <w:r>
        <w:rPr>
          <w:rFonts w:hint="eastAsia" w:ascii="宋体" w:hAnsi="宋体" w:cs="宋体"/>
          <w:sz w:val="24"/>
        </w:rPr>
        <w:t xml:space="preserve">（5）现场监测时如认定不具备监测条件，投标人应书面说明具体原因并及时反馈采购人。</w:t>
      </w:r>
      <w:r/>
    </w:p>
    <w:p>
      <w:pPr>
        <w:ind w:firstLine="562"/>
        <w:spacing w:line="360" w:lineRule="auto"/>
        <w:rPr>
          <w:rFonts w:ascii="宋体" w:hAnsi="宋体" w:cs="宋体"/>
          <w:b/>
          <w:sz w:val="28"/>
          <w:szCs w:val="28"/>
        </w:rPr>
      </w:pPr>
      <w:r>
        <w:rPr>
          <w:rFonts w:hint="eastAsia" w:ascii="宋体" w:hAnsi="宋体" w:cs="宋体"/>
          <w:b/>
          <w:sz w:val="28"/>
          <w:szCs w:val="28"/>
        </w:rPr>
        <w:t xml:space="preserve">三、付款方式与履约保证金</w:t>
      </w:r>
      <w:r/>
    </w:p>
    <w:p>
      <w:pPr>
        <w:ind w:firstLine="480"/>
        <w:spacing w:line="360" w:lineRule="auto"/>
        <w:rPr>
          <w:rFonts w:ascii="宋体" w:hAnsi="宋体" w:cs="宋体"/>
          <w:bCs/>
          <w:i/>
          <w:iCs/>
          <w:color w:val="auto"/>
          <w:sz w:val="24"/>
          <w:u w:val="single"/>
        </w:rPr>
      </w:pPr>
      <w:r>
        <w:rPr>
          <w:rFonts w:hint="eastAsia" w:ascii="宋体" w:hAnsi="宋体" w:cs="宋体"/>
          <w:bCs/>
          <w:i/>
          <w:iCs/>
          <w:sz w:val="24"/>
          <w:u w:val="single"/>
        </w:rPr>
        <w:t xml:space="preserve">1、付款方式：</w:t>
      </w:r>
      <w:bookmarkStart w:id="54" w:name="_Hlk139841824"/>
      <w:r>
        <w:rPr>
          <w:rFonts w:hint="eastAsia" w:ascii="宋体" w:hAnsi="宋体" w:cs="宋体"/>
          <w:bCs/>
          <w:i/>
          <w:iCs/>
          <w:sz w:val="24"/>
          <w:u w:val="single"/>
        </w:rPr>
        <w:t xml:space="preserve">项目签订合同后，完成任务清单的30%支付合同金额的30%；</w:t>
      </w:r>
      <w:r>
        <w:rPr>
          <w:rFonts w:hint="eastAsia" w:ascii="宋体" w:hAnsi="宋体" w:cs="宋体"/>
          <w:bCs/>
          <w:i/>
          <w:iCs/>
          <w:color w:val="auto"/>
          <w:sz w:val="24"/>
          <w:u w:val="single"/>
        </w:rPr>
        <w:t xml:space="preserve">完成任务清单的60%后支付合同金额的30%；合同期满并完成全部任务后支付合同金额的40%（如有罚款须扣除）。</w:t>
      </w:r>
      <w:bookmarkEnd w:id="54"/>
      <w:r/>
    </w:p>
    <w:p>
      <w:pPr>
        <w:ind w:firstLine="480"/>
        <w:spacing w:line="360" w:lineRule="auto"/>
        <w:rPr>
          <w:rFonts w:ascii="宋体" w:hAnsi="宋体" w:cs="宋体"/>
          <w:color w:val="auto"/>
          <w:sz w:val="24"/>
        </w:rPr>
      </w:pPr>
      <w:r>
        <w:rPr>
          <w:rFonts w:hint="eastAsia" w:ascii="宋体" w:hAnsi="宋体" w:cs="宋体"/>
          <w:color w:val="auto"/>
          <w:sz w:val="24"/>
        </w:rPr>
        <w:t xml:space="preserve">2、履约保证金:</w:t>
      </w:r>
      <w:r/>
    </w:p>
    <w:p>
      <w:pPr>
        <w:pStyle w:val="857"/>
        <w:ind w:firstLine="480"/>
        <w:spacing w:line="360" w:lineRule="auto"/>
        <w:rPr>
          <w:rFonts w:ascii="宋体" w:hAnsi="宋体" w:cs="宋体"/>
          <w:color w:val="auto"/>
          <w:sz w:val="24"/>
          <w:szCs w:val="24"/>
          <w:lang w:eastAsia="zh-CN"/>
        </w:rPr>
      </w:pPr>
      <w:r>
        <w:rPr>
          <w:rFonts w:hint="eastAsia" w:ascii="宋体" w:hAnsi="宋体" w:cs="宋体"/>
          <w:color w:val="auto"/>
          <w:sz w:val="24"/>
          <w:szCs w:val="24"/>
          <w:lang w:eastAsia="zh-CN"/>
        </w:rPr>
        <w:t xml:space="preserve">本项目不收取履约保证金。</w:t>
      </w:r>
      <w:r/>
    </w:p>
    <w:p>
      <w:pPr>
        <w:pStyle w:val="857"/>
        <w:spacing w:line="360" w:lineRule="auto"/>
        <w:rPr>
          <w:rFonts w:ascii="宋体" w:hAnsi="宋体" w:cs="宋体"/>
          <w:b/>
          <w:bCs/>
          <w:color w:val="auto"/>
          <w:sz w:val="28"/>
          <w:szCs w:val="28"/>
          <w:lang w:eastAsia="zh-CN"/>
        </w:rPr>
      </w:pPr>
      <w:r>
        <w:rPr>
          <w:rFonts w:hint="eastAsia" w:ascii="宋体" w:hAnsi="宋体" w:cs="宋体"/>
          <w:b/>
          <w:bCs/>
          <w:color w:val="auto"/>
          <w:sz w:val="28"/>
          <w:szCs w:val="28"/>
          <w:lang w:eastAsia="zh-CN"/>
        </w:rPr>
        <w:t xml:space="preserve">四、其他</w:t>
      </w:r>
      <w:r/>
    </w:p>
    <w:p>
      <w:pPr>
        <w:ind w:firstLine="480"/>
        <w:spacing w:line="360" w:lineRule="auto"/>
        <w:widowControl/>
        <w:rPr>
          <w:rFonts w:ascii="宋体" w:hAnsi="宋体" w:cs="宋体"/>
          <w:color w:val="auto"/>
          <w:sz w:val="24"/>
        </w:rPr>
      </w:pPr>
      <w:r>
        <w:rPr>
          <w:rFonts w:hint="eastAsia" w:ascii="宋体" w:hAnsi="宋体" w:cs="宋体"/>
          <w:color w:val="auto"/>
          <w:sz w:val="24"/>
        </w:rPr>
        <w:t xml:space="preserve">本项目报价不得超过预算价。</w:t>
      </w:r>
      <w:r/>
    </w:p>
    <w:p>
      <w:pPr>
        <w:ind w:firstLine="480"/>
        <w:spacing w:line="360" w:lineRule="auto"/>
        <w:widowControl/>
        <w:rPr>
          <w:rFonts w:ascii="宋体" w:hAnsi="宋体" w:cs="宋体"/>
          <w:color w:val="auto"/>
          <w:sz w:val="24"/>
        </w:rPr>
      </w:pPr>
      <w:r>
        <w:rPr>
          <w:rFonts w:hint="eastAsia" w:ascii="宋体" w:hAnsi="宋体" w:cs="宋体"/>
          <w:color w:val="auto"/>
          <w:sz w:val="24"/>
        </w:rPr>
        <w:t xml:space="preserve">特别提醒供应商：应根据国家收费标准并结合市场实际进行报价，单价结合总价结算。</w:t>
      </w:r>
      <w:r/>
    </w:p>
    <w:p>
      <w:pPr>
        <w:ind w:firstLine="480"/>
        <w:spacing w:line="360" w:lineRule="auto"/>
        <w:widowControl/>
        <w:rPr>
          <w:rFonts w:ascii="宋体" w:hAnsi="宋体" w:cs="宋体"/>
          <w:color w:val="auto"/>
          <w:sz w:val="24"/>
        </w:rPr>
      </w:pPr>
      <w:r>
        <w:rPr>
          <w:rFonts w:hint="eastAsia" w:ascii="宋体" w:hAnsi="宋体" w:cs="宋体"/>
          <w:color w:val="auto"/>
          <w:sz w:val="24"/>
        </w:rPr>
        <w:t xml:space="preserve">工作中涉及的敏感资料、电子数据等相关信息，成交供应商应严格执行保密的相关规定，不得以任何方式向任何第三人披露、泄露或许可第三人使用，否则追究其相应法律责任。</w:t>
      </w:r>
      <w:r/>
    </w:p>
    <w:p>
      <w:pPr>
        <w:pStyle w:val="648"/>
        <w:rPr>
          <w:color w:val="auto"/>
        </w:rPr>
      </w:pPr>
      <w:r>
        <w:rPr>
          <w:color w:val="auto"/>
        </w:rPr>
      </w:r>
      <w:r/>
    </w:p>
    <w:p>
      <w:pPr>
        <w:jc w:val="left"/>
        <w:widowControl/>
        <w:rPr>
          <w:rFonts w:ascii="黑体" w:hAnsi="黑体" w:eastAsia="黑体"/>
          <w:bCs/>
          <w:color w:val="auto"/>
          <w:sz w:val="44"/>
          <w:szCs w:val="44"/>
        </w:rPr>
      </w:pPr>
      <w:r/>
      <w:bookmarkStart w:id="55" w:name="_Toc155796360"/>
      <w:r>
        <w:rPr>
          <w:rFonts w:ascii="黑体" w:hAnsi="黑体" w:eastAsia="黑体"/>
          <w:b/>
          <w:color w:val="auto"/>
        </w:rPr>
        <w:br w:type="page" w:clear="all"/>
      </w:r>
      <w:r/>
    </w:p>
    <w:p>
      <w:pPr>
        <w:pStyle w:val="845"/>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评标方法与评标标准</w:t>
      </w:r>
      <w:bookmarkEnd w:id="55"/>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rFonts w:ascii="宋体" w:hAnsi="宋体" w:cs="宋体"/>
          <w:b/>
          <w:color w:val="ff0000"/>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b/>
          <w:sz w:val="24"/>
          <w:szCs w:val="24"/>
        </w:rPr>
        <w:t xml:space="preserve">本项目</w:t>
      </w:r>
      <w:r>
        <w:rPr>
          <w:rFonts w:hint="eastAsia" w:ascii="宋体" w:hAnsi="宋体" w:cs="宋体"/>
          <w:b/>
          <w:sz w:val="24"/>
          <w:szCs w:val="24"/>
        </w:rPr>
        <w:t xml:space="preserve">一、三标段不可以是同一中标人。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ind w:firstLine="480"/>
        <w:jc w:val="center"/>
        <w:spacing w:line="500" w:lineRule="exact"/>
        <w:rPr>
          <w:b/>
          <w:bCs/>
          <w:sz w:val="24"/>
          <w:szCs w:val="24"/>
        </w:rPr>
      </w:pPr>
      <w:r>
        <w:rPr>
          <w:rFonts w:hint="eastAsia"/>
          <w:b/>
          <w:bCs/>
          <w:sz w:val="24"/>
          <w:szCs w:val="24"/>
        </w:rPr>
        <w:t xml:space="preserve">综合评分法</w:t>
      </w:r>
      <w:r/>
    </w:p>
    <w:p>
      <w:pPr>
        <w:ind w:firstLine="480"/>
        <w:jc w:val="left"/>
        <w:spacing w:line="500" w:lineRule="exact"/>
        <w:rPr>
          <w:sz w:val="24"/>
          <w:szCs w:val="24"/>
        </w:rPr>
      </w:pPr>
      <w:r>
        <w:rPr>
          <w:rFonts w:hint="eastAsia"/>
          <w:sz w:val="24"/>
          <w:szCs w:val="24"/>
        </w:rPr>
        <w:t xml:space="preserve">1.价格分：15分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 X 15分。</w:t>
      </w:r>
      <w:r/>
    </w:p>
    <w:p>
      <w:pPr>
        <w:ind w:firstLine="480"/>
        <w:jc w:val="left"/>
        <w:spacing w:line="500" w:lineRule="exact"/>
        <w:rPr>
          <w:sz w:val="24"/>
          <w:szCs w:val="24"/>
        </w:rPr>
      </w:pPr>
      <w:r>
        <w:rPr>
          <w:rFonts w:hint="eastAsia"/>
          <w:sz w:val="24"/>
          <w:szCs w:val="24"/>
        </w:rPr>
        <w:t xml:space="preserve">评标过程中，不得去掉报价中的最高报价和最低报价。</w:t>
      </w:r>
      <w:r/>
    </w:p>
    <w:p>
      <w:pPr>
        <w:ind w:firstLine="480"/>
        <w:jc w:val="left"/>
        <w:spacing w:line="500" w:lineRule="exact"/>
        <w:rPr>
          <w:sz w:val="24"/>
          <w:szCs w:val="24"/>
        </w:rPr>
      </w:pPr>
      <w:r>
        <w:rPr>
          <w:rFonts w:hint="eastAsia"/>
          <w:sz w:val="24"/>
          <w:szCs w:val="24"/>
        </w:rPr>
        <w:t xml:space="preserve">2.技术分：35 分</w:t>
      </w:r>
      <w:r/>
    </w:p>
    <w:tbl>
      <w:tblPr>
        <w:tblStyle w:val="673"/>
        <w:tblW w:w="94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8222"/>
      </w:tblGrid>
      <w:tr>
        <w:trPr>
          <w:trHeight w:val="344"/>
        </w:trPr>
        <w:tc>
          <w:tcPr>
            <w:tcW w:w="1276" w:type="dxa"/>
            <w:vAlign w:val="center"/>
            <w:textDirection w:val="lrTb"/>
            <w:noWrap w:val="false"/>
          </w:tcPr>
          <w:p>
            <w:pPr>
              <w:jc w:val="center"/>
              <w:rPr>
                <w:rFonts w:ascii="宋体" w:hAnsi="宋体"/>
                <w:szCs w:val="21"/>
              </w:rPr>
            </w:pPr>
            <w:r>
              <w:rPr>
                <w:rFonts w:ascii="宋体" w:hAnsi="宋体" w:cs="宋体"/>
                <w:b/>
                <w:bCs/>
                <w:szCs w:val="21"/>
              </w:rPr>
              <w:t xml:space="preserve">分值</w:t>
            </w:r>
            <w:r/>
          </w:p>
        </w:tc>
        <w:tc>
          <w:tcPr>
            <w:tcW w:w="8222" w:type="dxa"/>
            <w:vAlign w:val="center"/>
            <w:textDirection w:val="lrTb"/>
            <w:noWrap w:val="false"/>
          </w:tcPr>
          <w:p>
            <w:pPr>
              <w:jc w:val="center"/>
              <w:rPr>
                <w:rFonts w:ascii="宋体" w:hAnsi="宋体"/>
                <w:szCs w:val="21"/>
              </w:rPr>
            </w:pPr>
            <w:r>
              <w:rPr>
                <w:rFonts w:ascii="宋体" w:hAnsi="宋体" w:cs="宋体"/>
                <w:b/>
                <w:bCs/>
                <w:szCs w:val="21"/>
              </w:rPr>
              <w:t xml:space="preserve">评分要求</w:t>
            </w:r>
            <w:r/>
          </w:p>
        </w:tc>
      </w:tr>
      <w:tr>
        <w:trPr>
          <w:trHeight w:val="1334"/>
        </w:trPr>
        <w:tc>
          <w:tcPr>
            <w:tcW w:w="1276" w:type="dxa"/>
            <w:vAlign w:val="center"/>
            <w:textDirection w:val="lrTb"/>
            <w:noWrap w:val="false"/>
          </w:tcPr>
          <w:p>
            <w:pPr>
              <w:jc w:val="center"/>
              <w:rPr>
                <w:rFonts w:ascii="宋体" w:hAnsi="宋体"/>
                <w:szCs w:val="21"/>
              </w:rPr>
            </w:pPr>
            <w:r>
              <w:rPr>
                <w:rFonts w:ascii="宋体" w:hAnsi="宋体" w:cs="宋体"/>
                <w:szCs w:val="21"/>
              </w:rPr>
              <w:t xml:space="preserve">项目实施</w:t>
            </w:r>
            <w:r>
              <w:rPr>
                <w:rFonts w:hint="eastAsia" w:ascii="宋体" w:hAnsi="宋体" w:cs="宋体"/>
                <w:szCs w:val="21"/>
              </w:rPr>
              <w:t xml:space="preserve">方案（</w:t>
            </w:r>
            <w:r>
              <w:rPr>
                <w:rFonts w:ascii="宋体" w:hAnsi="宋体" w:cs="宋体"/>
                <w:szCs w:val="21"/>
              </w:rPr>
              <w:t xml:space="preserve">12</w:t>
            </w:r>
            <w:r>
              <w:rPr>
                <w:rFonts w:hint="eastAsia" w:ascii="宋体" w:hAnsi="宋体" w:cs="宋体"/>
                <w:szCs w:val="21"/>
              </w:rPr>
              <w:t xml:space="preserve">分）</w:t>
            </w:r>
            <w:r/>
          </w:p>
        </w:tc>
        <w:tc>
          <w:tcPr>
            <w:tcW w:w="8222" w:type="dxa"/>
            <w:vAlign w:val="center"/>
            <w:textDirection w:val="lrTb"/>
            <w:noWrap w:val="false"/>
          </w:tcPr>
          <w:p>
            <w:pPr>
              <w:rPr>
                <w:rFonts w:ascii="宋体" w:hAnsi="宋体" w:cs="宋体"/>
                <w:szCs w:val="21"/>
              </w:rPr>
            </w:pPr>
            <w:r>
              <w:rPr>
                <w:rFonts w:ascii="宋体" w:hAnsi="宋体" w:cs="宋体"/>
                <w:b/>
                <w:bCs/>
                <w:szCs w:val="21"/>
              </w:rPr>
              <w:t xml:space="preserve">优</w:t>
            </w:r>
            <w:r>
              <w:rPr>
                <w:rFonts w:ascii="宋体" w:hAnsi="宋体" w:cs="宋体"/>
                <w:szCs w:val="21"/>
              </w:rPr>
              <w:t xml:space="preserve">：实施方案内容系统、完善，技术路线清晰、科学、可行的</w:t>
            </w:r>
            <w:r>
              <w:rPr>
                <w:rFonts w:hint="eastAsia" w:ascii="宋体" w:hAnsi="宋体" w:cs="宋体"/>
                <w:szCs w:val="21"/>
              </w:rPr>
              <w:t xml:space="preserve">，</w:t>
            </w:r>
            <w:r>
              <w:rPr>
                <w:rFonts w:ascii="宋体" w:hAnsi="宋体" w:cs="宋体"/>
                <w:b/>
                <w:bCs/>
                <w:szCs w:val="21"/>
              </w:rPr>
              <w:t xml:space="preserve">得12分</w:t>
            </w:r>
            <w:r>
              <w:rPr>
                <w:rFonts w:ascii="宋体" w:hAnsi="宋体" w:cs="宋体"/>
                <w:szCs w:val="21"/>
              </w:rPr>
              <w:t xml:space="preserve">；</w:t>
            </w:r>
            <w:r/>
          </w:p>
          <w:p>
            <w:pPr>
              <w:rPr>
                <w:rFonts w:ascii="宋体" w:hAnsi="宋体" w:cs="宋体"/>
                <w:szCs w:val="21"/>
              </w:rPr>
            </w:pPr>
            <w:r>
              <w:rPr>
                <w:rFonts w:ascii="宋体" w:hAnsi="宋体" w:cs="宋体"/>
                <w:b/>
                <w:bCs/>
                <w:szCs w:val="21"/>
              </w:rPr>
              <w:t xml:space="preserve">良</w:t>
            </w:r>
            <w:r>
              <w:rPr>
                <w:rFonts w:ascii="宋体" w:hAnsi="宋体" w:cs="宋体"/>
                <w:szCs w:val="21"/>
              </w:rPr>
              <w:t xml:space="preserve">：实施方案内容比较系统、完善，技术路线比较清晰、科学、可行的</w:t>
            </w:r>
            <w:r>
              <w:rPr>
                <w:rFonts w:hint="eastAsia" w:ascii="宋体" w:hAnsi="宋体" w:cs="宋体"/>
                <w:szCs w:val="21"/>
              </w:rPr>
              <w:t xml:space="preserve">，</w:t>
            </w:r>
            <w:r>
              <w:rPr>
                <w:rFonts w:ascii="宋体" w:hAnsi="宋体" w:cs="宋体"/>
                <w:b/>
                <w:bCs/>
                <w:szCs w:val="21"/>
              </w:rPr>
              <w:t xml:space="preserve">得</w:t>
            </w:r>
            <w:r>
              <w:rPr>
                <w:rFonts w:ascii="宋体" w:hAnsi="宋体" w:cs="宋体"/>
                <w:b/>
                <w:bCs/>
                <w:szCs w:val="21"/>
              </w:rPr>
              <w:t xml:space="preserve">8分</w:t>
            </w:r>
            <w:r>
              <w:rPr>
                <w:rFonts w:ascii="宋体" w:hAnsi="宋体" w:cs="宋体"/>
                <w:szCs w:val="21"/>
              </w:rPr>
              <w:t xml:space="preserve">；</w:t>
            </w:r>
            <w:r/>
          </w:p>
          <w:p>
            <w:pPr>
              <w:spacing w:line="274" w:lineRule="exact"/>
              <w:rPr>
                <w:rFonts w:ascii="宋体" w:hAnsi="宋体" w:cs="宋体"/>
                <w:szCs w:val="21"/>
              </w:rPr>
            </w:pPr>
            <w:r>
              <w:rPr>
                <w:rFonts w:ascii="宋体" w:hAnsi="宋体" w:cs="宋体"/>
                <w:b/>
                <w:bCs/>
                <w:szCs w:val="21"/>
              </w:rPr>
              <w:t xml:space="preserve">一般</w:t>
            </w:r>
            <w:r>
              <w:rPr>
                <w:rFonts w:ascii="宋体" w:hAnsi="宋体" w:cs="宋体"/>
                <w:szCs w:val="21"/>
              </w:rPr>
              <w:t xml:space="preserve">：实施方案内容基本系统、完善，技术路线基本清晰、科学、可行的</w:t>
            </w:r>
            <w:r>
              <w:rPr>
                <w:rFonts w:hint="eastAsia" w:ascii="宋体" w:hAnsi="宋体" w:cs="宋体"/>
                <w:szCs w:val="21"/>
              </w:rPr>
              <w:t xml:space="preserve">，</w:t>
            </w:r>
            <w:r>
              <w:rPr>
                <w:rFonts w:ascii="宋体" w:hAnsi="宋体" w:cs="宋体"/>
                <w:b/>
                <w:bCs/>
                <w:szCs w:val="21"/>
              </w:rPr>
              <w:t xml:space="preserve">得4分</w:t>
            </w:r>
            <w:r>
              <w:rPr>
                <w:rFonts w:ascii="宋体" w:hAnsi="宋体" w:cs="宋体"/>
                <w:szCs w:val="21"/>
              </w:rPr>
              <w:t xml:space="preserve">；</w:t>
            </w:r>
            <w:r/>
          </w:p>
          <w:p>
            <w:pPr>
              <w:rPr>
                <w:rFonts w:ascii="宋体" w:hAnsi="宋体"/>
                <w:szCs w:val="21"/>
              </w:rPr>
            </w:pPr>
            <w:r>
              <w:rPr>
                <w:rFonts w:ascii="宋体" w:hAnsi="宋体" w:cs="宋体"/>
                <w:szCs w:val="21"/>
              </w:rPr>
              <w:t xml:space="preserve">未提供不得分。</w:t>
            </w:r>
            <w:r/>
          </w:p>
        </w:tc>
      </w:tr>
      <w:tr>
        <w:trPr/>
        <w:tc>
          <w:tcPr>
            <w:tcW w:w="1276" w:type="dxa"/>
            <w:vAlign w:val="center"/>
            <w:textDirection w:val="lrTb"/>
            <w:noWrap w:val="false"/>
          </w:tcPr>
          <w:p>
            <w:pPr>
              <w:jc w:val="center"/>
              <w:rPr>
                <w:rFonts w:ascii="宋体" w:hAnsi="宋体"/>
                <w:szCs w:val="21"/>
              </w:rPr>
            </w:pPr>
            <w:r>
              <w:rPr>
                <w:rFonts w:ascii="宋体" w:hAnsi="宋体" w:cs="宋体"/>
                <w:szCs w:val="21"/>
              </w:rPr>
              <w:t xml:space="preserve">质量控制措施及服务保障方案</w:t>
            </w:r>
            <w:r>
              <w:rPr>
                <w:rFonts w:hint="eastAsia" w:ascii="宋体" w:hAnsi="宋体" w:cs="宋体"/>
                <w:szCs w:val="21"/>
              </w:rPr>
              <w:t xml:space="preserve">（</w:t>
            </w:r>
            <w:r>
              <w:rPr>
                <w:rFonts w:ascii="宋体" w:hAnsi="宋体" w:cs="宋体"/>
                <w:szCs w:val="21"/>
              </w:rPr>
              <w:t xml:space="preserve">12分）</w:t>
            </w:r>
            <w:r/>
          </w:p>
        </w:tc>
        <w:tc>
          <w:tcPr>
            <w:tcW w:w="8222" w:type="dxa"/>
            <w:vAlign w:val="center"/>
            <w:textDirection w:val="lrTb"/>
            <w:noWrap w:val="false"/>
          </w:tcPr>
          <w:p>
            <w:pPr>
              <w:spacing w:line="274" w:lineRule="exact"/>
              <w:rPr>
                <w:rFonts w:ascii="宋体" w:hAnsi="宋体" w:cs="宋体"/>
                <w:szCs w:val="21"/>
              </w:rPr>
            </w:pPr>
            <w:r>
              <w:rPr>
                <w:rFonts w:ascii="宋体" w:hAnsi="宋体" w:cs="宋体"/>
                <w:b/>
                <w:bCs/>
                <w:szCs w:val="21"/>
              </w:rPr>
              <w:t xml:space="preserve">优</w:t>
            </w:r>
            <w:r>
              <w:rPr>
                <w:rFonts w:ascii="宋体" w:hAnsi="宋体" w:cs="宋体"/>
                <w:szCs w:val="21"/>
              </w:rPr>
              <w:t xml:space="preserve">：质量管理保证、技术管理保证、进度管理措施完善，项目实施全过程质量控制措施完整有效的</w:t>
            </w:r>
            <w:r>
              <w:rPr>
                <w:rFonts w:hint="eastAsia" w:ascii="宋体" w:hAnsi="宋体" w:cs="宋体"/>
                <w:szCs w:val="21"/>
              </w:rPr>
              <w:t xml:space="preserve">，</w:t>
            </w:r>
            <w:r>
              <w:rPr>
                <w:rFonts w:ascii="宋体" w:hAnsi="宋体" w:cs="宋体"/>
                <w:b/>
                <w:bCs/>
                <w:szCs w:val="21"/>
              </w:rPr>
              <w:t xml:space="preserve">得</w:t>
            </w:r>
            <w:r>
              <w:rPr>
                <w:rFonts w:ascii="宋体" w:hAnsi="宋体" w:cs="宋体"/>
                <w:szCs w:val="21"/>
              </w:rPr>
              <w:t xml:space="preserve"> </w:t>
            </w:r>
            <w:r>
              <w:rPr>
                <w:rFonts w:ascii="宋体" w:hAnsi="宋体" w:cs="宋体"/>
                <w:b/>
                <w:bCs/>
                <w:szCs w:val="21"/>
              </w:rPr>
              <w:t xml:space="preserve">12分</w:t>
            </w:r>
            <w:r>
              <w:rPr>
                <w:rFonts w:ascii="宋体" w:hAnsi="宋体" w:cs="宋体"/>
                <w:szCs w:val="21"/>
              </w:rPr>
              <w:t xml:space="preserve">；</w:t>
            </w:r>
            <w:r/>
          </w:p>
          <w:p>
            <w:pPr>
              <w:spacing w:line="274" w:lineRule="exact"/>
              <w:rPr>
                <w:rFonts w:ascii="宋体" w:hAnsi="宋体"/>
                <w:szCs w:val="21"/>
              </w:rPr>
            </w:pPr>
            <w:r>
              <w:rPr>
                <w:rFonts w:ascii="宋体" w:hAnsi="宋体" w:cs="宋体"/>
                <w:b/>
                <w:bCs/>
                <w:szCs w:val="21"/>
              </w:rPr>
              <w:t xml:space="preserve">良</w:t>
            </w:r>
            <w:r>
              <w:rPr>
                <w:rFonts w:ascii="宋体" w:hAnsi="宋体" w:cs="宋体"/>
                <w:szCs w:val="21"/>
              </w:rPr>
              <w:t xml:space="preserve">：质量管理保证、技术管理保证、进度管理措施较为完善，项目实施全过程质量控制措施较为完整有效的</w:t>
            </w:r>
            <w:r>
              <w:rPr>
                <w:rFonts w:hint="eastAsia" w:ascii="宋体" w:hAnsi="宋体" w:cs="宋体"/>
                <w:szCs w:val="21"/>
              </w:rPr>
              <w:t xml:space="preserve">，</w:t>
            </w:r>
            <w:r>
              <w:rPr>
                <w:rFonts w:ascii="宋体" w:hAnsi="宋体" w:cs="宋体"/>
                <w:b/>
                <w:bCs/>
                <w:szCs w:val="21"/>
              </w:rPr>
              <w:t xml:space="preserve">得8分</w:t>
            </w:r>
            <w:r>
              <w:rPr>
                <w:rFonts w:ascii="宋体" w:hAnsi="宋体" w:cs="宋体"/>
                <w:szCs w:val="21"/>
              </w:rPr>
              <w:t xml:space="preserve">；</w:t>
            </w:r>
            <w:r/>
          </w:p>
          <w:p>
            <w:pPr>
              <w:spacing w:line="274" w:lineRule="exact"/>
              <w:rPr>
                <w:rFonts w:ascii="宋体" w:hAnsi="宋体"/>
                <w:szCs w:val="21"/>
              </w:rPr>
            </w:pPr>
            <w:r>
              <w:rPr>
                <w:rFonts w:ascii="宋体" w:hAnsi="宋体" w:cs="宋体"/>
                <w:b/>
                <w:bCs/>
                <w:szCs w:val="21"/>
              </w:rPr>
              <w:t xml:space="preserve">一般</w:t>
            </w:r>
            <w:r>
              <w:rPr>
                <w:rFonts w:ascii="宋体" w:hAnsi="宋体" w:cs="宋体"/>
                <w:szCs w:val="21"/>
              </w:rPr>
              <w:t xml:space="preserve">：质量管理保证、技术管理保证、进度管理措施基本完善，项目实施全过程质量控制措施基本完整有效的</w:t>
            </w:r>
            <w:r>
              <w:rPr>
                <w:rFonts w:hint="eastAsia" w:ascii="宋体" w:hAnsi="宋体" w:cs="宋体"/>
                <w:szCs w:val="21"/>
              </w:rPr>
              <w:t xml:space="preserve">，</w:t>
            </w:r>
            <w:r>
              <w:rPr>
                <w:rFonts w:ascii="宋体" w:hAnsi="宋体" w:cs="宋体"/>
                <w:b/>
                <w:bCs/>
                <w:szCs w:val="21"/>
              </w:rPr>
              <w:t xml:space="preserve">得4分</w:t>
            </w:r>
            <w:r>
              <w:rPr>
                <w:rFonts w:ascii="宋体" w:hAnsi="宋体" w:cs="宋体"/>
                <w:szCs w:val="21"/>
              </w:rPr>
              <w:t xml:space="preserve">。</w:t>
            </w:r>
            <w:r/>
          </w:p>
          <w:p>
            <w:pPr>
              <w:spacing w:line="300" w:lineRule="exact"/>
              <w:rPr>
                <w:rFonts w:ascii="宋体" w:hAnsi="宋体"/>
                <w:szCs w:val="21"/>
              </w:rPr>
            </w:pPr>
            <w:r>
              <w:rPr>
                <w:rFonts w:ascii="宋体" w:hAnsi="宋体" w:cs="宋体"/>
                <w:szCs w:val="21"/>
              </w:rPr>
              <w:t xml:space="preserve">未提供不得分。</w:t>
            </w:r>
            <w:r/>
          </w:p>
        </w:tc>
      </w:tr>
      <w:tr>
        <w:trPr/>
        <w:tc>
          <w:tcPr>
            <w:tcW w:w="1276" w:type="dxa"/>
            <w:vAlign w:val="center"/>
            <w:textDirection w:val="lrTb"/>
            <w:noWrap w:val="false"/>
          </w:tcPr>
          <w:p>
            <w:pPr>
              <w:jc w:val="center"/>
              <w:rPr>
                <w:rFonts w:ascii="宋体" w:hAnsi="宋体"/>
                <w:szCs w:val="21"/>
              </w:rPr>
            </w:pPr>
            <w:r>
              <w:rPr>
                <w:rFonts w:ascii="宋体" w:hAnsi="宋体" w:cs="宋体"/>
                <w:szCs w:val="21"/>
              </w:rPr>
              <w:t xml:space="preserve">应急响应方</w:t>
            </w:r>
            <w:r>
              <w:rPr>
                <w:rFonts w:hint="eastAsia" w:ascii="宋体" w:hAnsi="宋体" w:cs="宋体"/>
                <w:szCs w:val="21"/>
              </w:rPr>
              <w:t xml:space="preserve">案</w:t>
            </w:r>
            <w:r>
              <w:rPr>
                <w:rFonts w:ascii="宋体" w:hAnsi="宋体" w:cs="宋体"/>
                <w:szCs w:val="21"/>
              </w:rPr>
              <w:t xml:space="preserve">（5分）</w:t>
            </w:r>
            <w:r/>
          </w:p>
        </w:tc>
        <w:tc>
          <w:tcPr>
            <w:tcW w:w="8222" w:type="dxa"/>
            <w:vAlign w:val="center"/>
            <w:textDirection w:val="lrTb"/>
            <w:noWrap w:val="false"/>
          </w:tcPr>
          <w:p>
            <w:pPr>
              <w:rPr>
                <w:rFonts w:ascii="宋体" w:hAnsi="宋体" w:cs="宋体"/>
                <w:szCs w:val="21"/>
              </w:rPr>
            </w:pPr>
            <w:r>
              <w:rPr>
                <w:rFonts w:ascii="宋体" w:hAnsi="宋体" w:cs="宋体"/>
                <w:b/>
                <w:bCs/>
                <w:szCs w:val="21"/>
              </w:rPr>
              <w:t xml:space="preserve">优</w:t>
            </w:r>
            <w:r>
              <w:rPr>
                <w:rFonts w:ascii="宋体" w:hAnsi="宋体" w:cs="宋体"/>
                <w:szCs w:val="21"/>
              </w:rPr>
              <w:t xml:space="preserve">：应急响应方案系统、完善，可行性高的</w:t>
            </w:r>
            <w:r>
              <w:rPr>
                <w:rFonts w:hint="eastAsia" w:ascii="宋体" w:hAnsi="宋体" w:cs="宋体"/>
                <w:szCs w:val="21"/>
              </w:rPr>
              <w:t xml:space="preserve">，</w:t>
            </w:r>
            <w:r>
              <w:rPr>
                <w:rFonts w:ascii="宋体" w:hAnsi="宋体" w:cs="宋体"/>
                <w:b/>
                <w:bCs/>
                <w:szCs w:val="21"/>
              </w:rPr>
              <w:t xml:space="preserve">得5分</w:t>
            </w:r>
            <w:r>
              <w:rPr>
                <w:rFonts w:ascii="宋体" w:hAnsi="宋体" w:cs="宋体"/>
                <w:szCs w:val="21"/>
              </w:rPr>
              <w:t xml:space="preserve">；</w:t>
            </w:r>
            <w:r/>
          </w:p>
          <w:p>
            <w:pPr>
              <w:rPr>
                <w:rFonts w:ascii="宋体" w:hAnsi="宋体" w:cs="宋体"/>
                <w:szCs w:val="21"/>
              </w:rPr>
            </w:pPr>
            <w:r>
              <w:rPr>
                <w:rFonts w:ascii="宋体" w:hAnsi="宋体" w:cs="宋体"/>
                <w:b/>
                <w:bCs/>
                <w:szCs w:val="21"/>
              </w:rPr>
              <w:t xml:space="preserve">良</w:t>
            </w:r>
            <w:r>
              <w:rPr>
                <w:rFonts w:ascii="宋体" w:hAnsi="宋体" w:cs="宋体"/>
                <w:szCs w:val="21"/>
              </w:rPr>
              <w:t xml:space="preserve">：应急响应方案比较系统、完善，具有可行性的</w:t>
            </w:r>
            <w:r>
              <w:rPr>
                <w:rFonts w:hint="eastAsia" w:ascii="宋体" w:hAnsi="宋体" w:cs="宋体"/>
                <w:szCs w:val="21"/>
              </w:rPr>
              <w:t xml:space="preserve">，</w:t>
            </w:r>
            <w:r>
              <w:rPr>
                <w:rFonts w:ascii="宋体" w:hAnsi="宋体" w:cs="宋体"/>
                <w:b/>
                <w:bCs/>
                <w:szCs w:val="21"/>
              </w:rPr>
              <w:t xml:space="preserve">得3分</w:t>
            </w:r>
            <w:r>
              <w:rPr>
                <w:rFonts w:ascii="宋体" w:hAnsi="宋体" w:cs="宋体"/>
                <w:szCs w:val="21"/>
              </w:rPr>
              <w:t xml:space="preserve">；</w:t>
            </w:r>
            <w:r/>
          </w:p>
          <w:p>
            <w:pPr>
              <w:rPr>
                <w:rFonts w:ascii="宋体" w:hAnsi="宋体" w:cs="宋体"/>
                <w:szCs w:val="21"/>
              </w:rPr>
            </w:pPr>
            <w:r>
              <w:rPr>
                <w:rFonts w:ascii="宋体" w:hAnsi="宋体" w:cs="宋体"/>
                <w:b/>
                <w:bCs/>
                <w:szCs w:val="21"/>
              </w:rPr>
              <w:t xml:space="preserve">一般</w:t>
            </w:r>
            <w:r>
              <w:rPr>
                <w:rFonts w:ascii="宋体" w:hAnsi="宋体" w:cs="宋体"/>
                <w:szCs w:val="21"/>
              </w:rPr>
              <w:t xml:space="preserve">：应急响应方案基本系统、完善，基本可行的</w:t>
            </w:r>
            <w:r>
              <w:rPr>
                <w:rFonts w:hint="eastAsia" w:ascii="宋体" w:hAnsi="宋体" w:cs="宋体"/>
                <w:szCs w:val="21"/>
              </w:rPr>
              <w:t xml:space="preserve">，</w:t>
            </w:r>
            <w:r>
              <w:rPr>
                <w:rFonts w:ascii="宋体" w:hAnsi="宋体" w:cs="宋体"/>
                <w:b/>
                <w:bCs/>
                <w:szCs w:val="21"/>
              </w:rPr>
              <w:t xml:space="preserve">得1分</w:t>
            </w:r>
            <w:r>
              <w:rPr>
                <w:rFonts w:ascii="宋体" w:hAnsi="宋体" w:cs="宋体"/>
                <w:szCs w:val="21"/>
              </w:rPr>
              <w:t xml:space="preserve">。</w:t>
            </w:r>
            <w:r/>
          </w:p>
          <w:p>
            <w:pPr>
              <w:rPr>
                <w:rFonts w:ascii="宋体" w:hAnsi="宋体"/>
                <w:szCs w:val="21"/>
              </w:rPr>
            </w:pPr>
            <w:r>
              <w:rPr>
                <w:rFonts w:ascii="宋体" w:hAnsi="宋体" w:cs="宋体"/>
                <w:szCs w:val="21"/>
              </w:rPr>
              <w:t xml:space="preserve">未提供不得分。</w:t>
            </w:r>
            <w:r/>
          </w:p>
        </w:tc>
      </w:tr>
      <w:tr>
        <w:trPr/>
        <w:tc>
          <w:tcPr>
            <w:tcW w:w="1276" w:type="dxa"/>
            <w:vAlign w:val="center"/>
            <w:textDirection w:val="lrTb"/>
            <w:noWrap w:val="false"/>
          </w:tcPr>
          <w:p>
            <w:pPr>
              <w:jc w:val="center"/>
              <w:rPr>
                <w:rFonts w:ascii="宋体" w:hAnsi="宋体"/>
                <w:szCs w:val="21"/>
              </w:rPr>
            </w:pPr>
            <w:r>
              <w:rPr>
                <w:rFonts w:hint="eastAsia" w:ascii="宋体" w:hAnsi="宋体"/>
                <w:szCs w:val="21"/>
              </w:rPr>
              <w:t xml:space="preserve">应急响应能力（</w:t>
            </w:r>
            <w:r>
              <w:rPr>
                <w:rFonts w:ascii="宋体" w:hAnsi="宋体"/>
                <w:szCs w:val="21"/>
              </w:rPr>
              <w:t xml:space="preserve">6</w:t>
            </w:r>
            <w:r>
              <w:rPr>
                <w:rFonts w:hint="eastAsia" w:ascii="宋体" w:hAnsi="宋体"/>
                <w:szCs w:val="21"/>
              </w:rPr>
              <w:t xml:space="preserve">分）</w:t>
            </w:r>
            <w:r/>
          </w:p>
        </w:tc>
        <w:tc>
          <w:tcPr>
            <w:tcW w:w="8222" w:type="dxa"/>
            <w:vAlign w:val="center"/>
            <w:textDirection w:val="lrTb"/>
            <w:noWrap w:val="false"/>
          </w:tcPr>
          <w:p>
            <w:pPr>
              <w:rPr>
                <w:rFonts w:ascii="宋体" w:hAnsi="宋体" w:cs="宋体"/>
                <w:szCs w:val="21"/>
              </w:rPr>
            </w:pPr>
            <w:r>
              <w:rPr>
                <w:rFonts w:ascii="宋体" w:hAnsi="宋体" w:cs="宋体"/>
                <w:szCs w:val="21"/>
              </w:rPr>
              <w:t xml:space="preserve">投标人能够配合采购人开展辖区内突发应急监测，</w:t>
            </w:r>
            <w:r>
              <w:rPr>
                <w:rFonts w:hint="eastAsia" w:ascii="宋体" w:hAnsi="宋体" w:cs="宋体"/>
                <w:szCs w:val="21"/>
              </w:rPr>
              <w:t xml:space="preserve">并提供应急响应服务承诺书，承诺能在30分钟内响应并到达采购人办公地点的，</w:t>
            </w:r>
            <w:r>
              <w:rPr>
                <w:rFonts w:hint="eastAsia" w:ascii="宋体" w:hAnsi="宋体" w:cs="宋体"/>
                <w:b/>
                <w:szCs w:val="21"/>
              </w:rPr>
              <w:t xml:space="preserve">得</w:t>
            </w:r>
            <w:r>
              <w:rPr>
                <w:rFonts w:ascii="宋体" w:hAnsi="宋体" w:cs="宋体"/>
                <w:b/>
                <w:szCs w:val="21"/>
              </w:rPr>
              <w:t xml:space="preserve">6</w:t>
            </w:r>
            <w:r>
              <w:rPr>
                <w:rFonts w:hint="eastAsia" w:ascii="宋体" w:hAnsi="宋体" w:cs="宋体"/>
                <w:b/>
                <w:szCs w:val="21"/>
              </w:rPr>
              <w:t xml:space="preserve">分</w:t>
            </w:r>
            <w:r>
              <w:rPr>
                <w:rFonts w:ascii="宋体" w:hAnsi="宋体" w:cs="宋体"/>
                <w:szCs w:val="21"/>
              </w:rPr>
              <w:t xml:space="preserve">；承诺能在1小时内响应并到达采购人办公地点的</w:t>
            </w:r>
            <w:r>
              <w:rPr>
                <w:rFonts w:hint="eastAsia" w:ascii="宋体" w:hAnsi="宋体" w:cs="宋体"/>
                <w:szCs w:val="21"/>
              </w:rPr>
              <w:t xml:space="preserve">，</w:t>
            </w:r>
            <w:r>
              <w:rPr>
                <w:rFonts w:ascii="宋体" w:hAnsi="宋体" w:cs="宋体"/>
                <w:b/>
                <w:bCs/>
                <w:szCs w:val="21"/>
              </w:rPr>
              <w:t xml:space="preserve">得3分</w:t>
            </w:r>
            <w:r>
              <w:rPr>
                <w:rFonts w:ascii="宋体" w:hAnsi="宋体" w:cs="宋体"/>
                <w:szCs w:val="21"/>
              </w:rPr>
              <w:t xml:space="preserve">；承诺能在2小时内响应并到达采购人办公地点的</w:t>
            </w:r>
            <w:r>
              <w:rPr>
                <w:rFonts w:hint="eastAsia" w:ascii="宋体" w:hAnsi="宋体" w:cs="宋体"/>
                <w:szCs w:val="21"/>
              </w:rPr>
              <w:t xml:space="preserve">，</w:t>
            </w:r>
            <w:r>
              <w:rPr>
                <w:rFonts w:ascii="宋体" w:hAnsi="宋体" w:cs="宋体"/>
                <w:b/>
                <w:bCs/>
                <w:szCs w:val="21"/>
              </w:rPr>
              <w:t xml:space="preserve">得1分；</w:t>
            </w:r>
            <w:r>
              <w:rPr>
                <w:rFonts w:hint="eastAsia" w:ascii="宋体" w:hAnsi="宋体" w:cs="宋体"/>
                <w:szCs w:val="21"/>
              </w:rPr>
              <w:t xml:space="preserve">2小时及以上的不得分。</w:t>
            </w:r>
            <w:r/>
          </w:p>
          <w:p>
            <w:pPr>
              <w:spacing w:line="274" w:lineRule="exact"/>
              <w:tabs>
                <w:tab w:val="left" w:pos="1400" w:leader="none"/>
              </w:tabs>
              <w:rPr>
                <w:rFonts w:ascii="宋体" w:hAnsi="宋体"/>
                <w:szCs w:val="21"/>
              </w:rPr>
            </w:pPr>
            <w:r>
              <w:rPr>
                <w:rFonts w:ascii="宋体" w:hAnsi="宋体" w:cs="宋体"/>
                <w:b/>
                <w:bCs/>
                <w:szCs w:val="21"/>
              </w:rPr>
              <w:t xml:space="preserve">注：须提供承诺书</w:t>
            </w:r>
            <w:r>
              <w:rPr>
                <w:rFonts w:hint="eastAsia" w:ascii="宋体" w:hAnsi="宋体" w:cs="宋体"/>
                <w:b/>
                <w:bCs/>
                <w:szCs w:val="21"/>
              </w:rPr>
              <w:t xml:space="preserve">以及</w:t>
            </w:r>
            <w:r>
              <w:rPr>
                <w:rFonts w:ascii="宋体" w:hAnsi="宋体" w:cs="宋体"/>
                <w:b/>
                <w:bCs/>
                <w:szCs w:val="21"/>
              </w:rPr>
              <w:t xml:space="preserve"> CMA 资质证书。</w:t>
            </w:r>
            <w:r/>
          </w:p>
        </w:tc>
      </w:tr>
    </w:tbl>
    <w:p>
      <w:pPr>
        <w:ind w:firstLine="480"/>
        <w:jc w:val="left"/>
        <w:spacing w:line="500" w:lineRule="exact"/>
        <w:rPr>
          <w:sz w:val="24"/>
          <w:szCs w:val="24"/>
        </w:rPr>
      </w:pPr>
      <w:r>
        <w:rPr>
          <w:rFonts w:hint="eastAsia"/>
          <w:sz w:val="24"/>
          <w:szCs w:val="24"/>
        </w:rPr>
        <w:t xml:space="preserve">3.商务分: 50分</w:t>
      </w:r>
      <w:r/>
    </w:p>
    <w:tbl>
      <w:tblPr>
        <w:tblStyle w:val="673"/>
        <w:tblpPr w:horzAnchor="page" w:tblpX="1737" w:vertAnchor="text" w:tblpY="266" w:leftFromText="180" w:topFromText="0" w:rightFromText="180" w:bottomFromText="0"/>
        <w:tblW w:w="94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8221"/>
      </w:tblGrid>
      <w:tr>
        <w:trPr>
          <w:trHeight w:val="452"/>
        </w:trPr>
        <w:tc>
          <w:tcPr>
            <w:tcW w:w="1276" w:type="dxa"/>
            <w:vAlign w:val="center"/>
            <w:textDirection w:val="lrTb"/>
            <w:noWrap w:val="false"/>
          </w:tcPr>
          <w:p>
            <w:pPr>
              <w:jc w:val="center"/>
              <w:rPr>
                <w:rFonts w:ascii="宋体" w:hAnsi="宋体"/>
                <w:szCs w:val="21"/>
              </w:rPr>
            </w:pPr>
            <w:r>
              <w:rPr>
                <w:rFonts w:ascii="宋体" w:hAnsi="宋体" w:cs="宋体"/>
                <w:b/>
                <w:bCs/>
                <w:szCs w:val="21"/>
              </w:rPr>
              <w:t xml:space="preserve">分值</w:t>
            </w:r>
            <w:r/>
          </w:p>
        </w:tc>
        <w:tc>
          <w:tcPr>
            <w:tcW w:w="8221" w:type="dxa"/>
            <w:vAlign w:val="center"/>
            <w:textDirection w:val="lrTb"/>
            <w:noWrap w:val="false"/>
          </w:tcPr>
          <w:p>
            <w:pPr>
              <w:jc w:val="center"/>
              <w:rPr>
                <w:rFonts w:ascii="宋体" w:hAnsi="宋体"/>
                <w:szCs w:val="21"/>
              </w:rPr>
            </w:pPr>
            <w:r>
              <w:rPr>
                <w:rFonts w:ascii="宋体" w:hAnsi="宋体" w:cs="宋体"/>
                <w:b/>
                <w:bCs/>
                <w:szCs w:val="21"/>
              </w:rPr>
              <w:t xml:space="preserve">评分要求</w:t>
            </w:r>
            <w:r/>
          </w:p>
        </w:tc>
      </w:tr>
      <w:tr>
        <w:trPr/>
        <w:tc>
          <w:tcPr>
            <w:tcW w:w="1276" w:type="dxa"/>
            <w:vAlign w:val="center"/>
            <w:vMerge w:val="restart"/>
            <w:textDirection w:val="lrTb"/>
            <w:noWrap w:val="false"/>
          </w:tcPr>
          <w:p>
            <w:pPr>
              <w:jc w:val="center"/>
              <w:rPr>
                <w:rFonts w:ascii="宋体" w:hAnsi="宋体"/>
                <w:color w:val="auto"/>
                <w:szCs w:val="21"/>
              </w:rPr>
            </w:pPr>
            <w:r>
              <w:rPr>
                <w:rFonts w:hint="eastAsia" w:ascii="宋体" w:hAnsi="宋体" w:cs="宋体"/>
                <w:color w:val="auto"/>
                <w:szCs w:val="21"/>
              </w:rPr>
              <w:t xml:space="preserve">实验室检测能力（</w:t>
            </w:r>
            <w:r>
              <w:rPr>
                <w:rFonts w:ascii="宋体" w:hAnsi="宋体" w:cs="宋体"/>
                <w:color w:val="auto"/>
                <w:szCs w:val="21"/>
              </w:rPr>
              <w:t xml:space="preserve">12</w:t>
            </w:r>
            <w:r>
              <w:rPr>
                <w:rFonts w:hint="eastAsia" w:ascii="宋体" w:hAnsi="宋体" w:cs="宋体"/>
                <w:color w:val="auto"/>
                <w:szCs w:val="21"/>
              </w:rPr>
              <w:t xml:space="preserve">分）</w:t>
            </w:r>
            <w:r/>
          </w:p>
        </w:tc>
        <w:tc>
          <w:tcPr>
            <w:tcW w:w="8221"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（1）投标人实验室</w:t>
            </w:r>
            <w:r>
              <w:rPr>
                <w:rFonts w:ascii="宋体" w:hAnsi="宋体" w:cs="宋体"/>
                <w:color w:val="auto"/>
                <w:szCs w:val="21"/>
              </w:rPr>
              <w:t xml:space="preserve">CMA</w:t>
            </w:r>
            <w:r>
              <w:rPr>
                <w:rFonts w:hint="eastAsia" w:ascii="宋体" w:hAnsi="宋体" w:cs="宋体"/>
                <w:color w:val="auto"/>
                <w:szCs w:val="21"/>
              </w:rPr>
              <w:t xml:space="preserve">资质批准的环境相关检测能力达到</w:t>
            </w:r>
            <w:r>
              <w:rPr>
                <w:rFonts w:ascii="宋体" w:hAnsi="宋体" w:cs="宋体"/>
                <w:color w:val="auto"/>
                <w:szCs w:val="21"/>
              </w:rPr>
              <w:t xml:space="preserve">300</w:t>
            </w:r>
            <w:r>
              <w:rPr>
                <w:rFonts w:hint="eastAsia" w:ascii="宋体" w:hAnsi="宋体" w:cs="宋体"/>
                <w:color w:val="auto"/>
                <w:szCs w:val="21"/>
              </w:rPr>
              <w:t xml:space="preserve">项的，</w:t>
            </w:r>
            <w:r>
              <w:rPr>
                <w:rFonts w:hint="eastAsia" w:ascii="宋体" w:hAnsi="宋体" w:cs="宋体"/>
                <w:b/>
                <w:color w:val="auto"/>
                <w:szCs w:val="21"/>
              </w:rPr>
              <w:t xml:space="preserve">得</w:t>
            </w:r>
            <w:r>
              <w:rPr>
                <w:rFonts w:ascii="宋体" w:hAnsi="宋体" w:cs="宋体"/>
                <w:b/>
                <w:color w:val="auto"/>
                <w:szCs w:val="21"/>
              </w:rPr>
              <w:t xml:space="preserve">1</w:t>
            </w:r>
            <w:r>
              <w:rPr>
                <w:rFonts w:hint="eastAsia" w:ascii="宋体" w:hAnsi="宋体" w:cs="宋体"/>
                <w:b/>
                <w:color w:val="auto"/>
                <w:szCs w:val="21"/>
              </w:rPr>
              <w:t xml:space="preserve">分，</w:t>
            </w:r>
            <w:r>
              <w:rPr>
                <w:rFonts w:hint="eastAsia" w:ascii="宋体" w:hAnsi="宋体" w:cs="宋体"/>
                <w:color w:val="auto"/>
                <w:szCs w:val="21"/>
              </w:rPr>
              <w:t xml:space="preserve">每增加</w:t>
            </w:r>
            <w:r>
              <w:rPr>
                <w:rFonts w:ascii="宋体" w:hAnsi="宋体" w:cs="宋体"/>
                <w:color w:val="auto"/>
                <w:szCs w:val="21"/>
              </w:rPr>
              <w:t xml:space="preserve">50</w:t>
            </w:r>
            <w:r>
              <w:rPr>
                <w:rFonts w:hint="eastAsia" w:ascii="宋体" w:hAnsi="宋体" w:cs="宋体"/>
                <w:color w:val="auto"/>
                <w:szCs w:val="21"/>
              </w:rPr>
              <w:t xml:space="preserve">项的，</w:t>
            </w:r>
            <w:r>
              <w:rPr>
                <w:rFonts w:hint="eastAsia" w:ascii="宋体" w:hAnsi="宋体" w:cs="宋体"/>
                <w:b/>
                <w:color w:val="auto"/>
                <w:szCs w:val="21"/>
              </w:rPr>
              <w:t xml:space="preserve">得</w:t>
            </w:r>
            <w:r>
              <w:rPr>
                <w:rFonts w:ascii="宋体" w:hAnsi="宋体" w:cs="宋体"/>
                <w:b/>
                <w:color w:val="auto"/>
                <w:szCs w:val="21"/>
              </w:rPr>
              <w:t xml:space="preserve">1</w:t>
            </w:r>
            <w:r>
              <w:rPr>
                <w:rFonts w:hint="eastAsia" w:ascii="宋体" w:hAnsi="宋体" w:cs="宋体"/>
                <w:b/>
                <w:color w:val="auto"/>
                <w:szCs w:val="21"/>
              </w:rPr>
              <w:t xml:space="preserve">分；本项最高得</w:t>
            </w:r>
            <w:r>
              <w:rPr>
                <w:rFonts w:ascii="宋体" w:hAnsi="宋体" w:cs="宋体"/>
                <w:b/>
                <w:color w:val="auto"/>
                <w:szCs w:val="21"/>
              </w:rPr>
              <w:t xml:space="preserve">2</w:t>
            </w:r>
            <w:r>
              <w:rPr>
                <w:rFonts w:hint="eastAsia" w:ascii="宋体" w:hAnsi="宋体" w:cs="宋体"/>
                <w:b/>
                <w:color w:val="auto"/>
                <w:szCs w:val="21"/>
              </w:rPr>
              <w:t xml:space="preserve">分</w:t>
            </w:r>
            <w:r>
              <w:rPr>
                <w:rFonts w:hint="eastAsia" w:ascii="宋体" w:hAnsi="宋体" w:cs="宋体"/>
                <w:color w:val="auto"/>
                <w:szCs w:val="21"/>
              </w:rPr>
              <w:t xml:space="preserve">。</w:t>
            </w:r>
            <w:r/>
          </w:p>
          <w:p>
            <w:pPr>
              <w:rPr>
                <w:rFonts w:ascii="宋体" w:hAnsi="宋体"/>
                <w:color w:val="auto"/>
                <w:szCs w:val="21"/>
              </w:rPr>
            </w:pPr>
            <w:r>
              <w:rPr>
                <w:rFonts w:hint="eastAsia" w:ascii="宋体" w:hAnsi="宋体" w:cs="宋体"/>
                <w:b/>
                <w:color w:val="auto"/>
                <w:szCs w:val="21"/>
              </w:rPr>
              <w:t xml:space="preserve">注：提供</w:t>
            </w:r>
            <w:r>
              <w:rPr>
                <w:rFonts w:ascii="宋体" w:hAnsi="宋体" w:cs="宋体"/>
                <w:b/>
                <w:color w:val="auto"/>
                <w:szCs w:val="21"/>
              </w:rPr>
              <w:t xml:space="preserve">CMA</w:t>
            </w:r>
            <w:r>
              <w:rPr>
                <w:rFonts w:hint="eastAsia" w:ascii="宋体" w:hAnsi="宋体" w:cs="宋体"/>
                <w:b/>
                <w:color w:val="auto"/>
                <w:szCs w:val="21"/>
              </w:rPr>
              <w:t xml:space="preserve">证书及能力附表扫描件、电子件或复印件并加盖投标人公章。</w:t>
            </w:r>
            <w:r>
              <w:rPr>
                <w:rFonts w:ascii="宋体" w:hAnsi="宋体" w:cs="宋体"/>
                <w:b/>
                <w:color w:val="auto"/>
                <w:szCs w:val="21"/>
              </w:rPr>
              <w:t xml:space="preserve">CMA</w:t>
            </w:r>
            <w:r>
              <w:rPr>
                <w:rFonts w:hint="eastAsia" w:ascii="宋体" w:hAnsi="宋体" w:cs="宋体"/>
                <w:b/>
                <w:color w:val="auto"/>
                <w:szCs w:val="21"/>
              </w:rPr>
              <w:t xml:space="preserve">资质批准的检测能力项目数量以附表序列号为准，未按要求提供不得分。</w:t>
            </w:r>
            <w:r/>
          </w:p>
        </w:tc>
      </w:tr>
      <w:tr>
        <w:trPr/>
        <w:tc>
          <w:tcPr>
            <w:tcW w:w="1276"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8221"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w:t>
            </w:r>
            <w:r>
              <w:rPr>
                <w:rFonts w:ascii="宋体" w:hAnsi="宋体" w:cs="宋体"/>
                <w:color w:val="auto"/>
                <w:szCs w:val="21"/>
              </w:rPr>
              <w:t xml:space="preserve">2</w:t>
            </w:r>
            <w:r>
              <w:rPr>
                <w:rFonts w:hint="eastAsia" w:ascii="宋体" w:hAnsi="宋体" w:cs="宋体"/>
                <w:color w:val="auto"/>
                <w:szCs w:val="21"/>
              </w:rPr>
              <w:t xml:space="preserve">）投标人实验室检测能力在省级社会环境检测机构信息管理平台上登记、公开且备案项目总数50-70项（含）的，</w:t>
            </w:r>
            <w:r>
              <w:rPr>
                <w:rFonts w:hint="eastAsia" w:ascii="宋体" w:hAnsi="宋体" w:cs="宋体"/>
                <w:b/>
                <w:bCs/>
                <w:color w:val="auto"/>
                <w:szCs w:val="21"/>
              </w:rPr>
              <w:t xml:space="preserve">得</w:t>
            </w:r>
            <w:r>
              <w:rPr>
                <w:rFonts w:ascii="宋体" w:hAnsi="宋体" w:cs="宋体"/>
                <w:b/>
                <w:bCs/>
                <w:color w:val="auto"/>
                <w:szCs w:val="21"/>
              </w:rPr>
              <w:t xml:space="preserve">4</w:t>
            </w:r>
            <w:r>
              <w:rPr>
                <w:rFonts w:hint="eastAsia" w:ascii="宋体" w:hAnsi="宋体" w:cs="宋体"/>
                <w:b/>
                <w:bCs/>
                <w:color w:val="auto"/>
                <w:szCs w:val="21"/>
              </w:rPr>
              <w:t xml:space="preserve">分</w:t>
            </w:r>
            <w:r>
              <w:rPr>
                <w:rFonts w:hint="eastAsia" w:ascii="宋体" w:hAnsi="宋体" w:cs="宋体"/>
                <w:color w:val="auto"/>
                <w:szCs w:val="21"/>
              </w:rPr>
              <w:t xml:space="preserve">，70（不含）-90项（含）的，</w:t>
            </w:r>
            <w:r>
              <w:rPr>
                <w:rFonts w:hint="eastAsia" w:ascii="宋体" w:hAnsi="宋体" w:cs="宋体"/>
                <w:b/>
                <w:bCs/>
                <w:color w:val="auto"/>
                <w:szCs w:val="21"/>
              </w:rPr>
              <w:t xml:space="preserve">得</w:t>
            </w:r>
            <w:r>
              <w:rPr>
                <w:rFonts w:ascii="宋体" w:hAnsi="宋体" w:cs="宋体"/>
                <w:b/>
                <w:bCs/>
                <w:color w:val="auto"/>
                <w:szCs w:val="21"/>
              </w:rPr>
              <w:t xml:space="preserve">6</w:t>
            </w:r>
            <w:r>
              <w:rPr>
                <w:rFonts w:hint="eastAsia" w:ascii="宋体" w:hAnsi="宋体" w:cs="宋体"/>
                <w:b/>
                <w:bCs/>
                <w:color w:val="auto"/>
                <w:szCs w:val="21"/>
              </w:rPr>
              <w:t xml:space="preserve">分</w:t>
            </w:r>
            <w:r>
              <w:rPr>
                <w:rFonts w:hint="eastAsia" w:ascii="宋体" w:hAnsi="宋体" w:cs="宋体"/>
                <w:color w:val="auto"/>
                <w:szCs w:val="21"/>
              </w:rPr>
              <w:t xml:space="preserve">，90（不含）-110项（含）的，</w:t>
            </w:r>
            <w:r>
              <w:rPr>
                <w:rFonts w:hint="eastAsia" w:ascii="宋体" w:hAnsi="宋体" w:cs="宋体"/>
                <w:b/>
                <w:bCs/>
                <w:color w:val="auto"/>
                <w:szCs w:val="21"/>
              </w:rPr>
              <w:t xml:space="preserve">得8分</w:t>
            </w:r>
            <w:r>
              <w:rPr>
                <w:rFonts w:hint="eastAsia" w:ascii="宋体" w:hAnsi="宋体" w:cs="宋体"/>
                <w:color w:val="auto"/>
                <w:szCs w:val="21"/>
              </w:rPr>
              <w:t xml:space="preserve">，110（不含）-130项（含）的，</w:t>
            </w:r>
            <w:r>
              <w:rPr>
                <w:rFonts w:hint="eastAsia" w:ascii="宋体" w:hAnsi="宋体" w:cs="宋体"/>
                <w:b/>
                <w:bCs/>
                <w:color w:val="auto"/>
                <w:szCs w:val="21"/>
              </w:rPr>
              <w:t xml:space="preserve">得10分</w:t>
            </w:r>
            <w:r>
              <w:rPr>
                <w:rFonts w:hint="eastAsia" w:ascii="宋体" w:hAnsi="宋体" w:cs="宋体"/>
                <w:color w:val="auto"/>
                <w:szCs w:val="21"/>
              </w:rPr>
              <w:t xml:space="preserve">，未登记备案的不得分；</w:t>
            </w:r>
            <w:r>
              <w:rPr>
                <w:rFonts w:hint="eastAsia" w:ascii="宋体" w:hAnsi="宋体" w:cs="宋体"/>
                <w:b/>
                <w:color w:val="auto"/>
                <w:szCs w:val="21"/>
              </w:rPr>
              <w:t xml:space="preserve">本项最高得</w:t>
            </w:r>
            <w:r>
              <w:rPr>
                <w:rFonts w:ascii="宋体" w:hAnsi="宋体" w:cs="宋体"/>
                <w:b/>
                <w:color w:val="auto"/>
                <w:szCs w:val="21"/>
              </w:rPr>
              <w:t xml:space="preserve">10 </w:t>
            </w:r>
            <w:r>
              <w:rPr>
                <w:rFonts w:hint="eastAsia" w:ascii="宋体" w:hAnsi="宋体" w:cs="宋体"/>
                <w:b/>
                <w:color w:val="auto"/>
                <w:szCs w:val="21"/>
              </w:rPr>
              <w:t xml:space="preserve">分。</w:t>
            </w:r>
            <w:r/>
          </w:p>
          <w:p>
            <w:pPr>
              <w:rPr>
                <w:rFonts w:ascii="宋体" w:hAnsi="宋体" w:cs="宋体"/>
                <w:color w:val="auto"/>
                <w:szCs w:val="21"/>
              </w:rPr>
            </w:pPr>
            <w:r>
              <w:rPr>
                <w:rFonts w:hint="eastAsia" w:ascii="宋体" w:hAnsi="宋体" w:cs="宋体"/>
                <w:b/>
                <w:color w:val="auto"/>
                <w:szCs w:val="21"/>
              </w:rPr>
              <w:t xml:space="preserve">注：提供登记通知及备案能力项目附表扫描件、电子件或复印件加盖公章，未按要求提供不得分。</w:t>
            </w:r>
            <w:r/>
          </w:p>
        </w:tc>
      </w:tr>
      <w:tr>
        <w:trPr/>
        <w:tc>
          <w:tcPr>
            <w:tcW w:w="1276" w:type="dxa"/>
            <w:vAlign w:val="center"/>
            <w:vMerge w:val="restart"/>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项目实施及质控能力（</w:t>
            </w:r>
            <w:r>
              <w:rPr>
                <w:rFonts w:ascii="宋体" w:hAnsi="宋体" w:cs="宋体"/>
                <w:color w:val="auto"/>
                <w:szCs w:val="21"/>
              </w:rPr>
              <w:t xml:space="preserve">8</w:t>
            </w:r>
            <w:r>
              <w:rPr>
                <w:rFonts w:hint="eastAsia" w:ascii="宋体" w:hAnsi="宋体" w:cs="宋体"/>
                <w:color w:val="auto"/>
                <w:szCs w:val="21"/>
              </w:rPr>
              <w:t xml:space="preserve">分）</w:t>
            </w:r>
            <w:r/>
          </w:p>
        </w:tc>
        <w:tc>
          <w:tcPr>
            <w:tcW w:w="8221"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w:t>
            </w:r>
            <w:r>
              <w:rPr>
                <w:rFonts w:ascii="宋体" w:hAnsi="宋体" w:cs="宋体"/>
                <w:color w:val="auto"/>
                <w:szCs w:val="21"/>
              </w:rPr>
              <w:t xml:space="preserve">1</w:t>
            </w:r>
            <w:r>
              <w:rPr>
                <w:rFonts w:hint="eastAsia" w:ascii="宋体" w:hAnsi="宋体" w:cs="宋体"/>
                <w:color w:val="auto"/>
                <w:szCs w:val="21"/>
              </w:rPr>
              <w:t xml:space="preserve">）投标人可以为本项目提供专用采样或样品运输车辆，提供</w:t>
            </w:r>
            <w:r>
              <w:rPr>
                <w:rFonts w:ascii="宋体" w:hAnsi="宋体" w:cs="宋体"/>
                <w:color w:val="auto"/>
                <w:szCs w:val="21"/>
              </w:rPr>
              <w:t xml:space="preserve">4</w:t>
            </w:r>
            <w:r>
              <w:rPr>
                <w:rFonts w:hint="eastAsia" w:ascii="宋体" w:hAnsi="宋体" w:cs="宋体"/>
                <w:color w:val="auto"/>
                <w:szCs w:val="21"/>
              </w:rPr>
              <w:t xml:space="preserve">辆的，</w:t>
            </w:r>
            <w:r>
              <w:rPr>
                <w:rFonts w:hint="eastAsia" w:ascii="宋体" w:hAnsi="宋体" w:cs="宋体"/>
                <w:b/>
                <w:color w:val="auto"/>
                <w:szCs w:val="21"/>
              </w:rPr>
              <w:t xml:space="preserve">得</w:t>
            </w:r>
            <w:r>
              <w:rPr>
                <w:rFonts w:ascii="宋体" w:hAnsi="宋体" w:cs="宋体"/>
                <w:b/>
                <w:color w:val="auto"/>
                <w:szCs w:val="21"/>
              </w:rPr>
              <w:t xml:space="preserve">1</w:t>
            </w:r>
            <w:r>
              <w:rPr>
                <w:rFonts w:hint="eastAsia" w:ascii="宋体" w:hAnsi="宋体" w:cs="宋体"/>
                <w:b/>
                <w:color w:val="auto"/>
                <w:szCs w:val="21"/>
              </w:rPr>
              <w:t xml:space="preserve">分</w:t>
            </w:r>
            <w:r>
              <w:rPr>
                <w:rFonts w:hint="eastAsia" w:ascii="宋体" w:hAnsi="宋体" w:cs="宋体"/>
                <w:color w:val="auto"/>
                <w:szCs w:val="21"/>
              </w:rPr>
              <w:t xml:space="preserve">，每增加</w:t>
            </w:r>
            <w:r>
              <w:rPr>
                <w:rFonts w:ascii="宋体" w:hAnsi="宋体" w:cs="宋体"/>
                <w:color w:val="auto"/>
                <w:szCs w:val="21"/>
              </w:rPr>
              <w:t xml:space="preserve">1</w:t>
            </w:r>
            <w:r>
              <w:rPr>
                <w:rFonts w:hint="eastAsia" w:ascii="宋体" w:hAnsi="宋体" w:cs="宋体"/>
                <w:color w:val="auto"/>
                <w:szCs w:val="21"/>
              </w:rPr>
              <w:t xml:space="preserve">辆的，</w:t>
            </w:r>
            <w:r>
              <w:rPr>
                <w:rFonts w:hint="eastAsia" w:ascii="宋体" w:hAnsi="宋体" w:cs="宋体"/>
                <w:b/>
                <w:color w:val="auto"/>
                <w:szCs w:val="21"/>
              </w:rPr>
              <w:t xml:space="preserve">得</w:t>
            </w:r>
            <w:r>
              <w:rPr>
                <w:rFonts w:ascii="宋体" w:hAnsi="宋体" w:cs="宋体"/>
                <w:b/>
                <w:color w:val="auto"/>
                <w:szCs w:val="21"/>
              </w:rPr>
              <w:t xml:space="preserve">0.5</w:t>
            </w:r>
            <w:r>
              <w:rPr>
                <w:rFonts w:hint="eastAsia" w:ascii="宋体" w:hAnsi="宋体" w:cs="宋体"/>
                <w:b/>
                <w:color w:val="auto"/>
                <w:szCs w:val="21"/>
              </w:rPr>
              <w:t xml:space="preserve">分</w:t>
            </w:r>
            <w:r>
              <w:rPr>
                <w:rFonts w:hint="eastAsia" w:ascii="宋体" w:hAnsi="宋体" w:cs="宋体"/>
                <w:color w:val="auto"/>
                <w:szCs w:val="21"/>
              </w:rPr>
              <w:t xml:space="preserve">；</w:t>
            </w:r>
            <w:r>
              <w:rPr>
                <w:rFonts w:hint="eastAsia" w:ascii="宋体" w:hAnsi="宋体" w:cs="宋体"/>
                <w:b/>
                <w:color w:val="auto"/>
                <w:szCs w:val="21"/>
              </w:rPr>
              <w:t xml:space="preserve">本项最高得</w:t>
            </w:r>
            <w:r>
              <w:rPr>
                <w:rFonts w:ascii="宋体" w:hAnsi="宋体" w:cs="宋体"/>
                <w:b/>
                <w:color w:val="auto"/>
                <w:szCs w:val="21"/>
              </w:rPr>
              <w:t xml:space="preserve">3</w:t>
            </w:r>
            <w:r>
              <w:rPr>
                <w:rFonts w:hint="eastAsia" w:ascii="宋体" w:hAnsi="宋体" w:cs="宋体"/>
                <w:b/>
                <w:color w:val="auto"/>
                <w:szCs w:val="21"/>
              </w:rPr>
              <w:t xml:space="preserve">分。</w:t>
            </w:r>
            <w:r/>
          </w:p>
          <w:p>
            <w:pPr>
              <w:rPr>
                <w:rFonts w:ascii="宋体" w:hAnsi="宋体" w:cs="宋体"/>
                <w:color w:val="auto"/>
                <w:szCs w:val="21"/>
              </w:rPr>
            </w:pPr>
            <w:r>
              <w:rPr>
                <w:rFonts w:hint="eastAsia" w:ascii="宋体" w:hAnsi="宋体" w:cs="宋体"/>
                <w:b/>
                <w:color w:val="auto"/>
                <w:szCs w:val="21"/>
              </w:rPr>
              <w:t xml:space="preserve">注：提供</w:t>
            </w:r>
            <w:r>
              <w:rPr>
                <w:rFonts w:hint="eastAsia" w:ascii="宋体" w:hAnsi="宋体" w:cs="宋体"/>
                <w:b/>
                <w:color w:val="auto"/>
                <w:szCs w:val="21"/>
                <w:lang w:val="en-US" w:eastAsia="zh-CN"/>
              </w:rPr>
              <w:t xml:space="preserve">投标人</w:t>
            </w:r>
            <w:r>
              <w:rPr>
                <w:rFonts w:hint="eastAsia" w:ascii="宋体" w:hAnsi="宋体" w:cs="宋体"/>
                <w:b/>
                <w:color w:val="auto"/>
                <w:szCs w:val="21"/>
              </w:rPr>
              <w:t xml:space="preserve">车辆购买合同、发票证明及车辆行驶证、保险的扫描件、电子件或复印件加盖投标人公章，上述条件有一项不符合均不得分。</w:t>
            </w:r>
            <w:r/>
          </w:p>
        </w:tc>
      </w:tr>
      <w:tr>
        <w:trPr/>
        <w:tc>
          <w:tcPr>
            <w:tcW w:w="1276"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8221"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w:t>
            </w:r>
            <w:r>
              <w:rPr>
                <w:rFonts w:ascii="宋体" w:hAnsi="宋体" w:cs="宋体"/>
                <w:color w:val="auto"/>
                <w:szCs w:val="21"/>
              </w:rPr>
              <w:t xml:space="preserve">2</w:t>
            </w:r>
            <w:r>
              <w:rPr>
                <w:rFonts w:hint="eastAsia" w:ascii="宋体" w:hAnsi="宋体" w:cs="宋体"/>
                <w:color w:val="auto"/>
                <w:szCs w:val="21"/>
              </w:rPr>
              <w:t xml:space="preserve">）投标人可以为本项目提供</w:t>
            </w:r>
            <w:r>
              <w:rPr>
                <w:rFonts w:ascii="宋体" w:hAnsi="宋体" w:cs="宋体"/>
                <w:color w:val="auto"/>
                <w:szCs w:val="21"/>
              </w:rPr>
              <w:t xml:space="preserve">5</w:t>
            </w:r>
            <w:r>
              <w:rPr>
                <w:rFonts w:hint="eastAsia" w:ascii="宋体" w:hAnsi="宋体" w:cs="宋体"/>
                <w:color w:val="auto"/>
                <w:szCs w:val="21"/>
              </w:rPr>
              <w:t xml:space="preserve">台以上执法记录仪的，</w:t>
            </w:r>
            <w:r>
              <w:rPr>
                <w:rFonts w:hint="eastAsia" w:ascii="宋体" w:hAnsi="宋体" w:cs="宋体"/>
                <w:b/>
                <w:color w:val="auto"/>
                <w:szCs w:val="21"/>
              </w:rPr>
              <w:t xml:space="preserve">得</w:t>
            </w:r>
            <w:r>
              <w:rPr>
                <w:rFonts w:ascii="宋体" w:hAnsi="宋体" w:cs="宋体"/>
                <w:b/>
                <w:color w:val="auto"/>
                <w:szCs w:val="21"/>
              </w:rPr>
              <w:t xml:space="preserve">2</w:t>
            </w:r>
            <w:r>
              <w:rPr>
                <w:rFonts w:hint="eastAsia" w:ascii="宋体" w:hAnsi="宋体" w:cs="宋体"/>
                <w:b/>
                <w:color w:val="auto"/>
                <w:szCs w:val="21"/>
              </w:rPr>
              <w:t xml:space="preserve">分</w:t>
            </w:r>
            <w:r>
              <w:rPr>
                <w:rFonts w:hint="eastAsia" w:ascii="宋体" w:hAnsi="宋体" w:cs="宋体"/>
                <w:color w:val="auto"/>
                <w:szCs w:val="21"/>
              </w:rPr>
              <w:t xml:space="preserve">；</w:t>
            </w:r>
            <w:r>
              <w:rPr>
                <w:rFonts w:hint="eastAsia" w:ascii="宋体" w:hAnsi="宋体" w:cs="宋体"/>
                <w:b/>
                <w:color w:val="auto"/>
                <w:szCs w:val="21"/>
              </w:rPr>
              <w:t xml:space="preserve">本项最高得</w:t>
            </w:r>
            <w:r>
              <w:rPr>
                <w:rFonts w:ascii="宋体" w:hAnsi="宋体" w:cs="宋体"/>
                <w:b/>
                <w:color w:val="auto"/>
                <w:szCs w:val="21"/>
              </w:rPr>
              <w:t xml:space="preserve">2</w:t>
            </w:r>
            <w:r>
              <w:rPr>
                <w:rFonts w:hint="eastAsia" w:ascii="宋体" w:hAnsi="宋体" w:cs="宋体"/>
                <w:b/>
                <w:color w:val="auto"/>
                <w:szCs w:val="21"/>
              </w:rPr>
              <w:t xml:space="preserve">分。</w:t>
            </w:r>
            <w:r/>
          </w:p>
          <w:p>
            <w:pPr>
              <w:rPr>
                <w:rFonts w:ascii="宋体" w:hAnsi="宋体" w:cs="宋体"/>
                <w:color w:val="auto"/>
                <w:szCs w:val="21"/>
              </w:rPr>
            </w:pPr>
            <w:r>
              <w:rPr>
                <w:rFonts w:hint="eastAsia" w:ascii="宋体" w:hAnsi="宋体" w:cs="宋体"/>
                <w:b/>
                <w:color w:val="auto"/>
                <w:szCs w:val="21"/>
              </w:rPr>
              <w:t xml:space="preserve">注：提供</w:t>
            </w:r>
            <w:r>
              <w:rPr>
                <w:rFonts w:hint="eastAsia" w:ascii="宋体" w:hAnsi="宋体" w:cs="宋体"/>
                <w:b/>
                <w:color w:val="auto"/>
                <w:szCs w:val="21"/>
                <w:lang w:val="en-US" w:eastAsia="zh-CN"/>
              </w:rPr>
              <w:t xml:space="preserve">投标人</w:t>
            </w:r>
            <w:r>
              <w:rPr>
                <w:rFonts w:hint="eastAsia" w:ascii="宋体" w:hAnsi="宋体" w:cs="宋体"/>
                <w:b/>
                <w:color w:val="auto"/>
                <w:szCs w:val="21"/>
              </w:rPr>
              <w:t xml:space="preserve">执法记录仪购买合同或发票扫描件、电子件或复印件加盖投标人公章，未按要求提供不得分。</w:t>
            </w:r>
            <w:r/>
          </w:p>
        </w:tc>
      </w:tr>
      <w:tr>
        <w:trPr/>
        <w:tc>
          <w:tcPr>
            <w:tcW w:w="1276"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8221"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w:t>
            </w:r>
            <w:r>
              <w:rPr>
                <w:rFonts w:ascii="宋体" w:hAnsi="宋体" w:cs="宋体"/>
                <w:color w:val="auto"/>
                <w:szCs w:val="21"/>
              </w:rPr>
              <w:t xml:space="preserve">3</w:t>
            </w:r>
            <w:r>
              <w:rPr>
                <w:rFonts w:hint="eastAsia" w:ascii="宋体" w:hAnsi="宋体" w:cs="宋体"/>
                <w:color w:val="auto"/>
                <w:szCs w:val="21"/>
              </w:rPr>
              <w:t xml:space="preserve">）投标人实验室监控系统具备</w:t>
            </w:r>
            <w:r>
              <w:rPr>
                <w:rFonts w:ascii="宋体" w:hAnsi="宋体" w:cs="宋体"/>
                <w:color w:val="auto"/>
                <w:szCs w:val="21"/>
              </w:rPr>
              <w:t xml:space="preserve">20</w:t>
            </w:r>
            <w:r>
              <w:rPr>
                <w:rFonts w:hint="eastAsia" w:ascii="宋体" w:hAnsi="宋体" w:cs="宋体"/>
                <w:color w:val="auto"/>
                <w:szCs w:val="21"/>
              </w:rPr>
              <w:t xml:space="preserve">个摄像头为实验分析过程全程录像的，</w:t>
            </w:r>
            <w:r>
              <w:rPr>
                <w:rFonts w:hint="eastAsia" w:ascii="宋体" w:hAnsi="宋体" w:cs="宋体"/>
                <w:b/>
                <w:bCs/>
                <w:color w:val="auto"/>
                <w:szCs w:val="21"/>
              </w:rPr>
              <w:t xml:space="preserve">得</w:t>
            </w:r>
            <w:r>
              <w:rPr>
                <w:rFonts w:ascii="宋体" w:hAnsi="宋体" w:cs="宋体"/>
                <w:b/>
                <w:bCs/>
                <w:color w:val="auto"/>
                <w:szCs w:val="21"/>
              </w:rPr>
              <w:t xml:space="preserve">1</w:t>
            </w:r>
            <w:r>
              <w:rPr>
                <w:rFonts w:hint="eastAsia" w:ascii="宋体" w:hAnsi="宋体" w:cs="宋体"/>
                <w:b/>
                <w:bCs/>
                <w:color w:val="auto"/>
                <w:szCs w:val="21"/>
              </w:rPr>
              <w:t xml:space="preserve">分</w:t>
            </w:r>
            <w:r>
              <w:rPr>
                <w:rFonts w:hint="eastAsia" w:ascii="宋体" w:hAnsi="宋体" w:cs="宋体"/>
                <w:color w:val="auto"/>
                <w:szCs w:val="21"/>
              </w:rPr>
              <w:t xml:space="preserve">，每增加</w:t>
            </w:r>
            <w:r>
              <w:rPr>
                <w:rFonts w:ascii="宋体" w:hAnsi="宋体" w:cs="宋体"/>
                <w:color w:val="auto"/>
                <w:szCs w:val="21"/>
              </w:rPr>
              <w:t xml:space="preserve">5</w:t>
            </w:r>
            <w:r>
              <w:rPr>
                <w:rFonts w:hint="eastAsia" w:ascii="宋体" w:hAnsi="宋体" w:cs="宋体"/>
                <w:color w:val="auto"/>
                <w:szCs w:val="21"/>
              </w:rPr>
              <w:t xml:space="preserve">个摄像头的，</w:t>
            </w:r>
            <w:r>
              <w:rPr>
                <w:rFonts w:hint="eastAsia" w:ascii="宋体" w:hAnsi="宋体" w:cs="宋体"/>
                <w:b/>
                <w:color w:val="auto"/>
                <w:szCs w:val="21"/>
              </w:rPr>
              <w:t xml:space="preserve">得</w:t>
            </w:r>
            <w:r>
              <w:rPr>
                <w:rFonts w:ascii="宋体" w:hAnsi="宋体" w:cs="宋体"/>
                <w:b/>
                <w:color w:val="auto"/>
                <w:szCs w:val="21"/>
              </w:rPr>
              <w:t xml:space="preserve">1</w:t>
            </w:r>
            <w:r>
              <w:rPr>
                <w:rFonts w:hint="eastAsia" w:ascii="宋体" w:hAnsi="宋体" w:cs="宋体"/>
                <w:b/>
                <w:color w:val="auto"/>
                <w:szCs w:val="21"/>
              </w:rPr>
              <w:t xml:space="preserve">分；本项最高得</w:t>
            </w:r>
            <w:r>
              <w:rPr>
                <w:rFonts w:ascii="宋体" w:hAnsi="宋体" w:cs="宋体"/>
                <w:b/>
                <w:color w:val="auto"/>
                <w:szCs w:val="21"/>
              </w:rPr>
              <w:t xml:space="preserve">3</w:t>
            </w:r>
            <w:r>
              <w:rPr>
                <w:rFonts w:hint="eastAsia" w:ascii="宋体" w:hAnsi="宋体" w:cs="宋体"/>
                <w:b/>
                <w:color w:val="auto"/>
                <w:szCs w:val="21"/>
              </w:rPr>
              <w:t xml:space="preserve">分。</w:t>
            </w:r>
            <w:r/>
          </w:p>
          <w:p>
            <w:pPr>
              <w:rPr>
                <w:rFonts w:ascii="宋体" w:hAnsi="宋体" w:cs="宋体"/>
                <w:color w:val="auto"/>
                <w:szCs w:val="21"/>
              </w:rPr>
            </w:pPr>
            <w:r>
              <w:rPr>
                <w:rFonts w:hint="eastAsia" w:ascii="宋体" w:hAnsi="宋体" w:cs="宋体"/>
                <w:b/>
                <w:color w:val="auto"/>
                <w:szCs w:val="21"/>
              </w:rPr>
              <w:t xml:space="preserve">注：提供</w:t>
            </w:r>
            <w:r>
              <w:rPr>
                <w:rFonts w:hint="eastAsia" w:ascii="宋体" w:hAnsi="宋体" w:cs="宋体"/>
                <w:b/>
                <w:color w:val="auto"/>
                <w:szCs w:val="21"/>
                <w:lang w:val="en-US" w:eastAsia="zh-CN"/>
              </w:rPr>
              <w:t xml:space="preserve">投标人</w:t>
            </w:r>
            <w:r>
              <w:rPr>
                <w:rFonts w:hint="eastAsia" w:ascii="宋体" w:hAnsi="宋体" w:cs="宋体"/>
                <w:b/>
                <w:color w:val="auto"/>
                <w:szCs w:val="21"/>
              </w:rPr>
              <w:t xml:space="preserve">实验室监控系统采购合同及摄像终端画面图片个数加盖公章，未按要求提供不得分。</w:t>
            </w:r>
            <w:r/>
          </w:p>
        </w:tc>
      </w:tr>
      <w:tr>
        <w:trPr/>
        <w:tc>
          <w:tcPr>
            <w:tcW w:w="1276" w:type="dxa"/>
            <w:vAlign w:val="center"/>
            <w:vMerge w:val="restart"/>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人员能力（</w:t>
            </w:r>
            <w:r>
              <w:rPr>
                <w:rFonts w:ascii="宋体" w:hAnsi="宋体" w:cs="宋体"/>
                <w:color w:val="auto"/>
                <w:szCs w:val="21"/>
              </w:rPr>
              <w:t xml:space="preserve">15</w:t>
            </w:r>
            <w:r>
              <w:rPr>
                <w:rFonts w:hint="eastAsia" w:ascii="宋体" w:hAnsi="宋体" w:cs="宋体"/>
                <w:color w:val="auto"/>
                <w:szCs w:val="21"/>
              </w:rPr>
              <w:t xml:space="preserve">分）</w:t>
            </w:r>
            <w:r/>
          </w:p>
        </w:tc>
        <w:tc>
          <w:tcPr>
            <w:tcW w:w="8221"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w:t>
            </w:r>
            <w:r>
              <w:rPr>
                <w:rFonts w:ascii="宋体" w:hAnsi="宋体" w:cs="宋体"/>
                <w:color w:val="auto"/>
                <w:szCs w:val="21"/>
              </w:rPr>
              <w:t xml:space="preserve">1</w:t>
            </w:r>
            <w:r>
              <w:rPr>
                <w:rFonts w:hint="eastAsia" w:ascii="宋体" w:hAnsi="宋体" w:cs="宋体"/>
                <w:color w:val="auto"/>
                <w:szCs w:val="21"/>
              </w:rPr>
              <w:t xml:space="preserve">）项目组成员</w:t>
            </w:r>
            <w:r/>
          </w:p>
          <w:p>
            <w:pPr>
              <w:rPr>
                <w:rFonts w:ascii="宋体" w:hAnsi="宋体" w:cs="宋体"/>
                <w:color w:val="auto"/>
                <w:szCs w:val="21"/>
              </w:rPr>
            </w:pPr>
            <w:r>
              <w:rPr>
                <w:rFonts w:hint="eastAsia" w:ascii="宋体" w:hAnsi="宋体" w:cs="宋体"/>
                <w:color w:val="auto"/>
                <w:szCs w:val="21"/>
              </w:rPr>
              <w:t xml:space="preserve">本项目拟派项目组成员具有</w:t>
            </w:r>
            <w:r>
              <w:rPr>
                <w:rFonts w:ascii="宋体" w:hAnsi="宋体" w:cs="宋体"/>
                <w:color w:val="auto"/>
                <w:szCs w:val="21"/>
              </w:rPr>
              <w:t xml:space="preserve">4</w:t>
            </w:r>
            <w:r>
              <w:rPr>
                <w:rFonts w:hint="eastAsia" w:ascii="宋体" w:hAnsi="宋体" w:cs="宋体"/>
                <w:color w:val="auto"/>
                <w:szCs w:val="21"/>
              </w:rPr>
              <w:t xml:space="preserve">名环保或化工等专业中级及以上职称的，</w:t>
            </w:r>
            <w:r>
              <w:rPr>
                <w:rFonts w:hint="eastAsia" w:ascii="宋体" w:hAnsi="宋体" w:cs="宋体"/>
                <w:b/>
                <w:bCs/>
                <w:color w:val="auto"/>
                <w:szCs w:val="21"/>
              </w:rPr>
              <w:t xml:space="preserve">得</w:t>
            </w:r>
            <w:r>
              <w:rPr>
                <w:rFonts w:ascii="宋体" w:hAnsi="宋体" w:cs="宋体"/>
                <w:b/>
                <w:bCs/>
                <w:color w:val="auto"/>
                <w:szCs w:val="21"/>
              </w:rPr>
              <w:t xml:space="preserve">4</w:t>
            </w:r>
            <w:r>
              <w:rPr>
                <w:rFonts w:hint="eastAsia" w:ascii="宋体" w:hAnsi="宋体" w:cs="宋体"/>
                <w:b/>
                <w:bCs/>
                <w:color w:val="auto"/>
                <w:szCs w:val="21"/>
              </w:rPr>
              <w:t xml:space="preserve">分</w:t>
            </w:r>
            <w:r>
              <w:rPr>
                <w:rFonts w:hint="eastAsia" w:ascii="宋体" w:hAnsi="宋体" w:cs="宋体"/>
                <w:color w:val="auto"/>
                <w:szCs w:val="21"/>
              </w:rPr>
              <w:t xml:space="preserve">；在上述基础上每增加一名中级职称的，</w:t>
            </w:r>
            <w:r>
              <w:rPr>
                <w:rFonts w:hint="eastAsia" w:ascii="宋体" w:hAnsi="宋体" w:cs="宋体"/>
                <w:b/>
                <w:color w:val="auto"/>
                <w:szCs w:val="21"/>
              </w:rPr>
              <w:t xml:space="preserve">得</w:t>
            </w:r>
            <w:r>
              <w:rPr>
                <w:rFonts w:ascii="宋体" w:hAnsi="宋体" w:cs="宋体"/>
                <w:b/>
                <w:color w:val="auto"/>
                <w:szCs w:val="21"/>
              </w:rPr>
              <w:t xml:space="preserve">0.5</w:t>
            </w:r>
            <w:r>
              <w:rPr>
                <w:rFonts w:hint="eastAsia" w:ascii="宋体" w:hAnsi="宋体" w:cs="宋体"/>
                <w:b/>
                <w:color w:val="auto"/>
                <w:szCs w:val="21"/>
              </w:rPr>
              <w:t xml:space="preserve">分</w:t>
            </w:r>
            <w:r>
              <w:rPr>
                <w:rFonts w:hint="eastAsia" w:ascii="宋体" w:hAnsi="宋体" w:cs="宋体"/>
                <w:color w:val="auto"/>
                <w:szCs w:val="21"/>
              </w:rPr>
              <w:t xml:space="preserve">；每增加一名高级职称的，</w:t>
            </w:r>
            <w:r>
              <w:rPr>
                <w:rFonts w:hint="eastAsia" w:ascii="宋体" w:hAnsi="宋体" w:cs="宋体"/>
                <w:b/>
                <w:color w:val="auto"/>
                <w:szCs w:val="21"/>
              </w:rPr>
              <w:t xml:space="preserve">得</w:t>
            </w:r>
            <w:r>
              <w:rPr>
                <w:rFonts w:ascii="宋体" w:hAnsi="宋体" w:cs="宋体"/>
                <w:b/>
                <w:color w:val="auto"/>
                <w:szCs w:val="21"/>
              </w:rPr>
              <w:t xml:space="preserve">1</w:t>
            </w:r>
            <w:r>
              <w:rPr>
                <w:rFonts w:hint="eastAsia" w:ascii="宋体" w:hAnsi="宋体" w:cs="宋体"/>
                <w:b/>
                <w:color w:val="auto"/>
                <w:szCs w:val="21"/>
              </w:rPr>
              <w:t xml:space="preserve">分</w:t>
            </w:r>
            <w:r>
              <w:rPr>
                <w:rFonts w:hint="eastAsia" w:ascii="宋体" w:hAnsi="宋体" w:cs="宋体"/>
                <w:color w:val="auto"/>
                <w:szCs w:val="21"/>
              </w:rPr>
              <w:t xml:space="preserve">；</w:t>
            </w:r>
            <w:r>
              <w:rPr>
                <w:rFonts w:hint="eastAsia" w:ascii="宋体" w:hAnsi="宋体" w:cs="宋体"/>
                <w:b/>
                <w:color w:val="auto"/>
                <w:szCs w:val="21"/>
              </w:rPr>
              <w:t xml:space="preserve">本项最高得</w:t>
            </w:r>
            <w:r>
              <w:rPr>
                <w:rFonts w:ascii="宋体" w:hAnsi="宋体" w:cs="宋体"/>
                <w:b/>
                <w:color w:val="auto"/>
                <w:szCs w:val="21"/>
              </w:rPr>
              <w:t xml:space="preserve">5</w:t>
            </w:r>
            <w:r>
              <w:rPr>
                <w:rFonts w:hint="eastAsia" w:ascii="宋体" w:hAnsi="宋体" w:cs="宋体"/>
                <w:b/>
                <w:color w:val="auto"/>
                <w:szCs w:val="21"/>
              </w:rPr>
              <w:t xml:space="preserve">分。</w:t>
            </w:r>
            <w:r/>
          </w:p>
          <w:p>
            <w:pPr>
              <w:rPr>
                <w:rFonts w:ascii="宋体" w:hAnsi="宋体" w:cs="宋体"/>
                <w:b/>
                <w:color w:val="auto"/>
                <w:szCs w:val="21"/>
              </w:rPr>
            </w:pPr>
            <w:r>
              <w:rPr>
                <w:rFonts w:hint="eastAsia" w:ascii="宋体" w:hAnsi="宋体" w:cs="宋体"/>
                <w:b/>
                <w:color w:val="auto"/>
                <w:szCs w:val="21"/>
              </w:rPr>
              <w:t xml:space="preserve">注：同一人的职称证书不重复计分；提供证书扫描件、电子件或复印件及</w:t>
            </w:r>
            <w:r>
              <w:rPr>
                <w:rFonts w:ascii="宋体" w:hAnsi="宋体" w:cs="宋体"/>
                <w:b/>
                <w:color w:val="auto"/>
                <w:szCs w:val="21"/>
              </w:rPr>
              <w:t xml:space="preserve">202</w:t>
            </w:r>
            <w:r>
              <w:rPr>
                <w:rFonts w:hint="eastAsia" w:ascii="宋体" w:hAnsi="宋体" w:cs="宋体"/>
                <w:b/>
                <w:color w:val="auto"/>
                <w:szCs w:val="21"/>
              </w:rPr>
              <w:t xml:space="preserve">4年</w:t>
            </w:r>
            <w:r>
              <w:rPr>
                <w:rFonts w:ascii="宋体" w:hAnsi="宋体" w:cs="宋体"/>
                <w:b/>
                <w:color w:val="auto"/>
                <w:szCs w:val="21"/>
              </w:rPr>
              <w:t xml:space="preserve">6</w:t>
            </w:r>
            <w:r>
              <w:rPr>
                <w:rFonts w:hint="eastAsia" w:ascii="宋体" w:hAnsi="宋体" w:cs="宋体"/>
                <w:b/>
                <w:color w:val="auto"/>
                <w:szCs w:val="21"/>
              </w:rPr>
              <w:t xml:space="preserve">月以来连续</w:t>
            </w:r>
            <w:r>
              <w:rPr>
                <w:rFonts w:ascii="宋体" w:hAnsi="宋体" w:cs="宋体"/>
                <w:b/>
                <w:color w:val="auto"/>
                <w:szCs w:val="21"/>
              </w:rPr>
              <w:t xml:space="preserve">1</w:t>
            </w:r>
            <w:r>
              <w:rPr>
                <w:rFonts w:hint="eastAsia" w:ascii="宋体" w:hAnsi="宋体" w:cs="宋体"/>
                <w:b/>
                <w:color w:val="auto"/>
                <w:szCs w:val="21"/>
              </w:rPr>
              <w:t xml:space="preserve">个月依法缴纳社会保险的证明材料加盖投标人公章，未按要求提供不得分。</w:t>
            </w:r>
            <w:r/>
          </w:p>
        </w:tc>
      </w:tr>
      <w:tr>
        <w:trPr/>
        <w:tc>
          <w:tcPr>
            <w:tcW w:w="1276" w:type="dxa"/>
            <w:vAlign w:val="center"/>
            <w:vMerge w:val="continue"/>
            <w:textDirection w:val="lrTb"/>
            <w:noWrap w:val="false"/>
          </w:tcPr>
          <w:p>
            <w:pPr>
              <w:jc w:val="center"/>
              <w:rPr>
                <w:rFonts w:ascii="宋体" w:hAnsi="宋体" w:cs="宋体"/>
                <w:color w:val="auto"/>
                <w:szCs w:val="21"/>
              </w:rPr>
            </w:pPr>
            <w:r>
              <w:rPr>
                <w:rFonts w:ascii="宋体" w:hAnsi="宋体" w:cs="宋体"/>
                <w:color w:val="auto"/>
                <w:szCs w:val="21"/>
              </w:rPr>
            </w:r>
            <w:r/>
          </w:p>
        </w:tc>
        <w:tc>
          <w:tcPr>
            <w:tcW w:w="8221"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w:t>
            </w:r>
            <w:r>
              <w:rPr>
                <w:rFonts w:ascii="宋体" w:hAnsi="宋体" w:cs="宋体"/>
                <w:color w:val="auto"/>
                <w:szCs w:val="21"/>
              </w:rPr>
              <w:t xml:space="preserve">2</w:t>
            </w:r>
            <w:r>
              <w:rPr>
                <w:rFonts w:hint="eastAsia" w:ascii="宋体" w:hAnsi="宋体" w:cs="宋体"/>
                <w:color w:val="auto"/>
                <w:szCs w:val="21"/>
              </w:rPr>
              <w:t xml:space="preserve">）自</w:t>
            </w:r>
            <w:r>
              <w:rPr>
                <w:rFonts w:ascii="宋体" w:hAnsi="宋体" w:cs="宋体"/>
                <w:color w:val="auto"/>
                <w:szCs w:val="21"/>
              </w:rPr>
              <w:t xml:space="preserve">2021</w:t>
            </w:r>
            <w:r>
              <w:rPr>
                <w:rFonts w:hint="eastAsia" w:ascii="宋体" w:hAnsi="宋体" w:cs="宋体"/>
                <w:color w:val="auto"/>
                <w:szCs w:val="21"/>
              </w:rPr>
              <w:t xml:space="preserve">年</w:t>
            </w:r>
            <w:r>
              <w:rPr>
                <w:rFonts w:ascii="宋体" w:hAnsi="宋体" w:cs="宋体"/>
                <w:color w:val="auto"/>
                <w:szCs w:val="21"/>
              </w:rPr>
              <w:t xml:space="preserve">01</w:t>
            </w:r>
            <w:r>
              <w:rPr>
                <w:rFonts w:hint="eastAsia" w:ascii="宋体" w:hAnsi="宋体" w:cs="宋体"/>
                <w:color w:val="auto"/>
                <w:szCs w:val="21"/>
              </w:rPr>
              <w:t xml:space="preserve">月</w:t>
            </w:r>
            <w:r>
              <w:rPr>
                <w:rFonts w:ascii="宋体" w:hAnsi="宋体" w:cs="宋体"/>
                <w:color w:val="auto"/>
                <w:szCs w:val="21"/>
              </w:rPr>
              <w:t xml:space="preserve">01</w:t>
            </w:r>
            <w:r>
              <w:rPr>
                <w:rFonts w:hint="eastAsia" w:ascii="宋体" w:hAnsi="宋体" w:cs="宋体"/>
                <w:color w:val="auto"/>
                <w:szCs w:val="21"/>
              </w:rPr>
              <w:t xml:space="preserve">日以来，投标人实验室参加国家级能力验证考核项目（同时包含水质、空气、土壤</w:t>
            </w:r>
            <w:r>
              <w:rPr>
                <w:rFonts w:ascii="宋体" w:hAnsi="宋体" w:cs="宋体"/>
                <w:color w:val="auto"/>
                <w:szCs w:val="21"/>
              </w:rPr>
              <w:t xml:space="preserve">3</w:t>
            </w:r>
            <w:r>
              <w:rPr>
                <w:rFonts w:hint="eastAsia" w:ascii="宋体" w:hAnsi="宋体" w:cs="宋体"/>
                <w:color w:val="auto"/>
                <w:szCs w:val="21"/>
              </w:rPr>
              <w:t xml:space="preserve">个类别）且通过项总计达到</w:t>
            </w:r>
            <w:r>
              <w:rPr>
                <w:rFonts w:ascii="宋体" w:hAnsi="宋体" w:cs="宋体"/>
                <w:color w:val="auto"/>
                <w:szCs w:val="21"/>
              </w:rPr>
              <w:t xml:space="preserve">25</w:t>
            </w:r>
            <w:r>
              <w:rPr>
                <w:rFonts w:hint="eastAsia" w:ascii="宋体" w:hAnsi="宋体" w:cs="宋体"/>
                <w:color w:val="auto"/>
                <w:szCs w:val="21"/>
              </w:rPr>
              <w:t xml:space="preserve">项的，</w:t>
            </w:r>
            <w:r>
              <w:rPr>
                <w:rFonts w:hint="eastAsia" w:ascii="宋体" w:hAnsi="宋体" w:cs="宋体"/>
                <w:b/>
                <w:color w:val="auto"/>
                <w:szCs w:val="21"/>
              </w:rPr>
              <w:t xml:space="preserve">得</w:t>
            </w:r>
            <w:r>
              <w:rPr>
                <w:rFonts w:ascii="宋体" w:hAnsi="宋体" w:cs="宋体"/>
                <w:b/>
                <w:color w:val="auto"/>
                <w:szCs w:val="21"/>
              </w:rPr>
              <w:t xml:space="preserve">4</w:t>
            </w:r>
            <w:r>
              <w:rPr>
                <w:rFonts w:hint="eastAsia" w:ascii="宋体" w:hAnsi="宋体" w:cs="宋体"/>
                <w:b/>
                <w:color w:val="auto"/>
                <w:szCs w:val="21"/>
              </w:rPr>
              <w:t xml:space="preserve">分</w:t>
            </w:r>
            <w:r>
              <w:rPr>
                <w:rFonts w:hint="eastAsia" w:ascii="宋体" w:hAnsi="宋体" w:cs="宋体"/>
                <w:color w:val="auto"/>
                <w:szCs w:val="21"/>
              </w:rPr>
              <w:t xml:space="preserve">，每增加</w:t>
            </w:r>
            <w:r>
              <w:rPr>
                <w:rFonts w:ascii="宋体" w:hAnsi="宋体" w:cs="宋体"/>
                <w:color w:val="auto"/>
                <w:szCs w:val="21"/>
              </w:rPr>
              <w:t xml:space="preserve">1</w:t>
            </w:r>
            <w:r>
              <w:rPr>
                <w:rFonts w:hint="eastAsia" w:ascii="宋体" w:hAnsi="宋体" w:cs="宋体"/>
                <w:color w:val="auto"/>
                <w:szCs w:val="21"/>
              </w:rPr>
              <w:t xml:space="preserve">项，</w:t>
            </w:r>
            <w:r>
              <w:rPr>
                <w:rFonts w:hint="eastAsia" w:ascii="宋体" w:hAnsi="宋体" w:cs="宋体"/>
                <w:b/>
                <w:color w:val="auto"/>
                <w:szCs w:val="21"/>
              </w:rPr>
              <w:t xml:space="preserve">得</w:t>
            </w:r>
            <w:r>
              <w:rPr>
                <w:rFonts w:ascii="宋体" w:hAnsi="宋体" w:cs="宋体"/>
                <w:b/>
                <w:color w:val="auto"/>
                <w:szCs w:val="21"/>
              </w:rPr>
              <w:t xml:space="preserve">1</w:t>
            </w:r>
            <w:r>
              <w:rPr>
                <w:rFonts w:hint="eastAsia" w:ascii="宋体" w:hAnsi="宋体" w:cs="宋体"/>
                <w:b/>
                <w:color w:val="auto"/>
                <w:szCs w:val="21"/>
              </w:rPr>
              <w:t xml:space="preserve">分</w:t>
            </w:r>
            <w:r>
              <w:rPr>
                <w:rFonts w:hint="eastAsia" w:ascii="宋体" w:hAnsi="宋体" w:cs="宋体"/>
                <w:color w:val="auto"/>
                <w:szCs w:val="21"/>
              </w:rPr>
              <w:t xml:space="preserve">；</w:t>
            </w:r>
            <w:r>
              <w:rPr>
                <w:rFonts w:hint="eastAsia" w:ascii="宋体" w:hAnsi="宋体" w:cs="宋体"/>
                <w:b/>
                <w:color w:val="auto"/>
                <w:szCs w:val="21"/>
              </w:rPr>
              <w:t xml:space="preserve">本项最高得</w:t>
            </w:r>
            <w:r>
              <w:rPr>
                <w:rFonts w:ascii="宋体" w:hAnsi="宋体" w:cs="宋体"/>
                <w:b/>
                <w:color w:val="auto"/>
                <w:szCs w:val="21"/>
              </w:rPr>
              <w:t xml:space="preserve">10</w:t>
            </w:r>
            <w:r>
              <w:rPr>
                <w:rFonts w:hint="eastAsia" w:ascii="宋体" w:hAnsi="宋体" w:cs="宋体"/>
                <w:b/>
                <w:color w:val="auto"/>
                <w:szCs w:val="21"/>
              </w:rPr>
              <w:t xml:space="preserve">分</w:t>
            </w:r>
            <w:r>
              <w:rPr>
                <w:rFonts w:hint="eastAsia" w:ascii="宋体" w:hAnsi="宋体" w:cs="宋体"/>
                <w:color w:val="auto"/>
                <w:szCs w:val="21"/>
              </w:rPr>
              <w:t xml:space="preserve">。</w:t>
            </w:r>
            <w:r/>
          </w:p>
          <w:p>
            <w:pPr>
              <w:rPr>
                <w:rFonts w:ascii="宋体" w:hAnsi="宋体" w:cs="宋体"/>
                <w:color w:val="auto"/>
                <w:szCs w:val="21"/>
              </w:rPr>
            </w:pPr>
            <w:r>
              <w:rPr>
                <w:rFonts w:hint="eastAsia" w:ascii="宋体" w:hAnsi="宋体" w:cs="宋体"/>
                <w:b/>
                <w:color w:val="auto"/>
                <w:szCs w:val="21"/>
              </w:rPr>
              <w:t xml:space="preserve">注：提供自</w:t>
            </w:r>
            <w:r>
              <w:rPr>
                <w:rFonts w:ascii="宋体" w:hAnsi="宋体" w:cs="宋体"/>
                <w:b/>
                <w:color w:val="auto"/>
                <w:szCs w:val="21"/>
              </w:rPr>
              <w:t xml:space="preserve">2021</w:t>
            </w:r>
            <w:r>
              <w:rPr>
                <w:rFonts w:hint="eastAsia" w:ascii="宋体" w:hAnsi="宋体" w:cs="宋体"/>
                <w:b/>
                <w:color w:val="auto"/>
                <w:szCs w:val="21"/>
              </w:rPr>
              <w:t xml:space="preserve">年</w:t>
            </w:r>
            <w:r>
              <w:rPr>
                <w:rFonts w:ascii="宋体" w:hAnsi="宋体" w:cs="宋体"/>
                <w:b/>
                <w:color w:val="auto"/>
                <w:szCs w:val="21"/>
              </w:rPr>
              <w:t xml:space="preserve">1</w:t>
            </w:r>
            <w:r>
              <w:rPr>
                <w:rFonts w:hint="eastAsia" w:ascii="宋体" w:hAnsi="宋体" w:cs="宋体"/>
                <w:b/>
                <w:color w:val="auto"/>
                <w:szCs w:val="21"/>
              </w:rPr>
              <w:t xml:space="preserve">月以来考核通过的国家级能力验证结果通知单扫描件、电子件或复印件加盖公章，未按要求提供不得分。（国家级检测能力验证是指生态环境部、中国环境监测总站等国家级单位组织的能力验证）</w:t>
            </w:r>
            <w:r/>
          </w:p>
        </w:tc>
      </w:tr>
      <w:tr>
        <w:trPr/>
        <w:tc>
          <w:tcPr>
            <w:tcW w:w="1276" w:type="dxa"/>
            <w:vAlign w:val="center"/>
            <w:vMerge w:val="restart"/>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综合实力（</w:t>
            </w:r>
            <w:r>
              <w:rPr>
                <w:rFonts w:ascii="宋体" w:hAnsi="宋体" w:cs="宋体"/>
                <w:color w:val="auto"/>
                <w:szCs w:val="21"/>
              </w:rPr>
              <w:t xml:space="preserve">11</w:t>
            </w:r>
            <w:r>
              <w:rPr>
                <w:rFonts w:hint="eastAsia" w:ascii="宋体" w:hAnsi="宋体" w:cs="宋体"/>
                <w:color w:val="auto"/>
                <w:szCs w:val="21"/>
              </w:rPr>
              <w:t xml:space="preserve">分）</w:t>
            </w:r>
            <w:r/>
          </w:p>
        </w:tc>
        <w:tc>
          <w:tcPr>
            <w:tcW w:w="8221" w:type="dxa"/>
            <w:vAlign w:val="center"/>
            <w:textDirection w:val="lrTb"/>
            <w:noWrap w:val="false"/>
          </w:tcPr>
          <w:p>
            <w:pPr>
              <w:pStyle w:val="944"/>
              <w:ind w:firstLine="0"/>
              <w:spacing w:line="240" w:lineRule="auto"/>
              <w:rPr>
                <w:rFonts w:ascii="宋体" w:hAnsi="宋体"/>
                <w:bCs/>
                <w:color w:val="auto"/>
                <w:sz w:val="21"/>
                <w:szCs w:val="21"/>
                <w:lang w:eastAsia="zh-CN"/>
              </w:rPr>
            </w:pPr>
            <w:r>
              <w:rPr>
                <w:rFonts w:hint="eastAsia" w:ascii="宋体" w:hAnsi="宋体" w:cs="宋体"/>
                <w:color w:val="auto"/>
                <w:sz w:val="21"/>
                <w:szCs w:val="21"/>
                <w:lang w:eastAsia="zh-CN"/>
              </w:rPr>
              <w:t xml:space="preserve">2021年01月01日以来，投标人获得过市级及市级以上行政主管部门颁发的环境监测类奖项的，每有一个</w:t>
            </w:r>
            <w:r>
              <w:rPr>
                <w:rFonts w:hint="eastAsia" w:ascii="宋体" w:hAnsi="宋体" w:cs="宋体"/>
                <w:b/>
                <w:bCs/>
                <w:color w:val="auto"/>
                <w:sz w:val="21"/>
                <w:szCs w:val="21"/>
                <w:lang w:eastAsia="zh-CN"/>
              </w:rPr>
              <w:t xml:space="preserve">得</w:t>
            </w:r>
            <w:r>
              <w:rPr>
                <w:rFonts w:ascii="宋体" w:hAnsi="宋体" w:cs="宋体"/>
                <w:b/>
                <w:bCs/>
                <w:color w:val="auto"/>
                <w:sz w:val="21"/>
                <w:szCs w:val="21"/>
                <w:lang w:eastAsia="zh-CN"/>
              </w:rPr>
              <w:t xml:space="preserve">2</w:t>
            </w:r>
            <w:r>
              <w:rPr>
                <w:rFonts w:hint="eastAsia" w:ascii="宋体" w:hAnsi="宋体" w:cs="宋体"/>
                <w:b/>
                <w:bCs/>
                <w:color w:val="auto"/>
                <w:sz w:val="21"/>
                <w:szCs w:val="21"/>
                <w:lang w:eastAsia="zh-CN"/>
              </w:rPr>
              <w:t xml:space="preserve">分</w:t>
            </w:r>
            <w:r>
              <w:rPr>
                <w:rFonts w:hint="eastAsia" w:ascii="宋体" w:hAnsi="宋体" w:cs="宋体"/>
                <w:color w:val="auto"/>
                <w:sz w:val="21"/>
                <w:szCs w:val="21"/>
                <w:lang w:eastAsia="zh-CN"/>
              </w:rPr>
              <w:t xml:space="preserve">。</w:t>
            </w:r>
            <w:r>
              <w:rPr>
                <w:rFonts w:hint="eastAsia" w:ascii="宋体" w:hAnsi="宋体" w:cs="宋体"/>
                <w:b/>
                <w:color w:val="auto"/>
                <w:sz w:val="21"/>
                <w:szCs w:val="21"/>
                <w:lang w:eastAsia="zh-CN"/>
              </w:rPr>
              <w:t xml:space="preserve">本项最高得</w:t>
            </w:r>
            <w:r>
              <w:rPr>
                <w:rFonts w:ascii="宋体" w:hAnsi="宋体" w:cs="宋体"/>
                <w:b/>
                <w:color w:val="auto"/>
                <w:sz w:val="21"/>
                <w:szCs w:val="21"/>
                <w:lang w:eastAsia="zh-CN"/>
              </w:rPr>
              <w:t xml:space="preserve">6</w:t>
            </w:r>
            <w:r>
              <w:rPr>
                <w:rFonts w:hint="eastAsia" w:ascii="宋体" w:hAnsi="宋体" w:cs="宋体"/>
                <w:b/>
                <w:color w:val="auto"/>
                <w:sz w:val="21"/>
                <w:szCs w:val="21"/>
                <w:lang w:eastAsia="zh-CN"/>
              </w:rPr>
              <w:t xml:space="preserve">分</w:t>
            </w:r>
            <w:r>
              <w:rPr>
                <w:rFonts w:hint="eastAsia" w:ascii="宋体" w:hAnsi="宋体" w:cs="宋体"/>
                <w:color w:val="auto"/>
                <w:sz w:val="21"/>
                <w:szCs w:val="21"/>
                <w:lang w:eastAsia="zh-CN"/>
              </w:rPr>
              <w:t xml:space="preserve">。</w:t>
            </w:r>
            <w:r/>
          </w:p>
          <w:p>
            <w:pPr>
              <w:rPr>
                <w:rFonts w:ascii="宋体" w:hAnsi="宋体" w:cs="宋体"/>
                <w:b/>
                <w:color w:val="auto"/>
                <w:szCs w:val="21"/>
              </w:rPr>
            </w:pPr>
            <w:r>
              <w:rPr>
                <w:rFonts w:hint="eastAsia" w:ascii="宋体" w:hAnsi="宋体"/>
                <w:b/>
                <w:bCs/>
                <w:color w:val="auto"/>
                <w:szCs w:val="21"/>
              </w:rPr>
              <w:t xml:space="preserve">注：需要提供相应的行政主管部门荣誉证书（或文件）扫描件上传至电子投标文件中，否则不得分。</w:t>
            </w:r>
            <w:r/>
          </w:p>
        </w:tc>
      </w:tr>
      <w:tr>
        <w:trPr>
          <w:trHeight w:val="739"/>
        </w:trPr>
        <w:tc>
          <w:tcPr>
            <w:tcW w:w="12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8221" w:type="dxa"/>
            <w:vAlign w:val="center"/>
            <w:textDirection w:val="lrTb"/>
            <w:noWrap w:val="false"/>
          </w:tcPr>
          <w:p>
            <w:pPr>
              <w:pStyle w:val="944"/>
              <w:ind w:firstLine="0"/>
              <w:spacing w:line="400" w:lineRule="exact"/>
              <w:rPr>
                <w:rFonts w:ascii="宋体" w:hAnsi="宋体"/>
                <w:bCs/>
                <w:sz w:val="21"/>
                <w:szCs w:val="21"/>
                <w:lang w:eastAsia="zh-CN"/>
              </w:rPr>
            </w:pPr>
            <w:r>
              <w:rPr>
                <w:rFonts w:hint="eastAsia" w:ascii="宋体" w:hAnsi="宋体"/>
                <w:bCs/>
                <w:sz w:val="21"/>
                <w:szCs w:val="21"/>
                <w:lang w:eastAsia="zh-CN"/>
              </w:rPr>
              <w:t xml:space="preserve">（</w:t>
            </w:r>
            <w:r>
              <w:rPr>
                <w:rFonts w:ascii="宋体" w:hAnsi="宋体"/>
                <w:bCs/>
                <w:sz w:val="21"/>
                <w:szCs w:val="21"/>
                <w:lang w:eastAsia="zh-CN"/>
              </w:rPr>
              <w:t xml:space="preserve">2</w:t>
            </w:r>
            <w:r>
              <w:rPr>
                <w:rFonts w:hint="eastAsia" w:ascii="宋体" w:hAnsi="宋体"/>
                <w:bCs/>
                <w:sz w:val="21"/>
                <w:szCs w:val="21"/>
                <w:lang w:eastAsia="zh-CN"/>
              </w:rPr>
              <w:t xml:space="preserve">）投标人为高新技术企业的</w:t>
            </w:r>
            <w:r>
              <w:rPr>
                <w:rFonts w:hint="eastAsia" w:ascii="宋体" w:hAnsi="宋体"/>
                <w:b/>
                <w:bCs/>
                <w:sz w:val="21"/>
                <w:szCs w:val="21"/>
                <w:lang w:eastAsia="zh-CN"/>
              </w:rPr>
              <w:t xml:space="preserve">得</w:t>
            </w:r>
            <w:r>
              <w:rPr>
                <w:rFonts w:ascii="宋体" w:hAnsi="宋体"/>
                <w:b/>
                <w:bCs/>
                <w:sz w:val="21"/>
                <w:szCs w:val="21"/>
                <w:lang w:eastAsia="zh-CN"/>
              </w:rPr>
              <w:t xml:space="preserve">5</w:t>
            </w:r>
            <w:r>
              <w:rPr>
                <w:rFonts w:hint="eastAsia" w:ascii="宋体" w:hAnsi="宋体"/>
                <w:b/>
                <w:bCs/>
                <w:sz w:val="21"/>
                <w:szCs w:val="21"/>
                <w:lang w:eastAsia="zh-CN"/>
              </w:rPr>
              <w:t xml:space="preserve">分；</w:t>
            </w:r>
            <w:r>
              <w:rPr>
                <w:rFonts w:hint="eastAsia" w:ascii="宋体" w:hAnsi="宋体" w:cs="宋体"/>
                <w:b/>
                <w:sz w:val="21"/>
                <w:szCs w:val="21"/>
                <w:lang w:eastAsia="zh-CN"/>
              </w:rPr>
              <w:t xml:space="preserve">本项最高得</w:t>
            </w:r>
            <w:r>
              <w:rPr>
                <w:rFonts w:ascii="宋体" w:hAnsi="宋体" w:cs="宋体"/>
                <w:b/>
                <w:sz w:val="21"/>
                <w:szCs w:val="21"/>
                <w:lang w:eastAsia="zh-CN"/>
              </w:rPr>
              <w:t xml:space="preserve">5</w:t>
            </w:r>
            <w:r>
              <w:rPr>
                <w:rFonts w:hint="eastAsia" w:ascii="宋体" w:hAnsi="宋体" w:cs="宋体"/>
                <w:b/>
                <w:sz w:val="21"/>
                <w:szCs w:val="21"/>
                <w:lang w:eastAsia="zh-CN"/>
              </w:rPr>
              <w:t xml:space="preserve">分</w:t>
            </w:r>
            <w:r>
              <w:rPr>
                <w:rFonts w:hint="eastAsia" w:ascii="宋体" w:hAnsi="宋体" w:cs="宋体"/>
                <w:sz w:val="21"/>
                <w:szCs w:val="21"/>
                <w:lang w:eastAsia="zh-CN"/>
              </w:rPr>
              <w:t xml:space="preserve">。</w:t>
            </w:r>
            <w:r/>
          </w:p>
          <w:p>
            <w:pPr>
              <w:rPr>
                <w:rFonts w:ascii="宋体" w:hAnsi="宋体" w:cs="宋体"/>
                <w:b/>
                <w:szCs w:val="21"/>
              </w:rPr>
            </w:pPr>
            <w:r>
              <w:rPr>
                <w:rFonts w:hint="eastAsia" w:ascii="宋体" w:hAnsi="宋体"/>
                <w:b/>
                <w:bCs/>
                <w:szCs w:val="21"/>
              </w:rPr>
              <w:t xml:space="preserve">注：提供相应部门颁发的证书复印件加盖公章，否则不得分。</w:t>
            </w:r>
            <w:r/>
          </w:p>
        </w:tc>
      </w:tr>
      <w:tr>
        <w:trPr/>
        <w:tc>
          <w:tcPr>
            <w:tcW w:w="1276" w:type="dxa"/>
            <w:vAlign w:val="center"/>
            <w:textDirection w:val="lrTb"/>
            <w:noWrap w:val="false"/>
          </w:tcPr>
          <w:p>
            <w:pPr>
              <w:jc w:val="center"/>
              <w:rPr>
                <w:rFonts w:ascii="宋体" w:hAnsi="宋体" w:cs="宋体"/>
                <w:szCs w:val="21"/>
              </w:rPr>
            </w:pPr>
            <w:r>
              <w:rPr>
                <w:rFonts w:hint="eastAsia" w:ascii="宋体" w:hAnsi="宋体" w:cs="宋体"/>
                <w:szCs w:val="21"/>
              </w:rPr>
              <w:t xml:space="preserve">业绩（</w:t>
            </w:r>
            <w:r>
              <w:rPr>
                <w:rFonts w:ascii="宋体" w:hAnsi="宋体" w:cs="宋体"/>
                <w:szCs w:val="21"/>
              </w:rPr>
              <w:t xml:space="preserve">4</w:t>
            </w:r>
            <w:r>
              <w:rPr>
                <w:rFonts w:hint="eastAsia" w:ascii="宋体" w:hAnsi="宋体" w:cs="宋体"/>
                <w:szCs w:val="21"/>
              </w:rPr>
              <w:t xml:space="preserve">分）</w:t>
            </w:r>
            <w:r/>
          </w:p>
        </w:tc>
        <w:tc>
          <w:tcPr>
            <w:tcW w:w="8221" w:type="dxa"/>
            <w:vAlign w:val="center"/>
            <w:textDirection w:val="lrTb"/>
            <w:noWrap w:val="false"/>
          </w:tcPr>
          <w:p>
            <w:pPr>
              <w:rPr>
                <w:rFonts w:ascii="宋体" w:hAnsi="宋体" w:cs="宋体"/>
                <w:szCs w:val="21"/>
              </w:rPr>
            </w:pPr>
            <w:r>
              <w:rPr>
                <w:rFonts w:ascii="宋体" w:hAnsi="宋体" w:cs="宋体"/>
                <w:szCs w:val="21"/>
              </w:rPr>
              <w:t xml:space="preserve">2021 </w:t>
            </w:r>
            <w:r>
              <w:rPr>
                <w:rFonts w:hint="eastAsia" w:ascii="宋体" w:hAnsi="宋体" w:cs="宋体"/>
                <w:szCs w:val="21"/>
              </w:rPr>
              <w:t xml:space="preserve">年</w:t>
            </w:r>
            <w:r>
              <w:rPr>
                <w:rFonts w:ascii="宋体" w:hAnsi="宋体" w:cs="宋体"/>
                <w:szCs w:val="21"/>
              </w:rPr>
              <w:t xml:space="preserve">01 </w:t>
            </w:r>
            <w:r>
              <w:rPr>
                <w:rFonts w:hint="eastAsia" w:ascii="宋体" w:hAnsi="宋体" w:cs="宋体"/>
                <w:szCs w:val="21"/>
              </w:rPr>
              <w:t xml:space="preserve">月</w:t>
            </w:r>
            <w:r>
              <w:rPr>
                <w:rFonts w:ascii="宋体" w:hAnsi="宋体" w:cs="宋体"/>
                <w:szCs w:val="21"/>
              </w:rPr>
              <w:t xml:space="preserve">01 </w:t>
            </w:r>
            <w:r>
              <w:rPr>
                <w:rFonts w:hint="eastAsia" w:ascii="宋体" w:hAnsi="宋体" w:cs="宋体"/>
                <w:szCs w:val="21"/>
              </w:rPr>
              <w:t xml:space="preserve">日以来（时间以合同签订日期为准），投标人具有与本项目类似业绩的，每有一个</w:t>
            </w:r>
            <w:r>
              <w:rPr>
                <w:rFonts w:hint="eastAsia" w:ascii="宋体" w:hAnsi="宋体" w:cs="宋体"/>
                <w:b/>
                <w:szCs w:val="21"/>
              </w:rPr>
              <w:t xml:space="preserve">得</w:t>
            </w:r>
            <w:r>
              <w:rPr>
                <w:rFonts w:ascii="宋体" w:hAnsi="宋体" w:cs="宋体"/>
                <w:b/>
                <w:szCs w:val="21"/>
              </w:rPr>
              <w:t xml:space="preserve">1</w:t>
            </w:r>
            <w:r>
              <w:rPr>
                <w:rFonts w:hint="eastAsia" w:ascii="宋体" w:hAnsi="宋体" w:cs="宋体"/>
                <w:b/>
                <w:szCs w:val="21"/>
              </w:rPr>
              <w:t xml:space="preserve">分；本项最高得</w:t>
            </w:r>
            <w:r>
              <w:rPr>
                <w:rFonts w:ascii="宋体" w:hAnsi="宋体" w:cs="宋体"/>
                <w:b/>
                <w:szCs w:val="21"/>
              </w:rPr>
              <w:t xml:space="preserve">4</w:t>
            </w:r>
            <w:r>
              <w:rPr>
                <w:rFonts w:hint="eastAsia" w:ascii="宋体" w:hAnsi="宋体" w:cs="宋体"/>
                <w:b/>
                <w:szCs w:val="21"/>
              </w:rPr>
              <w:t xml:space="preserve">分。</w:t>
            </w:r>
            <w:r/>
          </w:p>
          <w:p>
            <w:pPr>
              <w:rPr>
                <w:rFonts w:ascii="宋体" w:hAnsi="宋体" w:cs="宋体"/>
                <w:b/>
                <w:szCs w:val="21"/>
              </w:rPr>
            </w:pPr>
            <w:r>
              <w:rPr>
                <w:rFonts w:hint="eastAsia" w:ascii="宋体" w:hAnsi="宋体" w:cs="宋体"/>
                <w:b/>
                <w:szCs w:val="21"/>
              </w:rPr>
              <w:t xml:space="preserve">注：提供完整合同扫描件、电子件或复印件并加盖公章，未按要求提供不得分。</w:t>
            </w:r>
            <w:r/>
          </w:p>
        </w:tc>
      </w:tr>
    </w:tbl>
    <w:p>
      <w:pPr>
        <w:rPr>
          <w:rFonts w:ascii="宋体" w:cs="宋体" w:hAnsiTheme="minorHAnsi"/>
          <w:b/>
          <w:sz w:val="24"/>
        </w:rPr>
      </w:pPr>
      <w:r>
        <w:rPr>
          <w:rFonts w:ascii="宋体" w:cs="宋体" w:hAnsiTheme="minorHAnsi"/>
          <w:b/>
          <w:sz w:val="24"/>
        </w:rPr>
      </w:r>
      <w:r/>
    </w:p>
    <w:p>
      <w:pPr>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pStyle w:val="845"/>
        <w:jc w:val="center"/>
        <w:spacing w:before="156" w:after="156" w:line="360" w:lineRule="auto"/>
        <w:rPr>
          <w:rFonts w:ascii="黑体" w:hAnsi="黑体" w:eastAsia="黑体"/>
          <w:b w:val="0"/>
        </w:rPr>
      </w:pPr>
      <w:r/>
      <w:bookmarkStart w:id="56" w:name="_Toc155796361"/>
      <w:r/>
      <w:r/>
    </w:p>
    <w:p>
      <w:r/>
      <w:r/>
    </w:p>
    <w:p>
      <w:r/>
      <w:r/>
    </w:p>
    <w:p>
      <w:r/>
      <w:r/>
    </w:p>
    <w:p>
      <w:pPr>
        <w:pStyle w:val="845"/>
        <w:jc w:val="center"/>
        <w:spacing w:before="156" w:after="156" w:line="360" w:lineRule="auto"/>
        <w:rPr>
          <w:rFonts w:ascii="黑体" w:hAnsi="黑体" w:eastAsia="黑体"/>
          <w:b w:val="0"/>
        </w:rPr>
      </w:pPr>
      <w:r>
        <w:rPr>
          <w:rFonts w:ascii="黑体" w:hAnsi="黑体" w:eastAsia="黑体"/>
          <w:b w:val="0"/>
        </w:rPr>
      </w:r>
      <w:r/>
    </w:p>
    <w:p>
      <w:pPr>
        <w:jc w:val="left"/>
        <w:widowControl/>
        <w:rPr>
          <w:rFonts w:ascii="黑体" w:hAnsi="黑体" w:eastAsia="黑体"/>
          <w:bCs/>
          <w:sz w:val="44"/>
          <w:szCs w:val="44"/>
        </w:rPr>
      </w:pPr>
      <w:r>
        <w:rPr>
          <w:rFonts w:ascii="黑体" w:hAnsi="黑体" w:eastAsia="黑体"/>
          <w:b/>
        </w:rPr>
        <w:br w:type="page" w:clear="all"/>
      </w:r>
      <w:r/>
    </w:p>
    <w:p>
      <w:pPr>
        <w:pStyle w:val="845"/>
        <w:jc w:val="center"/>
        <w:spacing w:before="156" w:after="156" w:line="360" w:lineRule="auto"/>
        <w:rPr>
          <w:rFonts w:ascii="黑体" w:hAnsi="黑体" w:eastAsia="黑体"/>
          <w:b w:val="0"/>
        </w:rPr>
      </w:pPr>
      <w:r>
        <w:rPr>
          <w:rFonts w:hint="eastAsia" w:ascii="黑体" w:hAnsi="黑体" w:eastAsia="黑体"/>
          <w:b w:val="0"/>
        </w:rPr>
        <w:t xml:space="preserve">第六章投标文件格式</w:t>
      </w:r>
      <w:bookmarkEnd w:id="56"/>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投标文件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项目名称：</w:t>
      </w:r>
      <w:r/>
    </w:p>
    <w:p>
      <w:pPr>
        <w:ind w:firstLine="1084"/>
        <w:rPr>
          <w:rFonts w:ascii="宋体" w:hAnsi="宋体"/>
          <w:b/>
          <w:color w:val="000000"/>
          <w:sz w:val="36"/>
          <w:szCs w:val="21"/>
          <w:u w:val="single"/>
        </w:rPr>
      </w:pPr>
      <w:r>
        <w:rPr>
          <w:rFonts w:hint="eastAsia" w:ascii="宋体" w:hAnsi="宋体"/>
          <w:b/>
          <w:color w:val="000000"/>
          <w:sz w:val="36"/>
          <w:szCs w:val="21"/>
        </w:rPr>
        <w:t xml:space="preserve">项目编号：</w:t>
      </w:r>
      <w:r/>
    </w:p>
    <w:p>
      <w:pPr>
        <w:rPr>
          <w:rFonts w:ascii="宋体" w:hAnsi="宋体"/>
          <w:b/>
          <w:color w:val="000000"/>
          <w:sz w:val="36"/>
          <w:szCs w:val="21"/>
          <w:u w:val="single"/>
        </w:rPr>
      </w:pPr>
      <w:r>
        <w:rPr>
          <w:rFonts w:hint="eastAsia" w:ascii="宋体" w:hAnsi="宋体"/>
          <w:b/>
          <w:color w:val="000000"/>
          <w:sz w:val="36"/>
          <w:szCs w:val="21"/>
        </w:rPr>
        <w:t xml:space="preserve">      投标人名称：</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日期：</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outlineLvl w:val="1"/>
      </w:pPr>
      <w:r>
        <w:rPr>
          <w:rFonts w:hint="eastAsia" w:ascii="宋体" w:hAnsi="宋体" w:cs="宋体"/>
          <w:i/>
          <w:sz w:val="36"/>
          <w:szCs w:val="36"/>
          <w:u w:val="single"/>
        </w:rPr>
        <w:t xml:space="preserve">一、法人或者其他组织的营业执照等证明文件，自然人的身份证明</w:t>
      </w:r>
      <w:r/>
    </w:p>
    <w:p>
      <w:r/>
      <w:r/>
    </w:p>
    <w:p>
      <w:pPr>
        <w:jc w:val="left"/>
        <w:keepLines/>
        <w:keepNext/>
        <w:spacing w:before="360" w:after="200" w:line="360" w:lineRule="auto"/>
        <w:rPr>
          <w:sz w:val="24"/>
          <w:szCs w:val="24"/>
        </w:rPr>
        <w:outlineLvl w:val="1"/>
      </w:pPr>
      <w:r>
        <w:rPr>
          <w:rFonts w:hint="eastAsia" w:ascii="Arial" w:hAnsi="Arial" w:cs="Arial"/>
          <w:i/>
          <w:sz w:val="36"/>
          <w:u w:val="single"/>
        </w:rPr>
        <w:t xml:space="preserve">二、上一年度的财务状况报告</w:t>
      </w:r>
      <w:r>
        <w:rPr>
          <w:rFonts w:hint="eastAsia"/>
          <w:sz w:val="24"/>
          <w:szCs w:val="24"/>
        </w:rPr>
        <w:t xml:space="preserve">（成立不满一年无需提供）</w:t>
      </w:r>
      <w:r/>
    </w:p>
    <w:p>
      <w:pPr>
        <w:ind w:firstLine="482"/>
        <w:spacing w:line="360" w:lineRule="auto"/>
        <w:rPr>
          <w:rFonts w:ascii="黑体" w:hAnsi="宋体" w:eastAsia="黑体" w:cs="黑体"/>
          <w:i/>
          <w:iCs/>
          <w:sz w:val="32"/>
          <w:szCs w:val="32"/>
          <w:u w:val="single"/>
          <w:lang w:bidi="ar"/>
        </w:rPr>
      </w:pPr>
      <w:r>
        <w:rPr>
          <w:rFonts w:hint="eastAsia" w:ascii="宋体" w:hAnsi="宋体" w:cs="宋体"/>
          <w:b/>
          <w:bCs/>
          <w:sz w:val="24"/>
        </w:rPr>
        <w:t xml:space="preserve">注：根据连财购〔2023〕4号文件精神，本项可以提供《财务状况报告及税收、社会保障资金缴纳情况承诺函》（格式如下）。</w:t>
      </w:r>
      <w:r/>
    </w:p>
    <w:p>
      <w:pPr>
        <w:jc w:val="center"/>
        <w:spacing w:line="360" w:lineRule="auto"/>
        <w:rPr>
          <w:rFonts w:ascii="黑体" w:hAnsi="黑体" w:eastAsia="黑体" w:cs="宋体"/>
          <w:bCs/>
          <w:sz w:val="36"/>
          <w:szCs w:val="28"/>
        </w:rPr>
      </w:pPr>
      <w:r>
        <w:rPr>
          <w:rFonts w:ascii="黑体" w:hAnsi="黑体" w:eastAsia="黑体" w:cs="宋体"/>
          <w:bCs/>
          <w:sz w:val="36"/>
          <w:szCs w:val="28"/>
        </w:rPr>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财务状况报告及税收、社会保障资金缴纳情况承诺函（格式）</w:t>
      </w:r>
      <w:r/>
    </w:p>
    <w:p>
      <w:pPr>
        <w:pStyle w:val="648"/>
        <w:rPr>
          <w:color w:val="auto"/>
        </w:rPr>
      </w:pPr>
      <w:r>
        <w:rPr>
          <w:color w:val="auto"/>
        </w:rPr>
      </w:r>
      <w:r/>
    </w:p>
    <w:p>
      <w:pPr>
        <w:spacing w:line="360" w:lineRule="auto"/>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采购人名称</w:t>
      </w:r>
      <w:r/>
    </w:p>
    <w:p>
      <w:pPr>
        <w:ind w:firstLine="480"/>
        <w:spacing w:line="360" w:lineRule="auto"/>
        <w:rPr>
          <w:rFonts w:ascii="宋体" w:hAnsi="宋体" w:cs="宋体"/>
          <w:sz w:val="24"/>
        </w:rPr>
      </w:pPr>
      <w:r>
        <w:rPr>
          <w:rFonts w:hint="eastAsia" w:ascii="宋体" w:hAnsi="宋体" w:cs="宋体"/>
          <w:sz w:val="24"/>
        </w:rPr>
        <w:t xml:space="preserve">我方</w:t>
      </w:r>
      <w:r>
        <w:rPr>
          <w:rFonts w:hint="eastAsia" w:ascii="宋体" w:hAnsi="宋体" w:cs="宋体"/>
          <w:sz w:val="24"/>
          <w:u w:val="single"/>
        </w:rPr>
        <w:t xml:space="preserve">供应商名称</w:t>
      </w:r>
      <w:r>
        <w:rPr>
          <w:rFonts w:hint="eastAsia" w:ascii="宋体" w:hAnsi="宋体" w:cs="宋体"/>
          <w:sz w:val="24"/>
        </w:rPr>
        <w:t xml:space="preserve">参加</w:t>
      </w:r>
      <w:r>
        <w:rPr>
          <w:rFonts w:hint="eastAsia" w:ascii="宋体" w:hAnsi="宋体" w:cs="宋体"/>
          <w:sz w:val="24"/>
          <w:u w:val="single"/>
        </w:rPr>
        <w:t xml:space="preserve">项目名称</w:t>
      </w:r>
      <w:r>
        <w:rPr>
          <w:rFonts w:hint="eastAsia" w:ascii="宋体" w:hAnsi="宋体" w:cs="宋体"/>
          <w:sz w:val="24"/>
        </w:rPr>
        <w:t xml:space="preserve">（项目编号：</w:t>
      </w:r>
      <w:r>
        <w:rPr>
          <w:rFonts w:hint="eastAsia" w:ascii="宋体" w:hAnsi="宋体" w:cs="宋体"/>
          <w:sz w:val="24"/>
          <w:u w:val="single"/>
        </w:rPr>
        <w:t xml:space="preserve">项目编号</w:t>
      </w:r>
      <w:r>
        <w:rPr>
          <w:rFonts w:hint="eastAsia" w:ascii="宋体" w:hAnsi="宋体" w:cs="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sz w:val="24"/>
        </w:rPr>
      </w:pPr>
      <w:r>
        <w:rPr>
          <w:rFonts w:hint="eastAsia" w:ascii="宋体" w:hAnsi="宋体" w:cs="宋体"/>
          <w:sz w:val="24"/>
        </w:rPr>
        <w:t xml:space="preserve">（1）具有良好的商业信誉和健全的财务会计制度（财务状况报告）；</w:t>
      </w:r>
      <w:r/>
    </w:p>
    <w:p>
      <w:pPr>
        <w:ind w:firstLine="480"/>
        <w:spacing w:line="360" w:lineRule="auto"/>
        <w:rPr>
          <w:rFonts w:ascii="宋体" w:hAnsi="宋体" w:cs="宋体"/>
          <w:sz w:val="24"/>
        </w:rPr>
      </w:pPr>
      <w:r>
        <w:rPr>
          <w:rFonts w:hint="eastAsia" w:ascii="宋体" w:hAnsi="宋体" w:cs="宋体"/>
          <w:sz w:val="24"/>
        </w:rPr>
        <w:t xml:space="preserve">（2）有依法缴纳税收和社会保障资金的良好记录。</w:t>
      </w:r>
      <w:r/>
    </w:p>
    <w:p>
      <w:pPr>
        <w:ind w:firstLine="480"/>
        <w:spacing w:line="360" w:lineRule="auto"/>
        <w:rPr>
          <w:rFonts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sz w:val="24"/>
        </w:rPr>
      </w:pPr>
      <w:r>
        <w:rPr>
          <w:rFonts w:hint="eastAsia" w:ascii="宋体" w:hAnsi="宋体" w:cs="宋体"/>
          <w:sz w:val="24"/>
        </w:rPr>
        <w:t xml:space="preserve">特此承诺</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投标人（盖章）：</w:t>
      </w:r>
      <w:r/>
    </w:p>
    <w:p>
      <w:pPr>
        <w:ind w:firstLine="480"/>
        <w:spacing w:line="360" w:lineRule="auto"/>
        <w:rPr>
          <w:rFonts w:ascii="宋体" w:hAnsi="宋体" w:cs="宋体"/>
          <w:sz w:val="24"/>
        </w:rPr>
      </w:pPr>
      <w:r>
        <w:rPr>
          <w:rFonts w:hint="eastAsia" w:ascii="宋体" w:hAnsi="宋体" w:cs="宋体"/>
          <w:sz w:val="24"/>
        </w:rPr>
        <w:t xml:space="preserve">法定代表人或委托代理人（签字或盖章）：</w:t>
      </w:r>
      <w:r/>
    </w:p>
    <w:p>
      <w:pPr>
        <w:ind w:firstLine="480"/>
        <w:spacing w:line="360" w:lineRule="auto"/>
        <w:rPr>
          <w:rFonts w:ascii="宋体" w:hAnsi="宋体" w:cs="宋体"/>
          <w:sz w:val="24"/>
        </w:rPr>
      </w:pPr>
      <w:r>
        <w:rPr>
          <w:rFonts w:hint="eastAsia" w:ascii="宋体" w:hAnsi="宋体" w:cs="宋体"/>
          <w:sz w:val="24"/>
        </w:rPr>
        <w:t xml:space="preserve">日期：    年     月     日</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日期：年月日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日期：年月日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日期：年月日</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（项目名称）</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spacing w:line="360" w:lineRule="auto"/>
        <w:rPr>
          <w:sz w:val="24"/>
          <w:szCs w:val="24"/>
        </w:rPr>
      </w:pPr>
      <w:r>
        <w:rPr>
          <w:rFonts w:hint="eastAsia"/>
          <w:sz w:val="24"/>
          <w:szCs w:val="24"/>
        </w:rPr>
        <w:t xml:space="preserve">投标人</w:t>
      </w:r>
      <w:r>
        <w:rPr>
          <w:sz w:val="24"/>
          <w:szCs w:val="24"/>
        </w:rPr>
        <w:t xml:space="preserve">名称（加盖公章）：</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p>
    <w:p>
      <w:pPr>
        <w:spacing w:line="360" w:lineRule="auto"/>
        <w:rPr>
          <w:rFonts w:ascii="宋体" w:hAnsi="宋体"/>
          <w:color w:val="000000"/>
          <w:sz w:val="24"/>
          <w:szCs w:val="20"/>
        </w:rPr>
      </w:pPr>
      <w:r>
        <w:rPr>
          <w:rFonts w:hint="eastAsia"/>
          <w:sz w:val="24"/>
          <w:szCs w:val="24"/>
        </w:rPr>
        <w:t xml:space="preserve">日期：年月日</w:t>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236"/>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日期：年月日</w:t>
      </w:r>
      <w:r/>
    </w:p>
    <w:p>
      <w:pPr>
        <w:spacing w:line="360" w:lineRule="auto"/>
        <w:rPr>
          <w:sz w:val="24"/>
          <w:szCs w:val="24"/>
        </w:rPr>
      </w:pPr>
      <w:r>
        <w:rPr>
          <w:sz w:val="24"/>
          <w:szCs w:val="24"/>
        </w:rPr>
      </w:r>
      <w:r/>
    </w:p>
    <w:p>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pStyle w:val="648"/>
      </w:p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十、投标函</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投标函</w:t>
      </w:r>
      <w:r/>
    </w:p>
    <w:p>
      <w:pPr>
        <w:jc w:val="left"/>
        <w:spacing w:line="360" w:lineRule="auto"/>
        <w:rPr>
          <w:rFonts w:ascii="宋体" w:hAnsi="宋体"/>
          <w:color w:val="000000"/>
          <w:sz w:val="24"/>
          <w:szCs w:val="21"/>
        </w:rPr>
      </w:pPr>
      <w:r>
        <w:rPr>
          <w:rFonts w:hint="eastAsia" w:ascii="宋体" w:hAnsi="宋体"/>
          <w:color w:val="000000"/>
          <w:sz w:val="24"/>
          <w:szCs w:val="21"/>
        </w:rPr>
        <w:t xml:space="preserve">致：</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地址：</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邮编：</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电话：</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传真：</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360" w:lineRule="auto"/>
        <w:rPr>
          <w:rFonts w:ascii="宋体" w:hAnsi="宋体"/>
          <w:color w:val="000000"/>
          <w:sz w:val="24"/>
          <w:szCs w:val="21"/>
        </w:rPr>
      </w:pPr>
      <w:r>
        <w:rPr>
          <w:rFonts w:hint="eastAsia" w:ascii="宋体" w:hAnsi="宋体"/>
          <w:color w:val="000000"/>
          <w:sz w:val="24"/>
          <w:szCs w:val="21"/>
        </w:rPr>
        <w:t xml:space="preserve">账号：</w:t>
      </w:r>
      <w:r/>
    </w:p>
    <w:p>
      <w:pPr>
        <w:spacing w:line="360" w:lineRule="auto"/>
      </w:p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十一、中小企业声明函（服务）（标段号：**）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（项目编号：，标段号：）采购活动，提供的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，如填写不完整或不一致或填写有误，供应商承担一切不利后果。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十二、残疾人福利性单位声明函（标段号：**）</w:t>
      </w:r>
      <w:r/>
    </w:p>
    <w:p>
      <w:pPr>
        <w:ind w:firstLine="2160"/>
        <w:jc w:val="left"/>
        <w:keepLines/>
        <w:keepNext/>
        <w:spacing w:before="360" w:after="200" w:line="360" w:lineRule="auto"/>
        <w:rPr>
          <w:rFonts w:ascii="宋体" w:hAnsi="宋体"/>
          <w:color w:val="000000"/>
          <w:sz w:val="24"/>
          <w:szCs w:val="21"/>
        </w:rPr>
        <w:outlineLvl w:val="1"/>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本单位郑重声明，根据《财政部民政部中国残疾人联合会关于促进残疾人就业政府采购政策的通知》（财库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项目编号：，标段号：</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，如填写不完整或不一致或填写有误，供应商承担一切不利后果。</w:t>
      </w:r>
      <w:r/>
    </w:p>
    <w:p>
      <w:pPr>
        <w:ind w:firstLine="480"/>
        <w:jc w:val="left"/>
        <w:spacing w:line="360" w:lineRule="auto"/>
        <w:rPr>
          <w:rFonts w:ascii="宋体" w:hAnsi="宋体"/>
          <w:bCs/>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ascii="宋体" w:hAnsi="宋体"/>
          <w:bCs/>
          <w:sz w:val="24"/>
          <w:szCs w:val="24"/>
        </w:rPr>
      </w:r>
      <w:r/>
    </w:p>
    <w:p>
      <w:pPr>
        <w:ind w:firstLine="480"/>
        <w:jc w:val="left"/>
        <w:spacing w:line="360" w:lineRule="auto"/>
        <w:rPr>
          <w:rFonts w:ascii="宋体" w:hAnsi="宋体"/>
          <w:bCs/>
          <w:sz w:val="24"/>
          <w:szCs w:val="24"/>
        </w:rPr>
      </w:pPr>
      <w:r>
        <w:rPr>
          <w:rFonts w:ascii="宋体" w:hAnsi="宋体"/>
          <w:bCs/>
          <w:sz w:val="24"/>
          <w:szCs w:val="24"/>
        </w:rPr>
      </w:r>
      <w:r/>
    </w:p>
    <w:p>
      <w:pPr>
        <w:ind w:firstLine="480"/>
        <w:jc w:val="left"/>
        <w:spacing w:line="360" w:lineRule="auto"/>
        <w:rPr>
          <w:rFonts w:ascii="宋体" w:hAnsi="宋体"/>
          <w:bCs/>
          <w:sz w:val="24"/>
          <w:szCs w:val="24"/>
        </w:rPr>
      </w:pPr>
      <w:r>
        <w:rPr>
          <w:rFonts w:ascii="宋体" w:hAnsi="宋体"/>
          <w:bCs/>
          <w:sz w:val="24"/>
          <w:szCs w:val="24"/>
        </w:rPr>
      </w:r>
      <w:r/>
    </w:p>
    <w:p>
      <w:pPr>
        <w:jc w:val="left"/>
        <w:spacing w:line="360" w:lineRule="auto"/>
        <w:rPr>
          <w:rFonts w:ascii="宋体" w:hAnsi="宋体"/>
          <w:bCs/>
          <w:sz w:val="24"/>
          <w:szCs w:val="24"/>
        </w:rPr>
      </w:pPr>
      <w:r>
        <w:rPr>
          <w:rFonts w:ascii="宋体" w:hAnsi="宋体"/>
          <w:bCs/>
          <w:sz w:val="24"/>
          <w:szCs w:val="24"/>
        </w:rPr>
      </w:r>
      <w:r/>
    </w:p>
    <w:p>
      <w:pPr>
        <w:jc w:val="left"/>
        <w:spacing w:line="360" w:lineRule="auto"/>
        <w:rPr>
          <w:rFonts w:ascii="宋体" w:hAnsi="宋体"/>
          <w:bCs/>
          <w:sz w:val="24"/>
          <w:szCs w:val="24"/>
        </w:rPr>
      </w:pPr>
      <w:r>
        <w:rPr>
          <w:rFonts w:ascii="宋体" w:hAnsi="宋体"/>
          <w:bCs/>
          <w:sz w:val="24"/>
          <w:szCs w:val="24"/>
        </w:rPr>
      </w:r>
      <w:r/>
    </w:p>
    <w:p>
      <w:pPr>
        <w:jc w:val="left"/>
        <w:spacing w:line="360" w:lineRule="auto"/>
        <w:rPr>
          <w:rFonts w:ascii="宋体" w:hAnsi="宋体"/>
          <w:bCs/>
          <w:sz w:val="24"/>
          <w:szCs w:val="24"/>
        </w:rPr>
      </w:pPr>
      <w:r>
        <w:rPr>
          <w:rFonts w:ascii="宋体" w:hAnsi="宋体"/>
          <w:bCs/>
          <w:sz w:val="24"/>
          <w:szCs w:val="24"/>
        </w:rPr>
      </w:r>
      <w:r/>
    </w:p>
    <w:p>
      <w:pPr>
        <w:jc w:val="left"/>
        <w:spacing w:line="360" w:lineRule="auto"/>
        <w:rPr>
          <w:rFonts w:ascii="宋体" w:hAnsi="宋体"/>
          <w:bCs/>
          <w:sz w:val="24"/>
          <w:szCs w:val="24"/>
        </w:rPr>
      </w:pPr>
      <w:r>
        <w:rPr>
          <w:rFonts w:ascii="宋体" w:hAnsi="宋体"/>
          <w:bCs/>
          <w:sz w:val="24"/>
          <w:szCs w:val="24"/>
        </w:rPr>
      </w:r>
      <w:r/>
    </w:p>
    <w:p>
      <w:pPr>
        <w:jc w:val="left"/>
        <w:spacing w:line="360" w:lineRule="auto"/>
        <w:rPr>
          <w:rFonts w:ascii="宋体" w:hAnsi="宋体"/>
          <w:bCs/>
          <w:sz w:val="24"/>
          <w:szCs w:val="24"/>
        </w:rPr>
      </w:pPr>
      <w:r>
        <w:rPr>
          <w:rFonts w:ascii="宋体" w:hAnsi="宋体"/>
          <w:bCs/>
          <w:sz w:val="24"/>
          <w:szCs w:val="24"/>
        </w:rPr>
      </w:r>
      <w:r/>
    </w:p>
    <w:p>
      <w:pPr>
        <w:jc w:val="left"/>
        <w:spacing w:line="360" w:lineRule="auto"/>
        <w:rPr>
          <w:rFonts w:ascii="宋体" w:hAnsi="宋体"/>
          <w:bCs/>
          <w:sz w:val="24"/>
          <w:szCs w:val="24"/>
        </w:rPr>
      </w:pPr>
      <w:r>
        <w:rPr>
          <w:rFonts w:ascii="宋体" w:hAnsi="宋体"/>
          <w:bCs/>
          <w:sz w:val="24"/>
          <w:szCs w:val="24"/>
        </w:rPr>
      </w:r>
      <w:r/>
    </w:p>
    <w:p>
      <w:pPr>
        <w:jc w:val="left"/>
        <w:spacing w:line="360" w:lineRule="auto"/>
        <w:rPr>
          <w:rFonts w:ascii="宋体" w:hAnsi="宋体"/>
          <w:bCs/>
          <w:sz w:val="24"/>
          <w:szCs w:val="24"/>
        </w:rPr>
      </w:pPr>
      <w:r>
        <w:rPr>
          <w:rFonts w:ascii="宋体" w:hAnsi="宋体"/>
          <w:bCs/>
          <w:sz w:val="24"/>
          <w:szCs w:val="24"/>
        </w:rPr>
      </w:r>
      <w:r/>
    </w:p>
    <w:p>
      <w:pPr>
        <w:jc w:val="left"/>
        <w:spacing w:line="360" w:lineRule="auto"/>
        <w:rPr>
          <w:rFonts w:ascii="宋体" w:hAnsi="宋体" w:cs="宋体"/>
          <w:i/>
          <w:sz w:val="36"/>
          <w:szCs w:val="36"/>
          <w:u w:val="single"/>
        </w:rPr>
      </w:pPr>
      <w:r>
        <w:rPr>
          <w:rFonts w:hint="eastAsia" w:ascii="宋体" w:hAnsi="宋体" w:cs="宋体"/>
          <w:i/>
          <w:sz w:val="36"/>
          <w:szCs w:val="36"/>
          <w:u w:val="single"/>
        </w:rPr>
        <w:t xml:space="preserve">十三、联合体协议（参考格式）</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（供应商1），（供应商2），</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连云港苍梧工程管理咨询有限公司</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（项目编号：，标段号：）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日期：年月日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日期：年月日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十四、投标分项报价表（标段号：**）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项目名称：项目编号：标段号：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日期：年月日</w:t>
      </w:r>
      <w:r/>
    </w:p>
    <w:p>
      <w:pPr>
        <w:spacing w:line="360" w:lineRule="auto"/>
        <w:rPr>
          <w:rFonts w:ascii="Times New Roman" w:hAnsi="Times New Roman"/>
          <w:color w:val="000000"/>
          <w:szCs w:val="24"/>
        </w:rPr>
      </w:pPr>
      <w:r>
        <w:rPr>
          <w:rFonts w:ascii="Times New Roman" w:hAnsi="Times New Roman"/>
          <w:color w:val="000000"/>
          <w:szCs w:val="24"/>
        </w:rPr>
      </w:r>
      <w:r/>
    </w:p>
    <w:p>
      <w:pPr>
        <w:spacing w:line="360" w:lineRule="auto"/>
        <w:rPr>
          <w:rFonts w:ascii="Times New Roman" w:hAnsi="Times New Roman"/>
          <w:color w:val="000000"/>
          <w:szCs w:val="24"/>
        </w:rPr>
      </w:pPr>
      <w:r>
        <w:rPr>
          <w:rFonts w:ascii="Times New Roman" w:hAnsi="Times New Roman"/>
          <w:color w:val="000000"/>
          <w:szCs w:val="24"/>
        </w:rPr>
      </w:r>
      <w:r/>
    </w:p>
    <w:p>
      <w:pPr>
        <w:spacing w:line="360" w:lineRule="auto"/>
        <w:rPr>
          <w:rFonts w:ascii="Times New Roman" w:hAnsi="Times New Roman"/>
          <w:color w:val="000000"/>
          <w:szCs w:val="24"/>
        </w:rPr>
      </w:pPr>
      <w:r>
        <w:rPr>
          <w:rFonts w:ascii="Times New Roman" w:hAnsi="Times New Roman"/>
          <w:color w:val="000000"/>
          <w:szCs w:val="24"/>
        </w:rPr>
      </w:r>
      <w:r/>
    </w:p>
    <w:p>
      <w:pPr>
        <w:spacing w:line="360" w:lineRule="auto"/>
        <w:rPr>
          <w:rFonts w:ascii="Times New Roman" w:hAnsi="Times New Roman"/>
          <w:color w:val="000000"/>
          <w:szCs w:val="24"/>
        </w:rPr>
      </w:pPr>
      <w:r>
        <w:rPr>
          <w:rFonts w:ascii="Times New Roman" w:hAnsi="Times New Roman"/>
          <w:color w:val="000000"/>
          <w:szCs w:val="24"/>
        </w:rPr>
      </w:r>
      <w:r/>
    </w:p>
    <w:p>
      <w:pPr>
        <w:spacing w:line="360" w:lineRule="auto"/>
        <w:rPr>
          <w:rFonts w:ascii="Times New Roman" w:hAnsi="Times New Roman"/>
          <w:color w:val="000000"/>
          <w:szCs w:val="24"/>
        </w:rPr>
      </w:pPr>
      <w:r>
        <w:rPr>
          <w:rFonts w:ascii="Times New Roman" w:hAnsi="Times New Roman"/>
          <w:color w:val="000000"/>
          <w:szCs w:val="24"/>
        </w:rPr>
      </w:r>
      <w:r/>
    </w:p>
    <w:p>
      <w:pPr>
        <w:spacing w:line="360" w:lineRule="auto"/>
        <w:rPr>
          <w:rFonts w:ascii="Times New Roman" w:hAnsi="Times New Roman"/>
          <w:color w:val="000000"/>
          <w:szCs w:val="24"/>
        </w:rPr>
      </w:pPr>
      <w:r>
        <w:rPr>
          <w:rFonts w:ascii="Times New Roman" w:hAnsi="Times New Roman"/>
          <w:color w:val="000000"/>
          <w:szCs w:val="24"/>
        </w:rPr>
      </w:r>
      <w:r/>
    </w:p>
    <w:p>
      <w:pPr>
        <w:spacing w:line="360" w:lineRule="auto"/>
        <w:rPr>
          <w:rFonts w:ascii="Times New Roman" w:hAnsi="Times New Roman"/>
          <w:color w:val="000000"/>
          <w:szCs w:val="24"/>
        </w:rPr>
      </w:pPr>
      <w:r>
        <w:rPr>
          <w:rFonts w:ascii="Times New Roman" w:hAnsi="Times New Roman"/>
          <w:color w:val="000000"/>
          <w:szCs w:val="24"/>
        </w:rPr>
      </w:r>
      <w:r/>
    </w:p>
    <w:p>
      <w:pPr>
        <w:spacing w:line="360" w:lineRule="auto"/>
        <w:rPr>
          <w:rFonts w:ascii="Times New Roman" w:hAnsi="Times New Roman"/>
          <w:color w:val="000000"/>
          <w:szCs w:val="24"/>
        </w:rPr>
      </w:pPr>
      <w:r>
        <w:rPr>
          <w:rFonts w:ascii="Times New Roman" w:hAnsi="Times New Roman"/>
          <w:color w:val="000000"/>
          <w:szCs w:val="24"/>
        </w:rPr>
      </w:r>
      <w:r/>
    </w:p>
    <w:p>
      <w:pPr>
        <w:spacing w:line="360" w:lineRule="auto"/>
        <w:rPr>
          <w:rFonts w:ascii="Times New Roman" w:hAnsi="Times New Roman"/>
          <w:color w:val="000000"/>
          <w:szCs w:val="24"/>
        </w:rPr>
      </w:pPr>
      <w:r>
        <w:rPr>
          <w:rFonts w:ascii="Times New Roman" w:hAnsi="Times New Roman"/>
          <w:color w:val="000000"/>
          <w:szCs w:val="24"/>
        </w:rPr>
      </w:r>
      <w:r/>
    </w:p>
    <w:p>
      <w:pPr>
        <w:spacing w:line="360" w:lineRule="auto"/>
        <w:rPr>
          <w:rFonts w:ascii="Times New Roman" w:hAnsi="Times New Roman"/>
          <w:color w:val="000000"/>
          <w:szCs w:val="24"/>
        </w:rPr>
      </w:pPr>
      <w:r>
        <w:rPr>
          <w:rFonts w:ascii="Times New Roman" w:hAnsi="Times New Roman"/>
          <w:color w:val="000000"/>
          <w:szCs w:val="24"/>
        </w:rPr>
      </w:r>
      <w:r/>
    </w:p>
    <w:p>
      <w:pPr>
        <w:spacing w:line="360" w:lineRule="auto"/>
        <w:rPr>
          <w:rFonts w:ascii="Times New Roman" w:hAnsi="Times New Roman"/>
          <w:color w:val="000000"/>
          <w:szCs w:val="24"/>
        </w:rPr>
      </w:pPr>
      <w:r>
        <w:rPr>
          <w:rFonts w:ascii="Times New Roman" w:hAnsi="Times New Roman"/>
          <w:color w:val="000000"/>
          <w:szCs w:val="24"/>
        </w:rPr>
      </w:r>
      <w:r/>
    </w:p>
    <w:p>
      <w:pPr>
        <w:spacing w:line="360" w:lineRule="auto"/>
        <w:rPr>
          <w:rFonts w:ascii="Times New Roman" w:hAnsi="Times New Roman"/>
          <w:color w:val="000000"/>
          <w:szCs w:val="24"/>
        </w:rPr>
      </w:pPr>
      <w:r>
        <w:rPr>
          <w:rFonts w:ascii="Times New Roman" w:hAnsi="Times New Roman"/>
          <w:color w:val="000000"/>
          <w:szCs w:val="24"/>
        </w:rPr>
      </w:r>
      <w:r/>
    </w:p>
    <w:p>
      <w:pPr>
        <w:spacing w:line="360" w:lineRule="auto"/>
        <w:rPr>
          <w:rFonts w:ascii="Times New Roman" w:hAnsi="Times New Roman"/>
          <w:color w:val="000000"/>
          <w:szCs w:val="24"/>
        </w:rPr>
      </w:pPr>
      <w:r>
        <w:rPr>
          <w:rFonts w:ascii="Times New Roman" w:hAnsi="Times New Roman"/>
          <w:color w:val="000000"/>
          <w:szCs w:val="24"/>
        </w:rPr>
      </w:r>
      <w:r/>
    </w:p>
    <w:p>
      <w:pPr>
        <w:spacing w:line="360" w:lineRule="auto"/>
        <w:rPr>
          <w:rFonts w:ascii="Times New Roman" w:hAnsi="Times New Roman"/>
          <w:color w:val="000000"/>
          <w:szCs w:val="24"/>
        </w:rPr>
      </w:pPr>
      <w:r>
        <w:rPr>
          <w:rFonts w:ascii="Times New Roman" w:hAnsi="Times New Roman"/>
          <w:color w:val="000000"/>
          <w:szCs w:val="24"/>
        </w:rPr>
      </w:r>
      <w:r/>
    </w:p>
    <w:p>
      <w:pPr>
        <w:spacing w:line="360" w:lineRule="auto"/>
        <w:rPr>
          <w:rFonts w:ascii="Times New Roman" w:hAnsi="Times New Roman"/>
          <w:color w:val="000000"/>
          <w:szCs w:val="24"/>
        </w:rPr>
      </w:pPr>
      <w:r>
        <w:rPr>
          <w:rFonts w:ascii="Times New Roman" w:hAnsi="Times New Roman"/>
          <w:color w:val="000000"/>
          <w:szCs w:val="24"/>
        </w:rPr>
      </w:r>
      <w:r/>
    </w:p>
    <w:p>
      <w:pPr>
        <w:spacing w:line="360" w:lineRule="auto"/>
        <w:rPr>
          <w:rFonts w:ascii="Times New Roman" w:hAnsi="Times New Roman"/>
          <w:color w:val="000000"/>
          <w:szCs w:val="24"/>
        </w:rPr>
      </w:pPr>
      <w:r>
        <w:rPr>
          <w:rFonts w:ascii="Times New Roman" w:hAnsi="Times New Roman"/>
          <w:color w:val="000000"/>
          <w:szCs w:val="24"/>
        </w:rPr>
      </w:r>
      <w:r/>
    </w:p>
    <w:p>
      <w:pPr>
        <w:spacing w:line="360" w:lineRule="auto"/>
        <w:rPr>
          <w:rFonts w:ascii="Times New Roman" w:hAnsi="Times New Roman"/>
          <w:color w:val="000000"/>
          <w:szCs w:val="24"/>
        </w:rPr>
      </w:pPr>
      <w:r>
        <w:rPr>
          <w:rFonts w:ascii="Times New Roman" w:hAnsi="Times New Roman"/>
          <w:color w:val="000000"/>
          <w:szCs w:val="24"/>
        </w:rPr>
      </w:r>
      <w:r/>
    </w:p>
    <w:p>
      <w:pPr>
        <w:spacing w:line="360" w:lineRule="auto"/>
        <w:rPr>
          <w:rFonts w:ascii="Arial" w:hAnsi="Arial" w:cs="Arial"/>
          <w:i/>
          <w:iCs/>
          <w:sz w:val="36"/>
          <w:u w:val="single"/>
        </w:rPr>
      </w:pPr>
      <w:r>
        <w:rPr>
          <w:rFonts w:hint="eastAsia" w:ascii="Arial" w:hAnsi="Arial" w:cs="Arial"/>
          <w:i/>
          <w:iCs/>
          <w:sz w:val="36"/>
          <w:u w:val="single"/>
        </w:rPr>
        <w:t xml:space="preserve">十五、技术要求响应及偏离表（标段号：**）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项目名称：项目编号：标段号：</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bookmarkStart w:id="57" w:name="_Hlt26955054"/>
      <w:r/>
      <w:bookmarkEnd w:id="57"/>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Arial" w:hAnsi="Arial" w:cs="Arial"/>
          <w:i/>
          <w:iCs/>
          <w:sz w:val="36"/>
          <w:u w:val="single"/>
        </w:rPr>
      </w:pPr>
      <w:r>
        <w:rPr>
          <w:rFonts w:hint="eastAsia" w:ascii="Arial" w:hAnsi="Arial" w:cs="Arial"/>
          <w:i/>
          <w:iCs/>
          <w:sz w:val="36"/>
          <w:u w:val="single"/>
        </w:rPr>
        <w:t xml:space="preserve">十六、商务要求响应及偏离表（标段号：**）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项目名称：项目编号：标段号：</w:t>
      </w:r>
      <w:r/>
    </w:p>
    <w:tbl>
      <w:tblPr>
        <w:tblStyle w:val="64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58" w:name="_Hlt26782999"/>
            <w:r/>
            <w:bookmarkEnd w:id="58"/>
            <w:r/>
            <w:bookmarkStart w:id="59" w:name="_Hlt26671372"/>
            <w:r/>
            <w:bookmarkEnd w:id="59"/>
            <w:r/>
            <w:bookmarkStart w:id="60" w:name="_Hlt26955056"/>
            <w:r/>
            <w:bookmarkEnd w:id="60"/>
            <w:r/>
            <w:bookmarkStart w:id="61" w:name="_Hlt24879081"/>
            <w:r/>
            <w:bookmarkEnd w:id="61"/>
            <w:r/>
            <w:bookmarkStart w:id="62" w:name="_Hlt26671343"/>
            <w:r/>
            <w:bookmarkEnd w:id="62"/>
            <w:r/>
            <w:bookmarkStart w:id="63" w:name="_Hlt26580838"/>
            <w:r/>
            <w:bookmarkEnd w:id="63"/>
            <w:r/>
            <w:bookmarkStart w:id="64" w:name="_Hlt26955064"/>
            <w:r/>
            <w:bookmarkEnd w:id="64"/>
            <w:r/>
            <w:bookmarkStart w:id="65" w:name="_Hlt26609391"/>
            <w:r/>
            <w:bookmarkEnd w:id="65"/>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bookmarkStart w:id="66" w:name="_Hlt26955066"/>
      <w:r/>
      <w:bookmarkEnd w:id="66"/>
      <w:r/>
      <w:bookmarkStart w:id="67" w:name="_格式2__法定代表人授权书"/>
      <w:r/>
      <w:bookmarkEnd w:id="67"/>
      <w:r/>
      <w:bookmarkStart w:id="68" w:name="_Hlt26671374"/>
      <w:r/>
      <w:bookmarkEnd w:id="68"/>
      <w:r/>
      <w:bookmarkStart w:id="69" w:name="_Hlt26609389"/>
      <w:r/>
      <w:bookmarkEnd w:id="69"/>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Arial" w:hAnsi="Arial" w:cs="Arial"/>
          <w:iCs/>
          <w:sz w:val="36"/>
        </w:rPr>
      </w:pPr>
      <w:r>
        <w:rPr>
          <w:rFonts w:hint="eastAsia" w:ascii="Arial" w:hAnsi="Arial" w:cs="Arial"/>
          <w:iCs/>
          <w:sz w:val="36"/>
        </w:rPr>
        <w:t xml:space="preserve">十七、类似项目业绩一览表（标段号：**）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项目名称：项目编号：标段号：</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pPr>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Arial" w:hAnsi="Arial" w:cs="Arial"/>
          <w:iCs/>
          <w:sz w:val="36"/>
        </w:rPr>
      </w:pPr>
      <w:r>
        <w:rPr>
          <w:rFonts w:ascii="Arial" w:hAnsi="Arial" w:cs="Arial"/>
          <w:iCs/>
          <w:sz w:val="36"/>
        </w:rPr>
      </w:r>
      <w:r/>
    </w:p>
    <w:p>
      <w:pPr>
        <w:spacing w:line="500" w:lineRule="exact"/>
        <w:rPr>
          <w:rFonts w:ascii="Arial" w:hAnsi="Arial" w:cs="Arial"/>
          <w:iCs/>
          <w:sz w:val="36"/>
        </w:rPr>
      </w:pPr>
      <w:r>
        <w:rPr>
          <w:rFonts w:hint="eastAsia" w:ascii="Arial" w:hAnsi="Arial" w:cs="Arial"/>
          <w:iCs/>
          <w:sz w:val="36"/>
        </w:rPr>
        <w:t xml:space="preserve">十八、项目团队人员一览表（标段号：**）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项目名称：项目编号：标段号：</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日期：年月日</w:t>
      </w:r>
      <w:r/>
    </w:p>
    <w:p>
      <w:pPr>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ind w:firstLine="480"/>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spacing w:line="500" w:lineRule="exact"/>
        <w:rPr>
          <w:rFonts w:ascii="Arial" w:hAnsi="Arial" w:cs="Arial"/>
          <w:i/>
          <w:sz w:val="36"/>
          <w:u w:val="single"/>
        </w:rPr>
      </w:pPr>
      <w:r>
        <w:rPr>
          <w:rFonts w:hint="eastAsia" w:ascii="Arial" w:hAnsi="Arial" w:cs="Arial"/>
          <w:i/>
          <w:sz w:val="36"/>
          <w:u w:val="single"/>
        </w:rPr>
        <w:t xml:space="preserve">十九、开标一览表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项目编号：标段号：</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64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textDirection w:val="lrTb"/>
            <w:noWrap w:val="false"/>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（电子签章）</w:t>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spacing w:line="500" w:lineRule="exact"/>
        <w:rPr>
          <w:rFonts w:ascii="Arial" w:hAnsi="Arial" w:cs="Arial"/>
          <w:iCs/>
          <w:sz w:val="36"/>
        </w:rPr>
      </w:pPr>
      <w:r>
        <w:rPr>
          <w:rFonts w:hint="eastAsia" w:ascii="Arial" w:hAnsi="Arial" w:cs="Arial"/>
          <w:iCs/>
          <w:sz w:val="36"/>
        </w:rPr>
        <w:t xml:space="preserve">二十、</w:t>
      </w:r>
      <w:bookmarkStart w:id="70" w:name="OLE_LINK56"/>
      <w:r>
        <w:rPr>
          <w:rFonts w:hint="eastAsia" w:ascii="Arial" w:hAnsi="Arial" w:cs="Arial"/>
          <w:iCs/>
          <w:sz w:val="36"/>
        </w:rPr>
        <w:t xml:space="preserve">其它材料</w:t>
      </w:r>
      <w:bookmarkEnd w:id="70"/>
      <w:r/>
      <w:r/>
    </w:p>
    <w:p>
      <w:pPr>
        <w:jc w:val="center"/>
        <w:spacing w:line="520" w:lineRule="exact"/>
        <w:rPr>
          <w:rFonts w:ascii="宋体" w:hAnsi="宋体" w:cs="宋体"/>
          <w:sz w:val="24"/>
        </w:rPr>
      </w:pPr>
      <w:r>
        <w:rPr>
          <w:rFonts w:hint="eastAsia" w:ascii="宋体" w:hAnsi="宋体" w:cs="宋体"/>
          <w:sz w:val="24"/>
        </w:rPr>
        <w:t xml:space="preserve">（投标人对招标文件响应有必要提供的材料或评标办法中要求提供的材料）</w:t>
      </w:r>
      <w:r/>
    </w:p>
    <w:p>
      <w:pPr>
        <w:ind w:firstLine="480"/>
        <w:jc w:val="left"/>
        <w:spacing w:line="500" w:lineRule="exact"/>
        <w:widowControl/>
        <w:rPr>
          <w:rFonts w:ascii="宋体" w:hAnsi="宋体"/>
          <w:b/>
          <w:color w:val="ff0000"/>
          <w:sz w:val="24"/>
          <w:szCs w:val="24"/>
        </w:rPr>
      </w:pPr>
      <w:r>
        <w:rPr>
          <w:rFonts w:ascii="宋体" w:hAnsi="宋体"/>
          <w:b/>
          <w:color w:val="ff0000"/>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仿宋">
    <w:panose1 w:val="02010609060101010101"/>
  </w:font>
  <w:font w:name="Wingdings">
    <w:panose1 w:val="05000000000000000000"/>
  </w:font>
  <w:font w:name="Century Schoolbook">
    <w:panose1 w:val="02040604050505020304"/>
  </w:font>
  <w:font w:name="Courier New">
    <w:panose1 w:val="02070309020205020404"/>
  </w:font>
  <w:font w:name="楷体_GB2312">
    <w:panose1 w:val="02010609060101010101"/>
  </w:font>
  <w:font w:name="Cambria">
    <w:panose1 w:val="02040503050406030204"/>
  </w:font>
  <w:font w:name="仿宋_GB2312">
    <w:panose1 w:val="02010609060101010101"/>
  </w:font>
  <w:font w:name="华文中宋">
    <w:panose1 w:val="02010600040101010101"/>
  </w:font>
  <w:font w:name="Verdana">
    <w:panose1 w:val="020B0604030504040204"/>
  </w:font>
  <w:font w:name="黑体">
    <w:panose1 w:val="02010609060101010101"/>
  </w:font>
  <w:font w:name="MS Mincho">
    <w:panose1 w:val="02020603050405090304"/>
  </w:font>
  <w:font w:name="Tahoma">
    <w:panose1 w:val="020B0604030504040204"/>
  </w:font>
  <w:font w:name="Calibri">
    <w:panose1 w:val="020F0502020204030204"/>
  </w:font>
  <w:font w:name="Arial Unicode MS">
    <w:panose1 w:val="020B0604020202020204"/>
  </w:font>
  <w:font w:name="Arial">
    <w:panose1 w:val="020B06040202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fldChar w:fldCharType="begin"/>
    </w:r>
    <w:r>
      <w:instrText xml:space="preserve"> PAGE   \* MERGEFORMAT </w:instrText>
    </w:r>
    <w:r>
      <w:fldChar w:fldCharType="separate"/>
    </w:r>
    <w:r>
      <w:rPr>
        <w:lang w:val="zh-CN"/>
      </w:rPr>
      <w:t xml:space="preserve">41</w:t>
    </w:r>
    <w:r>
      <w:rPr>
        <w:lang w:val="zh-CN"/>
      </w:rP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1"/>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decimal"/>
      <w:pStyle w:val="948"/>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942"/>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1"/>
      <w:numFmt w:val="bullet"/>
      <w:pStyle w:val="1017"/>
      <w:isLgl w:val="false"/>
      <w:suff w:val="tab"/>
      <w:lvlText w:val=""/>
      <w:lvlJc w:val="left"/>
      <w:pPr>
        <w:ind w:left="360" w:hanging="360"/>
        <w:tabs>
          <w:tab w:val="left" w:pos="360" w:leader="none"/>
        </w:tabs>
      </w:pPr>
      <w:rPr>
        <w:rFonts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36" w:default="1">
    <w:name w:val="Normal"/>
    <w:next w:val="648"/>
    <w:uiPriority w:val="0"/>
    <w:qFormat/>
    <w:pPr>
      <w:jc w:val="both"/>
      <w:widowControl w:val="off"/>
    </w:pPr>
    <w:rPr>
      <w:rFonts w:ascii="Calibri" w:hAnsi="Calibri" w:eastAsia="宋体" w:cs="Times New Roman"/>
      <w:sz w:val="21"/>
      <w:szCs w:val="22"/>
      <w:lang w:val="en-US" w:eastAsia="zh-CN" w:bidi="ar-SA"/>
    </w:rPr>
  </w:style>
  <w:style w:type="paragraph" w:styleId="637">
    <w:name w:val="Heading 1"/>
    <w:basedOn w:val="636"/>
    <w:next w:val="636"/>
    <w:link w:val="716"/>
    <w:uiPriority w:val="9"/>
    <w:qFormat/>
    <w:pPr>
      <w:keepLines/>
      <w:keepNext/>
      <w:spacing w:before="480" w:after="200"/>
      <w:outlineLvl w:val="0"/>
    </w:pPr>
    <w:rPr>
      <w:rFonts w:ascii="Arial" w:hAnsi="Arial" w:eastAsia="Arial" w:cs="Arial"/>
      <w:sz w:val="40"/>
      <w:szCs w:val="40"/>
    </w:rPr>
  </w:style>
  <w:style w:type="paragraph" w:styleId="638">
    <w:name w:val="Heading 2"/>
    <w:basedOn w:val="636"/>
    <w:next w:val="636"/>
    <w:link w:val="717"/>
    <w:uiPriority w:val="9"/>
    <w:qFormat/>
    <w:pPr>
      <w:keepLines/>
      <w:keepNext/>
      <w:spacing w:before="360" w:after="200"/>
      <w:outlineLvl w:val="1"/>
    </w:pPr>
    <w:rPr>
      <w:rFonts w:ascii="Arial" w:hAnsi="Arial" w:eastAsia="Arial" w:cs="Arial"/>
      <w:sz w:val="34"/>
    </w:rPr>
  </w:style>
  <w:style w:type="paragraph" w:styleId="639">
    <w:name w:val="Heading 3"/>
    <w:basedOn w:val="636"/>
    <w:next w:val="636"/>
    <w:link w:val="718"/>
    <w:uiPriority w:val="9"/>
    <w:qFormat/>
    <w:pPr>
      <w:keepLines/>
      <w:keepNext/>
      <w:spacing w:before="320" w:after="200"/>
      <w:outlineLvl w:val="2"/>
    </w:pPr>
    <w:rPr>
      <w:rFonts w:ascii="Arial" w:hAnsi="Arial" w:eastAsia="Arial" w:cs="Arial"/>
      <w:sz w:val="30"/>
      <w:szCs w:val="30"/>
    </w:rPr>
  </w:style>
  <w:style w:type="paragraph" w:styleId="640">
    <w:name w:val="Heading 4"/>
    <w:basedOn w:val="636"/>
    <w:next w:val="636"/>
    <w:link w:val="719"/>
    <w:uiPriority w:val="9"/>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720"/>
    <w:uiPriority w:val="9"/>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721"/>
    <w:uiPriority w:val="9"/>
    <w:qFormat/>
    <w:pPr>
      <w:keepLines/>
      <w:keepNext/>
      <w:spacing w:before="320" w:after="200"/>
      <w:outlineLvl w:val="5"/>
    </w:pPr>
    <w:rPr>
      <w:rFonts w:ascii="Arial" w:hAnsi="Arial" w:eastAsia="Arial" w:cs="Arial"/>
      <w:b/>
      <w:bCs/>
      <w:sz w:val="22"/>
    </w:rPr>
  </w:style>
  <w:style w:type="paragraph" w:styleId="643">
    <w:name w:val="Heading 7"/>
    <w:basedOn w:val="636"/>
    <w:next w:val="636"/>
    <w:link w:val="722"/>
    <w:uiPriority w:val="9"/>
    <w:qFormat/>
    <w:pPr>
      <w:keepLines/>
      <w:keepNext/>
      <w:spacing w:before="320" w:after="200"/>
      <w:outlineLvl w:val="6"/>
    </w:pPr>
    <w:rPr>
      <w:rFonts w:ascii="Arial" w:hAnsi="Arial" w:eastAsia="Arial" w:cs="Arial"/>
      <w:b/>
      <w:bCs/>
      <w:i/>
      <w:iCs/>
      <w:sz w:val="22"/>
    </w:rPr>
  </w:style>
  <w:style w:type="paragraph" w:styleId="644">
    <w:name w:val="Heading 8"/>
    <w:basedOn w:val="636"/>
    <w:next w:val="636"/>
    <w:link w:val="723"/>
    <w:uiPriority w:val="9"/>
    <w:qFormat/>
    <w:pPr>
      <w:keepLines/>
      <w:keepNext/>
      <w:spacing w:before="320" w:after="200"/>
      <w:outlineLvl w:val="7"/>
    </w:pPr>
    <w:rPr>
      <w:rFonts w:ascii="Arial" w:hAnsi="Arial" w:eastAsia="Arial" w:cs="Arial"/>
      <w:i/>
      <w:iCs/>
      <w:sz w:val="22"/>
    </w:rPr>
  </w:style>
  <w:style w:type="paragraph" w:styleId="645">
    <w:name w:val="Heading 9"/>
    <w:basedOn w:val="636"/>
    <w:next w:val="636"/>
    <w:link w:val="724"/>
    <w:uiPriority w:val="9"/>
    <w:qFormat/>
    <w:pPr>
      <w:keepLines/>
      <w:keepNext/>
      <w:spacing w:before="320" w:after="200"/>
      <w:outlineLvl w:val="8"/>
    </w:pPr>
    <w:rPr>
      <w:rFonts w:ascii="Arial" w:hAnsi="Arial" w:eastAsia="Arial" w:cs="Arial"/>
      <w:i/>
      <w:iCs/>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customStyle="1">
    <w:name w:val="Default"/>
    <w:link w:val="907"/>
    <w:uiPriority w:val="99"/>
    <w:qFormat/>
    <w:pPr>
      <w:widowControl w:val="off"/>
    </w:pPr>
    <w:rPr>
      <w:rFonts w:ascii="MS Mincho" w:hAnsi="Calibri" w:eastAsia="宋体" w:cs="Times New Roman"/>
      <w:color w:val="000000"/>
      <w:szCs w:val="24"/>
      <w:lang w:val="en-US" w:eastAsia="zh-CN" w:bidi="ar-SA"/>
    </w:rPr>
  </w:style>
  <w:style w:type="paragraph" w:styleId="649">
    <w:name w:val="toc 7"/>
    <w:basedOn w:val="636"/>
    <w:next w:val="636"/>
    <w:uiPriority w:val="39"/>
    <w:qFormat/>
    <w:pPr>
      <w:ind w:left="1701"/>
      <w:spacing w:after="57"/>
    </w:pPr>
  </w:style>
  <w:style w:type="paragraph" w:styleId="650">
    <w:name w:val="Caption"/>
    <w:basedOn w:val="636"/>
    <w:next w:val="636"/>
    <w:uiPriority w:val="35"/>
    <w:qFormat/>
    <w:pPr>
      <w:spacing w:line="276" w:lineRule="auto"/>
    </w:pPr>
    <w:rPr>
      <w:b/>
      <w:bCs/>
      <w:color w:val="4f81bd"/>
      <w:sz w:val="18"/>
      <w:szCs w:val="18"/>
    </w:rPr>
  </w:style>
  <w:style w:type="paragraph" w:styleId="651">
    <w:name w:val="Document Map"/>
    <w:basedOn w:val="636"/>
    <w:link w:val="1038"/>
    <w:uiPriority w:val="99"/>
    <w:qFormat/>
    <w:rPr>
      <w:rFonts w:ascii="宋体"/>
      <w:sz w:val="18"/>
      <w:szCs w:val="18"/>
    </w:rPr>
  </w:style>
  <w:style w:type="paragraph" w:styleId="652">
    <w:name w:val="annotation text"/>
    <w:basedOn w:val="636"/>
    <w:link w:val="1040"/>
    <w:uiPriority w:val="99"/>
    <w:qFormat/>
    <w:pPr>
      <w:jc w:val="left"/>
    </w:pPr>
  </w:style>
  <w:style w:type="paragraph" w:styleId="653">
    <w:name w:val="Body Text Indent"/>
    <w:basedOn w:val="636"/>
    <w:next w:val="654"/>
    <w:uiPriority w:val="0"/>
    <w:qFormat/>
    <w:pPr>
      <w:ind w:firstLine="600"/>
    </w:pPr>
    <w:rPr>
      <w:rFonts w:eastAsia="仿宋_GB2312"/>
      <w:sz w:val="30"/>
      <w:szCs w:val="30"/>
    </w:rPr>
  </w:style>
  <w:style w:type="paragraph" w:styleId="654">
    <w:name w:val="Body Text First Indent 2"/>
    <w:basedOn w:val="653"/>
    <w:next w:val="636"/>
    <w:uiPriority w:val="0"/>
    <w:qFormat/>
    <w:pPr>
      <w:ind w:left="420" w:firstLine="420"/>
      <w:spacing w:after="120"/>
    </w:pPr>
    <w:rPr>
      <w:rFonts w:eastAsia="宋体"/>
      <w:sz w:val="18"/>
      <w:szCs w:val="18"/>
    </w:rPr>
  </w:style>
  <w:style w:type="paragraph" w:styleId="655">
    <w:name w:val="toc 5"/>
    <w:basedOn w:val="636"/>
    <w:next w:val="636"/>
    <w:uiPriority w:val="39"/>
    <w:qFormat/>
    <w:pPr>
      <w:ind w:left="1134"/>
      <w:spacing w:after="57"/>
    </w:pPr>
  </w:style>
  <w:style w:type="paragraph" w:styleId="656">
    <w:name w:val="toc 3"/>
    <w:basedOn w:val="636"/>
    <w:next w:val="636"/>
    <w:uiPriority w:val="39"/>
    <w:qFormat/>
    <w:pPr>
      <w:ind w:left="567"/>
      <w:spacing w:after="57"/>
    </w:pPr>
  </w:style>
  <w:style w:type="paragraph" w:styleId="657">
    <w:name w:val="toc 8"/>
    <w:basedOn w:val="636"/>
    <w:next w:val="636"/>
    <w:uiPriority w:val="39"/>
    <w:qFormat/>
    <w:pPr>
      <w:ind w:left="1984"/>
      <w:spacing w:after="57"/>
    </w:pPr>
  </w:style>
  <w:style w:type="paragraph" w:styleId="658">
    <w:name w:val="endnote text"/>
    <w:basedOn w:val="636"/>
    <w:link w:val="843"/>
    <w:uiPriority w:val="99"/>
    <w:qFormat/>
    <w:rPr>
      <w:sz w:val="20"/>
    </w:rPr>
  </w:style>
  <w:style w:type="paragraph" w:styleId="659">
    <w:name w:val="Balloon Text"/>
    <w:basedOn w:val="636"/>
    <w:link w:val="1039"/>
    <w:uiPriority w:val="99"/>
    <w:qFormat/>
    <w:rPr>
      <w:sz w:val="18"/>
      <w:szCs w:val="18"/>
    </w:rPr>
  </w:style>
  <w:style w:type="paragraph" w:styleId="660">
    <w:name w:val="Footer"/>
    <w:basedOn w:val="636"/>
    <w:link w:val="735"/>
    <w:uiPriority w:val="99"/>
    <w:qFormat/>
    <w:pPr>
      <w:tabs>
        <w:tab w:val="center" w:pos="7143" w:leader="none"/>
        <w:tab w:val="right" w:pos="14287" w:leader="none"/>
      </w:tabs>
    </w:pPr>
  </w:style>
  <w:style w:type="paragraph" w:styleId="661">
    <w:name w:val="Header"/>
    <w:basedOn w:val="636"/>
    <w:link w:val="733"/>
    <w:uiPriority w:val="99"/>
    <w:qFormat/>
    <w:pPr>
      <w:tabs>
        <w:tab w:val="center" w:pos="7143" w:leader="none"/>
        <w:tab w:val="right" w:pos="14287" w:leader="none"/>
      </w:tabs>
    </w:pPr>
  </w:style>
  <w:style w:type="paragraph" w:styleId="662">
    <w:name w:val="toc 1"/>
    <w:basedOn w:val="636"/>
    <w:next w:val="636"/>
    <w:uiPriority w:val="39"/>
    <w:qFormat/>
    <w:pPr>
      <w:spacing w:after="57"/>
    </w:pPr>
  </w:style>
  <w:style w:type="paragraph" w:styleId="663">
    <w:name w:val="toc 4"/>
    <w:basedOn w:val="636"/>
    <w:next w:val="636"/>
    <w:uiPriority w:val="39"/>
    <w:qFormat/>
    <w:pPr>
      <w:ind w:left="850"/>
      <w:spacing w:after="57"/>
    </w:pPr>
  </w:style>
  <w:style w:type="paragraph" w:styleId="664">
    <w:name w:val="Subtitle"/>
    <w:basedOn w:val="636"/>
    <w:next w:val="636"/>
    <w:link w:val="728"/>
    <w:uiPriority w:val="11"/>
    <w:qFormat/>
    <w:pPr>
      <w:spacing w:before="200" w:after="200"/>
    </w:pPr>
    <w:rPr>
      <w:sz w:val="24"/>
      <w:szCs w:val="24"/>
    </w:rPr>
  </w:style>
  <w:style w:type="paragraph" w:styleId="665">
    <w:name w:val="footnote text"/>
    <w:basedOn w:val="636"/>
    <w:link w:val="842"/>
    <w:uiPriority w:val="99"/>
    <w:qFormat/>
    <w:pPr>
      <w:spacing w:after="40"/>
    </w:pPr>
    <w:rPr>
      <w:sz w:val="18"/>
    </w:rPr>
  </w:style>
  <w:style w:type="paragraph" w:styleId="666">
    <w:name w:val="toc 6"/>
    <w:basedOn w:val="636"/>
    <w:next w:val="636"/>
    <w:uiPriority w:val="39"/>
    <w:qFormat/>
    <w:pPr>
      <w:ind w:left="1417"/>
      <w:spacing w:after="57"/>
    </w:pPr>
  </w:style>
  <w:style w:type="paragraph" w:styleId="667">
    <w:name w:val="table of figures"/>
    <w:basedOn w:val="636"/>
    <w:next w:val="636"/>
    <w:uiPriority w:val="99"/>
    <w:qFormat/>
  </w:style>
  <w:style w:type="paragraph" w:styleId="668">
    <w:name w:val="toc 2"/>
    <w:basedOn w:val="636"/>
    <w:next w:val="636"/>
    <w:uiPriority w:val="39"/>
    <w:qFormat/>
    <w:pPr>
      <w:ind w:left="283"/>
      <w:spacing w:after="57"/>
    </w:pPr>
  </w:style>
  <w:style w:type="paragraph" w:styleId="669">
    <w:name w:val="toc 9"/>
    <w:basedOn w:val="636"/>
    <w:next w:val="636"/>
    <w:uiPriority w:val="39"/>
    <w:qFormat/>
    <w:pPr>
      <w:ind w:left="2268"/>
      <w:spacing w:after="57"/>
    </w:pPr>
  </w:style>
  <w:style w:type="paragraph" w:styleId="670">
    <w:name w:val="Normal (Web)"/>
    <w:basedOn w:val="636"/>
    <w:uiPriority w:val="0"/>
    <w:qFormat/>
    <w:pPr>
      <w:jc w:val="left"/>
      <w:spacing w:before="100" w:beforeAutospacing="1" w:after="100" w:afterAutospacing="1"/>
      <w:widowControl/>
    </w:pPr>
    <w:rPr>
      <w:rFonts w:ascii="宋体" w:hAnsi="宋体" w:cs="宋体"/>
      <w:sz w:val="24"/>
    </w:rPr>
  </w:style>
  <w:style w:type="paragraph" w:styleId="671">
    <w:name w:val="Title"/>
    <w:basedOn w:val="636"/>
    <w:next w:val="636"/>
    <w:link w:val="727"/>
    <w:uiPriority w:val="10"/>
    <w:qFormat/>
    <w:pPr>
      <w:contextualSpacing/>
      <w:spacing w:before="300" w:after="200"/>
    </w:pPr>
    <w:rPr>
      <w:sz w:val="48"/>
      <w:szCs w:val="48"/>
    </w:rPr>
  </w:style>
  <w:style w:type="paragraph" w:styleId="672">
    <w:name w:val="annotation subject"/>
    <w:basedOn w:val="652"/>
    <w:next w:val="652"/>
    <w:link w:val="1041"/>
    <w:uiPriority w:val="99"/>
    <w:qFormat/>
    <w:rPr>
      <w:b/>
      <w:bCs/>
    </w:rPr>
  </w:style>
  <w:style w:type="table" w:styleId="6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endnote reference"/>
    <w:uiPriority w:val="99"/>
    <w:qFormat/>
    <w:rPr>
      <w:vertAlign w:val="superscript"/>
    </w:rPr>
  </w:style>
  <w:style w:type="character" w:styleId="675">
    <w:name w:val="Hyperlink"/>
    <w:uiPriority w:val="99"/>
    <w:qFormat/>
    <w:rPr>
      <w:color w:val="0000ff"/>
      <w:u w:val="single"/>
    </w:rPr>
  </w:style>
  <w:style w:type="character" w:styleId="676">
    <w:name w:val="annotation reference"/>
    <w:basedOn w:val="646"/>
    <w:uiPriority w:val="99"/>
    <w:qFormat/>
    <w:rPr>
      <w:sz w:val="21"/>
      <w:szCs w:val="21"/>
    </w:rPr>
  </w:style>
  <w:style w:type="character" w:styleId="677">
    <w:name w:val="footnote reference"/>
    <w:uiPriority w:val="99"/>
    <w:qFormat/>
    <w:rPr>
      <w:vertAlign w:val="superscript"/>
    </w:rPr>
  </w:style>
  <w:style w:type="character" w:styleId="678" w:customStyle="1">
    <w:name w:val="Heading 1 Char"/>
    <w:basedOn w:val="646"/>
    <w:uiPriority w:val="9"/>
    <w:qFormat/>
    <w:rPr>
      <w:rFonts w:ascii="Arial" w:hAnsi="Arial" w:eastAsia="Arial" w:cs="Arial"/>
      <w:sz w:val="40"/>
      <w:szCs w:val="40"/>
    </w:rPr>
  </w:style>
  <w:style w:type="character" w:styleId="679" w:customStyle="1">
    <w:name w:val="Heading 2 Char"/>
    <w:basedOn w:val="646"/>
    <w:uiPriority w:val="9"/>
    <w:qFormat/>
    <w:rPr>
      <w:rFonts w:ascii="Arial" w:hAnsi="Arial" w:eastAsia="Arial" w:cs="Arial"/>
      <w:sz w:val="34"/>
    </w:rPr>
  </w:style>
  <w:style w:type="character" w:styleId="680" w:customStyle="1">
    <w:name w:val="Heading 3 Char"/>
    <w:basedOn w:val="646"/>
    <w:uiPriority w:val="9"/>
    <w:qFormat/>
    <w:rPr>
      <w:rFonts w:ascii="Arial" w:hAnsi="Arial" w:eastAsia="Arial" w:cs="Arial"/>
      <w:sz w:val="30"/>
      <w:szCs w:val="30"/>
    </w:rPr>
  </w:style>
  <w:style w:type="character" w:styleId="681" w:customStyle="1">
    <w:name w:val="Heading 4 Char"/>
    <w:basedOn w:val="646"/>
    <w:uiPriority w:val="9"/>
    <w:qFormat/>
    <w:rPr>
      <w:rFonts w:ascii="Arial" w:hAnsi="Arial" w:eastAsia="Arial" w:cs="Arial"/>
      <w:b/>
      <w:bCs/>
      <w:sz w:val="26"/>
      <w:szCs w:val="26"/>
    </w:rPr>
  </w:style>
  <w:style w:type="character" w:styleId="682" w:customStyle="1">
    <w:name w:val="Heading 5 Char"/>
    <w:basedOn w:val="646"/>
    <w:uiPriority w:val="9"/>
    <w:qFormat/>
    <w:rPr>
      <w:rFonts w:ascii="Arial" w:hAnsi="Arial" w:eastAsia="Arial" w:cs="Arial"/>
      <w:b/>
      <w:bCs/>
      <w:sz w:val="24"/>
      <w:szCs w:val="24"/>
    </w:rPr>
  </w:style>
  <w:style w:type="character" w:styleId="683" w:customStyle="1">
    <w:name w:val="Heading 6 Char"/>
    <w:basedOn w:val="646"/>
    <w:uiPriority w:val="9"/>
    <w:qFormat/>
    <w:rPr>
      <w:rFonts w:ascii="Arial" w:hAnsi="Arial" w:eastAsia="Arial" w:cs="Arial"/>
      <w:b/>
      <w:bCs/>
      <w:sz w:val="22"/>
      <w:szCs w:val="22"/>
    </w:rPr>
  </w:style>
  <w:style w:type="character" w:styleId="684" w:customStyle="1">
    <w:name w:val="Heading 7 Char"/>
    <w:basedOn w:val="646"/>
    <w:uiPriority w:val="9"/>
    <w:qFormat/>
    <w:rPr>
      <w:rFonts w:ascii="Arial" w:hAnsi="Arial" w:eastAsia="Arial" w:cs="Arial"/>
      <w:b/>
      <w:bCs/>
      <w:i/>
      <w:iCs/>
      <w:sz w:val="22"/>
      <w:szCs w:val="22"/>
    </w:rPr>
  </w:style>
  <w:style w:type="character" w:styleId="685" w:customStyle="1">
    <w:name w:val="Heading 8 Char"/>
    <w:basedOn w:val="646"/>
    <w:uiPriority w:val="9"/>
    <w:qFormat/>
    <w:rPr>
      <w:rFonts w:ascii="Arial" w:hAnsi="Arial" w:eastAsia="Arial" w:cs="Arial"/>
      <w:i/>
      <w:iCs/>
      <w:sz w:val="22"/>
      <w:szCs w:val="22"/>
    </w:rPr>
  </w:style>
  <w:style w:type="character" w:styleId="686" w:customStyle="1">
    <w:name w:val="Heading 9 Char"/>
    <w:basedOn w:val="646"/>
    <w:uiPriority w:val="9"/>
    <w:qFormat/>
    <w:rPr>
      <w:rFonts w:ascii="Arial" w:hAnsi="Arial" w:eastAsia="Arial" w:cs="Arial"/>
      <w:i/>
      <w:iCs/>
      <w:sz w:val="21"/>
      <w:szCs w:val="21"/>
    </w:rPr>
  </w:style>
  <w:style w:type="character" w:styleId="687" w:customStyle="1">
    <w:name w:val="Title Char"/>
    <w:basedOn w:val="646"/>
    <w:uiPriority w:val="10"/>
    <w:qFormat/>
    <w:rPr>
      <w:sz w:val="48"/>
      <w:szCs w:val="48"/>
    </w:rPr>
  </w:style>
  <w:style w:type="character" w:styleId="688" w:customStyle="1">
    <w:name w:val="Subtitle Char"/>
    <w:basedOn w:val="646"/>
    <w:uiPriority w:val="11"/>
    <w:qFormat/>
    <w:rPr>
      <w:sz w:val="24"/>
      <w:szCs w:val="24"/>
    </w:rPr>
  </w:style>
  <w:style w:type="character" w:styleId="689" w:customStyle="1">
    <w:name w:val="Quote Char"/>
    <w:uiPriority w:val="29"/>
    <w:qFormat/>
    <w:rPr>
      <w:i/>
    </w:rPr>
  </w:style>
  <w:style w:type="character" w:styleId="690" w:customStyle="1">
    <w:name w:val="Intense Quote Char"/>
    <w:uiPriority w:val="30"/>
    <w:qFormat/>
    <w:rPr>
      <w:i/>
    </w:rPr>
  </w:style>
  <w:style w:type="character" w:styleId="691" w:customStyle="1">
    <w:name w:val="Header Char"/>
    <w:basedOn w:val="646"/>
    <w:uiPriority w:val="99"/>
    <w:qFormat/>
  </w:style>
  <w:style w:type="character" w:styleId="692" w:customStyle="1">
    <w:name w:val="Footer Char"/>
    <w:basedOn w:val="646"/>
    <w:uiPriority w:val="99"/>
    <w:qFormat/>
  </w:style>
  <w:style w:type="character" w:styleId="693" w:customStyle="1">
    <w:name w:val="Caption Char"/>
    <w:uiPriority w:val="99"/>
    <w:qFormat/>
  </w:style>
  <w:style w:type="table" w:styleId="694" w:customStyle="1">
    <w:name w:val="无格式表格 11"/>
    <w:basedOn w:val="647"/>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5" w:customStyle="1">
    <w:name w:val="无格式表格 21"/>
    <w:basedOn w:val="64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6" w:customStyle="1">
    <w:name w:val="无格式表格 31"/>
    <w:basedOn w:val="64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7" w:customStyle="1">
    <w:name w:val="无格式表格 41"/>
    <w:basedOn w:val="64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8" w:customStyle="1">
    <w:name w:val="无格式表格 51"/>
    <w:basedOn w:val="647"/>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9" w:customStyle="1">
    <w:name w:val="网格表 1 浅色1"/>
    <w:basedOn w:val="647"/>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00" w:customStyle="1">
    <w:name w:val="网格表 21"/>
    <w:basedOn w:val="64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01" w:customStyle="1">
    <w:name w:val="网格表 31"/>
    <w:basedOn w:val="647"/>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customStyle="1">
    <w:name w:val="网格表 41"/>
    <w:basedOn w:val="647"/>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03" w:customStyle="1">
    <w:name w:val="网格表 5 深色1"/>
    <w:basedOn w:val="64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04" w:customStyle="1">
    <w:name w:val="网格表 6 彩色1"/>
    <w:basedOn w:val="647"/>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05" w:customStyle="1">
    <w:name w:val="网格表 7 彩色1"/>
    <w:basedOn w:val="647"/>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06" w:customStyle="1">
    <w:name w:val="清单表 1 浅色1"/>
    <w:basedOn w:val="647"/>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07" w:customStyle="1">
    <w:name w:val="清单表 21"/>
    <w:basedOn w:val="647"/>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08" w:customStyle="1">
    <w:name w:val="清单表 31"/>
    <w:basedOn w:val="647"/>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09" w:customStyle="1">
    <w:name w:val="清单表 41"/>
    <w:basedOn w:val="64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10" w:customStyle="1">
    <w:name w:val="清单表 5 深色1"/>
    <w:basedOn w:val="647"/>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11" w:customStyle="1">
    <w:name w:val="清单表 6 彩色1"/>
    <w:basedOn w:val="647"/>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12" w:customStyle="1">
    <w:name w:val="清单表 7 彩色1"/>
    <w:basedOn w:val="647"/>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713" w:customStyle="1">
    <w:name w:val="Footnote Text Char"/>
    <w:uiPriority w:val="99"/>
    <w:qFormat/>
    <w:rPr>
      <w:sz w:val="18"/>
    </w:rPr>
  </w:style>
  <w:style w:type="character" w:styleId="714" w:customStyle="1">
    <w:name w:val="Endnote Text Char"/>
    <w:uiPriority w:val="99"/>
    <w:qFormat/>
    <w:rPr>
      <w:sz w:val="20"/>
    </w:rPr>
  </w:style>
  <w:style w:type="paragraph" w:styleId="715" w:customStyle="1">
    <w:name w:val="TOC 标题1"/>
    <w:uiPriority w:val="39"/>
    <w:unhideWhenUsed/>
    <w:qFormat/>
    <w:rPr>
      <w:rFonts w:ascii="Calibri" w:hAnsi="Calibri" w:eastAsia="宋体" w:cs="Times New Roman"/>
      <w:lang w:val="en-US" w:eastAsia="zh-CN" w:bidi="ar-SA"/>
    </w:rPr>
  </w:style>
  <w:style w:type="character" w:styleId="716" w:customStyle="1">
    <w:name w:val="标题 1 字符"/>
    <w:link w:val="637"/>
    <w:uiPriority w:val="9"/>
    <w:qFormat/>
    <w:rPr>
      <w:rFonts w:ascii="Arial" w:hAnsi="Arial" w:eastAsia="Arial" w:cs="Arial"/>
      <w:sz w:val="40"/>
      <w:szCs w:val="40"/>
    </w:rPr>
  </w:style>
  <w:style w:type="character" w:styleId="717" w:customStyle="1">
    <w:name w:val="标题 2 字符"/>
    <w:link w:val="638"/>
    <w:uiPriority w:val="9"/>
    <w:qFormat/>
    <w:rPr>
      <w:rFonts w:ascii="Arial" w:hAnsi="Arial" w:eastAsia="Arial" w:cs="Arial"/>
      <w:sz w:val="34"/>
    </w:rPr>
  </w:style>
  <w:style w:type="character" w:styleId="718" w:customStyle="1">
    <w:name w:val="标题 3 字符"/>
    <w:link w:val="639"/>
    <w:uiPriority w:val="9"/>
    <w:qFormat/>
    <w:rPr>
      <w:rFonts w:ascii="Arial" w:hAnsi="Arial" w:eastAsia="Arial" w:cs="Arial"/>
      <w:sz w:val="30"/>
      <w:szCs w:val="30"/>
    </w:rPr>
  </w:style>
  <w:style w:type="character" w:styleId="719" w:customStyle="1">
    <w:name w:val="标题 4 字符"/>
    <w:link w:val="640"/>
    <w:uiPriority w:val="9"/>
    <w:qFormat/>
    <w:rPr>
      <w:rFonts w:ascii="Arial" w:hAnsi="Arial" w:eastAsia="Arial" w:cs="Arial"/>
      <w:b/>
      <w:bCs/>
      <w:sz w:val="26"/>
      <w:szCs w:val="26"/>
    </w:rPr>
  </w:style>
  <w:style w:type="character" w:styleId="720" w:customStyle="1">
    <w:name w:val="标题 5 字符"/>
    <w:link w:val="641"/>
    <w:uiPriority w:val="9"/>
    <w:qFormat/>
    <w:rPr>
      <w:rFonts w:ascii="Arial" w:hAnsi="Arial" w:eastAsia="Arial" w:cs="Arial"/>
      <w:b/>
      <w:bCs/>
      <w:sz w:val="24"/>
      <w:szCs w:val="24"/>
    </w:rPr>
  </w:style>
  <w:style w:type="character" w:styleId="721" w:customStyle="1">
    <w:name w:val="标题 6 字符"/>
    <w:link w:val="642"/>
    <w:uiPriority w:val="9"/>
    <w:qFormat/>
    <w:rPr>
      <w:rFonts w:ascii="Arial" w:hAnsi="Arial" w:eastAsia="Arial" w:cs="Arial"/>
      <w:b/>
      <w:bCs/>
      <w:sz w:val="22"/>
      <w:szCs w:val="22"/>
    </w:rPr>
  </w:style>
  <w:style w:type="character" w:styleId="722" w:customStyle="1">
    <w:name w:val="标题 7 字符"/>
    <w:link w:val="643"/>
    <w:uiPriority w:val="9"/>
    <w:qFormat/>
    <w:rPr>
      <w:rFonts w:ascii="Arial" w:hAnsi="Arial" w:eastAsia="Arial" w:cs="Arial"/>
      <w:b/>
      <w:bCs/>
      <w:i/>
      <w:iCs/>
      <w:sz w:val="22"/>
      <w:szCs w:val="22"/>
    </w:rPr>
  </w:style>
  <w:style w:type="character" w:styleId="723" w:customStyle="1">
    <w:name w:val="标题 8 字符"/>
    <w:link w:val="644"/>
    <w:uiPriority w:val="9"/>
    <w:qFormat/>
    <w:rPr>
      <w:rFonts w:ascii="Arial" w:hAnsi="Arial" w:eastAsia="Arial" w:cs="Arial"/>
      <w:i/>
      <w:iCs/>
      <w:sz w:val="22"/>
      <w:szCs w:val="22"/>
    </w:rPr>
  </w:style>
  <w:style w:type="character" w:styleId="724" w:customStyle="1">
    <w:name w:val="标题 9 字符"/>
    <w:link w:val="645"/>
    <w:uiPriority w:val="9"/>
    <w:qFormat/>
    <w:rPr>
      <w:rFonts w:ascii="Arial" w:hAnsi="Arial" w:eastAsia="Arial" w:cs="Arial"/>
      <w:i/>
      <w:iCs/>
      <w:sz w:val="21"/>
      <w:szCs w:val="21"/>
    </w:rPr>
  </w:style>
  <w:style w:type="paragraph" w:styleId="725">
    <w:name w:val="List Paragraph"/>
    <w:basedOn w:val="636"/>
    <w:uiPriority w:val="34"/>
    <w:qFormat/>
    <w:pPr>
      <w:contextualSpacing/>
      <w:ind w:left="720"/>
    </w:pPr>
  </w:style>
  <w:style w:type="paragraph" w:styleId="726">
    <w:name w:val="No Spacing"/>
    <w:uiPriority w:val="1"/>
    <w:qFormat/>
    <w:rPr>
      <w:rFonts w:ascii="Calibri" w:hAnsi="Calibri" w:eastAsia="宋体" w:cs="Times New Roman"/>
      <w:lang w:val="en-US" w:eastAsia="zh-CN" w:bidi="ar-SA"/>
    </w:rPr>
  </w:style>
  <w:style w:type="character" w:styleId="727" w:customStyle="1">
    <w:name w:val="标题 字符"/>
    <w:link w:val="671"/>
    <w:uiPriority w:val="10"/>
    <w:qFormat/>
    <w:rPr>
      <w:sz w:val="48"/>
      <w:szCs w:val="48"/>
    </w:rPr>
  </w:style>
  <w:style w:type="character" w:styleId="728" w:customStyle="1">
    <w:name w:val="副标题 字符"/>
    <w:link w:val="664"/>
    <w:uiPriority w:val="11"/>
    <w:qFormat/>
    <w:rPr>
      <w:sz w:val="24"/>
      <w:szCs w:val="24"/>
    </w:rPr>
  </w:style>
  <w:style w:type="paragraph" w:styleId="729">
    <w:name w:val="Quote"/>
    <w:basedOn w:val="636"/>
    <w:next w:val="636"/>
    <w:link w:val="730"/>
    <w:uiPriority w:val="29"/>
    <w:qFormat/>
    <w:pPr>
      <w:ind w:left="720" w:right="720"/>
    </w:pPr>
    <w:rPr>
      <w:i/>
    </w:rPr>
  </w:style>
  <w:style w:type="character" w:styleId="730" w:customStyle="1">
    <w:name w:val="引用 字符"/>
    <w:link w:val="729"/>
    <w:uiPriority w:val="29"/>
    <w:qFormat/>
    <w:rPr>
      <w:i/>
    </w:rPr>
  </w:style>
  <w:style w:type="paragraph" w:styleId="731">
    <w:name w:val="Intense Quote"/>
    <w:basedOn w:val="636"/>
    <w:next w:val="636"/>
    <w:link w:val="7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明显引用 字符"/>
    <w:link w:val="731"/>
    <w:uiPriority w:val="30"/>
    <w:qFormat/>
    <w:rPr>
      <w:i/>
    </w:rPr>
  </w:style>
  <w:style w:type="character" w:styleId="733" w:customStyle="1">
    <w:name w:val="页眉 字符"/>
    <w:link w:val="661"/>
    <w:uiPriority w:val="99"/>
    <w:qFormat/>
  </w:style>
  <w:style w:type="character" w:styleId="734" w:customStyle="1">
    <w:name w:val="Footer Char_4c997c39-fdfa-40f6-873a-d5a8759d2a3a"/>
    <w:uiPriority w:val="99"/>
    <w:qFormat/>
  </w:style>
  <w:style w:type="character" w:styleId="735" w:customStyle="1">
    <w:name w:val="页脚 字符"/>
    <w:link w:val="660"/>
    <w:uiPriority w:val="99"/>
    <w:qFormat/>
  </w:style>
  <w:style w:type="table" w:styleId="73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73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3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74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4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4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74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74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74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74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74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74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74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75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75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75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75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76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76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76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76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76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76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76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76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76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76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77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77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77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77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77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77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77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77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77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78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78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78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78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78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79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79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79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79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79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79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79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79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79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79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0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0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0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0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0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80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80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0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0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0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81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81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81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1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81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815"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16"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17"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818"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1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20"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2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2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82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82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82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2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2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2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2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83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83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83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3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3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3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83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3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83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83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84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84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842" w:customStyle="1">
    <w:name w:val="脚注文本 字符"/>
    <w:link w:val="665"/>
    <w:uiPriority w:val="99"/>
    <w:qFormat/>
    <w:rPr>
      <w:sz w:val="18"/>
    </w:rPr>
  </w:style>
  <w:style w:type="character" w:styleId="843" w:customStyle="1">
    <w:name w:val="尾注文本 字符"/>
    <w:link w:val="658"/>
    <w:uiPriority w:val="99"/>
    <w:qFormat/>
    <w:rPr>
      <w:sz w:val="20"/>
    </w:rPr>
  </w:style>
  <w:style w:type="paragraph" w:styleId="844" w:customStyle="1">
    <w:name w:val="TOC 标题111"/>
    <w:uiPriority w:val="39"/>
    <w:qFormat/>
    <w:rPr>
      <w:rFonts w:ascii="Calibri" w:hAnsi="Calibri" w:eastAsia="宋体" w:cs="Times New Roman"/>
      <w:lang w:val="en-US" w:eastAsia="zh-CN" w:bidi="ar-SA"/>
    </w:rPr>
  </w:style>
  <w:style w:type="paragraph" w:styleId="845" w:customStyle="1">
    <w:name w:val="标题 11"/>
    <w:basedOn w:val="636"/>
    <w:next w:val="636"/>
    <w:link w:val="900"/>
    <w:uiPriority w:val="0"/>
    <w:qFormat/>
    <w:pPr>
      <w:keepLines/>
      <w:keepNext/>
      <w:spacing w:before="340" w:after="330" w:line="578" w:lineRule="auto"/>
      <w:outlineLvl w:val="0"/>
    </w:pPr>
    <w:rPr>
      <w:b/>
      <w:bCs/>
      <w:sz w:val="44"/>
      <w:szCs w:val="44"/>
    </w:rPr>
  </w:style>
  <w:style w:type="paragraph" w:styleId="846" w:customStyle="1">
    <w:name w:val="标题 21"/>
    <w:basedOn w:val="636"/>
    <w:next w:val="636"/>
    <w:link w:val="902"/>
    <w:uiPriority w:val="0"/>
    <w:qFormat/>
    <w:pPr>
      <w:keepLines/>
      <w:keepNext/>
      <w:spacing w:before="260" w:after="260" w:line="416" w:lineRule="auto"/>
      <w:outlineLvl w:val="1"/>
    </w:pPr>
    <w:rPr>
      <w:rFonts w:ascii="Cambria" w:hAnsi="Cambria"/>
      <w:b/>
      <w:bCs/>
      <w:sz w:val="32"/>
      <w:szCs w:val="32"/>
    </w:rPr>
  </w:style>
  <w:style w:type="paragraph" w:styleId="847" w:customStyle="1">
    <w:name w:val="标题 31"/>
    <w:basedOn w:val="636"/>
    <w:next w:val="636"/>
    <w:link w:val="903"/>
    <w:uiPriority w:val="0"/>
    <w:qFormat/>
    <w:pPr>
      <w:keepLines/>
      <w:keepNext/>
      <w:spacing w:before="260" w:after="260" w:line="416" w:lineRule="auto"/>
      <w:outlineLvl w:val="2"/>
    </w:pPr>
    <w:rPr>
      <w:b/>
      <w:bCs/>
      <w:sz w:val="32"/>
      <w:szCs w:val="32"/>
    </w:rPr>
  </w:style>
  <w:style w:type="paragraph" w:styleId="848" w:customStyle="1">
    <w:name w:val="标题 41"/>
    <w:basedOn w:val="636"/>
    <w:next w:val="636"/>
    <w:link w:val="909"/>
    <w:uiPriority w:val="0"/>
    <w:qFormat/>
    <w:pPr>
      <w:keepLines/>
      <w:keepNext/>
      <w:spacing w:before="280" w:after="290" w:line="376" w:lineRule="auto"/>
      <w:outlineLvl w:val="3"/>
    </w:pPr>
    <w:rPr>
      <w:rFonts w:ascii="Arial" w:hAnsi="Arial" w:eastAsia="黑体"/>
      <w:b/>
      <w:bCs/>
      <w:sz w:val="28"/>
      <w:szCs w:val="28"/>
    </w:rPr>
  </w:style>
  <w:style w:type="paragraph" w:styleId="849" w:customStyle="1">
    <w:name w:val="标题 51"/>
    <w:basedOn w:val="636"/>
    <w:next w:val="636"/>
    <w:link w:val="910"/>
    <w:uiPriority w:val="0"/>
    <w:qFormat/>
    <w:pPr>
      <w:keepLines/>
      <w:keepNext/>
      <w:spacing w:before="280" w:after="290" w:line="376" w:lineRule="auto"/>
      <w:outlineLvl w:val="4"/>
    </w:pPr>
    <w:rPr>
      <w:rFonts w:ascii="Times New Roman" w:hAnsi="Times New Roman" w:eastAsia="黑体"/>
      <w:b/>
      <w:bCs/>
      <w:sz w:val="28"/>
      <w:szCs w:val="28"/>
    </w:rPr>
  </w:style>
  <w:style w:type="paragraph" w:styleId="850" w:customStyle="1">
    <w:name w:val="标题 61"/>
    <w:basedOn w:val="636"/>
    <w:next w:val="636"/>
    <w:link w:val="911"/>
    <w:uiPriority w:val="0"/>
    <w:qFormat/>
    <w:pPr>
      <w:keepLines/>
      <w:keepNext/>
      <w:spacing w:before="240" w:after="64" w:line="320" w:lineRule="auto"/>
      <w:outlineLvl w:val="5"/>
    </w:pPr>
    <w:rPr>
      <w:rFonts w:ascii="Arial" w:hAnsi="Arial" w:eastAsia="黑体"/>
      <w:b/>
      <w:bCs/>
      <w:sz w:val="24"/>
      <w:szCs w:val="24"/>
    </w:rPr>
  </w:style>
  <w:style w:type="paragraph" w:styleId="851" w:customStyle="1">
    <w:name w:val="标题 71"/>
    <w:basedOn w:val="636"/>
    <w:next w:val="636"/>
    <w:link w:val="912"/>
    <w:uiPriority w:val="0"/>
    <w:qFormat/>
    <w:pPr>
      <w:keepLines/>
      <w:keepNext/>
      <w:spacing w:before="240" w:after="64" w:line="320" w:lineRule="auto"/>
      <w:outlineLvl w:val="6"/>
    </w:pPr>
    <w:rPr>
      <w:rFonts w:ascii="Times New Roman" w:hAnsi="Times New Roman"/>
      <w:b/>
      <w:bCs/>
      <w:sz w:val="24"/>
      <w:szCs w:val="24"/>
    </w:rPr>
  </w:style>
  <w:style w:type="paragraph" w:styleId="852" w:customStyle="1">
    <w:name w:val="标题 81"/>
    <w:basedOn w:val="636"/>
    <w:next w:val="636"/>
    <w:link w:val="913"/>
    <w:uiPriority w:val="0"/>
    <w:qFormat/>
    <w:pPr>
      <w:keepLines/>
      <w:keepNext/>
      <w:spacing w:before="240" w:after="64" w:line="320" w:lineRule="auto"/>
      <w:outlineLvl w:val="7"/>
    </w:pPr>
    <w:rPr>
      <w:rFonts w:ascii="Arial" w:hAnsi="Arial" w:eastAsia="黑体"/>
      <w:sz w:val="24"/>
      <w:szCs w:val="24"/>
    </w:rPr>
  </w:style>
  <w:style w:type="paragraph" w:styleId="853" w:customStyle="1">
    <w:name w:val="标题 91"/>
    <w:basedOn w:val="636"/>
    <w:next w:val="636"/>
    <w:link w:val="914"/>
    <w:uiPriority w:val="0"/>
    <w:qFormat/>
    <w:pPr>
      <w:keepLines/>
      <w:keepNext/>
      <w:spacing w:before="240" w:after="64" w:line="320" w:lineRule="auto"/>
      <w:outlineLvl w:val="8"/>
    </w:pPr>
    <w:rPr>
      <w:rFonts w:ascii="Arial" w:hAnsi="Arial" w:eastAsia="黑体"/>
      <w:szCs w:val="21"/>
    </w:rPr>
  </w:style>
  <w:style w:type="character" w:styleId="854" w:customStyle="1">
    <w:name w:val="默认段落字体1"/>
    <w:uiPriority w:val="1"/>
    <w:qFormat/>
  </w:style>
  <w:style w:type="table" w:styleId="855" w:customStyle="1">
    <w:name w:val="普通表格1"/>
    <w:uiPriority w:val="99"/>
    <w:qFormat/>
    <w:tblPr>
      <w:tblCellMar>
        <w:left w:w="0" w:type="dxa"/>
        <w:top w:w="0" w:type="dxa"/>
        <w:right w:w="0" w:type="dxa"/>
        <w:bottom w:w="0" w:type="dxa"/>
      </w:tblCellMar>
    </w:tblPr>
  </w:style>
  <w:style w:type="paragraph" w:styleId="856" w:customStyle="1">
    <w:name w:val="目录 71"/>
    <w:basedOn w:val="636"/>
    <w:next w:val="636"/>
    <w:uiPriority w:val="0"/>
    <w:qFormat/>
    <w:pPr>
      <w:ind w:left="1050"/>
      <w:jc w:val="left"/>
    </w:pPr>
    <w:rPr>
      <w:sz w:val="20"/>
      <w:szCs w:val="20"/>
    </w:rPr>
  </w:style>
  <w:style w:type="paragraph" w:styleId="857" w:customStyle="1">
    <w:name w:val="正文缩进11"/>
    <w:basedOn w:val="636"/>
    <w:link w:val="915"/>
    <w:uiPriority w:val="0"/>
    <w:qFormat/>
    <w:pPr>
      <w:ind w:firstLine="420"/>
    </w:pPr>
    <w:rPr>
      <w:rFonts w:ascii="Times New Roman" w:hAnsi="Times New Roman"/>
      <w:szCs w:val="20"/>
      <w:lang w:eastAsia="en-US"/>
    </w:rPr>
  </w:style>
  <w:style w:type="paragraph" w:styleId="858" w:customStyle="1">
    <w:name w:val="文档结构图1"/>
    <w:basedOn w:val="636"/>
    <w:link w:val="901"/>
    <w:uiPriority w:val="0"/>
    <w:qFormat/>
    <w:rPr>
      <w:rFonts w:ascii="宋体"/>
      <w:sz w:val="18"/>
      <w:szCs w:val="18"/>
    </w:rPr>
  </w:style>
  <w:style w:type="paragraph" w:styleId="859" w:customStyle="1">
    <w:name w:val="批注文字1"/>
    <w:basedOn w:val="636"/>
    <w:link w:val="905"/>
    <w:uiPriority w:val="0"/>
    <w:qFormat/>
    <w:pPr>
      <w:ind w:firstLine="200"/>
      <w:jc w:val="left"/>
      <w:spacing w:line="360" w:lineRule="auto"/>
    </w:pPr>
    <w:rPr>
      <w:rFonts w:ascii="Times New Roman" w:hAnsi="Times New Roman"/>
      <w:szCs w:val="24"/>
    </w:rPr>
  </w:style>
  <w:style w:type="paragraph" w:styleId="860" w:customStyle="1">
    <w:name w:val="正文文本 31"/>
    <w:basedOn w:val="636"/>
    <w:link w:val="916"/>
    <w:uiPriority w:val="0"/>
    <w:qFormat/>
    <w:pPr>
      <w:spacing w:line="560" w:lineRule="exact"/>
    </w:pPr>
    <w:rPr>
      <w:rFonts w:ascii="仿宋_GB2312" w:hAnsi="Times New Roman" w:eastAsia="仿宋_GB2312"/>
      <w:b/>
      <w:bCs/>
      <w:color w:val="ff0000"/>
      <w:sz w:val="28"/>
      <w:szCs w:val="24"/>
    </w:rPr>
  </w:style>
  <w:style w:type="paragraph" w:styleId="861" w:customStyle="1">
    <w:name w:val="正文文本1"/>
    <w:basedOn w:val="636"/>
    <w:next w:val="648"/>
    <w:link w:val="917"/>
    <w:uiPriority w:val="0"/>
    <w:qFormat/>
    <w:rPr>
      <w:rFonts w:ascii="Times New Roman" w:hAnsi="Times New Roman" w:eastAsia="楷体_GB2312"/>
      <w:b/>
      <w:bCs/>
      <w:color w:val="ff0000"/>
      <w:sz w:val="32"/>
      <w:szCs w:val="32"/>
      <w:lang w:val="zh-CN"/>
    </w:rPr>
  </w:style>
  <w:style w:type="paragraph" w:styleId="862" w:customStyle="1">
    <w:name w:val="正文文本缩进1"/>
    <w:basedOn w:val="636"/>
    <w:link w:val="918"/>
    <w:uiPriority w:val="0"/>
    <w:qFormat/>
    <w:pPr>
      <w:ind w:firstLine="200"/>
    </w:pPr>
    <w:rPr>
      <w:rFonts w:ascii="Times New Roman" w:hAnsi="Times New Roman" w:eastAsia="仿宋_GB2312"/>
      <w:sz w:val="30"/>
      <w:szCs w:val="30"/>
    </w:rPr>
  </w:style>
  <w:style w:type="paragraph" w:styleId="863" w:customStyle="1">
    <w:name w:val="目录 51"/>
    <w:basedOn w:val="636"/>
    <w:next w:val="636"/>
    <w:uiPriority w:val="0"/>
    <w:qFormat/>
    <w:pPr>
      <w:ind w:left="630"/>
      <w:jc w:val="left"/>
    </w:pPr>
    <w:rPr>
      <w:sz w:val="20"/>
      <w:szCs w:val="20"/>
    </w:rPr>
  </w:style>
  <w:style w:type="paragraph" w:styleId="864" w:customStyle="1">
    <w:name w:val="目录 31"/>
    <w:basedOn w:val="636"/>
    <w:next w:val="636"/>
    <w:uiPriority w:val="39"/>
    <w:qFormat/>
    <w:pPr>
      <w:ind w:left="210"/>
      <w:jc w:val="left"/>
    </w:pPr>
    <w:rPr>
      <w:sz w:val="20"/>
      <w:szCs w:val="20"/>
    </w:rPr>
  </w:style>
  <w:style w:type="paragraph" w:styleId="865" w:customStyle="1">
    <w:name w:val="纯文本1"/>
    <w:basedOn w:val="636"/>
    <w:link w:val="908"/>
    <w:uiPriority w:val="0"/>
    <w:qFormat/>
    <w:rPr>
      <w:rFonts w:ascii="宋体" w:hAnsi="Courier New"/>
      <w:szCs w:val="20"/>
    </w:rPr>
  </w:style>
  <w:style w:type="paragraph" w:styleId="866" w:customStyle="1">
    <w:name w:val="目录 81"/>
    <w:basedOn w:val="636"/>
    <w:next w:val="636"/>
    <w:uiPriority w:val="0"/>
    <w:qFormat/>
    <w:pPr>
      <w:ind w:left="1260"/>
      <w:jc w:val="left"/>
    </w:pPr>
    <w:rPr>
      <w:sz w:val="20"/>
      <w:szCs w:val="20"/>
    </w:rPr>
  </w:style>
  <w:style w:type="paragraph" w:styleId="867" w:customStyle="1">
    <w:name w:val="日期1"/>
    <w:basedOn w:val="636"/>
    <w:next w:val="636"/>
    <w:link w:val="904"/>
    <w:uiPriority w:val="0"/>
    <w:qFormat/>
    <w:pPr>
      <w:ind w:left="2500"/>
    </w:pPr>
  </w:style>
  <w:style w:type="paragraph" w:styleId="868" w:customStyle="1">
    <w:name w:val="正文文本缩进 21"/>
    <w:basedOn w:val="636"/>
    <w:link w:val="919"/>
    <w:uiPriority w:val="0"/>
    <w:qFormat/>
    <w:pPr>
      <w:ind w:firstLine="420"/>
    </w:pPr>
    <w:rPr>
      <w:rFonts w:ascii="宋体" w:hAnsi="Times New Roman"/>
      <w:color w:val="000000"/>
      <w:sz w:val="24"/>
      <w:szCs w:val="24"/>
    </w:rPr>
  </w:style>
  <w:style w:type="paragraph" w:styleId="869" w:customStyle="1">
    <w:name w:val="批注框文本1"/>
    <w:basedOn w:val="636"/>
    <w:link w:val="906"/>
    <w:uiPriority w:val="0"/>
    <w:qFormat/>
    <w:rPr>
      <w:sz w:val="18"/>
      <w:szCs w:val="18"/>
    </w:rPr>
  </w:style>
  <w:style w:type="paragraph" w:styleId="870" w:customStyle="1">
    <w:name w:val="页脚1"/>
    <w:basedOn w:val="636"/>
    <w:link w:val="899"/>
    <w:uiPriority w:val="0"/>
    <w:qFormat/>
    <w:pPr>
      <w:jc w:val="left"/>
      <w:tabs>
        <w:tab w:val="center" w:pos="4153" w:leader="none"/>
        <w:tab w:val="right" w:pos="8306" w:leader="none"/>
      </w:tabs>
    </w:pPr>
    <w:rPr>
      <w:sz w:val="18"/>
      <w:szCs w:val="18"/>
    </w:rPr>
  </w:style>
  <w:style w:type="paragraph" w:styleId="871" w:customStyle="1">
    <w:name w:val="页眉1"/>
    <w:basedOn w:val="636"/>
    <w:link w:val="898"/>
    <w:uiPriority w:val="0"/>
    <w:qFormat/>
    <w:pPr>
      <w:jc w:val="center"/>
      <w:tabs>
        <w:tab w:val="center" w:pos="4153" w:leader="none"/>
        <w:tab w:val="right" w:pos="8306" w:leader="none"/>
      </w:tabs>
      <w:pBdr>
        <w:bottom w:val="single" w:color="000000" w:sz="6" w:space="1"/>
      </w:pBdr>
    </w:pPr>
    <w:rPr>
      <w:sz w:val="18"/>
      <w:szCs w:val="18"/>
    </w:rPr>
  </w:style>
  <w:style w:type="paragraph" w:styleId="872" w:customStyle="1">
    <w:name w:val="目录 11"/>
    <w:basedOn w:val="636"/>
    <w:next w:val="636"/>
    <w:uiPriority w:val="39"/>
    <w:qFormat/>
  </w:style>
  <w:style w:type="paragraph" w:styleId="873" w:customStyle="1">
    <w:name w:val="目录 41"/>
    <w:basedOn w:val="636"/>
    <w:next w:val="636"/>
    <w:uiPriority w:val="0"/>
    <w:qFormat/>
    <w:pPr>
      <w:ind w:left="420"/>
      <w:jc w:val="left"/>
    </w:pPr>
    <w:rPr>
      <w:sz w:val="20"/>
      <w:szCs w:val="20"/>
    </w:rPr>
  </w:style>
  <w:style w:type="paragraph" w:styleId="874" w:customStyle="1">
    <w:name w:val="副标题1"/>
    <w:basedOn w:val="636"/>
    <w:next w:val="636"/>
    <w:link w:val="920"/>
    <w:uiPriority w:val="0"/>
    <w:qFormat/>
    <w:pPr>
      <w:jc w:val="center"/>
      <w:spacing w:before="240" w:after="60" w:line="312" w:lineRule="auto"/>
      <w:outlineLvl w:val="1"/>
    </w:pPr>
    <w:rPr>
      <w:rFonts w:ascii="Cambria" w:hAnsi="Cambria"/>
      <w:b/>
      <w:bCs/>
      <w:sz w:val="32"/>
      <w:szCs w:val="32"/>
    </w:rPr>
  </w:style>
  <w:style w:type="paragraph" w:styleId="875" w:customStyle="1">
    <w:name w:val="目录 61"/>
    <w:basedOn w:val="636"/>
    <w:next w:val="636"/>
    <w:uiPriority w:val="0"/>
    <w:qFormat/>
    <w:pPr>
      <w:ind w:left="840"/>
      <w:jc w:val="left"/>
    </w:pPr>
    <w:rPr>
      <w:sz w:val="20"/>
      <w:szCs w:val="20"/>
    </w:rPr>
  </w:style>
  <w:style w:type="paragraph" w:styleId="876" w:customStyle="1">
    <w:name w:val="正文文本缩进 31"/>
    <w:basedOn w:val="636"/>
    <w:link w:val="921"/>
    <w:uiPriority w:val="0"/>
    <w:qFormat/>
    <w:pPr>
      <w:ind w:left="200"/>
      <w:spacing w:after="120"/>
    </w:pPr>
    <w:rPr>
      <w:rFonts w:ascii="Times New Roman" w:hAnsi="Times New Roman"/>
      <w:sz w:val="16"/>
      <w:szCs w:val="16"/>
    </w:rPr>
  </w:style>
  <w:style w:type="paragraph" w:styleId="877" w:customStyle="1">
    <w:name w:val="目录 21"/>
    <w:basedOn w:val="636"/>
    <w:next w:val="636"/>
    <w:uiPriority w:val="39"/>
    <w:qFormat/>
    <w:pPr>
      <w:jc w:val="left"/>
      <w:spacing w:before="240"/>
    </w:pPr>
    <w:rPr>
      <w:b/>
      <w:bCs/>
      <w:sz w:val="20"/>
      <w:szCs w:val="20"/>
    </w:rPr>
  </w:style>
  <w:style w:type="paragraph" w:styleId="878" w:customStyle="1">
    <w:name w:val="目录 91"/>
    <w:basedOn w:val="636"/>
    <w:next w:val="636"/>
    <w:uiPriority w:val="0"/>
    <w:qFormat/>
    <w:pPr>
      <w:ind w:left="1470"/>
      <w:jc w:val="left"/>
    </w:pPr>
    <w:rPr>
      <w:sz w:val="20"/>
      <w:szCs w:val="20"/>
    </w:rPr>
  </w:style>
  <w:style w:type="paragraph" w:styleId="879" w:customStyle="1">
    <w:name w:val="正文文本 21"/>
    <w:basedOn w:val="636"/>
    <w:link w:val="922"/>
    <w:uiPriority w:val="0"/>
    <w:qFormat/>
    <w:pPr>
      <w:spacing w:line="560" w:lineRule="exact"/>
    </w:pPr>
    <w:rPr>
      <w:rFonts w:ascii="仿宋_GB2312" w:hAnsi="Times New Roman" w:eastAsia="仿宋_GB2312"/>
      <w:sz w:val="28"/>
      <w:szCs w:val="30"/>
    </w:rPr>
  </w:style>
  <w:style w:type="paragraph" w:styleId="880" w:customStyle="1">
    <w:name w:val="HTML 预设格式11"/>
    <w:basedOn w:val="636"/>
    <w:link w:val="92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881" w:customStyle="1">
    <w:name w:val="普通(网站)1"/>
    <w:basedOn w:val="636"/>
    <w:uiPriority w:val="99"/>
    <w:qFormat/>
    <w:pPr>
      <w:jc w:val="left"/>
      <w:spacing w:before="100" w:beforeAutospacing="1" w:after="100" w:afterAutospacing="1"/>
    </w:pPr>
    <w:rPr>
      <w:rFonts w:ascii="Times New Roman" w:hAnsi="Times New Roman"/>
      <w:sz w:val="24"/>
      <w:szCs w:val="20"/>
    </w:rPr>
  </w:style>
  <w:style w:type="paragraph" w:styleId="882" w:customStyle="1">
    <w:name w:val="索引 11"/>
    <w:basedOn w:val="636"/>
    <w:next w:val="636"/>
    <w:uiPriority w:val="0"/>
    <w:qFormat/>
    <w:rPr>
      <w:rFonts w:ascii="Times New Roman" w:hAnsi="Times New Roman"/>
      <w:b/>
      <w:bCs/>
      <w:color w:val="0000ff"/>
      <w:szCs w:val="24"/>
    </w:rPr>
  </w:style>
  <w:style w:type="paragraph" w:styleId="883" w:customStyle="1">
    <w:name w:val="批注主题1"/>
    <w:basedOn w:val="859"/>
    <w:next w:val="859"/>
    <w:link w:val="924"/>
    <w:uiPriority w:val="0"/>
    <w:qFormat/>
    <w:pPr>
      <w:ind w:firstLine="0"/>
      <w:spacing w:line="240" w:lineRule="auto"/>
    </w:pPr>
    <w:rPr>
      <w:b/>
      <w:bCs/>
    </w:rPr>
  </w:style>
  <w:style w:type="table" w:styleId="884" w:customStyle="1">
    <w:name w:val="网格型1"/>
    <w:basedOn w:val="855"/>
    <w:uiPriority w:val="0"/>
    <w:qFormat/>
    <w:tblPr/>
  </w:style>
  <w:style w:type="character" w:styleId="885" w:customStyle="1">
    <w:name w:val="要点1"/>
    <w:basedOn w:val="854"/>
    <w:uiPriority w:val="22"/>
    <w:qFormat/>
    <w:rPr>
      <w:b/>
      <w:bCs/>
    </w:rPr>
  </w:style>
  <w:style w:type="character" w:styleId="886" w:customStyle="1">
    <w:name w:val="页码1"/>
    <w:uiPriority w:val="0"/>
    <w:qFormat/>
  </w:style>
  <w:style w:type="character" w:styleId="887" w:customStyle="1">
    <w:name w:val="已访问的超链接1"/>
    <w:uiPriority w:val="0"/>
    <w:qFormat/>
    <w:rPr>
      <w:color w:val="800080"/>
      <w:u w:val="none"/>
    </w:rPr>
  </w:style>
  <w:style w:type="character" w:styleId="888" w:customStyle="1">
    <w:name w:val="HTML 定义1"/>
    <w:uiPriority w:val="0"/>
    <w:qFormat/>
  </w:style>
  <w:style w:type="character" w:styleId="889" w:customStyle="1">
    <w:name w:val="HTML 打字机1"/>
    <w:uiPriority w:val="0"/>
    <w:qFormat/>
    <w:rPr>
      <w:rFonts w:ascii="monospace" w:hAnsi="monospace" w:eastAsia="monospace" w:cs="monospace"/>
      <w:sz w:val="20"/>
    </w:rPr>
  </w:style>
  <w:style w:type="character" w:styleId="890" w:customStyle="1">
    <w:name w:val="HTML 缩写1"/>
    <w:uiPriority w:val="0"/>
    <w:qFormat/>
  </w:style>
  <w:style w:type="character" w:styleId="891" w:customStyle="1">
    <w:name w:val="HTML 变量1"/>
    <w:uiPriority w:val="0"/>
    <w:qFormat/>
  </w:style>
  <w:style w:type="character" w:styleId="892" w:customStyle="1">
    <w:name w:val="超链接1"/>
    <w:uiPriority w:val="99"/>
    <w:qFormat/>
    <w:rPr>
      <w:color w:val="0000ff"/>
      <w:u w:val="none"/>
    </w:rPr>
  </w:style>
  <w:style w:type="character" w:styleId="893" w:customStyle="1">
    <w:name w:val="HTML 代码1"/>
    <w:uiPriority w:val="0"/>
    <w:qFormat/>
    <w:rPr>
      <w:rFonts w:ascii="monospace" w:hAnsi="monospace" w:eastAsia="monospace" w:cs="monospace"/>
      <w:sz w:val="20"/>
    </w:rPr>
  </w:style>
  <w:style w:type="character" w:styleId="894" w:customStyle="1">
    <w:name w:val="批注引用1"/>
    <w:uiPriority w:val="0"/>
    <w:qFormat/>
    <w:rPr>
      <w:sz w:val="21"/>
      <w:szCs w:val="21"/>
    </w:rPr>
  </w:style>
  <w:style w:type="character" w:styleId="895" w:customStyle="1">
    <w:name w:val="HTML 引文1"/>
    <w:uiPriority w:val="0"/>
    <w:qFormat/>
  </w:style>
  <w:style w:type="character" w:styleId="896" w:customStyle="1">
    <w:name w:val="HTML 键盘1"/>
    <w:uiPriority w:val="0"/>
    <w:qFormat/>
    <w:rPr>
      <w:rFonts w:ascii="monospace" w:hAnsi="monospace" w:eastAsia="monospace" w:cs="monospace"/>
      <w:sz w:val="20"/>
    </w:rPr>
  </w:style>
  <w:style w:type="character" w:styleId="897" w:customStyle="1">
    <w:name w:val="HTML 样本1"/>
    <w:uiPriority w:val="0"/>
    <w:qFormat/>
    <w:rPr>
      <w:rFonts w:ascii="monospace" w:hAnsi="monospace" w:eastAsia="monospace" w:cs="monospace"/>
    </w:rPr>
  </w:style>
  <w:style w:type="character" w:styleId="898" w:customStyle="1">
    <w:name w:val="页眉 Char"/>
    <w:basedOn w:val="854"/>
    <w:link w:val="871"/>
    <w:uiPriority w:val="99"/>
    <w:qFormat/>
    <w:rPr>
      <w:sz w:val="18"/>
      <w:szCs w:val="18"/>
    </w:rPr>
  </w:style>
  <w:style w:type="character" w:styleId="899" w:customStyle="1">
    <w:name w:val="页脚 Char"/>
    <w:basedOn w:val="854"/>
    <w:link w:val="870"/>
    <w:uiPriority w:val="99"/>
    <w:qFormat/>
    <w:rPr>
      <w:sz w:val="18"/>
      <w:szCs w:val="18"/>
    </w:rPr>
  </w:style>
  <w:style w:type="character" w:styleId="900" w:customStyle="1">
    <w:name w:val="标题 1 Char"/>
    <w:basedOn w:val="854"/>
    <w:link w:val="845"/>
    <w:uiPriority w:val="9"/>
    <w:qFormat/>
    <w:rPr>
      <w:b/>
      <w:bCs/>
      <w:sz w:val="44"/>
      <w:szCs w:val="44"/>
    </w:rPr>
  </w:style>
  <w:style w:type="character" w:styleId="901" w:customStyle="1">
    <w:name w:val="文档结构图 Char"/>
    <w:basedOn w:val="854"/>
    <w:link w:val="858"/>
    <w:uiPriority w:val="99"/>
    <w:qFormat/>
    <w:rPr>
      <w:rFonts w:ascii="宋体" w:eastAsia="宋体"/>
      <w:sz w:val="18"/>
      <w:szCs w:val="18"/>
    </w:rPr>
  </w:style>
  <w:style w:type="character" w:styleId="902" w:customStyle="1">
    <w:name w:val="标题 2 Char"/>
    <w:basedOn w:val="854"/>
    <w:link w:val="846"/>
    <w:uiPriority w:val="9"/>
    <w:qFormat/>
    <w:rPr>
      <w:rFonts w:ascii="Cambria" w:hAnsi="Cambria" w:eastAsia="宋体" w:cs="Times New Roman"/>
      <w:b/>
      <w:bCs/>
      <w:sz w:val="32"/>
      <w:szCs w:val="32"/>
    </w:rPr>
  </w:style>
  <w:style w:type="character" w:styleId="903" w:customStyle="1">
    <w:name w:val="标题 3 Char"/>
    <w:basedOn w:val="854"/>
    <w:link w:val="847"/>
    <w:uiPriority w:val="9"/>
    <w:qFormat/>
    <w:rPr>
      <w:b/>
      <w:bCs/>
      <w:sz w:val="32"/>
      <w:szCs w:val="32"/>
    </w:rPr>
  </w:style>
  <w:style w:type="character" w:styleId="904" w:customStyle="1">
    <w:name w:val="日期 Char"/>
    <w:basedOn w:val="854"/>
    <w:link w:val="867"/>
    <w:uiPriority w:val="99"/>
    <w:qFormat/>
  </w:style>
  <w:style w:type="character" w:styleId="905" w:customStyle="1">
    <w:name w:val="批注文字 Char"/>
    <w:basedOn w:val="854"/>
    <w:link w:val="859"/>
    <w:uiPriority w:val="0"/>
    <w:qFormat/>
    <w:rPr>
      <w:rFonts w:ascii="Times New Roman" w:hAnsi="Times New Roman" w:eastAsia="宋体" w:cs="Times New Roman"/>
      <w:szCs w:val="24"/>
    </w:rPr>
  </w:style>
  <w:style w:type="character" w:styleId="906" w:customStyle="1">
    <w:name w:val="批注框文本 Char"/>
    <w:basedOn w:val="854"/>
    <w:link w:val="869"/>
    <w:uiPriority w:val="99"/>
    <w:qFormat/>
    <w:rPr>
      <w:sz w:val="18"/>
      <w:szCs w:val="18"/>
    </w:rPr>
  </w:style>
  <w:style w:type="character" w:styleId="907" w:customStyle="1">
    <w:name w:val="Default Char"/>
    <w:link w:val="648"/>
    <w:uiPriority w:val="99"/>
    <w:qFormat/>
    <w:rPr>
      <w:rFonts w:ascii="MS Mincho"/>
      <w:color w:val="000000"/>
      <w:szCs w:val="24"/>
      <w:lang w:bidi="ar-SA"/>
    </w:rPr>
  </w:style>
  <w:style w:type="character" w:styleId="908" w:customStyle="1">
    <w:name w:val="纯文本 Char"/>
    <w:basedOn w:val="854"/>
    <w:link w:val="865"/>
    <w:uiPriority w:val="0"/>
    <w:qFormat/>
    <w:rPr>
      <w:rFonts w:ascii="宋体" w:hAnsi="Courier New" w:eastAsia="宋体" w:cs="Times New Roman"/>
      <w:szCs w:val="20"/>
    </w:rPr>
  </w:style>
  <w:style w:type="character" w:styleId="909" w:customStyle="1">
    <w:name w:val="标题 4 Char"/>
    <w:basedOn w:val="854"/>
    <w:link w:val="848"/>
    <w:uiPriority w:val="0"/>
    <w:qFormat/>
    <w:rPr>
      <w:rFonts w:ascii="Arial" w:hAnsi="Arial" w:eastAsia="黑体" w:cs="Times New Roman"/>
      <w:b/>
      <w:bCs/>
      <w:sz w:val="28"/>
      <w:szCs w:val="28"/>
    </w:rPr>
  </w:style>
  <w:style w:type="character" w:styleId="910" w:customStyle="1">
    <w:name w:val="标题 5 Char"/>
    <w:basedOn w:val="854"/>
    <w:link w:val="849"/>
    <w:uiPriority w:val="0"/>
    <w:qFormat/>
    <w:rPr>
      <w:rFonts w:ascii="Times New Roman" w:hAnsi="Times New Roman" w:eastAsia="黑体" w:cs="Times New Roman"/>
      <w:b/>
      <w:bCs/>
      <w:sz w:val="28"/>
      <w:szCs w:val="28"/>
    </w:rPr>
  </w:style>
  <w:style w:type="character" w:styleId="911" w:customStyle="1">
    <w:name w:val="标题 6 Char"/>
    <w:basedOn w:val="854"/>
    <w:link w:val="850"/>
    <w:uiPriority w:val="0"/>
    <w:qFormat/>
    <w:rPr>
      <w:rFonts w:ascii="Arial" w:hAnsi="Arial" w:eastAsia="黑体" w:cs="Times New Roman"/>
      <w:b/>
      <w:bCs/>
      <w:sz w:val="24"/>
      <w:szCs w:val="24"/>
    </w:rPr>
  </w:style>
  <w:style w:type="character" w:styleId="912" w:customStyle="1">
    <w:name w:val="标题 7 Char"/>
    <w:basedOn w:val="854"/>
    <w:link w:val="851"/>
    <w:uiPriority w:val="0"/>
    <w:qFormat/>
    <w:rPr>
      <w:rFonts w:ascii="Times New Roman" w:hAnsi="Times New Roman" w:eastAsia="宋体" w:cs="Times New Roman"/>
      <w:b/>
      <w:bCs/>
      <w:sz w:val="24"/>
      <w:szCs w:val="24"/>
    </w:rPr>
  </w:style>
  <w:style w:type="character" w:styleId="913" w:customStyle="1">
    <w:name w:val="标题 8 Char"/>
    <w:basedOn w:val="854"/>
    <w:link w:val="852"/>
    <w:uiPriority w:val="0"/>
    <w:qFormat/>
    <w:rPr>
      <w:rFonts w:ascii="Arial" w:hAnsi="Arial" w:eastAsia="黑体" w:cs="Times New Roman"/>
      <w:sz w:val="24"/>
      <w:szCs w:val="24"/>
    </w:rPr>
  </w:style>
  <w:style w:type="character" w:styleId="914" w:customStyle="1">
    <w:name w:val="标题 9 Char"/>
    <w:basedOn w:val="854"/>
    <w:link w:val="853"/>
    <w:uiPriority w:val="0"/>
    <w:qFormat/>
    <w:rPr>
      <w:rFonts w:ascii="Arial" w:hAnsi="Arial" w:eastAsia="黑体" w:cs="Times New Roman"/>
      <w:sz w:val="21"/>
      <w:szCs w:val="21"/>
    </w:rPr>
  </w:style>
  <w:style w:type="character" w:styleId="915" w:customStyle="1">
    <w:name w:val="正文缩进 Char"/>
    <w:link w:val="857"/>
    <w:uiPriority w:val="0"/>
    <w:qFormat/>
    <w:rPr>
      <w:rFonts w:ascii="Times New Roman" w:hAnsi="Times New Roman" w:eastAsia="宋体" w:cs="Times New Roman"/>
      <w:sz w:val="21"/>
    </w:rPr>
  </w:style>
  <w:style w:type="character" w:styleId="916" w:customStyle="1">
    <w:name w:val="正文文本 3 Char"/>
    <w:basedOn w:val="854"/>
    <w:link w:val="860"/>
    <w:uiPriority w:val="0"/>
    <w:qFormat/>
    <w:rPr>
      <w:rFonts w:ascii="仿宋_GB2312" w:hAnsi="Times New Roman" w:eastAsia="仿宋_GB2312" w:cs="Times New Roman"/>
      <w:b/>
      <w:bCs/>
      <w:color w:val="ff0000"/>
      <w:sz w:val="28"/>
      <w:szCs w:val="24"/>
    </w:rPr>
  </w:style>
  <w:style w:type="character" w:styleId="917" w:customStyle="1">
    <w:name w:val="正文文本 Char"/>
    <w:basedOn w:val="854"/>
    <w:link w:val="861"/>
    <w:uiPriority w:val="0"/>
    <w:qFormat/>
    <w:rPr>
      <w:rFonts w:ascii="Times New Roman" w:hAnsi="Times New Roman" w:eastAsia="楷体_GB2312" w:cs="Times New Roman"/>
      <w:b/>
      <w:bCs/>
      <w:color w:val="ff0000"/>
      <w:sz w:val="32"/>
      <w:szCs w:val="32"/>
      <w:lang w:val="zh-CN"/>
    </w:rPr>
  </w:style>
  <w:style w:type="character" w:styleId="918" w:customStyle="1">
    <w:name w:val="正文文本缩进 Char"/>
    <w:basedOn w:val="854"/>
    <w:link w:val="862"/>
    <w:uiPriority w:val="0"/>
    <w:qFormat/>
    <w:rPr>
      <w:rFonts w:ascii="Times New Roman" w:hAnsi="Times New Roman" w:eastAsia="仿宋_GB2312" w:cs="Times New Roman"/>
      <w:sz w:val="30"/>
      <w:szCs w:val="30"/>
    </w:rPr>
  </w:style>
  <w:style w:type="character" w:styleId="919" w:customStyle="1">
    <w:name w:val="正文文本缩进 2 Char"/>
    <w:basedOn w:val="854"/>
    <w:link w:val="868"/>
    <w:uiPriority w:val="0"/>
    <w:qFormat/>
    <w:rPr>
      <w:rFonts w:ascii="宋体" w:hAnsi="Times New Roman" w:eastAsia="宋体" w:cs="Times New Roman"/>
      <w:color w:val="000000"/>
      <w:sz w:val="24"/>
      <w:szCs w:val="24"/>
    </w:rPr>
  </w:style>
  <w:style w:type="character" w:styleId="920" w:customStyle="1">
    <w:name w:val="副标题 Char"/>
    <w:basedOn w:val="854"/>
    <w:link w:val="874"/>
    <w:uiPriority w:val="0"/>
    <w:qFormat/>
    <w:rPr>
      <w:rFonts w:ascii="Cambria" w:hAnsi="Cambria" w:eastAsia="宋体" w:cs="Times New Roman"/>
      <w:b/>
      <w:bCs/>
      <w:sz w:val="32"/>
      <w:szCs w:val="32"/>
    </w:rPr>
  </w:style>
  <w:style w:type="character" w:styleId="921" w:customStyle="1">
    <w:name w:val="正文文本缩进 3 Char"/>
    <w:basedOn w:val="854"/>
    <w:link w:val="876"/>
    <w:uiPriority w:val="0"/>
    <w:qFormat/>
    <w:rPr>
      <w:rFonts w:ascii="Times New Roman" w:hAnsi="Times New Roman" w:eastAsia="宋体" w:cs="Times New Roman"/>
      <w:sz w:val="16"/>
      <w:szCs w:val="16"/>
    </w:rPr>
  </w:style>
  <w:style w:type="character" w:styleId="922" w:customStyle="1">
    <w:name w:val="正文文本 2 Char"/>
    <w:basedOn w:val="854"/>
    <w:link w:val="879"/>
    <w:uiPriority w:val="0"/>
    <w:qFormat/>
    <w:rPr>
      <w:rFonts w:ascii="仿宋_GB2312" w:hAnsi="Times New Roman" w:eastAsia="仿宋_GB2312" w:cs="Times New Roman"/>
      <w:sz w:val="28"/>
      <w:szCs w:val="30"/>
    </w:rPr>
  </w:style>
  <w:style w:type="character" w:styleId="923" w:customStyle="1">
    <w:name w:val="HTML 预设格式 Char1"/>
    <w:basedOn w:val="854"/>
    <w:link w:val="880"/>
    <w:uiPriority w:val="0"/>
    <w:qFormat/>
    <w:rPr>
      <w:rFonts w:ascii="宋体" w:hAnsi="宋体" w:eastAsia="宋体" w:cs="宋体"/>
      <w:sz w:val="24"/>
      <w:szCs w:val="24"/>
    </w:rPr>
  </w:style>
  <w:style w:type="character" w:styleId="924" w:customStyle="1">
    <w:name w:val="批注主题 Char"/>
    <w:basedOn w:val="905"/>
    <w:link w:val="883"/>
    <w:uiPriority w:val="0"/>
    <w:qFormat/>
    <w:rPr>
      <w:rFonts w:ascii="Times New Roman" w:hAnsi="Times New Roman" w:eastAsia="宋体" w:cs="Times New Roman"/>
      <w:b/>
      <w:bCs/>
      <w:sz w:val="21"/>
      <w:szCs w:val="24"/>
    </w:rPr>
  </w:style>
  <w:style w:type="character" w:styleId="925" w:customStyle="1">
    <w:name w:val="Char Char"/>
    <w:uiPriority w:val="0"/>
    <w:qFormat/>
    <w:rPr>
      <w:sz w:val="18"/>
      <w:szCs w:val="18"/>
    </w:rPr>
  </w:style>
  <w:style w:type="character" w:styleId="926" w:customStyle="1">
    <w:name w:val="H5 Char"/>
    <w:uiPriority w:val="0"/>
    <w:qFormat/>
    <w:rPr>
      <w:rFonts w:eastAsia="黑体"/>
      <w:b/>
      <w:bCs/>
      <w:sz w:val="28"/>
      <w:szCs w:val="28"/>
      <w:lang w:val="en-US" w:eastAsia="zh-CN" w:bidi="ar-SA"/>
    </w:rPr>
  </w:style>
  <w:style w:type="character" w:styleId="927" w:customStyle="1">
    <w:name w:val="三级标题 Char"/>
    <w:link w:val="928"/>
    <w:uiPriority w:val="0"/>
    <w:qFormat/>
    <w:rPr>
      <w:rFonts w:ascii="华文中宋" w:hAnsi="华文中宋" w:eastAsia="华文中宋"/>
      <w:sz w:val="24"/>
      <w:szCs w:val="24"/>
    </w:rPr>
  </w:style>
  <w:style w:type="paragraph" w:styleId="928" w:customStyle="1">
    <w:name w:val="三级标题"/>
    <w:basedOn w:val="636"/>
    <w:next w:val="636"/>
    <w:link w:val="927"/>
    <w:uiPriority w:val="0"/>
    <w:qFormat/>
    <w:pPr>
      <w:spacing w:line="360" w:lineRule="auto"/>
      <w:outlineLvl w:val="2"/>
    </w:pPr>
    <w:rPr>
      <w:rFonts w:ascii="华文中宋" w:hAnsi="华文中宋" w:eastAsia="华文中宋"/>
      <w:sz w:val="24"/>
      <w:szCs w:val="24"/>
      <w:lang w:eastAsia="en-US"/>
    </w:rPr>
  </w:style>
  <w:style w:type="character" w:styleId="929" w:customStyle="1">
    <w:name w:val="链接"/>
    <w:uiPriority w:val="0"/>
    <w:qFormat/>
    <w:rPr>
      <w:rFonts w:ascii="Times New Roman" w:eastAsia="宋体"/>
      <w:color w:val="0000ff"/>
      <w:sz w:val="21"/>
      <w:u w:val="single"/>
      <w:vertAlign w:val="baseline"/>
      <w:lang w:val="en-US" w:eastAsia="zh-CN"/>
    </w:rPr>
  </w:style>
  <w:style w:type="character" w:styleId="930" w:customStyle="1">
    <w:name w:val="H4 Char"/>
    <w:uiPriority w:val="0"/>
    <w:qFormat/>
    <w:rPr>
      <w:rFonts w:ascii="Arial" w:hAnsi="Arial" w:eastAsia="黑体"/>
      <w:b/>
      <w:bCs/>
      <w:sz w:val="28"/>
      <w:szCs w:val="28"/>
      <w:lang w:val="en-US" w:eastAsia="zh-CN" w:bidi="ar-SA"/>
    </w:rPr>
  </w:style>
  <w:style w:type="character" w:styleId="931" w:customStyle="1">
    <w:name w:val="wj1"/>
    <w:uiPriority w:val="0"/>
    <w:qFormat/>
    <w:rPr>
      <w:color w:val="000000"/>
      <w:spacing w:val="260"/>
      <w:sz w:val="18"/>
      <w:szCs w:val="18"/>
      <w:u w:val="none"/>
    </w:rPr>
  </w:style>
  <w:style w:type="character" w:styleId="932" w:customStyle="1">
    <w:name w:val="Char Char2"/>
    <w:uiPriority w:val="0"/>
    <w:qFormat/>
    <w:rPr>
      <w:rFonts w:ascii="Arial" w:hAnsi="Arial" w:eastAsia="黑体"/>
      <w:sz w:val="21"/>
      <w:szCs w:val="21"/>
    </w:rPr>
  </w:style>
  <w:style w:type="character" w:styleId="933" w:customStyle="1">
    <w:name w:val="Char Char4"/>
    <w:uiPriority w:val="0"/>
    <w:qFormat/>
    <w:rPr>
      <w:b/>
      <w:bCs/>
      <w:sz w:val="24"/>
      <w:szCs w:val="24"/>
    </w:rPr>
  </w:style>
  <w:style w:type="character" w:styleId="934" w:customStyle="1">
    <w:name w:val="h3 Char"/>
    <w:uiPriority w:val="0"/>
    <w:qFormat/>
    <w:rPr>
      <w:b/>
      <w:bCs/>
      <w:sz w:val="32"/>
      <w:szCs w:val="32"/>
    </w:rPr>
  </w:style>
  <w:style w:type="character" w:styleId="935" w:customStyle="1">
    <w:name w:val="Char Char1"/>
    <w:uiPriority w:val="0"/>
    <w:qFormat/>
    <w:rPr>
      <w:sz w:val="18"/>
      <w:szCs w:val="18"/>
    </w:rPr>
  </w:style>
  <w:style w:type="character" w:styleId="936" w:customStyle="1">
    <w:name w:val="第*章 Char"/>
    <w:uiPriority w:val="0"/>
    <w:qFormat/>
    <w:rPr>
      <w:rFonts w:ascii="Arial" w:hAnsi="Arial" w:eastAsia="黑体"/>
      <w:b/>
      <w:bCs/>
      <w:sz w:val="32"/>
      <w:szCs w:val="32"/>
    </w:rPr>
  </w:style>
  <w:style w:type="character" w:styleId="937" w:customStyle="1">
    <w:name w:val="H6 Char"/>
    <w:uiPriority w:val="0"/>
    <w:qFormat/>
    <w:rPr>
      <w:rFonts w:ascii="Arial" w:hAnsi="Arial" w:eastAsia="黑体"/>
      <w:b/>
      <w:bCs/>
      <w:sz w:val="24"/>
      <w:szCs w:val="24"/>
    </w:rPr>
  </w:style>
  <w:style w:type="character" w:styleId="938" w:customStyle="1">
    <w:name w:val="Char Char3"/>
    <w:uiPriority w:val="0"/>
    <w:qFormat/>
    <w:rPr>
      <w:rFonts w:ascii="Arial" w:hAnsi="Arial" w:eastAsia="黑体"/>
      <w:sz w:val="24"/>
      <w:szCs w:val="24"/>
    </w:rPr>
  </w:style>
  <w:style w:type="character" w:styleId="939" w:customStyle="1">
    <w:name w:val="HTML 预设格式 Char"/>
    <w:link w:val="940"/>
    <w:uiPriority w:val="0"/>
    <w:qFormat/>
    <w:rPr>
      <w:rFonts w:ascii="宋体" w:hAnsi="宋体" w:eastAsia="宋体"/>
      <w:sz w:val="24"/>
      <w:szCs w:val="24"/>
    </w:rPr>
  </w:style>
  <w:style w:type="paragraph" w:styleId="940" w:customStyle="1">
    <w:name w:val="HTML 预设格式1"/>
    <w:basedOn w:val="636"/>
    <w:link w:val="9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eastAsia="en-US"/>
    </w:rPr>
  </w:style>
  <w:style w:type="character" w:styleId="941" w:customStyle="1">
    <w:name w:val="二级标题2 Char"/>
    <w:link w:val="942"/>
    <w:uiPriority w:val="0"/>
    <w:qFormat/>
    <w:rPr>
      <w:rFonts w:ascii="华文中宋" w:hAnsi="华文中宋" w:eastAsia="华文中宋"/>
      <w:b/>
      <w:bCs/>
      <w:sz w:val="24"/>
      <w:szCs w:val="24"/>
    </w:rPr>
  </w:style>
  <w:style w:type="paragraph" w:styleId="942" w:customStyle="1">
    <w:name w:val="二级标题2"/>
    <w:basedOn w:val="846"/>
    <w:next w:val="861"/>
    <w:link w:val="941"/>
    <w:uiPriority w:val="0"/>
    <w:qFormat/>
    <w:pPr>
      <w:numPr>
        <w:ilvl w:val="1"/>
        <w:numId w:val="1"/>
      </w:numPr>
      <w:spacing w:before="0" w:after="0" w:line="360" w:lineRule="auto"/>
    </w:pPr>
    <w:rPr>
      <w:rFonts w:ascii="华文中宋" w:hAnsi="华文中宋" w:eastAsia="华文中宋"/>
      <w:sz w:val="24"/>
      <w:szCs w:val="24"/>
      <w:lang w:eastAsia="en-US"/>
    </w:rPr>
  </w:style>
  <w:style w:type="character" w:styleId="943" w:customStyle="1">
    <w:name w:val="普通正文 Char"/>
    <w:link w:val="944"/>
    <w:uiPriority w:val="0"/>
    <w:qFormat/>
    <w:rPr>
      <w:rFonts w:ascii="Arial" w:hAnsi="Arial"/>
      <w:sz w:val="24"/>
      <w:szCs w:val="24"/>
    </w:rPr>
  </w:style>
  <w:style w:type="paragraph" w:styleId="944" w:customStyle="1">
    <w:name w:val="普通正文"/>
    <w:basedOn w:val="636"/>
    <w:link w:val="943"/>
    <w:uiPriority w:val="0"/>
    <w:qFormat/>
    <w:pPr>
      <w:ind w:firstLine="480"/>
      <w:jc w:val="left"/>
      <w:spacing w:before="120" w:after="120" w:line="360" w:lineRule="auto"/>
    </w:pPr>
    <w:rPr>
      <w:rFonts w:ascii="Arial" w:hAnsi="Arial"/>
      <w:sz w:val="24"/>
      <w:szCs w:val="24"/>
      <w:lang w:eastAsia="en-US"/>
    </w:rPr>
  </w:style>
  <w:style w:type="character" w:styleId="945" w:customStyle="1">
    <w:name w:val="无间隔 Char"/>
    <w:uiPriority w:val="0"/>
    <w:qFormat/>
    <w:rPr>
      <w:rFonts w:ascii="Calibri" w:hAnsi="Calibri"/>
      <w:sz w:val="22"/>
      <w:szCs w:val="22"/>
      <w:lang w:val="en-US" w:eastAsia="zh-CN" w:bidi="ar-SA"/>
    </w:rPr>
  </w:style>
  <w:style w:type="character" w:styleId="946" w:customStyle="1">
    <w:name w:val="纯文本 Char1"/>
    <w:uiPriority w:val="0"/>
    <w:qFormat/>
    <w:rPr>
      <w:rFonts w:ascii="宋体" w:hAnsi="Courier New"/>
      <w:sz w:val="21"/>
    </w:rPr>
  </w:style>
  <w:style w:type="paragraph" w:styleId="947" w:customStyle="1">
    <w:name w:val="xl40"/>
    <w:basedOn w:val="636"/>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948" w:customStyle="1">
    <w:name w:val="TOC 标题11"/>
    <w:basedOn w:val="845"/>
    <w:next w:val="636"/>
    <w:uiPriority w:val="39"/>
    <w:qFormat/>
    <w:pPr>
      <w:numPr>
        <w:ilvl w:val="0"/>
        <w:numId w:val="1"/>
      </w:numPr>
      <w:jc w:val="left"/>
      <w:spacing w:before="480" w:after="0" w:line="276" w:lineRule="auto"/>
      <w:widowControl/>
      <w:outlineLvl w:val="9"/>
    </w:pPr>
    <w:rPr>
      <w:rFonts w:ascii="Cambria" w:hAnsi="Cambria"/>
      <w:color w:val="365f91"/>
      <w:sz w:val="28"/>
      <w:szCs w:val="28"/>
    </w:rPr>
  </w:style>
  <w:style w:type="paragraph" w:styleId="949" w:customStyle="1">
    <w:name w:val="xl37"/>
    <w:basedOn w:val="636"/>
    <w:uiPriority w:val="0"/>
    <w:qFormat/>
    <w:pPr>
      <w:jc w:val="center"/>
      <w:spacing w:before="100" w:beforeAutospacing="1" w:after="100" w:afterAutospacing="1"/>
      <w:widowControl/>
      <w:pBdr>
        <w:left w:val="single" w:color="000000" w:sz="4" w:space="0"/>
      </w:pBdr>
    </w:pPr>
    <w:rPr>
      <w:rFonts w:ascii="Arial" w:hAnsi="Arial" w:eastAsia="Arial Unicode MS" w:cs="Arial"/>
      <w:b/>
      <w:bCs/>
      <w:sz w:val="16"/>
      <w:szCs w:val="16"/>
    </w:rPr>
  </w:style>
  <w:style w:type="paragraph" w:styleId="950" w:customStyle="1">
    <w:name w:val="??"/>
    <w:uiPriority w:val="0"/>
    <w:qFormat/>
    <w:pPr>
      <w:jc w:val="both"/>
      <w:widowControl w:val="off"/>
    </w:pPr>
    <w:rPr>
      <w:rFonts w:ascii="Times New Roman" w:hAnsi="Times New Roman" w:eastAsia="宋体" w:cs="Times New Roman"/>
      <w:sz w:val="21"/>
      <w:szCs w:val="21"/>
      <w:lang w:val="en-US" w:eastAsia="en-US" w:bidi="ar-SA"/>
    </w:rPr>
  </w:style>
  <w:style w:type="paragraph" w:styleId="951" w:customStyle="1">
    <w:name w:val="题目项目"/>
    <w:basedOn w:val="636"/>
    <w:uiPriority w:val="0"/>
    <w:qFormat/>
    <w:pPr>
      <w:numPr>
        <w:ilvl w:val="0"/>
        <w:numId w:val="2"/>
      </w:numPr>
    </w:pPr>
    <w:rPr>
      <w:rFonts w:ascii="Times New Roman" w:hAnsi="Times New Roman"/>
      <w:szCs w:val="24"/>
    </w:rPr>
  </w:style>
  <w:style w:type="paragraph" w:styleId="952" w:customStyle="1">
    <w:name w:val="xl56"/>
    <w:basedOn w:val="636"/>
    <w:uiPriority w:val="0"/>
    <w:qFormat/>
    <w:pPr>
      <w:jc w:val="right"/>
      <w:spacing w:before="100" w:beforeAutospacing="1" w:after="100" w:afterAutospacing="1"/>
      <w:widowControl/>
    </w:pPr>
    <w:rPr>
      <w:rFonts w:ascii="Arial" w:hAnsi="Arial" w:eastAsia="Arial Unicode MS" w:cs="Arial"/>
      <w:sz w:val="24"/>
      <w:szCs w:val="24"/>
    </w:rPr>
  </w:style>
  <w:style w:type="paragraph" w:styleId="953" w:customStyle="1">
    <w:name w:val="xl70"/>
    <w:basedOn w:val="636"/>
    <w:uiPriority w:val="0"/>
    <w:qFormat/>
    <w:pPr>
      <w:jc w:val="left"/>
      <w:spacing w:before="100" w:beforeAutospacing="1" w:after="100" w:afterAutospacing="1"/>
      <w:widowControl/>
      <w:pBdr>
        <w:top w:val="single" w:color="000000" w:sz="4" w:space="0"/>
        <w:right w:val="single" w:color="000000" w:sz="4" w:space="0"/>
      </w:pBdr>
    </w:pPr>
    <w:rPr>
      <w:rFonts w:ascii="Arial" w:hAnsi="Arial" w:eastAsia="Arial Unicode MS" w:cs="Arial"/>
      <w:b/>
      <w:bCs/>
      <w:sz w:val="18"/>
      <w:szCs w:val="18"/>
    </w:rPr>
  </w:style>
  <w:style w:type="paragraph" w:styleId="954" w:customStyle="1">
    <w:name w:val="xl28"/>
    <w:basedOn w:val="6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955" w:customStyle="1">
    <w:name w:val="章标题"/>
    <w:basedOn w:val="636"/>
    <w:uiPriority w:val="0"/>
    <w:qFormat/>
    <w:pPr>
      <w:jc w:val="center"/>
      <w:spacing w:before="158" w:after="153" w:line="323" w:lineRule="atLeast"/>
      <w:widowControl/>
    </w:pPr>
    <w:rPr>
      <w:rFonts w:ascii="Arial" w:hAnsi="Times New Roman" w:eastAsia="黑体"/>
      <w:color w:val="000000"/>
      <w:sz w:val="31"/>
      <w:szCs w:val="20"/>
    </w:rPr>
  </w:style>
  <w:style w:type="paragraph" w:styleId="956" w:customStyle="1">
    <w:name w:val="font12"/>
    <w:basedOn w:val="636"/>
    <w:uiPriority w:val="0"/>
    <w:qFormat/>
    <w:pPr>
      <w:jc w:val="left"/>
      <w:spacing w:before="100" w:beforeAutospacing="1" w:after="100" w:afterAutospacing="1"/>
      <w:widowControl/>
    </w:pPr>
    <w:rPr>
      <w:rFonts w:hint="eastAsia" w:ascii="楷体_GB2312" w:hAnsi="Arial Unicode MS" w:eastAsia="楷体_GB2312" w:cs="Arial Unicode MS"/>
      <w:sz w:val="20"/>
      <w:szCs w:val="20"/>
    </w:rPr>
  </w:style>
  <w:style w:type="paragraph" w:styleId="957" w:customStyle="1">
    <w:name w:val="xl45"/>
    <w:basedOn w:val="636"/>
    <w:uiPriority w:val="0"/>
    <w:qFormat/>
    <w:pPr>
      <w:jc w:val="left"/>
      <w:spacing w:before="100" w:beforeAutospacing="1" w:after="100" w:afterAutospacing="1"/>
      <w:widowControl/>
      <w:pBdr>
        <w:left w:val="single" w:color="000000" w:sz="4" w:space="0"/>
        <w:right w:val="single" w:color="000000" w:sz="4" w:space="0"/>
      </w:pBdr>
    </w:pPr>
    <w:rPr>
      <w:rFonts w:hint="eastAsia" w:ascii="宋体" w:hAnsi="宋体" w:cs="Arial Unicode MS"/>
      <w:sz w:val="18"/>
      <w:szCs w:val="18"/>
    </w:rPr>
  </w:style>
  <w:style w:type="paragraph" w:styleId="958" w:customStyle="1">
    <w:name w:val="文章总标题"/>
    <w:basedOn w:val="636"/>
    <w:uiPriority w:val="0"/>
    <w:qFormat/>
    <w:pPr>
      <w:jc w:val="center"/>
      <w:spacing w:before="566" w:after="544" w:line="566" w:lineRule="atLeast"/>
      <w:widowControl/>
    </w:pPr>
    <w:rPr>
      <w:rFonts w:ascii="Arial" w:hAnsi="Times New Roman" w:eastAsia="黑体"/>
      <w:color w:val="000000"/>
      <w:sz w:val="54"/>
      <w:szCs w:val="20"/>
    </w:rPr>
  </w:style>
  <w:style w:type="paragraph" w:styleId="959" w:customStyle="1">
    <w:name w:val="目录1"/>
    <w:basedOn w:val="636"/>
    <w:uiPriority w:val="0"/>
    <w:qFormat/>
    <w:pPr>
      <w:jc w:val="left"/>
      <w:spacing w:after="136" w:line="289" w:lineRule="atLeast"/>
      <w:widowControl/>
      <w:tabs>
        <w:tab w:val="left" w:pos="8503" w:leader="dot"/>
      </w:tabs>
    </w:pPr>
    <w:rPr>
      <w:rFonts w:ascii="Arial" w:hAnsi="Times New Roman" w:eastAsia="黑体"/>
      <w:color w:val="000000"/>
      <w:sz w:val="28"/>
      <w:szCs w:val="20"/>
    </w:rPr>
  </w:style>
  <w:style w:type="paragraph" w:styleId="960" w:customStyle="1">
    <w:name w:val="xl54"/>
    <w:basedOn w:val="63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961" w:customStyle="1">
    <w:name w:val="xl47"/>
    <w:basedOn w:val="636"/>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962" w:customStyle="1">
    <w:name w:val="xl49"/>
    <w:basedOn w:val="636"/>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963" w:customStyle="1">
    <w:name w:val="IBM 正文"/>
    <w:basedOn w:val="636"/>
    <w:uiPriority w:val="0"/>
    <w:qFormat/>
    <w:pPr>
      <w:spacing w:line="360" w:lineRule="exact"/>
    </w:pPr>
    <w:rPr>
      <w:rFonts w:ascii="Times New Roman" w:hAnsi="Times New Roman"/>
      <w:sz w:val="24"/>
      <w:szCs w:val="20"/>
    </w:rPr>
  </w:style>
  <w:style w:type="paragraph" w:styleId="964" w:customStyle="1">
    <w:name w:val="font11"/>
    <w:basedOn w:val="636"/>
    <w:uiPriority w:val="0"/>
    <w:qFormat/>
    <w:pPr>
      <w:jc w:val="left"/>
      <w:spacing w:before="100" w:beforeAutospacing="1" w:after="100" w:afterAutospacing="1"/>
      <w:widowControl/>
    </w:pPr>
    <w:rPr>
      <w:rFonts w:hint="eastAsia" w:ascii="楷体_GB2312" w:hAnsi="Arial Unicode MS" w:eastAsia="楷体_GB2312" w:cs="Arial Unicode MS"/>
      <w:b/>
      <w:bCs/>
      <w:sz w:val="18"/>
      <w:szCs w:val="18"/>
    </w:rPr>
  </w:style>
  <w:style w:type="paragraph" w:styleId="965" w:customStyle="1">
    <w:name w:val="xl65"/>
    <w:basedOn w:val="636"/>
    <w:uiPriority w:val="0"/>
    <w:qFormat/>
    <w:pPr>
      <w:jc w:val="left"/>
      <w:spacing w:before="100" w:beforeAutospacing="1" w:after="100" w:afterAutospacing="1"/>
      <w:widowControl/>
      <w:pBdr>
        <w:left w:val="single" w:color="000000" w:sz="4" w:space="0"/>
        <w:bottom w:val="single" w:color="000000" w:sz="4" w:space="0"/>
      </w:pBdr>
    </w:pPr>
    <w:rPr>
      <w:rFonts w:hint="eastAsia" w:ascii="楷体_GB2312" w:hAnsi="Arial Unicode MS" w:eastAsia="楷体_GB2312" w:cs="Arial Unicode MS"/>
      <w:b/>
      <w:bCs/>
      <w:sz w:val="18"/>
      <w:szCs w:val="18"/>
    </w:rPr>
  </w:style>
  <w:style w:type="paragraph" w:styleId="966" w:customStyle="1">
    <w:name w:val="xl41"/>
    <w:basedOn w:val="636"/>
    <w:uiPriority w:val="0"/>
    <w:qFormat/>
    <w:pPr>
      <w:jc w:val="left"/>
      <w:spacing w:before="100" w:beforeAutospacing="1" w:after="100" w:afterAutospacing="1"/>
      <w:widowControl/>
      <w:pBdr>
        <w:right w:val="single" w:color="000000" w:sz="4" w:space="0"/>
      </w:pBdr>
    </w:pPr>
    <w:rPr>
      <w:rFonts w:ascii="Arial" w:hAnsi="Arial" w:eastAsia="Arial Unicode MS" w:cs="Arial"/>
      <w:sz w:val="18"/>
      <w:szCs w:val="18"/>
    </w:rPr>
  </w:style>
  <w:style w:type="paragraph" w:styleId="967" w:customStyle="1">
    <w:name w:val="小节标题"/>
    <w:basedOn w:val="636"/>
    <w:uiPriority w:val="0"/>
    <w:qFormat/>
    <w:pPr>
      <w:spacing w:before="175" w:after="102" w:line="351" w:lineRule="atLeast"/>
      <w:widowControl/>
    </w:pPr>
    <w:rPr>
      <w:rFonts w:ascii="Times New Roman" w:hAnsi="Times New Roman" w:eastAsia="黑体"/>
      <w:color w:val="000000"/>
      <w:szCs w:val="20"/>
    </w:rPr>
  </w:style>
  <w:style w:type="paragraph" w:styleId="968" w:customStyle="1">
    <w:name w:val="xl39"/>
    <w:basedOn w:val="636"/>
    <w:uiPriority w:val="0"/>
    <w:qFormat/>
    <w:pPr>
      <w:jc w:val="center"/>
      <w:spacing w:before="100" w:beforeAutospacing="1" w:after="100" w:afterAutospacing="1"/>
      <w:widowControl/>
      <w:pBdr>
        <w:top w:val="single" w:color="000000" w:sz="4" w:space="0"/>
        <w:right w:val="single" w:color="000000" w:sz="4" w:space="0"/>
      </w:pBdr>
    </w:pPr>
    <w:rPr>
      <w:rFonts w:ascii="Arial" w:hAnsi="Arial" w:eastAsia="Arial Unicode MS" w:cs="Arial"/>
      <w:b/>
      <w:bCs/>
      <w:sz w:val="16"/>
      <w:szCs w:val="16"/>
    </w:rPr>
  </w:style>
  <w:style w:type="paragraph" w:styleId="969" w:customStyle="1">
    <w:name w:val="xl29"/>
    <w:basedOn w:val="636"/>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970" w:customStyle="1">
    <w:name w:val="xl44"/>
    <w:basedOn w:val="636"/>
    <w:uiPriority w:val="0"/>
    <w:qFormat/>
    <w:pPr>
      <w:jc w:val="left"/>
      <w:spacing w:before="100" w:beforeAutospacing="1" w:after="100" w:afterAutospacing="1"/>
      <w:widowControl/>
      <w:pBdr>
        <w:left w:val="single" w:color="000000" w:sz="4" w:space="0"/>
      </w:pBdr>
    </w:pPr>
    <w:rPr>
      <w:rFonts w:hint="eastAsia" w:ascii="楷体_GB2312" w:hAnsi="Arial Unicode MS" w:eastAsia="楷体_GB2312" w:cs="Arial Unicode MS"/>
      <w:b/>
      <w:bCs/>
      <w:sz w:val="18"/>
      <w:szCs w:val="18"/>
    </w:rPr>
  </w:style>
  <w:style w:type="paragraph" w:styleId="971" w:customStyle="1">
    <w:name w:val="xl38"/>
    <w:basedOn w:val="636"/>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16"/>
      <w:szCs w:val="16"/>
    </w:rPr>
  </w:style>
  <w:style w:type="paragraph" w:styleId="972" w:customStyle="1">
    <w:name w:val="目录3"/>
    <w:basedOn w:val="636"/>
    <w:uiPriority w:val="0"/>
    <w:qFormat/>
    <w:pPr>
      <w:ind w:firstLine="419"/>
      <w:spacing w:line="317" w:lineRule="atLeast"/>
      <w:widowControl/>
      <w:tabs>
        <w:tab w:val="left" w:pos="7370" w:leader="dot"/>
      </w:tabs>
    </w:pPr>
    <w:rPr>
      <w:rFonts w:ascii="Times New Roman" w:hAnsi="Times New Roman"/>
      <w:color w:val="000000"/>
      <w:szCs w:val="20"/>
    </w:rPr>
  </w:style>
  <w:style w:type="paragraph" w:styleId="973" w:customStyle="1">
    <w:name w:val="font13"/>
    <w:basedOn w:val="636"/>
    <w:uiPriority w:val="0"/>
    <w:qFormat/>
    <w:pPr>
      <w:jc w:val="left"/>
      <w:spacing w:before="100" w:beforeAutospacing="1" w:after="100" w:afterAutospacing="1"/>
      <w:widowControl/>
    </w:pPr>
    <w:rPr>
      <w:rFonts w:hint="eastAsia" w:ascii="宋体" w:hAnsi="宋体" w:cs="Arial Unicode MS"/>
      <w:sz w:val="20"/>
      <w:szCs w:val="20"/>
    </w:rPr>
  </w:style>
  <w:style w:type="paragraph" w:styleId="974" w:customStyle="1">
    <w:name w:val="xl74"/>
    <w:basedOn w:val="636"/>
    <w:uiPriority w:val="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975" w:customStyle="1">
    <w:name w:val="NAP Normal"/>
    <w:basedOn w:val="636"/>
    <w:uiPriority w:val="0"/>
    <w:qFormat/>
    <w:pPr>
      <w:spacing w:line="240" w:lineRule="exact"/>
    </w:pPr>
    <w:rPr>
      <w:rFonts w:ascii="Times New Roman" w:hAnsi="Times New Roman"/>
      <w:sz w:val="22"/>
    </w:rPr>
  </w:style>
  <w:style w:type="paragraph" w:styleId="976" w:customStyle="1">
    <w:name w:val="xl58"/>
    <w:basedOn w:val="636"/>
    <w:uiPriority w:val="0"/>
    <w:qFormat/>
    <w:pPr>
      <w:jc w:val="left"/>
      <w:spacing w:before="100" w:beforeAutospacing="1" w:after="100" w:afterAutospacing="1"/>
      <w:widowControl/>
      <w:pBdr>
        <w:top w:val="single" w:color="000000" w:sz="8" w:space="0"/>
      </w:pBdr>
    </w:pPr>
    <w:rPr>
      <w:rFonts w:ascii="Arial" w:hAnsi="Arial" w:eastAsia="Arial Unicode MS" w:cs="Arial"/>
      <w:sz w:val="24"/>
      <w:szCs w:val="24"/>
    </w:rPr>
  </w:style>
  <w:style w:type="paragraph" w:styleId="977" w:customStyle="1">
    <w:name w:val="Char Char1 Char Char Char"/>
    <w:basedOn w:val="636"/>
    <w:uiPriority w:val="0"/>
    <w:qFormat/>
    <w:rPr>
      <w:rFonts w:ascii="Times New Roman" w:hAnsi="Times New Roman"/>
      <w:szCs w:val="20"/>
    </w:rPr>
  </w:style>
  <w:style w:type="paragraph" w:styleId="978" w:customStyle="1">
    <w:name w:val="xl52"/>
    <w:basedOn w:val="63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79" w:customStyle="1">
    <w:name w:val="font7"/>
    <w:basedOn w:val="636"/>
    <w:uiPriority w:val="0"/>
    <w:qFormat/>
    <w:pPr>
      <w:jc w:val="left"/>
      <w:spacing w:before="100" w:beforeAutospacing="1" w:after="100" w:afterAutospacing="1"/>
      <w:widowControl/>
    </w:pPr>
    <w:rPr>
      <w:rFonts w:hint="eastAsia" w:ascii="宋体" w:hAnsi="宋体" w:cs="Arial Unicode MS"/>
      <w:sz w:val="18"/>
      <w:szCs w:val="18"/>
    </w:rPr>
  </w:style>
  <w:style w:type="paragraph" w:styleId="980" w:customStyle="1">
    <w:name w:val="xl71"/>
    <w:basedOn w:val="636"/>
    <w:uiPriority w:val="0"/>
    <w:qFormat/>
    <w:pPr>
      <w:jc w:val="left"/>
      <w:spacing w:before="100" w:beforeAutospacing="1" w:after="100" w:afterAutospacing="1"/>
      <w:widowControl/>
      <w:pBdr>
        <w:top w:val="single" w:color="000000" w:sz="4" w:space="0"/>
        <w:bottom w:val="single" w:color="000000" w:sz="4" w:space="0"/>
      </w:pBdr>
    </w:pPr>
    <w:rPr>
      <w:rFonts w:ascii="Arial" w:hAnsi="Arial" w:eastAsia="Arial Unicode MS" w:cs="Arial"/>
      <w:sz w:val="16"/>
      <w:szCs w:val="16"/>
    </w:rPr>
  </w:style>
  <w:style w:type="paragraph" w:styleId="981" w:customStyle="1">
    <w:name w:val="xl50"/>
    <w:basedOn w:val="636"/>
    <w:uiPriority w:val="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sz w:val="18"/>
      <w:szCs w:val="18"/>
    </w:rPr>
  </w:style>
  <w:style w:type="paragraph" w:styleId="982" w:customStyle="1">
    <w:name w:val="正文2"/>
    <w:basedOn w:val="636"/>
    <w:uiPriority w:val="0"/>
    <w:qFormat/>
    <w:pPr>
      <w:ind w:firstLine="200"/>
      <w:jc w:val="left"/>
      <w:spacing w:after="160" w:line="360" w:lineRule="auto"/>
      <w:widowControl/>
    </w:pPr>
    <w:rPr>
      <w:rFonts w:ascii="Verdana" w:hAnsi="Verdana" w:eastAsia="黑体"/>
      <w:szCs w:val="20"/>
      <w:lang w:eastAsia="en-US"/>
    </w:rPr>
  </w:style>
  <w:style w:type="paragraph" w:styleId="983" w:customStyle="1">
    <w:name w:val="默认段落字体 Para Char Char Char Char Char Char Char"/>
    <w:basedOn w:val="858"/>
    <w:uiPriority w:val="0"/>
    <w:qFormat/>
    <w:pPr>
      <w:ind w:left="357"/>
      <w:jc w:val="left"/>
      <w:spacing w:line="436" w:lineRule="exact"/>
      <w:shd w:val="clear" w:color="auto" w:fill="000080"/>
      <w:outlineLvl w:val="3"/>
    </w:pPr>
    <w:rPr>
      <w:rFonts w:ascii="Tahoma" w:hAnsi="Tahoma"/>
      <w:b/>
      <w:sz w:val="24"/>
      <w:szCs w:val="24"/>
    </w:rPr>
  </w:style>
  <w:style w:type="paragraph" w:styleId="984" w:customStyle="1">
    <w:name w:val="xl72"/>
    <w:basedOn w:val="6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szCs w:val="24"/>
    </w:rPr>
  </w:style>
  <w:style w:type="paragraph" w:styleId="985" w:customStyle="1">
    <w:name w:val="样式1"/>
    <w:basedOn w:val="636"/>
    <w:uiPriority w:val="0"/>
    <w:qFormat/>
    <w:pPr>
      <w:ind w:left="709" w:hanging="709"/>
      <w:tabs>
        <w:tab w:val="left" w:pos="709" w:leader="none"/>
      </w:tabs>
    </w:pPr>
    <w:rPr>
      <w:rFonts w:ascii="宋体" w:hAnsi="宋体"/>
      <w:szCs w:val="21"/>
    </w:rPr>
  </w:style>
  <w:style w:type="paragraph" w:styleId="986" w:customStyle="1">
    <w:name w:val="xl73"/>
    <w:basedOn w:val="636"/>
    <w:uiPriority w:val="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987" w:customStyle="1">
    <w:name w:val="xl60"/>
    <w:basedOn w:val="636"/>
    <w:uiPriority w:val="0"/>
    <w:qFormat/>
    <w:pPr>
      <w:jc w:val="left"/>
      <w:spacing w:before="100" w:beforeAutospacing="1" w:after="100" w:afterAutospacing="1"/>
      <w:widowControl/>
      <w:pBdr>
        <w:top w:val="single" w:color="000000" w:sz="8" w:space="0"/>
        <w:right w:val="single" w:color="000000" w:sz="8" w:space="0"/>
      </w:pBdr>
    </w:pPr>
    <w:rPr>
      <w:rFonts w:ascii="Arial" w:hAnsi="Arial" w:eastAsia="Arial Unicode MS" w:cs="Arial"/>
      <w:sz w:val="24"/>
      <w:szCs w:val="24"/>
    </w:rPr>
  </w:style>
  <w:style w:type="paragraph" w:styleId="988" w:customStyle="1">
    <w:name w:val="无间隔1"/>
    <w:uiPriority w:val="0"/>
    <w:qFormat/>
    <w:rPr>
      <w:rFonts w:ascii="Calibri" w:hAnsi="Calibri" w:eastAsia="宋体" w:cs="Times New Roman"/>
      <w:sz w:val="22"/>
      <w:szCs w:val="22"/>
      <w:lang w:val="en-US" w:eastAsia="zh-CN" w:bidi="ar-SA"/>
    </w:rPr>
  </w:style>
  <w:style w:type="paragraph" w:styleId="989" w:customStyle="1">
    <w:name w:val="xl59"/>
    <w:basedOn w:val="636"/>
    <w:uiPriority w:val="0"/>
    <w:qFormat/>
    <w:pPr>
      <w:jc w:val="left"/>
      <w:spacing w:before="100" w:beforeAutospacing="1" w:after="100" w:afterAutospacing="1"/>
      <w:widowControl/>
      <w:pBdr>
        <w:top w:val="single" w:color="000000" w:sz="8" w:space="0"/>
      </w:pBdr>
    </w:pPr>
    <w:rPr>
      <w:rFonts w:hint="eastAsia" w:ascii="宋体" w:hAnsi="宋体" w:cs="Arial Unicode MS"/>
      <w:sz w:val="24"/>
      <w:szCs w:val="24"/>
    </w:rPr>
  </w:style>
  <w:style w:type="paragraph" w:styleId="990" w:customStyle="1">
    <w:name w:val="xl35"/>
    <w:basedOn w:val="636"/>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991" w:customStyle="1">
    <w:name w:val="xl27"/>
    <w:basedOn w:val="636"/>
    <w:uiPriority w:val="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992" w:customStyle="1">
    <w:name w:val="节标题"/>
    <w:basedOn w:val="636"/>
    <w:uiPriority w:val="0"/>
    <w:qFormat/>
    <w:pPr>
      <w:jc w:val="center"/>
      <w:spacing w:line="289" w:lineRule="atLeast"/>
      <w:widowControl/>
    </w:pPr>
    <w:rPr>
      <w:rFonts w:ascii="Times New Roman" w:hAnsi="Times New Roman"/>
      <w:color w:val="000000"/>
      <w:sz w:val="28"/>
      <w:szCs w:val="20"/>
    </w:rPr>
  </w:style>
  <w:style w:type="paragraph" w:styleId="993"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994" w:customStyle="1">
    <w:name w:val="black1"/>
    <w:basedOn w:val="636"/>
    <w:uiPriority w:val="0"/>
    <w:qFormat/>
    <w:pPr>
      <w:jc w:val="left"/>
      <w:spacing w:before="100" w:beforeAutospacing="1" w:after="100" w:afterAutospacing="1" w:line="280" w:lineRule="atLeast"/>
      <w:widowControl/>
    </w:pPr>
    <w:rPr>
      <w:rFonts w:ascii="Arial" w:hAnsi="Arial" w:eastAsia="Arial Unicode MS" w:cs="Arial"/>
      <w:color w:val="000000"/>
      <w:sz w:val="18"/>
      <w:szCs w:val="18"/>
    </w:rPr>
  </w:style>
  <w:style w:type="paragraph" w:styleId="995" w:customStyle="1">
    <w:name w:val="xl42"/>
    <w:basedOn w:val="636"/>
    <w:uiPriority w:val="0"/>
    <w:qFormat/>
    <w:pPr>
      <w:jc w:val="left"/>
      <w:spacing w:before="100" w:beforeAutospacing="1" w:after="100" w:afterAutospacing="1"/>
      <w:widowControl/>
    </w:pPr>
    <w:rPr>
      <w:rFonts w:hint="eastAsia" w:ascii="楷体_GB2312" w:hAnsi="Arial Unicode MS" w:eastAsia="楷体_GB2312" w:cs="Arial Unicode MS"/>
      <w:sz w:val="24"/>
      <w:szCs w:val="24"/>
    </w:rPr>
  </w:style>
  <w:style w:type="paragraph" w:styleId="996" w:customStyle="1">
    <w:name w:val="xl64"/>
    <w:basedOn w:val="636"/>
    <w:uiPriority w:val="0"/>
    <w:qFormat/>
    <w:pPr>
      <w:jc w:val="right"/>
      <w:spacing w:before="100" w:beforeAutospacing="1" w:after="100" w:afterAutospacing="1"/>
      <w:widowControl/>
      <w:pBdr>
        <w:right w:val="single" w:color="000000" w:sz="8" w:space="0"/>
      </w:pBdr>
    </w:pPr>
    <w:rPr>
      <w:rFonts w:ascii="Arial" w:hAnsi="Arial" w:eastAsia="Arial Unicode MS" w:cs="Arial"/>
      <w:sz w:val="24"/>
      <w:szCs w:val="24"/>
    </w:rPr>
  </w:style>
  <w:style w:type="paragraph" w:styleId="997" w:customStyle="1">
    <w:name w:val="xl32"/>
    <w:basedOn w:val="636"/>
    <w:uiPriority w:val="0"/>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998" w:customStyle="1">
    <w:name w:val="xl55"/>
    <w:basedOn w:val="636"/>
    <w:uiPriority w:val="0"/>
    <w:qFormat/>
    <w:pPr>
      <w:jc w:val="center"/>
      <w:spacing w:before="100" w:beforeAutospacing="1" w:after="100" w:afterAutospacing="1"/>
      <w:widowControl/>
    </w:pPr>
    <w:rPr>
      <w:rFonts w:ascii="Arial" w:hAnsi="Arial" w:eastAsia="Arial Unicode MS" w:cs="Arial"/>
      <w:sz w:val="24"/>
      <w:szCs w:val="24"/>
    </w:rPr>
  </w:style>
  <w:style w:type="paragraph" w:styleId="999" w:customStyle="1">
    <w:name w:val="目录标题"/>
    <w:basedOn w:val="636"/>
    <w:uiPriority w:val="0"/>
    <w:qFormat/>
    <w:pPr>
      <w:ind w:firstLine="419"/>
      <w:jc w:val="center"/>
      <w:spacing w:before="566" w:after="544" w:line="566" w:lineRule="atLeast"/>
      <w:widowControl/>
    </w:pPr>
    <w:rPr>
      <w:rFonts w:ascii="Arial" w:hAnsi="Times New Roman" w:eastAsia="黑体"/>
      <w:color w:val="000000"/>
      <w:spacing w:val="566"/>
      <w:sz w:val="54"/>
      <w:szCs w:val="20"/>
    </w:rPr>
  </w:style>
  <w:style w:type="paragraph" w:styleId="1000" w:customStyle="1">
    <w:name w:val="xl63"/>
    <w:basedOn w:val="636"/>
    <w:uiPriority w:val="0"/>
    <w:qFormat/>
    <w:pPr>
      <w:jc w:val="left"/>
      <w:spacing w:before="100" w:beforeAutospacing="1" w:after="100" w:afterAutospacing="1"/>
      <w:widowControl/>
    </w:pPr>
    <w:rPr>
      <w:rFonts w:hint="eastAsia" w:ascii="宋体" w:hAnsi="宋体" w:cs="Arial Unicode MS"/>
      <w:sz w:val="24"/>
      <w:szCs w:val="24"/>
    </w:rPr>
  </w:style>
  <w:style w:type="paragraph" w:styleId="1001" w:customStyle="1">
    <w:name w:val="xl51"/>
    <w:basedOn w:val="636"/>
    <w:uiPriority w:val="0"/>
    <w:qFormat/>
    <w:pPr>
      <w:jc w:val="right"/>
      <w:spacing w:before="100" w:beforeAutospacing="1" w:after="100" w:afterAutospacing="1"/>
      <w:widowControl/>
      <w:pBdr>
        <w:left w:val="single" w:color="000000" w:sz="4" w:space="0"/>
        <w:bottom w:val="single" w:color="000000" w:sz="4" w:space="0"/>
      </w:pBdr>
    </w:pPr>
    <w:rPr>
      <w:rFonts w:ascii="Arial" w:hAnsi="Arial" w:eastAsia="Arial Unicode MS" w:cs="Arial"/>
      <w:sz w:val="18"/>
      <w:szCs w:val="18"/>
    </w:rPr>
  </w:style>
  <w:style w:type="paragraph" w:styleId="1002" w:customStyle="1">
    <w:name w:val="目录2"/>
    <w:basedOn w:val="636"/>
    <w:uiPriority w:val="0"/>
    <w:qFormat/>
    <w:pPr>
      <w:ind w:firstLine="209"/>
      <w:spacing w:line="317" w:lineRule="atLeast"/>
      <w:widowControl/>
      <w:tabs>
        <w:tab w:val="left" w:pos="7370" w:leader="dot"/>
      </w:tabs>
    </w:pPr>
    <w:rPr>
      <w:rFonts w:ascii="Times New Roman" w:hAnsi="Times New Roman"/>
      <w:color w:val="000000"/>
      <w:szCs w:val="20"/>
    </w:rPr>
  </w:style>
  <w:style w:type="paragraph" w:styleId="1003" w:customStyle="1">
    <w:name w:val="xl57"/>
    <w:basedOn w:val="636"/>
    <w:uiPriority w:val="0"/>
    <w:qFormat/>
    <w:pPr>
      <w:jc w:val="left"/>
      <w:spacing w:before="100" w:beforeAutospacing="1" w:after="100" w:afterAutospacing="1"/>
      <w:widowControl/>
      <w:pBdr>
        <w:top w:val="single" w:color="000000" w:sz="8" w:space="0"/>
        <w:left w:val="single" w:color="000000" w:sz="8" w:space="0"/>
      </w:pBdr>
    </w:pPr>
    <w:rPr>
      <w:rFonts w:ascii="Arial" w:hAnsi="Arial" w:eastAsia="Arial Unicode MS" w:cs="Arial"/>
      <w:sz w:val="24"/>
      <w:szCs w:val="24"/>
    </w:rPr>
  </w:style>
  <w:style w:type="paragraph" w:styleId="1004" w:customStyle="1">
    <w:name w:val="xl66"/>
    <w:basedOn w:val="636"/>
    <w:uiPriority w:val="0"/>
    <w:qFormat/>
    <w:pPr>
      <w:jc w:val="left"/>
      <w:spacing w:before="100" w:beforeAutospacing="1" w:after="100" w:afterAutospacing="1"/>
      <w:widowControl/>
      <w:pBdr>
        <w:bottom w:val="single" w:color="000000" w:sz="4" w:space="0"/>
      </w:pBdr>
    </w:pPr>
    <w:rPr>
      <w:rFonts w:ascii="Arial" w:hAnsi="Arial" w:eastAsia="Arial Unicode MS" w:cs="Arial"/>
      <w:b/>
      <w:bCs/>
      <w:sz w:val="18"/>
      <w:szCs w:val="18"/>
    </w:rPr>
  </w:style>
  <w:style w:type="paragraph" w:styleId="1005" w:customStyle="1">
    <w:name w:val="xl53"/>
    <w:basedOn w:val="63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w:hAnsi="Arial" w:eastAsia="Arial Unicode MS" w:cs="Arial"/>
      <w:sz w:val="18"/>
      <w:szCs w:val="18"/>
    </w:rPr>
  </w:style>
  <w:style w:type="paragraph" w:styleId="1006" w:customStyle="1">
    <w:name w:val="文章附标题"/>
    <w:basedOn w:val="636"/>
    <w:uiPriority w:val="0"/>
    <w:qFormat/>
    <w:pPr>
      <w:jc w:val="center"/>
      <w:spacing w:before="187" w:after="175" w:line="374" w:lineRule="atLeast"/>
      <w:widowControl/>
    </w:pPr>
    <w:rPr>
      <w:rFonts w:ascii="Times New Roman" w:hAnsi="Times New Roman"/>
      <w:color w:val="000000"/>
      <w:sz w:val="36"/>
      <w:szCs w:val="20"/>
    </w:rPr>
  </w:style>
  <w:style w:type="paragraph" w:styleId="1007" w:customStyle="1">
    <w:name w:val="xl69"/>
    <w:basedOn w:val="636"/>
    <w:uiPriority w:val="0"/>
    <w:qFormat/>
    <w:pPr>
      <w:jc w:val="left"/>
      <w:spacing w:before="100" w:beforeAutospacing="1" w:after="100" w:afterAutospacing="1"/>
      <w:widowControl/>
      <w:pBdr>
        <w:top w:val="single" w:color="000000" w:sz="4" w:space="0"/>
      </w:pBdr>
    </w:pPr>
    <w:rPr>
      <w:rFonts w:ascii="Arial" w:hAnsi="Arial" w:eastAsia="Arial Unicode MS" w:cs="Arial"/>
      <w:b/>
      <w:bCs/>
      <w:sz w:val="18"/>
      <w:szCs w:val="18"/>
    </w:rPr>
  </w:style>
  <w:style w:type="paragraph" w:styleId="1008" w:customStyle="1">
    <w:name w:val="font6"/>
    <w:basedOn w:val="636"/>
    <w:uiPriority w:val="0"/>
    <w:qFormat/>
    <w:pPr>
      <w:jc w:val="left"/>
      <w:spacing w:before="100" w:beforeAutospacing="1" w:after="100" w:afterAutospacing="1"/>
      <w:widowControl/>
    </w:pPr>
    <w:rPr>
      <w:rFonts w:ascii="Arial" w:hAnsi="Arial" w:eastAsia="Arial Unicode MS" w:cs="Arial"/>
      <w:sz w:val="18"/>
      <w:szCs w:val="18"/>
    </w:rPr>
  </w:style>
  <w:style w:type="paragraph" w:styleId="1009" w:customStyle="1">
    <w:name w:val="xl48"/>
    <w:basedOn w:val="6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eastAsia="Arial Unicode MS" w:cs="Arial"/>
      <w:b/>
      <w:bCs/>
      <w:sz w:val="16"/>
      <w:szCs w:val="16"/>
    </w:rPr>
  </w:style>
  <w:style w:type="paragraph" w:styleId="1010" w:customStyle="1">
    <w:name w:val="xl33"/>
    <w:basedOn w:val="636"/>
    <w:uiPriority w:val="0"/>
    <w:qFormat/>
    <w:pPr>
      <w:jc w:val="right"/>
      <w:spacing w:before="100" w:beforeAutospacing="1" w:after="100" w:afterAutospacing="1"/>
      <w:widowControl/>
      <w:pBdr>
        <w:left w:val="single" w:color="000000" w:sz="4" w:space="0"/>
      </w:pBdr>
    </w:pPr>
    <w:rPr>
      <w:rFonts w:ascii="Arial" w:hAnsi="Arial" w:eastAsia="Arial Unicode MS" w:cs="Arial"/>
      <w:sz w:val="18"/>
      <w:szCs w:val="18"/>
    </w:rPr>
  </w:style>
  <w:style w:type="paragraph" w:styleId="1011" w:customStyle="1">
    <w:name w:val="目录4"/>
    <w:basedOn w:val="636"/>
    <w:uiPriority w:val="0"/>
    <w:qFormat/>
    <w:pPr>
      <w:ind w:firstLine="629"/>
      <w:spacing w:line="317" w:lineRule="atLeast"/>
      <w:widowControl/>
      <w:tabs>
        <w:tab w:val="left" w:pos="7370" w:leader="dot"/>
      </w:tabs>
    </w:pPr>
    <w:rPr>
      <w:rFonts w:ascii="Times New Roman" w:hAnsi="Times New Roman"/>
      <w:color w:val="000000"/>
      <w:szCs w:val="20"/>
    </w:rPr>
  </w:style>
  <w:style w:type="paragraph" w:styleId="1012" w:customStyle="1">
    <w:name w:val="font5"/>
    <w:basedOn w:val="636"/>
    <w:uiPriority w:val="0"/>
    <w:qFormat/>
    <w:pPr>
      <w:jc w:val="left"/>
      <w:spacing w:before="100" w:beforeAutospacing="1" w:after="100" w:afterAutospacing="1"/>
      <w:widowControl/>
    </w:pPr>
    <w:rPr>
      <w:rFonts w:ascii="Arial" w:hAnsi="Arial" w:eastAsia="Arial Unicode MS" w:cs="Arial"/>
      <w:sz w:val="20"/>
      <w:szCs w:val="20"/>
    </w:rPr>
  </w:style>
  <w:style w:type="paragraph" w:styleId="1013" w:customStyle="1">
    <w:name w:val="Sourcetext"/>
    <w:basedOn w:val="636"/>
    <w:uiPriority w:val="0"/>
    <w:qFormat/>
    <w:pPr>
      <w:ind w:left="2160"/>
      <w:jc w:val="left"/>
      <w:spacing w:after="120"/>
      <w:widowControl/>
    </w:pPr>
    <w:rPr>
      <w:rFonts w:ascii="Century Schoolbook" w:hAnsi="Century Schoolbook"/>
      <w:sz w:val="20"/>
      <w:szCs w:val="20"/>
    </w:rPr>
  </w:style>
  <w:style w:type="paragraph" w:styleId="1014" w:customStyle="1">
    <w:name w:val="Char Char1 Char Char Char1"/>
    <w:basedOn w:val="636"/>
    <w:uiPriority w:val="0"/>
    <w:qFormat/>
    <w:rPr>
      <w:rFonts w:ascii="Times New Roman" w:hAnsi="Times New Roman"/>
      <w:szCs w:val="20"/>
    </w:rPr>
  </w:style>
  <w:style w:type="paragraph" w:styleId="1015" w:customStyle="1">
    <w:name w:val="xl30"/>
    <w:basedOn w:val="636"/>
    <w:uiPriority w:val="0"/>
    <w:qFormat/>
    <w:pPr>
      <w:jc w:val="left"/>
      <w:spacing w:before="100" w:beforeAutospacing="1" w:after="100" w:afterAutospacing="1"/>
      <w:widowControl/>
    </w:pPr>
    <w:rPr>
      <w:rFonts w:ascii="Arial" w:hAnsi="Arial" w:eastAsia="Arial Unicode MS" w:cs="Arial"/>
      <w:sz w:val="18"/>
      <w:szCs w:val="18"/>
    </w:rPr>
  </w:style>
  <w:style w:type="paragraph" w:styleId="1016" w:customStyle="1">
    <w:name w:val="xl34"/>
    <w:basedOn w:val="636"/>
    <w:uiPriority w:val="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17" w:customStyle="1">
    <w:name w:val="Sourcetext bullet"/>
    <w:basedOn w:val="1013"/>
    <w:uiPriority w:val="0"/>
    <w:qFormat/>
    <w:pPr>
      <w:numPr>
        <w:ilvl w:val="0"/>
        <w:numId w:val="3"/>
      </w:numPr>
      <w:ind w:left="2160"/>
    </w:pPr>
  </w:style>
  <w:style w:type="paragraph" w:styleId="1018" w:customStyle="1">
    <w:name w:val="xl62"/>
    <w:basedOn w:val="636"/>
    <w:uiPriority w:val="0"/>
    <w:qFormat/>
    <w:pPr>
      <w:jc w:val="center"/>
      <w:spacing w:before="100" w:beforeAutospacing="1" w:after="100" w:afterAutospacing="1"/>
      <w:widowControl/>
    </w:pPr>
    <w:rPr>
      <w:rFonts w:ascii="Arial" w:hAnsi="Arial" w:eastAsia="Arial Unicode MS" w:cs="Arial"/>
      <w:sz w:val="24"/>
      <w:szCs w:val="24"/>
    </w:rPr>
  </w:style>
  <w:style w:type="paragraph" w:styleId="1019" w:customStyle="1">
    <w:name w:val="xl61"/>
    <w:basedOn w:val="636"/>
    <w:uiPriority w:val="0"/>
    <w:qFormat/>
    <w:pPr>
      <w:jc w:val="center"/>
      <w:spacing w:before="100" w:beforeAutospacing="1" w:after="100" w:afterAutospacing="1"/>
      <w:widowControl/>
      <w:pBdr>
        <w:left w:val="single" w:color="000000" w:sz="8" w:space="0"/>
      </w:pBdr>
    </w:pPr>
    <w:rPr>
      <w:rFonts w:ascii="Arial" w:hAnsi="Arial" w:eastAsia="Arial Unicode MS" w:cs="Arial"/>
      <w:sz w:val="24"/>
      <w:szCs w:val="24"/>
    </w:rPr>
  </w:style>
  <w:style w:type="paragraph" w:styleId="1020" w:customStyle="1">
    <w:name w:val="Char"/>
    <w:basedOn w:val="636"/>
    <w:uiPriority w:val="0"/>
    <w:qFormat/>
    <w:pPr>
      <w:ind w:left="360" w:hanging="360"/>
      <w:keepLines/>
      <w:keepNext/>
      <w:pageBreakBefore/>
      <w:tabs>
        <w:tab w:val="left" w:pos="360" w:leader="none"/>
      </w:tabs>
    </w:pPr>
    <w:rPr>
      <w:rFonts w:ascii="Times New Roman" w:hAnsi="Times New Roman"/>
      <w:sz w:val="22"/>
      <w:szCs w:val="24"/>
    </w:rPr>
  </w:style>
  <w:style w:type="paragraph" w:styleId="1021" w:customStyle="1">
    <w:name w:val="xl67"/>
    <w:basedOn w:val="636"/>
    <w:uiPriority w:val="0"/>
    <w:qFormat/>
    <w:pPr>
      <w:jc w:val="left"/>
      <w:spacing w:before="100" w:beforeAutospacing="1" w:after="100" w:afterAutospacing="1"/>
      <w:widowControl/>
      <w:pBdr>
        <w:bottom w:val="single" w:color="000000" w:sz="4" w:space="0"/>
        <w:right w:val="single" w:color="000000" w:sz="4" w:space="0"/>
      </w:pBdr>
    </w:pPr>
    <w:rPr>
      <w:rFonts w:ascii="Arial" w:hAnsi="Arial" w:eastAsia="Arial Unicode MS" w:cs="Arial"/>
      <w:b/>
      <w:bCs/>
      <w:sz w:val="18"/>
      <w:szCs w:val="18"/>
    </w:rPr>
  </w:style>
  <w:style w:type="paragraph" w:styleId="1022" w:customStyle="1">
    <w:name w:val="默认段落字体 Para Char"/>
    <w:basedOn w:val="636"/>
    <w:uiPriority w:val="0"/>
    <w:qFormat/>
    <w:pPr>
      <w:spacing w:line="360" w:lineRule="auto"/>
    </w:pPr>
    <w:rPr>
      <w:rFonts w:ascii="Times New Roman" w:hAnsi="Times New Roman"/>
      <w:sz w:val="24"/>
      <w:szCs w:val="20"/>
    </w:rPr>
  </w:style>
  <w:style w:type="paragraph" w:styleId="1023" w:customStyle="1">
    <w:name w:val="xl31"/>
    <w:basedOn w:val="636"/>
    <w:uiPriority w:val="0"/>
    <w:qFormat/>
    <w:pPr>
      <w:jc w:val="righ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24" w:customStyle="1">
    <w:name w:val="font8"/>
    <w:basedOn w:val="636"/>
    <w:uiPriority w:val="0"/>
    <w:qFormat/>
    <w:pPr>
      <w:jc w:val="left"/>
      <w:spacing w:before="100" w:beforeAutospacing="1" w:after="100" w:afterAutospacing="1"/>
      <w:widowControl/>
    </w:pPr>
    <w:rPr>
      <w:rFonts w:hint="eastAsia" w:ascii="隶书" w:hAnsi="Arial Unicode MS" w:eastAsia="隶书" w:cs="Arial Unicode MS"/>
      <w:sz w:val="18"/>
      <w:szCs w:val="18"/>
    </w:rPr>
  </w:style>
  <w:style w:type="paragraph" w:styleId="1025" w:customStyle="1">
    <w:name w:val="font9"/>
    <w:basedOn w:val="636"/>
    <w:uiPriority w:val="0"/>
    <w:qFormat/>
    <w:pPr>
      <w:jc w:val="left"/>
      <w:spacing w:before="100" w:beforeAutospacing="1" w:after="100" w:afterAutospacing="1"/>
      <w:widowControl/>
    </w:pPr>
    <w:rPr>
      <w:rFonts w:hint="eastAsia" w:ascii="楷体_GB2312" w:hAnsi="Arial Unicode MS" w:eastAsia="楷体_GB2312" w:cs="Arial Unicode MS"/>
      <w:sz w:val="18"/>
      <w:szCs w:val="18"/>
    </w:rPr>
  </w:style>
  <w:style w:type="paragraph" w:styleId="1026" w:customStyle="1">
    <w:name w:val="xl46"/>
    <w:basedOn w:val="636"/>
    <w:uiPriority w:val="0"/>
    <w:qFormat/>
    <w:pPr>
      <w:jc w:val="center"/>
      <w:spacing w:before="100" w:beforeAutospacing="1" w:after="100" w:afterAutospacing="1"/>
      <w:widowControl/>
      <w:pBdr>
        <w:left w:val="single" w:color="000000" w:sz="4" w:space="0"/>
        <w:bottom w:val="single" w:color="000000" w:sz="4" w:space="0"/>
      </w:pBdr>
    </w:pPr>
    <w:rPr>
      <w:rFonts w:ascii="Arial" w:hAnsi="Arial" w:eastAsia="Arial Unicode MS" w:cs="Arial"/>
      <w:b/>
      <w:bCs/>
      <w:sz w:val="16"/>
      <w:szCs w:val="16"/>
    </w:rPr>
  </w:style>
  <w:style w:type="paragraph" w:styleId="1027" w:customStyle="1">
    <w:name w:val="xl36"/>
    <w:basedOn w:val="636"/>
    <w:uiPriority w:val="0"/>
    <w:qFormat/>
    <w:pPr>
      <w:jc w:val="left"/>
      <w:spacing w:before="100" w:beforeAutospacing="1" w:after="100" w:afterAutospacing="1"/>
      <w:widowControl/>
      <w:pBdr>
        <w:left w:val="single" w:color="000000" w:sz="4" w:space="0"/>
        <w:right w:val="single" w:color="000000" w:sz="4" w:space="0"/>
      </w:pBdr>
    </w:pPr>
    <w:rPr>
      <w:rFonts w:ascii="Arial" w:hAnsi="Arial" w:eastAsia="Arial Unicode MS" w:cs="Arial"/>
      <w:sz w:val="18"/>
      <w:szCs w:val="18"/>
    </w:rPr>
  </w:style>
  <w:style w:type="paragraph" w:styleId="1028" w:customStyle="1">
    <w:name w:val="font10"/>
    <w:basedOn w:val="636"/>
    <w:uiPriority w:val="0"/>
    <w:qFormat/>
    <w:pPr>
      <w:jc w:val="left"/>
      <w:spacing w:before="100" w:beforeAutospacing="1" w:after="100" w:afterAutospacing="1"/>
      <w:widowControl/>
    </w:pPr>
    <w:rPr>
      <w:rFonts w:ascii="Arial" w:hAnsi="Arial" w:eastAsia="Arial Unicode MS" w:cs="Arial"/>
      <w:b/>
      <w:bCs/>
      <w:sz w:val="18"/>
      <w:szCs w:val="18"/>
    </w:rPr>
  </w:style>
  <w:style w:type="paragraph" w:styleId="1029" w:customStyle="1">
    <w:name w:val="xl68"/>
    <w:basedOn w:val="636"/>
    <w:uiPriority w:val="0"/>
    <w:qFormat/>
    <w:pPr>
      <w:jc w:val="left"/>
      <w:spacing w:before="100" w:beforeAutospacing="1" w:after="100" w:afterAutospacing="1"/>
      <w:widowControl/>
      <w:pBdr>
        <w:top w:val="single" w:color="000000" w:sz="4" w:space="0"/>
        <w:left w:val="single" w:color="000000" w:sz="4" w:space="0"/>
      </w:pBdr>
    </w:pPr>
    <w:rPr>
      <w:rFonts w:hint="eastAsia" w:ascii="楷体_GB2312" w:hAnsi="Arial Unicode MS" w:eastAsia="楷体_GB2312" w:cs="Arial Unicode MS"/>
      <w:b/>
      <w:bCs/>
      <w:sz w:val="18"/>
      <w:szCs w:val="18"/>
    </w:rPr>
  </w:style>
  <w:style w:type="paragraph" w:styleId="1030" w:customStyle="1">
    <w:name w:val="xl43"/>
    <w:basedOn w:val="636"/>
    <w:uiPriority w:val="0"/>
    <w:qFormat/>
    <w:pPr>
      <w:jc w:val="left"/>
      <w:spacing w:before="100" w:beforeAutospacing="1" w:after="100" w:afterAutospacing="1"/>
      <w:widowControl/>
      <w:pBdr>
        <w:right w:val="single" w:color="000000" w:sz="4" w:space="0"/>
      </w:pBdr>
    </w:pPr>
    <w:rPr>
      <w:rFonts w:ascii="Arial" w:hAnsi="Arial" w:eastAsia="Arial Unicode MS" w:cs="Arial"/>
      <w:b/>
      <w:bCs/>
      <w:sz w:val="18"/>
      <w:szCs w:val="18"/>
    </w:rPr>
  </w:style>
  <w:style w:type="paragraph" w:styleId="1031" w:customStyle="1">
    <w:name w:val="正文缩进1"/>
    <w:basedOn w:val="636"/>
    <w:uiPriority w:val="99"/>
    <w:qFormat/>
    <w:pPr>
      <w:ind w:firstLine="200"/>
      <w:spacing w:line="360" w:lineRule="auto"/>
      <w:widowControl/>
    </w:pPr>
    <w:rPr>
      <w:rFonts w:ascii="Times New Roman" w:hAnsi="Times New Roman"/>
      <w:sz w:val="24"/>
      <w:szCs w:val="21"/>
    </w:rPr>
  </w:style>
  <w:style w:type="paragraph" w:styleId="1032" w:customStyle="1">
    <w:name w:val="正文_6_0_0"/>
    <w:uiPriority w:val="0"/>
    <w:qFormat/>
    <w:pPr>
      <w:jc w:val="both"/>
      <w:widowControl w:val="off"/>
    </w:pPr>
    <w:rPr>
      <w:rFonts w:ascii="Calibri" w:hAnsi="Calibri" w:eastAsia="宋体" w:cs="Times New Roman"/>
      <w:sz w:val="21"/>
      <w:szCs w:val="22"/>
      <w:lang w:val="en-US" w:eastAsia="zh-CN" w:bidi="ar-SA"/>
    </w:rPr>
  </w:style>
  <w:style w:type="table" w:styleId="1033" w:customStyle="1">
    <w:name w:val="Table Normal"/>
    <w:uiPriority w:val="0"/>
    <w:qFormat/>
    <w:rPr>
      <w:rFonts w:ascii="Times New Roman" w:hAnsi="Times New Roman"/>
    </w:rPr>
    <w:tblPr>
      <w:tblCellMar>
        <w:left w:w="0" w:type="dxa"/>
        <w:top w:w="0" w:type="dxa"/>
        <w:right w:w="0" w:type="dxa"/>
        <w:bottom w:w="0" w:type="dxa"/>
      </w:tblCellMar>
    </w:tblPr>
  </w:style>
  <w:style w:type="paragraph" w:styleId="1034" w:customStyle="1">
    <w:name w:val="段"/>
    <w:next w:val="636"/>
    <w:uiPriority w:val="0"/>
    <w:qFormat/>
    <w:pPr>
      <w:jc w:val="both"/>
    </w:pPr>
    <w:rPr>
      <w:rFonts w:ascii="宋体" w:hAnsi="宋体" w:eastAsia="宋体" w:cs="Times New Roman"/>
      <w:sz w:val="24"/>
      <w:szCs w:val="24"/>
      <w:lang w:val="en-US" w:eastAsia="zh-CN" w:bidi="ar-SA"/>
    </w:rPr>
  </w:style>
  <w:style w:type="character" w:styleId="1035" w:customStyle="1">
    <w:name w:val="样式 仿宋"/>
    <w:uiPriority w:val="0"/>
    <w:qFormat/>
    <w:rPr>
      <w:rFonts w:ascii="仿宋" w:hAnsi="仿宋" w:eastAsia="仿宋"/>
    </w:rPr>
  </w:style>
  <w:style w:type="paragraph" w:styleId="1036" w:customStyle="1">
    <w:name w:val="列出段落1"/>
    <w:basedOn w:val="636"/>
    <w:uiPriority w:val="34"/>
    <w:qFormat/>
    <w:pPr>
      <w:ind w:firstLine="200"/>
    </w:pPr>
    <w:rPr>
      <w:rFonts w:ascii="Times New Roman" w:hAnsi="Times New Roman"/>
      <w:szCs w:val="24"/>
    </w:rPr>
  </w:style>
  <w:style w:type="character" w:styleId="1037" w:customStyle="1">
    <w:name w:val="font21"/>
    <w:uiPriority w:val="0"/>
    <w:qFormat/>
    <w:rPr>
      <w:rFonts w:ascii="Times New Roman" w:hAnsi="Times New Roman" w:cs="Times New Roman"/>
      <w:color w:val="000000"/>
      <w:sz w:val="24"/>
      <w:szCs w:val="24"/>
      <w:u w:val="none"/>
    </w:rPr>
  </w:style>
  <w:style w:type="character" w:styleId="1038" w:customStyle="1">
    <w:name w:val="文档结构图 字符"/>
    <w:basedOn w:val="646"/>
    <w:link w:val="651"/>
    <w:uiPriority w:val="99"/>
    <w:qFormat/>
    <w:rPr>
      <w:rFonts w:ascii="宋体"/>
      <w:sz w:val="18"/>
      <w:szCs w:val="18"/>
    </w:rPr>
  </w:style>
  <w:style w:type="character" w:styleId="1039" w:customStyle="1">
    <w:name w:val="批注框文本 字符"/>
    <w:basedOn w:val="646"/>
    <w:link w:val="659"/>
    <w:uiPriority w:val="99"/>
    <w:qFormat/>
    <w:rPr>
      <w:sz w:val="18"/>
      <w:szCs w:val="18"/>
    </w:rPr>
  </w:style>
  <w:style w:type="character" w:styleId="1040" w:customStyle="1">
    <w:name w:val="批注文字 字符"/>
    <w:basedOn w:val="646"/>
    <w:link w:val="652"/>
    <w:uiPriority w:val="99"/>
    <w:qFormat/>
    <w:rPr>
      <w:sz w:val="21"/>
      <w:szCs w:val="22"/>
    </w:rPr>
  </w:style>
  <w:style w:type="character" w:styleId="1041" w:customStyle="1">
    <w:name w:val="批注主题 字符"/>
    <w:basedOn w:val="1040"/>
    <w:link w:val="672"/>
    <w:uiPriority w:val="99"/>
    <w:qFormat/>
    <w:rPr>
      <w:b/>
      <w:bCs/>
      <w:sz w:val="21"/>
      <w:szCs w:val="22"/>
    </w:rPr>
  </w:style>
  <w:style w:type="paragraph" w:styleId="1042" w:customStyle="1">
    <w:name w:val="纯文本11"/>
    <w:basedOn w:val="636"/>
    <w:uiPriority w:val="0"/>
    <w:qFormat/>
    <w:rPr>
      <w:rFonts w:ascii="宋体" w:hAnsi="Courier New"/>
      <w:szCs w:val="20"/>
    </w:rPr>
  </w:style>
  <w:style w:type="paragraph" w:styleId="1043" w:customStyle="1">
    <w:name w:val="HTML 预设格式12"/>
    <w:basedOn w:val="6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numbering" w:styleId="8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E4D19-951C-4639-A243-6075CDE54984}"/>
</file>

<file path=customXml/itemProps2.xml><?xml version="1.0" encoding="utf-8"?>
<ds:datastoreItem xmlns:ds="http://schemas.openxmlformats.org/officeDocument/2006/customXml" ds:itemID="{1EAE2A9E-432F-4AFE-A746-EB19A119AA6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陆萍</cp:lastModifiedBy>
  <cp:revision>393</cp:revision>
  <dcterms:created xsi:type="dcterms:W3CDTF">2024-08-07T03:33:00Z</dcterms:created>
  <dcterms:modified xsi:type="dcterms:W3CDTF">2024-09-23T08:27:34Z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30BA0BA354F145089453A07C7956084E_13</vt:lpwstr>
  </property>
</Properties>
</file>