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3"/>
        <w:ind w:firstLine="1928"/>
        <w:jc w:val="center"/>
        <w:rPr>
          <w:rFonts w:hint="eastAsia" w:ascii="新宋体" w:hAnsi="新宋体" w:eastAsia="新宋体"/>
          <w:b/>
          <w:bCs/>
          <w:color w:val="auto"/>
          <w:sz w:val="96"/>
          <w:szCs w:val="96"/>
          <w:highlight w:val="none"/>
        </w:rPr>
      </w:pPr>
      <w:r>
        <w:rPr>
          <w:rFonts w:hint="eastAsia" w:ascii="新宋体" w:hAnsi="新宋体" w:eastAsia="新宋体"/>
          <w:b/>
          <w:bCs/>
          <w:color w:val="auto"/>
          <w:sz w:val="96"/>
          <w:szCs w:val="96"/>
          <w:highlight w:val="none"/>
        </w:rPr>
      </w:r>
      <w:r/>
    </w:p>
    <w:p>
      <w:pPr>
        <w:pStyle w:val="1123"/>
        <w:ind w:firstLine="1928"/>
        <w:jc w:val="center"/>
        <w:rPr>
          <w:rFonts w:hint="eastAsia" w:ascii="新宋体" w:hAnsi="新宋体" w:eastAsia="新宋体"/>
          <w:b/>
          <w:bCs/>
          <w:color w:val="auto"/>
          <w:sz w:val="96"/>
          <w:szCs w:val="96"/>
          <w:highlight w:val="none"/>
        </w:rPr>
      </w:pPr>
      <w:r>
        <w:rPr>
          <w:rFonts w:hint="eastAsia" w:ascii="新宋体" w:hAnsi="新宋体" w:eastAsia="新宋体"/>
          <w:b/>
          <w:bCs/>
          <w:color w:val="auto"/>
          <w:sz w:val="96"/>
          <w:szCs w:val="96"/>
          <w:highlight w:val="none"/>
        </w:rPr>
      </w:r>
      <w:r/>
    </w:p>
    <w:p>
      <w:pPr>
        <w:pStyle w:val="1123"/>
        <w:ind w:firstLine="472"/>
        <w:jc w:val="center"/>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1123"/>
        <w:ind w:firstLine="0"/>
        <w:jc w:val="center"/>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123"/>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3"/>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3"/>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3"/>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3"/>
        <w:ind w:firstLine="0"/>
        <w:jc w:val="both"/>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项目名称：城北派出所智能化建设项目</w:t>
      </w:r>
      <w:r/>
    </w:p>
    <w:p>
      <w:pPr>
        <w:pStyle w:val="1123"/>
        <w:ind w:firstLine="0"/>
        <w:jc w:val="both"/>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项目编号：JSZC-321202-GCSZ-C2025-0001</w:t>
      </w:r>
      <w:r/>
    </w:p>
    <w:p>
      <w:pPr>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 购 人：泰州市海陵区人民政府城北街道办事处</w:t>
      </w:r>
      <w:r/>
    </w:p>
    <w:p>
      <w:pPr>
        <w:pStyle w:val="948"/>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48"/>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48"/>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48"/>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采购代理：江苏广成数字化人才管理咨询有限公司</w:t>
      </w:r>
      <w:r/>
    </w:p>
    <w:p>
      <w:pPr>
        <w:pStyle w:val="1123"/>
        <w:ind w:firstLine="643"/>
        <w:jc w:val="center"/>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2025年12月</w:t>
      </w:r>
      <w:r/>
    </w:p>
    <w:p>
      <w:pPr>
        <w:pStyle w:val="1123"/>
        <w:jc w:val="center"/>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3"/>
        <w:jc w:val="center"/>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24"/>
        <w:jc w:val="center"/>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spacing w:line="360" w:lineRule="auto"/>
        <w:rPr>
          <w:color w:val="auto"/>
          <w:highlight w:val="none"/>
          <w:lang w:val="zh-CN"/>
        </w:rPr>
      </w:pPr>
      <w:r>
        <w:rPr>
          <w:color w:val="auto"/>
          <w:highlight w:val="none"/>
          <w:lang w:val="zh-CN"/>
        </w:rPr>
      </w:r>
      <w:r/>
    </w:p>
    <w:p>
      <w:pPr>
        <w:pStyle w:val="956"/>
        <w:spacing w:line="360" w:lineRule="auto"/>
        <w:rPr>
          <w:rFonts w:hint="eastAsia" w:ascii="宋体" w:hAnsi="宋体" w:eastAsia="宋体"/>
          <w:caps w:val="0"/>
          <w:color w:val="auto"/>
          <w:sz w:val="21"/>
          <w:szCs w:val="21"/>
          <w:highlight w:val="none"/>
        </w:rPr>
      </w:pPr>
      <w:r>
        <w:rPr>
          <w:rStyle w:val="974"/>
          <w:rFonts w:ascii="宋体" w:hAnsi="宋体"/>
          <w:color w:val="auto"/>
          <w:highlight w:val="none"/>
        </w:rPr>
        <w:fldChar w:fldCharType="begin"/>
      </w:r>
      <w:r>
        <w:rPr>
          <w:rStyle w:val="974"/>
          <w:rFonts w:ascii="宋体" w:hAnsi="宋体"/>
          <w:color w:val="auto"/>
          <w:highlight w:val="none"/>
        </w:rPr>
        <w:instrText xml:space="preserve"> TOC \o "1-1" \h \z \u </w:instrText>
      </w:r>
      <w:r>
        <w:rPr>
          <w:rStyle w:val="974"/>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第一章 竞争性磋商采购公告</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_Toc86268900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6"/>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第二章 参加磋商供应商须知</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7</w:t>
      </w:r>
      <w:r>
        <w:rPr>
          <w:rFonts w:hint="eastAsia" w:ascii="宋体" w:hAnsi="宋体" w:eastAsia="宋体"/>
          <w:caps w:val="0"/>
          <w:color w:val="auto"/>
          <w:sz w:val="21"/>
          <w:szCs w:val="21"/>
          <w:highlight w:val="none"/>
        </w:rPr>
        <w:fldChar w:fldCharType="end"/>
      </w:r>
      <w:r/>
    </w:p>
    <w:p>
      <w:pPr>
        <w:pStyle w:val="956"/>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"_Toc86268901" </w:instrText>
      </w:r>
      <w:r>
        <w:rPr>
          <w:color w:val="auto"/>
          <w:highlight w:val="none"/>
        </w:rPr>
        <w:fldChar w:fldCharType="separate"/>
      </w:r>
      <w:r>
        <w:rPr>
          <w:rFonts w:hint="eastAsia" w:ascii="宋体" w:hAnsi="宋体" w:eastAsia="宋体"/>
          <w:caps w:val="0"/>
          <w:color w:val="auto"/>
          <w:sz w:val="21"/>
          <w:szCs w:val="21"/>
          <w:highlight w:val="none"/>
        </w:rPr>
        <w:t xml:space="preserve">第三章 合同条款及格式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_Toc86268901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11</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6"/>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"_Toc86268902" </w:instrText>
      </w:r>
      <w:r>
        <w:rPr>
          <w:color w:val="auto"/>
          <w:highlight w:val="none"/>
        </w:rPr>
        <w:fldChar w:fldCharType="separate"/>
      </w:r>
      <w:r>
        <w:rPr>
          <w:rFonts w:hint="eastAsia" w:ascii="宋体" w:hAnsi="宋体" w:eastAsia="宋体"/>
          <w:caps w:val="0"/>
          <w:color w:val="auto"/>
          <w:sz w:val="21"/>
          <w:szCs w:val="21"/>
          <w:highlight w:val="none"/>
        </w:rPr>
        <w:t xml:space="preserve">第四章 项目需求</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_Toc86268902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24</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6"/>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第五章 评审方法和评审标准</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t xml:space="preserve">29</w:t>
      </w:r>
      <w:r/>
    </w:p>
    <w:p>
      <w:pPr>
        <w:pStyle w:val="956"/>
        <w:spacing w:line="360" w:lineRule="auto"/>
        <w:rPr>
          <w:rStyle w:val="974"/>
          <w:rFonts w:hint="eastAsia" w:ascii="宋体" w:hAnsi="宋体"/>
          <w:color w:val="auto"/>
          <w:highlight w:val="none"/>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第六章 响应文件的组成和格式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t xml:space="preserve">4</w:t>
      </w:r>
      <w:r/>
    </w:p>
    <w:p>
      <w:pPr>
        <w:pStyle w:val="956"/>
        <w:spacing w:line="360" w:lineRule="auto"/>
        <w:rPr>
          <w:rStyle w:val="974"/>
          <w:rFonts w:hint="eastAsia" w:ascii="宋体" w:hAnsi="宋体"/>
          <w:color w:val="auto"/>
          <w:highlight w:val="none"/>
        </w:rPr>
      </w:pPr>
      <w:r>
        <w:rPr>
          <w:rStyle w:val="974"/>
          <w:rFonts w:ascii="宋体" w:hAnsi="宋体"/>
          <w:color w:val="auto"/>
          <w:highlight w:val="none"/>
        </w:rPr>
        <w:fldChar w:fldCharType="end"/>
      </w:r>
      <w:r/>
    </w:p>
    <w:p>
      <w:pPr>
        <w:pStyle w:val="956"/>
        <w:spacing w:line="360" w:lineRule="auto"/>
        <w:rPr>
          <w:rStyle w:val="974"/>
          <w:rFonts w:hint="eastAsia" w:ascii="宋体" w:hAnsi="宋体"/>
          <w:color w:val="auto"/>
          <w:highlight w:val="none"/>
        </w:rPr>
      </w:pPr>
      <w:r>
        <w:rPr>
          <w:rFonts w:hint="eastAsia" w:ascii="宋体" w:hAnsi="宋体"/>
          <w:color w:val="auto"/>
          <w:highlight w:val="none"/>
        </w:rPr>
      </w:r>
      <w:r/>
    </w:p>
    <w:p>
      <w:pPr>
        <w:pStyle w:val="956"/>
        <w:spacing w:line="360" w:lineRule="auto"/>
        <w:rPr>
          <w:rStyle w:val="974"/>
          <w:rFonts w:hint="eastAsia" w:ascii="宋体" w:hAnsi="宋体"/>
          <w:color w:val="auto"/>
          <w:highlight w:val="none"/>
        </w:rPr>
      </w:pPr>
      <w:r>
        <w:rPr>
          <w:rFonts w:hint="eastAsia" w:ascii="宋体" w:hAnsi="宋体"/>
          <w:color w:val="auto"/>
          <w:highlight w:val="none"/>
        </w:rPr>
      </w:r>
      <w:r/>
    </w:p>
    <w:p>
      <w:pPr>
        <w:pStyle w:val="1123"/>
        <w:ind w:firstLine="360"/>
        <w:jc w:val="center"/>
        <w:rPr>
          <w:rStyle w:val="974"/>
          <w:rFonts w:hint="eastAsia"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931"/>
        <w:ind w:firstLine="422"/>
        <w:jc w:val="center"/>
        <w:spacing w:line="360" w:lineRule="auto"/>
        <w:rPr>
          <w:rFonts w:hint="eastAsia" w:ascii="宋体" w:hAnsi="宋体" w:eastAsia="宋体"/>
          <w:b/>
          <w:color w:val="auto"/>
          <w:sz w:val="21"/>
          <w:szCs w:val="21"/>
          <w:highlight w:val="none"/>
        </w:rPr>
      </w:pPr>
      <w:r/>
      <w:bookmarkStart w:id="0" w:name="_Toc86268900"/>
      <w:r>
        <w:rPr>
          <w:rFonts w:hint="eastAsia" w:ascii="宋体" w:hAnsi="宋体" w:eastAsia="宋体"/>
          <w:b/>
          <w:color w:val="auto"/>
          <w:sz w:val="21"/>
          <w:szCs w:val="21"/>
          <w:highlight w:val="none"/>
        </w:rPr>
        <w:t xml:space="preserve">第一章 竞争性磋商采购公告</w:t>
      </w:r>
      <w:bookmarkEnd w:id="0"/>
      <w:r/>
      <w:r/>
    </w:p>
    <w:p>
      <w:pPr>
        <w:jc w:val="left"/>
        <w:spacing w:line="360" w:lineRule="auto"/>
        <w:widowControl/>
        <w:rPr>
          <w:rFonts w:hint="eastAsia" w:ascii="宋体" w:hAnsi="宋体" w:cs="仿宋_GB2312"/>
          <w:color w:val="auto"/>
          <w:szCs w:val="21"/>
          <w:highlight w:val="none"/>
        </w:rPr>
      </w:pPr>
      <w:r/>
      <w:bookmarkStart w:id="1" w:name="_Toc28359012"/>
      <w:r/>
      <w:bookmarkStart w:id="2" w:name="_Toc35393629"/>
      <w:r/>
      <w:bookmarkStart w:id="3" w:name="_Toc28359089"/>
      <w:r/>
      <w:bookmarkStart w:id="4" w:name="_Toc35393798"/>
      <w:r/>
      <w:bookmarkStart w:id="5" w:name="_Toc513029209"/>
      <w:r/>
      <w:bookmarkStart w:id="6" w:name="_Toc14577347"/>
      <w:r/>
      <w:bookmarkStart w:id="7" w:name="_Toc61149549"/>
      <w:r>
        <w:rPr>
          <w:rFonts w:hint="eastAsia" w:ascii="宋体" w:hAnsi="宋体" w:cs="仿宋_GB2312"/>
          <w:b/>
          <w:bCs/>
          <w:color w:val="auto"/>
          <w:szCs w:val="21"/>
          <w:highlight w:val="none"/>
        </w:rPr>
        <w:t xml:space="preserve">一、项目概况</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u w:val="single"/>
        </w:rPr>
        <w:t xml:space="preserve">城北派出所智能化建设项目</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rPr>
        <w:t xml:space="preserve">获取采购文件，并于</w:t>
      </w:r>
      <w:r>
        <w:rPr>
          <w:rFonts w:hint="eastAsia" w:ascii="宋体" w:hAnsi="宋体" w:cs="仿宋_GB2312"/>
          <w:color w:val="auto"/>
          <w:szCs w:val="21"/>
          <w:highlight w:val="none"/>
          <w:u w:val="single"/>
        </w:rPr>
        <w:t xml:space="preserve">2026年01月09日14时30分（北京时间）</w:t>
      </w:r>
      <w:r>
        <w:rPr>
          <w:rFonts w:hint="eastAsia" w:ascii="宋体" w:hAnsi="宋体" w:cs="仿宋_GB2312"/>
          <w:color w:val="auto"/>
          <w:szCs w:val="21"/>
          <w:highlight w:val="none"/>
        </w:rPr>
        <w:t xml:space="preserve">前提交响应文件。</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bookmarkEnd w:id="1"/>
      <w:r/>
      <w:bookmarkEnd w:id="2"/>
      <w:r/>
      <w:bookmarkEnd w:id="3"/>
      <w:r/>
      <w:bookmarkEnd w:id="4"/>
      <w:r/>
      <w:r/>
    </w:p>
    <w:p>
      <w:pPr>
        <w:ind w:firstLine="422"/>
        <w:spacing w:line="360" w:lineRule="auto"/>
        <w:rPr>
          <w:rFonts w:hint="eastAsia" w:ascii="宋体" w:hAnsi="宋体" w:cs="仿宋_GB2312"/>
          <w:color w:val="auto"/>
          <w:szCs w:val="21"/>
          <w:highlight w:val="none"/>
        </w:rPr>
      </w:pPr>
      <w:r/>
      <w:bookmarkStart w:id="8" w:name="_Toc35393630"/>
      <w:r/>
      <w:bookmarkStart w:id="9" w:name="_Toc35393799"/>
      <w:r/>
      <w:bookmarkStart w:id="10" w:name="_Toc28359013"/>
      <w:r/>
      <w:bookmarkStart w:id="11" w:name="_Toc28359090"/>
      <w:r>
        <w:rPr>
          <w:rFonts w:hint="eastAsia" w:ascii="宋体" w:hAnsi="宋体" w:cs="宋体"/>
          <w:b/>
          <w:bCs/>
          <w:color w:val="auto"/>
          <w:szCs w:val="21"/>
          <w:highlight w:val="none"/>
        </w:rPr>
        <w:t xml:space="preserve">1</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项目编号：</w:t>
      </w:r>
      <w:r>
        <w:rPr>
          <w:rFonts w:hint="eastAsia" w:ascii="宋体" w:hAnsi="宋体" w:cs="仿宋_GB2312"/>
          <w:color w:val="auto"/>
          <w:szCs w:val="21"/>
          <w:highlight w:val="none"/>
        </w:rPr>
        <w:t xml:space="preserve">JSZC-321202-GCSZ-C2025-0001</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rPr>
        <w:t xml:space="preserve">城北派出所智能化建设项目</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预算金额：</w:t>
      </w:r>
      <w:bookmarkStart w:id="12" w:name="OLE_LINK3"/>
      <w:r>
        <w:rPr>
          <w:rFonts w:hint="eastAsia" w:ascii="宋体" w:hAnsi="宋体" w:cs="宋体"/>
          <w:color w:val="auto"/>
          <w:szCs w:val="21"/>
          <w:highlight w:val="none"/>
        </w:rPr>
        <w:t xml:space="preserve">175万元人民币</w:t>
      </w:r>
      <w:bookmarkEnd w:id="12"/>
      <w:r>
        <w:rPr>
          <w:rFonts w:hint="eastAsia" w:ascii="宋体" w:hAnsi="宋体" w:cs="宋体"/>
          <w:color w:val="auto"/>
          <w:szCs w:val="21"/>
          <w:highlight w:val="none"/>
        </w:rPr>
        <w:t xml:space="preserve">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5</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rPr>
        <w:t xml:space="preserve">174.999364 万元人民币</w:t>
      </w:r>
      <w:r>
        <w:rPr>
          <w:rFonts w:hint="eastAsia" w:ascii="宋体" w:hAnsi="宋体"/>
          <w:b/>
          <w:bCs/>
          <w:color w:val="auto"/>
          <w:szCs w:val="21"/>
          <w:highlight w:val="none"/>
        </w:rPr>
        <w:t xml:space="preserve">（超过限价报价的，作为无效响应处理）。</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6</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采购需求：</w:t>
      </w:r>
      <w:r>
        <w:rPr>
          <w:rFonts w:hint="eastAsia" w:ascii="宋体" w:hAnsi="宋体" w:cs="宋体"/>
          <w:color w:val="auto"/>
          <w:szCs w:val="21"/>
          <w:highlight w:val="none"/>
        </w:rPr>
        <w:t xml:space="preserve">城北派出所智能化建设项目，具体详见第三章采购需求及工程量清单。</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7</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合同履行期：</w:t>
      </w:r>
      <w:r>
        <w:rPr>
          <w:rFonts w:hint="eastAsia" w:ascii="宋体" w:hAnsi="宋体" w:cs="宋体"/>
          <w:color w:val="auto"/>
          <w:szCs w:val="21"/>
          <w:highlight w:val="none"/>
        </w:rPr>
        <w:t xml:space="preserve">合同签订后40天完成供货（含安装调试），提供1年服务。</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8.本项目接受联合体投标。</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8"/>
      <w:r/>
      <w:bookmarkEnd w:id="9"/>
      <w:r/>
      <w:bookmarkEnd w:id="10"/>
      <w:r/>
      <w:bookmarkEnd w:id="11"/>
      <w:r/>
      <w:r/>
    </w:p>
    <w:p>
      <w:pPr>
        <w:ind w:firstLine="420"/>
        <w:spacing w:line="360" w:lineRule="auto"/>
        <w:rPr>
          <w:rFonts w:hint="eastAsia" w:ascii="宋体" w:hAnsi="宋体" w:cs="宋体"/>
          <w:color w:val="auto"/>
          <w:highlight w:val="none"/>
        </w:rPr>
      </w:pPr>
      <w:r/>
      <w:bookmarkStart w:id="13" w:name="_Toc35393800"/>
      <w:r/>
      <w:bookmarkStart w:id="14" w:name="_Toc35393631"/>
      <w:r/>
      <w:bookmarkStart w:id="15" w:name="_Toc28359091"/>
      <w:r/>
      <w:bookmarkStart w:id="16" w:name="_Toc28359014"/>
      <w:r>
        <w:rPr>
          <w:rFonts w:hint="eastAsia" w:ascii="宋体" w:hAnsi="宋体" w:cs="宋体"/>
          <w:color w:val="auto"/>
          <w:highlight w:val="none"/>
        </w:rPr>
        <w:t xml:space="preserve">1.满足《中华人民共和国政府采购法》第二十二条的规定：</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w:t>
      </w:r>
      <w:bookmarkStart w:id="17" w:name="OLE_LINK11"/>
      <w:r/>
      <w:bookmarkStart w:id="18" w:name="OLE_LINK10"/>
      <w:r>
        <w:rPr>
          <w:rFonts w:ascii="宋体" w:hAnsi="宋体" w:cs="宋体"/>
          <w:color w:val="auto"/>
          <w:highlight w:val="none"/>
        </w:rPr>
        <w:t xml:space="preserve">具有独立承担民事责任的能力</w:t>
      </w:r>
      <w:bookmarkEnd w:id="17"/>
      <w:r/>
      <w:bookmarkEnd w:id="18"/>
      <w:r>
        <w:rPr>
          <w:rFonts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w:t>
      </w: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ascii="宋体" w:hAnsi="宋体" w:cs="宋体"/>
          <w:color w:val="auto"/>
          <w:szCs w:val="21"/>
          <w:highlight w:val="none"/>
        </w:rPr>
        <w:t xml:space="preserve">法律、行政法规规定的其他条件。</w:t>
      </w:r>
      <w:r/>
    </w:p>
    <w:p>
      <w:pPr>
        <w:contextualSpacing/>
        <w:ind w:firstLine="48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2.落实政府采购政策需满足的资格要求：本项目专门面向中小微企业、监狱企业、残疾人福利性单位。本项目属于</w:t>
      </w:r>
      <w:r>
        <w:rPr>
          <w:rFonts w:hint="eastAsia" w:ascii="宋体" w:hAnsi="宋体" w:cs="宋体"/>
          <w:color w:val="auto"/>
          <w:szCs w:val="21"/>
          <w:highlight w:val="none"/>
          <w:u w:val="single"/>
        </w:rPr>
        <w:t xml:space="preserve">软件和信息技术服务业类</w:t>
      </w:r>
      <w:r>
        <w:rPr>
          <w:rFonts w:hint="eastAsia" w:ascii="宋体" w:hAnsi="宋体" w:cs="宋体"/>
          <w:color w:val="auto"/>
          <w:szCs w:val="21"/>
          <w:highlight w:val="none"/>
        </w:rPr>
        <w:t xml:space="preserve">，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做相应扣除。提交中小企业声明函并成交的，随成交公告一同公示。</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3.1中华人民共和国境内注册，具备有效的营业执照；</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3.2具备有效的【电子与智能化工程专业承包二级】(含)及以上资质(2015新标准)；</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3.3具备有效的安全生产许可证；</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3.4拟派的项目负责人系已在供应商单位注册并具备有效的【机电工程】或【通信与广电工程】专业二级（含）及以上级注册建造师执业资格，具备有效的安全生产考核合格证书（B证），且未担任其他在建项目的项目经理；</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3.5信誉要求：</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响应单位及项目经理不得存在下列情形之一：</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①企业因发生重大工程质量、安全生产事故，被有关部门暂停比选资格并在暂停期内的；</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②有建设市场不良行为在江苏建设工程招标网、泰州市公共资源交易平台或其靖江站、泰兴站、兴化站、姜堰站上被曝光且正在曝光期间的；</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③被有关部门通报批评、责令整改且正在泰州市住房和城乡建设局官网“曝光台”被曝光的；</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以上①-③被曝光的不良行为，有相关部门正式公文证明行政处罚已被取消或处罚期已满的除外。</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3.6项目负责人无在建工程要求：</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①项目负责人是非变更后无在建工程。</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注：以上在建工程是指在其他项目担任项目负责人职责。以响应单位在比选文件中的《无在建工程投标承诺书》为准。</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项目负责人不得同时在两个或者两个以上单位受聘或者执业，包含但不仅限于以下情形：</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①同时在两个及以上单位签订劳动合同或交纳社会保险；</w:t>
      </w:r>
      <w:r/>
    </w:p>
    <w:p>
      <w:pPr>
        <w:ind w:firstLine="420"/>
        <w:spacing w:line="360" w:lineRule="auto"/>
        <w:tabs>
          <w:tab w:val="left" w:pos="900" w:leader="none"/>
          <w:tab w:val="right" w:pos="9747" w:leader="none"/>
        </w:tabs>
        <w:rPr>
          <w:rFonts w:hint="eastAsia" w:ascii="宋体" w:hAnsi="宋体" w:cs="宋体"/>
          <w:color w:val="auto"/>
          <w:highlight w:val="none"/>
        </w:rPr>
      </w:pPr>
      <w:r>
        <w:rPr>
          <w:rFonts w:hint="eastAsia" w:ascii="宋体" w:hAnsi="宋体" w:cs="宋体"/>
          <w:color w:val="auto"/>
          <w:highlight w:val="none"/>
        </w:rPr>
        <w:t xml:space="preserve">②将本人执（职）业资格证书同时注册在两个及以上单位。</w:t>
      </w:r>
      <w:r>
        <w:rPr>
          <w:rFonts w:ascii="宋体" w:hAnsi="宋体" w:cs="宋体"/>
          <w:color w:val="auto"/>
          <w:highlight w:val="none"/>
        </w:rPr>
        <w:tab/>
      </w:r>
      <w:r/>
    </w:p>
    <w:p>
      <w:pPr>
        <w:ind w:left="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4.拒绝下述供应商参加本次采购活动：</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4.1供应商单位负责人为同一人或者存在直接控股、管理关系的不同供应商，不得参加同一合同项下的政府采购活动。</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4.2凡为本采购项目提供整体设计、规范编制或者项目管理、监理、检测等服务的供应商，不得再参加本采购项目的其他采购活动；</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4.3供应商被“信用中国”网站（www.creditchina.gov.cn）、“中国政府采购网”（www.ccgp.gov.cn）列入严重失信主体名单、政府采购严重违法失信行为记录名单。</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三、获取采购文件</w:t>
      </w:r>
      <w:bookmarkEnd w:id="13"/>
      <w:r/>
      <w:bookmarkEnd w:id="14"/>
      <w:r/>
      <w:bookmarkEnd w:id="15"/>
      <w:r/>
      <w:bookmarkEnd w:id="16"/>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bookmarkStart w:id="19" w:name="_Toc35393632"/>
      <w:r/>
      <w:bookmarkStart w:id="20" w:name="_Toc28359092"/>
      <w:r/>
      <w:bookmarkStart w:id="21" w:name="_Toc28359015"/>
      <w:r/>
      <w:bookmarkStart w:id="22" w:name="_Toc35393801"/>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2.地点：网上注册登记成功后可在系统内免费下载。</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3.获取方式：本项目采用网上注册登记方式。</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3.1潜在供应商访问电子招标响应交易平台的网络地址和方法：</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lang w:eastAsia="en-US"/>
        </w:rPr>
      </w:pPr>
      <w:r>
        <w:rPr>
          <w:rFonts w:hint="eastAsia" w:cs="宋体" w:asciiTheme="majorEastAsia" w:hAnsiTheme="majorEastAsia" w:eastAsiaTheme="majorEastAsia"/>
          <w:bCs/>
          <w:color w:val="auto"/>
          <w:szCs w:val="21"/>
          <w:highlight w:val="none"/>
          <w:lang w:eastAsia="en-US"/>
        </w:rPr>
        <w:t xml:space="preserve">3.2潜在供应商访问苏采云系统的网络地址和方法：苏采云系统的网址：http://jszfcg.jsczt.cn/。</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3.3“CA数字证书”的获取：</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lang w:eastAsia="en-US"/>
        </w:rPr>
      </w:pPr>
      <w:r>
        <w:rPr>
          <w:rFonts w:hint="eastAsia" w:cs="宋体" w:asciiTheme="majorEastAsia" w:hAnsiTheme="majorEastAsia" w:eastAsiaTheme="majorEastAsia"/>
          <w:bCs/>
          <w:color w:val="auto"/>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3.4采购文件（后缀名为“.kedt”）、供应商操作手册及政府采购客户端工具可通过苏采云系统－－已报名项目－－报名详情页面内相应链接进行下载。</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3.5采购人或采购代理机构将数据电文形式的采购文件加载至苏采云系统，供潜在供应商下载或者查阅。</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3.7开评标</w:t>
      </w:r>
      <w:r>
        <w:rPr>
          <w:rFonts w:hint="eastAsia" w:cs="宋体" w:asciiTheme="majorEastAsia" w:hAnsiTheme="majorEastAsia" w:eastAsiaTheme="majorEastAsia"/>
          <w:bCs/>
          <w:color w:val="auto"/>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color w:val="auto"/>
          <w:szCs w:val="21"/>
          <w:highlight w:val="none"/>
        </w:rPr>
        <w:t xml:space="preserve">注：如潜在供应商未按上述要求操作，将自行承担所产生的风险。</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四、响应文件提交</w:t>
      </w:r>
      <w:bookmarkEnd w:id="19"/>
      <w:r/>
      <w:bookmarkEnd w:id="20"/>
      <w:r/>
      <w:bookmarkEnd w:id="21"/>
      <w:r/>
      <w:bookmarkEnd w:id="22"/>
      <w:r/>
      <w:r/>
    </w:p>
    <w:p>
      <w:pPr>
        <w:ind w:firstLine="420"/>
        <w:spacing w:line="360" w:lineRule="auto"/>
        <w:rPr>
          <w:rFonts w:hint="eastAsia" w:ascii="宋体" w:hAnsi="宋体" w:cs="宋体"/>
          <w:color w:val="auto"/>
          <w:szCs w:val="21"/>
          <w:highlight w:val="none"/>
        </w:rPr>
      </w:pPr>
      <w:r/>
      <w:bookmarkStart w:id="23" w:name="_Toc35393802"/>
      <w:r/>
      <w:bookmarkStart w:id="24" w:name="_Toc35393633"/>
      <w:r/>
      <w:bookmarkStart w:id="25" w:name="_Toc28359016"/>
      <w:r/>
      <w:bookmarkStart w:id="26" w:name="_Toc28359093"/>
      <w:r>
        <w:rPr>
          <w:rFonts w:hint="eastAsia" w:ascii="宋体" w:hAnsi="宋体" w:cs="宋体"/>
          <w:color w:val="auto"/>
          <w:szCs w:val="21"/>
          <w:highlight w:val="none"/>
        </w:rPr>
        <w:t xml:space="preserve">1.响应文件提交截止时间：</w:t>
      </w:r>
      <w:bookmarkStart w:id="27" w:name="OLE_LINK8"/>
      <w:r>
        <w:rPr>
          <w:rFonts w:hint="eastAsia" w:ascii="宋体" w:hAnsi="宋体" w:cs="宋体"/>
          <w:color w:val="auto"/>
          <w:szCs w:val="21"/>
          <w:highlight w:val="none"/>
        </w:rPr>
        <w:t xml:space="preserve">2026年01月09日</w:t>
      </w:r>
      <w:bookmarkEnd w:id="27"/>
      <w:r>
        <w:rPr>
          <w:rFonts w:hint="eastAsia" w:ascii="宋体" w:hAnsi="宋体" w:cs="宋体"/>
          <w:color w:val="auto"/>
          <w:szCs w:val="21"/>
          <w:highlight w:val="none"/>
        </w:rPr>
        <w:t xml:space="preserve">14时30分（北京时间）。逾时，苏采云系统将拒绝接收上传响应文件电子文档。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地点：苏采云系统（网址：http://jszfcg.jsczt.cn/）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五、开启（</w:t>
      </w:r>
      <w:bookmarkStart w:id="28" w:name="OLE_LINK12"/>
      <w:r>
        <w:rPr>
          <w:rFonts w:hint="eastAsia" w:ascii="宋体" w:hAnsi="宋体" w:cs="宋体"/>
          <w:color w:val="auto"/>
          <w:szCs w:val="21"/>
          <w:highlight w:val="none"/>
        </w:rPr>
        <w:t xml:space="preserve">竞争性磋商</w:t>
      </w:r>
      <w:bookmarkEnd w:id="28"/>
      <w:r>
        <w:rPr>
          <w:rFonts w:hint="eastAsia" w:ascii="宋体" w:hAnsi="宋体" w:cs="宋体"/>
          <w:color w:val="auto"/>
          <w:szCs w:val="21"/>
          <w:highlight w:val="none"/>
        </w:rPr>
        <w:t xml:space="preserve">方式必须填写）</w:t>
      </w:r>
      <w:bookmarkEnd w:id="23"/>
      <w:r/>
      <w:bookmarkEnd w:id="24"/>
      <w:r/>
      <w:bookmarkEnd w:id="25"/>
      <w:r/>
      <w:bookmarkEnd w:id="26"/>
      <w:r/>
      <w:r/>
    </w:p>
    <w:p>
      <w:pPr>
        <w:ind w:firstLine="420"/>
        <w:spacing w:line="360" w:lineRule="auto"/>
        <w:rPr>
          <w:rFonts w:hint="eastAsia" w:ascii="宋体" w:hAnsi="宋体" w:cs="宋体"/>
          <w:color w:val="auto"/>
          <w:szCs w:val="21"/>
          <w:highlight w:val="none"/>
        </w:rPr>
      </w:pPr>
      <w:r/>
      <w:bookmarkStart w:id="29" w:name="_Toc35393634"/>
      <w:r/>
      <w:bookmarkStart w:id="30" w:name="_Toc28359017"/>
      <w:r/>
      <w:bookmarkStart w:id="31" w:name="_Toc35393803"/>
      <w:r/>
      <w:bookmarkStart w:id="32" w:name="_Toc28359094"/>
      <w:r>
        <w:rPr>
          <w:rFonts w:hint="eastAsia" w:ascii="宋体" w:hAnsi="宋体" w:cs="宋体"/>
          <w:color w:val="auto"/>
          <w:szCs w:val="21"/>
          <w:highlight w:val="none"/>
        </w:rPr>
        <w:t xml:space="preserve">1.时间：2026年01月09日14时30分（北京时间）。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苏采云系统（网址：http://jszfcg.jsczt.cn/）“开标大厅”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color w:val="auto"/>
          <w:szCs w:val="21"/>
          <w:highlight w:val="none"/>
        </w:rPr>
        <w:t xml:space="preserve">投标供应商解密限定在开标后30分钟之内完成</w:t>
      </w:r>
      <w:r>
        <w:rPr>
          <w:rFonts w:hint="eastAsia" w:ascii="宋体" w:hAnsi="宋体" w:cs="宋体"/>
          <w:color w:val="auto"/>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9"/>
      <w:r/>
      <w:bookmarkEnd w:id="30"/>
      <w:r/>
      <w:bookmarkEnd w:id="31"/>
      <w:r/>
      <w:bookmarkEnd w:id="3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Start w:id="33" w:name="_Toc35393804"/>
      <w:r/>
      <w:bookmarkStart w:id="34" w:name="_Toc35393635"/>
      <w:r/>
      <w:r/>
    </w:p>
    <w:p>
      <w:pPr>
        <w:numPr>
          <w:ilvl w:val="0"/>
          <w:numId w:val="1"/>
        </w:num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33"/>
      <w:r/>
      <w:bookmarkEnd w:id="34"/>
      <w:r/>
      <w:bookmarkStart w:id="35" w:name="_Toc28359095"/>
      <w:r/>
      <w:bookmarkStart w:id="36" w:name="_Toc28359018"/>
      <w:r/>
      <w:bookmarkStart w:id="37" w:name="_Toc35393636"/>
      <w:r/>
      <w:bookmarkStart w:id="38" w:name="_Toc3539380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根据省财政厅《关</w:t>
      </w:r>
      <w:r>
        <w:rPr>
          <w:rFonts w:hint="eastAsia" w:ascii="宋体" w:hAnsi="宋体" w:cs="宋体"/>
          <w:color w:val="auto"/>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领取CA和办理电子签章（具体联系方式见《苏采云系统供应商操作手册》（以下简称《操作手册》））、进行注册并按《操作手册》要求制作、上传电子响应文件。</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bookmarkEnd w:id="35"/>
      <w:r/>
      <w:bookmarkEnd w:id="36"/>
      <w:r/>
      <w:bookmarkEnd w:id="37"/>
      <w:r/>
      <w:bookmarkEnd w:id="38"/>
      <w:r>
        <w:rPr>
          <w:rFonts w:hint="eastAsia" w:ascii="宋体" w:hAnsi="宋体" w:cs="宋体"/>
          <w:b/>
          <w:bCs/>
          <w:color w:val="auto"/>
          <w:szCs w:val="21"/>
          <w:highlight w:val="none"/>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采购单位： 泰州市海陵区人民政府城北街道办事处</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 泰州市海陵区青年北路353号</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联系人：王先生</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联系方式： 18752604187 </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名    称：江苏广成数字化人才管理咨询有限公司         </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    址：泰州市医药高新区（高港区）永定东路288号12号楼16层1609室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联系方式：赵女士  18115910828</w:t>
      </w:r>
      <w:r/>
    </w:p>
    <w:p>
      <w:pPr>
        <w:ind w:firstLine="422"/>
        <w:jc w:val="center"/>
        <w:spacing w:line="360" w:lineRule="auto"/>
        <w:rPr>
          <w:rFonts w:hint="eastAsia" w:ascii="宋体" w:hAnsi="宋体"/>
          <w:b/>
          <w:color w:val="auto"/>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第二章 参加磋商供应商须知</w:t>
      </w:r>
      <w:r/>
    </w:p>
    <w:p>
      <w:pPr>
        <w:ind w:firstLine="420"/>
        <w:jc w:val="center"/>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5"/>
      <w:r/>
      <w:bookmarkEnd w:id="6"/>
      <w:r/>
      <w:bookmarkEnd w:id="7"/>
      <w:r/>
      <w:r/>
    </w:p>
    <w:p>
      <w:pPr>
        <w:ind w:firstLine="422"/>
        <w:spacing w:line="360" w:lineRule="auto"/>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一、总则</w:t>
      </w:r>
      <w:r/>
    </w:p>
    <w:p>
      <w:pPr>
        <w:ind w:firstLine="420"/>
        <w:spacing w:line="360" w:lineRule="auto"/>
        <w:tabs>
          <w:tab w:val="left" w:pos="900" w:leader="none"/>
          <w:tab w:val="center" w:pos="4873" w:leader="none"/>
        </w:tabs>
        <w:rPr>
          <w:rFonts w:hint="eastAsia" w:ascii="宋体" w:hAnsi="宋体"/>
          <w:color w:val="auto"/>
          <w:szCs w:val="21"/>
          <w:highlight w:val="none"/>
        </w:rPr>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本磋商文件仅适用于城北派出所智能化建设项目。</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2.项目采购方式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3.1满足本磋商文件“竞争性磋商采购公告”中合格磋商供应商资格要求的规定。</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3.2.满足本磋商文件实质性要求和条件的规定。</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4.参加磋商费用</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4.1参加磋商供应商应自行承担所有与参加磋商有关的费用。不论最终的成交结果如何，江苏广成数字化人才管理咨询有限公司（以下简称代理机构）在任何情况下均无义务和责任承担这些费用。</w:t>
      </w:r>
      <w:r/>
    </w:p>
    <w:p>
      <w:pPr>
        <w:ind w:firstLine="420"/>
        <w:spacing w:line="360" w:lineRule="auto"/>
        <w:tabs>
          <w:tab w:val="left" w:pos="900" w:leader="none"/>
        </w:tabs>
        <w:rPr>
          <w:rFonts w:hint="eastAsia" w:ascii="宋体" w:hAnsi="宋体" w:cs="宋体"/>
          <w:bCs/>
          <w:color w:val="auto"/>
          <w:szCs w:val="21"/>
          <w:highlight w:val="none"/>
          <w:u w:val="single"/>
        </w:rPr>
      </w:pPr>
      <w:r>
        <w:rPr>
          <w:rFonts w:hint="eastAsia" w:ascii="宋体" w:hAnsi="宋体"/>
          <w:bCs/>
          <w:color w:val="auto"/>
          <w:szCs w:val="21"/>
          <w:highlight w:val="none"/>
        </w:rPr>
        <w:t xml:space="preserve">4.2</w:t>
      </w:r>
      <w:r>
        <w:rPr>
          <w:rFonts w:hint="eastAsia" w:ascii="宋体" w:hAnsi="宋体" w:cs="宋体"/>
          <w:bCs/>
          <w:color w:val="auto"/>
          <w:szCs w:val="21"/>
          <w:highlight w:val="none"/>
          <w:u w:val="single"/>
        </w:rPr>
        <w:t xml:space="preserve">招标代理服务费按《关于印发〈江苏省政府采购代理服务收费指导意见〉的通知》（苏政采协﹝2024﹞20号）规定标准计取（差额累进）（代理费不足0.5万元的，按0.5万元计），上述费用由供应商支付，请各供应商在报价时考虑，确定成交供应商后领取成交通知书前一次性缴纳给招标代理服务机构。</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hint="eastAsia" w:ascii="宋体" w:hAnsi="宋体"/>
          <w:color w:val="auto"/>
          <w:szCs w:val="21"/>
          <w:highlight w:val="none"/>
        </w:rPr>
      </w:pPr>
      <w:r/>
      <w:bookmarkStart w:id="39" w:name="_Toc20823309"/>
      <w:r/>
      <w:bookmarkStart w:id="40" w:name="_Toc513029237"/>
      <w:r/>
      <w:bookmarkStart w:id="41" w:name="_Toc16938553"/>
      <w:r>
        <w:rPr>
          <w:rFonts w:hint="eastAsia" w:ascii="宋体" w:hAnsi="宋体"/>
          <w:color w:val="auto"/>
          <w:szCs w:val="21"/>
          <w:highlight w:val="none"/>
        </w:rPr>
        <w:t xml:space="preserve">6.磋商文件的解释</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磋商文件需求部分（供应商资格要求、项目需求、商务技术评分标准）由采购人解释，其他部分由采购代理机构解释。</w:t>
      </w:r>
      <w:r/>
    </w:p>
    <w:p>
      <w:pPr>
        <w:ind w:firstLine="482"/>
        <w:spacing w:line="360" w:lineRule="auto"/>
        <w:rPr>
          <w:rFonts w:cs="宋体"/>
          <w:b/>
          <w:color w:val="auto"/>
          <w:szCs w:val="21"/>
          <w:highlight w:val="none"/>
        </w:rPr>
      </w:pPr>
      <w:r/>
      <w:bookmarkStart w:id="42" w:name="_Toc16938525"/>
      <w:r/>
      <w:bookmarkStart w:id="43" w:name="_Toc20823281"/>
      <w:r/>
      <w:bookmarkStart w:id="44" w:name="_Toc120614215"/>
      <w:r>
        <w:rPr>
          <w:rFonts w:hint="eastAsia" w:cs="宋体"/>
          <w:b/>
          <w:color w:val="auto"/>
          <w:szCs w:val="21"/>
          <w:highlight w:val="none"/>
        </w:rPr>
        <w:t xml:space="preserve">二、磋商文件</w:t>
      </w:r>
      <w:bookmarkEnd w:id="42"/>
      <w:r/>
      <w:bookmarkEnd w:id="43"/>
      <w:r/>
      <w:bookmarkEnd w:id="44"/>
      <w:r/>
      <w:r/>
    </w:p>
    <w:p>
      <w:pPr>
        <w:ind w:firstLine="420"/>
        <w:spacing w:line="360" w:lineRule="auto"/>
        <w:tabs>
          <w:tab w:val="left" w:pos="900" w:leader="none"/>
        </w:tabs>
        <w:rPr>
          <w:rFonts w:hint="eastAsia" w:ascii="宋体" w:hAnsi="宋体"/>
          <w:color w:val="auto"/>
          <w:szCs w:val="21"/>
          <w:highlight w:val="none"/>
        </w:rPr>
      </w:pPr>
      <w:r/>
      <w:bookmarkStart w:id="45" w:name="_Toc513029210"/>
      <w:r/>
      <w:bookmarkStart w:id="46" w:name="_Toc16938526"/>
      <w:r/>
      <w:bookmarkStart w:id="47" w:name="_Toc20823282"/>
      <w:r>
        <w:rPr>
          <w:rFonts w:hint="eastAsia" w:ascii="宋体" w:hAnsi="宋体"/>
          <w:color w:val="auto"/>
          <w:szCs w:val="21"/>
          <w:highlight w:val="none"/>
        </w:rPr>
        <w:t xml:space="preserve">1.磋商文件构成</w:t>
      </w:r>
      <w:bookmarkEnd w:id="45"/>
      <w:r/>
      <w:bookmarkEnd w:id="46"/>
      <w:r/>
      <w:bookmarkEnd w:id="47"/>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1.1 磋商文件由以下部分组成：</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（1）竞争性磋商公告</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（2）供应商须知</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（3）合同条款及格式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（4）项目需求</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（5）评审方法和评审标准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（6）响应文件组成和格式</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请仔细检查磋商文件是否齐全，如有缺漏请立即与采购人或采购代理机构联系解决。</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hint="eastAsia" w:ascii="宋体" w:hAnsi="宋体"/>
          <w:color w:val="auto"/>
          <w:szCs w:val="21"/>
          <w:highlight w:val="none"/>
        </w:rPr>
      </w:pPr>
      <w:r/>
      <w:bookmarkStart w:id="48" w:name="_Toc16938527"/>
      <w:r/>
      <w:bookmarkStart w:id="49" w:name="_Toc462564070"/>
      <w:r/>
      <w:bookmarkStart w:id="50" w:name="_Toc513029211"/>
      <w:r/>
      <w:bookmarkStart w:id="51" w:name="_Toc20823283"/>
      <w:r>
        <w:rPr>
          <w:rFonts w:hint="eastAsia" w:ascii="宋体" w:hAnsi="宋体"/>
          <w:color w:val="auto"/>
          <w:szCs w:val="21"/>
          <w:highlight w:val="none"/>
        </w:rPr>
        <w:t xml:space="preserve">2.磋商文件的澄清</w:t>
      </w:r>
      <w:bookmarkEnd w:id="48"/>
      <w:r/>
      <w:bookmarkEnd w:id="49"/>
      <w:r/>
      <w:bookmarkEnd w:id="50"/>
      <w:r/>
      <w:bookmarkEnd w:id="51"/>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900" w:leader="none"/>
        </w:tabs>
        <w:rPr>
          <w:rFonts w:hint="eastAsia" w:ascii="宋体" w:hAnsi="宋体"/>
          <w:color w:val="auto"/>
          <w:szCs w:val="21"/>
          <w:highlight w:val="none"/>
        </w:rPr>
      </w:pPr>
      <w:r/>
      <w:bookmarkStart w:id="52" w:name="_Toc462564071"/>
      <w:r/>
      <w:bookmarkStart w:id="53" w:name="_Toc513029212"/>
      <w:r/>
      <w:bookmarkStart w:id="54" w:name="_Toc20823284"/>
      <w:r/>
      <w:bookmarkStart w:id="55" w:name="_Toc16938528"/>
      <w:r>
        <w:rPr>
          <w:rFonts w:hint="eastAsia" w:ascii="宋体" w:hAnsi="宋体"/>
          <w:color w:val="auto"/>
          <w:szCs w:val="21"/>
          <w:highlight w:val="none"/>
        </w:rPr>
        <w:t xml:space="preserve">3.磋商文件的修改</w:t>
      </w:r>
      <w:bookmarkEnd w:id="52"/>
      <w:r/>
      <w:bookmarkEnd w:id="53"/>
      <w:r/>
      <w:bookmarkEnd w:id="54"/>
      <w:r/>
      <w:bookmarkEnd w:id="55"/>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rPr>
        <w:br/>
      </w:r>
      <w:r>
        <w:rPr>
          <w:rFonts w:hint="eastAsia" w:ascii="宋体" w:hAnsi="宋体"/>
          <w:color w:val="auto"/>
          <w:szCs w:val="21"/>
          <w:highlight w:val="none"/>
        </w:rPr>
        <w:t xml:space="preserve">    3.2磋商文件的修改将在江苏政府采购网公布，补充文件将作为磋商文件的组成部分，并对供应商具有约束力。</w:t>
      </w:r>
      <w:r/>
    </w:p>
    <w:p>
      <w:pPr>
        <w:ind w:firstLine="482"/>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hint="eastAsia" w:ascii="宋体" w:hAnsi="宋体" w:cs="宋体"/>
          <w:b/>
          <w:color w:val="auto"/>
          <w:szCs w:val="21"/>
          <w:highlight w:val="none"/>
        </w:rPr>
      </w:pPr>
      <w:r/>
      <w:bookmarkStart w:id="56" w:name="_Toc20823285"/>
      <w:r/>
      <w:bookmarkStart w:id="57" w:name="_Toc16938529"/>
      <w:r/>
      <w:bookmarkStart w:id="58" w:name="_Toc120614216"/>
      <w:r/>
      <w:bookmarkStart w:id="59" w:name="_Toc462564072"/>
      <w:r/>
      <w:bookmarkStart w:id="60" w:name="_Toc513029213"/>
      <w:r>
        <w:rPr>
          <w:rFonts w:hint="eastAsia" w:ascii="宋体" w:hAnsi="宋体" w:cs="宋体"/>
          <w:b/>
          <w:color w:val="auto"/>
          <w:szCs w:val="21"/>
          <w:highlight w:val="none"/>
        </w:rPr>
        <w:t xml:space="preserve">三、响应文件的编制</w:t>
      </w:r>
      <w:bookmarkEnd w:id="56"/>
      <w:r/>
      <w:bookmarkEnd w:id="57"/>
      <w:r/>
      <w:bookmarkEnd w:id="58"/>
      <w:r/>
      <w:bookmarkEnd w:id="59"/>
      <w:r/>
      <w:bookmarkEnd w:id="60"/>
      <w:r/>
      <w:r/>
    </w:p>
    <w:p>
      <w:pPr>
        <w:ind w:firstLine="480"/>
        <w:spacing w:line="360" w:lineRule="auto"/>
        <w:rPr>
          <w:rFonts w:hint="eastAsia" w:ascii="宋体" w:hAnsi="宋体" w:cs="宋体"/>
          <w:color w:val="auto"/>
          <w:szCs w:val="21"/>
          <w:highlight w:val="none"/>
        </w:rPr>
      </w:pPr>
      <w:r/>
      <w:bookmarkStart w:id="61" w:name="_Toc513029214"/>
      <w:r/>
      <w:bookmarkStart w:id="62" w:name="_Toc20823286"/>
      <w:r/>
      <w:bookmarkStart w:id="63" w:name="_Toc462564073"/>
      <w:r/>
      <w:bookmarkStart w:id="64" w:name="_Toc16938530"/>
      <w:r>
        <w:rPr>
          <w:rFonts w:hint="eastAsia" w:ascii="宋体" w:hAnsi="宋体" w:cs="宋体"/>
          <w:color w:val="auto"/>
          <w:szCs w:val="21"/>
          <w:highlight w:val="none"/>
        </w:rPr>
        <w:t xml:space="preserve">1.响应文件的语言及度量衡单位</w:t>
      </w:r>
      <w:bookmarkEnd w:id="61"/>
      <w:r/>
      <w:bookmarkEnd w:id="62"/>
      <w:r/>
      <w:bookmarkEnd w:id="63"/>
      <w:r/>
      <w:bookmarkEnd w:id="64"/>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1.2除技术性能另有规定外，响应文件所使用的度量衡单位，均须采用国家法定计量单位。</w:t>
      </w:r>
      <w:r/>
    </w:p>
    <w:p>
      <w:pPr>
        <w:ind w:firstLine="480"/>
        <w:spacing w:line="360" w:lineRule="auto"/>
        <w:rPr>
          <w:rFonts w:hint="eastAsia" w:ascii="宋体" w:hAnsi="宋体" w:cs="宋体"/>
          <w:color w:val="auto"/>
          <w:szCs w:val="21"/>
          <w:highlight w:val="none"/>
        </w:rPr>
      </w:pPr>
      <w:r/>
      <w:bookmarkStart w:id="65" w:name="_Toc513029215"/>
      <w:r/>
      <w:bookmarkStart w:id="66" w:name="_Toc16938531"/>
      <w:r/>
      <w:bookmarkStart w:id="67" w:name="_Toc462564074"/>
      <w:r/>
      <w:bookmarkStart w:id="68" w:name="_Toc20823287"/>
      <w:r>
        <w:rPr>
          <w:rFonts w:hint="eastAsia" w:ascii="宋体" w:hAnsi="宋体" w:cs="宋体"/>
          <w:color w:val="auto"/>
          <w:szCs w:val="21"/>
          <w:highlight w:val="none"/>
        </w:rPr>
        <w:t xml:space="preserve">2.响应文件构成</w:t>
      </w:r>
      <w:bookmarkEnd w:id="65"/>
      <w:r/>
      <w:bookmarkEnd w:id="66"/>
      <w:r/>
      <w:bookmarkEnd w:id="67"/>
      <w:r/>
      <w:bookmarkEnd w:id="68"/>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2.1供应商编写的响应文件应包括资格审查文件、商务技术响应文件、报价响应文件。供应商按第六章 响应文件的组成和格式要求编写响应文件。</w:t>
      </w:r>
      <w:r/>
    </w:p>
    <w:p>
      <w:pPr>
        <w:ind w:firstLine="480"/>
        <w:spacing w:line="360" w:lineRule="auto"/>
        <w:rPr>
          <w:rFonts w:hint="eastAsia" w:ascii="宋体" w:hAnsi="宋体" w:cs="宋体"/>
          <w:color w:val="auto"/>
          <w:szCs w:val="21"/>
          <w:highlight w:val="none"/>
        </w:rPr>
      </w:pPr>
      <w:r/>
      <w:bookmarkStart w:id="69" w:name="_Hlt26954838"/>
      <w:r/>
      <w:bookmarkEnd w:id="69"/>
      <w:r/>
      <w:bookmarkStart w:id="70" w:name="_Hlt26668975"/>
      <w:r/>
      <w:bookmarkEnd w:id="70"/>
      <w:r/>
      <w:bookmarkStart w:id="71" w:name="_Hlt26670360"/>
      <w:r/>
      <w:bookmarkEnd w:id="71"/>
      <w:r/>
      <w:bookmarkStart w:id="72" w:name="_Toc49090511"/>
      <w:r/>
      <w:bookmarkStart w:id="73" w:name="_Toc14577360"/>
      <w:r>
        <w:rPr>
          <w:rFonts w:hint="eastAsia" w:ascii="宋体" w:hAnsi="宋体" w:cs="宋体"/>
          <w:color w:val="auto"/>
          <w:szCs w:val="21"/>
          <w:highlight w:val="none"/>
        </w:rPr>
        <w:t xml:space="preserve">3.</w:t>
      </w:r>
      <w:bookmarkEnd w:id="72"/>
      <w:r/>
      <w:bookmarkEnd w:id="73"/>
      <w:r>
        <w:rPr>
          <w:rFonts w:hint="eastAsia" w:ascii="宋体" w:hAnsi="宋体" w:cs="宋体"/>
          <w:color w:val="auto"/>
          <w:szCs w:val="21"/>
          <w:highlight w:val="none"/>
        </w:rPr>
        <w:t xml:space="preserve">磋商响应有效期</w:t>
      </w:r>
      <w:r/>
    </w:p>
    <w:p>
      <w:pPr>
        <w:ind w:firstLine="48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3.1磋商响应有效期为采购文件规定的响应文件</w:t>
      </w:r>
      <w:r>
        <w:rPr>
          <w:rFonts w:hint="eastAsia" w:ascii="宋体" w:hAnsi="宋体" w:cs="宋体"/>
          <w:color w:val="auto"/>
          <w:szCs w:val="21"/>
          <w:highlight w:val="none"/>
        </w:rPr>
        <w:t xml:space="preserve">提交</w:t>
      </w:r>
      <w:r>
        <w:rPr>
          <w:rFonts w:hint="eastAsia" w:ascii="宋体" w:hAnsi="宋体" w:cs="宋体"/>
          <w:bCs/>
          <w:color w:val="auto"/>
          <w:szCs w:val="21"/>
          <w:highlight w:val="none"/>
        </w:rPr>
        <w:t xml:space="preserve">截止时间后</w:t>
      </w:r>
      <w:r>
        <w:rPr>
          <w:rFonts w:hint="eastAsia" w:ascii="宋体" w:hAnsi="宋体" w:cs="宋体"/>
          <w:b/>
          <w:color w:val="auto"/>
          <w:szCs w:val="21"/>
          <w:highlight w:val="none"/>
          <w:u w:val="single"/>
        </w:rPr>
        <w:t xml:space="preserve">六十（60）天</w:t>
      </w:r>
      <w:r>
        <w:rPr>
          <w:rFonts w:hint="eastAsia" w:ascii="宋体" w:hAnsi="宋体" w:cs="宋体"/>
          <w:bCs/>
          <w:color w:val="auto"/>
          <w:szCs w:val="21"/>
          <w:highlight w:val="none"/>
        </w:rPr>
        <w:t xml:space="preserve">。磋</w:t>
      </w:r>
      <w:r>
        <w:rPr>
          <w:rFonts w:hint="eastAsia" w:ascii="宋体" w:hAnsi="宋体" w:cs="宋体"/>
          <w:color w:val="auto"/>
          <w:szCs w:val="21"/>
          <w:highlight w:val="none"/>
        </w:rPr>
        <w:t xml:space="preserve">商响应有效期比规定短的将被视为非实质性响应而予以拒绝。</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4.磋商响应有效期的延长</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hint="eastAsia" w:ascii="宋体" w:hAnsi="宋体" w:cs="宋体"/>
          <w:color w:val="auto"/>
          <w:szCs w:val="21"/>
          <w:highlight w:val="none"/>
        </w:rPr>
      </w:pPr>
      <w:r/>
      <w:bookmarkStart w:id="74" w:name="_Hlt26954852"/>
      <w:r/>
      <w:bookmarkEnd w:id="74"/>
      <w:r/>
      <w:bookmarkStart w:id="75" w:name="_Hlt26954739"/>
      <w:r/>
      <w:bookmarkEnd w:id="75"/>
      <w:r/>
      <w:bookmarkStart w:id="76" w:name="_Toc16938540"/>
      <w:r/>
      <w:bookmarkStart w:id="77" w:name="_Toc513029224"/>
      <w:r/>
      <w:bookmarkStart w:id="78" w:name="_Toc20823296"/>
      <w:r/>
      <w:bookmarkStart w:id="79" w:name="_Toc120614217"/>
      <w:r>
        <w:rPr>
          <w:rFonts w:hint="eastAsia" w:ascii="宋体" w:hAnsi="宋体" w:cs="宋体"/>
          <w:color w:val="auto"/>
          <w:szCs w:val="21"/>
          <w:highlight w:val="none"/>
        </w:rPr>
        <w:t xml:space="preserve">5.电子响应文件其他要求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5.1电子招标投标交易平台（即苏采云系统）相关要求是本采购文件的组成部分。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5.2供应商应对CA证书妥善保管，如被他人盗用投标，因此带来的后果均由供应商自行承担。</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5.3供应商应当对采购文件提出的实质性要求和条件作出实质性响应，并在电子投标系统逐条应答。</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5.4供应商应对要求提供的资格证明文件（如资质证书、资格证书）、技术资料（如白皮书、彩页、手册、检测报告等）扫描上传至投标系统。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四、响应文件的提交</w:t>
      </w:r>
      <w:bookmarkEnd w:id="76"/>
      <w:r/>
      <w:bookmarkEnd w:id="77"/>
      <w:r/>
      <w:bookmarkEnd w:id="78"/>
      <w:r/>
      <w:bookmarkEnd w:id="79"/>
      <w:r/>
      <w:r/>
    </w:p>
    <w:p>
      <w:pPr>
        <w:ind w:firstLine="480"/>
        <w:spacing w:line="360" w:lineRule="auto"/>
        <w:rPr>
          <w:rFonts w:hint="eastAsia" w:ascii="宋体" w:hAnsi="宋体" w:cs="宋体"/>
          <w:color w:val="auto"/>
          <w:szCs w:val="21"/>
          <w:highlight w:val="none"/>
        </w:rPr>
      </w:pPr>
      <w:r/>
      <w:bookmarkStart w:id="80" w:name="_Toc16938541"/>
      <w:r/>
      <w:bookmarkStart w:id="81" w:name="_Toc513029225"/>
      <w:r/>
      <w:bookmarkStart w:id="82" w:name="_Toc20823297"/>
      <w:r/>
      <w:bookmarkStart w:id="83" w:name="_Toc462564084"/>
      <w:r/>
      <w:bookmarkStart w:id="84" w:name="_Toc20823301"/>
      <w:r/>
      <w:bookmarkStart w:id="85" w:name="_Toc120614218"/>
      <w:r/>
      <w:bookmarkStart w:id="86" w:name="_Toc513029229"/>
      <w:r/>
      <w:bookmarkStart w:id="87" w:name="_Toc16938545"/>
      <w:r>
        <w:rPr>
          <w:rFonts w:hint="eastAsia" w:ascii="宋体" w:hAnsi="宋体" w:cs="宋体"/>
          <w:color w:val="auto"/>
          <w:szCs w:val="21"/>
          <w:highlight w:val="none"/>
        </w:rPr>
        <w:t xml:space="preserve">1.响应文件</w:t>
      </w:r>
      <w:bookmarkEnd w:id="80"/>
      <w:r/>
      <w:bookmarkEnd w:id="81"/>
      <w:r/>
      <w:bookmarkEnd w:id="82"/>
      <w:r/>
      <w:bookmarkEnd w:id="83"/>
      <w:r>
        <w:rPr>
          <w:rFonts w:hint="eastAsia" w:ascii="宋体" w:hAnsi="宋体" w:cs="宋体"/>
          <w:color w:val="auto"/>
          <w:szCs w:val="21"/>
          <w:highlight w:val="none"/>
        </w:rPr>
        <w:t xml:space="preserve">的提交</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线上提交与接收地点：供应商应当通过苏采云系统提交数据电文形式的响应文件（即电子投标），苏采云系统自动接收。</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2.提交响应文件截止日期</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2.1供应商上传电子响应文件的时间不得迟于竞争性磋商公告中规定的响应文件提交截止时间。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3.响应文件的密封（加密）要求：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3.2供应商须通过苏采云系统提供的政府采购客户端工具（使用“CA数字证书”）加盖电子签章。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3.3供应商未按规定加密的响应文件，苏采云系统将拒收并提示。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4.响应文件的拒收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苏采云系统拒绝接收在规定的响应文件提交截止时间后上传的任何响应文件。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5.响应文件的撤回和修改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5.1响应文件的撤回</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5.1.1电子响应文件的撤回</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5.1.2供应商撤回电子响应文件，则认为其不再参与本项目竞争性磋商活动。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5.2响应文件的修改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5.3在响应文件提交截止时间之后，供应商不得对其电子响应文件做任何修改。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5.4在响应文件提交截止时间至磋商文件中规定的磋商响应有效期满之间的这段时间内，供应商不得撤回其响应文件。</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w:t>
      </w:r>
      <w:bookmarkEnd w:id="84"/>
      <w:r/>
      <w:bookmarkEnd w:id="85"/>
      <w:r/>
      <w:bookmarkEnd w:id="86"/>
      <w:r/>
      <w:bookmarkEnd w:id="87"/>
      <w:r/>
      <w:bookmarkStart w:id="88" w:name="_Toc20823302"/>
      <w:r/>
      <w:bookmarkStart w:id="89" w:name="_Toc16938546"/>
      <w:r/>
      <w:bookmarkStart w:id="90" w:name="_Toc513029230"/>
      <w:r>
        <w:rPr>
          <w:rFonts w:hint="eastAsia" w:ascii="宋体" w:hAnsi="宋体" w:cs="宋体"/>
          <w:b/>
          <w:color w:val="auto"/>
          <w:szCs w:val="21"/>
          <w:highlight w:val="none"/>
        </w:rPr>
        <w:t xml:space="preserve">、磋商与评审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1.磋商仪式</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1.1采购人或采购代理机构将在磋商公告中规定的时间和地点组织磋商开始仪式。</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开标当天各供应商及时登录不见面开标大厅，响应文件提交截止时间后，采购代理机构将在系统内</w:t>
      </w:r>
      <w:r>
        <w:rPr>
          <w:rFonts w:hint="eastAsia" w:ascii="宋体" w:hAnsi="宋体" w:cs="宋体"/>
          <w:b/>
          <w:color w:val="auto"/>
          <w:szCs w:val="21"/>
          <w:highlight w:val="none"/>
        </w:rPr>
        <w:t xml:space="preserve">公布供应商名单，然后通过开标会议区发出响应文件解密的指令，供应商按规定时间自行实施远程解密，供应商解密限定在开标后规定时间之内完成。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1.2磋商活动的文件解密工作由采购代理机构组织。</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2.1磋商开始仪式结束后，采购人或采购代理机构将立即组织磋商小组进行评审。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2.2磋商小组由评审专家3人组成。采购代理机构不得参加本机构代理的采购项目的评审。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color w:val="auto"/>
          <w:szCs w:val="21"/>
          <w:highlight w:val="none"/>
        </w:rPr>
        <w:t xml:space="preserve">自行选定评审专家。技术</w:t>
      </w:r>
      <w:r>
        <w:rPr>
          <w:rFonts w:hint="eastAsia" w:cs="宋体"/>
          <w:color w:val="auto"/>
          <w:szCs w:val="21"/>
          <w:highlight w:val="none"/>
        </w:rPr>
        <w:t xml:space="preserve">复杂</w:t>
      </w:r>
      <w:r>
        <w:rPr>
          <w:rFonts w:hint="eastAsia"/>
          <w:color w:val="auto"/>
          <w:szCs w:val="21"/>
          <w:highlight w:val="none"/>
        </w:rPr>
        <w:t xml:space="preserve">、专业性强的竞</w:t>
      </w:r>
      <w:r>
        <w:rPr>
          <w:rFonts w:hint="eastAsia" w:ascii="宋体" w:hAnsi="宋体" w:cs="宋体"/>
          <w:color w:val="auto"/>
          <w:szCs w:val="21"/>
          <w:highlight w:val="none"/>
        </w:rPr>
        <w:t xml:space="preserve">争性磋商采购项目，评审专家中应当包含1名法律专家。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2.4磋商小组独立工作，负责评审所有响应文件并确定成交候选人。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3.磋商评审过程的保密与公正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3.2在磋商评审过程中，磋商供应商不得以任何行为影响磋商评审过程，否则其响应文件将被视为无效响应文件。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3.5在评审期间，采购人或采购代理机构将设立专门人员与供应商联系。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3.6采购人、采购代理机构和磋商小组不向未成交的供应商解释未成交原因，也不公布评审过程中的相关细节。</w:t>
      </w:r>
      <w:bookmarkEnd w:id="39"/>
      <w:r/>
      <w:bookmarkEnd w:id="40"/>
      <w:r/>
      <w:bookmarkEnd w:id="41"/>
      <w:r/>
      <w:bookmarkEnd w:id="88"/>
      <w:r/>
      <w:bookmarkEnd w:id="89"/>
      <w:r/>
      <w:bookmarkEnd w:id="90"/>
      <w:r/>
      <w:r/>
    </w:p>
    <w:p>
      <w:pPr>
        <w:ind w:firstLine="480"/>
        <w:spacing w:line="360" w:lineRule="auto"/>
        <w:rPr>
          <w:rFonts w:hint="eastAsia" w:ascii="宋体" w:hAnsi="宋体" w:cs="宋体"/>
          <w:color w:val="auto"/>
          <w:szCs w:val="21"/>
          <w:highlight w:val="none"/>
        </w:rPr>
      </w:pPr>
      <w:r/>
      <w:bookmarkStart w:id="91" w:name="_Toc86268901"/>
      <w:r>
        <w:rPr>
          <w:rFonts w:hint="eastAsia" w:ascii="宋体" w:hAnsi="宋体" w:cs="宋体"/>
          <w:color w:val="auto"/>
          <w:szCs w:val="21"/>
          <w:highlight w:val="none"/>
        </w:rPr>
        <w:t xml:space="preserve">4.评审过程的澄清</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4.1</w:t>
      </w:r>
      <w:r>
        <w:rPr>
          <w:rFonts w:hint="eastAsia" w:ascii="宋体" w:hAnsi="宋体" w:cs="宋体"/>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4.3接到磋商小组</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要求的供应商应按磋商小组规定的时间和格式做出</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的内容作为响应文件的补充部分，但实质性的内容不得做任何更改。</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4.4接到磋商小组澄清、说明或更正要求的供应商如未按规定作出澄清、说明或更正的，其风险由供应商自行承担。</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5.对响应文件的审查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5.1响应文件初审分为资格性审查和符合性审查。</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5.1.1资格性检查：依据法律法规和磋商文件的规定，由磋商小组对响应文件</w:t>
      </w:r>
      <w:r>
        <w:rPr>
          <w:rFonts w:hint="eastAsia" w:ascii="宋体" w:hAnsi="宋体" w:cs="宋体"/>
          <w:color w:val="auto"/>
          <w:szCs w:val="21"/>
          <w:highlight w:val="none"/>
          <w:lang w:val="zh-CN"/>
        </w:rPr>
        <w:t xml:space="preserve">中的资格审查文件进行审查。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磋商小组在进行资格审查的同时，将在“信用中国”网站查询供应商的信用记录，以确定供应商是否具备磋商资格。</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5.1.3未通过资格审查或符合性审查的供应商，</w:t>
      </w:r>
      <w:r>
        <w:rPr>
          <w:rFonts w:hint="eastAsia" w:ascii="宋体" w:hAnsi="宋体" w:cs="宋体"/>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w:t>
      </w:r>
      <w:r>
        <w:rPr>
          <w:rFonts w:hint="eastAsia" w:ascii="宋体" w:hAnsi="宋体" w:cs="宋体"/>
          <w:color w:val="auto"/>
          <w:szCs w:val="21"/>
          <w:highlight w:val="none"/>
          <w:lang w:val="zh-CN"/>
        </w:rPr>
        <w:t xml:space="preserve">在正式磋商之前</w:t>
      </w:r>
      <w:r>
        <w:rPr>
          <w:rFonts w:hint="eastAsia" w:ascii="宋体" w:hAnsi="宋体" w:cs="宋体"/>
          <w:color w:val="auto"/>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5.7供应商在评审全过程中应保持通信畅通，并安排专人与采购人或采购代理机构及磋商小组联系。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6.响应文件线上格式要求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6.1供应商应当通过苏采云系统提交数据电文形式的响应文件（即电子投标）。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通过苏采云系统提交政府采购客户端工具导出加密的响应文件（后缀名为zip）。</w:t>
      </w:r>
      <w:r>
        <w:rPr>
          <w:rFonts w:hint="eastAsia" w:ascii="宋体" w:hAnsi="宋体" w:cs="宋体"/>
          <w:b/>
          <w:bCs/>
          <w:color w:val="auto"/>
          <w:szCs w:val="21"/>
          <w:highlight w:val="none"/>
        </w:rPr>
        <w:t xml:space="preserve">响应文件不得超过150M</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6.3本项目采用线上投标，即供应商响应文件从政府采购客户端工具制作通过苏采云系统提交，未提供线上响应文件的，投标无效。</w:t>
      </w:r>
      <w:bookmarkStart w:id="92" w:name="_Toc120614219"/>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7.被认定为未实质性响应磋商文件的情形：</w:t>
      </w:r>
      <w:r/>
    </w:p>
    <w:p>
      <w:pPr>
        <w:ind w:firstLine="482"/>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7.1出现下列情形之一的，作无效响应处理，</w:t>
      </w:r>
      <w:r>
        <w:rPr>
          <w:rFonts w:hint="eastAsia" w:ascii="宋体" w:hAnsi="宋体" w:cs="宋体"/>
          <w:b/>
          <w:color w:val="auto"/>
          <w:szCs w:val="21"/>
          <w:highlight w:val="none"/>
        </w:rPr>
        <w:t xml:space="preserve">并视情报监管部门调查其相互串通投标嫌疑。</w:t>
      </w:r>
      <w:r>
        <w:rPr>
          <w:rFonts w:hint="eastAsia" w:ascii="宋体" w:hAnsi="宋体" w:cs="宋体"/>
          <w:b/>
          <w:bCs/>
          <w:color w:val="auto"/>
          <w:szCs w:val="21"/>
          <w:highlight w:val="none"/>
        </w:rPr>
        <w:tab/>
      </w:r>
      <w:r>
        <w:rPr>
          <w:rFonts w:hint="eastAsia" w:ascii="宋体" w:hAnsi="宋体" w:cs="宋体"/>
          <w:b/>
          <w:color w:val="auto"/>
          <w:szCs w:val="21"/>
          <w:highlight w:val="none"/>
        </w:rPr>
        <w:tab/>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7.1.1供应商在规定的时间内未在苏采云系统内成功提交磋商响应文件的。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7.1.2未完整提交响应文件的。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7.1.3同一供应商提交两个（含两个）以上不同的响应报价的。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7.1.4不具备磋商文件中规定的资格要求的。 </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7.1.5供应商在系统规定的时间内未成功解密电子响应文件的。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7.1.6未完整上传响应文件电子文档的，或上传的文件打不开的。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7.1.8响应报价超过了采购预算或最高限价的。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7.1.9未通过符合性检查的。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7.1.10不符合法律法规和磋商文件中规定的其他实质性要求的。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7.1.12响应文件含有采购人不能接受的附加条件的。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7.1.14响应文件未按照磋商文件要求加盖电子签章。</w:t>
      </w:r>
      <w:r/>
    </w:p>
    <w:p>
      <w:pPr>
        <w:ind w:firstLine="48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7.1.15供应商的商务技术部分得分相差悬殊，评审委员会认为得分畸低者没有实质性响应的。</w:t>
      </w:r>
      <w:r/>
    </w:p>
    <w:p>
      <w:pPr>
        <w:ind w:firstLine="482"/>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7.1.16</w:t>
      </w:r>
      <w:r>
        <w:rPr>
          <w:rFonts w:hint="eastAsia" w:ascii="宋体" w:hAnsi="宋体" w:cs="宋体"/>
          <w:b/>
          <w:color w:val="auto"/>
          <w:szCs w:val="21"/>
          <w:highlight w:val="none"/>
        </w:rPr>
        <w:t xml:space="preserve">不同供应商的响应文件由同一单位或者个人编制的；不同供应商的磋商响应文件相互混传；</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7.1.17不同供应商委托同一单位或者个人办理磋商事宜；不同供应商的磋商响应文件错漏之处雷同；</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7.1.18不同供应商的响应文件载明的项目管理成员或者联系人员为同一人；</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7.1.19不同供应商的响应文件异常一致或者响应报价呈规律性差异。</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7.1.20供应商之间相互约定，一致抬高或压低投标报价；</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7.1.21供应商之间相互约定，在招标项目中轮流以高价位或低价位成交；</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7.1.22不同供应商的技术服务方案（或施工组织设计方案）基本雷同的；不同供应商的磋商响应文件出现了评审委员会认为不应当雷同的情况；</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7.1.23开标前已有举报，开标后发现各投标单位的报价情况与举报情况相吻合的；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7.1.24磋商小组一致认定判定为无效响应的；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7.1.25不同的供应商响应文件制作机器码、文件创建标识码一致的。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其他法律法规及本磋商文件规定的属无效响应的情形：</w:t>
      </w:r>
      <w:r/>
    </w:p>
    <w:p>
      <w:pPr>
        <w:ind w:firstLine="482"/>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7.2</w:t>
      </w:r>
      <w:r>
        <w:rPr>
          <w:rFonts w:hint="eastAsia" w:ascii="宋体" w:hAnsi="宋体" w:cs="宋体"/>
          <w:b/>
          <w:color w:val="auto"/>
          <w:szCs w:val="21"/>
          <w:highlight w:val="none"/>
        </w:rPr>
        <w:t xml:space="preserve">凡磋商响应文件有下列情形之一的，属于重大偏差，视同未能对采购文件作出实质性响应，按废标处理。 </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7.2.1法人授权委托书或投标函未加盖投标供应商公章（或电子印章）的；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7.2.2未按采购文件规定的格式填写，内容不全或关键字迹模糊、无法辨认的； </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7.2.4磋商响应文件载明的项目完成期限超过采购文件规定的期限；</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7.2.5明显不符合技术规范、技术标准的要求，或者对采购文件质量要求未明确响应的；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7.2.6投标报价低于成本或者高于采购文件规定的最高限价（招标控制价）的；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7.2.7磋商响应文件载明的货物包装方式、检验标准和方法等不符合采购文件的要求；</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7.2.8组成联合体参加磋商活动的，磋商响应文件未附联合体各方共同投标协议的；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7.2.9在同一采购项目中，联合体成员以自己名义单独参加磋商或者参加其他联合体磋商活动的；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7.2.10未按采购文件要求提供磋商响应文件内容不全的；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7.2.11以他人的名义投标、串通投标、以行贿手段谋取中标或者以其他弄虚作假方式投标的；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7.3出现下列情形之一的，磋商失败。</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7.3.1符合条件的供应商或者对磋商文件作出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7.3.2出现影响采购公正的违法违规行为的；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7.3.3因重大变故，采购任务取消的。</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7.3.4磋商小组认定磋商文件存在歧义、重大缺陷导致评审工作无法进行。</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7.3.5 因系统故障原因造成磋商无法继续进行的</w:t>
      </w:r>
      <w:r>
        <w:rPr>
          <w:rFonts w:hint="eastAsia" w:ascii="宋体" w:hAnsi="宋体" w:cs="宋体"/>
          <w:b/>
          <w:color w:val="auto"/>
          <w:szCs w:val="21"/>
          <w:highlight w:val="none"/>
        </w:rPr>
        <w:t xml:space="preserve">（适用于不见面磋商模式）</w:t>
      </w:r>
      <w:r>
        <w:rPr>
          <w:rFonts w:hint="eastAsia" w:ascii="宋体" w:hAnsi="宋体" w:cs="宋体"/>
          <w:b/>
          <w:bCs/>
          <w:color w:val="auto"/>
          <w:szCs w:val="21"/>
          <w:highlight w:val="none"/>
        </w:rPr>
        <w:t xml:space="preserve">。</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 响应</w:t>
      </w:r>
      <w:r>
        <w:rPr>
          <w:rFonts w:hint="eastAsia" w:ascii="宋体" w:hAnsi="宋体" w:cs="宋体"/>
          <w:b/>
          <w:color w:val="auto"/>
          <w:szCs w:val="21"/>
          <w:highlight w:val="none"/>
        </w:rPr>
        <w:t xml:space="preserve">文件提交</w:t>
      </w:r>
      <w:r>
        <w:rPr>
          <w:rFonts w:hint="eastAsia" w:ascii="宋体" w:hAnsi="宋体" w:cs="宋体"/>
          <w:b/>
          <w:bCs/>
          <w:color w:val="auto"/>
          <w:szCs w:val="21"/>
          <w:highlight w:val="none"/>
        </w:rPr>
        <w:t xml:space="preserve">截止时间结束后参加磋商的供应商不足三家的处理：</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7.4.1如出现响应</w:t>
      </w:r>
      <w:r>
        <w:rPr>
          <w:rFonts w:hint="eastAsia" w:ascii="宋体" w:hAnsi="宋体" w:cs="宋体"/>
          <w:b/>
          <w:color w:val="auto"/>
          <w:szCs w:val="21"/>
          <w:highlight w:val="none"/>
        </w:rPr>
        <w:t xml:space="preserve">文件提交</w:t>
      </w:r>
      <w:r>
        <w:rPr>
          <w:rFonts w:hint="eastAsia" w:ascii="宋体" w:hAnsi="宋体" w:cs="宋体"/>
          <w:b/>
          <w:bCs/>
          <w:color w:val="auto"/>
          <w:szCs w:val="21"/>
          <w:highlight w:val="none"/>
        </w:rPr>
        <w:t xml:space="preserve">截止时间结束后参加磋商的供应商或者在评审期间对磋商文件做出实质响应的供应商不足三家情况，按政府采购相关规定执行。</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w:t>
      </w:r>
      <w:bookmarkEnd w:id="92"/>
      <w:r>
        <w:rPr>
          <w:rFonts w:hint="eastAsia" w:ascii="宋体" w:hAnsi="宋体" w:cs="宋体"/>
          <w:b/>
          <w:color w:val="auto"/>
          <w:szCs w:val="21"/>
          <w:highlight w:val="none"/>
        </w:rPr>
        <w:t xml:space="preserve">、成交</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1.确定成交单位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1.1成交候选供应商的选取原则和数量见磋商文件第四部分规定。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1.2采购人授权磋商小组在成交候选供应商中直接确定成交供应商。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1.4若有充分证据证明，成交供应商出现下列情况之一的，一经查实，将被取消成交资格：</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1.4.1提供虚假材料谋取成交的。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1.4.2向采购人或采购代理机构行贿或者评审专家提供其他不正当利益的。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1.4.3恶意竞争，最后报价明显低于其自身合理成本且又无法提供证明的。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1.4.4属于本文件规定的无效条件，但在评审过程中又未被磋商小组发现的。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1.4.6采取不正当手段诋毁、排挤其他供应商的。</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1.5.有下列情形之一的，视为供应商串通参与磋商，响应无效：</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1.5.1不同供应商的响应文件由同一单位或者个人编制；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1.5.2不同供应商委托同一单位或者个人办理磋商事宜；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1.5.3不同供应商的响应文件载明的项目管理成员或者联系人员为同一人；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1.5.4不同供应商的响应文件异常一致或者响应报价呈规律性差异。</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2.质疑处理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2.2.1对可以质疑的磋商文件提出质疑的，为收到磋商文件之日或者磋商文件公告期限届满之日；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2.2.2对采购过程提出质疑的，为各采购程序环节结束之日；</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2.2.3对成交结果提出质疑的，为成交结果公告期限届满之日。</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2.4质疑答复依据《政府采购质疑和投诉办法》（财政部令第94号）。</w:t>
      </w:r>
      <w:r/>
    </w:p>
    <w:p>
      <w:pPr>
        <w:ind w:firstLine="480"/>
        <w:spacing w:line="360" w:lineRule="auto"/>
        <w:rPr>
          <w:color w:val="auto"/>
          <w:szCs w:val="21"/>
          <w:highlight w:val="none"/>
        </w:rPr>
      </w:pPr>
      <w:r>
        <w:rPr>
          <w:rFonts w:hint="eastAsia" w:ascii="宋体" w:hAnsi="宋体" w:cs="宋体"/>
          <w:color w:val="auto"/>
          <w:szCs w:val="21"/>
          <w:highlight w:val="none"/>
        </w:rPr>
        <w:t xml:space="preserve">采购人或采购代理机构质疑接收人及联系方式，见磋商</w:t>
      </w:r>
      <w:r>
        <w:rPr>
          <w:rFonts w:hint="eastAsia"/>
          <w:color w:val="auto"/>
          <w:szCs w:val="21"/>
          <w:highlight w:val="none"/>
        </w:rPr>
        <w:t xml:space="preserve">文件第一部分。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2.5以下情形的质疑不予受理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2.5.1内容不符合《政府采购质疑和投诉办法》第十二条规定的质疑。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2.5.2超出政府采购法定期限的质疑。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2.5.3未参加磋商活动的供应商或在磋商活动中自身权益未受到损害的供应商所提出的质疑。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2.5.4供应商组成联合体参加磋商，联合体中任何一方或多方未按要求签字、盖章、加盖公章的质疑。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七、成交通知书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1.成交结果确定后，采购人或者采购代理机构将向成交供应商发出成交通知书。请成交供应商在成交结果公告届满之日起三十日内联系采购代理机构领取成交通知书。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特别说明：成交供应商在收到成交通知书后须提供</w:t>
      </w:r>
      <w:r>
        <w:rPr>
          <w:rFonts w:ascii="宋体" w:hAnsi="宋体" w:cs="宋体"/>
          <w:color w:val="auto"/>
          <w:szCs w:val="21"/>
          <w:highlight w:val="none"/>
        </w:rPr>
        <w:t xml:space="preserve">2</w:t>
      </w:r>
      <w:r>
        <w:rPr>
          <w:rFonts w:hint="eastAsia" w:ascii="宋体" w:hAnsi="宋体" w:cs="宋体"/>
          <w:color w:val="auto"/>
          <w:szCs w:val="21"/>
          <w:highlight w:val="none"/>
        </w:rPr>
        <w:t xml:space="preserve">套加盖红章的系统内打印的纸质响应文件给采购代理机构。</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八、授予合同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1.签订合同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1.l成交供应商应当在成交通知书发出之日起三十日内，按照磋商文件确定的事项与采购人签订政府采购合同。</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签订合同时需做好提交各类声明函、承诺函、业绩证明、资质、证书等相应原件的核查准备；核查后发现虚假或违背承诺的，依照相关法律法规的规定处理。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2.货物和服务的追加、减少和添购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九、电子招标投标交易平台</w:t>
      </w:r>
      <w:r/>
    </w:p>
    <w:p>
      <w:pPr>
        <w:ind w:firstLine="480"/>
        <w:spacing w:line="360" w:lineRule="auto"/>
        <w:rPr>
          <w:rFonts w:hint="eastAsia" w:ascii="宋体" w:hAnsi="宋体" w:cs="宋体"/>
          <w:color w:val="auto"/>
          <w:szCs w:val="21"/>
          <w:highlight w:val="none"/>
          <w:lang w:eastAsia="en-US"/>
        </w:rPr>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http://jszfcg.jsczt.cn/）相关要求是本采购文件的组成部分。</w:t>
      </w:r>
      <w:r>
        <w:rPr>
          <w:rFonts w:hint="eastAsia" w:ascii="宋体" w:hAnsi="宋体" w:cs="宋体"/>
          <w:color w:val="auto"/>
          <w:szCs w:val="21"/>
          <w:highlight w:val="none"/>
          <w:lang w:eastAsia="en-US"/>
        </w:rPr>
        <w:fldChar w:fldCharType="end"/>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十、履约保证金</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本项目不收取履约保证金。</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十一、质疑提出和处理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格式请在江苏政府采购网“下载中心——有关质疑资料”下载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（一）质疑的提出</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s="宋体"/>
          <w:color w:val="auto"/>
          <w:szCs w:val="21"/>
          <w:highlight w:val="none"/>
        </w:rPr>
        <w:t xml:space="preserve">1.</w:t>
      </w:r>
      <w:r>
        <w:rPr>
          <w:rFonts w:hint="eastAsia" w:ascii="宋体" w:hAnsi="宋体"/>
          <w:color w:val="auto"/>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对可以质疑的磋商文件提出质疑的，为收到磋商文件之日或者磋商文件公告期限届满之日；</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对采购过程提出质疑的，为各采购程序环节结束之日；</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对成交结果提出质疑的，为成交结果公告期限届满之日。</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2.质疑必须由磋商供应商法定代表人或授权代表（响应文件中所确定的）以原件送达的方式提交，未按上述要求提交的质疑函（含传真、电子邮件等）代理机构有权不予受理。</w:t>
      </w:r>
      <w:r/>
    </w:p>
    <w:p>
      <w:pPr>
        <w:ind w:firstLine="480"/>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3.未参加磋商采购活动的供应商或在磋商采购活动中自身权益未受到损害的供应商所提出的质疑不予受理。</w:t>
      </w:r>
      <w:r>
        <w:rPr>
          <w:rFonts w:hint="eastAsia" w:ascii="宋体" w:hAnsi="宋体" w:cs="宋体"/>
          <w:color w:val="auto"/>
          <w:szCs w:val="21"/>
          <w:highlight w:val="none"/>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4.质疑函应当包括下列内容：</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（1）质疑供应商的名称、地址、邮编、联系人、联系电话；</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（2）具体的质疑事项及明确的请求；</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（3）认为自己合法权益受到损害或可能受到损害的相关证据材料；</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（4）提起质疑的日期；</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对不能提供相关佐证材料的、涉及商业秘密的、非书面形式的、非送达的、匿名的《质疑函》将不予受理。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相关佐证材料要具备客观性、关联性、合法性，无法查实的（如宣传册、媒体报道、猜测、推理等）不能作为佐证材料。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采购单位或采购代理机构不负责搜集相关佐证材料等工作。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（二）《质疑函》的受理和回复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1.《质疑函》须由质疑人的法定代表人或参加本次磋商被授权人送达采购单位和采购代理机构。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3.对不符合质疑要求的，出具《质疑退回通知书》并提出相关补充材料要求，质疑人未在规定的时间内提供补充佐证材料的，视同放弃质疑。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4.采购单位、采购代理机构负责将质疑人提出的质疑相关材料提供给相关专家或评审小组审核，并将审核意见回复质疑人。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5.因质疑情况复杂，组织论证或审查时间较长的，采购单位、采购代理机构以书面形式通知质疑人，可适当延长质疑回复处理时间。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（三）质疑处理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4.供应商提出书面质疑必须有理、有据，不得恶意质疑或提交虚假质疑。否则，一经查实，代理机构有权依据政府采购的有关规定，报请政府采购监管部门对该供应商进行相应的行政处罚。</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十二、其他事项说明：</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采购项目需要落实的政府采购相关法律法规及政策：</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1.《中华人民共和国政府采购法》</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2.《中华人民共和国政府采购法实施条例》</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3.《政府采购竞争性磋商采购方式管理办法》</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4.政府采购促进中小企业发展办法的通知——财库〔2020〕46号 </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4.1若本项目专门面向中小微企业，不再进行价格扣除。</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4.2若本项目不专门面向中小微企业，执行以下政策：</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4.2.1供应商需按照采购文件的要求提供相应的《小微企业声明函》。</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企业标准请参照《关于印发中小企业划型标准规定的通知》（工信部联企业〔2011〕300号）文件规定自行填写。</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4.2.2监狱和戒毒企业</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（1）监狱企业参加政府采购活动时，需提供由省级以上监狱管理局、戒毒管理局（含新疆生产建设兵团）出具的属于监狱企业的证明文件。</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（2）监狱企业标准请参照《关于政府采购支持监狱企业发展有关问题的通知》（财库〔2014〕68号）。</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4.2.3残疾人福利单位</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（1）残疾人福利单位需按照采购文件的要求提供《残疾人福利性单位声明函》。</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（2）残疾人福利单位标准请参照《关于促进残疾人就业政府采购政策的通知》（财库〔2017〕141号）。</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5.残疾人福利单位、监狱企业属于小型、微型企业的，不重复享受政策。</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7.《江苏省财政厅关于进一步加大政府采购支持中小企业力度的通知》苏财购〔2022〕45号</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8.根据《江苏省财政厅关于加强政府绿色采购有关事项的通知》（苏财购〔2023〕65号）文件精神，严格落实政府绿色采购的各项要求。</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9.节能环保</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10.需求标准</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本项目中如有涉及商品包装、快递包装的，应当按照《关于印发〈商品包装政府采购需求标准（试行）〉、〈快递包装政府采购需求标准（试行）〉的通知》（财办库〔2020〕123号）文件执行。</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本项目中如有涉及采购数据中心相关设备、运维服务的，应当按照《关于印发〈绿色数据中心政府采购需求标准（试行）〉的通知》（财办库〔2023〕7号）文件执行。</w:t>
      </w:r>
      <w:r/>
    </w:p>
    <w:p>
      <w:pPr>
        <w:ind w:firstLine="420"/>
        <w:spacing w:line="360" w:lineRule="auto"/>
        <w:rPr>
          <w:rFonts w:hint="eastAsia" w:ascii="宋体" w:hAnsi="宋体" w:cs="宋体"/>
          <w:color w:val="auto"/>
          <w:highlight w:val="none"/>
          <w:lang w:bidi="ar"/>
        </w:rPr>
      </w:pPr>
      <w:r>
        <w:rPr>
          <w:rFonts w:hint="eastAsia" w:ascii="宋体" w:hAnsi="宋体" w:cs="宋体"/>
          <w:color w:val="auto"/>
          <w:highlight w:val="none"/>
          <w:lang w:bidi="ar"/>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spacing w:line="360" w:lineRule="auto"/>
        <w:rPr>
          <w:rFonts w:hint="eastAsia" w:ascii="宋体" w:hAnsi="宋体" w:cs="宋体"/>
          <w:color w:val="auto"/>
          <w:highlight w:val="none"/>
          <w:lang w:bidi="ar"/>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highlight w:val="none"/>
          <w:lang w:bidi="ar"/>
        </w:rPr>
        <w:t xml:space="preserve">11.</w:t>
      </w:r>
      <w:r>
        <w:rPr>
          <w:rFonts w:ascii="宋体" w:hAnsi="宋体" w:cs="宋体"/>
          <w:color w:val="auto"/>
          <w:highlight w:val="none"/>
          <w:lang w:bidi="ar"/>
        </w:rPr>
        <w:t xml:space="preserve">成交供应商</w:t>
      </w:r>
      <w:r>
        <w:rPr>
          <w:rFonts w:hint="eastAsia" w:ascii="宋体" w:hAnsi="宋体" w:cs="宋体"/>
          <w:color w:val="auto"/>
          <w:highlight w:val="none"/>
          <w:lang w:bidi="ar"/>
        </w:rPr>
        <w:t xml:space="preserve">可凭政府采购合同办理融资贷款，详情请见泰州市政府采购网“政采贷”专栏。</w:t>
      </w:r>
      <w:r/>
    </w:p>
    <w:p>
      <w:pPr>
        <w:pStyle w:val="931"/>
        <w:numPr>
          <w:ilvl w:val="0"/>
          <w:numId w:val="2"/>
        </w:numPr>
        <w:ind w:firstLine="422"/>
        <w:jc w:val="cente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合同条款及格式</w:t>
      </w:r>
      <w:bookmarkEnd w:id="91"/>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
          <w:color w:val="auto"/>
          <w:szCs w:val="21"/>
          <w:highlight w:val="none"/>
        </w:rPr>
        <w:t xml:space="preserve">政府采购合同</w:t>
      </w:r>
      <w:r/>
    </w:p>
    <w:p>
      <w:pPr>
        <w:ind w:firstLine="420"/>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甲方：</w:t>
      </w:r>
      <w:r>
        <w:rPr>
          <w:rFonts w:asciiTheme="minorEastAsia" w:hAnsiTheme="minorEastAsia" w:eastAsiaTheme="minorEastAsia"/>
          <w:b/>
          <w:color w:val="auto"/>
          <w:szCs w:val="21"/>
          <w:highlight w:val="none"/>
          <w:u w:val="single"/>
        </w:rPr>
        <w:t xml:space="preserve">                   </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乙方：</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 </w:t>
      </w:r>
      <w:r/>
    </w:p>
    <w:p>
      <w:pPr>
        <w:ind w:firstLine="420"/>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color w:val="auto"/>
          <w:szCs w:val="21"/>
          <w:highlight w:val="none"/>
        </w:rPr>
        <w:t xml:space="preserve">甲、乙双方根据</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日</w:t>
      </w:r>
      <w:r>
        <w:rPr>
          <w:rFonts w:hint="eastAsia" w:asciiTheme="minorEastAsia" w:hAnsiTheme="minorEastAsia" w:eastAsiaTheme="minorEastAsia"/>
          <w:b/>
          <w:color w:val="auto"/>
          <w:szCs w:val="21"/>
          <w:highlight w:val="none"/>
          <w:u w:val="single"/>
        </w:rPr>
        <w:t xml:space="preserve"> </w:t>
      </w:r>
      <w:r>
        <w:rPr>
          <w:rFonts w:asciiTheme="minorEastAsia" w:hAnsiTheme="minorEastAsia" w:eastAsiaTheme="minorEastAsia"/>
          <w:b/>
          <w:color w:val="auto"/>
          <w:szCs w:val="21"/>
          <w:highlight w:val="none"/>
          <w:u w:val="single"/>
        </w:rPr>
        <w:t xml:space="preserve">     </w:t>
      </w:r>
      <w:r>
        <w:rPr>
          <w:rFonts w:asciiTheme="minorEastAsia" w:hAnsiTheme="minorEastAsia" w:eastAsiaTheme="minorEastAsia"/>
          <w:color w:val="auto"/>
          <w:szCs w:val="21"/>
          <w:highlight w:val="none"/>
        </w:rPr>
        <w:t xml:space="preserve">项目（</w:t>
      </w:r>
      <w:r>
        <w:rPr>
          <w:rFonts w:hint="eastAsia" w:asciiTheme="minorEastAsia" w:hAnsiTheme="minorEastAsia" w:eastAsiaTheme="minorEastAsia"/>
          <w:color w:val="auto"/>
          <w:szCs w:val="21"/>
          <w:highlight w:val="none"/>
        </w:rPr>
        <w:t xml:space="preserve">项目</w:t>
      </w:r>
      <w:r>
        <w:rPr>
          <w:rFonts w:asciiTheme="minorEastAsia" w:hAnsiTheme="minorEastAsia" w:eastAsiaTheme="minorEastAsia"/>
          <w:color w:val="auto"/>
          <w:szCs w:val="21"/>
          <w:highlight w:val="none"/>
        </w:rPr>
        <w:t xml:space="preserve">编号：</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）招标的结果，签订本合同。</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一、采购标的</w:t>
      </w:r>
      <w:r/>
    </w:p>
    <w:p>
      <w:pPr>
        <w:ind w:firstLine="420"/>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1.服务内容：</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w:t>
      </w:r>
      <w:r/>
    </w:p>
    <w:p>
      <w:pPr>
        <w:ind w:firstLine="420"/>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2.服务期限：</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w:t>
      </w:r>
      <w:r/>
    </w:p>
    <w:p>
      <w:pPr>
        <w:ind w:firstLine="420"/>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3.补充条款：</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二、合同金额</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1.本合同金额为（大写）：_________________元整（</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__________）人民币。</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三、技术资料</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1.乙方应按招标文件规定的时间向甲方提供有关技术资料。</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四、知识产权</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w:t>
      </w:r>
      <w:r>
        <w:rPr>
          <w:rFonts w:hint="eastAsia" w:asciiTheme="minorEastAsia" w:hAnsiTheme="minorEastAsia" w:eastAsiaTheme="minorEastAsia"/>
          <w:color w:val="auto"/>
          <w:szCs w:val="21"/>
          <w:highlight w:val="none"/>
        </w:rPr>
        <w:t xml:space="preserve">方应保证甲方在使用、接受本合同</w:t>
      </w:r>
      <w:r>
        <w:rPr>
          <w:rFonts w:asciiTheme="minorEastAsia" w:hAnsiTheme="minorEastAsia" w:eastAsiaTheme="minorEastAsia"/>
          <w:color w:val="auto"/>
          <w:szCs w:val="21"/>
          <w:highlight w:val="none"/>
        </w:rPr>
        <w:t xml:space="preserve">中产品和服务</w:t>
      </w:r>
      <w:r>
        <w:rPr>
          <w:rFonts w:hint="eastAsia" w:asciiTheme="minorEastAsia" w:hAnsiTheme="minorEastAsia" w:eastAsiaTheme="minorEastAsia"/>
          <w:color w:val="auto"/>
          <w:szCs w:val="21"/>
          <w:highlight w:val="none"/>
        </w:rPr>
        <w:t xml:space="preserve">或其任何一部分时不受第三方提出侵犯其专利权、版权、商标权和工业设计权等知识产权的起诉。一旦出现侵权，由乙方负全部责任。</w:t>
      </w:r>
      <w:r/>
    </w:p>
    <w:p>
      <w:pPr>
        <w:ind w:firstLine="422"/>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b/>
          <w:color w:val="auto"/>
          <w:szCs w:val="21"/>
          <w:highlight w:val="none"/>
        </w:rPr>
        <w:t xml:space="preserve">五、产权担保</w:t>
      </w:r>
      <w:r/>
    </w:p>
    <w:p>
      <w:pPr>
        <w:ind w:firstLine="420"/>
        <w:jc w:val="left"/>
        <w:spacing w:line="560" w:lineRule="exact"/>
        <w:rPr>
          <w:rFonts w:hint="eastAsia"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乙方保证所交付标的的所有权完全属于乙方且无任何抵押、查封等产权瑕疵。</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六、履约保证金</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本项目不收取履约保证金。</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七、转包或分包</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7.1</w:t>
      </w:r>
      <w:r>
        <w:rPr>
          <w:rFonts w:hint="eastAsia" w:asciiTheme="minorEastAsia" w:hAnsiTheme="minorEastAsia" w:eastAsiaTheme="minorEastAsia"/>
          <w:color w:val="auto"/>
          <w:szCs w:val="21"/>
          <w:highlight w:val="none"/>
        </w:rPr>
        <w:t xml:space="preserve"> 本合同范围内产品或服务，应由乙方直接供应，不得转让他人供应；</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7.2 </w:t>
      </w:r>
      <w:r>
        <w:rPr>
          <w:rFonts w:hint="eastAsia" w:asciiTheme="minorEastAsia" w:hAnsiTheme="minorEastAsia" w:eastAsiaTheme="minorEastAsia"/>
          <w:color w:val="auto"/>
          <w:szCs w:val="21"/>
          <w:highlight w:val="none"/>
        </w:rPr>
        <w:t xml:space="preserve">除非得到甲方的书面同意，乙方不得部分分包给他人供应。</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7.3</w:t>
      </w:r>
      <w:r>
        <w:rPr>
          <w:rFonts w:hint="eastAsia" w:asciiTheme="minorEastAsia" w:hAnsiTheme="minorEastAsia" w:eastAsiaTheme="minorEastAsia"/>
          <w:color w:val="auto"/>
          <w:szCs w:val="21"/>
          <w:highlight w:val="none"/>
        </w:rPr>
        <w:t xml:space="preserve"> 如有转让和未经甲方同意的分包行为，甲方有权给予终止合同。 </w:t>
      </w:r>
      <w:r/>
    </w:p>
    <w:p>
      <w:pPr>
        <w:ind w:firstLine="422"/>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b/>
          <w:color w:val="auto"/>
          <w:szCs w:val="21"/>
          <w:highlight w:val="none"/>
        </w:rPr>
        <w:t xml:space="preserve">八、</w:t>
      </w:r>
      <w:r>
        <w:rPr>
          <w:rFonts w:hint="eastAsia" w:asciiTheme="minorEastAsia" w:hAnsiTheme="minorEastAsia" w:eastAsiaTheme="minorEastAsia"/>
          <w:b/>
          <w:color w:val="auto"/>
          <w:szCs w:val="21"/>
          <w:highlight w:val="none"/>
        </w:rPr>
        <w:t xml:space="preserve">服务期</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服务期</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年。</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九、交付期、交付方式及交付地点</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bCs/>
          <w:color w:val="auto"/>
          <w:szCs w:val="21"/>
          <w:highlight w:val="none"/>
        </w:rPr>
        <w:t xml:space="preserve">1.交 付 期：</w:t>
      </w:r>
      <w:r>
        <w:rPr>
          <w:rFonts w:asciiTheme="minorEastAsia" w:hAnsiTheme="minorEastAsia" w:eastAsiaTheme="minorEastAsia"/>
          <w:color w:val="auto"/>
          <w:szCs w:val="21"/>
          <w:highlight w:val="none"/>
        </w:rPr>
        <w:t xml:space="preserve">_________。   </w:t>
      </w:r>
      <w:r/>
    </w:p>
    <w:p>
      <w:pPr>
        <w:ind w:firstLine="420"/>
        <w:jc w:val="left"/>
        <w:spacing w:line="560" w:lineRule="exact"/>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t xml:space="preserve">2.交付方式：</w:t>
      </w:r>
      <w:r>
        <w:rPr>
          <w:rFonts w:asciiTheme="minorEastAsia" w:hAnsiTheme="minorEastAsia" w:eastAsiaTheme="minorEastAsia"/>
          <w:color w:val="auto"/>
          <w:szCs w:val="21"/>
          <w:highlight w:val="none"/>
        </w:rPr>
        <w:t xml:space="preserve">_________。</w:t>
      </w:r>
      <w:r/>
    </w:p>
    <w:p>
      <w:pPr>
        <w:ind w:firstLine="420"/>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Cs/>
          <w:color w:val="auto"/>
          <w:szCs w:val="21"/>
          <w:highlight w:val="none"/>
        </w:rPr>
        <w:t xml:space="preserve">3.交付地点：</w:t>
      </w:r>
      <w:r>
        <w:rPr>
          <w:rFonts w:asciiTheme="minorEastAsia" w:hAnsiTheme="minorEastAsia" w:eastAsiaTheme="minorEastAsia"/>
          <w:color w:val="auto"/>
          <w:szCs w:val="21"/>
          <w:highlight w:val="none"/>
        </w:rPr>
        <w:t xml:space="preserve">_________。</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十、合同款支付</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rPr>
        <w:t xml:space="preserve"> </w:t>
      </w:r>
      <w:r>
        <w:rPr>
          <w:rFonts w:asciiTheme="minorEastAsia" w:hAnsiTheme="minorEastAsia" w:eastAsiaTheme="minorEastAsia"/>
          <w:bCs/>
          <w:color w:val="auto"/>
          <w:szCs w:val="21"/>
          <w:highlight w:val="none"/>
        </w:rPr>
        <w:t xml:space="preserve">付款方式：</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十一</w:t>
      </w: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税费</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本合同执行中相关的一切税费均由乙方负担。</w:t>
      </w:r>
      <w:r/>
    </w:p>
    <w:p>
      <w:pPr>
        <w:ind w:firstLine="422"/>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b/>
          <w:color w:val="auto"/>
          <w:szCs w:val="21"/>
          <w:highlight w:val="none"/>
        </w:rPr>
        <w:t xml:space="preserve">十二、质量保证及售后服务</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1.乙方应按招标文件规定和响应文件承诺的性能、技术要求、质量标准向甲方提供产品或服务。</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2.乙方提供的产品或服务在质保期内因其本身出现质量问题，根据实际情况，经双方协商，可按以下办法处理：</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（1）更换：由乙方承担所发生的全部费用。</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（2）合同终止处理：合同终止，并退还甲方支付的合同款，同时应承担由此产生的所有费用，甲方不承担发生任何费用。</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3.如在使用过程中发生质量问题，乙方在接到甲方通知后在</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小时内到达甲方现场。</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在质保期内，乙方应对产品或服务出现的质量及安全问题负责处理解决并承担一切费用。</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十三、验收</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1.甲方对乙方提交的产品或服务依据招标文件上的项目需求要求、乙方响应文件及国家有关质量标准进行验收。</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2.乙方交货前应对产品或服务作出全面检查和对验收文件进行整理，并列出清单，作为甲方验收和使用的技术条件依据，检验的结果应随服务一起提交甲方。</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3.甲方对乙方提供的产品或服务在使用前，乙方需负责培训甲方的使用操作人员，并协助甲方一起试用，直到符合技术要求，甲方才做最终验收。</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4.对技术复杂的产品或服务，甲方可请国家认可的专业检测机构参与初步验收及最终验收，并由其出具质量检测报告。</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5.验收时乙方必须在现场，验收完毕后作出验收结果报告；招标文件规定以外的验收费用由甲乙双方协商解决。</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十四、合同内容的交付</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1.乙方应保证合同标的安全运达甲方指定地点。</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2.使用说明书、质量检验证明书一并提交甲方。</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3.乙方在合同标的交付甲方48小时前通知甲方准备接收。</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4.合同标的在交付甲方前发生的风险均由乙方负责。</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5.合同标的在规定的交付期限内由乙方送达甲方指定的地点视为交付，乙方同时需通知甲方已送达。</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十五、违约责任</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1.甲方无正当理由拒收的，甲方向乙方偿付拒收货款总值的百分之五违约金。</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2.甲方无故逾期验收和办理合同款支付手续的,甲方应按逾期付款总额每日万分之五向乙方支付违约金。</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十六、不可抗力事件处理</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1.在合同有效期内，任何一方因不可抗力事件导致不能履行合同，则合同履行期延长，其延长期与不可抗力影响期相同。</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2.不可抗力事件发生后，应立即通知对方，并寄送有关权威机构出具的证明。</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3.不可抗力事件延续120天以上，双方应通过友好协商，确定是否继续履行合同。</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十七、争议解决</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双方在执行合同中所发生的一切争议，应通过协商解决。如协商不成，按下列第</w:t>
      </w:r>
      <w:r>
        <w:rPr>
          <w:rFonts w:hint="eastAsia" w:asciiTheme="minorEastAsia" w:hAnsiTheme="minorEastAsia" w:eastAsiaTheme="minorEastAsia"/>
          <w:color w:val="auto"/>
          <w:szCs w:val="21"/>
          <w:highlight w:val="none"/>
          <w:u w:val="single"/>
        </w:rPr>
        <w:t xml:space="preserve"> （1） </w:t>
      </w:r>
      <w:r>
        <w:rPr>
          <w:rFonts w:hint="eastAsia" w:asciiTheme="minorEastAsia" w:hAnsiTheme="minorEastAsia" w:eastAsiaTheme="minorEastAsia"/>
          <w:color w:val="auto"/>
          <w:szCs w:val="21"/>
          <w:highlight w:val="none"/>
        </w:rPr>
        <w:t xml:space="preserve">种方式解决：</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（1）向泰州仲裁委员会申请仲裁。</w:t>
      </w:r>
      <w:r/>
    </w:p>
    <w:p>
      <w:pPr>
        <w:ind w:firstLine="42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（2）向合同签订地法院起诉，合同签订地在此约定为泰州市。</w:t>
      </w:r>
      <w:r/>
    </w:p>
    <w:p>
      <w:pPr>
        <w:ind w:firstLine="422"/>
        <w:jc w:val="left"/>
        <w:spacing w:line="560" w:lineRule="exact"/>
        <w:rPr>
          <w:rFonts w:hint="eastAsia"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十八、合同生效及其它</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1.合同经双方法定代表人或委托代理人签字并加盖单位公章后生效。</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本合同未尽事宜，遵照《中华人民共和国民法典》有关条文执行。</w:t>
      </w:r>
      <w:r/>
    </w:p>
    <w:p>
      <w:pPr>
        <w:ind w:firstLine="420"/>
        <w:jc w:val="left"/>
        <w:spacing w:line="56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3.本合同正本一式四份，具有同等法律效力，甲方、乙方、</w:t>
      </w:r>
      <w:r>
        <w:rPr>
          <w:rFonts w:hint="eastAsia" w:asciiTheme="minorEastAsia" w:hAnsiTheme="minorEastAsia" w:eastAsiaTheme="minorEastAsia"/>
          <w:color w:val="auto"/>
          <w:szCs w:val="21"/>
          <w:highlight w:val="none"/>
        </w:rPr>
        <w:t xml:space="preserve">见证</w:t>
      </w:r>
      <w:r>
        <w:rPr>
          <w:rFonts w:asciiTheme="minorEastAsia" w:hAnsiTheme="minorEastAsia" w:eastAsiaTheme="minorEastAsia"/>
          <w:color w:val="auto"/>
          <w:szCs w:val="21"/>
          <w:highlight w:val="none"/>
        </w:rPr>
        <w:t xml:space="preserve">方及财政监管部门各执一份。</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甲方：                                  乙方：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地址：                                  地址：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法定代表人：                            法定代表人：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                            委托代理人：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电话：                                  电话：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传真：                                  传真：                     </w:t>
      </w:r>
      <w:r/>
    </w:p>
    <w:p>
      <w:pPr>
        <w:ind w:firstLine="480"/>
        <w:jc w:val="left"/>
        <w:spacing w:line="5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签订日期：      年  月  日</w:t>
      </w:r>
      <w:r/>
    </w:p>
    <w:p>
      <w:pPr>
        <w:spacing w:line="360" w:lineRule="auto"/>
        <w:rPr>
          <w:color w:val="auto"/>
          <w:highlight w:val="none"/>
        </w:rPr>
      </w:pPr>
      <w:r>
        <w:rPr>
          <w:color w:val="auto"/>
          <w:highlight w:val="none"/>
        </w:rPr>
      </w:r>
      <w:r/>
    </w:p>
    <w:p>
      <w:pPr>
        <w:pStyle w:val="1126"/>
        <w:jc w:val="center"/>
        <w:spacing w:before="0" w:after="0" w:line="360" w:lineRule="auto"/>
        <w:rPr>
          <w:rFonts w:hint="eastAsia" w:ascii="宋体" w:hAnsi="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93" w:name="_Toc498006744"/>
      <w:r/>
      <w:bookmarkStart w:id="94" w:name="_Toc87985472"/>
      <w:r/>
      <w:r/>
    </w:p>
    <w:p>
      <w:pPr>
        <w:pStyle w:val="931"/>
        <w:numPr>
          <w:ilvl w:val="0"/>
          <w:numId w:val="2"/>
        </w:numPr>
        <w:ind w:firstLine="422"/>
        <w:jc w:val="center"/>
        <w:spacing w:line="360" w:lineRule="auto"/>
        <w:rPr>
          <w:rFonts w:hint="eastAsia" w:ascii="宋体" w:hAnsi="宋体" w:eastAsia="宋体"/>
          <w:b/>
          <w:color w:val="auto"/>
          <w:sz w:val="21"/>
          <w:szCs w:val="21"/>
          <w:highlight w:val="none"/>
        </w:rPr>
      </w:pPr>
      <w:r/>
      <w:bookmarkStart w:id="95" w:name="_Toc86268902"/>
      <w:r>
        <w:rPr>
          <w:rFonts w:hint="eastAsia" w:ascii="宋体" w:hAnsi="宋体" w:eastAsia="宋体"/>
          <w:b/>
          <w:color w:val="auto"/>
          <w:sz w:val="21"/>
          <w:szCs w:val="21"/>
          <w:highlight w:val="none"/>
        </w:rPr>
        <w:t xml:space="preserve">项目需求</w:t>
      </w:r>
      <w:bookmarkEnd w:id="93"/>
      <w:r/>
      <w:bookmarkEnd w:id="94"/>
      <w:r/>
      <w:bookmarkEnd w:id="95"/>
      <w:r/>
      <w:r/>
    </w:p>
    <w:p>
      <w:pPr>
        <w:jc w:val="left"/>
        <w:spacing w:line="360" w:lineRule="auto"/>
        <w:rPr>
          <w:rFonts w:hint="eastAsia" w:asciiTheme="minorEastAsia" w:hAnsiTheme="minorEastAsia" w:eastAsiaTheme="minorEastAsia"/>
          <w:bCs/>
          <w:color w:val="auto"/>
          <w:szCs w:val="21"/>
          <w:highlight w:val="none"/>
        </w:rPr>
      </w:pPr>
      <w:r/>
      <w:bookmarkStart w:id="96" w:name="_Toc86268903"/>
      <w:r/>
      <w:bookmarkStart w:id="97" w:name="_Toc26554097"/>
      <w:r/>
      <w:bookmarkStart w:id="98" w:name="_Toc61149622"/>
      <w:r/>
      <w:bookmarkStart w:id="99" w:name="_Toc23828480"/>
      <w:r>
        <w:rPr>
          <w:rFonts w:hint="eastAsia" w:asciiTheme="minorEastAsia" w:hAnsiTheme="minorEastAsia" w:eastAsiaTheme="minorEastAsia"/>
          <w:bCs/>
          <w:color w:val="auto"/>
          <w:szCs w:val="21"/>
          <w:highlight w:val="none"/>
        </w:rPr>
        <w:t xml:space="preserve">一、项目概况：</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为推进城北派出所的智能化、信息化建设，提升警务工作效率、执法规范化水平和安全防范能力，现计划采购并部署一套完整的智能化系统。本项目涵盖计算机网络、视频监控、办案管理、门禁控制、指挥中心、会议扩声等多个子系统，所有系统需符合国家相关标准与公安行业规范，实现互联互通、统一管理。供应商需参照本需求提供的配置清单，提供符合或优于技术要求的设备、安装调试、系统集成、培训及售后服务，具体详见工程量清单。</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二、本项目需满足的质量、安全、技术规格、物理特性等要求：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1.质量要求：合格。</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2.安全要求：安全要求应满足国家相关法律法规的要求，无安全责任事故。</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3.项目总体要求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城北派出所业务用房装修改造智能化建设项目，包含但不限于城北派出所的智能化系统的供货、运输、安装、调试、试运行、验收、技术培训、成品保护、售后服务、质保、维护保养，保证所有设备正常运行等。</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三、采购标的需满足的质量、安全、技术规格、物理特性等要求：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本次采购的智能化系统主要包括以下部分，具体设备名称、数量、单位、主要技术参数详见附件清单表格。投标人所投产品性能不得低于下述及清单中列明的技术要求。</w:t>
      </w:r>
      <w:r/>
    </w:p>
    <w:p>
      <w:pPr>
        <w:ind w:firstLine="21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（一）计算机网络系统</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1、系统概述：构建覆盖全所的高速、稳定、安全的内部局域网，满足数据、语音、视频等业务传输需求。支持警务终端、监控设备、门禁设备等接入。</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汇聚/接入交换机：要求采用国产化芯片，支持自主可控。需具备高交换容量、包转发率，端口配置需满足千兆/万兆上联及接入需求。POE交换机需满足相应输出功率，为无线AP、网络摄像机等设备供电，具体参数详见清单。</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无线网络系统：包括无线控制器和无线接入点。AP要求支持新一代WiFi标准，性能稳定。AC需具备足够的接入和管理能力，支持智能运维。光模块/电口模块：与交换机品牌兼容，满足不同距离和介质的连接需求。</w:t>
      </w:r>
      <w:r/>
    </w:p>
    <w:p>
      <w:pPr>
        <w:ind w:firstLine="21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（二）视频监控系统</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1、系统概述：建设覆盖派出所重点区域的高清视频监控系统，具备人脸抓拍、行为分析。温湿度监测等功能，录像存储时间符合相关规定。</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网络摄像机：包括高清半球、人脸抓拍、全景、电梯专用、温湿度监控、针孔等多种类型。要求分辨率不低于清单规定，支持低照度、宽动态、智能分析（如人脸检测、区域入侵、车辆识别等）、音频输入输出、IP67或相应防护等级，具体智能功能需满足清单描述。存储系统：包括网络硬盘录像机及监控专用硬盘。NVR需具备多路接入、解码、存储及管理能力，硬盘容量需满足项目存储周期要求。</w:t>
      </w:r>
      <w:r/>
    </w:p>
    <w:p>
      <w:pPr>
        <w:ind w:firstLine="21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（三）执法办案系统</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1、系统概述：对办案区进行全方位、智能化管理，实现人员定位、轨迹追踪、环境监测、门禁控制、紧急报警、音视频同步录音录像、电子签名捺印等功能，确保执法过程规范、安全、可追溯。</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音视频采集设备：高清摄像机、拾音器、全景摄像机等，需满足办案系统环境特殊要求（如低照度、广角、高清晰度录音等）。</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环境监测与显示：温湿度摄像机、温湿度显示屏，用于实时监测并叠加显示环境信息。</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定位与身份识别：高精度定位基站、电子腕带、干警定位胸卡、刷卡读卡器（国密）、人脸门禁一体机等，实现涉案人员与干警的精准定位、身份认证和轨迹管理。</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安防报警：双鉴探测器、紧急呼叫按钮、声光警号、单防区拓展模块等，构建多层次报警网络。</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门禁控制：人脸门禁一体机、磁力锁及支架、门禁控制器等，实现办案区各功能房间的受控进出。信息采集与处理：电子签名捺印板、摄影棚、高拍仪等，用于规范化信息采集。</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存储与管理中心：硬盘录像机、大容量硬盘、移动硬盘、紧急报警管理机等，位于中心控制室，负责全区数据的集中存储、报警管理与联动。</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对接与调试：需完成办案系统与上级平台的对接，以及定位系统的地图建模与调试。</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显示设备：用于案管室、中心控制室的电视机等。</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（四）门禁系统</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1、系统概述：建设覆盖派出所主要出入口的门禁管理系统，实现人员进出权限的电子化管理，提升内部安全等级。</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前端识别设备：人脸门禁一体机（支持国密算法、多种认证方式）、刷卡读卡器（国密）。</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执行机构：单门/双门磁力锁及配套支架，断电开锁需符合消防要求。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控制设备：双门/四门控制器，具备大容量存储，多种通信接口和高级门禁管理功能（如组合认证、反潜回、多门互锁等）。</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（五）机房工程</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1、系统概述：为智能化系统核心设备提供稳定、可靠的运行环境。</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机柜系统：服务器机柜、网络布线机柜，尺寸规格需满足设备安装需求。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UPS配电系统：在线式UPS（30KVA）、阀控式密封铅酸蓄电池、电池架、UPS配电柜，确保关键设备不断电供电。</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空调系统：吸顶式空调，保证机房恒温。</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（六）户籍大厅设备</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1、系统概述：优化户籍业务办理流程，提升群众办事体验。</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2、主要设备及要求：取号机、显示电视、扩声设备（功放、扬声器）、桌面式综合警务受理机（出入境版）、摄影棚、高拍仪等。取号机及受理机需支持与业务系统对接，实现预约、预审、叫号等功能。</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（七）勤务智慧中心会议系统</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1、系统概述：建设集高清显示、专业扩声、集中控制、分布式坐席协作与一体的现代化指挥调度中心。</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显示系统：大尺寸电视机、可移动支架。</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扩声系统：专业音箱、功放、音频处理器、无线话筒、电源管理器等，需满足会议室语言清晰度和音乐播放要求。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指挥控制系统：网络可编程中控主机。分布式可视化调度平台、分布式全功能一体节点、坐席协作系统、配套交换机、控制平板灯，实现音视频信号的灵活调度、环境设备集中控制、坐席协同作业。</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（八）三层中会议室系统</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1、系统概述：满足日常会议、培训的投影显示和扩声需求。</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2、主要设备及要求：激光投影机、金属硬幕、专业扩声音箱、功放、调音台、支架、无线投屏器等。</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（九）利旧设备迁移及恢复</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1、概述：现有部分智能化设备需进行搬迁、重新安装并恢复使用。</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2、要求：供应商应在报价中综合考虑此部分设备的拆卸、搬运、安装、调试、与新建系统集成及肯呢个需要的适配调整等全部费用，确保利旧设备在新建系统中正常运行，功能完好。</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特别提醒：本工程项目需严格质量要求、严格安全文明施工、严控变更管理，按照建设程序及工程相关规范进行验收！</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四、付款方式</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付款方式：项目竣工验收合格并经审计结束后付70%，剩余30%不计息尾款在质保期满（一年后）后支付。</w:t>
      </w:r>
      <w:r/>
    </w:p>
    <w:p>
      <w:pPr>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五、质保期</w:t>
      </w:r>
      <w:r/>
    </w:p>
    <w:p>
      <w:pPr>
        <w:jc w:val="left"/>
        <w:spacing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质保期:自验收合格之日起1年。</w:t>
      </w:r>
      <w:r/>
    </w:p>
    <w:p>
      <w:pPr>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质保期内，成交单位可根据项目实际提供驻场服务，提供 7*24 小时技术支持。设备需脱网维护时，需提供相同型号的备品备件。</w:t>
      </w:r>
      <w:r/>
    </w:p>
    <w:p>
      <w:pPr>
        <w:tabs>
          <w:tab w:val="left" w:pos="1060" w:leader="none"/>
        </w:tabs>
        <w:rPr>
          <w:rFonts w:hint="eastAsia" w:ascii="宋体" w:hAnsi="宋体" w:cs="宋体"/>
          <w:color w:val="auto"/>
          <w:szCs w:val="21"/>
          <w:highlight w:val="none"/>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color w:val="auto"/>
          <w:szCs w:val="21"/>
          <w:highlight w:val="none"/>
        </w:rPr>
        <w:tab/>
      </w:r>
      <w:r/>
    </w:p>
    <w:p>
      <w:pPr>
        <w:pStyle w:val="931"/>
        <w:numPr>
          <w:ilvl w:val="0"/>
          <w:numId w:val="3"/>
        </w:numPr>
        <w:ind w:firstLine="422"/>
        <w:jc w:val="cente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评审方法和评审标准</w:t>
      </w:r>
      <w:bookmarkEnd w:id="96"/>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一、磋商模式</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二、磋商组织及磋商小组职责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1.本次竞争性磋商依据《中华人民共和国政府采购法》《政府采购竞争性磋商采购方式管理暂行办法》及有关法规成立磋商小组。磋商小组由评审专家3人组成。</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2.磋商小组的职责：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（6）配合采购单位答复供应商提出的质疑；配合财政部门的投诉处理和监督检查工作。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w:t>
      </w:r>
      <w:r>
        <w:rPr>
          <w:rFonts w:hint="eastAsia" w:ascii="宋体" w:hAnsi="宋体" w:cs="宋体"/>
          <w:color w:val="auto"/>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.除非在磋商中磋商小组对采购需求中的技术、服务要求以及合同草案条款做了实质性变更，</w:t>
      </w:r>
      <w:r>
        <w:rPr>
          <w:rFonts w:hint="eastAsia" w:ascii="宋体" w:hAnsi="宋体" w:cs="宋体"/>
          <w:b/>
          <w:bCs/>
          <w:color w:val="auto"/>
          <w:szCs w:val="21"/>
          <w:highlight w:val="none"/>
        </w:rPr>
        <w:t xml:space="preserve">否则采购单位不接受供应商高于自己前一轮的磋商报价</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.在磋商中，磋商的任何一方不得透露与磋商有关的其他响应磋商的供应商的技术资料、价格及其他信息。</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三、磋商评定结果的方法</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color w:val="auto"/>
          <w:szCs w:val="21"/>
          <w:highlight w:val="none"/>
          <w:u w:val="single"/>
        </w:rPr>
        <w:t xml:space="preserve">经磋商确定最终采购需求和提交最后报价的供应商后，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对提交最后报价的供应商的响应文件和最后报价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3.本次项目磋商的商务技术和报价评审总分值为100分。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4.商务技术分按算术平均值计算，分值四舍五入保留两位小数。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5.报价分统一采用低价优先法计算直接取得，与商务技术分相加为供应商的综合得分（四舍五入保留两位小数）。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6.磋商小组汇总各评委评分后，按照得分从高到低的顺序推荐3名成交候选人，并出具评审磋商报告。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7.确定成交候选人的特殊情况处理：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（1）若总分相同，则按最终报价响应得分高者优先中标。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（2）若总分且最终报价响应得分相同，则采取现场抽签的方式确定（供应商的抽签顺序分别为各供应商递交响应文件签到顺序号）。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8.磋商评审时，评委对评审的细则若有争议，由磋商小组集体讨论确定，并对未尽情况有最终解释权。</w:t>
      </w:r>
      <w:r/>
    </w:p>
    <w:tbl>
      <w:tblPr>
        <w:tblStyle w:val="941"/>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6"/>
        <w:gridCol w:w="1776"/>
        <w:gridCol w:w="6312"/>
        <w:gridCol w:w="653"/>
      </w:tblGrid>
      <w:tr>
        <w:trPr>
          <w:jc w:val="center"/>
          <w:trHeight w:val="482"/>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序号</w:t>
            </w:r>
            <w:r/>
          </w:p>
        </w:tc>
        <w:tc>
          <w:tcPr>
            <w:tcMar>
              <w:left w:w="15" w:type="dxa"/>
              <w:top w:w="15" w:type="dxa"/>
              <w:right w:w="15" w:type="dxa"/>
              <w:bottom w:w="0" w:type="dxa"/>
            </w:tcMar>
            <w:tcW w:w="1776"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评审因素</w:t>
            </w:r>
            <w:r/>
          </w:p>
        </w:tc>
        <w:tc>
          <w:tcPr>
            <w:tcMar>
              <w:left w:w="15" w:type="dxa"/>
              <w:top w:w="15" w:type="dxa"/>
              <w:right w:w="15" w:type="dxa"/>
              <w:bottom w:w="0" w:type="dxa"/>
            </w:tcMar>
            <w:tcW w:w="6312"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评分标准说明</w:t>
            </w:r>
            <w:r/>
          </w:p>
        </w:tc>
        <w:tc>
          <w:tcPr>
            <w:tcMar>
              <w:left w:w="15" w:type="dxa"/>
              <w:top w:w="15" w:type="dxa"/>
              <w:right w:w="15" w:type="dxa"/>
              <w:bottom w:w="0" w:type="dxa"/>
            </w:tcMar>
            <w:tcW w:w="653"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分值</w:t>
            </w:r>
            <w:r/>
          </w:p>
        </w:tc>
      </w:tr>
      <w:tr>
        <w:trPr>
          <w:jc w:val="center"/>
          <w:trHeight w:val="395"/>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一</w:t>
            </w:r>
            <w:r/>
          </w:p>
        </w:tc>
        <w:tc>
          <w:tcPr>
            <w:gridSpan w:val="2"/>
            <w:tcMar>
              <w:left w:w="15" w:type="dxa"/>
              <w:top w:w="15" w:type="dxa"/>
              <w:right w:w="15" w:type="dxa"/>
              <w:bottom w:w="0" w:type="dxa"/>
            </w:tcMar>
            <w:tcW w:w="8088"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响应报价部分</w:t>
            </w:r>
            <w:r/>
          </w:p>
        </w:tc>
        <w:tc>
          <w:tcPr>
            <w:tcMar>
              <w:left w:w="15" w:type="dxa"/>
              <w:top w:w="15" w:type="dxa"/>
              <w:right w:w="15" w:type="dxa"/>
              <w:bottom w:w="0" w:type="dxa"/>
            </w:tcMar>
            <w:tcW w:w="653" w:type="dxa"/>
            <w:vAlign w:val="center"/>
            <w:textDirection w:val="lrTb"/>
            <w:noWrap w:val="false"/>
          </w:tcPr>
          <w:p>
            <w:pP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  </w:t>
            </w:r>
            <w:r/>
          </w:p>
        </w:tc>
      </w:tr>
      <w:tr>
        <w:trPr>
          <w:cantSplit/>
          <w:jc w:val="center"/>
          <w:trHeight w:val="1491" w:hRule="exact"/>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Mar>
              <w:left w:w="15" w:type="dxa"/>
              <w:top w:w="15" w:type="dxa"/>
              <w:right w:w="15" w:type="dxa"/>
              <w:bottom w:w="0" w:type="dxa"/>
            </w:tcMar>
            <w:tcW w:w="1776" w:type="dxa"/>
            <w:vAlign w:val="center"/>
            <w:textDirection w:val="lrTb"/>
            <w:noWrap w:val="false"/>
          </w:tcPr>
          <w:p>
            <w:p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响应报价</w:t>
            </w:r>
            <w:r/>
          </w:p>
        </w:tc>
        <w:tc>
          <w:tcPr>
            <w:tcMar>
              <w:left w:w="15" w:type="dxa"/>
              <w:top w:w="15" w:type="dxa"/>
              <w:right w:w="15" w:type="dxa"/>
              <w:bottom w:w="0" w:type="dxa"/>
            </w:tcMar>
            <w:tcW w:w="6312"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按满足采购文件要求且最终有效比选价格最低的响应报价作为评审基准价，其价格分为满分；其他供应商的价格分按以下公式计算：响应报价得分＝（评审基准价/最终响应报价）×30（分值保留两位小数）。</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w:t>
            </w:r>
            <w:r/>
          </w:p>
        </w:tc>
        <w:tc>
          <w:tcPr>
            <w:gridSpan w:val="2"/>
            <w:tcMar>
              <w:left w:w="15" w:type="dxa"/>
              <w:top w:w="15" w:type="dxa"/>
              <w:right w:w="15" w:type="dxa"/>
              <w:bottom w:w="0" w:type="dxa"/>
            </w:tcMar>
            <w:tcW w:w="8088" w:type="dxa"/>
            <w:vAlign w:val="center"/>
            <w:textDirection w:val="lrTb"/>
            <w:noWrap w:val="false"/>
          </w:tcPr>
          <w:p>
            <w:pPr>
              <w:jc w:val="center"/>
              <w:spacing w:line="360" w:lineRule="exact"/>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商务及技术部分</w:t>
            </w:r>
            <w:r/>
          </w:p>
        </w:tc>
        <w:tc>
          <w:tcPr>
            <w:tcMar>
              <w:left w:w="15" w:type="dxa"/>
              <w:top w:w="15" w:type="dxa"/>
              <w:right w:w="15" w:type="dxa"/>
              <w:bottom w:w="0" w:type="dxa"/>
            </w:tcMar>
            <w:tcW w:w="653" w:type="dxa"/>
            <w:vAlign w:val="center"/>
            <w:textDirection w:val="lrTb"/>
            <w:noWrap w:val="false"/>
          </w:tcPr>
          <w:p>
            <w:pPr>
              <w:jc w:val="center"/>
              <w:spacing w:line="276" w:lineRule="auto"/>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70</w:t>
            </w:r>
            <w:r/>
          </w:p>
        </w:tc>
      </w:tr>
      <w:tr>
        <w:trPr>
          <w:jc w:val="center"/>
          <w:trHeight w:val="910"/>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Mar>
              <w:left w:w="15" w:type="dxa"/>
              <w:top w:w="15" w:type="dxa"/>
              <w:right w:w="15" w:type="dxa"/>
              <w:bottom w:w="0" w:type="dxa"/>
            </w:tcMar>
            <w:tcW w:w="1776" w:type="dxa"/>
            <w:vAlign w:val="center"/>
            <w:textDirection w:val="lrTb"/>
            <w:noWrap w:val="false"/>
          </w:tcPr>
          <w:p>
            <w:p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供应商业绩</w:t>
            </w:r>
            <w:r/>
          </w:p>
        </w:tc>
        <w:tc>
          <w:tcPr>
            <w:tcW w:w="6312" w:type="dxa"/>
            <w:vAlign w:val="center"/>
            <w:textDirection w:val="lrTb"/>
            <w:noWrap w:val="false"/>
          </w:tcPr>
          <w:p>
            <w:pPr>
              <w:jc w:val="left"/>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供应商自2022年1月1日以来（以签订合同时间为准）承担过类似智能化工程施工业绩的，每有一个得3分，共计得12分</w:t>
            </w:r>
            <w:r/>
          </w:p>
          <w:p>
            <w:pPr>
              <w:ind w:right="66"/>
              <w:jc w:val="left"/>
              <w:spacing w:before="3" w:line="284"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注：业绩证明材料须同时提供施工合同、竣工验收证明及对应发票三者缺一不可。响应文件中提供扫描件加盖公章。</w:t>
            </w:r>
            <w:r/>
          </w:p>
          <w:p>
            <w:pPr>
              <w:ind w:right="66"/>
              <w:spacing w:before="3" w:line="284"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pacing w:val="-2"/>
                <w:szCs w:val="21"/>
                <w:highlight w:val="none"/>
              </w:rPr>
              <w:t xml:space="preserve">响应单位提供的</w:t>
            </w:r>
            <w:r>
              <w:rPr>
                <w:rFonts w:hint="eastAsia" w:cs="宋体" w:asciiTheme="minorEastAsia" w:hAnsiTheme="minorEastAsia" w:eastAsiaTheme="minorEastAsia"/>
                <w:color w:val="auto"/>
                <w:szCs w:val="21"/>
                <w:highlight w:val="none"/>
                <w:u w:val="single"/>
              </w:rPr>
              <w:t xml:space="preserve">施工合同、竣工验收证明资料如不足以证明类似业绩的，</w:t>
            </w:r>
            <w:r>
              <w:rPr>
                <w:rFonts w:hint="eastAsia" w:cs="宋体" w:asciiTheme="minorEastAsia" w:hAnsiTheme="minorEastAsia" w:eastAsiaTheme="minorEastAsia"/>
                <w:color w:val="auto"/>
                <w:spacing w:val="-2"/>
                <w:szCs w:val="21"/>
                <w:highlight w:val="none"/>
              </w:rPr>
              <w:t xml:space="preserve">须提供“其它辅助证明</w:t>
            </w:r>
            <w:r>
              <w:rPr>
                <w:rFonts w:hint="eastAsia" w:cs="宋体" w:asciiTheme="minorEastAsia" w:hAnsiTheme="minorEastAsia" w:eastAsiaTheme="minorEastAsia"/>
                <w:color w:val="auto"/>
                <w:spacing w:val="-85"/>
                <w:szCs w:val="21"/>
                <w:highlight w:val="none"/>
              </w:rPr>
              <w:t xml:space="preserve"> </w:t>
            </w:r>
            <w:r>
              <w:rPr>
                <w:rFonts w:hint="eastAsia" w:cs="宋体" w:asciiTheme="minorEastAsia" w:hAnsiTheme="minorEastAsia" w:eastAsiaTheme="minorEastAsia"/>
                <w:color w:val="auto"/>
                <w:spacing w:val="-11"/>
                <w:szCs w:val="21"/>
                <w:highlight w:val="none"/>
              </w:rPr>
              <w:t xml:space="preserve">材料”（如有）作为类似工程施工业绩证明材料。</w:t>
            </w:r>
            <w:r/>
          </w:p>
          <w:p>
            <w:pPr>
              <w:jc w:val="left"/>
              <w:spacing w:line="360" w:lineRule="exact"/>
              <w:widowControl/>
              <w:rPr>
                <w:rFonts w:hint="eastAsia" w:cs="宋体" w:asciiTheme="minorEastAsia" w:hAnsiTheme="minorEastAsia" w:eastAsiaTheme="minorEastAsia"/>
                <w:color w:val="auto"/>
                <w:spacing w:val="-4"/>
                <w:szCs w:val="21"/>
                <w:highlight w:val="none"/>
              </w:rPr>
            </w:pPr>
            <w:r>
              <w:rPr>
                <w:rFonts w:hint="eastAsia" w:cs="宋体" w:asciiTheme="minorEastAsia" w:hAnsiTheme="minorEastAsia" w:eastAsiaTheme="minorEastAsia"/>
                <w:color w:val="auto"/>
                <w:spacing w:val="-10"/>
                <w:szCs w:val="21"/>
                <w:highlight w:val="none"/>
              </w:rPr>
              <w:t xml:space="preserve">其它辅助证明材料指：</w:t>
            </w:r>
            <w:r>
              <w:rPr>
                <w:rFonts w:hint="eastAsia" w:cs="宋体" w:asciiTheme="minorEastAsia" w:hAnsiTheme="minorEastAsia" w:eastAsiaTheme="minorEastAsia"/>
                <w:color w:val="auto"/>
                <w:spacing w:val="1"/>
                <w:szCs w:val="21"/>
                <w:highlight w:val="none"/>
              </w:rPr>
              <w:t xml:space="preserve">“审图合格的该业绩相应部分图纸（含</w:t>
            </w:r>
            <w:r>
              <w:rPr>
                <w:rFonts w:hint="eastAsia" w:cs="宋体" w:asciiTheme="minorEastAsia" w:hAnsiTheme="minorEastAsia" w:eastAsiaTheme="minorEastAsia"/>
                <w:color w:val="auto"/>
                <w:spacing w:val="-78"/>
                <w:szCs w:val="21"/>
                <w:highlight w:val="none"/>
              </w:rPr>
              <w:t xml:space="preserve"> </w:t>
            </w:r>
            <w:r>
              <w:rPr>
                <w:rFonts w:hint="eastAsia" w:cs="宋体" w:asciiTheme="minorEastAsia" w:hAnsiTheme="minorEastAsia" w:eastAsiaTheme="minorEastAsia"/>
                <w:color w:val="auto"/>
                <w:spacing w:val="2"/>
                <w:szCs w:val="21"/>
                <w:highlight w:val="none"/>
              </w:rPr>
              <w:t xml:space="preserve">施工图设计说明）”或 “该业绩建设单位出具的证明材料</w:t>
            </w:r>
            <w:r>
              <w:rPr>
                <w:rFonts w:hint="eastAsia" w:cs="宋体" w:asciiTheme="minorEastAsia" w:hAnsiTheme="minorEastAsia" w:eastAsiaTheme="minorEastAsia"/>
                <w:color w:val="auto"/>
                <w:spacing w:val="-85"/>
                <w:szCs w:val="21"/>
                <w:highlight w:val="none"/>
              </w:rPr>
              <w:t xml:space="preserve"> </w:t>
            </w:r>
            <w:r>
              <w:rPr>
                <w:rFonts w:hint="eastAsia" w:cs="宋体" w:asciiTheme="minorEastAsia" w:hAnsiTheme="minorEastAsia" w:eastAsiaTheme="minorEastAsia"/>
                <w:color w:val="auto"/>
                <w:spacing w:val="-4"/>
                <w:szCs w:val="21"/>
                <w:highlight w:val="none"/>
              </w:rPr>
              <w:t xml:space="preserve">（证明材料上需加盖该业绩建设单位公章）”。</w:t>
            </w:r>
            <w:r/>
          </w:p>
          <w:p>
            <w:pPr>
              <w:pStyle w:val="1123"/>
              <w:ind w:firstLine="0"/>
              <w:spacing w:line="440" w:lineRule="exact"/>
              <w:rPr>
                <w:rFonts w:hint="eastAsia" w:cs="宋体"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 xml:space="preserve">签订合同之前，采购单位有权对业绩资料的真实性进行考察。如有伪造，视作响应单位自动放弃比选及成交资格，并视作响应单位自动放弃全部权利并接受相关处罚。</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r>
      <w:tr>
        <w:trPr>
          <w:jc w:val="center"/>
          <w:trHeight w:val="1326"/>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供应商能力</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供应商具有CCRC信息系统安全集成服务资质认证的证书得4分，本项最高得4分。（须提供有效期内的证书复印件加盖供应商公章）</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拟投入本项目的人员能力</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为本项目配备的实施成员（不含项目经理）（12分）：</w:t>
            </w:r>
            <w:r/>
          </w:p>
          <w:p>
            <w:pPr>
              <w:jc w:val="left"/>
              <w:spacing w:line="400" w:lineRule="atLeast"/>
              <w:rPr>
                <w:rFonts w:hint="eastAsia" w:asciiTheme="minorEastAsia" w:hAnsiTheme="minorEastAsia" w:eastAsiaTheme="minorEastAsia"/>
                <w:color w:val="auto"/>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Cs w:val="21"/>
                <w:highlight w:val="none"/>
                <w:lang w:bidi="ar"/>
              </w:rPr>
              <w:t xml:space="preserve">（1）具有所投产品（网络、监控设备）厂家认证工程师证书，每提供一个证书得2分，本项最高得4分； </w:t>
            </w:r>
            <w:r>
              <w:rPr>
                <w:rFonts w:hint="eastAsia" w:cs="宋体" w:asciiTheme="minorEastAsia" w:hAnsiTheme="minorEastAsia" w:eastAsiaTheme="minorEastAsia"/>
                <w:color w:val="auto"/>
                <w:szCs w:val="21"/>
                <w:highlight w:val="none"/>
                <w:lang w:bidi="ar"/>
              </w:rPr>
              <w:br/>
            </w:r>
            <w:r>
              <w:rPr>
                <w:rFonts w:hint="eastAsia" w:cs="宋体" w:asciiTheme="minorEastAsia" w:hAnsiTheme="minorEastAsia" w:eastAsiaTheme="minorEastAsia"/>
                <w:color w:val="auto"/>
                <w:szCs w:val="21"/>
                <w:highlight w:val="none"/>
                <w:lang w:bidi="ar"/>
              </w:rPr>
              <w:t xml:space="preserve">（2）具有系统集成、建筑智能化相关中级及以上证书的每提供一个证书的2分，本项最高得4分；</w:t>
            </w:r>
            <w:r/>
          </w:p>
          <w:p>
            <w:pPr>
              <w:spacing w:line="400" w:lineRule="atLeast"/>
              <w:rPr>
                <w:rFonts w:hint="eastAsia" w:asciiTheme="minorEastAsia" w:hAnsiTheme="minorEastAsia" w:eastAsiaTheme="minor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lang w:bidi="ar"/>
              </w:rPr>
              <w:t xml:space="preserve">具有安全员C证，电工证（应急管理或</w:t>
            </w:r>
            <w:r>
              <w:rPr>
                <w:rFonts w:cs="宋体" w:asciiTheme="minorEastAsia" w:hAnsiTheme="minorEastAsia" w:eastAsiaTheme="minorEastAsia"/>
                <w:color w:val="auto"/>
                <w:szCs w:val="21"/>
                <w:highlight w:val="none"/>
                <w:lang w:bidi="ar"/>
              </w:rPr>
              <w:t xml:space="preserve">人力资源</w:t>
            </w:r>
            <w:r>
              <w:rPr>
                <w:rFonts w:hint="eastAsia" w:cs="宋体" w:asciiTheme="minorEastAsia" w:hAnsiTheme="minorEastAsia" w:eastAsiaTheme="minorEastAsia"/>
                <w:color w:val="auto"/>
                <w:szCs w:val="21"/>
                <w:highlight w:val="none"/>
                <w:lang w:bidi="ar"/>
              </w:rPr>
              <w:t xml:space="preserve">备案）每提供一个证书得2分，本项最高得4分。</w:t>
            </w:r>
            <w:r/>
          </w:p>
          <w:p>
            <w:pPr>
              <w:spacing w:line="360" w:lineRule="exact"/>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注：1、响应文件提供有效期内的证书扫描件并加盖供应商公章，并提供供应商为其缴纳的近六个月（不含投标当月）任意一个月的社保证明，未提供的不得分。2、项目组成员（不含项目负责人）中同一人员具有多个证书的不重复记分；同一类证书不重复记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对本项目的现状情况及功能和需求的理解程度进行评分</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通过对本项目的理解进行阐述：项目总体实施解决方案,包含建设目标、需求分析、系统功能、系统架构、具体施工步骤等。阐述内容科学合理、全面完整的得</w:t>
            </w:r>
            <w:r>
              <w:rPr>
                <w:rFonts w:cs="宋体" w:asciiTheme="minorEastAsia" w:hAnsiTheme="minorEastAsia" w:eastAsiaTheme="minorEastAsia"/>
                <w:color w:val="auto"/>
                <w:szCs w:val="21"/>
                <w:highlight w:val="none"/>
                <w:lang w:bidi="ar"/>
              </w:rPr>
              <w:t xml:space="preserve">7</w:t>
            </w:r>
            <w:r>
              <w:rPr>
                <w:rFonts w:hint="eastAsia" w:cs="宋体" w:asciiTheme="minorEastAsia" w:hAnsiTheme="minorEastAsia" w:eastAsiaTheme="minorEastAsia"/>
                <w:color w:val="auto"/>
                <w:szCs w:val="21"/>
                <w:highlight w:val="none"/>
                <w:lang w:bidi="ar"/>
              </w:rPr>
              <w:t xml:space="preserve">分；阐述内容基本科学合理、完整的得</w:t>
            </w:r>
            <w:r>
              <w:rPr>
                <w:rFonts w:cs="宋体" w:asciiTheme="minorEastAsia" w:hAnsiTheme="minorEastAsia" w:eastAsiaTheme="minorEastAsia"/>
                <w:color w:val="auto"/>
                <w:szCs w:val="21"/>
                <w:highlight w:val="none"/>
                <w:lang w:bidi="ar"/>
              </w:rPr>
              <w:t xml:space="preserve">5</w:t>
            </w:r>
            <w:r>
              <w:rPr>
                <w:rFonts w:hint="eastAsia" w:cs="宋体" w:asciiTheme="minorEastAsia" w:hAnsiTheme="minorEastAsia" w:eastAsiaTheme="minorEastAsia"/>
                <w:color w:val="auto"/>
                <w:szCs w:val="21"/>
                <w:highlight w:val="none"/>
                <w:lang w:bidi="ar"/>
              </w:rPr>
              <w:t xml:space="preserve">分；阐述内容无针对性、缺漏的得</w:t>
            </w:r>
            <w:r>
              <w:rPr>
                <w:rFonts w:cs="宋体" w:asciiTheme="minorEastAsia" w:hAnsiTheme="minorEastAsia" w:eastAsiaTheme="minorEastAsia"/>
                <w:color w:val="auto"/>
                <w:szCs w:val="21"/>
                <w:highlight w:val="none"/>
                <w:lang w:bidi="ar"/>
              </w:rPr>
              <w:t xml:space="preserve">3</w:t>
            </w:r>
            <w:r>
              <w:rPr>
                <w:rFonts w:hint="eastAsia" w:cs="宋体" w:asciiTheme="minorEastAsia" w:hAnsiTheme="minorEastAsia" w:eastAsiaTheme="minorEastAsia"/>
                <w:color w:val="auto"/>
                <w:szCs w:val="21"/>
                <w:highlight w:val="none"/>
                <w:lang w:bidi="ar"/>
              </w:rPr>
              <w:t xml:space="preserve">分；未提供相应内容的不得分。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对本项目工作重难点分析及解决措施比较</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提出的项目重难点符合实际，分析有针对性，并提出解决、防范方案的得</w:t>
            </w:r>
            <w:r>
              <w:rPr>
                <w:rFonts w:cs="宋体" w:asciiTheme="minorEastAsia" w:hAnsiTheme="minorEastAsia" w:eastAsiaTheme="minorEastAsia"/>
                <w:color w:val="auto"/>
                <w:szCs w:val="21"/>
                <w:highlight w:val="none"/>
                <w:lang w:bidi="ar"/>
              </w:rPr>
              <w:t xml:space="preserve">6</w:t>
            </w:r>
            <w:r>
              <w:rPr>
                <w:rFonts w:hint="eastAsia" w:cs="宋体" w:asciiTheme="minorEastAsia" w:hAnsiTheme="minorEastAsia" w:eastAsiaTheme="minorEastAsia"/>
                <w:color w:val="auto"/>
                <w:szCs w:val="21"/>
                <w:highlight w:val="none"/>
                <w:lang w:bidi="ar"/>
              </w:rPr>
              <w:t xml:space="preserve">分；提出的项目重难点能符合实际，并提出解决、防范方案的得4分；提出项目重难点并有一定的解决、防范措施的得2分；未提供相关内容不得分。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6</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对本项目进度控制及工期保证措施进行评分</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项目进度符合采购要求并有具体进度安排及工期保证措施，时间上留有一定余地的得</w:t>
            </w:r>
            <w:r>
              <w:rPr>
                <w:rFonts w:cs="宋体" w:asciiTheme="minorEastAsia" w:hAnsiTheme="minorEastAsia" w:eastAsiaTheme="minorEastAsia"/>
                <w:color w:val="auto"/>
                <w:szCs w:val="21"/>
                <w:highlight w:val="none"/>
                <w:lang w:bidi="ar"/>
              </w:rPr>
              <w:t xml:space="preserve">7</w:t>
            </w:r>
            <w:r>
              <w:rPr>
                <w:rFonts w:hint="eastAsia" w:cs="宋体" w:asciiTheme="minorEastAsia" w:hAnsiTheme="minorEastAsia" w:eastAsiaTheme="minorEastAsia"/>
                <w:color w:val="auto"/>
                <w:szCs w:val="21"/>
                <w:highlight w:val="none"/>
                <w:lang w:bidi="ar"/>
              </w:rPr>
              <w:t xml:space="preserve">分；项目进度符合采购要求并有具体进度安排及工期保证措施的得</w:t>
            </w:r>
            <w:r>
              <w:rPr>
                <w:rFonts w:cs="宋体" w:asciiTheme="minorEastAsia" w:hAnsiTheme="minorEastAsia" w:eastAsiaTheme="minorEastAsia"/>
                <w:color w:val="auto"/>
                <w:szCs w:val="21"/>
                <w:highlight w:val="none"/>
                <w:lang w:bidi="ar"/>
              </w:rPr>
              <w:t xml:space="preserve">5</w:t>
            </w:r>
            <w:r>
              <w:rPr>
                <w:rFonts w:hint="eastAsia" w:cs="宋体" w:asciiTheme="minorEastAsia" w:hAnsiTheme="minorEastAsia" w:eastAsiaTheme="minorEastAsia"/>
                <w:color w:val="auto"/>
                <w:szCs w:val="21"/>
                <w:highlight w:val="none"/>
                <w:lang w:bidi="ar"/>
              </w:rPr>
              <w:t xml:space="preserve">分；承诺项目进度符合采购要求的得</w:t>
            </w:r>
            <w:r>
              <w:rPr>
                <w:rFonts w:cs="宋体" w:asciiTheme="minorEastAsia" w:hAnsiTheme="minorEastAsia" w:eastAsiaTheme="minorEastAsia"/>
                <w:color w:val="auto"/>
                <w:szCs w:val="21"/>
                <w:highlight w:val="none"/>
                <w:lang w:bidi="ar"/>
              </w:rPr>
              <w:t xml:space="preserve">3</w:t>
            </w:r>
            <w:r>
              <w:rPr>
                <w:rFonts w:hint="eastAsia" w:cs="宋体" w:asciiTheme="minorEastAsia" w:hAnsiTheme="minorEastAsia" w:eastAsiaTheme="minorEastAsia"/>
                <w:color w:val="auto"/>
                <w:szCs w:val="21"/>
                <w:highlight w:val="none"/>
                <w:lang w:bidi="ar"/>
              </w:rPr>
              <w:t xml:space="preserve">分；未提供响应内容不得分。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t xml:space="preserve">7</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对本项目质量控制及保障措施的进行评分</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质量管理目标明确并有相应的完善的质量保证保障措施的得7分；质量管理目标一般并有相应的质量保证保障措施的得</w:t>
            </w:r>
            <w:r>
              <w:rPr>
                <w:rFonts w:cs="宋体" w:asciiTheme="minorEastAsia" w:hAnsiTheme="minorEastAsia" w:eastAsiaTheme="minorEastAsia"/>
                <w:color w:val="auto"/>
                <w:szCs w:val="21"/>
                <w:highlight w:val="none"/>
                <w:lang w:bidi="ar"/>
              </w:rPr>
              <w:t xml:space="preserve">5</w:t>
            </w:r>
            <w:r>
              <w:rPr>
                <w:rFonts w:hint="eastAsia" w:cs="宋体" w:asciiTheme="minorEastAsia" w:hAnsiTheme="minorEastAsia" w:eastAsiaTheme="minorEastAsia"/>
                <w:color w:val="auto"/>
                <w:szCs w:val="21"/>
                <w:highlight w:val="none"/>
                <w:lang w:bidi="ar"/>
              </w:rPr>
              <w:t xml:space="preserve">分；质量管理目标较差的得</w:t>
            </w:r>
            <w:r>
              <w:rPr>
                <w:rFonts w:cs="宋体" w:asciiTheme="minorEastAsia" w:hAnsiTheme="minorEastAsia" w:eastAsiaTheme="minorEastAsia"/>
                <w:color w:val="auto"/>
                <w:szCs w:val="21"/>
                <w:highlight w:val="none"/>
                <w:lang w:bidi="ar"/>
              </w:rPr>
              <w:t xml:space="preserve">3</w:t>
            </w:r>
            <w:r>
              <w:rPr>
                <w:rFonts w:hint="eastAsia" w:cs="宋体" w:asciiTheme="minorEastAsia" w:hAnsiTheme="minorEastAsia" w:eastAsiaTheme="minorEastAsia"/>
                <w:color w:val="auto"/>
                <w:szCs w:val="21"/>
                <w:highlight w:val="none"/>
                <w:lang w:bidi="ar"/>
              </w:rPr>
              <w:t xml:space="preserve">分；未提供不得分。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7</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对本项目安全文明施工及环境保护措施进行评分</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安全文明及环保措施符合省、市、区的相关规定、有相应的措施、安全生产责任制度完善的得5分；安全文明与环保措施符合省、市、区的相关规定、有相应措施的得3分；承诺安全文明与环保能达到要求的得1分；未提供相关内容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t xml:space="preserve">5</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针对本项目的合理化建议及保证措施</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措施完整详细、可行性强的得</w:t>
            </w:r>
            <w:r>
              <w:rPr>
                <w:rFonts w:cs="宋体" w:asciiTheme="minorEastAsia" w:hAnsiTheme="minorEastAsia" w:eastAsiaTheme="minorEastAsia"/>
                <w:color w:val="auto"/>
                <w:szCs w:val="21"/>
                <w:highlight w:val="none"/>
                <w:lang w:bidi="ar"/>
              </w:rPr>
              <w:t xml:space="preserve">3</w:t>
            </w:r>
            <w:r>
              <w:rPr>
                <w:rFonts w:hint="eastAsia" w:cs="宋体" w:asciiTheme="minorEastAsia" w:hAnsiTheme="minorEastAsia" w:eastAsiaTheme="minorEastAsia"/>
                <w:color w:val="auto"/>
                <w:szCs w:val="21"/>
                <w:highlight w:val="none"/>
                <w:lang w:bidi="ar"/>
              </w:rPr>
              <w:t xml:space="preserve">分；措施较详细、可行性一般的得</w:t>
            </w:r>
            <w:r>
              <w:rPr>
                <w:rFonts w:cs="宋体" w:asciiTheme="minorEastAsia" w:hAnsiTheme="minorEastAsia" w:eastAsiaTheme="minorEastAsia"/>
                <w:color w:val="auto"/>
                <w:szCs w:val="21"/>
                <w:highlight w:val="none"/>
                <w:lang w:bidi="ar"/>
              </w:rPr>
              <w:t xml:space="preserve">2</w:t>
            </w:r>
            <w:r>
              <w:rPr>
                <w:rFonts w:hint="eastAsia" w:cs="宋体" w:asciiTheme="minorEastAsia" w:hAnsiTheme="minorEastAsia" w:eastAsiaTheme="minorEastAsia"/>
                <w:color w:val="auto"/>
                <w:szCs w:val="21"/>
                <w:highlight w:val="none"/>
                <w:lang w:bidi="ar"/>
              </w:rPr>
              <w:t xml:space="preserve">分；措施不够详细、可行性差的得</w:t>
            </w:r>
            <w:r>
              <w:rPr>
                <w:rFonts w:cs="宋体" w:asciiTheme="minorEastAsia" w:hAnsiTheme="minorEastAsia" w:eastAsiaTheme="minorEastAsia"/>
                <w:color w:val="auto"/>
                <w:szCs w:val="21"/>
                <w:highlight w:val="none"/>
                <w:lang w:bidi="ar"/>
              </w:rPr>
              <w:t xml:space="preserve">1</w:t>
            </w:r>
            <w:r>
              <w:rPr>
                <w:rFonts w:hint="eastAsia" w:cs="宋体" w:asciiTheme="minorEastAsia" w:hAnsiTheme="minorEastAsia" w:eastAsiaTheme="minorEastAsia"/>
                <w:color w:val="auto"/>
                <w:szCs w:val="21"/>
                <w:highlight w:val="none"/>
                <w:lang w:bidi="ar"/>
              </w:rPr>
              <w:t xml:space="preserve">分；未提供不得分。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t xml:space="preserve">3</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Mar>
              <w:left w:w="15" w:type="dxa"/>
              <w:top w:w="15" w:type="dxa"/>
              <w:right w:w="15" w:type="dxa"/>
              <w:bottom w:w="0" w:type="dxa"/>
            </w:tcMar>
            <w:tcW w:w="1776" w:type="dxa"/>
            <w:vAlign w:val="center"/>
            <w:textDirection w:val="lrTb"/>
            <w:noWrap w:val="false"/>
          </w:tcPr>
          <w:p>
            <w:pPr>
              <w:spacing w:line="360" w:lineRule="exact"/>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针对本项目的售后服务内容（响应时间、方式等）、保障措施等方面比较</w:t>
            </w:r>
            <w:r/>
          </w:p>
        </w:tc>
        <w:tc>
          <w:tcPr>
            <w:tcW w:w="6312" w:type="dxa"/>
            <w:vAlign w:val="center"/>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服务响应时间及方式符合采购需求、有完整的售后服务体系（紧急事务的处理、应急资源的保证、售后回访及使用操作培训等）、具体的保证措施得</w:t>
            </w:r>
            <w:r>
              <w:rPr>
                <w:rFonts w:cs="宋体" w:asciiTheme="minorEastAsia" w:hAnsiTheme="minorEastAsia" w:eastAsiaTheme="minorEastAsia"/>
                <w:color w:val="auto"/>
                <w:szCs w:val="21"/>
                <w:highlight w:val="none"/>
                <w:lang w:bidi="ar"/>
              </w:rPr>
              <w:t xml:space="preserve">7</w:t>
            </w:r>
            <w:r>
              <w:rPr>
                <w:rFonts w:hint="eastAsia" w:cs="宋体" w:asciiTheme="minorEastAsia" w:hAnsiTheme="minorEastAsia" w:eastAsiaTheme="minorEastAsia"/>
                <w:color w:val="auto"/>
                <w:szCs w:val="21"/>
                <w:highlight w:val="none"/>
                <w:lang w:bidi="ar"/>
              </w:rPr>
              <w:t xml:space="preserve">分；响应时间及方式符合采购需求、有售后服务体系的得</w:t>
            </w:r>
            <w:r>
              <w:rPr>
                <w:rFonts w:cs="宋体" w:asciiTheme="minorEastAsia" w:hAnsiTheme="minorEastAsia" w:eastAsiaTheme="minorEastAsia"/>
                <w:color w:val="auto"/>
                <w:szCs w:val="21"/>
                <w:highlight w:val="none"/>
                <w:lang w:bidi="ar"/>
              </w:rPr>
              <w:t xml:space="preserve">5</w:t>
            </w:r>
            <w:r>
              <w:rPr>
                <w:rFonts w:hint="eastAsia" w:cs="宋体" w:asciiTheme="minorEastAsia" w:hAnsiTheme="minorEastAsia" w:eastAsiaTheme="minorEastAsia"/>
                <w:color w:val="auto"/>
                <w:szCs w:val="21"/>
                <w:highlight w:val="none"/>
                <w:lang w:bidi="ar"/>
              </w:rPr>
              <w:t xml:space="preserve">分；响应时间及方式符合采购需求的得</w:t>
            </w:r>
            <w:r>
              <w:rPr>
                <w:rFonts w:cs="宋体" w:asciiTheme="minorEastAsia" w:hAnsiTheme="minorEastAsia" w:eastAsiaTheme="minorEastAsia"/>
                <w:color w:val="auto"/>
                <w:szCs w:val="21"/>
                <w:highlight w:val="none"/>
                <w:lang w:bidi="ar"/>
              </w:rPr>
              <w:t xml:space="preserve">3</w:t>
            </w:r>
            <w:r>
              <w:rPr>
                <w:rFonts w:hint="eastAsia" w:cs="宋体" w:asciiTheme="minorEastAsia" w:hAnsiTheme="minorEastAsia" w:eastAsiaTheme="minorEastAsia"/>
                <w:color w:val="auto"/>
                <w:szCs w:val="21"/>
                <w:highlight w:val="none"/>
                <w:lang w:bidi="ar"/>
              </w:rPr>
              <w:t xml:space="preserve">分；未提供相关内容不得分。</w:t>
            </w:r>
            <w:r/>
          </w:p>
        </w:tc>
        <w:tc>
          <w:tcPr>
            <w:tcMar>
              <w:left w:w="15" w:type="dxa"/>
              <w:top w:w="15" w:type="dxa"/>
              <w:right w:w="15" w:type="dxa"/>
              <w:bottom w:w="0" w:type="dxa"/>
            </w:tcMar>
            <w:tcW w:w="653" w:type="dxa"/>
            <w:vAlign w:val="center"/>
            <w:textDirection w:val="lrTb"/>
            <w:noWrap w:val="false"/>
          </w:tcPr>
          <w:p>
            <w:pPr>
              <w:jc w:val="center"/>
              <w:spacing w:line="360" w:lineRule="auto"/>
              <w:rPr>
                <w:rFonts w:hint="eastAsia"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t xml:space="preserve">7</w:t>
            </w:r>
            <w:r/>
          </w:p>
        </w:tc>
      </w:tr>
    </w:tbl>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注：1.上述响应文件中，证书或证明或业绩必须提供复印件或扫描件（加盖供应商公章），如发现弄虚作假的，将按照本采购文件相关条款规定予以处理。</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2.评委依据采购文件载明的方法评分，评分四舍五入精确到小数点后两位。</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3.政府采购政策功能落实。</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六、成交供应商的确定</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磋商小组汇总各评委评分后，按照得分从高到低的顺序推荐3名成交候选人，并编写评审报告。</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采购人委托磋商小组直接确定排名第一的成交候选人为成交供应商。</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七、公告成交结果及发放成交通知书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883"/>
        <w:spacing w:line="360" w:lineRule="auto"/>
        <w:tabs>
          <w:tab w:val="left" w:pos="360" w:leader="none"/>
          <w:tab w:val="left" w:pos="1080" w:leader="none"/>
        </w:tabs>
        <w:rPr>
          <w:rFonts w:hint="eastAsia" w:ascii="宋体" w:hAnsi="宋体" w:cs="宋体"/>
          <w:b/>
          <w:bCs/>
          <w:color w:val="auto"/>
          <w:szCs w:val="21"/>
          <w:highlight w:val="none"/>
        </w:rPr>
      </w:pPr>
      <w:r>
        <w:rPr>
          <w:rFonts w:hint="eastAsia"/>
          <w:b/>
          <w:color w:val="auto"/>
          <w:sz w:val="44"/>
          <w:szCs w:val="44"/>
          <w:highlight w:val="none"/>
        </w:rPr>
        <w:br w:type="page" w:clear="all"/>
      </w:r>
      <w:r/>
    </w:p>
    <w:p>
      <w:pPr>
        <w:pStyle w:val="964"/>
        <w:spacing w:line="360" w:lineRule="auto"/>
        <w:rPr>
          <w:rFonts w:hint="eastAsia" w:ascii="宋体" w:hAnsi="宋体"/>
          <w:bCs w:val="0"/>
          <w:color w:val="auto"/>
          <w:sz w:val="21"/>
          <w:szCs w:val="21"/>
          <w:highlight w:val="none"/>
        </w:rPr>
      </w:pPr>
      <w:r/>
      <w:bookmarkStart w:id="100" w:name="_Toc107246273"/>
      <w:r>
        <w:rPr>
          <w:rFonts w:hint="eastAsia" w:ascii="宋体" w:hAnsi="宋体"/>
          <w:bCs w:val="0"/>
          <w:color w:val="auto"/>
          <w:sz w:val="21"/>
          <w:szCs w:val="21"/>
          <w:highlight w:val="none"/>
        </w:rPr>
        <w:t xml:space="preserve">第六章 响应文件格式</w:t>
      </w:r>
      <w:bookmarkEnd w:id="10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一、资格审查文件</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1.法定代表人身份证明书及法定代表人身份证复印件；</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2.法定代表人授权委托书及授权委托人身份证复印件（如有）；</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3.联合体协议书（如有）；</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4.响应人营业执照复印件；</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5.供应商近六个月中任意一个月（不含投标当月）的财务状况报告（资产负债表和利润表）或由会计师事务所出具</w:t>
      </w:r>
      <w:bookmarkStart w:id="116" w:name="_GoBack"/>
      <w:r/>
      <w:bookmarkEnd w:id="116"/>
      <w:r>
        <w:rPr>
          <w:rFonts w:hint="eastAsia" w:ascii="宋体" w:hAnsi="宋体" w:cs="宋体"/>
          <w:color w:val="auto"/>
          <w:szCs w:val="21"/>
          <w:highlight w:val="none"/>
          <w:u w:val="single"/>
        </w:rPr>
        <w:t xml:space="preserve">的近两年中任意一个年度的审计报告和所附已审财务报告扫描件； </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6.供应商近六个月中任意一个月（不含投标当月）的依法缴纳税收的相关材料（提供相关主管部门证明或银行代扣证明）扫描件； </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7.提供供应商近六个月中任意一个月（不含投标当月）的所在地社保机构出具的</w:t>
      </w:r>
      <w:r>
        <w:rPr>
          <w:rFonts w:hint="eastAsia" w:ascii="宋体" w:hAnsi="宋体" w:cs="宋体"/>
          <w:bCs/>
          <w:color w:val="auto"/>
          <w:szCs w:val="21"/>
          <w:highlight w:val="none"/>
          <w:u w:val="single"/>
        </w:rPr>
        <w:t xml:space="preserve">社保缴费证明材料</w:t>
      </w:r>
      <w:r>
        <w:rPr>
          <w:rFonts w:hint="eastAsia" w:ascii="宋体" w:hAnsi="宋体" w:cs="宋体"/>
          <w:color w:val="auto"/>
          <w:szCs w:val="21"/>
          <w:highlight w:val="none"/>
          <w:u w:val="single"/>
        </w:rPr>
        <w:t xml:space="preserve">，</w:t>
      </w:r>
      <w:r>
        <w:rPr>
          <w:rFonts w:hint="eastAsia" w:ascii="宋体" w:hAnsi="宋体" w:cs="宋体"/>
          <w:bCs/>
          <w:color w:val="auto"/>
          <w:szCs w:val="21"/>
          <w:highlight w:val="none"/>
          <w:u w:val="single"/>
        </w:rPr>
        <w:t xml:space="preserve">成立不满一年的投标人无需提供社保缴费证明材料，但需提供书面情况说明及相关凭证</w:t>
      </w:r>
      <w:r>
        <w:rPr>
          <w:rFonts w:hint="eastAsia" w:ascii="宋体" w:hAnsi="宋体" w:cs="宋体"/>
          <w:color w:val="auto"/>
          <w:szCs w:val="21"/>
          <w:highlight w:val="none"/>
          <w:u w:val="single"/>
        </w:rPr>
        <w:t xml:space="preserve">；</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8.供应商符合《中华人民共和国政府采购法》第二十二条规定条件的承诺函；</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9.诚信承诺书；</w:t>
      </w:r>
      <w:r/>
    </w:p>
    <w:p>
      <w:pPr>
        <w:ind w:firstLine="480"/>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10.供应商未被列入失信被执行人名单、政府采购严重违法失信行为记录名单网站查询证明材料；</w:t>
      </w:r>
      <w:r/>
    </w:p>
    <w:p>
      <w:pPr>
        <w:ind w:firstLine="480"/>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u w:val="single"/>
        </w:rPr>
        <w:t xml:space="preserve">11.《中小企业声明函》或《残疾人福利性单位声明函》或监狱和戒毒企业证明材料。</w:t>
      </w:r>
      <w:r/>
    </w:p>
    <w:p>
      <w:pPr>
        <w:ind w:firstLine="482"/>
        <w:spacing w:line="360" w:lineRule="auto"/>
        <w:rPr>
          <w:rFonts w:cs="宋体"/>
          <w:color w:val="auto"/>
          <w:highlight w:val="none"/>
          <w:lang w:val="zh-CN"/>
        </w:rPr>
      </w:pPr>
      <w:r>
        <w:rPr>
          <w:rFonts w:hint="eastAsia" w:ascii="宋体" w:hAnsi="宋体" w:cs="宋体"/>
          <w:color w:val="auto"/>
          <w:szCs w:val="21"/>
          <w:highlight w:val="none"/>
        </w:rPr>
        <w:t xml:space="preserve">注：上述1—1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中任何一条不符合要求，则资格性审查不通过，按无效响应文件处理</w:t>
      </w:r>
      <w:r>
        <w:rPr>
          <w:rFonts w:hint="eastAsia" w:cs="宋体"/>
          <w:color w:val="auto"/>
          <w:lang w:val="zh-CN"/>
        </w:rPr>
        <w:t xml:space="preserve">（</w:t>
      </w:r>
      <w:r>
        <w:rPr>
          <w:rFonts w:hint="eastAsia" w:ascii="宋体" w:hAnsi="宋体" w:cs="宋体"/>
          <w:color w:val="auto"/>
          <w:szCs w:val="21"/>
        </w:rPr>
        <w:t xml:space="preserve">如为联合体投标的，联合体各方均需提供。</w:t>
      </w:r>
      <w:r>
        <w:rPr>
          <w:rFonts w:hint="eastAsia" w:cs="宋体"/>
          <w:color w:val="auto"/>
        </w:rPr>
        <w:t xml:space="preserve">磋商</w:t>
      </w:r>
      <w:r>
        <w:rPr>
          <w:rFonts w:hint="eastAsia" w:cs="宋体"/>
          <w:color w:val="auto"/>
          <w:lang w:val="zh-CN"/>
        </w:rPr>
        <w:t xml:space="preserve">文件要求提供的</w:t>
      </w:r>
      <w:r>
        <w:rPr>
          <w:rFonts w:hint="eastAsia" w:cs="宋体"/>
          <w:b/>
          <w:bCs/>
          <w:color w:val="auto"/>
          <w:lang w:val="zh-CN"/>
        </w:rPr>
        <w:t xml:space="preserve">资格审查证明材料</w:t>
      </w:r>
      <w:r>
        <w:rPr>
          <w:rFonts w:hint="eastAsia" w:cs="宋体"/>
          <w:color w:val="auto"/>
          <w:lang w:val="zh-CN"/>
        </w:rPr>
        <w:t xml:space="preserve">中没有对应的接口上传的资料，可以在本部分的其他材料的接口中上传）</w:t>
      </w:r>
      <w:r>
        <w:rPr>
          <w:rFonts w:hint="eastAsia" w:cs="宋体"/>
          <w:color w:val="auto"/>
          <w:lang w:val="zh-CN"/>
        </w:rPr>
        <w:t xml:space="preserve">。</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二、符合性审查文件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1.竞争性磋商响应函（格式参见第六章）；</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.技术条款响应及偏离表（格式参见第六章）；</w:t>
      </w:r>
      <w:r/>
    </w:p>
    <w:p>
      <w:pPr>
        <w:ind w:firstLine="48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.第四章项目需求中要求提供的材料（如有）</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bookmarkStart w:id="101" w:name="OLE_LINK1"/>
      <w:r>
        <w:rPr>
          <w:rFonts w:hint="eastAsia" w:ascii="宋体" w:hAnsi="宋体" w:cs="宋体"/>
          <w:color w:val="auto"/>
          <w:szCs w:val="21"/>
          <w:highlight w:val="none"/>
        </w:rPr>
        <w:t xml:space="preserve">己标价工程量清单</w:t>
      </w:r>
      <w:bookmarkEnd w:id="101"/>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5.项目组成人员表；</w:t>
      </w:r>
      <w:r/>
    </w:p>
    <w:p>
      <w:pPr>
        <w:ind w:firstLine="48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6.供应商须郑重承诺，所投设备具备接入泰州市公安网的兼容适配能力，完全满足该公安网接入的技术规范及安全管理要求。（格式自拟，未提供此项承诺的，视为未响应竞争性磋商文件要求，其投标文件作无效处理。</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.供应商认为需要提交的其他资料。</w:t>
      </w:r>
      <w:r/>
    </w:p>
    <w:p>
      <w:p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三、商务技术文件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1.评审办法中所涉及的事项需提供的所有资料；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2.评审办法中未涉及的事项，供应商认为需要提交的其他资料。</w:t>
      </w:r>
      <w:r/>
    </w:p>
    <w:p>
      <w:pPr>
        <w:ind w:firstLine="48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numPr>
          <w:ilvl w:val="0"/>
          <w:numId w:val="4"/>
        </w:numPr>
        <w:ind w:firstLine="48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报价响应文件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1.磋商响应报价表（开标一览表）附：己标价工程量清单； </w:t>
      </w:r>
      <w:r/>
    </w:p>
    <w:p>
      <w:pPr>
        <w:ind w:firstLine="422"/>
        <w:spacing w:before="100" w:after="100" w:line="360" w:lineRule="auto"/>
        <w:rPr>
          <w:rFonts w:hint="eastAsia" w:ascii="宋体" w:hAnsi="宋体" w:cs="宋体"/>
          <w:b/>
          <w:color w:val="auto"/>
          <w:szCs w:val="21"/>
          <w:highlight w:val="none"/>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before="100" w:after="100"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封面</w:t>
      </w:r>
      <w:r/>
    </w:p>
    <w:p>
      <w:pPr>
        <w:jc w:val="center"/>
        <w:spacing w:line="360" w:lineRule="auto"/>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jc w:val="center"/>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城北派出所智能化建设项目</w:t>
      </w:r>
      <w:r/>
    </w:p>
    <w:p>
      <w:pPr>
        <w:pStyle w:val="965"/>
        <w:ind w:firstLine="321"/>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65"/>
        <w:ind w:firstLine="321"/>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1130"/>
        <w:spacing w:line="360" w:lineRule="auto"/>
        <w:rPr>
          <w:color w:val="auto"/>
          <w:highlight w:val="none"/>
        </w:rPr>
      </w:pPr>
      <w:r>
        <w:rPr>
          <w:color w:val="auto"/>
          <w:highlight w:val="none"/>
        </w:rPr>
      </w:r>
      <w:r/>
    </w:p>
    <w:p>
      <w:pPr>
        <w:pStyle w:val="951"/>
        <w:jc w:val="center"/>
        <w:spacing w:line="360" w:lineRule="auto"/>
        <w:rPr>
          <w:rFonts w:ascii="Microsoft New Tai Lue" w:hAnsi="Microsoft New Tai Lue" w:cs="Microsoft New Tai Lue"/>
          <w:b/>
          <w:color w:val="auto"/>
          <w:sz w:val="84"/>
          <w:szCs w:val="84"/>
          <w:highlight w:val="none"/>
        </w:rPr>
      </w:pPr>
      <w:r/>
      <w:bookmarkStart w:id="102" w:name="_Toc100905255"/>
      <w:r>
        <w:rPr>
          <w:rFonts w:hint="eastAsia" w:ascii="Microsoft New Tai Lue" w:hAnsi="Microsoft New Tai Lue" w:cs="Microsoft New Tai Lue"/>
          <w:b/>
          <w:color w:val="auto"/>
          <w:sz w:val="84"/>
          <w:szCs w:val="84"/>
          <w:highlight w:val="none"/>
        </w:rPr>
        <w:t xml:space="preserve">响</w:t>
      </w:r>
      <w:r>
        <w:rPr>
          <w:rFonts w:ascii="Microsoft New Tai Lue" w:hAnsi="Microsoft New Tai Lue" w:cs="Microsoft New Tai Lue"/>
          <w:b/>
          <w:color w:val="auto"/>
          <w:sz w:val="84"/>
          <w:szCs w:val="84"/>
          <w:highlight w:val="none"/>
        </w:rPr>
        <w:t xml:space="preserve"> </w:t>
      </w:r>
      <w:r>
        <w:rPr>
          <w:rFonts w:hint="eastAsia" w:ascii="Microsoft New Tai Lue" w:hAnsi="Microsoft New Tai Lue" w:cs="Microsoft New Tai Lue"/>
          <w:b/>
          <w:color w:val="auto"/>
          <w:sz w:val="84"/>
          <w:szCs w:val="84"/>
          <w:highlight w:val="none"/>
        </w:rPr>
        <w:t xml:space="preserve"> 应</w:t>
      </w:r>
      <w:r>
        <w:rPr>
          <w:rFonts w:ascii="Microsoft New Tai Lue" w:hAnsi="Microsoft New Tai Lue" w:cs="Microsoft New Tai Lue"/>
          <w:b/>
          <w:color w:val="auto"/>
          <w:sz w:val="84"/>
          <w:szCs w:val="84"/>
          <w:highlight w:val="none"/>
        </w:rPr>
        <w:t xml:space="preserve"> 文 件</w:t>
      </w:r>
      <w:bookmarkEnd w:id="102"/>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firstLine="2209"/>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w:t>
      </w:r>
      <w:r/>
    </w:p>
    <w:p>
      <w:pPr>
        <w:pStyle w:val="951"/>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1"/>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1"/>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1"/>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1"/>
        <w:jc w:val="center"/>
        <w:spacing w:line="360" w:lineRule="auto"/>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rPr>
        <w:t xml:space="preserve">供应商</w:t>
      </w:r>
      <w:r>
        <w:rPr>
          <w:rFonts w:ascii="Microsoft New Tai Lue" w:hAnsi="Microsoft New Tai Lue" w:cs="Microsoft New Tai Lue"/>
          <w:b/>
          <w:color w:val="auto"/>
          <w:sz w:val="32"/>
          <w:szCs w:val="24"/>
          <w:highlight w:val="none"/>
        </w:rPr>
        <w:t xml:space="preserve">名称：</w:t>
      </w:r>
      <w:r>
        <w:rPr>
          <w:rFonts w:ascii="Microsoft New Tai Lue" w:hAnsi="Microsoft New Tai Lue" w:cs="Microsoft New Tai Lue"/>
          <w:b/>
          <w:color w:val="auto"/>
          <w:sz w:val="32"/>
          <w:szCs w:val="32"/>
          <w:highlight w:val="none"/>
        </w:rPr>
        <w:t xml:space="preserve">_____________________</w:t>
      </w:r>
      <w:r/>
    </w:p>
    <w:p>
      <w:pPr>
        <w:pStyle w:val="951"/>
        <w:jc w:val="center"/>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p>
    <w:p>
      <w:pPr>
        <w:jc w:val="center"/>
        <w:spacing w:line="360" w:lineRule="auto"/>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二〇二五</w:t>
      </w:r>
      <w:r>
        <w:rPr>
          <w:rFonts w:ascii="Microsoft New Tai Lue" w:hAnsi="Microsoft New Tai Lue" w:cs="Microsoft New Tai Lue"/>
          <w:b/>
          <w:color w:val="auto"/>
          <w:sz w:val="32"/>
          <w:highlight w:val="none"/>
        </w:rPr>
        <w:t xml:space="preserve">年  月  日</w:t>
      </w:r>
      <w:r/>
    </w:p>
    <w:p>
      <w:pPr>
        <w:spacing w:line="360" w:lineRule="auto"/>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br w:type="page" w:clear="all"/>
      </w:r>
      <w:bookmarkEnd w:id="97"/>
      <w:r/>
      <w:bookmarkEnd w:id="98"/>
      <w:r/>
      <w:bookmarkEnd w:id="99"/>
      <w:r/>
      <w:bookmarkStart w:id="103" w:name="_Toc337816640"/>
      <w:r/>
      <w:bookmarkStart w:id="104" w:name="_Toc456102676"/>
      <w:r/>
      <w:bookmarkStart w:id="105" w:name="_Toc456102499"/>
      <w:r/>
      <w:bookmarkStart w:id="106" w:name="_Toc456102122"/>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附件：</w:t>
      </w:r>
      <w:r/>
    </w:p>
    <w:p>
      <w:pPr>
        <w:jc w:val="center"/>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1.法定代表人身份证明</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磋商响应人（盖法人章）：</w:t>
      </w:r>
      <w:r>
        <w:rPr>
          <w:rFonts w:hint="eastAsia" w:ascii="宋体" w:hAnsi="宋体" w:cs="宋体"/>
          <w:color w:val="auto"/>
          <w:szCs w:val="21"/>
          <w:highlight w:val="none"/>
          <w:u w:val="single"/>
        </w:rPr>
        <w:t xml:space="preserve">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法定代表人（单位负责人）有效期内的身份证复印件（正反面）</w:t>
      </w:r>
      <w:r/>
    </w:p>
    <w:tbl>
      <w:tblPr>
        <w:tblStyle w:val="94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5"/>
              <w:jc w:val="center"/>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60" w:lineRule="auto"/>
              <w:widowControl/>
              <w:rPr>
                <w:color w:val="auto"/>
                <w:sz w:val="20"/>
                <w:highlight w:val="none"/>
              </w:rPr>
            </w:pPr>
            <w:r>
              <w:rPr>
                <w:i/>
                <w:color w:val="auto"/>
                <w:sz w:val="24"/>
                <w:highlight w:val="none"/>
              </w:rPr>
              <w:t xml:space="preserve">身份证反面</w:t>
            </w:r>
            <w:r/>
          </w:p>
        </w:tc>
      </w:tr>
    </w:tbl>
    <w:p>
      <w:pPr>
        <w:pStyle w:val="942"/>
        <w:spacing w:line="360" w:lineRule="auto"/>
        <w:rPr>
          <w:color w:val="auto"/>
          <w:highlight w:val="none"/>
        </w:rPr>
      </w:pPr>
      <w:r>
        <w:rPr>
          <w:color w:val="auto"/>
          <w:highlight w:val="none"/>
        </w:rPr>
      </w:r>
      <w:r/>
    </w:p>
    <w:p>
      <w:pPr>
        <w:pStyle w:val="932"/>
        <w:ind w:firstLine="422"/>
        <w:spacing w:before="0" w:after="0" w:line="360" w:lineRule="auto"/>
        <w:rPr>
          <w:rFonts w:hint="eastAsia" w:ascii="宋体" w:hAnsi="宋体" w:eastAsia="宋体"/>
          <w:color w:val="auto"/>
          <w:sz w:val="21"/>
          <w:szCs w:val="21"/>
          <w:highlight w:val="none"/>
        </w:rPr>
        <w:sectPr>
          <w:footerReference w:type="default" r:id="rId17"/>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932"/>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2.法定代表人授权书</w:t>
      </w:r>
      <w:r/>
    </w:p>
    <w:p>
      <w:pPr>
        <w:pStyle w:val="1131"/>
        <w:ind w:firstLine="422"/>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131"/>
        <w:ind w:left="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项目采购活动的合法代理人，以本公司名义全权处理一切与该项目采购有关的事务</w:t>
      </w:r>
      <w:r>
        <w:rPr>
          <w:rFonts w:hint="eastAsia"/>
          <w:color w:val="auto"/>
          <w:sz w:val="21"/>
          <w:szCs w:val="21"/>
          <w:highlight w:val="none"/>
        </w:rPr>
        <w:t xml:space="preserve">，其后果由我单位承担。</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代理人无转委托权，特此委托。</w:t>
      </w:r>
      <w:r/>
    </w:p>
    <w:p>
      <w:pPr>
        <w:pStyle w:val="1131"/>
        <w:ind w:firstLine="420"/>
        <w:spacing w:line="360" w:lineRule="auto"/>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法定代表人：（签字或盖章）_______________________</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授权单位名称（盖章）：_________________________________</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地址：_____________________________________</w:t>
      </w:r>
      <w:r/>
    </w:p>
    <w:p>
      <w:pPr>
        <w:pStyle w:val="1131"/>
        <w:ind w:firstLine="420"/>
        <w:spacing w:line="360" w:lineRule="auto"/>
        <w:rPr>
          <w:color w:val="auto"/>
          <w:highlight w:val="none"/>
        </w:rPr>
      </w:pPr>
      <w:r>
        <w:rPr>
          <w:rFonts w:hint="eastAsia" w:ascii="宋体" w:hAnsi="宋体"/>
          <w:color w:val="auto"/>
          <w:sz w:val="21"/>
          <w:szCs w:val="21"/>
          <w:highlight w:val="none"/>
        </w:rPr>
        <w:t xml:space="preserve">日期：</w:t>
      </w:r>
      <w:bookmarkStart w:id="107" w:name="_Hlt26671380"/>
      <w:r/>
      <w:bookmarkEnd w:id="107"/>
      <w:r/>
      <w:bookmarkStart w:id="108" w:name="_格式3__银行出具的资信证明"/>
      <w:r/>
      <w:bookmarkEnd w:id="108"/>
      <w:r/>
      <w:bookmarkStart w:id="109" w:name="_Hlt26955070"/>
      <w:r/>
      <w:bookmarkEnd w:id="109"/>
      <w:r>
        <w:rPr>
          <w:rFonts w:hint="eastAsia" w:ascii="宋体" w:hAnsi="宋体"/>
          <w:color w:val="auto"/>
          <w:sz w:val="21"/>
          <w:szCs w:val="21"/>
          <w:highlight w:val="none"/>
        </w:rPr>
        <w:t xml:space="preserve">     年  月  日</w:t>
      </w:r>
      <w:r/>
    </w:p>
    <w:p>
      <w:pPr>
        <w:spacing w:line="360" w:lineRule="auto"/>
        <w:rPr>
          <w:color w:val="auto"/>
          <w:szCs w:val="21"/>
          <w:highlight w:val="none"/>
        </w:rPr>
      </w:pPr>
      <w:r>
        <w:rPr>
          <w:color w:val="auto"/>
          <w:szCs w:val="21"/>
          <w:highlight w:val="none"/>
        </w:rPr>
      </w:r>
      <w:r/>
    </w:p>
    <w:p>
      <w:pPr>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4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5"/>
              <w:jc w:val="center"/>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60" w:lineRule="auto"/>
              <w:widowControl/>
              <w:rPr>
                <w:color w:val="auto"/>
                <w:sz w:val="20"/>
                <w:highlight w:val="none"/>
              </w:rPr>
            </w:pPr>
            <w:r>
              <w:rPr>
                <w:i/>
                <w:color w:val="auto"/>
                <w:sz w:val="24"/>
                <w:highlight w:val="none"/>
              </w:rPr>
              <w:t xml:space="preserve">身份证反面</w:t>
            </w:r>
            <w:r/>
          </w:p>
        </w:tc>
      </w:tr>
    </w:tbl>
    <w:p>
      <w:pPr>
        <w:pStyle w:val="946"/>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946"/>
        <w:ind w:firstLine="42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1.若供应商为分公司、分支机构等依法无须设置法定代表人职务的单位（仅当招标文件注明允许上述单位投标时），法定代表人签字处可由单位负责人签署。</w:t>
      </w:r>
      <w:r/>
    </w:p>
    <w:p>
      <w:pPr>
        <w:pStyle w:val="946"/>
        <w:ind w:firstLine="42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r/>
    </w:p>
    <w:p>
      <w:pPr>
        <w:pStyle w:val="942"/>
        <w:spacing w:line="360" w:lineRule="auto"/>
        <w:rPr>
          <w:color w:val="auto"/>
          <w:highlight w:val="none"/>
        </w:rPr>
      </w:pPr>
      <w:r>
        <w:rPr>
          <w:color w:val="auto"/>
          <w:highlight w:val="none"/>
        </w:rPr>
      </w:r>
      <w:r/>
    </w:p>
    <w:p>
      <w:pPr>
        <w:pStyle w:val="932"/>
        <w:jc w:val="both"/>
        <w:spacing w:line="360" w:lineRule="auto"/>
        <w:rPr>
          <w:rFonts w:hint="eastAsia" w:ascii="宋体" w:hAnsi="宋体" w:eastAsia="宋体"/>
          <w:color w:val="auto"/>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93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3.供应商资格声明书 </w:t>
      </w:r>
      <w:r/>
    </w:p>
    <w:p>
      <w:pPr>
        <w:spacing w:line="360" w:lineRule="auto"/>
        <w:tabs>
          <w:tab w:val="left" w:pos="5580" w:leader="none"/>
        </w:tabs>
        <w:rPr>
          <w:color w:val="auto"/>
          <w:szCs w:val="21"/>
          <w:highlight w:val="none"/>
        </w:rPr>
      </w:pPr>
      <w:r>
        <w:rPr>
          <w:rFonts w:hint="eastAsia"/>
          <w:color w:val="auto"/>
          <w:szCs w:val="21"/>
          <w:highlight w:val="none"/>
        </w:rPr>
        <w:t xml:space="preserve">致：</w:t>
      </w:r>
      <w:r>
        <w:rPr>
          <w:rFonts w:hint="eastAsia"/>
          <w:color w:val="auto"/>
          <w:szCs w:val="21"/>
          <w:highlight w:val="none"/>
          <w:u w:val="single"/>
        </w:rPr>
        <w:t xml:space="preserve">采购人</w:t>
      </w:r>
      <w:r/>
    </w:p>
    <w:p>
      <w:pPr>
        <w:ind w:firstLine="420"/>
        <w:spacing w:line="360" w:lineRule="auto"/>
        <w:rPr>
          <w:color w:val="auto"/>
          <w:szCs w:val="21"/>
          <w:highlight w:val="none"/>
        </w:rPr>
      </w:pPr>
      <w:r>
        <w:rPr>
          <w:rFonts w:hint="eastAsia"/>
          <w:color w:val="auto"/>
          <w:szCs w:val="21"/>
          <w:highlight w:val="none"/>
        </w:rPr>
        <w:t xml:space="preserve">在参与本次项目响应中，我单位承诺：</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具有良好的商业信誉和健全的财务会计制度；</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具有履行合同所必需的设备和专业技术能力；</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具有依法缴纳税收和社会保障资金的良好记录；</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spacing w:line="360" w:lineRule="auto"/>
        <w:rPr>
          <w:color w:val="auto"/>
          <w:szCs w:val="21"/>
          <w:highlight w:val="none"/>
        </w:rPr>
      </w:pPr>
      <w:r>
        <w:rPr>
          <w:rFonts w:hint="eastAsia"/>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9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auto"/>
                <w:szCs w:val="21"/>
                <w:highlight w:val="none"/>
              </w:rPr>
            </w:pPr>
            <w:r>
              <w:rPr>
                <w:rFonts w:hint="eastAsia"/>
                <w:b/>
                <w:bCs/>
                <w:color w:val="auto"/>
                <w:szCs w:val="21"/>
                <w:highlight w:val="none"/>
              </w:rPr>
              <w:t xml:space="preserve">/</w:t>
            </w:r>
            <w:r/>
          </w:p>
        </w:tc>
      </w:tr>
    </w:tbl>
    <w:p>
      <w:pPr>
        <w:spacing w:line="360" w:lineRule="auto"/>
        <w:rPr>
          <w:color w:val="auto"/>
          <w:szCs w:val="21"/>
          <w:highlight w:val="none"/>
        </w:rPr>
      </w:pPr>
      <w:r>
        <w:rPr>
          <w:color w:val="auto"/>
          <w:szCs w:val="21"/>
          <w:highlight w:val="none"/>
        </w:rPr>
      </w:r>
      <w:r/>
    </w:p>
    <w:p>
      <w:pPr>
        <w:ind w:firstLine="420"/>
        <w:spacing w:line="360" w:lineRule="auto"/>
        <w:rPr>
          <w:color w:val="auto"/>
          <w:szCs w:val="21"/>
          <w:highlight w:val="none"/>
        </w:rPr>
      </w:pPr>
      <w:r>
        <w:rPr>
          <w:rFonts w:hint="eastAsia"/>
          <w:color w:val="auto"/>
          <w:szCs w:val="21"/>
          <w:highlight w:val="none"/>
        </w:rPr>
        <w:t xml:space="preserve">上述声明真实有效，否则我方负全部责任。</w:t>
      </w:r>
      <w:r/>
    </w:p>
    <w:p>
      <w:pPr>
        <w:spacing w:line="360" w:lineRule="auto"/>
        <w:rPr>
          <w:color w:val="auto"/>
          <w:szCs w:val="21"/>
          <w:highlight w:val="none"/>
        </w:rPr>
      </w:pPr>
      <w:r>
        <w:rPr>
          <w:color w:val="auto"/>
          <w:szCs w:val="21"/>
          <w:highlight w:val="none"/>
        </w:rPr>
      </w:r>
      <w:r/>
    </w:p>
    <w:p>
      <w:pPr>
        <w:jc w:val="right"/>
        <w:spacing w:before="25" w:after="25" w:line="360" w:lineRule="auto"/>
        <w:rPr>
          <w:color w:val="auto"/>
          <w:szCs w:val="21"/>
          <w:highlight w:val="none"/>
        </w:rPr>
      </w:pPr>
      <w:r>
        <w:rPr>
          <w:rFonts w:hint="eastAsia"/>
          <w:color w:val="auto"/>
          <w:szCs w:val="21"/>
          <w:highlight w:val="none"/>
        </w:rPr>
        <w:t xml:space="preserve">供应商名称（加盖公章）：</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spacing w:before="25" w:after="25"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jc w:val="center"/>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color w:val="auto"/>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color w:val="auto"/>
          <w:highlight w:val="none"/>
        </w:rPr>
      </w:r>
      <w:r/>
    </w:p>
    <w:p>
      <w:pPr>
        <w:jc w:val="center"/>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4.诚信承诺书</w:t>
      </w:r>
      <w:r/>
    </w:p>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u w:val="single"/>
        </w:rPr>
        <w:t xml:space="preserve">           （采购人名称）</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我单位在参加贵单位组织的</w:t>
      </w:r>
      <w:r>
        <w:rPr>
          <w:rFonts w:hint="eastAsia" w:ascii="宋体" w:hAnsi="宋体" w:cs="宋体"/>
          <w:color w:val="auto"/>
          <w:szCs w:val="21"/>
          <w:highlight w:val="none"/>
          <w:u w:val="single"/>
        </w:rPr>
        <w:t xml:space="preserve">                         项目</w:t>
      </w:r>
      <w:r>
        <w:rPr>
          <w:rFonts w:hint="eastAsia" w:ascii="宋体" w:hAnsi="宋体" w:cs="宋体"/>
          <w:color w:val="auto"/>
          <w:szCs w:val="21"/>
          <w:highlight w:val="none"/>
        </w:rPr>
        <w:t xml:space="preserve">的磋商活动中，郑重承诺如下：</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1.我单位参与本项目投标，提交的磋商响应文件包括资格审查材料均真实可信。证件及有关附件是真实的，绝无提供虚假材料行为。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2.我单位参与本项目投标绝无借资质、挂靠行为。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3.本项目授权代表为本单位正式员工。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4.我单位遵守国家廉政相关规定，无失信、行贿等不良行为。</w:t>
      </w:r>
      <w:r/>
    </w:p>
    <w:p>
      <w:pPr>
        <w:ind w:firstLine="48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GB"/>
        </w:rPr>
        <w:t xml:space="preserve">我单位</w:t>
      </w:r>
      <w:r>
        <w:rPr>
          <w:rFonts w:hint="eastAsia" w:ascii="宋体" w:hAnsi="宋体" w:cs="宋体"/>
          <w:color w:val="auto"/>
          <w:szCs w:val="21"/>
          <w:highlight w:val="none"/>
        </w:rPr>
        <w:t xml:space="preserve">参与本项目</w:t>
      </w:r>
      <w:r>
        <w:rPr>
          <w:rFonts w:hint="eastAsia" w:ascii="宋体" w:hAnsi="宋体" w:cs="宋体"/>
          <w:color w:val="auto"/>
          <w:szCs w:val="21"/>
          <w:highlight w:val="none"/>
          <w:lang w:val="en-GB"/>
        </w:rPr>
        <w:t xml:space="preserve">投标</w:t>
      </w:r>
      <w:r>
        <w:rPr>
          <w:rFonts w:hint="eastAsia" w:ascii="宋体" w:hAnsi="宋体" w:cs="宋体"/>
          <w:color w:val="auto"/>
          <w:szCs w:val="21"/>
          <w:highlight w:val="none"/>
        </w:rPr>
        <w:t xml:space="preserve">绝无</w:t>
      </w:r>
      <w:r>
        <w:rPr>
          <w:rFonts w:hint="eastAsia" w:ascii="宋体" w:hAnsi="宋体" w:cs="宋体"/>
          <w:color w:val="auto"/>
          <w:szCs w:val="21"/>
          <w:highlight w:val="none"/>
          <w:lang w:val="en-GB"/>
        </w:rPr>
        <w:t xml:space="preserve">串标、围标等行为。</w:t>
      </w:r>
      <w:r/>
    </w:p>
    <w:p>
      <w:pPr>
        <w:ind w:firstLine="48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GB"/>
        </w:rPr>
        <w:t xml:space="preserve">我单位在参加政府采购活动前三年内，在经营活动中没有重大违法记录。</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7.如中标，我单位</w:t>
      </w:r>
      <w:r>
        <w:rPr>
          <w:rFonts w:hint="eastAsia" w:ascii="宋体" w:hAnsi="宋体" w:cs="宋体"/>
          <w:color w:val="auto"/>
          <w:szCs w:val="21"/>
          <w:highlight w:val="none"/>
          <w:lang w:val="en-GB"/>
        </w:rPr>
        <w:t xml:space="preserve">在</w:t>
      </w:r>
      <w:r>
        <w:rPr>
          <w:rFonts w:hint="eastAsia" w:ascii="宋体" w:hAnsi="宋体" w:cs="宋体"/>
          <w:color w:val="auto"/>
          <w:szCs w:val="21"/>
          <w:highlight w:val="none"/>
        </w:rPr>
        <w:t xml:space="preserve">成交结果</w:t>
      </w:r>
      <w:r>
        <w:rPr>
          <w:rFonts w:hint="eastAsia" w:ascii="宋体" w:hAnsi="宋体" w:cs="宋体"/>
          <w:color w:val="auto"/>
          <w:szCs w:val="21"/>
          <w:highlight w:val="none"/>
          <w:lang w:val="en-GB"/>
        </w:rPr>
        <w:t xml:space="preserve">公示结束后</w:t>
      </w:r>
      <w:r>
        <w:rPr>
          <w:rFonts w:hint="eastAsia" w:ascii="宋体" w:hAnsi="宋体" w:cs="宋体"/>
          <w:color w:val="auto"/>
          <w:szCs w:val="21"/>
          <w:highlight w:val="none"/>
        </w:rPr>
        <w:t xml:space="preserve">3天内领取中标通知书。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8.中标后，我单位将按照采购文件规定并在成交通知书规定的时限内与采购单位签订合同。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9.如中标，我单位将按照采购文件规定以及响应文件中承诺的相关事项向采购人提供完整相关证明材料或配合采购人做好相关工作。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供应商（盖公章）：</w:t>
      </w:r>
      <w:r>
        <w:rPr>
          <w:rFonts w:hint="eastAsia" w:ascii="宋体" w:hAnsi="宋体" w:cs="宋体"/>
          <w:bCs/>
          <w:color w:val="auto"/>
          <w:szCs w:val="21"/>
          <w:highlight w:val="none"/>
          <w:u w:val="single"/>
        </w:rPr>
        <w:t xml:space="preserve">                              </w:t>
      </w:r>
      <w:r/>
    </w:p>
    <w:p>
      <w:pPr>
        <w:ind w:firstLine="48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rPr>
          <w:rFonts w:hint="eastAsia" w:ascii="宋体" w:hAnsi="宋体" w:cs="宋体"/>
          <w:bCs/>
          <w:color w:val="auto"/>
          <w:szCs w:val="21"/>
          <w:highlight w:val="none"/>
          <w:u w:val="single"/>
        </w:rPr>
        <w:t xml:space="preserve">                      </w:t>
      </w:r>
      <w:r/>
    </w:p>
    <w:p>
      <w:pPr>
        <w:ind w:firstLine="48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833" w:right="560" w:firstLine="2777"/>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5.</w:t>
      </w:r>
      <w:bookmarkStart w:id="110" w:name="OLE_LINK6"/>
      <w:r/>
      <w:bookmarkStart w:id="111" w:name="OLE_LINK7"/>
      <w:r>
        <w:rPr>
          <w:rFonts w:hint="eastAsia" w:ascii="宋体" w:hAnsi="宋体" w:cs="宋体"/>
          <w:b/>
          <w:color w:val="auto"/>
          <w:szCs w:val="21"/>
          <w:highlight w:val="none"/>
        </w:rPr>
        <w:t xml:space="preserve">中小企业声明函（工程、服务）</w:t>
      </w:r>
      <w:r/>
    </w:p>
    <w:p>
      <w:pPr>
        <w:ind w:firstLine="560"/>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本公司郑重声明，根据《政府采购促进中小企业发展管理办法》（财库﹝2020﹞46 号）的规定，本公司参加</w:t>
      </w:r>
      <w:r>
        <w:rPr>
          <w:rFonts w:hint="eastAsia" w:ascii="宋体" w:hAnsi="宋体" w:cs="宋体"/>
          <w:color w:val="auto"/>
          <w:szCs w:val="21"/>
          <w:highlight w:val="none"/>
          <w:u w:val="single"/>
          <w:lang w:bidi="zh-CN"/>
        </w:rPr>
        <w:t xml:space="preserve">（单位名称）</w:t>
      </w:r>
      <w:r>
        <w:rPr>
          <w:rFonts w:hint="eastAsia" w:ascii="宋体" w:hAnsi="宋体" w:cs="宋体"/>
          <w:color w:val="auto"/>
          <w:szCs w:val="21"/>
          <w:highlight w:val="none"/>
          <w:lang w:bidi="zh-CN"/>
        </w:rPr>
        <w:t xml:space="preserve">的</w:t>
      </w:r>
      <w:r>
        <w:rPr>
          <w:rFonts w:hint="eastAsia" w:ascii="宋体" w:hAnsi="宋体" w:cs="宋体"/>
          <w:color w:val="auto"/>
          <w:szCs w:val="21"/>
          <w:highlight w:val="none"/>
          <w:u w:val="single"/>
          <w:lang w:bidi="zh-CN"/>
        </w:rPr>
        <w:t xml:space="preserve">（项目名称）</w:t>
      </w:r>
      <w:r>
        <w:rPr>
          <w:rFonts w:hint="eastAsia" w:ascii="宋体" w:hAnsi="宋体" w:cs="宋体"/>
          <w:color w:val="auto"/>
          <w:szCs w:val="21"/>
          <w:highlight w:val="none"/>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bidi="zh-CN"/>
        </w:rPr>
        <w:t xml:space="preserve">（标的名称）</w:t>
      </w:r>
      <w:r>
        <w:rPr>
          <w:rFonts w:hint="eastAsia" w:ascii="宋体" w:hAnsi="宋体" w:cs="宋体"/>
          <w:color w:val="auto"/>
          <w:szCs w:val="21"/>
          <w:highlight w:val="none"/>
          <w:lang w:bidi="zh-CN"/>
        </w:rPr>
        <w:t xml:space="preserve">，属于（</w:t>
      </w:r>
      <w:r>
        <w:rPr>
          <w:rFonts w:hint="eastAsia" w:ascii="宋体" w:hAnsi="宋体" w:cs="宋体"/>
          <w:color w:val="auto"/>
          <w:szCs w:val="21"/>
          <w:highlight w:val="none"/>
          <w:u w:val="single"/>
          <w:lang w:bidi="zh-CN"/>
        </w:rPr>
        <w:t xml:space="preserve">采购文件中明确的所属行业）</w:t>
      </w:r>
      <w:r>
        <w:rPr>
          <w:rFonts w:hint="eastAsia" w:ascii="宋体" w:hAnsi="宋体" w:cs="宋体"/>
          <w:color w:val="auto"/>
          <w:szCs w:val="21"/>
          <w:highlight w:val="none"/>
          <w:lang w:bidi="zh-CN"/>
        </w:rPr>
        <w:t xml:space="preserve">；承建（承接）企业为</w:t>
      </w:r>
      <w:r>
        <w:rPr>
          <w:rFonts w:hint="eastAsia" w:ascii="宋体" w:hAnsi="宋体" w:cs="宋体"/>
          <w:color w:val="auto"/>
          <w:szCs w:val="21"/>
          <w:highlight w:val="none"/>
          <w:u w:val="single"/>
          <w:lang w:bidi="zh-CN"/>
        </w:rPr>
        <w:t xml:space="preserve">（企业名称）</w:t>
      </w:r>
      <w:r>
        <w:rPr>
          <w:rFonts w:hint="eastAsia" w:ascii="宋体" w:hAnsi="宋体" w:cs="宋体"/>
          <w:color w:val="auto"/>
          <w:szCs w:val="21"/>
          <w:highlight w:val="none"/>
          <w:lang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bidi="zh-CN"/>
        </w:rPr>
        <w:tab/>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bidi="zh-CN"/>
        </w:rPr>
        <w:tab/>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bidi="zh-CN"/>
        </w:rPr>
        <w:tab/>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万元，属于</w:t>
      </w:r>
      <w:r>
        <w:rPr>
          <w:rFonts w:hint="eastAsia" w:ascii="宋体" w:hAnsi="宋体" w:cs="宋体"/>
          <w:color w:val="auto"/>
          <w:szCs w:val="21"/>
          <w:highlight w:val="none"/>
          <w:u w:val="single"/>
          <w:lang w:bidi="zh-CN"/>
        </w:rPr>
        <w:t xml:space="preserve">（中型企业、小型企业、微型企业）</w:t>
      </w:r>
      <w:r>
        <w:rPr>
          <w:rFonts w:hint="eastAsia" w:ascii="宋体" w:hAnsi="宋体" w:cs="宋体"/>
          <w:color w:val="auto"/>
          <w:szCs w:val="21"/>
          <w:highlight w:val="none"/>
          <w:lang w:bidi="zh-CN"/>
        </w:rPr>
        <w:t xml:space="preserve">；</w:t>
      </w:r>
      <w:r/>
    </w:p>
    <w:p>
      <w:pPr>
        <w:ind w:firstLine="480"/>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w:t>
      </w:r>
      <w:r/>
    </w:p>
    <w:p>
      <w:pPr>
        <w:ind w:firstLine="480"/>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本企业对上述声明内容的真实性负责。如有虚假，将依法承担相应责任。</w:t>
      </w:r>
      <w:r/>
    </w:p>
    <w:p>
      <w:pPr>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p>
      <w:pPr>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企业名称（盖章）：</w:t>
      </w:r>
      <w:r/>
    </w:p>
    <w:p>
      <w:pPr>
        <w:jc w:val="left"/>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t xml:space="preserve">日期：</w:t>
      </w:r>
      <w:r/>
    </w:p>
    <w:p>
      <w:pPr>
        <w:ind w:firstLine="577"/>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577"/>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9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9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（1）中小企业划分标准以工信部联企业〔2011〕300号通知中的《中小企业划型标准规定》为准。</w:t>
      </w:r>
      <w:r/>
    </w:p>
    <w:p>
      <w:pPr>
        <w:ind w:firstLine="49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（2）从业人员、营业收入、资产总额填报上一年度数据，无上一年度数据的新成立企业可不填报。</w:t>
      </w:r>
      <w:r/>
    </w:p>
    <w:p>
      <w:pPr>
        <w:ind w:right="561"/>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br w:type="page" w:clear="all"/>
      </w:r>
      <w:bookmarkEnd w:id="110"/>
      <w:r/>
      <w:bookmarkEnd w:id="111"/>
      <w:r>
        <w:rPr>
          <w:rFonts w:hint="eastAsia" w:ascii="宋体" w:hAnsi="宋体" w:cs="宋体"/>
          <w:b/>
          <w:bCs/>
          <w:color w:val="auto"/>
          <w:szCs w:val="21"/>
          <w:highlight w:val="none"/>
        </w:rPr>
        <w:t xml:space="preserve">6.残疾人福利性单位声明函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hint="eastAsia" w:ascii="宋体" w:hAnsi="宋体" w:cs="宋体"/>
          <w:color w:val="auto"/>
          <w:spacing w:val="6"/>
          <w:szCs w:val="21"/>
          <w:highlight w:val="none"/>
        </w:rPr>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firstLine="48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7.监狱企业证明函</w:t>
      </w:r>
      <w:r/>
    </w:p>
    <w:p>
      <w:pPr>
        <w:ind w:firstLine="646"/>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根据《财政部国务院法制办公室关于政府采购支持监狱企业发展有关问题的通知》（财库〔2014〕68号）的规定，</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（填写供应商法定全称）为监狱企业。</w:t>
      </w:r>
      <w:r/>
    </w:p>
    <w:p>
      <w:pPr>
        <w:ind w:firstLine="646"/>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特此声明。</w:t>
      </w:r>
      <w:r/>
    </w:p>
    <w:p>
      <w:pPr>
        <w:ind w:firstLine="144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144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省级以上监狱管理局、戒毒管理局（含新疆生产建设兵团）（盖章）：</w:t>
      </w:r>
      <w:r/>
    </w:p>
    <w:p>
      <w:pPr>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ar"/>
        </w:rPr>
        <w:t xml:space="preserve">                                    日  期：</w:t>
      </w:r>
      <w:r/>
    </w:p>
    <w:p>
      <w:pPr>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p>
      <w:pPr>
        <w:spacing w:line="360" w:lineRule="auto"/>
        <w:rPr>
          <w:rFonts w:hint="eastAsia" w:ascii="宋体" w:hAnsi="宋体" w:cs="宋体"/>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color w:val="auto"/>
          <w:szCs w:val="21"/>
          <w:highlight w:val="none"/>
        </w:rPr>
        <w:br w:type="page" w:clear="all"/>
      </w:r>
      <w:r/>
    </w:p>
    <w:p>
      <w:pPr>
        <w:pStyle w:val="932"/>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8.磋商响应函</w:t>
      </w:r>
      <w:r/>
    </w:p>
    <w:p>
      <w:pPr>
        <w:pStyle w:val="1123"/>
        <w:ind w:firstLine="420"/>
        <w:rPr>
          <w:rFonts w:hint="eastAsia" w:ascii="宋体" w:hAnsi="宋体"/>
          <w:b/>
          <w:bCs/>
          <w:color w:val="auto"/>
          <w:sz w:val="21"/>
          <w:szCs w:val="21"/>
          <w:highlight w:val="none"/>
        </w:rPr>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（采购人名称）   </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磋商采购的有关事宜。</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1.按照磋商文件规定的各项要求，向采购人提供所需服务。</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6.一旦我方成交，我方将根据磋商文件的规定，严格履行合同的责任和义务，并保证在磋商文件规定的时间完成项目，交付采购人验收、使用。</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7.遵守磋商文件中要求的收费项目和标准。</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8.与本磋商采购有关的正式通讯地址为：</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法定代表人或授权代表姓名（签字）：     联系电话：</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131"/>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9.技术条款响应及偏离表</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（由响应人据实提交，表格不够自行添加）</w:t>
      </w:r>
      <w:r/>
    </w:p>
    <w:tbl>
      <w:tblPr>
        <w:tblStyle w:val="94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1.响应人提交的响应文件中与磋商文件第四章项目需求中的技术部分的要求有不同时，应逐条填列在偏离表中，否则将视为响应人接受磋商文件的所有要求。完全响应以空白表格列示。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3.响应人如果虚假响应，将承担被暂停参加采购人组织政府采购活动的风险。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4.供应商若提供其他增值服务，可以在表中自行据实填写。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7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Cs w:val="21"/>
          <w:highlight w:val="none"/>
        </w:rPr>
      </w:r>
      <w:r/>
    </w:p>
    <w:p>
      <w:pPr>
        <w:pStyle w:val="1132"/>
        <w:ind w:left="0" w:firstLine="0"/>
        <w:jc w:val="center"/>
        <w:spacing w:line="360" w:lineRule="auto"/>
        <w:rPr>
          <w:rFonts w:hint="eastAsia" w:ascii="宋体" w:hAnsi="宋体" w:cs="宋体"/>
          <w:color w:val="auto"/>
          <w:sz w:val="21"/>
          <w:szCs w:val="21"/>
          <w:highlight w:val="none"/>
        </w:rPr>
      </w:pPr>
      <w:r/>
      <w:bookmarkStart w:id="112" w:name="_Toc20755"/>
      <w:r/>
      <w:bookmarkStart w:id="113" w:name="_Toc15683"/>
      <w:r>
        <w:rPr>
          <w:rFonts w:hint="eastAsia" w:ascii="宋体" w:hAnsi="宋体" w:cs="宋体"/>
          <w:color w:val="auto"/>
          <w:sz w:val="21"/>
          <w:szCs w:val="21"/>
          <w:highlight w:val="none"/>
        </w:rPr>
        <w:t xml:space="preserve">10.商务条款响应及偏离表</w:t>
      </w:r>
      <w:bookmarkEnd w:id="112"/>
      <w:r/>
      <w:bookmarkEnd w:id="113"/>
      <w:r/>
      <w:r/>
    </w:p>
    <w:tbl>
      <w:tblPr>
        <w:tblStyle w:val="94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color w:val="auto"/>
                <w:szCs w:val="21"/>
                <w:highlight w:val="none"/>
              </w:rPr>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color w:val="auto"/>
                <w:szCs w:val="21"/>
                <w:highlight w:val="none"/>
              </w:rPr>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bl>
    <w:p>
      <w:pPr>
        <w:pStyle w:val="942"/>
        <w:spacing w:line="360" w:lineRule="auto"/>
        <w:rPr>
          <w:color w:val="auto"/>
          <w:szCs w:val="21"/>
          <w:highlight w:val="none"/>
        </w:rPr>
      </w:pPr>
      <w:r>
        <w:rPr>
          <w:color w:val="auto"/>
          <w:szCs w:val="21"/>
          <w:highlight w:val="none"/>
        </w:rPr>
      </w:r>
      <w:r/>
    </w:p>
    <w:p>
      <w:pPr>
        <w:pStyle w:val="942"/>
        <w:ind w:firstLine="4200"/>
        <w:spacing w:line="360" w:lineRule="auto"/>
        <w:rPr>
          <w:color w:val="auto"/>
          <w:szCs w:val="21"/>
          <w:highlight w:val="none"/>
        </w:rPr>
      </w:pPr>
      <w:r>
        <w:rPr>
          <w:rFonts w:hint="eastAsia"/>
          <w:color w:val="auto"/>
          <w:szCs w:val="21"/>
          <w:highlight w:val="none"/>
        </w:rPr>
        <w:t xml:space="preserve">投标人名称（公章）：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r>
        <w:rPr>
          <w:rFonts w:hint="eastAsia"/>
          <w:color w:val="auto"/>
          <w:szCs w:val="21"/>
          <w:highlight w:val="none"/>
        </w:rPr>
        <w:t xml:space="preserve">                   </w:t>
      </w:r>
      <w:r/>
    </w:p>
    <w:p>
      <w:pPr>
        <w:pStyle w:val="942"/>
        <w:spacing w:line="360" w:lineRule="auto"/>
        <w:rPr>
          <w:color w:val="auto"/>
          <w:szCs w:val="21"/>
          <w:highlight w:val="none"/>
        </w:rPr>
      </w:pPr>
      <w:r>
        <w:rPr>
          <w:color w:val="auto"/>
          <w:szCs w:val="21"/>
          <w:highlight w:val="none"/>
        </w:rPr>
      </w:r>
      <w:r/>
    </w:p>
    <w:p>
      <w:pPr>
        <w:ind w:hanging="315"/>
        <w:spacing w:line="360" w:lineRule="auto"/>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日期： </w:t>
      </w:r>
      <w:r>
        <w:rPr>
          <w:rFonts w:hint="eastAsia"/>
          <w:color w:val="auto"/>
          <w:szCs w:val="21"/>
          <w:highlight w:val="none"/>
        </w:rPr>
        <w:t xml:space="preserve">   </w:t>
      </w:r>
      <w:r>
        <w:rPr>
          <w:color w:val="auto"/>
          <w:szCs w:val="21"/>
          <w:highlight w:val="none"/>
        </w:rPr>
        <w:t xml:space="preserve">年</w:t>
      </w:r>
      <w:r>
        <w:rPr>
          <w:rFonts w:hint="eastAsia"/>
          <w:color w:val="auto"/>
          <w:szCs w:val="21"/>
          <w:highlight w:val="none"/>
        </w:rPr>
        <w:t xml:space="preserve">  </w:t>
      </w:r>
      <w:r>
        <w:rPr>
          <w:color w:val="auto"/>
          <w:szCs w:val="21"/>
          <w:highlight w:val="none"/>
        </w:rPr>
        <w:t xml:space="preserve">月</w:t>
      </w:r>
      <w:r>
        <w:rPr>
          <w:rFonts w:hint="eastAsia"/>
          <w:color w:val="auto"/>
          <w:szCs w:val="21"/>
          <w:highlight w:val="none"/>
        </w:rPr>
        <w:t xml:space="preserve">   </w:t>
      </w:r>
      <w:r>
        <w:rPr>
          <w:color w:val="auto"/>
          <w:szCs w:val="21"/>
          <w:highlight w:val="none"/>
        </w:rPr>
        <w:t xml:space="preserve">日</w:t>
      </w:r>
      <w:bookmarkEnd w:id="103"/>
      <w:bookmarkEnd w:id="104"/>
      <w:bookmarkEnd w:id="105"/>
      <w:bookmarkEnd w:id="106"/>
      <w:r/>
    </w:p>
    <w:p>
      <w:pPr>
        <w:spacing w:line="360" w:lineRule="auto"/>
        <w:rPr>
          <w:rFonts w:hint="eastAsia"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highlight w:val="none"/>
        </w:rPr>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1.</w:t>
      </w:r>
      <w:r>
        <w:rPr>
          <w:rFonts w:hint="eastAsia"/>
          <w:color w:val="auto"/>
          <w:highlight w:val="none"/>
        </w:rPr>
        <w:t xml:space="preserve"> </w:t>
      </w:r>
      <w:r>
        <w:rPr>
          <w:rFonts w:hint="eastAsia" w:ascii="宋体" w:hAnsi="宋体"/>
          <w:b/>
          <w:color w:val="auto"/>
          <w:szCs w:val="21"/>
          <w:highlight w:val="none"/>
        </w:rPr>
        <w:t xml:space="preserve">联合体协议（参考格式）</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（所有成员单位名称）自愿组成</w:t>
      </w:r>
      <w:r>
        <w:rPr>
          <w:rFonts w:hint="eastAsia" w:ascii="宋体" w:hAnsi="宋体" w:cs="宋体"/>
          <w:color w:val="auto"/>
          <w:szCs w:val="21"/>
          <w:highlight w:val="none"/>
          <w:u w:val="single"/>
        </w:rPr>
        <w:t xml:space="preserve">（联合体名称）</w:t>
      </w:r>
      <w:r>
        <w:rPr>
          <w:rFonts w:hint="eastAsia" w:ascii="宋体" w:hAnsi="宋体" w:cs="宋体"/>
          <w:color w:val="auto"/>
          <w:szCs w:val="21"/>
          <w:highlight w:val="none"/>
        </w:rPr>
        <w:t xml:space="preserve">联合体，共同参加（项目编号、项目名称）。现就联合体投标事宜订立如下协议。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1、（某成员单位名称）为</w:t>
      </w:r>
      <w:r>
        <w:rPr>
          <w:rFonts w:hint="eastAsia" w:ascii="宋体" w:hAnsi="宋体" w:cs="宋体"/>
          <w:color w:val="auto"/>
          <w:szCs w:val="21"/>
          <w:highlight w:val="none"/>
          <w:u w:val="single"/>
        </w:rPr>
        <w:t xml:space="preserve">（联合体名称）</w:t>
      </w:r>
      <w:r>
        <w:rPr>
          <w:rFonts w:hint="eastAsia" w:ascii="宋体" w:hAnsi="宋体" w:cs="宋体"/>
          <w:color w:val="auto"/>
          <w:szCs w:val="21"/>
          <w:highlight w:val="none"/>
        </w:rPr>
        <w:t xml:space="preserve">牵头人。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2、联合体牵头人合法代表联合体各成员负责本项目投标文件编制和合同谈判活动，并代表联合体提交和接收相关的资料、信息及指示，并处理与之有关的一切事务，负责项目实施阶段的主办、组织和协调工作。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3、联合体将严格按照招标文件的各项要求，递交响应文件，履行合同，并对外承担连带责任。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4、联合体各成员单位内部的职责分工如下。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5、本协议书自签署之日起生效，合同履行完毕后自动失效。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6、本协议书一式份，联合体成员和采购人各执一份。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注：本协议书由委托代理人签字的，应附法定代表人签字的授权委托书。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牵头人名称：（盖单位章）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法定代表人或其委托代理人：（签字或盖章）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成员单位名称：（盖单位章）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法定代表人或其委托代理人：（签字或盖章）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70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32"/>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.首次响应报价表（附：投标工程量清单）</w:t>
      </w:r>
      <w:r/>
    </w:p>
    <w:p>
      <w:pPr>
        <w:pStyle w:val="932"/>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bl>
      <w:tblPr>
        <w:tblStyle w:val="9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2914"/>
        <w:gridCol w:w="1414"/>
        <w:gridCol w:w="3225"/>
        <w:gridCol w:w="1014"/>
      </w:tblGrid>
      <w:tr>
        <w:trPr>
          <w:jc w:val="center"/>
          <w:trHeight w:val="916"/>
        </w:trPr>
        <w:tc>
          <w:tcPr>
            <w:tcW w:w="455"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546"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W w:w="750"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报价轮次</w:t>
            </w:r>
            <w:r/>
          </w:p>
        </w:tc>
        <w:tc>
          <w:tcPr>
            <w:tcW w:w="1711"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磋商响应报价（元）</w:t>
            </w:r>
            <w:r/>
          </w:p>
        </w:tc>
        <w:tc>
          <w:tcPr>
            <w:tcW w:w="538"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1006"/>
        </w:trPr>
        <w:tc>
          <w:tcPr>
            <w:tcW w:w="455" w:type="pct"/>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546"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城北派出所智能化建设项目</w:t>
            </w:r>
            <w:r/>
          </w:p>
        </w:tc>
        <w:tc>
          <w:tcPr>
            <w:tcW w:w="750" w:type="pct"/>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首次报价</w:t>
            </w:r>
            <w:r/>
          </w:p>
        </w:tc>
        <w:tc>
          <w:tcPr>
            <w:tcW w:w="1711"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3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ind w:firstLine="44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spacing w:line="360" w:lineRule="auto"/>
        <w:rPr>
          <w:color w:val="auto"/>
          <w:sz w:val="20"/>
          <w:highlight w:val="none"/>
        </w:rPr>
      </w:pPr>
      <w:r>
        <w:rPr>
          <w:color w:val="auto"/>
          <w:sz w:val="20"/>
          <w:highlight w:val="none"/>
        </w:rPr>
      </w:r>
      <w:r/>
    </w:p>
    <w:p>
      <w:pPr>
        <w:pStyle w:val="1134"/>
        <w:ind w:firstLine="5400"/>
        <w:jc w:val="left"/>
        <w:spacing w:line="360" w:lineRule="auto"/>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年  月  日</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注：1.</w:t>
      </w:r>
      <w:r>
        <w:rPr>
          <w:rFonts w:hint="eastAsia" w:ascii="宋体" w:hAnsi="宋体" w:cs="宋体"/>
          <w:color w:val="auto"/>
          <w:szCs w:val="21"/>
          <w:highlight w:val="none"/>
        </w:rPr>
        <w:t xml:space="preserve">磋商报价（以人民币计价）</w:t>
      </w:r>
      <w:r>
        <w:rPr>
          <w:rFonts w:hint="eastAsia" w:ascii="宋体" w:hAnsi="宋体" w:cs="宋体"/>
          <w:bCs/>
          <w:color w:val="auto"/>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color w:val="auto"/>
          <w:szCs w:val="21"/>
          <w:highlight w:val="none"/>
        </w:rPr>
        <w:t xml:space="preserve">。</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zh-CN"/>
        </w:rPr>
        <w:br w:type="page" w:clear="all"/>
      </w:r>
      <w:r/>
    </w:p>
    <w:p>
      <w:pPr>
        <w:ind w:firstLine="420"/>
        <w:spacing w:line="360" w:lineRule="auto"/>
        <w:rPr>
          <w:rFonts w:hint="eastAsia" w:ascii="宋体" w:hAnsi="宋体"/>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bookmarkStart w:id="114" w:name="_Toc162919810"/>
      <w:r/>
      <w:bookmarkEnd w:id="114"/>
      <w:r/>
      <w:bookmarkStart w:id="115" w:name="_Toc162859072"/>
      <w:r/>
      <w:bookmarkEnd w:id="115"/>
      <w:r/>
      <w:r/>
    </w:p>
    <w:p>
      <w:pPr>
        <w:spacing w:line="360" w:lineRule="auto"/>
        <w:rPr>
          <w:rFonts w:hint="eastAsia" w:ascii="宋体" w:hAnsi="宋体" w:cs="宋体"/>
          <w:b/>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3</w:t>
      </w:r>
      <w:r>
        <w:rPr>
          <w:rFonts w:hint="eastAsia" w:ascii="宋体" w:hAnsi="宋体"/>
          <w:color w:val="auto"/>
          <w:szCs w:val="21"/>
          <w:highlight w:val="none"/>
        </w:rPr>
        <w:t xml:space="preserve">.技术说明与服务方案</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w:t>
      </w:r>
      <w:r>
        <w:rPr>
          <w:rFonts w:hint="eastAsia" w:ascii="宋体" w:hAnsi="宋体"/>
          <w:color w:val="auto"/>
          <w:szCs w:val="21"/>
          <w:highlight w:val="none"/>
        </w:rPr>
        <w:t xml:space="preserve">.要求采购人提供的配合（如有自拟并自行添加）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5</w:t>
      </w:r>
      <w:r>
        <w:rPr>
          <w:rFonts w:hint="eastAsia" w:ascii="宋体" w:hAnsi="宋体"/>
          <w:color w:val="auto"/>
          <w:szCs w:val="21"/>
          <w:highlight w:val="none"/>
        </w:rPr>
        <w:t xml:space="preserve">.其他（供应商认为有必要提供的声明和文件，如有自拟并自行添加）</w:t>
      </w:r>
      <w:r/>
    </w:p>
    <w:p>
      <w:pPr>
        <w:rPr>
          <w:color w:val="auto"/>
          <w:highlight w:val="none"/>
        </w:rPr>
      </w:pPr>
      <w:r>
        <w:rPr>
          <w:color w:val="auto"/>
          <w:highlight w:val="none"/>
        </w:rPr>
      </w:r>
      <w:r/>
    </w:p>
    <w:sectPr>
      <w:headerReference w:type="default" r:id="rId10"/>
      <w:footerReference w:type="default" r:id="rId18"/>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等线 Light">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rStyle w:val="973"/>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95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53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53</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4"/>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20</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53</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20</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53</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rPr>
        <w:rFonts w:hint="eastAsia"/>
      </w:rPr>
      <w:t xml:space="preserve">第</w:t>
    </w:r>
    <w:r>
      <w:fldChar w:fldCharType="begin"/>
    </w:r>
    <w:r>
      <w:rPr>
        <w:rStyle w:val="973"/>
      </w:rPr>
      <w:instrText xml:space="preserve"> PAGE </w:instrText>
    </w:r>
    <w:r>
      <w:fldChar w:fldCharType="separate"/>
    </w:r>
    <w:r>
      <w:rPr>
        <w:rStyle w:val="973"/>
      </w:rPr>
      <w:t xml:space="preserve">7</w:t>
    </w:r>
    <w:r>
      <w:fldChar w:fldCharType="end"/>
    </w:r>
    <w:r>
      <w:rPr>
        <w:rFonts w:hint="eastAsia"/>
      </w:rPr>
      <w:t xml:space="preserve">页共</w:t>
    </w:r>
    <w:r>
      <w:fldChar w:fldCharType="begin"/>
    </w:r>
    <w:r>
      <w:rPr>
        <w:rStyle w:val="973"/>
      </w:rPr>
      <w:instrText xml:space="preserve"> NUMPAGES </w:instrText>
    </w:r>
    <w:r>
      <w:fldChar w:fldCharType="separate"/>
    </w:r>
    <w:r>
      <w:rPr>
        <w:rStyle w:val="973"/>
      </w:rPr>
      <w:t xml:space="preserve">11</w:t>
    </w:r>
    <w:r>
      <w:fldChar w:fldCharType="end"/>
    </w:r>
    <w:r>
      <w:rPr>
        <w:rFonts w:hint="eastAsia"/>
      </w:rPr>
      <w:t xml:space="preserve">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53</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6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53</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4"/>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5268" w:hanging="360"/>
      </w:pPr>
      <w:rPr>
        <w:rFonts w:hint="default" w:ascii="Courier New" w:hAnsi="Courier New" w:eastAsia="Courier New" w:cs="Courier New"/>
      </w:rPr>
    </w:lvl>
    <w:lvl w:ilvl="2">
      <w:start w:val="1"/>
      <w:numFmt w:val="bullet"/>
      <w:isLgl w:val="false"/>
      <w:suff w:val="tab"/>
      <w:lvlText w:val="§"/>
      <w:lvlJc w:val="left"/>
      <w:pPr>
        <w:ind w:left="5988" w:hanging="360"/>
      </w:pPr>
      <w:rPr>
        <w:rFonts w:hint="default" w:ascii="Wingdings" w:hAnsi="Wingdings" w:eastAsia="Wingdings" w:cs="Wingdings"/>
      </w:rPr>
    </w:lvl>
    <w:lvl w:ilvl="3">
      <w:start w:val="1"/>
      <w:numFmt w:val="bullet"/>
      <w:isLgl w:val="false"/>
      <w:suff w:val="tab"/>
      <w:lvlText w:val="·"/>
      <w:lvlJc w:val="left"/>
      <w:pPr>
        <w:ind w:left="6708" w:hanging="360"/>
      </w:pPr>
      <w:rPr>
        <w:rFonts w:hint="default" w:ascii="Symbol" w:hAnsi="Symbol" w:eastAsia="Symbol" w:cs="Symbol"/>
      </w:rPr>
    </w:lvl>
    <w:lvl w:ilvl="4">
      <w:start w:val="1"/>
      <w:numFmt w:val="bullet"/>
      <w:isLgl w:val="false"/>
      <w:suff w:val="tab"/>
      <w:lvlText w:val="o"/>
      <w:lvlJc w:val="left"/>
      <w:pPr>
        <w:ind w:left="7428" w:hanging="360"/>
      </w:pPr>
      <w:rPr>
        <w:rFonts w:hint="default" w:ascii="Courier New" w:hAnsi="Courier New" w:eastAsia="Courier New" w:cs="Courier New"/>
      </w:rPr>
    </w:lvl>
    <w:lvl w:ilvl="5">
      <w:start w:val="1"/>
      <w:numFmt w:val="bullet"/>
      <w:isLgl w:val="false"/>
      <w:suff w:val="tab"/>
      <w:lvlText w:val="§"/>
      <w:lvlJc w:val="left"/>
      <w:pPr>
        <w:ind w:left="8148" w:hanging="360"/>
      </w:pPr>
      <w:rPr>
        <w:rFonts w:hint="default" w:ascii="Wingdings" w:hAnsi="Wingdings" w:eastAsia="Wingdings" w:cs="Wingdings"/>
      </w:rPr>
    </w:lvl>
    <w:lvl w:ilvl="6">
      <w:start w:val="1"/>
      <w:numFmt w:val="bullet"/>
      <w:isLgl w:val="false"/>
      <w:suff w:val="tab"/>
      <w:lvlText w:val="·"/>
      <w:lvlJc w:val="left"/>
      <w:pPr>
        <w:ind w:left="8868" w:hanging="360"/>
      </w:pPr>
      <w:rPr>
        <w:rFonts w:hint="default" w:ascii="Symbol" w:hAnsi="Symbol" w:eastAsia="Symbol" w:cs="Symbol"/>
      </w:rPr>
    </w:lvl>
    <w:lvl w:ilvl="7">
      <w:start w:val="1"/>
      <w:numFmt w:val="bullet"/>
      <w:isLgl w:val="false"/>
      <w:suff w:val="tab"/>
      <w:lvlText w:val="o"/>
      <w:lvlJc w:val="left"/>
      <w:pPr>
        <w:ind w:left="9588" w:hanging="360"/>
      </w:pPr>
      <w:rPr>
        <w:rFonts w:hint="default" w:ascii="Courier New" w:hAnsi="Courier New" w:eastAsia="Courier New" w:cs="Courier New"/>
      </w:rPr>
    </w:lvl>
    <w:lvl w:ilvl="8">
      <w:start w:val="1"/>
      <w:numFmt w:val="bullet"/>
      <w:isLgl w:val="false"/>
      <w:suff w:val="tab"/>
      <w:lvlText w:val="§"/>
      <w:lvlJc w:val="left"/>
      <w:pPr>
        <w:ind w:left="10308"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40"/>
    <w:link w:val="931"/>
    <w:uiPriority w:val="9"/>
    <w:rPr>
      <w:rFonts w:ascii="Arial" w:hAnsi="Arial" w:eastAsia="Arial" w:cs="Arial"/>
      <w:sz w:val="40"/>
      <w:szCs w:val="40"/>
    </w:rPr>
  </w:style>
  <w:style w:type="character" w:styleId="15">
    <w:name w:val="Heading 2 Char"/>
    <w:basedOn w:val="940"/>
    <w:link w:val="932"/>
    <w:uiPriority w:val="9"/>
    <w:rPr>
      <w:rFonts w:ascii="Arial" w:hAnsi="Arial" w:eastAsia="Arial" w:cs="Arial"/>
      <w:sz w:val="34"/>
    </w:rPr>
  </w:style>
  <w:style w:type="character" w:styleId="17">
    <w:name w:val="Heading 3 Char"/>
    <w:basedOn w:val="940"/>
    <w:link w:val="933"/>
    <w:uiPriority w:val="9"/>
    <w:rPr>
      <w:rFonts w:ascii="Arial" w:hAnsi="Arial" w:eastAsia="Arial" w:cs="Arial"/>
      <w:sz w:val="30"/>
      <w:szCs w:val="30"/>
    </w:rPr>
  </w:style>
  <w:style w:type="character" w:styleId="19">
    <w:name w:val="Heading 4 Char"/>
    <w:basedOn w:val="940"/>
    <w:link w:val="934"/>
    <w:uiPriority w:val="9"/>
    <w:rPr>
      <w:rFonts w:ascii="Arial" w:hAnsi="Arial" w:eastAsia="Arial" w:cs="Arial"/>
      <w:b/>
      <w:bCs/>
      <w:sz w:val="26"/>
      <w:szCs w:val="26"/>
    </w:rPr>
  </w:style>
  <w:style w:type="character" w:styleId="21">
    <w:name w:val="Heading 5 Char"/>
    <w:basedOn w:val="940"/>
    <w:link w:val="935"/>
    <w:uiPriority w:val="9"/>
    <w:rPr>
      <w:rFonts w:ascii="Arial" w:hAnsi="Arial" w:eastAsia="Arial" w:cs="Arial"/>
      <w:b/>
      <w:bCs/>
      <w:sz w:val="24"/>
      <w:szCs w:val="24"/>
    </w:rPr>
  </w:style>
  <w:style w:type="character" w:styleId="23">
    <w:name w:val="Heading 6 Char"/>
    <w:basedOn w:val="940"/>
    <w:link w:val="936"/>
    <w:uiPriority w:val="9"/>
    <w:rPr>
      <w:rFonts w:ascii="Arial" w:hAnsi="Arial" w:eastAsia="Arial" w:cs="Arial"/>
      <w:b/>
      <w:bCs/>
      <w:sz w:val="22"/>
      <w:szCs w:val="22"/>
    </w:rPr>
  </w:style>
  <w:style w:type="character" w:styleId="25">
    <w:name w:val="Heading 7 Char"/>
    <w:basedOn w:val="940"/>
    <w:link w:val="937"/>
    <w:uiPriority w:val="9"/>
    <w:rPr>
      <w:rFonts w:ascii="Arial" w:hAnsi="Arial" w:eastAsia="Arial" w:cs="Arial"/>
      <w:b/>
      <w:bCs/>
      <w:i/>
      <w:iCs/>
      <w:sz w:val="22"/>
      <w:szCs w:val="22"/>
    </w:rPr>
  </w:style>
  <w:style w:type="character" w:styleId="27">
    <w:name w:val="Heading 8 Char"/>
    <w:basedOn w:val="940"/>
    <w:link w:val="938"/>
    <w:uiPriority w:val="9"/>
    <w:rPr>
      <w:rFonts w:ascii="Arial" w:hAnsi="Arial" w:eastAsia="Arial" w:cs="Arial"/>
      <w:i/>
      <w:iCs/>
      <w:sz w:val="22"/>
      <w:szCs w:val="22"/>
    </w:rPr>
  </w:style>
  <w:style w:type="character" w:styleId="29">
    <w:name w:val="Heading 9 Char"/>
    <w:basedOn w:val="940"/>
    <w:link w:val="939"/>
    <w:uiPriority w:val="9"/>
    <w:rPr>
      <w:rFonts w:ascii="Arial" w:hAnsi="Arial" w:eastAsia="Arial" w:cs="Arial"/>
      <w:i/>
      <w:iCs/>
      <w:sz w:val="21"/>
      <w:szCs w:val="21"/>
    </w:rPr>
  </w:style>
  <w:style w:type="character" w:styleId="34">
    <w:name w:val="Title Char"/>
    <w:basedOn w:val="940"/>
    <w:link w:val="964"/>
    <w:uiPriority w:val="10"/>
    <w:rPr>
      <w:sz w:val="48"/>
      <w:szCs w:val="48"/>
    </w:rPr>
  </w:style>
  <w:style w:type="character" w:styleId="36">
    <w:name w:val="Subtitle Char"/>
    <w:basedOn w:val="940"/>
    <w:link w:val="958"/>
    <w:uiPriority w:val="11"/>
    <w:rPr>
      <w:sz w:val="24"/>
      <w:szCs w:val="24"/>
    </w:rPr>
  </w:style>
  <w:style w:type="character" w:styleId="38">
    <w:name w:val="Quote Char"/>
    <w:link w:val="988"/>
    <w:uiPriority w:val="29"/>
    <w:rPr>
      <w:i/>
    </w:rPr>
  </w:style>
  <w:style w:type="character" w:styleId="40">
    <w:name w:val="Intense Quote Char"/>
    <w:link w:val="990"/>
    <w:uiPriority w:val="30"/>
    <w:rPr>
      <w:i/>
    </w:rPr>
  </w:style>
  <w:style w:type="character" w:styleId="42">
    <w:name w:val="Header Char"/>
    <w:basedOn w:val="940"/>
    <w:link w:val="955"/>
    <w:uiPriority w:val="99"/>
  </w:style>
  <w:style w:type="character" w:styleId="46">
    <w:name w:val="Caption Char"/>
    <w:basedOn w:val="944"/>
    <w:link w:val="954"/>
    <w:uiPriority w:val="99"/>
  </w:style>
  <w:style w:type="table" w:styleId="49">
    <w:name w:val="Plain Table 1"/>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59"/>
    <w:uiPriority w:val="99"/>
    <w:rPr>
      <w:sz w:val="18"/>
    </w:rPr>
  </w:style>
  <w:style w:type="character" w:styleId="178">
    <w:name w:val="Endnote Text Char"/>
    <w:link w:val="953"/>
    <w:uiPriority w:val="99"/>
    <w:rPr>
      <w:sz w:val="20"/>
    </w:rPr>
  </w:style>
  <w:style w:type="paragraph" w:styleId="189">
    <w:name w:val="TOC Heading"/>
    <w:uiPriority w:val="39"/>
    <w:unhideWhenUsed/>
  </w:style>
  <w:style w:type="paragraph" w:styleId="93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31">
    <w:name w:val="Heading 1"/>
    <w:basedOn w:val="930"/>
    <w:next w:val="930"/>
    <w:link w:val="976"/>
    <w:uiPriority w:val="0"/>
    <w:qFormat/>
    <w:pPr>
      <w:keepNext/>
      <w:outlineLvl w:val="0"/>
    </w:pPr>
    <w:rPr>
      <w:rFonts w:ascii="楷体_GB2312" w:hAnsi="Times New Roman" w:eastAsia="楷体_GB2312"/>
      <w:sz w:val="28"/>
      <w:szCs w:val="20"/>
    </w:rPr>
  </w:style>
  <w:style w:type="paragraph" w:styleId="932">
    <w:name w:val="Heading 2"/>
    <w:basedOn w:val="930"/>
    <w:next w:val="942"/>
    <w:link w:val="977"/>
    <w:uiPriority w:val="0"/>
    <w:qFormat/>
    <w:pPr>
      <w:jc w:val="center"/>
      <w:keepLines/>
      <w:keepNext/>
      <w:spacing w:before="260" w:after="260" w:line="416" w:lineRule="auto"/>
      <w:outlineLvl w:val="1"/>
    </w:pPr>
    <w:rPr>
      <w:rFonts w:ascii="Arial" w:hAnsi="Arial" w:eastAsia="幼圆"/>
      <w:b/>
      <w:sz w:val="44"/>
      <w:szCs w:val="20"/>
    </w:rPr>
  </w:style>
  <w:style w:type="paragraph" w:styleId="933">
    <w:name w:val="Heading 3"/>
    <w:basedOn w:val="930"/>
    <w:next w:val="930"/>
    <w:link w:val="978"/>
    <w:uiPriority w:val="9"/>
    <w:unhideWhenUsed/>
    <w:qFormat/>
    <w:pPr>
      <w:keepLines/>
      <w:keepNext/>
      <w:spacing w:before="320" w:after="200"/>
      <w:outlineLvl w:val="2"/>
    </w:pPr>
    <w:rPr>
      <w:rFonts w:ascii="Arial" w:hAnsi="Arial" w:eastAsia="Arial" w:cs="Arial"/>
      <w:sz w:val="30"/>
      <w:szCs w:val="30"/>
    </w:rPr>
  </w:style>
  <w:style w:type="paragraph" w:styleId="934">
    <w:name w:val="Heading 4"/>
    <w:basedOn w:val="930"/>
    <w:next w:val="930"/>
    <w:link w:val="979"/>
    <w:uiPriority w:val="9"/>
    <w:unhideWhenUsed/>
    <w:qFormat/>
    <w:pPr>
      <w:keepLines/>
      <w:keepNext/>
      <w:spacing w:before="320" w:after="200"/>
      <w:outlineLvl w:val="3"/>
    </w:pPr>
    <w:rPr>
      <w:rFonts w:ascii="Arial" w:hAnsi="Arial" w:eastAsia="Arial" w:cs="Arial"/>
      <w:b/>
      <w:bCs/>
      <w:sz w:val="26"/>
      <w:szCs w:val="26"/>
    </w:rPr>
  </w:style>
  <w:style w:type="paragraph" w:styleId="935">
    <w:name w:val="Heading 5"/>
    <w:basedOn w:val="930"/>
    <w:next w:val="930"/>
    <w:link w:val="980"/>
    <w:uiPriority w:val="9"/>
    <w:unhideWhenUsed/>
    <w:qFormat/>
    <w:pPr>
      <w:keepLines/>
      <w:keepNext/>
      <w:spacing w:before="320" w:after="200"/>
      <w:outlineLvl w:val="4"/>
    </w:pPr>
    <w:rPr>
      <w:rFonts w:ascii="Arial" w:hAnsi="Arial" w:eastAsia="Arial" w:cs="Arial"/>
      <w:b/>
      <w:bCs/>
      <w:sz w:val="24"/>
    </w:rPr>
  </w:style>
  <w:style w:type="paragraph" w:styleId="936">
    <w:name w:val="Heading 6"/>
    <w:basedOn w:val="930"/>
    <w:next w:val="930"/>
    <w:link w:val="981"/>
    <w:uiPriority w:val="9"/>
    <w:unhideWhenUsed/>
    <w:qFormat/>
    <w:pPr>
      <w:keepLines/>
      <w:keepNext/>
      <w:spacing w:before="320" w:after="200"/>
      <w:outlineLvl w:val="5"/>
    </w:pPr>
    <w:rPr>
      <w:rFonts w:ascii="Arial" w:hAnsi="Arial" w:eastAsia="Arial" w:cs="Arial"/>
      <w:b/>
      <w:bCs/>
      <w:sz w:val="22"/>
      <w:szCs w:val="22"/>
    </w:rPr>
  </w:style>
  <w:style w:type="paragraph" w:styleId="937">
    <w:name w:val="Heading 7"/>
    <w:basedOn w:val="930"/>
    <w:next w:val="930"/>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Heading 8"/>
    <w:basedOn w:val="930"/>
    <w:next w:val="930"/>
    <w:link w:val="983"/>
    <w:uiPriority w:val="9"/>
    <w:unhideWhenUsed/>
    <w:qFormat/>
    <w:pPr>
      <w:keepLines/>
      <w:keepNext/>
      <w:spacing w:before="320" w:after="200"/>
      <w:outlineLvl w:val="7"/>
    </w:pPr>
    <w:rPr>
      <w:rFonts w:ascii="Arial" w:hAnsi="Arial" w:eastAsia="Arial" w:cs="Arial"/>
      <w:i/>
      <w:iCs/>
      <w:sz w:val="22"/>
      <w:szCs w:val="22"/>
    </w:rPr>
  </w:style>
  <w:style w:type="paragraph" w:styleId="939">
    <w:name w:val="Heading 9"/>
    <w:basedOn w:val="930"/>
    <w:next w:val="930"/>
    <w:link w:val="984"/>
    <w:uiPriority w:val="9"/>
    <w:unhideWhenUsed/>
    <w:qFormat/>
    <w:pPr>
      <w:keepLines/>
      <w:keepNext/>
      <w:spacing w:before="320" w:after="200"/>
      <w:outlineLvl w:val="8"/>
    </w:pPr>
    <w:rPr>
      <w:rFonts w:ascii="Arial" w:hAnsi="Arial" w:eastAsia="Arial" w:cs="Arial"/>
      <w:i/>
      <w:iCs/>
      <w:szCs w:val="21"/>
    </w:rPr>
  </w:style>
  <w:style w:type="character" w:styleId="940" w:default="1">
    <w:name w:val="Default Paragraph Font"/>
    <w:uiPriority w:val="1"/>
    <w:semiHidden/>
    <w:unhideWhenUsed/>
  </w:style>
  <w:style w:type="table" w:styleId="941" w:default="1">
    <w:name w:val="Normal Table"/>
    <w:uiPriority w:val="99"/>
    <w:semiHidden/>
    <w:unhideWhenUsed/>
    <w:tblPr>
      <w:tblCellMar>
        <w:left w:w="108" w:type="dxa"/>
        <w:top w:w="0" w:type="dxa"/>
        <w:right w:w="108" w:type="dxa"/>
        <w:bottom w:w="0" w:type="dxa"/>
      </w:tblCellMar>
    </w:tblPr>
  </w:style>
  <w:style w:type="paragraph" w:styleId="942">
    <w:name w:val="Normal Indent"/>
    <w:basedOn w:val="930"/>
    <w:next w:val="930"/>
    <w:uiPriority w:val="0"/>
    <w:qFormat/>
    <w:pPr>
      <w:ind w:firstLine="420"/>
    </w:pPr>
    <w:rPr>
      <w:rFonts w:ascii="Times New Roman" w:hAnsi="Times New Roman"/>
      <w:szCs w:val="20"/>
    </w:rPr>
  </w:style>
  <w:style w:type="paragraph" w:styleId="943">
    <w:name w:val="toc 7"/>
    <w:basedOn w:val="930"/>
    <w:next w:val="930"/>
    <w:uiPriority w:val="0"/>
    <w:qFormat/>
    <w:pPr>
      <w:ind w:left="2520"/>
    </w:pPr>
  </w:style>
  <w:style w:type="paragraph" w:styleId="944">
    <w:name w:val="Caption"/>
    <w:basedOn w:val="930"/>
    <w:next w:val="93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45">
    <w:name w:val="Body Text"/>
    <w:basedOn w:val="930"/>
    <w:next w:val="946"/>
    <w:uiPriority w:val="0"/>
    <w:qFormat/>
    <w:pPr>
      <w:spacing w:after="120"/>
    </w:pPr>
  </w:style>
  <w:style w:type="paragraph" w:styleId="946">
    <w:name w:val="Body Text 2"/>
    <w:basedOn w:val="930"/>
    <w:uiPriority w:val="0"/>
    <w:qFormat/>
    <w:pPr>
      <w:spacing w:after="120" w:line="480" w:lineRule="auto"/>
    </w:pPr>
  </w:style>
  <w:style w:type="paragraph" w:styleId="947">
    <w:name w:val="Body Text Indent"/>
    <w:basedOn w:val="930"/>
    <w:uiPriority w:val="0"/>
    <w:qFormat/>
    <w:pPr>
      <w:ind w:firstLine="645"/>
    </w:pPr>
    <w:rPr>
      <w:rFonts w:ascii="楷体_GB2312" w:hAnsi="Times New Roman" w:eastAsia="楷体_GB2312"/>
      <w:sz w:val="32"/>
      <w:szCs w:val="20"/>
    </w:rPr>
  </w:style>
  <w:style w:type="paragraph" w:styleId="948">
    <w:name w:val="Block Text"/>
    <w:basedOn w:val="930"/>
    <w:uiPriority w:val="0"/>
    <w:unhideWhenUsed/>
    <w:qFormat/>
    <w:rPr>
      <w:rFonts w:eastAsia="微软雅黑"/>
    </w:rPr>
  </w:style>
  <w:style w:type="paragraph" w:styleId="949">
    <w:name w:val="toc 5"/>
    <w:basedOn w:val="930"/>
    <w:next w:val="930"/>
    <w:uiPriority w:val="39"/>
    <w:unhideWhenUsed/>
    <w:qFormat/>
    <w:pPr>
      <w:ind w:left="1134"/>
      <w:spacing w:after="57"/>
    </w:pPr>
  </w:style>
  <w:style w:type="paragraph" w:styleId="950">
    <w:name w:val="toc 3"/>
    <w:basedOn w:val="930"/>
    <w:next w:val="930"/>
    <w:uiPriority w:val="39"/>
    <w:unhideWhenUsed/>
    <w:qFormat/>
    <w:pPr>
      <w:ind w:left="567"/>
      <w:spacing w:after="57"/>
    </w:pPr>
  </w:style>
  <w:style w:type="paragraph" w:styleId="951">
    <w:name w:val="Plain Text"/>
    <w:basedOn w:val="930"/>
    <w:next w:val="942"/>
    <w:uiPriority w:val="99"/>
    <w:qFormat/>
    <w:rPr>
      <w:rFonts w:ascii="宋体" w:hAnsi="Courier New"/>
      <w:szCs w:val="20"/>
    </w:rPr>
  </w:style>
  <w:style w:type="paragraph" w:styleId="952">
    <w:name w:val="toc 8"/>
    <w:basedOn w:val="930"/>
    <w:next w:val="930"/>
    <w:uiPriority w:val="39"/>
    <w:unhideWhenUsed/>
    <w:qFormat/>
    <w:pPr>
      <w:ind w:left="1984"/>
      <w:spacing w:after="57"/>
    </w:pPr>
  </w:style>
  <w:style w:type="paragraph" w:styleId="953">
    <w:name w:val="endnote text"/>
    <w:basedOn w:val="930"/>
    <w:link w:val="1121"/>
    <w:uiPriority w:val="99"/>
    <w:semiHidden/>
    <w:unhideWhenUsed/>
    <w:qFormat/>
    <w:rPr>
      <w:sz w:val="20"/>
    </w:rPr>
  </w:style>
  <w:style w:type="paragraph" w:styleId="954">
    <w:name w:val="Footer"/>
    <w:basedOn w:val="930"/>
    <w:link w:val="994"/>
    <w:uiPriority w:val="0"/>
    <w:qFormat/>
    <w:pPr>
      <w:jc w:val="left"/>
      <w:tabs>
        <w:tab w:val="center" w:pos="4153" w:leader="none"/>
        <w:tab w:val="right" w:pos="8306" w:leader="none"/>
      </w:tabs>
    </w:pPr>
    <w:rPr>
      <w:rFonts w:ascii="Times New Roman" w:hAnsi="Times New Roman"/>
      <w:sz w:val="18"/>
      <w:szCs w:val="20"/>
    </w:rPr>
  </w:style>
  <w:style w:type="paragraph" w:styleId="955">
    <w:name w:val="Header"/>
    <w:basedOn w:val="930"/>
    <w:link w:val="992"/>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56">
    <w:name w:val="toc 1"/>
    <w:basedOn w:val="930"/>
    <w:next w:val="93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57">
    <w:name w:val="toc 4"/>
    <w:basedOn w:val="930"/>
    <w:next w:val="930"/>
    <w:uiPriority w:val="39"/>
    <w:unhideWhenUsed/>
    <w:qFormat/>
    <w:pPr>
      <w:ind w:left="850"/>
      <w:spacing w:after="57"/>
    </w:pPr>
  </w:style>
  <w:style w:type="paragraph" w:styleId="958">
    <w:name w:val="Subtitle"/>
    <w:basedOn w:val="930"/>
    <w:next w:val="930"/>
    <w:link w:val="987"/>
    <w:uiPriority w:val="11"/>
    <w:qFormat/>
    <w:pPr>
      <w:spacing w:before="200" w:after="200"/>
    </w:pPr>
    <w:rPr>
      <w:sz w:val="24"/>
    </w:rPr>
  </w:style>
  <w:style w:type="paragraph" w:styleId="959">
    <w:name w:val="footnote text"/>
    <w:basedOn w:val="930"/>
    <w:link w:val="1120"/>
    <w:uiPriority w:val="99"/>
    <w:semiHidden/>
    <w:unhideWhenUsed/>
    <w:qFormat/>
    <w:pPr>
      <w:spacing w:after="40"/>
    </w:pPr>
    <w:rPr>
      <w:sz w:val="18"/>
    </w:rPr>
  </w:style>
  <w:style w:type="paragraph" w:styleId="960">
    <w:name w:val="toc 6"/>
    <w:basedOn w:val="930"/>
    <w:next w:val="930"/>
    <w:uiPriority w:val="39"/>
    <w:unhideWhenUsed/>
    <w:qFormat/>
    <w:pPr>
      <w:ind w:left="1417"/>
      <w:spacing w:after="57"/>
    </w:pPr>
  </w:style>
  <w:style w:type="paragraph" w:styleId="961">
    <w:name w:val="table of figures"/>
    <w:basedOn w:val="930"/>
    <w:next w:val="930"/>
    <w:uiPriority w:val="99"/>
    <w:unhideWhenUsed/>
    <w:qFormat/>
  </w:style>
  <w:style w:type="paragraph" w:styleId="962">
    <w:name w:val="toc 2"/>
    <w:basedOn w:val="930"/>
    <w:next w:val="930"/>
    <w:uiPriority w:val="39"/>
    <w:unhideWhenUsed/>
    <w:qFormat/>
    <w:pPr>
      <w:ind w:left="283"/>
      <w:spacing w:after="57"/>
    </w:pPr>
  </w:style>
  <w:style w:type="paragraph" w:styleId="963">
    <w:name w:val="toc 9"/>
    <w:basedOn w:val="930"/>
    <w:next w:val="930"/>
    <w:uiPriority w:val="39"/>
    <w:unhideWhenUsed/>
    <w:qFormat/>
    <w:pPr>
      <w:ind w:left="2268"/>
      <w:spacing w:after="57"/>
    </w:pPr>
  </w:style>
  <w:style w:type="paragraph" w:styleId="964">
    <w:name w:val="Title"/>
    <w:basedOn w:val="930"/>
    <w:next w:val="930"/>
    <w:link w:val="986"/>
    <w:uiPriority w:val="0"/>
    <w:qFormat/>
    <w:pPr>
      <w:jc w:val="center"/>
      <w:spacing w:before="240" w:after="60"/>
      <w:outlineLvl w:val="0"/>
    </w:pPr>
    <w:rPr>
      <w:rFonts w:ascii="等线 Light" w:hAnsi="等线 Light"/>
      <w:b/>
      <w:bCs/>
      <w:sz w:val="32"/>
      <w:szCs w:val="32"/>
    </w:rPr>
  </w:style>
  <w:style w:type="paragraph" w:styleId="965">
    <w:name w:val="Body Text First Indent"/>
    <w:basedOn w:val="945"/>
    <w:next w:val="966"/>
    <w:uiPriority w:val="0"/>
    <w:unhideWhenUsed/>
    <w:qFormat/>
    <w:pPr>
      <w:ind w:firstLine="420"/>
    </w:pPr>
    <w:rPr>
      <w:rFonts w:ascii="楷体_GB2312" w:hAnsi="Arial" w:eastAsia="楷体_GB2312"/>
      <w:sz w:val="28"/>
      <w:szCs w:val="20"/>
    </w:rPr>
  </w:style>
  <w:style w:type="paragraph" w:styleId="966" w:customStyle="1">
    <w:name w:val="Comment Subject"/>
    <w:basedOn w:val="967"/>
    <w:next w:val="968"/>
    <w:uiPriority w:val="0"/>
    <w:qFormat/>
    <w:rPr>
      <w:b/>
      <w:bCs/>
      <w:sz w:val="20"/>
      <w:lang w:eastAsia="en-US"/>
    </w:rPr>
  </w:style>
  <w:style w:type="paragraph" w:styleId="967" w:customStyle="1">
    <w:name w:val="Comment Text"/>
    <w:basedOn w:val="930"/>
    <w:uiPriority w:val="0"/>
    <w:unhideWhenUsed/>
    <w:qFormat/>
    <w:pPr>
      <w:jc w:val="left"/>
    </w:pPr>
  </w:style>
  <w:style w:type="paragraph" w:styleId="968" w:customStyle="1">
    <w:name w:val="Plain Text1"/>
    <w:basedOn w:val="930"/>
    <w:next w:val="943"/>
    <w:uiPriority w:val="0"/>
    <w:qFormat/>
    <w:pPr>
      <w:ind w:firstLine="3584"/>
      <w:spacing w:line="360" w:lineRule="auto"/>
    </w:pPr>
  </w:style>
  <w:style w:type="paragraph" w:styleId="969">
    <w:name w:val="Body Text First Indent 2"/>
    <w:basedOn w:val="947"/>
    <w:uiPriority w:val="0"/>
    <w:qFormat/>
    <w:pPr>
      <w:ind w:firstLine="420"/>
    </w:pPr>
    <w:rPr>
      <w:rFonts w:cs="宋体"/>
      <w:szCs w:val="21"/>
    </w:rPr>
  </w:style>
  <w:style w:type="table" w:styleId="970">
    <w:name w:val="Table Grid"/>
    <w:basedOn w:val="9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1">
    <w:name w:val="Strong"/>
    <w:basedOn w:val="940"/>
    <w:uiPriority w:val="22"/>
    <w:qFormat/>
    <w:rPr>
      <w:b/>
    </w:rPr>
  </w:style>
  <w:style w:type="character" w:styleId="972">
    <w:name w:val="endnote reference"/>
    <w:basedOn w:val="940"/>
    <w:uiPriority w:val="99"/>
    <w:semiHidden/>
    <w:unhideWhenUsed/>
    <w:qFormat/>
    <w:rPr>
      <w:vertAlign w:val="superscript"/>
    </w:rPr>
  </w:style>
  <w:style w:type="character" w:styleId="973">
    <w:name w:val="page number"/>
    <w:uiPriority w:val="0"/>
    <w:qFormat/>
    <w:rPr>
      <w:rFonts w:ascii="Times New Roman" w:hAnsi="Times New Roman" w:eastAsia="宋体" w:cs="Times New Roman"/>
    </w:rPr>
  </w:style>
  <w:style w:type="character" w:styleId="974">
    <w:name w:val="Hyperlink"/>
    <w:uiPriority w:val="99"/>
    <w:qFormat/>
    <w:rPr>
      <w:rFonts w:ascii="Times New Roman" w:hAnsi="Times New Roman" w:eastAsia="宋体" w:cs="Times New Roman"/>
      <w:color w:val="0000ff"/>
      <w:u w:val="single"/>
    </w:rPr>
  </w:style>
  <w:style w:type="character" w:styleId="975">
    <w:name w:val="footnote reference"/>
    <w:basedOn w:val="940"/>
    <w:uiPriority w:val="99"/>
    <w:unhideWhenUsed/>
    <w:qFormat/>
    <w:rPr>
      <w:vertAlign w:val="superscript"/>
    </w:rPr>
  </w:style>
  <w:style w:type="character" w:styleId="976" w:customStyle="1">
    <w:name w:val="标题 1 字符"/>
    <w:basedOn w:val="940"/>
    <w:link w:val="931"/>
    <w:uiPriority w:val="9"/>
    <w:qFormat/>
    <w:rPr>
      <w:rFonts w:ascii="Arial" w:hAnsi="Arial" w:eastAsia="Arial" w:cs="Arial"/>
      <w:sz w:val="40"/>
      <w:szCs w:val="40"/>
    </w:rPr>
  </w:style>
  <w:style w:type="character" w:styleId="977" w:customStyle="1">
    <w:name w:val="标题 2 字符"/>
    <w:basedOn w:val="940"/>
    <w:link w:val="932"/>
    <w:uiPriority w:val="9"/>
    <w:qFormat/>
    <w:rPr>
      <w:rFonts w:ascii="Arial" w:hAnsi="Arial" w:eastAsia="Arial" w:cs="Arial"/>
      <w:sz w:val="34"/>
    </w:rPr>
  </w:style>
  <w:style w:type="character" w:styleId="978" w:customStyle="1">
    <w:name w:val="标题 3 字符"/>
    <w:basedOn w:val="940"/>
    <w:link w:val="933"/>
    <w:uiPriority w:val="9"/>
    <w:qFormat/>
    <w:rPr>
      <w:rFonts w:ascii="Arial" w:hAnsi="Arial" w:eastAsia="Arial" w:cs="Arial"/>
      <w:sz w:val="30"/>
      <w:szCs w:val="30"/>
    </w:rPr>
  </w:style>
  <w:style w:type="character" w:styleId="979" w:customStyle="1">
    <w:name w:val="标题 4 字符"/>
    <w:basedOn w:val="940"/>
    <w:link w:val="934"/>
    <w:uiPriority w:val="9"/>
    <w:qFormat/>
    <w:rPr>
      <w:rFonts w:ascii="Arial" w:hAnsi="Arial" w:eastAsia="Arial" w:cs="Arial"/>
      <w:b/>
      <w:bCs/>
      <w:sz w:val="26"/>
      <w:szCs w:val="26"/>
    </w:rPr>
  </w:style>
  <w:style w:type="character" w:styleId="980" w:customStyle="1">
    <w:name w:val="标题 5 字符"/>
    <w:basedOn w:val="940"/>
    <w:link w:val="935"/>
    <w:uiPriority w:val="9"/>
    <w:qFormat/>
    <w:rPr>
      <w:rFonts w:ascii="Arial" w:hAnsi="Arial" w:eastAsia="Arial" w:cs="Arial"/>
      <w:b/>
      <w:bCs/>
      <w:sz w:val="24"/>
      <w:szCs w:val="24"/>
    </w:rPr>
  </w:style>
  <w:style w:type="character" w:styleId="981" w:customStyle="1">
    <w:name w:val="标题 6 字符"/>
    <w:basedOn w:val="940"/>
    <w:link w:val="936"/>
    <w:uiPriority w:val="9"/>
    <w:qFormat/>
    <w:rPr>
      <w:rFonts w:ascii="Arial" w:hAnsi="Arial" w:eastAsia="Arial" w:cs="Arial"/>
      <w:b/>
      <w:bCs/>
      <w:sz w:val="22"/>
      <w:szCs w:val="22"/>
    </w:rPr>
  </w:style>
  <w:style w:type="character" w:styleId="982" w:customStyle="1">
    <w:name w:val="标题 7 字符"/>
    <w:basedOn w:val="940"/>
    <w:link w:val="937"/>
    <w:uiPriority w:val="9"/>
    <w:qFormat/>
    <w:rPr>
      <w:rFonts w:ascii="Arial" w:hAnsi="Arial" w:eastAsia="Arial" w:cs="Arial"/>
      <w:b/>
      <w:bCs/>
      <w:i/>
      <w:iCs/>
      <w:sz w:val="22"/>
      <w:szCs w:val="22"/>
    </w:rPr>
  </w:style>
  <w:style w:type="character" w:styleId="983" w:customStyle="1">
    <w:name w:val="标题 8 字符"/>
    <w:basedOn w:val="940"/>
    <w:link w:val="938"/>
    <w:uiPriority w:val="9"/>
    <w:qFormat/>
    <w:rPr>
      <w:rFonts w:ascii="Arial" w:hAnsi="Arial" w:eastAsia="Arial" w:cs="Arial"/>
      <w:i/>
      <w:iCs/>
      <w:sz w:val="22"/>
      <w:szCs w:val="22"/>
    </w:rPr>
  </w:style>
  <w:style w:type="character" w:styleId="984" w:customStyle="1">
    <w:name w:val="标题 9 字符"/>
    <w:basedOn w:val="940"/>
    <w:link w:val="939"/>
    <w:uiPriority w:val="9"/>
    <w:qFormat/>
    <w:rPr>
      <w:rFonts w:ascii="Arial" w:hAnsi="Arial" w:eastAsia="Arial" w:cs="Arial"/>
      <w:i/>
      <w:iCs/>
      <w:sz w:val="21"/>
      <w:szCs w:val="21"/>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字符"/>
    <w:basedOn w:val="940"/>
    <w:link w:val="964"/>
    <w:uiPriority w:val="10"/>
    <w:qFormat/>
    <w:rPr>
      <w:sz w:val="48"/>
      <w:szCs w:val="48"/>
    </w:rPr>
  </w:style>
  <w:style w:type="character" w:styleId="987" w:customStyle="1">
    <w:name w:val="副标题 字符"/>
    <w:basedOn w:val="940"/>
    <w:link w:val="958"/>
    <w:uiPriority w:val="11"/>
    <w:qFormat/>
    <w:rPr>
      <w:sz w:val="24"/>
      <w:szCs w:val="24"/>
    </w:rPr>
  </w:style>
  <w:style w:type="paragraph" w:styleId="988">
    <w:name w:val="Quote"/>
    <w:basedOn w:val="930"/>
    <w:next w:val="930"/>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930"/>
    <w:next w:val="930"/>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页眉 字符"/>
    <w:basedOn w:val="940"/>
    <w:link w:val="955"/>
    <w:uiPriority w:val="99"/>
    <w:qFormat/>
  </w:style>
  <w:style w:type="character" w:styleId="993" w:customStyle="1">
    <w:name w:val="Footer Char"/>
    <w:basedOn w:val="940"/>
    <w:uiPriority w:val="99"/>
    <w:qFormat/>
  </w:style>
  <w:style w:type="character" w:styleId="994" w:customStyle="1">
    <w:name w:val="页脚 字符"/>
    <w:link w:val="954"/>
    <w:uiPriority w:val="99"/>
    <w:qFormat/>
  </w:style>
  <w:style w:type="table" w:styleId="995" w:customStyle="1">
    <w:name w:val="Table Grid Light"/>
    <w:basedOn w:val="9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96" w:customStyle="1">
    <w:name w:val="无格式表格 11"/>
    <w:basedOn w:val="9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无格式表格 21"/>
    <w:basedOn w:val="9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customStyle="1">
    <w:name w:val="无格式表格 3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customStyle="1">
    <w:name w:val="无格式表格 4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customStyle="1">
    <w:name w:val="无格式表格 51"/>
    <w:basedOn w:val="9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1" w:customStyle="1">
    <w:name w:val="网格表 1 浅色1"/>
    <w:basedOn w:val="9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1"/>
    <w:basedOn w:val="94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2"/>
    <w:basedOn w:val="94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3"/>
    <w:basedOn w:val="94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4"/>
    <w:basedOn w:val="94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5"/>
    <w:basedOn w:val="94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6"/>
    <w:basedOn w:val="94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08" w:customStyle="1">
    <w:name w:val="网格表 21"/>
    <w:basedOn w:val="9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9" w:customStyle="1">
    <w:name w:val="Grid Table 2 - Accent 1"/>
    <w:basedOn w:val="94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10" w:customStyle="1">
    <w:name w:val="Grid Table 2 - Accent 2"/>
    <w:basedOn w:val="94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11" w:customStyle="1">
    <w:name w:val="Grid Table 2 - Accent 3"/>
    <w:basedOn w:val="94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12" w:customStyle="1">
    <w:name w:val="Grid Table 2 - Accent 4"/>
    <w:basedOn w:val="94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13" w:customStyle="1">
    <w:name w:val="Grid Table 2 - Accent 5"/>
    <w:basedOn w:val="94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14" w:customStyle="1">
    <w:name w:val="Grid Table 2 - Accent 6"/>
    <w:basedOn w:val="94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15" w:customStyle="1">
    <w:name w:val="网格表 31"/>
    <w:basedOn w:val="9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1"/>
    <w:basedOn w:val="94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2"/>
    <w:basedOn w:val="94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3"/>
    <w:basedOn w:val="94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4"/>
    <w:basedOn w:val="94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5"/>
    <w:basedOn w:val="94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6"/>
    <w:basedOn w:val="94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网格表 41"/>
    <w:basedOn w:val="9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customStyle="1">
    <w:name w:val="Grid Table 4 - Accent 1"/>
    <w:basedOn w:val="94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24" w:customStyle="1">
    <w:name w:val="Grid Table 4 - Accent 2"/>
    <w:basedOn w:val="94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25" w:customStyle="1">
    <w:name w:val="Grid Table 4 - Accent 3"/>
    <w:basedOn w:val="94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26" w:customStyle="1">
    <w:name w:val="Grid Table 4 - Accent 4"/>
    <w:basedOn w:val="94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27" w:customStyle="1">
    <w:name w:val="Grid Table 4 - Accent 5"/>
    <w:basedOn w:val="94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28" w:customStyle="1">
    <w:name w:val="Grid Table 4 - Accent 6"/>
    <w:basedOn w:val="94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29" w:customStyle="1">
    <w:name w:val="网格表 5 深色1"/>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0" w:customStyle="1">
    <w:name w:val="Grid Table 5 Dark- Accent 1"/>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31" w:customStyle="1">
    <w:name w:val="Grid Table 5 Dark - Accent 2"/>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32" w:customStyle="1">
    <w:name w:val="Grid Table 5 Dark - Accent 3"/>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33" w:customStyle="1">
    <w:name w:val="Grid Table 5 Dark- Accent 4"/>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34" w:customStyle="1">
    <w:name w:val="Grid Table 5 Dark - Accent 5"/>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35" w:customStyle="1">
    <w:name w:val="Grid Table 5 Dark - Accent 6"/>
    <w:basedOn w:val="9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36" w:customStyle="1">
    <w:name w:val="网格表 6 彩色1"/>
    <w:basedOn w:val="9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7" w:customStyle="1">
    <w:name w:val="Grid Table 6 Colorful - Accent 1"/>
    <w:basedOn w:val="94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38" w:customStyle="1">
    <w:name w:val="Grid Table 6 Colorful - Accent 2"/>
    <w:basedOn w:val="94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39" w:customStyle="1">
    <w:name w:val="Grid Table 6 Colorful - Accent 3"/>
    <w:basedOn w:val="94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40" w:customStyle="1">
    <w:name w:val="Grid Table 6 Colorful - Accent 4"/>
    <w:basedOn w:val="94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41" w:customStyle="1">
    <w:name w:val="Grid Table 6 Colorful - Accent 5"/>
    <w:basedOn w:val="94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42" w:customStyle="1">
    <w:name w:val="Grid Table 6 Colorful - Accent 6"/>
    <w:basedOn w:val="94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43" w:customStyle="1">
    <w:name w:val="网格表 7 彩色1"/>
    <w:basedOn w:val="9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Grid Table 7 Colorful - Accent 1"/>
    <w:basedOn w:val="94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45" w:customStyle="1">
    <w:name w:val="Grid Table 7 Colorful - Accent 2"/>
    <w:basedOn w:val="94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6" w:customStyle="1">
    <w:name w:val="Grid Table 7 Colorful - Accent 3"/>
    <w:basedOn w:val="94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47" w:customStyle="1">
    <w:name w:val="Grid Table 7 Colorful - Accent 4"/>
    <w:basedOn w:val="94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8" w:customStyle="1">
    <w:name w:val="Grid Table 7 Colorful - Accent 5"/>
    <w:basedOn w:val="94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49" w:customStyle="1">
    <w:name w:val="Grid Table 7 Colorful - Accent 6"/>
    <w:basedOn w:val="94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50" w:customStyle="1">
    <w:name w:val="清单表 1 浅色1"/>
    <w:basedOn w:val="9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customStyle="1">
    <w:name w:val="List Table 1 Light - Accent 1"/>
    <w:basedOn w:val="94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52" w:customStyle="1">
    <w:name w:val="List Table 1 Light - Accent 2"/>
    <w:basedOn w:val="94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53" w:customStyle="1">
    <w:name w:val="List Table 1 Light - Accent 3"/>
    <w:basedOn w:val="94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54" w:customStyle="1">
    <w:name w:val="List Table 1 Light - Accent 4"/>
    <w:basedOn w:val="94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55" w:customStyle="1">
    <w:name w:val="List Table 1 Light - Accent 5"/>
    <w:basedOn w:val="94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56" w:customStyle="1">
    <w:name w:val="List Table 1 Light - Accent 6"/>
    <w:basedOn w:val="94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57" w:customStyle="1">
    <w:name w:val="清单表 21"/>
    <w:basedOn w:val="9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8" w:customStyle="1">
    <w:name w:val="List Table 2 - Accent 1"/>
    <w:basedOn w:val="94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59" w:customStyle="1">
    <w:name w:val="List Table 2 - Accent 2"/>
    <w:basedOn w:val="94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60" w:customStyle="1">
    <w:name w:val="List Table 2 - Accent 3"/>
    <w:basedOn w:val="94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61" w:customStyle="1">
    <w:name w:val="List Table 2 - Accent 4"/>
    <w:basedOn w:val="94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62" w:customStyle="1">
    <w:name w:val="List Table 2 - Accent 5"/>
    <w:basedOn w:val="94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63" w:customStyle="1">
    <w:name w:val="List Table 2 - Accent 6"/>
    <w:basedOn w:val="94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64" w:customStyle="1">
    <w:name w:val="清单表 31"/>
    <w:basedOn w:val="9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3 - Accent 1"/>
    <w:basedOn w:val="94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6" w:customStyle="1">
    <w:name w:val="List Table 3 - Accent 2"/>
    <w:basedOn w:val="94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67" w:customStyle="1">
    <w:name w:val="List Table 3 - Accent 3"/>
    <w:basedOn w:val="94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68" w:customStyle="1">
    <w:name w:val="List Table 3 - Accent 4"/>
    <w:basedOn w:val="94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69" w:customStyle="1">
    <w:name w:val="List Table 3 - Accent 5"/>
    <w:basedOn w:val="94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70" w:customStyle="1">
    <w:name w:val="List Table 3 - Accent 6"/>
    <w:basedOn w:val="94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71" w:customStyle="1">
    <w:name w:val="清单表 41"/>
    <w:basedOn w:val="9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2" w:customStyle="1">
    <w:name w:val="List Table 4 - Accent 1"/>
    <w:basedOn w:val="94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73" w:customStyle="1">
    <w:name w:val="List Table 4 - Accent 2"/>
    <w:basedOn w:val="94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74" w:customStyle="1">
    <w:name w:val="List Table 4 - Accent 3"/>
    <w:basedOn w:val="94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75" w:customStyle="1">
    <w:name w:val="List Table 4 - Accent 4"/>
    <w:basedOn w:val="94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76" w:customStyle="1">
    <w:name w:val="List Table 4 - Accent 5"/>
    <w:basedOn w:val="94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77" w:customStyle="1">
    <w:name w:val="List Table 4 - Accent 6"/>
    <w:basedOn w:val="94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78" w:customStyle="1">
    <w:name w:val="清单表 5 深色1"/>
    <w:basedOn w:val="9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1"/>
    <w:basedOn w:val="94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2"/>
    <w:basedOn w:val="94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3"/>
    <w:basedOn w:val="94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4"/>
    <w:basedOn w:val="94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5"/>
    <w:basedOn w:val="94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6"/>
    <w:basedOn w:val="94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清单表 6 彩色1"/>
    <w:basedOn w:val="9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6" w:customStyle="1">
    <w:name w:val="List Table 6 Colorful - Accent 1"/>
    <w:basedOn w:val="94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87" w:customStyle="1">
    <w:name w:val="List Table 6 Colorful - Accent 2"/>
    <w:basedOn w:val="94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88" w:customStyle="1">
    <w:name w:val="List Table 6 Colorful - Accent 3"/>
    <w:basedOn w:val="94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89" w:customStyle="1">
    <w:name w:val="List Table 6 Colorful - Accent 4"/>
    <w:basedOn w:val="94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90" w:customStyle="1">
    <w:name w:val="List Table 6 Colorful - Accent 5"/>
    <w:basedOn w:val="94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91" w:customStyle="1">
    <w:name w:val="List Table 6 Colorful - Accent 6"/>
    <w:basedOn w:val="94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92" w:customStyle="1">
    <w:name w:val="清单表 7 彩色1"/>
    <w:basedOn w:val="9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List Table 7 Colorful - Accent 1"/>
    <w:basedOn w:val="94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94" w:customStyle="1">
    <w:name w:val="List Table 7 Colorful - Accent 2"/>
    <w:basedOn w:val="94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95" w:customStyle="1">
    <w:name w:val="List Table 7 Colorful - Accent 3"/>
    <w:basedOn w:val="94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96" w:customStyle="1">
    <w:name w:val="List Table 7 Colorful - Accent 4"/>
    <w:basedOn w:val="94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97" w:customStyle="1">
    <w:name w:val="List Table 7 Colorful - Accent 5"/>
    <w:basedOn w:val="94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98" w:customStyle="1">
    <w:name w:val="List Table 7 Colorful - Accent 6"/>
    <w:basedOn w:val="94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99" w:customStyle="1">
    <w:name w:val="Lined - Accent"/>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Lined - Accent 1"/>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01" w:customStyle="1">
    <w:name w:val="Lined - Accent 2"/>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2" w:customStyle="1">
    <w:name w:val="Lined - Accent 3"/>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03" w:customStyle="1">
    <w:name w:val="Lined - Accent 4"/>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4" w:customStyle="1">
    <w:name w:val="Lined - Accent 5"/>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5" w:customStyle="1">
    <w:name w:val="Lined - Accent 6"/>
    <w:basedOn w:val="9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6" w:customStyle="1">
    <w:name w:val="Bordered &amp; Lined - Accent"/>
    <w:basedOn w:val="9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Bordered &amp; Lined - Accent 1"/>
    <w:basedOn w:val="94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08" w:customStyle="1">
    <w:name w:val="Bordered &amp; Lined - Accent 2"/>
    <w:basedOn w:val="94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9" w:customStyle="1">
    <w:name w:val="Bordered &amp; Lined - Accent 3"/>
    <w:basedOn w:val="94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10" w:customStyle="1">
    <w:name w:val="Bordered &amp; Lined - Accent 4"/>
    <w:basedOn w:val="94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11" w:customStyle="1">
    <w:name w:val="Bordered &amp; Lined - Accent 5"/>
    <w:basedOn w:val="94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12" w:customStyle="1">
    <w:name w:val="Bordered &amp; Lined - Accent 6"/>
    <w:basedOn w:val="94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13" w:customStyle="1">
    <w:name w:val="Bordered"/>
    <w:basedOn w:val="9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4" w:customStyle="1">
    <w:name w:val="Bordered - Accent 1"/>
    <w:basedOn w:val="94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15" w:customStyle="1">
    <w:name w:val="Bordered - Accent 2"/>
    <w:basedOn w:val="94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16" w:customStyle="1">
    <w:name w:val="Bordered - Accent 3"/>
    <w:basedOn w:val="94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17" w:customStyle="1">
    <w:name w:val="Bordered - Accent 4"/>
    <w:basedOn w:val="94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18" w:customStyle="1">
    <w:name w:val="Bordered - Accent 5"/>
    <w:basedOn w:val="94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19" w:customStyle="1">
    <w:name w:val="Bordered - Accent 6"/>
    <w:basedOn w:val="94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20" w:customStyle="1">
    <w:name w:val="脚注文本 字符"/>
    <w:link w:val="959"/>
    <w:uiPriority w:val="99"/>
    <w:qFormat/>
    <w:rPr>
      <w:sz w:val="18"/>
    </w:rPr>
  </w:style>
  <w:style w:type="character" w:styleId="1121" w:customStyle="1">
    <w:name w:val="尾注文本 字符"/>
    <w:link w:val="953"/>
    <w:uiPriority w:val="99"/>
    <w:qFormat/>
    <w:rPr>
      <w:sz w:val="20"/>
    </w:rPr>
  </w:style>
  <w:style w:type="paragraph" w:styleId="1122" w:customStyle="1">
    <w:name w:val="TOC 标题1"/>
    <w:uiPriority w:val="39"/>
    <w:unhideWhenUsed/>
    <w:qFormat/>
    <w:rPr>
      <w:rFonts w:ascii="Times New Roman" w:hAnsi="Times New Roman" w:eastAsia="宋体" w:cs="Times New Roman"/>
      <w:lang w:val="en-US" w:eastAsia="zh-CN" w:bidi="ar-SA"/>
    </w:rPr>
  </w:style>
  <w:style w:type="paragraph" w:styleId="1123" w:customStyle="1">
    <w:name w:val="普通正文"/>
    <w:basedOn w:val="930"/>
    <w:uiPriority w:val="0"/>
    <w:qFormat/>
    <w:pPr>
      <w:ind w:firstLine="482"/>
      <w:jc w:val="left"/>
      <w:spacing w:line="360" w:lineRule="auto"/>
    </w:pPr>
    <w:rPr>
      <w:rFonts w:ascii="Arial" w:hAnsi="Arial"/>
      <w:sz w:val="24"/>
    </w:rPr>
  </w:style>
  <w:style w:type="paragraph" w:styleId="1124" w:customStyle="1">
    <w:name w:val="TOC 标题11"/>
    <w:basedOn w:val="931"/>
    <w:next w:val="93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25" w:customStyle="1">
    <w:name w:val="目录 31"/>
    <w:basedOn w:val="930"/>
    <w:next w:val="930"/>
    <w:uiPriority w:val="0"/>
    <w:qFormat/>
    <w:pPr>
      <w:ind w:left="840"/>
    </w:pPr>
    <w:rPr>
      <w:lang w:eastAsia="en-US"/>
    </w:rPr>
  </w:style>
  <w:style w:type="paragraph" w:styleId="1126" w:customStyle="1">
    <w:name w:val="标题 31"/>
    <w:basedOn w:val="930"/>
    <w:next w:val="930"/>
    <w:uiPriority w:val="0"/>
    <w:qFormat/>
    <w:pPr>
      <w:keepLines/>
      <w:keepNext/>
      <w:spacing w:before="260" w:after="260" w:line="413" w:lineRule="auto"/>
      <w:outlineLvl w:val="2"/>
    </w:pPr>
    <w:rPr>
      <w:b/>
      <w:sz w:val="32"/>
      <w:szCs w:val="20"/>
    </w:rPr>
  </w:style>
  <w:style w:type="paragraph" w:styleId="1127" w:customStyle="1">
    <w:name w:val="_Style 11"/>
    <w:basedOn w:val="930"/>
    <w:next w:val="1128"/>
    <w:uiPriority w:val="0"/>
    <w:qFormat/>
    <w:pPr>
      <w:ind w:firstLine="420"/>
    </w:pPr>
  </w:style>
  <w:style w:type="paragraph" w:styleId="1128">
    <w:name w:val="List Paragraph"/>
    <w:basedOn w:val="930"/>
    <w:uiPriority w:val="34"/>
    <w:qFormat/>
    <w:pPr>
      <w:ind w:firstLine="420"/>
    </w:pPr>
  </w:style>
  <w:style w:type="paragraph" w:styleId="1129" w:customStyle="1">
    <w:name w:val="sh4"/>
    <w:basedOn w:val="930"/>
    <w:uiPriority w:val="0"/>
    <w:qFormat/>
    <w:pPr>
      <w:ind w:firstLine="420"/>
      <w:spacing w:line="460" w:lineRule="exact"/>
    </w:pPr>
    <w:rPr>
      <w:rFonts w:ascii="宋体" w:hAnsi="宋体"/>
      <w:szCs w:val="21"/>
      <w:lang w:eastAsia="en-US"/>
    </w:rPr>
  </w:style>
  <w:style w:type="paragraph" w:styleId="1130" w:customStyle="1">
    <w:name w:val="段"/>
    <w:next w:val="930"/>
    <w:uiPriority w:val="0"/>
    <w:qFormat/>
    <w:pPr>
      <w:ind w:firstLine="200"/>
      <w:jc w:val="both"/>
    </w:pPr>
    <w:rPr>
      <w:rFonts w:ascii="宋体" w:hAnsi="Times New Roman" w:eastAsia="宋体" w:cs="Times New Roman"/>
      <w:sz w:val="21"/>
      <w:szCs w:val="22"/>
      <w:lang w:val="en-US" w:eastAsia="zh-CN" w:bidi="ar-SA"/>
    </w:rPr>
  </w:style>
  <w:style w:type="paragraph" w:styleId="1131" w:customStyle="1">
    <w:name w:val="Char"/>
    <w:basedOn w:val="930"/>
    <w:uiPriority w:val="0"/>
    <w:qFormat/>
    <w:pPr>
      <w:tabs>
        <w:tab w:val="left" w:pos="360" w:leader="none"/>
      </w:tabs>
    </w:pPr>
    <w:rPr>
      <w:rFonts w:ascii="Times New Roman" w:hAnsi="Times New Roman"/>
      <w:sz w:val="24"/>
    </w:rPr>
  </w:style>
  <w:style w:type="paragraph" w:styleId="1132" w:customStyle="1">
    <w:name w:val="二级目录"/>
    <w:next w:val="930"/>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33" w:customStyle="1">
    <w:name w:val="简单回函地址"/>
    <w:basedOn w:val="930"/>
    <w:uiPriority w:val="0"/>
    <w:qFormat/>
    <w:rPr>
      <w:rFonts w:ascii="Times New Roman" w:hAnsi="Times New Roman" w:cs="宋体"/>
      <w:szCs w:val="21"/>
    </w:rPr>
  </w:style>
  <w:style w:type="paragraph" w:styleId="1134" w:customStyle="1">
    <w:name w:val="索引 41"/>
    <w:basedOn w:val="930"/>
    <w:next w:val="930"/>
    <w:uiPriority w:val="0"/>
    <w:qFormat/>
    <w:pPr>
      <w:ind w:left="1260"/>
    </w:pPr>
  </w:style>
  <w:style w:type="paragraph" w:styleId="1135" w:customStyle="1">
    <w:name w:val="普通(网站)1"/>
    <w:basedOn w:val="930"/>
    <w:uiPriority w:val="0"/>
    <w:unhideWhenUsed/>
    <w:qFormat/>
    <w:pPr>
      <w:jc w:val="left"/>
      <w:spacing w:before="100" w:beforeAutospacing="1" w:after="100" w:afterAutospacing="1"/>
    </w:pPr>
    <w:rPr>
      <w:sz w:val="24"/>
      <w:lang w:eastAsia="en-US"/>
    </w:rPr>
  </w:style>
  <w:style w:type="paragraph" w:styleId="1136" w:customStyle="1">
    <w:name w:val="页脚11"/>
    <w:basedOn w:val="930"/>
    <w:uiPriority w:val="0"/>
    <w:qFormat/>
    <w:pPr>
      <w:jc w:val="left"/>
      <w:tabs>
        <w:tab w:val="center" w:pos="4153" w:leader="none"/>
        <w:tab w:val="right" w:pos="8306" w:leader="none"/>
      </w:tabs>
    </w:pPr>
    <w:rPr>
      <w:sz w:val="18"/>
      <w:szCs w:val="18"/>
      <w:lang w:eastAsia="en-US"/>
    </w:rPr>
  </w:style>
  <w:style w:type="paragraph" w:styleId="1137" w:customStyle="1">
    <w:name w:val="正文文本11"/>
    <w:basedOn w:val="930"/>
    <w:next w:val="930"/>
    <w:uiPriority w:val="0"/>
    <w:qFormat/>
    <w:rPr>
      <w:rFonts w:ascii="楷体_GB2312" w:hAnsi="Arial" w:eastAsia="楷体_GB2312"/>
      <w:sz w:val="28"/>
      <w:szCs w:val="20"/>
    </w:rPr>
  </w:style>
  <w:style w:type="numbering" w:styleId="6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赵慧</cp:lastModifiedBy>
  <cp:revision>143</cp:revision>
  <dcterms:created xsi:type="dcterms:W3CDTF">2025-06-19T07:38:00Z</dcterms:created>
  <dcterms:modified xsi:type="dcterms:W3CDTF">2025-12-29T11:51:49Z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12D572241E0B4CBD9FAB9E3A54354A42_13</vt:lpwstr>
  </property>
  <property fmtid="{D5CDD505-2E9C-101B-9397-08002B2CF9AE}" pid="4" name="KSOTemplateDocerSaveRecord">
    <vt:lpwstr>eyJoZGlkIjoiYTI1YTU2Nzg1YmI5N2VmZGM4ZTU4OWU5MjhjYTAyZjAiLCJ1c2VySWQiOiIxMjc1ODEyMzI5In0=</vt:lpwstr>
  </property>
</Properties>
</file>