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1EBF11">
      <w:pPr>
        <w:tabs>
          <w:tab w:val="left" w:pos="3841"/>
        </w:tabs>
        <w:spacing w:line="240" w:lineRule="exact"/>
        <w:jc w:val="left"/>
        <w:rPr>
          <w:rFonts w:ascii="宋体" w:hAnsi="宋体" w:cs="宋体"/>
          <w:b/>
          <w:i/>
          <w:szCs w:val="21"/>
        </w:rPr>
      </w:pPr>
      <w:r>
        <w:rPr>
          <w:rFonts w:hint="eastAsia" w:ascii="宋体" w:hAnsi="宋体" w:cs="宋体"/>
          <w:b/>
          <w:sz w:val="72"/>
        </w:rPr>
        <w:tab/>
      </w:r>
    </w:p>
    <w:p w14:paraId="3C71F98E">
      <w:pPr>
        <w:jc w:val="center"/>
        <w:rPr>
          <w:rFonts w:ascii="宋体" w:hAnsi="宋体" w:cs="宋体"/>
          <w:b/>
          <w:sz w:val="72"/>
        </w:rPr>
      </w:pPr>
    </w:p>
    <w:p w14:paraId="587F46BE">
      <w:pPr>
        <w:spacing w:line="360" w:lineRule="auto"/>
        <w:jc w:val="center"/>
        <w:rPr>
          <w:rFonts w:ascii="宋体" w:hAnsi="宋体" w:cs="宋体"/>
          <w:b/>
          <w:spacing w:val="20"/>
          <w:sz w:val="72"/>
          <w:szCs w:val="72"/>
        </w:rPr>
      </w:pPr>
      <w:r>
        <w:rPr>
          <w:rFonts w:hint="eastAsia" w:ascii="宋体" w:hAnsi="宋体" w:cs="宋体"/>
          <w:b/>
          <w:spacing w:val="20"/>
          <w:sz w:val="72"/>
          <w:szCs w:val="72"/>
        </w:rPr>
        <w:t>泰 州 市 政 府 采 购</w:t>
      </w:r>
    </w:p>
    <w:p w14:paraId="552FBD54">
      <w:pPr>
        <w:spacing w:line="360" w:lineRule="auto"/>
        <w:jc w:val="center"/>
        <w:rPr>
          <w:rFonts w:ascii="宋体" w:hAnsi="宋体" w:cs="宋体"/>
          <w:b/>
          <w:spacing w:val="20"/>
          <w:sz w:val="52"/>
          <w:szCs w:val="52"/>
        </w:rPr>
      </w:pPr>
      <w:r>
        <w:rPr>
          <w:rFonts w:hint="eastAsia" w:ascii="宋体" w:hAnsi="宋体" w:cs="宋体"/>
          <w:b/>
          <w:spacing w:val="20"/>
          <w:sz w:val="52"/>
          <w:szCs w:val="52"/>
        </w:rPr>
        <w:t>磋 商 文 件</w:t>
      </w:r>
    </w:p>
    <w:p w14:paraId="0F704D85">
      <w:pPr>
        <w:jc w:val="center"/>
        <w:rPr>
          <w:rFonts w:ascii="宋体" w:hAnsi="宋体" w:cs="宋体"/>
          <w:b/>
          <w:sz w:val="72"/>
          <w:szCs w:val="72"/>
        </w:rPr>
      </w:pPr>
      <w:r>
        <w:rPr>
          <w:rFonts w:hint="eastAsia" w:ascii="宋体" w:hAnsi="宋体" w:cs="宋体"/>
          <w:b/>
          <w:sz w:val="30"/>
        </w:rPr>
        <w:t>（全流程电子化不见面开标）</w:t>
      </w:r>
    </w:p>
    <w:p w14:paraId="6954D32B">
      <w:pPr>
        <w:rPr>
          <w:rFonts w:ascii="宋体" w:hAnsi="宋体" w:cs="宋体"/>
          <w:b/>
          <w:sz w:val="72"/>
        </w:rPr>
      </w:pPr>
    </w:p>
    <w:p w14:paraId="6663FBC1">
      <w:pPr>
        <w:pStyle w:val="324"/>
        <w:ind w:firstLine="568"/>
        <w:rPr>
          <w:rFonts w:ascii="宋体" w:hAnsi="宋体" w:cs="宋体"/>
          <w:b/>
        </w:rPr>
      </w:pPr>
    </w:p>
    <w:p w14:paraId="448D8265">
      <w:pPr>
        <w:pStyle w:val="324"/>
        <w:ind w:firstLine="568"/>
        <w:rPr>
          <w:rFonts w:ascii="宋体" w:hAnsi="宋体" w:cs="宋体"/>
          <w:b/>
        </w:rPr>
      </w:pPr>
    </w:p>
    <w:p w14:paraId="592DD980">
      <w:pPr>
        <w:spacing w:line="360" w:lineRule="auto"/>
        <w:ind w:firstLine="1250" w:firstLineChars="415"/>
        <w:rPr>
          <w:rFonts w:ascii="宋体" w:hAnsi="宋体" w:cs="宋体"/>
          <w:b/>
          <w:sz w:val="30"/>
          <w:szCs w:val="30"/>
        </w:rPr>
      </w:pPr>
      <w:r>
        <w:rPr>
          <w:rFonts w:hint="eastAsia" w:ascii="宋体" w:hAnsi="宋体" w:cs="宋体"/>
          <w:b/>
          <w:sz w:val="30"/>
          <w:szCs w:val="30"/>
        </w:rPr>
        <w:t>项目编号：JYZC-2025134</w:t>
      </w:r>
    </w:p>
    <w:p w14:paraId="69006B0F">
      <w:pPr>
        <w:pStyle w:val="53"/>
        <w:rPr>
          <w:rFonts w:ascii="宋体" w:hAnsi="宋体" w:cs="宋体"/>
        </w:rPr>
      </w:pPr>
    </w:p>
    <w:p w14:paraId="06BE2C8F">
      <w:pPr>
        <w:spacing w:line="360" w:lineRule="auto"/>
        <w:ind w:firstLine="1250" w:firstLineChars="415"/>
        <w:rPr>
          <w:rFonts w:ascii="宋体" w:hAnsi="宋体" w:cs="宋体"/>
          <w:b/>
          <w:sz w:val="30"/>
          <w:szCs w:val="30"/>
        </w:rPr>
      </w:pPr>
      <w:r>
        <w:rPr>
          <w:rFonts w:hint="eastAsia" w:ascii="宋体" w:hAnsi="宋体" w:cs="宋体"/>
          <w:b/>
          <w:sz w:val="30"/>
          <w:szCs w:val="30"/>
        </w:rPr>
        <w:t>项目名称： 蒋垛镇果蔬深加工厂房（一期）光伏项目</w:t>
      </w:r>
    </w:p>
    <w:p w14:paraId="6BA456CA">
      <w:pPr>
        <w:spacing w:line="360" w:lineRule="auto"/>
        <w:ind w:firstLine="419"/>
        <w:rPr>
          <w:rFonts w:ascii="宋体" w:hAnsi="宋体" w:cs="宋体"/>
          <w:b/>
          <w:sz w:val="28"/>
          <w:szCs w:val="28"/>
        </w:rPr>
      </w:pPr>
    </w:p>
    <w:p w14:paraId="6940FBA0">
      <w:pPr>
        <w:spacing w:line="360" w:lineRule="auto"/>
        <w:ind w:firstLine="419"/>
        <w:rPr>
          <w:rFonts w:ascii="宋体" w:hAnsi="宋体" w:cs="宋体"/>
          <w:b/>
          <w:sz w:val="28"/>
          <w:szCs w:val="28"/>
        </w:rPr>
      </w:pPr>
    </w:p>
    <w:p w14:paraId="4F033D45">
      <w:pPr>
        <w:spacing w:line="360" w:lineRule="auto"/>
        <w:ind w:firstLine="419"/>
        <w:rPr>
          <w:rFonts w:ascii="宋体" w:hAnsi="宋体" w:cs="宋体"/>
          <w:b/>
          <w:sz w:val="28"/>
          <w:szCs w:val="28"/>
        </w:rPr>
      </w:pPr>
    </w:p>
    <w:p w14:paraId="6FA272EA">
      <w:pPr>
        <w:spacing w:line="360" w:lineRule="auto"/>
        <w:ind w:firstLine="419"/>
        <w:rPr>
          <w:rFonts w:ascii="宋体" w:hAnsi="宋体" w:cs="宋体"/>
          <w:b/>
          <w:sz w:val="28"/>
          <w:szCs w:val="28"/>
        </w:rPr>
      </w:pPr>
    </w:p>
    <w:p w14:paraId="5D82E132">
      <w:pPr>
        <w:spacing w:line="360" w:lineRule="auto"/>
        <w:ind w:firstLine="419"/>
        <w:rPr>
          <w:rFonts w:ascii="宋体" w:hAnsi="宋体" w:cs="宋体"/>
          <w:b/>
          <w:sz w:val="28"/>
          <w:szCs w:val="28"/>
        </w:rPr>
      </w:pPr>
    </w:p>
    <w:p w14:paraId="56F5128B">
      <w:pPr>
        <w:spacing w:line="360" w:lineRule="auto"/>
        <w:ind w:firstLine="1250" w:firstLineChars="415"/>
        <w:rPr>
          <w:rFonts w:ascii="宋体" w:hAnsi="宋体" w:cs="宋体"/>
          <w:b/>
          <w:sz w:val="30"/>
          <w:szCs w:val="30"/>
        </w:rPr>
      </w:pPr>
      <w:r>
        <w:rPr>
          <w:rFonts w:hint="eastAsia" w:ascii="宋体" w:hAnsi="宋体" w:cs="宋体"/>
          <w:b/>
          <w:sz w:val="30"/>
          <w:szCs w:val="30"/>
        </w:rPr>
        <w:t>采   购   人：泰州市姜堰区蒋垛镇人民政府</w:t>
      </w:r>
    </w:p>
    <w:p w14:paraId="4CA6363C">
      <w:pPr>
        <w:spacing w:line="360" w:lineRule="auto"/>
        <w:rPr>
          <w:rFonts w:ascii="宋体" w:hAnsi="宋体" w:cs="宋体"/>
          <w:b/>
          <w:sz w:val="30"/>
          <w:szCs w:val="30"/>
        </w:rPr>
      </w:pPr>
    </w:p>
    <w:p w14:paraId="195A5ACC">
      <w:pPr>
        <w:spacing w:line="360" w:lineRule="auto"/>
        <w:ind w:firstLine="1250" w:firstLineChars="415"/>
        <w:rPr>
          <w:rFonts w:ascii="宋体" w:hAnsi="宋体" w:cs="宋体"/>
          <w:b/>
          <w:sz w:val="28"/>
          <w:szCs w:val="28"/>
        </w:rPr>
      </w:pPr>
      <w:r>
        <w:rPr>
          <w:rFonts w:hint="eastAsia" w:ascii="宋体" w:hAnsi="宋体" w:cs="宋体"/>
          <w:b/>
          <w:sz w:val="30"/>
          <w:szCs w:val="30"/>
        </w:rPr>
        <w:t>采购代理机构：煋方元项目管理（泰州）有限公司</w:t>
      </w:r>
    </w:p>
    <w:p w14:paraId="3F25814F">
      <w:pPr>
        <w:jc w:val="center"/>
        <w:rPr>
          <w:rFonts w:ascii="宋体" w:hAnsi="宋体" w:cs="宋体"/>
          <w:b/>
          <w:sz w:val="28"/>
          <w:szCs w:val="28"/>
        </w:rPr>
      </w:pPr>
    </w:p>
    <w:p w14:paraId="1C8C2824">
      <w:pPr>
        <w:pStyle w:val="53"/>
        <w:rPr>
          <w:rFonts w:ascii="宋体" w:hAnsi="宋体" w:cs="宋体"/>
          <w:b/>
        </w:rPr>
      </w:pPr>
    </w:p>
    <w:p w14:paraId="6F9C69B1">
      <w:pPr>
        <w:jc w:val="center"/>
        <w:rPr>
          <w:rFonts w:ascii="宋体" w:hAnsi="宋体" w:cs="宋体"/>
          <w:b/>
          <w:sz w:val="32"/>
          <w:szCs w:val="32"/>
        </w:rPr>
      </w:pPr>
      <w:r>
        <w:rPr>
          <w:rFonts w:hint="eastAsia" w:ascii="宋体" w:hAnsi="宋体" w:cs="宋体"/>
          <w:b/>
          <w:color w:val="000000"/>
          <w:sz w:val="32"/>
          <w:szCs w:val="32"/>
        </w:rPr>
        <w:t>二○二五年九月</w:t>
      </w:r>
    </w:p>
    <w:p w14:paraId="6218D55E">
      <w:pPr>
        <w:spacing w:line="520" w:lineRule="exact"/>
        <w:jc w:val="center"/>
        <w:rPr>
          <w:rFonts w:ascii="宋体" w:hAnsi="宋体" w:cs="宋体"/>
          <w:b/>
          <w:bCs/>
          <w:spacing w:val="-3"/>
          <w:sz w:val="32"/>
          <w:szCs w:val="32"/>
        </w:rPr>
      </w:pPr>
      <w:r>
        <w:rPr>
          <w:rFonts w:hint="eastAsia" w:ascii="宋体" w:hAnsi="宋体" w:cs="宋体"/>
          <w:b/>
          <w:spacing w:val="20"/>
          <w:sz w:val="84"/>
        </w:rPr>
        <w:br w:type="page" w:clear="all"/>
      </w:r>
      <w:r>
        <w:rPr>
          <w:rFonts w:hint="eastAsia" w:ascii="宋体" w:hAnsi="宋体" w:cs="宋体"/>
          <w:b/>
          <w:bCs/>
          <w:sz w:val="32"/>
          <w:szCs w:val="32"/>
        </w:rPr>
        <w:t>政府采购线上合同信用融资功能告知提醒</w:t>
      </w:r>
    </w:p>
    <w:p w14:paraId="47F417A2">
      <w:pPr>
        <w:pStyle w:val="326"/>
        <w:spacing w:before="0" w:beforeAutospacing="0" w:after="0" w:afterAutospacing="0" w:line="400" w:lineRule="exact"/>
        <w:ind w:left="640"/>
        <w:jc w:val="both"/>
        <w:rPr>
          <w:rFonts w:cs="宋体"/>
          <w:b/>
          <w:bCs/>
        </w:rPr>
      </w:pPr>
      <w:r>
        <w:rPr>
          <w:rFonts w:hint="eastAsia" w:cs="宋体"/>
          <w:b/>
          <w:bCs/>
        </w:rPr>
        <w:t>一、政府采购线上合同信用融资功能告知提醒</w:t>
      </w:r>
    </w:p>
    <w:p w14:paraId="197BFB3F">
      <w:pPr>
        <w:spacing w:line="400" w:lineRule="exact"/>
        <w:ind w:firstLine="564"/>
        <w:rPr>
          <w:rFonts w:ascii="宋体" w:hAnsi="宋体" w:cs="宋体"/>
          <w:spacing w:val="1"/>
          <w:sz w:val="24"/>
        </w:rPr>
      </w:pPr>
      <w:r>
        <w:rPr>
          <w:rFonts w:hint="eastAsia" w:ascii="宋体" w:hAnsi="宋体" w:cs="宋体"/>
          <w:spacing w:val="1"/>
          <w:sz w:val="24"/>
        </w:rPr>
        <w:t>我区已正式启用“苏采云”系统，目前已全面开</w:t>
      </w:r>
      <w:r>
        <w:rPr>
          <w:rFonts w:hint="eastAsia" w:ascii="宋体" w:hAnsi="宋体" w:cs="宋体"/>
          <w:spacing w:val="11"/>
          <w:sz w:val="24"/>
        </w:rPr>
        <w:t>通</w:t>
      </w:r>
      <w:r>
        <w:rPr>
          <w:rFonts w:hint="eastAsia" w:ascii="宋体" w:hAnsi="宋体" w:cs="宋体"/>
          <w:spacing w:val="1"/>
          <w:sz w:val="24"/>
        </w:rPr>
        <w:t>政府采购线上合同信用融资（以下简称“政采贷”）功能。成交供应商可凭政府采购合同在中征平台发起贷款申请贷款。</w:t>
      </w:r>
    </w:p>
    <w:p w14:paraId="0FAC60F2">
      <w:pPr>
        <w:pStyle w:val="326"/>
        <w:spacing w:before="0" w:beforeAutospacing="0" w:after="0" w:afterAutospacing="0" w:line="400" w:lineRule="exact"/>
        <w:ind w:left="640"/>
        <w:jc w:val="both"/>
        <w:rPr>
          <w:rFonts w:cs="宋体"/>
          <w:b/>
          <w:bCs/>
        </w:rPr>
      </w:pPr>
      <w:r>
        <w:rPr>
          <w:rFonts w:hint="eastAsia" w:cs="宋体"/>
          <w:b/>
          <w:bCs/>
        </w:rPr>
        <w:t>1.“政采贷”业务流程</w:t>
      </w:r>
    </w:p>
    <w:p w14:paraId="3B340962">
      <w:pPr>
        <w:pStyle w:val="326"/>
        <w:spacing w:before="0" w:beforeAutospacing="0" w:after="0" w:afterAutospacing="0" w:line="400" w:lineRule="exact"/>
        <w:jc w:val="both"/>
        <w:rPr>
          <w:rFonts w:cs="宋体"/>
        </w:rPr>
      </w:pPr>
      <w:r>
        <w:rPr>
          <w:rFonts w:hint="eastAsia" w:cs="宋体"/>
        </w:rPr>
        <w:drawing>
          <wp:anchor distT="0" distB="0" distL="114300" distR="114300" simplePos="0" relativeHeight="251659264" behindDoc="0" locked="0" layoutInCell="1" allowOverlap="1">
            <wp:simplePos x="0" y="0"/>
            <wp:positionH relativeFrom="column">
              <wp:posOffset>250825</wp:posOffset>
            </wp:positionH>
            <wp:positionV relativeFrom="paragraph">
              <wp:posOffset>8890</wp:posOffset>
            </wp:positionV>
            <wp:extent cx="5267325" cy="1553845"/>
            <wp:effectExtent l="0" t="0" r="3175" b="8255"/>
            <wp:wrapNone/>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icPr>
                  <pic:blipFill>
                    <a:blip r:embed="rId7"/>
                    <a:stretch>
                      <a:fillRect/>
                    </a:stretch>
                  </pic:blipFill>
                  <pic:spPr>
                    <a:xfrm>
                      <a:off x="0" y="0"/>
                      <a:ext cx="5267325" cy="1553845"/>
                    </a:xfrm>
                    <a:prstGeom prst="rect">
                      <a:avLst/>
                    </a:prstGeom>
                    <a:noFill/>
                    <a:ln>
                      <a:noFill/>
                    </a:ln>
                  </pic:spPr>
                </pic:pic>
              </a:graphicData>
            </a:graphic>
          </wp:anchor>
        </w:drawing>
      </w:r>
    </w:p>
    <w:p w14:paraId="48409337">
      <w:pPr>
        <w:pStyle w:val="326"/>
        <w:spacing w:before="0" w:beforeAutospacing="0" w:after="0" w:afterAutospacing="0" w:line="400" w:lineRule="exact"/>
        <w:ind w:left="640"/>
        <w:jc w:val="both"/>
        <w:rPr>
          <w:rFonts w:cs="宋体"/>
          <w:b/>
          <w:bCs/>
        </w:rPr>
      </w:pPr>
    </w:p>
    <w:p w14:paraId="3BC87AD7">
      <w:pPr>
        <w:pStyle w:val="326"/>
        <w:spacing w:before="0" w:beforeAutospacing="0" w:after="0" w:afterAutospacing="0" w:line="400" w:lineRule="exact"/>
        <w:ind w:left="640"/>
        <w:jc w:val="both"/>
        <w:rPr>
          <w:rFonts w:cs="宋体"/>
          <w:b/>
          <w:bCs/>
        </w:rPr>
      </w:pPr>
    </w:p>
    <w:p w14:paraId="27FECEBD">
      <w:pPr>
        <w:pStyle w:val="326"/>
        <w:spacing w:before="0" w:beforeAutospacing="0" w:after="0" w:afterAutospacing="0" w:line="400" w:lineRule="exact"/>
        <w:ind w:left="640"/>
        <w:jc w:val="both"/>
        <w:rPr>
          <w:rFonts w:cs="宋体"/>
          <w:b/>
          <w:bCs/>
        </w:rPr>
      </w:pPr>
    </w:p>
    <w:p w14:paraId="76DDB1B0">
      <w:pPr>
        <w:pStyle w:val="326"/>
        <w:spacing w:before="0" w:beforeAutospacing="0" w:after="0" w:afterAutospacing="0" w:line="400" w:lineRule="exact"/>
        <w:ind w:left="640"/>
        <w:jc w:val="both"/>
        <w:rPr>
          <w:rFonts w:cs="宋体"/>
          <w:b/>
          <w:bCs/>
        </w:rPr>
      </w:pPr>
    </w:p>
    <w:p w14:paraId="7205D0A5">
      <w:pPr>
        <w:pStyle w:val="326"/>
        <w:spacing w:before="0" w:beforeAutospacing="0" w:after="0" w:afterAutospacing="0" w:line="400" w:lineRule="exact"/>
        <w:ind w:left="640"/>
        <w:jc w:val="both"/>
        <w:rPr>
          <w:rFonts w:cs="宋体"/>
          <w:b/>
          <w:bCs/>
        </w:rPr>
      </w:pPr>
    </w:p>
    <w:p w14:paraId="652F1C48">
      <w:pPr>
        <w:pStyle w:val="326"/>
        <w:spacing w:before="0" w:beforeAutospacing="0" w:after="0" w:afterAutospacing="0" w:line="350" w:lineRule="exact"/>
        <w:ind w:left="640"/>
        <w:jc w:val="both"/>
        <w:rPr>
          <w:rFonts w:cs="宋体"/>
          <w:b/>
          <w:bCs/>
        </w:rPr>
      </w:pPr>
      <w:r>
        <w:rPr>
          <w:rFonts w:hint="eastAsia" w:cs="宋体"/>
          <w:b/>
          <w:bCs/>
        </w:rPr>
        <w:t>2.操作流程</w:t>
      </w:r>
    </w:p>
    <w:p w14:paraId="736A5F64">
      <w:pPr>
        <w:pStyle w:val="326"/>
        <w:spacing w:before="0" w:beforeAutospacing="0" w:after="0" w:afterAutospacing="0" w:line="350" w:lineRule="exact"/>
        <w:ind w:firstLine="480"/>
        <w:jc w:val="both"/>
        <w:rPr>
          <w:rFonts w:cs="宋体"/>
        </w:rPr>
      </w:pPr>
      <w:r>
        <w:rPr>
          <w:rFonts w:hint="eastAsia" w:cs="宋体"/>
        </w:rPr>
        <w:t>苏采云合同公示时，当供应商向采购人报备有融资贷款需求，并且在中征平台已经发起贷款申请。采购人需要在合同公示第三点其他信息中供应商账户信息第一行【供应商是否融资】选项里面设置为“是”。</w:t>
      </w:r>
    </w:p>
    <w:p w14:paraId="57F23325">
      <w:pPr>
        <w:pStyle w:val="326"/>
        <w:spacing w:before="0" w:beforeAutospacing="0" w:after="0" w:afterAutospacing="0" w:line="350" w:lineRule="exact"/>
        <w:ind w:left="640"/>
        <w:jc w:val="both"/>
        <w:rPr>
          <w:rFonts w:cs="宋体"/>
          <w:b/>
          <w:bCs/>
        </w:rPr>
      </w:pPr>
      <w:r>
        <w:rPr>
          <w:rFonts w:hint="eastAsia" w:cs="宋体"/>
          <w:b/>
          <w:bCs/>
        </w:rPr>
        <w:t>3.常见问题</w:t>
      </w:r>
    </w:p>
    <w:p w14:paraId="0F793F41">
      <w:pPr>
        <w:pStyle w:val="326"/>
        <w:spacing w:before="0" w:beforeAutospacing="0" w:after="0" w:afterAutospacing="0" w:line="350" w:lineRule="exact"/>
        <w:jc w:val="both"/>
        <w:rPr>
          <w:rFonts w:cs="宋体"/>
        </w:rPr>
      </w:pPr>
      <w:r>
        <w:rPr>
          <w:rFonts w:hint="eastAsia" w:cs="宋体"/>
        </w:rPr>
        <w:t>Q1：哪些企业能申请“政采贷”？</w:t>
      </w:r>
    </w:p>
    <w:p w14:paraId="2BC387CD">
      <w:pPr>
        <w:pStyle w:val="326"/>
        <w:spacing w:before="0" w:beforeAutospacing="0" w:after="0" w:afterAutospacing="0" w:line="350" w:lineRule="exact"/>
        <w:jc w:val="both"/>
        <w:rPr>
          <w:rFonts w:cs="宋体"/>
        </w:rPr>
      </w:pPr>
      <w:r>
        <w:rPr>
          <w:rFonts w:hint="eastAsia" w:cs="宋体"/>
        </w:rPr>
        <w:t>答：江苏省内采用国库集中支付的政府采购项目的中标供应商，可凭政府采购合同申请"政采贷"。</w:t>
      </w:r>
    </w:p>
    <w:p w14:paraId="6B872D31">
      <w:pPr>
        <w:pStyle w:val="326"/>
        <w:spacing w:before="0" w:beforeAutospacing="0" w:after="0" w:afterAutospacing="0" w:line="350" w:lineRule="exact"/>
        <w:jc w:val="both"/>
        <w:rPr>
          <w:rFonts w:cs="宋体"/>
        </w:rPr>
      </w:pPr>
      <w:r>
        <w:rPr>
          <w:rFonts w:hint="eastAsia" w:cs="宋体"/>
        </w:rPr>
        <w:t>Q2：供应商在哪里申请“政采贷”？</w:t>
      </w:r>
    </w:p>
    <w:p w14:paraId="331CA230">
      <w:pPr>
        <w:pStyle w:val="326"/>
        <w:spacing w:before="0" w:beforeAutospacing="0" w:after="0" w:afterAutospacing="0" w:line="350" w:lineRule="exact"/>
        <w:jc w:val="both"/>
        <w:rPr>
          <w:rFonts w:cs="宋体"/>
        </w:rPr>
      </w:pPr>
      <w:r>
        <w:rPr>
          <w:rFonts w:hint="eastAsia" w:cs="宋体"/>
        </w:rPr>
        <w:t>答：中标供应商在“中征应收账款融资服务平台”（简称“中征平台”）上向意向银行发起融资申请</w:t>
      </w:r>
    </w:p>
    <w:p w14:paraId="583261FB">
      <w:pPr>
        <w:pStyle w:val="326"/>
        <w:spacing w:before="0" w:beforeAutospacing="0" w:after="0" w:afterAutospacing="0" w:line="350" w:lineRule="exact"/>
        <w:jc w:val="both"/>
        <w:rPr>
          <w:rFonts w:cs="宋体"/>
        </w:rPr>
      </w:pPr>
      <w:r>
        <w:rPr>
          <w:rFonts w:hint="eastAsia" w:cs="宋体"/>
        </w:rPr>
        <w:t>Q3：中标供应商要注意什么？</w:t>
      </w:r>
    </w:p>
    <w:p w14:paraId="6ADC9E71">
      <w:pPr>
        <w:pStyle w:val="326"/>
        <w:spacing w:before="0" w:beforeAutospacing="0" w:after="0" w:afterAutospacing="0" w:line="350" w:lineRule="exact"/>
        <w:jc w:val="both"/>
        <w:rPr>
          <w:rFonts w:cs="宋体"/>
        </w:rPr>
      </w:pPr>
      <w:r>
        <w:rPr>
          <w:rFonts w:hint="eastAsia" w:cs="宋体"/>
        </w:rPr>
        <w:t>答：中标供应商要加强和采购单位的沟通协调，尽早确定融资需求。需要“政采贷”融资的，政府采购合同付款账号应当空置。</w:t>
      </w:r>
    </w:p>
    <w:p w14:paraId="335E239A">
      <w:pPr>
        <w:pStyle w:val="326"/>
        <w:spacing w:before="0" w:beforeAutospacing="0" w:after="0" w:afterAutospacing="0" w:line="350" w:lineRule="exact"/>
        <w:jc w:val="both"/>
        <w:rPr>
          <w:rFonts w:cs="宋体"/>
        </w:rPr>
      </w:pPr>
      <w:r>
        <w:rPr>
          <w:rFonts w:hint="eastAsia" w:cs="宋体"/>
        </w:rPr>
        <w:t>Q4：采购单位要做什么？</w:t>
      </w:r>
    </w:p>
    <w:p w14:paraId="26332EA4">
      <w:pPr>
        <w:pStyle w:val="326"/>
        <w:spacing w:before="0" w:beforeAutospacing="0" w:after="0" w:afterAutospacing="0" w:line="350" w:lineRule="exact"/>
        <w:jc w:val="both"/>
        <w:rPr>
          <w:rFonts w:cs="宋体"/>
        </w:rPr>
      </w:pPr>
      <w:r>
        <w:rPr>
          <w:rFonts w:hint="eastAsia" w:cs="宋体"/>
        </w:rPr>
        <w:t>答：采购单位在“苏采云”系统中公示政府采购合同时，要勾选融资标识，为中标供应商融资提供便利。如后续融资失败，采购单位要及时维护中标供应商相关账号信息，按时支付款项。</w:t>
      </w:r>
    </w:p>
    <w:p w14:paraId="102B38FC">
      <w:pPr>
        <w:pStyle w:val="326"/>
        <w:spacing w:before="0" w:beforeAutospacing="0" w:after="0" w:afterAutospacing="0" w:line="350" w:lineRule="exact"/>
        <w:jc w:val="both"/>
        <w:rPr>
          <w:rFonts w:cs="宋体"/>
        </w:rPr>
      </w:pPr>
      <w:r>
        <w:rPr>
          <w:rFonts w:hint="eastAsia" w:cs="宋体"/>
        </w:rPr>
        <w:t>Q5：“政采贷”融资失败怎么办？</w:t>
      </w:r>
    </w:p>
    <w:p w14:paraId="791161D3">
      <w:pPr>
        <w:pStyle w:val="326"/>
        <w:spacing w:before="0" w:beforeAutospacing="0" w:after="0" w:afterAutospacing="0" w:line="350" w:lineRule="exact"/>
        <w:jc w:val="both"/>
        <w:rPr>
          <w:rFonts w:cs="宋体"/>
        </w:rPr>
      </w:pPr>
      <w:r>
        <w:rPr>
          <w:rFonts w:hint="eastAsia" w:cs="宋体"/>
        </w:rPr>
        <w:t>答：经合作银行审核后不予放款，或者贷款审核时间超过10个工作日的，视为融资失败，该项目回到财政预算管理一体化系统中支付资金。融资失败的，无法重新线上申请“政采贷”。</w:t>
      </w:r>
    </w:p>
    <w:p w14:paraId="08D4BD1B">
      <w:pPr>
        <w:pStyle w:val="326"/>
        <w:spacing w:before="0" w:beforeAutospacing="0" w:after="0" w:afterAutospacing="0" w:line="350" w:lineRule="exact"/>
        <w:ind w:left="640"/>
        <w:jc w:val="both"/>
        <w:rPr>
          <w:rFonts w:cs="宋体"/>
          <w:b/>
          <w:bCs/>
        </w:rPr>
      </w:pPr>
      <w:r>
        <w:rPr>
          <w:rFonts w:hint="eastAsia" w:cs="宋体"/>
          <w:b/>
          <w:bCs/>
        </w:rPr>
        <w:t>4.网址及联系方式</w:t>
      </w:r>
    </w:p>
    <w:p w14:paraId="603BE90A">
      <w:pPr>
        <w:spacing w:line="350" w:lineRule="exact"/>
        <w:jc w:val="left"/>
        <w:rPr>
          <w:rFonts w:ascii="宋体" w:hAnsi="宋体" w:cs="宋体"/>
          <w:spacing w:val="1"/>
          <w:sz w:val="24"/>
        </w:rPr>
      </w:pPr>
      <w:r>
        <w:rPr>
          <w:rFonts w:hint="eastAsia" w:ascii="宋体" w:hAnsi="宋体" w:cs="宋体"/>
          <w:spacing w:val="1"/>
          <w:sz w:val="24"/>
        </w:rPr>
        <w:t>政采贷：</w:t>
      </w:r>
      <w:r>
        <w:fldChar w:fldCharType="begin"/>
      </w:r>
      <w:r>
        <w:instrText xml:space="preserve"> HYPERLINK "http://www.ccgp-jiangsu.gov.cn/jiangsu/paying.html" \o "http://www.ccgp-jiangsu.gov.cn/jiangsu/paying.html" </w:instrText>
      </w:r>
      <w:r>
        <w:fldChar w:fldCharType="separate"/>
      </w:r>
      <w:r>
        <w:rPr>
          <w:rStyle w:val="244"/>
          <w:rFonts w:hint="eastAsia" w:ascii="宋体" w:hAnsi="宋体" w:cs="宋体"/>
          <w:spacing w:val="1"/>
          <w:sz w:val="24"/>
        </w:rPr>
        <w:t>http://www.ccgp-jiangsu.gov.cn/jiangsu/paying.html</w:t>
      </w:r>
      <w:r>
        <w:rPr>
          <w:rStyle w:val="244"/>
          <w:rFonts w:hint="eastAsia" w:ascii="宋体" w:hAnsi="宋体" w:cs="宋体"/>
          <w:spacing w:val="1"/>
          <w:sz w:val="24"/>
        </w:rPr>
        <w:fldChar w:fldCharType="end"/>
      </w:r>
    </w:p>
    <w:p w14:paraId="0F99C87C">
      <w:pPr>
        <w:spacing w:line="350" w:lineRule="exact"/>
        <w:jc w:val="left"/>
        <w:rPr>
          <w:rFonts w:ascii="宋体" w:hAnsi="宋体" w:cs="宋体"/>
          <w:spacing w:val="1"/>
          <w:sz w:val="24"/>
        </w:rPr>
      </w:pPr>
      <w:r>
        <w:rPr>
          <w:rFonts w:hint="eastAsia" w:ascii="宋体" w:hAnsi="宋体" w:cs="宋体"/>
          <w:spacing w:val="1"/>
          <w:sz w:val="24"/>
        </w:rPr>
        <w:t>中征平台：</w:t>
      </w:r>
      <w:r>
        <w:fldChar w:fldCharType="begin"/>
      </w:r>
      <w:r>
        <w:instrText xml:space="preserve"> HYPERLINK "https://www.crcrfsp.com/" \o "https://www.crcrfsp.com/" </w:instrText>
      </w:r>
      <w:r>
        <w:fldChar w:fldCharType="separate"/>
      </w:r>
      <w:r>
        <w:rPr>
          <w:rStyle w:val="244"/>
          <w:rFonts w:hint="eastAsia" w:ascii="宋体" w:hAnsi="宋体" w:cs="宋体"/>
          <w:spacing w:val="1"/>
          <w:sz w:val="24"/>
        </w:rPr>
        <w:t>https://www.crcrfsp.com/</w:t>
      </w:r>
      <w:r>
        <w:rPr>
          <w:rStyle w:val="244"/>
          <w:rFonts w:hint="eastAsia" w:ascii="宋体" w:hAnsi="宋体" w:cs="宋体"/>
          <w:spacing w:val="1"/>
          <w:sz w:val="24"/>
        </w:rPr>
        <w:fldChar w:fldCharType="end"/>
      </w:r>
    </w:p>
    <w:p w14:paraId="2403AADC">
      <w:pPr>
        <w:spacing w:line="350" w:lineRule="exact"/>
        <w:jc w:val="left"/>
        <w:rPr>
          <w:rFonts w:ascii="宋体" w:hAnsi="宋体" w:cs="宋体"/>
          <w:spacing w:val="1"/>
          <w:sz w:val="24"/>
        </w:rPr>
      </w:pPr>
      <w:r>
        <w:rPr>
          <w:rFonts w:hint="eastAsia" w:ascii="宋体" w:hAnsi="宋体" w:cs="宋体"/>
          <w:spacing w:val="1"/>
          <w:sz w:val="24"/>
        </w:rPr>
        <w:t>联系人：翟先生           联系电话：0523-88816349</w:t>
      </w:r>
    </w:p>
    <w:p w14:paraId="61F43768">
      <w:pPr>
        <w:spacing w:line="520" w:lineRule="exact"/>
        <w:jc w:val="left"/>
        <w:rPr>
          <w:rFonts w:ascii="宋体" w:hAnsi="宋体" w:cs="宋体"/>
          <w:sz w:val="24"/>
          <w:shd w:val="clear" w:color="auto" w:fill="FFFFFF"/>
          <w:lang w:bidi="ar"/>
        </w:rPr>
      </w:pPr>
    </w:p>
    <w:p w14:paraId="4D99B0F7">
      <w:pPr>
        <w:spacing w:line="380" w:lineRule="exact"/>
        <w:ind w:firstLine="520"/>
        <w:rPr>
          <w:rFonts w:ascii="宋体" w:hAnsi="宋体" w:cs="宋体"/>
          <w:b/>
          <w:bCs/>
          <w:sz w:val="24"/>
        </w:rPr>
      </w:pPr>
      <w:r>
        <w:rPr>
          <w:rFonts w:hint="eastAsia" w:ascii="宋体" w:hAnsi="宋体" w:cs="宋体"/>
          <w:b/>
          <w:bCs/>
          <w:sz w:val="24"/>
        </w:rPr>
        <w:t>二、竞争性谈判、磋商不见面交易注意事项</w:t>
      </w:r>
    </w:p>
    <w:p w14:paraId="7F2EFFD2">
      <w:pPr>
        <w:spacing w:line="380" w:lineRule="exact"/>
        <w:ind w:firstLine="520"/>
        <w:jc w:val="left"/>
        <w:rPr>
          <w:rFonts w:ascii="宋体" w:hAnsi="宋体" w:cs="宋体"/>
          <w:b/>
          <w:bCs/>
          <w:color w:val="FF0000"/>
          <w:sz w:val="24"/>
          <w:lang w:bidi="ar"/>
        </w:rPr>
      </w:pPr>
      <w:r>
        <w:rPr>
          <w:rFonts w:hint="eastAsia" w:ascii="宋体" w:hAnsi="宋体" w:cs="宋体"/>
          <w:b/>
          <w:bCs/>
          <w:color w:val="FF0000"/>
          <w:sz w:val="24"/>
          <w:lang w:bidi="ar"/>
        </w:rPr>
        <w:t>1.安装调试音视频设备。</w:t>
      </w:r>
      <w:r>
        <w:rPr>
          <w:rFonts w:hint="eastAsia" w:ascii="宋体" w:hAnsi="宋体" w:cs="宋体"/>
          <w:color w:val="FF0000"/>
          <w:sz w:val="24"/>
          <w:shd w:val="clear" w:color="auto" w:fill="FFFFFF"/>
          <w:lang w:bidi="ar"/>
        </w:rPr>
        <w:t>各供应商在投标前按照要求装好耳麦、摄像头等通讯工具。</w:t>
      </w:r>
    </w:p>
    <w:p w14:paraId="1BC4C600">
      <w:pPr>
        <w:spacing w:line="380" w:lineRule="exact"/>
        <w:ind w:firstLine="520"/>
        <w:jc w:val="left"/>
        <w:rPr>
          <w:rFonts w:ascii="宋体" w:hAnsi="宋体" w:cs="宋体"/>
          <w:sz w:val="24"/>
          <w:shd w:val="clear" w:color="auto" w:fill="FFFFFF"/>
          <w:lang w:bidi="ar"/>
        </w:rPr>
      </w:pPr>
      <w:r>
        <w:rPr>
          <w:rFonts w:hint="eastAsia" w:ascii="宋体" w:hAnsi="宋体" w:cs="宋体"/>
          <w:b/>
          <w:bCs/>
          <w:sz w:val="24"/>
          <w:lang w:bidi="ar"/>
        </w:rPr>
        <w:t>2.确保音视频畅通。</w:t>
      </w:r>
      <w:r>
        <w:rPr>
          <w:rFonts w:hint="eastAsia" w:ascii="宋体" w:hAnsi="宋体" w:cs="宋体"/>
          <w:sz w:val="24"/>
          <w:shd w:val="clear" w:color="auto" w:fill="FFFFFF"/>
          <w:lang w:bidi="ar"/>
        </w:rPr>
        <w:t>竞争性谈判、磋商项目需要进行谈判、磋商程序，请各供应商在投标前按照要求对耳麦、摄像头等通讯工具进行最终调试，可以利用微信或qq等相关软件进行测试，确保在谈判、磋商过程可以正常进行。</w:t>
      </w:r>
    </w:p>
    <w:p w14:paraId="6A7CF137">
      <w:pPr>
        <w:spacing w:line="380" w:lineRule="exact"/>
        <w:ind w:firstLine="520"/>
        <w:jc w:val="left"/>
        <w:rPr>
          <w:rFonts w:ascii="宋体" w:hAnsi="宋体" w:cs="宋体"/>
          <w:sz w:val="24"/>
          <w:shd w:val="clear" w:color="auto" w:fill="FFFFFF"/>
          <w:lang w:bidi="ar"/>
        </w:rPr>
      </w:pPr>
      <w:r>
        <w:rPr>
          <w:rFonts w:hint="eastAsia" w:ascii="宋体" w:hAnsi="宋体" w:cs="宋体"/>
          <w:b/>
          <w:bCs/>
          <w:sz w:val="24"/>
          <w:lang w:bidi="ar"/>
        </w:rPr>
        <w:t>3.及时完成最终报价。</w:t>
      </w:r>
      <w:r>
        <w:rPr>
          <w:rFonts w:hint="eastAsia" w:ascii="宋体" w:hAnsi="宋体" w:cs="宋体"/>
          <w:sz w:val="24"/>
          <w:shd w:val="clear" w:color="auto" w:fill="FFFFFF"/>
          <w:lang w:bidi="ar"/>
        </w:rPr>
        <w:t>竞争性谈判、磋商项目需要供应商进行最终报价，请各供应商在项目评标结束之前不要擅自离开“苏采云”交易系统开标大厅，待评审专家开启最终报价程序后，及时准确完成最终报价。</w:t>
      </w:r>
    </w:p>
    <w:p w14:paraId="239B3261">
      <w:pPr>
        <w:spacing w:line="380" w:lineRule="exact"/>
        <w:ind w:firstLine="520"/>
        <w:rPr>
          <w:rFonts w:ascii="宋体" w:hAnsi="宋体" w:cs="宋体"/>
          <w:b/>
          <w:bCs/>
          <w:sz w:val="24"/>
        </w:rPr>
      </w:pPr>
      <w:r>
        <w:rPr>
          <w:rFonts w:hint="eastAsia" w:ascii="宋体" w:hAnsi="宋体" w:cs="宋体"/>
          <w:b/>
          <w:bCs/>
          <w:sz w:val="24"/>
        </w:rPr>
        <w:t>三、供应商相关法律责任提醒</w:t>
      </w:r>
    </w:p>
    <w:p w14:paraId="52639548">
      <w:pPr>
        <w:spacing w:line="380" w:lineRule="exact"/>
        <w:ind w:firstLine="518"/>
        <w:rPr>
          <w:rFonts w:ascii="宋体" w:hAnsi="宋体" w:cs="宋体"/>
          <w:sz w:val="24"/>
        </w:rPr>
      </w:pPr>
      <w:r>
        <w:rPr>
          <w:rFonts w:hint="eastAsia" w:ascii="宋体" w:hAnsi="宋体" w:cs="宋体"/>
          <w:sz w:val="24"/>
        </w:rPr>
        <w:t>政府采购不见面交易实现了供应商在线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p>
    <w:p w14:paraId="6DBA1E05">
      <w:pPr>
        <w:spacing w:line="380" w:lineRule="exact"/>
        <w:ind w:firstLine="518"/>
        <w:rPr>
          <w:rFonts w:ascii="宋体" w:hAnsi="宋体" w:cs="宋体"/>
          <w:sz w:val="24"/>
        </w:rPr>
      </w:pPr>
      <w:r>
        <w:rPr>
          <w:rFonts w:hint="eastAsia" w:ascii="宋体" w:hAnsi="宋体" w:cs="宋体"/>
          <w:sz w:val="24"/>
        </w:rPr>
        <w:t>相关法律法规：</w:t>
      </w:r>
    </w:p>
    <w:p w14:paraId="627D4E57">
      <w:pPr>
        <w:spacing w:line="380" w:lineRule="exact"/>
        <w:ind w:firstLine="520"/>
        <w:rPr>
          <w:rFonts w:ascii="宋体" w:hAnsi="宋体" w:cs="宋体"/>
          <w:sz w:val="24"/>
        </w:rPr>
      </w:pPr>
      <w:r>
        <w:rPr>
          <w:rFonts w:hint="eastAsia" w:ascii="宋体" w:hAnsi="宋体" w:cs="宋体"/>
          <w:b/>
          <w:bCs/>
          <w:sz w:val="24"/>
        </w:rPr>
        <w:t>《政府采购法》</w:t>
      </w:r>
      <w:r>
        <w:rPr>
          <w:rFonts w:hint="eastAsia" w:ascii="宋体" w:hAnsi="宋体" w:cs="宋体"/>
          <w:sz w:val="24"/>
        </w:rPr>
        <w:t>第七十七条　供应商有下列情形之一的，</w:t>
      </w:r>
      <w:r>
        <w:rPr>
          <w:rFonts w:hint="eastAsia" w:ascii="宋体" w:hAnsi="宋体" w:cs="宋体"/>
          <w:color w:val="FF0000"/>
          <w:sz w:val="24"/>
        </w:rPr>
        <w:t>处以采购金额千分之五以上千分之十以下的罚款，列入不良行为记录名单，在一至三年内禁止参加政府采购活动</w:t>
      </w:r>
      <w:r>
        <w:rPr>
          <w:rFonts w:hint="eastAsia" w:ascii="宋体" w:hAnsi="宋体" w:cs="宋体"/>
          <w:sz w:val="24"/>
        </w:rPr>
        <w:t>，有违法所得的，并处没收违法所得，情节严重的，由工商行政管理机关吊销营业执照；构成犯罪的，依法追究刑事责任：</w:t>
      </w:r>
    </w:p>
    <w:p w14:paraId="17DD2121">
      <w:pPr>
        <w:spacing w:line="380" w:lineRule="exact"/>
        <w:ind w:firstLine="518"/>
        <w:rPr>
          <w:rFonts w:ascii="宋体" w:hAnsi="宋体" w:cs="宋体"/>
          <w:color w:val="FF0000"/>
          <w:sz w:val="24"/>
        </w:rPr>
      </w:pPr>
      <w:r>
        <w:rPr>
          <w:rFonts w:hint="eastAsia" w:ascii="宋体" w:hAnsi="宋体" w:cs="宋体"/>
          <w:color w:val="FF0000"/>
          <w:sz w:val="24"/>
        </w:rPr>
        <w:t>（一）提供虚假材料谋取中标、成交的；</w:t>
      </w:r>
    </w:p>
    <w:p w14:paraId="2C213C15">
      <w:pPr>
        <w:spacing w:line="380" w:lineRule="exact"/>
        <w:ind w:firstLine="518"/>
        <w:rPr>
          <w:rFonts w:ascii="宋体" w:hAnsi="宋体" w:cs="宋体"/>
          <w:sz w:val="24"/>
        </w:rPr>
      </w:pPr>
      <w:r>
        <w:rPr>
          <w:rFonts w:hint="eastAsia" w:ascii="宋体" w:hAnsi="宋体" w:cs="宋体"/>
          <w:sz w:val="24"/>
        </w:rPr>
        <w:t>（二）采取不正当手段诋毁、排挤其他供应商的；</w:t>
      </w:r>
    </w:p>
    <w:p w14:paraId="3DFE20CB">
      <w:pPr>
        <w:spacing w:line="380" w:lineRule="exact"/>
        <w:ind w:firstLine="518"/>
        <w:rPr>
          <w:rFonts w:ascii="宋体" w:hAnsi="宋体" w:cs="宋体"/>
          <w:color w:val="FF0000"/>
          <w:sz w:val="24"/>
        </w:rPr>
      </w:pPr>
      <w:r>
        <w:rPr>
          <w:rFonts w:hint="eastAsia" w:ascii="宋体" w:hAnsi="宋体" w:cs="宋体"/>
          <w:color w:val="FF0000"/>
          <w:sz w:val="24"/>
        </w:rPr>
        <w:t>（三）与采购人、其他供应商或者采购代理机构恶意串通的；</w:t>
      </w:r>
    </w:p>
    <w:p w14:paraId="63CBDF62">
      <w:pPr>
        <w:spacing w:line="380" w:lineRule="exact"/>
        <w:ind w:firstLine="518"/>
        <w:rPr>
          <w:rFonts w:ascii="宋体" w:hAnsi="宋体" w:cs="宋体"/>
          <w:sz w:val="24"/>
        </w:rPr>
      </w:pPr>
      <w:r>
        <w:rPr>
          <w:rFonts w:hint="eastAsia" w:ascii="宋体" w:hAnsi="宋体" w:cs="宋体"/>
          <w:sz w:val="24"/>
        </w:rPr>
        <w:t>（四）向采购人、采购代理机构行贿或者提供其他不正当利益的；</w:t>
      </w:r>
    </w:p>
    <w:p w14:paraId="2AF8F63E">
      <w:pPr>
        <w:spacing w:line="380" w:lineRule="exact"/>
        <w:ind w:firstLine="518"/>
        <w:rPr>
          <w:rFonts w:ascii="宋体" w:hAnsi="宋体" w:cs="宋体"/>
          <w:sz w:val="24"/>
        </w:rPr>
      </w:pPr>
      <w:r>
        <w:rPr>
          <w:rFonts w:hint="eastAsia" w:ascii="宋体" w:hAnsi="宋体" w:cs="宋体"/>
          <w:sz w:val="24"/>
        </w:rPr>
        <w:t>（五）在招标采购过程中与采购人进行协商谈判的；</w:t>
      </w:r>
    </w:p>
    <w:p w14:paraId="7755BFFC">
      <w:pPr>
        <w:spacing w:line="380" w:lineRule="exact"/>
        <w:ind w:firstLine="518"/>
        <w:rPr>
          <w:rFonts w:ascii="宋体" w:hAnsi="宋体" w:cs="宋体"/>
          <w:sz w:val="24"/>
        </w:rPr>
      </w:pPr>
      <w:r>
        <w:rPr>
          <w:rFonts w:hint="eastAsia" w:ascii="宋体" w:hAnsi="宋体" w:cs="宋体"/>
          <w:sz w:val="24"/>
        </w:rPr>
        <w:t>（六）拒绝有关部门监督检查或者提供虚假情况的。</w:t>
      </w:r>
    </w:p>
    <w:p w14:paraId="5FD95483">
      <w:pPr>
        <w:spacing w:line="380" w:lineRule="exact"/>
        <w:ind w:firstLine="518"/>
        <w:rPr>
          <w:rFonts w:ascii="宋体" w:hAnsi="宋体" w:cs="宋体"/>
          <w:sz w:val="24"/>
        </w:rPr>
      </w:pPr>
      <w:r>
        <w:rPr>
          <w:rFonts w:hint="eastAsia" w:ascii="宋体" w:hAnsi="宋体" w:cs="宋体"/>
          <w:sz w:val="24"/>
        </w:rPr>
        <w:t>供应商有前款第（一）至（五）项情形之一的，中标、成交无效。</w:t>
      </w:r>
    </w:p>
    <w:p w14:paraId="4DADBED5">
      <w:pPr>
        <w:spacing w:line="380" w:lineRule="exact"/>
        <w:ind w:firstLine="520"/>
        <w:rPr>
          <w:rFonts w:ascii="宋体" w:hAnsi="宋体" w:cs="宋体"/>
          <w:sz w:val="24"/>
        </w:rPr>
      </w:pPr>
      <w:r>
        <w:rPr>
          <w:rFonts w:hint="eastAsia" w:ascii="宋体" w:hAnsi="宋体" w:cs="宋体"/>
          <w:b/>
          <w:bCs/>
          <w:sz w:val="24"/>
        </w:rPr>
        <w:t>《政府采购法实施条例》</w:t>
      </w:r>
      <w:r>
        <w:rPr>
          <w:rFonts w:hint="eastAsia" w:ascii="宋体" w:hAnsi="宋体" w:cs="宋体"/>
          <w:sz w:val="24"/>
        </w:rPr>
        <w:t>第七十二条　供应商有下列情形之一的，</w:t>
      </w:r>
      <w:r>
        <w:rPr>
          <w:rFonts w:hint="eastAsia" w:ascii="宋体" w:hAnsi="宋体" w:cs="宋体"/>
          <w:color w:val="FF0000"/>
          <w:sz w:val="24"/>
        </w:rPr>
        <w:t>依照政府采购法第七十七条第一款的规定追究法律责任</w:t>
      </w:r>
      <w:r>
        <w:rPr>
          <w:rFonts w:hint="eastAsia" w:ascii="宋体" w:hAnsi="宋体" w:cs="宋体"/>
          <w:sz w:val="24"/>
        </w:rPr>
        <w:t>：</w:t>
      </w:r>
    </w:p>
    <w:p w14:paraId="170005A6">
      <w:pPr>
        <w:spacing w:line="380" w:lineRule="exact"/>
        <w:ind w:firstLine="518"/>
        <w:rPr>
          <w:rFonts w:ascii="宋体" w:hAnsi="宋体" w:cs="宋体"/>
          <w:sz w:val="24"/>
        </w:rPr>
      </w:pPr>
      <w:r>
        <w:rPr>
          <w:rFonts w:hint="eastAsia" w:ascii="宋体" w:hAnsi="宋体" w:cs="宋体"/>
          <w:sz w:val="24"/>
        </w:rPr>
        <w:t>（一）向评标委员会、竞争性谈判小组或者询价小组成员行贿或者提供其他不正当利益；</w:t>
      </w:r>
    </w:p>
    <w:p w14:paraId="17C921CC">
      <w:pPr>
        <w:spacing w:line="380" w:lineRule="exact"/>
        <w:ind w:firstLine="518"/>
        <w:rPr>
          <w:rFonts w:ascii="宋体" w:hAnsi="宋体" w:cs="宋体"/>
          <w:color w:val="FF0000"/>
          <w:sz w:val="24"/>
        </w:rPr>
      </w:pPr>
      <w:r>
        <w:rPr>
          <w:rFonts w:hint="eastAsia" w:ascii="宋体" w:hAnsi="宋体" w:cs="宋体"/>
          <w:color w:val="FF0000"/>
          <w:sz w:val="24"/>
        </w:rPr>
        <w:t>（二）中标或者成交后无正当理由拒不与采购人签订政府采购合同；</w:t>
      </w:r>
    </w:p>
    <w:p w14:paraId="215E7D34">
      <w:pPr>
        <w:spacing w:line="380" w:lineRule="exact"/>
        <w:ind w:firstLine="518"/>
        <w:rPr>
          <w:rFonts w:ascii="宋体" w:hAnsi="宋体" w:cs="宋体"/>
          <w:sz w:val="24"/>
        </w:rPr>
      </w:pPr>
      <w:r>
        <w:rPr>
          <w:rFonts w:hint="eastAsia" w:ascii="宋体" w:hAnsi="宋体" w:cs="宋体"/>
          <w:sz w:val="24"/>
        </w:rPr>
        <w:t>（三）未按照采购文件确定的事项签订政府采购合同；</w:t>
      </w:r>
    </w:p>
    <w:p w14:paraId="2AE0D947">
      <w:pPr>
        <w:spacing w:line="380" w:lineRule="exact"/>
        <w:ind w:firstLine="518"/>
        <w:rPr>
          <w:rFonts w:ascii="宋体" w:hAnsi="宋体" w:cs="宋体"/>
          <w:sz w:val="24"/>
        </w:rPr>
      </w:pPr>
      <w:r>
        <w:rPr>
          <w:rFonts w:hint="eastAsia" w:ascii="宋体" w:hAnsi="宋体" w:cs="宋体"/>
          <w:sz w:val="24"/>
        </w:rPr>
        <w:t>（四）将政府采购合同转包；</w:t>
      </w:r>
    </w:p>
    <w:p w14:paraId="3B17ACBB">
      <w:pPr>
        <w:spacing w:line="380" w:lineRule="exact"/>
        <w:ind w:firstLine="518"/>
        <w:rPr>
          <w:rFonts w:ascii="宋体" w:hAnsi="宋体" w:cs="宋体"/>
          <w:sz w:val="24"/>
        </w:rPr>
      </w:pPr>
      <w:r>
        <w:rPr>
          <w:rFonts w:hint="eastAsia" w:ascii="宋体" w:hAnsi="宋体" w:cs="宋体"/>
          <w:sz w:val="24"/>
        </w:rPr>
        <w:t>（五）提供假冒伪劣产品；</w:t>
      </w:r>
    </w:p>
    <w:p w14:paraId="1648682B">
      <w:pPr>
        <w:spacing w:line="380" w:lineRule="exact"/>
        <w:ind w:firstLine="518"/>
        <w:rPr>
          <w:rFonts w:ascii="宋体" w:hAnsi="宋体" w:cs="宋体"/>
          <w:sz w:val="24"/>
        </w:rPr>
      </w:pPr>
      <w:r>
        <w:rPr>
          <w:rFonts w:hint="eastAsia" w:ascii="宋体" w:hAnsi="宋体" w:cs="宋体"/>
          <w:sz w:val="24"/>
        </w:rPr>
        <w:t>（六）擅自变更、中止或者终止政府采购合同。</w:t>
      </w:r>
    </w:p>
    <w:p w14:paraId="10365C83">
      <w:pPr>
        <w:spacing w:line="380" w:lineRule="exact"/>
        <w:ind w:firstLine="518"/>
        <w:rPr>
          <w:rFonts w:ascii="宋体" w:hAnsi="宋体" w:cs="宋体"/>
          <w:sz w:val="24"/>
        </w:rPr>
      </w:pPr>
      <w:r>
        <w:rPr>
          <w:rFonts w:hint="eastAsia" w:ascii="宋体" w:hAnsi="宋体" w:cs="宋体"/>
          <w:sz w:val="24"/>
        </w:rPr>
        <w:t>供应商有前款第一项规定情形的，中标、成交无效。评审阶段资格发生变化，供应商未依照本条例第二十一条的规定通知采购人和采购代理机构的，处以采购金额5‰的罚款，列入不良行为记录名单，中标、成交无效。</w:t>
      </w:r>
    </w:p>
    <w:p w14:paraId="6695B0DF">
      <w:pPr>
        <w:spacing w:line="350" w:lineRule="exact"/>
        <w:jc w:val="left"/>
        <w:rPr>
          <w:rFonts w:ascii="宋体" w:hAnsi="宋体" w:cs="宋体"/>
          <w:spacing w:val="1"/>
          <w:sz w:val="24"/>
        </w:rPr>
      </w:pPr>
    </w:p>
    <w:p w14:paraId="72A4444A">
      <w:pPr>
        <w:spacing w:line="500" w:lineRule="exact"/>
        <w:jc w:val="center"/>
        <w:rPr>
          <w:rFonts w:ascii="宋体" w:hAnsi="宋体" w:cs="宋体"/>
          <w:bCs/>
          <w:sz w:val="44"/>
          <w:szCs w:val="44"/>
        </w:rPr>
      </w:pPr>
      <w:r>
        <w:rPr>
          <w:rFonts w:hint="eastAsia" w:ascii="宋体" w:hAnsi="宋体" w:cs="宋体"/>
          <w:b/>
          <w:sz w:val="44"/>
          <w:szCs w:val="44"/>
        </w:rPr>
        <w:br w:type="page" w:clear="all"/>
      </w:r>
      <w:r>
        <w:rPr>
          <w:rFonts w:hint="eastAsia" w:ascii="宋体" w:hAnsi="宋体" w:cs="宋体"/>
          <w:bCs/>
          <w:sz w:val="44"/>
          <w:szCs w:val="44"/>
        </w:rPr>
        <w:t>目    录</w:t>
      </w:r>
    </w:p>
    <w:p w14:paraId="2E125073">
      <w:pPr>
        <w:spacing w:line="500" w:lineRule="exact"/>
        <w:jc w:val="center"/>
        <w:rPr>
          <w:rFonts w:ascii="宋体" w:hAnsi="宋体" w:cs="宋体"/>
          <w:b/>
          <w:sz w:val="44"/>
          <w:szCs w:val="44"/>
        </w:rPr>
      </w:pPr>
    </w:p>
    <w:p w14:paraId="7BC9F57C">
      <w:pPr>
        <w:pStyle w:val="38"/>
        <w:tabs>
          <w:tab w:val="right" w:leader="dot" w:pos="9525"/>
        </w:tabs>
        <w:spacing w:line="360" w:lineRule="auto"/>
        <w:rPr>
          <w:rFonts w:ascii="宋体" w:hAnsi="宋体" w:cs="宋体"/>
          <w:b w:val="0"/>
          <w:sz w:val="28"/>
          <w:szCs w:val="28"/>
        </w:rPr>
      </w:pPr>
      <w:bookmarkStart w:id="0" w:name="OLE_LINK2"/>
      <w:bookmarkStart w:id="1" w:name="OLE_LINK1"/>
      <w:r>
        <w:rPr>
          <w:rFonts w:hint="eastAsia" w:ascii="宋体" w:hAnsi="宋体" w:cs="宋体"/>
          <w:b w:val="0"/>
          <w:sz w:val="32"/>
          <w:szCs w:val="32"/>
        </w:rPr>
        <w:fldChar w:fldCharType="begin"/>
      </w:r>
      <w:r>
        <w:rPr>
          <w:rFonts w:hint="eastAsia" w:ascii="宋体" w:hAnsi="宋体" w:cs="宋体"/>
          <w:b w:val="0"/>
          <w:sz w:val="32"/>
          <w:szCs w:val="32"/>
        </w:rPr>
        <w:instrText xml:space="preserve">TOC \o "1-1" \h \u </w:instrText>
      </w:r>
      <w:r>
        <w:rPr>
          <w:rFonts w:hint="eastAsia" w:ascii="宋体" w:hAnsi="宋体" w:cs="宋体"/>
          <w:b w:val="0"/>
          <w:sz w:val="32"/>
          <w:szCs w:val="32"/>
        </w:rPr>
        <w:fldChar w:fldCharType="separate"/>
      </w:r>
      <w:r>
        <w:fldChar w:fldCharType="begin"/>
      </w:r>
      <w:r>
        <w:instrText xml:space="preserve"> HYPERLINK \l "_Toc27062" \o "#_Toc27062" </w:instrText>
      </w:r>
      <w:r>
        <w:fldChar w:fldCharType="separate"/>
      </w:r>
      <w:r>
        <w:rPr>
          <w:rFonts w:hint="eastAsia" w:ascii="宋体" w:hAnsi="宋体" w:cs="宋体"/>
          <w:b w:val="0"/>
          <w:sz w:val="28"/>
          <w:szCs w:val="28"/>
        </w:rPr>
        <w:t>第一章 竞争性磋商公告</w:t>
      </w:r>
      <w:r>
        <w:rPr>
          <w:rFonts w:hint="eastAsia" w:ascii="宋体" w:hAnsi="宋体" w:cs="宋体"/>
          <w:b w:val="0"/>
          <w:sz w:val="28"/>
          <w:szCs w:val="28"/>
        </w:rPr>
        <w:tab/>
      </w:r>
      <w:r>
        <w:rPr>
          <w:rFonts w:hint="eastAsia" w:ascii="宋体" w:hAnsi="宋体" w:cs="宋体"/>
          <w:b w:val="0"/>
          <w:sz w:val="28"/>
          <w:szCs w:val="28"/>
        </w:rPr>
        <w:fldChar w:fldCharType="begin"/>
      </w:r>
      <w:r>
        <w:rPr>
          <w:rFonts w:hint="eastAsia" w:ascii="宋体" w:hAnsi="宋体" w:cs="宋体"/>
          <w:b w:val="0"/>
          <w:sz w:val="28"/>
          <w:szCs w:val="28"/>
        </w:rPr>
        <w:instrText xml:space="preserve"> PAGEREF _Toc27062 \h </w:instrText>
      </w:r>
      <w:r>
        <w:rPr>
          <w:rFonts w:hint="eastAsia" w:ascii="宋体" w:hAnsi="宋体" w:cs="宋体"/>
          <w:b w:val="0"/>
          <w:sz w:val="28"/>
          <w:szCs w:val="28"/>
        </w:rPr>
        <w:fldChar w:fldCharType="separate"/>
      </w:r>
      <w:r>
        <w:rPr>
          <w:rFonts w:hint="eastAsia" w:ascii="宋体" w:hAnsi="宋体" w:cs="宋体"/>
          <w:b w:val="0"/>
          <w:sz w:val="28"/>
          <w:szCs w:val="28"/>
        </w:rPr>
        <w:t>5</w:t>
      </w:r>
      <w:r>
        <w:rPr>
          <w:rFonts w:hint="eastAsia" w:ascii="宋体" w:hAnsi="宋体" w:cs="宋体"/>
          <w:b w:val="0"/>
          <w:sz w:val="28"/>
          <w:szCs w:val="28"/>
        </w:rPr>
        <w:fldChar w:fldCharType="end"/>
      </w:r>
      <w:r>
        <w:rPr>
          <w:rFonts w:hint="eastAsia" w:ascii="宋体" w:hAnsi="宋体" w:cs="宋体"/>
          <w:b w:val="0"/>
          <w:sz w:val="28"/>
          <w:szCs w:val="28"/>
        </w:rPr>
        <w:fldChar w:fldCharType="end"/>
      </w:r>
    </w:p>
    <w:p w14:paraId="29C77C9E">
      <w:pPr>
        <w:pStyle w:val="38"/>
        <w:tabs>
          <w:tab w:val="right" w:leader="dot" w:pos="9525"/>
        </w:tabs>
        <w:spacing w:line="360" w:lineRule="auto"/>
        <w:rPr>
          <w:rFonts w:ascii="宋体" w:hAnsi="宋体" w:cs="宋体"/>
          <w:b w:val="0"/>
          <w:sz w:val="28"/>
          <w:szCs w:val="28"/>
        </w:rPr>
      </w:pPr>
      <w:r>
        <w:fldChar w:fldCharType="begin"/>
      </w:r>
      <w:r>
        <w:instrText xml:space="preserve"> HYPERLINK \l "_Toc3410" \o "#_Toc3410" </w:instrText>
      </w:r>
      <w:r>
        <w:fldChar w:fldCharType="separate"/>
      </w:r>
      <w:r>
        <w:rPr>
          <w:rFonts w:hint="eastAsia" w:ascii="宋体" w:hAnsi="宋体" w:cs="宋体"/>
          <w:b w:val="0"/>
          <w:sz w:val="28"/>
          <w:szCs w:val="28"/>
        </w:rPr>
        <w:t>第二章 参加磋商供应商须知</w:t>
      </w:r>
      <w:r>
        <w:rPr>
          <w:rFonts w:hint="eastAsia" w:ascii="宋体" w:hAnsi="宋体" w:cs="宋体"/>
          <w:b w:val="0"/>
          <w:sz w:val="28"/>
          <w:szCs w:val="28"/>
        </w:rPr>
        <w:tab/>
      </w:r>
      <w:r>
        <w:rPr>
          <w:rFonts w:hint="eastAsia" w:ascii="宋体" w:hAnsi="宋体" w:cs="宋体"/>
          <w:b w:val="0"/>
          <w:sz w:val="28"/>
          <w:szCs w:val="28"/>
        </w:rPr>
        <w:fldChar w:fldCharType="begin"/>
      </w:r>
      <w:r>
        <w:rPr>
          <w:rFonts w:hint="eastAsia" w:ascii="宋体" w:hAnsi="宋体" w:cs="宋体"/>
          <w:b w:val="0"/>
          <w:sz w:val="28"/>
          <w:szCs w:val="28"/>
        </w:rPr>
        <w:instrText xml:space="preserve"> PAGEREF _Toc3410 \h </w:instrText>
      </w:r>
      <w:r>
        <w:rPr>
          <w:rFonts w:hint="eastAsia" w:ascii="宋体" w:hAnsi="宋体" w:cs="宋体"/>
          <w:b w:val="0"/>
          <w:sz w:val="28"/>
          <w:szCs w:val="28"/>
        </w:rPr>
        <w:fldChar w:fldCharType="separate"/>
      </w:r>
      <w:r>
        <w:rPr>
          <w:rFonts w:hint="eastAsia" w:ascii="宋体" w:hAnsi="宋体" w:cs="宋体"/>
          <w:b w:val="0"/>
          <w:sz w:val="28"/>
          <w:szCs w:val="28"/>
        </w:rPr>
        <w:t>9</w:t>
      </w:r>
      <w:r>
        <w:rPr>
          <w:rFonts w:hint="eastAsia" w:ascii="宋体" w:hAnsi="宋体" w:cs="宋体"/>
          <w:b w:val="0"/>
          <w:sz w:val="28"/>
          <w:szCs w:val="28"/>
        </w:rPr>
        <w:fldChar w:fldCharType="end"/>
      </w:r>
      <w:r>
        <w:rPr>
          <w:rFonts w:hint="eastAsia" w:ascii="宋体" w:hAnsi="宋体" w:cs="宋体"/>
          <w:b w:val="0"/>
          <w:sz w:val="28"/>
          <w:szCs w:val="28"/>
        </w:rPr>
        <w:fldChar w:fldCharType="end"/>
      </w:r>
    </w:p>
    <w:p w14:paraId="032A78A6">
      <w:pPr>
        <w:pStyle w:val="38"/>
        <w:tabs>
          <w:tab w:val="right" w:leader="dot" w:pos="9525"/>
        </w:tabs>
        <w:spacing w:line="360" w:lineRule="auto"/>
        <w:rPr>
          <w:rFonts w:ascii="宋体" w:hAnsi="宋体" w:cs="宋体"/>
          <w:b w:val="0"/>
          <w:sz w:val="28"/>
          <w:szCs w:val="28"/>
        </w:rPr>
      </w:pPr>
      <w:r>
        <w:fldChar w:fldCharType="begin"/>
      </w:r>
      <w:r>
        <w:instrText xml:space="preserve"> HYPERLINK \l "_Toc14422" \o "#_Toc14422" </w:instrText>
      </w:r>
      <w:r>
        <w:fldChar w:fldCharType="separate"/>
      </w:r>
      <w:r>
        <w:rPr>
          <w:rFonts w:hint="eastAsia" w:ascii="宋体" w:hAnsi="宋体" w:cs="宋体"/>
          <w:b w:val="0"/>
          <w:sz w:val="28"/>
          <w:szCs w:val="28"/>
        </w:rPr>
        <w:t>第三章 磋商响应要求</w:t>
      </w:r>
      <w:r>
        <w:rPr>
          <w:rFonts w:hint="eastAsia" w:ascii="宋体" w:hAnsi="宋体" w:cs="宋体"/>
          <w:b w:val="0"/>
          <w:sz w:val="28"/>
          <w:szCs w:val="28"/>
        </w:rPr>
        <w:tab/>
      </w:r>
      <w:r>
        <w:rPr>
          <w:rFonts w:hint="eastAsia" w:ascii="宋体" w:hAnsi="宋体" w:cs="宋体"/>
          <w:b w:val="0"/>
          <w:sz w:val="28"/>
          <w:szCs w:val="28"/>
        </w:rPr>
        <w:fldChar w:fldCharType="begin"/>
      </w:r>
      <w:r>
        <w:rPr>
          <w:rFonts w:hint="eastAsia" w:ascii="宋体" w:hAnsi="宋体" w:cs="宋体"/>
          <w:b w:val="0"/>
          <w:sz w:val="28"/>
          <w:szCs w:val="28"/>
        </w:rPr>
        <w:instrText xml:space="preserve"> PAGEREF _Toc14422 \h </w:instrText>
      </w:r>
      <w:r>
        <w:rPr>
          <w:rFonts w:hint="eastAsia" w:ascii="宋体" w:hAnsi="宋体" w:cs="宋体"/>
          <w:b w:val="0"/>
          <w:sz w:val="28"/>
          <w:szCs w:val="28"/>
        </w:rPr>
        <w:fldChar w:fldCharType="separate"/>
      </w:r>
      <w:r>
        <w:rPr>
          <w:rFonts w:hint="eastAsia" w:ascii="宋体" w:hAnsi="宋体" w:cs="宋体"/>
          <w:b w:val="0"/>
          <w:sz w:val="28"/>
          <w:szCs w:val="28"/>
        </w:rPr>
        <w:t>14</w:t>
      </w:r>
      <w:r>
        <w:rPr>
          <w:rFonts w:hint="eastAsia" w:ascii="宋体" w:hAnsi="宋体" w:cs="宋体"/>
          <w:b w:val="0"/>
          <w:sz w:val="28"/>
          <w:szCs w:val="28"/>
        </w:rPr>
        <w:fldChar w:fldCharType="end"/>
      </w:r>
      <w:r>
        <w:rPr>
          <w:rFonts w:hint="eastAsia" w:ascii="宋体" w:hAnsi="宋体" w:cs="宋体"/>
          <w:b w:val="0"/>
          <w:sz w:val="28"/>
          <w:szCs w:val="28"/>
        </w:rPr>
        <w:fldChar w:fldCharType="end"/>
      </w:r>
    </w:p>
    <w:p w14:paraId="08432ECD">
      <w:pPr>
        <w:pStyle w:val="38"/>
        <w:tabs>
          <w:tab w:val="right" w:leader="dot" w:pos="9525"/>
        </w:tabs>
        <w:spacing w:line="360" w:lineRule="auto"/>
        <w:rPr>
          <w:rFonts w:ascii="宋体" w:hAnsi="宋体" w:cs="宋体"/>
          <w:b w:val="0"/>
          <w:sz w:val="28"/>
          <w:szCs w:val="28"/>
        </w:rPr>
      </w:pPr>
      <w:r>
        <w:fldChar w:fldCharType="begin"/>
      </w:r>
      <w:r>
        <w:instrText xml:space="preserve"> HYPERLINK \l "_Toc23926" \o "#_Toc23926" </w:instrText>
      </w:r>
      <w:r>
        <w:fldChar w:fldCharType="separate"/>
      </w:r>
      <w:r>
        <w:rPr>
          <w:rFonts w:hint="eastAsia" w:ascii="宋体" w:hAnsi="宋体" w:cs="宋体"/>
          <w:b w:val="0"/>
          <w:sz w:val="28"/>
          <w:szCs w:val="28"/>
        </w:rPr>
        <w:t>第四章 采购需求</w:t>
      </w:r>
      <w:r>
        <w:rPr>
          <w:rFonts w:hint="eastAsia" w:ascii="宋体" w:hAnsi="宋体" w:cs="宋体"/>
          <w:b w:val="0"/>
          <w:sz w:val="28"/>
          <w:szCs w:val="28"/>
        </w:rPr>
        <w:tab/>
      </w:r>
      <w:r>
        <w:rPr>
          <w:rFonts w:hint="eastAsia" w:ascii="宋体" w:hAnsi="宋体" w:cs="宋体"/>
          <w:b w:val="0"/>
          <w:sz w:val="28"/>
          <w:szCs w:val="28"/>
        </w:rPr>
        <w:fldChar w:fldCharType="begin"/>
      </w:r>
      <w:r>
        <w:rPr>
          <w:rFonts w:hint="eastAsia" w:ascii="宋体" w:hAnsi="宋体" w:cs="宋体"/>
          <w:b w:val="0"/>
          <w:sz w:val="28"/>
          <w:szCs w:val="28"/>
        </w:rPr>
        <w:instrText xml:space="preserve"> PAGEREF _Toc23926 \h </w:instrText>
      </w:r>
      <w:r>
        <w:rPr>
          <w:rFonts w:hint="eastAsia" w:ascii="宋体" w:hAnsi="宋体" w:cs="宋体"/>
          <w:b w:val="0"/>
          <w:sz w:val="28"/>
          <w:szCs w:val="28"/>
        </w:rPr>
        <w:fldChar w:fldCharType="separate"/>
      </w:r>
      <w:r>
        <w:rPr>
          <w:rFonts w:hint="eastAsia" w:ascii="宋体" w:hAnsi="宋体" w:cs="宋体"/>
          <w:b w:val="0"/>
          <w:sz w:val="28"/>
          <w:szCs w:val="28"/>
        </w:rPr>
        <w:t>20</w:t>
      </w:r>
      <w:r>
        <w:rPr>
          <w:rFonts w:hint="eastAsia" w:ascii="宋体" w:hAnsi="宋体" w:cs="宋体"/>
          <w:b w:val="0"/>
          <w:sz w:val="28"/>
          <w:szCs w:val="28"/>
        </w:rPr>
        <w:fldChar w:fldCharType="end"/>
      </w:r>
      <w:r>
        <w:rPr>
          <w:rFonts w:hint="eastAsia" w:ascii="宋体" w:hAnsi="宋体" w:cs="宋体"/>
          <w:b w:val="0"/>
          <w:sz w:val="28"/>
          <w:szCs w:val="28"/>
        </w:rPr>
        <w:fldChar w:fldCharType="end"/>
      </w:r>
    </w:p>
    <w:p w14:paraId="2D082AD3">
      <w:pPr>
        <w:pStyle w:val="38"/>
        <w:tabs>
          <w:tab w:val="right" w:leader="dot" w:pos="9525"/>
        </w:tabs>
        <w:spacing w:line="360" w:lineRule="auto"/>
        <w:rPr>
          <w:rFonts w:ascii="宋体" w:hAnsi="宋体" w:cs="宋体"/>
          <w:b w:val="0"/>
          <w:sz w:val="28"/>
          <w:szCs w:val="28"/>
        </w:rPr>
      </w:pPr>
      <w:r>
        <w:fldChar w:fldCharType="begin"/>
      </w:r>
      <w:r>
        <w:instrText xml:space="preserve"> HYPERLINK \l "_Toc1148" \o "#_Toc1148" </w:instrText>
      </w:r>
      <w:r>
        <w:fldChar w:fldCharType="separate"/>
      </w:r>
      <w:r>
        <w:rPr>
          <w:rFonts w:hint="eastAsia" w:ascii="宋体" w:hAnsi="宋体" w:cs="宋体"/>
          <w:b w:val="0"/>
          <w:sz w:val="28"/>
          <w:szCs w:val="28"/>
        </w:rPr>
        <w:t>第五章 磋 商</w:t>
      </w:r>
      <w:r>
        <w:rPr>
          <w:rFonts w:hint="eastAsia" w:ascii="宋体" w:hAnsi="宋体" w:cs="宋体"/>
          <w:b w:val="0"/>
          <w:sz w:val="28"/>
          <w:szCs w:val="28"/>
        </w:rPr>
        <w:tab/>
      </w:r>
      <w:r>
        <w:rPr>
          <w:rFonts w:hint="eastAsia" w:ascii="宋体" w:hAnsi="宋体" w:cs="宋体"/>
          <w:b w:val="0"/>
          <w:sz w:val="28"/>
          <w:szCs w:val="28"/>
        </w:rPr>
        <w:fldChar w:fldCharType="begin"/>
      </w:r>
      <w:r>
        <w:rPr>
          <w:rFonts w:hint="eastAsia" w:ascii="宋体" w:hAnsi="宋体" w:cs="宋体"/>
          <w:b w:val="0"/>
          <w:sz w:val="28"/>
          <w:szCs w:val="28"/>
        </w:rPr>
        <w:instrText xml:space="preserve"> PAGEREF _Toc1148 \h </w:instrText>
      </w:r>
      <w:r>
        <w:rPr>
          <w:rFonts w:hint="eastAsia" w:ascii="宋体" w:hAnsi="宋体" w:cs="宋体"/>
          <w:b w:val="0"/>
          <w:sz w:val="28"/>
          <w:szCs w:val="28"/>
        </w:rPr>
        <w:fldChar w:fldCharType="separate"/>
      </w:r>
      <w:r>
        <w:rPr>
          <w:rFonts w:hint="eastAsia" w:ascii="宋体" w:hAnsi="宋体" w:cs="宋体"/>
          <w:b w:val="0"/>
          <w:sz w:val="28"/>
          <w:szCs w:val="28"/>
        </w:rPr>
        <w:t>22</w:t>
      </w:r>
      <w:r>
        <w:rPr>
          <w:rFonts w:hint="eastAsia" w:ascii="宋体" w:hAnsi="宋体" w:cs="宋体"/>
          <w:b w:val="0"/>
          <w:sz w:val="28"/>
          <w:szCs w:val="28"/>
        </w:rPr>
        <w:fldChar w:fldCharType="end"/>
      </w:r>
      <w:r>
        <w:rPr>
          <w:rFonts w:hint="eastAsia" w:ascii="宋体" w:hAnsi="宋体" w:cs="宋体"/>
          <w:b w:val="0"/>
          <w:sz w:val="28"/>
          <w:szCs w:val="28"/>
        </w:rPr>
        <w:fldChar w:fldCharType="end"/>
      </w:r>
    </w:p>
    <w:p w14:paraId="0B1050E2">
      <w:pPr>
        <w:pStyle w:val="38"/>
        <w:tabs>
          <w:tab w:val="right" w:leader="dot" w:pos="9525"/>
        </w:tabs>
        <w:spacing w:line="360" w:lineRule="auto"/>
        <w:rPr>
          <w:rFonts w:ascii="宋体" w:hAnsi="宋体" w:cs="宋体"/>
          <w:b w:val="0"/>
          <w:sz w:val="28"/>
          <w:szCs w:val="28"/>
        </w:rPr>
      </w:pPr>
      <w:r>
        <w:fldChar w:fldCharType="begin"/>
      </w:r>
      <w:r>
        <w:instrText xml:space="preserve"> HYPERLINK \l "_Toc29028" \o "#_Toc29028" </w:instrText>
      </w:r>
      <w:r>
        <w:fldChar w:fldCharType="separate"/>
      </w:r>
      <w:r>
        <w:rPr>
          <w:rFonts w:hint="eastAsia" w:ascii="宋体" w:hAnsi="宋体" w:cs="宋体"/>
          <w:b w:val="0"/>
          <w:sz w:val="28"/>
          <w:szCs w:val="28"/>
        </w:rPr>
        <w:t>第六章 成交公告</w:t>
      </w:r>
      <w:r>
        <w:rPr>
          <w:rFonts w:hint="eastAsia" w:ascii="宋体" w:hAnsi="宋体" w:cs="宋体"/>
          <w:b w:val="0"/>
          <w:sz w:val="28"/>
          <w:szCs w:val="28"/>
        </w:rPr>
        <w:tab/>
      </w:r>
      <w:r>
        <w:rPr>
          <w:rFonts w:hint="eastAsia" w:ascii="宋体" w:hAnsi="宋体" w:cs="宋体"/>
          <w:b w:val="0"/>
          <w:sz w:val="28"/>
          <w:szCs w:val="28"/>
        </w:rPr>
        <w:fldChar w:fldCharType="begin"/>
      </w:r>
      <w:r>
        <w:rPr>
          <w:rFonts w:hint="eastAsia" w:ascii="宋体" w:hAnsi="宋体" w:cs="宋体"/>
          <w:b w:val="0"/>
          <w:sz w:val="28"/>
          <w:szCs w:val="28"/>
        </w:rPr>
        <w:instrText xml:space="preserve"> PAGEREF _Toc29028 \h </w:instrText>
      </w:r>
      <w:r>
        <w:rPr>
          <w:rFonts w:hint="eastAsia" w:ascii="宋体" w:hAnsi="宋体" w:cs="宋体"/>
          <w:b w:val="0"/>
          <w:sz w:val="28"/>
          <w:szCs w:val="28"/>
        </w:rPr>
        <w:fldChar w:fldCharType="separate"/>
      </w:r>
      <w:r>
        <w:rPr>
          <w:rFonts w:hint="eastAsia" w:ascii="宋体" w:hAnsi="宋体" w:cs="宋体"/>
          <w:b w:val="0"/>
          <w:sz w:val="28"/>
          <w:szCs w:val="28"/>
        </w:rPr>
        <w:t>25</w:t>
      </w:r>
      <w:r>
        <w:rPr>
          <w:rFonts w:hint="eastAsia" w:ascii="宋体" w:hAnsi="宋体" w:cs="宋体"/>
          <w:b w:val="0"/>
          <w:sz w:val="28"/>
          <w:szCs w:val="28"/>
        </w:rPr>
        <w:fldChar w:fldCharType="end"/>
      </w:r>
      <w:r>
        <w:rPr>
          <w:rFonts w:hint="eastAsia" w:ascii="宋体" w:hAnsi="宋体" w:cs="宋体"/>
          <w:b w:val="0"/>
          <w:sz w:val="28"/>
          <w:szCs w:val="28"/>
        </w:rPr>
        <w:fldChar w:fldCharType="end"/>
      </w:r>
    </w:p>
    <w:p w14:paraId="7EB7574F">
      <w:pPr>
        <w:pStyle w:val="38"/>
        <w:tabs>
          <w:tab w:val="right" w:leader="dot" w:pos="9525"/>
        </w:tabs>
        <w:spacing w:line="360" w:lineRule="auto"/>
        <w:rPr>
          <w:rFonts w:ascii="宋体" w:hAnsi="宋体" w:cs="宋体"/>
          <w:b w:val="0"/>
          <w:sz w:val="28"/>
          <w:szCs w:val="28"/>
        </w:rPr>
      </w:pPr>
      <w:r>
        <w:fldChar w:fldCharType="begin"/>
      </w:r>
      <w:r>
        <w:instrText xml:space="preserve"> HYPERLINK \l "_Toc21810" \o "#_Toc21810" </w:instrText>
      </w:r>
      <w:r>
        <w:fldChar w:fldCharType="separate"/>
      </w:r>
      <w:r>
        <w:rPr>
          <w:rFonts w:hint="eastAsia" w:ascii="宋体" w:hAnsi="宋体" w:cs="宋体"/>
          <w:b w:val="0"/>
          <w:sz w:val="28"/>
          <w:szCs w:val="28"/>
        </w:rPr>
        <w:t>第七章 合同签订</w:t>
      </w:r>
      <w:r>
        <w:rPr>
          <w:rFonts w:hint="eastAsia" w:ascii="宋体" w:hAnsi="宋体" w:cs="宋体"/>
          <w:b w:val="0"/>
          <w:sz w:val="28"/>
          <w:szCs w:val="28"/>
        </w:rPr>
        <w:tab/>
      </w:r>
      <w:r>
        <w:rPr>
          <w:rFonts w:hint="eastAsia" w:ascii="宋体" w:hAnsi="宋体" w:cs="宋体"/>
          <w:b w:val="0"/>
          <w:sz w:val="28"/>
          <w:szCs w:val="28"/>
        </w:rPr>
        <w:fldChar w:fldCharType="begin"/>
      </w:r>
      <w:r>
        <w:rPr>
          <w:rFonts w:hint="eastAsia" w:ascii="宋体" w:hAnsi="宋体" w:cs="宋体"/>
          <w:b w:val="0"/>
          <w:sz w:val="28"/>
          <w:szCs w:val="28"/>
        </w:rPr>
        <w:instrText xml:space="preserve"> PAGEREF _Toc21810 \h </w:instrText>
      </w:r>
      <w:r>
        <w:rPr>
          <w:rFonts w:hint="eastAsia" w:ascii="宋体" w:hAnsi="宋体" w:cs="宋体"/>
          <w:b w:val="0"/>
          <w:sz w:val="28"/>
          <w:szCs w:val="28"/>
        </w:rPr>
        <w:fldChar w:fldCharType="separate"/>
      </w:r>
      <w:r>
        <w:rPr>
          <w:rFonts w:hint="eastAsia" w:ascii="宋体" w:hAnsi="宋体" w:cs="宋体"/>
          <w:b w:val="0"/>
          <w:sz w:val="28"/>
          <w:szCs w:val="28"/>
        </w:rPr>
        <w:t>25</w:t>
      </w:r>
      <w:r>
        <w:rPr>
          <w:rFonts w:hint="eastAsia" w:ascii="宋体" w:hAnsi="宋体" w:cs="宋体"/>
          <w:b w:val="0"/>
          <w:sz w:val="28"/>
          <w:szCs w:val="28"/>
        </w:rPr>
        <w:fldChar w:fldCharType="end"/>
      </w:r>
      <w:r>
        <w:rPr>
          <w:rFonts w:hint="eastAsia" w:ascii="宋体" w:hAnsi="宋体" w:cs="宋体"/>
          <w:b w:val="0"/>
          <w:sz w:val="28"/>
          <w:szCs w:val="28"/>
        </w:rPr>
        <w:fldChar w:fldCharType="end"/>
      </w:r>
    </w:p>
    <w:p w14:paraId="04BAB09F">
      <w:pPr>
        <w:pStyle w:val="38"/>
        <w:tabs>
          <w:tab w:val="right" w:leader="dot" w:pos="9525"/>
        </w:tabs>
        <w:spacing w:line="360" w:lineRule="auto"/>
        <w:rPr>
          <w:rFonts w:ascii="宋体" w:hAnsi="宋体" w:cs="宋体"/>
          <w:b w:val="0"/>
          <w:sz w:val="28"/>
          <w:szCs w:val="28"/>
        </w:rPr>
      </w:pPr>
      <w:r>
        <w:fldChar w:fldCharType="begin"/>
      </w:r>
      <w:r>
        <w:instrText xml:space="preserve"> HYPERLINK \l "_Toc30954" \o "#_Toc30954" </w:instrText>
      </w:r>
      <w:r>
        <w:fldChar w:fldCharType="separate"/>
      </w:r>
      <w:r>
        <w:rPr>
          <w:rFonts w:hint="eastAsia" w:ascii="宋体" w:hAnsi="宋体" w:cs="宋体"/>
          <w:b w:val="0"/>
          <w:sz w:val="28"/>
          <w:szCs w:val="28"/>
        </w:rPr>
        <w:t>第八章 质疑投诉</w:t>
      </w:r>
      <w:r>
        <w:rPr>
          <w:rFonts w:hint="eastAsia" w:ascii="宋体" w:hAnsi="宋体" w:cs="宋体"/>
          <w:b w:val="0"/>
          <w:sz w:val="28"/>
          <w:szCs w:val="28"/>
        </w:rPr>
        <w:tab/>
      </w:r>
      <w:r>
        <w:rPr>
          <w:rFonts w:hint="eastAsia" w:ascii="宋体" w:hAnsi="宋体" w:cs="宋体"/>
          <w:b w:val="0"/>
          <w:sz w:val="28"/>
          <w:szCs w:val="28"/>
        </w:rPr>
        <w:fldChar w:fldCharType="begin"/>
      </w:r>
      <w:r>
        <w:rPr>
          <w:rFonts w:hint="eastAsia" w:ascii="宋体" w:hAnsi="宋体" w:cs="宋体"/>
          <w:b w:val="0"/>
          <w:sz w:val="28"/>
          <w:szCs w:val="28"/>
        </w:rPr>
        <w:instrText xml:space="preserve"> PAGEREF _Toc30954 \h </w:instrText>
      </w:r>
      <w:r>
        <w:rPr>
          <w:rFonts w:hint="eastAsia" w:ascii="宋体" w:hAnsi="宋体" w:cs="宋体"/>
          <w:b w:val="0"/>
          <w:sz w:val="28"/>
          <w:szCs w:val="28"/>
        </w:rPr>
        <w:fldChar w:fldCharType="separate"/>
      </w:r>
      <w:r>
        <w:rPr>
          <w:rFonts w:hint="eastAsia" w:ascii="宋体" w:hAnsi="宋体" w:cs="宋体"/>
          <w:b w:val="0"/>
          <w:sz w:val="28"/>
          <w:szCs w:val="28"/>
        </w:rPr>
        <w:t>25</w:t>
      </w:r>
      <w:r>
        <w:rPr>
          <w:rFonts w:hint="eastAsia" w:ascii="宋体" w:hAnsi="宋体" w:cs="宋体"/>
          <w:b w:val="0"/>
          <w:sz w:val="28"/>
          <w:szCs w:val="28"/>
        </w:rPr>
        <w:fldChar w:fldCharType="end"/>
      </w:r>
      <w:r>
        <w:rPr>
          <w:rFonts w:hint="eastAsia" w:ascii="宋体" w:hAnsi="宋体" w:cs="宋体"/>
          <w:b w:val="0"/>
          <w:sz w:val="28"/>
          <w:szCs w:val="28"/>
        </w:rPr>
        <w:fldChar w:fldCharType="end"/>
      </w:r>
    </w:p>
    <w:p w14:paraId="3AC339A8">
      <w:pPr>
        <w:pStyle w:val="38"/>
        <w:tabs>
          <w:tab w:val="right" w:leader="dot" w:pos="9525"/>
        </w:tabs>
        <w:spacing w:line="360" w:lineRule="auto"/>
        <w:rPr>
          <w:rFonts w:ascii="宋体" w:hAnsi="宋体" w:cs="宋体"/>
          <w:b w:val="0"/>
          <w:sz w:val="28"/>
          <w:szCs w:val="28"/>
        </w:rPr>
      </w:pPr>
      <w:r>
        <w:fldChar w:fldCharType="begin"/>
      </w:r>
      <w:r>
        <w:instrText xml:space="preserve"> HYPERLINK \l "_Toc29765" \o "#_Toc29765" </w:instrText>
      </w:r>
      <w:r>
        <w:fldChar w:fldCharType="separate"/>
      </w:r>
      <w:r>
        <w:rPr>
          <w:rFonts w:hint="eastAsia" w:ascii="宋体" w:hAnsi="宋体" w:cs="宋体"/>
          <w:b w:val="0"/>
          <w:sz w:val="28"/>
          <w:szCs w:val="28"/>
        </w:rPr>
        <w:t>第九章 工程量清单</w:t>
      </w:r>
      <w:r>
        <w:rPr>
          <w:rFonts w:hint="eastAsia" w:ascii="宋体" w:hAnsi="宋体" w:cs="宋体"/>
          <w:b w:val="0"/>
          <w:sz w:val="28"/>
          <w:szCs w:val="28"/>
        </w:rPr>
        <w:tab/>
      </w:r>
      <w:r>
        <w:rPr>
          <w:rFonts w:hint="eastAsia" w:ascii="宋体" w:hAnsi="宋体" w:cs="宋体"/>
          <w:b w:val="0"/>
          <w:sz w:val="28"/>
          <w:szCs w:val="28"/>
        </w:rPr>
        <w:fldChar w:fldCharType="begin"/>
      </w:r>
      <w:r>
        <w:rPr>
          <w:rFonts w:hint="eastAsia" w:ascii="宋体" w:hAnsi="宋体" w:cs="宋体"/>
          <w:b w:val="0"/>
          <w:sz w:val="28"/>
          <w:szCs w:val="28"/>
        </w:rPr>
        <w:instrText xml:space="preserve"> PAGEREF _Toc29765 \h </w:instrText>
      </w:r>
      <w:r>
        <w:rPr>
          <w:rFonts w:hint="eastAsia" w:ascii="宋体" w:hAnsi="宋体" w:cs="宋体"/>
          <w:b w:val="0"/>
          <w:sz w:val="28"/>
          <w:szCs w:val="28"/>
        </w:rPr>
        <w:fldChar w:fldCharType="separate"/>
      </w:r>
      <w:r>
        <w:rPr>
          <w:rFonts w:hint="eastAsia" w:ascii="宋体" w:hAnsi="宋体" w:cs="宋体"/>
          <w:b w:val="0"/>
          <w:sz w:val="28"/>
          <w:szCs w:val="28"/>
        </w:rPr>
        <w:t>27</w:t>
      </w:r>
      <w:r>
        <w:rPr>
          <w:rFonts w:hint="eastAsia" w:ascii="宋体" w:hAnsi="宋体" w:cs="宋体"/>
          <w:b w:val="0"/>
          <w:sz w:val="28"/>
          <w:szCs w:val="28"/>
        </w:rPr>
        <w:fldChar w:fldCharType="end"/>
      </w:r>
      <w:r>
        <w:rPr>
          <w:rFonts w:hint="eastAsia" w:ascii="宋体" w:hAnsi="宋体" w:cs="宋体"/>
          <w:b w:val="0"/>
          <w:sz w:val="28"/>
          <w:szCs w:val="28"/>
        </w:rPr>
        <w:fldChar w:fldCharType="end"/>
      </w:r>
    </w:p>
    <w:p w14:paraId="2277DFD7">
      <w:pPr>
        <w:pStyle w:val="38"/>
        <w:tabs>
          <w:tab w:val="right" w:leader="dot" w:pos="9525"/>
        </w:tabs>
        <w:spacing w:line="360" w:lineRule="auto"/>
        <w:rPr>
          <w:rFonts w:ascii="宋体" w:hAnsi="宋体" w:cs="宋体"/>
          <w:b w:val="0"/>
          <w:sz w:val="28"/>
          <w:szCs w:val="28"/>
        </w:rPr>
      </w:pPr>
      <w:r>
        <w:fldChar w:fldCharType="begin"/>
      </w:r>
      <w:r>
        <w:instrText xml:space="preserve"> HYPERLINK \l "_Toc4828" \o "#_Toc4828" </w:instrText>
      </w:r>
      <w:r>
        <w:fldChar w:fldCharType="separate"/>
      </w:r>
      <w:r>
        <w:rPr>
          <w:rFonts w:hint="eastAsia" w:ascii="宋体" w:hAnsi="宋体" w:cs="宋体"/>
          <w:b w:val="0"/>
          <w:sz w:val="28"/>
          <w:szCs w:val="28"/>
        </w:rPr>
        <w:t>第十章 政府采购合同（参考）</w:t>
      </w:r>
      <w:r>
        <w:rPr>
          <w:rFonts w:hint="eastAsia" w:ascii="宋体" w:hAnsi="宋体" w:cs="宋体"/>
          <w:b w:val="0"/>
          <w:sz w:val="28"/>
          <w:szCs w:val="28"/>
        </w:rPr>
        <w:tab/>
      </w:r>
      <w:r>
        <w:rPr>
          <w:rFonts w:hint="eastAsia" w:ascii="宋体" w:hAnsi="宋体" w:cs="宋体"/>
          <w:b w:val="0"/>
          <w:sz w:val="28"/>
          <w:szCs w:val="28"/>
        </w:rPr>
        <w:fldChar w:fldCharType="begin"/>
      </w:r>
      <w:r>
        <w:rPr>
          <w:rFonts w:hint="eastAsia" w:ascii="宋体" w:hAnsi="宋体" w:cs="宋体"/>
          <w:b w:val="0"/>
          <w:sz w:val="28"/>
          <w:szCs w:val="28"/>
        </w:rPr>
        <w:instrText xml:space="preserve"> PAGEREF _Toc4828 \h </w:instrText>
      </w:r>
      <w:r>
        <w:rPr>
          <w:rFonts w:hint="eastAsia" w:ascii="宋体" w:hAnsi="宋体" w:cs="宋体"/>
          <w:b w:val="0"/>
          <w:sz w:val="28"/>
          <w:szCs w:val="28"/>
        </w:rPr>
        <w:fldChar w:fldCharType="separate"/>
      </w:r>
      <w:r>
        <w:rPr>
          <w:rFonts w:hint="eastAsia" w:ascii="宋体" w:hAnsi="宋体" w:cs="宋体"/>
          <w:b w:val="0"/>
          <w:sz w:val="28"/>
          <w:szCs w:val="28"/>
        </w:rPr>
        <w:t>32</w:t>
      </w:r>
      <w:r>
        <w:rPr>
          <w:rFonts w:hint="eastAsia" w:ascii="宋体" w:hAnsi="宋体" w:cs="宋体"/>
          <w:b w:val="0"/>
          <w:sz w:val="28"/>
          <w:szCs w:val="28"/>
        </w:rPr>
        <w:fldChar w:fldCharType="end"/>
      </w:r>
      <w:r>
        <w:rPr>
          <w:rFonts w:hint="eastAsia" w:ascii="宋体" w:hAnsi="宋体" w:cs="宋体"/>
          <w:b w:val="0"/>
          <w:sz w:val="28"/>
          <w:szCs w:val="28"/>
        </w:rPr>
        <w:fldChar w:fldCharType="end"/>
      </w:r>
    </w:p>
    <w:p w14:paraId="7D622000">
      <w:pPr>
        <w:pStyle w:val="38"/>
        <w:tabs>
          <w:tab w:val="right" w:leader="dot" w:pos="9525"/>
        </w:tabs>
        <w:spacing w:line="360" w:lineRule="auto"/>
        <w:rPr>
          <w:rFonts w:ascii="宋体" w:hAnsi="宋体" w:cs="宋体"/>
          <w:b w:val="0"/>
          <w:sz w:val="28"/>
          <w:szCs w:val="28"/>
        </w:rPr>
      </w:pPr>
      <w:r>
        <w:fldChar w:fldCharType="begin"/>
      </w:r>
      <w:r>
        <w:instrText xml:space="preserve"> HYPERLINK \l "_Toc30868" \o "#_Toc30868" </w:instrText>
      </w:r>
      <w:r>
        <w:fldChar w:fldCharType="separate"/>
      </w:r>
      <w:r>
        <w:rPr>
          <w:rFonts w:hint="eastAsia" w:ascii="宋体" w:hAnsi="宋体" w:cs="宋体"/>
          <w:b w:val="0"/>
          <w:sz w:val="28"/>
          <w:szCs w:val="28"/>
        </w:rPr>
        <w:t>第十一章  响应文件格式</w:t>
      </w:r>
      <w:r>
        <w:rPr>
          <w:rFonts w:hint="eastAsia" w:ascii="宋体" w:hAnsi="宋体" w:cs="宋体"/>
          <w:b w:val="0"/>
          <w:sz w:val="28"/>
          <w:szCs w:val="28"/>
        </w:rPr>
        <w:tab/>
      </w:r>
      <w:r>
        <w:rPr>
          <w:rFonts w:hint="eastAsia" w:ascii="宋体" w:hAnsi="宋体" w:cs="宋体"/>
          <w:b w:val="0"/>
          <w:sz w:val="28"/>
          <w:szCs w:val="28"/>
        </w:rPr>
        <w:fldChar w:fldCharType="begin"/>
      </w:r>
      <w:r>
        <w:rPr>
          <w:rFonts w:hint="eastAsia" w:ascii="宋体" w:hAnsi="宋体" w:cs="宋体"/>
          <w:b w:val="0"/>
          <w:sz w:val="28"/>
          <w:szCs w:val="28"/>
        </w:rPr>
        <w:instrText xml:space="preserve"> PAGEREF _Toc30868 \h </w:instrText>
      </w:r>
      <w:r>
        <w:rPr>
          <w:rFonts w:hint="eastAsia" w:ascii="宋体" w:hAnsi="宋体" w:cs="宋体"/>
          <w:b w:val="0"/>
          <w:sz w:val="28"/>
          <w:szCs w:val="28"/>
        </w:rPr>
        <w:fldChar w:fldCharType="separate"/>
      </w:r>
      <w:r>
        <w:rPr>
          <w:rFonts w:hint="eastAsia" w:ascii="宋体" w:hAnsi="宋体" w:cs="宋体"/>
          <w:b w:val="0"/>
          <w:sz w:val="28"/>
          <w:szCs w:val="28"/>
        </w:rPr>
        <w:t>46</w:t>
      </w:r>
      <w:r>
        <w:rPr>
          <w:rFonts w:hint="eastAsia" w:ascii="宋体" w:hAnsi="宋体" w:cs="宋体"/>
          <w:b w:val="0"/>
          <w:sz w:val="28"/>
          <w:szCs w:val="28"/>
        </w:rPr>
        <w:fldChar w:fldCharType="end"/>
      </w:r>
      <w:r>
        <w:rPr>
          <w:rFonts w:hint="eastAsia" w:ascii="宋体" w:hAnsi="宋体" w:cs="宋体"/>
          <w:b w:val="0"/>
          <w:sz w:val="28"/>
          <w:szCs w:val="28"/>
        </w:rPr>
        <w:fldChar w:fldCharType="end"/>
      </w:r>
    </w:p>
    <w:p w14:paraId="22133D10">
      <w:pPr>
        <w:pStyle w:val="38"/>
        <w:tabs>
          <w:tab w:val="right" w:leader="dot" w:pos="9525"/>
        </w:tabs>
        <w:spacing w:line="360" w:lineRule="auto"/>
        <w:rPr>
          <w:rFonts w:ascii="宋体" w:hAnsi="宋体" w:cs="宋体"/>
        </w:rPr>
      </w:pPr>
    </w:p>
    <w:p w14:paraId="278FB16F">
      <w:pPr>
        <w:spacing w:line="360" w:lineRule="auto"/>
        <w:rPr>
          <w:rFonts w:ascii="宋体" w:hAnsi="宋体" w:cs="宋体"/>
          <w:bCs/>
          <w:sz w:val="32"/>
          <w:szCs w:val="32"/>
        </w:rPr>
      </w:pPr>
      <w:r>
        <w:rPr>
          <w:rFonts w:hint="eastAsia" w:ascii="宋体" w:hAnsi="宋体" w:cs="宋体"/>
          <w:bCs/>
          <w:szCs w:val="32"/>
        </w:rPr>
        <w:fldChar w:fldCharType="end"/>
      </w:r>
    </w:p>
    <w:p w14:paraId="60FA78D3">
      <w:pPr>
        <w:numPr>
          <w:ilvl w:val="0"/>
          <w:numId w:val="1"/>
        </w:numPr>
        <w:tabs>
          <w:tab w:val="left" w:pos="2268"/>
        </w:tabs>
        <w:spacing w:line="360" w:lineRule="auto"/>
        <w:jc w:val="center"/>
        <w:rPr>
          <w:rFonts w:ascii="宋体" w:hAnsi="宋体" w:cs="宋体"/>
          <w:b/>
          <w:color w:val="000000"/>
          <w:sz w:val="32"/>
          <w:szCs w:val="32"/>
        </w:rPr>
        <w:sectPr>
          <w:footerReference r:id="rId4" w:type="default"/>
          <w:pgSz w:w="11907" w:h="16840"/>
          <w:pgMar w:top="1191" w:right="1191" w:bottom="1191" w:left="1191" w:header="851" w:footer="851" w:gutter="0"/>
          <w:pgNumType w:start="1"/>
          <w:cols w:space="720" w:num="1"/>
          <w:docGrid w:linePitch="360" w:charSpace="0"/>
        </w:sectPr>
      </w:pPr>
      <w:bookmarkStart w:id="2" w:name="_Toc27063"/>
      <w:bookmarkStart w:id="3" w:name="_Toc27062"/>
    </w:p>
    <w:p w14:paraId="681C0B33">
      <w:pPr>
        <w:numPr>
          <w:ilvl w:val="0"/>
          <w:numId w:val="1"/>
        </w:numPr>
        <w:tabs>
          <w:tab w:val="left" w:pos="2268"/>
        </w:tabs>
        <w:spacing w:line="360" w:lineRule="auto"/>
        <w:jc w:val="center"/>
        <w:rPr>
          <w:rFonts w:ascii="宋体" w:hAnsi="宋体" w:cs="宋体"/>
          <w:b/>
          <w:color w:val="000000"/>
          <w:sz w:val="32"/>
          <w:szCs w:val="32"/>
        </w:rPr>
      </w:pPr>
      <w:bookmarkStart w:id="4" w:name="bookmark41"/>
      <w:bookmarkStart w:id="5" w:name="bookmark42"/>
      <w:bookmarkStart w:id="6" w:name="bookmark43"/>
      <w:r>
        <w:rPr>
          <w:rStyle w:val="229"/>
          <w:rFonts w:hint="eastAsia" w:cs="宋体"/>
        </w:rPr>
        <w:t>竞争性磋商公告</w:t>
      </w:r>
      <w:bookmarkEnd w:id="2"/>
      <w:bookmarkEnd w:id="3"/>
      <w:bookmarkEnd w:id="4"/>
      <w:bookmarkEnd w:id="5"/>
      <w:bookmarkEnd w:id="6"/>
    </w:p>
    <w:p w14:paraId="5A4788E0">
      <w:pPr>
        <w:pStyle w:val="27"/>
        <w:rPr>
          <w:rFonts w:hAnsi="宋体" w:cs="宋体"/>
        </w:rPr>
      </w:pPr>
    </w:p>
    <w:p w14:paraId="77DAD68C">
      <w:pPr>
        <w:pBdr>
          <w:top w:val="single" w:color="000000" w:sz="4" w:space="1"/>
          <w:left w:val="single" w:color="000000" w:sz="4" w:space="4"/>
          <w:bottom w:val="single" w:color="000000" w:sz="4" w:space="1"/>
          <w:right w:val="single" w:color="000000" w:sz="4" w:space="4"/>
        </w:pBdr>
        <w:spacing w:line="360" w:lineRule="auto"/>
        <w:rPr>
          <w:rFonts w:ascii="宋体" w:hAnsi="宋体" w:cs="宋体"/>
          <w:sz w:val="24"/>
        </w:rPr>
      </w:pPr>
      <w:r>
        <w:rPr>
          <w:rFonts w:hint="eastAsia" w:ascii="宋体" w:hAnsi="宋体" w:cs="宋体"/>
          <w:sz w:val="24"/>
        </w:rPr>
        <w:t>项目概况</w:t>
      </w:r>
    </w:p>
    <w:p w14:paraId="604084CC">
      <w:pPr>
        <w:pBdr>
          <w:top w:val="single" w:color="000000" w:sz="4" w:space="1"/>
          <w:left w:val="single" w:color="000000" w:sz="4" w:space="4"/>
          <w:bottom w:val="single" w:color="000000" w:sz="4" w:space="1"/>
          <w:right w:val="single" w:color="000000" w:sz="4" w:space="4"/>
        </w:pBdr>
        <w:spacing w:line="360" w:lineRule="auto"/>
        <w:ind w:firstLine="488"/>
        <w:rPr>
          <w:rFonts w:ascii="宋体" w:hAnsi="宋体" w:cs="宋体"/>
          <w:sz w:val="24"/>
        </w:rPr>
      </w:pPr>
      <w:r>
        <w:rPr>
          <w:rFonts w:hint="eastAsia" w:ascii="宋体" w:hAnsi="宋体" w:cs="宋体"/>
          <w:sz w:val="24"/>
          <w:u w:val="single"/>
        </w:rPr>
        <w:t>蒋垛镇果蔬深加工厂房（一期）光伏项目</w:t>
      </w:r>
      <w:r>
        <w:rPr>
          <w:rFonts w:hint="eastAsia" w:ascii="宋体" w:hAnsi="宋体" w:cs="宋体"/>
          <w:sz w:val="24"/>
        </w:rPr>
        <w:t>的潜在投标人可在“江苏政府采购网</w:t>
      </w:r>
      <w:r>
        <w:rPr>
          <w:rFonts w:hint="eastAsia" w:ascii="宋体" w:hAnsi="宋体" w:cs="宋体"/>
          <w:sz w:val="24"/>
          <w:u w:val="single"/>
        </w:rPr>
        <w:t>-苏采云”系统</w:t>
      </w:r>
      <w:r>
        <w:rPr>
          <w:rFonts w:hint="eastAsia" w:ascii="宋体" w:hAnsi="宋体" w:cs="宋体"/>
          <w:sz w:val="24"/>
        </w:rPr>
        <w:t xml:space="preserve">自行下载招标文件 </w:t>
      </w:r>
      <w:r>
        <w:fldChar w:fldCharType="begin"/>
      </w:r>
      <w:r>
        <w:instrText xml:space="preserve"> HYPERLINK "http://jszfcg.jsczt.cn/）获取招标文件，并于2023年11月" \o "http://jszfcg.jsczt.cn/）获取招标文件，并于2023年11月" </w:instrText>
      </w:r>
      <w:r>
        <w:fldChar w:fldCharType="separate"/>
      </w:r>
      <w:r>
        <w:rPr>
          <w:rStyle w:val="66"/>
          <w:rFonts w:hint="eastAsia" w:ascii="宋体" w:hAnsi="宋体" w:cs="宋体"/>
          <w:color w:val="auto"/>
          <w:sz w:val="24"/>
        </w:rPr>
        <w:t>，并于2025年</w:t>
      </w:r>
      <w:r>
        <w:rPr>
          <w:rStyle w:val="66"/>
          <w:rFonts w:hint="eastAsia" w:ascii="宋体" w:hAnsi="宋体" w:cs="宋体"/>
          <w:color w:val="auto"/>
          <w:sz w:val="24"/>
          <w:lang w:val="en-US" w:eastAsia="zh-CN"/>
        </w:rPr>
        <w:t>10</w:t>
      </w:r>
      <w:r>
        <w:rPr>
          <w:rStyle w:val="66"/>
          <w:rFonts w:hint="eastAsia" w:ascii="宋体" w:hAnsi="宋体" w:cs="宋体"/>
          <w:color w:val="auto"/>
          <w:sz w:val="24"/>
        </w:rPr>
        <w:t>月</w:t>
      </w:r>
      <w:r>
        <w:rPr>
          <w:rStyle w:val="66"/>
          <w:rFonts w:hint="eastAsia" w:ascii="宋体" w:hAnsi="宋体" w:cs="宋体"/>
          <w:color w:val="auto"/>
          <w:sz w:val="24"/>
        </w:rPr>
        <w:fldChar w:fldCharType="end"/>
      </w:r>
      <w:r>
        <w:rPr>
          <w:rStyle w:val="66"/>
          <w:rFonts w:hint="eastAsia" w:ascii="宋体" w:hAnsi="宋体" w:cs="宋体"/>
          <w:color w:val="auto"/>
          <w:sz w:val="24"/>
        </w:rPr>
        <w:t>17</w:t>
      </w:r>
      <w:r>
        <w:rPr>
          <w:rFonts w:hint="eastAsia" w:ascii="宋体" w:hAnsi="宋体" w:cs="宋体"/>
          <w:sz w:val="24"/>
        </w:rPr>
        <w:t>日</w:t>
      </w:r>
      <w:r>
        <w:rPr>
          <w:rFonts w:ascii="宋体" w:hAnsi="宋体" w:cs="宋体"/>
          <w:sz w:val="24"/>
        </w:rPr>
        <w:t>09</w:t>
      </w:r>
      <w:r>
        <w:rPr>
          <w:rFonts w:hint="eastAsia" w:ascii="宋体" w:hAnsi="宋体" w:cs="宋体"/>
          <w:sz w:val="24"/>
        </w:rPr>
        <w:t>时</w:t>
      </w:r>
      <w:r>
        <w:rPr>
          <w:rFonts w:ascii="宋体" w:hAnsi="宋体" w:cs="宋体"/>
          <w:sz w:val="24"/>
        </w:rPr>
        <w:t xml:space="preserve"> </w:t>
      </w:r>
      <w:r>
        <w:rPr>
          <w:rFonts w:hint="eastAsia" w:ascii="宋体" w:hAnsi="宋体" w:cs="宋体"/>
          <w:sz w:val="24"/>
        </w:rPr>
        <w:t>00分</w:t>
      </w:r>
      <w:r>
        <w:rPr>
          <w:rFonts w:hint="eastAsia" w:ascii="宋体" w:hAnsi="宋体" w:cs="宋体"/>
          <w:bCs/>
          <w:sz w:val="24"/>
        </w:rPr>
        <w:t>（北京时间）前上传投标文件</w:t>
      </w:r>
      <w:r>
        <w:rPr>
          <w:rFonts w:hint="eastAsia" w:ascii="宋体" w:hAnsi="宋体" w:cs="宋体"/>
          <w:sz w:val="24"/>
        </w:rPr>
        <w:t>。</w:t>
      </w:r>
    </w:p>
    <w:p w14:paraId="08241BBA">
      <w:pPr>
        <w:pStyle w:val="263"/>
        <w:spacing w:after="0" w:line="360" w:lineRule="auto"/>
        <w:ind w:left="0" w:firstLine="0"/>
        <w:rPr>
          <w:b/>
          <w:bCs/>
          <w:sz w:val="24"/>
          <w:szCs w:val="24"/>
        </w:rPr>
      </w:pPr>
      <w:r>
        <w:rPr>
          <w:rFonts w:hint="eastAsia"/>
          <w:b/>
          <w:bCs/>
          <w:color w:val="000000"/>
          <w:sz w:val="24"/>
          <w:szCs w:val="24"/>
        </w:rPr>
        <w:t>一、项目基本情况</w:t>
      </w:r>
    </w:p>
    <w:p w14:paraId="23DC737A">
      <w:pPr>
        <w:pStyle w:val="263"/>
        <w:spacing w:after="0" w:line="360" w:lineRule="auto"/>
        <w:ind w:left="0" w:firstLine="480"/>
        <w:rPr>
          <w:color w:val="000000"/>
          <w:sz w:val="24"/>
          <w:szCs w:val="24"/>
          <w:lang w:eastAsia="zh-CN"/>
        </w:rPr>
      </w:pPr>
      <w:r>
        <w:rPr>
          <w:rFonts w:hint="eastAsia"/>
          <w:color w:val="000000"/>
          <w:sz w:val="24"/>
          <w:szCs w:val="24"/>
          <w:lang w:val="en-US" w:eastAsia="zh-CN"/>
        </w:rPr>
        <w:t>1.</w:t>
      </w:r>
      <w:r>
        <w:rPr>
          <w:rFonts w:hint="eastAsia"/>
          <w:color w:val="000000"/>
          <w:sz w:val="24"/>
          <w:szCs w:val="24"/>
        </w:rPr>
        <w:t>项目编号：JYZC-2025134</w:t>
      </w:r>
      <w:r>
        <w:rPr>
          <w:color w:val="000000"/>
          <w:sz w:val="24"/>
          <w:szCs w:val="24"/>
          <w:lang w:val="en-US" w:eastAsia="zh-CN"/>
        </w:rPr>
        <w:t xml:space="preserve"> </w:t>
      </w:r>
    </w:p>
    <w:p w14:paraId="65DB454F">
      <w:pPr>
        <w:pStyle w:val="263"/>
        <w:spacing w:after="0" w:line="360" w:lineRule="auto"/>
        <w:ind w:left="0" w:firstLine="480"/>
        <w:rPr>
          <w:color w:val="000000"/>
          <w:sz w:val="24"/>
          <w:szCs w:val="24"/>
          <w:lang w:eastAsia="zh-CN"/>
        </w:rPr>
      </w:pPr>
      <w:r>
        <w:rPr>
          <w:rFonts w:hint="eastAsia"/>
          <w:color w:val="000000"/>
          <w:sz w:val="24"/>
          <w:szCs w:val="24"/>
          <w:lang w:val="en-US" w:eastAsia="zh-CN"/>
        </w:rPr>
        <w:t>2.</w:t>
      </w:r>
      <w:r>
        <w:rPr>
          <w:rFonts w:hint="eastAsia"/>
          <w:color w:val="000000"/>
          <w:sz w:val="24"/>
          <w:szCs w:val="24"/>
        </w:rPr>
        <w:t>项目名称：</w:t>
      </w:r>
      <w:r>
        <w:rPr>
          <w:rFonts w:hint="eastAsia"/>
          <w:color w:val="000000"/>
          <w:sz w:val="24"/>
          <w:szCs w:val="24"/>
          <w:lang w:eastAsia="zh-CN"/>
        </w:rPr>
        <w:t>蒋垛镇果蔬深加工厂房（一期）光伏项目</w:t>
      </w:r>
    </w:p>
    <w:p w14:paraId="2BFA86F2">
      <w:pPr>
        <w:pStyle w:val="263"/>
        <w:spacing w:after="0" w:line="360" w:lineRule="auto"/>
        <w:ind w:left="0" w:firstLine="480"/>
        <w:rPr>
          <w:sz w:val="24"/>
          <w:szCs w:val="24"/>
          <w:lang w:eastAsia="zh-CN"/>
        </w:rPr>
      </w:pPr>
      <w:r>
        <w:rPr>
          <w:rFonts w:hint="eastAsia"/>
          <w:color w:val="000000"/>
          <w:sz w:val="24"/>
          <w:szCs w:val="24"/>
          <w:lang w:val="en-US" w:eastAsia="zh-CN"/>
        </w:rPr>
        <w:t>3.</w:t>
      </w:r>
      <w:r>
        <w:rPr>
          <w:rFonts w:hint="eastAsia"/>
          <w:color w:val="000000"/>
          <w:sz w:val="24"/>
          <w:szCs w:val="24"/>
        </w:rPr>
        <w:t>釆购方式：竞争性磋</w:t>
      </w:r>
      <w:r>
        <w:rPr>
          <w:rFonts w:hint="eastAsia"/>
          <w:color w:val="000000"/>
          <w:sz w:val="24"/>
          <w:szCs w:val="24"/>
          <w:lang w:eastAsia="zh-CN"/>
        </w:rPr>
        <w:t>商</w:t>
      </w:r>
    </w:p>
    <w:p w14:paraId="103FAACA">
      <w:pPr>
        <w:pStyle w:val="322"/>
        <w:spacing w:line="360" w:lineRule="auto"/>
        <w:ind w:firstLine="480"/>
        <w:rPr>
          <w:rFonts w:ascii="宋体" w:hAnsi="宋体" w:cs="宋体"/>
          <w:color w:val="000000"/>
          <w:sz w:val="24"/>
        </w:rPr>
      </w:pPr>
      <w:r>
        <w:rPr>
          <w:rFonts w:hint="eastAsia" w:ascii="宋体" w:hAnsi="宋体" w:cs="宋体"/>
          <w:color w:val="000000"/>
          <w:sz w:val="24"/>
        </w:rPr>
        <w:t>4.预算金额</w:t>
      </w:r>
      <w:r>
        <w:rPr>
          <w:rFonts w:hint="eastAsia" w:ascii="宋体" w:hAnsi="宋体" w:cs="宋体"/>
          <w:color w:val="0000FF"/>
          <w:sz w:val="24"/>
        </w:rPr>
        <w:t>：</w:t>
      </w:r>
      <w:r>
        <w:rPr>
          <w:rFonts w:hint="eastAsia" w:ascii="宋体" w:hAnsi="宋体" w:cs="宋体"/>
          <w:color w:val="0000FF"/>
          <w:sz w:val="24"/>
          <w:lang w:val="zh-TW" w:bidi="zh-TW"/>
        </w:rPr>
        <w:t>261</w:t>
      </w:r>
      <w:r>
        <w:rPr>
          <w:rFonts w:ascii="宋体" w:hAnsi="宋体" w:eastAsia="Arial Unicode MS" w:cs="宋体"/>
          <w:color w:val="0000FF"/>
          <w:sz w:val="24"/>
          <w:lang w:val="zh-TW" w:eastAsia="zh-TW" w:bidi="zh-TW"/>
        </w:rPr>
        <w:t>.</w:t>
      </w:r>
      <w:r>
        <w:rPr>
          <w:rFonts w:hint="eastAsia" w:ascii="宋体" w:hAnsi="宋体" w:cs="宋体"/>
          <w:color w:val="0000FF"/>
          <w:sz w:val="24"/>
          <w:lang w:val="zh-TW" w:bidi="zh-TW"/>
        </w:rPr>
        <w:t>056405</w:t>
      </w:r>
      <w:r>
        <w:rPr>
          <w:rFonts w:hint="eastAsia" w:ascii="宋体" w:hAnsi="宋体" w:cs="宋体"/>
          <w:color w:val="0000FF"/>
          <w:sz w:val="24"/>
          <w:lang w:val="zh-TW" w:eastAsia="zh-TW" w:bidi="zh-TW"/>
        </w:rPr>
        <w:t>万</w:t>
      </w:r>
      <w:r>
        <w:rPr>
          <w:rFonts w:hint="eastAsia" w:ascii="宋体" w:hAnsi="宋体" w:cs="宋体"/>
          <w:color w:val="000000"/>
          <w:sz w:val="24"/>
          <w:lang w:val="zh-TW" w:eastAsia="zh-TW" w:bidi="zh-TW"/>
        </w:rPr>
        <w:t>元</w:t>
      </w:r>
    </w:p>
    <w:p w14:paraId="1E5021E1">
      <w:pPr>
        <w:pStyle w:val="263"/>
        <w:spacing w:after="0" w:line="360" w:lineRule="auto"/>
        <w:ind w:left="0" w:firstLine="480"/>
        <w:rPr>
          <w:color w:val="000000"/>
          <w:sz w:val="24"/>
          <w:szCs w:val="24"/>
          <w:lang w:eastAsia="zh-CN"/>
        </w:rPr>
      </w:pPr>
      <w:r>
        <w:rPr>
          <w:rFonts w:hint="eastAsia"/>
          <w:color w:val="000000"/>
          <w:sz w:val="24"/>
          <w:szCs w:val="24"/>
          <w:lang w:val="en-US" w:eastAsia="zh-CN"/>
        </w:rPr>
        <w:t>5.</w:t>
      </w:r>
      <w:r>
        <w:rPr>
          <w:rFonts w:hint="eastAsia"/>
          <w:color w:val="000000"/>
          <w:sz w:val="24"/>
          <w:szCs w:val="24"/>
          <w:lang w:eastAsia="zh-CN"/>
        </w:rPr>
        <w:t>最高限价：</w:t>
      </w:r>
      <w:r>
        <w:rPr>
          <w:rFonts w:hint="eastAsia"/>
          <w:color w:val="000000"/>
          <w:sz w:val="24"/>
          <w:szCs w:val="24"/>
          <w:lang w:val="en-US" w:eastAsia="zh-CN"/>
        </w:rPr>
        <w:t>248.003585</w:t>
      </w:r>
      <w:r>
        <w:rPr>
          <w:rFonts w:hint="eastAsia"/>
          <w:sz w:val="24"/>
          <w:szCs w:val="24"/>
        </w:rPr>
        <w:t>万元（超过最高限价为无效报价，按照无效响应处理。）</w:t>
      </w:r>
    </w:p>
    <w:p w14:paraId="74F85ABF">
      <w:pPr>
        <w:pStyle w:val="263"/>
        <w:spacing w:after="0" w:line="360" w:lineRule="auto"/>
        <w:ind w:left="0" w:firstLine="480"/>
        <w:rPr>
          <w:bCs/>
          <w:sz w:val="24"/>
          <w:szCs w:val="24"/>
          <w:lang w:eastAsia="zh-CN"/>
        </w:rPr>
      </w:pPr>
      <w:r>
        <w:rPr>
          <w:rFonts w:hint="eastAsia"/>
          <w:color w:val="000000"/>
          <w:sz w:val="24"/>
          <w:szCs w:val="24"/>
          <w:lang w:val="en-US" w:eastAsia="zh-CN"/>
        </w:rPr>
        <w:t>6.</w:t>
      </w:r>
      <w:r>
        <w:rPr>
          <w:rFonts w:hint="eastAsia"/>
          <w:color w:val="000000"/>
          <w:sz w:val="24"/>
          <w:szCs w:val="24"/>
        </w:rPr>
        <w:t>采购需求：</w:t>
      </w:r>
      <w:r>
        <w:rPr>
          <w:rFonts w:hint="eastAsia"/>
          <w:color w:val="000000"/>
          <w:sz w:val="24"/>
          <w:szCs w:val="24"/>
          <w:lang w:eastAsia="zh-CN"/>
        </w:rPr>
        <w:t>蒋垛镇果蔬深加工厂房（一期）光伏项目，</w:t>
      </w:r>
      <w:r>
        <w:rPr>
          <w:rFonts w:hint="eastAsia"/>
          <w:bCs/>
          <w:color w:val="000000"/>
          <w:sz w:val="24"/>
          <w:szCs w:val="24"/>
        </w:rPr>
        <w:t>采购需求详见磋商文件第二章</w:t>
      </w:r>
    </w:p>
    <w:p w14:paraId="4413FB1D">
      <w:pPr>
        <w:pStyle w:val="263"/>
        <w:spacing w:after="0" w:line="360" w:lineRule="auto"/>
        <w:ind w:left="0" w:firstLine="480"/>
        <w:rPr>
          <w:color w:val="000000"/>
          <w:sz w:val="24"/>
          <w:szCs w:val="24"/>
          <w:lang w:eastAsia="zh-CN"/>
        </w:rPr>
      </w:pPr>
      <w:r>
        <w:rPr>
          <w:rFonts w:hint="eastAsia"/>
          <w:color w:val="000000"/>
          <w:sz w:val="24"/>
          <w:szCs w:val="24"/>
          <w:lang w:val="en-US" w:eastAsia="zh-CN"/>
        </w:rPr>
        <w:t>7.</w:t>
      </w:r>
      <w:r>
        <w:rPr>
          <w:rFonts w:hint="eastAsia"/>
          <w:color w:val="000000"/>
          <w:sz w:val="24"/>
          <w:szCs w:val="24"/>
        </w:rPr>
        <w:t>合同履行期限：</w:t>
      </w:r>
      <w:r>
        <w:rPr>
          <w:rFonts w:hint="eastAsia"/>
          <w:color w:val="0000FF"/>
          <w:sz w:val="24"/>
          <w:szCs w:val="24"/>
          <w:lang w:val="en-US" w:eastAsia="zh-CN"/>
        </w:rPr>
        <w:t>2</w:t>
      </w:r>
      <w:r>
        <w:rPr>
          <w:color w:val="0000FF"/>
          <w:sz w:val="24"/>
          <w:szCs w:val="24"/>
          <w:lang w:val="en-US" w:eastAsia="zh-CN"/>
        </w:rPr>
        <w:t>0</w:t>
      </w:r>
      <w:r>
        <w:rPr>
          <w:rFonts w:hint="eastAsia"/>
          <w:color w:val="000000"/>
          <w:sz w:val="24"/>
          <w:szCs w:val="24"/>
          <w:lang w:val="en-US" w:eastAsia="zh-CN"/>
        </w:rPr>
        <w:t>日历</w:t>
      </w:r>
      <w:r>
        <w:rPr>
          <w:rFonts w:hint="eastAsia"/>
          <w:color w:val="000000"/>
          <w:sz w:val="24"/>
          <w:szCs w:val="24"/>
          <w:lang w:eastAsia="zh-CN"/>
        </w:rPr>
        <w:t>天</w:t>
      </w:r>
      <w:r>
        <w:rPr>
          <w:rFonts w:hint="eastAsia"/>
          <w:sz w:val="24"/>
          <w:szCs w:val="24"/>
          <w:lang w:val="en-US" w:eastAsia="zh-CN"/>
        </w:rPr>
        <w:t xml:space="preserve"> </w:t>
      </w:r>
    </w:p>
    <w:p w14:paraId="4558101B">
      <w:pPr>
        <w:pStyle w:val="263"/>
        <w:spacing w:after="0" w:line="360" w:lineRule="auto"/>
        <w:ind w:left="0" w:firstLine="480"/>
        <w:rPr>
          <w:color w:val="000000"/>
          <w:sz w:val="24"/>
          <w:szCs w:val="24"/>
          <w:lang w:val="en-US" w:eastAsia="zh-CN"/>
        </w:rPr>
      </w:pPr>
      <w:r>
        <w:rPr>
          <w:rFonts w:hint="eastAsia"/>
          <w:color w:val="000000"/>
          <w:sz w:val="24"/>
          <w:szCs w:val="24"/>
          <w:lang w:val="en-US" w:eastAsia="zh-CN"/>
        </w:rPr>
        <w:t>本项目不接受联合体投标</w:t>
      </w:r>
    </w:p>
    <w:p w14:paraId="47674F7D">
      <w:pPr>
        <w:pStyle w:val="263"/>
        <w:spacing w:after="0" w:line="360" w:lineRule="auto"/>
        <w:ind w:left="0" w:firstLine="0"/>
        <w:rPr>
          <w:b/>
          <w:bCs/>
          <w:sz w:val="24"/>
          <w:szCs w:val="24"/>
        </w:rPr>
      </w:pPr>
      <w:r>
        <w:rPr>
          <w:rFonts w:hint="eastAsia"/>
          <w:b/>
          <w:bCs/>
          <w:color w:val="000000"/>
          <w:sz w:val="24"/>
          <w:szCs w:val="24"/>
        </w:rPr>
        <w:t>二</w:t>
      </w:r>
      <w:r>
        <w:rPr>
          <w:rFonts w:hint="eastAsia"/>
          <w:b/>
          <w:bCs/>
          <w:color w:val="000000"/>
          <w:sz w:val="24"/>
          <w:szCs w:val="24"/>
          <w:lang w:eastAsia="zh-CN"/>
        </w:rPr>
        <w:t>、</w:t>
      </w:r>
      <w:r>
        <w:rPr>
          <w:rFonts w:hint="eastAsia"/>
          <w:b/>
          <w:bCs/>
          <w:color w:val="000000"/>
          <w:sz w:val="24"/>
          <w:szCs w:val="24"/>
        </w:rPr>
        <w:t>申请人的资格要求：</w:t>
      </w:r>
    </w:p>
    <w:p w14:paraId="12D7DF55">
      <w:pPr>
        <w:spacing w:line="360" w:lineRule="auto"/>
        <w:ind w:firstLine="480"/>
        <w:rPr>
          <w:rFonts w:ascii="宋体" w:hAnsi="宋体" w:cs="宋体"/>
          <w:sz w:val="24"/>
        </w:rPr>
      </w:pPr>
      <w:bookmarkStart w:id="7" w:name="bookmark44"/>
      <w:bookmarkEnd w:id="7"/>
      <w:r>
        <w:rPr>
          <w:rFonts w:hint="eastAsia" w:ascii="宋体" w:hAnsi="宋体" w:cs="宋体"/>
          <w:sz w:val="24"/>
        </w:rPr>
        <w:t>1.满足《中华人民共和国政府采购法》第二十二条规定；</w:t>
      </w:r>
    </w:p>
    <w:p w14:paraId="10F79961">
      <w:pPr>
        <w:spacing w:line="360" w:lineRule="auto"/>
        <w:ind w:firstLine="480"/>
        <w:rPr>
          <w:rFonts w:ascii="宋体" w:hAnsi="宋体" w:cs="宋体"/>
          <w:sz w:val="24"/>
        </w:rPr>
      </w:pPr>
      <w:bookmarkStart w:id="8" w:name="bookmark45"/>
      <w:bookmarkEnd w:id="8"/>
      <w:r>
        <w:rPr>
          <w:rFonts w:hint="eastAsia" w:ascii="宋体" w:hAnsi="宋体" w:cs="宋体"/>
          <w:sz w:val="24"/>
        </w:rPr>
        <w:t>2.落实政府采购政策需满足的资格要求：</w:t>
      </w:r>
      <w:bookmarkStart w:id="9" w:name="bookmark46"/>
      <w:bookmarkEnd w:id="9"/>
      <w:r>
        <w:rPr>
          <w:rFonts w:hint="eastAsia" w:ascii="宋体" w:hAnsi="宋体" w:cs="宋体"/>
          <w:sz w:val="24"/>
        </w:rPr>
        <w:t xml:space="preserve">专门面向中小微企业,供应商应为中小微企业、监狱企业、残疾人福利性单位。    </w:t>
      </w:r>
    </w:p>
    <w:p w14:paraId="2FFF1C55">
      <w:pPr>
        <w:spacing w:line="360" w:lineRule="auto"/>
        <w:ind w:firstLine="480"/>
        <w:rPr>
          <w:rFonts w:ascii="宋体" w:hAnsi="宋体" w:cs="宋体"/>
          <w:sz w:val="24"/>
        </w:rPr>
      </w:pPr>
      <w:r>
        <w:rPr>
          <w:rFonts w:hint="eastAsia" w:ascii="宋体" w:hAnsi="宋体" w:cs="宋体"/>
          <w:sz w:val="24"/>
        </w:rPr>
        <w:t>3.本项目的特定资格要求：</w:t>
      </w:r>
      <w:bookmarkStart w:id="10" w:name="bookmark47"/>
    </w:p>
    <w:p w14:paraId="68A2F0B9">
      <w:pPr>
        <w:spacing w:line="360" w:lineRule="auto"/>
        <w:ind w:firstLine="480"/>
        <w:rPr>
          <w:rFonts w:ascii="宋体" w:hAnsi="宋体" w:cs="宋体"/>
          <w:sz w:val="24"/>
        </w:rPr>
      </w:pPr>
      <w:r>
        <w:rPr>
          <w:rFonts w:hint="eastAsia" w:ascii="宋体" w:hAnsi="宋体" w:cs="宋体"/>
          <w:sz w:val="24"/>
        </w:rPr>
        <w:t>3.1供应商须具备建设行政主管部门颁发的有效的电力工程施工总承包三级（及）以上资质并具备</w:t>
      </w:r>
      <w:r>
        <w:rPr>
          <w:rFonts w:hint="eastAsia" w:ascii="宋体" w:hAnsi="宋体" w:cs="宋体"/>
          <w:color w:val="000000"/>
          <w:sz w:val="24"/>
          <w:shd w:val="clear" w:color="auto" w:fill="FFFFFF"/>
        </w:rPr>
        <w:t>有效的建筑施工企业安全生产许可证且具有承装（修、试）五级及以上电力设施许可证</w:t>
      </w:r>
      <w:r>
        <w:rPr>
          <w:rFonts w:hint="eastAsia" w:ascii="宋体" w:hAnsi="宋体" w:cs="宋体"/>
          <w:sz w:val="24"/>
        </w:rPr>
        <w:t>。</w:t>
      </w:r>
    </w:p>
    <w:p w14:paraId="08C6B720">
      <w:pPr>
        <w:spacing w:line="360" w:lineRule="auto"/>
        <w:ind w:firstLine="480"/>
        <w:rPr>
          <w:rFonts w:ascii="宋体" w:hAnsi="宋体" w:cs="宋体"/>
          <w:sz w:val="24"/>
        </w:rPr>
      </w:pPr>
      <w:r>
        <w:rPr>
          <w:rFonts w:hint="eastAsia" w:ascii="宋体" w:hAnsi="宋体" w:cs="宋体"/>
          <w:sz w:val="24"/>
        </w:rPr>
        <w:t>3.2拟派项目负责人系已在供应商单位注册并具备建设行政主管部门颁发的机电工程专业二级(含)以上注册建造师执业资格</w:t>
      </w:r>
      <w:r>
        <w:rPr>
          <w:rFonts w:hint="eastAsia" w:ascii="宋体" w:hAnsi="宋体" w:cs="宋体"/>
          <w:color w:val="000000"/>
          <w:sz w:val="24"/>
        </w:rPr>
        <w:t>且具有行政主管部门颁发的有效的安全生产考核合格证书B证</w:t>
      </w:r>
      <w:r>
        <w:rPr>
          <w:rFonts w:hint="eastAsia" w:ascii="宋体" w:hAnsi="宋体" w:cs="宋体"/>
          <w:sz w:val="24"/>
        </w:rPr>
        <w:t>。</w:t>
      </w:r>
    </w:p>
    <w:p w14:paraId="0161E049">
      <w:pPr>
        <w:spacing w:line="360" w:lineRule="auto"/>
        <w:ind w:firstLine="480"/>
        <w:rPr>
          <w:rFonts w:ascii="宋体" w:hAnsi="宋体" w:cs="宋体"/>
          <w:sz w:val="24"/>
        </w:rPr>
      </w:pPr>
      <w:r>
        <w:rPr>
          <w:rFonts w:hint="eastAsia" w:ascii="宋体" w:hAnsi="宋体" w:cs="宋体"/>
          <w:sz w:val="24"/>
        </w:rPr>
        <w:t>3.3</w:t>
      </w:r>
      <w:bookmarkStart w:id="11" w:name="OLE_LINK15"/>
      <w:r>
        <w:rPr>
          <w:rFonts w:hint="eastAsia" w:ascii="宋体" w:hAnsi="宋体" w:cs="宋体"/>
          <w:sz w:val="24"/>
        </w:rPr>
        <w:t>本项目其他资格要求：</w:t>
      </w:r>
    </w:p>
    <w:p w14:paraId="1A27022E">
      <w:pPr>
        <w:spacing w:line="360" w:lineRule="auto"/>
        <w:ind w:firstLine="480"/>
        <w:rPr>
          <w:rFonts w:ascii="宋体" w:hAnsi="宋体" w:cs="宋体"/>
          <w:sz w:val="24"/>
        </w:rPr>
      </w:pPr>
      <w:r>
        <w:rPr>
          <w:rFonts w:hint="eastAsia" w:ascii="宋体" w:hAnsi="宋体" w:cs="宋体"/>
          <w:sz w:val="24"/>
        </w:rPr>
        <w:t>(1)信誉要求：</w:t>
      </w:r>
    </w:p>
    <w:p w14:paraId="3D518D65">
      <w:pPr>
        <w:spacing w:line="360" w:lineRule="auto"/>
        <w:ind w:firstLine="480"/>
        <w:rPr>
          <w:rFonts w:ascii="宋体" w:hAnsi="宋体" w:cs="宋体"/>
          <w:sz w:val="24"/>
        </w:rPr>
      </w:pPr>
      <w:r>
        <w:rPr>
          <w:rFonts w:hint="eastAsia" w:ascii="宋体" w:hAnsi="宋体" w:cs="宋体"/>
          <w:sz w:val="24"/>
        </w:rPr>
        <w:t>①未被“信用中国”网站(www.creditchina.gov.cn)、中国政府采购网(www.ccgp.gov.cn)列入失信被执行人、重大税收违法案件当事人名单、政府采购严重违法失信行为记录名单；</w:t>
      </w:r>
    </w:p>
    <w:p w14:paraId="58642415">
      <w:pPr>
        <w:pStyle w:val="52"/>
        <w:spacing w:after="0" w:line="360" w:lineRule="auto"/>
        <w:ind w:firstLine="480"/>
        <w:rPr>
          <w:rFonts w:ascii="宋体" w:hAnsi="宋体" w:cs="宋体"/>
          <w:sz w:val="24"/>
        </w:rPr>
      </w:pPr>
      <w:r>
        <w:rPr>
          <w:rFonts w:hint="eastAsia" w:ascii="宋体" w:hAnsi="宋体" w:cs="宋体"/>
          <w:sz w:val="24"/>
        </w:rPr>
        <w:t>②企业因发生重大工程质量、安全生产事故，被有关部门暂停投标资格并在暂停期内的；</w:t>
      </w:r>
    </w:p>
    <w:p w14:paraId="7B1075D9">
      <w:pPr>
        <w:spacing w:line="360" w:lineRule="auto"/>
        <w:ind w:firstLine="480"/>
        <w:rPr>
          <w:rFonts w:ascii="宋体" w:hAnsi="宋体" w:cs="宋体"/>
          <w:sz w:val="24"/>
        </w:rPr>
      </w:pPr>
      <w:r>
        <w:rPr>
          <w:rFonts w:hint="eastAsia" w:ascii="宋体" w:hAnsi="宋体" w:cs="宋体"/>
          <w:sz w:val="24"/>
        </w:rPr>
        <w:t>③提供参加政府采购活动前 3 年内在经营活动中无重大违法记录的声明。</w:t>
      </w:r>
    </w:p>
    <w:p w14:paraId="55999F93">
      <w:pPr>
        <w:spacing w:line="360" w:lineRule="auto"/>
        <w:ind w:firstLine="480"/>
        <w:rPr>
          <w:rFonts w:ascii="宋体" w:hAnsi="宋体" w:cs="宋体"/>
          <w:sz w:val="24"/>
        </w:rPr>
      </w:pPr>
      <w:r>
        <w:rPr>
          <w:rFonts w:hint="eastAsia" w:ascii="宋体" w:hAnsi="宋体" w:cs="宋体"/>
          <w:sz w:val="24"/>
        </w:rPr>
        <w:t xml:space="preserve">（2）企业资质动态监管： </w:t>
      </w:r>
    </w:p>
    <w:p w14:paraId="7AE4CCAF">
      <w:pPr>
        <w:spacing w:line="360" w:lineRule="auto"/>
        <w:ind w:firstLine="480"/>
        <w:rPr>
          <w:rFonts w:ascii="宋体" w:hAnsi="宋体" w:cs="宋体"/>
          <w:sz w:val="24"/>
        </w:rPr>
      </w:pPr>
      <w:r>
        <w:rPr>
          <w:rFonts w:hint="eastAsia" w:ascii="宋体" w:hAnsi="宋体" w:cs="宋体"/>
          <w:sz w:val="24"/>
        </w:rPr>
        <w:t>①评标时，供应商投标所用资质核查结果为不达标的，视为供应商资质条件不符合国家有关规定，或不满足采购文件规定的资格条件。 </w:t>
      </w:r>
    </w:p>
    <w:p w14:paraId="591061F4">
      <w:pPr>
        <w:spacing w:line="360" w:lineRule="auto"/>
        <w:ind w:firstLine="480"/>
        <w:rPr>
          <w:rFonts w:ascii="宋体" w:hAnsi="宋体" w:cs="宋体"/>
          <w:sz w:val="24"/>
        </w:rPr>
      </w:pPr>
      <w:r>
        <w:rPr>
          <w:rFonts w:hint="eastAsia" w:ascii="宋体" w:hAnsi="宋体" w:cs="宋体"/>
          <w:sz w:val="24"/>
        </w:rPr>
        <w:t>②中标公示期间，成交候选人投标所用资质核查结果为不达标的，视为其资质条件不符合国家有关规定。</w:t>
      </w:r>
    </w:p>
    <w:p w14:paraId="06DB67AF">
      <w:pPr>
        <w:spacing w:line="360" w:lineRule="auto"/>
        <w:ind w:firstLine="480"/>
        <w:rPr>
          <w:rFonts w:ascii="宋体" w:hAnsi="宋体" w:cs="宋体"/>
          <w:sz w:val="24"/>
        </w:rPr>
      </w:pPr>
      <w:r>
        <w:rPr>
          <w:rFonts w:hint="eastAsia" w:ascii="宋体" w:hAnsi="宋体" w:cs="宋体"/>
          <w:sz w:val="24"/>
        </w:rPr>
        <w:t>动态监管不合格资质查询网址：</w:t>
      </w:r>
    </w:p>
    <w:p w14:paraId="39B72B48">
      <w:pPr>
        <w:spacing w:line="360" w:lineRule="auto"/>
        <w:ind w:firstLine="480"/>
        <w:rPr>
          <w:rFonts w:ascii="宋体" w:hAnsi="宋体" w:cs="宋体"/>
          <w:sz w:val="24"/>
        </w:rPr>
      </w:pPr>
      <w:r>
        <w:rPr>
          <w:rFonts w:hint="eastAsia" w:ascii="宋体" w:hAnsi="宋体" w:cs="宋体"/>
          <w:sz w:val="24"/>
        </w:rPr>
        <w:t xml:space="preserve">http://58.213.147.230:7001/Website/#/compQuery/enterInfoQuery </w:t>
      </w:r>
    </w:p>
    <w:p w14:paraId="3BF4CABE">
      <w:pPr>
        <w:spacing w:line="360" w:lineRule="auto"/>
        <w:ind w:firstLine="480"/>
        <w:rPr>
          <w:rFonts w:ascii="宋体" w:hAnsi="宋体" w:cs="宋体"/>
          <w:sz w:val="24"/>
        </w:rPr>
      </w:pPr>
      <w:r>
        <w:rPr>
          <w:rFonts w:hint="eastAsia" w:ascii="宋体" w:hAnsi="宋体" w:cs="宋体"/>
          <w:sz w:val="24"/>
        </w:rPr>
        <w:t>（3）</w:t>
      </w:r>
      <w:bookmarkStart w:id="12" w:name="OLE_LINK17"/>
      <w:bookmarkStart w:id="13" w:name="OLE_LINK16"/>
      <w:r>
        <w:rPr>
          <w:rFonts w:hint="eastAsia" w:ascii="宋体" w:hAnsi="宋体" w:cs="宋体"/>
          <w:sz w:val="24"/>
        </w:rPr>
        <w:t>项目负责人（即项目经理）无在建工程要求：</w:t>
      </w:r>
    </w:p>
    <w:p w14:paraId="3A5AA769">
      <w:pPr>
        <w:spacing w:line="360" w:lineRule="auto"/>
        <w:ind w:firstLine="480"/>
        <w:rPr>
          <w:rFonts w:ascii="宋体" w:hAnsi="宋体" w:cs="宋体"/>
          <w:sz w:val="24"/>
        </w:rPr>
      </w:pPr>
      <w:r>
        <w:rPr>
          <w:rFonts w:hint="eastAsia" w:ascii="宋体" w:hAnsi="宋体" w:cs="宋体"/>
          <w:sz w:val="24"/>
        </w:rPr>
        <w:t>①项目负责人是非变更后无在建工程。</w:t>
      </w:r>
    </w:p>
    <w:p w14:paraId="50637030">
      <w:pPr>
        <w:spacing w:line="360" w:lineRule="auto"/>
        <w:ind w:firstLine="480"/>
        <w:rPr>
          <w:rFonts w:ascii="宋体" w:hAnsi="宋体" w:cs="宋体"/>
          <w:sz w:val="24"/>
        </w:rPr>
      </w:pPr>
      <w:r>
        <w:rPr>
          <w:rFonts w:hint="eastAsia" w:ascii="宋体" w:hAnsi="宋体" w:cs="宋体"/>
          <w:sz w:val="24"/>
        </w:rPr>
        <w:t>②项目负责人是变更后无在建工程（必须是原合同工期已满且自变更备案之日起已满6个月），或因非承包方原因致使工程项目停工或因故不能按期开工、且已办理了项目负责人解锁手续。</w:t>
      </w:r>
    </w:p>
    <w:p w14:paraId="3D509A59">
      <w:pPr>
        <w:spacing w:line="360" w:lineRule="auto"/>
        <w:ind w:firstLine="480"/>
        <w:rPr>
          <w:rFonts w:ascii="宋体" w:hAnsi="宋体" w:cs="宋体"/>
          <w:sz w:val="24"/>
        </w:rPr>
      </w:pPr>
      <w:r>
        <w:rPr>
          <w:rFonts w:hint="eastAsia" w:ascii="宋体" w:hAnsi="宋体" w:cs="宋体"/>
          <w:sz w:val="24"/>
        </w:rPr>
        <w:t>③项目负责人有在建工程，但该在建工程与本次招标的工程属于同一工程项目、同一项目批文、同一施工地点分段发包或分期施工的情况且总的工程规模在项目负责人执业范围之内。</w:t>
      </w:r>
    </w:p>
    <w:p w14:paraId="3D740CDB">
      <w:pPr>
        <w:spacing w:line="360" w:lineRule="auto"/>
        <w:ind w:firstLine="480"/>
        <w:rPr>
          <w:rFonts w:ascii="宋体" w:hAnsi="宋体" w:cs="宋体"/>
          <w:sz w:val="24"/>
        </w:rPr>
      </w:pPr>
      <w:r>
        <w:rPr>
          <w:rFonts w:hint="eastAsia" w:ascii="宋体" w:hAnsi="宋体" w:cs="宋体"/>
          <w:sz w:val="24"/>
        </w:rPr>
        <w:t>注：以上在建工程是指在其他项目担任项目负责人职责。以供应商在响应文件中的《投标承诺书》为准。</w:t>
      </w:r>
    </w:p>
    <w:p w14:paraId="5FC62007">
      <w:pPr>
        <w:spacing w:line="360" w:lineRule="auto"/>
        <w:ind w:firstLine="480"/>
        <w:rPr>
          <w:rFonts w:ascii="宋体" w:hAnsi="宋体" w:cs="宋体"/>
          <w:sz w:val="24"/>
        </w:rPr>
      </w:pPr>
      <w:r>
        <w:rPr>
          <w:rFonts w:hint="eastAsia" w:ascii="宋体" w:hAnsi="宋体" w:cs="宋体"/>
          <w:sz w:val="24"/>
        </w:rPr>
        <w:t>（4）</w:t>
      </w:r>
      <w:bookmarkStart w:id="14" w:name="OLE_LINK18"/>
      <w:r>
        <w:rPr>
          <w:rFonts w:hint="eastAsia" w:ascii="宋体" w:hAnsi="宋体" w:cs="宋体"/>
          <w:sz w:val="24"/>
        </w:rPr>
        <w:t>项目负责人（即项目经理）不得同时在两个或者两个以上单位受聘或者执业，包含但不仅限于以下情形：</w:t>
      </w:r>
    </w:p>
    <w:p w14:paraId="0C32282C">
      <w:pPr>
        <w:spacing w:line="360" w:lineRule="auto"/>
        <w:ind w:firstLine="480"/>
        <w:rPr>
          <w:rFonts w:ascii="宋体" w:hAnsi="宋体" w:cs="宋体"/>
          <w:sz w:val="24"/>
        </w:rPr>
      </w:pPr>
      <w:r>
        <w:rPr>
          <w:rFonts w:hint="eastAsia" w:ascii="宋体" w:hAnsi="宋体" w:cs="宋体"/>
          <w:sz w:val="24"/>
        </w:rPr>
        <w:t>①同时在两个及以上单位签订劳动合同或交纳社会保险；</w:t>
      </w:r>
    </w:p>
    <w:p w14:paraId="778E83C4">
      <w:pPr>
        <w:spacing w:line="360" w:lineRule="auto"/>
        <w:ind w:firstLine="480"/>
        <w:rPr>
          <w:rFonts w:ascii="宋体" w:hAnsi="宋体" w:cs="宋体"/>
          <w:sz w:val="24"/>
        </w:rPr>
      </w:pPr>
      <w:r>
        <w:rPr>
          <w:rFonts w:hint="eastAsia" w:ascii="宋体" w:hAnsi="宋体" w:cs="宋体"/>
          <w:sz w:val="24"/>
        </w:rPr>
        <w:t>②将本人执（职）业资格证书同时注册在两个及以上单位；</w:t>
      </w:r>
    </w:p>
    <w:p w14:paraId="3CAB2E1F">
      <w:pPr>
        <w:spacing w:line="360" w:lineRule="auto"/>
        <w:ind w:firstLine="480"/>
        <w:rPr>
          <w:rFonts w:ascii="宋体" w:hAnsi="宋体" w:cs="宋体"/>
          <w:sz w:val="24"/>
        </w:rPr>
      </w:pPr>
      <w:r>
        <w:rPr>
          <w:rFonts w:hint="eastAsia" w:ascii="宋体" w:hAnsi="宋体" w:cs="宋体"/>
          <w:sz w:val="24"/>
        </w:rPr>
        <w:t>③在其他企业担任法定代表人。</w:t>
      </w:r>
    </w:p>
    <w:p w14:paraId="5F04C925">
      <w:pPr>
        <w:spacing w:line="360" w:lineRule="auto"/>
        <w:ind w:firstLine="480"/>
        <w:rPr>
          <w:rFonts w:ascii="宋体" w:hAnsi="宋体" w:cs="宋体"/>
          <w:sz w:val="24"/>
        </w:rPr>
      </w:pPr>
      <w:r>
        <w:rPr>
          <w:rFonts w:hint="eastAsia" w:ascii="宋体" w:hAnsi="宋体" w:cs="宋体"/>
          <w:sz w:val="24"/>
        </w:rPr>
        <w:t>(5)单位负责人为同一人或者存在直接控股、管理关系的不同供应商，不得同时参加本项目的投标活动。</w:t>
      </w:r>
      <w:bookmarkEnd w:id="12"/>
      <w:bookmarkEnd w:id="13"/>
      <w:bookmarkEnd w:id="14"/>
    </w:p>
    <w:bookmarkEnd w:id="11"/>
    <w:p w14:paraId="106D84E5">
      <w:pPr>
        <w:pStyle w:val="263"/>
        <w:spacing w:after="0" w:line="360" w:lineRule="auto"/>
        <w:ind w:left="0" w:firstLine="0"/>
        <w:rPr>
          <w:b/>
          <w:bCs/>
          <w:color w:val="000000"/>
          <w:sz w:val="24"/>
          <w:szCs w:val="24"/>
        </w:rPr>
      </w:pPr>
      <w:r>
        <w:rPr>
          <w:rFonts w:hint="eastAsia"/>
          <w:b/>
          <w:bCs/>
          <w:color w:val="000000"/>
          <w:sz w:val="24"/>
          <w:szCs w:val="24"/>
        </w:rPr>
        <w:t>三</w:t>
      </w:r>
      <w:bookmarkEnd w:id="10"/>
      <w:r>
        <w:rPr>
          <w:rFonts w:hint="eastAsia"/>
          <w:b/>
          <w:bCs/>
          <w:color w:val="000000"/>
          <w:sz w:val="24"/>
          <w:szCs w:val="24"/>
        </w:rPr>
        <w:t>、获取采购文件</w:t>
      </w:r>
    </w:p>
    <w:p w14:paraId="4E82CDA0">
      <w:pPr>
        <w:spacing w:line="360" w:lineRule="auto"/>
        <w:ind w:firstLine="480"/>
        <w:rPr>
          <w:rFonts w:ascii="宋体" w:hAnsi="宋体" w:cs="宋体"/>
          <w:sz w:val="24"/>
        </w:rPr>
      </w:pPr>
      <w:bookmarkStart w:id="15" w:name="bookmark48"/>
      <w:r>
        <w:rPr>
          <w:rFonts w:hint="eastAsia" w:ascii="宋体" w:hAnsi="宋体" w:cs="宋体"/>
          <w:sz w:val="24"/>
        </w:rPr>
        <w:t>（一）时间：自招标文件公告发布之日起5个工作日。</w:t>
      </w:r>
    </w:p>
    <w:p w14:paraId="630865E2">
      <w:pPr>
        <w:spacing w:line="360" w:lineRule="auto"/>
        <w:ind w:firstLine="480"/>
        <w:rPr>
          <w:rFonts w:ascii="宋体" w:hAnsi="宋体" w:cs="宋体"/>
          <w:sz w:val="24"/>
        </w:rPr>
      </w:pPr>
      <w:r>
        <w:rPr>
          <w:rFonts w:hint="eastAsia" w:ascii="宋体" w:hAnsi="宋体" w:cs="宋体"/>
          <w:sz w:val="24"/>
        </w:rPr>
        <w:t>（二）获取方式：</w:t>
      </w:r>
    </w:p>
    <w:p w14:paraId="02623846">
      <w:pPr>
        <w:spacing w:line="360" w:lineRule="auto"/>
        <w:ind w:firstLine="480"/>
        <w:rPr>
          <w:rFonts w:ascii="宋体" w:hAnsi="宋体" w:cs="宋体"/>
          <w:sz w:val="24"/>
        </w:rPr>
      </w:pPr>
      <w:r>
        <w:rPr>
          <w:rFonts w:hint="eastAsia" w:ascii="宋体" w:hAnsi="宋体" w:cs="宋体"/>
          <w:sz w:val="24"/>
        </w:rPr>
        <w:t>1.地点：投标人完成注册并办理CA证书后登录“江苏政府采购‘苏采云’系统”下载本项目招标文件。</w:t>
      </w:r>
    </w:p>
    <w:p w14:paraId="2A68768A">
      <w:pPr>
        <w:spacing w:line="360" w:lineRule="auto"/>
        <w:ind w:firstLine="480"/>
        <w:rPr>
          <w:rFonts w:ascii="宋体" w:hAnsi="宋体" w:cs="宋体"/>
          <w:sz w:val="24"/>
        </w:rPr>
      </w:pPr>
      <w:r>
        <w:rPr>
          <w:rFonts w:hint="eastAsia" w:ascii="宋体" w:hAnsi="宋体" w:cs="宋体"/>
          <w:sz w:val="24"/>
        </w:rPr>
        <w:t>2.获取方式：登录江苏政府采购“苏采云”系统免费下载。</w:t>
      </w:r>
    </w:p>
    <w:p w14:paraId="2BA19645">
      <w:pPr>
        <w:spacing w:line="360" w:lineRule="auto"/>
        <w:ind w:firstLine="480"/>
        <w:rPr>
          <w:rFonts w:ascii="宋体" w:hAnsi="宋体" w:cs="宋体"/>
          <w:sz w:val="24"/>
        </w:rPr>
      </w:pPr>
      <w:r>
        <w:rPr>
          <w:rFonts w:hint="eastAsia" w:ascii="宋体" w:hAnsi="宋体" w:cs="宋体"/>
          <w:sz w:val="24"/>
        </w:rPr>
        <w:t>3.潜在投标人访问电子招标投标交易平台的网络地址和方法：</w:t>
      </w:r>
    </w:p>
    <w:p w14:paraId="2BD8BF0E">
      <w:pPr>
        <w:spacing w:line="360" w:lineRule="auto"/>
        <w:ind w:firstLine="480"/>
        <w:rPr>
          <w:rFonts w:ascii="宋体" w:hAnsi="宋体" w:cs="宋体"/>
          <w:sz w:val="24"/>
        </w:rPr>
      </w:pPr>
      <w:r>
        <w:rPr>
          <w:rFonts w:hint="eastAsia" w:ascii="宋体" w:hAnsi="宋体" w:cs="宋体"/>
          <w:sz w:val="24"/>
        </w:rPr>
        <w:t>（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p>
    <w:p w14:paraId="503281E1">
      <w:pPr>
        <w:spacing w:line="360" w:lineRule="auto"/>
        <w:ind w:firstLine="480"/>
        <w:rPr>
          <w:rFonts w:ascii="宋体" w:hAnsi="宋体" w:cs="宋体"/>
          <w:sz w:val="24"/>
        </w:rPr>
      </w:pPr>
      <w:r>
        <w:rPr>
          <w:rFonts w:hint="eastAsia" w:ascii="宋体" w:hAnsi="宋体" w:cs="宋体"/>
          <w:sz w:val="24"/>
        </w:rPr>
        <w:t>（2）潜在投标人访问“苏采云”系统的网络地址和方法：“苏采云”系统的网址：http://jszfcg.jsczt.cn/，点击“苏采云”进入系统。</w:t>
      </w:r>
    </w:p>
    <w:p w14:paraId="77AE1210">
      <w:pPr>
        <w:spacing w:line="360" w:lineRule="auto"/>
        <w:ind w:firstLine="480"/>
        <w:rPr>
          <w:rFonts w:ascii="宋体" w:hAnsi="宋体" w:cs="宋体"/>
          <w:sz w:val="24"/>
        </w:rPr>
      </w:pPr>
      <w:r>
        <w:rPr>
          <w:rFonts w:hint="eastAsia" w:ascii="宋体" w:hAnsi="宋体" w:cs="宋体"/>
          <w:sz w:val="24"/>
        </w:rPr>
        <w:t>（3）“CA数字证书”的获取：供应商需办理CA锁，“苏采云”系统目前仅支持“苏采云”系统下的国信CA，省内各地区办理的“苏采云”系统下的国信CA全省通用。“CA数字证书”的办理方法详见“江苏省政府采购（财政厅）国信CA数字证书及电子签章办理指南”，网址：http://www.jsgxca.com/ManagementGuide46.html。</w:t>
      </w:r>
    </w:p>
    <w:p w14:paraId="123F1D96">
      <w:pPr>
        <w:spacing w:line="360" w:lineRule="auto"/>
        <w:ind w:firstLine="480"/>
        <w:rPr>
          <w:rFonts w:ascii="宋体" w:hAnsi="宋体" w:cs="宋体"/>
          <w:sz w:val="24"/>
        </w:rPr>
      </w:pPr>
      <w:r>
        <w:rPr>
          <w:rFonts w:hint="eastAsia" w:ascii="宋体" w:hAnsi="宋体" w:cs="宋体"/>
          <w:sz w:val="24"/>
        </w:rPr>
        <w:t>（4）采购文件（后缀名为“.kedt”）、供应商操作手册及政府采购客户端工具可通过“苏采云”系统--已报名项目--报名详情页面内相应链接进行下载；供应商操作手册及政府采购客户端工具可通过泰州政府采购网—服务指南--下载中心，点击进入“苏采云系统操作手册（供应商）”，进行下载。</w:t>
      </w:r>
    </w:p>
    <w:p w14:paraId="414CA129">
      <w:pPr>
        <w:spacing w:line="360" w:lineRule="auto"/>
        <w:ind w:firstLine="480"/>
        <w:rPr>
          <w:rFonts w:ascii="宋体" w:hAnsi="宋体" w:cs="宋体"/>
          <w:sz w:val="24"/>
        </w:rPr>
      </w:pPr>
      <w:r>
        <w:rPr>
          <w:rFonts w:hint="eastAsia" w:ascii="宋体" w:hAnsi="宋体" w:cs="宋体"/>
          <w:sz w:val="24"/>
        </w:rPr>
        <w:t>（5）招标代理机构（采购代理机构）将数据电文形式的招标文件加载至“苏采云”系统，供潜在投标人下载或者查阅。</w:t>
      </w:r>
    </w:p>
    <w:p w14:paraId="17B274C2">
      <w:pPr>
        <w:spacing w:line="360" w:lineRule="auto"/>
        <w:ind w:firstLine="480"/>
        <w:rPr>
          <w:rFonts w:ascii="宋体" w:hAnsi="宋体" w:cs="宋体"/>
          <w:sz w:val="24"/>
        </w:rPr>
      </w:pPr>
      <w:r>
        <w:rPr>
          <w:rFonts w:hint="eastAsia" w:ascii="宋体" w:hAnsi="宋体" w:cs="宋体"/>
          <w:sz w:val="24"/>
        </w:rPr>
        <w:t>（6）苏采云系统优先使用谷歌浏览器参与不见面开标。</w:t>
      </w:r>
    </w:p>
    <w:p w14:paraId="44C5A868">
      <w:pPr>
        <w:spacing w:line="360" w:lineRule="auto"/>
        <w:ind w:firstLine="480"/>
        <w:rPr>
          <w:rFonts w:ascii="宋体" w:hAnsi="宋体" w:cs="宋体"/>
          <w:sz w:val="24"/>
        </w:rPr>
      </w:pPr>
      <w:r>
        <w:rPr>
          <w:rFonts w:hint="eastAsia" w:ascii="宋体" w:hAnsi="宋体" w:cs="宋体"/>
          <w:sz w:val="24"/>
        </w:rPr>
        <w:t>（7）有关本次采购的事项若存在变动或修改，敬请及时关注“江苏政府采购网”发布的更正公告。</w:t>
      </w:r>
    </w:p>
    <w:p w14:paraId="0874697F">
      <w:pPr>
        <w:spacing w:line="360" w:lineRule="auto"/>
        <w:ind w:firstLine="480"/>
        <w:rPr>
          <w:rFonts w:ascii="宋体" w:hAnsi="宋体" w:cs="宋体"/>
          <w:sz w:val="24"/>
        </w:rPr>
      </w:pPr>
      <w:r>
        <w:rPr>
          <w:rFonts w:hint="eastAsia" w:ascii="宋体" w:hAnsi="宋体" w:cs="宋体"/>
          <w:sz w:val="24"/>
        </w:rPr>
        <w:t>如潜在供应商未按上述要求操作，将自行承担所产生的风险。</w:t>
      </w:r>
    </w:p>
    <w:p w14:paraId="3BA28275">
      <w:pPr>
        <w:spacing w:line="360" w:lineRule="auto"/>
        <w:rPr>
          <w:rFonts w:ascii="宋体" w:hAnsi="宋体" w:cs="宋体"/>
          <w:b/>
          <w:bCs/>
          <w:color w:val="000000"/>
          <w:sz w:val="24"/>
          <w:lang w:val="zh-TW" w:bidi="zh-TW"/>
        </w:rPr>
      </w:pPr>
      <w:r>
        <w:rPr>
          <w:rFonts w:hint="eastAsia" w:ascii="宋体" w:hAnsi="宋体" w:cs="宋体"/>
          <w:b/>
          <w:bCs/>
          <w:color w:val="000000"/>
          <w:sz w:val="24"/>
          <w:lang w:val="zh-TW" w:bidi="zh-TW"/>
        </w:rPr>
        <w:t>四</w:t>
      </w:r>
      <w:bookmarkEnd w:id="15"/>
      <w:r>
        <w:rPr>
          <w:rFonts w:hint="eastAsia" w:ascii="宋体" w:hAnsi="宋体" w:cs="宋体"/>
          <w:b/>
          <w:bCs/>
          <w:color w:val="000000"/>
          <w:sz w:val="24"/>
          <w:lang w:val="zh-TW" w:bidi="zh-TW"/>
        </w:rPr>
        <w:t>、响应文件提交</w:t>
      </w:r>
    </w:p>
    <w:p w14:paraId="39DA7D49">
      <w:pPr>
        <w:widowControl/>
        <w:spacing w:line="360" w:lineRule="auto"/>
        <w:ind w:firstLine="240"/>
        <w:jc w:val="left"/>
        <w:rPr>
          <w:rFonts w:ascii="宋体" w:hAnsi="宋体" w:cs="宋体"/>
          <w:sz w:val="24"/>
        </w:rPr>
      </w:pPr>
      <w:r>
        <w:rPr>
          <w:rFonts w:hint="eastAsia" w:ascii="宋体" w:hAnsi="宋体" w:cs="宋体"/>
          <w:sz w:val="24"/>
        </w:rPr>
        <w:t>截止时间：2025年</w:t>
      </w:r>
      <w:r>
        <w:rPr>
          <w:rFonts w:hint="eastAsia" w:ascii="宋体" w:hAnsi="宋体" w:cs="宋体"/>
          <w:sz w:val="24"/>
          <w:lang w:val="en-US" w:eastAsia="zh-CN"/>
        </w:rPr>
        <w:t>10</w:t>
      </w:r>
      <w:r>
        <w:rPr>
          <w:rFonts w:hint="eastAsia" w:ascii="宋体" w:hAnsi="宋体" w:cs="宋体"/>
          <w:sz w:val="24"/>
        </w:rPr>
        <w:t>月17日</w:t>
      </w:r>
      <w:r>
        <w:rPr>
          <w:rFonts w:ascii="宋体" w:hAnsi="宋体" w:cs="宋体"/>
          <w:sz w:val="24"/>
        </w:rPr>
        <w:t>09</w:t>
      </w:r>
      <w:r>
        <w:rPr>
          <w:rFonts w:hint="eastAsia" w:ascii="宋体" w:hAnsi="宋体" w:cs="宋体"/>
          <w:sz w:val="24"/>
        </w:rPr>
        <w:t>时0</w:t>
      </w:r>
      <w:r>
        <w:rPr>
          <w:rFonts w:ascii="宋体" w:hAnsi="宋体" w:cs="宋体"/>
          <w:sz w:val="24"/>
        </w:rPr>
        <w:t>0</w:t>
      </w:r>
      <w:r>
        <w:rPr>
          <w:rFonts w:hint="eastAsia" w:ascii="宋体" w:hAnsi="宋体" w:cs="宋体"/>
          <w:sz w:val="24"/>
        </w:rPr>
        <w:t>分（北京时间）</w:t>
      </w:r>
    </w:p>
    <w:p w14:paraId="4A37C0FA">
      <w:pPr>
        <w:widowControl/>
        <w:spacing w:line="360" w:lineRule="auto"/>
        <w:ind w:firstLine="240"/>
        <w:jc w:val="left"/>
        <w:rPr>
          <w:rFonts w:ascii="宋体" w:hAnsi="宋体" w:cs="宋体"/>
          <w:sz w:val="24"/>
        </w:rPr>
      </w:pPr>
      <w:r>
        <w:rPr>
          <w:rFonts w:hint="eastAsia" w:ascii="宋体" w:hAnsi="宋体" w:cs="宋体"/>
          <w:sz w:val="24"/>
        </w:rPr>
        <w:t>地    点：江苏政府采购“苏采云”系统不见面开标大厅</w:t>
      </w:r>
    </w:p>
    <w:p w14:paraId="61A0BFE5">
      <w:pPr>
        <w:spacing w:line="360" w:lineRule="auto"/>
        <w:rPr>
          <w:rFonts w:ascii="宋体" w:hAnsi="宋体" w:cs="宋体"/>
          <w:b/>
          <w:bCs/>
          <w:color w:val="000000"/>
          <w:sz w:val="24"/>
          <w:lang w:val="zh-TW" w:bidi="zh-TW"/>
        </w:rPr>
      </w:pPr>
      <w:r>
        <w:rPr>
          <w:rFonts w:hint="eastAsia" w:ascii="宋体" w:hAnsi="宋体" w:cs="宋体"/>
          <w:b/>
          <w:bCs/>
          <w:color w:val="000000"/>
          <w:sz w:val="24"/>
          <w:lang w:val="zh-TW" w:bidi="zh-TW"/>
        </w:rPr>
        <w:t>五、开启</w:t>
      </w:r>
    </w:p>
    <w:p w14:paraId="4CEC65B9">
      <w:pPr>
        <w:widowControl/>
        <w:spacing w:line="360" w:lineRule="auto"/>
        <w:ind w:firstLine="240"/>
        <w:jc w:val="left"/>
        <w:rPr>
          <w:rFonts w:ascii="宋体" w:hAnsi="宋体" w:cs="宋体"/>
          <w:sz w:val="24"/>
        </w:rPr>
      </w:pPr>
      <w:r>
        <w:rPr>
          <w:rFonts w:hint="eastAsia" w:ascii="宋体" w:hAnsi="宋体" w:cs="宋体"/>
          <w:sz w:val="24"/>
        </w:rPr>
        <w:t>时    间：2025年</w:t>
      </w:r>
      <w:r>
        <w:rPr>
          <w:rFonts w:hint="eastAsia" w:ascii="宋体" w:hAnsi="宋体" w:cs="宋体"/>
          <w:sz w:val="24"/>
          <w:lang w:val="en-US" w:eastAsia="zh-CN"/>
        </w:rPr>
        <w:t>10</w:t>
      </w:r>
      <w:r>
        <w:rPr>
          <w:rFonts w:hint="eastAsia" w:ascii="宋体" w:hAnsi="宋体" w:cs="宋体"/>
          <w:sz w:val="24"/>
        </w:rPr>
        <w:t>月17日</w:t>
      </w:r>
      <w:r>
        <w:rPr>
          <w:rFonts w:ascii="宋体" w:hAnsi="宋体" w:cs="宋体"/>
          <w:sz w:val="24"/>
        </w:rPr>
        <w:t xml:space="preserve"> 09</w:t>
      </w:r>
      <w:r>
        <w:rPr>
          <w:rFonts w:hint="eastAsia" w:ascii="宋体" w:hAnsi="宋体" w:cs="宋体"/>
          <w:sz w:val="24"/>
        </w:rPr>
        <w:t>时0</w:t>
      </w:r>
      <w:r>
        <w:rPr>
          <w:rFonts w:ascii="宋体" w:hAnsi="宋体" w:cs="宋体"/>
          <w:sz w:val="24"/>
        </w:rPr>
        <w:t>0</w:t>
      </w:r>
      <w:r>
        <w:rPr>
          <w:rFonts w:hint="eastAsia" w:ascii="宋体" w:hAnsi="宋体" w:cs="宋体"/>
          <w:sz w:val="24"/>
        </w:rPr>
        <w:t>分（北京时间）</w:t>
      </w:r>
    </w:p>
    <w:p w14:paraId="47DA9269">
      <w:pPr>
        <w:widowControl/>
        <w:spacing w:line="360" w:lineRule="auto"/>
        <w:ind w:firstLine="240"/>
        <w:jc w:val="left"/>
        <w:rPr>
          <w:rFonts w:ascii="宋体" w:hAnsi="宋体" w:cs="宋体"/>
          <w:sz w:val="24"/>
        </w:rPr>
      </w:pPr>
      <w:r>
        <w:rPr>
          <w:rFonts w:hint="eastAsia" w:ascii="宋体" w:hAnsi="宋体" w:cs="宋体"/>
          <w:sz w:val="24"/>
        </w:rPr>
        <w:t>地    点：江苏政府采购“苏采云”系统不见面开标大厅</w:t>
      </w:r>
    </w:p>
    <w:p w14:paraId="1520B1DB">
      <w:pPr>
        <w:spacing w:line="360" w:lineRule="auto"/>
        <w:rPr>
          <w:rFonts w:ascii="宋体" w:hAnsi="宋体" w:cs="宋体"/>
          <w:b/>
          <w:bCs/>
          <w:color w:val="000000"/>
          <w:sz w:val="24"/>
          <w:lang w:val="zh-TW" w:bidi="zh-TW"/>
        </w:rPr>
      </w:pPr>
      <w:r>
        <w:rPr>
          <w:rFonts w:hint="eastAsia" w:ascii="宋体" w:hAnsi="宋体" w:cs="宋体"/>
          <w:b/>
          <w:bCs/>
          <w:color w:val="000000"/>
          <w:sz w:val="24"/>
          <w:lang w:val="zh-TW" w:bidi="zh-TW"/>
        </w:rPr>
        <w:t>六、公告期限</w:t>
      </w:r>
    </w:p>
    <w:p w14:paraId="535738F6">
      <w:pPr>
        <w:widowControl/>
        <w:spacing w:line="360" w:lineRule="auto"/>
        <w:ind w:firstLine="240"/>
        <w:jc w:val="left"/>
        <w:rPr>
          <w:rFonts w:ascii="宋体" w:hAnsi="宋体" w:cs="宋体"/>
          <w:color w:val="000000"/>
          <w:sz w:val="24"/>
        </w:rPr>
      </w:pPr>
      <w:r>
        <w:rPr>
          <w:rFonts w:hint="eastAsia" w:ascii="宋体" w:hAnsi="宋体" w:cs="宋体"/>
          <w:sz w:val="24"/>
        </w:rPr>
        <w:t>自本公告发布之</w:t>
      </w:r>
      <w:r>
        <w:rPr>
          <w:rFonts w:hint="eastAsia" w:ascii="宋体" w:hAnsi="宋体" w:cs="宋体"/>
          <w:color w:val="000000"/>
          <w:sz w:val="24"/>
        </w:rPr>
        <w:t>日起5个工作日。</w:t>
      </w:r>
    </w:p>
    <w:p w14:paraId="5F8E69B6">
      <w:pPr>
        <w:pStyle w:val="263"/>
        <w:spacing w:after="0" w:line="360" w:lineRule="auto"/>
        <w:ind w:left="0" w:firstLine="0"/>
        <w:rPr>
          <w:b/>
          <w:bCs/>
          <w:color w:val="000000"/>
          <w:sz w:val="24"/>
          <w:szCs w:val="24"/>
          <w:lang w:eastAsia="zh-CN"/>
        </w:rPr>
      </w:pPr>
      <w:r>
        <w:rPr>
          <w:rFonts w:hint="eastAsia"/>
          <w:b/>
          <w:bCs/>
          <w:color w:val="000000"/>
          <w:sz w:val="24"/>
          <w:szCs w:val="24"/>
        </w:rPr>
        <w:t>七</w:t>
      </w:r>
      <w:r>
        <w:rPr>
          <w:rFonts w:hint="eastAsia"/>
          <w:b/>
          <w:bCs/>
          <w:color w:val="000000"/>
          <w:sz w:val="24"/>
          <w:szCs w:val="24"/>
          <w:lang w:eastAsia="zh-CN"/>
        </w:rPr>
        <w:t>、</w:t>
      </w:r>
      <w:r>
        <w:rPr>
          <w:rFonts w:hint="eastAsia"/>
          <w:b/>
          <w:bCs/>
          <w:color w:val="000000"/>
          <w:sz w:val="24"/>
          <w:szCs w:val="24"/>
        </w:rPr>
        <w:t>其他补充事宜</w:t>
      </w:r>
    </w:p>
    <w:p w14:paraId="01F06A34">
      <w:pPr>
        <w:tabs>
          <w:tab w:val="left" w:pos="2268"/>
        </w:tabs>
        <w:spacing w:line="360" w:lineRule="auto"/>
        <w:ind w:firstLine="240"/>
        <w:rPr>
          <w:rFonts w:ascii="宋体" w:hAnsi="宋体" w:cs="宋体"/>
          <w:sz w:val="24"/>
        </w:rPr>
      </w:pPr>
      <w:r>
        <w:rPr>
          <w:rFonts w:hint="eastAsia" w:ascii="宋体" w:hAnsi="宋体" w:cs="宋体"/>
          <w:sz w:val="24"/>
        </w:rPr>
        <w:t>（1）现场踏勘：供应商自行踏勘。（请各供应商对项目现场进行自主踏勘，未现场踏勘和未提出疑义的供应商将被视为已踏勘，认同采购项目要求的内容，由此造成的后果由供应商负责。）</w:t>
      </w:r>
    </w:p>
    <w:p w14:paraId="421899D4">
      <w:pPr>
        <w:tabs>
          <w:tab w:val="left" w:pos="2268"/>
        </w:tabs>
        <w:spacing w:line="360" w:lineRule="auto"/>
        <w:ind w:firstLine="240"/>
        <w:rPr>
          <w:rFonts w:ascii="宋体" w:hAnsi="宋体" w:cs="宋体"/>
          <w:sz w:val="24"/>
        </w:rPr>
      </w:pPr>
      <w:r>
        <w:rPr>
          <w:rFonts w:hint="eastAsia" w:ascii="宋体" w:hAnsi="宋体" w:cs="宋体"/>
          <w:sz w:val="24"/>
        </w:rPr>
        <w:t xml:space="preserve"> （2）在评标结束前，各投标人授权代表应保持手机畅通，以便及时澄清答疑。</w:t>
      </w:r>
    </w:p>
    <w:p w14:paraId="68138C02">
      <w:pPr>
        <w:widowControl/>
        <w:spacing w:line="360" w:lineRule="auto"/>
        <w:jc w:val="left"/>
        <w:rPr>
          <w:rFonts w:ascii="宋体" w:hAnsi="宋体" w:cs="宋体"/>
          <w:b/>
          <w:sz w:val="24"/>
        </w:rPr>
      </w:pPr>
      <w:r>
        <w:rPr>
          <w:rFonts w:hint="eastAsia" w:ascii="宋体" w:hAnsi="宋体" w:cs="宋体"/>
          <w:b/>
          <w:sz w:val="24"/>
        </w:rPr>
        <w:t>八、凡对本次采购提出询问，请按以下方式联系。</w:t>
      </w:r>
    </w:p>
    <w:p w14:paraId="449D8756">
      <w:pPr>
        <w:tabs>
          <w:tab w:val="left" w:pos="2268"/>
        </w:tabs>
        <w:spacing w:line="360" w:lineRule="auto"/>
        <w:ind w:firstLine="240"/>
        <w:rPr>
          <w:rFonts w:ascii="宋体" w:hAnsi="宋体" w:cs="宋体"/>
          <w:sz w:val="24"/>
        </w:rPr>
      </w:pPr>
      <w:bookmarkStart w:id="16" w:name="bookmark49"/>
      <w:bookmarkEnd w:id="16"/>
      <w:r>
        <w:rPr>
          <w:rFonts w:hint="eastAsia" w:ascii="宋体" w:hAnsi="宋体" w:cs="宋体"/>
          <w:sz w:val="24"/>
        </w:rPr>
        <w:t>1.采购人信息</w:t>
      </w:r>
      <w:bookmarkStart w:id="653" w:name="_GoBack"/>
      <w:bookmarkEnd w:id="653"/>
    </w:p>
    <w:p w14:paraId="574C2C64">
      <w:pPr>
        <w:tabs>
          <w:tab w:val="left" w:pos="2268"/>
        </w:tabs>
        <w:spacing w:line="360" w:lineRule="auto"/>
        <w:ind w:firstLine="240"/>
        <w:rPr>
          <w:rFonts w:ascii="宋体" w:hAnsi="宋体" w:cs="宋体"/>
          <w:sz w:val="24"/>
        </w:rPr>
      </w:pPr>
      <w:r>
        <w:rPr>
          <w:rFonts w:hint="eastAsia" w:ascii="宋体" w:hAnsi="宋体" w:cs="宋体"/>
          <w:sz w:val="24"/>
        </w:rPr>
        <w:t>名 称：泰州市姜堰区蒋垛镇人民政府</w:t>
      </w:r>
    </w:p>
    <w:p w14:paraId="11B7B863">
      <w:pPr>
        <w:tabs>
          <w:tab w:val="left" w:pos="2268"/>
        </w:tabs>
        <w:spacing w:line="360" w:lineRule="auto"/>
        <w:ind w:firstLine="240"/>
        <w:rPr>
          <w:rFonts w:ascii="宋体" w:hAnsi="宋体" w:cs="宋体"/>
          <w:sz w:val="24"/>
        </w:rPr>
      </w:pPr>
      <w:r>
        <w:rPr>
          <w:rFonts w:hint="eastAsia" w:ascii="宋体" w:hAnsi="宋体" w:cs="宋体"/>
          <w:sz w:val="24"/>
        </w:rPr>
        <w:t>地 址：泰州市姜堰区蒋垛镇</w:t>
      </w:r>
    </w:p>
    <w:p w14:paraId="7626708E">
      <w:pPr>
        <w:tabs>
          <w:tab w:val="left" w:pos="2268"/>
        </w:tabs>
        <w:spacing w:line="360" w:lineRule="auto"/>
        <w:ind w:firstLine="240"/>
        <w:rPr>
          <w:rFonts w:ascii="宋体" w:hAnsi="宋体" w:cs="宋体"/>
          <w:sz w:val="24"/>
        </w:rPr>
      </w:pPr>
      <w:r>
        <w:rPr>
          <w:rFonts w:hint="eastAsia" w:ascii="宋体" w:hAnsi="宋体" w:cs="宋体"/>
          <w:sz w:val="24"/>
        </w:rPr>
        <w:t>联系方式：  段辰宸18861099937</w:t>
      </w:r>
    </w:p>
    <w:p w14:paraId="0D80A353">
      <w:pPr>
        <w:tabs>
          <w:tab w:val="left" w:pos="2268"/>
        </w:tabs>
        <w:spacing w:line="360" w:lineRule="auto"/>
        <w:ind w:firstLine="240"/>
        <w:rPr>
          <w:rFonts w:ascii="宋体" w:hAnsi="宋体" w:cs="宋体"/>
          <w:sz w:val="24"/>
        </w:rPr>
      </w:pPr>
      <w:r>
        <w:rPr>
          <w:rFonts w:hint="eastAsia" w:ascii="宋体" w:hAnsi="宋体" w:cs="宋体"/>
          <w:sz w:val="24"/>
        </w:rPr>
        <w:t>2.采购代理机构信息</w:t>
      </w:r>
    </w:p>
    <w:p w14:paraId="60301105">
      <w:pPr>
        <w:tabs>
          <w:tab w:val="left" w:pos="2268"/>
        </w:tabs>
        <w:spacing w:line="360" w:lineRule="auto"/>
        <w:ind w:firstLine="240"/>
        <w:rPr>
          <w:rFonts w:ascii="宋体" w:hAnsi="宋体" w:cs="宋体"/>
          <w:sz w:val="24"/>
        </w:rPr>
      </w:pPr>
      <w:r>
        <w:rPr>
          <w:rFonts w:hint="eastAsia" w:ascii="宋体" w:hAnsi="宋体" w:cs="宋体"/>
          <w:sz w:val="24"/>
        </w:rPr>
        <w:t>名 称：煋方元项目管理（泰州）有限公司</w:t>
      </w:r>
    </w:p>
    <w:p w14:paraId="5C946590">
      <w:pPr>
        <w:tabs>
          <w:tab w:val="left" w:pos="2268"/>
        </w:tabs>
        <w:spacing w:line="360" w:lineRule="auto"/>
        <w:ind w:firstLine="240"/>
        <w:rPr>
          <w:rFonts w:ascii="宋体" w:hAnsi="宋体" w:cs="宋体"/>
          <w:sz w:val="24"/>
        </w:rPr>
      </w:pPr>
      <w:r>
        <w:rPr>
          <w:rFonts w:hint="eastAsia" w:ascii="宋体" w:hAnsi="宋体" w:cs="宋体"/>
          <w:sz w:val="24"/>
        </w:rPr>
        <w:t>地 址：</w:t>
      </w:r>
      <w:bookmarkStart w:id="17" w:name="OLE_LINK8"/>
      <w:bookmarkStart w:id="18" w:name="OLE_LINK7"/>
      <w:r>
        <w:rPr>
          <w:rFonts w:hint="eastAsia" w:ascii="宋体" w:hAnsi="宋体" w:cs="宋体"/>
          <w:sz w:val="24"/>
        </w:rPr>
        <w:t>泰州市姜堰区三水街道南京路16-24号</w:t>
      </w:r>
      <w:bookmarkEnd w:id="17"/>
      <w:bookmarkEnd w:id="18"/>
    </w:p>
    <w:p w14:paraId="21DE4268">
      <w:pPr>
        <w:tabs>
          <w:tab w:val="left" w:pos="2268"/>
        </w:tabs>
        <w:spacing w:line="360" w:lineRule="auto"/>
        <w:ind w:firstLine="240"/>
        <w:rPr>
          <w:rFonts w:ascii="宋体" w:hAnsi="宋体" w:cs="宋体"/>
          <w:sz w:val="24"/>
        </w:rPr>
      </w:pPr>
      <w:r>
        <w:rPr>
          <w:rFonts w:hint="eastAsia" w:ascii="宋体" w:hAnsi="宋体" w:cs="宋体"/>
          <w:sz w:val="24"/>
        </w:rPr>
        <w:t xml:space="preserve">联系方式：缪女士 </w:t>
      </w:r>
      <w:bookmarkStart w:id="19" w:name="OLE_LINK13"/>
      <w:bookmarkStart w:id="20" w:name="OLE_LINK14"/>
      <w:r>
        <w:rPr>
          <w:rFonts w:hint="eastAsia" w:ascii="宋体" w:hAnsi="宋体" w:cs="宋体"/>
          <w:sz w:val="24"/>
        </w:rPr>
        <w:t>15152963093</w:t>
      </w:r>
      <w:bookmarkEnd w:id="19"/>
      <w:bookmarkEnd w:id="20"/>
    </w:p>
    <w:p w14:paraId="17BBD50D">
      <w:pPr>
        <w:tabs>
          <w:tab w:val="left" w:pos="2268"/>
        </w:tabs>
        <w:spacing w:line="360" w:lineRule="auto"/>
        <w:ind w:firstLine="240"/>
        <w:rPr>
          <w:rFonts w:ascii="宋体" w:hAnsi="宋体" w:cs="宋体"/>
          <w:sz w:val="24"/>
        </w:rPr>
      </w:pPr>
      <w:r>
        <w:rPr>
          <w:rFonts w:hint="eastAsia" w:ascii="宋体" w:hAnsi="宋体" w:cs="宋体"/>
          <w:sz w:val="24"/>
        </w:rPr>
        <w:t>3.项目联系方式</w:t>
      </w:r>
    </w:p>
    <w:p w14:paraId="2D6873BA">
      <w:pPr>
        <w:tabs>
          <w:tab w:val="left" w:pos="2268"/>
        </w:tabs>
        <w:spacing w:line="360" w:lineRule="auto"/>
        <w:ind w:firstLine="240"/>
        <w:rPr>
          <w:rFonts w:ascii="宋体" w:hAnsi="宋体" w:cs="宋体"/>
          <w:sz w:val="24"/>
        </w:rPr>
      </w:pPr>
      <w:r>
        <w:rPr>
          <w:rFonts w:hint="eastAsia" w:ascii="宋体" w:hAnsi="宋体" w:cs="宋体"/>
          <w:sz w:val="24"/>
        </w:rPr>
        <w:t>项目联系人：缪女士 15152963093</w:t>
      </w:r>
    </w:p>
    <w:p w14:paraId="02E11D8D">
      <w:pPr>
        <w:tabs>
          <w:tab w:val="left" w:pos="2268"/>
        </w:tabs>
        <w:spacing w:line="360" w:lineRule="auto"/>
        <w:ind w:firstLine="240"/>
        <w:jc w:val="right"/>
        <w:rPr>
          <w:rFonts w:ascii="宋体" w:hAnsi="宋体" w:cs="宋体"/>
          <w:sz w:val="24"/>
        </w:rPr>
      </w:pPr>
      <w:r>
        <w:rPr>
          <w:rFonts w:hint="eastAsia" w:ascii="宋体" w:hAnsi="宋体" w:cs="宋体"/>
          <w:sz w:val="24"/>
        </w:rPr>
        <w:t>日期：2025年09月26日</w:t>
      </w:r>
      <w:bookmarkEnd w:id="0"/>
      <w:bookmarkEnd w:id="1"/>
    </w:p>
    <w:p w14:paraId="75E7E679">
      <w:pPr>
        <w:jc w:val="center"/>
        <w:rPr>
          <w:rStyle w:val="229"/>
          <w:rFonts w:cs="宋体"/>
        </w:rPr>
      </w:pPr>
      <w:r>
        <w:rPr>
          <w:rFonts w:hint="eastAsia" w:ascii="宋体" w:hAnsi="宋体" w:cs="宋体"/>
          <w:b/>
          <w:sz w:val="32"/>
          <w:szCs w:val="32"/>
        </w:rPr>
        <w:br w:type="page" w:clear="all"/>
      </w:r>
      <w:bookmarkStart w:id="21" w:name="_Toc24543"/>
      <w:bookmarkStart w:id="22" w:name="_Toc3410"/>
      <w:r>
        <w:rPr>
          <w:rStyle w:val="229"/>
          <w:rFonts w:hint="eastAsia" w:cs="宋体"/>
        </w:rPr>
        <w:t>第二章 参加磋商供应商须知</w:t>
      </w:r>
      <w:bookmarkEnd w:id="21"/>
      <w:bookmarkEnd w:id="22"/>
    </w:p>
    <w:p w14:paraId="621C1997">
      <w:pPr>
        <w:spacing w:line="360" w:lineRule="auto"/>
        <w:jc w:val="center"/>
        <w:rPr>
          <w:rFonts w:ascii="宋体" w:hAnsi="宋体" w:cs="宋体"/>
          <w:bCs/>
          <w:szCs w:val="21"/>
        </w:rPr>
      </w:pPr>
      <w:r>
        <w:rPr>
          <w:rFonts w:hint="eastAsia" w:ascii="宋体" w:hAnsi="宋体" w:cs="宋体"/>
          <w:bCs/>
          <w:szCs w:val="21"/>
        </w:rPr>
        <w:t>（参加竞争性磋商的供应商以下简称“供应商”）</w:t>
      </w:r>
    </w:p>
    <w:p w14:paraId="1B1AE944">
      <w:pPr>
        <w:widowControl/>
        <w:spacing w:line="360" w:lineRule="auto"/>
        <w:ind w:right="840"/>
        <w:jc w:val="center"/>
        <w:rPr>
          <w:rFonts w:ascii="宋体" w:hAnsi="宋体" w:cs="宋体"/>
          <w:b/>
          <w:szCs w:val="22"/>
        </w:rPr>
      </w:pPr>
      <w:bookmarkStart w:id="23" w:name="_Hlk121232993"/>
      <w:r>
        <w:rPr>
          <w:rFonts w:hint="eastAsia" w:ascii="宋体" w:hAnsi="宋体" w:cs="宋体"/>
          <w:b/>
          <w:szCs w:val="22"/>
        </w:rPr>
        <w:t xml:space="preserve">     供应商须知</w:t>
      </w:r>
      <w:bookmarkEnd w:id="23"/>
      <w:r>
        <w:rPr>
          <w:rFonts w:hint="eastAsia" w:ascii="宋体" w:hAnsi="宋体" w:cs="宋体"/>
          <w:b/>
          <w:szCs w:val="22"/>
        </w:rPr>
        <w:t>前附表</w:t>
      </w:r>
    </w:p>
    <w:tbl>
      <w:tblPr>
        <w:tblStyle w:val="54"/>
        <w:tblW w:w="102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5"/>
        <w:gridCol w:w="1389"/>
        <w:gridCol w:w="8202"/>
      </w:tblGrid>
      <w:tr w14:paraId="5A892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jc w:val="center"/>
        </w:trPr>
        <w:tc>
          <w:tcPr>
            <w:tcW w:w="665" w:type="dxa"/>
            <w:vAlign w:val="center"/>
          </w:tcPr>
          <w:p w14:paraId="7657A0F4">
            <w:pPr>
              <w:rPr>
                <w:rFonts w:ascii="宋体" w:hAnsi="宋体" w:cs="宋体"/>
                <w:szCs w:val="21"/>
              </w:rPr>
            </w:pPr>
            <w:r>
              <w:rPr>
                <w:rFonts w:hint="eastAsia" w:ascii="宋体" w:hAnsi="宋体" w:cs="宋体"/>
                <w:szCs w:val="21"/>
              </w:rPr>
              <w:t>序号</w:t>
            </w:r>
          </w:p>
        </w:tc>
        <w:tc>
          <w:tcPr>
            <w:tcW w:w="1389" w:type="dxa"/>
            <w:vAlign w:val="center"/>
          </w:tcPr>
          <w:p w14:paraId="4C4DDA24">
            <w:pPr>
              <w:jc w:val="center"/>
              <w:rPr>
                <w:rFonts w:ascii="宋体" w:hAnsi="宋体" w:cs="宋体"/>
                <w:szCs w:val="21"/>
              </w:rPr>
            </w:pPr>
            <w:r>
              <w:rPr>
                <w:rFonts w:hint="eastAsia" w:ascii="宋体" w:hAnsi="宋体" w:cs="宋体"/>
                <w:szCs w:val="21"/>
              </w:rPr>
              <w:t>项目</w:t>
            </w:r>
          </w:p>
        </w:tc>
        <w:tc>
          <w:tcPr>
            <w:tcW w:w="8202" w:type="dxa"/>
            <w:vAlign w:val="center"/>
          </w:tcPr>
          <w:p w14:paraId="6C5C4169">
            <w:pPr>
              <w:jc w:val="center"/>
              <w:rPr>
                <w:rFonts w:ascii="宋体" w:hAnsi="宋体" w:cs="宋体"/>
                <w:szCs w:val="21"/>
              </w:rPr>
            </w:pPr>
            <w:r>
              <w:rPr>
                <w:rFonts w:hint="eastAsia" w:ascii="宋体" w:hAnsi="宋体" w:cs="宋体"/>
                <w:szCs w:val="21"/>
              </w:rPr>
              <w:t>内容</w:t>
            </w:r>
          </w:p>
        </w:tc>
      </w:tr>
      <w:tr w14:paraId="785B7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jc w:val="center"/>
        </w:trPr>
        <w:tc>
          <w:tcPr>
            <w:tcW w:w="665" w:type="dxa"/>
            <w:vAlign w:val="center"/>
          </w:tcPr>
          <w:p w14:paraId="3686D3B6">
            <w:pPr>
              <w:jc w:val="center"/>
              <w:rPr>
                <w:rFonts w:ascii="宋体" w:hAnsi="宋体" w:cs="宋体"/>
                <w:szCs w:val="21"/>
              </w:rPr>
            </w:pPr>
            <w:r>
              <w:rPr>
                <w:rFonts w:hint="eastAsia" w:ascii="宋体" w:hAnsi="宋体" w:cs="宋体"/>
                <w:szCs w:val="21"/>
              </w:rPr>
              <w:t>1</w:t>
            </w:r>
          </w:p>
        </w:tc>
        <w:tc>
          <w:tcPr>
            <w:tcW w:w="1389" w:type="dxa"/>
            <w:vAlign w:val="center"/>
          </w:tcPr>
          <w:p w14:paraId="1EA2054F">
            <w:pPr>
              <w:rPr>
                <w:rFonts w:ascii="宋体" w:hAnsi="宋体" w:cs="宋体"/>
                <w:szCs w:val="21"/>
              </w:rPr>
            </w:pPr>
            <w:r>
              <w:rPr>
                <w:rFonts w:hint="eastAsia" w:ascii="宋体" w:hAnsi="宋体" w:cs="宋体"/>
                <w:szCs w:val="21"/>
              </w:rPr>
              <w:t>项目名称</w:t>
            </w:r>
          </w:p>
        </w:tc>
        <w:tc>
          <w:tcPr>
            <w:tcW w:w="8202" w:type="dxa"/>
            <w:vAlign w:val="center"/>
          </w:tcPr>
          <w:p w14:paraId="1DFD41EB">
            <w:pPr>
              <w:jc w:val="left"/>
              <w:rPr>
                <w:rFonts w:ascii="宋体" w:hAnsi="宋体" w:cs="宋体"/>
                <w:szCs w:val="21"/>
              </w:rPr>
            </w:pPr>
            <w:r>
              <w:rPr>
                <w:rFonts w:hint="eastAsia" w:ascii="宋体" w:hAnsi="宋体" w:cs="宋体"/>
                <w:szCs w:val="21"/>
              </w:rPr>
              <w:t>蒋垛镇果蔬深加工厂房（一期）光伏项目</w:t>
            </w:r>
          </w:p>
        </w:tc>
      </w:tr>
      <w:tr w14:paraId="4D754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jc w:val="center"/>
        </w:trPr>
        <w:tc>
          <w:tcPr>
            <w:tcW w:w="665" w:type="dxa"/>
            <w:vAlign w:val="center"/>
          </w:tcPr>
          <w:p w14:paraId="03050474">
            <w:pPr>
              <w:jc w:val="center"/>
              <w:rPr>
                <w:rFonts w:ascii="宋体" w:hAnsi="宋体" w:cs="宋体"/>
                <w:szCs w:val="21"/>
              </w:rPr>
            </w:pPr>
            <w:r>
              <w:rPr>
                <w:rFonts w:hint="eastAsia" w:ascii="宋体" w:hAnsi="宋体" w:cs="宋体"/>
                <w:szCs w:val="21"/>
              </w:rPr>
              <w:t>2</w:t>
            </w:r>
          </w:p>
        </w:tc>
        <w:tc>
          <w:tcPr>
            <w:tcW w:w="1389" w:type="dxa"/>
            <w:vAlign w:val="center"/>
          </w:tcPr>
          <w:p w14:paraId="3C3A7FCC">
            <w:pPr>
              <w:rPr>
                <w:rFonts w:ascii="宋体" w:hAnsi="宋体" w:cs="宋体"/>
                <w:szCs w:val="21"/>
              </w:rPr>
            </w:pPr>
            <w:r>
              <w:rPr>
                <w:rFonts w:hint="eastAsia" w:ascii="宋体" w:hAnsi="宋体" w:cs="宋体"/>
                <w:szCs w:val="21"/>
              </w:rPr>
              <w:t>标段名称</w:t>
            </w:r>
          </w:p>
        </w:tc>
        <w:tc>
          <w:tcPr>
            <w:tcW w:w="8202" w:type="dxa"/>
            <w:vAlign w:val="center"/>
          </w:tcPr>
          <w:p w14:paraId="5E7DD6BB">
            <w:pPr>
              <w:rPr>
                <w:rFonts w:ascii="宋体" w:hAnsi="宋体" w:cs="宋体"/>
                <w:szCs w:val="21"/>
              </w:rPr>
            </w:pPr>
            <w:r>
              <w:rPr>
                <w:rFonts w:hint="eastAsia" w:ascii="宋体" w:hAnsi="宋体" w:cs="宋体"/>
                <w:szCs w:val="21"/>
              </w:rPr>
              <w:t>蒋垛镇果蔬深加工厂房（一期）光伏项目</w:t>
            </w:r>
          </w:p>
        </w:tc>
      </w:tr>
      <w:tr w14:paraId="5BF2C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jc w:val="center"/>
        </w:trPr>
        <w:tc>
          <w:tcPr>
            <w:tcW w:w="665" w:type="dxa"/>
            <w:vAlign w:val="center"/>
          </w:tcPr>
          <w:p w14:paraId="097B88E4">
            <w:pPr>
              <w:jc w:val="center"/>
              <w:rPr>
                <w:rFonts w:ascii="宋体" w:hAnsi="宋体" w:cs="宋体"/>
                <w:szCs w:val="21"/>
              </w:rPr>
            </w:pPr>
            <w:r>
              <w:rPr>
                <w:rFonts w:hint="eastAsia" w:ascii="宋体" w:hAnsi="宋体" w:cs="宋体"/>
                <w:szCs w:val="21"/>
              </w:rPr>
              <w:t>3</w:t>
            </w:r>
          </w:p>
        </w:tc>
        <w:tc>
          <w:tcPr>
            <w:tcW w:w="1389" w:type="dxa"/>
            <w:vAlign w:val="center"/>
          </w:tcPr>
          <w:p w14:paraId="672484B1">
            <w:pPr>
              <w:rPr>
                <w:rFonts w:ascii="宋体" w:hAnsi="宋体" w:cs="宋体"/>
                <w:szCs w:val="21"/>
              </w:rPr>
            </w:pPr>
            <w:r>
              <w:rPr>
                <w:rFonts w:hint="eastAsia" w:ascii="宋体" w:hAnsi="宋体" w:cs="宋体"/>
                <w:szCs w:val="21"/>
              </w:rPr>
              <w:t>工期及服务地点</w:t>
            </w:r>
          </w:p>
        </w:tc>
        <w:tc>
          <w:tcPr>
            <w:tcW w:w="8202" w:type="dxa"/>
            <w:vAlign w:val="center"/>
          </w:tcPr>
          <w:p w14:paraId="1D24CD9A">
            <w:pPr>
              <w:numPr>
                <w:ilvl w:val="0"/>
                <w:numId w:val="2"/>
              </w:numPr>
              <w:rPr>
                <w:rFonts w:ascii="宋体" w:hAnsi="宋体" w:cs="宋体"/>
                <w:szCs w:val="21"/>
              </w:rPr>
            </w:pPr>
            <w:r>
              <w:rPr>
                <w:rFonts w:hint="eastAsia" w:ascii="宋体" w:hAnsi="宋体" w:cs="宋体"/>
                <w:color w:val="0000FF"/>
                <w:szCs w:val="21"/>
              </w:rPr>
              <w:t>工期：20日历天</w:t>
            </w:r>
            <w:r>
              <w:rPr>
                <w:rFonts w:hint="eastAsia" w:ascii="宋体" w:hAnsi="宋体" w:cs="宋体"/>
                <w:szCs w:val="21"/>
              </w:rPr>
              <w:t xml:space="preserve"> </w:t>
            </w:r>
          </w:p>
          <w:p w14:paraId="1D2D6086">
            <w:pPr>
              <w:numPr>
                <w:ilvl w:val="0"/>
                <w:numId w:val="2"/>
              </w:numPr>
              <w:rPr>
                <w:rFonts w:ascii="宋体" w:hAnsi="宋体" w:cs="宋体"/>
                <w:szCs w:val="21"/>
              </w:rPr>
            </w:pPr>
            <w:r>
              <w:rPr>
                <w:rFonts w:hint="eastAsia" w:ascii="宋体" w:hAnsi="宋体" w:cs="宋体"/>
                <w:szCs w:val="21"/>
              </w:rPr>
              <w:t>服务地点：甲方指定地点</w:t>
            </w:r>
          </w:p>
        </w:tc>
      </w:tr>
      <w:tr w14:paraId="1F483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665" w:type="dxa"/>
            <w:vAlign w:val="center"/>
          </w:tcPr>
          <w:p w14:paraId="365B4A19">
            <w:pPr>
              <w:jc w:val="center"/>
              <w:rPr>
                <w:rFonts w:ascii="宋体" w:hAnsi="宋体" w:cs="宋体"/>
                <w:szCs w:val="21"/>
              </w:rPr>
            </w:pPr>
            <w:r>
              <w:rPr>
                <w:rFonts w:hint="eastAsia" w:ascii="宋体" w:hAnsi="宋体" w:cs="宋体"/>
                <w:szCs w:val="21"/>
              </w:rPr>
              <w:t>4</w:t>
            </w:r>
          </w:p>
        </w:tc>
        <w:tc>
          <w:tcPr>
            <w:tcW w:w="1389" w:type="dxa"/>
            <w:vAlign w:val="center"/>
          </w:tcPr>
          <w:p w14:paraId="309690F8">
            <w:pPr>
              <w:rPr>
                <w:rFonts w:ascii="宋体" w:hAnsi="宋体" w:cs="宋体"/>
                <w:szCs w:val="21"/>
              </w:rPr>
            </w:pPr>
            <w:r>
              <w:rPr>
                <w:rFonts w:hint="eastAsia" w:ascii="宋体" w:hAnsi="宋体" w:cs="宋体"/>
                <w:szCs w:val="21"/>
              </w:rPr>
              <w:t>预算金额及最高限价</w:t>
            </w:r>
          </w:p>
        </w:tc>
        <w:tc>
          <w:tcPr>
            <w:tcW w:w="8202" w:type="dxa"/>
            <w:vAlign w:val="center"/>
          </w:tcPr>
          <w:p w14:paraId="6328BBB3">
            <w:pPr>
              <w:pStyle w:val="322"/>
              <w:spacing w:line="360" w:lineRule="auto"/>
              <w:rPr>
                <w:rFonts w:ascii="宋体" w:hAnsi="宋体" w:cs="宋体"/>
                <w:szCs w:val="21"/>
              </w:rPr>
            </w:pPr>
            <w:r>
              <w:rPr>
                <w:rFonts w:hint="eastAsia" w:ascii="宋体" w:hAnsi="宋体" w:cs="宋体"/>
                <w:szCs w:val="21"/>
              </w:rPr>
              <w:t>预算金额：</w:t>
            </w:r>
            <w:r>
              <w:rPr>
                <w:rFonts w:hint="eastAsia" w:ascii="宋体" w:hAnsi="宋体" w:cs="宋体"/>
                <w:szCs w:val="21"/>
                <w:lang w:val="zh-TW"/>
              </w:rPr>
              <w:t>261</w:t>
            </w:r>
            <w:r>
              <w:rPr>
                <w:rFonts w:ascii="宋体" w:hAnsi="宋体" w:eastAsia="Arial Unicode MS" w:cs="宋体"/>
                <w:szCs w:val="21"/>
                <w:lang w:val="zh-TW" w:eastAsia="zh-TW"/>
              </w:rPr>
              <w:t>.</w:t>
            </w:r>
            <w:r>
              <w:rPr>
                <w:rFonts w:hint="eastAsia" w:ascii="宋体" w:hAnsi="宋体" w:cs="宋体"/>
                <w:szCs w:val="21"/>
                <w:lang w:val="zh-TW"/>
              </w:rPr>
              <w:t>056405</w:t>
            </w:r>
            <w:r>
              <w:rPr>
                <w:rFonts w:hint="eastAsia" w:ascii="宋体" w:hAnsi="宋体" w:cs="宋体"/>
                <w:szCs w:val="21"/>
                <w:lang w:val="zh-TW" w:eastAsia="zh-TW"/>
              </w:rPr>
              <w:t>万元</w:t>
            </w:r>
          </w:p>
          <w:p w14:paraId="60A26F43">
            <w:pPr>
              <w:pStyle w:val="263"/>
              <w:spacing w:after="120" w:line="320" w:lineRule="exact"/>
              <w:ind w:left="0" w:firstLine="0"/>
              <w:rPr>
                <w:sz w:val="21"/>
                <w:szCs w:val="21"/>
              </w:rPr>
            </w:pPr>
            <w:r>
              <w:rPr>
                <w:rFonts w:hint="eastAsia"/>
                <w:sz w:val="21"/>
                <w:szCs w:val="21"/>
                <w:lang w:eastAsia="zh-CN"/>
              </w:rPr>
              <w:t>最高限价：</w:t>
            </w:r>
            <w:bookmarkStart w:id="24" w:name="OLE_LINK5"/>
            <w:bookmarkStart w:id="25" w:name="OLE_LINK6"/>
            <w:r>
              <w:rPr>
                <w:rFonts w:hint="eastAsia"/>
                <w:sz w:val="21"/>
                <w:szCs w:val="21"/>
                <w:lang w:val="en-US" w:eastAsia="zh-CN"/>
              </w:rPr>
              <w:t>248.003585</w:t>
            </w:r>
            <w:bookmarkEnd w:id="24"/>
            <w:bookmarkEnd w:id="25"/>
            <w:r>
              <w:rPr>
                <w:rFonts w:hint="eastAsia"/>
                <w:sz w:val="21"/>
                <w:szCs w:val="21"/>
              </w:rPr>
              <w:t>万元（超过最高限价为无效报价，按照无效响应处理。）</w:t>
            </w:r>
          </w:p>
        </w:tc>
      </w:tr>
      <w:tr w14:paraId="60D7F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665" w:type="dxa"/>
            <w:vAlign w:val="center"/>
          </w:tcPr>
          <w:p w14:paraId="723404EF">
            <w:pPr>
              <w:jc w:val="center"/>
              <w:rPr>
                <w:rFonts w:ascii="宋体" w:hAnsi="宋体" w:cs="宋体"/>
                <w:szCs w:val="21"/>
              </w:rPr>
            </w:pPr>
            <w:r>
              <w:rPr>
                <w:rFonts w:hint="eastAsia" w:ascii="宋体" w:hAnsi="宋体" w:cs="宋体"/>
                <w:szCs w:val="21"/>
              </w:rPr>
              <w:t>5</w:t>
            </w:r>
          </w:p>
        </w:tc>
        <w:tc>
          <w:tcPr>
            <w:tcW w:w="1389" w:type="dxa"/>
            <w:vAlign w:val="center"/>
          </w:tcPr>
          <w:p w14:paraId="3F78B792">
            <w:pPr>
              <w:jc w:val="left"/>
              <w:rPr>
                <w:rFonts w:ascii="宋体" w:hAnsi="宋体" w:cs="宋体"/>
                <w:szCs w:val="21"/>
              </w:rPr>
            </w:pPr>
            <w:r>
              <w:rPr>
                <w:rFonts w:hint="eastAsia" w:ascii="宋体" w:hAnsi="宋体" w:cs="宋体"/>
                <w:szCs w:val="21"/>
              </w:rPr>
              <w:t>合格供应商资格要求</w:t>
            </w:r>
          </w:p>
        </w:tc>
        <w:tc>
          <w:tcPr>
            <w:tcW w:w="8202" w:type="dxa"/>
            <w:vAlign w:val="center"/>
          </w:tcPr>
          <w:p w14:paraId="06CB212C">
            <w:pPr>
              <w:widowControl/>
              <w:jc w:val="left"/>
              <w:rPr>
                <w:rFonts w:ascii="宋体" w:hAnsi="宋体" w:cs="宋体"/>
                <w:szCs w:val="21"/>
              </w:rPr>
            </w:pPr>
            <w:r>
              <w:rPr>
                <w:rFonts w:hint="eastAsia" w:ascii="宋体" w:hAnsi="宋体" w:cs="宋体"/>
                <w:szCs w:val="21"/>
              </w:rPr>
              <w:t>详见第一章磋商公告</w:t>
            </w:r>
          </w:p>
        </w:tc>
      </w:tr>
      <w:tr w14:paraId="0D308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 w:hRule="atLeast"/>
          <w:jc w:val="center"/>
        </w:trPr>
        <w:tc>
          <w:tcPr>
            <w:tcW w:w="665" w:type="dxa"/>
            <w:vAlign w:val="center"/>
          </w:tcPr>
          <w:p w14:paraId="738BFA75">
            <w:pPr>
              <w:jc w:val="center"/>
              <w:rPr>
                <w:rFonts w:ascii="宋体" w:hAnsi="宋体" w:cs="宋体"/>
                <w:szCs w:val="21"/>
              </w:rPr>
            </w:pPr>
            <w:r>
              <w:rPr>
                <w:rFonts w:hint="eastAsia" w:ascii="宋体" w:hAnsi="宋体" w:cs="宋体"/>
                <w:szCs w:val="21"/>
              </w:rPr>
              <w:t>6</w:t>
            </w:r>
          </w:p>
        </w:tc>
        <w:tc>
          <w:tcPr>
            <w:tcW w:w="1389" w:type="dxa"/>
            <w:vAlign w:val="center"/>
          </w:tcPr>
          <w:p w14:paraId="5A0DAD83">
            <w:pPr>
              <w:rPr>
                <w:rFonts w:ascii="宋体" w:hAnsi="宋体" w:cs="宋体"/>
                <w:szCs w:val="21"/>
              </w:rPr>
            </w:pPr>
            <w:r>
              <w:rPr>
                <w:rFonts w:hint="eastAsia" w:ascii="宋体" w:hAnsi="宋体" w:cs="宋体"/>
                <w:szCs w:val="21"/>
              </w:rPr>
              <w:t>联合体投标</w:t>
            </w:r>
          </w:p>
        </w:tc>
        <w:tc>
          <w:tcPr>
            <w:tcW w:w="8202" w:type="dxa"/>
            <w:vAlign w:val="center"/>
          </w:tcPr>
          <w:p w14:paraId="188DCD7E">
            <w:pPr>
              <w:rPr>
                <w:rFonts w:ascii="宋体" w:hAnsi="宋体" w:cs="宋体"/>
                <w:szCs w:val="21"/>
              </w:rPr>
            </w:pPr>
            <w:r>
              <w:rPr>
                <w:rFonts w:hint="eastAsia" w:ascii="宋体" w:hAnsi="宋体" w:cs="宋体"/>
                <w:szCs w:val="21"/>
              </w:rPr>
              <w:t>不接受，磋商文件中有关联合体的规定均不适用</w:t>
            </w:r>
          </w:p>
        </w:tc>
      </w:tr>
      <w:tr w14:paraId="48910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665" w:type="dxa"/>
            <w:vAlign w:val="center"/>
          </w:tcPr>
          <w:p w14:paraId="2FE2A40A">
            <w:pPr>
              <w:jc w:val="center"/>
              <w:rPr>
                <w:rFonts w:ascii="宋体" w:hAnsi="宋体" w:cs="宋体"/>
                <w:szCs w:val="21"/>
              </w:rPr>
            </w:pPr>
            <w:r>
              <w:rPr>
                <w:rFonts w:hint="eastAsia" w:ascii="宋体" w:hAnsi="宋体" w:cs="宋体"/>
                <w:szCs w:val="21"/>
              </w:rPr>
              <w:t>7</w:t>
            </w:r>
          </w:p>
        </w:tc>
        <w:tc>
          <w:tcPr>
            <w:tcW w:w="1389" w:type="dxa"/>
            <w:vAlign w:val="center"/>
          </w:tcPr>
          <w:p w14:paraId="77833421">
            <w:pPr>
              <w:rPr>
                <w:rFonts w:ascii="宋体" w:hAnsi="宋体" w:cs="宋体"/>
                <w:szCs w:val="21"/>
              </w:rPr>
            </w:pPr>
            <w:r>
              <w:rPr>
                <w:rFonts w:hint="eastAsia" w:ascii="宋体" w:hAnsi="宋体" w:cs="宋体"/>
                <w:szCs w:val="21"/>
              </w:rPr>
              <w:t>现场考察</w:t>
            </w:r>
          </w:p>
        </w:tc>
        <w:tc>
          <w:tcPr>
            <w:tcW w:w="8202" w:type="dxa"/>
            <w:vAlign w:val="center"/>
          </w:tcPr>
          <w:p w14:paraId="75B34CC2">
            <w:pPr>
              <w:rPr>
                <w:rFonts w:ascii="宋体" w:hAnsi="宋体" w:cs="宋体"/>
                <w:szCs w:val="21"/>
              </w:rPr>
            </w:pPr>
            <w:r>
              <w:rPr>
                <w:rFonts w:hint="eastAsia" w:ascii="宋体" w:hAnsi="宋体" w:cs="宋体"/>
                <w:szCs w:val="21"/>
              </w:rPr>
              <w:t>不组织，自行考察;如供应商需自行考察,费用自理</w:t>
            </w:r>
          </w:p>
        </w:tc>
      </w:tr>
      <w:tr w14:paraId="0E529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 w:hRule="atLeast"/>
          <w:jc w:val="center"/>
        </w:trPr>
        <w:tc>
          <w:tcPr>
            <w:tcW w:w="665" w:type="dxa"/>
            <w:vAlign w:val="center"/>
          </w:tcPr>
          <w:p w14:paraId="1B6EDAFA">
            <w:pPr>
              <w:jc w:val="center"/>
              <w:rPr>
                <w:rFonts w:ascii="宋体" w:hAnsi="宋体" w:cs="宋体"/>
                <w:szCs w:val="21"/>
              </w:rPr>
            </w:pPr>
            <w:r>
              <w:rPr>
                <w:rFonts w:hint="eastAsia" w:ascii="宋体" w:hAnsi="宋体" w:cs="宋体"/>
                <w:szCs w:val="21"/>
              </w:rPr>
              <w:t>8</w:t>
            </w:r>
          </w:p>
        </w:tc>
        <w:tc>
          <w:tcPr>
            <w:tcW w:w="1389" w:type="dxa"/>
            <w:vAlign w:val="center"/>
          </w:tcPr>
          <w:p w14:paraId="1B35B68A">
            <w:pPr>
              <w:rPr>
                <w:rFonts w:ascii="宋体" w:hAnsi="宋体" w:cs="宋体"/>
                <w:szCs w:val="21"/>
              </w:rPr>
            </w:pPr>
            <w:r>
              <w:rPr>
                <w:rFonts w:hint="eastAsia" w:ascii="宋体" w:hAnsi="宋体" w:cs="宋体"/>
                <w:szCs w:val="21"/>
              </w:rPr>
              <w:t xml:space="preserve">投标答疑会 </w:t>
            </w:r>
          </w:p>
        </w:tc>
        <w:tc>
          <w:tcPr>
            <w:tcW w:w="8202" w:type="dxa"/>
            <w:vAlign w:val="center"/>
          </w:tcPr>
          <w:p w14:paraId="341D90CF">
            <w:pPr>
              <w:rPr>
                <w:rFonts w:ascii="宋体" w:hAnsi="宋体" w:cs="宋体"/>
                <w:szCs w:val="21"/>
              </w:rPr>
            </w:pPr>
            <w:r>
              <w:rPr>
                <w:rFonts w:hint="eastAsia" w:ascii="宋体" w:hAnsi="宋体" w:cs="宋体"/>
                <w:szCs w:val="21"/>
              </w:rPr>
              <w:t>不召开</w:t>
            </w:r>
          </w:p>
        </w:tc>
      </w:tr>
      <w:tr w14:paraId="4FE9D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5" w:type="dxa"/>
            <w:vAlign w:val="center"/>
          </w:tcPr>
          <w:p w14:paraId="3BE5C89A">
            <w:pPr>
              <w:jc w:val="center"/>
              <w:rPr>
                <w:rFonts w:ascii="宋体" w:hAnsi="宋体" w:cs="宋体"/>
                <w:szCs w:val="21"/>
              </w:rPr>
            </w:pPr>
            <w:r>
              <w:rPr>
                <w:rFonts w:hint="eastAsia" w:ascii="宋体" w:hAnsi="宋体" w:cs="宋体"/>
                <w:szCs w:val="21"/>
              </w:rPr>
              <w:t>9</w:t>
            </w:r>
          </w:p>
        </w:tc>
        <w:tc>
          <w:tcPr>
            <w:tcW w:w="1389" w:type="dxa"/>
            <w:vAlign w:val="center"/>
          </w:tcPr>
          <w:p w14:paraId="67637555">
            <w:pPr>
              <w:rPr>
                <w:rFonts w:ascii="宋体" w:hAnsi="宋体" w:cs="宋体"/>
                <w:szCs w:val="21"/>
              </w:rPr>
            </w:pPr>
            <w:r>
              <w:rPr>
                <w:rFonts w:hint="eastAsia" w:ascii="宋体" w:hAnsi="宋体" w:cs="宋体"/>
                <w:szCs w:val="21"/>
              </w:rPr>
              <w:t>供应商提出疑问截止时间</w:t>
            </w:r>
          </w:p>
        </w:tc>
        <w:tc>
          <w:tcPr>
            <w:tcW w:w="8202" w:type="dxa"/>
            <w:vAlign w:val="center"/>
          </w:tcPr>
          <w:p w14:paraId="3790689C">
            <w:pPr>
              <w:rPr>
                <w:rFonts w:ascii="宋体" w:hAnsi="宋体" w:cs="宋体"/>
                <w:szCs w:val="21"/>
              </w:rPr>
            </w:pPr>
            <w:r>
              <w:rPr>
                <w:rFonts w:hint="eastAsia" w:ascii="宋体" w:hAnsi="宋体" w:cs="宋体"/>
                <w:szCs w:val="21"/>
              </w:rPr>
              <w:t>时间：磋商响应文件递交截止时间5天前</w:t>
            </w:r>
          </w:p>
          <w:p w14:paraId="1D86C353">
            <w:pPr>
              <w:rPr>
                <w:rFonts w:ascii="宋体" w:hAnsi="宋体" w:cs="宋体"/>
                <w:szCs w:val="21"/>
              </w:rPr>
            </w:pPr>
            <w:r>
              <w:rPr>
                <w:rFonts w:hint="eastAsia" w:ascii="宋体" w:hAnsi="宋体" w:cs="宋体"/>
                <w:szCs w:val="21"/>
              </w:rPr>
              <w:t>代理机构联系人：缪女士；联系电话：15152963093</w:t>
            </w:r>
          </w:p>
        </w:tc>
      </w:tr>
      <w:tr w14:paraId="1C7C9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 w:hRule="atLeast"/>
          <w:jc w:val="center"/>
        </w:trPr>
        <w:tc>
          <w:tcPr>
            <w:tcW w:w="665" w:type="dxa"/>
            <w:vAlign w:val="center"/>
          </w:tcPr>
          <w:p w14:paraId="24A04CFC">
            <w:pPr>
              <w:jc w:val="center"/>
              <w:rPr>
                <w:rFonts w:ascii="宋体" w:hAnsi="宋体" w:cs="宋体"/>
                <w:szCs w:val="21"/>
              </w:rPr>
            </w:pPr>
            <w:r>
              <w:rPr>
                <w:rFonts w:hint="eastAsia" w:ascii="宋体" w:hAnsi="宋体" w:cs="宋体"/>
                <w:szCs w:val="21"/>
              </w:rPr>
              <w:t>10</w:t>
            </w:r>
          </w:p>
        </w:tc>
        <w:tc>
          <w:tcPr>
            <w:tcW w:w="1389" w:type="dxa"/>
            <w:vAlign w:val="center"/>
          </w:tcPr>
          <w:p w14:paraId="39F14AE0">
            <w:pPr>
              <w:rPr>
                <w:rFonts w:ascii="宋体" w:hAnsi="宋体" w:cs="宋体"/>
                <w:szCs w:val="21"/>
              </w:rPr>
            </w:pPr>
            <w:r>
              <w:rPr>
                <w:rFonts w:hint="eastAsia" w:ascii="宋体" w:hAnsi="宋体" w:cs="宋体"/>
                <w:szCs w:val="21"/>
              </w:rPr>
              <w:t>澄清、修改时间</w:t>
            </w:r>
          </w:p>
        </w:tc>
        <w:tc>
          <w:tcPr>
            <w:tcW w:w="8202" w:type="dxa"/>
            <w:vAlign w:val="center"/>
          </w:tcPr>
          <w:p w14:paraId="63407C43">
            <w:pPr>
              <w:rPr>
                <w:rFonts w:ascii="宋体" w:hAnsi="宋体" w:cs="宋体"/>
                <w:szCs w:val="21"/>
              </w:rPr>
            </w:pPr>
            <w:r>
              <w:rPr>
                <w:rFonts w:hint="eastAsia" w:ascii="宋体" w:hAnsi="宋体" w:cs="宋体"/>
                <w:szCs w:val="21"/>
              </w:rPr>
              <w:t>磋商响应文件递交截止时间5天前，</w:t>
            </w:r>
            <w:r>
              <w:rPr>
                <w:rFonts w:hint="eastAsia" w:ascii="宋体" w:hAnsi="宋体" w:cs="宋体"/>
                <w:szCs w:val="21"/>
                <w:lang w:val="zh-CN"/>
              </w:rPr>
              <w:t>投标截止时间前</w:t>
            </w:r>
            <w:r>
              <w:rPr>
                <w:rFonts w:hint="eastAsia" w:ascii="宋体" w:hAnsi="宋体" w:cs="宋体"/>
                <w:szCs w:val="21"/>
              </w:rPr>
              <w:t>，</w:t>
            </w:r>
            <w:r>
              <w:rPr>
                <w:rFonts w:hint="eastAsia" w:ascii="宋体" w:hAnsi="宋体" w:cs="宋体"/>
                <w:szCs w:val="21"/>
                <w:lang w:val="zh-CN"/>
              </w:rPr>
              <w:t>供应商自行关注</w:t>
            </w:r>
            <w:r>
              <w:rPr>
                <w:rFonts w:hint="eastAsia" w:ascii="宋体" w:hAnsi="宋体" w:cs="宋体"/>
                <w:szCs w:val="21"/>
              </w:rPr>
              <w:t>“</w:t>
            </w:r>
            <w:r>
              <w:rPr>
                <w:rFonts w:hint="eastAsia" w:ascii="宋体" w:hAnsi="宋体" w:cs="宋体"/>
                <w:szCs w:val="21"/>
                <w:lang w:val="zh-CN"/>
              </w:rPr>
              <w:t>江苏政府采购网</w:t>
            </w:r>
            <w:r>
              <w:rPr>
                <w:rFonts w:hint="eastAsia" w:ascii="宋体" w:hAnsi="宋体" w:cs="宋体"/>
                <w:szCs w:val="21"/>
              </w:rPr>
              <w:t>（http://www.ccgp-jiangsu.gov.cn/）”</w:t>
            </w:r>
          </w:p>
        </w:tc>
      </w:tr>
      <w:tr w14:paraId="3FD50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jc w:val="center"/>
        </w:trPr>
        <w:tc>
          <w:tcPr>
            <w:tcW w:w="665" w:type="dxa"/>
            <w:vAlign w:val="center"/>
          </w:tcPr>
          <w:p w14:paraId="5F234DFE">
            <w:pPr>
              <w:jc w:val="center"/>
              <w:rPr>
                <w:rFonts w:ascii="宋体" w:hAnsi="宋体" w:cs="宋体"/>
                <w:szCs w:val="21"/>
              </w:rPr>
            </w:pPr>
            <w:r>
              <w:rPr>
                <w:rFonts w:hint="eastAsia" w:ascii="宋体" w:hAnsi="宋体" w:cs="宋体"/>
                <w:szCs w:val="21"/>
              </w:rPr>
              <w:t>11</w:t>
            </w:r>
          </w:p>
        </w:tc>
        <w:tc>
          <w:tcPr>
            <w:tcW w:w="1389" w:type="dxa"/>
            <w:vAlign w:val="center"/>
          </w:tcPr>
          <w:p w14:paraId="439FA0A9">
            <w:pPr>
              <w:spacing w:line="360" w:lineRule="exact"/>
              <w:jc w:val="center"/>
              <w:rPr>
                <w:rFonts w:ascii="宋体" w:hAnsi="宋体" w:cs="宋体"/>
                <w:szCs w:val="21"/>
              </w:rPr>
            </w:pPr>
            <w:r>
              <w:rPr>
                <w:rFonts w:hint="eastAsia" w:ascii="宋体" w:hAnsi="宋体" w:cs="宋体"/>
                <w:szCs w:val="21"/>
                <w:lang w:val="zh-CN"/>
              </w:rPr>
              <w:t>是否允许递交备选投标方案</w:t>
            </w:r>
          </w:p>
        </w:tc>
        <w:tc>
          <w:tcPr>
            <w:tcW w:w="8202" w:type="dxa"/>
            <w:vAlign w:val="center"/>
          </w:tcPr>
          <w:p w14:paraId="1ACB61B8">
            <w:pPr>
              <w:spacing w:line="360" w:lineRule="exact"/>
              <w:rPr>
                <w:rFonts w:ascii="宋体" w:hAnsi="宋体" w:cs="宋体"/>
                <w:szCs w:val="21"/>
                <w:lang w:val="zh-CN"/>
              </w:rPr>
            </w:pPr>
            <w:r>
              <w:rPr>
                <w:rFonts w:hint="eastAsia" w:ascii="宋体" w:hAnsi="宋体" w:cs="宋体"/>
                <w:szCs w:val="21"/>
                <w:lang w:val="zh-CN"/>
              </w:rPr>
              <w:t>☑ 不允许</w:t>
            </w:r>
          </w:p>
          <w:p w14:paraId="2BA8D219">
            <w:pPr>
              <w:spacing w:line="360" w:lineRule="exact"/>
              <w:rPr>
                <w:rFonts w:ascii="宋体" w:hAnsi="宋体" w:cs="宋体"/>
                <w:szCs w:val="21"/>
              </w:rPr>
            </w:pPr>
            <w:r>
              <w:rPr>
                <w:rFonts w:hint="eastAsia" w:ascii="宋体" w:hAnsi="宋体" w:cs="宋体"/>
                <w:szCs w:val="21"/>
                <w:lang w:val="zh-CN"/>
              </w:rPr>
              <w:t>□ 允  许</w:t>
            </w:r>
          </w:p>
        </w:tc>
      </w:tr>
      <w:tr w14:paraId="466EE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 w:hRule="atLeast"/>
          <w:jc w:val="center"/>
        </w:trPr>
        <w:tc>
          <w:tcPr>
            <w:tcW w:w="665" w:type="dxa"/>
            <w:vAlign w:val="center"/>
          </w:tcPr>
          <w:p w14:paraId="2B2174D4">
            <w:pPr>
              <w:jc w:val="center"/>
              <w:rPr>
                <w:rFonts w:ascii="宋体" w:hAnsi="宋体" w:cs="宋体"/>
                <w:szCs w:val="21"/>
              </w:rPr>
            </w:pPr>
            <w:r>
              <w:rPr>
                <w:rFonts w:hint="eastAsia" w:ascii="宋体" w:hAnsi="宋体" w:cs="宋体"/>
                <w:szCs w:val="21"/>
              </w:rPr>
              <w:t>12</w:t>
            </w:r>
          </w:p>
        </w:tc>
        <w:tc>
          <w:tcPr>
            <w:tcW w:w="1389" w:type="dxa"/>
            <w:vAlign w:val="center"/>
          </w:tcPr>
          <w:p w14:paraId="28761459">
            <w:pPr>
              <w:rPr>
                <w:rFonts w:ascii="宋体" w:hAnsi="宋体" w:cs="宋体"/>
                <w:szCs w:val="21"/>
              </w:rPr>
            </w:pPr>
            <w:r>
              <w:rPr>
                <w:rFonts w:hint="eastAsia" w:ascii="宋体" w:hAnsi="宋体" w:cs="宋体"/>
                <w:szCs w:val="21"/>
              </w:rPr>
              <w:t>投标货币</w:t>
            </w:r>
          </w:p>
        </w:tc>
        <w:tc>
          <w:tcPr>
            <w:tcW w:w="8202" w:type="dxa"/>
            <w:vAlign w:val="center"/>
          </w:tcPr>
          <w:p w14:paraId="49BB5BC1">
            <w:pPr>
              <w:rPr>
                <w:rFonts w:ascii="宋体" w:hAnsi="宋体" w:cs="宋体"/>
                <w:szCs w:val="21"/>
              </w:rPr>
            </w:pPr>
            <w:r>
              <w:rPr>
                <w:rFonts w:hint="eastAsia" w:ascii="宋体" w:hAnsi="宋体" w:cs="宋体"/>
                <w:szCs w:val="21"/>
              </w:rPr>
              <w:t>人民币</w:t>
            </w:r>
          </w:p>
        </w:tc>
      </w:tr>
      <w:tr w14:paraId="1BAC1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665" w:type="dxa"/>
            <w:vAlign w:val="center"/>
          </w:tcPr>
          <w:p w14:paraId="7A30D438">
            <w:pPr>
              <w:jc w:val="center"/>
              <w:rPr>
                <w:rFonts w:ascii="宋体" w:hAnsi="宋体" w:cs="宋体"/>
                <w:szCs w:val="21"/>
              </w:rPr>
            </w:pPr>
            <w:r>
              <w:rPr>
                <w:rFonts w:hint="eastAsia" w:ascii="宋体" w:hAnsi="宋体" w:cs="宋体"/>
                <w:szCs w:val="21"/>
              </w:rPr>
              <w:t>13</w:t>
            </w:r>
          </w:p>
        </w:tc>
        <w:tc>
          <w:tcPr>
            <w:tcW w:w="1389" w:type="dxa"/>
            <w:vAlign w:val="center"/>
          </w:tcPr>
          <w:p w14:paraId="5EDD6739">
            <w:pPr>
              <w:rPr>
                <w:rFonts w:ascii="宋体" w:hAnsi="宋体" w:cs="宋体"/>
                <w:szCs w:val="21"/>
              </w:rPr>
            </w:pPr>
            <w:r>
              <w:rPr>
                <w:rFonts w:hint="eastAsia" w:ascii="宋体" w:hAnsi="宋体" w:cs="宋体"/>
                <w:szCs w:val="21"/>
              </w:rPr>
              <w:t>合同方式</w:t>
            </w:r>
          </w:p>
        </w:tc>
        <w:tc>
          <w:tcPr>
            <w:tcW w:w="8202" w:type="dxa"/>
            <w:vAlign w:val="center"/>
          </w:tcPr>
          <w:p w14:paraId="5AC860E3">
            <w:pPr>
              <w:rPr>
                <w:rFonts w:ascii="宋体" w:hAnsi="宋体" w:cs="宋体"/>
                <w:szCs w:val="21"/>
              </w:rPr>
            </w:pPr>
            <w:r>
              <w:rPr>
                <w:rFonts w:hint="eastAsia" w:ascii="宋体" w:hAnsi="宋体" w:cs="宋体"/>
                <w:szCs w:val="21"/>
              </w:rPr>
              <w:t>☑ 固定单价合同，工程量按实结算    □固定总价合同   □其他：</w:t>
            </w:r>
          </w:p>
        </w:tc>
      </w:tr>
      <w:tr w14:paraId="163DF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jc w:val="center"/>
        </w:trPr>
        <w:tc>
          <w:tcPr>
            <w:tcW w:w="665" w:type="dxa"/>
            <w:vAlign w:val="center"/>
          </w:tcPr>
          <w:p w14:paraId="46144B75">
            <w:pPr>
              <w:jc w:val="center"/>
              <w:rPr>
                <w:rFonts w:ascii="宋体" w:hAnsi="宋体" w:cs="宋体"/>
                <w:szCs w:val="21"/>
              </w:rPr>
            </w:pPr>
            <w:r>
              <w:rPr>
                <w:rFonts w:hint="eastAsia" w:ascii="宋体" w:hAnsi="宋体" w:cs="宋体"/>
                <w:szCs w:val="21"/>
              </w:rPr>
              <w:t>15</w:t>
            </w:r>
          </w:p>
        </w:tc>
        <w:tc>
          <w:tcPr>
            <w:tcW w:w="1389" w:type="dxa"/>
            <w:vAlign w:val="center"/>
          </w:tcPr>
          <w:p w14:paraId="737B91B8">
            <w:pPr>
              <w:rPr>
                <w:rFonts w:ascii="宋体" w:hAnsi="宋体" w:cs="宋体"/>
                <w:szCs w:val="21"/>
              </w:rPr>
            </w:pPr>
            <w:r>
              <w:rPr>
                <w:rFonts w:hint="eastAsia" w:ascii="宋体" w:hAnsi="宋体" w:cs="宋体"/>
                <w:szCs w:val="21"/>
              </w:rPr>
              <w:t>磋商保证金</w:t>
            </w:r>
          </w:p>
        </w:tc>
        <w:tc>
          <w:tcPr>
            <w:tcW w:w="8202" w:type="dxa"/>
            <w:vAlign w:val="center"/>
          </w:tcPr>
          <w:p w14:paraId="5F381ACE">
            <w:pPr>
              <w:rPr>
                <w:rFonts w:ascii="宋体" w:hAnsi="宋体" w:cs="宋体"/>
                <w:szCs w:val="21"/>
              </w:rPr>
            </w:pPr>
            <w:r>
              <w:rPr>
                <w:rFonts w:hint="eastAsia" w:ascii="宋体" w:hAnsi="宋体" w:cs="宋体"/>
                <w:szCs w:val="21"/>
              </w:rPr>
              <w:t>依据苏财购【2020】52号文件精神，本项目免收磋商保证金。</w:t>
            </w:r>
          </w:p>
        </w:tc>
      </w:tr>
      <w:tr w14:paraId="4AA22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665" w:type="dxa"/>
            <w:vAlign w:val="center"/>
          </w:tcPr>
          <w:p w14:paraId="1D1F6F39">
            <w:pPr>
              <w:jc w:val="center"/>
              <w:rPr>
                <w:rFonts w:ascii="宋体" w:hAnsi="宋体" w:cs="宋体"/>
                <w:szCs w:val="21"/>
              </w:rPr>
            </w:pPr>
            <w:r>
              <w:rPr>
                <w:rFonts w:hint="eastAsia" w:ascii="宋体" w:hAnsi="宋体" w:cs="宋体"/>
                <w:szCs w:val="21"/>
              </w:rPr>
              <w:t>16</w:t>
            </w:r>
          </w:p>
        </w:tc>
        <w:tc>
          <w:tcPr>
            <w:tcW w:w="1389" w:type="dxa"/>
            <w:vAlign w:val="center"/>
          </w:tcPr>
          <w:p w14:paraId="42B4921E">
            <w:pPr>
              <w:rPr>
                <w:rFonts w:ascii="宋体" w:hAnsi="宋体" w:cs="宋体"/>
                <w:szCs w:val="21"/>
              </w:rPr>
            </w:pPr>
            <w:r>
              <w:rPr>
                <w:rFonts w:hint="eastAsia" w:ascii="宋体" w:hAnsi="宋体" w:cs="宋体"/>
                <w:szCs w:val="21"/>
              </w:rPr>
              <w:t>响应文件有效期</w:t>
            </w:r>
          </w:p>
        </w:tc>
        <w:tc>
          <w:tcPr>
            <w:tcW w:w="8202" w:type="dxa"/>
            <w:vAlign w:val="center"/>
          </w:tcPr>
          <w:p w14:paraId="5AFEFEF7">
            <w:pPr>
              <w:rPr>
                <w:rFonts w:ascii="宋体" w:hAnsi="宋体" w:cs="宋体"/>
                <w:szCs w:val="21"/>
              </w:rPr>
            </w:pPr>
            <w:r>
              <w:rPr>
                <w:rFonts w:hint="eastAsia" w:ascii="宋体" w:hAnsi="宋体" w:cs="宋体"/>
                <w:szCs w:val="21"/>
                <w:u w:val="single"/>
              </w:rPr>
              <w:t>60</w:t>
            </w:r>
            <w:r>
              <w:rPr>
                <w:rFonts w:hint="eastAsia" w:ascii="宋体" w:hAnsi="宋体" w:cs="宋体"/>
                <w:szCs w:val="21"/>
              </w:rPr>
              <w:t>日历天（从磋商响应文件递交截止之日算起）</w:t>
            </w:r>
          </w:p>
        </w:tc>
      </w:tr>
      <w:tr w14:paraId="22897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jc w:val="center"/>
        </w:trPr>
        <w:tc>
          <w:tcPr>
            <w:tcW w:w="665" w:type="dxa"/>
            <w:vAlign w:val="center"/>
          </w:tcPr>
          <w:p w14:paraId="39156561">
            <w:pPr>
              <w:jc w:val="center"/>
              <w:rPr>
                <w:rFonts w:ascii="宋体" w:hAnsi="宋体" w:cs="宋体"/>
                <w:szCs w:val="21"/>
              </w:rPr>
            </w:pPr>
            <w:r>
              <w:rPr>
                <w:rFonts w:hint="eastAsia" w:ascii="宋体" w:hAnsi="宋体" w:cs="宋体"/>
                <w:szCs w:val="21"/>
              </w:rPr>
              <w:t>17</w:t>
            </w:r>
          </w:p>
        </w:tc>
        <w:tc>
          <w:tcPr>
            <w:tcW w:w="1389" w:type="dxa"/>
            <w:vAlign w:val="center"/>
          </w:tcPr>
          <w:p w14:paraId="4A6D2BD0">
            <w:pPr>
              <w:rPr>
                <w:rFonts w:ascii="宋体" w:hAnsi="宋体" w:cs="宋体"/>
                <w:szCs w:val="21"/>
              </w:rPr>
            </w:pPr>
            <w:r>
              <w:rPr>
                <w:rFonts w:hint="eastAsia" w:ascii="宋体" w:hAnsi="宋体" w:cs="宋体"/>
                <w:szCs w:val="21"/>
                <w:lang w:val="zh-CN"/>
              </w:rPr>
              <w:t>递交响应文件时间及地点</w:t>
            </w:r>
          </w:p>
        </w:tc>
        <w:tc>
          <w:tcPr>
            <w:tcW w:w="8202" w:type="dxa"/>
            <w:vAlign w:val="center"/>
          </w:tcPr>
          <w:p w14:paraId="61C65609">
            <w:pPr>
              <w:rPr>
                <w:rFonts w:ascii="宋体" w:hAnsi="宋体" w:cs="宋体"/>
                <w:szCs w:val="21"/>
                <w:lang w:val="zh-CN"/>
              </w:rPr>
            </w:pPr>
            <w:r>
              <w:rPr>
                <w:rFonts w:hint="eastAsia" w:ascii="宋体" w:hAnsi="宋体" w:cs="宋体"/>
                <w:szCs w:val="21"/>
              </w:rPr>
              <w:t>1.</w:t>
            </w:r>
            <w:r>
              <w:rPr>
                <w:rFonts w:hint="eastAsia" w:ascii="宋体" w:hAnsi="宋体" w:cs="宋体"/>
                <w:szCs w:val="21"/>
                <w:lang w:val="zh-CN"/>
              </w:rPr>
              <w:t>本项目通过“苏采云”系统进行电子采购，即供应商响应文件从政府采购客户端工具制作并通过“苏采云”系统提交。</w:t>
            </w:r>
          </w:p>
          <w:p w14:paraId="204E071C">
            <w:pPr>
              <w:rPr>
                <w:rFonts w:ascii="宋体" w:hAnsi="宋体" w:cs="宋体"/>
                <w:szCs w:val="21"/>
                <w:lang w:val="zh-CN"/>
              </w:rPr>
            </w:pPr>
            <w:r>
              <w:rPr>
                <w:rFonts w:hint="eastAsia" w:ascii="宋体" w:hAnsi="宋体" w:cs="宋体"/>
                <w:szCs w:val="21"/>
                <w:lang w:val="zh-CN"/>
              </w:rPr>
              <w:t>供应商应当通过“苏采云”系统提交数据电文形式的响应文件（即电子投标）。未进行线上响应文件提交并解密(因“苏采云”系统导致解密失败的除外)的供应商，响应无效。</w:t>
            </w:r>
          </w:p>
          <w:p w14:paraId="643FAA22">
            <w:pPr>
              <w:rPr>
                <w:rFonts w:ascii="宋体" w:hAnsi="宋体" w:cs="宋体"/>
                <w:szCs w:val="21"/>
              </w:rPr>
            </w:pPr>
            <w:r>
              <w:rPr>
                <w:rFonts w:hint="eastAsia" w:ascii="宋体" w:hAnsi="宋体" w:cs="宋体"/>
                <w:szCs w:val="21"/>
              </w:rPr>
              <w:t>“CA</w:t>
            </w:r>
            <w:r>
              <w:rPr>
                <w:rFonts w:hint="eastAsia" w:ascii="宋体" w:hAnsi="宋体" w:cs="宋体"/>
                <w:szCs w:val="21"/>
                <w:lang w:val="zh-CN"/>
              </w:rPr>
              <w:t>数字证书</w:t>
            </w:r>
            <w:r>
              <w:rPr>
                <w:rFonts w:hint="eastAsia" w:ascii="宋体" w:hAnsi="宋体" w:cs="宋体"/>
                <w:szCs w:val="21"/>
              </w:rPr>
              <w:t>”</w:t>
            </w:r>
            <w:r>
              <w:rPr>
                <w:rFonts w:hint="eastAsia" w:ascii="宋体" w:hAnsi="宋体" w:cs="宋体"/>
                <w:szCs w:val="21"/>
                <w:lang w:val="zh-CN"/>
              </w:rPr>
              <w:t>的获取</w:t>
            </w:r>
            <w:r>
              <w:rPr>
                <w:rFonts w:hint="eastAsia" w:ascii="宋体" w:hAnsi="宋体" w:cs="宋体"/>
                <w:szCs w:val="21"/>
              </w:rPr>
              <w:t>：</w:t>
            </w:r>
            <w:r>
              <w:rPr>
                <w:rFonts w:hint="eastAsia" w:ascii="宋体" w:hAnsi="宋体" w:cs="宋体"/>
                <w:szCs w:val="21"/>
                <w:lang w:val="zh-CN"/>
              </w:rPr>
              <w:t>供应商需办理</w:t>
            </w:r>
            <w:r>
              <w:rPr>
                <w:rFonts w:hint="eastAsia" w:ascii="宋体" w:hAnsi="宋体" w:cs="宋体"/>
                <w:szCs w:val="21"/>
              </w:rPr>
              <w:t>CA</w:t>
            </w:r>
            <w:r>
              <w:rPr>
                <w:rFonts w:hint="eastAsia" w:ascii="宋体" w:hAnsi="宋体" w:cs="宋体"/>
                <w:szCs w:val="21"/>
                <w:lang w:val="zh-CN"/>
              </w:rPr>
              <w:t>锁</w:t>
            </w:r>
            <w:r>
              <w:rPr>
                <w:rFonts w:hint="eastAsia" w:ascii="宋体" w:hAnsi="宋体" w:cs="宋体"/>
                <w:szCs w:val="21"/>
              </w:rPr>
              <w:t>，“CA</w:t>
            </w:r>
            <w:r>
              <w:rPr>
                <w:rFonts w:hint="eastAsia" w:ascii="宋体" w:hAnsi="宋体" w:cs="宋体"/>
                <w:szCs w:val="21"/>
                <w:lang w:val="zh-CN"/>
              </w:rPr>
              <w:t>数字证书</w:t>
            </w:r>
            <w:r>
              <w:rPr>
                <w:rFonts w:hint="eastAsia" w:ascii="宋体" w:hAnsi="宋体" w:cs="宋体"/>
                <w:szCs w:val="21"/>
              </w:rPr>
              <w:t>”</w:t>
            </w:r>
            <w:r>
              <w:rPr>
                <w:rFonts w:hint="eastAsia" w:ascii="宋体" w:hAnsi="宋体" w:cs="宋体"/>
                <w:szCs w:val="21"/>
                <w:lang w:val="zh-CN"/>
              </w:rPr>
              <w:t>的办理方法详见</w:t>
            </w:r>
            <w:r>
              <w:rPr>
                <w:rFonts w:hint="eastAsia" w:ascii="宋体" w:hAnsi="宋体" w:cs="宋体"/>
                <w:szCs w:val="21"/>
              </w:rPr>
              <w:t>“</w:t>
            </w:r>
            <w:r>
              <w:rPr>
                <w:rFonts w:hint="eastAsia" w:ascii="宋体" w:hAnsi="宋体" w:cs="宋体"/>
                <w:szCs w:val="21"/>
                <w:lang w:val="zh-CN"/>
              </w:rPr>
              <w:t>江苏省政府采购数字证书</w:t>
            </w:r>
            <w:r>
              <w:rPr>
                <w:rFonts w:hint="eastAsia" w:ascii="宋体" w:hAnsi="宋体" w:cs="宋体"/>
                <w:szCs w:val="21"/>
              </w:rPr>
              <w:t>CA</w:t>
            </w:r>
            <w:r>
              <w:rPr>
                <w:rFonts w:hint="eastAsia" w:ascii="宋体" w:hAnsi="宋体" w:cs="宋体"/>
                <w:szCs w:val="21"/>
                <w:lang w:val="zh-CN"/>
              </w:rPr>
              <w:t>及电子签章办理指南</w:t>
            </w:r>
            <w:r>
              <w:rPr>
                <w:rFonts w:hint="eastAsia" w:ascii="宋体" w:hAnsi="宋体" w:cs="宋体"/>
                <w:szCs w:val="21"/>
              </w:rPr>
              <w:t>”，</w:t>
            </w:r>
            <w:r>
              <w:rPr>
                <w:rFonts w:hint="eastAsia" w:ascii="宋体" w:hAnsi="宋体" w:cs="宋体"/>
                <w:szCs w:val="21"/>
                <w:lang w:val="zh-CN"/>
              </w:rPr>
              <w:t>网址</w:t>
            </w:r>
            <w:r>
              <w:rPr>
                <w:rFonts w:hint="eastAsia" w:ascii="宋体" w:hAnsi="宋体" w:cs="宋体"/>
                <w:szCs w:val="21"/>
              </w:rPr>
              <w:t>：</w:t>
            </w:r>
            <w:r>
              <w:fldChar w:fldCharType="begin"/>
            </w:r>
            <w:r>
              <w:instrText xml:space="preserve"> HYPERLINK "http://jsxcmm." \o "http://jsxcmm." </w:instrText>
            </w:r>
            <w:r>
              <w:fldChar w:fldCharType="separate"/>
            </w:r>
            <w:r>
              <w:rPr>
                <w:rFonts w:hint="eastAsia" w:ascii="宋体" w:hAnsi="宋体" w:cs="宋体"/>
                <w:szCs w:val="21"/>
              </w:rPr>
              <w:t>http://jsxcmm.</w:t>
            </w:r>
            <w:r>
              <w:rPr>
                <w:rFonts w:hint="eastAsia" w:ascii="宋体" w:hAnsi="宋体" w:cs="宋体"/>
                <w:szCs w:val="21"/>
              </w:rPr>
              <w:fldChar w:fldCharType="end"/>
            </w:r>
            <w:r>
              <w:rPr>
                <w:rFonts w:hint="eastAsia" w:ascii="宋体" w:hAnsi="宋体" w:cs="宋体"/>
                <w:szCs w:val="21"/>
              </w:rPr>
              <w:t>com/help/ help.html</w:t>
            </w:r>
            <w:r>
              <w:rPr>
                <w:rFonts w:hint="eastAsia" w:ascii="宋体" w:hAnsi="宋体" w:cs="宋体"/>
                <w:szCs w:val="21"/>
                <w:lang w:val="zh-CN"/>
              </w:rPr>
              <w:t>。</w:t>
            </w:r>
          </w:p>
          <w:p w14:paraId="456F3A56">
            <w:pPr>
              <w:rPr>
                <w:rFonts w:ascii="宋体" w:hAnsi="宋体" w:cs="宋体"/>
                <w:szCs w:val="21"/>
                <w:lang w:val="zh-CN"/>
              </w:rPr>
            </w:pPr>
            <w:r>
              <w:rPr>
                <w:rFonts w:hint="eastAsia" w:ascii="宋体" w:hAnsi="宋体" w:cs="宋体"/>
                <w:szCs w:val="21"/>
                <w:lang w:val="zh-CN"/>
              </w:rPr>
              <w:t>使用需要第三方认证的电子签名、数据电文，通过互联网方式提交首次响应文件。即：使用“电子签名认证证书（CA数字证书）”登录“苏采云”系统（网址：</w:t>
            </w:r>
            <w:r>
              <w:fldChar w:fldCharType="begin"/>
            </w:r>
            <w:r>
              <w:instrText xml:space="preserve"> HYPERLINK "http://jszfcg.jsczt.cn/" \o "http://jszfcg.jsczt.cn/" </w:instrText>
            </w:r>
            <w:r>
              <w:fldChar w:fldCharType="separate"/>
            </w:r>
            <w:r>
              <w:rPr>
                <w:rFonts w:hint="eastAsia" w:ascii="宋体" w:hAnsi="宋体" w:cs="宋体"/>
                <w:szCs w:val="21"/>
                <w:lang w:val="zh-CN"/>
              </w:rPr>
              <w:t>http://jszfcg.jsczt.cn/</w:t>
            </w:r>
            <w:r>
              <w:rPr>
                <w:rFonts w:hint="eastAsia" w:ascii="宋体" w:hAnsi="宋体" w:cs="宋体"/>
                <w:szCs w:val="21"/>
                <w:lang w:val="zh-CN"/>
              </w:rPr>
              <w:fldChar w:fldCharType="end"/>
            </w:r>
            <w:r>
              <w:rPr>
                <w:rFonts w:hint="eastAsia" w:ascii="宋体" w:hAnsi="宋体" w:cs="宋体"/>
                <w:szCs w:val="21"/>
                <w:lang w:val="zh-CN"/>
              </w:rPr>
              <w:t>），按照要求通过互联网方式提交</w:t>
            </w:r>
            <w:r>
              <w:rPr>
                <w:rFonts w:hint="eastAsia" w:ascii="宋体" w:hAnsi="宋体" w:cs="宋体"/>
                <w:szCs w:val="21"/>
              </w:rPr>
              <w:t>投标</w:t>
            </w:r>
            <w:r>
              <w:rPr>
                <w:rFonts w:hint="eastAsia" w:ascii="宋体" w:hAnsi="宋体" w:cs="宋体"/>
                <w:szCs w:val="21"/>
                <w:lang w:val="zh-CN"/>
              </w:rPr>
              <w:t>文件。</w:t>
            </w:r>
          </w:p>
          <w:p w14:paraId="7089AFF7">
            <w:pPr>
              <w:rPr>
                <w:rFonts w:ascii="宋体" w:hAnsi="宋体" w:cs="宋体"/>
                <w:szCs w:val="21"/>
                <w:lang w:val="zh-CN"/>
              </w:rPr>
            </w:pPr>
            <w:r>
              <w:rPr>
                <w:rFonts w:hint="eastAsia" w:ascii="宋体" w:hAnsi="宋体" w:cs="宋体"/>
                <w:szCs w:val="21"/>
                <w:lang w:val="zh-CN"/>
              </w:rPr>
              <w:t>“苏采云”系统使用要求：</w:t>
            </w:r>
          </w:p>
          <w:p w14:paraId="7ABC53A3">
            <w:pPr>
              <w:rPr>
                <w:rFonts w:ascii="宋体" w:hAnsi="宋体" w:cs="宋体"/>
                <w:szCs w:val="21"/>
                <w:lang w:val="zh-CN"/>
              </w:rPr>
            </w:pPr>
            <w:r>
              <w:rPr>
                <w:rFonts w:hint="eastAsia" w:ascii="宋体" w:hAnsi="宋体" w:cs="宋体"/>
                <w:szCs w:val="21"/>
                <w:lang w:val="zh-CN"/>
              </w:rPr>
              <w:t>使用谷歌浏览器参与不见面开标及</w:t>
            </w:r>
            <w:r>
              <w:rPr>
                <w:rFonts w:hint="eastAsia" w:ascii="宋体" w:hAnsi="宋体" w:cs="宋体"/>
                <w:szCs w:val="21"/>
              </w:rPr>
              <w:t>开标</w:t>
            </w:r>
            <w:r>
              <w:rPr>
                <w:rFonts w:hint="eastAsia" w:ascii="宋体" w:hAnsi="宋体" w:cs="宋体"/>
                <w:szCs w:val="21"/>
                <w:lang w:val="zh-CN"/>
              </w:rPr>
              <w:t>环节。</w:t>
            </w:r>
          </w:p>
          <w:p w14:paraId="0329F88F">
            <w:pPr>
              <w:rPr>
                <w:rFonts w:ascii="宋体" w:hAnsi="宋体" w:cs="宋体"/>
                <w:szCs w:val="21"/>
                <w:lang w:val="zh-CN"/>
              </w:rPr>
            </w:pPr>
            <w:r>
              <w:rPr>
                <w:rFonts w:hint="eastAsia" w:ascii="宋体" w:hAnsi="宋体" w:cs="宋体"/>
                <w:szCs w:val="21"/>
                <w:lang w:val="zh-CN"/>
              </w:rPr>
              <w:t>电脑需提前准备好麦克风、音响，摄像头，提前检查保证能够正常使用。</w:t>
            </w:r>
          </w:p>
          <w:p w14:paraId="776291C4">
            <w:pPr>
              <w:rPr>
                <w:rFonts w:ascii="宋体" w:hAnsi="宋体" w:cs="宋体"/>
                <w:szCs w:val="21"/>
                <w:lang w:val="zh-CN"/>
              </w:rPr>
            </w:pPr>
            <w:r>
              <w:rPr>
                <w:rFonts w:hint="eastAsia" w:ascii="宋体" w:hAnsi="宋体" w:cs="宋体"/>
                <w:szCs w:val="21"/>
                <w:lang w:val="zh-CN"/>
              </w:rPr>
              <w:t>操作系统至少win7以上，建议使用win10操作系统。</w:t>
            </w:r>
          </w:p>
          <w:p w14:paraId="39E16705">
            <w:pPr>
              <w:rPr>
                <w:rFonts w:ascii="宋体" w:hAnsi="宋体" w:cs="宋体"/>
                <w:szCs w:val="21"/>
              </w:rPr>
            </w:pPr>
            <w:r>
              <w:rPr>
                <w:rFonts w:hint="eastAsia" w:ascii="宋体" w:hAnsi="宋体" w:cs="宋体"/>
                <w:szCs w:val="21"/>
                <w:lang w:val="zh-CN"/>
              </w:rPr>
              <w:t>开标时间：</w:t>
            </w:r>
            <w:r>
              <w:rPr>
                <w:rFonts w:hint="eastAsia" w:ascii="宋体" w:hAnsi="宋体" w:cs="宋体"/>
                <w:szCs w:val="21"/>
              </w:rPr>
              <w:t>详见竞争性磋商公告</w:t>
            </w:r>
          </w:p>
          <w:p w14:paraId="509EA319">
            <w:pPr>
              <w:rPr>
                <w:rFonts w:ascii="宋体" w:hAnsi="宋体" w:cs="宋体"/>
                <w:szCs w:val="21"/>
                <w:lang w:val="zh-CN"/>
              </w:rPr>
            </w:pPr>
            <w:r>
              <w:rPr>
                <w:rFonts w:hint="eastAsia" w:ascii="宋体" w:hAnsi="宋体" w:cs="宋体"/>
                <w:szCs w:val="21"/>
                <w:lang w:val="zh-CN"/>
              </w:rPr>
              <w:t>开标地点</w:t>
            </w:r>
            <w:r>
              <w:rPr>
                <w:rFonts w:hint="eastAsia" w:ascii="宋体" w:hAnsi="宋体" w:cs="宋体"/>
                <w:szCs w:val="21"/>
              </w:rPr>
              <w:t>：“</w:t>
            </w:r>
            <w:r>
              <w:rPr>
                <w:rFonts w:hint="eastAsia" w:ascii="宋体" w:hAnsi="宋体" w:cs="宋体"/>
                <w:szCs w:val="21"/>
                <w:lang w:val="zh-CN"/>
              </w:rPr>
              <w:t>苏采云</w:t>
            </w:r>
            <w:r>
              <w:rPr>
                <w:rFonts w:hint="eastAsia" w:ascii="宋体" w:hAnsi="宋体" w:cs="宋体"/>
                <w:szCs w:val="21"/>
              </w:rPr>
              <w:t>”</w:t>
            </w:r>
            <w:r>
              <w:rPr>
                <w:rFonts w:hint="eastAsia" w:ascii="宋体" w:hAnsi="宋体" w:cs="宋体"/>
                <w:szCs w:val="21"/>
                <w:lang w:val="zh-CN"/>
              </w:rPr>
              <w:t>系统</w:t>
            </w:r>
            <w:r>
              <w:rPr>
                <w:rFonts w:hint="eastAsia" w:ascii="宋体" w:hAnsi="宋体" w:cs="宋体"/>
                <w:szCs w:val="21"/>
              </w:rPr>
              <w:t>（</w:t>
            </w:r>
            <w:r>
              <w:rPr>
                <w:rFonts w:hint="eastAsia" w:ascii="宋体" w:hAnsi="宋体" w:cs="宋体"/>
                <w:szCs w:val="21"/>
                <w:lang w:val="zh-CN"/>
              </w:rPr>
              <w:t>网址</w:t>
            </w:r>
            <w:r>
              <w:rPr>
                <w:rFonts w:hint="eastAsia" w:ascii="宋体" w:hAnsi="宋体" w:cs="宋体"/>
                <w:szCs w:val="21"/>
              </w:rPr>
              <w:t>：</w:t>
            </w:r>
            <w:r>
              <w:fldChar w:fldCharType="begin"/>
            </w:r>
            <w:r>
              <w:instrText xml:space="preserve"> HYPERLINK "http://jszfcg.jsczt.cn/）" \o "http://jszfcg.jsczt.cn/）" </w:instrText>
            </w:r>
            <w:r>
              <w:fldChar w:fldCharType="separate"/>
            </w:r>
            <w:r>
              <w:rPr>
                <w:rFonts w:hint="eastAsia" w:ascii="宋体" w:hAnsi="宋体" w:cs="宋体"/>
                <w:szCs w:val="21"/>
              </w:rPr>
              <w:t>http://jszfcg.jsczt.cn/）“</w:t>
            </w:r>
            <w:r>
              <w:rPr>
                <w:rFonts w:hint="eastAsia" w:ascii="宋体" w:hAnsi="宋体" w:cs="宋体"/>
                <w:szCs w:val="21"/>
                <w:lang w:val="zh-CN"/>
              </w:rPr>
              <w:t>开标大厅</w:t>
            </w:r>
            <w:r>
              <w:rPr>
                <w:rFonts w:hint="eastAsia" w:ascii="宋体" w:hAnsi="宋体" w:cs="宋体"/>
                <w:szCs w:val="21"/>
              </w:rPr>
              <w:t>，</w:t>
            </w:r>
            <w:r>
              <w:rPr>
                <w:rFonts w:hint="eastAsia" w:ascii="宋体" w:hAnsi="宋体" w:cs="宋体"/>
                <w:szCs w:val="21"/>
                <w:lang w:val="zh-CN"/>
              </w:rPr>
              <w:t>点击</w:t>
            </w:r>
            <w:r>
              <w:rPr>
                <w:rFonts w:hint="eastAsia" w:ascii="宋体" w:hAnsi="宋体" w:cs="宋体"/>
                <w:szCs w:val="21"/>
              </w:rPr>
              <w:t>“</w:t>
            </w:r>
            <w:r>
              <w:rPr>
                <w:rFonts w:hint="eastAsia" w:ascii="宋体" w:hAnsi="宋体" w:cs="宋体"/>
                <w:szCs w:val="21"/>
                <w:lang w:val="zh-CN"/>
              </w:rPr>
              <w:t>苏采云</w:t>
            </w:r>
            <w:r>
              <w:rPr>
                <w:rFonts w:hint="eastAsia" w:ascii="宋体" w:hAnsi="宋体" w:cs="宋体"/>
                <w:szCs w:val="21"/>
              </w:rPr>
              <w:t>”</w:t>
            </w:r>
            <w:r>
              <w:rPr>
                <w:rFonts w:hint="eastAsia" w:ascii="宋体" w:hAnsi="宋体" w:cs="宋体"/>
                <w:szCs w:val="21"/>
                <w:lang w:val="zh-CN"/>
              </w:rPr>
              <w:t>进入系统</w:t>
            </w:r>
            <w:r>
              <w:rPr>
                <w:rFonts w:hint="eastAsia" w:ascii="宋体" w:hAnsi="宋体" w:cs="宋体"/>
                <w:szCs w:val="21"/>
              </w:rPr>
              <w:t>“</w:t>
            </w:r>
            <w:r>
              <w:rPr>
                <w:rFonts w:hint="eastAsia" w:ascii="宋体" w:hAnsi="宋体" w:cs="宋体"/>
                <w:szCs w:val="21"/>
                <w:lang w:val="zh-CN"/>
              </w:rPr>
              <w:t>开标大厅</w:t>
            </w:r>
            <w:r>
              <w:rPr>
                <w:rFonts w:hint="eastAsia" w:ascii="宋体" w:hAnsi="宋体" w:cs="宋体"/>
                <w:szCs w:val="21"/>
              </w:rPr>
              <w:t>”</w:t>
            </w:r>
            <w:r>
              <w:rPr>
                <w:rFonts w:hint="eastAsia" w:ascii="宋体" w:hAnsi="宋体" w:cs="宋体"/>
                <w:szCs w:val="21"/>
                <w:lang w:val="zh-CN"/>
              </w:rPr>
              <w:t>。）</w:t>
            </w:r>
            <w:r>
              <w:rPr>
                <w:rFonts w:hint="eastAsia" w:ascii="宋体" w:hAnsi="宋体" w:cs="宋体"/>
                <w:szCs w:val="21"/>
                <w:lang w:val="zh-CN"/>
              </w:rPr>
              <w:fldChar w:fldCharType="end"/>
            </w:r>
            <w:r>
              <w:rPr>
                <w:rFonts w:hint="eastAsia" w:ascii="宋体" w:hAnsi="宋体" w:cs="宋体"/>
                <w:szCs w:val="21"/>
                <w:lang w:val="zh-CN"/>
              </w:rPr>
              <w:t xml:space="preserve"> </w:t>
            </w:r>
          </w:p>
          <w:p w14:paraId="0E469EC5">
            <w:pPr>
              <w:rPr>
                <w:rFonts w:ascii="宋体" w:hAnsi="宋体" w:cs="宋体"/>
                <w:szCs w:val="21"/>
              </w:rPr>
            </w:pPr>
            <w:r>
              <w:rPr>
                <w:rFonts w:hint="eastAsia" w:ascii="宋体" w:hAnsi="宋体" w:cs="宋体"/>
                <w:szCs w:val="21"/>
              </w:rPr>
              <w:t>2.一次评审结束后，采购代理机构或采购人代表将通过苏彩云采购系统提示符合要求的投标供应商进行最后报价(二次报价)，一次评审的时长不确定，请投标供应商自行关注报价系统，在报价系统开启后的20分钟内提交最后报价(二次报价)。未能在规定时间内完成报价的供应商视为放弃投标；提交最后报价(二次报价)的供应商不得少于2家。</w:t>
            </w:r>
          </w:p>
        </w:tc>
      </w:tr>
      <w:tr w14:paraId="38076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 w:hRule="atLeast"/>
          <w:jc w:val="center"/>
        </w:trPr>
        <w:tc>
          <w:tcPr>
            <w:tcW w:w="665" w:type="dxa"/>
            <w:vAlign w:val="center"/>
          </w:tcPr>
          <w:p w14:paraId="6DA88312">
            <w:pPr>
              <w:jc w:val="center"/>
              <w:rPr>
                <w:rFonts w:ascii="宋体" w:hAnsi="宋体" w:cs="宋体"/>
                <w:szCs w:val="21"/>
              </w:rPr>
            </w:pPr>
            <w:r>
              <w:rPr>
                <w:rFonts w:hint="eastAsia" w:ascii="宋体" w:hAnsi="宋体" w:cs="宋体"/>
                <w:szCs w:val="21"/>
              </w:rPr>
              <w:t>18</w:t>
            </w:r>
          </w:p>
        </w:tc>
        <w:tc>
          <w:tcPr>
            <w:tcW w:w="1389" w:type="dxa"/>
            <w:vAlign w:val="center"/>
          </w:tcPr>
          <w:p w14:paraId="21A2A11E">
            <w:pPr>
              <w:rPr>
                <w:rFonts w:ascii="宋体" w:hAnsi="宋体" w:cs="宋体"/>
                <w:szCs w:val="21"/>
                <w:lang w:val="zh-CN"/>
              </w:rPr>
            </w:pPr>
            <w:r>
              <w:rPr>
                <w:rFonts w:hint="eastAsia" w:ascii="宋体" w:hAnsi="宋体" w:cs="宋体"/>
                <w:szCs w:val="21"/>
                <w:lang w:val="zh-CN"/>
              </w:rPr>
              <w:t>开标时间</w:t>
            </w:r>
          </w:p>
          <w:p w14:paraId="3F373DB9">
            <w:pPr>
              <w:rPr>
                <w:rFonts w:ascii="宋体" w:hAnsi="宋体" w:cs="宋体"/>
                <w:szCs w:val="21"/>
                <w:lang w:val="zh-CN"/>
              </w:rPr>
            </w:pPr>
            <w:r>
              <w:rPr>
                <w:rFonts w:hint="eastAsia" w:ascii="宋体" w:hAnsi="宋体" w:cs="宋体"/>
                <w:szCs w:val="21"/>
                <w:lang w:val="zh-CN"/>
              </w:rPr>
              <w:t>和地点</w:t>
            </w:r>
          </w:p>
        </w:tc>
        <w:tc>
          <w:tcPr>
            <w:tcW w:w="8202" w:type="dxa"/>
            <w:vAlign w:val="center"/>
          </w:tcPr>
          <w:p w14:paraId="5A63F623">
            <w:pPr>
              <w:rPr>
                <w:rFonts w:ascii="宋体" w:hAnsi="宋体" w:cs="宋体"/>
                <w:szCs w:val="21"/>
                <w:lang w:val="zh-CN"/>
              </w:rPr>
            </w:pPr>
            <w:r>
              <w:rPr>
                <w:rFonts w:hint="eastAsia" w:ascii="宋体" w:hAnsi="宋体" w:cs="宋体"/>
                <w:szCs w:val="21"/>
                <w:lang w:val="zh-CN"/>
              </w:rPr>
              <w:t>开标时间：同投标文件递交截止时间</w:t>
            </w:r>
          </w:p>
          <w:p w14:paraId="643228FF">
            <w:pPr>
              <w:rPr>
                <w:rFonts w:ascii="宋体" w:hAnsi="宋体" w:cs="宋体"/>
                <w:szCs w:val="21"/>
                <w:lang w:val="zh-CN"/>
              </w:rPr>
            </w:pPr>
            <w:r>
              <w:rPr>
                <w:rFonts w:hint="eastAsia" w:ascii="宋体" w:hAnsi="宋体" w:cs="宋体"/>
                <w:szCs w:val="21"/>
                <w:lang w:val="zh-CN"/>
              </w:rPr>
              <w:t>地点：“苏采云”系统（网址：http://jszfcg.jsczt.cn/）“开标大厅”，点击“苏采云”进入系统“开标大厅”。</w:t>
            </w:r>
          </w:p>
        </w:tc>
      </w:tr>
      <w:tr w14:paraId="2E23C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665" w:type="dxa"/>
            <w:vAlign w:val="center"/>
          </w:tcPr>
          <w:p w14:paraId="7969CCC2">
            <w:pPr>
              <w:jc w:val="center"/>
              <w:rPr>
                <w:rFonts w:ascii="宋体" w:hAnsi="宋体" w:cs="宋体"/>
                <w:szCs w:val="21"/>
              </w:rPr>
            </w:pPr>
            <w:r>
              <w:rPr>
                <w:rFonts w:hint="eastAsia" w:ascii="宋体" w:hAnsi="宋体" w:cs="宋体"/>
                <w:szCs w:val="21"/>
              </w:rPr>
              <w:t>19</w:t>
            </w:r>
          </w:p>
        </w:tc>
        <w:tc>
          <w:tcPr>
            <w:tcW w:w="1389" w:type="dxa"/>
            <w:vAlign w:val="center"/>
          </w:tcPr>
          <w:p w14:paraId="493F8519">
            <w:pPr>
              <w:rPr>
                <w:rFonts w:ascii="宋体" w:hAnsi="宋体" w:cs="宋体"/>
                <w:szCs w:val="21"/>
              </w:rPr>
            </w:pPr>
            <w:r>
              <w:rPr>
                <w:rFonts w:hint="eastAsia" w:ascii="宋体" w:hAnsi="宋体" w:cs="宋体"/>
                <w:szCs w:val="21"/>
              </w:rPr>
              <w:t>评标办法</w:t>
            </w:r>
          </w:p>
        </w:tc>
        <w:tc>
          <w:tcPr>
            <w:tcW w:w="8202" w:type="dxa"/>
            <w:vAlign w:val="center"/>
          </w:tcPr>
          <w:p w14:paraId="7A04F964">
            <w:pPr>
              <w:rPr>
                <w:rFonts w:ascii="宋体" w:hAnsi="宋体" w:cs="宋体"/>
                <w:szCs w:val="21"/>
              </w:rPr>
            </w:pPr>
            <w:r>
              <w:rPr>
                <w:rFonts w:hint="eastAsia" w:ascii="宋体" w:hAnsi="宋体" w:cs="宋体"/>
                <w:szCs w:val="21"/>
              </w:rPr>
              <w:t xml:space="preserve">☑ 综合评估法 □最低评标价法  </w:t>
            </w:r>
          </w:p>
        </w:tc>
      </w:tr>
      <w:tr w14:paraId="1C617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 w:hRule="atLeast"/>
          <w:jc w:val="center"/>
        </w:trPr>
        <w:tc>
          <w:tcPr>
            <w:tcW w:w="665" w:type="dxa"/>
            <w:vAlign w:val="center"/>
          </w:tcPr>
          <w:p w14:paraId="6784EC84">
            <w:pPr>
              <w:jc w:val="center"/>
              <w:rPr>
                <w:rFonts w:ascii="宋体" w:hAnsi="宋体" w:cs="宋体"/>
                <w:szCs w:val="21"/>
              </w:rPr>
            </w:pPr>
            <w:r>
              <w:rPr>
                <w:rFonts w:hint="eastAsia" w:ascii="宋体" w:hAnsi="宋体" w:cs="宋体"/>
                <w:szCs w:val="21"/>
              </w:rPr>
              <w:t>20</w:t>
            </w:r>
          </w:p>
        </w:tc>
        <w:tc>
          <w:tcPr>
            <w:tcW w:w="1389" w:type="dxa"/>
            <w:vAlign w:val="center"/>
          </w:tcPr>
          <w:p w14:paraId="5D974436">
            <w:pPr>
              <w:rPr>
                <w:rFonts w:ascii="宋体" w:hAnsi="宋体" w:cs="宋体"/>
                <w:szCs w:val="21"/>
              </w:rPr>
            </w:pPr>
            <w:r>
              <w:rPr>
                <w:rFonts w:hint="eastAsia" w:ascii="宋体" w:hAnsi="宋体" w:cs="宋体"/>
                <w:szCs w:val="21"/>
              </w:rPr>
              <w:t>磋商小组</w:t>
            </w:r>
          </w:p>
        </w:tc>
        <w:tc>
          <w:tcPr>
            <w:tcW w:w="8202" w:type="dxa"/>
            <w:vAlign w:val="center"/>
          </w:tcPr>
          <w:p w14:paraId="611DC4E8">
            <w:pPr>
              <w:rPr>
                <w:rFonts w:ascii="宋体" w:hAnsi="宋体" w:cs="宋体"/>
                <w:szCs w:val="21"/>
              </w:rPr>
            </w:pPr>
            <w:r>
              <w:rPr>
                <w:rFonts w:hint="eastAsia" w:ascii="宋体" w:hAnsi="宋体" w:cs="宋体"/>
                <w:szCs w:val="21"/>
              </w:rPr>
              <w:t>磋商</w:t>
            </w:r>
            <w:r>
              <w:rPr>
                <w:rFonts w:hint="eastAsia" w:ascii="宋体" w:hAnsi="宋体" w:cs="宋体"/>
                <w:szCs w:val="21"/>
                <w:lang w:val="zh-CN"/>
              </w:rPr>
              <w:t>小组人数：</w:t>
            </w:r>
            <w:r>
              <w:rPr>
                <w:rFonts w:hint="eastAsia" w:ascii="宋体" w:hAnsi="宋体" w:cs="宋体"/>
                <w:szCs w:val="21"/>
                <w:u w:val="single"/>
              </w:rPr>
              <w:t>3</w:t>
            </w:r>
            <w:r>
              <w:rPr>
                <w:rFonts w:hint="eastAsia" w:ascii="宋体" w:hAnsi="宋体" w:cs="宋体"/>
                <w:szCs w:val="21"/>
                <w:lang w:val="zh-CN"/>
              </w:rPr>
              <w:t>人</w:t>
            </w:r>
          </w:p>
          <w:p w14:paraId="1099B606">
            <w:pPr>
              <w:rPr>
                <w:rFonts w:ascii="宋体" w:hAnsi="宋体" w:cs="宋体"/>
                <w:szCs w:val="21"/>
              </w:rPr>
            </w:pPr>
            <w:r>
              <w:rPr>
                <w:rFonts w:hint="eastAsia" w:ascii="宋体" w:hAnsi="宋体" w:cs="宋体"/>
                <w:szCs w:val="21"/>
              </w:rPr>
              <w:t>磋商委员会构成： 由采购人代表和政府采购专家组成</w:t>
            </w:r>
          </w:p>
          <w:p w14:paraId="760E8942">
            <w:pPr>
              <w:pStyle w:val="27"/>
              <w:rPr>
                <w:rFonts w:hAnsi="宋体" w:cs="宋体"/>
                <w:szCs w:val="21"/>
              </w:rPr>
            </w:pPr>
            <w:r>
              <w:rPr>
                <w:rFonts w:hint="eastAsia" w:hAnsi="宋体" w:cs="宋体"/>
                <w:szCs w:val="21"/>
              </w:rPr>
              <w:t>政府采购专家确定方式：从江苏政府采购评审专家库中随机抽取。</w:t>
            </w:r>
          </w:p>
        </w:tc>
      </w:tr>
      <w:tr w14:paraId="41E9A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jc w:val="center"/>
        </w:trPr>
        <w:tc>
          <w:tcPr>
            <w:tcW w:w="665" w:type="dxa"/>
            <w:vAlign w:val="center"/>
          </w:tcPr>
          <w:p w14:paraId="5F0D62B0">
            <w:pPr>
              <w:jc w:val="center"/>
              <w:rPr>
                <w:rFonts w:ascii="宋体" w:hAnsi="宋体" w:cs="宋体"/>
                <w:szCs w:val="21"/>
              </w:rPr>
            </w:pPr>
            <w:r>
              <w:rPr>
                <w:rFonts w:hint="eastAsia" w:ascii="宋体" w:hAnsi="宋体" w:cs="宋体"/>
                <w:szCs w:val="21"/>
              </w:rPr>
              <w:t>21</w:t>
            </w:r>
          </w:p>
        </w:tc>
        <w:tc>
          <w:tcPr>
            <w:tcW w:w="1389" w:type="dxa"/>
            <w:vAlign w:val="center"/>
          </w:tcPr>
          <w:p w14:paraId="7AEF18D9">
            <w:pPr>
              <w:rPr>
                <w:rFonts w:ascii="宋体" w:hAnsi="宋体" w:cs="宋体"/>
                <w:szCs w:val="21"/>
              </w:rPr>
            </w:pPr>
            <w:r>
              <w:rPr>
                <w:rFonts w:hint="eastAsia" w:ascii="宋体" w:hAnsi="宋体" w:cs="宋体"/>
                <w:szCs w:val="21"/>
              </w:rPr>
              <w:t>定标办法</w:t>
            </w:r>
          </w:p>
        </w:tc>
        <w:tc>
          <w:tcPr>
            <w:tcW w:w="8202" w:type="dxa"/>
            <w:vAlign w:val="center"/>
          </w:tcPr>
          <w:p w14:paraId="56322A30">
            <w:pPr>
              <w:rPr>
                <w:rFonts w:ascii="宋体" w:hAnsi="宋体" w:cs="宋体"/>
                <w:szCs w:val="21"/>
              </w:rPr>
            </w:pPr>
            <w:r>
              <w:rPr>
                <w:rFonts w:hint="eastAsia" w:ascii="宋体" w:hAnsi="宋体" w:cs="宋体"/>
                <w:szCs w:val="21"/>
              </w:rPr>
              <w:t>采购人根据磋商小组推荐的中标候选供应商顺序确定成交供应商。</w:t>
            </w:r>
          </w:p>
        </w:tc>
      </w:tr>
      <w:tr w14:paraId="6E34E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jc w:val="center"/>
        </w:trPr>
        <w:tc>
          <w:tcPr>
            <w:tcW w:w="665" w:type="dxa"/>
            <w:vAlign w:val="center"/>
          </w:tcPr>
          <w:p w14:paraId="63E09520">
            <w:pPr>
              <w:jc w:val="center"/>
              <w:rPr>
                <w:rFonts w:ascii="宋体" w:hAnsi="宋体" w:cs="宋体"/>
                <w:szCs w:val="21"/>
              </w:rPr>
            </w:pPr>
            <w:r>
              <w:rPr>
                <w:rFonts w:hint="eastAsia" w:ascii="宋体" w:hAnsi="宋体" w:cs="宋体"/>
                <w:szCs w:val="21"/>
              </w:rPr>
              <w:t>22</w:t>
            </w:r>
          </w:p>
        </w:tc>
        <w:tc>
          <w:tcPr>
            <w:tcW w:w="1389" w:type="dxa"/>
            <w:vAlign w:val="center"/>
          </w:tcPr>
          <w:p w14:paraId="55BE5D8E">
            <w:pPr>
              <w:rPr>
                <w:rFonts w:ascii="宋体" w:hAnsi="宋体" w:cs="宋体"/>
                <w:szCs w:val="21"/>
              </w:rPr>
            </w:pPr>
            <w:r>
              <w:rPr>
                <w:rFonts w:hint="eastAsia" w:ascii="宋体" w:hAnsi="宋体" w:cs="宋体"/>
                <w:szCs w:val="21"/>
              </w:rPr>
              <w:t>履约保证金</w:t>
            </w:r>
          </w:p>
        </w:tc>
        <w:tc>
          <w:tcPr>
            <w:tcW w:w="8202" w:type="dxa"/>
            <w:vAlign w:val="center"/>
          </w:tcPr>
          <w:p w14:paraId="5531DEED">
            <w:pPr>
              <w:jc w:val="left"/>
              <w:rPr>
                <w:rFonts w:ascii="宋体" w:hAnsi="宋体" w:cs="宋体"/>
                <w:szCs w:val="21"/>
              </w:rPr>
            </w:pPr>
            <w:r>
              <w:rPr>
                <w:rFonts w:hint="eastAsia" w:ascii="宋体" w:hAnsi="宋体" w:cs="宋体"/>
                <w:szCs w:val="21"/>
              </w:rPr>
              <w:t>□不提交，竞争性磋商文件中有关履约保证金的规定均不适用</w:t>
            </w:r>
          </w:p>
          <w:p w14:paraId="6B6131E6">
            <w:pPr>
              <w:jc w:val="left"/>
              <w:rPr>
                <w:rFonts w:ascii="宋体" w:hAnsi="宋体" w:cs="宋体"/>
                <w:szCs w:val="21"/>
              </w:rPr>
            </w:pPr>
            <w:r>
              <w:rPr>
                <w:rFonts w:hint="eastAsia" w:ascii="宋体" w:hAnsi="宋体" w:cs="宋体"/>
                <w:szCs w:val="21"/>
              </w:rPr>
              <w:t>☑提交</w:t>
            </w:r>
          </w:p>
          <w:p w14:paraId="6EAA13A0">
            <w:pPr>
              <w:jc w:val="left"/>
              <w:rPr>
                <w:rFonts w:ascii="宋体" w:hAnsi="宋体" w:cs="宋体"/>
                <w:szCs w:val="21"/>
              </w:rPr>
            </w:pPr>
            <w:r>
              <w:rPr>
                <w:rFonts w:hint="eastAsia" w:ascii="宋体" w:hAnsi="宋体" w:cs="宋体"/>
                <w:szCs w:val="21"/>
              </w:rPr>
              <w:t>金额：合同价的</w:t>
            </w:r>
            <w:r>
              <w:rPr>
                <w:rFonts w:ascii="宋体" w:hAnsi="宋体" w:cs="宋体"/>
                <w:szCs w:val="21"/>
              </w:rPr>
              <w:t>5</w:t>
            </w:r>
            <w:r>
              <w:rPr>
                <w:rFonts w:hint="eastAsia" w:ascii="宋体" w:hAnsi="宋体" w:cs="宋体"/>
                <w:szCs w:val="21"/>
              </w:rPr>
              <w:t xml:space="preserve">% </w:t>
            </w:r>
          </w:p>
          <w:p w14:paraId="41E6A067">
            <w:pPr>
              <w:pStyle w:val="27"/>
              <w:jc w:val="left"/>
              <w:rPr>
                <w:rFonts w:hAnsi="宋体" w:cs="宋体"/>
                <w:color w:val="000000" w:themeColor="text1"/>
                <w:szCs w:val="21"/>
                <w14:textFill>
                  <w14:solidFill>
                    <w14:schemeClr w14:val="tx1"/>
                  </w14:solidFill>
                </w14:textFill>
              </w:rPr>
            </w:pPr>
            <w:r>
              <w:rPr>
                <w:rFonts w:hint="eastAsia" w:hAnsi="宋体" w:cs="宋体"/>
                <w:szCs w:val="21"/>
              </w:rPr>
              <w:t>形式：</w:t>
            </w:r>
            <w:r>
              <w:rPr>
                <w:rFonts w:hint="eastAsia" w:hAnsi="宋体" w:cs="宋体"/>
                <w:color w:val="000000" w:themeColor="text1"/>
                <w:szCs w:val="21"/>
                <w14:textFill>
                  <w14:solidFill>
                    <w14:schemeClr w14:val="tx1"/>
                  </w14:solidFill>
                </w14:textFill>
              </w:rPr>
              <w:t>银行转账、保险公司保单或银行保函</w:t>
            </w:r>
          </w:p>
          <w:p w14:paraId="3E53765D">
            <w:pPr>
              <w:jc w:val="left"/>
              <w:rPr>
                <w:rFonts w:ascii="宋体" w:hAnsi="宋体" w:cs="宋体"/>
                <w:szCs w:val="21"/>
              </w:rPr>
            </w:pPr>
            <w:r>
              <w:rPr>
                <w:rFonts w:hint="eastAsia" w:ascii="宋体" w:hAnsi="宋体" w:cs="宋体"/>
                <w:color w:val="000000" w:themeColor="text1"/>
                <w:szCs w:val="21"/>
                <w14:textFill>
                  <w14:solidFill>
                    <w14:schemeClr w14:val="tx1"/>
                  </w14:solidFill>
                </w14:textFill>
              </w:rPr>
              <w:t>提交时间：收到成交通知书后，并在签订合同前提交</w:t>
            </w:r>
            <w:r>
              <w:rPr>
                <w:rFonts w:hint="eastAsia" w:ascii="宋体" w:hAnsi="宋体" w:cs="宋体"/>
                <w:color w:val="000000" w:themeColor="text1"/>
                <w:szCs w:val="21"/>
                <w14:textFill>
                  <w14:solidFill>
                    <w14:schemeClr w14:val="tx1"/>
                  </w14:solidFill>
                </w14:textFill>
              </w:rPr>
              <w:br w:type="textWrapping"/>
            </w:r>
            <w:r>
              <w:rPr>
                <w:rFonts w:hint="eastAsia" w:ascii="宋体" w:hAnsi="宋体" w:cs="宋体"/>
                <w:color w:val="000000" w:themeColor="text1"/>
                <w:szCs w:val="21"/>
                <w14:textFill>
                  <w14:solidFill>
                    <w14:schemeClr w14:val="tx1"/>
                  </w14:solidFill>
                </w14:textFill>
              </w:rPr>
              <w:t>退还时间：在成交人按承诺的工期、质量标准、规范要求完成项目后无息返还。</w:t>
            </w:r>
          </w:p>
        </w:tc>
      </w:tr>
      <w:tr w14:paraId="4A299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665" w:type="dxa"/>
            <w:vAlign w:val="center"/>
          </w:tcPr>
          <w:p w14:paraId="7580C13D">
            <w:pPr>
              <w:jc w:val="center"/>
              <w:rPr>
                <w:rFonts w:ascii="宋体" w:hAnsi="宋体" w:cs="宋体"/>
                <w:szCs w:val="21"/>
              </w:rPr>
            </w:pPr>
            <w:r>
              <w:rPr>
                <w:rFonts w:hint="eastAsia" w:ascii="宋体" w:hAnsi="宋体" w:cs="宋体"/>
                <w:szCs w:val="21"/>
              </w:rPr>
              <w:t>23</w:t>
            </w:r>
          </w:p>
        </w:tc>
        <w:tc>
          <w:tcPr>
            <w:tcW w:w="1389" w:type="dxa"/>
            <w:vAlign w:val="center"/>
          </w:tcPr>
          <w:p w14:paraId="472A86CB">
            <w:pPr>
              <w:rPr>
                <w:rFonts w:ascii="宋体" w:hAnsi="宋体" w:cs="宋体"/>
                <w:szCs w:val="21"/>
              </w:rPr>
            </w:pPr>
            <w:r>
              <w:rPr>
                <w:rFonts w:hint="eastAsia" w:ascii="宋体" w:hAnsi="宋体" w:cs="宋体"/>
                <w:szCs w:val="21"/>
              </w:rPr>
              <w:t>签订合同</w:t>
            </w:r>
          </w:p>
        </w:tc>
        <w:tc>
          <w:tcPr>
            <w:tcW w:w="8202" w:type="dxa"/>
            <w:vAlign w:val="center"/>
          </w:tcPr>
          <w:p w14:paraId="15244AA7">
            <w:pPr>
              <w:rPr>
                <w:rFonts w:ascii="宋体" w:hAnsi="宋体" w:cs="宋体"/>
                <w:szCs w:val="21"/>
              </w:rPr>
            </w:pPr>
            <w:r>
              <w:rPr>
                <w:rFonts w:hint="eastAsia" w:ascii="宋体" w:hAnsi="宋体" w:cs="宋体"/>
                <w:szCs w:val="21"/>
              </w:rPr>
              <w:t>依据苏财购【2020】52号文件精神，成交通知书发出之日起</w:t>
            </w:r>
            <w:r>
              <w:rPr>
                <w:rFonts w:hint="eastAsia" w:ascii="宋体" w:hAnsi="宋体" w:cs="宋体"/>
                <w:szCs w:val="21"/>
                <w:u w:val="single"/>
              </w:rPr>
              <w:t xml:space="preserve"> </w:t>
            </w:r>
            <w:r>
              <w:rPr>
                <w:rFonts w:ascii="宋体" w:hAnsi="宋体" w:cs="宋体"/>
                <w:szCs w:val="21"/>
                <w:u w:val="single"/>
              </w:rPr>
              <w:t>30</w:t>
            </w:r>
            <w:r>
              <w:rPr>
                <w:rFonts w:hint="eastAsia" w:ascii="宋体" w:hAnsi="宋体" w:cs="宋体"/>
                <w:szCs w:val="21"/>
                <w:u w:val="single"/>
              </w:rPr>
              <w:t xml:space="preserve"> </w:t>
            </w:r>
            <w:r>
              <w:rPr>
                <w:rFonts w:hint="eastAsia" w:ascii="宋体" w:hAnsi="宋体" w:cs="宋体"/>
                <w:szCs w:val="21"/>
              </w:rPr>
              <w:t>日内</w:t>
            </w:r>
          </w:p>
          <w:p w14:paraId="7D4227DF">
            <w:pPr>
              <w:rPr>
                <w:rFonts w:ascii="宋体" w:hAnsi="宋体" w:cs="宋体"/>
                <w:szCs w:val="21"/>
              </w:rPr>
            </w:pPr>
            <w:r>
              <w:rPr>
                <w:rFonts w:hint="eastAsia" w:ascii="宋体" w:hAnsi="宋体" w:cs="宋体"/>
                <w:szCs w:val="21"/>
              </w:rPr>
              <w:t>签订合同地点：泰州市姜堰区蒋垛镇人民政府</w:t>
            </w:r>
          </w:p>
        </w:tc>
      </w:tr>
      <w:tr w14:paraId="3BDC2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7" w:hRule="atLeast"/>
          <w:jc w:val="center"/>
        </w:trPr>
        <w:tc>
          <w:tcPr>
            <w:tcW w:w="665" w:type="dxa"/>
            <w:vAlign w:val="center"/>
          </w:tcPr>
          <w:p w14:paraId="34062120">
            <w:pPr>
              <w:jc w:val="center"/>
              <w:rPr>
                <w:rFonts w:ascii="宋体" w:hAnsi="宋体" w:cs="宋体"/>
                <w:szCs w:val="21"/>
              </w:rPr>
            </w:pPr>
            <w:r>
              <w:rPr>
                <w:rFonts w:hint="eastAsia" w:ascii="宋体" w:hAnsi="宋体" w:cs="宋体"/>
                <w:szCs w:val="21"/>
              </w:rPr>
              <w:t>24</w:t>
            </w:r>
          </w:p>
        </w:tc>
        <w:tc>
          <w:tcPr>
            <w:tcW w:w="1389" w:type="dxa"/>
            <w:vAlign w:val="center"/>
          </w:tcPr>
          <w:p w14:paraId="6A218490">
            <w:pPr>
              <w:rPr>
                <w:rFonts w:ascii="宋体" w:hAnsi="宋体" w:cs="宋体"/>
                <w:szCs w:val="21"/>
              </w:rPr>
            </w:pPr>
            <w:r>
              <w:rPr>
                <w:rFonts w:hint="eastAsia" w:ascii="宋体" w:hAnsi="宋体" w:cs="宋体"/>
                <w:szCs w:val="21"/>
              </w:rPr>
              <w:t>付款方式</w:t>
            </w:r>
          </w:p>
        </w:tc>
        <w:tc>
          <w:tcPr>
            <w:tcW w:w="8202" w:type="dxa"/>
            <w:vAlign w:val="center"/>
          </w:tcPr>
          <w:p w14:paraId="52BF7616">
            <w:pPr>
              <w:rPr>
                <w:rFonts w:ascii="宋体" w:hAnsi="宋体" w:cs="宋体"/>
                <w:b/>
                <w:bCs/>
                <w:szCs w:val="21"/>
              </w:rPr>
            </w:pPr>
            <w:r>
              <w:rPr>
                <w:rFonts w:hint="eastAsia" w:ascii="宋体" w:hAnsi="宋体" w:cs="宋体"/>
                <w:szCs w:val="21"/>
              </w:rPr>
              <w:t>工程全部竣工经验收合格并经审计后付至审定价（扣除暂列金额）的95%，余款从验收合格之日起满一年付清(不计利息)。</w:t>
            </w:r>
          </w:p>
        </w:tc>
      </w:tr>
      <w:tr w14:paraId="0801E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665" w:type="dxa"/>
            <w:vAlign w:val="center"/>
          </w:tcPr>
          <w:p w14:paraId="6183267A">
            <w:pPr>
              <w:jc w:val="center"/>
              <w:rPr>
                <w:rFonts w:ascii="宋体" w:hAnsi="宋体" w:cs="宋体"/>
                <w:szCs w:val="21"/>
              </w:rPr>
            </w:pPr>
            <w:r>
              <w:rPr>
                <w:rFonts w:hint="eastAsia" w:ascii="宋体" w:hAnsi="宋体" w:cs="宋体"/>
                <w:szCs w:val="21"/>
              </w:rPr>
              <w:t>25</w:t>
            </w:r>
          </w:p>
        </w:tc>
        <w:tc>
          <w:tcPr>
            <w:tcW w:w="1389" w:type="dxa"/>
            <w:vAlign w:val="center"/>
          </w:tcPr>
          <w:p w14:paraId="66B03C0E">
            <w:pPr>
              <w:spacing w:line="360" w:lineRule="auto"/>
              <w:rPr>
                <w:rFonts w:ascii="宋体" w:hAnsi="宋体" w:cs="宋体"/>
                <w:b/>
                <w:color w:val="000000"/>
                <w:szCs w:val="21"/>
              </w:rPr>
            </w:pPr>
            <w:r>
              <w:rPr>
                <w:rFonts w:hint="eastAsia" w:ascii="宋体" w:hAnsi="宋体" w:cs="宋体"/>
                <w:b/>
                <w:color w:val="000000"/>
                <w:szCs w:val="21"/>
              </w:rPr>
              <w:t>结算方式：</w:t>
            </w:r>
          </w:p>
          <w:p w14:paraId="0E4FBE2B">
            <w:pPr>
              <w:spacing w:line="360" w:lineRule="exact"/>
              <w:jc w:val="center"/>
              <w:rPr>
                <w:rFonts w:ascii="宋体" w:hAnsi="宋体" w:cs="宋体"/>
                <w:szCs w:val="21"/>
              </w:rPr>
            </w:pPr>
          </w:p>
        </w:tc>
        <w:tc>
          <w:tcPr>
            <w:tcW w:w="8202" w:type="dxa"/>
            <w:vAlign w:val="center"/>
          </w:tcPr>
          <w:p w14:paraId="7D1326CA">
            <w:pPr>
              <w:ind w:firstLine="420"/>
              <w:rPr>
                <w:rFonts w:ascii="宋体" w:hAnsi="宋体" w:cs="宋体"/>
                <w:szCs w:val="21"/>
              </w:rPr>
            </w:pPr>
            <w:r>
              <w:rPr>
                <w:rFonts w:hint="eastAsia" w:ascii="宋体" w:hAnsi="宋体" w:cs="宋体"/>
                <w:szCs w:val="21"/>
              </w:rPr>
              <w:t>结算依据：后期结算仅调整经采购人批准变更(包括增加施工内容或取消部分施工项目)的相应费用增减，具体调整方式为：</w:t>
            </w:r>
          </w:p>
          <w:p w14:paraId="0C855D8B">
            <w:pPr>
              <w:ind w:firstLine="420"/>
              <w:rPr>
                <w:rFonts w:ascii="宋体" w:hAnsi="宋体" w:cs="宋体"/>
                <w:szCs w:val="21"/>
              </w:rPr>
            </w:pPr>
            <w:r>
              <w:rPr>
                <w:rFonts w:hint="eastAsia" w:ascii="宋体" w:hAnsi="宋体" w:cs="宋体"/>
                <w:szCs w:val="21"/>
              </w:rPr>
              <w:t>(1)涉及工程数量减少的，以实际减少数量为准，涉及工程数量增加的，以实际增加数量为准；</w:t>
            </w:r>
          </w:p>
          <w:p w14:paraId="6566DA47">
            <w:pPr>
              <w:ind w:firstLine="420"/>
            </w:pPr>
            <w:r>
              <w:rPr>
                <w:rFonts w:hint="eastAsia" w:ascii="宋体" w:hAnsi="宋体" w:cs="宋体"/>
                <w:szCs w:val="21"/>
              </w:rPr>
              <w:t>(2)凡涉及工程数量增减的，其价格按原清单报价进行费用的调增或调减，并按第二轮报价与第一轮报价的折扣比例结算。如有增项，工程清单未列入的内容需重新核定，按现行计价规范计算单价并按第二轮报价与招标控制价的折扣比例结算。</w:t>
            </w:r>
          </w:p>
        </w:tc>
      </w:tr>
      <w:tr w14:paraId="7384E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9" w:hRule="atLeast"/>
          <w:jc w:val="center"/>
        </w:trPr>
        <w:tc>
          <w:tcPr>
            <w:tcW w:w="665" w:type="dxa"/>
            <w:vAlign w:val="center"/>
          </w:tcPr>
          <w:p w14:paraId="08B4523E">
            <w:pPr>
              <w:jc w:val="center"/>
              <w:rPr>
                <w:rFonts w:ascii="宋体" w:hAnsi="宋体" w:cs="宋体"/>
                <w:szCs w:val="21"/>
              </w:rPr>
            </w:pPr>
            <w:r>
              <w:rPr>
                <w:rFonts w:hint="eastAsia" w:ascii="宋体" w:hAnsi="宋体" w:cs="宋体"/>
                <w:szCs w:val="21"/>
              </w:rPr>
              <w:t>26</w:t>
            </w:r>
          </w:p>
        </w:tc>
        <w:tc>
          <w:tcPr>
            <w:tcW w:w="1389" w:type="dxa"/>
            <w:vAlign w:val="center"/>
          </w:tcPr>
          <w:p w14:paraId="6C90D3D1">
            <w:pPr>
              <w:rPr>
                <w:rFonts w:ascii="宋体" w:hAnsi="宋体" w:cs="宋体"/>
                <w:szCs w:val="21"/>
              </w:rPr>
            </w:pPr>
            <w:r>
              <w:rPr>
                <w:rFonts w:hint="eastAsia" w:ascii="宋体" w:hAnsi="宋体" w:cs="宋体"/>
                <w:szCs w:val="21"/>
              </w:rPr>
              <w:t>农民工工资</w:t>
            </w:r>
          </w:p>
        </w:tc>
        <w:tc>
          <w:tcPr>
            <w:tcW w:w="8202" w:type="dxa"/>
            <w:vAlign w:val="center"/>
          </w:tcPr>
          <w:p w14:paraId="3D602803">
            <w:pPr>
              <w:ind w:firstLine="420"/>
              <w:rPr>
                <w:rFonts w:ascii="宋体" w:hAnsi="宋体" w:cs="宋体"/>
                <w:szCs w:val="21"/>
              </w:rPr>
            </w:pPr>
            <w:r>
              <w:rPr>
                <w:rFonts w:hint="eastAsia" w:ascii="宋体" w:hAnsi="宋体" w:cs="宋体"/>
                <w:szCs w:val="21"/>
              </w:rPr>
              <w:t>成交供应商应严格按照《国务院办公厅关于全面治理拖欠农民工工资问题的意见》、《省政府办公厅关于全面治理拖欠农民工工资问题的实施意见》、《江苏省工程建设领域农民工工资支付管理办法》、苏人社规【2022】3号《江苏省工程建设领域农民工工资专用账户管理细则》、苏人社规【2022】4号《江苏省工程建设领域农民工工资保证金管理办法》、《泰州市交通运输局关于开展全面治理拖欠农民工工资问题的实施方案》的意见，不得拖欠农民工工资。</w:t>
            </w:r>
          </w:p>
          <w:p w14:paraId="27EF1C26">
            <w:pPr>
              <w:ind w:firstLine="420"/>
              <w:rPr>
                <w:rFonts w:ascii="宋体" w:hAnsi="宋体" w:cs="宋体"/>
                <w:szCs w:val="21"/>
              </w:rPr>
            </w:pPr>
            <w:r>
              <w:rPr>
                <w:rFonts w:hint="eastAsia" w:ascii="宋体" w:hAnsi="宋体" w:cs="宋体"/>
                <w:szCs w:val="21"/>
              </w:rPr>
              <w:t>成交供应商须在合同签订前向采购人指定账户缴纳农民工工资保证金，农民工工资保证金金额缴存按《江苏省工程建设领域农民工工资支付管理办法》执行.</w:t>
            </w:r>
          </w:p>
          <w:p w14:paraId="482F4B65">
            <w:pPr>
              <w:ind w:firstLine="420"/>
              <w:rPr>
                <w:rFonts w:ascii="宋体" w:hAnsi="宋体" w:cs="宋体"/>
                <w:szCs w:val="21"/>
              </w:rPr>
            </w:pPr>
            <w:r>
              <w:rPr>
                <w:rFonts w:hint="eastAsia" w:ascii="宋体" w:hAnsi="宋体" w:cs="宋体"/>
                <w:szCs w:val="21"/>
              </w:rPr>
              <w:t>成交供应商签订采购合同后，一个月内向采购人提交与银行签订的农民工工资支付的账户协议。</w:t>
            </w:r>
          </w:p>
        </w:tc>
      </w:tr>
      <w:tr w14:paraId="419D8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8" w:hRule="atLeast"/>
          <w:jc w:val="center"/>
        </w:trPr>
        <w:tc>
          <w:tcPr>
            <w:tcW w:w="665" w:type="dxa"/>
            <w:vAlign w:val="center"/>
          </w:tcPr>
          <w:p w14:paraId="520A3B86">
            <w:pPr>
              <w:jc w:val="center"/>
              <w:rPr>
                <w:rFonts w:ascii="宋体" w:hAnsi="宋体" w:cs="宋体"/>
                <w:szCs w:val="21"/>
              </w:rPr>
            </w:pPr>
            <w:r>
              <w:rPr>
                <w:rFonts w:ascii="宋体" w:hAnsi="宋体" w:cs="宋体"/>
                <w:szCs w:val="21"/>
              </w:rPr>
              <w:t>27</w:t>
            </w:r>
          </w:p>
        </w:tc>
        <w:tc>
          <w:tcPr>
            <w:tcW w:w="1389" w:type="dxa"/>
            <w:vAlign w:val="center"/>
          </w:tcPr>
          <w:p w14:paraId="57A017BE">
            <w:pPr>
              <w:rPr>
                <w:rFonts w:ascii="宋体" w:hAnsi="宋体" w:cs="宋体"/>
                <w:szCs w:val="21"/>
              </w:rPr>
            </w:pPr>
            <w:r>
              <w:rPr>
                <w:rFonts w:hint="eastAsia" w:ascii="宋体" w:hAnsi="宋体" w:cs="宋体"/>
                <w:szCs w:val="21"/>
              </w:rPr>
              <w:t>代理服务费</w:t>
            </w:r>
          </w:p>
        </w:tc>
        <w:tc>
          <w:tcPr>
            <w:tcW w:w="8202" w:type="dxa"/>
            <w:vAlign w:val="center"/>
          </w:tcPr>
          <w:p w14:paraId="06D373EA">
            <w:pPr>
              <w:ind w:firstLine="210"/>
              <w:rPr>
                <w:rFonts w:ascii="宋体" w:hAnsi="宋体" w:cs="宋体"/>
                <w:szCs w:val="21"/>
              </w:rPr>
            </w:pPr>
            <w:r>
              <w:rPr>
                <w:rFonts w:hint="eastAsia" w:ascii="宋体" w:hAnsi="宋体" w:cs="宋体"/>
                <w:color w:val="000000" w:themeColor="text1"/>
                <w:szCs w:val="21"/>
                <w14:textFill>
                  <w14:solidFill>
                    <w14:schemeClr w14:val="tx1"/>
                  </w14:solidFill>
                </w14:textFill>
              </w:rPr>
              <w:t>本项目招标代理服务费参照“《江苏省政府采购代理服务收费指导意见》的通知（苏政采协【2024】20号）”文件收费标准收取（差额累进），由成交供应商在领取成交通知书时向本公司缴纳。</w:t>
            </w:r>
          </w:p>
          <w:tbl>
            <w:tblPr>
              <w:tblStyle w:val="55"/>
              <w:tblW w:w="8199" w:type="dxa"/>
              <w:tblInd w:w="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25"/>
              <w:gridCol w:w="2774"/>
            </w:tblGrid>
            <w:tr w14:paraId="6AD35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5425" w:type="dxa"/>
                  <w:vAlign w:val="center"/>
                </w:tcPr>
                <w:p w14:paraId="69A4C5C4">
                  <w:pPr>
                    <w:pStyle w:val="27"/>
                    <w:spacing w:line="360" w:lineRule="auto"/>
                    <w:jc w:val="center"/>
                    <w:rPr>
                      <w:rFonts w:hAnsi="宋体" w:cs="宋体"/>
                      <w:szCs w:val="21"/>
                    </w:rPr>
                  </w:pPr>
                  <w:r>
                    <w:rPr>
                      <w:rFonts w:hint="eastAsia" w:hAnsi="宋体" w:cs="宋体"/>
                      <w:szCs w:val="21"/>
                    </w:rPr>
                    <w:t>中标金额</w:t>
                  </w:r>
                </w:p>
              </w:tc>
              <w:tc>
                <w:tcPr>
                  <w:tcW w:w="2774" w:type="dxa"/>
                  <w:vAlign w:val="center"/>
                </w:tcPr>
                <w:p w14:paraId="6BE20B1C">
                  <w:pPr>
                    <w:pStyle w:val="27"/>
                    <w:spacing w:line="360" w:lineRule="auto"/>
                    <w:jc w:val="center"/>
                    <w:rPr>
                      <w:rFonts w:hAnsi="宋体" w:cs="宋体"/>
                      <w:szCs w:val="21"/>
                    </w:rPr>
                  </w:pPr>
                  <w:r>
                    <w:rPr>
                      <w:rFonts w:hint="eastAsia" w:hAnsi="宋体" w:cs="宋体"/>
                      <w:szCs w:val="21"/>
                    </w:rPr>
                    <w:t>费率</w:t>
                  </w:r>
                </w:p>
              </w:tc>
            </w:tr>
            <w:tr w14:paraId="39E01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5425" w:type="dxa"/>
                  <w:vAlign w:val="center"/>
                </w:tcPr>
                <w:p w14:paraId="5475042B">
                  <w:pPr>
                    <w:pStyle w:val="27"/>
                    <w:spacing w:line="360" w:lineRule="auto"/>
                    <w:jc w:val="center"/>
                    <w:rPr>
                      <w:rFonts w:hAnsi="宋体" w:cs="宋体"/>
                      <w:szCs w:val="21"/>
                    </w:rPr>
                  </w:pPr>
                  <w:r>
                    <w:rPr>
                      <w:rFonts w:hint="eastAsia" w:hAnsi="宋体" w:cs="宋体"/>
                      <w:szCs w:val="21"/>
                    </w:rPr>
                    <w:t>50万元以下(含50万元)</w:t>
                  </w:r>
                </w:p>
              </w:tc>
              <w:tc>
                <w:tcPr>
                  <w:tcW w:w="2774" w:type="dxa"/>
                  <w:vAlign w:val="center"/>
                </w:tcPr>
                <w:p w14:paraId="37F26570">
                  <w:pPr>
                    <w:pStyle w:val="27"/>
                    <w:spacing w:line="360" w:lineRule="auto"/>
                    <w:jc w:val="center"/>
                    <w:rPr>
                      <w:rFonts w:hAnsi="宋体" w:cs="宋体"/>
                      <w:szCs w:val="21"/>
                    </w:rPr>
                  </w:pPr>
                  <w:r>
                    <w:rPr>
                      <w:rFonts w:hint="eastAsia" w:hAnsi="宋体" w:cs="宋体"/>
                      <w:szCs w:val="21"/>
                    </w:rPr>
                    <w:t>1.6%</w:t>
                  </w:r>
                </w:p>
              </w:tc>
            </w:tr>
            <w:tr w14:paraId="75BCB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5425" w:type="dxa"/>
                  <w:vAlign w:val="center"/>
                </w:tcPr>
                <w:p w14:paraId="55B5FC72">
                  <w:pPr>
                    <w:pStyle w:val="27"/>
                    <w:spacing w:line="360" w:lineRule="auto"/>
                    <w:jc w:val="center"/>
                    <w:rPr>
                      <w:rFonts w:hAnsi="宋体" w:cs="宋体"/>
                      <w:szCs w:val="21"/>
                    </w:rPr>
                  </w:pPr>
                  <w:r>
                    <w:rPr>
                      <w:rFonts w:hint="eastAsia" w:hAnsi="宋体" w:cs="宋体"/>
                      <w:szCs w:val="21"/>
                    </w:rPr>
                    <w:t>50万元-400万元(含400万元)</w:t>
                  </w:r>
                </w:p>
              </w:tc>
              <w:tc>
                <w:tcPr>
                  <w:tcW w:w="2774" w:type="dxa"/>
                  <w:vAlign w:val="center"/>
                </w:tcPr>
                <w:p w14:paraId="6318A670">
                  <w:pPr>
                    <w:pStyle w:val="27"/>
                    <w:spacing w:line="360" w:lineRule="auto"/>
                    <w:jc w:val="center"/>
                    <w:rPr>
                      <w:rFonts w:hAnsi="宋体" w:cs="宋体"/>
                      <w:szCs w:val="21"/>
                    </w:rPr>
                  </w:pPr>
                  <w:r>
                    <w:rPr>
                      <w:rFonts w:hint="eastAsia" w:hAnsi="宋体" w:cs="宋体"/>
                      <w:szCs w:val="21"/>
                    </w:rPr>
                    <w:t>1.5%</w:t>
                  </w:r>
                </w:p>
              </w:tc>
            </w:tr>
            <w:tr w14:paraId="72BD5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8199" w:type="dxa"/>
                  <w:gridSpan w:val="2"/>
                  <w:vAlign w:val="center"/>
                </w:tcPr>
                <w:p w14:paraId="0C69BD7F">
                  <w:pPr>
                    <w:pStyle w:val="27"/>
                    <w:tabs>
                      <w:tab w:val="left" w:pos="603"/>
                    </w:tabs>
                    <w:spacing w:line="360" w:lineRule="auto"/>
                    <w:jc w:val="left"/>
                    <w:rPr>
                      <w:rFonts w:hAnsi="宋体" w:cs="宋体"/>
                      <w:szCs w:val="21"/>
                    </w:rPr>
                  </w:pPr>
                  <w:r>
                    <w:rPr>
                      <w:rFonts w:hint="eastAsia" w:hAnsi="宋体" w:cs="宋体"/>
                      <w:szCs w:val="21"/>
                    </w:rPr>
                    <w:t>注：招标代理服务收费按差额定率分档累进法计算，收费标准的计算基数为中标金额。</w:t>
                  </w:r>
                </w:p>
              </w:tc>
            </w:tr>
          </w:tbl>
          <w:p w14:paraId="57154090">
            <w:pPr>
              <w:pStyle w:val="27"/>
              <w:rPr>
                <w:rFonts w:hAnsi="宋体" w:cs="宋体"/>
                <w:szCs w:val="21"/>
              </w:rPr>
            </w:pPr>
          </w:p>
        </w:tc>
      </w:tr>
      <w:tr w14:paraId="22C48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jc w:val="center"/>
        </w:trPr>
        <w:tc>
          <w:tcPr>
            <w:tcW w:w="665" w:type="dxa"/>
            <w:vAlign w:val="center"/>
          </w:tcPr>
          <w:p w14:paraId="3A74D734">
            <w:pPr>
              <w:jc w:val="center"/>
              <w:rPr>
                <w:rFonts w:ascii="宋体" w:hAnsi="宋体" w:cs="宋体"/>
                <w:szCs w:val="21"/>
              </w:rPr>
            </w:pPr>
            <w:r>
              <w:rPr>
                <w:rFonts w:hint="eastAsia" w:ascii="宋体" w:hAnsi="宋体" w:cs="宋体"/>
                <w:szCs w:val="21"/>
              </w:rPr>
              <w:t>2</w:t>
            </w:r>
            <w:r>
              <w:rPr>
                <w:rFonts w:ascii="宋体" w:hAnsi="宋体" w:cs="宋体"/>
                <w:szCs w:val="21"/>
              </w:rPr>
              <w:t>8</w:t>
            </w:r>
          </w:p>
        </w:tc>
        <w:tc>
          <w:tcPr>
            <w:tcW w:w="1389" w:type="dxa"/>
            <w:vAlign w:val="center"/>
          </w:tcPr>
          <w:p w14:paraId="00A5C28D">
            <w:pPr>
              <w:rPr>
                <w:rFonts w:ascii="宋体" w:hAnsi="宋体" w:cs="宋体"/>
                <w:szCs w:val="21"/>
              </w:rPr>
            </w:pPr>
            <w:r>
              <w:rPr>
                <w:rFonts w:hint="eastAsia" w:ascii="宋体" w:hAnsi="宋体" w:cs="宋体"/>
                <w:szCs w:val="21"/>
              </w:rPr>
              <w:t>行业类别</w:t>
            </w:r>
          </w:p>
        </w:tc>
        <w:tc>
          <w:tcPr>
            <w:tcW w:w="8202" w:type="dxa"/>
            <w:vAlign w:val="center"/>
          </w:tcPr>
          <w:p w14:paraId="6348968B">
            <w:pPr>
              <w:spacing w:line="320" w:lineRule="exact"/>
              <w:ind w:firstLine="210"/>
              <w:rPr>
                <w:rFonts w:ascii="宋体" w:hAnsi="宋体" w:cs="宋体"/>
                <w:szCs w:val="21"/>
              </w:rPr>
            </w:pPr>
            <w:r>
              <w:rPr>
                <w:rFonts w:hint="eastAsia" w:ascii="宋体" w:hAnsi="宋体" w:cs="宋体"/>
                <w:szCs w:val="21"/>
              </w:rPr>
              <w:t>参照《关于印发中小企业划型标准规定的通知》（工信部联企业〔2011〕300号）文件，本项目采购标的所属行业为</w:t>
            </w:r>
            <w:r>
              <w:rPr>
                <w:rFonts w:hint="eastAsia" w:ascii="宋体" w:hAnsi="宋体" w:cs="宋体"/>
                <w:szCs w:val="21"/>
                <w:u w:val="single"/>
              </w:rPr>
              <w:t>工业</w:t>
            </w:r>
            <w:r>
              <w:rPr>
                <w:rFonts w:hint="eastAsia" w:ascii="宋体" w:hAnsi="宋体" w:cs="宋体"/>
                <w:szCs w:val="21"/>
              </w:rPr>
              <w:t>。</w:t>
            </w:r>
          </w:p>
        </w:tc>
      </w:tr>
      <w:tr w14:paraId="2EF12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 w:hRule="atLeast"/>
          <w:jc w:val="center"/>
        </w:trPr>
        <w:tc>
          <w:tcPr>
            <w:tcW w:w="665" w:type="dxa"/>
            <w:vAlign w:val="center"/>
          </w:tcPr>
          <w:p w14:paraId="68C1A9EE">
            <w:pPr>
              <w:jc w:val="center"/>
              <w:rPr>
                <w:rFonts w:ascii="宋体" w:hAnsi="宋体" w:cs="宋体"/>
                <w:szCs w:val="21"/>
              </w:rPr>
            </w:pPr>
            <w:r>
              <w:rPr>
                <w:rFonts w:ascii="宋体" w:hAnsi="宋体" w:cs="宋体"/>
                <w:szCs w:val="21"/>
              </w:rPr>
              <w:t>29</w:t>
            </w:r>
          </w:p>
        </w:tc>
        <w:tc>
          <w:tcPr>
            <w:tcW w:w="1389" w:type="dxa"/>
            <w:vAlign w:val="center"/>
          </w:tcPr>
          <w:p w14:paraId="0C53D253">
            <w:pPr>
              <w:pBdr>
                <w:top w:val="none" w:color="000000" w:sz="0" w:space="0"/>
                <w:left w:val="none" w:color="000000" w:sz="0" w:space="0"/>
                <w:bottom w:val="none" w:color="000000" w:sz="0" w:space="0"/>
                <w:right w:val="none" w:color="000000" w:sz="0" w:space="0"/>
              </w:pBdr>
              <w:spacing w:line="360" w:lineRule="atLeast"/>
              <w:rPr>
                <w:rFonts w:ascii="宋体" w:hAnsi="宋体" w:cs="宋体"/>
                <w:color w:val="000000"/>
                <w:szCs w:val="21"/>
              </w:rPr>
            </w:pPr>
            <w:r>
              <w:rPr>
                <w:rFonts w:hint="eastAsia" w:ascii="宋体" w:hAnsi="宋体" w:cs="宋体"/>
                <w:color w:val="000000"/>
                <w:szCs w:val="21"/>
              </w:rPr>
              <w:t>政策功能</w:t>
            </w:r>
          </w:p>
          <w:p w14:paraId="09F92DBB">
            <w:pPr>
              <w:spacing w:line="360" w:lineRule="auto"/>
              <w:rPr>
                <w:rFonts w:ascii="宋体" w:hAnsi="宋体" w:cs="宋体"/>
                <w:szCs w:val="21"/>
              </w:rPr>
            </w:pPr>
          </w:p>
        </w:tc>
        <w:tc>
          <w:tcPr>
            <w:tcW w:w="8202" w:type="dxa"/>
            <w:vAlign w:val="center"/>
          </w:tcPr>
          <w:p w14:paraId="16E9993C">
            <w:pPr>
              <w:ind w:firstLine="420"/>
              <w:rPr>
                <w:rFonts w:ascii="宋体" w:hAnsi="宋体" w:cs="宋体"/>
                <w:szCs w:val="21"/>
              </w:rPr>
            </w:pPr>
            <w:r>
              <w:rPr>
                <w:rFonts w:hint="eastAsia" w:ascii="宋体" w:hAnsi="宋体" w:cs="宋体"/>
                <w:szCs w:val="21"/>
              </w:rPr>
              <w:t>1、小、微型企业：根据财政部工业和信息化部关于印发《政府采购促进中小企业发展管理办法》的通知（财库〔2020〕46号）的相关规定及江苏省财政厅《江苏省财政厅关于进一步加大政府采购支持中小企业力度的通知》（苏财购〔2022〕45号）执行。如供应商认定本企业为小型、微型企业，则需根据《中小企业划型标准规定》（工信部联企业〔2011〕300号）提交《中小企业声明函》并加盖公章，未提交则不享受相关小微企业价格扣除政策。</w:t>
            </w:r>
          </w:p>
          <w:p w14:paraId="5CBC3F88">
            <w:pPr>
              <w:ind w:firstLine="420"/>
              <w:rPr>
                <w:rFonts w:ascii="宋体" w:hAnsi="宋体" w:cs="宋体"/>
                <w:szCs w:val="21"/>
              </w:rPr>
            </w:pPr>
            <w:r>
              <w:rPr>
                <w:rFonts w:hint="eastAsia" w:ascii="宋体" w:hAnsi="宋体" w:cs="宋体"/>
                <w:szCs w:val="21"/>
              </w:rPr>
              <w:t>2、残疾人福利性单位：根据《三部门联合发布关于促进残疾人就业政府采购政策的通知》（财库〔2017〕141号）的相关规定执行。如供应商为残疾人福利性单位，则视同小型企业，享受评审中价格扣除政策。残疾人福利性单位属于小型、微型企业的，不重复享受政策。如供应商认定本企业为残疾人福利性单位，应提交《残疾人福利性单位声明函》并加盖公章，未提交则不享受相关价格扣除政策。</w:t>
            </w:r>
          </w:p>
          <w:p w14:paraId="2585DE26">
            <w:pPr>
              <w:ind w:firstLine="420"/>
              <w:rPr>
                <w:rFonts w:ascii="宋体" w:hAnsi="宋体" w:cs="宋体"/>
                <w:szCs w:val="21"/>
              </w:rPr>
            </w:pPr>
            <w:r>
              <w:rPr>
                <w:rFonts w:hint="eastAsia" w:ascii="宋体" w:hAnsi="宋体" w:cs="宋体"/>
                <w:szCs w:val="21"/>
              </w:rPr>
              <w:t>3、监狱企业:根据《财政部司法部关于政府采购支持监狱企业发展有关问题的通知》（财库〔2014〕68号）的相关规定执行。如供应商为监狱企业，应当提供由省级以上监狱管理局、戒毒管理局（含新疆生产建设兵团）出具的属于监狱企业的证明文件，则视同小型企业，享受评审中价格扣除政策，未提交则不享受相关价格扣除政策。监狱企业属于小型、微型企业的，不重复享受政策。</w:t>
            </w:r>
          </w:p>
          <w:p w14:paraId="24A506C6">
            <w:pPr>
              <w:ind w:firstLine="420"/>
              <w:rPr>
                <w:rFonts w:ascii="宋体" w:hAnsi="宋体" w:cs="宋体"/>
                <w:szCs w:val="21"/>
              </w:rPr>
            </w:pPr>
            <w:r>
              <w:rPr>
                <w:rFonts w:hint="eastAsia" w:ascii="宋体" w:hAnsi="宋体" w:cs="宋体"/>
                <w:szCs w:val="21"/>
              </w:rPr>
              <w:t>4、绿色采购：根据《关于调整优化节能产品、环境标志产品政府采购执行机制的通知》（财库〔2019〕9号）、《财政部、生态环境部关于印发环境标志产品政府采购品目清单的通知》（财库〔2019〕18号）、《江苏省财政厅关于加强政府绿色采购有关事项的通知》（苏财购〔2023〕65号）等相关文件的规定，对属于《节能产品政府采购品目清单》政府强制采购产品的，按文件执行。</w:t>
            </w:r>
          </w:p>
          <w:p w14:paraId="08FE011F">
            <w:pPr>
              <w:ind w:firstLine="420"/>
              <w:rPr>
                <w:rFonts w:ascii="宋体" w:hAnsi="宋体" w:cs="宋体"/>
                <w:szCs w:val="21"/>
              </w:rPr>
            </w:pPr>
            <w:r>
              <w:rPr>
                <w:rFonts w:hint="eastAsia" w:ascii="宋体" w:hAnsi="宋体" w:cs="宋体"/>
                <w:szCs w:val="21"/>
              </w:rPr>
              <w:t>5、若供应商提供的《中小企业声明函》、《残疾人福利性单位声明函》及监狱企业认定证明等材料为虚假材料，按《政府采购法》相关规定处理并报请政府采购监管部门给予行政处罚。</w:t>
            </w:r>
          </w:p>
          <w:p w14:paraId="6E2CBAFF">
            <w:pPr>
              <w:ind w:firstLine="420"/>
              <w:rPr>
                <w:rFonts w:ascii="宋体" w:hAnsi="宋体" w:cs="宋体"/>
                <w:szCs w:val="21"/>
              </w:rPr>
            </w:pPr>
            <w:r>
              <w:rPr>
                <w:rFonts w:hint="eastAsia" w:ascii="宋体" w:hAnsi="宋体" w:cs="宋体"/>
                <w:szCs w:val="21"/>
              </w:rPr>
              <w:t>6、专门面向中小企业采购的项目，小微企业不再享受价格扣除优惠政策。</w:t>
            </w:r>
          </w:p>
          <w:p w14:paraId="3459E246">
            <w:pPr>
              <w:ind w:firstLine="420"/>
              <w:rPr>
                <w:rFonts w:ascii="宋体" w:hAnsi="宋体" w:cs="宋体"/>
                <w:szCs w:val="21"/>
              </w:rPr>
            </w:pPr>
            <w:r>
              <w:rPr>
                <w:rFonts w:hint="eastAsia" w:ascii="宋体" w:hAnsi="宋体" w:cs="宋体"/>
                <w:szCs w:val="21"/>
              </w:rPr>
              <w:t>7、未按要求提供相关材料的，不享受相关政策。</w:t>
            </w:r>
          </w:p>
        </w:tc>
      </w:tr>
    </w:tbl>
    <w:p w14:paraId="35246BA1">
      <w:pPr>
        <w:pStyle w:val="27"/>
        <w:spacing w:line="360" w:lineRule="exact"/>
        <w:ind w:firstLine="482"/>
        <w:rPr>
          <w:rFonts w:hAnsi="宋体" w:cs="宋体"/>
          <w:b/>
          <w:sz w:val="24"/>
        </w:rPr>
      </w:pPr>
      <w:r>
        <w:rPr>
          <w:rFonts w:hint="eastAsia" w:hAnsi="宋体" w:cs="宋体"/>
          <w:b/>
          <w:sz w:val="24"/>
        </w:rPr>
        <w:t>一、总则</w:t>
      </w:r>
    </w:p>
    <w:p w14:paraId="34DAB694">
      <w:pPr>
        <w:pStyle w:val="27"/>
        <w:spacing w:line="360" w:lineRule="exact"/>
        <w:ind w:firstLine="482"/>
        <w:rPr>
          <w:rFonts w:hAnsi="宋体" w:cs="宋体"/>
          <w:b/>
          <w:sz w:val="24"/>
        </w:rPr>
      </w:pPr>
      <w:r>
        <w:rPr>
          <w:rFonts w:hint="eastAsia" w:hAnsi="宋体" w:cs="宋体"/>
          <w:b/>
          <w:sz w:val="24"/>
        </w:rPr>
        <w:t>（一）适用范围</w:t>
      </w:r>
    </w:p>
    <w:p w14:paraId="345B4A50">
      <w:pPr>
        <w:spacing w:line="360" w:lineRule="exact"/>
        <w:ind w:firstLine="480"/>
        <w:rPr>
          <w:rFonts w:ascii="宋体" w:hAnsi="宋体" w:cs="宋体"/>
          <w:sz w:val="24"/>
        </w:rPr>
      </w:pPr>
      <w:r>
        <w:rPr>
          <w:rFonts w:hint="eastAsia" w:ascii="宋体" w:hAnsi="宋体" w:cs="宋体"/>
          <w:sz w:val="24"/>
        </w:rPr>
        <w:t>本竞争性磋商文件适用于</w:t>
      </w:r>
      <w:r>
        <w:rPr>
          <w:rFonts w:hint="eastAsia" w:ascii="宋体" w:hAnsi="宋体" w:cs="宋体"/>
          <w:bCs/>
          <w:sz w:val="24"/>
        </w:rPr>
        <w:t>本采购项目</w:t>
      </w:r>
      <w:r>
        <w:rPr>
          <w:rFonts w:hint="eastAsia" w:ascii="宋体" w:hAnsi="宋体" w:cs="宋体"/>
          <w:sz w:val="24"/>
        </w:rPr>
        <w:t>的磋商、评审、确定供应商、验收、合同履约、付款等（法律、法规另有规定的，从其规定）。</w:t>
      </w:r>
    </w:p>
    <w:p w14:paraId="7CF70226">
      <w:pPr>
        <w:pStyle w:val="27"/>
        <w:spacing w:line="360" w:lineRule="exact"/>
        <w:ind w:firstLine="482"/>
        <w:rPr>
          <w:rFonts w:hAnsi="宋体" w:cs="宋体"/>
          <w:b/>
          <w:sz w:val="24"/>
        </w:rPr>
      </w:pPr>
      <w:r>
        <w:rPr>
          <w:rFonts w:hint="eastAsia" w:hAnsi="宋体" w:cs="宋体"/>
          <w:b/>
          <w:sz w:val="24"/>
        </w:rPr>
        <w:t>（二）定义</w:t>
      </w:r>
    </w:p>
    <w:p w14:paraId="64C440B3">
      <w:pPr>
        <w:spacing w:line="360" w:lineRule="exact"/>
        <w:ind w:firstLine="480"/>
        <w:rPr>
          <w:rFonts w:ascii="宋体" w:hAnsi="宋体" w:cs="宋体"/>
          <w:sz w:val="24"/>
        </w:rPr>
      </w:pPr>
      <w:r>
        <w:rPr>
          <w:rFonts w:hint="eastAsia" w:ascii="宋体" w:hAnsi="宋体" w:cs="宋体"/>
          <w:sz w:val="24"/>
        </w:rPr>
        <w:t>1、“供应商”、“响应人”是指参加项目竞争，并符合磋商文件规定资格条件的法人、其他组织或者自然人。</w:t>
      </w:r>
    </w:p>
    <w:p w14:paraId="5517881D">
      <w:pPr>
        <w:spacing w:line="360" w:lineRule="exact"/>
        <w:ind w:firstLine="480"/>
        <w:rPr>
          <w:rFonts w:ascii="宋体" w:hAnsi="宋体" w:cs="宋体"/>
          <w:sz w:val="24"/>
        </w:rPr>
      </w:pPr>
      <w:r>
        <w:rPr>
          <w:rFonts w:hint="eastAsia" w:ascii="宋体" w:hAnsi="宋体" w:cs="宋体"/>
          <w:sz w:val="24"/>
        </w:rPr>
        <w:t>2、“法定代表人”是指响应人的营业执照或相关部门的登记证明文件中的“法定代表人”或“负责人”。</w:t>
      </w:r>
    </w:p>
    <w:p w14:paraId="456ABC5E">
      <w:pPr>
        <w:spacing w:line="360" w:lineRule="exact"/>
        <w:ind w:firstLine="480"/>
        <w:rPr>
          <w:rFonts w:ascii="宋体" w:hAnsi="宋体" w:cs="宋体"/>
          <w:sz w:val="24"/>
        </w:rPr>
      </w:pPr>
      <w:r>
        <w:rPr>
          <w:rFonts w:hint="eastAsia" w:ascii="宋体" w:hAnsi="宋体" w:cs="宋体"/>
          <w:sz w:val="24"/>
        </w:rPr>
        <w:t>3、“用户或使用单位”是指发包工程的单位。</w:t>
      </w:r>
    </w:p>
    <w:p w14:paraId="106D4E17">
      <w:pPr>
        <w:spacing w:line="360" w:lineRule="exact"/>
        <w:ind w:firstLine="480"/>
        <w:rPr>
          <w:rFonts w:ascii="宋体" w:hAnsi="宋体" w:cs="宋体"/>
          <w:sz w:val="24"/>
        </w:rPr>
      </w:pPr>
      <w:r>
        <w:rPr>
          <w:rFonts w:hint="eastAsia" w:ascii="宋体" w:hAnsi="宋体" w:cs="宋体"/>
          <w:sz w:val="24"/>
        </w:rPr>
        <w:t>4、“★”是指实质性要求条款。</w:t>
      </w:r>
    </w:p>
    <w:p w14:paraId="3042ED47">
      <w:pPr>
        <w:pStyle w:val="27"/>
        <w:spacing w:line="360" w:lineRule="exact"/>
        <w:ind w:firstLine="482"/>
        <w:rPr>
          <w:rFonts w:hAnsi="宋体" w:cs="宋体"/>
          <w:b/>
          <w:sz w:val="24"/>
        </w:rPr>
      </w:pPr>
      <w:r>
        <w:rPr>
          <w:rFonts w:hint="eastAsia" w:hAnsi="宋体" w:cs="宋体"/>
          <w:b/>
          <w:sz w:val="24"/>
        </w:rPr>
        <w:t>（三）采购方式</w:t>
      </w:r>
    </w:p>
    <w:p w14:paraId="0DE19225">
      <w:pPr>
        <w:spacing w:line="360" w:lineRule="exact"/>
        <w:ind w:firstLine="480"/>
        <w:rPr>
          <w:rFonts w:ascii="宋体" w:hAnsi="宋体" w:cs="宋体"/>
          <w:sz w:val="24"/>
        </w:rPr>
      </w:pPr>
      <w:r>
        <w:rPr>
          <w:rFonts w:hint="eastAsia" w:ascii="宋体" w:hAnsi="宋体" w:cs="宋体"/>
          <w:sz w:val="24"/>
        </w:rPr>
        <w:t>本项目采用竞争性磋商方式进行。</w:t>
      </w:r>
    </w:p>
    <w:p w14:paraId="68A205CB">
      <w:pPr>
        <w:pStyle w:val="27"/>
        <w:spacing w:line="360" w:lineRule="exact"/>
        <w:ind w:firstLine="482"/>
        <w:rPr>
          <w:rFonts w:hAnsi="宋体" w:cs="宋体"/>
          <w:b/>
          <w:sz w:val="24"/>
        </w:rPr>
      </w:pPr>
      <w:r>
        <w:rPr>
          <w:rFonts w:hint="eastAsia" w:hAnsi="宋体" w:cs="宋体"/>
          <w:b/>
          <w:sz w:val="24"/>
        </w:rPr>
        <w:t>（四）磋商费用</w:t>
      </w:r>
    </w:p>
    <w:p w14:paraId="30096B31">
      <w:pPr>
        <w:pStyle w:val="279"/>
        <w:spacing w:line="360" w:lineRule="exact"/>
        <w:rPr>
          <w:rFonts w:ascii="宋体" w:hAnsi="宋体" w:cs="宋体"/>
          <w:b/>
          <w:sz w:val="24"/>
          <w:szCs w:val="24"/>
          <w:lang w:eastAsia="zh-CN"/>
        </w:rPr>
      </w:pPr>
      <w:r>
        <w:rPr>
          <w:rFonts w:hint="eastAsia" w:ascii="宋体" w:hAnsi="宋体" w:cs="宋体"/>
          <w:sz w:val="24"/>
          <w:szCs w:val="24"/>
          <w:lang w:eastAsia="zh-CN"/>
        </w:rPr>
        <w:tab/>
      </w:r>
      <w:r>
        <w:rPr>
          <w:rFonts w:hint="eastAsia" w:ascii="宋体" w:hAnsi="宋体" w:cs="宋体"/>
          <w:sz w:val="24"/>
          <w:szCs w:val="24"/>
          <w:lang w:eastAsia="zh-CN"/>
        </w:rPr>
        <w:t>不论磋商结果如何，供应商均应自行承担所有与磋商有关的全部费用。磋商报价为含税全包价，投标报价包括完成该项工作所需的设计费、人工费、技术服务费、设备使用费、运输费、交通费、保险、安全、人身意外伤亡、利润、税金、中标服务费、评审费等政策性文件规定及合同包含的所有风险、责任等一切费用，响应单位在进行报价时应充分考虑到各环节成本因素，报价一经报定，不得更改，并作为中标后开展工作的收费标准。</w:t>
      </w:r>
    </w:p>
    <w:p w14:paraId="46CD4A81">
      <w:pPr>
        <w:pStyle w:val="27"/>
        <w:spacing w:line="360" w:lineRule="exact"/>
        <w:ind w:firstLine="482"/>
        <w:rPr>
          <w:rFonts w:hAnsi="宋体" w:cs="宋体"/>
          <w:b/>
          <w:sz w:val="24"/>
        </w:rPr>
      </w:pPr>
      <w:r>
        <w:rPr>
          <w:rFonts w:hint="eastAsia" w:hAnsi="宋体" w:cs="宋体"/>
          <w:b/>
          <w:sz w:val="24"/>
        </w:rPr>
        <w:t>（五）特别说明：</w:t>
      </w:r>
    </w:p>
    <w:p w14:paraId="2D8105DA">
      <w:pPr>
        <w:spacing w:line="360" w:lineRule="exact"/>
        <w:ind w:firstLine="480"/>
        <w:rPr>
          <w:rFonts w:ascii="宋体" w:hAnsi="宋体" w:cs="宋体"/>
          <w:sz w:val="24"/>
        </w:rPr>
      </w:pPr>
      <w:r>
        <w:rPr>
          <w:rFonts w:hint="eastAsia" w:ascii="宋体" w:hAnsi="宋体" w:cs="宋体"/>
          <w:sz w:val="24"/>
        </w:rPr>
        <w:t>供应商应仔细阅读本竞争性磋商文件的所有内容，按照竞争性磋商文件的要求提交响应文件。响应文件应对竞争性磋商文件的要求作出实质性响应，并对所提供的全部资料的真实性承担法律责任。</w:t>
      </w:r>
    </w:p>
    <w:p w14:paraId="6CDB7ABD">
      <w:pPr>
        <w:pStyle w:val="322"/>
        <w:spacing w:line="360" w:lineRule="exact"/>
        <w:ind w:firstLine="551"/>
        <w:rPr>
          <w:rFonts w:ascii="宋体" w:hAnsi="宋体" w:cs="宋体"/>
          <w:sz w:val="24"/>
        </w:rPr>
      </w:pPr>
      <w:r>
        <w:rPr>
          <w:rFonts w:hint="eastAsia" w:ascii="宋体" w:hAnsi="宋体" w:cs="宋体"/>
          <w:b/>
          <w:sz w:val="24"/>
        </w:rPr>
        <w:t>二、供应商资格要求</w:t>
      </w:r>
    </w:p>
    <w:p w14:paraId="231C2AD4">
      <w:pPr>
        <w:pStyle w:val="322"/>
        <w:spacing w:line="360" w:lineRule="exact"/>
        <w:ind w:firstLine="482"/>
        <w:rPr>
          <w:rFonts w:ascii="宋体" w:hAnsi="宋体" w:cs="宋体"/>
          <w:b/>
          <w:sz w:val="24"/>
        </w:rPr>
      </w:pPr>
      <w:r>
        <w:rPr>
          <w:rFonts w:hint="eastAsia" w:ascii="宋体" w:hAnsi="宋体" w:cs="宋体"/>
          <w:b/>
          <w:sz w:val="24"/>
        </w:rPr>
        <w:t>供应商应符合的基本资格条件：</w:t>
      </w:r>
    </w:p>
    <w:p w14:paraId="1EE4456D">
      <w:pPr>
        <w:spacing w:line="360" w:lineRule="exact"/>
        <w:ind w:firstLine="549"/>
        <w:rPr>
          <w:rFonts w:ascii="宋体" w:hAnsi="宋体" w:cs="宋体"/>
          <w:sz w:val="24"/>
        </w:rPr>
      </w:pPr>
      <w:r>
        <w:rPr>
          <w:rFonts w:hint="eastAsia" w:ascii="宋体" w:hAnsi="宋体" w:cs="宋体"/>
          <w:sz w:val="24"/>
        </w:rPr>
        <w:t>（1）</w:t>
      </w:r>
      <w:bookmarkStart w:id="26" w:name="OLE_LINK3"/>
      <w:bookmarkStart w:id="27" w:name="OLE_LINK4"/>
      <w:r>
        <w:rPr>
          <w:rFonts w:hint="eastAsia" w:ascii="宋体" w:hAnsi="宋体" w:cs="宋体"/>
          <w:sz w:val="24"/>
        </w:rPr>
        <w:t>具有独立承担民事责任的能力；</w:t>
      </w:r>
      <w:bookmarkEnd w:id="26"/>
      <w:bookmarkEnd w:id="27"/>
    </w:p>
    <w:p w14:paraId="4B4478FE">
      <w:pPr>
        <w:spacing w:line="360" w:lineRule="exact"/>
        <w:ind w:firstLine="549"/>
        <w:rPr>
          <w:rFonts w:ascii="宋体" w:hAnsi="宋体" w:cs="宋体"/>
          <w:sz w:val="24"/>
        </w:rPr>
      </w:pPr>
      <w:r>
        <w:rPr>
          <w:rFonts w:hint="eastAsia" w:ascii="宋体" w:hAnsi="宋体" w:cs="宋体"/>
          <w:sz w:val="24"/>
        </w:rPr>
        <w:t>（2）</w:t>
      </w:r>
      <w:bookmarkStart w:id="28" w:name="OLE_LINK10"/>
      <w:bookmarkStart w:id="29" w:name="OLE_LINK9"/>
      <w:r>
        <w:rPr>
          <w:rFonts w:hint="eastAsia" w:ascii="宋体" w:hAnsi="宋体" w:cs="宋体"/>
          <w:sz w:val="24"/>
        </w:rPr>
        <w:t>具有良好的商业信誉和健全的财务会计制度 ；</w:t>
      </w:r>
      <w:bookmarkEnd w:id="28"/>
      <w:bookmarkEnd w:id="29"/>
    </w:p>
    <w:p w14:paraId="36D1C932">
      <w:pPr>
        <w:spacing w:line="360" w:lineRule="exact"/>
        <w:ind w:firstLine="549"/>
        <w:rPr>
          <w:rFonts w:ascii="宋体" w:hAnsi="宋体" w:cs="宋体"/>
          <w:sz w:val="24"/>
        </w:rPr>
      </w:pPr>
      <w:r>
        <w:rPr>
          <w:rFonts w:hint="eastAsia" w:ascii="宋体" w:hAnsi="宋体" w:cs="宋体"/>
          <w:sz w:val="24"/>
        </w:rPr>
        <w:t>（3）具有履行合同所必须的设备和专业技术能力 ；</w:t>
      </w:r>
    </w:p>
    <w:p w14:paraId="6EA144A5">
      <w:pPr>
        <w:spacing w:line="360" w:lineRule="exact"/>
        <w:ind w:firstLine="549"/>
        <w:rPr>
          <w:rFonts w:ascii="宋体" w:hAnsi="宋体" w:cs="宋体"/>
          <w:sz w:val="24"/>
        </w:rPr>
      </w:pPr>
      <w:r>
        <w:rPr>
          <w:rFonts w:hint="eastAsia" w:ascii="宋体" w:hAnsi="宋体" w:cs="宋体"/>
          <w:sz w:val="24"/>
        </w:rPr>
        <w:t>（4）有依法缴纳税收和社会保障资金的良好记录 ；</w:t>
      </w:r>
    </w:p>
    <w:p w14:paraId="5576AB17">
      <w:pPr>
        <w:spacing w:line="360" w:lineRule="exact"/>
        <w:ind w:firstLine="549"/>
        <w:rPr>
          <w:rFonts w:ascii="宋体" w:hAnsi="宋体" w:cs="宋体"/>
          <w:sz w:val="24"/>
        </w:rPr>
      </w:pPr>
      <w:r>
        <w:rPr>
          <w:rFonts w:hint="eastAsia" w:ascii="宋体" w:hAnsi="宋体" w:cs="宋体"/>
          <w:sz w:val="24"/>
        </w:rPr>
        <w:t>（5）在参加政府采购活动前三年内,在经营活动中没有重大违法记录 ；</w:t>
      </w:r>
    </w:p>
    <w:p w14:paraId="3B16ECF1">
      <w:pPr>
        <w:spacing w:line="360" w:lineRule="exact"/>
        <w:ind w:firstLine="549"/>
        <w:rPr>
          <w:rFonts w:ascii="宋体" w:hAnsi="宋体" w:cs="宋体"/>
          <w:sz w:val="24"/>
        </w:rPr>
      </w:pPr>
      <w:r>
        <w:rPr>
          <w:rFonts w:hint="eastAsia" w:ascii="宋体" w:hAnsi="宋体" w:cs="宋体"/>
          <w:sz w:val="24"/>
        </w:rPr>
        <w:t>（6）</w:t>
      </w:r>
      <w:bookmarkStart w:id="30" w:name="OLE_LINK12"/>
      <w:bookmarkStart w:id="31" w:name="OLE_LINK11"/>
      <w:r>
        <w:rPr>
          <w:rFonts w:hint="eastAsia" w:ascii="宋体" w:hAnsi="宋体" w:cs="宋体"/>
          <w:sz w:val="24"/>
        </w:rPr>
        <w:t>法律、行政法规规定的其他条件。</w:t>
      </w:r>
      <w:bookmarkEnd w:id="30"/>
      <w:bookmarkEnd w:id="31"/>
    </w:p>
    <w:p w14:paraId="455129EC">
      <w:pPr>
        <w:pStyle w:val="322"/>
        <w:spacing w:line="360" w:lineRule="exact"/>
        <w:ind w:firstLine="482"/>
        <w:jc w:val="left"/>
        <w:rPr>
          <w:rFonts w:ascii="宋体" w:hAnsi="宋体" w:cs="宋体"/>
          <w:b/>
          <w:sz w:val="24"/>
        </w:rPr>
      </w:pPr>
      <w:r>
        <w:rPr>
          <w:rFonts w:hint="eastAsia" w:ascii="宋体" w:hAnsi="宋体" w:cs="宋体"/>
          <w:b/>
          <w:sz w:val="24"/>
        </w:rPr>
        <w:t>供应商须符合的特定资格条件：</w:t>
      </w:r>
    </w:p>
    <w:p w14:paraId="13E21909">
      <w:pPr>
        <w:spacing w:line="360" w:lineRule="exact"/>
        <w:ind w:firstLine="480"/>
        <w:rPr>
          <w:rFonts w:ascii="宋体" w:hAnsi="宋体" w:cs="宋体"/>
          <w:sz w:val="24"/>
          <w:shd w:val="clear" w:color="auto" w:fill="FFFFFF"/>
        </w:rPr>
      </w:pPr>
      <w:r>
        <w:rPr>
          <w:rFonts w:hint="eastAsia" w:ascii="宋体" w:hAnsi="宋体" w:cs="宋体"/>
          <w:sz w:val="24"/>
        </w:rPr>
        <w:t>（1）供应商须具备建设行政主管部门颁发的有效的电力工程施工总承包三级（及）以上资质并具备</w:t>
      </w:r>
      <w:r>
        <w:rPr>
          <w:rFonts w:hint="eastAsia" w:ascii="宋体" w:hAnsi="宋体" w:cs="宋体"/>
          <w:color w:val="000000"/>
          <w:sz w:val="24"/>
          <w:shd w:val="clear" w:color="auto" w:fill="FFFFFF"/>
        </w:rPr>
        <w:t>有效的建筑施工企业安全生产许可证且具有承装（修、试）五级及以上电力设施许可证</w:t>
      </w:r>
      <w:r>
        <w:rPr>
          <w:rFonts w:hint="eastAsia" w:ascii="宋体" w:hAnsi="宋体" w:cs="宋体"/>
          <w:sz w:val="24"/>
        </w:rPr>
        <w:t>。</w:t>
      </w:r>
    </w:p>
    <w:p w14:paraId="4F804DC2">
      <w:pPr>
        <w:pStyle w:val="322"/>
        <w:spacing w:line="360" w:lineRule="exact"/>
        <w:ind w:firstLine="480"/>
        <w:jc w:val="left"/>
        <w:rPr>
          <w:rFonts w:ascii="宋体" w:hAnsi="宋体" w:cs="宋体"/>
          <w:sz w:val="24"/>
        </w:rPr>
      </w:pPr>
      <w:r>
        <w:rPr>
          <w:rFonts w:hint="eastAsia" w:ascii="宋体" w:hAnsi="宋体" w:cs="宋体"/>
          <w:sz w:val="24"/>
        </w:rPr>
        <w:t>（2）拟派项目负责人系已在供应商单位注册并具备建设行政主管部门颁发的机电工程专业二级(含)以上注册建造师执业资格</w:t>
      </w:r>
      <w:r>
        <w:rPr>
          <w:rFonts w:hint="eastAsia" w:ascii="宋体" w:hAnsi="宋体" w:cs="宋体"/>
          <w:color w:val="000000"/>
          <w:sz w:val="24"/>
        </w:rPr>
        <w:t>且具有行政主管部门颁发的有效的安全生产考核合格证书B证</w:t>
      </w:r>
      <w:r>
        <w:rPr>
          <w:rFonts w:hint="eastAsia" w:ascii="宋体" w:hAnsi="宋体" w:cs="宋体"/>
          <w:sz w:val="24"/>
        </w:rPr>
        <w:t>。</w:t>
      </w:r>
    </w:p>
    <w:p w14:paraId="1CE8A2AA">
      <w:pPr>
        <w:pStyle w:val="322"/>
        <w:spacing w:line="360" w:lineRule="exact"/>
        <w:ind w:firstLine="480"/>
        <w:jc w:val="left"/>
        <w:rPr>
          <w:rFonts w:ascii="宋体" w:hAnsi="宋体" w:cs="宋体"/>
          <w:sz w:val="24"/>
        </w:rPr>
      </w:pPr>
      <w:r>
        <w:rPr>
          <w:rFonts w:hint="eastAsia" w:ascii="宋体" w:hAnsi="宋体" w:cs="宋体"/>
          <w:sz w:val="24"/>
        </w:rPr>
        <w:t>（3）本项目其他资格要求：</w:t>
      </w:r>
    </w:p>
    <w:p w14:paraId="2A02581D">
      <w:pPr>
        <w:spacing w:line="360" w:lineRule="exact"/>
        <w:ind w:firstLine="480"/>
        <w:rPr>
          <w:rFonts w:ascii="宋体" w:hAnsi="宋体" w:cs="宋体"/>
          <w:sz w:val="24"/>
        </w:rPr>
      </w:pPr>
      <w:r>
        <w:rPr>
          <w:rFonts w:hint="eastAsia" w:ascii="宋体" w:hAnsi="宋体" w:cs="宋体"/>
          <w:sz w:val="24"/>
        </w:rPr>
        <w:t xml:space="preserve"> 信誉要求：</w:t>
      </w:r>
    </w:p>
    <w:p w14:paraId="39FC7309">
      <w:pPr>
        <w:spacing w:line="360" w:lineRule="exact"/>
        <w:ind w:firstLine="480"/>
        <w:rPr>
          <w:rFonts w:ascii="宋体" w:hAnsi="宋体" w:cs="宋体"/>
          <w:sz w:val="24"/>
        </w:rPr>
      </w:pPr>
      <w:r>
        <w:rPr>
          <w:rFonts w:hint="eastAsia" w:ascii="宋体" w:hAnsi="宋体" w:cs="宋体"/>
          <w:sz w:val="24"/>
        </w:rPr>
        <w:t>①未被“信用中国”网站(www.creditchina.gov.cn)、中国政府采购网(www.ccgp.gov.cn)列入失信被执行人、重大税收违法案件当事人名单、政府采购严重违法失信行为记录名单；</w:t>
      </w:r>
    </w:p>
    <w:p w14:paraId="207ED3E6">
      <w:pPr>
        <w:pStyle w:val="52"/>
        <w:spacing w:after="0" w:line="360" w:lineRule="exact"/>
        <w:ind w:firstLine="480"/>
        <w:rPr>
          <w:rFonts w:ascii="宋体" w:hAnsi="宋体" w:cs="宋体"/>
          <w:sz w:val="24"/>
        </w:rPr>
      </w:pPr>
      <w:r>
        <w:rPr>
          <w:rFonts w:hint="eastAsia" w:ascii="宋体" w:hAnsi="宋体" w:cs="宋体"/>
          <w:sz w:val="24"/>
        </w:rPr>
        <w:t>②企业因发生重大工程质量、安全生产事故，被有关部门暂停投标资格并在暂停期内的；</w:t>
      </w:r>
    </w:p>
    <w:p w14:paraId="5C89C805">
      <w:pPr>
        <w:spacing w:line="360" w:lineRule="exact"/>
        <w:ind w:firstLine="480"/>
        <w:rPr>
          <w:rFonts w:ascii="宋体" w:hAnsi="宋体" w:cs="宋体"/>
          <w:sz w:val="24"/>
        </w:rPr>
      </w:pPr>
      <w:r>
        <w:rPr>
          <w:rFonts w:hint="eastAsia" w:ascii="宋体" w:hAnsi="宋体" w:cs="宋体"/>
          <w:sz w:val="24"/>
        </w:rPr>
        <w:t>③提供参加政府采购活动前 3 年内在经营活动中无重大违法记录的声明。</w:t>
      </w:r>
    </w:p>
    <w:p w14:paraId="7E3B3CF7">
      <w:pPr>
        <w:spacing w:line="360" w:lineRule="exact"/>
        <w:ind w:firstLine="480"/>
        <w:rPr>
          <w:rFonts w:ascii="宋体" w:hAnsi="宋体" w:cs="宋体"/>
          <w:sz w:val="24"/>
        </w:rPr>
      </w:pPr>
      <w:r>
        <w:rPr>
          <w:rFonts w:hint="eastAsia" w:ascii="宋体" w:hAnsi="宋体" w:cs="宋体"/>
          <w:sz w:val="24"/>
        </w:rPr>
        <w:t xml:space="preserve"> 企业资质动态监管： </w:t>
      </w:r>
    </w:p>
    <w:p w14:paraId="2F16C9D3">
      <w:pPr>
        <w:spacing w:line="360" w:lineRule="exact"/>
        <w:ind w:firstLine="480"/>
        <w:rPr>
          <w:rFonts w:ascii="宋体" w:hAnsi="宋体" w:cs="宋体"/>
          <w:sz w:val="24"/>
        </w:rPr>
      </w:pPr>
      <w:r>
        <w:rPr>
          <w:rFonts w:hint="eastAsia" w:ascii="宋体" w:hAnsi="宋体" w:cs="宋体"/>
          <w:sz w:val="24"/>
        </w:rPr>
        <w:t>①评标时，供应商投标所用资质核查结果为不达标的，视为供应商资质条件不符合国家有关规定，或不满足采购文件规定的资格条件。 </w:t>
      </w:r>
    </w:p>
    <w:p w14:paraId="4465EEFC">
      <w:pPr>
        <w:spacing w:line="360" w:lineRule="exact"/>
        <w:ind w:firstLine="480"/>
        <w:rPr>
          <w:rFonts w:ascii="宋体" w:hAnsi="宋体" w:cs="宋体"/>
          <w:sz w:val="24"/>
        </w:rPr>
      </w:pPr>
      <w:r>
        <w:rPr>
          <w:rFonts w:hint="eastAsia" w:ascii="宋体" w:hAnsi="宋体" w:cs="宋体"/>
          <w:sz w:val="24"/>
        </w:rPr>
        <w:t>②中标公示期间，成交候选人投标所用资质核查结果为不达标的，视为其资质条件不符合国家有关规定。</w:t>
      </w:r>
    </w:p>
    <w:p w14:paraId="7F5E4B9C">
      <w:pPr>
        <w:spacing w:line="360" w:lineRule="exact"/>
        <w:ind w:firstLine="480"/>
        <w:rPr>
          <w:rFonts w:ascii="宋体" w:hAnsi="宋体" w:cs="宋体"/>
          <w:sz w:val="24"/>
        </w:rPr>
      </w:pPr>
      <w:r>
        <w:rPr>
          <w:rFonts w:hint="eastAsia" w:ascii="宋体" w:hAnsi="宋体" w:cs="宋体"/>
          <w:sz w:val="24"/>
        </w:rPr>
        <w:t>动态监管不合格资质查询网址：</w:t>
      </w:r>
    </w:p>
    <w:p w14:paraId="5A36EDF2">
      <w:pPr>
        <w:spacing w:line="360" w:lineRule="exact"/>
        <w:ind w:firstLine="480"/>
        <w:rPr>
          <w:rFonts w:ascii="宋体" w:hAnsi="宋体" w:cs="宋体"/>
          <w:sz w:val="24"/>
        </w:rPr>
      </w:pPr>
      <w:r>
        <w:rPr>
          <w:rFonts w:hint="eastAsia" w:ascii="宋体" w:hAnsi="宋体" w:cs="宋体"/>
          <w:sz w:val="24"/>
        </w:rPr>
        <w:t xml:space="preserve">http://58.213.147.230:7001/Website/#/compQuery/enterInfoQuery </w:t>
      </w:r>
    </w:p>
    <w:p w14:paraId="61A3FED4">
      <w:pPr>
        <w:spacing w:line="360" w:lineRule="exact"/>
        <w:ind w:firstLine="480"/>
        <w:rPr>
          <w:rFonts w:ascii="宋体" w:hAnsi="宋体" w:cs="宋体"/>
          <w:sz w:val="24"/>
        </w:rPr>
      </w:pPr>
      <w:r>
        <w:rPr>
          <w:rFonts w:hint="eastAsia" w:ascii="宋体" w:hAnsi="宋体" w:cs="宋体"/>
          <w:sz w:val="24"/>
        </w:rPr>
        <w:t xml:space="preserve"> 项目负责人（即项目经理）无在建工程要求：</w:t>
      </w:r>
    </w:p>
    <w:p w14:paraId="3F12BD65">
      <w:pPr>
        <w:spacing w:line="360" w:lineRule="exact"/>
        <w:ind w:firstLine="480"/>
        <w:rPr>
          <w:rFonts w:ascii="宋体" w:hAnsi="宋体" w:cs="宋体"/>
          <w:sz w:val="24"/>
        </w:rPr>
      </w:pPr>
      <w:r>
        <w:rPr>
          <w:rFonts w:hint="eastAsia" w:ascii="宋体" w:hAnsi="宋体" w:cs="宋体"/>
          <w:sz w:val="24"/>
        </w:rPr>
        <w:t>①项目负责人是非变更后无在建工程。</w:t>
      </w:r>
    </w:p>
    <w:p w14:paraId="5E4211D0">
      <w:pPr>
        <w:spacing w:line="360" w:lineRule="exact"/>
        <w:ind w:firstLine="480"/>
        <w:rPr>
          <w:rFonts w:ascii="宋体" w:hAnsi="宋体" w:cs="宋体"/>
          <w:sz w:val="24"/>
        </w:rPr>
      </w:pPr>
      <w:r>
        <w:rPr>
          <w:rFonts w:hint="eastAsia" w:ascii="宋体" w:hAnsi="宋体" w:cs="宋体"/>
          <w:sz w:val="24"/>
        </w:rPr>
        <w:t>②项目负责人是变更后无在建工程（必须是原合同工期已满且自变更备案之日起已满6个月），或因非承包方原因致使工程项目停工或因故不能按期开工、且已办理了项目负责人解锁手续。</w:t>
      </w:r>
    </w:p>
    <w:p w14:paraId="229642C8">
      <w:pPr>
        <w:spacing w:line="360" w:lineRule="exact"/>
        <w:ind w:firstLine="480"/>
        <w:rPr>
          <w:rFonts w:ascii="宋体" w:hAnsi="宋体" w:cs="宋体"/>
          <w:sz w:val="24"/>
        </w:rPr>
      </w:pPr>
      <w:r>
        <w:rPr>
          <w:rFonts w:hint="eastAsia" w:ascii="宋体" w:hAnsi="宋体" w:cs="宋体"/>
          <w:sz w:val="24"/>
        </w:rPr>
        <w:t>③项目负责人有在建工程，但该在建工程与本次招标的工程属于同一工程项目、同一项目批文、同一施工地点分段发包或分期施工的情况，且该在建工程与本次招标项目的规模总和在项目负责人资格执业范围内。</w:t>
      </w:r>
    </w:p>
    <w:p w14:paraId="76A3B843">
      <w:pPr>
        <w:spacing w:line="360" w:lineRule="exact"/>
        <w:ind w:firstLine="480"/>
        <w:rPr>
          <w:rFonts w:ascii="宋体" w:hAnsi="宋体" w:cs="宋体"/>
          <w:sz w:val="24"/>
        </w:rPr>
      </w:pPr>
      <w:r>
        <w:rPr>
          <w:rFonts w:hint="eastAsia" w:ascii="宋体" w:hAnsi="宋体" w:cs="宋体"/>
          <w:sz w:val="24"/>
        </w:rPr>
        <w:t>注：以上在建工程是指在其他项目担任项目负责人职责。以供应商在响应文件中的《投标承诺书》为准。</w:t>
      </w:r>
    </w:p>
    <w:p w14:paraId="5E7C1A1F">
      <w:pPr>
        <w:pStyle w:val="322"/>
        <w:spacing w:line="360" w:lineRule="exact"/>
        <w:ind w:firstLine="549"/>
        <w:rPr>
          <w:rFonts w:ascii="宋体" w:hAnsi="宋体" w:cs="宋体"/>
          <w:sz w:val="24"/>
        </w:rPr>
      </w:pPr>
      <w:r>
        <w:rPr>
          <w:rFonts w:hint="eastAsia" w:ascii="宋体" w:hAnsi="宋体" w:cs="宋体"/>
          <w:sz w:val="24"/>
        </w:rPr>
        <w:t>（4）本项目不接受供应商以联合体的身份参与，采用资格后审方式</w:t>
      </w:r>
      <w:r>
        <w:rPr>
          <w:rFonts w:hint="eastAsia" w:ascii="宋体" w:hAnsi="宋体" w:cs="宋体"/>
          <w:bCs/>
          <w:sz w:val="24"/>
        </w:rPr>
        <w:t>。</w:t>
      </w:r>
    </w:p>
    <w:p w14:paraId="62F33DE2">
      <w:pPr>
        <w:pStyle w:val="322"/>
        <w:spacing w:line="360" w:lineRule="exact"/>
        <w:ind w:firstLine="562"/>
        <w:rPr>
          <w:rFonts w:ascii="宋体" w:hAnsi="宋体" w:cs="宋体"/>
          <w:b/>
          <w:sz w:val="24"/>
        </w:rPr>
      </w:pPr>
      <w:r>
        <w:rPr>
          <w:rFonts w:hint="eastAsia" w:ascii="宋体" w:hAnsi="宋体" w:cs="宋体"/>
          <w:b/>
          <w:sz w:val="24"/>
        </w:rPr>
        <w:t>三、供应商不得存在下列情形之一</w:t>
      </w:r>
    </w:p>
    <w:p w14:paraId="09380B2A">
      <w:pPr>
        <w:pStyle w:val="322"/>
        <w:spacing w:line="360" w:lineRule="exact"/>
        <w:ind w:firstLine="560"/>
        <w:rPr>
          <w:rFonts w:ascii="宋体" w:hAnsi="宋体" w:cs="宋体"/>
          <w:sz w:val="24"/>
        </w:rPr>
      </w:pPr>
      <w:r>
        <w:rPr>
          <w:rFonts w:hint="eastAsia" w:ascii="宋体" w:hAnsi="宋体" w:cs="宋体"/>
          <w:sz w:val="24"/>
        </w:rPr>
        <w:t>（1）与采购人、采购代理机构存在隶属关系或者其他利害关系。</w:t>
      </w:r>
    </w:p>
    <w:p w14:paraId="39C20053">
      <w:pPr>
        <w:pStyle w:val="322"/>
        <w:spacing w:line="360" w:lineRule="exact"/>
        <w:ind w:firstLine="560"/>
        <w:rPr>
          <w:rFonts w:ascii="宋体" w:hAnsi="宋体" w:cs="宋体"/>
          <w:sz w:val="24"/>
        </w:rPr>
      </w:pPr>
      <w:r>
        <w:rPr>
          <w:rFonts w:hint="eastAsia" w:ascii="宋体" w:hAnsi="宋体" w:cs="宋体"/>
          <w:sz w:val="24"/>
        </w:rPr>
        <w:t>（2）与其他供应商的法定代表人（或者单位负责人）为同一人，或者与其他供应商存在直接控股、管理关系。</w:t>
      </w:r>
    </w:p>
    <w:p w14:paraId="373AD729">
      <w:pPr>
        <w:pStyle w:val="322"/>
        <w:spacing w:line="360" w:lineRule="exact"/>
        <w:ind w:firstLine="560"/>
        <w:rPr>
          <w:rFonts w:ascii="宋体" w:hAnsi="宋体" w:cs="宋体"/>
          <w:sz w:val="24"/>
        </w:rPr>
      </w:pPr>
      <w:r>
        <w:rPr>
          <w:rFonts w:hint="eastAsia" w:ascii="宋体" w:hAnsi="宋体" w:cs="宋体"/>
          <w:sz w:val="24"/>
        </w:rPr>
        <w:t>（3）受到刑事处罚，或者责令停产停业、在一至三年内禁止参加政府采购活动、暂扣或者吊销许可证、暂扣或者吊销执照等情形之一的行政处罚，或者存在财政部门认定的其他重大违法记录。</w:t>
      </w:r>
    </w:p>
    <w:p w14:paraId="5F4353AF">
      <w:pPr>
        <w:pStyle w:val="322"/>
        <w:spacing w:line="360" w:lineRule="exact"/>
        <w:ind w:firstLine="560"/>
        <w:rPr>
          <w:rFonts w:ascii="宋体" w:hAnsi="宋体" w:cs="宋体"/>
          <w:sz w:val="24"/>
        </w:rPr>
      </w:pPr>
      <w:r>
        <w:rPr>
          <w:rFonts w:hint="eastAsia" w:ascii="宋体" w:hAnsi="宋体" w:cs="宋体"/>
          <w:sz w:val="24"/>
        </w:rPr>
        <w:t>（4）为本采购项目提供整体设计、规范编制或者项目管理、监理、检测等服务的供应商，不得再参加本采购项目的其他采购活动。</w:t>
      </w:r>
    </w:p>
    <w:p w14:paraId="537AC500">
      <w:pPr>
        <w:pStyle w:val="2"/>
        <w:rPr>
          <w:rFonts w:cs="宋体"/>
        </w:rPr>
      </w:pPr>
      <w:bookmarkStart w:id="32" w:name="_Toc4989"/>
      <w:bookmarkStart w:id="33" w:name="_Toc14422"/>
      <w:bookmarkStart w:id="34" w:name="_Toc8067"/>
      <w:r>
        <w:rPr>
          <w:rFonts w:hint="eastAsia" w:cs="宋体"/>
        </w:rPr>
        <w:br w:type="page" w:clear="all"/>
      </w:r>
      <w:r>
        <w:rPr>
          <w:rFonts w:hint="eastAsia" w:cs="宋体"/>
        </w:rPr>
        <w:t>第三章 磋商响应要求</w:t>
      </w:r>
      <w:bookmarkEnd w:id="32"/>
      <w:bookmarkEnd w:id="33"/>
      <w:bookmarkEnd w:id="34"/>
    </w:p>
    <w:p w14:paraId="556074E3">
      <w:pPr>
        <w:pStyle w:val="322"/>
        <w:spacing w:line="360" w:lineRule="exact"/>
        <w:ind w:firstLine="562"/>
        <w:rPr>
          <w:rFonts w:ascii="宋体" w:hAnsi="宋体" w:cs="宋体"/>
          <w:b/>
          <w:sz w:val="24"/>
        </w:rPr>
      </w:pPr>
      <w:r>
        <w:rPr>
          <w:rFonts w:hint="eastAsia" w:ascii="宋体" w:hAnsi="宋体" w:cs="宋体"/>
          <w:b/>
          <w:bCs/>
          <w:sz w:val="24"/>
        </w:rPr>
        <w:t>1、磋商文件</w:t>
      </w:r>
    </w:p>
    <w:p w14:paraId="52E44DE2">
      <w:pPr>
        <w:pStyle w:val="322"/>
        <w:spacing w:line="360" w:lineRule="exact"/>
        <w:ind w:firstLine="560"/>
        <w:rPr>
          <w:rFonts w:ascii="宋体" w:hAnsi="宋体" w:cs="宋体"/>
          <w:sz w:val="24"/>
        </w:rPr>
      </w:pPr>
      <w:r>
        <w:rPr>
          <w:rFonts w:hint="eastAsia" w:ascii="宋体" w:hAnsi="宋体" w:cs="宋体"/>
          <w:sz w:val="24"/>
        </w:rPr>
        <w:t>（1）磋商文件的组成，为采购公告、本文件及所有按规定发出的补充变更通知。</w:t>
      </w:r>
    </w:p>
    <w:p w14:paraId="17A9D752">
      <w:pPr>
        <w:pStyle w:val="322"/>
        <w:spacing w:line="360" w:lineRule="exact"/>
        <w:ind w:firstLine="560"/>
        <w:rPr>
          <w:rFonts w:ascii="宋体" w:hAnsi="宋体" w:cs="宋体"/>
          <w:sz w:val="24"/>
        </w:rPr>
      </w:pPr>
      <w:r>
        <w:rPr>
          <w:rFonts w:hint="eastAsia" w:ascii="宋体" w:hAnsi="宋体" w:cs="宋体"/>
          <w:sz w:val="24"/>
        </w:rPr>
        <w:t>（2）磋商文件的澄清及修改：</w:t>
      </w:r>
    </w:p>
    <w:p w14:paraId="68E5F845">
      <w:pPr>
        <w:pStyle w:val="322"/>
        <w:spacing w:line="360" w:lineRule="exact"/>
        <w:ind w:firstLine="560"/>
        <w:rPr>
          <w:rFonts w:ascii="宋体" w:hAnsi="宋体" w:cs="宋体"/>
          <w:sz w:val="24"/>
        </w:rPr>
      </w:pPr>
      <w:r>
        <w:rPr>
          <w:rFonts w:hint="eastAsia" w:ascii="宋体" w:hAnsi="宋体" w:cs="宋体"/>
          <w:sz w:val="24"/>
        </w:rPr>
        <w:t>①供应商在下载磋商文件后，如有疑问需要澄清，应按磋商须知第9项内容中规定的时间前以书面形式向采购人或本公司提出。</w:t>
      </w:r>
    </w:p>
    <w:p w14:paraId="716B0F8F">
      <w:pPr>
        <w:pStyle w:val="322"/>
        <w:spacing w:line="360" w:lineRule="exact"/>
        <w:ind w:firstLine="560"/>
        <w:rPr>
          <w:rFonts w:ascii="宋体" w:hAnsi="宋体" w:cs="宋体"/>
          <w:sz w:val="24"/>
        </w:rPr>
      </w:pPr>
      <w:r>
        <w:rPr>
          <w:rFonts w:hint="eastAsia" w:ascii="宋体" w:hAnsi="宋体" w:cs="宋体"/>
          <w:sz w:val="24"/>
        </w:rPr>
        <w:t>②在磋商截止日前，本公司可根据采购人的要求或在解答供应商提出的澄清问题时对磋商文件进行修改。</w:t>
      </w:r>
    </w:p>
    <w:p w14:paraId="4126C2D1">
      <w:pPr>
        <w:pStyle w:val="322"/>
        <w:spacing w:line="360" w:lineRule="exact"/>
        <w:ind w:firstLine="560"/>
        <w:rPr>
          <w:rFonts w:ascii="宋体" w:hAnsi="宋体" w:cs="宋体"/>
          <w:sz w:val="24"/>
        </w:rPr>
      </w:pPr>
      <w:r>
        <w:rPr>
          <w:rFonts w:hint="eastAsia" w:ascii="宋体" w:hAnsi="宋体" w:cs="宋体"/>
          <w:sz w:val="24"/>
        </w:rPr>
        <w:t>③磋商文件的修改将在“江苏政府采购网”上发布，作为磋商文件的组成部分。</w:t>
      </w:r>
    </w:p>
    <w:p w14:paraId="48AFEDC1">
      <w:pPr>
        <w:pStyle w:val="322"/>
        <w:spacing w:line="360" w:lineRule="exact"/>
        <w:ind w:firstLine="560"/>
        <w:rPr>
          <w:rFonts w:ascii="宋体" w:hAnsi="宋体" w:cs="宋体"/>
          <w:sz w:val="24"/>
        </w:rPr>
      </w:pPr>
      <w:r>
        <w:rPr>
          <w:rFonts w:hint="eastAsia" w:ascii="宋体" w:hAnsi="宋体" w:cs="宋体"/>
          <w:sz w:val="24"/>
        </w:rPr>
        <w:t>④为使供应商编写磋商响应文件有充分的时间对磋商文件的修改部分进行分析、研究，本公司将根据有关规定在“江苏政府采购网”上发布延期采购公告，请供应商主动登陆查询。</w:t>
      </w:r>
    </w:p>
    <w:p w14:paraId="4CFF74CE">
      <w:pPr>
        <w:pStyle w:val="322"/>
        <w:spacing w:line="360" w:lineRule="exact"/>
        <w:ind w:firstLine="560"/>
        <w:rPr>
          <w:rFonts w:ascii="宋体" w:hAnsi="宋体" w:cs="宋体"/>
          <w:sz w:val="24"/>
        </w:rPr>
      </w:pPr>
      <w:r>
        <w:rPr>
          <w:rFonts w:hint="eastAsia" w:ascii="宋体" w:hAnsi="宋体" w:cs="宋体"/>
          <w:sz w:val="24"/>
        </w:rPr>
        <w:t>⑤供应商对磋商文件所做出的推论、解释和结论，本公司概不负责。</w:t>
      </w:r>
    </w:p>
    <w:p w14:paraId="46792647">
      <w:pPr>
        <w:pStyle w:val="322"/>
        <w:spacing w:line="360" w:lineRule="exact"/>
        <w:ind w:firstLine="562"/>
        <w:rPr>
          <w:rFonts w:ascii="宋体" w:hAnsi="宋体" w:cs="宋体"/>
          <w:b/>
          <w:bCs/>
          <w:sz w:val="24"/>
        </w:rPr>
      </w:pPr>
      <w:r>
        <w:rPr>
          <w:rFonts w:hint="eastAsia" w:ascii="宋体" w:hAnsi="宋体" w:cs="宋体"/>
          <w:b/>
          <w:bCs/>
          <w:sz w:val="24"/>
        </w:rPr>
        <w:t>2、磋商响应费用</w:t>
      </w:r>
    </w:p>
    <w:p w14:paraId="73B62CD7">
      <w:pPr>
        <w:pStyle w:val="322"/>
        <w:spacing w:line="360" w:lineRule="exact"/>
        <w:ind w:firstLine="560"/>
        <w:rPr>
          <w:rFonts w:ascii="宋体" w:hAnsi="宋体" w:cs="宋体"/>
          <w:sz w:val="24"/>
        </w:rPr>
      </w:pPr>
      <w:r>
        <w:rPr>
          <w:rFonts w:hint="eastAsia" w:ascii="宋体" w:hAnsi="宋体" w:cs="宋体"/>
          <w:sz w:val="24"/>
        </w:rPr>
        <w:t>（1）供应商无论成交与否，都须自行承担编制磋商响应文件以及递交磋商响应文件所涉及的一切费用。</w:t>
      </w:r>
    </w:p>
    <w:p w14:paraId="72C27CDC">
      <w:pPr>
        <w:pStyle w:val="322"/>
        <w:spacing w:line="360" w:lineRule="exact"/>
        <w:ind w:firstLine="560"/>
        <w:rPr>
          <w:rFonts w:ascii="宋体" w:hAnsi="宋体" w:cs="宋体"/>
          <w:sz w:val="24"/>
        </w:rPr>
      </w:pPr>
      <w:r>
        <w:rPr>
          <w:rFonts w:hint="eastAsia" w:ascii="宋体" w:hAnsi="宋体" w:cs="宋体"/>
          <w:sz w:val="24"/>
        </w:rPr>
        <w:t>（2）该项目的报价应包括完成该项目服务所需的一切相关费用、招标代理服务费及其它应付的费用等。</w:t>
      </w:r>
    </w:p>
    <w:p w14:paraId="51FB92C2">
      <w:pPr>
        <w:pStyle w:val="322"/>
        <w:spacing w:line="360" w:lineRule="exact"/>
        <w:ind w:firstLine="560"/>
        <w:rPr>
          <w:rFonts w:ascii="宋体" w:hAnsi="宋体" w:cs="宋体"/>
          <w:sz w:val="24"/>
        </w:rPr>
      </w:pPr>
      <w:r>
        <w:rPr>
          <w:rFonts w:hint="eastAsia" w:ascii="宋体" w:hAnsi="宋体" w:cs="宋体"/>
          <w:sz w:val="24"/>
        </w:rPr>
        <w:t>（3）磋商文件：免费。</w:t>
      </w:r>
    </w:p>
    <w:p w14:paraId="7E7FFFCF">
      <w:pPr>
        <w:pStyle w:val="322"/>
        <w:spacing w:line="360" w:lineRule="exact"/>
        <w:ind w:firstLine="560"/>
        <w:rPr>
          <w:rFonts w:ascii="宋体" w:hAnsi="宋体" w:cs="宋体"/>
          <w:sz w:val="24"/>
          <w:lang w:val="zh-CN"/>
        </w:rPr>
      </w:pPr>
      <w:r>
        <w:rPr>
          <w:rFonts w:hint="eastAsia" w:ascii="宋体" w:hAnsi="宋体" w:cs="宋体"/>
          <w:sz w:val="24"/>
        </w:rPr>
        <w:t>（4）本项目</w:t>
      </w:r>
      <w:r>
        <w:rPr>
          <w:rFonts w:hint="eastAsia" w:ascii="宋体" w:hAnsi="宋体" w:cs="宋体"/>
          <w:sz w:val="24"/>
          <w:lang w:val="en-GB"/>
        </w:rPr>
        <w:t>招标代理服务费</w:t>
      </w:r>
      <w:r>
        <w:rPr>
          <w:rFonts w:hint="eastAsia" w:ascii="宋体" w:hAnsi="宋体" w:cs="宋体"/>
          <w:sz w:val="24"/>
          <w:lang w:val="zh-CN"/>
        </w:rPr>
        <w:t>由中标供应商承担，</w:t>
      </w:r>
      <w:r>
        <w:rPr>
          <w:rFonts w:hint="eastAsia" w:ascii="宋体" w:hAnsi="宋体" w:cs="宋体"/>
          <w:sz w:val="24"/>
        </w:rPr>
        <w:t>该费用不单独列项，</w:t>
      </w:r>
      <w:r>
        <w:rPr>
          <w:rFonts w:hint="eastAsia" w:ascii="宋体" w:hAnsi="宋体" w:cs="宋体"/>
          <w:sz w:val="24"/>
          <w:lang w:val="zh-CN"/>
        </w:rPr>
        <w:t>无论供应商如何报价均视为包含在投标总报价中。</w:t>
      </w:r>
      <w:r>
        <w:rPr>
          <w:rFonts w:hint="eastAsia" w:ascii="宋体" w:hAnsi="宋体" w:cs="宋体"/>
          <w:sz w:val="24"/>
        </w:rPr>
        <w:t>本项目</w:t>
      </w:r>
      <w:r>
        <w:rPr>
          <w:rFonts w:hint="eastAsia" w:ascii="宋体" w:hAnsi="宋体" w:cs="宋体"/>
          <w:sz w:val="24"/>
          <w:lang w:val="zh-CN"/>
        </w:rPr>
        <w:t>代理服务费：</w:t>
      </w:r>
    </w:p>
    <w:p w14:paraId="59550984">
      <w:pPr>
        <w:pStyle w:val="322"/>
        <w:spacing w:line="360" w:lineRule="exact"/>
        <w:ind w:firstLine="560"/>
        <w:rPr>
          <w:rFonts w:ascii="宋体" w:hAnsi="宋体" w:cs="宋体"/>
          <w:sz w:val="24"/>
        </w:rPr>
      </w:pPr>
      <w:r>
        <w:rPr>
          <w:rFonts w:hint="eastAsia" w:ascii="宋体" w:hAnsi="宋体" w:cs="宋体"/>
          <w:color w:val="000000" w:themeColor="text1"/>
          <w:sz w:val="24"/>
          <w14:textFill>
            <w14:solidFill>
              <w14:schemeClr w14:val="tx1"/>
            </w14:solidFill>
          </w14:textFill>
        </w:rPr>
        <w:t>本项目招标代理服务费参照“《江苏省政府采购代理服务收费指导意见》的通知（苏政采协【2024】20号）”文件收费标准收取（差额累进），由成交供应商在领取成交通知书时向本公司缴纳。</w:t>
      </w:r>
    </w:p>
    <w:tbl>
      <w:tblPr>
        <w:tblStyle w:val="55"/>
        <w:tblW w:w="9604" w:type="dxa"/>
        <w:tblInd w:w="4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89"/>
        <w:gridCol w:w="3615"/>
      </w:tblGrid>
      <w:tr w14:paraId="34A7C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5989" w:type="dxa"/>
            <w:vAlign w:val="center"/>
          </w:tcPr>
          <w:p w14:paraId="10858DEE">
            <w:pPr>
              <w:spacing w:line="360" w:lineRule="exact"/>
              <w:jc w:val="center"/>
              <w:rPr>
                <w:rFonts w:ascii="宋体" w:hAnsi="宋体" w:cs="宋体"/>
                <w:szCs w:val="21"/>
              </w:rPr>
            </w:pPr>
            <w:r>
              <w:rPr>
                <w:rFonts w:hint="eastAsia" w:ascii="仿宋" w:hAnsi="仿宋" w:eastAsia="仿宋" w:cs="宋体"/>
                <w:color w:val="000000" w:themeColor="text1"/>
                <w:sz w:val="24"/>
                <w14:textFill>
                  <w14:solidFill>
                    <w14:schemeClr w14:val="tx1"/>
                  </w14:solidFill>
                </w14:textFill>
              </w:rPr>
              <w:t>中标或者成交金额</w:t>
            </w:r>
          </w:p>
        </w:tc>
        <w:tc>
          <w:tcPr>
            <w:tcW w:w="3615" w:type="dxa"/>
            <w:vAlign w:val="center"/>
          </w:tcPr>
          <w:p w14:paraId="131EDDAA">
            <w:pPr>
              <w:spacing w:line="360" w:lineRule="exact"/>
              <w:jc w:val="center"/>
              <w:rPr>
                <w:rFonts w:ascii="宋体" w:hAnsi="宋体" w:cs="宋体"/>
                <w:szCs w:val="21"/>
              </w:rPr>
            </w:pPr>
            <w:r>
              <w:rPr>
                <w:rFonts w:hint="eastAsia" w:ascii="仿宋" w:hAnsi="仿宋" w:eastAsia="仿宋" w:cs="宋体"/>
                <w:color w:val="000000" w:themeColor="text1"/>
                <w:sz w:val="24"/>
                <w14:textFill>
                  <w14:solidFill>
                    <w14:schemeClr w14:val="tx1"/>
                  </w14:solidFill>
                </w14:textFill>
              </w:rPr>
              <w:t>费率</w:t>
            </w:r>
          </w:p>
        </w:tc>
      </w:tr>
      <w:tr w14:paraId="6EB12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5989" w:type="dxa"/>
            <w:vAlign w:val="center"/>
          </w:tcPr>
          <w:p w14:paraId="7B8E2562">
            <w:pPr>
              <w:spacing w:line="360" w:lineRule="exact"/>
              <w:jc w:val="center"/>
              <w:rPr>
                <w:rFonts w:ascii="宋体" w:hAnsi="宋体" w:cs="宋体"/>
                <w:szCs w:val="21"/>
              </w:rPr>
            </w:pPr>
            <w:r>
              <w:rPr>
                <w:rFonts w:hint="eastAsia" w:ascii="仿宋" w:hAnsi="仿宋" w:eastAsia="仿宋" w:cs="宋体"/>
                <w:color w:val="000000" w:themeColor="text1"/>
                <w:sz w:val="24"/>
                <w14:textFill>
                  <w14:solidFill>
                    <w14:schemeClr w14:val="tx1"/>
                  </w14:solidFill>
                </w14:textFill>
              </w:rPr>
              <w:t>最低收费金额（每个委托项目）</w:t>
            </w:r>
          </w:p>
        </w:tc>
        <w:tc>
          <w:tcPr>
            <w:tcW w:w="3615" w:type="dxa"/>
            <w:vAlign w:val="center"/>
          </w:tcPr>
          <w:p w14:paraId="5395E59A">
            <w:pPr>
              <w:spacing w:line="360" w:lineRule="exact"/>
              <w:jc w:val="center"/>
              <w:rPr>
                <w:rFonts w:ascii="宋体" w:hAnsi="宋体" w:cs="宋体"/>
                <w:szCs w:val="21"/>
              </w:rPr>
            </w:pPr>
            <w:r>
              <w:rPr>
                <w:rFonts w:hint="eastAsia" w:ascii="仿宋" w:hAnsi="仿宋" w:eastAsia="仿宋" w:cs="宋体"/>
                <w:color w:val="000000" w:themeColor="text1"/>
                <w:sz w:val="24"/>
                <w14:textFill>
                  <w14:solidFill>
                    <w14:schemeClr w14:val="tx1"/>
                  </w14:solidFill>
                </w14:textFill>
              </w:rPr>
              <w:t>5000元</w:t>
            </w:r>
          </w:p>
        </w:tc>
      </w:tr>
      <w:tr w14:paraId="2BB66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5989" w:type="dxa"/>
            <w:vAlign w:val="center"/>
          </w:tcPr>
          <w:p w14:paraId="4EBC54FD">
            <w:pPr>
              <w:spacing w:line="360" w:lineRule="exact"/>
              <w:jc w:val="center"/>
              <w:rPr>
                <w:rFonts w:ascii="宋体" w:hAnsi="宋体" w:cs="宋体"/>
                <w:szCs w:val="21"/>
              </w:rPr>
            </w:pPr>
            <w:r>
              <w:rPr>
                <w:rFonts w:hint="eastAsia" w:ascii="仿宋" w:hAnsi="仿宋" w:eastAsia="仿宋" w:cs="宋体"/>
                <w:color w:val="000000" w:themeColor="text1"/>
                <w:sz w:val="24"/>
                <w14:textFill>
                  <w14:solidFill>
                    <w14:schemeClr w14:val="tx1"/>
                  </w14:solidFill>
                </w14:textFill>
              </w:rPr>
              <w:t>50万元以下（含50万元）</w:t>
            </w:r>
          </w:p>
        </w:tc>
        <w:tc>
          <w:tcPr>
            <w:tcW w:w="3615" w:type="dxa"/>
            <w:vAlign w:val="center"/>
          </w:tcPr>
          <w:p w14:paraId="7144A4A2">
            <w:pPr>
              <w:spacing w:line="360" w:lineRule="exact"/>
              <w:jc w:val="center"/>
              <w:rPr>
                <w:rFonts w:ascii="宋体" w:hAnsi="宋体" w:cs="宋体"/>
                <w:szCs w:val="21"/>
              </w:rPr>
            </w:pPr>
            <w:r>
              <w:rPr>
                <w:rFonts w:hint="eastAsia" w:ascii="仿宋" w:hAnsi="仿宋" w:eastAsia="仿宋" w:cs="宋体"/>
                <w:color w:val="000000" w:themeColor="text1"/>
                <w:sz w:val="24"/>
                <w14:textFill>
                  <w14:solidFill>
                    <w14:schemeClr w14:val="tx1"/>
                  </w14:solidFill>
                </w14:textFill>
              </w:rPr>
              <w:t>1.6%</w:t>
            </w:r>
          </w:p>
        </w:tc>
      </w:tr>
      <w:tr w14:paraId="4C8C3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5989" w:type="dxa"/>
            <w:vAlign w:val="center"/>
          </w:tcPr>
          <w:p w14:paraId="7CE9F7C6">
            <w:pPr>
              <w:spacing w:line="360" w:lineRule="exact"/>
              <w:jc w:val="center"/>
              <w:rPr>
                <w:rFonts w:ascii="宋体" w:hAnsi="宋体" w:cs="宋体"/>
                <w:szCs w:val="21"/>
              </w:rPr>
            </w:pPr>
            <w:r>
              <w:rPr>
                <w:rFonts w:hint="eastAsia" w:ascii="仿宋" w:hAnsi="仿宋" w:eastAsia="仿宋" w:cs="宋体"/>
                <w:color w:val="000000" w:themeColor="text1"/>
                <w:sz w:val="24"/>
                <w14:textFill>
                  <w14:solidFill>
                    <w14:schemeClr w14:val="tx1"/>
                  </w14:solidFill>
                </w14:textFill>
              </w:rPr>
              <w:t>50</w:t>
            </w:r>
            <w:r>
              <w:rPr>
                <w:rFonts w:hint="eastAsia" w:ascii="仿宋" w:hAnsi="仿宋" w:eastAsia="仿宋" w:cs="Arial"/>
                <w:color w:val="000000" w:themeColor="text1"/>
                <w:sz w:val="24"/>
                <w14:textFill>
                  <w14:solidFill>
                    <w14:schemeClr w14:val="tx1"/>
                  </w14:solidFill>
                </w14:textFill>
              </w:rPr>
              <w:t>-</w:t>
            </w:r>
            <w:r>
              <w:rPr>
                <w:rFonts w:hint="eastAsia" w:ascii="仿宋" w:hAnsi="仿宋" w:eastAsia="仿宋" w:cs="宋体"/>
                <w:color w:val="000000" w:themeColor="text1"/>
                <w:sz w:val="24"/>
                <w14:textFill>
                  <w14:solidFill>
                    <w14:schemeClr w14:val="tx1"/>
                  </w14:solidFill>
                </w14:textFill>
              </w:rPr>
              <w:t>400万元（含400万元）</w:t>
            </w:r>
          </w:p>
        </w:tc>
        <w:tc>
          <w:tcPr>
            <w:tcW w:w="3615" w:type="dxa"/>
            <w:vAlign w:val="center"/>
          </w:tcPr>
          <w:p w14:paraId="45785D9A">
            <w:pPr>
              <w:spacing w:line="360" w:lineRule="exact"/>
              <w:jc w:val="center"/>
              <w:rPr>
                <w:rFonts w:ascii="宋体" w:hAnsi="宋体" w:cs="宋体"/>
                <w:szCs w:val="21"/>
              </w:rPr>
            </w:pPr>
            <w:r>
              <w:rPr>
                <w:rFonts w:hint="eastAsia" w:ascii="仿宋" w:hAnsi="仿宋" w:eastAsia="仿宋" w:cs="宋体"/>
                <w:color w:val="000000" w:themeColor="text1"/>
                <w:sz w:val="24"/>
                <w14:textFill>
                  <w14:solidFill>
                    <w14:schemeClr w14:val="tx1"/>
                  </w14:solidFill>
                </w14:textFill>
              </w:rPr>
              <w:t>1.5%</w:t>
            </w:r>
          </w:p>
        </w:tc>
      </w:tr>
      <w:tr w14:paraId="38A79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9604" w:type="dxa"/>
            <w:gridSpan w:val="2"/>
            <w:vAlign w:val="center"/>
          </w:tcPr>
          <w:p w14:paraId="2B0DFD6D">
            <w:pPr>
              <w:spacing w:line="360" w:lineRule="exact"/>
              <w:jc w:val="center"/>
              <w:rPr>
                <w:rFonts w:ascii="宋体" w:hAnsi="宋体" w:cs="宋体"/>
                <w:szCs w:val="21"/>
              </w:rPr>
            </w:pPr>
            <w:r>
              <w:rPr>
                <w:rFonts w:hint="eastAsia" w:ascii="仿宋" w:hAnsi="仿宋" w:eastAsia="仿宋" w:cs="宋体"/>
                <w:color w:val="000000" w:themeColor="text1"/>
                <w:sz w:val="24"/>
                <w14:textFill>
                  <w14:solidFill>
                    <w14:schemeClr w14:val="tx1"/>
                  </w14:solidFill>
                </w14:textFill>
              </w:rPr>
              <w:t>注：招标代理服务收费按差额定率分档累进法计算，收费标准的计算基数为中标金额。</w:t>
            </w:r>
          </w:p>
        </w:tc>
      </w:tr>
    </w:tbl>
    <w:p w14:paraId="53B847B9">
      <w:pPr>
        <w:pStyle w:val="329"/>
        <w:spacing w:line="360" w:lineRule="exact"/>
        <w:ind w:firstLine="787"/>
        <w:rPr>
          <w:rFonts w:hAnsi="宋体" w:cs="宋体"/>
          <w:b/>
          <w:bCs/>
          <w:sz w:val="24"/>
        </w:rPr>
      </w:pPr>
      <w:r>
        <w:rPr>
          <w:rFonts w:hint="eastAsia" w:hAnsi="宋体" w:cs="宋体"/>
          <w:sz w:val="24"/>
        </w:rPr>
        <w:t>由成交供应商在领取成交通知书时向代理公司缴纳。</w:t>
      </w:r>
    </w:p>
    <w:p w14:paraId="63CE833A">
      <w:pPr>
        <w:pStyle w:val="322"/>
        <w:spacing w:line="360" w:lineRule="exact"/>
        <w:ind w:firstLine="412"/>
        <w:rPr>
          <w:rFonts w:ascii="宋体" w:hAnsi="宋体" w:cs="宋体"/>
          <w:sz w:val="24"/>
        </w:rPr>
      </w:pPr>
      <w:r>
        <w:rPr>
          <w:rFonts w:hint="eastAsia" w:ascii="宋体" w:hAnsi="宋体" w:cs="宋体"/>
          <w:sz w:val="24"/>
        </w:rPr>
        <w:t>（5）最终投标总报价是指上述费用的总和。</w:t>
      </w:r>
    </w:p>
    <w:p w14:paraId="51FB1DD7">
      <w:pPr>
        <w:pStyle w:val="100"/>
        <w:spacing w:line="360" w:lineRule="exact"/>
        <w:ind w:firstLine="480"/>
        <w:rPr>
          <w:rFonts w:ascii="宋体" w:hAnsi="宋体" w:eastAsia="宋体" w:cs="宋体"/>
          <w:b/>
          <w:sz w:val="24"/>
          <w:szCs w:val="24"/>
        </w:rPr>
      </w:pPr>
      <w:r>
        <w:rPr>
          <w:rFonts w:hint="eastAsia" w:ascii="宋体" w:hAnsi="宋体" w:eastAsia="宋体" w:cs="宋体"/>
          <w:b/>
          <w:sz w:val="24"/>
          <w:szCs w:val="24"/>
        </w:rPr>
        <w:t>3、提交响应文件要求</w:t>
      </w:r>
    </w:p>
    <w:p w14:paraId="6FF78C12">
      <w:pPr>
        <w:pStyle w:val="100"/>
        <w:spacing w:line="360" w:lineRule="exact"/>
        <w:ind w:firstLine="480"/>
        <w:rPr>
          <w:rFonts w:ascii="宋体" w:hAnsi="宋体" w:eastAsia="宋体" w:cs="宋体"/>
          <w:sz w:val="24"/>
          <w:szCs w:val="24"/>
        </w:rPr>
      </w:pPr>
      <w:r>
        <w:rPr>
          <w:rFonts w:hint="eastAsia" w:ascii="宋体" w:hAnsi="宋体" w:eastAsia="宋体" w:cs="宋体"/>
          <w:sz w:val="24"/>
          <w:szCs w:val="24"/>
        </w:rPr>
        <w:t>（一）本项目通过“苏采云”系统进行电子采购采购，即供应商响应文件从政府采购客户端工具制作并通过“苏采云”系统提交外。</w:t>
      </w:r>
    </w:p>
    <w:p w14:paraId="4177FEC7">
      <w:pPr>
        <w:pStyle w:val="100"/>
        <w:spacing w:line="360" w:lineRule="exact"/>
        <w:ind w:firstLine="480"/>
        <w:rPr>
          <w:rFonts w:ascii="宋体" w:hAnsi="宋体" w:eastAsia="宋体" w:cs="宋体"/>
          <w:sz w:val="24"/>
          <w:szCs w:val="24"/>
        </w:rPr>
      </w:pPr>
      <w:r>
        <w:rPr>
          <w:rFonts w:hint="eastAsia" w:ascii="宋体" w:hAnsi="宋体" w:eastAsia="宋体" w:cs="宋体"/>
          <w:sz w:val="24"/>
          <w:szCs w:val="24"/>
        </w:rPr>
        <w:t>供应商应当通过“苏采云”系统提交数据电文形式的响应文件（即电子投标）。未进行线上响应文件提交并解密(因“苏采云”系统导致解密失败的除外)的供应商，响应无效。其线下提交的（纸质）响应文件，采购代理机构退回拒收。</w:t>
      </w:r>
    </w:p>
    <w:p w14:paraId="397EC964">
      <w:pPr>
        <w:pStyle w:val="100"/>
        <w:spacing w:line="360" w:lineRule="exact"/>
        <w:ind w:firstLine="480"/>
        <w:rPr>
          <w:rFonts w:ascii="宋体" w:hAnsi="宋体" w:eastAsia="宋体" w:cs="宋体"/>
          <w:sz w:val="24"/>
          <w:szCs w:val="24"/>
        </w:rPr>
      </w:pPr>
      <w:r>
        <w:rPr>
          <w:rFonts w:hint="eastAsia" w:ascii="宋体" w:hAnsi="宋体" w:eastAsia="宋体" w:cs="宋体"/>
          <w:sz w:val="24"/>
          <w:szCs w:val="24"/>
        </w:rPr>
        <w:t>“CA数字证书”的获取：供应商需办理CA锁，“CA数字证书”的办理方法详见“江苏省政府采购数字证书CA及电子签章办理指南”，网址：http://jsxcmm.com/help/help.html。</w:t>
      </w:r>
    </w:p>
    <w:p w14:paraId="77CDED83">
      <w:pPr>
        <w:pStyle w:val="100"/>
        <w:spacing w:line="360" w:lineRule="exact"/>
        <w:ind w:firstLine="480"/>
        <w:rPr>
          <w:rFonts w:ascii="宋体" w:hAnsi="宋体" w:eastAsia="宋体" w:cs="宋体"/>
          <w:sz w:val="24"/>
          <w:szCs w:val="24"/>
        </w:rPr>
      </w:pPr>
      <w:r>
        <w:rPr>
          <w:rFonts w:hint="eastAsia" w:ascii="宋体" w:hAnsi="宋体" w:eastAsia="宋体" w:cs="宋体"/>
          <w:sz w:val="24"/>
          <w:szCs w:val="24"/>
        </w:rPr>
        <w:t>使用需要第三方认证的电子签名、数据电文，通过互联网方式提交首次响应文件。即：使用“电子签名认证证书（CA数字证书）”登录“苏采云”系统（网址：</w:t>
      </w:r>
      <w:r>
        <w:fldChar w:fldCharType="begin"/>
      </w:r>
      <w:r>
        <w:instrText xml:space="preserve"> HYPERLINK "http://jszfcg.jsczt.cn/" \o "http://jszfcg.jsczt.cn/" </w:instrText>
      </w:r>
      <w:r>
        <w:fldChar w:fldCharType="separate"/>
      </w:r>
      <w:r>
        <w:rPr>
          <w:rFonts w:hint="eastAsia" w:ascii="宋体" w:hAnsi="宋体" w:eastAsia="宋体" w:cs="宋体"/>
          <w:sz w:val="24"/>
          <w:szCs w:val="24"/>
        </w:rPr>
        <w:t>http://jszfcg.jsczt.cn/</w:t>
      </w:r>
      <w:r>
        <w:rPr>
          <w:rFonts w:hint="eastAsia" w:ascii="宋体" w:hAnsi="宋体" w:eastAsia="宋体" w:cs="宋体"/>
          <w:sz w:val="24"/>
          <w:szCs w:val="24"/>
        </w:rPr>
        <w:fldChar w:fldCharType="end"/>
      </w:r>
      <w:r>
        <w:rPr>
          <w:rFonts w:hint="eastAsia" w:ascii="宋体" w:hAnsi="宋体" w:eastAsia="宋体" w:cs="宋体"/>
          <w:sz w:val="24"/>
          <w:szCs w:val="24"/>
        </w:rPr>
        <w:t>，点击“苏采云”进入系统），按照要求通过互联网方式提交首次响应文件。</w:t>
      </w:r>
    </w:p>
    <w:p w14:paraId="6426A582">
      <w:pPr>
        <w:pStyle w:val="100"/>
        <w:spacing w:line="360" w:lineRule="exact"/>
        <w:ind w:firstLine="480"/>
        <w:rPr>
          <w:rFonts w:ascii="宋体" w:hAnsi="宋体" w:eastAsia="宋体" w:cs="宋体"/>
          <w:sz w:val="24"/>
          <w:szCs w:val="24"/>
        </w:rPr>
      </w:pPr>
      <w:r>
        <w:rPr>
          <w:rFonts w:hint="eastAsia" w:ascii="宋体" w:hAnsi="宋体" w:eastAsia="宋体" w:cs="宋体"/>
          <w:sz w:val="24"/>
          <w:szCs w:val="24"/>
        </w:rPr>
        <w:t>“苏采云”系统使用要求：</w:t>
      </w:r>
    </w:p>
    <w:p w14:paraId="1EFFD5E1">
      <w:pPr>
        <w:pStyle w:val="100"/>
        <w:numPr>
          <w:ilvl w:val="0"/>
          <w:numId w:val="3"/>
        </w:numPr>
        <w:spacing w:line="360" w:lineRule="exact"/>
        <w:ind w:firstLine="480"/>
        <w:jc w:val="both"/>
        <w:rPr>
          <w:rFonts w:ascii="宋体" w:hAnsi="宋体" w:eastAsia="宋体" w:cs="宋体"/>
          <w:sz w:val="24"/>
          <w:szCs w:val="24"/>
        </w:rPr>
      </w:pPr>
      <w:r>
        <w:rPr>
          <w:rFonts w:hint="eastAsia" w:ascii="宋体" w:hAnsi="宋体" w:eastAsia="宋体" w:cs="宋体"/>
          <w:sz w:val="24"/>
          <w:szCs w:val="24"/>
        </w:rPr>
        <w:t>使用谷歌浏览器参与不见面开标及磋商环节。</w:t>
      </w:r>
    </w:p>
    <w:p w14:paraId="156AE164">
      <w:pPr>
        <w:pStyle w:val="100"/>
        <w:numPr>
          <w:ilvl w:val="0"/>
          <w:numId w:val="3"/>
        </w:numPr>
        <w:spacing w:line="360" w:lineRule="exact"/>
        <w:ind w:firstLine="480"/>
        <w:jc w:val="both"/>
        <w:rPr>
          <w:rFonts w:ascii="宋体" w:hAnsi="宋体" w:eastAsia="宋体" w:cs="宋体"/>
          <w:sz w:val="24"/>
          <w:szCs w:val="24"/>
        </w:rPr>
      </w:pPr>
      <w:r>
        <w:rPr>
          <w:rFonts w:hint="eastAsia" w:ascii="宋体" w:hAnsi="宋体" w:eastAsia="宋体" w:cs="宋体"/>
          <w:sz w:val="24"/>
          <w:szCs w:val="24"/>
        </w:rPr>
        <w:t>电脑需提前准备好麦克风、音响，摄像头，提前检查保证能够正常使用。</w:t>
      </w:r>
    </w:p>
    <w:p w14:paraId="6DE6D985">
      <w:pPr>
        <w:pStyle w:val="100"/>
        <w:numPr>
          <w:ilvl w:val="0"/>
          <w:numId w:val="3"/>
        </w:numPr>
        <w:spacing w:line="360" w:lineRule="exact"/>
        <w:ind w:firstLine="480"/>
        <w:jc w:val="both"/>
        <w:rPr>
          <w:rFonts w:ascii="宋体" w:hAnsi="宋体" w:eastAsia="宋体" w:cs="宋体"/>
          <w:sz w:val="24"/>
          <w:szCs w:val="24"/>
        </w:rPr>
      </w:pPr>
      <w:r>
        <w:rPr>
          <w:rFonts w:hint="eastAsia" w:ascii="宋体" w:hAnsi="宋体" w:eastAsia="宋体" w:cs="宋体"/>
          <w:sz w:val="24"/>
          <w:szCs w:val="24"/>
        </w:rPr>
        <w:t>操作系统至少win7以上，建议使用win10操作系统。</w:t>
      </w:r>
    </w:p>
    <w:p w14:paraId="08187B9C">
      <w:pPr>
        <w:pStyle w:val="100"/>
        <w:spacing w:line="360" w:lineRule="exact"/>
        <w:ind w:firstLine="480"/>
        <w:rPr>
          <w:rFonts w:ascii="宋体" w:hAnsi="宋体" w:eastAsia="宋体" w:cs="宋体"/>
          <w:b/>
          <w:sz w:val="24"/>
          <w:szCs w:val="24"/>
        </w:rPr>
      </w:pPr>
      <w:r>
        <w:rPr>
          <w:rFonts w:hint="eastAsia" w:ascii="宋体" w:hAnsi="宋体" w:eastAsia="宋体" w:cs="宋体"/>
          <w:b/>
          <w:bCs/>
          <w:sz w:val="24"/>
          <w:szCs w:val="24"/>
        </w:rPr>
        <w:t>（二）首次响应文件提交的截止时间：详见竞争性磋商公告，在截止时间后提交的首次响应文件为无效文件，将被拒收。</w:t>
      </w:r>
    </w:p>
    <w:p w14:paraId="3467015B">
      <w:pPr>
        <w:pStyle w:val="100"/>
        <w:spacing w:line="360" w:lineRule="exact"/>
        <w:ind w:firstLine="480"/>
        <w:rPr>
          <w:rFonts w:ascii="宋体" w:hAnsi="宋体" w:eastAsia="宋体" w:cs="宋体"/>
          <w:b/>
          <w:bCs/>
          <w:sz w:val="24"/>
          <w:szCs w:val="24"/>
        </w:rPr>
      </w:pPr>
      <w:r>
        <w:rPr>
          <w:rFonts w:hint="eastAsia" w:ascii="宋体" w:hAnsi="宋体" w:eastAsia="宋体" w:cs="宋体"/>
          <w:b/>
          <w:bCs/>
          <w:sz w:val="24"/>
          <w:szCs w:val="24"/>
        </w:rPr>
        <w:t>（三）首次响应文件提交时间、地点：</w:t>
      </w:r>
    </w:p>
    <w:p w14:paraId="37A92128">
      <w:pPr>
        <w:pStyle w:val="100"/>
        <w:spacing w:line="360" w:lineRule="exact"/>
        <w:ind w:firstLine="480"/>
        <w:rPr>
          <w:rFonts w:ascii="宋体" w:hAnsi="宋体" w:eastAsia="宋体" w:cs="宋体"/>
          <w:b/>
          <w:bCs/>
          <w:sz w:val="24"/>
          <w:szCs w:val="24"/>
        </w:rPr>
      </w:pPr>
      <w:r>
        <w:rPr>
          <w:rFonts w:hint="eastAsia" w:ascii="宋体" w:hAnsi="宋体" w:eastAsia="宋体" w:cs="宋体"/>
          <w:b/>
          <w:bCs/>
          <w:sz w:val="24"/>
          <w:szCs w:val="24"/>
        </w:rPr>
        <w:t>1.提交时间：详见竞争性磋商公告。</w:t>
      </w:r>
    </w:p>
    <w:p w14:paraId="16C60E5B">
      <w:pPr>
        <w:pStyle w:val="100"/>
        <w:spacing w:line="360" w:lineRule="exact"/>
        <w:ind w:firstLine="480"/>
        <w:rPr>
          <w:rFonts w:ascii="宋体" w:hAnsi="宋体" w:eastAsia="宋体" w:cs="宋体"/>
          <w:b/>
          <w:bCs/>
          <w:sz w:val="24"/>
          <w:szCs w:val="24"/>
        </w:rPr>
      </w:pPr>
      <w:r>
        <w:rPr>
          <w:rFonts w:hint="eastAsia" w:ascii="宋体" w:hAnsi="宋体" w:eastAsia="宋体" w:cs="宋体"/>
          <w:b/>
          <w:bCs/>
          <w:sz w:val="24"/>
          <w:szCs w:val="24"/>
        </w:rPr>
        <w:t>2.提交地点：</w:t>
      </w:r>
    </w:p>
    <w:p w14:paraId="6EEDF23C">
      <w:pPr>
        <w:pStyle w:val="100"/>
        <w:spacing w:line="360" w:lineRule="exact"/>
        <w:ind w:firstLine="480"/>
        <w:rPr>
          <w:rFonts w:ascii="宋体" w:hAnsi="宋体" w:eastAsia="宋体" w:cs="宋体"/>
          <w:b/>
          <w:bCs/>
          <w:sz w:val="24"/>
          <w:szCs w:val="24"/>
        </w:rPr>
      </w:pPr>
      <w:r>
        <w:rPr>
          <w:rFonts w:hint="eastAsia" w:ascii="宋体" w:hAnsi="宋体" w:eastAsia="宋体" w:cs="宋体"/>
          <w:b/>
          <w:bCs/>
          <w:sz w:val="24"/>
          <w:szCs w:val="24"/>
        </w:rPr>
        <w:t xml:space="preserve">“苏采云”系统（网址：http://jszfcg.jsczt.cn/）“开标大厅”，点击“苏采云”进入系统“开标大厅”。 </w:t>
      </w:r>
    </w:p>
    <w:p w14:paraId="1C5D8552">
      <w:pPr>
        <w:pStyle w:val="100"/>
        <w:spacing w:line="360" w:lineRule="exact"/>
        <w:ind w:firstLine="480"/>
        <w:rPr>
          <w:rFonts w:ascii="宋体" w:hAnsi="宋体" w:eastAsia="宋体" w:cs="宋体"/>
          <w:b/>
          <w:bCs/>
          <w:sz w:val="24"/>
          <w:szCs w:val="24"/>
        </w:rPr>
      </w:pPr>
      <w:r>
        <w:rPr>
          <w:rFonts w:hint="eastAsia" w:ascii="宋体" w:hAnsi="宋体" w:eastAsia="宋体" w:cs="宋体"/>
          <w:b/>
          <w:bCs/>
          <w:sz w:val="24"/>
          <w:szCs w:val="24"/>
        </w:rPr>
        <w:t>（四）首次响应文件开启时间：详见竞争性磋商公告。</w:t>
      </w:r>
    </w:p>
    <w:p w14:paraId="71586199">
      <w:pPr>
        <w:pStyle w:val="100"/>
        <w:spacing w:line="360" w:lineRule="exact"/>
        <w:ind w:firstLine="480"/>
        <w:rPr>
          <w:rFonts w:ascii="宋体" w:hAnsi="宋体" w:eastAsia="宋体" w:cs="宋体"/>
          <w:sz w:val="24"/>
          <w:szCs w:val="24"/>
        </w:rPr>
      </w:pPr>
      <w:r>
        <w:rPr>
          <w:rFonts w:hint="eastAsia" w:ascii="宋体" w:hAnsi="宋体" w:eastAsia="宋体" w:cs="宋体"/>
          <w:sz w:val="24"/>
          <w:szCs w:val="24"/>
        </w:rPr>
        <w:t>（五）首次响应文件开启地点：</w:t>
      </w:r>
    </w:p>
    <w:p w14:paraId="3B2D2B90">
      <w:pPr>
        <w:pStyle w:val="100"/>
        <w:spacing w:line="360" w:lineRule="exact"/>
        <w:ind w:firstLine="480"/>
        <w:rPr>
          <w:rFonts w:ascii="宋体" w:hAnsi="宋体" w:eastAsia="宋体" w:cs="宋体"/>
          <w:sz w:val="24"/>
          <w:szCs w:val="24"/>
        </w:rPr>
      </w:pPr>
      <w:r>
        <w:rPr>
          <w:rFonts w:hint="eastAsia" w:ascii="宋体" w:hAnsi="宋体" w:eastAsia="宋体" w:cs="宋体"/>
          <w:sz w:val="24"/>
          <w:szCs w:val="24"/>
        </w:rPr>
        <w:t>“苏采云”系统（网址：http://jszfcg.jsczt.cn/）“开标大厅”，点击“苏采云”进入系统“开标大厅”。</w:t>
      </w:r>
    </w:p>
    <w:p w14:paraId="0479AF97">
      <w:pPr>
        <w:pStyle w:val="100"/>
        <w:spacing w:line="360" w:lineRule="exact"/>
        <w:ind w:firstLine="480"/>
        <w:rPr>
          <w:rFonts w:ascii="宋体" w:hAnsi="宋体" w:eastAsia="宋体" w:cs="宋体"/>
          <w:sz w:val="24"/>
          <w:szCs w:val="24"/>
        </w:rPr>
      </w:pPr>
      <w:r>
        <w:rPr>
          <w:rFonts w:hint="eastAsia" w:ascii="宋体" w:hAnsi="宋体" w:eastAsia="宋体" w:cs="宋体"/>
          <w:sz w:val="24"/>
          <w:szCs w:val="24"/>
        </w:rPr>
        <w:t>（六）供应商在首次响应文件提交的截止时间前，可以对所提交的首次响应文件进行补充、修改或者撤回。补充、修改的内容作为响应文件的组成部分。补充、修改的内容与首次响应文件不一致的，以补充、修改的内容为准。</w:t>
      </w:r>
    </w:p>
    <w:p w14:paraId="57FDB77A">
      <w:pPr>
        <w:pStyle w:val="100"/>
        <w:spacing w:line="360" w:lineRule="exact"/>
        <w:ind w:firstLine="480"/>
        <w:rPr>
          <w:rFonts w:ascii="宋体" w:hAnsi="宋体" w:eastAsia="宋体" w:cs="宋体"/>
          <w:sz w:val="24"/>
          <w:szCs w:val="24"/>
        </w:rPr>
      </w:pPr>
      <w:r>
        <w:rPr>
          <w:rFonts w:hint="eastAsia" w:ascii="宋体" w:hAnsi="宋体" w:eastAsia="宋体" w:cs="宋体"/>
          <w:sz w:val="24"/>
          <w:szCs w:val="24"/>
        </w:rPr>
        <w:t>（七）不接受不按要求加盖公章（电子签章）的首次响应文件。电子签章相关要求见“苏采云”系统。</w:t>
      </w:r>
    </w:p>
    <w:p w14:paraId="390CD9CA">
      <w:pPr>
        <w:pStyle w:val="100"/>
        <w:spacing w:line="360" w:lineRule="exact"/>
        <w:ind w:firstLine="480"/>
        <w:rPr>
          <w:rFonts w:ascii="宋体" w:hAnsi="宋体" w:eastAsia="宋体" w:cs="宋体"/>
          <w:sz w:val="24"/>
          <w:szCs w:val="24"/>
        </w:rPr>
      </w:pPr>
      <w:r>
        <w:rPr>
          <w:rFonts w:hint="eastAsia" w:ascii="宋体" w:hAnsi="宋体" w:eastAsia="宋体" w:cs="宋体"/>
          <w:bCs/>
          <w:sz w:val="24"/>
          <w:szCs w:val="24"/>
        </w:rPr>
        <w:t>（八）首次响应文件解密：到达开启时间，</w:t>
      </w:r>
      <w:r>
        <w:rPr>
          <w:rFonts w:hint="eastAsia" w:ascii="宋体" w:hAnsi="宋体" w:eastAsia="宋体" w:cs="宋体"/>
          <w:sz w:val="24"/>
          <w:szCs w:val="24"/>
        </w:rPr>
        <w:t>“苏采云”系统自动提取所有响应文件，供应商按采购文件规定方式按时在线解密。本项目采购文件规定的供应商按时在线解密方式：开启时间后30分钟内，通过“苏采云”系统（使用“CA数字证书”）解密。</w:t>
      </w:r>
    </w:p>
    <w:p w14:paraId="4D6DDAA4">
      <w:pPr>
        <w:pStyle w:val="100"/>
        <w:spacing w:line="360" w:lineRule="exact"/>
        <w:ind w:firstLine="480"/>
        <w:rPr>
          <w:rFonts w:ascii="宋体" w:hAnsi="宋体" w:eastAsia="宋体" w:cs="宋体"/>
          <w:sz w:val="24"/>
          <w:szCs w:val="24"/>
        </w:rPr>
      </w:pPr>
      <w:r>
        <w:rPr>
          <w:rFonts w:hint="eastAsia" w:ascii="宋体" w:hAnsi="宋体" w:eastAsia="宋体" w:cs="宋体"/>
          <w:sz w:val="24"/>
          <w:szCs w:val="24"/>
        </w:rPr>
        <w:t>（九）采购文件（后缀名为“.kedt”）、供应商操作手册及政府采购客户端工具可通过“苏采云”系统（网址：</w:t>
      </w:r>
      <w:r>
        <w:fldChar w:fldCharType="begin"/>
      </w:r>
      <w:r>
        <w:instrText xml:space="preserve"> HYPERLINK "http://jszfcg.jsczt.cn/" \o "http://jszfcg.jsczt.cn/" </w:instrText>
      </w:r>
      <w:r>
        <w:fldChar w:fldCharType="separate"/>
      </w:r>
      <w:r>
        <w:rPr>
          <w:rFonts w:hint="eastAsia" w:ascii="宋体" w:hAnsi="宋体" w:eastAsia="宋体" w:cs="宋体"/>
          <w:sz w:val="24"/>
          <w:szCs w:val="24"/>
        </w:rPr>
        <w:t>http://jszfcg.jsczt.cn/</w:t>
      </w:r>
      <w:r>
        <w:rPr>
          <w:rFonts w:hint="eastAsia" w:ascii="宋体" w:hAnsi="宋体" w:eastAsia="宋体" w:cs="宋体"/>
          <w:sz w:val="24"/>
          <w:szCs w:val="24"/>
        </w:rPr>
        <w:fldChar w:fldCharType="end"/>
      </w:r>
      <w:r>
        <w:rPr>
          <w:rFonts w:hint="eastAsia" w:ascii="宋体" w:hAnsi="宋体" w:eastAsia="宋体" w:cs="宋体"/>
          <w:sz w:val="24"/>
          <w:szCs w:val="24"/>
        </w:rPr>
        <w:t>）--已报名项目--报名详情页面内相应链接进行下载；供应商操作手册及政府采购客户端工具可通过泰州政府采购网—服务指南--下载中心，点击进入“</w:t>
      </w:r>
      <w:r>
        <w:fldChar w:fldCharType="begin"/>
      </w:r>
      <w:r>
        <w:instrText xml:space="preserve"> HYPERLINK "http://czj.taizhou.gov.cn/art/2022/12/9/art_61762_3436049.html" \o "苏采云系统操作手册（供应商）" </w:instrText>
      </w:r>
      <w:r>
        <w:fldChar w:fldCharType="separate"/>
      </w:r>
      <w:r>
        <w:rPr>
          <w:rFonts w:hint="eastAsia" w:ascii="宋体" w:hAnsi="宋体" w:eastAsia="宋体" w:cs="宋体"/>
          <w:sz w:val="24"/>
          <w:szCs w:val="24"/>
        </w:rPr>
        <w:t>苏采云系统操作手册（供应商）</w:t>
      </w:r>
      <w:r>
        <w:rPr>
          <w:rFonts w:hint="eastAsia" w:ascii="宋体" w:hAnsi="宋体" w:eastAsia="宋体" w:cs="宋体"/>
          <w:sz w:val="24"/>
          <w:szCs w:val="24"/>
        </w:rPr>
        <w:fldChar w:fldCharType="end"/>
      </w:r>
      <w:r>
        <w:rPr>
          <w:rFonts w:hint="eastAsia" w:ascii="宋体" w:hAnsi="宋体" w:eastAsia="宋体" w:cs="宋体"/>
          <w:sz w:val="24"/>
          <w:szCs w:val="24"/>
        </w:rPr>
        <w:t>”，进行下载。</w:t>
      </w:r>
    </w:p>
    <w:p w14:paraId="2DE2A89D">
      <w:pPr>
        <w:pStyle w:val="100"/>
        <w:spacing w:line="360" w:lineRule="exact"/>
        <w:ind w:firstLine="480"/>
        <w:rPr>
          <w:rFonts w:ascii="宋体" w:hAnsi="宋体" w:eastAsia="宋体" w:cs="宋体"/>
          <w:sz w:val="24"/>
          <w:szCs w:val="24"/>
        </w:rPr>
      </w:pPr>
      <w:r>
        <w:rPr>
          <w:rFonts w:hint="eastAsia" w:ascii="宋体" w:hAnsi="宋体" w:eastAsia="宋体" w:cs="宋体"/>
          <w:sz w:val="24"/>
          <w:szCs w:val="24"/>
        </w:rPr>
        <w:t>（十）相关说明: 供应商在“苏采云”系统中提交首次响应文件的时间即为数据电文（响应文件，下同）的发送时间和接收时间。</w:t>
      </w:r>
    </w:p>
    <w:p w14:paraId="35941293">
      <w:pPr>
        <w:pStyle w:val="100"/>
        <w:spacing w:line="360" w:lineRule="exact"/>
        <w:ind w:firstLine="480"/>
        <w:rPr>
          <w:rFonts w:ascii="宋体" w:hAnsi="宋体" w:eastAsia="宋体" w:cs="宋体"/>
          <w:b/>
          <w:sz w:val="24"/>
          <w:szCs w:val="24"/>
        </w:rPr>
      </w:pPr>
      <w:r>
        <w:rPr>
          <w:rFonts w:hint="eastAsia" w:ascii="宋体" w:hAnsi="宋体" w:eastAsia="宋体" w:cs="宋体"/>
          <w:b/>
          <w:sz w:val="24"/>
          <w:szCs w:val="24"/>
        </w:rPr>
        <w:t>4、响应文件编制要求</w:t>
      </w:r>
    </w:p>
    <w:p w14:paraId="37AD2708">
      <w:pPr>
        <w:pStyle w:val="100"/>
        <w:spacing w:line="360" w:lineRule="exact"/>
        <w:ind w:firstLine="480"/>
        <w:rPr>
          <w:rFonts w:ascii="宋体" w:hAnsi="宋体" w:eastAsia="宋体" w:cs="宋体"/>
          <w:bCs/>
          <w:sz w:val="24"/>
          <w:szCs w:val="24"/>
        </w:rPr>
      </w:pPr>
      <w:r>
        <w:rPr>
          <w:rFonts w:hint="eastAsia" w:ascii="宋体" w:hAnsi="宋体" w:eastAsia="宋体" w:cs="宋体"/>
          <w:bCs/>
          <w:sz w:val="24"/>
          <w:szCs w:val="24"/>
        </w:rPr>
        <w:t>请按照以下要求（包括但不限于以下要求）制作：</w:t>
      </w:r>
    </w:p>
    <w:p w14:paraId="7E2130F0">
      <w:pPr>
        <w:pStyle w:val="100"/>
        <w:spacing w:line="360" w:lineRule="exact"/>
        <w:ind w:firstLine="425"/>
        <w:rPr>
          <w:rFonts w:ascii="宋体" w:hAnsi="宋体" w:eastAsia="宋体" w:cs="宋体"/>
          <w:b/>
          <w:sz w:val="24"/>
          <w:szCs w:val="24"/>
        </w:rPr>
      </w:pPr>
      <w:r>
        <w:rPr>
          <w:rFonts w:hint="eastAsia" w:ascii="宋体" w:hAnsi="宋体" w:eastAsia="宋体" w:cs="宋体"/>
          <w:b/>
          <w:sz w:val="24"/>
          <w:szCs w:val="24"/>
        </w:rPr>
        <w:t>（一）基本目录</w:t>
      </w:r>
    </w:p>
    <w:p w14:paraId="4C1614A0">
      <w:pPr>
        <w:pStyle w:val="100"/>
        <w:spacing w:line="360" w:lineRule="exact"/>
        <w:ind w:firstLine="480"/>
        <w:rPr>
          <w:rFonts w:ascii="宋体" w:hAnsi="宋体" w:eastAsia="宋体" w:cs="宋体"/>
          <w:bCs/>
          <w:sz w:val="24"/>
          <w:szCs w:val="24"/>
        </w:rPr>
      </w:pPr>
      <w:r>
        <w:rPr>
          <w:rFonts w:hint="eastAsia" w:ascii="宋体" w:hAnsi="宋体" w:eastAsia="宋体" w:cs="宋体"/>
          <w:bCs/>
          <w:sz w:val="24"/>
          <w:szCs w:val="24"/>
        </w:rPr>
        <w:t>1.</w:t>
      </w:r>
      <w:r>
        <w:rPr>
          <w:rFonts w:hint="eastAsia" w:ascii="宋体" w:hAnsi="宋体" w:eastAsia="宋体" w:cs="宋体"/>
          <w:sz w:val="24"/>
          <w:szCs w:val="24"/>
        </w:rPr>
        <w:t>《磋商报价表》（加盖电子签章，格式见《磋商文件》附件。</w:t>
      </w:r>
      <w:r>
        <w:rPr>
          <w:rFonts w:hint="eastAsia" w:ascii="宋体" w:hAnsi="宋体" w:eastAsia="宋体" w:cs="宋体"/>
          <w:bCs/>
          <w:sz w:val="24"/>
          <w:szCs w:val="24"/>
        </w:rPr>
        <w:t>政府采购客户端工具输入报价自动生成）；</w:t>
      </w:r>
    </w:p>
    <w:p w14:paraId="473C5C3B">
      <w:pPr>
        <w:pStyle w:val="100"/>
        <w:spacing w:line="360" w:lineRule="exact"/>
        <w:ind w:firstLine="480"/>
        <w:rPr>
          <w:rFonts w:ascii="宋体" w:hAnsi="宋体" w:eastAsia="宋体" w:cs="宋体"/>
          <w:sz w:val="24"/>
          <w:szCs w:val="24"/>
        </w:rPr>
      </w:pPr>
      <w:r>
        <w:rPr>
          <w:rFonts w:hint="eastAsia" w:ascii="宋体" w:hAnsi="宋体" w:eastAsia="宋体" w:cs="宋体"/>
          <w:bCs/>
          <w:sz w:val="24"/>
          <w:szCs w:val="24"/>
        </w:rPr>
        <w:t>2.《授权委托书》（提供原件的扫描件，格式见《磋商文件》附件）</w:t>
      </w:r>
      <w:r>
        <w:rPr>
          <w:rFonts w:hint="eastAsia" w:ascii="宋体" w:hAnsi="宋体" w:eastAsia="宋体" w:cs="宋体"/>
          <w:b/>
          <w:sz w:val="24"/>
          <w:szCs w:val="24"/>
        </w:rPr>
        <w:t>（法定代表人参与磋商的可不提供）</w:t>
      </w:r>
      <w:r>
        <w:rPr>
          <w:rFonts w:hint="eastAsia" w:ascii="宋体" w:hAnsi="宋体" w:eastAsia="宋体" w:cs="宋体"/>
          <w:sz w:val="24"/>
          <w:szCs w:val="24"/>
        </w:rPr>
        <w:t>；</w:t>
      </w:r>
    </w:p>
    <w:p w14:paraId="6E0E034A">
      <w:pPr>
        <w:pStyle w:val="100"/>
        <w:spacing w:line="360" w:lineRule="exact"/>
        <w:ind w:firstLine="480"/>
        <w:rPr>
          <w:rFonts w:ascii="宋体" w:hAnsi="宋体" w:eastAsia="宋体" w:cs="宋体"/>
          <w:sz w:val="24"/>
          <w:szCs w:val="24"/>
        </w:rPr>
      </w:pPr>
      <w:r>
        <w:rPr>
          <w:rFonts w:hint="eastAsia" w:ascii="宋体" w:hAnsi="宋体" w:eastAsia="宋体" w:cs="宋体"/>
          <w:sz w:val="24"/>
          <w:szCs w:val="24"/>
        </w:rPr>
        <w:t>3.授权委托书中受托人身份证原件的扫描件；</w:t>
      </w:r>
    </w:p>
    <w:p w14:paraId="1E410585">
      <w:pPr>
        <w:pStyle w:val="100"/>
        <w:spacing w:line="360" w:lineRule="exact"/>
        <w:ind w:firstLine="425"/>
        <w:rPr>
          <w:rFonts w:ascii="宋体" w:hAnsi="宋体" w:eastAsia="宋体" w:cs="宋体"/>
          <w:bCs/>
          <w:sz w:val="24"/>
          <w:szCs w:val="24"/>
        </w:rPr>
      </w:pPr>
      <w:r>
        <w:rPr>
          <w:rFonts w:hint="eastAsia" w:ascii="宋体" w:hAnsi="宋体" w:eastAsia="宋体" w:cs="宋体"/>
          <w:b/>
          <w:sz w:val="24"/>
          <w:szCs w:val="24"/>
        </w:rPr>
        <w:t>（二）资格条件（1～8项必须提供，否则响应无效）</w:t>
      </w:r>
    </w:p>
    <w:p w14:paraId="30BBE0CB">
      <w:pPr>
        <w:pStyle w:val="100"/>
        <w:spacing w:line="360" w:lineRule="exact"/>
        <w:ind w:firstLine="480"/>
        <w:rPr>
          <w:rFonts w:ascii="宋体" w:hAnsi="宋体" w:eastAsia="宋体" w:cs="宋体"/>
          <w:sz w:val="24"/>
          <w:szCs w:val="24"/>
        </w:rPr>
      </w:pPr>
      <w:r>
        <w:rPr>
          <w:rFonts w:hint="eastAsia" w:ascii="宋体" w:hAnsi="宋体" w:eastAsia="宋体" w:cs="宋体"/>
          <w:sz w:val="24"/>
          <w:szCs w:val="24"/>
        </w:rPr>
        <w:t>1.供应商合法有效的营业执照扫描件；</w:t>
      </w:r>
    </w:p>
    <w:p w14:paraId="5F6C9184">
      <w:pPr>
        <w:pStyle w:val="100"/>
        <w:spacing w:line="360" w:lineRule="exact"/>
        <w:ind w:right="26" w:firstLine="480"/>
        <w:rPr>
          <w:rFonts w:ascii="宋体" w:hAnsi="宋体" w:eastAsia="宋体" w:cs="宋体"/>
          <w:sz w:val="24"/>
          <w:szCs w:val="24"/>
        </w:rPr>
      </w:pPr>
      <w:r>
        <w:rPr>
          <w:rFonts w:hint="eastAsia" w:ascii="宋体" w:hAnsi="宋体" w:eastAsia="宋体" w:cs="宋体"/>
          <w:sz w:val="24"/>
          <w:szCs w:val="24"/>
        </w:rPr>
        <w:t>2.财务状况报告，至少提供：</w:t>
      </w:r>
    </w:p>
    <w:p w14:paraId="19C6863F">
      <w:pPr>
        <w:pStyle w:val="100"/>
        <w:spacing w:line="360" w:lineRule="exact"/>
        <w:ind w:right="26" w:firstLine="480"/>
        <w:rPr>
          <w:rFonts w:ascii="宋体" w:hAnsi="宋体" w:eastAsia="宋体" w:cs="宋体"/>
          <w:sz w:val="24"/>
          <w:szCs w:val="24"/>
        </w:rPr>
      </w:pPr>
      <w:bookmarkStart w:id="35" w:name="OLE_LINK24"/>
      <w:bookmarkStart w:id="36" w:name="OLE_LINK25"/>
      <w:r>
        <w:rPr>
          <w:rFonts w:hint="eastAsia" w:ascii="宋体" w:hAnsi="宋体" w:eastAsia="宋体" w:cs="宋体"/>
          <w:sz w:val="24"/>
          <w:szCs w:val="24"/>
        </w:rPr>
        <w:t>供应商提交首次响应文件时间前6个月内（不含磋商当月）任何一个月的资产负债表和利润表月报表扫描件；或经会计师事务所出具的近两年中任意一个年度的审计报告扫描件；或供应商的本项目开标时间前6个月内（不含磋商当月）银行出具的资信证明扫描件；或财政部门认可的政府采购专业担保机构出具的投标担保函扫描件。</w:t>
      </w:r>
      <w:bookmarkEnd w:id="35"/>
      <w:bookmarkEnd w:id="36"/>
    </w:p>
    <w:p w14:paraId="4E5984AB">
      <w:pPr>
        <w:pStyle w:val="100"/>
        <w:spacing w:line="360" w:lineRule="exact"/>
        <w:ind w:right="26" w:firstLine="480"/>
        <w:rPr>
          <w:rFonts w:ascii="宋体" w:hAnsi="宋体" w:eastAsia="宋体" w:cs="宋体"/>
          <w:sz w:val="24"/>
          <w:szCs w:val="24"/>
        </w:rPr>
      </w:pPr>
      <w:r>
        <w:rPr>
          <w:rFonts w:hint="eastAsia" w:ascii="宋体" w:hAnsi="宋体" w:eastAsia="宋体" w:cs="宋体"/>
          <w:sz w:val="24"/>
          <w:szCs w:val="24"/>
        </w:rPr>
        <w:t>3.供应商提交首次响应文件时间前6个月内（不含磋商当月）任何一个月的依法缴纳税收和社会保障资金的相关材料扫描件；依法免税或不需要缴纳社会保障资金的供应商应提供相应其依法免税或不需要缴纳社会保障资金的证明文件扫描件。</w:t>
      </w:r>
    </w:p>
    <w:p w14:paraId="3A3086C4">
      <w:pPr>
        <w:pStyle w:val="100"/>
        <w:spacing w:line="360" w:lineRule="exact"/>
        <w:ind w:right="26" w:firstLine="480"/>
        <w:rPr>
          <w:rFonts w:ascii="宋体" w:hAnsi="宋体" w:eastAsia="宋体" w:cs="宋体"/>
          <w:sz w:val="24"/>
          <w:szCs w:val="24"/>
        </w:rPr>
      </w:pPr>
      <w:r>
        <w:rPr>
          <w:rFonts w:hint="eastAsia" w:ascii="宋体" w:hAnsi="宋体" w:eastAsia="宋体" w:cs="宋体"/>
          <w:sz w:val="24"/>
          <w:szCs w:val="24"/>
        </w:rPr>
        <w:t>4.具备履行合同所必需的专业技术能力的证明材料扫描件</w:t>
      </w:r>
    </w:p>
    <w:p w14:paraId="3D5A27A6">
      <w:pPr>
        <w:pStyle w:val="100"/>
        <w:spacing w:line="360" w:lineRule="exact"/>
        <w:ind w:firstLine="480"/>
        <w:rPr>
          <w:rFonts w:ascii="宋体" w:hAnsi="宋体" w:eastAsia="宋体" w:cs="宋体"/>
          <w:sz w:val="24"/>
          <w:szCs w:val="24"/>
        </w:rPr>
      </w:pPr>
      <w:r>
        <w:rPr>
          <w:rFonts w:hint="eastAsia" w:ascii="宋体" w:hAnsi="宋体" w:eastAsia="宋体" w:cs="宋体"/>
          <w:sz w:val="24"/>
          <w:szCs w:val="24"/>
        </w:rPr>
        <w:t>5.供应商参加政府采购活动前3年内在经营活动中没有重大违法记录的书面声明（加盖电子签章，格式见《磋商文件》附件）</w:t>
      </w:r>
    </w:p>
    <w:p w14:paraId="25219230">
      <w:pPr>
        <w:pStyle w:val="100"/>
        <w:spacing w:line="360" w:lineRule="exact"/>
        <w:ind w:firstLine="480"/>
        <w:rPr>
          <w:rFonts w:ascii="宋体" w:hAnsi="宋体" w:eastAsia="宋体" w:cs="宋体"/>
          <w:sz w:val="24"/>
          <w:szCs w:val="24"/>
        </w:rPr>
      </w:pPr>
      <w:r>
        <w:rPr>
          <w:rFonts w:hint="eastAsia" w:ascii="宋体" w:hAnsi="宋体" w:eastAsia="宋体" w:cs="宋体"/>
          <w:sz w:val="24"/>
          <w:szCs w:val="24"/>
        </w:rPr>
        <w:t>6.</w:t>
      </w:r>
      <w:bookmarkStart w:id="37" w:name="OLE_LINK26"/>
      <w:bookmarkStart w:id="38" w:name="OLE_LINK27"/>
      <w:r>
        <w:rPr>
          <w:rFonts w:hint="eastAsia" w:ascii="宋体" w:hAnsi="宋体" w:eastAsia="宋体" w:cs="宋体"/>
          <w:sz w:val="24"/>
          <w:szCs w:val="24"/>
        </w:rPr>
        <w:t>未被“信用中国”网站（www.creditchina.gov.cn）列入失信被执行人、重大税收违法失信主体、政府采购严重失信行为记录名单。（提供网页查询截图）</w:t>
      </w:r>
      <w:bookmarkEnd w:id="37"/>
      <w:bookmarkEnd w:id="38"/>
    </w:p>
    <w:p w14:paraId="06D544D9">
      <w:pPr>
        <w:spacing w:line="360" w:lineRule="exact"/>
        <w:ind w:firstLine="480"/>
        <w:rPr>
          <w:rFonts w:ascii="宋体" w:hAnsi="宋体" w:cs="宋体"/>
          <w:sz w:val="24"/>
        </w:rPr>
      </w:pPr>
      <w:r>
        <w:rPr>
          <w:rFonts w:hint="eastAsia" w:ascii="宋体" w:hAnsi="宋体" w:cs="宋体"/>
          <w:sz w:val="24"/>
        </w:rPr>
        <w:t>7. 磋商文件中规定的资格特定条件证明材料：</w:t>
      </w:r>
    </w:p>
    <w:p w14:paraId="590A062D">
      <w:pPr>
        <w:spacing w:line="360" w:lineRule="exact"/>
        <w:ind w:firstLine="480"/>
        <w:rPr>
          <w:rFonts w:ascii="宋体" w:hAnsi="宋体" w:cs="宋体"/>
          <w:sz w:val="24"/>
          <w:shd w:val="clear" w:color="auto" w:fill="FFFFFF"/>
        </w:rPr>
      </w:pPr>
      <w:r>
        <w:rPr>
          <w:rFonts w:hint="eastAsia" w:ascii="宋体" w:hAnsi="宋体" w:cs="宋体"/>
          <w:sz w:val="24"/>
        </w:rPr>
        <w:t>（1）有效的建设行政主管部门颁发的有效的电力工程施工总承包三级（及）以上资质并具备</w:t>
      </w:r>
      <w:r>
        <w:rPr>
          <w:rFonts w:hint="eastAsia" w:ascii="宋体" w:hAnsi="宋体" w:cs="宋体"/>
          <w:color w:val="000000"/>
          <w:sz w:val="24"/>
          <w:shd w:val="clear" w:color="auto" w:fill="FFFFFF"/>
        </w:rPr>
        <w:t>有效的建筑施工企业安全生产许可证且具有承装（修、试）五级及以上电力设施许可证</w:t>
      </w:r>
      <w:r>
        <w:rPr>
          <w:rFonts w:hint="eastAsia" w:ascii="宋体" w:hAnsi="宋体" w:cs="宋体"/>
          <w:sz w:val="24"/>
        </w:rPr>
        <w:t>；</w:t>
      </w:r>
    </w:p>
    <w:p w14:paraId="51C4EDD5">
      <w:pPr>
        <w:pStyle w:val="328"/>
        <w:spacing w:line="360" w:lineRule="exact"/>
        <w:ind w:firstLine="480"/>
        <w:rPr>
          <w:rFonts w:hAnsi="宋体" w:cs="宋体"/>
          <w:szCs w:val="24"/>
        </w:rPr>
      </w:pPr>
      <w:r>
        <w:rPr>
          <w:rFonts w:hint="eastAsia" w:hAnsi="宋体" w:cs="宋体"/>
        </w:rPr>
        <w:t>（</w:t>
      </w:r>
      <w:r>
        <w:rPr>
          <w:rFonts w:hint="eastAsia" w:hAnsi="宋体" w:cs="宋体"/>
          <w:szCs w:val="24"/>
        </w:rPr>
        <w:t>2）拟派项目负责人系已在供应商单位注册并具备建设行政主管部门颁发的机电工程专业二级(含)以上注册建造师执业资格且具有行政主管部门颁发的有效的安全生产考核合格证书B证。（提供有效的建造师注册证书、安全考核B证的扫描件）。</w:t>
      </w:r>
    </w:p>
    <w:p w14:paraId="6CA06DFF">
      <w:pPr>
        <w:pBdr>
          <w:top w:val="none" w:color="000000" w:sz="0" w:space="0"/>
          <w:left w:val="none" w:color="000000" w:sz="0" w:space="0"/>
          <w:bottom w:val="none" w:color="000000" w:sz="0" w:space="0"/>
          <w:right w:val="none" w:color="000000" w:sz="0" w:space="0"/>
        </w:pBdr>
        <w:spacing w:line="360" w:lineRule="exact"/>
        <w:ind w:right="26" w:firstLine="480"/>
        <w:rPr>
          <w:rFonts w:ascii="宋体" w:hAnsi="宋体" w:cs="宋体"/>
          <w:sz w:val="24"/>
        </w:rPr>
      </w:pPr>
      <w:r>
        <w:rPr>
          <w:rFonts w:hint="eastAsia" w:ascii="宋体" w:hAnsi="宋体" w:cs="宋体"/>
          <w:sz w:val="24"/>
        </w:rPr>
        <w:t>8.本项目为专门面向中小微企业的项目，工程的施工单位全部为符合政策要求的中小微企业。提供《中小企业声明函》</w:t>
      </w:r>
      <w:r>
        <w:rPr>
          <w:rFonts w:hint="eastAsia" w:ascii="宋体" w:hAnsi="宋体" w:cs="宋体"/>
          <w:b/>
          <w:sz w:val="24"/>
        </w:rPr>
        <w:t>（填写完整，加盖电子签章格式见《磋商文件》附件）如不填写完整，视为无效）。</w:t>
      </w:r>
      <w:r>
        <w:rPr>
          <w:rFonts w:hint="eastAsia" w:ascii="宋体" w:hAnsi="宋体" w:cs="宋体"/>
          <w:sz w:val="24"/>
        </w:rPr>
        <w:t>《中小企业声明函》查询渠道参考工业和信息化部发布的中小企业规模自测小程序。</w:t>
      </w:r>
    </w:p>
    <w:p w14:paraId="06FDF3A0">
      <w:pPr>
        <w:pStyle w:val="100"/>
        <w:spacing w:line="360" w:lineRule="exact"/>
        <w:ind w:right="26" w:firstLine="480"/>
        <w:rPr>
          <w:rFonts w:ascii="宋体" w:hAnsi="宋体" w:eastAsia="宋体" w:cs="宋体"/>
          <w:sz w:val="24"/>
          <w:szCs w:val="24"/>
        </w:rPr>
      </w:pPr>
      <w:r>
        <w:rPr>
          <w:rFonts w:hint="eastAsia" w:ascii="宋体" w:hAnsi="宋体" w:eastAsia="宋体" w:cs="宋体"/>
          <w:sz w:val="24"/>
          <w:szCs w:val="24"/>
        </w:rPr>
        <w:t>注：具体以《政府采购促进中小企业发展管理办法》（财库[2020]46号）和《关于印发中小企业划型标准规定的通知》（工信部联企业[2011]300号）的规定为准。</w:t>
      </w:r>
    </w:p>
    <w:p w14:paraId="53D029BF">
      <w:pPr>
        <w:pStyle w:val="100"/>
        <w:spacing w:line="360" w:lineRule="exact"/>
        <w:ind w:right="26" w:firstLine="480"/>
        <w:rPr>
          <w:rFonts w:ascii="宋体" w:hAnsi="宋体" w:eastAsia="宋体" w:cs="宋体"/>
          <w:sz w:val="24"/>
          <w:szCs w:val="24"/>
        </w:rPr>
      </w:pPr>
      <w:r>
        <w:rPr>
          <w:rFonts w:hint="eastAsia" w:ascii="宋体" w:hAnsi="宋体" w:eastAsia="宋体" w:cs="宋体"/>
          <w:sz w:val="24"/>
          <w:szCs w:val="24"/>
        </w:rPr>
        <w:t>注：监狱企业和残疾人福利性单位等同于小微企业。</w:t>
      </w:r>
    </w:p>
    <w:p w14:paraId="4C62162A">
      <w:pPr>
        <w:pStyle w:val="100"/>
        <w:spacing w:line="360" w:lineRule="exact"/>
        <w:ind w:right="26" w:firstLine="480"/>
        <w:rPr>
          <w:rFonts w:ascii="宋体" w:hAnsi="宋体" w:eastAsia="宋体" w:cs="宋体"/>
          <w:sz w:val="24"/>
          <w:szCs w:val="24"/>
        </w:rPr>
      </w:pPr>
      <w:r>
        <w:rPr>
          <w:rFonts w:hint="eastAsia" w:ascii="宋体" w:hAnsi="宋体" w:eastAsia="宋体" w:cs="宋体"/>
          <w:sz w:val="24"/>
          <w:szCs w:val="24"/>
        </w:rPr>
        <w:t>供应商为监狱企业的，提供省级以上监狱管理局、戒毒管理局（含新疆生产建设兵团）出具的属于监狱企业的证明文件原件的扫描件。</w:t>
      </w:r>
    </w:p>
    <w:p w14:paraId="21E80BE2">
      <w:pPr>
        <w:pStyle w:val="100"/>
        <w:spacing w:line="360" w:lineRule="exact"/>
        <w:ind w:right="26" w:firstLine="480"/>
        <w:rPr>
          <w:rFonts w:ascii="宋体" w:hAnsi="宋体" w:eastAsia="宋体" w:cs="宋体"/>
          <w:sz w:val="24"/>
          <w:szCs w:val="24"/>
        </w:rPr>
      </w:pPr>
      <w:r>
        <w:rPr>
          <w:rFonts w:hint="eastAsia" w:ascii="宋体" w:hAnsi="宋体" w:eastAsia="宋体" w:cs="宋体"/>
          <w:sz w:val="24"/>
          <w:szCs w:val="24"/>
        </w:rPr>
        <w:t>具体以《财政部 司法部关于政府采购支持监狱企业发展有关问题的通知》（财库〔2014〕68号）的规定为准。</w:t>
      </w:r>
    </w:p>
    <w:p w14:paraId="4EF20645">
      <w:pPr>
        <w:pStyle w:val="100"/>
        <w:spacing w:line="360" w:lineRule="exact"/>
        <w:ind w:right="26" w:firstLine="480"/>
        <w:rPr>
          <w:rFonts w:ascii="宋体" w:hAnsi="宋体" w:eastAsia="宋体" w:cs="宋体"/>
          <w:sz w:val="24"/>
          <w:szCs w:val="24"/>
        </w:rPr>
      </w:pPr>
      <w:r>
        <w:rPr>
          <w:rFonts w:hint="eastAsia" w:ascii="宋体" w:hAnsi="宋体" w:eastAsia="宋体" w:cs="宋体"/>
          <w:sz w:val="24"/>
          <w:szCs w:val="24"/>
        </w:rPr>
        <w:t>供应商为享受政府采购支持政策的残疾人福利性单位的，提供《残疾人福利性单位声明函》（加盖电子签章，格式见《磋商文件》附件）。</w:t>
      </w:r>
    </w:p>
    <w:p w14:paraId="2181E146">
      <w:pPr>
        <w:pStyle w:val="100"/>
        <w:spacing w:line="360" w:lineRule="exact"/>
        <w:ind w:right="26" w:firstLine="480"/>
        <w:rPr>
          <w:rFonts w:ascii="宋体" w:hAnsi="宋体" w:eastAsia="宋体" w:cs="宋体"/>
          <w:sz w:val="24"/>
          <w:szCs w:val="24"/>
        </w:rPr>
      </w:pPr>
      <w:r>
        <w:rPr>
          <w:rFonts w:hint="eastAsia" w:ascii="宋体" w:hAnsi="宋体" w:eastAsia="宋体" w:cs="宋体"/>
          <w:sz w:val="24"/>
          <w:szCs w:val="24"/>
        </w:rPr>
        <w:t>享受政府采购支持政策的残疾人福利性单位应当同时满足以下条件：</w:t>
      </w:r>
    </w:p>
    <w:p w14:paraId="02A31271">
      <w:pPr>
        <w:pStyle w:val="100"/>
        <w:spacing w:line="360" w:lineRule="exact"/>
        <w:ind w:right="26" w:firstLine="480"/>
        <w:rPr>
          <w:rFonts w:ascii="宋体" w:hAnsi="宋体" w:eastAsia="宋体" w:cs="宋体"/>
          <w:sz w:val="24"/>
          <w:szCs w:val="24"/>
        </w:rPr>
      </w:pPr>
      <w:r>
        <w:rPr>
          <w:rFonts w:hint="eastAsia" w:ascii="宋体" w:hAnsi="宋体" w:eastAsia="宋体" w:cs="宋体"/>
          <w:sz w:val="24"/>
          <w:szCs w:val="24"/>
        </w:rPr>
        <w:t>①安置的残疾人占本单位在职职工人数的比例不低于25%（含25%），并且安置的残疾人人数不少于10人（含10人）；</w:t>
      </w:r>
    </w:p>
    <w:p w14:paraId="3B69087A">
      <w:pPr>
        <w:pStyle w:val="100"/>
        <w:spacing w:line="360" w:lineRule="exact"/>
        <w:ind w:right="26" w:firstLine="480"/>
        <w:rPr>
          <w:rFonts w:ascii="宋体" w:hAnsi="宋体" w:eastAsia="宋体" w:cs="宋体"/>
          <w:sz w:val="24"/>
          <w:szCs w:val="24"/>
        </w:rPr>
      </w:pPr>
      <w:r>
        <w:rPr>
          <w:rFonts w:hint="eastAsia" w:ascii="宋体" w:hAnsi="宋体" w:eastAsia="宋体" w:cs="宋体"/>
          <w:sz w:val="24"/>
          <w:szCs w:val="24"/>
        </w:rPr>
        <w:t>②依法与安置的每位残疾人签订了一年以上（含一年）的劳动合同或服务协议；</w:t>
      </w:r>
    </w:p>
    <w:p w14:paraId="57C3A89B">
      <w:pPr>
        <w:pStyle w:val="100"/>
        <w:spacing w:line="360" w:lineRule="exact"/>
        <w:ind w:right="26" w:firstLine="480"/>
        <w:rPr>
          <w:rFonts w:ascii="宋体" w:hAnsi="宋体" w:eastAsia="宋体" w:cs="宋体"/>
          <w:sz w:val="24"/>
          <w:szCs w:val="24"/>
        </w:rPr>
      </w:pPr>
      <w:r>
        <w:rPr>
          <w:rFonts w:hint="eastAsia" w:ascii="宋体" w:hAnsi="宋体" w:eastAsia="宋体" w:cs="宋体"/>
          <w:sz w:val="24"/>
          <w:szCs w:val="24"/>
        </w:rPr>
        <w:t>③为安置的每位残疾人按月足额缴纳了基本养老保险、基本医疗保险、失业保险、工伤保险和生育保险等社会保险费；</w:t>
      </w:r>
    </w:p>
    <w:p w14:paraId="0670B510">
      <w:pPr>
        <w:pStyle w:val="100"/>
        <w:spacing w:line="360" w:lineRule="exact"/>
        <w:ind w:right="26" w:firstLine="480"/>
        <w:rPr>
          <w:rFonts w:ascii="宋体" w:hAnsi="宋体" w:eastAsia="宋体" w:cs="宋体"/>
          <w:sz w:val="24"/>
          <w:szCs w:val="24"/>
        </w:rPr>
      </w:pPr>
      <w:r>
        <w:rPr>
          <w:rFonts w:hint="eastAsia" w:ascii="宋体" w:hAnsi="宋体" w:eastAsia="宋体" w:cs="宋体"/>
          <w:sz w:val="24"/>
          <w:szCs w:val="24"/>
        </w:rPr>
        <w:t>④通过银行等金融机构向安置的每位残疾人，按月支付了不低于单位所在区县适用的经省级人民政府批准的月最低工资标准的工资；</w:t>
      </w:r>
    </w:p>
    <w:p w14:paraId="4856BD37">
      <w:pPr>
        <w:pStyle w:val="100"/>
        <w:spacing w:line="360" w:lineRule="exact"/>
        <w:ind w:right="26" w:firstLine="480"/>
        <w:rPr>
          <w:rFonts w:ascii="宋体" w:hAnsi="宋体" w:eastAsia="宋体" w:cs="宋体"/>
          <w:sz w:val="24"/>
          <w:szCs w:val="24"/>
        </w:rPr>
      </w:pPr>
      <w:r>
        <w:rPr>
          <w:rFonts w:hint="eastAsia" w:ascii="宋体" w:hAnsi="宋体" w:eastAsia="宋体" w:cs="宋体"/>
          <w:sz w:val="24"/>
          <w:szCs w:val="24"/>
        </w:rPr>
        <w:t>⑤提供本单位制造的货物、承担的工程或者服务（以下简称产品），或者提供其他残疾人福利性单位制造的货物（不包括使用非残疾人福利性单位注册商标的货物）。</w:t>
      </w:r>
    </w:p>
    <w:p w14:paraId="5EC04C91">
      <w:pPr>
        <w:pStyle w:val="100"/>
        <w:spacing w:line="360" w:lineRule="exact"/>
        <w:ind w:right="26" w:firstLine="480"/>
        <w:rPr>
          <w:rFonts w:ascii="宋体" w:hAnsi="宋体" w:eastAsia="宋体" w:cs="宋体"/>
          <w:sz w:val="24"/>
          <w:szCs w:val="24"/>
        </w:rPr>
      </w:pPr>
      <w:r>
        <w:rPr>
          <w:rFonts w:hint="eastAsia" w:ascii="宋体" w:hAnsi="宋体" w:eastAsia="宋体" w:cs="宋体"/>
          <w:sz w:val="24"/>
          <w:szCs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10F96780">
      <w:pPr>
        <w:pStyle w:val="100"/>
        <w:spacing w:line="360" w:lineRule="exact"/>
        <w:ind w:right="26" w:firstLine="480"/>
        <w:rPr>
          <w:rFonts w:ascii="宋体" w:hAnsi="宋体" w:eastAsia="宋体" w:cs="宋体"/>
          <w:sz w:val="24"/>
          <w:szCs w:val="24"/>
        </w:rPr>
      </w:pPr>
      <w:r>
        <w:rPr>
          <w:rFonts w:hint="eastAsia" w:ascii="宋体" w:hAnsi="宋体" w:eastAsia="宋体" w:cs="宋体"/>
          <w:sz w:val="24"/>
          <w:szCs w:val="24"/>
        </w:rPr>
        <w:t>具体以《三部门联合发布关于促进残疾人就业政府采购政策的通知》（财库〔2017〕141号）规定为准。</w:t>
      </w:r>
    </w:p>
    <w:p w14:paraId="6C76A3FE">
      <w:pPr>
        <w:pStyle w:val="100"/>
        <w:spacing w:line="360" w:lineRule="exact"/>
        <w:ind w:firstLine="480"/>
        <w:rPr>
          <w:rFonts w:ascii="宋体" w:hAnsi="宋体" w:eastAsia="宋体" w:cs="宋体"/>
          <w:b/>
          <w:sz w:val="24"/>
          <w:szCs w:val="24"/>
        </w:rPr>
      </w:pPr>
      <w:r>
        <w:rPr>
          <w:rFonts w:hint="eastAsia" w:ascii="宋体" w:hAnsi="宋体" w:eastAsia="宋体" w:cs="宋体"/>
          <w:b/>
          <w:sz w:val="24"/>
          <w:szCs w:val="24"/>
        </w:rPr>
        <w:t>（三）符合条件（必须提供，否则响应无效）</w:t>
      </w:r>
    </w:p>
    <w:p w14:paraId="75E85D7D">
      <w:pPr>
        <w:pStyle w:val="100"/>
        <w:spacing w:line="360" w:lineRule="exact"/>
        <w:ind w:firstLine="480"/>
        <w:rPr>
          <w:rFonts w:ascii="宋体" w:hAnsi="宋体" w:eastAsia="宋体" w:cs="宋体"/>
          <w:bCs/>
          <w:sz w:val="24"/>
          <w:szCs w:val="24"/>
        </w:rPr>
      </w:pPr>
      <w:r>
        <w:rPr>
          <w:rFonts w:hint="eastAsia" w:ascii="宋体" w:hAnsi="宋体" w:eastAsia="宋体" w:cs="宋体"/>
          <w:bCs/>
          <w:sz w:val="24"/>
          <w:szCs w:val="24"/>
        </w:rPr>
        <w:t>1.</w:t>
      </w:r>
      <w:r>
        <w:rPr>
          <w:rFonts w:hint="eastAsia" w:ascii="宋体" w:hAnsi="宋体" w:eastAsia="宋体" w:cs="宋体"/>
          <w:bCs/>
          <w:szCs w:val="28"/>
        </w:rPr>
        <w:t xml:space="preserve"> </w:t>
      </w:r>
      <w:r>
        <w:rPr>
          <w:rFonts w:hint="eastAsia" w:ascii="宋体" w:hAnsi="宋体" w:eastAsia="宋体" w:cs="宋体"/>
          <w:sz w:val="24"/>
          <w:szCs w:val="24"/>
        </w:rPr>
        <w:t>《已标价工程量清单》（加盖电子签章）；</w:t>
      </w:r>
    </w:p>
    <w:p w14:paraId="2F774149">
      <w:pPr>
        <w:pStyle w:val="100"/>
        <w:spacing w:line="360" w:lineRule="exact"/>
        <w:ind w:firstLine="480"/>
        <w:rPr>
          <w:rFonts w:ascii="宋体" w:hAnsi="宋体" w:eastAsia="宋体" w:cs="宋体"/>
          <w:bCs/>
          <w:sz w:val="24"/>
          <w:szCs w:val="24"/>
        </w:rPr>
      </w:pPr>
      <w:r>
        <w:rPr>
          <w:rFonts w:hint="eastAsia" w:ascii="宋体" w:hAnsi="宋体" w:eastAsia="宋体" w:cs="宋体"/>
          <w:bCs/>
          <w:sz w:val="24"/>
          <w:szCs w:val="24"/>
        </w:rPr>
        <w:t>2.</w:t>
      </w:r>
      <w:r>
        <w:rPr>
          <w:rFonts w:hint="eastAsia" w:ascii="宋体" w:hAnsi="宋体" w:eastAsia="宋体" w:cs="宋体"/>
          <w:sz w:val="24"/>
          <w:szCs w:val="24"/>
        </w:rPr>
        <w:t>《承诺书》（加盖电子签章，格式见《磋商文件》附件）；</w:t>
      </w:r>
    </w:p>
    <w:p w14:paraId="58476F8B">
      <w:pPr>
        <w:pStyle w:val="100"/>
        <w:spacing w:line="360" w:lineRule="exact"/>
        <w:ind w:firstLine="480"/>
        <w:rPr>
          <w:rFonts w:ascii="宋体" w:hAnsi="宋体" w:eastAsia="宋体" w:cs="宋体"/>
          <w:sz w:val="24"/>
          <w:szCs w:val="24"/>
        </w:rPr>
      </w:pPr>
      <w:r>
        <w:rPr>
          <w:rFonts w:hint="eastAsia" w:ascii="宋体" w:hAnsi="宋体" w:eastAsia="宋体" w:cs="宋体"/>
          <w:bCs/>
          <w:sz w:val="24"/>
          <w:szCs w:val="24"/>
        </w:rPr>
        <w:t>3.</w:t>
      </w:r>
      <w:bookmarkStart w:id="39" w:name="OLE_LINK36"/>
      <w:bookmarkStart w:id="40" w:name="OLE_LINK37"/>
      <w:r>
        <w:rPr>
          <w:rFonts w:hint="eastAsia" w:ascii="宋体" w:hAnsi="宋体" w:eastAsia="宋体" w:cs="宋体"/>
          <w:bCs/>
          <w:sz w:val="24"/>
          <w:szCs w:val="24"/>
        </w:rPr>
        <w:t>《偏离表》</w:t>
      </w:r>
      <w:bookmarkEnd w:id="39"/>
      <w:bookmarkEnd w:id="40"/>
      <w:r>
        <w:rPr>
          <w:rFonts w:hint="eastAsia" w:ascii="宋体" w:hAnsi="宋体" w:eastAsia="宋体" w:cs="宋体"/>
          <w:sz w:val="24"/>
          <w:szCs w:val="24"/>
        </w:rPr>
        <w:t>（加盖电子签章，格式见《磋商文件》附件）。</w:t>
      </w:r>
    </w:p>
    <w:p w14:paraId="7725EE10">
      <w:pPr>
        <w:pStyle w:val="100"/>
        <w:spacing w:line="360" w:lineRule="exact"/>
        <w:ind w:firstLine="480"/>
        <w:rPr>
          <w:rFonts w:ascii="宋体" w:hAnsi="宋体" w:eastAsia="宋体" w:cs="宋体"/>
          <w:b/>
          <w:sz w:val="24"/>
          <w:szCs w:val="24"/>
        </w:rPr>
      </w:pPr>
      <w:r>
        <w:rPr>
          <w:rFonts w:hint="eastAsia" w:ascii="宋体" w:hAnsi="宋体" w:eastAsia="宋体" w:cs="宋体"/>
          <w:b/>
          <w:sz w:val="24"/>
          <w:szCs w:val="24"/>
        </w:rPr>
        <w:t>（四）综合评审评分项</w:t>
      </w:r>
    </w:p>
    <w:p w14:paraId="430624F1">
      <w:pPr>
        <w:pStyle w:val="100"/>
        <w:spacing w:line="360" w:lineRule="exact"/>
        <w:ind w:firstLine="360"/>
        <w:rPr>
          <w:rFonts w:ascii="宋体" w:hAnsi="宋体" w:eastAsia="宋体" w:cs="宋体"/>
          <w:sz w:val="24"/>
          <w:szCs w:val="24"/>
        </w:rPr>
      </w:pPr>
      <w:r>
        <w:rPr>
          <w:rFonts w:hint="eastAsia" w:ascii="宋体" w:hAnsi="宋体" w:eastAsia="宋体" w:cs="宋体"/>
          <w:sz w:val="24"/>
          <w:szCs w:val="24"/>
        </w:rPr>
        <w:t>根据项目需求和评标内容及标准，供应商为使自身处于有利评审地位，应当提交的其他文件和证明资料。</w:t>
      </w:r>
    </w:p>
    <w:p w14:paraId="69D9E577">
      <w:pPr>
        <w:pStyle w:val="100"/>
        <w:spacing w:line="360" w:lineRule="exact"/>
        <w:ind w:firstLine="360"/>
        <w:rPr>
          <w:rFonts w:ascii="宋体" w:hAnsi="宋体" w:eastAsia="宋体" w:cs="宋体"/>
          <w:sz w:val="24"/>
          <w:szCs w:val="24"/>
        </w:rPr>
      </w:pPr>
      <w:r>
        <w:rPr>
          <w:rFonts w:hint="eastAsia" w:ascii="宋体" w:hAnsi="宋体" w:eastAsia="宋体" w:cs="宋体"/>
          <w:sz w:val="24"/>
          <w:szCs w:val="24"/>
        </w:rPr>
        <w:t>（五）提交的首次响应文件的密封、签署、盖章要求：</w:t>
      </w:r>
    </w:p>
    <w:p w14:paraId="3A72A62C">
      <w:pPr>
        <w:pStyle w:val="100"/>
        <w:spacing w:line="360" w:lineRule="exact"/>
        <w:ind w:firstLine="480"/>
        <w:rPr>
          <w:rFonts w:ascii="宋体" w:hAnsi="宋体" w:eastAsia="宋体" w:cs="宋体"/>
          <w:sz w:val="24"/>
          <w:szCs w:val="24"/>
        </w:rPr>
      </w:pPr>
      <w:r>
        <w:rPr>
          <w:rFonts w:hint="eastAsia" w:ascii="宋体" w:hAnsi="宋体" w:eastAsia="宋体" w:cs="宋体"/>
          <w:sz w:val="24"/>
          <w:szCs w:val="24"/>
        </w:rPr>
        <w:t>1.密封（加密）要求：</w:t>
      </w:r>
    </w:p>
    <w:p w14:paraId="79625779">
      <w:pPr>
        <w:pStyle w:val="100"/>
        <w:spacing w:line="360" w:lineRule="exact"/>
        <w:ind w:firstLine="480"/>
        <w:rPr>
          <w:rFonts w:ascii="宋体" w:hAnsi="宋体" w:eastAsia="宋体" w:cs="宋体"/>
          <w:sz w:val="24"/>
          <w:szCs w:val="24"/>
        </w:rPr>
      </w:pPr>
      <w:r>
        <w:rPr>
          <w:rFonts w:hint="eastAsia" w:ascii="宋体" w:hAnsi="宋体" w:eastAsia="宋体" w:cs="宋体"/>
          <w:sz w:val="24"/>
          <w:szCs w:val="24"/>
        </w:rPr>
        <w:t>供应商应当按照《磋商文件》和“苏采云”系统的要求编制并加密响应文件。本项目供应商须通过“苏采云”系统提供的政府采购客户端工具（使用“CA数字证书”）对其数据电文形式的响应文件加密。</w:t>
      </w:r>
    </w:p>
    <w:p w14:paraId="24E808B2">
      <w:pPr>
        <w:pStyle w:val="100"/>
        <w:spacing w:line="360" w:lineRule="exact"/>
        <w:ind w:firstLine="480"/>
        <w:rPr>
          <w:rFonts w:ascii="宋体" w:hAnsi="宋体" w:eastAsia="宋体" w:cs="宋体"/>
          <w:sz w:val="24"/>
          <w:szCs w:val="24"/>
        </w:rPr>
      </w:pPr>
      <w:r>
        <w:rPr>
          <w:rFonts w:hint="eastAsia" w:ascii="宋体" w:hAnsi="宋体" w:eastAsia="宋体" w:cs="宋体"/>
          <w:sz w:val="24"/>
          <w:szCs w:val="24"/>
        </w:rPr>
        <w:t>2.签署要求：见《磋商文件》附件中相关格式要求。</w:t>
      </w:r>
    </w:p>
    <w:p w14:paraId="1AA5945D">
      <w:pPr>
        <w:pStyle w:val="100"/>
        <w:spacing w:line="360" w:lineRule="exact"/>
        <w:ind w:firstLine="480"/>
        <w:rPr>
          <w:rFonts w:ascii="宋体" w:hAnsi="宋体" w:eastAsia="宋体" w:cs="宋体"/>
          <w:sz w:val="24"/>
          <w:szCs w:val="24"/>
        </w:rPr>
      </w:pPr>
      <w:r>
        <w:rPr>
          <w:rFonts w:hint="eastAsia" w:ascii="宋体" w:hAnsi="宋体" w:eastAsia="宋体" w:cs="宋体"/>
          <w:sz w:val="24"/>
          <w:szCs w:val="24"/>
        </w:rPr>
        <w:t>3.盖章要求：见《磋商文件》附件中相关格式要求。供应商须通过“苏采云”系统提供的政府采购客户端工具（使用“CA数字证书”）加盖电子签章。</w:t>
      </w:r>
    </w:p>
    <w:p w14:paraId="2BDDDFBB">
      <w:pPr>
        <w:pStyle w:val="100"/>
        <w:spacing w:line="360" w:lineRule="exact"/>
        <w:ind w:firstLine="480"/>
        <w:rPr>
          <w:rFonts w:ascii="宋体" w:hAnsi="宋体" w:eastAsia="宋体" w:cs="宋体"/>
          <w:b/>
          <w:bCs/>
          <w:sz w:val="24"/>
          <w:szCs w:val="24"/>
        </w:rPr>
      </w:pPr>
      <w:r>
        <w:rPr>
          <w:rFonts w:hint="eastAsia" w:ascii="宋体" w:hAnsi="宋体" w:eastAsia="宋体" w:cs="宋体"/>
          <w:b/>
          <w:bCs/>
          <w:sz w:val="24"/>
          <w:szCs w:val="24"/>
        </w:rPr>
        <w:t>特别提醒：竞争性磋商文件中如需“被授权代表签字或盖章”，供应商可打印成文档，签字或盖章后再扫描上传，最后再电子签章。</w:t>
      </w:r>
    </w:p>
    <w:p w14:paraId="75F7CEF5">
      <w:pPr>
        <w:pStyle w:val="100"/>
        <w:spacing w:line="360" w:lineRule="exact"/>
        <w:ind w:firstLine="497"/>
        <w:rPr>
          <w:rFonts w:ascii="宋体" w:hAnsi="宋体" w:eastAsia="宋体" w:cs="宋体"/>
          <w:sz w:val="24"/>
          <w:szCs w:val="24"/>
        </w:rPr>
      </w:pPr>
      <w:r>
        <w:rPr>
          <w:rFonts w:hint="eastAsia" w:ascii="宋体" w:hAnsi="宋体" w:eastAsia="宋体" w:cs="宋体"/>
          <w:sz w:val="24"/>
          <w:szCs w:val="24"/>
        </w:rPr>
        <w:t xml:space="preserve">（六）通过“苏采云”系统提交政府采购客户端工具导出加密的响应文件（后缀名为zip）。响应文件不得超过350M！ </w:t>
      </w:r>
    </w:p>
    <w:p w14:paraId="03CFF70D">
      <w:pPr>
        <w:pStyle w:val="100"/>
        <w:spacing w:line="360" w:lineRule="exact"/>
        <w:ind w:firstLine="497"/>
        <w:rPr>
          <w:rFonts w:ascii="宋体" w:hAnsi="宋体" w:eastAsia="宋体" w:cs="宋体"/>
          <w:sz w:val="24"/>
          <w:szCs w:val="24"/>
        </w:rPr>
      </w:pPr>
      <w:r>
        <w:rPr>
          <w:rFonts w:hint="eastAsia" w:ascii="宋体" w:hAnsi="宋体" w:eastAsia="宋体" w:cs="宋体"/>
          <w:sz w:val="24"/>
          <w:szCs w:val="24"/>
        </w:rPr>
        <w:t>注：</w:t>
      </w:r>
    </w:p>
    <w:p w14:paraId="02131507">
      <w:pPr>
        <w:pStyle w:val="100"/>
        <w:spacing w:line="360" w:lineRule="exact"/>
        <w:ind w:firstLine="497"/>
        <w:rPr>
          <w:rFonts w:ascii="宋体" w:hAnsi="宋体" w:eastAsia="宋体" w:cs="宋体"/>
          <w:sz w:val="24"/>
          <w:szCs w:val="24"/>
        </w:rPr>
      </w:pPr>
      <w:r>
        <w:rPr>
          <w:rFonts w:hint="eastAsia" w:ascii="宋体" w:hAnsi="宋体" w:eastAsia="宋体" w:cs="宋体"/>
          <w:sz w:val="24"/>
          <w:szCs w:val="24"/>
        </w:rPr>
        <w:t>供应商应当按照《磋商文件》的要求编制响应文件，并对其提交的响应文件的真实性、合法性承担法律责任。</w:t>
      </w:r>
    </w:p>
    <w:p w14:paraId="62B4AB07">
      <w:pPr>
        <w:pStyle w:val="330"/>
        <w:spacing w:before="0" w:after="0" w:line="360" w:lineRule="exact"/>
        <w:ind w:firstLine="562"/>
        <w:rPr>
          <w:rFonts w:ascii="宋体" w:eastAsia="宋体" w:cs="宋体"/>
          <w:b/>
          <w:bCs/>
          <w:sz w:val="24"/>
        </w:rPr>
      </w:pPr>
      <w:r>
        <w:rPr>
          <w:rFonts w:hint="eastAsia" w:ascii="宋体" w:eastAsia="宋体" w:cs="宋体"/>
          <w:b/>
          <w:bCs/>
          <w:sz w:val="24"/>
        </w:rPr>
        <w:t>5、无效磋商响应文件</w:t>
      </w:r>
    </w:p>
    <w:p w14:paraId="2AC7DC8D">
      <w:pPr>
        <w:pStyle w:val="330"/>
        <w:spacing w:before="0" w:after="0" w:line="360" w:lineRule="exact"/>
        <w:ind w:firstLine="560"/>
        <w:rPr>
          <w:rFonts w:ascii="宋体" w:eastAsia="宋体" w:cs="宋体"/>
          <w:sz w:val="24"/>
        </w:rPr>
      </w:pPr>
      <w:r>
        <w:rPr>
          <w:rFonts w:hint="eastAsia" w:ascii="宋体" w:eastAsia="宋体" w:cs="宋体"/>
          <w:sz w:val="24"/>
        </w:rPr>
        <w:t>磋商响应文件出现下列情形之一的，将作为无效磋商响应文件处理：</w:t>
      </w:r>
    </w:p>
    <w:p w14:paraId="5A732A80">
      <w:pPr>
        <w:pStyle w:val="322"/>
        <w:spacing w:line="360" w:lineRule="exact"/>
        <w:ind w:firstLine="560"/>
        <w:rPr>
          <w:rFonts w:ascii="宋体" w:hAnsi="宋体" w:cs="宋体"/>
          <w:sz w:val="24"/>
        </w:rPr>
      </w:pPr>
      <w:r>
        <w:rPr>
          <w:rFonts w:hint="eastAsia" w:ascii="宋体" w:hAnsi="宋体" w:cs="宋体"/>
          <w:sz w:val="24"/>
        </w:rPr>
        <w:t>（1）磋商响应文件正本中授权委托书无供应商法定代表人的印鉴(或签字)或非原件的；</w:t>
      </w:r>
    </w:p>
    <w:p w14:paraId="03F6D141">
      <w:pPr>
        <w:pStyle w:val="322"/>
        <w:spacing w:line="360" w:lineRule="exact"/>
        <w:ind w:firstLine="560"/>
        <w:rPr>
          <w:rFonts w:ascii="宋体" w:hAnsi="宋体" w:cs="宋体"/>
          <w:sz w:val="24"/>
        </w:rPr>
      </w:pPr>
      <w:r>
        <w:rPr>
          <w:rFonts w:hint="eastAsia" w:ascii="宋体" w:hAnsi="宋体" w:cs="宋体"/>
          <w:sz w:val="24"/>
        </w:rPr>
        <w:t>（2）法定代表人或</w:t>
      </w:r>
      <w:r>
        <w:rPr>
          <w:rFonts w:hint="eastAsia" w:ascii="宋体" w:hAnsi="宋体" w:cs="宋体"/>
          <w:bCs/>
          <w:sz w:val="24"/>
        </w:rPr>
        <w:t>法定代表人授权代表未参加磋商会议的或身份不符的；</w:t>
      </w:r>
    </w:p>
    <w:p w14:paraId="0CEA8B3C">
      <w:pPr>
        <w:pStyle w:val="322"/>
        <w:spacing w:line="360" w:lineRule="exact"/>
        <w:ind w:firstLine="560"/>
        <w:rPr>
          <w:rFonts w:ascii="宋体" w:hAnsi="宋体" w:cs="宋体"/>
          <w:sz w:val="24"/>
        </w:rPr>
      </w:pPr>
      <w:r>
        <w:rPr>
          <w:rFonts w:hint="eastAsia" w:ascii="宋体" w:hAnsi="宋体" w:cs="宋体"/>
          <w:sz w:val="24"/>
        </w:rPr>
        <w:t>（3）资格条件文件不全或无效导致磋商小组无法评判的，或者不符合磋商文件标明的资格要求的；</w:t>
      </w:r>
    </w:p>
    <w:p w14:paraId="1B90A88A">
      <w:pPr>
        <w:pStyle w:val="322"/>
        <w:spacing w:line="360" w:lineRule="exact"/>
        <w:ind w:firstLine="560"/>
        <w:rPr>
          <w:rFonts w:ascii="宋体" w:hAnsi="宋体" w:cs="宋体"/>
          <w:sz w:val="24"/>
        </w:rPr>
      </w:pPr>
      <w:r>
        <w:rPr>
          <w:rFonts w:hint="eastAsia" w:ascii="宋体" w:hAnsi="宋体" w:cs="宋体"/>
          <w:sz w:val="24"/>
        </w:rPr>
        <w:t>（4）磋商响应文件未按规定的数量、格式、内容和要求编制或磋商响应文件字迹潦草、模糊、无法辩认的；</w:t>
      </w:r>
    </w:p>
    <w:p w14:paraId="4757A84D">
      <w:pPr>
        <w:pStyle w:val="322"/>
        <w:spacing w:line="360" w:lineRule="exact"/>
        <w:ind w:firstLine="560"/>
        <w:rPr>
          <w:rFonts w:ascii="宋体" w:hAnsi="宋体" w:cs="宋体"/>
          <w:sz w:val="24"/>
        </w:rPr>
      </w:pPr>
      <w:r>
        <w:rPr>
          <w:rFonts w:hint="eastAsia" w:ascii="宋体" w:hAnsi="宋体" w:cs="宋体"/>
          <w:sz w:val="24"/>
        </w:rPr>
        <w:t>（5）磋商响应最后报价高于采购预算或者最高限价的；</w:t>
      </w:r>
    </w:p>
    <w:p w14:paraId="19272714">
      <w:pPr>
        <w:pStyle w:val="330"/>
        <w:spacing w:before="0" w:after="0" w:line="360" w:lineRule="exact"/>
        <w:ind w:firstLine="560"/>
        <w:rPr>
          <w:rFonts w:ascii="宋体" w:eastAsia="宋体" w:cs="宋体"/>
          <w:sz w:val="24"/>
        </w:rPr>
      </w:pPr>
      <w:r>
        <w:rPr>
          <w:rFonts w:hint="eastAsia" w:ascii="宋体" w:eastAsia="宋体" w:cs="宋体"/>
          <w:sz w:val="24"/>
        </w:rPr>
        <w:t>（6）对磋商文件未能作出全部实质性响应或对磋商文件进行实质性修改的；</w:t>
      </w:r>
    </w:p>
    <w:p w14:paraId="1D4DA1ED">
      <w:pPr>
        <w:pStyle w:val="330"/>
        <w:spacing w:before="0" w:after="0" w:line="360" w:lineRule="exact"/>
        <w:ind w:firstLine="560"/>
        <w:rPr>
          <w:rFonts w:ascii="宋体" w:eastAsia="宋体" w:cs="宋体"/>
          <w:sz w:val="24"/>
        </w:rPr>
      </w:pPr>
      <w:r>
        <w:rPr>
          <w:rFonts w:hint="eastAsia" w:ascii="宋体" w:eastAsia="宋体" w:cs="宋体"/>
          <w:sz w:val="24"/>
        </w:rPr>
        <w:t>（7）不同供应商磋商响应文件相互混装的；</w:t>
      </w:r>
    </w:p>
    <w:p w14:paraId="702F2D8B">
      <w:pPr>
        <w:pStyle w:val="330"/>
        <w:spacing w:before="0" w:after="0" w:line="360" w:lineRule="exact"/>
        <w:ind w:firstLine="560"/>
        <w:rPr>
          <w:rFonts w:ascii="宋体" w:eastAsia="宋体" w:cs="宋体"/>
          <w:sz w:val="24"/>
        </w:rPr>
      </w:pPr>
      <w:r>
        <w:rPr>
          <w:rFonts w:hint="eastAsia" w:ascii="宋体" w:eastAsia="宋体" w:cs="宋体"/>
          <w:sz w:val="24"/>
        </w:rPr>
        <w:t>（8）单位负责人为同一人或存在管理、控股关系的不同供应商参加同一合同下采购活动的；</w:t>
      </w:r>
    </w:p>
    <w:p w14:paraId="36C866E7">
      <w:pPr>
        <w:pStyle w:val="330"/>
        <w:spacing w:before="0" w:after="0" w:line="360" w:lineRule="exact"/>
        <w:ind w:firstLine="560"/>
        <w:rPr>
          <w:rFonts w:ascii="宋体" w:eastAsia="宋体" w:cs="宋体"/>
          <w:sz w:val="24"/>
        </w:rPr>
      </w:pPr>
      <w:r>
        <w:rPr>
          <w:rFonts w:hint="eastAsia" w:ascii="宋体" w:eastAsia="宋体" w:cs="宋体"/>
          <w:sz w:val="24"/>
        </w:rPr>
        <w:t>（9）为采购项目提供整体设计、规范编制或者项目管理、监理、检测等服务的供应商参加该采购项目活动的；</w:t>
      </w:r>
    </w:p>
    <w:p w14:paraId="24755D5E">
      <w:pPr>
        <w:pStyle w:val="330"/>
        <w:spacing w:before="0" w:after="0" w:line="360" w:lineRule="exact"/>
        <w:ind w:firstLine="560"/>
        <w:rPr>
          <w:rFonts w:ascii="宋体" w:eastAsia="宋体" w:cs="宋体"/>
          <w:sz w:val="24"/>
        </w:rPr>
      </w:pPr>
      <w:r>
        <w:rPr>
          <w:rFonts w:hint="eastAsia" w:ascii="宋体" w:eastAsia="宋体" w:cs="宋体"/>
          <w:sz w:val="24"/>
        </w:rPr>
        <w:t>（10）不同供应商磋商响应文件中的相关人员出现同一人的；</w:t>
      </w:r>
    </w:p>
    <w:p w14:paraId="25FABF1D">
      <w:pPr>
        <w:pStyle w:val="330"/>
        <w:spacing w:before="0" w:after="0" w:line="360" w:lineRule="exact"/>
        <w:ind w:firstLine="560"/>
        <w:rPr>
          <w:rFonts w:ascii="宋体" w:eastAsia="宋体" w:cs="宋体"/>
          <w:bCs/>
          <w:sz w:val="24"/>
        </w:rPr>
      </w:pPr>
      <w:r>
        <w:rPr>
          <w:rFonts w:hint="eastAsia" w:ascii="宋体" w:eastAsia="宋体" w:cs="宋体"/>
          <w:bCs/>
          <w:sz w:val="24"/>
        </w:rPr>
        <w:t>（11）不同</w:t>
      </w:r>
      <w:r>
        <w:rPr>
          <w:rFonts w:hint="eastAsia" w:ascii="宋体" w:eastAsia="宋体" w:cs="宋体"/>
          <w:sz w:val="24"/>
        </w:rPr>
        <w:t>供应商磋商响应文件中</w:t>
      </w:r>
      <w:r>
        <w:rPr>
          <w:rFonts w:hint="eastAsia" w:ascii="宋体" w:eastAsia="宋体" w:cs="宋体"/>
          <w:bCs/>
          <w:sz w:val="24"/>
        </w:rPr>
        <w:t>内容出现非正常一致的；</w:t>
      </w:r>
    </w:p>
    <w:p w14:paraId="7F57078A">
      <w:pPr>
        <w:pStyle w:val="330"/>
        <w:spacing w:before="0" w:after="0" w:line="360" w:lineRule="exact"/>
        <w:ind w:firstLine="560"/>
        <w:rPr>
          <w:rFonts w:ascii="宋体" w:eastAsia="宋体" w:cs="宋体"/>
          <w:sz w:val="24"/>
        </w:rPr>
      </w:pPr>
      <w:r>
        <w:rPr>
          <w:rFonts w:hint="eastAsia" w:ascii="宋体" w:eastAsia="宋体" w:cs="宋体"/>
          <w:sz w:val="24"/>
        </w:rPr>
        <w:t>（12）不同供应商报价表呈明显规律性变化，故意哄抬价格或压价等其它恶意串通行为的；</w:t>
      </w:r>
    </w:p>
    <w:p w14:paraId="7E173E1B">
      <w:pPr>
        <w:pStyle w:val="330"/>
        <w:spacing w:before="0" w:after="0" w:line="360" w:lineRule="exact"/>
        <w:ind w:firstLine="560"/>
        <w:rPr>
          <w:rFonts w:ascii="宋体" w:eastAsia="宋体" w:cs="宋体"/>
          <w:sz w:val="24"/>
        </w:rPr>
      </w:pPr>
      <w:r>
        <w:rPr>
          <w:rFonts w:hint="eastAsia" w:ascii="宋体" w:eastAsia="宋体" w:cs="宋体"/>
          <w:sz w:val="24"/>
        </w:rPr>
        <w:t>（13）磋商响应文件中提供虚假资料的；</w:t>
      </w:r>
    </w:p>
    <w:p w14:paraId="7F668A7F">
      <w:pPr>
        <w:pStyle w:val="330"/>
        <w:spacing w:before="0" w:after="0" w:line="360" w:lineRule="exact"/>
        <w:ind w:firstLine="560"/>
        <w:rPr>
          <w:rFonts w:ascii="宋体" w:eastAsia="宋体" w:cs="宋体"/>
          <w:sz w:val="24"/>
        </w:rPr>
      </w:pPr>
      <w:r>
        <w:rPr>
          <w:rFonts w:hint="eastAsia" w:ascii="宋体" w:eastAsia="宋体" w:cs="宋体"/>
          <w:sz w:val="24"/>
        </w:rPr>
        <w:t>（14）有欺诈行为或隐瞒自身违规问题的；</w:t>
      </w:r>
    </w:p>
    <w:p w14:paraId="4B2AD2DE">
      <w:pPr>
        <w:pStyle w:val="322"/>
        <w:spacing w:line="360" w:lineRule="exact"/>
        <w:ind w:firstLine="560"/>
        <w:rPr>
          <w:rFonts w:ascii="宋体" w:hAnsi="宋体" w:cs="宋体"/>
          <w:sz w:val="24"/>
        </w:rPr>
      </w:pPr>
      <w:r>
        <w:rPr>
          <w:rFonts w:hint="eastAsia" w:ascii="宋体" w:hAnsi="宋体" w:cs="宋体"/>
          <w:sz w:val="24"/>
        </w:rPr>
        <w:t>（15）违反法律、法规或损害国家及采购人利益的。</w:t>
      </w:r>
    </w:p>
    <w:p w14:paraId="6D9B694F">
      <w:pPr>
        <w:pStyle w:val="331"/>
        <w:spacing w:before="0" w:beforeAutospacing="0" w:after="0" w:afterAutospacing="0" w:line="360" w:lineRule="exact"/>
        <w:ind w:firstLine="689"/>
        <w:rPr>
          <w:rFonts w:cs="宋体"/>
          <w:b/>
        </w:rPr>
      </w:pPr>
      <w:r>
        <w:rPr>
          <w:rFonts w:hint="eastAsia" w:cs="宋体"/>
          <w:b/>
        </w:rPr>
        <w:t>6、恶意串通行为的认定</w:t>
      </w:r>
    </w:p>
    <w:p w14:paraId="314795D9">
      <w:pPr>
        <w:pStyle w:val="331"/>
        <w:spacing w:before="0" w:beforeAutospacing="0" w:after="0" w:afterAutospacing="0" w:line="360" w:lineRule="exact"/>
        <w:ind w:firstLine="686"/>
        <w:rPr>
          <w:rFonts w:cs="宋体"/>
        </w:rPr>
      </w:pPr>
      <w:r>
        <w:rPr>
          <w:rFonts w:hint="eastAsia" w:cs="宋体"/>
        </w:rPr>
        <w:t>（1）供应商直接或间接从采购人或采购代理机构处获得其他供应商的响应情况，并修改其响应文件；</w:t>
      </w:r>
    </w:p>
    <w:p w14:paraId="3B5E9D32">
      <w:pPr>
        <w:pStyle w:val="331"/>
        <w:spacing w:before="0" w:beforeAutospacing="0" w:after="0" w:afterAutospacing="0" w:line="360" w:lineRule="exact"/>
        <w:ind w:firstLine="686"/>
        <w:rPr>
          <w:rFonts w:cs="宋体"/>
        </w:rPr>
      </w:pPr>
      <w:r>
        <w:rPr>
          <w:rFonts w:hint="eastAsia" w:cs="宋体"/>
        </w:rPr>
        <w:t>（2）评审活动开始前供应商直接或间接从采购人、采购代理机构或监管部门处获得磋商小组组成人员情况；</w:t>
      </w:r>
    </w:p>
    <w:p w14:paraId="681E3B36">
      <w:pPr>
        <w:pStyle w:val="331"/>
        <w:spacing w:before="0" w:beforeAutospacing="0" w:after="0" w:afterAutospacing="0" w:line="360" w:lineRule="exact"/>
        <w:ind w:firstLine="686"/>
        <w:rPr>
          <w:rFonts w:cs="宋体"/>
        </w:rPr>
      </w:pPr>
      <w:r>
        <w:rPr>
          <w:rFonts w:hint="eastAsia" w:cs="宋体"/>
        </w:rPr>
        <w:t>（3）供应商接受采购人或采购代理机构授意撤换、修改响应文件；</w:t>
      </w:r>
    </w:p>
    <w:p w14:paraId="620F35E6">
      <w:pPr>
        <w:pStyle w:val="331"/>
        <w:spacing w:before="0" w:beforeAutospacing="0" w:after="0" w:afterAutospacing="0" w:line="360" w:lineRule="exact"/>
        <w:ind w:firstLine="686"/>
        <w:rPr>
          <w:rFonts w:cs="宋体"/>
        </w:rPr>
      </w:pPr>
      <w:r>
        <w:rPr>
          <w:rFonts w:hint="eastAsia" w:cs="宋体"/>
        </w:rPr>
        <w:t>（4）供应商之间协商报价、技术方案等实质性内容；</w:t>
      </w:r>
    </w:p>
    <w:p w14:paraId="28F6B661">
      <w:pPr>
        <w:pStyle w:val="331"/>
        <w:spacing w:before="0" w:beforeAutospacing="0" w:after="0" w:afterAutospacing="0" w:line="360" w:lineRule="exact"/>
        <w:ind w:firstLine="686"/>
        <w:rPr>
          <w:rFonts w:cs="宋体"/>
        </w:rPr>
      </w:pPr>
      <w:r>
        <w:rPr>
          <w:rFonts w:hint="eastAsia" w:cs="宋体"/>
        </w:rPr>
        <w:t>（5）属于同一集团、协会、商会等组织成员的供应商按照该组织要求协同参与；</w:t>
      </w:r>
    </w:p>
    <w:p w14:paraId="7C5F2466">
      <w:pPr>
        <w:pStyle w:val="331"/>
        <w:spacing w:before="0" w:beforeAutospacing="0" w:after="0" w:afterAutospacing="0" w:line="360" w:lineRule="exact"/>
        <w:ind w:firstLine="686"/>
        <w:rPr>
          <w:rFonts w:cs="宋体"/>
        </w:rPr>
      </w:pPr>
      <w:r>
        <w:rPr>
          <w:rFonts w:hint="eastAsia" w:cs="宋体"/>
        </w:rPr>
        <w:t>（6）供应商之间事先约定由某一特定供应商成交；</w:t>
      </w:r>
    </w:p>
    <w:p w14:paraId="16E8CD81">
      <w:pPr>
        <w:pStyle w:val="331"/>
        <w:spacing w:before="0" w:beforeAutospacing="0" w:after="0" w:afterAutospacing="0" w:line="360" w:lineRule="exact"/>
        <w:ind w:firstLine="686"/>
        <w:rPr>
          <w:rFonts w:cs="宋体"/>
        </w:rPr>
      </w:pPr>
      <w:r>
        <w:rPr>
          <w:rFonts w:hint="eastAsia" w:cs="宋体"/>
        </w:rPr>
        <w:t>（7）供应商之间商定部分供应商放弃参与或者放弃成交；</w:t>
      </w:r>
    </w:p>
    <w:p w14:paraId="3635AF1E">
      <w:pPr>
        <w:pStyle w:val="331"/>
        <w:spacing w:before="0" w:beforeAutospacing="0" w:after="0" w:afterAutospacing="0" w:line="360" w:lineRule="exact"/>
        <w:ind w:firstLine="686"/>
        <w:rPr>
          <w:rFonts w:cs="宋体"/>
        </w:rPr>
      </w:pPr>
      <w:r>
        <w:rPr>
          <w:rFonts w:hint="eastAsia" w:cs="宋体"/>
        </w:rPr>
        <w:t>（8）供应商与采购人或采购代理机构之间、供应商相互之间为谋求特定供应商成交或者排斥其他供应商的其他串通行为；</w:t>
      </w:r>
    </w:p>
    <w:p w14:paraId="4A3B612C">
      <w:pPr>
        <w:pStyle w:val="331"/>
        <w:spacing w:before="0" w:beforeAutospacing="0" w:after="0" w:afterAutospacing="0" w:line="360" w:lineRule="exact"/>
        <w:ind w:firstLine="686"/>
        <w:rPr>
          <w:rFonts w:cs="宋体"/>
        </w:rPr>
      </w:pPr>
      <w:r>
        <w:rPr>
          <w:rFonts w:hint="eastAsia" w:cs="宋体"/>
        </w:rPr>
        <w:t>（9）不同供应商的响应文件由同一单位或者个人编制；</w:t>
      </w:r>
    </w:p>
    <w:p w14:paraId="3F85539D">
      <w:pPr>
        <w:pStyle w:val="331"/>
        <w:spacing w:before="0" w:beforeAutospacing="0" w:after="0" w:afterAutospacing="0" w:line="360" w:lineRule="exact"/>
        <w:ind w:firstLine="686"/>
        <w:rPr>
          <w:rFonts w:cs="宋体"/>
        </w:rPr>
      </w:pPr>
      <w:r>
        <w:rPr>
          <w:rFonts w:hint="eastAsia" w:cs="宋体"/>
        </w:rPr>
        <w:t>（10）不同供应商委托同一单位或者个人办理参与事宜；</w:t>
      </w:r>
    </w:p>
    <w:p w14:paraId="0CF884B4">
      <w:pPr>
        <w:pStyle w:val="331"/>
        <w:spacing w:before="0" w:beforeAutospacing="0" w:after="0" w:afterAutospacing="0" w:line="360" w:lineRule="exact"/>
        <w:ind w:firstLine="686"/>
        <w:rPr>
          <w:rFonts w:cs="宋体"/>
        </w:rPr>
      </w:pPr>
      <w:r>
        <w:rPr>
          <w:rFonts w:hint="eastAsia" w:cs="宋体"/>
        </w:rPr>
        <w:t>（11）不同供应商响应文件相互混装的；</w:t>
      </w:r>
    </w:p>
    <w:p w14:paraId="7242C18C">
      <w:pPr>
        <w:pStyle w:val="331"/>
        <w:spacing w:before="0" w:beforeAutospacing="0" w:after="0" w:afterAutospacing="0" w:line="360" w:lineRule="exact"/>
        <w:ind w:firstLine="686"/>
        <w:rPr>
          <w:rFonts w:cs="宋体"/>
        </w:rPr>
      </w:pPr>
      <w:r>
        <w:rPr>
          <w:rFonts w:hint="eastAsia" w:cs="宋体"/>
        </w:rPr>
        <w:t>（12）不同供应商响应文件中的相关人员出现同一人的；</w:t>
      </w:r>
    </w:p>
    <w:p w14:paraId="66E97577">
      <w:pPr>
        <w:pStyle w:val="331"/>
        <w:spacing w:before="0" w:beforeAutospacing="0" w:after="0" w:afterAutospacing="0" w:line="360" w:lineRule="exact"/>
        <w:ind w:firstLine="686"/>
        <w:rPr>
          <w:rFonts w:cs="宋体"/>
          <w:bCs/>
        </w:rPr>
      </w:pPr>
      <w:r>
        <w:rPr>
          <w:rFonts w:hint="eastAsia" w:cs="宋体"/>
          <w:bCs/>
        </w:rPr>
        <w:t>（13）不同</w:t>
      </w:r>
      <w:r>
        <w:rPr>
          <w:rFonts w:hint="eastAsia" w:cs="宋体"/>
        </w:rPr>
        <w:t>供应商响应文件中</w:t>
      </w:r>
      <w:r>
        <w:rPr>
          <w:rFonts w:hint="eastAsia" w:cs="宋体"/>
          <w:bCs/>
        </w:rPr>
        <w:t>内容出现非正常一致的；</w:t>
      </w:r>
    </w:p>
    <w:p w14:paraId="2DBAC1DC">
      <w:pPr>
        <w:pStyle w:val="331"/>
        <w:spacing w:before="0" w:beforeAutospacing="0" w:after="0" w:afterAutospacing="0" w:line="360" w:lineRule="exact"/>
        <w:ind w:firstLine="686"/>
        <w:rPr>
          <w:rFonts w:cs="宋体"/>
        </w:rPr>
      </w:pPr>
      <w:r>
        <w:rPr>
          <w:rFonts w:hint="eastAsia" w:cs="宋体"/>
        </w:rPr>
        <w:t>（14）不同供应商报价表呈明显规律性变化，故意哄抬价格或压价等其它恶意串通行为的；</w:t>
      </w:r>
    </w:p>
    <w:p w14:paraId="45FB08B6">
      <w:pPr>
        <w:pStyle w:val="331"/>
        <w:spacing w:before="0" w:beforeAutospacing="0" w:after="0" w:afterAutospacing="0" w:line="360" w:lineRule="exact"/>
        <w:ind w:firstLine="689"/>
        <w:rPr>
          <w:rFonts w:cs="宋体"/>
          <w:b/>
        </w:rPr>
      </w:pPr>
      <w:r>
        <w:rPr>
          <w:rFonts w:hint="eastAsia" w:cs="宋体"/>
          <w:b/>
        </w:rPr>
        <w:t>7、磋商活动终止</w:t>
      </w:r>
    </w:p>
    <w:p w14:paraId="7647B551">
      <w:pPr>
        <w:pStyle w:val="331"/>
        <w:spacing w:before="0" w:beforeAutospacing="0" w:after="0" w:afterAutospacing="0" w:line="360" w:lineRule="exact"/>
        <w:ind w:firstLine="686"/>
        <w:rPr>
          <w:rFonts w:cs="宋体"/>
        </w:rPr>
      </w:pPr>
      <w:r>
        <w:rPr>
          <w:rFonts w:hint="eastAsia" w:cs="宋体"/>
        </w:rPr>
        <w:t>磋商活动中出现下列情形之一的，磋商活动终止：</w:t>
      </w:r>
    </w:p>
    <w:p w14:paraId="2F6B2CCE">
      <w:pPr>
        <w:pStyle w:val="331"/>
        <w:spacing w:before="0" w:beforeAutospacing="0" w:after="0" w:afterAutospacing="0" w:line="360" w:lineRule="exact"/>
        <w:ind w:firstLine="686"/>
        <w:rPr>
          <w:rFonts w:cs="宋体"/>
        </w:rPr>
      </w:pPr>
      <w:r>
        <w:rPr>
          <w:rFonts w:hint="eastAsia" w:cs="宋体"/>
        </w:rPr>
        <w:t>（1）因情况变化，不再符合规定的竞争性磋商采购方式适用情形的；</w:t>
      </w:r>
    </w:p>
    <w:p w14:paraId="0E8F1B91">
      <w:pPr>
        <w:pStyle w:val="331"/>
        <w:spacing w:before="0" w:beforeAutospacing="0" w:after="0" w:afterAutospacing="0" w:line="360" w:lineRule="exact"/>
        <w:ind w:firstLine="686"/>
        <w:rPr>
          <w:rFonts w:cs="宋体"/>
        </w:rPr>
      </w:pPr>
      <w:r>
        <w:rPr>
          <w:rFonts w:hint="eastAsia" w:cs="宋体"/>
        </w:rPr>
        <w:t>（2）出现影响采购公正的违法、违规行为的；</w:t>
      </w:r>
    </w:p>
    <w:p w14:paraId="490B5335">
      <w:pPr>
        <w:pStyle w:val="331"/>
        <w:spacing w:before="0" w:beforeAutospacing="0" w:after="0" w:afterAutospacing="0" w:line="360" w:lineRule="exact"/>
        <w:ind w:firstLine="686"/>
        <w:rPr>
          <w:rFonts w:cs="宋体"/>
        </w:rPr>
      </w:pPr>
      <w:r>
        <w:rPr>
          <w:rFonts w:hint="eastAsia" w:cs="宋体"/>
        </w:rPr>
        <w:t>（3）在采购过程中符合竞争要求的供应商或者报价未超过采购预算的供应商不足3家的（财库〔2014〕214号文第二十一条第三款规定的情形外）；</w:t>
      </w:r>
    </w:p>
    <w:p w14:paraId="3B5A5927">
      <w:pPr>
        <w:pStyle w:val="331"/>
        <w:spacing w:before="0" w:beforeAutospacing="0" w:after="0" w:afterAutospacing="0" w:line="360" w:lineRule="exact"/>
        <w:ind w:firstLine="686"/>
        <w:rPr>
          <w:rFonts w:cs="宋体"/>
        </w:rPr>
      </w:pPr>
      <w:r>
        <w:rPr>
          <w:rFonts w:hint="eastAsia" w:cs="宋体"/>
        </w:rPr>
        <w:t>（4）因重大变故，采购任务取消的。</w:t>
      </w:r>
    </w:p>
    <w:p w14:paraId="2DA889DB">
      <w:pPr>
        <w:pStyle w:val="2"/>
        <w:rPr>
          <w:rFonts w:cs="宋体"/>
          <w:sz w:val="32"/>
          <w:szCs w:val="32"/>
        </w:rPr>
      </w:pPr>
      <w:bookmarkStart w:id="41" w:name="_Toc9899"/>
      <w:r>
        <w:rPr>
          <w:rFonts w:hint="eastAsia" w:cs="宋体"/>
          <w:sz w:val="32"/>
          <w:szCs w:val="32"/>
        </w:rPr>
        <w:br w:type="page" w:clear="all"/>
      </w:r>
      <w:bookmarkStart w:id="42" w:name="_Toc29720"/>
      <w:bookmarkStart w:id="43" w:name="_Toc23926"/>
      <w:r>
        <w:rPr>
          <w:rFonts w:hint="eastAsia" w:cs="宋体"/>
          <w:sz w:val="32"/>
          <w:szCs w:val="32"/>
        </w:rPr>
        <w:t>第四章 采购需求</w:t>
      </w:r>
      <w:bookmarkEnd w:id="41"/>
      <w:bookmarkEnd w:id="42"/>
      <w:bookmarkEnd w:id="43"/>
    </w:p>
    <w:p w14:paraId="1B2E0CDF">
      <w:pPr>
        <w:pBdr>
          <w:top w:val="none" w:color="000000" w:sz="0" w:space="0"/>
          <w:left w:val="none" w:color="000000" w:sz="0" w:space="0"/>
          <w:bottom w:val="none" w:color="000000" w:sz="0" w:space="0"/>
          <w:right w:val="none" w:color="000000" w:sz="0" w:space="0"/>
        </w:pBdr>
        <w:spacing w:line="360" w:lineRule="exact"/>
        <w:rPr>
          <w:rFonts w:ascii="宋体" w:hAnsi="宋体" w:cs="宋体"/>
        </w:rPr>
      </w:pPr>
      <w:r>
        <w:rPr>
          <w:rFonts w:hint="eastAsia" w:ascii="宋体" w:hAnsi="宋体" w:cs="宋体"/>
          <w:b/>
          <w:color w:val="000000"/>
          <w:sz w:val="24"/>
        </w:rPr>
        <w:t>1．项目概况</w:t>
      </w:r>
    </w:p>
    <w:p w14:paraId="62E1F5F2">
      <w:pPr>
        <w:spacing w:line="360" w:lineRule="exact"/>
        <w:ind w:firstLine="480"/>
        <w:rPr>
          <w:rFonts w:ascii="宋体" w:hAnsi="宋体" w:cs="宋体"/>
          <w:color w:val="000000"/>
          <w:sz w:val="24"/>
        </w:rPr>
      </w:pPr>
      <w:r>
        <w:rPr>
          <w:rFonts w:hint="eastAsia" w:ascii="宋体" w:hAnsi="宋体" w:cs="宋体"/>
          <w:color w:val="000000"/>
          <w:sz w:val="24"/>
        </w:rPr>
        <w:t>1）项目名称：蒋垛镇果蔬深加工厂房（一期）光伏项目</w:t>
      </w:r>
    </w:p>
    <w:p w14:paraId="6638C743">
      <w:pPr>
        <w:numPr>
          <w:ilvl w:val="0"/>
          <w:numId w:val="4"/>
        </w:numPr>
        <w:spacing w:line="360" w:lineRule="exact"/>
        <w:ind w:firstLine="480"/>
        <w:rPr>
          <w:rFonts w:ascii="宋体" w:hAnsi="宋体" w:cs="宋体"/>
          <w:color w:val="000000"/>
          <w:sz w:val="24"/>
        </w:rPr>
      </w:pPr>
      <w:r>
        <w:rPr>
          <w:rFonts w:hint="eastAsia" w:ascii="宋体" w:hAnsi="宋体" w:cs="宋体"/>
          <w:color w:val="000000"/>
          <w:sz w:val="24"/>
        </w:rPr>
        <w:t>采购内容：蒋垛镇果蔬深加工厂房（一期）光伏项目</w:t>
      </w:r>
      <w:r>
        <w:rPr>
          <w:rFonts w:ascii="宋体" w:hAnsi="宋体" w:cs="宋体"/>
          <w:color w:val="000000"/>
          <w:sz w:val="24"/>
        </w:rPr>
        <w:t>:</w:t>
      </w:r>
      <w:r>
        <w:rPr>
          <w:rFonts w:hint="eastAsia" w:ascii="宋体" w:hAnsi="宋体" w:cs="宋体"/>
          <w:color w:val="000000"/>
          <w:sz w:val="24"/>
        </w:rPr>
        <w:t>所有的光伏安装于屋面彩钢瓦，单晶硅组件与屋面连接采用专用夹具，组件部分与支线桥架配线连接考虑穿DN20不锈钢金属软管然后汇聚至横向桥架至逆变器（带防雨措施），逆变器引厂房外墙壁利用桥架至室外地面（埋地部分考虑破20CM砼路面（考虑恢复）埋地敷设镀锌钢管并增加800*800砖砌井至东车间一层配电房（新增），配电房内考虑增加一台1000KVA干变一台、高压进线柜一台、高压计量柜一台、高压PT柜一台、高压出线柜【KYN28A-12】一台、低压进线柜【GGD】一台、低压补偿柜【GGD】一台及低压动力分柜【GGD】。</w:t>
      </w:r>
    </w:p>
    <w:p w14:paraId="5584C087">
      <w:pPr>
        <w:spacing w:line="360" w:lineRule="exact"/>
        <w:ind w:firstLine="360"/>
        <w:rPr>
          <w:rFonts w:ascii="宋体" w:hAnsi="宋体" w:cs="宋体"/>
        </w:rPr>
      </w:pPr>
      <w:r>
        <w:rPr>
          <w:rFonts w:hint="eastAsia" w:ascii="宋体" w:hAnsi="宋体" w:cs="宋体"/>
          <w:color w:val="000000"/>
          <w:sz w:val="24"/>
        </w:rPr>
        <w:t xml:space="preserve"> 3）供应商应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垃圾的限制或处理要求。</w:t>
      </w:r>
    </w:p>
    <w:p w14:paraId="34C96201">
      <w:pPr>
        <w:pBdr>
          <w:top w:val="none" w:color="000000" w:sz="0" w:space="0"/>
          <w:left w:val="none" w:color="000000" w:sz="0" w:space="0"/>
          <w:bottom w:val="none" w:color="000000" w:sz="0" w:space="0"/>
          <w:right w:val="none" w:color="000000" w:sz="0" w:space="0"/>
        </w:pBdr>
        <w:spacing w:line="360" w:lineRule="exact"/>
        <w:ind w:firstLine="480"/>
        <w:rPr>
          <w:rFonts w:ascii="宋体" w:hAnsi="宋体" w:cs="宋体"/>
        </w:rPr>
      </w:pPr>
      <w:r>
        <w:rPr>
          <w:rFonts w:hint="eastAsia" w:ascii="宋体" w:hAnsi="宋体" w:cs="宋体"/>
          <w:color w:val="000000"/>
          <w:sz w:val="24"/>
        </w:rPr>
        <w:t>4）本项目承包范围为采购文件、附件范围相关的内容。供应商应根据附件内容以现场踏勘为准仔细核对工程量清单，核对内容包括清单数量、清单特征、计量单位等。</w:t>
      </w:r>
    </w:p>
    <w:p w14:paraId="2FD772EA">
      <w:pPr>
        <w:pBdr>
          <w:top w:val="none" w:color="000000" w:sz="0" w:space="0"/>
          <w:left w:val="none" w:color="000000" w:sz="0" w:space="0"/>
          <w:bottom w:val="none" w:color="000000" w:sz="0" w:space="0"/>
          <w:right w:val="none" w:color="000000" w:sz="0" w:space="0"/>
        </w:pBdr>
        <w:spacing w:line="360" w:lineRule="exact"/>
        <w:ind w:firstLine="480"/>
        <w:rPr>
          <w:rFonts w:ascii="宋体" w:hAnsi="宋体" w:cs="宋体"/>
          <w:color w:val="000000"/>
          <w:sz w:val="24"/>
        </w:rPr>
      </w:pPr>
      <w:r>
        <w:rPr>
          <w:rFonts w:hint="eastAsia" w:ascii="宋体" w:hAnsi="宋体" w:cs="宋体"/>
          <w:color w:val="000000"/>
          <w:sz w:val="24"/>
        </w:rPr>
        <w:t>5）施工工期要求：</w:t>
      </w:r>
      <w:r>
        <w:rPr>
          <w:rFonts w:hint="eastAsia" w:ascii="宋体" w:hAnsi="宋体" w:cs="宋体"/>
          <w:color w:val="0000FF"/>
          <w:sz w:val="24"/>
        </w:rPr>
        <w:t>2</w:t>
      </w:r>
      <w:r>
        <w:rPr>
          <w:rFonts w:ascii="宋体" w:hAnsi="宋体" w:cs="宋体"/>
          <w:color w:val="0000FF"/>
          <w:sz w:val="24"/>
        </w:rPr>
        <w:t>0</w:t>
      </w:r>
      <w:r>
        <w:rPr>
          <w:rFonts w:hint="eastAsia" w:ascii="宋体" w:hAnsi="宋体" w:cs="宋体"/>
          <w:color w:val="0000FF"/>
          <w:sz w:val="24"/>
        </w:rPr>
        <w:t>个日历天</w:t>
      </w:r>
      <w:r>
        <w:rPr>
          <w:rFonts w:hint="eastAsia" w:ascii="宋体" w:hAnsi="宋体" w:cs="宋体"/>
          <w:color w:val="000000"/>
          <w:sz w:val="24"/>
        </w:rPr>
        <w:t>；施工质量要求：合格；本工程缺陷责任期2年，自工程竣工验收合格之日起算。</w:t>
      </w:r>
    </w:p>
    <w:p w14:paraId="793083E6">
      <w:pPr>
        <w:pBdr>
          <w:top w:val="none" w:color="000000" w:sz="0" w:space="0"/>
          <w:left w:val="none" w:color="000000" w:sz="0" w:space="0"/>
          <w:bottom w:val="none" w:color="000000" w:sz="0" w:space="0"/>
          <w:right w:val="none" w:color="000000" w:sz="0" w:space="0"/>
        </w:pBdr>
        <w:spacing w:line="360" w:lineRule="exact"/>
        <w:ind w:firstLine="480"/>
        <w:rPr>
          <w:rFonts w:ascii="宋体" w:hAnsi="宋体" w:cs="宋体"/>
        </w:rPr>
      </w:pPr>
      <w:r>
        <w:rPr>
          <w:rFonts w:hint="eastAsia" w:ascii="宋体" w:hAnsi="宋体" w:cs="宋体"/>
          <w:color w:val="000000"/>
          <w:sz w:val="24"/>
        </w:rPr>
        <w:t>6）成交供应商在项目施工中必须严格遵守相关的法规、规范和现场采购人的规定，督促现场施工人员规范操作，采取严格有力的安全防护措施，做好安全防护工作（包括施工现场防护等），确保施工安装的人身安全，相关专业技术岗位必须持证上岗，一切安全责任均由成交人自负。</w:t>
      </w:r>
    </w:p>
    <w:p w14:paraId="14B59662">
      <w:pPr>
        <w:pBdr>
          <w:top w:val="none" w:color="000000" w:sz="0" w:space="0"/>
          <w:left w:val="none" w:color="000000" w:sz="0" w:space="0"/>
          <w:bottom w:val="none" w:color="000000" w:sz="0" w:space="0"/>
          <w:right w:val="none" w:color="000000" w:sz="0" w:space="0"/>
        </w:pBdr>
        <w:spacing w:line="360" w:lineRule="exact"/>
        <w:ind w:firstLine="480"/>
        <w:rPr>
          <w:rFonts w:ascii="宋体" w:hAnsi="宋体" w:cs="宋体"/>
        </w:rPr>
      </w:pPr>
      <w:r>
        <w:rPr>
          <w:rFonts w:hint="eastAsia" w:ascii="宋体" w:hAnsi="宋体" w:cs="宋体"/>
          <w:color w:val="000000"/>
          <w:sz w:val="24"/>
        </w:rPr>
        <w:t>7）成交单位应做到文明施工，不得扰民，做到施工现场整洁，施工垃圾及时清运，清运手续、费用由施工方自行解决。</w:t>
      </w:r>
    </w:p>
    <w:p w14:paraId="4C07586F">
      <w:pPr>
        <w:pBdr>
          <w:top w:val="none" w:color="000000" w:sz="0" w:space="0"/>
          <w:left w:val="none" w:color="000000" w:sz="0" w:space="0"/>
          <w:bottom w:val="none" w:color="000000" w:sz="0" w:space="0"/>
          <w:right w:val="none" w:color="000000" w:sz="0" w:space="0"/>
        </w:pBdr>
        <w:spacing w:line="360" w:lineRule="exact"/>
        <w:ind w:firstLine="480"/>
        <w:rPr>
          <w:rFonts w:ascii="宋体" w:hAnsi="宋体" w:cs="宋体"/>
        </w:rPr>
      </w:pPr>
      <w:r>
        <w:rPr>
          <w:rFonts w:hint="eastAsia" w:ascii="宋体" w:hAnsi="宋体" w:cs="宋体"/>
          <w:color w:val="000000"/>
          <w:sz w:val="24"/>
        </w:rPr>
        <w:t>8）本工程所有项目在施工前都必须认真对照设计图纸结合清单描述，在得到业主和设计方确认后方可施工，否则造成的返工损失自行承担。成品必须先提交样品，得到业主和设计方确认后方可进行批量采购。</w:t>
      </w:r>
    </w:p>
    <w:p w14:paraId="3E809F6B">
      <w:pPr>
        <w:pBdr>
          <w:top w:val="none" w:color="000000" w:sz="0" w:space="0"/>
          <w:left w:val="none" w:color="000000" w:sz="0" w:space="0"/>
          <w:bottom w:val="none" w:color="000000" w:sz="0" w:space="0"/>
          <w:right w:val="none" w:color="000000" w:sz="0" w:space="0"/>
        </w:pBdr>
        <w:spacing w:line="360" w:lineRule="exact"/>
        <w:ind w:firstLine="480"/>
        <w:rPr>
          <w:rFonts w:ascii="宋体" w:hAnsi="宋体" w:cs="宋体"/>
        </w:rPr>
      </w:pPr>
      <w:r>
        <w:rPr>
          <w:rFonts w:hint="eastAsia" w:ascii="宋体" w:hAnsi="宋体" w:cs="宋体"/>
          <w:color w:val="000000"/>
          <w:sz w:val="24"/>
        </w:rPr>
        <w:t>9）成交单位需积极主动地配合采购人进行相关检测及验收，原材料及配件必须符合国家环保及国家质量标准（材料进场前提供检测报告），确保通过检测和验收，若出现检测不合格或验收不合格的情况成交单位需要返工直至检测通过并且验收合格，由此导致的返工费等相关其他费用，由成交单位自行承担，并且采购人有权从工程款中扣除。</w:t>
      </w:r>
    </w:p>
    <w:p w14:paraId="7D841DEE">
      <w:pPr>
        <w:pBdr>
          <w:top w:val="none" w:color="000000" w:sz="0" w:space="0"/>
          <w:left w:val="none" w:color="000000" w:sz="0" w:space="0"/>
          <w:bottom w:val="none" w:color="000000" w:sz="0" w:space="0"/>
          <w:right w:val="none" w:color="000000" w:sz="0" w:space="0"/>
        </w:pBdr>
        <w:spacing w:line="360" w:lineRule="exact"/>
        <w:ind w:firstLine="480"/>
        <w:rPr>
          <w:rFonts w:ascii="宋体" w:hAnsi="宋体" w:cs="宋体"/>
        </w:rPr>
      </w:pPr>
      <w:r>
        <w:rPr>
          <w:rFonts w:hint="eastAsia" w:ascii="宋体" w:hAnsi="宋体" w:cs="宋体"/>
          <w:color w:val="000000"/>
          <w:sz w:val="24"/>
        </w:rPr>
        <w:t>10）施工过程中，成交单位需采取措施保护现场及周边相关物品、设施等，因成交单位的不规范操作、误操作等原因造成相关设施的损坏、设备的停用等后果均由成交单位承担，由成交单位原样修复并自行承担相关费用。</w:t>
      </w:r>
    </w:p>
    <w:p w14:paraId="65D095D7">
      <w:pPr>
        <w:pBdr>
          <w:top w:val="none" w:color="000000" w:sz="0" w:space="0"/>
          <w:left w:val="none" w:color="000000" w:sz="0" w:space="0"/>
          <w:bottom w:val="none" w:color="000000" w:sz="0" w:space="0"/>
          <w:right w:val="none" w:color="000000" w:sz="0" w:space="0"/>
        </w:pBdr>
        <w:spacing w:line="360" w:lineRule="exact"/>
        <w:rPr>
          <w:rFonts w:ascii="宋体" w:hAnsi="宋体" w:cs="宋体"/>
        </w:rPr>
      </w:pPr>
      <w:r>
        <w:rPr>
          <w:rFonts w:hint="eastAsia" w:ascii="宋体" w:hAnsi="宋体" w:cs="宋体"/>
          <w:b/>
          <w:color w:val="000000"/>
          <w:sz w:val="24"/>
        </w:rPr>
        <w:t>2．采购标的的所属行业：</w:t>
      </w:r>
    </w:p>
    <w:p w14:paraId="24DCE37C">
      <w:pPr>
        <w:pBdr>
          <w:top w:val="none" w:color="000000" w:sz="0" w:space="0"/>
          <w:left w:val="none" w:color="000000" w:sz="0" w:space="0"/>
          <w:bottom w:val="none" w:color="000000" w:sz="0" w:space="0"/>
          <w:right w:val="none" w:color="000000" w:sz="0" w:space="0"/>
        </w:pBdr>
        <w:spacing w:line="360" w:lineRule="exact"/>
        <w:ind w:firstLine="480"/>
        <w:rPr>
          <w:rFonts w:ascii="宋体" w:hAnsi="宋体" w:cs="宋体"/>
          <w:color w:val="000000"/>
          <w:sz w:val="24"/>
        </w:rPr>
      </w:pPr>
      <w:r>
        <w:rPr>
          <w:rFonts w:hint="eastAsia" w:ascii="宋体" w:hAnsi="宋体" w:cs="宋体"/>
          <w:color w:val="000000"/>
          <w:sz w:val="24"/>
        </w:rPr>
        <w:t>参照《关于印发中小企业划型标准规定的通知》（工信部联企业[2011]300号）文件，本项目采购标的所属行业为</w:t>
      </w:r>
      <w:r>
        <w:rPr>
          <w:rFonts w:hint="eastAsia" w:ascii="宋体" w:hAnsi="宋体" w:cs="宋体"/>
          <w:color w:val="000000"/>
          <w:sz w:val="24"/>
          <w:u w:val="single"/>
        </w:rPr>
        <w:t>工业</w:t>
      </w:r>
      <w:r>
        <w:rPr>
          <w:rFonts w:hint="eastAsia" w:ascii="宋体" w:hAnsi="宋体" w:cs="宋体"/>
          <w:color w:val="000000"/>
          <w:sz w:val="24"/>
        </w:rPr>
        <w:t xml:space="preserve">。 </w:t>
      </w:r>
    </w:p>
    <w:p w14:paraId="21855BBB">
      <w:pPr>
        <w:spacing w:line="360" w:lineRule="exact"/>
        <w:rPr>
          <w:rFonts w:ascii="宋体" w:hAnsi="宋体" w:cs="宋体"/>
          <w:b/>
          <w:color w:val="000000"/>
          <w:sz w:val="24"/>
        </w:rPr>
      </w:pPr>
      <w:r>
        <w:rPr>
          <w:rFonts w:hint="eastAsia" w:ascii="宋体" w:hAnsi="宋体" w:cs="宋体"/>
          <w:b/>
          <w:color w:val="000000"/>
          <w:sz w:val="24"/>
        </w:rPr>
        <w:t>3.  结算方式：</w:t>
      </w:r>
    </w:p>
    <w:p w14:paraId="5E9C5151">
      <w:pPr>
        <w:spacing w:line="360" w:lineRule="exact"/>
        <w:ind w:firstLine="480"/>
        <w:rPr>
          <w:rFonts w:ascii="宋体" w:hAnsi="宋体" w:cs="宋体"/>
          <w:color w:val="000000"/>
          <w:sz w:val="24"/>
        </w:rPr>
      </w:pPr>
      <w:r>
        <w:rPr>
          <w:rFonts w:hint="eastAsia" w:ascii="宋体" w:hAnsi="宋体" w:cs="宋体"/>
          <w:color w:val="000000"/>
          <w:sz w:val="24"/>
        </w:rPr>
        <w:t>结算依据：后期结算仅调整经采购人批准变更(包括增加施工内容或取消部分施工项目)的相应费用增减，具体调整方式为：</w:t>
      </w:r>
    </w:p>
    <w:p w14:paraId="46053A97">
      <w:pPr>
        <w:spacing w:line="360" w:lineRule="exact"/>
        <w:ind w:firstLine="480"/>
        <w:rPr>
          <w:rFonts w:ascii="宋体" w:hAnsi="宋体" w:cs="宋体"/>
          <w:color w:val="000000"/>
          <w:sz w:val="24"/>
        </w:rPr>
      </w:pPr>
      <w:r>
        <w:rPr>
          <w:rFonts w:hint="eastAsia" w:ascii="宋体" w:hAnsi="宋体" w:cs="宋体"/>
          <w:color w:val="000000"/>
          <w:sz w:val="24"/>
        </w:rPr>
        <w:t>(1)涉及工程数量减少的，以实际减少数量为准，涉及工程数量增加的，以实际增加数量为准；</w:t>
      </w:r>
    </w:p>
    <w:p w14:paraId="6E55900E">
      <w:pPr>
        <w:spacing w:line="360" w:lineRule="exact"/>
        <w:ind w:firstLine="480"/>
        <w:rPr>
          <w:rFonts w:ascii="宋体" w:hAnsi="宋体" w:cs="宋体"/>
          <w:color w:val="000000"/>
          <w:sz w:val="24"/>
        </w:rPr>
      </w:pPr>
      <w:r>
        <w:rPr>
          <w:rFonts w:hint="eastAsia" w:ascii="宋体" w:hAnsi="宋体" w:cs="宋体"/>
          <w:color w:val="000000"/>
          <w:sz w:val="24"/>
        </w:rPr>
        <w:t>(2)凡涉及工程数量增减的，其价格按原清单报价进行费用的调增或调减，并按第二轮报价与第一轮报价的折扣比例结算。如有增项，工程清单未列入的内容需重新核定，按现行计价规范计算单价并按第二轮报价与招标控制价的折扣比例结算。</w:t>
      </w:r>
    </w:p>
    <w:p w14:paraId="674B5A88">
      <w:pPr>
        <w:pBdr>
          <w:top w:val="none" w:color="000000" w:sz="0" w:space="0"/>
          <w:left w:val="none" w:color="000000" w:sz="0" w:space="0"/>
          <w:bottom w:val="none" w:color="000000" w:sz="0" w:space="0"/>
          <w:right w:val="none" w:color="000000" w:sz="0" w:space="0"/>
        </w:pBdr>
        <w:spacing w:line="360" w:lineRule="exact"/>
        <w:rPr>
          <w:rFonts w:ascii="宋体" w:hAnsi="宋体" w:cs="宋体"/>
        </w:rPr>
      </w:pPr>
      <w:r>
        <w:rPr>
          <w:rFonts w:hint="eastAsia" w:ascii="宋体" w:hAnsi="宋体" w:cs="宋体"/>
          <w:b/>
          <w:color w:val="000000"/>
          <w:sz w:val="24"/>
        </w:rPr>
        <w:t>4．付款方式：</w:t>
      </w:r>
    </w:p>
    <w:p w14:paraId="4B2AC7F6">
      <w:pPr>
        <w:pBdr>
          <w:top w:val="none" w:color="000000" w:sz="0" w:space="0"/>
          <w:left w:val="none" w:color="000000" w:sz="0" w:space="0"/>
          <w:bottom w:val="none" w:color="000000" w:sz="0" w:space="0"/>
          <w:right w:val="none" w:color="000000" w:sz="0" w:space="0"/>
        </w:pBdr>
        <w:spacing w:line="360" w:lineRule="exact"/>
        <w:ind w:firstLine="480"/>
        <w:rPr>
          <w:rFonts w:ascii="宋体" w:hAnsi="宋体" w:cs="宋体"/>
          <w:color w:val="000000"/>
          <w:sz w:val="24"/>
        </w:rPr>
      </w:pPr>
      <w:r>
        <w:rPr>
          <w:rFonts w:hint="eastAsia" w:ascii="宋体" w:hAnsi="宋体" w:cs="宋体"/>
          <w:color w:val="0000FF"/>
          <w:sz w:val="24"/>
        </w:rPr>
        <w:t>工程全部竣工经验收合格并经审计后付至审定价（扣除暂列金额）的95%，余款从验收合格之日起满一年付清(不计利息)。</w:t>
      </w:r>
    </w:p>
    <w:p w14:paraId="76AA5392">
      <w:pPr>
        <w:pStyle w:val="2"/>
        <w:spacing w:line="360" w:lineRule="exact"/>
        <w:rPr>
          <w:rFonts w:cs="宋体"/>
        </w:rPr>
      </w:pPr>
      <w:bookmarkStart w:id="44" w:name="_Toc1148"/>
      <w:bookmarkStart w:id="45" w:name="_Toc26328"/>
      <w:bookmarkStart w:id="46" w:name="_Toc25169"/>
      <w:r>
        <w:rPr>
          <w:rFonts w:hint="eastAsia" w:cs="宋体"/>
        </w:rPr>
        <w:br w:type="page" w:clear="all"/>
      </w:r>
      <w:r>
        <w:rPr>
          <w:rFonts w:hint="eastAsia" w:cs="宋体"/>
        </w:rPr>
        <w:t>第五章 磋 商</w:t>
      </w:r>
      <w:bookmarkEnd w:id="44"/>
      <w:bookmarkEnd w:id="45"/>
      <w:bookmarkEnd w:id="46"/>
    </w:p>
    <w:p w14:paraId="57EC06D9">
      <w:pPr>
        <w:pStyle w:val="100"/>
        <w:spacing w:before="0" w:after="0" w:line="360" w:lineRule="exact"/>
        <w:ind w:firstLine="480"/>
        <w:rPr>
          <w:rFonts w:ascii="宋体" w:hAnsi="宋体" w:eastAsia="宋体" w:cs="宋体"/>
          <w:b/>
          <w:sz w:val="24"/>
          <w:szCs w:val="24"/>
        </w:rPr>
      </w:pPr>
      <w:r>
        <w:rPr>
          <w:rFonts w:hint="eastAsia" w:ascii="宋体" w:hAnsi="宋体" w:eastAsia="宋体" w:cs="宋体"/>
          <w:b/>
          <w:sz w:val="24"/>
          <w:szCs w:val="24"/>
        </w:rPr>
        <w:t>1、磋商相关说明</w:t>
      </w:r>
    </w:p>
    <w:p w14:paraId="40639A4D">
      <w:pPr>
        <w:pStyle w:val="100"/>
        <w:spacing w:before="0" w:after="0" w:line="360" w:lineRule="exact"/>
        <w:ind w:firstLine="480"/>
        <w:rPr>
          <w:rFonts w:ascii="宋体" w:hAnsi="宋体" w:eastAsia="宋体" w:cs="宋体"/>
          <w:bCs/>
          <w:sz w:val="24"/>
          <w:szCs w:val="24"/>
        </w:rPr>
      </w:pPr>
      <w:r>
        <w:rPr>
          <w:rFonts w:hint="eastAsia" w:ascii="宋体" w:hAnsi="宋体" w:eastAsia="宋体" w:cs="宋体"/>
          <w:sz w:val="24"/>
          <w:szCs w:val="24"/>
        </w:rPr>
        <w:t>(一)</w:t>
      </w:r>
      <w:r>
        <w:rPr>
          <w:rFonts w:hint="eastAsia" w:ascii="宋体" w:hAnsi="宋体" w:eastAsia="宋体" w:cs="宋体"/>
          <w:bCs/>
          <w:sz w:val="24"/>
          <w:szCs w:val="24"/>
        </w:rPr>
        <w:t>磋商要求</w:t>
      </w:r>
    </w:p>
    <w:p w14:paraId="0F9EBBF1">
      <w:pPr>
        <w:pStyle w:val="100"/>
        <w:spacing w:before="0" w:after="0" w:line="360" w:lineRule="exact"/>
        <w:ind w:firstLine="480"/>
        <w:rPr>
          <w:rFonts w:ascii="宋体" w:hAnsi="宋体" w:eastAsia="宋体" w:cs="宋体"/>
          <w:bCs/>
          <w:sz w:val="24"/>
          <w:szCs w:val="24"/>
        </w:rPr>
      </w:pPr>
      <w:r>
        <w:rPr>
          <w:rFonts w:hint="eastAsia" w:ascii="宋体" w:hAnsi="宋体" w:eastAsia="宋体" w:cs="宋体"/>
          <w:bCs/>
          <w:sz w:val="24"/>
          <w:szCs w:val="24"/>
        </w:rPr>
        <w:t>1.被邀请参与磋商的供应商需按本竞争性磋商文件要求的截止时间、方式（地点）提交首次响应文件，同时派人通过“苏采云”系统在“开标大厅”等待磋商。</w:t>
      </w:r>
    </w:p>
    <w:p w14:paraId="739CDB4A">
      <w:pPr>
        <w:pStyle w:val="100"/>
        <w:spacing w:before="0" w:after="0" w:line="360" w:lineRule="exact"/>
        <w:ind w:firstLine="480"/>
        <w:rPr>
          <w:rFonts w:ascii="宋体" w:hAnsi="宋体" w:eastAsia="宋体" w:cs="宋体"/>
          <w:bCs/>
          <w:sz w:val="24"/>
          <w:szCs w:val="24"/>
        </w:rPr>
      </w:pPr>
      <w:r>
        <w:rPr>
          <w:rFonts w:hint="eastAsia" w:ascii="宋体" w:hAnsi="宋体" w:eastAsia="宋体" w:cs="宋体"/>
          <w:bCs/>
          <w:sz w:val="24"/>
          <w:szCs w:val="24"/>
        </w:rPr>
        <w:t>2.</w:t>
      </w:r>
      <w:r>
        <w:rPr>
          <w:rFonts w:hint="eastAsia" w:ascii="宋体" w:hAnsi="宋体" w:eastAsia="宋体" w:cs="宋体"/>
          <w:sz w:val="24"/>
          <w:szCs w:val="24"/>
        </w:rPr>
        <w:t xml:space="preserve"> </w:t>
      </w:r>
      <w:r>
        <w:rPr>
          <w:rFonts w:hint="eastAsia" w:ascii="宋体" w:hAnsi="宋体" w:eastAsia="宋体" w:cs="宋体"/>
          <w:bCs/>
          <w:sz w:val="24"/>
          <w:szCs w:val="24"/>
        </w:rPr>
        <w:t>供应商可通过CA数字证书，在首次响应文件开启时间后，使用CA数字证书在规定时间内解密各自响应文件。</w:t>
      </w:r>
    </w:p>
    <w:p w14:paraId="03226BAC">
      <w:pPr>
        <w:pStyle w:val="100"/>
        <w:spacing w:before="0" w:after="0" w:line="360" w:lineRule="exact"/>
        <w:ind w:firstLine="480"/>
        <w:rPr>
          <w:rFonts w:ascii="宋体" w:hAnsi="宋体" w:eastAsia="宋体" w:cs="宋体"/>
          <w:sz w:val="24"/>
          <w:szCs w:val="24"/>
        </w:rPr>
      </w:pPr>
      <w:r>
        <w:rPr>
          <w:rFonts w:hint="eastAsia" w:ascii="宋体" w:hAnsi="宋体" w:eastAsia="宋体" w:cs="宋体"/>
          <w:sz w:val="24"/>
          <w:szCs w:val="24"/>
        </w:rPr>
        <w:t>3.磋商顺序按照电子标书解密先后时间进行，解密时间相同的，不分先后顺序。</w:t>
      </w:r>
    </w:p>
    <w:p w14:paraId="0A0B1FFD">
      <w:pPr>
        <w:pStyle w:val="100"/>
        <w:spacing w:before="0" w:after="0" w:line="360" w:lineRule="exact"/>
        <w:ind w:firstLine="480"/>
        <w:rPr>
          <w:rFonts w:ascii="宋体" w:hAnsi="宋体" w:eastAsia="宋体" w:cs="宋体"/>
          <w:bCs/>
          <w:sz w:val="24"/>
          <w:szCs w:val="24"/>
        </w:rPr>
      </w:pPr>
      <w:r>
        <w:rPr>
          <w:rFonts w:hint="eastAsia" w:ascii="宋体" w:hAnsi="宋体" w:eastAsia="宋体" w:cs="宋体"/>
          <w:bCs/>
          <w:sz w:val="24"/>
          <w:szCs w:val="24"/>
        </w:rPr>
        <w:t>4.未在规定时间内进行答疑澄清的，视同放弃澄清。</w:t>
      </w:r>
    </w:p>
    <w:p w14:paraId="2DBE09B2">
      <w:pPr>
        <w:pStyle w:val="100"/>
        <w:spacing w:before="0" w:after="0" w:line="360" w:lineRule="exact"/>
        <w:ind w:firstLine="480"/>
        <w:rPr>
          <w:rFonts w:ascii="宋体" w:hAnsi="宋体" w:eastAsia="宋体" w:cs="宋体"/>
          <w:bCs/>
          <w:sz w:val="24"/>
          <w:szCs w:val="24"/>
        </w:rPr>
      </w:pPr>
      <w:r>
        <w:rPr>
          <w:rFonts w:hint="eastAsia" w:ascii="宋体" w:hAnsi="宋体" w:eastAsia="宋体" w:cs="宋体"/>
          <w:bCs/>
          <w:sz w:val="24"/>
          <w:szCs w:val="24"/>
        </w:rPr>
        <w:t>5.未在规定时间内进行报价的，视为响应无效。</w:t>
      </w:r>
    </w:p>
    <w:p w14:paraId="4BE663E6">
      <w:pPr>
        <w:pStyle w:val="100"/>
        <w:spacing w:before="0" w:after="0" w:line="360" w:lineRule="exact"/>
        <w:ind w:firstLine="480"/>
        <w:rPr>
          <w:rFonts w:ascii="宋体" w:hAnsi="宋体" w:eastAsia="宋体" w:cs="宋体"/>
          <w:bCs/>
          <w:sz w:val="24"/>
          <w:szCs w:val="24"/>
        </w:rPr>
      </w:pPr>
      <w:r>
        <w:rPr>
          <w:rFonts w:hint="eastAsia" w:ascii="宋体" w:hAnsi="宋体" w:eastAsia="宋体" w:cs="宋体"/>
          <w:bCs/>
          <w:sz w:val="24"/>
          <w:szCs w:val="24"/>
        </w:rPr>
        <w:t>6.被邀请参与磋商的供应商如未按上述磋商要求执行，视同放弃磋商的权利。</w:t>
      </w:r>
    </w:p>
    <w:p w14:paraId="69A4899E">
      <w:pPr>
        <w:pStyle w:val="100"/>
        <w:spacing w:before="0" w:after="0" w:line="360" w:lineRule="exact"/>
        <w:ind w:firstLine="480"/>
        <w:rPr>
          <w:rFonts w:ascii="宋体" w:hAnsi="宋体" w:eastAsia="宋体" w:cs="宋体"/>
          <w:bCs/>
          <w:sz w:val="24"/>
          <w:szCs w:val="24"/>
        </w:rPr>
      </w:pPr>
      <w:r>
        <w:rPr>
          <w:rFonts w:hint="eastAsia" w:ascii="宋体" w:hAnsi="宋体" w:eastAsia="宋体" w:cs="宋体"/>
          <w:b/>
          <w:sz w:val="24"/>
          <w:szCs w:val="24"/>
        </w:rPr>
        <w:t>7.一次评审结束后，采购代理机构或采购人代表将通过苏彩云采购系统提示符合要求的投标供应商进行最后报价(二次报价)，一次评审的时长不确定，请投标供应商自行关注报价系统，在报价系统开启后的20分钟内提交最后报价(二次报价)。未能在规定时间内完成报价的供应商视为放弃投标；提交最后报价(二次报价)的供应商不得少于2家。</w:t>
      </w:r>
    </w:p>
    <w:p w14:paraId="42970353">
      <w:pPr>
        <w:pStyle w:val="100"/>
        <w:spacing w:before="0" w:after="0" w:line="360" w:lineRule="exact"/>
        <w:ind w:firstLine="480"/>
        <w:rPr>
          <w:rFonts w:ascii="宋体" w:hAnsi="宋体" w:eastAsia="宋体" w:cs="宋体"/>
          <w:sz w:val="24"/>
          <w:szCs w:val="24"/>
        </w:rPr>
      </w:pPr>
      <w:r>
        <w:rPr>
          <w:rFonts w:hint="eastAsia" w:ascii="宋体" w:hAnsi="宋体" w:eastAsia="宋体" w:cs="宋体"/>
          <w:sz w:val="24"/>
          <w:szCs w:val="24"/>
        </w:rPr>
        <w:t>（二）评审程序</w:t>
      </w:r>
    </w:p>
    <w:p w14:paraId="6E28F987">
      <w:pPr>
        <w:pStyle w:val="100"/>
        <w:spacing w:before="0" w:after="0" w:line="360" w:lineRule="exact"/>
        <w:ind w:firstLine="480"/>
        <w:rPr>
          <w:rFonts w:ascii="宋体" w:hAnsi="宋体" w:eastAsia="宋体" w:cs="宋体"/>
          <w:sz w:val="24"/>
          <w:szCs w:val="24"/>
        </w:rPr>
      </w:pPr>
      <w:r>
        <w:rPr>
          <w:rFonts w:hint="eastAsia" w:ascii="宋体" w:hAnsi="宋体" w:eastAsia="宋体" w:cs="宋体"/>
          <w:sz w:val="24"/>
          <w:szCs w:val="24"/>
        </w:rPr>
        <w:t>经磋商确定最终采购需求和提交最后报价的供应商后，由磋商小组采用综合评分法对提交最后报价的供应商的响应文件和最后报价进行综合评分。</w:t>
      </w:r>
    </w:p>
    <w:p w14:paraId="0FAC5EBC">
      <w:pPr>
        <w:pStyle w:val="100"/>
        <w:spacing w:before="0" w:after="0" w:line="360" w:lineRule="exact"/>
        <w:ind w:firstLine="480"/>
        <w:rPr>
          <w:rFonts w:ascii="宋体" w:hAnsi="宋体" w:eastAsia="宋体" w:cs="宋体"/>
          <w:sz w:val="24"/>
          <w:szCs w:val="24"/>
        </w:rPr>
      </w:pPr>
      <w:r>
        <w:rPr>
          <w:rFonts w:hint="eastAsia" w:ascii="宋体" w:hAnsi="宋体" w:eastAsia="宋体" w:cs="宋体"/>
          <w:sz w:val="24"/>
          <w:szCs w:val="24"/>
        </w:rPr>
        <w:t>磋商小组应当根据综合评分情况，按照评审得分由高到低顺序推荐成交候选供应商，并编写评审报告。评审得分相同的，按照最后报价由低到高的顺序推荐。评审得分且最后报价相同的，按照技术方案优劣（得分）顺序推荐1名成交供应商。</w:t>
      </w:r>
    </w:p>
    <w:p w14:paraId="26A2F9FD">
      <w:pPr>
        <w:pStyle w:val="100"/>
        <w:spacing w:before="0" w:after="0" w:line="360" w:lineRule="exact"/>
        <w:ind w:firstLine="480"/>
        <w:rPr>
          <w:rFonts w:ascii="宋体" w:hAnsi="宋体" w:eastAsia="宋体" w:cs="宋体"/>
          <w:sz w:val="24"/>
          <w:szCs w:val="24"/>
        </w:rPr>
      </w:pPr>
      <w:r>
        <w:rPr>
          <w:rFonts w:hint="eastAsia" w:ascii="宋体" w:hAnsi="宋体" w:eastAsia="宋体" w:cs="宋体"/>
          <w:sz w:val="24"/>
          <w:szCs w:val="24"/>
        </w:rPr>
        <w:t>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p>
    <w:p w14:paraId="7B3F2229">
      <w:pPr>
        <w:pStyle w:val="100"/>
        <w:spacing w:before="0" w:after="0" w:line="360" w:lineRule="exact"/>
        <w:ind w:firstLine="480"/>
        <w:rPr>
          <w:rFonts w:ascii="宋体" w:hAnsi="宋体" w:eastAsia="宋体" w:cs="宋体"/>
          <w:sz w:val="24"/>
          <w:szCs w:val="24"/>
        </w:rPr>
      </w:pPr>
      <w:r>
        <w:rPr>
          <w:rFonts w:hint="eastAsia" w:ascii="宋体" w:hAnsi="宋体" w:eastAsia="宋体" w:cs="宋体"/>
          <w:sz w:val="24"/>
          <w:szCs w:val="24"/>
        </w:rPr>
        <w:t>采用竞争性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p>
    <w:p w14:paraId="0B26F5B7">
      <w:pPr>
        <w:pStyle w:val="100"/>
        <w:spacing w:before="0" w:after="0" w:line="360" w:lineRule="exact"/>
        <w:ind w:firstLine="480"/>
        <w:rPr>
          <w:rFonts w:ascii="宋体" w:hAnsi="宋体" w:eastAsia="宋体" w:cs="宋体"/>
          <w:sz w:val="24"/>
          <w:szCs w:val="24"/>
        </w:rPr>
      </w:pPr>
      <w:r>
        <w:rPr>
          <w:rFonts w:hint="eastAsia" w:ascii="宋体" w:hAnsi="宋体" w:eastAsia="宋体" w:cs="宋体"/>
          <w:sz w:val="24"/>
          <w:szCs w:val="24"/>
        </w:rPr>
        <w:t>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p>
    <w:p w14:paraId="023512C9">
      <w:pPr>
        <w:pStyle w:val="100"/>
        <w:spacing w:before="0" w:after="0" w:line="360" w:lineRule="exact"/>
        <w:ind w:firstLine="240"/>
        <w:rPr>
          <w:rFonts w:ascii="宋体" w:hAnsi="宋体" w:eastAsia="宋体" w:cs="宋体"/>
          <w:sz w:val="24"/>
          <w:szCs w:val="24"/>
        </w:rPr>
      </w:pPr>
      <w:r>
        <w:rPr>
          <w:rFonts w:hint="eastAsia" w:ascii="宋体" w:hAnsi="宋体" w:eastAsia="宋体" w:cs="宋体"/>
          <w:sz w:val="24"/>
          <w:szCs w:val="24"/>
        </w:rPr>
        <w:t xml:space="preserve"> (三) 查询及使用供应商信用记录</w:t>
      </w:r>
    </w:p>
    <w:p w14:paraId="6D6F8C12">
      <w:pPr>
        <w:pStyle w:val="100"/>
        <w:spacing w:before="0" w:after="0" w:line="360" w:lineRule="exact"/>
        <w:ind w:firstLine="480"/>
        <w:rPr>
          <w:rFonts w:ascii="宋体" w:hAnsi="宋体" w:eastAsia="宋体" w:cs="宋体"/>
          <w:sz w:val="24"/>
          <w:szCs w:val="24"/>
        </w:rPr>
      </w:pPr>
      <w:r>
        <w:rPr>
          <w:rFonts w:hint="eastAsia" w:ascii="宋体" w:hAnsi="宋体" w:eastAsia="宋体" w:cs="宋体"/>
          <w:sz w:val="24"/>
          <w:szCs w:val="24"/>
        </w:rPr>
        <w:t>1.由采购人查询信用信息。</w:t>
      </w:r>
    </w:p>
    <w:p w14:paraId="5124242A">
      <w:pPr>
        <w:pStyle w:val="100"/>
        <w:spacing w:before="0" w:after="0" w:line="360" w:lineRule="exact"/>
        <w:ind w:firstLine="480"/>
        <w:rPr>
          <w:rFonts w:ascii="宋体" w:hAnsi="宋体" w:eastAsia="宋体" w:cs="宋体"/>
          <w:sz w:val="24"/>
          <w:szCs w:val="24"/>
        </w:rPr>
      </w:pPr>
      <w:r>
        <w:rPr>
          <w:rFonts w:hint="eastAsia" w:ascii="宋体" w:hAnsi="宋体" w:eastAsia="宋体" w:cs="宋体"/>
          <w:sz w:val="24"/>
          <w:szCs w:val="24"/>
        </w:rPr>
        <w:t>2.查询渠道：“信用中国”网（</w:t>
      </w:r>
      <w:r>
        <w:fldChar w:fldCharType="begin"/>
      </w:r>
      <w:r>
        <w:instrText xml:space="preserve"> HYPERLINK "http://www.creditchina.gov.cn/" \o "http://www.creditchina.gov.cn/" </w:instrText>
      </w:r>
      <w:r>
        <w:fldChar w:fldCharType="separate"/>
      </w:r>
      <w:r>
        <w:rPr>
          <w:rFonts w:hint="eastAsia" w:ascii="宋体" w:hAnsi="宋体" w:eastAsia="宋体" w:cs="宋体"/>
          <w:sz w:val="24"/>
          <w:szCs w:val="24"/>
        </w:rPr>
        <w:t>www.creditchina.gov.cn</w:t>
      </w:r>
      <w:r>
        <w:rPr>
          <w:rFonts w:hint="eastAsia" w:ascii="宋体" w:hAnsi="宋体" w:eastAsia="宋体" w:cs="宋体"/>
          <w:sz w:val="24"/>
          <w:szCs w:val="24"/>
        </w:rPr>
        <w:fldChar w:fldCharType="end"/>
      </w:r>
      <w:r>
        <w:rPr>
          <w:rFonts w:hint="eastAsia" w:ascii="宋体" w:hAnsi="宋体" w:eastAsia="宋体" w:cs="宋体"/>
          <w:sz w:val="24"/>
          <w:szCs w:val="24"/>
        </w:rPr>
        <w:t>）；</w:t>
      </w:r>
    </w:p>
    <w:p w14:paraId="7E384249">
      <w:pPr>
        <w:pStyle w:val="100"/>
        <w:spacing w:before="0" w:after="0" w:line="360" w:lineRule="exact"/>
        <w:ind w:firstLine="480"/>
        <w:rPr>
          <w:rFonts w:ascii="宋体" w:hAnsi="宋体" w:eastAsia="宋体" w:cs="宋体"/>
          <w:sz w:val="24"/>
          <w:szCs w:val="24"/>
        </w:rPr>
      </w:pPr>
      <w:r>
        <w:rPr>
          <w:rFonts w:hint="eastAsia" w:ascii="宋体" w:hAnsi="宋体" w:eastAsia="宋体" w:cs="宋体"/>
          <w:sz w:val="24"/>
          <w:szCs w:val="24"/>
        </w:rPr>
        <w:t>3.截止时点（查询环节）：首次响应文件开启后资格审查结束前。</w:t>
      </w:r>
    </w:p>
    <w:p w14:paraId="2DB3F815">
      <w:pPr>
        <w:pStyle w:val="100"/>
        <w:spacing w:before="0" w:after="0" w:line="360" w:lineRule="exact"/>
        <w:ind w:firstLine="480"/>
        <w:rPr>
          <w:rFonts w:ascii="宋体" w:hAnsi="宋体" w:eastAsia="宋体" w:cs="宋体"/>
          <w:sz w:val="24"/>
          <w:szCs w:val="24"/>
        </w:rPr>
      </w:pPr>
      <w:r>
        <w:rPr>
          <w:rFonts w:hint="eastAsia" w:ascii="宋体" w:hAnsi="宋体" w:eastAsia="宋体" w:cs="宋体"/>
          <w:sz w:val="24"/>
          <w:szCs w:val="24"/>
        </w:rPr>
        <w:t>4.信用信息的使用规则：</w:t>
      </w:r>
    </w:p>
    <w:p w14:paraId="63D95C0A">
      <w:pPr>
        <w:pStyle w:val="100"/>
        <w:spacing w:before="0" w:after="0" w:line="360" w:lineRule="exact"/>
        <w:ind w:firstLine="480"/>
        <w:rPr>
          <w:rFonts w:ascii="宋体" w:hAnsi="宋体" w:eastAsia="宋体" w:cs="宋体"/>
          <w:sz w:val="24"/>
          <w:szCs w:val="24"/>
        </w:rPr>
      </w:pPr>
      <w:r>
        <w:rPr>
          <w:rFonts w:hint="eastAsia" w:ascii="宋体" w:hAnsi="宋体" w:eastAsia="宋体" w:cs="宋体"/>
          <w:sz w:val="24"/>
          <w:szCs w:val="24"/>
        </w:rPr>
        <w:t>采购人对供应商信用记录进行甄别，对列入失信被执行人、重大税收违法失信主体、政府采购严重违法失信行为记录名单及其他不符合《中华人民共和国政府采购法》第二十二条规定条件的供应商，拒绝其参与政府采购活动。</w:t>
      </w:r>
    </w:p>
    <w:p w14:paraId="2A663825">
      <w:pPr>
        <w:pStyle w:val="100"/>
        <w:spacing w:before="0" w:after="0" w:line="360" w:lineRule="exact"/>
        <w:ind w:firstLine="478"/>
        <w:rPr>
          <w:rFonts w:ascii="宋体" w:hAnsi="宋体" w:eastAsia="宋体" w:cs="宋体"/>
          <w:b/>
          <w:sz w:val="24"/>
          <w:szCs w:val="24"/>
        </w:rPr>
      </w:pPr>
      <w:r>
        <w:rPr>
          <w:rFonts w:hint="eastAsia" w:ascii="宋体" w:hAnsi="宋体" w:eastAsia="宋体" w:cs="宋体"/>
          <w:b/>
          <w:sz w:val="24"/>
          <w:szCs w:val="24"/>
        </w:rPr>
        <w:t>2、评审方法和评审标准</w:t>
      </w:r>
    </w:p>
    <w:p w14:paraId="59C21A1F">
      <w:pPr>
        <w:pStyle w:val="100"/>
        <w:spacing w:before="0" w:after="0" w:line="360" w:lineRule="exact"/>
        <w:ind w:firstLine="478"/>
        <w:rPr>
          <w:rFonts w:ascii="宋体" w:hAnsi="宋体" w:eastAsia="宋体" w:cs="宋体"/>
          <w:sz w:val="24"/>
          <w:szCs w:val="24"/>
        </w:rPr>
      </w:pPr>
      <w:r>
        <w:rPr>
          <w:rFonts w:hint="eastAsia" w:ascii="宋体" w:hAnsi="宋体" w:eastAsia="宋体" w:cs="宋体"/>
          <w:sz w:val="24"/>
          <w:szCs w:val="24"/>
        </w:rPr>
        <w:t>1.评审方法：综合评分法</w:t>
      </w:r>
    </w:p>
    <w:p w14:paraId="46B6C6AC">
      <w:pPr>
        <w:pStyle w:val="100"/>
        <w:spacing w:before="0" w:after="0" w:line="360" w:lineRule="exact"/>
        <w:ind w:left="2" w:right="29" w:firstLine="480"/>
        <w:rPr>
          <w:rFonts w:ascii="宋体" w:hAnsi="宋体" w:eastAsia="宋体" w:cs="宋体"/>
          <w:sz w:val="24"/>
          <w:szCs w:val="24"/>
        </w:rPr>
      </w:pPr>
      <w:r>
        <w:rPr>
          <w:rFonts w:hint="eastAsia" w:ascii="宋体" w:hAnsi="宋体" w:eastAsia="宋体" w:cs="宋体"/>
          <w:sz w:val="24"/>
          <w:szCs w:val="24"/>
        </w:rPr>
        <w:t>2.评审标准：详见附表</w:t>
      </w:r>
    </w:p>
    <w:p w14:paraId="20EA2CB9">
      <w:pPr>
        <w:pStyle w:val="100"/>
        <w:spacing w:before="0" w:after="0" w:line="360" w:lineRule="exact"/>
        <w:ind w:right="25" w:firstLine="480"/>
        <w:rPr>
          <w:rFonts w:ascii="宋体" w:hAnsi="宋体" w:eastAsia="宋体" w:cs="宋体"/>
          <w:sz w:val="24"/>
          <w:szCs w:val="24"/>
        </w:rPr>
      </w:pPr>
      <w:r>
        <w:rPr>
          <w:rFonts w:hint="eastAsia" w:ascii="宋体" w:hAnsi="宋体" w:eastAsia="宋体" w:cs="宋体"/>
          <w:sz w:val="24"/>
          <w:szCs w:val="24"/>
        </w:rPr>
        <w:t>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p>
    <w:p w14:paraId="51A7BC27">
      <w:pPr>
        <w:pStyle w:val="100"/>
        <w:spacing w:before="0" w:after="0" w:line="360" w:lineRule="exact"/>
        <w:ind w:right="25" w:firstLine="480"/>
        <w:rPr>
          <w:rFonts w:ascii="宋体" w:hAnsi="宋体" w:eastAsia="宋体" w:cs="宋体"/>
          <w:sz w:val="24"/>
          <w:szCs w:val="24"/>
        </w:rPr>
      </w:pPr>
      <w:r>
        <w:rPr>
          <w:rFonts w:hint="eastAsia" w:ascii="宋体" w:hAnsi="宋体" w:eastAsia="宋体" w:cs="宋体"/>
          <w:sz w:val="24"/>
          <w:szCs w:val="24"/>
        </w:rPr>
        <w:t>多家供应商提供的核心产品品牌相同的作为一个供应商计算，以质量和服务均能满足采购文件实质性响应要求且报价最低的供应商作为该品牌的供应商。</w:t>
      </w:r>
    </w:p>
    <w:p w14:paraId="7E41D700">
      <w:pPr>
        <w:pStyle w:val="100"/>
        <w:spacing w:before="0" w:after="0" w:line="360" w:lineRule="exact"/>
        <w:ind w:left="2" w:right="29" w:firstLine="480"/>
        <w:rPr>
          <w:rFonts w:ascii="宋体" w:hAnsi="宋体" w:eastAsia="宋体" w:cs="宋体"/>
          <w:sz w:val="24"/>
          <w:szCs w:val="24"/>
        </w:rPr>
      </w:pPr>
      <w:r>
        <w:rPr>
          <w:rFonts w:hint="eastAsia" w:ascii="宋体" w:hAnsi="宋体" w:eastAsia="宋体" w:cs="宋体"/>
          <w:sz w:val="24"/>
          <w:szCs w:val="24"/>
        </w:rPr>
        <w:t>4.磋商过程中可能实质性变动的内容：在磋商过程中，磋商小组可以根据《磋商文件》和磋商情况实质性变动采购需求中的技术、服务要求以及合同草案条款。</w:t>
      </w:r>
    </w:p>
    <w:p w14:paraId="6B493380">
      <w:pPr>
        <w:pStyle w:val="100"/>
        <w:spacing w:before="0" w:after="0" w:line="360" w:lineRule="exact"/>
        <w:ind w:left="2" w:right="29" w:firstLine="480"/>
        <w:rPr>
          <w:rFonts w:ascii="宋体" w:hAnsi="宋体" w:eastAsia="宋体" w:cs="宋体"/>
          <w:sz w:val="24"/>
          <w:szCs w:val="24"/>
        </w:rPr>
      </w:pPr>
      <w:r>
        <w:rPr>
          <w:rFonts w:hint="eastAsia" w:ascii="宋体" w:hAnsi="宋体" w:eastAsia="宋体" w:cs="宋体"/>
          <w:sz w:val="24"/>
          <w:szCs w:val="24"/>
        </w:rPr>
        <w:t>5.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p>
    <w:p w14:paraId="7FCF8B6D">
      <w:pPr>
        <w:pStyle w:val="100"/>
        <w:spacing w:before="0" w:after="0" w:line="360" w:lineRule="exact"/>
        <w:ind w:left="2" w:right="29" w:firstLine="480"/>
        <w:rPr>
          <w:rFonts w:ascii="宋体" w:hAnsi="宋体" w:eastAsia="宋体" w:cs="宋体"/>
          <w:sz w:val="24"/>
          <w:szCs w:val="24"/>
        </w:rPr>
      </w:pPr>
      <w:r>
        <w:rPr>
          <w:rFonts w:hint="eastAsia" w:ascii="宋体" w:hAnsi="宋体" w:eastAsia="宋体" w:cs="宋体"/>
          <w:sz w:val="24"/>
          <w:szCs w:val="24"/>
        </w:rPr>
        <w:t>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088B2B51">
      <w:pPr>
        <w:pStyle w:val="322"/>
        <w:spacing w:line="400" w:lineRule="exact"/>
        <w:jc w:val="center"/>
        <w:rPr>
          <w:rFonts w:ascii="宋体" w:hAnsi="宋体" w:cs="宋体"/>
        </w:rPr>
      </w:pPr>
      <w:r>
        <w:rPr>
          <w:rFonts w:hint="eastAsia" w:ascii="宋体" w:hAnsi="宋体" w:cs="宋体"/>
          <w:b/>
          <w:bCs/>
          <w:sz w:val="28"/>
          <w:szCs w:val="28"/>
          <w:lang w:val="zh-CN"/>
        </w:rPr>
        <w:br w:type="page" w:clear="all"/>
      </w:r>
      <w:r>
        <w:rPr>
          <w:rFonts w:hint="eastAsia" w:ascii="宋体" w:hAnsi="宋体" w:cs="宋体"/>
          <w:b/>
          <w:bCs/>
          <w:sz w:val="28"/>
          <w:szCs w:val="28"/>
          <w:lang w:val="zh-CN"/>
        </w:rPr>
        <w:t>评标内容及标准</w:t>
      </w:r>
    </w:p>
    <w:tbl>
      <w:tblPr>
        <w:tblStyle w:val="54"/>
        <w:tblW w:w="52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586"/>
        <w:gridCol w:w="1213"/>
        <w:gridCol w:w="7608"/>
        <w:gridCol w:w="586"/>
      </w:tblGrid>
      <w:tr w14:paraId="4000A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44" w:hRule="atLeast"/>
          <w:jc w:val="center"/>
        </w:trPr>
        <w:tc>
          <w:tcPr>
            <w:tcW w:w="293" w:type="pct"/>
          </w:tcPr>
          <w:p w14:paraId="5B7D1E26">
            <w:pPr>
              <w:jc w:val="center"/>
              <w:rPr>
                <w:rFonts w:ascii="宋体" w:hAnsi="宋体" w:cs="宋体"/>
                <w:szCs w:val="21"/>
                <w:lang w:val="zh-CN"/>
              </w:rPr>
            </w:pPr>
            <w:r>
              <w:rPr>
                <w:rFonts w:hint="eastAsia" w:ascii="宋体" w:hAnsi="宋体" w:cs="宋体"/>
                <w:b/>
                <w:bCs/>
                <w:szCs w:val="21"/>
                <w:lang w:val="zh-CN"/>
              </w:rPr>
              <w:t>序号</w:t>
            </w:r>
          </w:p>
        </w:tc>
        <w:tc>
          <w:tcPr>
            <w:tcW w:w="607" w:type="pct"/>
          </w:tcPr>
          <w:p w14:paraId="4087FFD4">
            <w:pPr>
              <w:jc w:val="center"/>
              <w:rPr>
                <w:rFonts w:ascii="宋体" w:hAnsi="宋体" w:cs="宋体"/>
                <w:szCs w:val="21"/>
                <w:lang w:val="zh-CN"/>
              </w:rPr>
            </w:pPr>
            <w:r>
              <w:rPr>
                <w:rFonts w:hint="eastAsia" w:ascii="宋体" w:hAnsi="宋体" w:cs="宋体"/>
                <w:b/>
                <w:bCs/>
                <w:szCs w:val="21"/>
                <w:lang w:val="zh-CN"/>
              </w:rPr>
              <w:t>评分因素</w:t>
            </w:r>
          </w:p>
        </w:tc>
        <w:tc>
          <w:tcPr>
            <w:tcW w:w="3806" w:type="pct"/>
          </w:tcPr>
          <w:p w14:paraId="3866D02D">
            <w:pPr>
              <w:jc w:val="center"/>
              <w:rPr>
                <w:rFonts w:ascii="宋体" w:hAnsi="宋体" w:cs="宋体"/>
                <w:szCs w:val="21"/>
                <w:lang w:val="zh-CN"/>
              </w:rPr>
            </w:pPr>
            <w:r>
              <w:rPr>
                <w:rFonts w:hint="eastAsia" w:ascii="宋体" w:hAnsi="宋体" w:cs="宋体"/>
                <w:b/>
                <w:bCs/>
                <w:szCs w:val="21"/>
                <w:lang w:val="zh-CN"/>
              </w:rPr>
              <w:t>评审标准</w:t>
            </w:r>
          </w:p>
        </w:tc>
        <w:tc>
          <w:tcPr>
            <w:tcW w:w="293" w:type="pct"/>
          </w:tcPr>
          <w:p w14:paraId="1FE6872F">
            <w:pPr>
              <w:jc w:val="center"/>
              <w:rPr>
                <w:rFonts w:ascii="宋体" w:hAnsi="宋体" w:cs="宋体"/>
                <w:szCs w:val="21"/>
                <w:lang w:val="zh-CN"/>
              </w:rPr>
            </w:pPr>
            <w:r>
              <w:rPr>
                <w:rFonts w:hint="eastAsia" w:ascii="宋体" w:hAnsi="宋体" w:cs="宋体"/>
                <w:b/>
                <w:bCs/>
                <w:szCs w:val="21"/>
                <w:lang w:val="zh-CN"/>
              </w:rPr>
              <w:t>分值</w:t>
            </w:r>
          </w:p>
        </w:tc>
      </w:tr>
      <w:tr w14:paraId="65CDA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847" w:hRule="atLeast"/>
          <w:jc w:val="center"/>
        </w:trPr>
        <w:tc>
          <w:tcPr>
            <w:tcW w:w="293" w:type="pct"/>
            <w:vAlign w:val="center"/>
          </w:tcPr>
          <w:p w14:paraId="733A1747">
            <w:pPr>
              <w:pStyle w:val="304"/>
              <w:spacing w:line="320" w:lineRule="exact"/>
              <w:jc w:val="center"/>
              <w:rPr>
                <w:szCs w:val="21"/>
              </w:rPr>
            </w:pPr>
            <w:r>
              <w:rPr>
                <w:rFonts w:hint="eastAsia"/>
                <w:szCs w:val="21"/>
              </w:rPr>
              <w:t>1</w:t>
            </w:r>
          </w:p>
        </w:tc>
        <w:tc>
          <w:tcPr>
            <w:tcW w:w="607" w:type="pct"/>
            <w:vAlign w:val="center"/>
          </w:tcPr>
          <w:p w14:paraId="1F64D5EF">
            <w:pPr>
              <w:pStyle w:val="304"/>
              <w:spacing w:line="320" w:lineRule="exact"/>
              <w:ind w:right="110"/>
              <w:jc w:val="center"/>
              <w:rPr>
                <w:szCs w:val="21"/>
              </w:rPr>
            </w:pPr>
            <w:r>
              <w:rPr>
                <w:rFonts w:hint="eastAsia"/>
                <w:szCs w:val="21"/>
              </w:rPr>
              <w:t>价格分</w:t>
            </w:r>
          </w:p>
        </w:tc>
        <w:tc>
          <w:tcPr>
            <w:tcW w:w="3806" w:type="pct"/>
            <w:vAlign w:val="center"/>
          </w:tcPr>
          <w:p w14:paraId="11AA7EF0">
            <w:pPr>
              <w:spacing w:line="260" w:lineRule="exact"/>
              <w:rPr>
                <w:rFonts w:ascii="宋体" w:hAnsi="宋体" w:cs="宋体"/>
                <w:szCs w:val="21"/>
              </w:rPr>
            </w:pPr>
            <w:bookmarkStart w:id="47" w:name="OLE_LINK19"/>
            <w:bookmarkStart w:id="48" w:name="OLE_LINK20"/>
            <w:r>
              <w:rPr>
                <w:rFonts w:hint="eastAsia" w:ascii="宋体" w:hAnsi="宋体" w:cs="宋体"/>
                <w:szCs w:val="21"/>
              </w:rPr>
              <w:t>价格分统一采用低价优先法计算，即满足磋商文件要求且最后报价最低的供应商的价格为磋商基准价，其价格分为满分。</w:t>
            </w:r>
          </w:p>
          <w:p w14:paraId="2BEC29D7">
            <w:pPr>
              <w:spacing w:line="260" w:lineRule="exact"/>
              <w:rPr>
                <w:rFonts w:ascii="宋体" w:hAnsi="宋体" w:cs="宋体"/>
                <w:szCs w:val="21"/>
              </w:rPr>
            </w:pPr>
            <w:r>
              <w:rPr>
                <w:rFonts w:hint="eastAsia" w:ascii="宋体" w:hAnsi="宋体" w:cs="宋体"/>
                <w:szCs w:val="21"/>
              </w:rPr>
              <w:t>其他供应商的价格分统一按照下列公式计算：磋商报价得分=（磋商基准价/最后磋商报价）×60分。</w:t>
            </w:r>
          </w:p>
          <w:p w14:paraId="0440F499">
            <w:pPr>
              <w:pStyle w:val="53"/>
              <w:spacing w:after="0" w:line="260" w:lineRule="exact"/>
              <w:ind w:left="0" w:firstLine="0"/>
              <w:rPr>
                <w:rFonts w:ascii="宋体" w:hAnsi="宋体" w:cs="宋体"/>
                <w:b/>
                <w:szCs w:val="21"/>
              </w:rPr>
            </w:pPr>
            <w:r>
              <w:rPr>
                <w:rFonts w:hint="eastAsia" w:ascii="宋体" w:hAnsi="宋体" w:cs="宋体"/>
                <w:b/>
                <w:szCs w:val="21"/>
              </w:rPr>
              <w:t>本项目专门面向中小企业，不再执行价格评审优惠的扶持政策。</w:t>
            </w:r>
          </w:p>
          <w:p w14:paraId="643E9918">
            <w:pPr>
              <w:pStyle w:val="53"/>
              <w:spacing w:after="0" w:line="260" w:lineRule="exact"/>
              <w:ind w:left="0" w:firstLine="0"/>
              <w:rPr>
                <w:rFonts w:ascii="宋体" w:hAnsi="宋体" w:cs="宋体"/>
                <w:b/>
                <w:szCs w:val="21"/>
              </w:rPr>
            </w:pPr>
            <w:r>
              <w:rPr>
                <w:rFonts w:hint="eastAsia" w:ascii="宋体" w:hAnsi="宋体" w:cs="宋体"/>
                <w:b/>
                <w:szCs w:val="21"/>
              </w:rPr>
              <w:t xml:space="preserve">注：评审过程中出现下列情形之一的，评审委员会应当启动异常低价投标（响应）审查程序： </w:t>
            </w:r>
          </w:p>
          <w:p w14:paraId="6AAF18E4">
            <w:pPr>
              <w:pStyle w:val="53"/>
              <w:spacing w:after="0" w:line="260" w:lineRule="exact"/>
              <w:ind w:left="0" w:firstLine="0"/>
              <w:rPr>
                <w:rFonts w:ascii="宋体" w:hAnsi="宋体" w:cs="宋体"/>
                <w:b/>
                <w:szCs w:val="21"/>
              </w:rPr>
            </w:pPr>
            <w:r>
              <w:rPr>
                <w:rFonts w:hint="eastAsia" w:ascii="宋体" w:hAnsi="宋体" w:cs="宋体"/>
                <w:b/>
                <w:szCs w:val="21"/>
              </w:rPr>
              <w:t>1．投标（响应）报价低于采购项目预算50%的，即投标（响应）报价&lt;采购项目预算×50% ；</w:t>
            </w:r>
          </w:p>
          <w:p w14:paraId="4EC14C3C">
            <w:pPr>
              <w:pStyle w:val="53"/>
              <w:spacing w:after="0" w:line="260" w:lineRule="exact"/>
              <w:ind w:left="0" w:firstLine="0"/>
              <w:rPr>
                <w:rFonts w:ascii="宋体" w:hAnsi="宋体" w:cs="宋体"/>
                <w:b/>
                <w:szCs w:val="21"/>
              </w:rPr>
            </w:pPr>
            <w:r>
              <w:rPr>
                <w:rFonts w:hint="eastAsia" w:ascii="宋体" w:hAnsi="宋体" w:cs="宋体"/>
                <w:b/>
                <w:szCs w:val="21"/>
              </w:rPr>
              <w:t xml:space="preserve">2．投标（响应）报价低于采购项目最高限价45%的，即投标（响应）报价&lt;采购项目最高限价×45% ； </w:t>
            </w:r>
          </w:p>
          <w:p w14:paraId="3DE12D51">
            <w:pPr>
              <w:pStyle w:val="53"/>
              <w:spacing w:after="0" w:line="260" w:lineRule="exact"/>
              <w:ind w:left="0" w:firstLine="0"/>
              <w:rPr>
                <w:rFonts w:ascii="宋体" w:hAnsi="宋体" w:cs="宋体"/>
                <w:b/>
                <w:szCs w:val="21"/>
              </w:rPr>
            </w:pPr>
            <w:r>
              <w:rPr>
                <w:rFonts w:hint="eastAsia" w:ascii="宋体" w:hAnsi="宋体" w:cs="宋体"/>
                <w:b/>
                <w:szCs w:val="21"/>
              </w:rPr>
              <w:t>3．评审委员会认定的供应商报价过低、有可能影响产品质量或者不能诚信履约的其他情形。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 价合理性进行判断。投标（响应）供应商不提供书面说明、证明材料，或者提供的书面说明、证明材料不能证明其报价合理性的，评审委员会应当将其作为无效投标（响应）处理。审查相关情况 应当在评审报告中进行记录。</w:t>
            </w:r>
            <w:bookmarkEnd w:id="47"/>
            <w:bookmarkEnd w:id="48"/>
          </w:p>
        </w:tc>
        <w:tc>
          <w:tcPr>
            <w:tcW w:w="293" w:type="pct"/>
            <w:vAlign w:val="center"/>
          </w:tcPr>
          <w:p w14:paraId="48D4CCB6">
            <w:pPr>
              <w:spacing w:line="360" w:lineRule="auto"/>
              <w:jc w:val="center"/>
              <w:rPr>
                <w:rFonts w:ascii="宋体" w:hAnsi="宋体" w:cs="宋体"/>
                <w:szCs w:val="21"/>
              </w:rPr>
            </w:pPr>
            <w:r>
              <w:rPr>
                <w:rFonts w:hint="eastAsia" w:ascii="宋体" w:hAnsi="宋体" w:cs="宋体"/>
                <w:szCs w:val="21"/>
                <w:lang w:bidi="zh-CN"/>
              </w:rPr>
              <w:t>60</w:t>
            </w:r>
          </w:p>
        </w:tc>
      </w:tr>
      <w:tr w14:paraId="21CFE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239" w:hRule="atLeast"/>
          <w:jc w:val="center"/>
        </w:trPr>
        <w:tc>
          <w:tcPr>
            <w:tcW w:w="293" w:type="pct"/>
            <w:vAlign w:val="center"/>
          </w:tcPr>
          <w:p w14:paraId="74EE834A">
            <w:pPr>
              <w:pStyle w:val="304"/>
              <w:spacing w:line="320" w:lineRule="exact"/>
              <w:jc w:val="center"/>
              <w:rPr>
                <w:szCs w:val="21"/>
              </w:rPr>
            </w:pPr>
            <w:r>
              <w:rPr>
                <w:rFonts w:hint="eastAsia"/>
                <w:szCs w:val="21"/>
              </w:rPr>
              <w:t>2</w:t>
            </w:r>
          </w:p>
        </w:tc>
        <w:tc>
          <w:tcPr>
            <w:tcW w:w="607" w:type="pct"/>
            <w:vAlign w:val="center"/>
          </w:tcPr>
          <w:p w14:paraId="6FD6C3D8">
            <w:pPr>
              <w:pStyle w:val="304"/>
              <w:spacing w:line="320" w:lineRule="exact"/>
              <w:ind w:right="110"/>
              <w:jc w:val="center"/>
              <w:rPr>
                <w:szCs w:val="21"/>
              </w:rPr>
            </w:pPr>
            <w:r>
              <w:rPr>
                <w:rFonts w:hint="eastAsia"/>
                <w:szCs w:val="21"/>
              </w:rPr>
              <w:t>供应商业绩</w:t>
            </w:r>
          </w:p>
        </w:tc>
        <w:tc>
          <w:tcPr>
            <w:tcW w:w="3806" w:type="pct"/>
            <w:vAlign w:val="center"/>
          </w:tcPr>
          <w:p w14:paraId="4DFDB490">
            <w:pPr>
              <w:spacing w:line="260" w:lineRule="exact"/>
              <w:rPr>
                <w:rFonts w:ascii="宋体" w:hAnsi="宋体" w:cs="宋体"/>
                <w:szCs w:val="21"/>
              </w:rPr>
            </w:pPr>
            <w:bookmarkStart w:id="49" w:name="OLE_LINK22"/>
            <w:bookmarkStart w:id="50" w:name="OLE_LINK23"/>
            <w:r>
              <w:rPr>
                <w:rFonts w:hint="eastAsia" w:ascii="宋体" w:hAnsi="宋体" w:cs="宋体"/>
                <w:szCs w:val="21"/>
              </w:rPr>
              <w:t>供应商自20</w:t>
            </w:r>
            <w:r>
              <w:rPr>
                <w:rFonts w:ascii="宋体" w:hAnsi="宋体" w:cs="宋体"/>
                <w:szCs w:val="21"/>
              </w:rPr>
              <w:t>20</w:t>
            </w:r>
            <w:r>
              <w:rPr>
                <w:rFonts w:hint="eastAsia" w:ascii="宋体" w:hAnsi="宋体" w:cs="宋体"/>
                <w:szCs w:val="21"/>
              </w:rPr>
              <w:t>年1月1日以来承担过类似工程的；有一个得2分，最多得</w:t>
            </w:r>
            <w:r>
              <w:rPr>
                <w:rFonts w:ascii="宋体" w:hAnsi="宋体" w:cs="宋体"/>
                <w:szCs w:val="21"/>
              </w:rPr>
              <w:t>8</w:t>
            </w:r>
            <w:r>
              <w:rPr>
                <w:rFonts w:hint="eastAsia" w:ascii="宋体" w:hAnsi="宋体" w:cs="宋体"/>
                <w:szCs w:val="21"/>
              </w:rPr>
              <w:t>分。</w:t>
            </w:r>
          </w:p>
          <w:p w14:paraId="3CF0B0B4">
            <w:pPr>
              <w:spacing w:line="260" w:lineRule="exact"/>
              <w:rPr>
                <w:rFonts w:ascii="宋体" w:hAnsi="宋体" w:cs="宋体"/>
                <w:szCs w:val="21"/>
              </w:rPr>
            </w:pPr>
            <w:r>
              <w:rPr>
                <w:rFonts w:hint="eastAsia" w:ascii="宋体" w:hAnsi="宋体" w:cs="宋体"/>
                <w:szCs w:val="21"/>
              </w:rPr>
              <w:t>业绩证明材料须同时提供施工合同、交工验收报告或验收证明。业绩有效时间以交工验收报告或验收证明上的时间为准。</w:t>
            </w:r>
          </w:p>
          <w:p w14:paraId="0C1D8002">
            <w:pPr>
              <w:spacing w:line="260" w:lineRule="exact"/>
              <w:rPr>
                <w:rFonts w:ascii="宋体" w:hAnsi="宋体" w:cs="宋体"/>
                <w:szCs w:val="21"/>
              </w:rPr>
            </w:pPr>
            <w:r>
              <w:rPr>
                <w:rFonts w:hint="eastAsia" w:ascii="宋体" w:hAnsi="宋体" w:cs="宋体"/>
                <w:szCs w:val="21"/>
              </w:rPr>
              <w:t>（磋商响应文件中提供复印件加盖投标单位公章。）</w:t>
            </w:r>
            <w:bookmarkEnd w:id="49"/>
            <w:bookmarkEnd w:id="50"/>
          </w:p>
        </w:tc>
        <w:tc>
          <w:tcPr>
            <w:tcW w:w="293" w:type="pct"/>
            <w:vAlign w:val="center"/>
          </w:tcPr>
          <w:p w14:paraId="001C93C8">
            <w:pPr>
              <w:spacing w:line="360" w:lineRule="auto"/>
              <w:jc w:val="center"/>
              <w:rPr>
                <w:rFonts w:ascii="宋体" w:hAnsi="宋体" w:cs="宋体"/>
                <w:szCs w:val="21"/>
              </w:rPr>
            </w:pPr>
            <w:r>
              <w:rPr>
                <w:rFonts w:ascii="宋体" w:hAnsi="宋体" w:cs="宋体"/>
                <w:szCs w:val="21"/>
                <w:lang w:bidi="zh-CN"/>
              </w:rPr>
              <w:t>8</w:t>
            </w:r>
          </w:p>
        </w:tc>
      </w:tr>
      <w:tr w14:paraId="3F83E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0" w:hRule="atLeast"/>
          <w:jc w:val="center"/>
        </w:trPr>
        <w:tc>
          <w:tcPr>
            <w:tcW w:w="293" w:type="pct"/>
            <w:vMerge w:val="restart"/>
            <w:vAlign w:val="center"/>
          </w:tcPr>
          <w:p w14:paraId="576954B5">
            <w:pPr>
              <w:pStyle w:val="304"/>
              <w:spacing w:before="1" w:line="320" w:lineRule="exact"/>
              <w:jc w:val="center"/>
              <w:rPr>
                <w:szCs w:val="21"/>
              </w:rPr>
            </w:pPr>
            <w:r>
              <w:rPr>
                <w:rFonts w:hint="eastAsia"/>
                <w:szCs w:val="21"/>
                <w:lang w:val="en-US"/>
              </w:rPr>
              <w:t>3</w:t>
            </w:r>
          </w:p>
        </w:tc>
        <w:tc>
          <w:tcPr>
            <w:tcW w:w="607" w:type="pct"/>
            <w:vMerge w:val="restart"/>
            <w:vAlign w:val="center"/>
          </w:tcPr>
          <w:p w14:paraId="12853CE3">
            <w:pPr>
              <w:spacing w:line="360" w:lineRule="auto"/>
              <w:jc w:val="center"/>
              <w:rPr>
                <w:rFonts w:ascii="宋体" w:hAnsi="宋体" w:cs="宋体"/>
                <w:szCs w:val="21"/>
              </w:rPr>
            </w:pPr>
            <w:r>
              <w:rPr>
                <w:rFonts w:hint="eastAsia" w:ascii="宋体" w:hAnsi="宋体" w:cs="宋体"/>
                <w:szCs w:val="21"/>
                <w:lang w:bidi="zh-CN"/>
              </w:rPr>
              <w:t>服务方案</w:t>
            </w:r>
          </w:p>
        </w:tc>
        <w:tc>
          <w:tcPr>
            <w:tcW w:w="3806" w:type="pct"/>
            <w:vAlign w:val="center"/>
          </w:tcPr>
          <w:p w14:paraId="041593AD">
            <w:pPr>
              <w:spacing w:line="26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根据供应商提供的项目总体实施方案进行评分</w:t>
            </w:r>
          </w:p>
          <w:p w14:paraId="0109F379">
            <w:pPr>
              <w:widowControl/>
              <w:pBdr>
                <w:top w:val="none" w:color="000000" w:sz="0" w:space="0"/>
                <w:left w:val="none" w:color="000000" w:sz="0" w:space="0"/>
                <w:bottom w:val="none" w:color="000000" w:sz="0" w:space="0"/>
                <w:right w:val="none" w:color="000000" w:sz="0" w:space="0"/>
              </w:pBdr>
              <w:spacing w:line="260" w:lineRule="exact"/>
              <w:jc w:val="left"/>
              <w:rPr>
                <w:rFonts w:ascii="宋体" w:hAnsi="宋体" w:cs="宋体"/>
                <w:sz w:val="22"/>
                <w:szCs w:val="22"/>
              </w:rPr>
            </w:pPr>
            <w:r>
              <w:rPr>
                <w:rFonts w:hint="eastAsia" w:ascii="宋体" w:hAnsi="宋体" w:cs="宋体"/>
                <w:sz w:val="22"/>
                <w:szCs w:val="22"/>
              </w:rPr>
              <w:t>针对以上各项要求提供的方案完整详细、可行性强、针对性强的得8分；</w:t>
            </w:r>
          </w:p>
          <w:p w14:paraId="4809EEDD">
            <w:pPr>
              <w:widowControl/>
              <w:pBdr>
                <w:top w:val="none" w:color="000000" w:sz="0" w:space="0"/>
                <w:left w:val="none" w:color="000000" w:sz="0" w:space="0"/>
                <w:bottom w:val="none" w:color="000000" w:sz="0" w:space="0"/>
                <w:right w:val="none" w:color="000000" w:sz="0" w:space="0"/>
              </w:pBdr>
              <w:spacing w:line="260" w:lineRule="exact"/>
              <w:jc w:val="left"/>
              <w:rPr>
                <w:rFonts w:ascii="宋体" w:hAnsi="宋体" w:cs="宋体"/>
                <w:sz w:val="22"/>
                <w:szCs w:val="22"/>
              </w:rPr>
            </w:pPr>
            <w:r>
              <w:rPr>
                <w:rFonts w:hint="eastAsia" w:ascii="宋体" w:hAnsi="宋体" w:cs="宋体"/>
                <w:sz w:val="22"/>
                <w:szCs w:val="22"/>
              </w:rPr>
              <w:t>针对以上各项要求提供的方案较完整、可行性较好、针对性较好的得5分；</w:t>
            </w:r>
          </w:p>
          <w:p w14:paraId="0FFE041A">
            <w:pPr>
              <w:widowControl/>
              <w:pBdr>
                <w:top w:val="none" w:color="000000" w:sz="0" w:space="0"/>
                <w:left w:val="none" w:color="000000" w:sz="0" w:space="0"/>
                <w:bottom w:val="none" w:color="000000" w:sz="0" w:space="0"/>
                <w:right w:val="none" w:color="000000" w:sz="0" w:space="0"/>
              </w:pBdr>
              <w:spacing w:line="260" w:lineRule="exact"/>
              <w:jc w:val="left"/>
              <w:rPr>
                <w:rFonts w:ascii="宋体" w:hAnsi="宋体" w:cs="宋体"/>
                <w:sz w:val="22"/>
                <w:szCs w:val="22"/>
              </w:rPr>
            </w:pPr>
            <w:r>
              <w:rPr>
                <w:rFonts w:hint="eastAsia" w:ascii="宋体" w:hAnsi="宋体" w:cs="宋体"/>
                <w:sz w:val="22"/>
                <w:szCs w:val="22"/>
              </w:rPr>
              <w:t xml:space="preserve">针对以上各项要求提供的较完整、可行性一般、针对性一般的得2分； </w:t>
            </w:r>
          </w:p>
          <w:p w14:paraId="3E6FC7A5">
            <w:pPr>
              <w:spacing w:line="260" w:lineRule="exact"/>
              <w:rPr>
                <w:rFonts w:ascii="宋体" w:hAnsi="宋体" w:cs="宋体"/>
                <w:szCs w:val="21"/>
              </w:rPr>
            </w:pPr>
            <w:r>
              <w:rPr>
                <w:rFonts w:hint="eastAsia" w:ascii="宋体" w:hAnsi="宋体" w:cs="宋体"/>
                <w:sz w:val="22"/>
                <w:szCs w:val="22"/>
              </w:rPr>
              <w:t>未提供本项不得分。</w:t>
            </w:r>
          </w:p>
        </w:tc>
        <w:tc>
          <w:tcPr>
            <w:tcW w:w="293" w:type="pct"/>
            <w:vAlign w:val="center"/>
          </w:tcPr>
          <w:p w14:paraId="191EE511">
            <w:pPr>
              <w:spacing w:line="360" w:lineRule="auto"/>
              <w:jc w:val="center"/>
              <w:rPr>
                <w:rFonts w:ascii="宋体" w:hAnsi="宋体" w:cs="宋体"/>
                <w:szCs w:val="21"/>
              </w:rPr>
            </w:pPr>
            <w:r>
              <w:rPr>
                <w:rFonts w:hint="eastAsia" w:ascii="宋体" w:hAnsi="宋体" w:cs="宋体"/>
                <w:szCs w:val="21"/>
              </w:rPr>
              <w:t>8</w:t>
            </w:r>
          </w:p>
        </w:tc>
      </w:tr>
      <w:tr w14:paraId="13428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46" w:hRule="atLeast"/>
          <w:jc w:val="center"/>
        </w:trPr>
        <w:tc>
          <w:tcPr>
            <w:tcW w:w="293" w:type="pct"/>
            <w:vMerge w:val="continue"/>
            <w:vAlign w:val="center"/>
          </w:tcPr>
          <w:p w14:paraId="0D354DA1">
            <w:pPr>
              <w:pStyle w:val="304"/>
              <w:spacing w:before="1" w:line="320" w:lineRule="exact"/>
              <w:jc w:val="center"/>
              <w:rPr>
                <w:szCs w:val="21"/>
              </w:rPr>
            </w:pPr>
          </w:p>
        </w:tc>
        <w:tc>
          <w:tcPr>
            <w:tcW w:w="607" w:type="pct"/>
            <w:vMerge w:val="continue"/>
            <w:vAlign w:val="center"/>
          </w:tcPr>
          <w:p w14:paraId="5C21B676">
            <w:pPr>
              <w:pStyle w:val="304"/>
              <w:spacing w:line="320" w:lineRule="exact"/>
              <w:jc w:val="center"/>
              <w:rPr>
                <w:szCs w:val="21"/>
              </w:rPr>
            </w:pPr>
          </w:p>
        </w:tc>
        <w:tc>
          <w:tcPr>
            <w:tcW w:w="3806" w:type="pct"/>
            <w:vAlign w:val="center"/>
          </w:tcPr>
          <w:p w14:paraId="0FD78632">
            <w:pPr>
              <w:widowControl/>
              <w:pBdr>
                <w:top w:val="none" w:color="000000" w:sz="0" w:space="0"/>
                <w:left w:val="none" w:color="000000" w:sz="0" w:space="0"/>
                <w:bottom w:val="none" w:color="000000" w:sz="0" w:space="0"/>
                <w:right w:val="none" w:color="000000" w:sz="0" w:space="0"/>
              </w:pBdr>
              <w:spacing w:line="260" w:lineRule="exact"/>
              <w:jc w:val="left"/>
              <w:rPr>
                <w:rFonts w:ascii="宋体" w:hAnsi="宋体" w:cs="宋体"/>
                <w:sz w:val="22"/>
                <w:szCs w:val="22"/>
              </w:rPr>
            </w:pPr>
            <w:r>
              <w:rPr>
                <w:rFonts w:hint="eastAsia" w:ascii="宋体" w:hAnsi="宋体" w:cs="宋体"/>
                <w:color w:val="000000" w:themeColor="text1"/>
                <w:szCs w:val="21"/>
                <w14:textFill>
                  <w14:solidFill>
                    <w14:schemeClr w14:val="tx1"/>
                  </w14:solidFill>
                </w14:textFill>
              </w:rPr>
              <w:t>根据供应商提供的对本项目的施工进度计划编制及进度计划保证措施等进行评分：</w:t>
            </w:r>
            <w:r>
              <w:rPr>
                <w:rFonts w:hint="eastAsia" w:ascii="宋体" w:hAnsi="宋体" w:cs="宋体"/>
                <w:sz w:val="22"/>
                <w:szCs w:val="22"/>
              </w:rPr>
              <w:t>针对以上各项要求提供的方案完整详细、可行性强、针对性强的得8分；</w:t>
            </w:r>
          </w:p>
          <w:p w14:paraId="13F1FA68">
            <w:pPr>
              <w:widowControl/>
              <w:pBdr>
                <w:top w:val="none" w:color="000000" w:sz="0" w:space="0"/>
                <w:left w:val="none" w:color="000000" w:sz="0" w:space="0"/>
                <w:bottom w:val="none" w:color="000000" w:sz="0" w:space="0"/>
                <w:right w:val="none" w:color="000000" w:sz="0" w:space="0"/>
              </w:pBdr>
              <w:spacing w:line="260" w:lineRule="exact"/>
              <w:jc w:val="left"/>
              <w:rPr>
                <w:rFonts w:ascii="宋体" w:hAnsi="宋体" w:cs="宋体"/>
                <w:sz w:val="22"/>
                <w:szCs w:val="22"/>
              </w:rPr>
            </w:pPr>
            <w:r>
              <w:rPr>
                <w:rFonts w:hint="eastAsia" w:ascii="宋体" w:hAnsi="宋体" w:cs="宋体"/>
                <w:sz w:val="22"/>
                <w:szCs w:val="22"/>
              </w:rPr>
              <w:t>针对以上各项要求提供的方案较完整、可行性较好、针对性较好的得5分；</w:t>
            </w:r>
          </w:p>
          <w:p w14:paraId="4237D1B4">
            <w:pPr>
              <w:widowControl/>
              <w:pBdr>
                <w:top w:val="none" w:color="000000" w:sz="0" w:space="0"/>
                <w:left w:val="none" w:color="000000" w:sz="0" w:space="0"/>
                <w:bottom w:val="none" w:color="000000" w:sz="0" w:space="0"/>
                <w:right w:val="none" w:color="000000" w:sz="0" w:space="0"/>
              </w:pBdr>
              <w:spacing w:line="260" w:lineRule="exact"/>
              <w:jc w:val="left"/>
              <w:rPr>
                <w:rFonts w:ascii="宋体" w:hAnsi="宋体" w:cs="宋体"/>
                <w:sz w:val="22"/>
                <w:szCs w:val="22"/>
              </w:rPr>
            </w:pPr>
            <w:r>
              <w:rPr>
                <w:rFonts w:hint="eastAsia" w:ascii="宋体" w:hAnsi="宋体" w:cs="宋体"/>
                <w:sz w:val="22"/>
                <w:szCs w:val="22"/>
              </w:rPr>
              <w:t xml:space="preserve">针对以上各项要求提供的较完整、可行性一般、针对性一般的得2分； </w:t>
            </w:r>
          </w:p>
          <w:p w14:paraId="78E440D9">
            <w:pPr>
              <w:spacing w:line="260" w:lineRule="exact"/>
              <w:rPr>
                <w:rFonts w:ascii="宋体" w:hAnsi="宋体" w:cs="宋体"/>
                <w:szCs w:val="21"/>
              </w:rPr>
            </w:pPr>
            <w:r>
              <w:rPr>
                <w:rFonts w:hint="eastAsia" w:ascii="宋体" w:hAnsi="宋体" w:cs="宋体"/>
                <w:sz w:val="22"/>
                <w:szCs w:val="22"/>
              </w:rPr>
              <w:t>未提供本项不得分。</w:t>
            </w:r>
          </w:p>
        </w:tc>
        <w:tc>
          <w:tcPr>
            <w:tcW w:w="293" w:type="pct"/>
            <w:vAlign w:val="center"/>
          </w:tcPr>
          <w:p w14:paraId="5211B15D">
            <w:pPr>
              <w:spacing w:line="360" w:lineRule="auto"/>
              <w:jc w:val="center"/>
              <w:rPr>
                <w:rFonts w:ascii="宋体" w:hAnsi="宋体" w:cs="宋体"/>
                <w:szCs w:val="21"/>
              </w:rPr>
            </w:pPr>
            <w:r>
              <w:rPr>
                <w:rFonts w:hint="eastAsia" w:ascii="宋体" w:hAnsi="宋体" w:cs="宋体"/>
                <w:szCs w:val="21"/>
              </w:rPr>
              <w:t>8</w:t>
            </w:r>
          </w:p>
        </w:tc>
      </w:tr>
      <w:tr w14:paraId="5BBBF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46" w:hRule="atLeast"/>
          <w:jc w:val="center"/>
        </w:trPr>
        <w:tc>
          <w:tcPr>
            <w:tcW w:w="293" w:type="pct"/>
            <w:vMerge w:val="continue"/>
            <w:vAlign w:val="center"/>
          </w:tcPr>
          <w:p w14:paraId="00CA2406">
            <w:pPr>
              <w:pStyle w:val="304"/>
              <w:spacing w:before="1" w:line="320" w:lineRule="exact"/>
              <w:jc w:val="center"/>
              <w:rPr>
                <w:szCs w:val="21"/>
              </w:rPr>
            </w:pPr>
          </w:p>
        </w:tc>
        <w:tc>
          <w:tcPr>
            <w:tcW w:w="607" w:type="pct"/>
            <w:vMerge w:val="continue"/>
            <w:vAlign w:val="center"/>
          </w:tcPr>
          <w:p w14:paraId="2B10A9E3">
            <w:pPr>
              <w:pStyle w:val="304"/>
              <w:spacing w:line="320" w:lineRule="exact"/>
              <w:jc w:val="center"/>
              <w:rPr>
                <w:szCs w:val="21"/>
              </w:rPr>
            </w:pPr>
          </w:p>
        </w:tc>
        <w:tc>
          <w:tcPr>
            <w:tcW w:w="3806" w:type="pct"/>
            <w:vAlign w:val="center"/>
          </w:tcPr>
          <w:p w14:paraId="61E41B44">
            <w:pPr>
              <w:widowControl/>
              <w:pBdr>
                <w:top w:val="none" w:color="000000" w:sz="0" w:space="0"/>
                <w:left w:val="none" w:color="000000" w:sz="0" w:space="0"/>
                <w:bottom w:val="none" w:color="000000" w:sz="0" w:space="0"/>
                <w:right w:val="none" w:color="000000" w:sz="0" w:space="0"/>
              </w:pBdr>
              <w:spacing w:line="260" w:lineRule="exact"/>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根据供应商针对本项目关键施工技术、重点、难点的分析及提出的合理化建议等进行评分：</w:t>
            </w:r>
          </w:p>
          <w:p w14:paraId="12C9A13B">
            <w:pPr>
              <w:widowControl/>
              <w:pBdr>
                <w:top w:val="none" w:color="000000" w:sz="0" w:space="0"/>
                <w:left w:val="none" w:color="000000" w:sz="0" w:space="0"/>
                <w:bottom w:val="none" w:color="000000" w:sz="0" w:space="0"/>
                <w:right w:val="none" w:color="000000" w:sz="0" w:space="0"/>
              </w:pBdr>
              <w:spacing w:line="260" w:lineRule="exact"/>
              <w:jc w:val="left"/>
              <w:rPr>
                <w:rFonts w:ascii="宋体" w:hAnsi="宋体" w:cs="宋体"/>
                <w:sz w:val="22"/>
                <w:szCs w:val="22"/>
              </w:rPr>
            </w:pPr>
            <w:r>
              <w:rPr>
                <w:rFonts w:hint="eastAsia" w:ascii="宋体" w:hAnsi="宋体" w:cs="宋体"/>
                <w:sz w:val="22"/>
                <w:szCs w:val="22"/>
              </w:rPr>
              <w:t>针对以上各项要求提供的方案完整详细、可行性强、针对性强的得8分；</w:t>
            </w:r>
          </w:p>
          <w:p w14:paraId="04776548">
            <w:pPr>
              <w:widowControl/>
              <w:pBdr>
                <w:top w:val="none" w:color="000000" w:sz="0" w:space="0"/>
                <w:left w:val="none" w:color="000000" w:sz="0" w:space="0"/>
                <w:bottom w:val="none" w:color="000000" w:sz="0" w:space="0"/>
                <w:right w:val="none" w:color="000000" w:sz="0" w:space="0"/>
              </w:pBdr>
              <w:spacing w:line="260" w:lineRule="exact"/>
              <w:jc w:val="left"/>
              <w:rPr>
                <w:rFonts w:ascii="宋体" w:hAnsi="宋体" w:cs="宋体"/>
                <w:sz w:val="22"/>
                <w:szCs w:val="22"/>
              </w:rPr>
            </w:pPr>
            <w:r>
              <w:rPr>
                <w:rFonts w:hint="eastAsia" w:ascii="宋体" w:hAnsi="宋体" w:cs="宋体"/>
                <w:sz w:val="22"/>
                <w:szCs w:val="22"/>
              </w:rPr>
              <w:t>针对以上各项要求提供的方案较完整、可行性较好、针对性较好的得5分；</w:t>
            </w:r>
          </w:p>
          <w:p w14:paraId="3253B30D">
            <w:pPr>
              <w:widowControl/>
              <w:pBdr>
                <w:top w:val="none" w:color="000000" w:sz="0" w:space="0"/>
                <w:left w:val="none" w:color="000000" w:sz="0" w:space="0"/>
                <w:bottom w:val="none" w:color="000000" w:sz="0" w:space="0"/>
                <w:right w:val="none" w:color="000000" w:sz="0" w:space="0"/>
              </w:pBdr>
              <w:spacing w:line="260" w:lineRule="exact"/>
              <w:jc w:val="left"/>
              <w:rPr>
                <w:rFonts w:ascii="宋体" w:hAnsi="宋体" w:cs="宋体"/>
                <w:sz w:val="22"/>
                <w:szCs w:val="22"/>
              </w:rPr>
            </w:pPr>
            <w:r>
              <w:rPr>
                <w:rFonts w:hint="eastAsia" w:ascii="宋体" w:hAnsi="宋体" w:cs="宋体"/>
                <w:sz w:val="22"/>
                <w:szCs w:val="22"/>
              </w:rPr>
              <w:t xml:space="preserve">针对以上各项要求提供的较完整、可行性一般、针对性一般的得2分； </w:t>
            </w:r>
          </w:p>
          <w:p w14:paraId="243A418E">
            <w:pPr>
              <w:spacing w:line="260" w:lineRule="exact"/>
              <w:rPr>
                <w:rFonts w:ascii="宋体" w:hAnsi="宋体" w:cs="宋体"/>
                <w:szCs w:val="21"/>
              </w:rPr>
            </w:pPr>
            <w:r>
              <w:rPr>
                <w:rFonts w:hint="eastAsia" w:ascii="宋体" w:hAnsi="宋体" w:cs="宋体"/>
                <w:sz w:val="22"/>
                <w:szCs w:val="22"/>
              </w:rPr>
              <w:t>未提供本项不得分。</w:t>
            </w:r>
          </w:p>
        </w:tc>
        <w:tc>
          <w:tcPr>
            <w:tcW w:w="293" w:type="pct"/>
            <w:vAlign w:val="center"/>
          </w:tcPr>
          <w:p w14:paraId="3B1CA6DC">
            <w:pPr>
              <w:spacing w:line="360" w:lineRule="auto"/>
              <w:jc w:val="center"/>
              <w:rPr>
                <w:rFonts w:ascii="宋体" w:hAnsi="宋体" w:cs="宋体"/>
                <w:szCs w:val="21"/>
              </w:rPr>
            </w:pPr>
            <w:r>
              <w:rPr>
                <w:rFonts w:hint="eastAsia" w:ascii="宋体" w:hAnsi="宋体" w:cs="宋体"/>
                <w:szCs w:val="21"/>
              </w:rPr>
              <w:t>8</w:t>
            </w:r>
          </w:p>
        </w:tc>
      </w:tr>
      <w:tr w14:paraId="4937A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0" w:hRule="atLeast"/>
          <w:jc w:val="center"/>
        </w:trPr>
        <w:tc>
          <w:tcPr>
            <w:tcW w:w="293" w:type="pct"/>
            <w:vMerge w:val="continue"/>
            <w:vAlign w:val="center"/>
          </w:tcPr>
          <w:p w14:paraId="3D67E17B">
            <w:pPr>
              <w:pStyle w:val="304"/>
              <w:spacing w:before="1" w:line="320" w:lineRule="exact"/>
              <w:jc w:val="center"/>
              <w:rPr>
                <w:szCs w:val="21"/>
              </w:rPr>
            </w:pPr>
          </w:p>
        </w:tc>
        <w:tc>
          <w:tcPr>
            <w:tcW w:w="607" w:type="pct"/>
            <w:vMerge w:val="continue"/>
            <w:vAlign w:val="center"/>
          </w:tcPr>
          <w:p w14:paraId="0B5F1336">
            <w:pPr>
              <w:pStyle w:val="304"/>
              <w:spacing w:line="320" w:lineRule="exact"/>
              <w:jc w:val="center"/>
              <w:rPr>
                <w:szCs w:val="21"/>
              </w:rPr>
            </w:pPr>
          </w:p>
        </w:tc>
        <w:tc>
          <w:tcPr>
            <w:tcW w:w="3806" w:type="pct"/>
            <w:vAlign w:val="center"/>
          </w:tcPr>
          <w:p w14:paraId="4955C8BE">
            <w:pPr>
              <w:widowControl/>
              <w:pBdr>
                <w:top w:val="none" w:color="000000" w:sz="0" w:space="0"/>
                <w:left w:val="none" w:color="000000" w:sz="0" w:space="0"/>
                <w:bottom w:val="none" w:color="000000" w:sz="0" w:space="0"/>
                <w:right w:val="none" w:color="000000" w:sz="0" w:space="0"/>
              </w:pBdr>
              <w:spacing w:line="260" w:lineRule="exact"/>
              <w:jc w:val="left"/>
              <w:rPr>
                <w:rFonts w:ascii="宋体" w:hAnsi="宋体" w:cs="宋体"/>
                <w:sz w:val="22"/>
                <w:szCs w:val="22"/>
              </w:rPr>
            </w:pPr>
            <w:r>
              <w:rPr>
                <w:rFonts w:hint="eastAsia" w:ascii="宋体" w:hAnsi="宋体" w:cs="宋体"/>
                <w:color w:val="000000" w:themeColor="text1"/>
                <w:szCs w:val="21"/>
                <w14:textFill>
                  <w14:solidFill>
                    <w14:schemeClr w14:val="tx1"/>
                  </w14:solidFill>
                </w14:textFill>
              </w:rPr>
              <w:t>根据供应商针对</w:t>
            </w:r>
            <w:bookmarkStart w:id="51" w:name="OLE_LINK21"/>
            <w:r>
              <w:rPr>
                <w:rFonts w:hint="eastAsia" w:ascii="宋体" w:hAnsi="宋体" w:cs="宋体"/>
                <w:color w:val="000000" w:themeColor="text1"/>
                <w:szCs w:val="21"/>
                <w14:textFill>
                  <w14:solidFill>
                    <w14:schemeClr w14:val="tx1"/>
                  </w14:solidFill>
                </w14:textFill>
              </w:rPr>
              <w:t>本项目提供的质量保证体系、总体质量控制及各分项工程质量控制措施等</w:t>
            </w:r>
            <w:bookmarkEnd w:id="51"/>
            <w:r>
              <w:rPr>
                <w:rFonts w:hint="eastAsia" w:ascii="宋体" w:hAnsi="宋体" w:cs="宋体"/>
                <w:color w:val="000000" w:themeColor="text1"/>
                <w:szCs w:val="21"/>
                <w14:textFill>
                  <w14:solidFill>
                    <w14:schemeClr w14:val="tx1"/>
                  </w14:solidFill>
                </w14:textFill>
              </w:rPr>
              <w:t>进行评分：</w:t>
            </w:r>
            <w:r>
              <w:rPr>
                <w:rFonts w:hint="eastAsia" w:ascii="宋体" w:hAnsi="宋体" w:cs="宋体"/>
                <w:sz w:val="22"/>
                <w:szCs w:val="22"/>
              </w:rPr>
              <w:t xml:space="preserve"> </w:t>
            </w:r>
          </w:p>
          <w:p w14:paraId="08793E78">
            <w:pPr>
              <w:widowControl/>
              <w:pBdr>
                <w:top w:val="none" w:color="000000" w:sz="0" w:space="0"/>
                <w:left w:val="none" w:color="000000" w:sz="0" w:space="0"/>
                <w:bottom w:val="none" w:color="000000" w:sz="0" w:space="0"/>
                <w:right w:val="none" w:color="000000" w:sz="0" w:space="0"/>
              </w:pBdr>
              <w:spacing w:line="260" w:lineRule="exact"/>
              <w:jc w:val="left"/>
              <w:rPr>
                <w:rFonts w:ascii="宋体" w:hAnsi="宋体" w:cs="宋体"/>
                <w:sz w:val="22"/>
                <w:szCs w:val="22"/>
              </w:rPr>
            </w:pPr>
            <w:r>
              <w:rPr>
                <w:rFonts w:hint="eastAsia" w:ascii="宋体" w:hAnsi="宋体" w:cs="宋体"/>
                <w:sz w:val="22"/>
                <w:szCs w:val="22"/>
              </w:rPr>
              <w:t>针对以上各项要求提供的方案完整详细、可行性强、针对性强的得8分；</w:t>
            </w:r>
          </w:p>
          <w:p w14:paraId="546FE2A8">
            <w:pPr>
              <w:widowControl/>
              <w:pBdr>
                <w:top w:val="none" w:color="000000" w:sz="0" w:space="0"/>
                <w:left w:val="none" w:color="000000" w:sz="0" w:space="0"/>
                <w:bottom w:val="none" w:color="000000" w:sz="0" w:space="0"/>
                <w:right w:val="none" w:color="000000" w:sz="0" w:space="0"/>
              </w:pBdr>
              <w:spacing w:line="260" w:lineRule="exact"/>
              <w:jc w:val="left"/>
              <w:rPr>
                <w:rFonts w:ascii="宋体" w:hAnsi="宋体" w:cs="宋体"/>
                <w:sz w:val="22"/>
                <w:szCs w:val="22"/>
              </w:rPr>
            </w:pPr>
            <w:r>
              <w:rPr>
                <w:rFonts w:hint="eastAsia" w:ascii="宋体" w:hAnsi="宋体" w:cs="宋体"/>
                <w:sz w:val="22"/>
                <w:szCs w:val="22"/>
              </w:rPr>
              <w:t>针对以上各项要求提供的方案较完整、可行性较好、针对性较好的得5分；</w:t>
            </w:r>
          </w:p>
          <w:p w14:paraId="66715163">
            <w:pPr>
              <w:widowControl/>
              <w:pBdr>
                <w:top w:val="none" w:color="000000" w:sz="0" w:space="0"/>
                <w:left w:val="none" w:color="000000" w:sz="0" w:space="0"/>
                <w:bottom w:val="none" w:color="000000" w:sz="0" w:space="0"/>
                <w:right w:val="none" w:color="000000" w:sz="0" w:space="0"/>
              </w:pBdr>
              <w:spacing w:line="260" w:lineRule="exact"/>
              <w:jc w:val="left"/>
              <w:rPr>
                <w:rFonts w:ascii="宋体" w:hAnsi="宋体" w:cs="宋体"/>
                <w:sz w:val="22"/>
                <w:szCs w:val="22"/>
              </w:rPr>
            </w:pPr>
            <w:r>
              <w:rPr>
                <w:rFonts w:hint="eastAsia" w:ascii="宋体" w:hAnsi="宋体" w:cs="宋体"/>
                <w:sz w:val="22"/>
                <w:szCs w:val="22"/>
              </w:rPr>
              <w:t xml:space="preserve">针对以上各项要求提供的较完整、可行性一般、针对性一般的得2分； </w:t>
            </w:r>
          </w:p>
          <w:p w14:paraId="11998FA8">
            <w:pPr>
              <w:spacing w:line="260" w:lineRule="exact"/>
              <w:rPr>
                <w:rFonts w:ascii="宋体" w:hAnsi="宋体" w:cs="宋体"/>
                <w:szCs w:val="21"/>
              </w:rPr>
            </w:pPr>
            <w:r>
              <w:rPr>
                <w:rFonts w:hint="eastAsia" w:ascii="宋体" w:hAnsi="宋体" w:cs="宋体"/>
                <w:sz w:val="22"/>
                <w:szCs w:val="22"/>
              </w:rPr>
              <w:t>未提供本项不得分。</w:t>
            </w:r>
          </w:p>
        </w:tc>
        <w:tc>
          <w:tcPr>
            <w:tcW w:w="293" w:type="pct"/>
            <w:vAlign w:val="center"/>
          </w:tcPr>
          <w:p w14:paraId="43208292">
            <w:pPr>
              <w:spacing w:line="360" w:lineRule="auto"/>
              <w:jc w:val="center"/>
              <w:rPr>
                <w:rFonts w:ascii="宋体" w:hAnsi="宋体" w:cs="宋体"/>
                <w:szCs w:val="21"/>
              </w:rPr>
            </w:pPr>
            <w:r>
              <w:rPr>
                <w:rFonts w:hint="eastAsia" w:ascii="宋体" w:hAnsi="宋体" w:cs="宋体"/>
                <w:szCs w:val="21"/>
              </w:rPr>
              <w:t>8</w:t>
            </w:r>
          </w:p>
        </w:tc>
      </w:tr>
    </w:tbl>
    <w:p w14:paraId="08A01C55">
      <w:pPr>
        <w:pBdr>
          <w:top w:val="none" w:color="000000" w:sz="0" w:space="0"/>
          <w:left w:val="none" w:color="000000" w:sz="0" w:space="0"/>
          <w:bottom w:val="none" w:color="000000" w:sz="0" w:space="0"/>
          <w:right w:val="none" w:color="000000" w:sz="0" w:space="0"/>
        </w:pBdr>
        <w:ind w:firstLine="527"/>
        <w:rPr>
          <w:rFonts w:ascii="宋体" w:hAnsi="宋体" w:cs="宋体"/>
        </w:rPr>
      </w:pPr>
      <w:r>
        <w:rPr>
          <w:rFonts w:hint="eastAsia" w:ascii="宋体" w:hAnsi="宋体" w:cs="宋体"/>
          <w:b/>
          <w:color w:val="000000"/>
          <w:sz w:val="22"/>
        </w:rPr>
        <w:t>注：1、针对评分标准中评分的每一条，供应商均应提供相关资料并作出相应说明供评委评判，不提供相关资料的视为不具备该项得分的条件，资料须编好目录及页码。</w:t>
      </w:r>
    </w:p>
    <w:p w14:paraId="42052361">
      <w:pPr>
        <w:pBdr>
          <w:top w:val="none" w:color="000000" w:sz="0" w:space="0"/>
          <w:left w:val="none" w:color="000000" w:sz="0" w:space="0"/>
          <w:bottom w:val="none" w:color="000000" w:sz="0" w:space="0"/>
          <w:right w:val="none" w:color="000000" w:sz="0" w:space="0"/>
        </w:pBdr>
        <w:spacing w:line="85" w:lineRule="atLeast"/>
        <w:ind w:firstLine="883"/>
        <w:rPr>
          <w:rFonts w:ascii="宋体" w:hAnsi="宋体" w:cs="宋体"/>
        </w:rPr>
      </w:pPr>
      <w:r>
        <w:rPr>
          <w:rFonts w:hint="eastAsia" w:ascii="宋体" w:hAnsi="宋体" w:cs="宋体"/>
          <w:b/>
          <w:color w:val="000000"/>
          <w:sz w:val="22"/>
        </w:rPr>
        <w:t>2、若发现有提供虚假的证明材料，视为无效投标并追究相关责任。</w:t>
      </w:r>
    </w:p>
    <w:p w14:paraId="0EA90FCC">
      <w:pPr>
        <w:rPr>
          <w:rFonts w:ascii="宋体" w:hAnsi="宋体" w:cs="宋体"/>
          <w:sz w:val="32"/>
          <w:szCs w:val="32"/>
        </w:rPr>
      </w:pPr>
      <w:bookmarkStart w:id="52" w:name="_Toc4874"/>
      <w:bookmarkStart w:id="53" w:name="_Toc29028"/>
      <w:bookmarkStart w:id="54" w:name="_Toc31764"/>
      <w:r>
        <w:rPr>
          <w:rFonts w:hint="eastAsia" w:ascii="宋体" w:hAnsi="宋体" w:cs="宋体"/>
          <w:sz w:val="32"/>
          <w:szCs w:val="32"/>
        </w:rPr>
        <w:br w:type="page" w:clear="all"/>
      </w:r>
    </w:p>
    <w:p w14:paraId="07AE8594">
      <w:pPr>
        <w:pStyle w:val="2"/>
        <w:rPr>
          <w:rFonts w:cs="宋体"/>
        </w:rPr>
      </w:pPr>
      <w:r>
        <w:rPr>
          <w:rFonts w:hint="eastAsia" w:cs="宋体"/>
          <w:sz w:val="32"/>
          <w:szCs w:val="32"/>
        </w:rPr>
        <w:t>第六章 成交公告</w:t>
      </w:r>
      <w:bookmarkEnd w:id="52"/>
      <w:bookmarkEnd w:id="53"/>
      <w:bookmarkEnd w:id="54"/>
    </w:p>
    <w:p w14:paraId="36FAE279">
      <w:pPr>
        <w:pStyle w:val="322"/>
        <w:spacing w:line="360" w:lineRule="auto"/>
        <w:ind w:firstLine="550"/>
        <w:rPr>
          <w:rFonts w:ascii="宋体" w:hAnsi="宋体" w:cs="宋体"/>
          <w:sz w:val="24"/>
        </w:rPr>
      </w:pPr>
      <w:r>
        <w:rPr>
          <w:rFonts w:hint="eastAsia" w:ascii="宋体" w:hAnsi="宋体" w:cs="宋体"/>
          <w:sz w:val="24"/>
        </w:rPr>
        <w:t>本公司将对经采购人确定的成交供应商在江苏政府采购网上发布成交结果公告，公告期限为1个工作日，不能保证被公告的成交供应商为最终成交供应商！</w:t>
      </w:r>
    </w:p>
    <w:p w14:paraId="45D7CBF9">
      <w:pPr>
        <w:pStyle w:val="322"/>
        <w:spacing w:line="400" w:lineRule="exact"/>
        <w:jc w:val="center"/>
        <w:rPr>
          <w:rFonts w:ascii="宋体" w:hAnsi="宋体" w:cs="宋体"/>
          <w:b/>
          <w:sz w:val="24"/>
        </w:rPr>
      </w:pPr>
    </w:p>
    <w:p w14:paraId="4F2C060F">
      <w:pPr>
        <w:pStyle w:val="322"/>
        <w:spacing w:line="400" w:lineRule="exact"/>
        <w:jc w:val="center"/>
        <w:rPr>
          <w:rFonts w:ascii="宋体" w:hAnsi="宋体" w:cs="宋体"/>
          <w:b/>
          <w:sz w:val="24"/>
        </w:rPr>
      </w:pPr>
    </w:p>
    <w:p w14:paraId="73166EE9">
      <w:pPr>
        <w:pStyle w:val="2"/>
        <w:rPr>
          <w:rFonts w:cs="宋体"/>
        </w:rPr>
      </w:pPr>
      <w:bookmarkStart w:id="55" w:name="_Toc21810"/>
      <w:bookmarkStart w:id="56" w:name="_Toc12888"/>
      <w:bookmarkStart w:id="57" w:name="_Toc2131"/>
      <w:r>
        <w:rPr>
          <w:rFonts w:hint="eastAsia" w:cs="宋体"/>
        </w:rPr>
        <w:t>第七章 合同签订</w:t>
      </w:r>
      <w:bookmarkEnd w:id="55"/>
      <w:bookmarkEnd w:id="56"/>
      <w:bookmarkEnd w:id="57"/>
    </w:p>
    <w:p w14:paraId="328A8079">
      <w:pPr>
        <w:pStyle w:val="322"/>
        <w:spacing w:line="360" w:lineRule="auto"/>
        <w:ind w:firstLine="550"/>
        <w:rPr>
          <w:rFonts w:ascii="宋体" w:hAnsi="宋体" w:cs="宋体"/>
          <w:sz w:val="24"/>
        </w:rPr>
      </w:pPr>
      <w:r>
        <w:rPr>
          <w:rFonts w:hint="eastAsia" w:ascii="宋体" w:hAnsi="宋体" w:cs="宋体"/>
          <w:sz w:val="24"/>
        </w:rPr>
        <w:t>1、供应商领取《成交通知书》后，应在《成交通知书》规定的日期内，按照采购文件确定的合同文本以及采购标的、规格型号、采购金额、采购数量、技术和服务要求等事项与采购人签订政府采购合同。合同主要条款与格式（参考）见第十章。</w:t>
      </w:r>
    </w:p>
    <w:p w14:paraId="129EBBEE">
      <w:pPr>
        <w:pStyle w:val="322"/>
        <w:spacing w:line="360" w:lineRule="auto"/>
        <w:ind w:firstLine="550"/>
        <w:rPr>
          <w:rFonts w:ascii="宋体" w:hAnsi="宋体" w:cs="宋体"/>
          <w:sz w:val="24"/>
        </w:rPr>
      </w:pPr>
      <w:r>
        <w:rPr>
          <w:rFonts w:hint="eastAsia" w:ascii="宋体" w:hAnsi="宋体" w:cs="宋体"/>
          <w:sz w:val="24"/>
        </w:rPr>
        <w:t>2、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14:paraId="75FC68B6">
      <w:pPr>
        <w:pStyle w:val="322"/>
        <w:spacing w:line="360" w:lineRule="auto"/>
        <w:ind w:firstLine="550"/>
        <w:rPr>
          <w:rFonts w:ascii="宋体" w:hAnsi="宋体" w:cs="宋体"/>
          <w:sz w:val="24"/>
        </w:rPr>
      </w:pPr>
      <w:r>
        <w:rPr>
          <w:rFonts w:hint="eastAsia" w:ascii="宋体" w:hAnsi="宋体" w:cs="宋体"/>
          <w:sz w:val="24"/>
        </w:rPr>
        <w:t>3、如果供应商有欺诈或隐瞒自身违规问题或损害国家和采购人利益以及主动放弃签订合同的，成交资格无效，采购人可以按照“财库〔2014〕214号” 文的有关规定，确定其他供应商作为成交供应商并签订政府采购合同，也可以重新开展采购活动；拒绝签订政府采购合同的成交供应商不得参加对该项目重新开展的采购活动；已签订合同，采购人可以中止合同，并保留依照相关法律、法规追究其法律责任的权利。</w:t>
      </w:r>
    </w:p>
    <w:p w14:paraId="2D387596">
      <w:pPr>
        <w:pStyle w:val="2"/>
        <w:rPr>
          <w:rFonts w:cs="宋体"/>
        </w:rPr>
      </w:pPr>
      <w:bookmarkStart w:id="58" w:name="_Toc12880"/>
      <w:bookmarkStart w:id="59" w:name="_Toc30954"/>
      <w:bookmarkStart w:id="60" w:name="_Toc15057"/>
      <w:r>
        <w:rPr>
          <w:rFonts w:hint="eastAsia" w:cs="宋体"/>
        </w:rPr>
        <w:t>第八章 质疑投诉</w:t>
      </w:r>
      <w:bookmarkEnd w:id="58"/>
      <w:bookmarkEnd w:id="59"/>
      <w:bookmarkEnd w:id="60"/>
    </w:p>
    <w:p w14:paraId="351D8937">
      <w:pPr>
        <w:pStyle w:val="322"/>
        <w:spacing w:line="360" w:lineRule="auto"/>
        <w:ind w:firstLine="546"/>
        <w:rPr>
          <w:rFonts w:ascii="宋体" w:hAnsi="宋体" w:cs="宋体"/>
          <w:sz w:val="24"/>
        </w:rPr>
      </w:pPr>
      <w:r>
        <w:rPr>
          <w:rFonts w:hint="eastAsia" w:ascii="宋体" w:hAnsi="宋体" w:cs="宋体"/>
          <w:sz w:val="24"/>
        </w:rPr>
        <w:t>1、提出质疑和投诉的供应商必须是参加本项目采购活动的供应商，不得捏造事实或者提供虚假材料进行恶意质疑和投诉，未参加磋商活动的供应商或在磋商活动中自身权益未受到损害的供应商所提出的质疑投诉不予受理。</w:t>
      </w:r>
    </w:p>
    <w:p w14:paraId="27D33312">
      <w:pPr>
        <w:pStyle w:val="322"/>
        <w:spacing w:line="360" w:lineRule="auto"/>
        <w:ind w:firstLine="549"/>
        <w:rPr>
          <w:rFonts w:ascii="宋体" w:hAnsi="宋体" w:cs="宋体"/>
          <w:sz w:val="24"/>
        </w:rPr>
      </w:pPr>
      <w:r>
        <w:rPr>
          <w:rFonts w:hint="eastAsia" w:ascii="宋体" w:hAnsi="宋体" w:cs="宋体"/>
          <w:sz w:val="24"/>
        </w:rPr>
        <w:t>2、参加磋商的供应商认为磋商文件、采购过程和中标结果使自己的权益受到损害的，可以在知道或应知其权益受到损害之日起七个工作日内，以书面形式向采购人或采购代理机构一次性提出针对同一采购程序环节的质疑。上述应知其权益受到损害之日，是指：对可以质疑的磋商文件提出质疑的，为收到磋商文件之日或者磋商文件公告期限届满之日；对采购过程提出质疑的，为各采购程序环节结束之日；对成交结果提出质疑的，为成交结果公告期限届满之日。</w:t>
      </w:r>
    </w:p>
    <w:p w14:paraId="14A5AF6F">
      <w:pPr>
        <w:pStyle w:val="322"/>
        <w:spacing w:line="360" w:lineRule="auto"/>
        <w:ind w:firstLine="549"/>
        <w:rPr>
          <w:rFonts w:ascii="宋体" w:hAnsi="宋体" w:cs="宋体"/>
          <w:sz w:val="24"/>
        </w:rPr>
      </w:pPr>
      <w:r>
        <w:rPr>
          <w:rFonts w:hint="eastAsia" w:ascii="宋体" w:hAnsi="宋体" w:cs="宋体"/>
          <w:sz w:val="24"/>
        </w:rPr>
        <w:t>3、供应商质疑和投诉实行实名制，其质疑和投诉应当有具体的质疑和投诉事项及事实根据，并配合采购人、采购代理机构和政府采购监督管理部门处理质疑和投诉。</w:t>
      </w:r>
    </w:p>
    <w:p w14:paraId="44AE70B6">
      <w:pPr>
        <w:pStyle w:val="322"/>
        <w:spacing w:line="360" w:lineRule="auto"/>
        <w:ind w:firstLine="549"/>
        <w:rPr>
          <w:rFonts w:ascii="宋体" w:hAnsi="宋体" w:cs="宋体"/>
          <w:sz w:val="24"/>
        </w:rPr>
      </w:pPr>
      <w:r>
        <w:rPr>
          <w:rFonts w:hint="eastAsia" w:ascii="宋体" w:hAnsi="宋体" w:cs="宋体"/>
          <w:sz w:val="24"/>
        </w:rPr>
        <w:t>4、供应商提出质疑，必须以参加磋商供应商法定代表人或授权委托人（被授权人）（响应文件中所确定的）原件送达的方式，向采购人或者采购代理机构提交质疑函，质疑函应当包括下列内容：</w:t>
      </w:r>
    </w:p>
    <w:p w14:paraId="61C329D8">
      <w:pPr>
        <w:pStyle w:val="322"/>
        <w:spacing w:line="360" w:lineRule="auto"/>
        <w:ind w:firstLine="549"/>
        <w:rPr>
          <w:rFonts w:ascii="宋体" w:hAnsi="宋体" w:cs="宋体"/>
          <w:sz w:val="24"/>
        </w:rPr>
      </w:pPr>
      <w:r>
        <w:rPr>
          <w:rFonts w:hint="eastAsia" w:ascii="宋体" w:hAnsi="宋体" w:cs="宋体"/>
          <w:sz w:val="24"/>
        </w:rPr>
        <w:t>（一）质疑供应商的姓名或名称、地址、邮编、联系人及联系电话；</w:t>
      </w:r>
    </w:p>
    <w:p w14:paraId="62EA28F2">
      <w:pPr>
        <w:pStyle w:val="322"/>
        <w:spacing w:line="360" w:lineRule="auto"/>
        <w:ind w:firstLine="549"/>
        <w:rPr>
          <w:rFonts w:ascii="宋体" w:hAnsi="宋体" w:cs="宋体"/>
          <w:sz w:val="24"/>
        </w:rPr>
      </w:pPr>
      <w:r>
        <w:rPr>
          <w:rFonts w:hint="eastAsia" w:ascii="宋体" w:hAnsi="宋体" w:cs="宋体"/>
          <w:sz w:val="24"/>
        </w:rPr>
        <w:t>（二）质疑项目的名称、编号；</w:t>
      </w:r>
    </w:p>
    <w:p w14:paraId="135BE8E3">
      <w:pPr>
        <w:pStyle w:val="322"/>
        <w:spacing w:line="360" w:lineRule="auto"/>
        <w:ind w:firstLine="549"/>
        <w:rPr>
          <w:rFonts w:ascii="宋体" w:hAnsi="宋体" w:cs="宋体"/>
          <w:sz w:val="24"/>
        </w:rPr>
      </w:pPr>
      <w:r>
        <w:rPr>
          <w:rFonts w:hint="eastAsia" w:ascii="宋体" w:hAnsi="宋体" w:cs="宋体"/>
          <w:sz w:val="24"/>
        </w:rPr>
        <w:t>（三）具体、明确的质疑事项和与质疑事项相关的请求；</w:t>
      </w:r>
    </w:p>
    <w:p w14:paraId="31D50FF8">
      <w:pPr>
        <w:pStyle w:val="322"/>
        <w:spacing w:line="360" w:lineRule="auto"/>
        <w:ind w:firstLine="549"/>
        <w:rPr>
          <w:rFonts w:ascii="宋体" w:hAnsi="宋体" w:cs="宋体"/>
          <w:sz w:val="24"/>
        </w:rPr>
      </w:pPr>
      <w:r>
        <w:rPr>
          <w:rFonts w:hint="eastAsia" w:ascii="宋体" w:hAnsi="宋体" w:cs="宋体"/>
          <w:sz w:val="24"/>
        </w:rPr>
        <w:t>（四）事实依据；</w:t>
      </w:r>
    </w:p>
    <w:p w14:paraId="7C5DD19E">
      <w:pPr>
        <w:pStyle w:val="322"/>
        <w:spacing w:line="360" w:lineRule="auto"/>
        <w:ind w:firstLine="549"/>
        <w:rPr>
          <w:rFonts w:ascii="宋体" w:hAnsi="宋体" w:cs="宋体"/>
          <w:sz w:val="24"/>
        </w:rPr>
      </w:pPr>
      <w:r>
        <w:rPr>
          <w:rFonts w:hint="eastAsia" w:ascii="宋体" w:hAnsi="宋体" w:cs="宋体"/>
          <w:sz w:val="24"/>
        </w:rPr>
        <w:t>（五）必要的法律依据；</w:t>
      </w:r>
    </w:p>
    <w:p w14:paraId="6FA03799">
      <w:pPr>
        <w:pStyle w:val="322"/>
        <w:spacing w:line="360" w:lineRule="auto"/>
        <w:ind w:firstLine="549"/>
        <w:rPr>
          <w:rFonts w:ascii="宋体" w:hAnsi="宋体" w:cs="宋体"/>
          <w:sz w:val="24"/>
        </w:rPr>
      </w:pPr>
      <w:r>
        <w:rPr>
          <w:rFonts w:hint="eastAsia" w:ascii="宋体" w:hAnsi="宋体" w:cs="宋体"/>
          <w:sz w:val="24"/>
        </w:rPr>
        <w:t>（六）提出质疑的日期；</w:t>
      </w:r>
    </w:p>
    <w:p w14:paraId="1949B013">
      <w:pPr>
        <w:pStyle w:val="322"/>
        <w:spacing w:line="360" w:lineRule="auto"/>
        <w:ind w:firstLine="549"/>
        <w:rPr>
          <w:rFonts w:ascii="宋体" w:hAnsi="宋体" w:cs="宋体"/>
          <w:sz w:val="24"/>
        </w:rPr>
      </w:pPr>
      <w:r>
        <w:rPr>
          <w:rFonts w:hint="eastAsia" w:ascii="宋体" w:hAnsi="宋体" w:cs="宋体"/>
          <w:sz w:val="24"/>
        </w:rPr>
        <w:t>（七）质疑函应当署名。质疑供应商为自然人的，应当由本人签字并附有效身份证明；质疑供应商为法人或其他组织的，应当由法定代表人、主要负责人或其授权代表签字并加盖单位公章。</w:t>
      </w:r>
    </w:p>
    <w:p w14:paraId="24E263A4">
      <w:pPr>
        <w:pStyle w:val="322"/>
        <w:spacing w:line="360" w:lineRule="auto"/>
        <w:ind w:firstLine="549"/>
        <w:rPr>
          <w:rFonts w:ascii="宋体" w:hAnsi="宋体" w:cs="宋体"/>
          <w:sz w:val="24"/>
        </w:rPr>
      </w:pPr>
      <w:r>
        <w:rPr>
          <w:rFonts w:hint="eastAsia" w:ascii="宋体" w:hAnsi="宋体" w:cs="宋体"/>
          <w:sz w:val="24"/>
        </w:rPr>
        <w:t>质疑供应商委托代理质疑的，应当向采购人或采购代理机构提交授权委托书及委托代理人的有效身份证明，同时授权委托书应载明委托代理的具体权限和事项。</w:t>
      </w:r>
    </w:p>
    <w:p w14:paraId="7D89DF0E">
      <w:pPr>
        <w:pStyle w:val="322"/>
        <w:spacing w:line="360" w:lineRule="auto"/>
        <w:ind w:firstLine="549"/>
        <w:rPr>
          <w:rFonts w:ascii="宋体" w:hAnsi="宋体" w:cs="宋体"/>
          <w:sz w:val="24"/>
        </w:rPr>
      </w:pPr>
      <w:r>
        <w:rPr>
          <w:rFonts w:hint="eastAsia" w:ascii="宋体" w:hAnsi="宋体" w:cs="宋体"/>
          <w:sz w:val="24"/>
        </w:rPr>
        <w:t>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p>
    <w:p w14:paraId="40119FEC">
      <w:pPr>
        <w:pStyle w:val="322"/>
        <w:spacing w:line="360" w:lineRule="auto"/>
        <w:ind w:firstLine="546"/>
        <w:rPr>
          <w:rFonts w:ascii="宋体" w:hAnsi="宋体" w:cs="宋体"/>
          <w:sz w:val="24"/>
        </w:rPr>
      </w:pPr>
      <w:r>
        <w:rPr>
          <w:rFonts w:hint="eastAsia" w:ascii="宋体" w:hAnsi="宋体" w:cs="宋体"/>
          <w:sz w:val="24"/>
        </w:rPr>
        <w:t>6、对内容、格式符合要求的供应商质疑，采购人或采购代理机构应当在收到供应商的书面质疑后七个工作日内作出答复，并以书面形式通知质疑供应商和其他有关供应商，但答复的内容不得涉及商业秘密。</w:t>
      </w:r>
    </w:p>
    <w:p w14:paraId="656752FB">
      <w:pPr>
        <w:pStyle w:val="322"/>
        <w:spacing w:line="360" w:lineRule="auto"/>
        <w:ind w:firstLine="549"/>
        <w:rPr>
          <w:rFonts w:ascii="宋体" w:hAnsi="宋体" w:cs="宋体"/>
          <w:sz w:val="24"/>
        </w:rPr>
      </w:pPr>
      <w:r>
        <w:rPr>
          <w:rFonts w:hint="eastAsia" w:ascii="宋体" w:hAnsi="宋体" w:cs="宋体"/>
          <w:sz w:val="24"/>
        </w:rPr>
        <w:t>7、采购人或采购代理机构答复供应商质疑应当采用书面方式并依法送达。质疑供应商或其委托代理人拒绝签收的视为已经送达。</w:t>
      </w:r>
    </w:p>
    <w:p w14:paraId="71AAFD1B">
      <w:pPr>
        <w:pStyle w:val="322"/>
        <w:spacing w:line="360" w:lineRule="auto"/>
        <w:ind w:firstLine="549"/>
        <w:rPr>
          <w:rFonts w:ascii="宋体" w:hAnsi="宋体" w:cs="宋体"/>
          <w:sz w:val="24"/>
        </w:rPr>
      </w:pPr>
      <w:r>
        <w:rPr>
          <w:rFonts w:hint="eastAsia" w:ascii="宋体" w:hAnsi="宋体" w:cs="宋体"/>
          <w:sz w:val="24"/>
        </w:rPr>
        <w:t>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p>
    <w:p w14:paraId="04F005DF">
      <w:pPr>
        <w:pStyle w:val="322"/>
        <w:spacing w:line="360" w:lineRule="auto"/>
        <w:ind w:firstLine="549"/>
        <w:rPr>
          <w:rFonts w:ascii="宋体" w:hAnsi="宋体" w:cs="宋体"/>
          <w:sz w:val="24"/>
        </w:rPr>
      </w:pPr>
      <w:r>
        <w:rPr>
          <w:rFonts w:hint="eastAsia" w:ascii="宋体" w:hAnsi="宋体" w:cs="宋体"/>
          <w:sz w:val="24"/>
        </w:rPr>
        <w:t>9、质疑供应商对质疑答复不满意的，或者采购人、采购代理机构未在规定时间内作出答复的，可在答复期满后15个工作日内向政府采购监督管理部门投诉。逾期将不再受理。</w:t>
      </w:r>
    </w:p>
    <w:p w14:paraId="52BEF10A">
      <w:pPr>
        <w:pStyle w:val="2"/>
        <w:rPr>
          <w:rFonts w:cs="宋体"/>
        </w:rPr>
      </w:pPr>
      <w:r>
        <w:rPr>
          <w:rFonts w:hint="eastAsia" w:cs="宋体"/>
        </w:rPr>
        <w:br w:type="page" w:clear="all"/>
      </w:r>
      <w:bookmarkStart w:id="61" w:name="_Toc29765"/>
      <w:bookmarkStart w:id="62" w:name="_Toc31758"/>
      <w:r>
        <w:rPr>
          <w:rFonts w:hint="eastAsia" w:cs="宋体"/>
        </w:rPr>
        <w:t>第九章 工程量清单</w:t>
      </w:r>
      <w:bookmarkEnd w:id="61"/>
      <w:bookmarkEnd w:id="62"/>
    </w:p>
    <w:p w14:paraId="3776A63B">
      <w:pPr>
        <w:spacing w:line="360" w:lineRule="exact"/>
        <w:rPr>
          <w:rFonts w:ascii="宋体" w:hAnsi="宋体" w:cs="宋体"/>
          <w:color w:val="000000"/>
          <w:sz w:val="24"/>
        </w:rPr>
      </w:pPr>
      <w:bookmarkStart w:id="63" w:name="_Toc162409184"/>
      <w:bookmarkStart w:id="64" w:name="_Toc362252985"/>
      <w:bookmarkStart w:id="65" w:name="_Toc241459760"/>
      <w:bookmarkStart w:id="66" w:name="_Toc342296519"/>
      <w:r>
        <w:rPr>
          <w:rFonts w:hint="eastAsia" w:ascii="宋体" w:hAnsi="宋体" w:cs="宋体"/>
          <w:color w:val="000000"/>
          <w:sz w:val="24"/>
        </w:rPr>
        <w:t>1</w:t>
      </w:r>
      <w:bookmarkEnd w:id="63"/>
      <w:r>
        <w:rPr>
          <w:rFonts w:hint="eastAsia" w:ascii="宋体" w:hAnsi="宋体" w:cs="宋体"/>
          <w:color w:val="000000"/>
          <w:sz w:val="24"/>
        </w:rPr>
        <w:t>.工程量清单说明</w:t>
      </w:r>
      <w:bookmarkEnd w:id="64"/>
      <w:bookmarkEnd w:id="65"/>
      <w:bookmarkEnd w:id="66"/>
    </w:p>
    <w:p w14:paraId="08E4B267">
      <w:pPr>
        <w:spacing w:line="360" w:lineRule="exact"/>
        <w:ind w:firstLine="480"/>
        <w:rPr>
          <w:rFonts w:ascii="宋体" w:hAnsi="宋体" w:cs="宋体"/>
          <w:color w:val="000000"/>
          <w:sz w:val="24"/>
        </w:rPr>
      </w:pPr>
      <w:r>
        <w:rPr>
          <w:rFonts w:hint="eastAsia" w:ascii="宋体" w:hAnsi="宋体" w:cs="宋体"/>
          <w:color w:val="000000"/>
          <w:sz w:val="24"/>
        </w:rPr>
        <w:t>1.1本工程量清单是依据现行中华人民共和国国家标准《建设工程工程量清单计价规范》（GB50500—2013）（以下简称“2013版计价规范”）及《房屋建筑与装饰工程工程量计算规范》（GB50854-2013）等9本工程量计算规范（以下简称“2013版计算规范”）以及采购文件中包括的图纸等编制。计量采用中华人民共和国法定的基本计量单位。</w:t>
      </w:r>
    </w:p>
    <w:p w14:paraId="37B5BA37">
      <w:pPr>
        <w:spacing w:line="360" w:lineRule="exact"/>
        <w:ind w:firstLine="480"/>
        <w:rPr>
          <w:rFonts w:ascii="宋体" w:hAnsi="宋体" w:cs="宋体"/>
          <w:color w:val="000000"/>
          <w:sz w:val="24"/>
        </w:rPr>
      </w:pPr>
      <w:r>
        <w:rPr>
          <w:rFonts w:hint="eastAsia" w:ascii="宋体" w:hAnsi="宋体" w:cs="宋体"/>
          <w:color w:val="000000"/>
          <w:sz w:val="24"/>
        </w:rPr>
        <w:t>1.2本工程量清单仅是投标报价的共同基础，竣工结算的工程量按合同约定确定。合同价格的确定以及价款支付应遵循合同条款（包括通用合同条款和专用合同条款）、技术标准和要求以及本章的有关约定。</w:t>
      </w:r>
    </w:p>
    <w:p w14:paraId="74994E30">
      <w:pPr>
        <w:spacing w:line="360" w:lineRule="exact"/>
        <w:ind w:firstLine="480"/>
        <w:rPr>
          <w:rFonts w:ascii="宋体" w:hAnsi="宋体" w:cs="宋体"/>
          <w:i/>
          <w:iCs/>
          <w:color w:val="000000"/>
          <w:sz w:val="24"/>
        </w:rPr>
      </w:pPr>
      <w:r>
        <w:rPr>
          <w:rFonts w:hint="eastAsia" w:ascii="宋体" w:hAnsi="宋体" w:cs="宋体"/>
          <w:color w:val="000000"/>
          <w:sz w:val="24"/>
        </w:rPr>
        <w:t>1.3对2013版计算规范中未列的措施项目，采购人可根据建设工程实际情况进行补充。对采购人所列的措施项目，供应商可根据工程实际与施工组织设计进行增补，但不应更改采购人已列措施项目。结算时，除工程变更引起施工方案改变外，供应商不得以招标工程措施项目清单缺项为由要求新增措施项目。</w:t>
      </w:r>
      <w:bookmarkStart w:id="67" w:name="_Toc241459761"/>
      <w:bookmarkStart w:id="68" w:name="_Toc362252986"/>
      <w:bookmarkStart w:id="69" w:name="_Toc342296520"/>
    </w:p>
    <w:p w14:paraId="6B99491C">
      <w:pPr>
        <w:spacing w:line="360" w:lineRule="exact"/>
        <w:rPr>
          <w:rFonts w:ascii="宋体" w:hAnsi="宋体" w:cs="宋体"/>
          <w:color w:val="000000"/>
          <w:sz w:val="24"/>
        </w:rPr>
      </w:pPr>
      <w:r>
        <w:rPr>
          <w:rFonts w:hint="eastAsia" w:ascii="宋体" w:hAnsi="宋体" w:cs="宋体"/>
          <w:color w:val="000000"/>
          <w:sz w:val="24"/>
        </w:rPr>
        <w:t>2.投标报价说明</w:t>
      </w:r>
      <w:bookmarkEnd w:id="67"/>
      <w:bookmarkEnd w:id="68"/>
      <w:bookmarkEnd w:id="69"/>
    </w:p>
    <w:p w14:paraId="127A9BB4">
      <w:pPr>
        <w:spacing w:line="360" w:lineRule="exact"/>
        <w:ind w:firstLine="360"/>
        <w:rPr>
          <w:rFonts w:ascii="宋体" w:hAnsi="宋体" w:cs="宋体"/>
          <w:color w:val="000000"/>
          <w:sz w:val="24"/>
        </w:rPr>
      </w:pPr>
      <w:r>
        <w:rPr>
          <w:rFonts w:hint="eastAsia" w:ascii="宋体" w:hAnsi="宋体" w:cs="宋体"/>
          <w:color w:val="000000"/>
          <w:sz w:val="24"/>
        </w:rPr>
        <w:t>2.1投标报价应根据采购文件中的有关计价要求，并按照下列依据自主报价:</w:t>
      </w:r>
    </w:p>
    <w:p w14:paraId="7C0D77BF">
      <w:pPr>
        <w:spacing w:line="360" w:lineRule="exact"/>
        <w:ind w:firstLine="360"/>
        <w:rPr>
          <w:rFonts w:ascii="宋体" w:hAnsi="宋体" w:cs="宋体"/>
          <w:color w:val="000000"/>
          <w:sz w:val="24"/>
        </w:rPr>
      </w:pPr>
      <w:r>
        <w:rPr>
          <w:rFonts w:hint="eastAsia" w:ascii="宋体" w:hAnsi="宋体" w:cs="宋体"/>
          <w:color w:val="000000"/>
          <w:sz w:val="24"/>
        </w:rPr>
        <w:t>（1）本磋商文件；</w:t>
      </w:r>
    </w:p>
    <w:p w14:paraId="59DBE5F5">
      <w:pPr>
        <w:spacing w:line="360" w:lineRule="exact"/>
        <w:ind w:firstLine="360"/>
        <w:rPr>
          <w:rFonts w:ascii="宋体" w:hAnsi="宋体" w:cs="宋体"/>
          <w:color w:val="000000"/>
          <w:sz w:val="24"/>
        </w:rPr>
      </w:pPr>
      <w:r>
        <w:rPr>
          <w:rFonts w:hint="eastAsia" w:ascii="宋体" w:hAnsi="宋体" w:cs="宋体"/>
          <w:color w:val="000000"/>
          <w:sz w:val="24"/>
        </w:rPr>
        <w:t>（2）《建设工程工程量清单计价规范》（GB50500—2013）及《房屋建筑与装饰工程工程量计算规范》（GB50854-2013）等9本工程量计算规范；</w:t>
      </w:r>
    </w:p>
    <w:p w14:paraId="1548DF9C">
      <w:pPr>
        <w:spacing w:line="360" w:lineRule="exact"/>
        <w:ind w:firstLine="360"/>
        <w:rPr>
          <w:rFonts w:ascii="宋体" w:hAnsi="宋体" w:cs="宋体"/>
          <w:color w:val="000000"/>
          <w:sz w:val="24"/>
        </w:rPr>
      </w:pPr>
      <w:r>
        <w:rPr>
          <w:rFonts w:hint="eastAsia" w:ascii="宋体" w:hAnsi="宋体" w:cs="宋体"/>
          <w:color w:val="000000"/>
          <w:sz w:val="24"/>
        </w:rPr>
        <w:t>（3）国家或省级、行业建设主管部门颁发的计价办法；</w:t>
      </w:r>
    </w:p>
    <w:p w14:paraId="075ABF69">
      <w:pPr>
        <w:spacing w:line="360" w:lineRule="exact"/>
        <w:ind w:firstLine="360"/>
        <w:rPr>
          <w:rFonts w:ascii="宋体" w:hAnsi="宋体" w:cs="宋体"/>
          <w:color w:val="000000"/>
          <w:sz w:val="24"/>
        </w:rPr>
      </w:pPr>
      <w:r>
        <w:rPr>
          <w:rFonts w:hint="eastAsia" w:ascii="宋体" w:hAnsi="宋体" w:cs="宋体"/>
          <w:color w:val="000000"/>
          <w:sz w:val="24"/>
        </w:rPr>
        <w:t>（4）企业定额，国家或省级、行业建设主管部门颁发的计价定额；</w:t>
      </w:r>
    </w:p>
    <w:p w14:paraId="63A1B1B5">
      <w:pPr>
        <w:spacing w:line="360" w:lineRule="exact"/>
        <w:ind w:firstLine="360"/>
        <w:rPr>
          <w:rFonts w:ascii="宋体" w:hAnsi="宋体" w:cs="宋体"/>
          <w:color w:val="000000"/>
          <w:sz w:val="24"/>
        </w:rPr>
      </w:pPr>
      <w:r>
        <w:rPr>
          <w:rFonts w:hint="eastAsia" w:ascii="宋体" w:hAnsi="宋体" w:cs="宋体"/>
          <w:color w:val="000000"/>
          <w:sz w:val="24"/>
        </w:rPr>
        <w:t>（5）磋商文件（包括工程量清单）的澄清、补充和修改文件；</w:t>
      </w:r>
    </w:p>
    <w:p w14:paraId="38122FF9">
      <w:pPr>
        <w:spacing w:line="360" w:lineRule="exact"/>
        <w:ind w:firstLine="360"/>
        <w:rPr>
          <w:rFonts w:ascii="宋体" w:hAnsi="宋体" w:cs="宋体"/>
          <w:color w:val="000000"/>
          <w:sz w:val="24"/>
        </w:rPr>
      </w:pPr>
      <w:r>
        <w:rPr>
          <w:rFonts w:hint="eastAsia" w:ascii="宋体" w:hAnsi="宋体" w:cs="宋体"/>
          <w:color w:val="000000"/>
          <w:sz w:val="24"/>
        </w:rPr>
        <w:t>（6）建设工程设计文件及相关资料；</w:t>
      </w:r>
    </w:p>
    <w:p w14:paraId="2A9B9919">
      <w:pPr>
        <w:spacing w:line="360" w:lineRule="exact"/>
        <w:ind w:firstLine="360"/>
        <w:rPr>
          <w:rFonts w:ascii="宋体" w:hAnsi="宋体" w:cs="宋体"/>
          <w:color w:val="000000"/>
          <w:sz w:val="24"/>
        </w:rPr>
      </w:pPr>
      <w:r>
        <w:rPr>
          <w:rFonts w:hint="eastAsia" w:ascii="宋体" w:hAnsi="宋体" w:cs="宋体"/>
          <w:color w:val="000000"/>
          <w:sz w:val="24"/>
        </w:rPr>
        <w:t>（7）施工现场情况、工程特点及拟定的投标施工组织设计或施工方案；</w:t>
      </w:r>
    </w:p>
    <w:p w14:paraId="2E763CC0">
      <w:pPr>
        <w:spacing w:line="360" w:lineRule="exact"/>
        <w:ind w:firstLine="360"/>
        <w:rPr>
          <w:rFonts w:ascii="宋体" w:hAnsi="宋体" w:cs="宋体"/>
          <w:color w:val="000000"/>
          <w:sz w:val="24"/>
        </w:rPr>
      </w:pPr>
      <w:r>
        <w:rPr>
          <w:rFonts w:hint="eastAsia" w:ascii="宋体" w:hAnsi="宋体" w:cs="宋体"/>
          <w:color w:val="000000"/>
          <w:sz w:val="24"/>
        </w:rPr>
        <w:t>（8）与建设项目相关的标准、规定等技术资料；</w:t>
      </w:r>
    </w:p>
    <w:p w14:paraId="189B26B7">
      <w:pPr>
        <w:spacing w:line="360" w:lineRule="exact"/>
        <w:ind w:firstLine="360"/>
        <w:rPr>
          <w:rFonts w:ascii="宋体" w:hAnsi="宋体" w:cs="宋体"/>
          <w:color w:val="000000"/>
          <w:sz w:val="24"/>
        </w:rPr>
      </w:pPr>
      <w:r>
        <w:rPr>
          <w:rFonts w:hint="eastAsia" w:ascii="宋体" w:hAnsi="宋体" w:cs="宋体"/>
          <w:color w:val="000000"/>
          <w:sz w:val="24"/>
        </w:rPr>
        <w:t>（9）市场价格信息或工程造价管理机构发布的工程造价信息；</w:t>
      </w:r>
    </w:p>
    <w:p w14:paraId="5E1506E9">
      <w:pPr>
        <w:spacing w:line="360" w:lineRule="exact"/>
        <w:ind w:firstLine="360"/>
        <w:rPr>
          <w:rFonts w:ascii="宋体" w:hAnsi="宋体" w:cs="宋体"/>
          <w:color w:val="000000"/>
          <w:sz w:val="24"/>
        </w:rPr>
      </w:pPr>
      <w:r>
        <w:rPr>
          <w:rFonts w:hint="eastAsia" w:ascii="宋体" w:hAnsi="宋体" w:cs="宋体"/>
          <w:color w:val="000000"/>
          <w:sz w:val="24"/>
        </w:rPr>
        <w:t>（10）其他的相关资料。</w:t>
      </w:r>
    </w:p>
    <w:p w14:paraId="3F696934">
      <w:pPr>
        <w:spacing w:line="360" w:lineRule="exact"/>
        <w:ind w:firstLine="480"/>
        <w:rPr>
          <w:rFonts w:ascii="宋体" w:hAnsi="宋体" w:cs="宋体"/>
          <w:color w:val="000000"/>
          <w:sz w:val="24"/>
        </w:rPr>
      </w:pPr>
      <w:r>
        <w:rPr>
          <w:rFonts w:hint="eastAsia" w:ascii="宋体" w:hAnsi="宋体" w:cs="宋体"/>
          <w:color w:val="000000"/>
          <w:sz w:val="24"/>
        </w:rPr>
        <w:t>2.2 供应商应按招标工程量清单填报价格。项目编码、项目名称、项目特征、计量单位、工程量必须与招标工程量清单一致。</w:t>
      </w:r>
    </w:p>
    <w:p w14:paraId="7D2CE5FC">
      <w:pPr>
        <w:spacing w:line="360" w:lineRule="exact"/>
        <w:ind w:firstLine="480"/>
        <w:rPr>
          <w:rFonts w:ascii="宋体" w:hAnsi="宋体" w:cs="宋体"/>
          <w:color w:val="000000"/>
          <w:sz w:val="24"/>
        </w:rPr>
      </w:pPr>
      <w:r>
        <w:rPr>
          <w:rFonts w:hint="eastAsia" w:ascii="宋体" w:hAnsi="宋体" w:cs="宋体"/>
          <w:color w:val="000000"/>
          <w:sz w:val="24"/>
        </w:rPr>
        <w:t>2.3 综合单价中应包含采购文件中划分的应由供应商承担的风险范围及其费用。</w:t>
      </w:r>
    </w:p>
    <w:p w14:paraId="6B0523C9">
      <w:pPr>
        <w:spacing w:line="360" w:lineRule="exact"/>
        <w:ind w:firstLine="480"/>
        <w:rPr>
          <w:rFonts w:ascii="宋体" w:hAnsi="宋体" w:cs="宋体"/>
          <w:color w:val="000000"/>
          <w:sz w:val="24"/>
        </w:rPr>
      </w:pPr>
      <w:r>
        <w:rPr>
          <w:rFonts w:hint="eastAsia" w:ascii="宋体" w:hAnsi="宋体" w:cs="宋体"/>
          <w:color w:val="000000"/>
          <w:sz w:val="24"/>
        </w:rPr>
        <w:t>2.4 分部分项工程项目和单价措施项目，应根据采购文件和招标工程量清单项目中的特征描述确定综合单价计算。如出现招标工程量清单特征描述与设计图纸不符时，供应商应以招标工程量清单的项目特征描述为准，确定投标报价的综合单价。</w:t>
      </w:r>
    </w:p>
    <w:p w14:paraId="6D81DCCA">
      <w:pPr>
        <w:spacing w:line="360" w:lineRule="exact"/>
        <w:ind w:firstLine="480"/>
        <w:rPr>
          <w:rFonts w:ascii="宋体" w:hAnsi="宋体" w:cs="宋体"/>
          <w:color w:val="000000"/>
          <w:sz w:val="24"/>
        </w:rPr>
      </w:pPr>
      <w:r>
        <w:rPr>
          <w:rFonts w:hint="eastAsia" w:ascii="宋体" w:hAnsi="宋体" w:cs="宋体"/>
          <w:color w:val="000000"/>
          <w:sz w:val="24"/>
        </w:rPr>
        <w:t>2.5 总价措施项目的金额应根据采购文件及投标时拟定的施工组织设计或施工方案，按计价规范的规定自主确定。但安全文明施工费应按照招标工程量清单所列的费率和计算基础确定。</w:t>
      </w:r>
    </w:p>
    <w:p w14:paraId="7C959494">
      <w:pPr>
        <w:spacing w:line="360" w:lineRule="exact"/>
        <w:ind w:firstLine="480"/>
        <w:rPr>
          <w:rFonts w:ascii="宋体" w:hAnsi="宋体" w:cs="宋体"/>
          <w:color w:val="000000"/>
          <w:sz w:val="24"/>
        </w:rPr>
      </w:pPr>
      <w:r>
        <w:rPr>
          <w:rFonts w:hint="eastAsia" w:ascii="宋体" w:hAnsi="宋体" w:cs="宋体"/>
          <w:color w:val="000000"/>
          <w:sz w:val="24"/>
        </w:rPr>
        <w:t>2.6 其他项目费应按下列规定报价：</w:t>
      </w:r>
    </w:p>
    <w:p w14:paraId="33E2DC98">
      <w:pPr>
        <w:spacing w:line="360" w:lineRule="exact"/>
        <w:ind w:firstLine="480"/>
        <w:rPr>
          <w:rFonts w:ascii="宋体" w:hAnsi="宋体" w:cs="宋体"/>
          <w:color w:val="000000"/>
          <w:sz w:val="24"/>
        </w:rPr>
      </w:pPr>
      <w:r>
        <w:rPr>
          <w:rFonts w:hint="eastAsia" w:ascii="宋体" w:hAnsi="宋体" w:cs="宋体"/>
          <w:color w:val="000000"/>
          <w:sz w:val="24"/>
        </w:rPr>
        <w:t>（1）暂列金额应按招标工程量清单中列出的金额填写；</w:t>
      </w:r>
    </w:p>
    <w:p w14:paraId="2C7623DB">
      <w:pPr>
        <w:pStyle w:val="313"/>
        <w:spacing w:line="360" w:lineRule="exact"/>
        <w:ind w:firstLine="480"/>
        <w:rPr>
          <w:rFonts w:ascii="宋体" w:hAnsi="宋体" w:cs="宋体"/>
          <w:color w:val="000000"/>
          <w:sz w:val="24"/>
        </w:rPr>
      </w:pPr>
      <w:r>
        <w:rPr>
          <w:rFonts w:hint="eastAsia" w:ascii="宋体" w:hAnsi="宋体" w:cs="宋体"/>
          <w:color w:val="000000"/>
          <w:sz w:val="24"/>
        </w:rPr>
        <w:t>（2）材料、工程设备暂估价应按招标工程量清单中列出的单价计入综合单价；</w:t>
      </w:r>
    </w:p>
    <w:p w14:paraId="4F135426">
      <w:pPr>
        <w:spacing w:line="360" w:lineRule="exact"/>
        <w:ind w:firstLine="480"/>
        <w:rPr>
          <w:rFonts w:ascii="宋体" w:hAnsi="宋体" w:cs="宋体"/>
          <w:color w:val="000000"/>
          <w:sz w:val="24"/>
        </w:rPr>
      </w:pPr>
      <w:r>
        <w:rPr>
          <w:rFonts w:hint="eastAsia" w:ascii="宋体" w:hAnsi="宋体" w:cs="宋体"/>
          <w:color w:val="000000"/>
          <w:sz w:val="24"/>
        </w:rPr>
        <w:t>（3）专业工程暂估价应按招标工程量清单中列出的金额填写；</w:t>
      </w:r>
    </w:p>
    <w:p w14:paraId="4566B798">
      <w:pPr>
        <w:spacing w:line="360" w:lineRule="exact"/>
        <w:ind w:firstLine="480"/>
        <w:rPr>
          <w:rFonts w:ascii="宋体" w:hAnsi="宋体" w:cs="宋体"/>
          <w:color w:val="000000"/>
          <w:sz w:val="24"/>
        </w:rPr>
      </w:pPr>
      <w:r>
        <w:rPr>
          <w:rFonts w:hint="eastAsia" w:ascii="宋体" w:hAnsi="宋体" w:cs="宋体"/>
          <w:color w:val="000000"/>
          <w:sz w:val="24"/>
        </w:rPr>
        <w:t>（4）计日工应按招标工程量清单中列出的项目和数量，自主确定综合单价并计算计日工总额；</w:t>
      </w:r>
    </w:p>
    <w:p w14:paraId="77F43663">
      <w:pPr>
        <w:spacing w:line="360" w:lineRule="exact"/>
        <w:ind w:firstLine="480"/>
        <w:rPr>
          <w:rFonts w:ascii="宋体" w:hAnsi="宋体" w:cs="宋体"/>
          <w:color w:val="000000"/>
          <w:sz w:val="24"/>
        </w:rPr>
      </w:pPr>
      <w:r>
        <w:rPr>
          <w:rFonts w:hint="eastAsia" w:ascii="宋体" w:hAnsi="宋体" w:cs="宋体"/>
          <w:color w:val="000000"/>
          <w:sz w:val="24"/>
        </w:rPr>
        <w:t>（5）总承包服务费应根据招标工程量清单中列出的内容和供应材料、设备情况，按照采购人提出的协调、配合与服务要求和施工现场管理需要自主确定。</w:t>
      </w:r>
    </w:p>
    <w:p w14:paraId="73695640">
      <w:pPr>
        <w:spacing w:line="360" w:lineRule="exact"/>
        <w:ind w:firstLine="480"/>
        <w:rPr>
          <w:rFonts w:ascii="宋体" w:hAnsi="宋体" w:cs="宋体"/>
          <w:color w:val="000000"/>
          <w:sz w:val="24"/>
        </w:rPr>
      </w:pPr>
      <w:r>
        <w:rPr>
          <w:rFonts w:hint="eastAsia" w:ascii="宋体" w:hAnsi="宋体" w:cs="宋体"/>
          <w:color w:val="000000"/>
          <w:sz w:val="24"/>
        </w:rPr>
        <w:t>2.7 规费和税金应按招标工程量清单所列的费率和计算基础确定。</w:t>
      </w:r>
    </w:p>
    <w:p w14:paraId="3C729C40">
      <w:pPr>
        <w:spacing w:line="360" w:lineRule="exact"/>
        <w:ind w:firstLine="480"/>
        <w:rPr>
          <w:rFonts w:ascii="宋体" w:hAnsi="宋体" w:cs="宋体"/>
          <w:color w:val="000000"/>
          <w:sz w:val="24"/>
        </w:rPr>
      </w:pPr>
      <w:r>
        <w:rPr>
          <w:rFonts w:hint="eastAsia" w:ascii="宋体" w:hAnsi="宋体" w:cs="宋体"/>
          <w:color w:val="000000"/>
          <w:sz w:val="24"/>
        </w:rPr>
        <w:t>2.8 招标工程量清单与计价表中列明的所有需要填写的单价和合价的项目，供应商均应填写且只允许有一个报价。未填写单价和合价的项目，视为此项费用已包含在已标价工程量清单中其他项目的单价和合价之中。竣工结算时，此项目不得重新组价予以调整。</w:t>
      </w:r>
    </w:p>
    <w:p w14:paraId="0CAEFCD4">
      <w:pPr>
        <w:spacing w:line="360" w:lineRule="exact"/>
        <w:ind w:firstLine="480"/>
        <w:rPr>
          <w:rFonts w:ascii="宋体" w:hAnsi="宋体" w:cs="宋体"/>
          <w:color w:val="000000"/>
          <w:sz w:val="24"/>
        </w:rPr>
      </w:pPr>
      <w:r>
        <w:rPr>
          <w:rFonts w:hint="eastAsia" w:ascii="宋体" w:hAnsi="宋体" w:cs="宋体"/>
          <w:color w:val="000000"/>
          <w:sz w:val="24"/>
        </w:rPr>
        <w:t>2.9 投标总价应当与分部分项工程费、措施项目费、其他项目费和规费、税金的合计金额一致。</w:t>
      </w:r>
    </w:p>
    <w:p w14:paraId="1D3F9484">
      <w:pPr>
        <w:spacing w:line="360" w:lineRule="exact"/>
        <w:ind w:firstLine="480"/>
        <w:rPr>
          <w:rFonts w:ascii="宋体" w:hAnsi="宋体" w:cs="宋体"/>
          <w:color w:val="000000"/>
          <w:sz w:val="24"/>
        </w:rPr>
      </w:pPr>
      <w:r>
        <w:rPr>
          <w:rFonts w:hint="eastAsia" w:ascii="宋体" w:hAnsi="宋体" w:cs="宋体"/>
          <w:color w:val="000000"/>
          <w:sz w:val="24"/>
        </w:rPr>
        <w:t>2.10 投标报价表格按本工程工程量清单表格要求填写，并应附上《工程量清单综合单价分析表》、《承包人提供主要材料和工程设备一览表》。</w:t>
      </w:r>
    </w:p>
    <w:p w14:paraId="47385CAC">
      <w:pPr>
        <w:spacing w:line="360" w:lineRule="exact"/>
        <w:rPr>
          <w:rFonts w:ascii="宋体" w:hAnsi="宋体" w:cs="宋体"/>
          <w:color w:val="000000"/>
          <w:sz w:val="24"/>
        </w:rPr>
      </w:pPr>
      <w:r>
        <w:rPr>
          <w:rFonts w:hint="eastAsia" w:ascii="宋体" w:hAnsi="宋体" w:cs="宋体"/>
          <w:color w:val="000000"/>
          <w:sz w:val="24"/>
        </w:rPr>
        <w:t>3.招标控制价</w:t>
      </w:r>
    </w:p>
    <w:p w14:paraId="375D33EA">
      <w:pPr>
        <w:spacing w:line="360" w:lineRule="exact"/>
        <w:ind w:firstLine="360"/>
        <w:rPr>
          <w:rFonts w:ascii="宋体" w:hAnsi="宋体" w:cs="宋体"/>
          <w:color w:val="000000"/>
          <w:sz w:val="24"/>
        </w:rPr>
      </w:pPr>
      <w:r>
        <w:rPr>
          <w:rFonts w:hint="eastAsia" w:ascii="宋体" w:hAnsi="宋体" w:cs="宋体"/>
          <w:color w:val="000000"/>
          <w:sz w:val="24"/>
        </w:rPr>
        <w:t>3.1一般规定</w:t>
      </w:r>
    </w:p>
    <w:p w14:paraId="167389BA">
      <w:pPr>
        <w:spacing w:line="360" w:lineRule="exact"/>
        <w:ind w:firstLine="480"/>
        <w:rPr>
          <w:rFonts w:ascii="宋体" w:hAnsi="宋体" w:cs="宋体"/>
          <w:color w:val="000000"/>
          <w:sz w:val="24"/>
        </w:rPr>
      </w:pPr>
      <w:r>
        <w:rPr>
          <w:rFonts w:hint="eastAsia" w:ascii="宋体" w:hAnsi="宋体" w:cs="宋体"/>
          <w:color w:val="000000"/>
          <w:sz w:val="24"/>
        </w:rPr>
        <w:t>3.1.1　招标控制价应根据下列依据编制与复核：</w:t>
      </w:r>
    </w:p>
    <w:p w14:paraId="3B318D15">
      <w:pPr>
        <w:spacing w:line="360" w:lineRule="exact"/>
        <w:ind w:firstLine="240"/>
        <w:rPr>
          <w:rFonts w:ascii="宋体" w:hAnsi="宋体" w:cs="宋体"/>
          <w:color w:val="000000"/>
          <w:sz w:val="24"/>
        </w:rPr>
      </w:pPr>
      <w:r>
        <w:rPr>
          <w:rFonts w:hint="eastAsia" w:ascii="宋体" w:hAnsi="宋体" w:cs="宋体"/>
          <w:color w:val="000000"/>
          <w:sz w:val="24"/>
        </w:rPr>
        <w:t>（1）《建设工程工程量清单计价规范》（GB50500—2013）及《房屋建筑与装饰工程工程量计算规范》（GB50854-2013）等9本工程量计算规范；</w:t>
      </w:r>
    </w:p>
    <w:p w14:paraId="5392154D">
      <w:pPr>
        <w:spacing w:line="360" w:lineRule="exact"/>
        <w:ind w:firstLine="240"/>
        <w:rPr>
          <w:rFonts w:ascii="宋体" w:hAnsi="宋体" w:cs="宋体"/>
          <w:color w:val="000000"/>
          <w:sz w:val="24"/>
        </w:rPr>
      </w:pPr>
      <w:r>
        <w:rPr>
          <w:rFonts w:hint="eastAsia" w:ascii="宋体" w:hAnsi="宋体" w:cs="宋体"/>
          <w:color w:val="000000"/>
          <w:sz w:val="24"/>
        </w:rPr>
        <w:t>（2）国家或省级、行业建设主管部门颁发的计价定额和计价办法；</w:t>
      </w:r>
    </w:p>
    <w:p w14:paraId="223E0768">
      <w:pPr>
        <w:spacing w:line="360" w:lineRule="exact"/>
        <w:ind w:firstLine="240"/>
        <w:rPr>
          <w:rFonts w:ascii="宋体" w:hAnsi="宋体" w:cs="宋体"/>
          <w:color w:val="000000"/>
          <w:sz w:val="24"/>
        </w:rPr>
      </w:pPr>
      <w:r>
        <w:rPr>
          <w:rFonts w:hint="eastAsia" w:ascii="宋体" w:hAnsi="宋体" w:cs="宋体"/>
          <w:color w:val="000000"/>
          <w:sz w:val="24"/>
        </w:rPr>
        <w:t>（3）建设工程设计文件及相关资料；</w:t>
      </w:r>
    </w:p>
    <w:p w14:paraId="0CBED999">
      <w:pPr>
        <w:spacing w:line="360" w:lineRule="exact"/>
        <w:ind w:firstLine="240"/>
        <w:rPr>
          <w:rFonts w:ascii="宋体" w:hAnsi="宋体" w:cs="宋体"/>
          <w:color w:val="000000"/>
          <w:sz w:val="24"/>
        </w:rPr>
      </w:pPr>
      <w:r>
        <w:rPr>
          <w:rFonts w:hint="eastAsia" w:ascii="宋体" w:hAnsi="宋体" w:cs="宋体"/>
          <w:color w:val="000000"/>
          <w:sz w:val="24"/>
        </w:rPr>
        <w:t>（4）拟定的采购文件及招标工程量清单；</w:t>
      </w:r>
    </w:p>
    <w:p w14:paraId="3BB645AD">
      <w:pPr>
        <w:spacing w:line="360" w:lineRule="exact"/>
        <w:ind w:firstLine="240"/>
        <w:rPr>
          <w:rFonts w:ascii="宋体" w:hAnsi="宋体" w:cs="宋体"/>
          <w:color w:val="000000"/>
          <w:sz w:val="24"/>
        </w:rPr>
      </w:pPr>
      <w:r>
        <w:rPr>
          <w:rFonts w:hint="eastAsia" w:ascii="宋体" w:hAnsi="宋体" w:cs="宋体"/>
          <w:color w:val="000000"/>
          <w:sz w:val="24"/>
        </w:rPr>
        <w:t>（5）与建设项目相关的标准、规范、技术资料；</w:t>
      </w:r>
    </w:p>
    <w:p w14:paraId="43811C85">
      <w:pPr>
        <w:spacing w:line="360" w:lineRule="exact"/>
        <w:ind w:firstLine="240"/>
        <w:rPr>
          <w:rFonts w:ascii="宋体" w:hAnsi="宋体" w:cs="宋体"/>
          <w:color w:val="000000"/>
          <w:sz w:val="24"/>
        </w:rPr>
      </w:pPr>
      <w:r>
        <w:rPr>
          <w:rFonts w:hint="eastAsia" w:ascii="宋体" w:hAnsi="宋体" w:cs="宋体"/>
          <w:color w:val="000000"/>
          <w:sz w:val="24"/>
        </w:rPr>
        <w:t>（6）施工现场情况、工程特点及常规施工方案；</w:t>
      </w:r>
    </w:p>
    <w:p w14:paraId="15F9E01C">
      <w:pPr>
        <w:spacing w:line="360" w:lineRule="exact"/>
        <w:ind w:firstLine="240"/>
        <w:rPr>
          <w:rFonts w:ascii="宋体" w:hAnsi="宋体" w:cs="宋体"/>
          <w:color w:val="000000"/>
          <w:sz w:val="24"/>
        </w:rPr>
      </w:pPr>
      <w:r>
        <w:rPr>
          <w:rFonts w:hint="eastAsia" w:ascii="宋体" w:hAnsi="宋体" w:cs="宋体"/>
          <w:color w:val="000000"/>
          <w:sz w:val="24"/>
        </w:rPr>
        <w:t>（7）工程造价管理机构发布的工程造价信息，当工程造价信息没有发布时，参照市场价；</w:t>
      </w:r>
    </w:p>
    <w:p w14:paraId="245E2920">
      <w:pPr>
        <w:spacing w:line="360" w:lineRule="exact"/>
        <w:ind w:firstLine="240"/>
        <w:rPr>
          <w:rFonts w:ascii="宋体" w:hAnsi="宋体" w:cs="宋体"/>
          <w:color w:val="000000"/>
          <w:sz w:val="24"/>
        </w:rPr>
      </w:pPr>
      <w:r>
        <w:rPr>
          <w:rFonts w:hint="eastAsia" w:ascii="宋体" w:hAnsi="宋体" w:cs="宋体"/>
          <w:color w:val="000000"/>
          <w:sz w:val="24"/>
        </w:rPr>
        <w:t>（8）其他相关资料</w:t>
      </w:r>
    </w:p>
    <w:p w14:paraId="233FF3A1">
      <w:pPr>
        <w:spacing w:line="360" w:lineRule="exact"/>
        <w:ind w:firstLine="480"/>
        <w:rPr>
          <w:rFonts w:ascii="宋体" w:hAnsi="宋体" w:cs="宋体"/>
          <w:color w:val="000000"/>
          <w:sz w:val="24"/>
        </w:rPr>
      </w:pPr>
      <w:r>
        <w:rPr>
          <w:rFonts w:hint="eastAsia" w:ascii="宋体" w:hAnsi="宋体" w:cs="宋体"/>
          <w:color w:val="000000"/>
          <w:sz w:val="24"/>
        </w:rPr>
        <w:t>3.1.2　当招标控制价超过批准的概算时，采购人应将其报原概算审批部门审核。</w:t>
      </w:r>
    </w:p>
    <w:p w14:paraId="77DDC206">
      <w:pPr>
        <w:spacing w:line="360" w:lineRule="exact"/>
        <w:ind w:firstLine="480"/>
        <w:rPr>
          <w:rFonts w:ascii="宋体" w:hAnsi="宋体" w:cs="宋体"/>
          <w:color w:val="000000"/>
          <w:sz w:val="24"/>
        </w:rPr>
      </w:pPr>
      <w:r>
        <w:rPr>
          <w:rFonts w:hint="eastAsia" w:ascii="宋体" w:hAnsi="宋体" w:cs="宋体"/>
          <w:color w:val="000000"/>
          <w:sz w:val="24"/>
        </w:rPr>
        <w:t>3.1.3 同一单位工程的项目编码不得有重复，不强制要求同一招标工程的项目编码不得重复。招标控制价的清单编码排序必须与工程量清单编码排序一致，同一标段内多个单位工程的清单编码按单位工程排序。</w:t>
      </w:r>
    </w:p>
    <w:p w14:paraId="132AEF7C">
      <w:pPr>
        <w:pStyle w:val="314"/>
        <w:spacing w:line="360" w:lineRule="exact"/>
        <w:rPr>
          <w:rFonts w:ascii="宋体" w:hAnsi="宋体" w:eastAsia="宋体"/>
          <w:color w:val="000000"/>
          <w:sz w:val="24"/>
          <w:szCs w:val="24"/>
        </w:rPr>
      </w:pPr>
      <w:r>
        <w:rPr>
          <w:rFonts w:hint="eastAsia" w:ascii="宋体" w:hAnsi="宋体" w:eastAsia="宋体"/>
          <w:color w:val="000000"/>
          <w:sz w:val="24"/>
          <w:szCs w:val="24"/>
        </w:rPr>
        <w:t>4.合同价款调整</w:t>
      </w:r>
    </w:p>
    <w:p w14:paraId="43E545F5">
      <w:pPr>
        <w:spacing w:line="360" w:lineRule="exact"/>
        <w:ind w:firstLine="360"/>
        <w:rPr>
          <w:rFonts w:ascii="宋体" w:hAnsi="宋体" w:cs="宋体"/>
          <w:color w:val="000000"/>
          <w:sz w:val="24"/>
        </w:rPr>
      </w:pPr>
      <w:r>
        <w:rPr>
          <w:rFonts w:hint="eastAsia" w:ascii="宋体" w:hAnsi="宋体" w:cs="宋体"/>
          <w:color w:val="000000"/>
          <w:sz w:val="24"/>
        </w:rPr>
        <w:t>4.1下列事项（但不限于）发生，发承包双方应当调整合同价款：</w:t>
      </w:r>
    </w:p>
    <w:p w14:paraId="158A84A1">
      <w:pPr>
        <w:spacing w:line="360" w:lineRule="exact"/>
        <w:ind w:firstLine="480"/>
        <w:rPr>
          <w:rFonts w:ascii="宋体" w:hAnsi="宋体" w:cs="宋体"/>
          <w:color w:val="000000"/>
          <w:sz w:val="24"/>
        </w:rPr>
      </w:pPr>
      <w:r>
        <w:rPr>
          <w:rFonts w:hint="eastAsia" w:ascii="宋体" w:hAnsi="宋体" w:cs="宋体"/>
          <w:color w:val="000000"/>
          <w:sz w:val="24"/>
        </w:rPr>
        <w:t>1)法律法规变化；</w:t>
      </w:r>
    </w:p>
    <w:p w14:paraId="5C72C8E0">
      <w:pPr>
        <w:spacing w:line="360" w:lineRule="exact"/>
        <w:ind w:firstLine="480"/>
        <w:rPr>
          <w:rFonts w:ascii="宋体" w:hAnsi="宋体" w:cs="宋体"/>
          <w:color w:val="000000"/>
          <w:sz w:val="24"/>
        </w:rPr>
      </w:pPr>
      <w:r>
        <w:rPr>
          <w:rFonts w:hint="eastAsia" w:ascii="宋体" w:hAnsi="宋体" w:cs="宋体"/>
          <w:color w:val="000000"/>
          <w:sz w:val="24"/>
        </w:rPr>
        <w:t>2)工程变更；</w:t>
      </w:r>
    </w:p>
    <w:p w14:paraId="2AF85F17">
      <w:pPr>
        <w:spacing w:line="360" w:lineRule="exact"/>
        <w:ind w:firstLine="480"/>
        <w:rPr>
          <w:rFonts w:ascii="宋体" w:hAnsi="宋体" w:cs="宋体"/>
          <w:color w:val="000000"/>
          <w:sz w:val="24"/>
        </w:rPr>
      </w:pPr>
      <w:r>
        <w:rPr>
          <w:rFonts w:hint="eastAsia" w:ascii="宋体" w:hAnsi="宋体" w:cs="宋体"/>
          <w:color w:val="000000"/>
          <w:sz w:val="24"/>
        </w:rPr>
        <w:t>3)项目特征不符；</w:t>
      </w:r>
    </w:p>
    <w:p w14:paraId="2A4DEC1D">
      <w:pPr>
        <w:spacing w:line="360" w:lineRule="exact"/>
        <w:ind w:firstLine="480"/>
        <w:rPr>
          <w:rFonts w:ascii="宋体" w:hAnsi="宋体" w:cs="宋体"/>
          <w:color w:val="000000"/>
          <w:sz w:val="24"/>
        </w:rPr>
      </w:pPr>
      <w:r>
        <w:rPr>
          <w:rFonts w:hint="eastAsia" w:ascii="宋体" w:hAnsi="宋体" w:cs="宋体"/>
          <w:color w:val="000000"/>
          <w:sz w:val="24"/>
        </w:rPr>
        <w:t>4)工程量清单缺项；</w:t>
      </w:r>
    </w:p>
    <w:p w14:paraId="69380CFB">
      <w:pPr>
        <w:spacing w:line="360" w:lineRule="exact"/>
        <w:ind w:firstLine="480"/>
        <w:rPr>
          <w:rFonts w:ascii="宋体" w:hAnsi="宋体" w:cs="宋体"/>
          <w:color w:val="000000"/>
          <w:sz w:val="24"/>
        </w:rPr>
      </w:pPr>
      <w:r>
        <w:rPr>
          <w:rFonts w:hint="eastAsia" w:ascii="宋体" w:hAnsi="宋体" w:cs="宋体"/>
          <w:color w:val="000000"/>
          <w:sz w:val="24"/>
        </w:rPr>
        <w:t>5)工程量偏差；</w:t>
      </w:r>
    </w:p>
    <w:p w14:paraId="7AD188C8">
      <w:pPr>
        <w:spacing w:line="360" w:lineRule="exact"/>
        <w:ind w:firstLine="480"/>
        <w:rPr>
          <w:rFonts w:ascii="宋体" w:hAnsi="宋体" w:cs="宋体"/>
          <w:color w:val="000000"/>
          <w:sz w:val="24"/>
        </w:rPr>
      </w:pPr>
      <w:r>
        <w:rPr>
          <w:rFonts w:hint="eastAsia" w:ascii="宋体" w:hAnsi="宋体" w:cs="宋体"/>
          <w:color w:val="000000"/>
          <w:sz w:val="24"/>
        </w:rPr>
        <w:t>6)计日工；</w:t>
      </w:r>
    </w:p>
    <w:p w14:paraId="0BB4920B">
      <w:pPr>
        <w:spacing w:line="360" w:lineRule="exact"/>
        <w:ind w:firstLine="480"/>
        <w:rPr>
          <w:rFonts w:ascii="宋体" w:hAnsi="宋体" w:cs="宋体"/>
          <w:color w:val="000000"/>
          <w:sz w:val="24"/>
        </w:rPr>
      </w:pPr>
      <w:r>
        <w:rPr>
          <w:rFonts w:hint="eastAsia" w:ascii="宋体" w:hAnsi="宋体" w:cs="宋体"/>
          <w:color w:val="000000"/>
          <w:sz w:val="24"/>
        </w:rPr>
        <w:t>7)物价变化；</w:t>
      </w:r>
    </w:p>
    <w:p w14:paraId="59103F8B">
      <w:pPr>
        <w:spacing w:line="360" w:lineRule="exact"/>
        <w:ind w:firstLine="480"/>
        <w:rPr>
          <w:rFonts w:ascii="宋体" w:hAnsi="宋体" w:cs="宋体"/>
          <w:color w:val="000000"/>
          <w:sz w:val="24"/>
        </w:rPr>
      </w:pPr>
      <w:r>
        <w:rPr>
          <w:rFonts w:hint="eastAsia" w:ascii="宋体" w:hAnsi="宋体" w:cs="宋体"/>
          <w:color w:val="000000"/>
          <w:sz w:val="24"/>
        </w:rPr>
        <w:t>8)暂估价；</w:t>
      </w:r>
    </w:p>
    <w:p w14:paraId="15A60E8D">
      <w:pPr>
        <w:spacing w:line="360" w:lineRule="exact"/>
        <w:ind w:firstLine="480"/>
        <w:rPr>
          <w:rFonts w:ascii="宋体" w:hAnsi="宋体" w:cs="宋体"/>
          <w:color w:val="000000"/>
          <w:sz w:val="24"/>
        </w:rPr>
      </w:pPr>
      <w:r>
        <w:rPr>
          <w:rFonts w:hint="eastAsia" w:ascii="宋体" w:hAnsi="宋体" w:cs="宋体"/>
          <w:color w:val="000000"/>
          <w:sz w:val="24"/>
        </w:rPr>
        <w:t>9)不可抗力；</w:t>
      </w:r>
    </w:p>
    <w:p w14:paraId="1F147787">
      <w:pPr>
        <w:spacing w:line="360" w:lineRule="exact"/>
        <w:ind w:firstLine="480"/>
        <w:rPr>
          <w:rFonts w:ascii="宋体" w:hAnsi="宋体" w:cs="宋体"/>
          <w:color w:val="000000"/>
          <w:sz w:val="24"/>
        </w:rPr>
      </w:pPr>
      <w:r>
        <w:rPr>
          <w:rFonts w:hint="eastAsia" w:ascii="宋体" w:hAnsi="宋体" w:cs="宋体"/>
          <w:color w:val="000000"/>
          <w:sz w:val="24"/>
        </w:rPr>
        <w:t>10)提前竣工（赶工补偿）；</w:t>
      </w:r>
    </w:p>
    <w:p w14:paraId="286DED6B">
      <w:pPr>
        <w:spacing w:line="360" w:lineRule="exact"/>
        <w:ind w:firstLine="480"/>
        <w:rPr>
          <w:rFonts w:ascii="宋体" w:hAnsi="宋体" w:cs="宋体"/>
          <w:color w:val="000000"/>
          <w:sz w:val="24"/>
        </w:rPr>
      </w:pPr>
      <w:r>
        <w:rPr>
          <w:rFonts w:hint="eastAsia" w:ascii="宋体" w:hAnsi="宋体" w:cs="宋体"/>
          <w:color w:val="000000"/>
          <w:sz w:val="24"/>
        </w:rPr>
        <w:t>11)误期赔偿；</w:t>
      </w:r>
    </w:p>
    <w:p w14:paraId="236174BD">
      <w:pPr>
        <w:spacing w:line="360" w:lineRule="exact"/>
        <w:ind w:firstLine="480"/>
        <w:rPr>
          <w:rFonts w:ascii="宋体" w:hAnsi="宋体" w:cs="宋体"/>
          <w:color w:val="000000"/>
          <w:sz w:val="24"/>
        </w:rPr>
      </w:pPr>
      <w:r>
        <w:rPr>
          <w:rFonts w:hint="eastAsia" w:ascii="宋体" w:hAnsi="宋体" w:cs="宋体"/>
          <w:color w:val="000000"/>
          <w:sz w:val="24"/>
        </w:rPr>
        <w:t>12)索赔；</w:t>
      </w:r>
    </w:p>
    <w:p w14:paraId="3C3B8E06">
      <w:pPr>
        <w:spacing w:line="360" w:lineRule="exact"/>
        <w:ind w:firstLine="480"/>
        <w:rPr>
          <w:rFonts w:ascii="宋体" w:hAnsi="宋体" w:cs="宋体"/>
          <w:color w:val="000000"/>
          <w:sz w:val="24"/>
        </w:rPr>
      </w:pPr>
      <w:r>
        <w:rPr>
          <w:rFonts w:hint="eastAsia" w:ascii="宋体" w:hAnsi="宋体" w:cs="宋体"/>
          <w:color w:val="000000"/>
          <w:sz w:val="24"/>
        </w:rPr>
        <w:t>13)现场签证；</w:t>
      </w:r>
    </w:p>
    <w:p w14:paraId="214DDF5E">
      <w:pPr>
        <w:spacing w:line="360" w:lineRule="exact"/>
        <w:ind w:firstLine="480"/>
        <w:rPr>
          <w:rFonts w:ascii="宋体" w:hAnsi="宋体" w:cs="宋体"/>
          <w:color w:val="000000"/>
          <w:sz w:val="24"/>
        </w:rPr>
      </w:pPr>
      <w:r>
        <w:rPr>
          <w:rFonts w:hint="eastAsia" w:ascii="宋体" w:hAnsi="宋体" w:cs="宋体"/>
          <w:color w:val="000000"/>
          <w:sz w:val="24"/>
        </w:rPr>
        <w:t>14)暂列金额；</w:t>
      </w:r>
    </w:p>
    <w:p w14:paraId="5E16105E">
      <w:pPr>
        <w:spacing w:line="360" w:lineRule="exact"/>
        <w:ind w:firstLine="480"/>
        <w:rPr>
          <w:rFonts w:ascii="宋体" w:hAnsi="宋体" w:cs="宋体"/>
          <w:color w:val="000000"/>
          <w:sz w:val="24"/>
        </w:rPr>
      </w:pPr>
      <w:r>
        <w:rPr>
          <w:rFonts w:hint="eastAsia" w:ascii="宋体" w:hAnsi="宋体" w:cs="宋体"/>
          <w:color w:val="000000"/>
          <w:sz w:val="24"/>
        </w:rPr>
        <w:t>15）发承包双方约定的其他调整事项。</w:t>
      </w:r>
    </w:p>
    <w:p w14:paraId="1DD5BA35">
      <w:pPr>
        <w:spacing w:line="360" w:lineRule="exact"/>
        <w:ind w:firstLine="480"/>
        <w:rPr>
          <w:rFonts w:ascii="宋体" w:hAnsi="宋体" w:cs="宋体"/>
          <w:color w:val="000000"/>
          <w:sz w:val="24"/>
        </w:rPr>
      </w:pPr>
      <w:r>
        <w:rPr>
          <w:rFonts w:hint="eastAsia" w:ascii="宋体" w:hAnsi="宋体" w:cs="宋体"/>
          <w:color w:val="000000"/>
          <w:sz w:val="24"/>
        </w:rPr>
        <w:t>4.2工程量必须以承包人完成合同工程应予计量的工程量确定。</w:t>
      </w:r>
    </w:p>
    <w:p w14:paraId="25FACACB">
      <w:pPr>
        <w:spacing w:line="360" w:lineRule="exact"/>
        <w:ind w:firstLine="480"/>
        <w:rPr>
          <w:rFonts w:ascii="宋体" w:hAnsi="宋体" w:cs="宋体"/>
          <w:color w:val="000000"/>
          <w:sz w:val="24"/>
        </w:rPr>
      </w:pPr>
      <w:r>
        <w:rPr>
          <w:rFonts w:hint="eastAsia" w:ascii="宋体" w:hAnsi="宋体" w:cs="宋体"/>
          <w:color w:val="000000"/>
          <w:sz w:val="24"/>
        </w:rPr>
        <w:t>4.3除合同另有约定外，施工中进行工程计量，当发现招标工程量清单中出现缺项、工程量偏差，或因工程变更引起工程量增减时，按承包人在履行合同义务中完成的工程量计算。</w:t>
      </w:r>
    </w:p>
    <w:p w14:paraId="30DFC853">
      <w:pPr>
        <w:spacing w:line="360" w:lineRule="exact"/>
        <w:ind w:firstLine="480"/>
        <w:rPr>
          <w:rFonts w:ascii="宋体" w:hAnsi="宋体" w:cs="宋体"/>
          <w:color w:val="000000"/>
          <w:sz w:val="24"/>
        </w:rPr>
      </w:pPr>
      <w:r>
        <w:rPr>
          <w:rFonts w:hint="eastAsia" w:ascii="宋体" w:hAnsi="宋体" w:cs="宋体"/>
          <w:color w:val="000000"/>
          <w:sz w:val="24"/>
        </w:rPr>
        <w:t>4.4工程变更</w:t>
      </w:r>
    </w:p>
    <w:p w14:paraId="147939EA">
      <w:pPr>
        <w:spacing w:line="360" w:lineRule="exact"/>
        <w:ind w:firstLine="480"/>
        <w:rPr>
          <w:rFonts w:ascii="宋体" w:hAnsi="宋体" w:cs="宋体"/>
          <w:color w:val="000000"/>
          <w:sz w:val="24"/>
        </w:rPr>
      </w:pPr>
      <w:r>
        <w:rPr>
          <w:rFonts w:hint="eastAsia" w:ascii="宋体" w:hAnsi="宋体" w:cs="宋体"/>
          <w:color w:val="000000"/>
          <w:sz w:val="24"/>
        </w:rPr>
        <w:t>4.4.1因工程变更引起的已标价工程量清单项目发生变化时，应按照下列规定调整：</w:t>
      </w:r>
    </w:p>
    <w:p w14:paraId="750489FD">
      <w:pPr>
        <w:spacing w:line="360" w:lineRule="exact"/>
        <w:ind w:firstLine="480"/>
        <w:rPr>
          <w:rFonts w:ascii="宋体" w:hAnsi="宋体" w:cs="宋体"/>
          <w:color w:val="000000"/>
          <w:sz w:val="24"/>
        </w:rPr>
      </w:pPr>
      <w:r>
        <w:rPr>
          <w:rFonts w:hint="eastAsia" w:ascii="宋体" w:hAnsi="宋体" w:cs="宋体"/>
          <w:color w:val="000000"/>
          <w:sz w:val="24"/>
        </w:rPr>
        <w:t>1)已标价工程量清单中有适用于变更工程项目的，采用该项目的单价。</w:t>
      </w:r>
    </w:p>
    <w:p w14:paraId="5A986BD8">
      <w:pPr>
        <w:spacing w:line="360" w:lineRule="exact"/>
        <w:ind w:firstLine="480"/>
        <w:rPr>
          <w:rFonts w:ascii="宋体" w:hAnsi="宋体" w:cs="宋体"/>
          <w:color w:val="000000"/>
          <w:sz w:val="24"/>
        </w:rPr>
      </w:pPr>
      <w:r>
        <w:rPr>
          <w:rFonts w:hint="eastAsia" w:ascii="宋体" w:hAnsi="宋体" w:cs="宋体"/>
          <w:color w:val="000000"/>
          <w:sz w:val="24"/>
        </w:rPr>
        <w:t>2)已标价工程量清单中没有适用但有类似于变更工程项目的，参照类似项目的单价。</w:t>
      </w:r>
    </w:p>
    <w:p w14:paraId="61D0524A">
      <w:pPr>
        <w:spacing w:line="360" w:lineRule="exact"/>
        <w:ind w:firstLine="480"/>
        <w:jc w:val="left"/>
        <w:rPr>
          <w:rFonts w:ascii="宋体" w:hAnsi="宋体" w:cs="宋体"/>
          <w:color w:val="000000"/>
          <w:sz w:val="24"/>
        </w:rPr>
      </w:pPr>
      <w:r>
        <w:rPr>
          <w:rFonts w:hint="eastAsia" w:ascii="宋体" w:hAnsi="宋体" w:cs="宋体"/>
          <w:color w:val="000000"/>
          <w:sz w:val="24"/>
        </w:rPr>
        <w:t>3)已标价工程量清单中没有适用也没有类似于变更工程项目的，由承包人按照本项目招标控制价编制方法计算出该工程量清单的综合单价，然后乘以K值下浮，并报发包人确认后调整。</w:t>
      </w:r>
    </w:p>
    <w:p w14:paraId="47B14598">
      <w:pPr>
        <w:spacing w:line="360" w:lineRule="exact"/>
        <w:ind w:firstLine="240"/>
        <w:rPr>
          <w:rFonts w:ascii="宋体" w:hAnsi="宋体" w:cs="宋体"/>
          <w:color w:val="000000"/>
          <w:sz w:val="24"/>
        </w:rPr>
      </w:pPr>
      <w:r>
        <w:rPr>
          <w:rFonts w:hint="eastAsia" w:ascii="宋体" w:hAnsi="宋体" w:cs="宋体"/>
          <w:color w:val="000000"/>
          <w:sz w:val="24"/>
        </w:rPr>
        <w:t>K值= [中标价-暂列金额-暂估价-甲供材]／[招标控制价-暂列金额-暂估价-甲供材]</w:t>
      </w:r>
    </w:p>
    <w:p w14:paraId="28400E15">
      <w:pPr>
        <w:spacing w:line="360" w:lineRule="exact"/>
        <w:rPr>
          <w:rFonts w:ascii="宋体" w:hAnsi="宋体" w:cs="宋体"/>
          <w:color w:val="000000"/>
          <w:sz w:val="24"/>
        </w:rPr>
      </w:pPr>
      <w:r>
        <w:rPr>
          <w:rFonts w:hint="eastAsia" w:ascii="宋体" w:hAnsi="宋体" w:cs="宋体"/>
          <w:color w:val="000000"/>
          <w:sz w:val="24"/>
        </w:rPr>
        <w:t>4.4.2工程变更引起施工方案改变并使措施项目发生变化时，承包人提出调整措施项目费的，应事先将拟实施的方案提交发包人确认，并详细说明与原方案措施项目相比的变化情况。拟实施的方案经发承包双方确认后执行，并按下列规定调整措施项目费：</w:t>
      </w:r>
    </w:p>
    <w:p w14:paraId="1A8D93A3">
      <w:pPr>
        <w:spacing w:line="360" w:lineRule="exact"/>
        <w:ind w:firstLine="480"/>
        <w:rPr>
          <w:rFonts w:ascii="宋体" w:hAnsi="宋体" w:cs="宋体"/>
          <w:color w:val="000000"/>
          <w:sz w:val="24"/>
        </w:rPr>
      </w:pPr>
      <w:r>
        <w:rPr>
          <w:rFonts w:hint="eastAsia" w:ascii="宋体" w:hAnsi="宋体" w:cs="宋体"/>
          <w:color w:val="000000"/>
          <w:sz w:val="24"/>
        </w:rPr>
        <w:t>1)单价措施项目变更原则同分部分项工程，按照实际发生变化的措施项目，确定单价；</w:t>
      </w:r>
    </w:p>
    <w:p w14:paraId="687CD118">
      <w:pPr>
        <w:spacing w:line="360" w:lineRule="exact"/>
        <w:ind w:firstLine="480"/>
        <w:rPr>
          <w:rFonts w:ascii="宋体" w:hAnsi="宋体" w:cs="宋体"/>
          <w:color w:val="000000"/>
          <w:sz w:val="24"/>
        </w:rPr>
      </w:pPr>
      <w:r>
        <w:rPr>
          <w:rFonts w:hint="eastAsia" w:ascii="宋体" w:hAnsi="宋体" w:cs="宋体"/>
          <w:color w:val="000000"/>
          <w:sz w:val="24"/>
        </w:rPr>
        <w:t>2)总价措施项目中以费率报价的，费率不变；</w:t>
      </w:r>
    </w:p>
    <w:p w14:paraId="4A769F37">
      <w:pPr>
        <w:spacing w:line="360" w:lineRule="exact"/>
        <w:ind w:firstLine="480"/>
        <w:rPr>
          <w:rFonts w:ascii="宋体" w:hAnsi="宋体" w:cs="宋体"/>
          <w:color w:val="000000"/>
          <w:sz w:val="24"/>
        </w:rPr>
      </w:pPr>
      <w:r>
        <w:rPr>
          <w:rFonts w:hint="eastAsia" w:ascii="宋体" w:hAnsi="宋体" w:cs="宋体"/>
          <w:color w:val="000000"/>
          <w:sz w:val="24"/>
        </w:rPr>
        <w:t>3)总价项目中以费用报价的，按投标时口径折算成费率调整；</w:t>
      </w:r>
    </w:p>
    <w:p w14:paraId="2B56FB67">
      <w:pPr>
        <w:spacing w:line="360" w:lineRule="exact"/>
        <w:ind w:firstLine="480"/>
        <w:rPr>
          <w:rFonts w:ascii="宋体" w:hAnsi="宋体" w:cs="宋体"/>
          <w:color w:val="000000"/>
          <w:sz w:val="24"/>
        </w:rPr>
      </w:pPr>
      <w:r>
        <w:rPr>
          <w:rFonts w:hint="eastAsia" w:ascii="宋体" w:hAnsi="宋体" w:cs="宋体"/>
          <w:color w:val="000000"/>
          <w:sz w:val="24"/>
        </w:rPr>
        <w:t>4)原措施费中没有的措施项目，由承包人按第4.4.1条规定提出适当的措施费变更要求，经发包人确认后调整。</w:t>
      </w:r>
    </w:p>
    <w:p w14:paraId="70BB4D09">
      <w:pPr>
        <w:spacing w:line="360" w:lineRule="exact"/>
        <w:ind w:firstLine="480"/>
        <w:rPr>
          <w:rFonts w:ascii="宋体" w:hAnsi="宋体" w:cs="宋体"/>
          <w:color w:val="000000"/>
          <w:sz w:val="24"/>
        </w:rPr>
      </w:pPr>
      <w:r>
        <w:rPr>
          <w:rFonts w:hint="eastAsia" w:ascii="宋体" w:hAnsi="宋体" w:cs="宋体"/>
          <w:color w:val="000000"/>
          <w:sz w:val="24"/>
        </w:rPr>
        <w:t>如果承包人未事先将拟实施的方案提交给发包人确认，则视为工程变更不引起措施项目费的调整或承包人放弃调整措施项目费的权利。</w:t>
      </w:r>
    </w:p>
    <w:p w14:paraId="5D6CC119">
      <w:pPr>
        <w:spacing w:line="360" w:lineRule="exact"/>
        <w:ind w:firstLine="480"/>
        <w:rPr>
          <w:rFonts w:ascii="宋体" w:hAnsi="宋体" w:cs="宋体"/>
          <w:color w:val="000000"/>
          <w:sz w:val="24"/>
        </w:rPr>
      </w:pPr>
      <w:r>
        <w:rPr>
          <w:rFonts w:hint="eastAsia" w:ascii="宋体" w:hAnsi="宋体" w:cs="宋体"/>
          <w:color w:val="000000"/>
          <w:sz w:val="24"/>
        </w:rPr>
        <w:t>4.5工程量清单缺项、项目特征不符的，按规定调整合同价款。</w:t>
      </w:r>
    </w:p>
    <w:p w14:paraId="16FF646D">
      <w:pPr>
        <w:spacing w:line="360" w:lineRule="exact"/>
        <w:ind w:firstLine="480"/>
        <w:rPr>
          <w:rFonts w:ascii="宋体" w:hAnsi="宋体" w:cs="宋体"/>
          <w:color w:val="000000"/>
          <w:sz w:val="24"/>
        </w:rPr>
      </w:pPr>
      <w:r>
        <w:rPr>
          <w:rFonts w:hint="eastAsia" w:ascii="宋体" w:hAnsi="宋体" w:cs="宋体"/>
          <w:color w:val="000000"/>
          <w:sz w:val="24"/>
        </w:rPr>
        <w:t>4.6计日工</w:t>
      </w:r>
    </w:p>
    <w:p w14:paraId="0AB04D8B">
      <w:pPr>
        <w:spacing w:line="360" w:lineRule="exact"/>
        <w:ind w:firstLine="480"/>
        <w:rPr>
          <w:rFonts w:ascii="宋体" w:hAnsi="宋体" w:cs="宋体"/>
          <w:color w:val="000000"/>
          <w:sz w:val="24"/>
        </w:rPr>
      </w:pPr>
      <w:r>
        <w:rPr>
          <w:rFonts w:hint="eastAsia" w:ascii="宋体" w:hAnsi="宋体" w:cs="宋体"/>
          <w:color w:val="000000"/>
          <w:sz w:val="24"/>
        </w:rPr>
        <w:t>4.6.1发包人通知承包人以计日工方式实施的零星工作，承包人应予执行。</w:t>
      </w:r>
    </w:p>
    <w:p w14:paraId="4FE14DA1">
      <w:pPr>
        <w:spacing w:line="360" w:lineRule="exact"/>
        <w:ind w:firstLine="480"/>
        <w:rPr>
          <w:rFonts w:ascii="宋体" w:hAnsi="宋体" w:cs="宋体"/>
          <w:color w:val="000000"/>
          <w:sz w:val="24"/>
        </w:rPr>
      </w:pPr>
      <w:r>
        <w:rPr>
          <w:rFonts w:hint="eastAsia" w:ascii="宋体" w:hAnsi="宋体" w:cs="宋体"/>
          <w:color w:val="000000"/>
          <w:sz w:val="24"/>
        </w:rPr>
        <w:t>4.6.2采用计日工计价的任何一项变更工作，在该项变更的实施过程中，承包人应按合同约定提交下列报表和有关凭证送发包人复核：</w:t>
      </w:r>
    </w:p>
    <w:p w14:paraId="64C913F5">
      <w:pPr>
        <w:spacing w:line="360" w:lineRule="exact"/>
        <w:ind w:firstLine="480"/>
        <w:rPr>
          <w:rFonts w:ascii="宋体" w:hAnsi="宋体" w:cs="宋体"/>
          <w:color w:val="000000"/>
          <w:sz w:val="24"/>
        </w:rPr>
      </w:pPr>
      <w:r>
        <w:rPr>
          <w:rFonts w:hint="eastAsia" w:ascii="宋体" w:hAnsi="宋体" w:cs="宋体"/>
          <w:color w:val="000000"/>
          <w:sz w:val="24"/>
        </w:rPr>
        <w:t>1)工作名称、内容和数量；</w:t>
      </w:r>
    </w:p>
    <w:p w14:paraId="4018297B">
      <w:pPr>
        <w:spacing w:line="360" w:lineRule="exact"/>
        <w:ind w:firstLine="480"/>
        <w:rPr>
          <w:rFonts w:ascii="宋体" w:hAnsi="宋体" w:cs="宋体"/>
          <w:color w:val="000000"/>
          <w:sz w:val="24"/>
        </w:rPr>
      </w:pPr>
      <w:r>
        <w:rPr>
          <w:rFonts w:hint="eastAsia" w:ascii="宋体" w:hAnsi="宋体" w:cs="宋体"/>
          <w:color w:val="000000"/>
          <w:sz w:val="24"/>
        </w:rPr>
        <w:t>2)投入该工作所有人员的姓名、工种、级别和耗用工时；</w:t>
      </w:r>
    </w:p>
    <w:p w14:paraId="77269F1F">
      <w:pPr>
        <w:spacing w:line="360" w:lineRule="exact"/>
        <w:ind w:firstLine="480"/>
        <w:rPr>
          <w:rFonts w:ascii="宋体" w:hAnsi="宋体" w:cs="宋体"/>
          <w:color w:val="000000"/>
          <w:sz w:val="24"/>
        </w:rPr>
      </w:pPr>
      <w:r>
        <w:rPr>
          <w:rFonts w:hint="eastAsia" w:ascii="宋体" w:hAnsi="宋体" w:cs="宋体"/>
          <w:color w:val="000000"/>
          <w:sz w:val="24"/>
        </w:rPr>
        <w:t>3)投入该工作的材料名称、类别和数量；</w:t>
      </w:r>
    </w:p>
    <w:p w14:paraId="24058793">
      <w:pPr>
        <w:spacing w:line="360" w:lineRule="exact"/>
        <w:ind w:firstLine="480"/>
        <w:rPr>
          <w:rFonts w:ascii="宋体" w:hAnsi="宋体" w:cs="宋体"/>
          <w:color w:val="000000"/>
          <w:sz w:val="24"/>
        </w:rPr>
      </w:pPr>
      <w:r>
        <w:rPr>
          <w:rFonts w:hint="eastAsia" w:ascii="宋体" w:hAnsi="宋体" w:cs="宋体"/>
          <w:color w:val="000000"/>
          <w:sz w:val="24"/>
        </w:rPr>
        <w:t>4)投入该工作的施工设备型号、台数和耗用台时；</w:t>
      </w:r>
    </w:p>
    <w:p w14:paraId="409196F1">
      <w:pPr>
        <w:spacing w:line="360" w:lineRule="exact"/>
        <w:ind w:firstLine="480"/>
        <w:rPr>
          <w:rFonts w:ascii="宋体" w:hAnsi="宋体" w:cs="宋体"/>
          <w:color w:val="000000"/>
          <w:sz w:val="24"/>
        </w:rPr>
      </w:pPr>
      <w:r>
        <w:rPr>
          <w:rFonts w:hint="eastAsia" w:ascii="宋体" w:hAnsi="宋体" w:cs="宋体"/>
          <w:color w:val="000000"/>
          <w:sz w:val="24"/>
        </w:rPr>
        <w:t>5)发包人要求提交的其他资料和凭证。</w:t>
      </w:r>
    </w:p>
    <w:p w14:paraId="735E30BB">
      <w:pPr>
        <w:spacing w:line="360" w:lineRule="exact"/>
        <w:ind w:firstLine="480"/>
        <w:rPr>
          <w:rFonts w:ascii="宋体" w:hAnsi="宋体" w:cs="宋体"/>
          <w:color w:val="000000"/>
          <w:sz w:val="24"/>
        </w:rPr>
      </w:pPr>
      <w:r>
        <w:rPr>
          <w:rFonts w:hint="eastAsia" w:ascii="宋体" w:hAnsi="宋体" w:cs="宋体"/>
          <w:color w:val="000000"/>
          <w:sz w:val="24"/>
        </w:rPr>
        <w:t>4.6.3任一计日工项目持续进行时，承包人应在该项工作实施结束后的24小时内向发包人提交有计日工记录汇总的现场签证报告一式三份。发包人在收到承包人提交现场签证报告后的2天内予以确认并将其中一份返还给承包人，作为计日工计价和支付的依据。</w:t>
      </w:r>
    </w:p>
    <w:p w14:paraId="4EAC968F">
      <w:pPr>
        <w:spacing w:line="360" w:lineRule="exact"/>
        <w:ind w:firstLine="480"/>
        <w:rPr>
          <w:rFonts w:ascii="宋体" w:hAnsi="宋体" w:cs="宋体"/>
          <w:color w:val="000000"/>
          <w:sz w:val="24"/>
        </w:rPr>
      </w:pPr>
      <w:r>
        <w:rPr>
          <w:rFonts w:hint="eastAsia" w:ascii="宋体" w:hAnsi="宋体" w:cs="宋体"/>
          <w:color w:val="000000"/>
          <w:sz w:val="24"/>
        </w:rPr>
        <w:t>4.6.4任一计日工项目实施结束后，承包人应按照确认的计日工现场签证报告核实该类项目的工程数量，并应根据核实的工程数量和承包人已标价工程量清单中的计日工单价计算，提出应付价款；已标价工程量清单中没有该类计日工单价的，由发承包双方按第4.4条的规定商定计日工单价计算。</w:t>
      </w:r>
    </w:p>
    <w:p w14:paraId="63E3F8E0">
      <w:pPr>
        <w:spacing w:line="360" w:lineRule="exact"/>
        <w:ind w:firstLine="480"/>
        <w:rPr>
          <w:rFonts w:ascii="宋体" w:hAnsi="宋体" w:cs="宋体"/>
          <w:color w:val="000000"/>
          <w:sz w:val="24"/>
        </w:rPr>
      </w:pPr>
      <w:r>
        <w:rPr>
          <w:rFonts w:hint="eastAsia" w:ascii="宋体" w:hAnsi="宋体" w:cs="宋体"/>
          <w:color w:val="000000"/>
          <w:sz w:val="24"/>
        </w:rPr>
        <w:t>4.7发包人与承包人对合同价款调整的不同意见不能达成一致的，只要对发承包双方履约不产生实质影响，双方应继续履行合同义务，直到其按照合同约定的争议解决方式得到处理。</w:t>
      </w:r>
    </w:p>
    <w:p w14:paraId="7B7302C2">
      <w:pPr>
        <w:spacing w:line="360" w:lineRule="exact"/>
        <w:ind w:firstLine="480"/>
        <w:rPr>
          <w:rFonts w:ascii="宋体" w:hAnsi="宋体" w:cs="宋体"/>
          <w:color w:val="000000"/>
          <w:sz w:val="24"/>
        </w:rPr>
      </w:pPr>
      <w:r>
        <w:rPr>
          <w:rFonts w:hint="eastAsia" w:ascii="宋体" w:hAnsi="宋体" w:cs="宋体"/>
          <w:color w:val="000000"/>
          <w:sz w:val="24"/>
        </w:rPr>
        <w:t>4.8经发承包双方确认调整的合同价款，作为追加（减）合同价款，与工程进度款或结算款同期支付。</w:t>
      </w:r>
    </w:p>
    <w:p w14:paraId="11DD20B2">
      <w:pPr>
        <w:pStyle w:val="314"/>
        <w:spacing w:line="360" w:lineRule="exact"/>
        <w:ind w:firstLine="480" w:firstLineChars="200"/>
        <w:rPr>
          <w:rFonts w:ascii="宋体" w:hAnsi="宋体" w:eastAsia="宋体"/>
          <w:color w:val="000000"/>
          <w:sz w:val="24"/>
          <w:szCs w:val="24"/>
        </w:rPr>
      </w:pPr>
      <w:r>
        <w:rPr>
          <w:rFonts w:hint="eastAsia" w:ascii="宋体" w:hAnsi="宋体" w:eastAsia="宋体"/>
          <w:color w:val="000000"/>
          <w:sz w:val="24"/>
          <w:szCs w:val="24"/>
        </w:rPr>
        <w:t>5竣工结算</w:t>
      </w:r>
    </w:p>
    <w:p w14:paraId="6B2F8546">
      <w:pPr>
        <w:spacing w:line="360" w:lineRule="exact"/>
        <w:ind w:firstLine="480"/>
        <w:rPr>
          <w:rFonts w:ascii="宋体" w:hAnsi="宋体" w:cs="宋体"/>
          <w:color w:val="000000"/>
          <w:sz w:val="24"/>
        </w:rPr>
      </w:pPr>
      <w:r>
        <w:rPr>
          <w:rFonts w:hint="eastAsia" w:ascii="宋体" w:hAnsi="宋体" w:cs="宋体"/>
          <w:color w:val="000000"/>
          <w:sz w:val="24"/>
        </w:rPr>
        <w:t>5.1当发承包双方或一方对工程造价咨询人出具的竣工结算文件有异议时，可向工程造价管理机构投诉，申请对其进行执业质量鉴定。</w:t>
      </w:r>
    </w:p>
    <w:p w14:paraId="5AA07341">
      <w:pPr>
        <w:spacing w:line="360" w:lineRule="exact"/>
        <w:ind w:firstLine="480"/>
        <w:rPr>
          <w:rFonts w:ascii="宋体" w:hAnsi="宋体" w:cs="宋体"/>
          <w:color w:val="000000"/>
          <w:sz w:val="24"/>
        </w:rPr>
      </w:pPr>
      <w:r>
        <w:rPr>
          <w:rFonts w:hint="eastAsia" w:ascii="宋体" w:hAnsi="宋体" w:cs="宋体"/>
          <w:color w:val="000000"/>
          <w:sz w:val="24"/>
        </w:rPr>
        <w:t>5.2竣工结算办理完毕，发包人应将竣工结算文件报送工程所在地或有该工程管辖权的行业管理部门的工程造价管理机构备案，竣工结算文件作为工程竣工验收备案、交付使用的必备文件。</w:t>
      </w:r>
    </w:p>
    <w:p w14:paraId="37AD125E">
      <w:pPr>
        <w:spacing w:line="360" w:lineRule="exact"/>
        <w:ind w:firstLine="480"/>
        <w:rPr>
          <w:rFonts w:ascii="宋体" w:hAnsi="宋体" w:cs="宋体"/>
          <w:color w:val="000000"/>
          <w:sz w:val="24"/>
        </w:rPr>
      </w:pPr>
      <w:r>
        <w:rPr>
          <w:rFonts w:hint="eastAsia" w:ascii="宋体" w:hAnsi="宋体" w:cs="宋体"/>
          <w:color w:val="000000"/>
          <w:sz w:val="24"/>
        </w:rPr>
        <w:t>5.3工程竣工结算应根据下列依据编制和复核：</w:t>
      </w:r>
    </w:p>
    <w:p w14:paraId="0A7AF43B">
      <w:pPr>
        <w:spacing w:line="360" w:lineRule="exact"/>
        <w:ind w:firstLine="480"/>
        <w:rPr>
          <w:rFonts w:ascii="宋体" w:hAnsi="宋体" w:cs="宋体"/>
          <w:color w:val="000000"/>
          <w:sz w:val="24"/>
        </w:rPr>
      </w:pPr>
      <w:r>
        <w:rPr>
          <w:rFonts w:hint="eastAsia" w:ascii="宋体" w:hAnsi="宋体" w:cs="宋体"/>
          <w:color w:val="000000"/>
          <w:sz w:val="24"/>
        </w:rPr>
        <w:t>1)《建设工程工程量清单计价规范》（GB50500—2013）及《房屋建筑与装饰工程工程量计算规范》（GB50854-2013）等9本工程量计算规范；</w:t>
      </w:r>
    </w:p>
    <w:p w14:paraId="4FFBDEB1">
      <w:pPr>
        <w:spacing w:line="360" w:lineRule="exact"/>
        <w:ind w:firstLine="480"/>
        <w:rPr>
          <w:rFonts w:ascii="宋体" w:hAnsi="宋体" w:cs="宋体"/>
          <w:color w:val="000000"/>
          <w:sz w:val="24"/>
        </w:rPr>
      </w:pPr>
      <w:r>
        <w:rPr>
          <w:rFonts w:hint="eastAsia" w:ascii="宋体" w:hAnsi="宋体" w:cs="宋体"/>
          <w:color w:val="000000"/>
          <w:sz w:val="24"/>
        </w:rPr>
        <w:t>2)工程合同；</w:t>
      </w:r>
    </w:p>
    <w:p w14:paraId="27F8CD07">
      <w:pPr>
        <w:spacing w:line="360" w:lineRule="exact"/>
        <w:ind w:firstLine="480"/>
        <w:rPr>
          <w:rFonts w:ascii="宋体" w:hAnsi="宋体" w:cs="宋体"/>
          <w:color w:val="000000"/>
          <w:sz w:val="24"/>
        </w:rPr>
      </w:pPr>
      <w:r>
        <w:rPr>
          <w:rFonts w:hint="eastAsia" w:ascii="宋体" w:hAnsi="宋体" w:cs="宋体"/>
          <w:color w:val="000000"/>
          <w:sz w:val="24"/>
        </w:rPr>
        <w:t>3)发承包双方实施过程中已确认的工程量及其结算的合同价款；</w:t>
      </w:r>
    </w:p>
    <w:p w14:paraId="16E5B886">
      <w:pPr>
        <w:spacing w:line="360" w:lineRule="exact"/>
        <w:ind w:firstLine="480"/>
        <w:rPr>
          <w:rFonts w:ascii="宋体" w:hAnsi="宋体" w:cs="宋体"/>
          <w:color w:val="000000"/>
          <w:sz w:val="24"/>
        </w:rPr>
      </w:pPr>
      <w:r>
        <w:rPr>
          <w:rFonts w:hint="eastAsia" w:ascii="宋体" w:hAnsi="宋体" w:cs="宋体"/>
          <w:color w:val="000000"/>
          <w:sz w:val="24"/>
        </w:rPr>
        <w:t>4)发承包双方实施过程中已确认调整后追加（减）的合同价款；</w:t>
      </w:r>
    </w:p>
    <w:p w14:paraId="7E1DCA2F">
      <w:pPr>
        <w:spacing w:line="360" w:lineRule="exact"/>
        <w:ind w:firstLine="480"/>
        <w:rPr>
          <w:rFonts w:ascii="宋体" w:hAnsi="宋体" w:cs="宋体"/>
          <w:color w:val="000000"/>
          <w:sz w:val="24"/>
        </w:rPr>
      </w:pPr>
      <w:r>
        <w:rPr>
          <w:rFonts w:hint="eastAsia" w:ascii="宋体" w:hAnsi="宋体" w:cs="宋体"/>
          <w:color w:val="000000"/>
          <w:sz w:val="24"/>
        </w:rPr>
        <w:t>5)建设工程设计文件及相关资料；</w:t>
      </w:r>
    </w:p>
    <w:p w14:paraId="072E1FB1">
      <w:pPr>
        <w:spacing w:line="360" w:lineRule="exact"/>
        <w:ind w:firstLine="480"/>
        <w:rPr>
          <w:rFonts w:ascii="宋体" w:hAnsi="宋体" w:cs="宋体"/>
          <w:color w:val="000000"/>
          <w:sz w:val="24"/>
        </w:rPr>
      </w:pPr>
      <w:r>
        <w:rPr>
          <w:rFonts w:hint="eastAsia" w:ascii="宋体" w:hAnsi="宋体" w:cs="宋体"/>
          <w:color w:val="000000"/>
          <w:sz w:val="24"/>
        </w:rPr>
        <w:t>6)响应文件；</w:t>
      </w:r>
    </w:p>
    <w:p w14:paraId="2483CCDE">
      <w:pPr>
        <w:spacing w:line="360" w:lineRule="exact"/>
        <w:ind w:firstLine="480"/>
        <w:rPr>
          <w:rFonts w:ascii="宋体" w:hAnsi="宋体" w:cs="宋体"/>
          <w:color w:val="000000"/>
          <w:sz w:val="24"/>
        </w:rPr>
      </w:pPr>
      <w:r>
        <w:rPr>
          <w:rFonts w:hint="eastAsia" w:ascii="宋体" w:hAnsi="宋体" w:cs="宋体"/>
          <w:color w:val="000000"/>
          <w:sz w:val="24"/>
        </w:rPr>
        <w:t>7)其他依据。</w:t>
      </w:r>
    </w:p>
    <w:p w14:paraId="607BE10F">
      <w:pPr>
        <w:spacing w:line="360" w:lineRule="exact"/>
        <w:ind w:firstLine="480"/>
        <w:rPr>
          <w:rFonts w:ascii="宋体" w:hAnsi="宋体" w:cs="宋体"/>
          <w:color w:val="000000"/>
          <w:sz w:val="24"/>
        </w:rPr>
      </w:pPr>
      <w:r>
        <w:rPr>
          <w:rFonts w:hint="eastAsia" w:ascii="宋体" w:hAnsi="宋体" w:cs="宋体"/>
          <w:color w:val="000000"/>
          <w:sz w:val="24"/>
        </w:rPr>
        <w:t>5.4除合同另有约定外，甲供材料价款扣除的方式如下：</w:t>
      </w:r>
    </w:p>
    <w:p w14:paraId="4968D9EE">
      <w:pPr>
        <w:spacing w:line="360" w:lineRule="exact"/>
        <w:ind w:firstLine="480"/>
        <w:rPr>
          <w:rFonts w:ascii="宋体" w:hAnsi="宋体" w:cs="宋体"/>
          <w:color w:val="000000"/>
          <w:sz w:val="24"/>
        </w:rPr>
      </w:pPr>
      <w:r>
        <w:rPr>
          <w:rFonts w:hint="eastAsia" w:ascii="宋体" w:hAnsi="宋体" w:cs="宋体"/>
          <w:color w:val="000000"/>
          <w:sz w:val="24"/>
        </w:rPr>
        <w:t>1)结算时甲供材料应按发包人采购材料的加权平均价格（含采购保管费）计入相应项目的综合单价中。承包人退还甲供材料价款时，应按甲供材料实际采购价格（含采购保管费）除以1.01，退给发包人（1%作为承包人的现场保管费）。</w:t>
      </w:r>
    </w:p>
    <w:p w14:paraId="402567A0">
      <w:pPr>
        <w:spacing w:line="360" w:lineRule="exact"/>
        <w:ind w:firstLine="480"/>
        <w:rPr>
          <w:rFonts w:ascii="宋体" w:hAnsi="宋体" w:cs="宋体"/>
          <w:color w:val="000000"/>
          <w:sz w:val="24"/>
        </w:rPr>
      </w:pPr>
      <w:r>
        <w:rPr>
          <w:rFonts w:hint="eastAsia" w:ascii="宋体" w:hAnsi="宋体" w:cs="宋体"/>
          <w:color w:val="000000"/>
          <w:sz w:val="24"/>
        </w:rPr>
        <w:t>2)领料量超出承包人在响应文件中所报数量时，超出部分的甲供材料由承包人按照发包人采购材料的加权平均价格支付给发包人；领料量少于承包人在响应文件中所报数量时，节余部分的甲供材料归承包人。</w:t>
      </w:r>
    </w:p>
    <w:p w14:paraId="2A0E415E">
      <w:pPr>
        <w:spacing w:line="360" w:lineRule="exact"/>
        <w:ind w:firstLine="480"/>
        <w:rPr>
          <w:rFonts w:ascii="宋体" w:hAnsi="宋体" w:cs="宋体"/>
          <w:color w:val="000000"/>
          <w:sz w:val="24"/>
        </w:rPr>
      </w:pPr>
      <w:r>
        <w:rPr>
          <w:rFonts w:hint="eastAsia" w:ascii="宋体" w:hAnsi="宋体" w:cs="宋体"/>
          <w:color w:val="000000"/>
          <w:sz w:val="24"/>
        </w:rPr>
        <w:t>5.5分部分项工程和措施项目中的单价项目应依据发承包双方确认的工程量与已标价工程量清单的综合单价计算；发生调整的，应以发承包双方确认调整的综合单价计算。</w:t>
      </w:r>
    </w:p>
    <w:p w14:paraId="38B44DF5">
      <w:pPr>
        <w:spacing w:line="360" w:lineRule="exact"/>
        <w:ind w:firstLine="600"/>
        <w:rPr>
          <w:rFonts w:ascii="宋体" w:hAnsi="宋体" w:cs="宋体"/>
          <w:color w:val="000000"/>
          <w:sz w:val="24"/>
        </w:rPr>
      </w:pPr>
      <w:r>
        <w:rPr>
          <w:rFonts w:hint="eastAsia" w:ascii="宋体" w:hAnsi="宋体" w:cs="宋体"/>
          <w:color w:val="000000"/>
          <w:sz w:val="24"/>
        </w:rPr>
        <w:t>5.6措施项目中的总价项目应依据已标价工程量清单的项目和金额计算；发生调整的，应以发承包双方确认调整的金额计算。</w:t>
      </w:r>
    </w:p>
    <w:p w14:paraId="3B68E679">
      <w:pPr>
        <w:spacing w:line="360" w:lineRule="exact"/>
        <w:ind w:firstLine="480"/>
        <w:rPr>
          <w:rFonts w:ascii="宋体" w:hAnsi="宋体" w:cs="宋体"/>
          <w:color w:val="000000"/>
          <w:sz w:val="24"/>
        </w:rPr>
      </w:pPr>
      <w:r>
        <w:rPr>
          <w:rFonts w:hint="eastAsia" w:ascii="宋体" w:hAnsi="宋体" w:cs="宋体"/>
          <w:color w:val="000000"/>
          <w:sz w:val="24"/>
        </w:rPr>
        <w:t>5.7其他项目应按下列规定计价：</w:t>
      </w:r>
    </w:p>
    <w:p w14:paraId="154B86B9">
      <w:pPr>
        <w:spacing w:line="360" w:lineRule="exact"/>
        <w:ind w:firstLine="480"/>
        <w:rPr>
          <w:rFonts w:ascii="宋体" w:hAnsi="宋体" w:cs="宋体"/>
          <w:color w:val="000000"/>
          <w:sz w:val="24"/>
        </w:rPr>
      </w:pPr>
      <w:r>
        <w:rPr>
          <w:rFonts w:hint="eastAsia" w:ascii="宋体" w:hAnsi="宋体" w:cs="宋体"/>
          <w:color w:val="000000"/>
          <w:sz w:val="24"/>
        </w:rPr>
        <w:t>1)计日工应按发包人实际签证确认的事项计算；</w:t>
      </w:r>
    </w:p>
    <w:p w14:paraId="75D0E937">
      <w:pPr>
        <w:spacing w:line="360" w:lineRule="exact"/>
        <w:ind w:firstLine="480"/>
        <w:rPr>
          <w:rFonts w:ascii="宋体" w:hAnsi="宋体" w:cs="宋体"/>
          <w:color w:val="000000"/>
          <w:sz w:val="24"/>
        </w:rPr>
      </w:pPr>
      <w:r>
        <w:rPr>
          <w:rFonts w:hint="eastAsia" w:ascii="宋体" w:hAnsi="宋体" w:cs="宋体"/>
          <w:color w:val="000000"/>
          <w:sz w:val="24"/>
        </w:rPr>
        <w:t>2)暂估价应按合同约定方式计算；</w:t>
      </w:r>
    </w:p>
    <w:p w14:paraId="3D850743">
      <w:pPr>
        <w:spacing w:line="360" w:lineRule="exact"/>
        <w:ind w:firstLine="480"/>
        <w:rPr>
          <w:rFonts w:ascii="宋体" w:hAnsi="宋体" w:cs="宋体"/>
          <w:color w:val="000000"/>
          <w:sz w:val="24"/>
        </w:rPr>
      </w:pPr>
      <w:r>
        <w:rPr>
          <w:rFonts w:hint="eastAsia" w:ascii="宋体" w:hAnsi="宋体" w:cs="宋体"/>
          <w:color w:val="000000"/>
          <w:sz w:val="24"/>
        </w:rPr>
        <w:t>3)总承包服务费应依据已标价工程量清单的金额计算；发生调整的，应以发承包双方确认调整的金额计算；</w:t>
      </w:r>
    </w:p>
    <w:p w14:paraId="567AC19B">
      <w:pPr>
        <w:spacing w:line="360" w:lineRule="exact"/>
        <w:ind w:firstLine="480"/>
        <w:rPr>
          <w:rFonts w:ascii="宋体" w:hAnsi="宋体" w:cs="宋体"/>
          <w:color w:val="000000"/>
          <w:sz w:val="24"/>
        </w:rPr>
      </w:pPr>
      <w:r>
        <w:rPr>
          <w:rFonts w:hint="eastAsia" w:ascii="宋体" w:hAnsi="宋体" w:cs="宋体"/>
          <w:color w:val="000000"/>
          <w:sz w:val="24"/>
        </w:rPr>
        <w:t>4)索赔费用应依据发承包双方确认的索赔事项和金额计算；</w:t>
      </w:r>
    </w:p>
    <w:p w14:paraId="2BC36F7E">
      <w:pPr>
        <w:spacing w:line="360" w:lineRule="exact"/>
        <w:ind w:firstLine="480"/>
        <w:rPr>
          <w:rFonts w:ascii="宋体" w:hAnsi="宋体" w:cs="宋体"/>
          <w:color w:val="000000"/>
          <w:sz w:val="24"/>
        </w:rPr>
      </w:pPr>
      <w:r>
        <w:rPr>
          <w:rFonts w:hint="eastAsia" w:ascii="宋体" w:hAnsi="宋体" w:cs="宋体"/>
          <w:color w:val="000000"/>
          <w:sz w:val="24"/>
        </w:rPr>
        <w:t>5)现场签证费用应依据发承包双方签证资料确认的金额计算；</w:t>
      </w:r>
    </w:p>
    <w:p w14:paraId="481D90C3">
      <w:pPr>
        <w:spacing w:line="360" w:lineRule="exact"/>
        <w:ind w:firstLine="480"/>
        <w:rPr>
          <w:rFonts w:ascii="宋体" w:hAnsi="宋体" w:cs="宋体"/>
          <w:color w:val="000000"/>
          <w:sz w:val="24"/>
        </w:rPr>
      </w:pPr>
      <w:r>
        <w:rPr>
          <w:rFonts w:hint="eastAsia" w:ascii="宋体" w:hAnsi="宋体" w:cs="宋体"/>
          <w:color w:val="000000"/>
          <w:sz w:val="24"/>
        </w:rPr>
        <w:t>6)暂列金额应减去合同价款（包括索赔、现场签证）金额计算，如有余额归发包人。</w:t>
      </w:r>
    </w:p>
    <w:p w14:paraId="4376346A">
      <w:pPr>
        <w:spacing w:line="360" w:lineRule="exact"/>
        <w:ind w:firstLine="480"/>
        <w:rPr>
          <w:rFonts w:ascii="宋体" w:hAnsi="宋体" w:cs="宋体"/>
          <w:color w:val="000000"/>
          <w:sz w:val="24"/>
        </w:rPr>
      </w:pPr>
      <w:r>
        <w:rPr>
          <w:rFonts w:hint="eastAsia" w:ascii="宋体" w:hAnsi="宋体" w:cs="宋体"/>
          <w:color w:val="000000"/>
          <w:sz w:val="24"/>
        </w:rPr>
        <w:t>5.8按质论价费不计入招标控制价、投标报价，由施工企业在实现采购文件或合同中约定的创建目标后，凭相关证明文件依据合同约定与建设单位结算价款。</w:t>
      </w:r>
    </w:p>
    <w:p w14:paraId="1939D65D">
      <w:pPr>
        <w:spacing w:line="360" w:lineRule="exact"/>
        <w:ind w:firstLine="480"/>
        <w:rPr>
          <w:rFonts w:ascii="宋体" w:hAnsi="宋体" w:cs="宋体"/>
          <w:color w:val="000000"/>
          <w:sz w:val="24"/>
        </w:rPr>
      </w:pPr>
      <w:r>
        <w:rPr>
          <w:rFonts w:hint="eastAsia" w:ascii="宋体" w:hAnsi="宋体" w:cs="宋体"/>
          <w:color w:val="000000"/>
          <w:sz w:val="24"/>
        </w:rPr>
        <w:t>5.9施工中实际发生排污费的，竣工结算时按实际缴纳的排污费计入建设工程造价。工程施工违反环境保护相关规定，受到环保部门处罚的罚款，不属于工程排污费，应由施工单位自行承担。</w:t>
      </w:r>
    </w:p>
    <w:p w14:paraId="1C0C06BC">
      <w:pPr>
        <w:spacing w:line="360" w:lineRule="exact"/>
        <w:ind w:firstLine="480"/>
        <w:rPr>
          <w:rFonts w:ascii="宋体" w:hAnsi="宋体" w:cs="宋体"/>
          <w:color w:val="000000"/>
          <w:sz w:val="24"/>
        </w:rPr>
      </w:pPr>
      <w:r>
        <w:rPr>
          <w:rFonts w:hint="eastAsia" w:ascii="宋体" w:hAnsi="宋体" w:cs="宋体"/>
          <w:color w:val="000000"/>
          <w:sz w:val="24"/>
        </w:rPr>
        <w:t>5.10发承包双方在合同工程实施过程中已经确认的工程计量结果和合同价款，在竣工结算办理中应直接进入结算。</w:t>
      </w:r>
    </w:p>
    <w:p w14:paraId="432A6986">
      <w:pPr>
        <w:pStyle w:val="21"/>
        <w:tabs>
          <w:tab w:val="left" w:pos="3229"/>
          <w:tab w:val="left" w:pos="4909"/>
          <w:tab w:val="left" w:pos="5329"/>
          <w:tab w:val="left" w:pos="5751"/>
        </w:tabs>
        <w:spacing w:before="94" w:line="360" w:lineRule="auto"/>
        <w:rPr>
          <w:rFonts w:ascii="宋体" w:hAnsi="宋体" w:cs="宋体"/>
          <w:sz w:val="24"/>
        </w:rPr>
      </w:pPr>
    </w:p>
    <w:p w14:paraId="0B495CCF">
      <w:pPr>
        <w:pStyle w:val="322"/>
        <w:spacing w:line="520" w:lineRule="exact"/>
        <w:rPr>
          <w:rFonts w:ascii="宋体" w:hAnsi="宋体" w:cs="宋体"/>
          <w:sz w:val="24"/>
        </w:rPr>
      </w:pPr>
    </w:p>
    <w:p w14:paraId="7710AD41">
      <w:pPr>
        <w:pStyle w:val="322"/>
        <w:spacing w:line="520" w:lineRule="exact"/>
        <w:rPr>
          <w:rFonts w:ascii="宋体" w:hAnsi="宋体" w:cs="宋体"/>
          <w:sz w:val="24"/>
        </w:rPr>
      </w:pPr>
    </w:p>
    <w:p w14:paraId="6954C413">
      <w:pPr>
        <w:pStyle w:val="323"/>
        <w:rPr>
          <w:rFonts w:ascii="宋体" w:hAnsi="宋体" w:eastAsia="宋体" w:cs="宋体"/>
        </w:rPr>
      </w:pPr>
    </w:p>
    <w:p w14:paraId="38D9BB65">
      <w:pPr>
        <w:pStyle w:val="323"/>
        <w:rPr>
          <w:rFonts w:ascii="宋体" w:hAnsi="宋体" w:eastAsia="宋体" w:cs="宋体"/>
          <w:szCs w:val="24"/>
        </w:rPr>
      </w:pPr>
    </w:p>
    <w:p w14:paraId="5BAC4023">
      <w:pPr>
        <w:pStyle w:val="2"/>
        <w:rPr>
          <w:rFonts w:cs="宋体"/>
          <w:sz w:val="32"/>
          <w:szCs w:val="32"/>
        </w:rPr>
      </w:pPr>
      <w:r>
        <w:rPr>
          <w:rFonts w:hint="eastAsia" w:cs="宋体"/>
          <w:sz w:val="32"/>
          <w:szCs w:val="32"/>
        </w:rPr>
        <w:br w:type="page" w:clear="all"/>
      </w:r>
      <w:bookmarkStart w:id="70" w:name="_Toc4828"/>
      <w:bookmarkStart w:id="71" w:name="_Toc27670"/>
      <w:r>
        <w:rPr>
          <w:rFonts w:hint="eastAsia" w:cs="宋体"/>
        </w:rPr>
        <w:t>第十章 政府采购合同（参考）</w:t>
      </w:r>
      <w:bookmarkEnd w:id="70"/>
      <w:bookmarkEnd w:id="71"/>
    </w:p>
    <w:p w14:paraId="6A07C327">
      <w:pPr>
        <w:pStyle w:val="337"/>
        <w:tabs>
          <w:tab w:val="left" w:pos="709"/>
        </w:tabs>
        <w:jc w:val="center"/>
        <w:rPr>
          <w:rFonts w:asciiTheme="minorEastAsia" w:hAnsiTheme="minorEastAsia" w:eastAsiaTheme="minorEastAsia"/>
        </w:rPr>
      </w:pPr>
      <w:bookmarkStart w:id="72" w:name="_Toc22457"/>
      <w:bookmarkStart w:id="73" w:name="_Toc8384"/>
      <w:bookmarkStart w:id="74" w:name="_Toc498006744"/>
      <w:bookmarkStart w:id="75" w:name="_Toc13260"/>
      <w:r>
        <w:rPr>
          <w:rFonts w:hint="eastAsia" w:asciiTheme="minorEastAsia" w:hAnsiTheme="minorEastAsia" w:eastAsiaTheme="minorEastAsia"/>
        </w:rPr>
        <w:t>第一部分 合同协议书</w:t>
      </w:r>
      <w:bookmarkEnd w:id="72"/>
      <w:bookmarkEnd w:id="73"/>
      <w:bookmarkEnd w:id="74"/>
      <w:bookmarkEnd w:id="75"/>
    </w:p>
    <w:p w14:paraId="12087FEE">
      <w:pPr>
        <w:spacing w:line="332" w:lineRule="auto"/>
        <w:rPr>
          <w:rFonts w:ascii="仿宋" w:hAnsi="仿宋" w:eastAsia="仿宋" w:cs="MingLiU_HKSCS"/>
          <w:u w:val="single"/>
        </w:rPr>
      </w:pPr>
      <w:r>
        <w:rPr>
          <w:rFonts w:hint="eastAsia" w:asciiTheme="minorEastAsia" w:hAnsiTheme="minorEastAsia" w:eastAsiaTheme="minorEastAsia"/>
        </w:rPr>
        <w:t>发包人（全称）：</w:t>
      </w:r>
      <w:r>
        <w:rPr>
          <w:rFonts w:hint="eastAsia" w:asciiTheme="minorEastAsia" w:hAnsiTheme="minorEastAsia" w:eastAsiaTheme="minorEastAsia"/>
          <w:u w:val="single"/>
        </w:rPr>
        <w:t xml:space="preserve">                 </w:t>
      </w:r>
      <w:r>
        <w:rPr>
          <w:rFonts w:hint="eastAsia" w:ascii="仿宋" w:hAnsi="仿宋" w:eastAsia="仿宋"/>
          <w:u w:val="single"/>
        </w:rPr>
        <w:t xml:space="preserve"> </w:t>
      </w:r>
    </w:p>
    <w:p w14:paraId="11499044">
      <w:pPr>
        <w:spacing w:line="332" w:lineRule="auto"/>
        <w:rPr>
          <w:rFonts w:asciiTheme="minorEastAsia" w:hAnsiTheme="minorEastAsia" w:eastAsiaTheme="minorEastAsia"/>
          <w:b/>
          <w:u w:val="single"/>
        </w:rPr>
      </w:pPr>
      <w:r>
        <w:rPr>
          <w:rFonts w:hint="eastAsia" w:asciiTheme="minorEastAsia" w:hAnsiTheme="minorEastAsia" w:eastAsiaTheme="minorEastAsia"/>
        </w:rPr>
        <w:t>承包人（全称）：</w:t>
      </w:r>
      <w:r>
        <w:rPr>
          <w:rFonts w:hint="eastAsia" w:asciiTheme="minorEastAsia" w:hAnsiTheme="minorEastAsia" w:eastAsiaTheme="minorEastAsia"/>
          <w:b/>
          <w:u w:val="single"/>
        </w:rPr>
        <w:t xml:space="preserve">                   </w:t>
      </w:r>
    </w:p>
    <w:p w14:paraId="78F5793C">
      <w:pPr>
        <w:spacing w:line="332" w:lineRule="auto"/>
        <w:ind w:firstLine="420"/>
        <w:rPr>
          <w:rFonts w:asciiTheme="minorEastAsia" w:hAnsiTheme="minorEastAsia" w:eastAsiaTheme="minorEastAsia"/>
        </w:rPr>
      </w:pPr>
      <w:r>
        <w:rPr>
          <w:rFonts w:hint="eastAsia" w:asciiTheme="minorEastAsia" w:hAnsiTheme="minorEastAsia" w:eastAsiaTheme="minorEastAsia"/>
        </w:rPr>
        <w:t>根据《中华人民共和国民法典》、《中华人民共和国建筑法》及有关法律规定，遵循平等、自愿、公平和诚实信用的原则，双方就</w:t>
      </w:r>
    </w:p>
    <w:p w14:paraId="4D812FE8">
      <w:pPr>
        <w:spacing w:line="332" w:lineRule="auto"/>
        <w:rPr>
          <w:rFonts w:asciiTheme="minorEastAsia" w:hAnsiTheme="minorEastAsia" w:eastAsiaTheme="minorEastAsia"/>
        </w:rPr>
      </w:pPr>
      <w:r>
        <w:rPr>
          <w:rFonts w:hint="eastAsia" w:asciiTheme="minorEastAsia" w:hAnsiTheme="minorEastAsia" w:eastAsiaTheme="minorEastAsia"/>
        </w:rPr>
        <w:t>工程施工及有关事项协商一致，共同达成如下协议：</w:t>
      </w:r>
    </w:p>
    <w:p w14:paraId="19C85C3E">
      <w:pPr>
        <w:pStyle w:val="232"/>
        <w:spacing w:before="0" w:after="0" w:line="300" w:lineRule="exact"/>
        <w:rPr>
          <w:rFonts w:asciiTheme="minorEastAsia" w:hAnsiTheme="minorEastAsia" w:eastAsiaTheme="minorEastAsia"/>
          <w:sz w:val="21"/>
        </w:rPr>
      </w:pPr>
      <w:bookmarkStart w:id="76" w:name="_Toc351203481"/>
      <w:r>
        <w:rPr>
          <w:rFonts w:hint="eastAsia" w:asciiTheme="minorEastAsia" w:hAnsiTheme="minorEastAsia" w:eastAsiaTheme="minorEastAsia"/>
          <w:sz w:val="21"/>
        </w:rPr>
        <w:t>一、工程概况</w:t>
      </w:r>
      <w:bookmarkEnd w:id="76"/>
    </w:p>
    <w:p w14:paraId="4C31B9BC">
      <w:pPr>
        <w:spacing w:line="300" w:lineRule="exact"/>
        <w:ind w:firstLine="411"/>
        <w:rPr>
          <w:rFonts w:asciiTheme="minorEastAsia" w:hAnsiTheme="minorEastAsia" w:eastAsiaTheme="minorEastAsia"/>
          <w:u w:val="single"/>
        </w:rPr>
      </w:pPr>
      <w:r>
        <w:rPr>
          <w:rFonts w:hint="eastAsia" w:asciiTheme="minorEastAsia" w:hAnsiTheme="minorEastAsia" w:eastAsiaTheme="minorEastAsia"/>
        </w:rPr>
        <w:t>1.工程名称：。</w:t>
      </w:r>
    </w:p>
    <w:p w14:paraId="094F92C0">
      <w:pPr>
        <w:spacing w:line="300" w:lineRule="exact"/>
        <w:ind w:firstLine="411"/>
        <w:rPr>
          <w:rFonts w:asciiTheme="minorEastAsia" w:hAnsiTheme="minorEastAsia" w:eastAsiaTheme="minorEastAsia"/>
        </w:rPr>
      </w:pPr>
      <w:r>
        <w:rPr>
          <w:rFonts w:hint="eastAsia" w:asciiTheme="minorEastAsia" w:hAnsiTheme="minorEastAsia" w:eastAsiaTheme="minorEastAsia"/>
        </w:rPr>
        <w:t>2.工程地点：。</w:t>
      </w:r>
    </w:p>
    <w:p w14:paraId="00B2B362">
      <w:pPr>
        <w:spacing w:line="300" w:lineRule="exact"/>
        <w:ind w:firstLine="411"/>
        <w:rPr>
          <w:rFonts w:asciiTheme="minorEastAsia" w:hAnsiTheme="minorEastAsia" w:eastAsiaTheme="minorEastAsia"/>
        </w:rPr>
      </w:pPr>
      <w:r>
        <w:rPr>
          <w:rFonts w:hint="eastAsia" w:asciiTheme="minorEastAsia" w:hAnsiTheme="minorEastAsia" w:eastAsiaTheme="minorEastAsia"/>
        </w:rPr>
        <w:t>3.工程立项批准文号：。</w:t>
      </w:r>
    </w:p>
    <w:p w14:paraId="69B38D12">
      <w:pPr>
        <w:spacing w:line="300" w:lineRule="exact"/>
        <w:ind w:firstLine="411"/>
        <w:rPr>
          <w:rFonts w:asciiTheme="minorEastAsia" w:hAnsiTheme="minorEastAsia" w:eastAsiaTheme="minorEastAsia"/>
        </w:rPr>
      </w:pPr>
      <w:r>
        <w:rPr>
          <w:rFonts w:hint="eastAsia" w:asciiTheme="minorEastAsia" w:hAnsiTheme="minorEastAsia" w:eastAsiaTheme="minorEastAsia"/>
        </w:rPr>
        <w:t>4.资金来源：</w:t>
      </w:r>
      <w:r>
        <w:rPr>
          <w:rFonts w:hint="eastAsia" w:asciiTheme="minorEastAsia" w:hAnsiTheme="minorEastAsia" w:eastAsiaTheme="minorEastAsia"/>
          <w:u w:val="single"/>
        </w:rPr>
        <w:t xml:space="preserve">                         </w:t>
      </w:r>
      <w:r>
        <w:rPr>
          <w:rFonts w:hint="eastAsia" w:asciiTheme="minorEastAsia" w:hAnsiTheme="minorEastAsia" w:eastAsiaTheme="minorEastAsia"/>
        </w:rPr>
        <w:t>。</w:t>
      </w:r>
    </w:p>
    <w:p w14:paraId="7637E0BA">
      <w:pPr>
        <w:spacing w:line="300" w:lineRule="exact"/>
        <w:ind w:firstLine="411"/>
        <w:rPr>
          <w:rFonts w:asciiTheme="minorEastAsia" w:hAnsiTheme="minorEastAsia" w:eastAsiaTheme="minorEastAsia"/>
        </w:rPr>
      </w:pPr>
      <w:r>
        <w:rPr>
          <w:rFonts w:hint="eastAsia" w:asciiTheme="minorEastAsia" w:hAnsiTheme="minorEastAsia" w:eastAsiaTheme="minorEastAsia"/>
        </w:rPr>
        <w:t>5.工程内容：</w:t>
      </w:r>
      <w:r>
        <w:rPr>
          <w:rFonts w:hint="eastAsia" w:asciiTheme="minorEastAsia" w:hAnsiTheme="minorEastAsia" w:eastAsiaTheme="minorEastAsia"/>
          <w:u w:val="single"/>
        </w:rPr>
        <w:t xml:space="preserve">                         </w:t>
      </w:r>
      <w:r>
        <w:rPr>
          <w:rFonts w:hint="eastAsia" w:asciiTheme="minorEastAsia" w:hAnsiTheme="minorEastAsia" w:eastAsiaTheme="minorEastAsia"/>
        </w:rPr>
        <w:t>。</w:t>
      </w:r>
    </w:p>
    <w:p w14:paraId="34C9CF77">
      <w:pPr>
        <w:spacing w:line="300" w:lineRule="exact"/>
        <w:ind w:firstLine="411"/>
        <w:rPr>
          <w:rFonts w:asciiTheme="minorEastAsia" w:hAnsiTheme="minorEastAsia" w:eastAsiaTheme="minorEastAsia"/>
        </w:rPr>
      </w:pPr>
      <w:r>
        <w:rPr>
          <w:rFonts w:hint="eastAsia" w:asciiTheme="minorEastAsia" w:hAnsiTheme="minorEastAsia" w:eastAsiaTheme="minorEastAsia"/>
        </w:rPr>
        <w:t>群体工程应附《承包人承揽工程项目一览表》（附件1）。</w:t>
      </w:r>
    </w:p>
    <w:p w14:paraId="47A1A977">
      <w:pPr>
        <w:spacing w:line="300" w:lineRule="exact"/>
        <w:ind w:firstLine="411"/>
        <w:rPr>
          <w:rFonts w:asciiTheme="minorEastAsia" w:hAnsiTheme="minorEastAsia" w:eastAsiaTheme="minorEastAsia"/>
        </w:rPr>
      </w:pPr>
      <w:r>
        <w:rPr>
          <w:rFonts w:hint="eastAsia" w:asciiTheme="minorEastAsia" w:hAnsiTheme="minorEastAsia" w:eastAsiaTheme="minorEastAsia"/>
        </w:rPr>
        <w:t>6.工程承包范围：</w:t>
      </w:r>
    </w:p>
    <w:p w14:paraId="7F107109">
      <w:pPr>
        <w:spacing w:line="300" w:lineRule="exact"/>
        <w:ind w:firstLine="420"/>
        <w:rPr>
          <w:rFonts w:asciiTheme="minorEastAsia" w:hAnsiTheme="minorEastAsia" w:eastAsiaTheme="minorEastAsia"/>
        </w:rPr>
      </w:pPr>
      <w:r>
        <w:rPr>
          <w:rFonts w:hint="eastAsia" w:asciiTheme="minorEastAsia" w:hAnsiTheme="minorEastAsia" w:eastAsiaTheme="minorEastAsia"/>
          <w:u w:val="single"/>
        </w:rPr>
        <w:t xml:space="preserve">                                                                            </w:t>
      </w:r>
      <w:r>
        <w:rPr>
          <w:rFonts w:hint="eastAsia" w:asciiTheme="minorEastAsia" w:hAnsiTheme="minorEastAsia" w:eastAsiaTheme="minorEastAsia"/>
        </w:rPr>
        <w:t>。</w:t>
      </w:r>
    </w:p>
    <w:p w14:paraId="540ADC1B">
      <w:pPr>
        <w:pStyle w:val="232"/>
        <w:spacing w:before="0" w:after="0" w:line="300" w:lineRule="exact"/>
        <w:rPr>
          <w:rFonts w:asciiTheme="minorEastAsia" w:hAnsiTheme="minorEastAsia" w:eastAsiaTheme="minorEastAsia"/>
          <w:sz w:val="21"/>
        </w:rPr>
      </w:pPr>
      <w:bookmarkStart w:id="77" w:name="_Toc351203482"/>
      <w:r>
        <w:rPr>
          <w:rFonts w:hint="eastAsia" w:asciiTheme="minorEastAsia" w:hAnsiTheme="minorEastAsia" w:eastAsiaTheme="minorEastAsia"/>
          <w:sz w:val="21"/>
        </w:rPr>
        <w:t>二、合同工期</w:t>
      </w:r>
      <w:bookmarkEnd w:id="77"/>
    </w:p>
    <w:p w14:paraId="60EDABB2">
      <w:pPr>
        <w:spacing w:line="300" w:lineRule="exact"/>
        <w:ind w:firstLine="459"/>
        <w:rPr>
          <w:rFonts w:asciiTheme="minorEastAsia" w:hAnsiTheme="minorEastAsia" w:eastAsiaTheme="minorEastAsia"/>
        </w:rPr>
      </w:pPr>
      <w:r>
        <w:rPr>
          <w:rFonts w:hint="eastAsia" w:asciiTheme="minorEastAsia" w:hAnsiTheme="minorEastAsia" w:eastAsiaTheme="minorEastAsia"/>
        </w:rPr>
        <w:t>计划开工日期：年月日。</w:t>
      </w:r>
    </w:p>
    <w:p w14:paraId="7744A546">
      <w:pPr>
        <w:spacing w:line="300" w:lineRule="exact"/>
        <w:ind w:firstLine="459"/>
        <w:rPr>
          <w:rFonts w:asciiTheme="minorEastAsia" w:hAnsiTheme="minorEastAsia" w:eastAsiaTheme="minorEastAsia"/>
        </w:rPr>
      </w:pPr>
      <w:r>
        <w:rPr>
          <w:rFonts w:hint="eastAsia" w:asciiTheme="minorEastAsia" w:hAnsiTheme="minorEastAsia" w:eastAsiaTheme="minorEastAsia"/>
        </w:rPr>
        <w:t>计划竣工日期：年月日。</w:t>
      </w:r>
    </w:p>
    <w:p w14:paraId="4F54A2B4">
      <w:pPr>
        <w:spacing w:line="300" w:lineRule="exact"/>
        <w:ind w:firstLine="459"/>
        <w:rPr>
          <w:rFonts w:asciiTheme="minorEastAsia" w:hAnsiTheme="minorEastAsia" w:eastAsiaTheme="minorEastAsia"/>
        </w:rPr>
      </w:pPr>
      <w:r>
        <w:rPr>
          <w:rFonts w:hint="eastAsia" w:asciiTheme="minorEastAsia" w:hAnsiTheme="minorEastAsia" w:eastAsiaTheme="minorEastAsia"/>
        </w:rPr>
        <w:t>工期总日历天数：天。工期总日历天数与根据前述计划开竣工日期计算的工期天数不一致的，以工期总日历天数为准。</w:t>
      </w:r>
    </w:p>
    <w:p w14:paraId="7E6386B8">
      <w:pPr>
        <w:pStyle w:val="232"/>
        <w:spacing w:before="0" w:after="0" w:line="300" w:lineRule="exact"/>
        <w:rPr>
          <w:rFonts w:asciiTheme="minorEastAsia" w:hAnsiTheme="minorEastAsia" w:eastAsiaTheme="minorEastAsia"/>
          <w:sz w:val="21"/>
        </w:rPr>
      </w:pPr>
      <w:bookmarkStart w:id="78" w:name="_Toc351203483"/>
      <w:r>
        <w:rPr>
          <w:rFonts w:hint="eastAsia" w:asciiTheme="minorEastAsia" w:hAnsiTheme="minorEastAsia" w:eastAsiaTheme="minorEastAsia"/>
          <w:sz w:val="21"/>
        </w:rPr>
        <w:t>三、质量标准</w:t>
      </w:r>
      <w:bookmarkEnd w:id="78"/>
    </w:p>
    <w:p w14:paraId="280132C9">
      <w:pPr>
        <w:spacing w:line="300" w:lineRule="exact"/>
        <w:ind w:firstLine="459"/>
        <w:rPr>
          <w:rFonts w:asciiTheme="minorEastAsia" w:hAnsiTheme="minorEastAsia" w:eastAsiaTheme="minorEastAsia"/>
        </w:rPr>
      </w:pPr>
      <w:r>
        <w:rPr>
          <w:rFonts w:hint="eastAsia" w:asciiTheme="minorEastAsia" w:hAnsiTheme="minorEastAsia" w:eastAsiaTheme="minorEastAsia"/>
        </w:rPr>
        <w:t>工程质量符合</w:t>
      </w:r>
      <w:r>
        <w:rPr>
          <w:rFonts w:hint="eastAsia" w:asciiTheme="minorEastAsia" w:hAnsiTheme="minorEastAsia" w:eastAsiaTheme="minorEastAsia"/>
          <w:u w:val="single"/>
        </w:rPr>
        <w:t xml:space="preserve">                        </w:t>
      </w:r>
      <w:r>
        <w:rPr>
          <w:rFonts w:hint="eastAsia" w:asciiTheme="minorEastAsia" w:hAnsiTheme="minorEastAsia" w:eastAsiaTheme="minorEastAsia"/>
        </w:rPr>
        <w:t>标准。</w:t>
      </w:r>
    </w:p>
    <w:p w14:paraId="7898FCED">
      <w:pPr>
        <w:pStyle w:val="232"/>
        <w:spacing w:before="0" w:after="0" w:line="300" w:lineRule="exact"/>
        <w:rPr>
          <w:rFonts w:asciiTheme="minorEastAsia" w:hAnsiTheme="minorEastAsia" w:eastAsiaTheme="minorEastAsia"/>
          <w:sz w:val="21"/>
        </w:rPr>
      </w:pPr>
      <w:bookmarkStart w:id="79" w:name="_Toc351203484"/>
      <w:r>
        <w:rPr>
          <w:rFonts w:hint="eastAsia" w:asciiTheme="minorEastAsia" w:hAnsiTheme="minorEastAsia" w:eastAsiaTheme="minorEastAsia"/>
          <w:sz w:val="21"/>
        </w:rPr>
        <w:t>四、签约合同价与合同价格形式</w:t>
      </w:r>
      <w:bookmarkEnd w:id="79"/>
      <w:r>
        <w:rPr>
          <w:rFonts w:hint="eastAsia" w:asciiTheme="minorEastAsia" w:hAnsiTheme="minorEastAsia" w:eastAsiaTheme="minorEastAsia"/>
          <w:b w:val="0"/>
          <w:sz w:val="21"/>
        </w:rPr>
        <w:tab/>
      </w:r>
    </w:p>
    <w:p w14:paraId="0922DCEB">
      <w:pPr>
        <w:spacing w:line="300" w:lineRule="exact"/>
        <w:ind w:firstLine="420"/>
        <w:rPr>
          <w:rFonts w:asciiTheme="minorEastAsia" w:hAnsiTheme="minorEastAsia" w:eastAsiaTheme="minorEastAsia"/>
        </w:rPr>
      </w:pPr>
      <w:r>
        <w:rPr>
          <w:rFonts w:hint="eastAsia" w:asciiTheme="minorEastAsia" w:hAnsiTheme="minorEastAsia" w:eastAsiaTheme="minorEastAsia"/>
        </w:rPr>
        <w:t>1.签约合同价为：</w:t>
      </w:r>
    </w:p>
    <w:p w14:paraId="7EF2468A">
      <w:pPr>
        <w:spacing w:line="300" w:lineRule="exact"/>
        <w:ind w:firstLine="525"/>
        <w:rPr>
          <w:rFonts w:asciiTheme="minorEastAsia" w:hAnsiTheme="minorEastAsia" w:eastAsiaTheme="minorEastAsia"/>
        </w:rPr>
      </w:pPr>
      <w:r>
        <w:rPr>
          <w:rFonts w:hint="eastAsia" w:asciiTheme="minorEastAsia" w:hAnsiTheme="minorEastAsia" w:eastAsiaTheme="minorEastAsia"/>
        </w:rPr>
        <w:t>人民币（大写）(¥元)；</w:t>
      </w:r>
    </w:p>
    <w:p w14:paraId="363CA453">
      <w:pPr>
        <w:spacing w:line="300" w:lineRule="exact"/>
        <w:ind w:firstLine="420"/>
        <w:rPr>
          <w:rFonts w:asciiTheme="minorEastAsia" w:hAnsiTheme="minorEastAsia" w:eastAsiaTheme="minorEastAsia"/>
        </w:rPr>
      </w:pPr>
      <w:r>
        <w:rPr>
          <w:rFonts w:hint="eastAsia" w:asciiTheme="minorEastAsia" w:hAnsiTheme="minorEastAsia" w:eastAsiaTheme="minorEastAsia"/>
        </w:rPr>
        <w:t>其中：</w:t>
      </w:r>
    </w:p>
    <w:p w14:paraId="58384C69">
      <w:pPr>
        <w:spacing w:line="300" w:lineRule="exact"/>
        <w:ind w:firstLine="420"/>
        <w:rPr>
          <w:rFonts w:asciiTheme="minorEastAsia" w:hAnsiTheme="minorEastAsia" w:eastAsiaTheme="minorEastAsia"/>
        </w:rPr>
      </w:pPr>
      <w:r>
        <w:rPr>
          <w:rFonts w:hint="eastAsia" w:asciiTheme="minorEastAsia" w:hAnsiTheme="minorEastAsia" w:eastAsiaTheme="minorEastAsia"/>
        </w:rPr>
        <w:t>（1）安全文明施工费：</w:t>
      </w:r>
    </w:p>
    <w:p w14:paraId="3F7E4B28">
      <w:pPr>
        <w:spacing w:line="300" w:lineRule="exact"/>
        <w:ind w:firstLine="945"/>
        <w:rPr>
          <w:rFonts w:asciiTheme="minorEastAsia" w:hAnsiTheme="minorEastAsia" w:eastAsiaTheme="minorEastAsia"/>
        </w:rPr>
      </w:pPr>
      <w:r>
        <w:rPr>
          <w:rFonts w:hint="eastAsia" w:asciiTheme="minorEastAsia" w:hAnsiTheme="minorEastAsia" w:eastAsiaTheme="minorEastAsia"/>
        </w:rPr>
        <w:t>人民币（大写） (¥元)；</w:t>
      </w:r>
    </w:p>
    <w:p w14:paraId="5287B362">
      <w:pPr>
        <w:spacing w:line="300" w:lineRule="exact"/>
        <w:ind w:firstLine="420"/>
        <w:rPr>
          <w:rFonts w:asciiTheme="minorEastAsia" w:hAnsiTheme="minorEastAsia" w:eastAsiaTheme="minorEastAsia"/>
        </w:rPr>
      </w:pPr>
      <w:r>
        <w:rPr>
          <w:rFonts w:hint="eastAsia" w:asciiTheme="minorEastAsia" w:hAnsiTheme="minorEastAsia" w:eastAsiaTheme="minorEastAsia"/>
        </w:rPr>
        <w:t>（2）材料和工程设备暂估价金额：</w:t>
      </w:r>
    </w:p>
    <w:p w14:paraId="4A3A8782">
      <w:pPr>
        <w:spacing w:line="300" w:lineRule="exact"/>
        <w:ind w:firstLine="945"/>
        <w:rPr>
          <w:rFonts w:asciiTheme="minorEastAsia" w:hAnsiTheme="minorEastAsia" w:eastAsiaTheme="minorEastAsia"/>
        </w:rPr>
      </w:pPr>
      <w:r>
        <w:rPr>
          <w:rFonts w:hint="eastAsia" w:asciiTheme="minorEastAsia" w:hAnsiTheme="minorEastAsia" w:eastAsiaTheme="minorEastAsia"/>
        </w:rPr>
        <w:t>人民币（大写） (¥元)；</w:t>
      </w:r>
    </w:p>
    <w:p w14:paraId="4FAA2742">
      <w:pPr>
        <w:spacing w:line="300" w:lineRule="exact"/>
        <w:ind w:firstLine="420"/>
        <w:rPr>
          <w:rFonts w:asciiTheme="minorEastAsia" w:hAnsiTheme="minorEastAsia" w:eastAsiaTheme="minorEastAsia"/>
        </w:rPr>
      </w:pPr>
      <w:r>
        <w:rPr>
          <w:rFonts w:hint="eastAsia" w:asciiTheme="minorEastAsia" w:hAnsiTheme="minorEastAsia" w:eastAsiaTheme="minorEastAsia"/>
        </w:rPr>
        <w:t>（3）专业工程暂估价金额：</w:t>
      </w:r>
    </w:p>
    <w:p w14:paraId="1D1A028D">
      <w:pPr>
        <w:spacing w:line="300" w:lineRule="exact"/>
        <w:ind w:firstLine="945"/>
        <w:rPr>
          <w:rFonts w:asciiTheme="minorEastAsia" w:hAnsiTheme="minorEastAsia" w:eastAsiaTheme="minorEastAsia"/>
        </w:rPr>
      </w:pPr>
      <w:r>
        <w:rPr>
          <w:rFonts w:hint="eastAsia" w:asciiTheme="minorEastAsia" w:hAnsiTheme="minorEastAsia" w:eastAsiaTheme="minorEastAsia"/>
        </w:rPr>
        <w:t>人民币（大写） (¥元)；</w:t>
      </w:r>
    </w:p>
    <w:p w14:paraId="4A091981">
      <w:pPr>
        <w:spacing w:line="300" w:lineRule="exact"/>
        <w:ind w:firstLine="420"/>
        <w:rPr>
          <w:rFonts w:asciiTheme="minorEastAsia" w:hAnsiTheme="minorEastAsia" w:eastAsiaTheme="minorEastAsia"/>
        </w:rPr>
      </w:pPr>
      <w:r>
        <w:rPr>
          <w:rFonts w:hint="eastAsia" w:asciiTheme="minorEastAsia" w:hAnsiTheme="minorEastAsia" w:eastAsiaTheme="minorEastAsia"/>
        </w:rPr>
        <w:t>（4）暂列金额：</w:t>
      </w:r>
    </w:p>
    <w:p w14:paraId="1D9317B1">
      <w:pPr>
        <w:spacing w:line="300" w:lineRule="exact"/>
        <w:ind w:firstLine="945"/>
        <w:rPr>
          <w:rFonts w:asciiTheme="minorEastAsia" w:hAnsiTheme="minorEastAsia" w:eastAsiaTheme="minorEastAsia"/>
        </w:rPr>
      </w:pPr>
      <w:r>
        <w:rPr>
          <w:rFonts w:hint="eastAsia" w:asciiTheme="minorEastAsia" w:hAnsiTheme="minorEastAsia" w:eastAsiaTheme="minorEastAsia"/>
        </w:rPr>
        <w:t>人民币（大写） (¥元)。</w:t>
      </w:r>
    </w:p>
    <w:p w14:paraId="5FABD6DB">
      <w:pPr>
        <w:spacing w:line="300" w:lineRule="exact"/>
        <w:ind w:firstLine="420"/>
        <w:rPr>
          <w:rFonts w:asciiTheme="minorEastAsia" w:hAnsiTheme="minorEastAsia" w:eastAsiaTheme="minorEastAsia"/>
        </w:rPr>
      </w:pPr>
      <w:r>
        <w:rPr>
          <w:rFonts w:hint="eastAsia" w:asciiTheme="minorEastAsia" w:hAnsiTheme="minorEastAsia" w:eastAsiaTheme="minorEastAsia"/>
        </w:rPr>
        <w:t>2.合同价格形式：</w:t>
      </w:r>
      <w:r>
        <w:rPr>
          <w:rFonts w:hint="eastAsia" w:asciiTheme="minorEastAsia" w:hAnsiTheme="minorEastAsia" w:eastAsiaTheme="minorEastAsia"/>
          <w:u w:val="single"/>
        </w:rPr>
        <w:t xml:space="preserve">                </w:t>
      </w:r>
      <w:r>
        <w:rPr>
          <w:rFonts w:hint="eastAsia" w:asciiTheme="minorEastAsia" w:hAnsiTheme="minorEastAsia" w:eastAsiaTheme="minorEastAsia"/>
        </w:rPr>
        <w:t>。</w:t>
      </w:r>
    </w:p>
    <w:p w14:paraId="32F0FF13">
      <w:pPr>
        <w:pStyle w:val="232"/>
        <w:spacing w:before="0" w:after="0" w:line="300" w:lineRule="exact"/>
        <w:rPr>
          <w:rFonts w:asciiTheme="minorEastAsia" w:hAnsiTheme="minorEastAsia" w:eastAsiaTheme="minorEastAsia"/>
          <w:sz w:val="21"/>
        </w:rPr>
      </w:pPr>
      <w:bookmarkStart w:id="80" w:name="_Toc351203485"/>
      <w:r>
        <w:rPr>
          <w:rFonts w:hint="eastAsia" w:asciiTheme="minorEastAsia" w:hAnsiTheme="minorEastAsia" w:eastAsiaTheme="minorEastAsia"/>
          <w:sz w:val="21"/>
        </w:rPr>
        <w:t>五、</w:t>
      </w:r>
      <w:bookmarkEnd w:id="80"/>
      <w:r>
        <w:rPr>
          <w:rFonts w:hint="eastAsia" w:asciiTheme="minorEastAsia" w:hAnsiTheme="minorEastAsia" w:eastAsiaTheme="minorEastAsia"/>
          <w:sz w:val="21"/>
        </w:rPr>
        <w:t>项目经理</w:t>
      </w:r>
    </w:p>
    <w:p w14:paraId="5B721269">
      <w:pPr>
        <w:spacing w:line="300" w:lineRule="exact"/>
        <w:ind w:firstLine="420"/>
        <w:rPr>
          <w:rFonts w:asciiTheme="minorEastAsia" w:hAnsiTheme="minorEastAsia" w:eastAsiaTheme="minorEastAsia"/>
        </w:rPr>
      </w:pPr>
      <w:r>
        <w:rPr>
          <w:rFonts w:hint="eastAsia" w:asciiTheme="minorEastAsia" w:hAnsiTheme="minorEastAsia" w:eastAsiaTheme="minorEastAsia"/>
        </w:rPr>
        <w:t>承包人项目经理：</w:t>
      </w:r>
      <w:r>
        <w:rPr>
          <w:rFonts w:hint="eastAsia" w:asciiTheme="minorEastAsia" w:hAnsiTheme="minorEastAsia" w:eastAsiaTheme="minorEastAsia"/>
          <w:u w:val="single"/>
        </w:rPr>
        <w:t xml:space="preserve">                 </w:t>
      </w:r>
      <w:r>
        <w:rPr>
          <w:rFonts w:hint="eastAsia" w:asciiTheme="minorEastAsia" w:hAnsiTheme="minorEastAsia" w:eastAsiaTheme="minorEastAsia"/>
        </w:rPr>
        <w:t>。</w:t>
      </w:r>
    </w:p>
    <w:p w14:paraId="5B945F0F">
      <w:pPr>
        <w:pStyle w:val="232"/>
        <w:spacing w:before="0" w:after="0" w:line="300" w:lineRule="exact"/>
        <w:rPr>
          <w:rFonts w:asciiTheme="minorEastAsia" w:hAnsiTheme="minorEastAsia" w:eastAsiaTheme="minorEastAsia"/>
          <w:sz w:val="21"/>
        </w:rPr>
      </w:pPr>
      <w:bookmarkStart w:id="81" w:name="_Toc351203486"/>
      <w:r>
        <w:rPr>
          <w:rFonts w:hint="eastAsia" w:asciiTheme="minorEastAsia" w:hAnsiTheme="minorEastAsia" w:eastAsiaTheme="minorEastAsia"/>
          <w:sz w:val="21"/>
        </w:rPr>
        <w:t>六、合同文件构成</w:t>
      </w:r>
      <w:bookmarkEnd w:id="81"/>
    </w:p>
    <w:p w14:paraId="12243781">
      <w:pPr>
        <w:spacing w:line="300" w:lineRule="exact"/>
        <w:ind w:firstLine="420"/>
        <w:rPr>
          <w:rFonts w:asciiTheme="minorEastAsia" w:hAnsiTheme="minorEastAsia" w:eastAsiaTheme="minorEastAsia"/>
        </w:rPr>
      </w:pPr>
      <w:r>
        <w:rPr>
          <w:rFonts w:hint="eastAsia" w:asciiTheme="minorEastAsia" w:hAnsiTheme="minorEastAsia" w:eastAsiaTheme="minorEastAsia"/>
        </w:rPr>
        <w:t>本协议书与下列文件一起构成合同文件：</w:t>
      </w:r>
    </w:p>
    <w:p w14:paraId="7C49ABC8">
      <w:pPr>
        <w:spacing w:line="300" w:lineRule="exact"/>
        <w:ind w:firstLine="420"/>
        <w:jc w:val="left"/>
        <w:rPr>
          <w:rFonts w:asciiTheme="minorEastAsia" w:hAnsiTheme="minorEastAsia" w:eastAsiaTheme="minorEastAsia"/>
        </w:rPr>
      </w:pPr>
      <w:r>
        <w:rPr>
          <w:rFonts w:hint="eastAsia" w:asciiTheme="minorEastAsia" w:hAnsiTheme="minorEastAsia" w:eastAsiaTheme="minorEastAsia"/>
        </w:rPr>
        <w:t>（1）中标通知书（如果有）；</w:t>
      </w:r>
    </w:p>
    <w:p w14:paraId="787BE063">
      <w:pPr>
        <w:spacing w:line="300" w:lineRule="exact"/>
        <w:ind w:firstLine="420"/>
        <w:jc w:val="left"/>
        <w:rPr>
          <w:rFonts w:asciiTheme="minorEastAsia" w:hAnsiTheme="minorEastAsia" w:eastAsiaTheme="minorEastAsia"/>
        </w:rPr>
      </w:pPr>
      <w:r>
        <w:rPr>
          <w:rFonts w:hint="eastAsia" w:asciiTheme="minorEastAsia" w:hAnsiTheme="minorEastAsia" w:eastAsiaTheme="minorEastAsia"/>
        </w:rPr>
        <w:t xml:space="preserve">（2）投标函及投标函附录； </w:t>
      </w:r>
    </w:p>
    <w:p w14:paraId="52FE7369">
      <w:pPr>
        <w:spacing w:line="300" w:lineRule="exact"/>
        <w:ind w:firstLine="420"/>
        <w:jc w:val="left"/>
        <w:rPr>
          <w:rFonts w:asciiTheme="minorEastAsia" w:hAnsiTheme="minorEastAsia" w:eastAsiaTheme="minorEastAsia"/>
        </w:rPr>
      </w:pPr>
      <w:r>
        <w:rPr>
          <w:rFonts w:hint="eastAsia" w:asciiTheme="minorEastAsia" w:hAnsiTheme="minorEastAsia" w:eastAsiaTheme="minorEastAsia"/>
        </w:rPr>
        <w:t>（3）专用合同条款及其附件；</w:t>
      </w:r>
    </w:p>
    <w:p w14:paraId="131ED9A6">
      <w:pPr>
        <w:spacing w:line="300" w:lineRule="exact"/>
        <w:ind w:firstLine="420"/>
        <w:jc w:val="left"/>
        <w:rPr>
          <w:rFonts w:asciiTheme="minorEastAsia" w:hAnsiTheme="minorEastAsia" w:eastAsiaTheme="minorEastAsia"/>
        </w:rPr>
      </w:pPr>
      <w:r>
        <w:rPr>
          <w:rFonts w:hint="eastAsia" w:asciiTheme="minorEastAsia" w:hAnsiTheme="minorEastAsia" w:eastAsiaTheme="minorEastAsia"/>
        </w:rPr>
        <w:t>（4）通用合同条款；</w:t>
      </w:r>
    </w:p>
    <w:p w14:paraId="5A5AACA9">
      <w:pPr>
        <w:spacing w:line="300" w:lineRule="exact"/>
        <w:ind w:firstLine="420"/>
        <w:jc w:val="left"/>
        <w:rPr>
          <w:rFonts w:asciiTheme="minorEastAsia" w:hAnsiTheme="minorEastAsia" w:eastAsiaTheme="minorEastAsia"/>
        </w:rPr>
      </w:pPr>
      <w:r>
        <w:rPr>
          <w:rFonts w:hint="eastAsia" w:asciiTheme="minorEastAsia" w:hAnsiTheme="minorEastAsia" w:eastAsiaTheme="minorEastAsia"/>
        </w:rPr>
        <w:t>（5）技术标准和要求；</w:t>
      </w:r>
    </w:p>
    <w:p w14:paraId="050E6AC4">
      <w:pPr>
        <w:spacing w:line="300" w:lineRule="exact"/>
        <w:ind w:firstLine="420"/>
        <w:jc w:val="left"/>
        <w:rPr>
          <w:rFonts w:asciiTheme="minorEastAsia" w:hAnsiTheme="minorEastAsia" w:eastAsiaTheme="minorEastAsia"/>
        </w:rPr>
      </w:pPr>
      <w:r>
        <w:rPr>
          <w:rFonts w:hint="eastAsia" w:asciiTheme="minorEastAsia" w:hAnsiTheme="minorEastAsia" w:eastAsiaTheme="minorEastAsia"/>
        </w:rPr>
        <w:t>（6）图纸；</w:t>
      </w:r>
    </w:p>
    <w:p w14:paraId="1E6B292C">
      <w:pPr>
        <w:spacing w:line="300" w:lineRule="exact"/>
        <w:ind w:firstLine="420"/>
        <w:jc w:val="left"/>
        <w:rPr>
          <w:rFonts w:asciiTheme="minorEastAsia" w:hAnsiTheme="minorEastAsia" w:eastAsiaTheme="minorEastAsia"/>
        </w:rPr>
      </w:pPr>
      <w:r>
        <w:rPr>
          <w:rFonts w:hint="eastAsia" w:asciiTheme="minorEastAsia" w:hAnsiTheme="minorEastAsia" w:eastAsiaTheme="minorEastAsia"/>
        </w:rPr>
        <w:t>（7）已标价工程量清单或预算书；</w:t>
      </w:r>
    </w:p>
    <w:p w14:paraId="03A9F213">
      <w:pPr>
        <w:spacing w:line="300" w:lineRule="exact"/>
        <w:ind w:firstLine="420"/>
        <w:jc w:val="left"/>
        <w:rPr>
          <w:rFonts w:asciiTheme="minorEastAsia" w:hAnsiTheme="minorEastAsia" w:eastAsiaTheme="minorEastAsia"/>
        </w:rPr>
      </w:pPr>
      <w:r>
        <w:rPr>
          <w:rFonts w:hint="eastAsia" w:asciiTheme="minorEastAsia" w:hAnsiTheme="minorEastAsia" w:eastAsiaTheme="minorEastAsia"/>
        </w:rPr>
        <w:t>（8）其他合同文件。</w:t>
      </w:r>
    </w:p>
    <w:p w14:paraId="745F4806">
      <w:pPr>
        <w:spacing w:line="300" w:lineRule="exact"/>
        <w:ind w:firstLine="420"/>
        <w:jc w:val="left"/>
        <w:rPr>
          <w:rFonts w:asciiTheme="minorEastAsia" w:hAnsiTheme="minorEastAsia" w:eastAsiaTheme="minorEastAsia"/>
        </w:rPr>
      </w:pPr>
      <w:r>
        <w:rPr>
          <w:rFonts w:hint="eastAsia" w:asciiTheme="minorEastAsia" w:hAnsiTheme="minorEastAsia" w:eastAsiaTheme="minorEastAsia"/>
        </w:rPr>
        <w:t>在合同订立及履行过程中形成的与合同有关的文件均构成合同文件组成部分。</w:t>
      </w:r>
    </w:p>
    <w:p w14:paraId="21A24C3D">
      <w:pPr>
        <w:spacing w:line="300" w:lineRule="exact"/>
        <w:ind w:firstLine="420"/>
        <w:jc w:val="left"/>
        <w:rPr>
          <w:rFonts w:asciiTheme="minorEastAsia" w:hAnsiTheme="minorEastAsia" w:eastAsiaTheme="minorEastAsia"/>
        </w:rPr>
      </w:pPr>
      <w:r>
        <w:rPr>
          <w:rFonts w:hint="eastAsia" w:asciiTheme="minorEastAsia" w:hAnsiTheme="minorEastAsia" w:eastAsiaTheme="minorEastAsia"/>
        </w:rPr>
        <w:t>上述各项合同文件包括合同当事人就该项合同文件所作出的补充和修改，属于同一类内容的文件，应以最新签署的为准。专用合同条款及其附件须经合同当事人签字或盖章。</w:t>
      </w:r>
    </w:p>
    <w:p w14:paraId="7FAEF146">
      <w:pPr>
        <w:pStyle w:val="232"/>
        <w:spacing w:before="0" w:after="0" w:line="300" w:lineRule="exact"/>
        <w:rPr>
          <w:rFonts w:asciiTheme="minorEastAsia" w:hAnsiTheme="minorEastAsia" w:eastAsiaTheme="minorEastAsia"/>
          <w:sz w:val="21"/>
        </w:rPr>
      </w:pPr>
      <w:bookmarkStart w:id="82" w:name="_Toc351203487"/>
      <w:r>
        <w:rPr>
          <w:rFonts w:hint="eastAsia" w:asciiTheme="minorEastAsia" w:hAnsiTheme="minorEastAsia" w:eastAsiaTheme="minorEastAsia"/>
          <w:sz w:val="21"/>
        </w:rPr>
        <w:t>七、承诺</w:t>
      </w:r>
      <w:bookmarkEnd w:id="82"/>
    </w:p>
    <w:p w14:paraId="470781CE">
      <w:pPr>
        <w:spacing w:line="300" w:lineRule="exact"/>
        <w:ind w:firstLine="420"/>
        <w:rPr>
          <w:rFonts w:asciiTheme="minorEastAsia" w:hAnsiTheme="minorEastAsia" w:eastAsiaTheme="minorEastAsia"/>
        </w:rPr>
      </w:pPr>
      <w:r>
        <w:rPr>
          <w:rFonts w:hint="eastAsia" w:asciiTheme="minorEastAsia" w:hAnsiTheme="minorEastAsia" w:eastAsiaTheme="minorEastAsia"/>
        </w:rPr>
        <w:t>1.发包人承诺按照法律规定履行项目审批手续、筹集工程建设资金并按照合同约定的期限和方式支付合同价款。</w:t>
      </w:r>
    </w:p>
    <w:p w14:paraId="6A4FEDE7">
      <w:pPr>
        <w:spacing w:line="300" w:lineRule="exact"/>
        <w:ind w:firstLine="420"/>
        <w:rPr>
          <w:rFonts w:asciiTheme="minorEastAsia" w:hAnsiTheme="minorEastAsia" w:eastAsiaTheme="minorEastAsia"/>
        </w:rPr>
      </w:pPr>
      <w:r>
        <w:rPr>
          <w:rFonts w:hint="eastAsia" w:asciiTheme="minorEastAsia" w:hAnsiTheme="minorEastAsia" w:eastAsiaTheme="minorEastAsia"/>
        </w:rPr>
        <w:t>2.承包人承诺按照法律规定及合同约定组织完成工程施工，确保工程质量和安全，不进行转包及违法分包，并在缺陷责任期及保修期内承担相应的工程维修责任。</w:t>
      </w:r>
    </w:p>
    <w:p w14:paraId="1E18A13C">
      <w:pPr>
        <w:spacing w:line="300" w:lineRule="exact"/>
        <w:ind w:firstLine="420"/>
        <w:rPr>
          <w:rFonts w:asciiTheme="minorEastAsia" w:hAnsiTheme="minorEastAsia" w:eastAsiaTheme="minorEastAsia"/>
        </w:rPr>
      </w:pPr>
      <w:r>
        <w:rPr>
          <w:rFonts w:hint="eastAsia" w:asciiTheme="minorEastAsia" w:hAnsiTheme="minorEastAsia" w:eastAsiaTheme="minorEastAsia"/>
        </w:rPr>
        <w:t>3.发包人和承包人通过招投标形式签订合同的，双方理解并承诺不再就同一工程另行签订与合同实质性内容相背离的协议。</w:t>
      </w:r>
    </w:p>
    <w:p w14:paraId="3143E73F">
      <w:pPr>
        <w:pStyle w:val="232"/>
        <w:spacing w:before="0" w:after="0" w:line="300" w:lineRule="exact"/>
        <w:rPr>
          <w:rFonts w:asciiTheme="minorEastAsia" w:hAnsiTheme="minorEastAsia" w:eastAsiaTheme="minorEastAsia"/>
          <w:sz w:val="21"/>
        </w:rPr>
      </w:pPr>
      <w:bookmarkStart w:id="83" w:name="_Toc351203488"/>
      <w:r>
        <w:rPr>
          <w:rFonts w:hint="eastAsia" w:asciiTheme="minorEastAsia" w:hAnsiTheme="minorEastAsia" w:eastAsiaTheme="minorEastAsia"/>
          <w:sz w:val="21"/>
        </w:rPr>
        <w:t>八、词语含义</w:t>
      </w:r>
      <w:bookmarkEnd w:id="83"/>
    </w:p>
    <w:p w14:paraId="2F17FC41">
      <w:pPr>
        <w:spacing w:line="300" w:lineRule="exact"/>
        <w:ind w:firstLine="420"/>
        <w:rPr>
          <w:rFonts w:asciiTheme="minorEastAsia" w:hAnsiTheme="minorEastAsia" w:eastAsiaTheme="minorEastAsia"/>
        </w:rPr>
      </w:pPr>
      <w:r>
        <w:rPr>
          <w:rFonts w:hint="eastAsia" w:asciiTheme="minorEastAsia" w:hAnsiTheme="minorEastAsia" w:eastAsiaTheme="minorEastAsia"/>
        </w:rPr>
        <w:t>本协议书中词语含义与第二部分通用合同条款中赋予的含义相同。</w:t>
      </w:r>
    </w:p>
    <w:p w14:paraId="5C6A638D">
      <w:pPr>
        <w:pStyle w:val="232"/>
        <w:spacing w:before="0" w:after="0" w:line="300" w:lineRule="exact"/>
        <w:rPr>
          <w:rFonts w:asciiTheme="minorEastAsia" w:hAnsiTheme="minorEastAsia" w:eastAsiaTheme="minorEastAsia"/>
          <w:sz w:val="21"/>
        </w:rPr>
      </w:pPr>
      <w:bookmarkStart w:id="84" w:name="_Toc351203489"/>
      <w:r>
        <w:rPr>
          <w:rFonts w:hint="eastAsia" w:asciiTheme="minorEastAsia" w:hAnsiTheme="minorEastAsia" w:eastAsiaTheme="minorEastAsia"/>
          <w:sz w:val="21"/>
        </w:rPr>
        <w:t>九、签订时间</w:t>
      </w:r>
      <w:bookmarkEnd w:id="84"/>
    </w:p>
    <w:p w14:paraId="7C54A00E">
      <w:pPr>
        <w:spacing w:line="300" w:lineRule="exact"/>
        <w:ind w:firstLine="420"/>
        <w:rPr>
          <w:rFonts w:asciiTheme="minorEastAsia" w:hAnsiTheme="minorEastAsia" w:eastAsiaTheme="minorEastAsia"/>
        </w:rPr>
      </w:pPr>
      <w:r>
        <w:rPr>
          <w:rFonts w:hint="eastAsia" w:asciiTheme="minorEastAsia" w:hAnsiTheme="minorEastAsia" w:eastAsiaTheme="minorEastAsia"/>
        </w:rPr>
        <w:t>本合同于年月日签订。</w:t>
      </w:r>
    </w:p>
    <w:p w14:paraId="3976785D">
      <w:pPr>
        <w:pStyle w:val="232"/>
        <w:spacing w:before="0" w:after="0" w:line="300" w:lineRule="exact"/>
        <w:rPr>
          <w:rFonts w:asciiTheme="minorEastAsia" w:hAnsiTheme="minorEastAsia" w:eastAsiaTheme="minorEastAsia"/>
          <w:sz w:val="21"/>
        </w:rPr>
      </w:pPr>
      <w:bookmarkStart w:id="85" w:name="_Toc351203490"/>
      <w:r>
        <w:rPr>
          <w:rFonts w:hint="eastAsia" w:asciiTheme="minorEastAsia" w:hAnsiTheme="minorEastAsia" w:eastAsiaTheme="minorEastAsia"/>
          <w:sz w:val="21"/>
        </w:rPr>
        <w:t>十、签订地点</w:t>
      </w:r>
      <w:bookmarkEnd w:id="85"/>
    </w:p>
    <w:p w14:paraId="7F9E7674">
      <w:pPr>
        <w:spacing w:line="300" w:lineRule="exact"/>
        <w:ind w:firstLine="420"/>
        <w:rPr>
          <w:rFonts w:asciiTheme="minorEastAsia" w:hAnsiTheme="minorEastAsia" w:eastAsiaTheme="minorEastAsia"/>
        </w:rPr>
      </w:pPr>
      <w:r>
        <w:rPr>
          <w:rFonts w:hint="eastAsia" w:asciiTheme="minorEastAsia" w:hAnsiTheme="minorEastAsia" w:eastAsiaTheme="minorEastAsia"/>
        </w:rPr>
        <w:t>本合同在签订。</w:t>
      </w:r>
    </w:p>
    <w:p w14:paraId="7D3E81E6">
      <w:pPr>
        <w:pStyle w:val="232"/>
        <w:spacing w:before="0" w:after="0" w:line="300" w:lineRule="exact"/>
        <w:rPr>
          <w:rFonts w:asciiTheme="minorEastAsia" w:hAnsiTheme="minorEastAsia" w:eastAsiaTheme="minorEastAsia"/>
          <w:sz w:val="21"/>
        </w:rPr>
      </w:pPr>
      <w:bookmarkStart w:id="86" w:name="_Toc351203491"/>
      <w:r>
        <w:rPr>
          <w:rFonts w:hint="eastAsia" w:asciiTheme="minorEastAsia" w:hAnsiTheme="minorEastAsia" w:eastAsiaTheme="minorEastAsia"/>
          <w:sz w:val="21"/>
        </w:rPr>
        <w:t>十一、补充协议</w:t>
      </w:r>
      <w:bookmarkEnd w:id="86"/>
    </w:p>
    <w:p w14:paraId="499A74C0">
      <w:pPr>
        <w:spacing w:line="300" w:lineRule="exact"/>
        <w:ind w:firstLine="420"/>
        <w:rPr>
          <w:rFonts w:asciiTheme="minorEastAsia" w:hAnsiTheme="minorEastAsia" w:eastAsiaTheme="minorEastAsia"/>
          <w:b/>
        </w:rPr>
      </w:pPr>
      <w:r>
        <w:rPr>
          <w:rFonts w:hint="eastAsia" w:asciiTheme="minorEastAsia" w:hAnsiTheme="minorEastAsia" w:eastAsiaTheme="minorEastAsia"/>
        </w:rPr>
        <w:t>合同未尽事宜，合同当事人另行签订补充协议，补充协议是合同的组成部分。</w:t>
      </w:r>
    </w:p>
    <w:p w14:paraId="1FD45D5D">
      <w:pPr>
        <w:pStyle w:val="232"/>
        <w:spacing w:before="0" w:after="0" w:line="300" w:lineRule="exact"/>
        <w:rPr>
          <w:rFonts w:asciiTheme="minorEastAsia" w:hAnsiTheme="minorEastAsia" w:eastAsiaTheme="minorEastAsia"/>
          <w:sz w:val="21"/>
        </w:rPr>
      </w:pPr>
      <w:bookmarkStart w:id="87" w:name="_Toc351203492"/>
      <w:r>
        <w:rPr>
          <w:rFonts w:hint="eastAsia" w:asciiTheme="minorEastAsia" w:hAnsiTheme="minorEastAsia" w:eastAsiaTheme="minorEastAsia"/>
          <w:sz w:val="21"/>
        </w:rPr>
        <w:t>十二、合同生效</w:t>
      </w:r>
      <w:bookmarkEnd w:id="87"/>
    </w:p>
    <w:p w14:paraId="20829814">
      <w:pPr>
        <w:spacing w:line="300" w:lineRule="exact"/>
        <w:ind w:firstLine="420"/>
        <w:rPr>
          <w:rFonts w:asciiTheme="minorEastAsia" w:hAnsiTheme="minorEastAsia" w:eastAsiaTheme="minorEastAsia"/>
        </w:rPr>
      </w:pPr>
      <w:r>
        <w:rPr>
          <w:rFonts w:hint="eastAsia" w:asciiTheme="minorEastAsia" w:hAnsiTheme="minorEastAsia" w:eastAsiaTheme="minorEastAsia"/>
        </w:rPr>
        <w:t>本合同自生效。</w:t>
      </w:r>
    </w:p>
    <w:p w14:paraId="395F1A8E">
      <w:pPr>
        <w:pStyle w:val="232"/>
        <w:spacing w:before="0" w:after="0" w:line="300" w:lineRule="exact"/>
        <w:rPr>
          <w:rFonts w:asciiTheme="minorEastAsia" w:hAnsiTheme="minorEastAsia" w:eastAsiaTheme="minorEastAsia"/>
          <w:sz w:val="21"/>
        </w:rPr>
      </w:pPr>
      <w:bookmarkStart w:id="88" w:name="_Toc351203493"/>
      <w:r>
        <w:rPr>
          <w:rFonts w:hint="eastAsia" w:asciiTheme="minorEastAsia" w:hAnsiTheme="minorEastAsia" w:eastAsiaTheme="minorEastAsia"/>
          <w:sz w:val="21"/>
        </w:rPr>
        <w:t>十三、合同份数</w:t>
      </w:r>
      <w:bookmarkEnd w:id="88"/>
    </w:p>
    <w:p w14:paraId="6695FB33">
      <w:pPr>
        <w:spacing w:line="300" w:lineRule="exact"/>
        <w:ind w:firstLine="420"/>
        <w:rPr>
          <w:rFonts w:asciiTheme="minorEastAsia" w:hAnsiTheme="minorEastAsia" w:eastAsiaTheme="minorEastAsia"/>
        </w:rPr>
      </w:pPr>
      <w:r>
        <w:rPr>
          <w:rFonts w:hint="eastAsia" w:asciiTheme="minorEastAsia" w:hAnsiTheme="minorEastAsia" w:eastAsiaTheme="minorEastAsia"/>
        </w:rPr>
        <w:t>本合同一式份，均具有同等法律效力，发包人执份，承包人执份。</w:t>
      </w:r>
    </w:p>
    <w:p w14:paraId="54F18C17">
      <w:pPr>
        <w:spacing w:line="300" w:lineRule="exact"/>
        <w:ind w:firstLine="420"/>
        <w:rPr>
          <w:rFonts w:asciiTheme="minorEastAsia" w:hAnsiTheme="minorEastAsia" w:eastAsiaTheme="minorEastAsia"/>
        </w:rPr>
      </w:pPr>
    </w:p>
    <w:p w14:paraId="68F3E726">
      <w:pPr>
        <w:spacing w:line="300" w:lineRule="exact"/>
        <w:ind w:firstLine="420"/>
        <w:rPr>
          <w:rFonts w:asciiTheme="minorEastAsia" w:hAnsiTheme="minorEastAsia" w:eastAsiaTheme="minorEastAsia"/>
        </w:rPr>
      </w:pPr>
    </w:p>
    <w:p w14:paraId="484565F4">
      <w:pPr>
        <w:spacing w:line="300" w:lineRule="exact"/>
        <w:rPr>
          <w:rFonts w:asciiTheme="minorEastAsia" w:hAnsiTheme="minorEastAsia" w:eastAsiaTheme="minorEastAsia"/>
        </w:rPr>
      </w:pPr>
      <w:r>
        <w:rPr>
          <w:rFonts w:hint="eastAsia" w:asciiTheme="minorEastAsia" w:hAnsiTheme="minorEastAsia" w:eastAsiaTheme="minorEastAsia"/>
        </w:rPr>
        <w:t>发包人：  (公章)                          承包人：  (公章)</w:t>
      </w:r>
    </w:p>
    <w:p w14:paraId="55B3EFD9">
      <w:pPr>
        <w:spacing w:line="300" w:lineRule="exact"/>
        <w:rPr>
          <w:rFonts w:asciiTheme="minorEastAsia" w:hAnsiTheme="minorEastAsia" w:eastAsiaTheme="minorEastAsia"/>
          <w:u w:val="single"/>
        </w:rPr>
      </w:pPr>
    </w:p>
    <w:p w14:paraId="40B94B33">
      <w:pPr>
        <w:spacing w:line="300" w:lineRule="exact"/>
        <w:rPr>
          <w:rFonts w:asciiTheme="minorEastAsia" w:hAnsiTheme="minorEastAsia" w:eastAsiaTheme="minorEastAsia"/>
        </w:rPr>
      </w:pPr>
      <w:r>
        <w:rPr>
          <w:rFonts w:hint="eastAsia" w:asciiTheme="minorEastAsia" w:hAnsiTheme="minorEastAsia" w:eastAsiaTheme="minorEastAsia"/>
        </w:rPr>
        <w:t>法定代表人或其委托代理人：      （签字）   法定代表人或其委托代理人：       （签字）</w:t>
      </w:r>
    </w:p>
    <w:p w14:paraId="2DE64E17">
      <w:pPr>
        <w:spacing w:line="300" w:lineRule="exact"/>
        <w:rPr>
          <w:rFonts w:asciiTheme="minorEastAsia" w:hAnsiTheme="minorEastAsia" w:eastAsiaTheme="minorEastAsia"/>
        </w:rPr>
      </w:pPr>
    </w:p>
    <w:p w14:paraId="631849A4">
      <w:pPr>
        <w:spacing w:line="300" w:lineRule="exact"/>
        <w:rPr>
          <w:rFonts w:asciiTheme="minorEastAsia" w:hAnsiTheme="minorEastAsia" w:eastAsiaTheme="minorEastAsia"/>
          <w:u w:val="single"/>
        </w:rPr>
      </w:pPr>
    </w:p>
    <w:p w14:paraId="44406B74">
      <w:pPr>
        <w:tabs>
          <w:tab w:val="left" w:pos="4410"/>
        </w:tabs>
        <w:spacing w:line="300" w:lineRule="exact"/>
        <w:rPr>
          <w:rFonts w:asciiTheme="minorEastAsia" w:hAnsiTheme="minorEastAsia" w:eastAsiaTheme="minorEastAsia"/>
        </w:rPr>
      </w:pPr>
      <w:r>
        <w:rPr>
          <w:rFonts w:hint="eastAsia" w:asciiTheme="minorEastAsia" w:hAnsiTheme="minorEastAsia" w:eastAsiaTheme="minorEastAsia"/>
        </w:rPr>
        <w:t>组织机构代码：</w:t>
      </w:r>
      <w:r>
        <w:rPr>
          <w:rFonts w:hint="eastAsia" w:ascii="MingLiU_HKSCS" w:hAnsi="MingLiU_HKSCS" w:cs="MingLiU_HKSCS" w:eastAsiaTheme="minorEastAsia"/>
          <w:u w:val="single"/>
        </w:rPr>
        <w:t xml:space="preserve">     </w:t>
      </w:r>
      <w:r>
        <w:rPr>
          <w:rFonts w:hint="eastAsia" w:ascii="宋体" w:hAnsi="宋体" w:cs="宋体"/>
          <w:u w:val="single"/>
        </w:rPr>
        <w:t xml:space="preserve">  </w:t>
      </w:r>
      <w:r>
        <w:rPr>
          <w:rFonts w:hint="eastAsia" w:asciiTheme="minorEastAsia" w:hAnsiTheme="minorEastAsia" w:eastAsiaTheme="minorEastAsia"/>
        </w:rPr>
        <w:t xml:space="preserve">                组织机构代码：</w:t>
      </w:r>
      <w:r>
        <w:rPr>
          <w:rFonts w:hint="eastAsia" w:ascii="宋体" w:hAnsi="宋体" w:cs="宋体"/>
          <w:u w:val="single"/>
        </w:rPr>
        <w:t xml:space="preserve">       </w:t>
      </w:r>
    </w:p>
    <w:p w14:paraId="31074E94">
      <w:pPr>
        <w:spacing w:line="300" w:lineRule="exact"/>
        <w:rPr>
          <w:rFonts w:asciiTheme="minorEastAsia" w:hAnsiTheme="minorEastAsia" w:eastAsiaTheme="minorEastAsia"/>
        </w:rPr>
      </w:pPr>
      <w:r>
        <w:rPr>
          <w:rFonts w:hint="eastAsia" w:asciiTheme="minorEastAsia" w:hAnsiTheme="minorEastAsia" w:eastAsiaTheme="minorEastAsia"/>
        </w:rPr>
        <w:t>地  址：                             地  址：</w:t>
      </w:r>
      <w:r>
        <w:rPr>
          <w:rFonts w:asciiTheme="minorEastAsia" w:hAnsiTheme="minorEastAsia" w:eastAsiaTheme="minorEastAsia"/>
          <w:u w:val="single"/>
        </w:rPr>
        <w:t xml:space="preserve"> </w:t>
      </w:r>
    </w:p>
    <w:p w14:paraId="7D4DE67D">
      <w:pPr>
        <w:spacing w:line="300" w:lineRule="exact"/>
        <w:rPr>
          <w:rFonts w:asciiTheme="minorEastAsia" w:hAnsiTheme="minorEastAsia" w:eastAsiaTheme="minorEastAsia"/>
        </w:rPr>
      </w:pPr>
      <w:r>
        <w:rPr>
          <w:rFonts w:hint="eastAsia" w:asciiTheme="minorEastAsia" w:hAnsiTheme="minorEastAsia" w:eastAsiaTheme="minorEastAsia"/>
        </w:rPr>
        <w:t>邮政编码：</w:t>
      </w:r>
      <w:r>
        <w:rPr>
          <w:rFonts w:hint="eastAsia" w:ascii="宋体" w:hAnsi="宋体" w:cs="宋体"/>
          <w:u w:val="single"/>
        </w:rPr>
        <w:t xml:space="preserve">   </w:t>
      </w:r>
      <w:r>
        <w:rPr>
          <w:rFonts w:hint="eastAsia" w:asciiTheme="minorEastAsia" w:hAnsiTheme="minorEastAsia" w:eastAsiaTheme="minorEastAsia"/>
        </w:rPr>
        <w:t xml:space="preserve">                        邮政编码：</w:t>
      </w:r>
    </w:p>
    <w:p w14:paraId="4C4672BE">
      <w:pPr>
        <w:spacing w:line="300" w:lineRule="exact"/>
        <w:rPr>
          <w:rFonts w:asciiTheme="minorEastAsia" w:hAnsiTheme="minorEastAsia" w:eastAsiaTheme="minorEastAsia"/>
        </w:rPr>
      </w:pPr>
      <w:r>
        <w:rPr>
          <w:rFonts w:hint="eastAsia" w:asciiTheme="minorEastAsia" w:hAnsiTheme="minorEastAsia" w:eastAsiaTheme="minorEastAsia"/>
        </w:rPr>
        <w:t>法定代表人：</w:t>
      </w:r>
      <w:r>
        <w:rPr>
          <w:rFonts w:hint="eastAsia" w:ascii="宋体" w:hAnsi="宋体" w:cs="宋体"/>
          <w:u w:val="single"/>
        </w:rPr>
        <w:t xml:space="preserve">          </w:t>
      </w:r>
      <w:r>
        <w:rPr>
          <w:rFonts w:hint="eastAsia" w:asciiTheme="minorEastAsia" w:hAnsiTheme="minorEastAsia" w:eastAsiaTheme="minorEastAsia"/>
        </w:rPr>
        <w:t xml:space="preserve">               法定代表人：</w:t>
      </w:r>
      <w:r>
        <w:rPr>
          <w:rFonts w:hint="eastAsia" w:ascii="宋体" w:hAnsi="宋体" w:cs="宋体"/>
          <w:u w:val="single"/>
        </w:rPr>
        <w:t xml:space="preserve">            </w:t>
      </w:r>
    </w:p>
    <w:p w14:paraId="53800B4C">
      <w:pPr>
        <w:spacing w:line="300" w:lineRule="exact"/>
        <w:rPr>
          <w:rFonts w:asciiTheme="minorEastAsia" w:hAnsiTheme="minorEastAsia" w:eastAsiaTheme="minorEastAsia"/>
        </w:rPr>
      </w:pPr>
      <w:r>
        <w:rPr>
          <w:rFonts w:hint="eastAsia" w:asciiTheme="minorEastAsia" w:hAnsiTheme="minorEastAsia" w:eastAsiaTheme="minorEastAsia"/>
        </w:rPr>
        <w:t>委托代理人：                         委托代理人：</w:t>
      </w:r>
    </w:p>
    <w:p w14:paraId="68AE6E27">
      <w:pPr>
        <w:spacing w:line="300" w:lineRule="exact"/>
        <w:rPr>
          <w:rFonts w:asciiTheme="minorEastAsia" w:hAnsiTheme="minorEastAsia" w:eastAsiaTheme="minorEastAsia"/>
        </w:rPr>
      </w:pPr>
      <w:r>
        <w:rPr>
          <w:rFonts w:hint="eastAsia" w:asciiTheme="minorEastAsia" w:hAnsiTheme="minorEastAsia" w:eastAsiaTheme="minorEastAsia"/>
        </w:rPr>
        <w:t>电  话：                             电  话：</w:t>
      </w:r>
    </w:p>
    <w:p w14:paraId="0FAD444C">
      <w:pPr>
        <w:spacing w:line="300" w:lineRule="exact"/>
        <w:rPr>
          <w:rFonts w:asciiTheme="minorEastAsia" w:hAnsiTheme="minorEastAsia" w:eastAsiaTheme="minorEastAsia"/>
        </w:rPr>
      </w:pPr>
      <w:r>
        <w:rPr>
          <w:rFonts w:hint="eastAsia" w:asciiTheme="minorEastAsia" w:hAnsiTheme="minorEastAsia" w:eastAsiaTheme="minorEastAsia"/>
        </w:rPr>
        <w:t>传  真：                             传  真：</w:t>
      </w:r>
    </w:p>
    <w:p w14:paraId="7DA843A4">
      <w:pPr>
        <w:spacing w:line="300" w:lineRule="exact"/>
        <w:rPr>
          <w:rFonts w:asciiTheme="minorEastAsia" w:hAnsiTheme="minorEastAsia" w:eastAsiaTheme="minorEastAsia"/>
        </w:rPr>
      </w:pPr>
      <w:r>
        <w:rPr>
          <w:rFonts w:hint="eastAsia" w:asciiTheme="minorEastAsia" w:hAnsiTheme="minorEastAsia" w:eastAsiaTheme="minorEastAsia"/>
        </w:rPr>
        <w:t>电子信箱：                           电子信箱：</w:t>
      </w:r>
    </w:p>
    <w:p w14:paraId="0505EDB4">
      <w:pPr>
        <w:spacing w:line="300" w:lineRule="exact"/>
        <w:rPr>
          <w:rFonts w:asciiTheme="minorEastAsia" w:hAnsiTheme="minorEastAsia" w:eastAsiaTheme="minorEastAsia"/>
        </w:rPr>
      </w:pPr>
      <w:r>
        <w:rPr>
          <w:rFonts w:hint="eastAsia" w:asciiTheme="minorEastAsia" w:hAnsiTheme="minorEastAsia" w:eastAsiaTheme="minorEastAsia"/>
        </w:rPr>
        <w:t>开户银行：                           开户银行：</w:t>
      </w:r>
    </w:p>
    <w:p w14:paraId="4B6A42AD">
      <w:pPr>
        <w:spacing w:line="300" w:lineRule="exact"/>
        <w:rPr>
          <w:rFonts w:asciiTheme="minorEastAsia" w:hAnsiTheme="minorEastAsia" w:eastAsiaTheme="minorEastAsia"/>
        </w:rPr>
      </w:pPr>
      <w:r>
        <w:rPr>
          <w:rFonts w:hint="eastAsia" w:asciiTheme="minorEastAsia" w:hAnsiTheme="minorEastAsia" w:eastAsiaTheme="minorEastAsia"/>
        </w:rPr>
        <w:t>账  号：                             账  号：</w:t>
      </w:r>
    </w:p>
    <w:p w14:paraId="69DB73B2">
      <w:pPr>
        <w:pStyle w:val="337"/>
        <w:tabs>
          <w:tab w:val="left" w:pos="709"/>
        </w:tabs>
        <w:spacing w:line="320" w:lineRule="exact"/>
        <w:jc w:val="center"/>
        <w:rPr>
          <w:rFonts w:asciiTheme="minorEastAsia" w:hAnsiTheme="minorEastAsia" w:eastAsiaTheme="minorEastAsia"/>
        </w:rPr>
      </w:pPr>
      <w:bookmarkStart w:id="89" w:name="_Toc14334"/>
      <w:bookmarkStart w:id="90" w:name="_Toc4481"/>
      <w:bookmarkStart w:id="91" w:name="_Toc498006745"/>
      <w:bookmarkStart w:id="92" w:name="_Toc7799"/>
      <w:r>
        <w:rPr>
          <w:rFonts w:hint="eastAsia" w:asciiTheme="minorEastAsia" w:hAnsiTheme="minorEastAsia" w:eastAsiaTheme="minorEastAsia"/>
        </w:rPr>
        <w:t>第二部分 通用合同条款</w:t>
      </w:r>
      <w:bookmarkEnd w:id="89"/>
      <w:bookmarkEnd w:id="90"/>
      <w:bookmarkEnd w:id="91"/>
      <w:bookmarkEnd w:id="92"/>
    </w:p>
    <w:p w14:paraId="708476D3">
      <w:pPr>
        <w:spacing w:line="320" w:lineRule="exact"/>
        <w:ind w:firstLine="422"/>
        <w:rPr>
          <w:rFonts w:asciiTheme="minorEastAsia" w:hAnsiTheme="minorEastAsia" w:eastAsiaTheme="minorEastAsia"/>
        </w:rPr>
      </w:pPr>
      <w:r>
        <w:rPr>
          <w:rFonts w:hint="eastAsia" w:asciiTheme="minorEastAsia" w:hAnsiTheme="minorEastAsia" w:eastAsiaTheme="minorEastAsia"/>
        </w:rPr>
        <w:t xml:space="preserve"> 采用《建设工程施工合同（示范文本）》（GF—2017—0201）</w:t>
      </w:r>
      <w:r>
        <w:rPr>
          <w:rFonts w:hint="eastAsia" w:asciiTheme="minorEastAsia" w:hAnsiTheme="minorEastAsia" w:eastAsiaTheme="minorEastAsia"/>
          <w:b/>
        </w:rPr>
        <w:t>。</w:t>
      </w:r>
    </w:p>
    <w:p w14:paraId="0073A1EE">
      <w:pPr>
        <w:pStyle w:val="337"/>
        <w:tabs>
          <w:tab w:val="left" w:pos="709"/>
        </w:tabs>
        <w:spacing w:line="320" w:lineRule="exact"/>
        <w:jc w:val="center"/>
        <w:rPr>
          <w:rFonts w:asciiTheme="minorEastAsia" w:hAnsiTheme="minorEastAsia" w:eastAsiaTheme="minorEastAsia"/>
        </w:rPr>
      </w:pPr>
      <w:bookmarkStart w:id="93" w:name="_Toc22528"/>
      <w:bookmarkStart w:id="94" w:name="_Toc31572"/>
      <w:bookmarkStart w:id="95" w:name="_Toc24191"/>
      <w:bookmarkStart w:id="96" w:name="_Toc498006746"/>
      <w:r>
        <w:rPr>
          <w:rFonts w:hint="eastAsia" w:asciiTheme="minorEastAsia" w:hAnsiTheme="minorEastAsia" w:eastAsiaTheme="minorEastAsia"/>
        </w:rPr>
        <w:t>第三部分 专用合同条款</w:t>
      </w:r>
      <w:bookmarkEnd w:id="93"/>
      <w:bookmarkEnd w:id="94"/>
      <w:bookmarkEnd w:id="95"/>
      <w:bookmarkEnd w:id="96"/>
    </w:p>
    <w:p w14:paraId="1A04B495">
      <w:pPr>
        <w:pStyle w:val="232"/>
        <w:spacing w:before="0" w:after="0" w:line="300" w:lineRule="exact"/>
        <w:ind w:firstLine="422" w:firstLineChars="200"/>
        <w:rPr>
          <w:rFonts w:asciiTheme="minorEastAsia" w:hAnsiTheme="minorEastAsia" w:eastAsiaTheme="minorEastAsia"/>
          <w:sz w:val="21"/>
        </w:rPr>
      </w:pPr>
      <w:bookmarkStart w:id="97" w:name="_Toc351203633"/>
      <w:r>
        <w:rPr>
          <w:rFonts w:hint="eastAsia" w:asciiTheme="minorEastAsia" w:hAnsiTheme="minorEastAsia" w:eastAsiaTheme="minorEastAsia"/>
          <w:sz w:val="21"/>
        </w:rPr>
        <w:t>1</w:t>
      </w:r>
      <w:bookmarkStart w:id="98" w:name="_Toc296944495"/>
      <w:bookmarkStart w:id="99" w:name="_Toc296503156"/>
      <w:bookmarkStart w:id="100" w:name="_Toc292559361"/>
      <w:bookmarkStart w:id="101" w:name="_Toc296347155"/>
      <w:bookmarkStart w:id="102" w:name="_Toc296891196"/>
      <w:bookmarkStart w:id="103" w:name="_Toc297048342"/>
      <w:bookmarkStart w:id="104" w:name="_Toc292559866"/>
      <w:bookmarkStart w:id="105" w:name="_Toc296890984"/>
      <w:bookmarkStart w:id="106" w:name="_Toc296346657"/>
      <w:bookmarkStart w:id="107" w:name="_Toc297120456"/>
      <w:r>
        <w:rPr>
          <w:rFonts w:hint="eastAsia" w:asciiTheme="minorEastAsia" w:hAnsiTheme="minorEastAsia" w:eastAsiaTheme="minorEastAsia"/>
          <w:sz w:val="21"/>
        </w:rPr>
        <w:t>. 一般约定</w:t>
      </w:r>
      <w:bookmarkEnd w:id="97"/>
      <w:bookmarkEnd w:id="98"/>
      <w:bookmarkEnd w:id="99"/>
      <w:bookmarkEnd w:id="100"/>
      <w:bookmarkEnd w:id="101"/>
      <w:bookmarkEnd w:id="102"/>
      <w:bookmarkEnd w:id="103"/>
      <w:bookmarkEnd w:id="104"/>
      <w:bookmarkEnd w:id="105"/>
      <w:bookmarkEnd w:id="106"/>
      <w:bookmarkEnd w:id="107"/>
    </w:p>
    <w:p w14:paraId="19497F52">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1.1 词语定义</w:t>
      </w:r>
    </w:p>
    <w:p w14:paraId="66BC8EC6">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1.1.1合同</w:t>
      </w:r>
    </w:p>
    <w:p w14:paraId="4B661BBF">
      <w:pPr>
        <w:spacing w:line="300" w:lineRule="exact"/>
        <w:ind w:firstLine="420" w:firstLineChars="200"/>
        <w:rPr>
          <w:rFonts w:asciiTheme="minorEastAsia" w:hAnsiTheme="minorEastAsia" w:eastAsiaTheme="minorEastAsia"/>
          <w:u w:val="single"/>
        </w:rPr>
      </w:pPr>
      <w:r>
        <w:rPr>
          <w:rFonts w:hint="eastAsia" w:asciiTheme="minorEastAsia" w:hAnsiTheme="minorEastAsia" w:eastAsiaTheme="minorEastAsia"/>
        </w:rPr>
        <w:t>1.1.1.10其他合同文件包括：</w:t>
      </w:r>
      <w:r>
        <w:rPr>
          <w:rFonts w:hint="eastAsia" w:asciiTheme="minorEastAsia" w:hAnsiTheme="minorEastAsia" w:eastAsiaTheme="minorEastAsia"/>
          <w:u w:val="single"/>
        </w:rPr>
        <w:t>（1）本合同协议书（2）中标通知书（3）本合同专用</w:t>
      </w:r>
    </w:p>
    <w:p w14:paraId="228815A3">
      <w:pPr>
        <w:spacing w:line="300" w:lineRule="exact"/>
        <w:ind w:firstLine="420" w:firstLineChars="200"/>
        <w:rPr>
          <w:rFonts w:asciiTheme="minorEastAsia" w:hAnsiTheme="minorEastAsia" w:eastAsiaTheme="minorEastAsia"/>
          <w:u w:val="single"/>
        </w:rPr>
      </w:pPr>
      <w:r>
        <w:rPr>
          <w:rFonts w:hint="eastAsia" w:asciiTheme="minorEastAsia" w:hAnsiTheme="minorEastAsia" w:eastAsiaTheme="minorEastAsia"/>
          <w:u w:val="single"/>
        </w:rPr>
        <w:t>条款（4）本合同通用条款（5）投标书及其附件（6）标准、规范及有关技术文件（7）图纸</w:t>
      </w:r>
    </w:p>
    <w:p w14:paraId="68681CEB">
      <w:pPr>
        <w:spacing w:line="300" w:lineRule="exact"/>
        <w:ind w:firstLine="420" w:firstLineChars="200"/>
        <w:rPr>
          <w:rFonts w:asciiTheme="minorEastAsia" w:hAnsiTheme="minorEastAsia" w:eastAsiaTheme="minorEastAsia"/>
          <w:u w:val="single"/>
        </w:rPr>
      </w:pPr>
      <w:r>
        <w:rPr>
          <w:rFonts w:hint="eastAsia" w:asciiTheme="minorEastAsia" w:hAnsiTheme="minorEastAsia" w:eastAsiaTheme="minorEastAsia"/>
          <w:u w:val="single"/>
        </w:rPr>
        <w:t>（8）工程量清单（9）工程报价单或预算书；合同履行中，发包人承包人有关工程的洽商、</w:t>
      </w:r>
    </w:p>
    <w:p w14:paraId="18E04B45">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u w:val="single"/>
        </w:rPr>
        <w:t>变更等书面协议或文件视为本合同的组成部分</w:t>
      </w:r>
      <w:r>
        <w:rPr>
          <w:rFonts w:hint="eastAsia" w:asciiTheme="minorEastAsia" w:hAnsiTheme="minorEastAsia" w:eastAsiaTheme="minorEastAsia"/>
        </w:rPr>
        <w:t>。</w:t>
      </w:r>
    </w:p>
    <w:p w14:paraId="0885D124">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1.1.2 合同当事人及其他相关方</w:t>
      </w:r>
    </w:p>
    <w:p w14:paraId="349CD7BA">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1.1.2.4监理人：</w:t>
      </w:r>
    </w:p>
    <w:p w14:paraId="665DDE20">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名    称：   ；</w:t>
      </w:r>
    </w:p>
    <w:p w14:paraId="14188E60">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资质类别和等级：  ；</w:t>
      </w:r>
    </w:p>
    <w:p w14:paraId="659D1376">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联系电话：  ；</w:t>
      </w:r>
    </w:p>
    <w:p w14:paraId="4FF6E7A6">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电子信箱：  ；</w:t>
      </w:r>
    </w:p>
    <w:p w14:paraId="0AD75C67">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通信地址：  。</w:t>
      </w:r>
    </w:p>
    <w:p w14:paraId="22BABE3A">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1.1.2.5 设计人：</w:t>
      </w:r>
    </w:p>
    <w:p w14:paraId="56481E93">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名    称：；</w:t>
      </w:r>
    </w:p>
    <w:p w14:paraId="2AB21E63">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资质类别和等级：；</w:t>
      </w:r>
    </w:p>
    <w:p w14:paraId="23A8B779">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联系电话：；</w:t>
      </w:r>
    </w:p>
    <w:p w14:paraId="6A9F681E">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电子信箱：；</w:t>
      </w:r>
    </w:p>
    <w:p w14:paraId="743C2744">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通信地址：。</w:t>
      </w:r>
    </w:p>
    <w:p w14:paraId="1E629E76">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1.1.3 工程和设备</w:t>
      </w:r>
    </w:p>
    <w:p w14:paraId="21D7AC52">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1.1.3.7 作为施工现场组成部分的其他场所包括：。</w:t>
      </w:r>
    </w:p>
    <w:p w14:paraId="1047FD2F">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1.1.3.9 永久占地包括：。</w:t>
      </w:r>
    </w:p>
    <w:p w14:paraId="341CFA5A">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1.1.3.10 临时占地包括：。</w:t>
      </w:r>
    </w:p>
    <w:p w14:paraId="203F3B80">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 xml:space="preserve">1.3法律 </w:t>
      </w:r>
    </w:p>
    <w:p w14:paraId="553CAED8">
      <w:pPr>
        <w:spacing w:line="300" w:lineRule="exact"/>
        <w:ind w:firstLine="420" w:firstLineChars="200"/>
        <w:jc w:val="left"/>
        <w:rPr>
          <w:rFonts w:asciiTheme="minorEastAsia" w:hAnsiTheme="minorEastAsia" w:eastAsiaTheme="minorEastAsia"/>
          <w:u w:val="single"/>
        </w:rPr>
      </w:pPr>
      <w:r>
        <w:rPr>
          <w:rFonts w:hint="eastAsia" w:asciiTheme="minorEastAsia" w:hAnsiTheme="minorEastAsia" w:eastAsiaTheme="minorEastAsia"/>
        </w:rPr>
        <w:t>适用于合同的其他规范性文件：</w:t>
      </w:r>
      <w:r>
        <w:rPr>
          <w:rFonts w:hint="eastAsia" w:asciiTheme="minorEastAsia" w:hAnsiTheme="minorEastAsia" w:eastAsiaTheme="minorEastAsia"/>
          <w:u w:val="single"/>
        </w:rPr>
        <w:t>《中华人民共和国民法典》、《中华人民共和国建筑法》、《中华人民共和国招标投标法》、《中华人民共和国招标投标法实施条列》、《中华人民共和国担保法》、《中华人民共和国政府采购法》、《建设工程质量管理条列》、《建设工程安全生产管理条列》及其他相关国家和地方法律、法规、规章。</w:t>
      </w:r>
    </w:p>
    <w:p w14:paraId="0F625849">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1.4 标准和规范</w:t>
      </w:r>
    </w:p>
    <w:p w14:paraId="6817B5C6">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1.4.1适用于工程的标准规范包括：。</w:t>
      </w:r>
    </w:p>
    <w:p w14:paraId="5D70C786">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1.4.2 发包人提供国外标准、规范的名称：。</w:t>
      </w:r>
    </w:p>
    <w:p w14:paraId="68B6D2B1">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发包人提供国外标准、规范的份数：；</w:t>
      </w:r>
    </w:p>
    <w:p w14:paraId="1AF5A55C">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发包人提供国外标准、规范的名称：。</w:t>
      </w:r>
    </w:p>
    <w:p w14:paraId="25D1B65B">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1.4.3发包人对工程的技术标准和功能要求的特殊要求：。</w:t>
      </w:r>
    </w:p>
    <w:p w14:paraId="7380A9D3">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1.5 合同文件的优先顺序</w:t>
      </w:r>
    </w:p>
    <w:p w14:paraId="6F7CD22E">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合同文件组成及优先顺序为：</w:t>
      </w:r>
      <w:r>
        <w:rPr>
          <w:rFonts w:hint="eastAsia" w:asciiTheme="minorEastAsia" w:hAnsiTheme="minorEastAsia" w:eastAsiaTheme="minorEastAsia"/>
          <w:u w:val="single"/>
        </w:rPr>
        <w:t xml:space="preserve"> 按照通用条款执行 </w:t>
      </w:r>
      <w:r>
        <w:rPr>
          <w:rFonts w:hint="eastAsia" w:asciiTheme="minorEastAsia" w:hAnsiTheme="minorEastAsia" w:eastAsiaTheme="minorEastAsia"/>
        </w:rPr>
        <w:t>。</w:t>
      </w:r>
    </w:p>
    <w:p w14:paraId="3C497097">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1.6 图纸和承包人文件</w:t>
      </w:r>
      <w:r>
        <w:rPr>
          <w:rFonts w:hint="eastAsia" w:asciiTheme="minorEastAsia" w:hAnsiTheme="minorEastAsia" w:eastAsiaTheme="minorEastAsia"/>
        </w:rPr>
        <w:tab/>
      </w:r>
    </w:p>
    <w:p w14:paraId="3049679A">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1.6.1 图纸的提供</w:t>
      </w:r>
    </w:p>
    <w:p w14:paraId="42217ED1">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发包人向承包人提供图纸的期限：</w:t>
      </w:r>
      <w:r>
        <w:rPr>
          <w:rFonts w:hint="eastAsia" w:asciiTheme="minorEastAsia" w:hAnsiTheme="minorEastAsia" w:eastAsiaTheme="minorEastAsia"/>
          <w:u w:val="single"/>
        </w:rPr>
        <w:t xml:space="preserve">  开工前 </w:t>
      </w:r>
      <w:r>
        <w:rPr>
          <w:rFonts w:hint="eastAsia" w:asciiTheme="minorEastAsia" w:hAnsiTheme="minorEastAsia" w:eastAsiaTheme="minorEastAsia"/>
        </w:rPr>
        <w:t>；</w:t>
      </w:r>
    </w:p>
    <w:p w14:paraId="300E784A">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发包人向承包人提供图纸的数量：</w:t>
      </w:r>
      <w:r>
        <w:rPr>
          <w:rFonts w:hint="eastAsia" w:asciiTheme="minorEastAsia" w:hAnsiTheme="minorEastAsia" w:eastAsiaTheme="minorEastAsia"/>
          <w:u w:val="single"/>
        </w:rPr>
        <w:t xml:space="preserve"> 两套  </w:t>
      </w:r>
      <w:r>
        <w:rPr>
          <w:rFonts w:hint="eastAsia" w:asciiTheme="minorEastAsia" w:hAnsiTheme="minorEastAsia" w:eastAsiaTheme="minorEastAsia"/>
        </w:rPr>
        <w:t>；</w:t>
      </w:r>
    </w:p>
    <w:p w14:paraId="0A97AE33">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发包人向承包人提供图纸的内容：</w:t>
      </w:r>
      <w:r>
        <w:rPr>
          <w:rFonts w:hint="eastAsia" w:asciiTheme="minorEastAsia" w:hAnsiTheme="minorEastAsia" w:eastAsiaTheme="minorEastAsia"/>
          <w:u w:val="single"/>
        </w:rPr>
        <w:t xml:space="preserve"> 全套图纸（含图纸会审纪要和设计交底等）。</w:t>
      </w:r>
    </w:p>
    <w:p w14:paraId="6753B4E8">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1.6.4 承包人文件</w:t>
      </w:r>
    </w:p>
    <w:p w14:paraId="7FECE490">
      <w:pPr>
        <w:spacing w:line="300" w:lineRule="exact"/>
        <w:ind w:firstLine="420" w:firstLineChars="200"/>
        <w:jc w:val="left"/>
        <w:rPr>
          <w:rFonts w:asciiTheme="minorEastAsia" w:hAnsiTheme="minorEastAsia" w:eastAsiaTheme="minorEastAsia"/>
          <w:u w:val="single"/>
        </w:rPr>
      </w:pPr>
      <w:r>
        <w:rPr>
          <w:rFonts w:hint="eastAsia" w:asciiTheme="minorEastAsia" w:hAnsiTheme="minorEastAsia" w:eastAsiaTheme="minorEastAsia"/>
        </w:rPr>
        <w:t>需要由承包人提供的文件，包括：</w:t>
      </w:r>
      <w:r>
        <w:rPr>
          <w:rFonts w:hint="eastAsia" w:asciiTheme="minorEastAsia" w:hAnsiTheme="minorEastAsia" w:eastAsiaTheme="minorEastAsia"/>
          <w:u w:val="single"/>
        </w:rPr>
        <w:t xml:space="preserve"> 项目人员表、投标文件、施工组织设计方案（包括但不</w:t>
      </w:r>
    </w:p>
    <w:p w14:paraId="52393065">
      <w:pPr>
        <w:spacing w:line="300" w:lineRule="exact"/>
        <w:ind w:firstLine="420" w:firstLineChars="200"/>
        <w:jc w:val="left"/>
        <w:rPr>
          <w:rFonts w:asciiTheme="minorEastAsia" w:hAnsiTheme="minorEastAsia" w:eastAsiaTheme="minorEastAsia"/>
          <w:u w:val="single"/>
        </w:rPr>
      </w:pPr>
      <w:r>
        <w:rPr>
          <w:rFonts w:hint="eastAsia" w:asciiTheme="minorEastAsia" w:hAnsiTheme="minorEastAsia" w:eastAsiaTheme="minorEastAsia"/>
          <w:u w:val="single"/>
        </w:rPr>
        <w:t>限于质量控制、进度控制、施工安全管理、文明施工管理、施工测量控制、施工人员安排</w:t>
      </w:r>
    </w:p>
    <w:p w14:paraId="551C1F51">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u w:val="single"/>
        </w:rPr>
        <w:t xml:space="preserve">及管理架构、施工材料设备进场计划、成品保护措施等） </w:t>
      </w:r>
      <w:r>
        <w:rPr>
          <w:rFonts w:hint="eastAsia" w:asciiTheme="minorEastAsia" w:hAnsiTheme="minorEastAsia" w:eastAsiaTheme="minorEastAsia"/>
        </w:rPr>
        <w:t>；</w:t>
      </w:r>
    </w:p>
    <w:p w14:paraId="09CAB5FC">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承包人提供的文件的期限为：</w:t>
      </w:r>
      <w:r>
        <w:rPr>
          <w:rFonts w:hint="eastAsia" w:asciiTheme="minorEastAsia" w:hAnsiTheme="minorEastAsia" w:eastAsiaTheme="minorEastAsia"/>
          <w:u w:val="single"/>
        </w:rPr>
        <w:t xml:space="preserve"> 中标通知书发出后 10 日历天内提供； </w:t>
      </w:r>
    </w:p>
    <w:p w14:paraId="485AFAD4">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承包人提供的文件的数量为：</w:t>
      </w:r>
      <w:r>
        <w:rPr>
          <w:rFonts w:hint="eastAsia" w:asciiTheme="minorEastAsia" w:hAnsiTheme="minorEastAsia" w:eastAsiaTheme="minorEastAsia"/>
          <w:u w:val="single"/>
        </w:rPr>
        <w:t xml:space="preserve"> 叁套     </w:t>
      </w:r>
      <w:r>
        <w:rPr>
          <w:rFonts w:hint="eastAsia" w:asciiTheme="minorEastAsia" w:hAnsiTheme="minorEastAsia" w:eastAsiaTheme="minorEastAsia"/>
        </w:rPr>
        <w:t>；</w:t>
      </w:r>
    </w:p>
    <w:p w14:paraId="2DEBDD16">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承包人提供的文件的形式为：</w:t>
      </w:r>
      <w:r>
        <w:rPr>
          <w:rFonts w:hint="eastAsia" w:asciiTheme="minorEastAsia" w:hAnsiTheme="minorEastAsia" w:eastAsiaTheme="minorEastAsia"/>
          <w:u w:val="single"/>
        </w:rPr>
        <w:t xml:space="preserve"> 纸质书面材料并签字盖章 </w:t>
      </w:r>
      <w:r>
        <w:rPr>
          <w:rFonts w:hint="eastAsia" w:asciiTheme="minorEastAsia" w:hAnsiTheme="minorEastAsia" w:eastAsiaTheme="minorEastAsia"/>
        </w:rPr>
        <w:t>；</w:t>
      </w:r>
    </w:p>
    <w:p w14:paraId="42BCC795">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发包人审批承包人文件的期限：</w:t>
      </w:r>
      <w:r>
        <w:rPr>
          <w:rFonts w:hint="eastAsia" w:asciiTheme="minorEastAsia" w:hAnsiTheme="minorEastAsia" w:eastAsiaTheme="minorEastAsia"/>
          <w:u w:val="single"/>
        </w:rPr>
        <w:t xml:space="preserve"> 7 天    </w:t>
      </w:r>
      <w:r>
        <w:rPr>
          <w:rFonts w:hint="eastAsia" w:asciiTheme="minorEastAsia" w:hAnsiTheme="minorEastAsia" w:eastAsiaTheme="minorEastAsia"/>
        </w:rPr>
        <w:t>。</w:t>
      </w:r>
    </w:p>
    <w:p w14:paraId="451E8CA3">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1.6.5 现场图纸准备</w:t>
      </w:r>
    </w:p>
    <w:p w14:paraId="78119C9F">
      <w:pPr>
        <w:spacing w:line="300" w:lineRule="exact"/>
        <w:ind w:firstLine="420" w:firstLineChars="200"/>
        <w:rPr>
          <w:rFonts w:asciiTheme="minorEastAsia" w:hAnsiTheme="minorEastAsia" w:eastAsiaTheme="minorEastAsia"/>
          <w:u w:val="single"/>
        </w:rPr>
      </w:pPr>
      <w:r>
        <w:rPr>
          <w:rFonts w:hint="eastAsia" w:asciiTheme="minorEastAsia" w:hAnsiTheme="minorEastAsia" w:eastAsiaTheme="minorEastAsia"/>
        </w:rPr>
        <w:t>关于现场图纸准备的约定：</w:t>
      </w:r>
      <w:r>
        <w:rPr>
          <w:rFonts w:hint="eastAsia" w:asciiTheme="minorEastAsia" w:hAnsiTheme="minorEastAsia" w:eastAsiaTheme="minorEastAsia"/>
          <w:u w:val="single"/>
        </w:rPr>
        <w:t xml:space="preserve">承包人应在施工现场另外保存一套完整的图纸和承包人文件，供发包人、监理人及有关人员进行工程检查时使用  </w:t>
      </w:r>
      <w:r>
        <w:rPr>
          <w:rFonts w:hint="eastAsia" w:asciiTheme="minorEastAsia" w:hAnsiTheme="minorEastAsia" w:eastAsiaTheme="minorEastAsia"/>
        </w:rPr>
        <w:t>。</w:t>
      </w:r>
    </w:p>
    <w:p w14:paraId="668B2387">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1.7 联络</w:t>
      </w:r>
    </w:p>
    <w:p w14:paraId="748F5474">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1.7.1发包人和承包人应当在天内将与合同有关的通知、批准、证明、证书、指示、指令、要求、请求、同意、意见、确定和决定等书面函件送达对方当事人。</w:t>
      </w:r>
    </w:p>
    <w:p w14:paraId="05CF2C1F">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1.7.2 发包人接收文件的地点：</w:t>
      </w:r>
      <w:r>
        <w:rPr>
          <w:rFonts w:hint="eastAsia" w:asciiTheme="minorEastAsia" w:hAnsiTheme="minorEastAsia" w:eastAsiaTheme="minorEastAsia"/>
          <w:u w:val="single"/>
        </w:rPr>
        <w:t xml:space="preserve"> 施工现场    </w:t>
      </w:r>
      <w:r>
        <w:rPr>
          <w:rFonts w:hint="eastAsia" w:asciiTheme="minorEastAsia" w:hAnsiTheme="minorEastAsia" w:eastAsiaTheme="minorEastAsia"/>
        </w:rPr>
        <w:t>；</w:t>
      </w:r>
    </w:p>
    <w:p w14:paraId="61498131">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发包人指定的接收人为：。</w:t>
      </w:r>
    </w:p>
    <w:p w14:paraId="7A0C7B67">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承包人接收文件的地点：</w:t>
      </w:r>
      <w:r>
        <w:rPr>
          <w:rFonts w:hint="eastAsia" w:asciiTheme="minorEastAsia" w:hAnsiTheme="minorEastAsia" w:eastAsiaTheme="minorEastAsia"/>
          <w:u w:val="single"/>
        </w:rPr>
        <w:t xml:space="preserve"> 施工现场 </w:t>
      </w:r>
      <w:r>
        <w:rPr>
          <w:rFonts w:hint="eastAsia" w:asciiTheme="minorEastAsia" w:hAnsiTheme="minorEastAsia" w:eastAsiaTheme="minorEastAsia"/>
        </w:rPr>
        <w:t>；</w:t>
      </w:r>
    </w:p>
    <w:p w14:paraId="50271F2B">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承包人指定的接收人为：。</w:t>
      </w:r>
    </w:p>
    <w:p w14:paraId="14605D8C">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监理人接收文件的地点：</w:t>
      </w:r>
      <w:r>
        <w:rPr>
          <w:rFonts w:hint="eastAsia" w:asciiTheme="minorEastAsia" w:hAnsiTheme="minorEastAsia" w:eastAsiaTheme="minorEastAsia"/>
          <w:u w:val="single"/>
        </w:rPr>
        <w:t xml:space="preserve">  施工现场  </w:t>
      </w:r>
      <w:r>
        <w:rPr>
          <w:rFonts w:hint="eastAsia" w:asciiTheme="minorEastAsia" w:hAnsiTheme="minorEastAsia" w:eastAsiaTheme="minorEastAsia"/>
        </w:rPr>
        <w:t>；</w:t>
      </w:r>
    </w:p>
    <w:p w14:paraId="0564D3E1">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监理人指定的接收人为：。</w:t>
      </w:r>
    </w:p>
    <w:p w14:paraId="1CF2868E">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1.10 交通运输</w:t>
      </w:r>
    </w:p>
    <w:p w14:paraId="7BA89A41">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1</w:t>
      </w:r>
      <w:bookmarkStart w:id="108" w:name="_Toc300934943"/>
      <w:bookmarkStart w:id="109" w:name="_Toc303539100"/>
      <w:bookmarkStart w:id="110" w:name="_Toc304295521"/>
      <w:bookmarkStart w:id="111" w:name="_Toc312677986"/>
      <w:bookmarkStart w:id="112" w:name="_Toc318581155"/>
      <w:r>
        <w:rPr>
          <w:rFonts w:hint="eastAsia" w:asciiTheme="minorEastAsia" w:hAnsiTheme="minorEastAsia" w:eastAsiaTheme="minorEastAsia"/>
        </w:rPr>
        <w:t>.10.1 出入现场的权利</w:t>
      </w:r>
    </w:p>
    <w:p w14:paraId="7DA453A5">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关于出入现场的权利的约定：</w:t>
      </w:r>
      <w:r>
        <w:rPr>
          <w:rFonts w:hint="eastAsia" w:asciiTheme="minorEastAsia" w:hAnsiTheme="minorEastAsia" w:eastAsiaTheme="minorEastAsia"/>
          <w:u w:val="single"/>
        </w:rPr>
        <w:t xml:space="preserve"> 承包人与管理部门联系并承担费用，其他执行通用条款。</w:t>
      </w:r>
      <w:bookmarkEnd w:id="108"/>
      <w:bookmarkEnd w:id="109"/>
      <w:bookmarkEnd w:id="110"/>
      <w:bookmarkEnd w:id="111"/>
      <w:bookmarkEnd w:id="112"/>
    </w:p>
    <w:p w14:paraId="7D49F763">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1</w:t>
      </w:r>
      <w:bookmarkStart w:id="113" w:name="_Toc303539101"/>
      <w:bookmarkStart w:id="114" w:name="_Toc318581156"/>
      <w:bookmarkStart w:id="115" w:name="_Toc300934944"/>
      <w:bookmarkStart w:id="116" w:name="_Toc312677987"/>
      <w:bookmarkStart w:id="117" w:name="_Toc304295522"/>
      <w:r>
        <w:rPr>
          <w:rFonts w:hint="eastAsia" w:asciiTheme="minorEastAsia" w:hAnsiTheme="minorEastAsia" w:eastAsiaTheme="minorEastAsia"/>
        </w:rPr>
        <w:t>.10.3 场内交通</w:t>
      </w:r>
    </w:p>
    <w:p w14:paraId="54B3AF6D">
      <w:pPr>
        <w:spacing w:line="300" w:lineRule="exact"/>
        <w:ind w:firstLine="420" w:firstLineChars="200"/>
        <w:jc w:val="left"/>
        <w:rPr>
          <w:rFonts w:asciiTheme="minorEastAsia" w:hAnsiTheme="minorEastAsia" w:eastAsiaTheme="minorEastAsia"/>
          <w:u w:val="single"/>
        </w:rPr>
      </w:pPr>
      <w:r>
        <w:rPr>
          <w:rFonts w:hint="eastAsia" w:asciiTheme="minorEastAsia" w:hAnsiTheme="minorEastAsia" w:eastAsiaTheme="minorEastAsia"/>
        </w:rPr>
        <w:t>关于场外交通和场内交通的边界的约定：</w:t>
      </w:r>
      <w:r>
        <w:rPr>
          <w:rFonts w:hint="eastAsia" w:asciiTheme="minorEastAsia" w:hAnsiTheme="minorEastAsia" w:eastAsiaTheme="minorEastAsia"/>
          <w:u w:val="single"/>
        </w:rPr>
        <w:t xml:space="preserve"> 施工便道、场内道路及交通设施均由承包人负责施工、维修、养护，并承担施工、维修、养护费用。承包人必须服从发包人的安排和管理。承包人必须精心组织场内外交通，并承担相关费用，承包人必须指派专人做好交通管理。保证交通安全，严防交通事故的发生   </w:t>
      </w:r>
      <w:r>
        <w:rPr>
          <w:rFonts w:hint="eastAsia" w:asciiTheme="minorEastAsia" w:hAnsiTheme="minorEastAsia" w:eastAsiaTheme="minorEastAsia"/>
        </w:rPr>
        <w:t>。</w:t>
      </w:r>
    </w:p>
    <w:p w14:paraId="2B9AE932">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关于发包人向承包人免费提供满足工程施工需要的场内道路和交通设施的约定：。</w:t>
      </w:r>
      <w:bookmarkEnd w:id="113"/>
      <w:bookmarkEnd w:id="114"/>
      <w:bookmarkEnd w:id="115"/>
      <w:bookmarkEnd w:id="116"/>
      <w:bookmarkEnd w:id="117"/>
      <w:bookmarkStart w:id="118" w:name="_Toc318581157"/>
    </w:p>
    <w:p w14:paraId="07B00397">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1.10.4超大件和超重件的运输</w:t>
      </w:r>
    </w:p>
    <w:p w14:paraId="0AB19C75">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运输超大件或超重件所需的道路和桥梁临时加固改造费用和其他有关费用由</w:t>
      </w:r>
      <w:r>
        <w:rPr>
          <w:rFonts w:hint="eastAsia" w:asciiTheme="minorEastAsia" w:hAnsiTheme="minorEastAsia" w:eastAsiaTheme="minorEastAsia"/>
          <w:u w:val="single"/>
        </w:rPr>
        <w:t xml:space="preserve"> 承包人</w:t>
      </w:r>
      <w:r>
        <w:rPr>
          <w:rFonts w:hint="eastAsia" w:asciiTheme="minorEastAsia" w:hAnsiTheme="minorEastAsia" w:eastAsiaTheme="minorEastAsia"/>
        </w:rPr>
        <w:t>承担。</w:t>
      </w:r>
      <w:bookmarkEnd w:id="118"/>
    </w:p>
    <w:p w14:paraId="2FE1BBEE">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1.11 知识产权</w:t>
      </w:r>
    </w:p>
    <w:p w14:paraId="7FC62414">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1.11.1关于发包人提供给承包人的图纸、发包人为实施工程自行编制或委托编制的技术规范以及反映发包人关于合同要求或其他类似性质的文件的著作权的归属：</w:t>
      </w:r>
      <w:r>
        <w:rPr>
          <w:rFonts w:hint="eastAsia" w:asciiTheme="minorEastAsia" w:hAnsiTheme="minorEastAsia" w:eastAsiaTheme="minorEastAsia"/>
          <w:u w:val="single"/>
        </w:rPr>
        <w:t xml:space="preserve"> 发包人   </w:t>
      </w:r>
      <w:r>
        <w:rPr>
          <w:rFonts w:hint="eastAsia" w:asciiTheme="minorEastAsia" w:hAnsiTheme="minorEastAsia" w:eastAsiaTheme="minorEastAsia"/>
        </w:rPr>
        <w:t>。</w:t>
      </w:r>
    </w:p>
    <w:p w14:paraId="20345913">
      <w:pPr>
        <w:spacing w:line="300" w:lineRule="exact"/>
        <w:ind w:firstLine="420" w:firstLineChars="200"/>
        <w:rPr>
          <w:rFonts w:asciiTheme="minorEastAsia" w:hAnsiTheme="minorEastAsia" w:eastAsiaTheme="minorEastAsia"/>
          <w:u w:val="single"/>
        </w:rPr>
      </w:pPr>
      <w:r>
        <w:rPr>
          <w:rFonts w:hint="eastAsia" w:asciiTheme="minorEastAsia" w:hAnsiTheme="minorEastAsia" w:eastAsiaTheme="minorEastAsia"/>
        </w:rPr>
        <w:t>关于发包人提供的上述文件的使用限制的要求：</w:t>
      </w:r>
      <w:r>
        <w:rPr>
          <w:rFonts w:hint="eastAsia" w:asciiTheme="minorEastAsia" w:hAnsiTheme="minorEastAsia" w:eastAsiaTheme="minorEastAsia"/>
          <w:u w:val="single"/>
        </w:rPr>
        <w:t xml:space="preserve"> 承包人可以为实现合同目的而复制、使用</w:t>
      </w:r>
    </w:p>
    <w:p w14:paraId="30772915">
      <w:pPr>
        <w:spacing w:line="300" w:lineRule="exact"/>
        <w:ind w:firstLine="420" w:firstLineChars="200"/>
        <w:rPr>
          <w:rFonts w:asciiTheme="minorEastAsia" w:hAnsiTheme="minorEastAsia" w:eastAsiaTheme="minorEastAsia"/>
          <w:u w:val="single"/>
        </w:rPr>
      </w:pPr>
      <w:r>
        <w:rPr>
          <w:rFonts w:hint="eastAsia" w:asciiTheme="minorEastAsia" w:hAnsiTheme="minorEastAsia" w:eastAsiaTheme="minorEastAsia"/>
          <w:u w:val="single"/>
        </w:rPr>
        <w:t>此类文件，但不能用于与合同无关的其他事项。未经发包人同意，承包人不得为了合同以</w:t>
      </w:r>
    </w:p>
    <w:p w14:paraId="37AFF443">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u w:val="single"/>
        </w:rPr>
        <w:t xml:space="preserve">外的目 的而复制、使用上述文件或将之提供给任何第三方   </w:t>
      </w:r>
      <w:r>
        <w:rPr>
          <w:rFonts w:hint="eastAsia" w:asciiTheme="minorEastAsia" w:hAnsiTheme="minorEastAsia" w:eastAsiaTheme="minorEastAsia"/>
        </w:rPr>
        <w:t>。</w:t>
      </w:r>
    </w:p>
    <w:p w14:paraId="466522EC">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1.11.2 关于承包人为实施工程所编制文件的著作权的归属：</w:t>
      </w:r>
      <w:r>
        <w:rPr>
          <w:rFonts w:hint="eastAsia" w:asciiTheme="minorEastAsia" w:hAnsiTheme="minorEastAsia" w:eastAsiaTheme="minorEastAsia"/>
          <w:u w:val="single"/>
        </w:rPr>
        <w:t xml:space="preserve"> 承包人 </w:t>
      </w:r>
      <w:r>
        <w:rPr>
          <w:rFonts w:hint="eastAsia" w:asciiTheme="minorEastAsia" w:hAnsiTheme="minorEastAsia" w:eastAsiaTheme="minorEastAsia"/>
        </w:rPr>
        <w:t>。</w:t>
      </w:r>
    </w:p>
    <w:p w14:paraId="2A71342A">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关于承包人提供的上述文件的使用限制的要求：</w:t>
      </w:r>
      <w:r>
        <w:rPr>
          <w:rFonts w:hint="eastAsia" w:asciiTheme="minorEastAsia" w:hAnsiTheme="minorEastAsia" w:eastAsiaTheme="minorEastAsia"/>
          <w:u w:val="single"/>
        </w:rPr>
        <w:t xml:space="preserve"> 发包人可以为实现合同目的而复制、使用此类文件，但不能用于与合同无关的其他事项。未经承包人同意，发包人不得为了合同以外的目的而复制、使用上述文件或将之提供给任何第三方。</w:t>
      </w:r>
    </w:p>
    <w:p w14:paraId="123E6AAC">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1.11.3 承包人在施工过程中所采用的专利、专有技术、技术秘密的使用费的承担方式：</w:t>
      </w:r>
      <w:r>
        <w:rPr>
          <w:rFonts w:hint="eastAsia" w:asciiTheme="minorEastAsia" w:hAnsiTheme="minorEastAsia" w:eastAsiaTheme="minorEastAsia"/>
          <w:u w:val="single"/>
        </w:rPr>
        <w:t xml:space="preserve"> 按通用条款执行</w:t>
      </w:r>
      <w:r>
        <w:rPr>
          <w:rFonts w:hint="eastAsia" w:asciiTheme="minorEastAsia" w:hAnsiTheme="minorEastAsia" w:eastAsiaTheme="minorEastAsia"/>
        </w:rPr>
        <w:t>。</w:t>
      </w:r>
    </w:p>
    <w:p w14:paraId="73DE62B8">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1.13工程量清单错误的修正</w:t>
      </w:r>
    </w:p>
    <w:p w14:paraId="70E419E1">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出现工程量清单错误时，是否调整合同价格：</w:t>
      </w:r>
      <w:r>
        <w:rPr>
          <w:rFonts w:hint="eastAsia" w:asciiTheme="minorEastAsia" w:hAnsiTheme="minorEastAsia" w:eastAsiaTheme="minorEastAsia"/>
          <w:u w:val="single"/>
        </w:rPr>
        <w:t xml:space="preserve"> 是 </w:t>
      </w:r>
      <w:r>
        <w:rPr>
          <w:rFonts w:hint="eastAsia" w:asciiTheme="minorEastAsia" w:hAnsiTheme="minorEastAsia" w:eastAsiaTheme="minorEastAsia"/>
        </w:rPr>
        <w:t>。</w:t>
      </w:r>
    </w:p>
    <w:p w14:paraId="1D048786">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允许调整合同价格的工程量偏差范围：</w:t>
      </w:r>
      <w:r>
        <w:rPr>
          <w:rFonts w:hint="eastAsia" w:asciiTheme="minorEastAsia" w:hAnsiTheme="minorEastAsia" w:eastAsiaTheme="minorEastAsia"/>
          <w:u w:val="single"/>
        </w:rPr>
        <w:t xml:space="preserve"> 按实调整 </w:t>
      </w:r>
      <w:r>
        <w:rPr>
          <w:rFonts w:hint="eastAsia" w:asciiTheme="minorEastAsia" w:hAnsiTheme="minorEastAsia" w:eastAsiaTheme="minorEastAsia"/>
        </w:rPr>
        <w:t>。</w:t>
      </w:r>
    </w:p>
    <w:p w14:paraId="4D75AB07">
      <w:pPr>
        <w:pStyle w:val="232"/>
        <w:spacing w:before="0" w:after="0" w:line="300" w:lineRule="exact"/>
        <w:ind w:firstLine="422" w:firstLineChars="200"/>
        <w:rPr>
          <w:rFonts w:asciiTheme="minorEastAsia" w:hAnsiTheme="minorEastAsia" w:eastAsiaTheme="minorEastAsia"/>
          <w:sz w:val="21"/>
        </w:rPr>
      </w:pPr>
      <w:bookmarkStart w:id="119" w:name="_Toc351203634"/>
      <w:r>
        <w:rPr>
          <w:rFonts w:hint="eastAsia" w:asciiTheme="minorEastAsia" w:hAnsiTheme="minorEastAsia" w:eastAsiaTheme="minorEastAsia"/>
          <w:sz w:val="21"/>
        </w:rPr>
        <w:t>2</w:t>
      </w:r>
      <w:bookmarkStart w:id="120" w:name="_Toc296347156"/>
      <w:bookmarkStart w:id="121" w:name="_Toc297120457"/>
      <w:bookmarkStart w:id="122" w:name="_Toc292559362"/>
      <w:bookmarkStart w:id="123" w:name="_Toc296891197"/>
      <w:bookmarkStart w:id="124" w:name="_Toc297048343"/>
      <w:bookmarkStart w:id="125" w:name="_Toc296890985"/>
      <w:bookmarkStart w:id="126" w:name="_Toc292559867"/>
      <w:bookmarkStart w:id="127" w:name="_Toc296503157"/>
      <w:bookmarkStart w:id="128" w:name="_Toc296944496"/>
      <w:bookmarkStart w:id="129" w:name="_Toc296346658"/>
      <w:r>
        <w:rPr>
          <w:rFonts w:hint="eastAsia" w:asciiTheme="minorEastAsia" w:hAnsiTheme="minorEastAsia" w:eastAsiaTheme="minorEastAsia"/>
          <w:sz w:val="21"/>
        </w:rPr>
        <w:t>. 发包人</w:t>
      </w:r>
      <w:bookmarkEnd w:id="119"/>
      <w:bookmarkEnd w:id="120"/>
      <w:bookmarkEnd w:id="121"/>
      <w:bookmarkEnd w:id="122"/>
      <w:bookmarkEnd w:id="123"/>
      <w:bookmarkEnd w:id="124"/>
      <w:bookmarkEnd w:id="125"/>
      <w:bookmarkEnd w:id="126"/>
      <w:bookmarkEnd w:id="127"/>
      <w:bookmarkEnd w:id="128"/>
      <w:bookmarkEnd w:id="129"/>
    </w:p>
    <w:p w14:paraId="74B38180">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2.2 发包人代表</w:t>
      </w:r>
    </w:p>
    <w:p w14:paraId="5A49C105">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发包人代表：</w:t>
      </w:r>
    </w:p>
    <w:p w14:paraId="42C44A5D">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姓    名：；</w:t>
      </w:r>
    </w:p>
    <w:p w14:paraId="5591DA0F">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身份证号：；</w:t>
      </w:r>
    </w:p>
    <w:p w14:paraId="715190BA">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职    务：；</w:t>
      </w:r>
    </w:p>
    <w:p w14:paraId="11DAB19A">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联系电话：；</w:t>
      </w:r>
    </w:p>
    <w:p w14:paraId="4531E1B4">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电子信箱：；</w:t>
      </w:r>
    </w:p>
    <w:p w14:paraId="3675856B">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通信地址：。</w:t>
      </w:r>
    </w:p>
    <w:p w14:paraId="570DC667">
      <w:pPr>
        <w:spacing w:line="300" w:lineRule="exact"/>
        <w:ind w:firstLine="420" w:firstLineChars="200"/>
        <w:rPr>
          <w:rFonts w:asciiTheme="minorEastAsia" w:hAnsiTheme="minorEastAsia" w:eastAsiaTheme="minorEastAsia"/>
          <w:b/>
        </w:rPr>
      </w:pPr>
      <w:r>
        <w:rPr>
          <w:rFonts w:hint="eastAsia" w:asciiTheme="minorEastAsia" w:hAnsiTheme="minorEastAsia" w:eastAsiaTheme="minorEastAsia"/>
        </w:rPr>
        <w:t>发包人对发包人代表的授权范围如下：</w:t>
      </w:r>
      <w:r>
        <w:rPr>
          <w:rFonts w:hint="eastAsia" w:asciiTheme="minorEastAsia" w:hAnsiTheme="minorEastAsia" w:eastAsiaTheme="minorEastAsia"/>
          <w:u w:val="single"/>
        </w:rPr>
        <w:t xml:space="preserve"> 负责处理与协调工程施工中的重大问题，协调外部工作联系。确认有关工期延误、设计变更、现场签证、工程量、进度款支付、验收检验、竣工验收、竣工结算文件、索赔材料，及发包人另行批准的其它职权               </w:t>
      </w:r>
      <w:r>
        <w:rPr>
          <w:rFonts w:hint="eastAsia" w:asciiTheme="minorEastAsia" w:hAnsiTheme="minorEastAsia" w:eastAsiaTheme="minorEastAsia"/>
        </w:rPr>
        <w:t>。</w:t>
      </w:r>
    </w:p>
    <w:p w14:paraId="3C6648B5">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2.4 施工现场、施工条件和基础资料的提供</w:t>
      </w:r>
    </w:p>
    <w:p w14:paraId="0095AABB">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2.4.1 提供施工现场</w:t>
      </w:r>
    </w:p>
    <w:p w14:paraId="258FAEE2">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关于发包人移交施工现场的期限要求：</w:t>
      </w:r>
      <w:r>
        <w:rPr>
          <w:rFonts w:hint="eastAsia" w:asciiTheme="minorEastAsia" w:hAnsiTheme="minorEastAsia" w:eastAsiaTheme="minorEastAsia"/>
          <w:u w:val="single"/>
        </w:rPr>
        <w:t xml:space="preserve"> 开工前壹周内   </w:t>
      </w:r>
      <w:r>
        <w:rPr>
          <w:rFonts w:hint="eastAsia" w:asciiTheme="minorEastAsia" w:hAnsiTheme="minorEastAsia" w:eastAsiaTheme="minorEastAsia"/>
        </w:rPr>
        <w:t>。</w:t>
      </w:r>
    </w:p>
    <w:p w14:paraId="577261AA">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2.4.2 提供施工条件</w:t>
      </w:r>
    </w:p>
    <w:p w14:paraId="7FB2C54C">
      <w:pPr>
        <w:spacing w:line="300" w:lineRule="exact"/>
        <w:ind w:firstLine="420" w:firstLineChars="200"/>
        <w:rPr>
          <w:rFonts w:asciiTheme="minorEastAsia" w:hAnsiTheme="minorEastAsia" w:eastAsiaTheme="minorEastAsia"/>
          <w:u w:val="single"/>
        </w:rPr>
      </w:pPr>
      <w:r>
        <w:rPr>
          <w:rFonts w:hint="eastAsia" w:asciiTheme="minorEastAsia" w:hAnsiTheme="minorEastAsia" w:eastAsiaTheme="minorEastAsia"/>
        </w:rPr>
        <w:t>关于发包人应负责提供施工所需要的条件，包括：</w:t>
      </w:r>
      <w:r>
        <w:rPr>
          <w:rFonts w:hint="eastAsia" w:asciiTheme="minorEastAsia" w:hAnsiTheme="minorEastAsia" w:eastAsiaTheme="minorEastAsia"/>
          <w:u w:val="single"/>
        </w:rPr>
        <w:t xml:space="preserve"> 现场临时设施及材料堆放等场地承包人自行解决，发包人不参与协调或提供。发包人不提供水、电接入点，施工用水、用电接入费或自发电增加费由施工方承担，其他按招标文件执行</w:t>
      </w:r>
      <w:r>
        <w:rPr>
          <w:rFonts w:hint="eastAsia" w:asciiTheme="minorEastAsia" w:hAnsiTheme="minorEastAsia" w:eastAsiaTheme="minorEastAsia"/>
        </w:rPr>
        <w:t>。</w:t>
      </w:r>
    </w:p>
    <w:p w14:paraId="7585118A">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2.5 资金来源证明及支付担保</w:t>
      </w:r>
    </w:p>
    <w:p w14:paraId="419D40FB">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发包人提供资金来源证明的期限要求：。</w:t>
      </w:r>
    </w:p>
    <w:p w14:paraId="6F8661C1">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发包人是否提供支付担保：</w:t>
      </w:r>
      <w:r>
        <w:rPr>
          <w:rFonts w:hint="eastAsia" w:asciiTheme="minorEastAsia" w:hAnsiTheme="minorEastAsia" w:eastAsiaTheme="minorEastAsia"/>
          <w:u w:val="single"/>
        </w:rPr>
        <w:t xml:space="preserve"> 否  </w:t>
      </w:r>
      <w:r>
        <w:rPr>
          <w:rFonts w:hint="eastAsia" w:asciiTheme="minorEastAsia" w:hAnsiTheme="minorEastAsia" w:eastAsiaTheme="minorEastAsia"/>
        </w:rPr>
        <w:t>。</w:t>
      </w:r>
    </w:p>
    <w:p w14:paraId="206E8C8E">
      <w:pPr>
        <w:spacing w:line="300" w:lineRule="exact"/>
        <w:ind w:firstLine="420" w:firstLineChars="200"/>
        <w:rPr>
          <w:rFonts w:asciiTheme="minorEastAsia" w:hAnsiTheme="minorEastAsia" w:eastAsiaTheme="minorEastAsia"/>
          <w:u w:val="single"/>
        </w:rPr>
      </w:pPr>
      <w:r>
        <w:rPr>
          <w:rFonts w:hint="eastAsia" w:asciiTheme="minorEastAsia" w:hAnsiTheme="minorEastAsia" w:eastAsiaTheme="minorEastAsia"/>
        </w:rPr>
        <w:t>发包人提供支付担保的形式：。</w:t>
      </w:r>
    </w:p>
    <w:p w14:paraId="0A4919D1">
      <w:pPr>
        <w:pStyle w:val="232"/>
        <w:spacing w:before="0" w:after="0" w:line="300" w:lineRule="exact"/>
        <w:ind w:firstLine="422" w:firstLineChars="200"/>
        <w:rPr>
          <w:rFonts w:asciiTheme="minorEastAsia" w:hAnsiTheme="minorEastAsia" w:eastAsiaTheme="minorEastAsia"/>
          <w:sz w:val="21"/>
        </w:rPr>
      </w:pPr>
      <w:bookmarkStart w:id="130" w:name="_Toc351203635"/>
      <w:r>
        <w:rPr>
          <w:rFonts w:hint="eastAsia" w:asciiTheme="minorEastAsia" w:hAnsiTheme="minorEastAsia" w:eastAsiaTheme="minorEastAsia"/>
          <w:sz w:val="21"/>
        </w:rPr>
        <w:t>3</w:t>
      </w:r>
      <w:bookmarkStart w:id="131" w:name="_Toc296347157"/>
      <w:bookmarkStart w:id="132" w:name="_Toc296891198"/>
      <w:bookmarkStart w:id="133" w:name="_Toc297048344"/>
      <w:bookmarkStart w:id="134" w:name="_Toc292559363"/>
      <w:bookmarkStart w:id="135" w:name="_Toc297120458"/>
      <w:bookmarkStart w:id="136" w:name="_Toc296890986"/>
      <w:bookmarkStart w:id="137" w:name="_Toc296346659"/>
      <w:bookmarkStart w:id="138" w:name="_Toc292559868"/>
      <w:bookmarkStart w:id="139" w:name="_Toc296944497"/>
      <w:bookmarkStart w:id="140" w:name="_Toc296503158"/>
      <w:r>
        <w:rPr>
          <w:rFonts w:hint="eastAsia" w:asciiTheme="minorEastAsia" w:hAnsiTheme="minorEastAsia" w:eastAsiaTheme="minorEastAsia"/>
          <w:sz w:val="21"/>
        </w:rPr>
        <w:t>. 承包人</w:t>
      </w:r>
      <w:bookmarkEnd w:id="130"/>
      <w:bookmarkEnd w:id="131"/>
      <w:bookmarkEnd w:id="132"/>
      <w:bookmarkEnd w:id="133"/>
      <w:bookmarkEnd w:id="134"/>
      <w:bookmarkEnd w:id="135"/>
      <w:bookmarkEnd w:id="136"/>
      <w:bookmarkEnd w:id="137"/>
      <w:bookmarkEnd w:id="138"/>
      <w:bookmarkEnd w:id="139"/>
      <w:bookmarkEnd w:id="140"/>
    </w:p>
    <w:p w14:paraId="2F17D059">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3.1 承包人的一般义务</w:t>
      </w:r>
    </w:p>
    <w:p w14:paraId="54994FBA">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（9）承包人提交的竣工资料的内容：</w:t>
      </w:r>
      <w:r>
        <w:rPr>
          <w:rFonts w:hint="eastAsia" w:asciiTheme="minorEastAsia" w:hAnsiTheme="minorEastAsia" w:eastAsiaTheme="minorEastAsia"/>
          <w:u w:val="single"/>
        </w:rPr>
        <w:t xml:space="preserve">工程具备竣工验收条件，承包人按国家工程竣工验收有关规定的验收要求，提前15天向监理单位提供完整竣工资料（含声像、影像资料），竣工报告及工程质量保修书，同时向城建档案馆报送完整的竣工资料及竣工图（壹套）壹份（需档案馆审核合格，承包人承担扫描等相关费用），同时向发包人报送完整的竣工资料及竣工图（壹套）壹份和相应的电子档案资料。属于发包人应提供的资料由发包人负责及时提供给承包人，由承包人汇总整理后统一归档   </w:t>
      </w:r>
      <w:r>
        <w:rPr>
          <w:rFonts w:hint="eastAsia" w:asciiTheme="minorEastAsia" w:hAnsiTheme="minorEastAsia" w:eastAsiaTheme="minorEastAsia"/>
        </w:rPr>
        <w:t>。</w:t>
      </w:r>
    </w:p>
    <w:p w14:paraId="0D0EFE99">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承包人需要提交的竣工资料套数：</w:t>
      </w:r>
      <w:r>
        <w:rPr>
          <w:rFonts w:hint="eastAsia" w:asciiTheme="minorEastAsia" w:hAnsiTheme="minorEastAsia" w:eastAsiaTheme="minorEastAsia"/>
          <w:u w:val="single"/>
        </w:rPr>
        <w:t xml:space="preserve"> 四套   </w:t>
      </w:r>
      <w:r>
        <w:rPr>
          <w:rFonts w:hint="eastAsia" w:asciiTheme="minorEastAsia" w:hAnsiTheme="minorEastAsia" w:eastAsiaTheme="minorEastAsia"/>
        </w:rPr>
        <w:t>。</w:t>
      </w:r>
    </w:p>
    <w:p w14:paraId="3B24929D">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承包人提交的竣工资料的费用承担：</w:t>
      </w:r>
      <w:r>
        <w:rPr>
          <w:rFonts w:hint="eastAsia" w:asciiTheme="minorEastAsia" w:hAnsiTheme="minorEastAsia" w:eastAsiaTheme="minorEastAsia"/>
          <w:u w:val="single"/>
        </w:rPr>
        <w:t xml:space="preserve"> 由承包人自行承担  </w:t>
      </w:r>
      <w:r>
        <w:rPr>
          <w:rFonts w:hint="eastAsia" w:asciiTheme="minorEastAsia" w:hAnsiTheme="minorEastAsia" w:eastAsiaTheme="minorEastAsia"/>
        </w:rPr>
        <w:t>。</w:t>
      </w:r>
    </w:p>
    <w:p w14:paraId="6C0687B2">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承包人提交的竣工资料移交时间：</w:t>
      </w:r>
      <w:r>
        <w:rPr>
          <w:rFonts w:hint="eastAsia" w:asciiTheme="minorEastAsia" w:hAnsiTheme="minorEastAsia" w:eastAsiaTheme="minorEastAsia"/>
          <w:u w:val="single"/>
        </w:rPr>
        <w:t xml:space="preserve"> 按照法律法规和当地竣工验收备案部门的有关规定   </w:t>
      </w:r>
      <w:r>
        <w:rPr>
          <w:rFonts w:hint="eastAsia" w:asciiTheme="minorEastAsia" w:hAnsiTheme="minorEastAsia" w:eastAsiaTheme="minorEastAsia"/>
        </w:rPr>
        <w:t>。</w:t>
      </w:r>
    </w:p>
    <w:p w14:paraId="7AEA006A">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承包人提交的竣工资料形式要求：</w:t>
      </w:r>
      <w:r>
        <w:rPr>
          <w:rFonts w:hint="eastAsia" w:asciiTheme="minorEastAsia" w:hAnsiTheme="minorEastAsia" w:eastAsiaTheme="minorEastAsia"/>
          <w:u w:val="single"/>
        </w:rPr>
        <w:t xml:space="preserve"> 书面资料                      </w:t>
      </w:r>
      <w:r>
        <w:rPr>
          <w:rFonts w:hint="eastAsia" w:asciiTheme="minorEastAsia" w:hAnsiTheme="minorEastAsia" w:eastAsiaTheme="minorEastAsia"/>
        </w:rPr>
        <w:t>。</w:t>
      </w:r>
    </w:p>
    <w:p w14:paraId="28CA329E">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（10）承包人应履行的其他义务：</w:t>
      </w:r>
      <w:r>
        <w:rPr>
          <w:rFonts w:hint="eastAsia" w:asciiTheme="minorEastAsia" w:hAnsiTheme="minorEastAsia" w:eastAsiaTheme="minorEastAsia"/>
          <w:u w:val="single"/>
        </w:rPr>
        <w:t xml:space="preserve"> 建设单位按约定拨付工程款，并按中华人民共和国国务院令第 724 号《保障农民工工资支付条例》有关规定将人工费用直接拨付至农民工工资专用帐户。中标人应按照中华人民共和国国务院令第 724 号《保障农民工工资支付条例》有关规定开设农民工工资专用帐户，专项用于支付本工程建设项目农民工工资。承包人必须按国家规定及时支付工人工资，招标人将对中标人履行前述付款的情况进行监督。招标人有权使用履约保证金支付拖欠的工人工资。如因承包人未能及时发放农民工工资引发农民工群体性上访事件，每发生一次群体性上访事件扣罚中标人 5万元，由承包人承担由此产生的一切后果 </w:t>
      </w:r>
      <w:r>
        <w:rPr>
          <w:rFonts w:hint="eastAsia" w:asciiTheme="minorEastAsia" w:hAnsiTheme="minorEastAsia" w:eastAsiaTheme="minorEastAsia"/>
        </w:rPr>
        <w:t>。</w:t>
      </w:r>
    </w:p>
    <w:p w14:paraId="06439066">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3.2 项目经理</w:t>
      </w:r>
    </w:p>
    <w:p w14:paraId="706F1E7D">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3.2.1 项目经理：</w:t>
      </w:r>
    </w:p>
    <w:p w14:paraId="742ABD87">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姓    名：；</w:t>
      </w:r>
    </w:p>
    <w:p w14:paraId="1D10F26B">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身份证号：；</w:t>
      </w:r>
    </w:p>
    <w:p w14:paraId="6ABF6795">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建造师执业资格等级：；</w:t>
      </w:r>
    </w:p>
    <w:p w14:paraId="13D4EF7C">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建造师注册证书号：；</w:t>
      </w:r>
    </w:p>
    <w:p w14:paraId="7167FB07">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建造师执业印章号：；</w:t>
      </w:r>
    </w:p>
    <w:p w14:paraId="5943F253">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安全生产考核合格证书号：；</w:t>
      </w:r>
    </w:p>
    <w:p w14:paraId="7AA028ED">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联系电话：；</w:t>
      </w:r>
    </w:p>
    <w:p w14:paraId="0C2C5AFF">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电子信箱：；</w:t>
      </w:r>
    </w:p>
    <w:p w14:paraId="2DB0B79C">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通信地址：；</w:t>
      </w:r>
    </w:p>
    <w:p w14:paraId="6B2C5F6F">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承包人对项目经理的授权范围如下：</w:t>
      </w:r>
      <w:r>
        <w:rPr>
          <w:rFonts w:hint="eastAsia" w:asciiTheme="minorEastAsia" w:hAnsiTheme="minorEastAsia" w:eastAsiaTheme="minorEastAsia"/>
          <w:u w:val="single"/>
        </w:rPr>
        <w:t xml:space="preserve"> 代表承包商履行合同所必需的一切权力    </w:t>
      </w:r>
      <w:r>
        <w:rPr>
          <w:rFonts w:hint="eastAsia" w:asciiTheme="minorEastAsia" w:hAnsiTheme="minorEastAsia" w:eastAsiaTheme="minorEastAsia"/>
        </w:rPr>
        <w:t>。</w:t>
      </w:r>
    </w:p>
    <w:p w14:paraId="6AB57FB1">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关于项目经理每月在施工现场的时间要求：</w:t>
      </w:r>
      <w:r>
        <w:rPr>
          <w:rFonts w:hint="eastAsia" w:asciiTheme="minorEastAsia" w:hAnsiTheme="minorEastAsia" w:eastAsiaTheme="minorEastAsia"/>
          <w:u w:val="single"/>
        </w:rPr>
        <w:t xml:space="preserve"> 开工之日起到竣工结束，在保证工程质量、安全、进度的情况下， 项目经理每周至少 5 日，每天不少于 8 小时在现场组织施工。</w:t>
      </w:r>
    </w:p>
    <w:p w14:paraId="267E03FE">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承包人未提交劳动合同，以及没有为项目经理缴纳社会保险证明的违约责任：</w:t>
      </w:r>
      <w:r>
        <w:rPr>
          <w:rFonts w:hint="eastAsia" w:asciiTheme="minorEastAsia" w:hAnsiTheme="minorEastAsia" w:eastAsiaTheme="minorEastAsia"/>
          <w:u w:val="single"/>
        </w:rPr>
        <w:t xml:space="preserve"> 责令限期提交劳动合同并补缴社会保险，并扣除履约保证金的 10% </w:t>
      </w:r>
      <w:r>
        <w:rPr>
          <w:rFonts w:hint="eastAsia" w:asciiTheme="minorEastAsia" w:hAnsiTheme="minorEastAsia" w:eastAsiaTheme="minorEastAsia"/>
        </w:rPr>
        <w:t>。</w:t>
      </w:r>
    </w:p>
    <w:p w14:paraId="5EB47D51">
      <w:pPr>
        <w:spacing w:line="300" w:lineRule="exact"/>
        <w:ind w:firstLine="420" w:firstLineChars="200"/>
        <w:rPr>
          <w:rFonts w:asciiTheme="minorEastAsia" w:hAnsiTheme="minorEastAsia" w:eastAsiaTheme="minorEastAsia"/>
          <w:u w:val="single"/>
        </w:rPr>
      </w:pPr>
      <w:r>
        <w:rPr>
          <w:rFonts w:hint="eastAsia" w:asciiTheme="minorEastAsia" w:hAnsiTheme="minorEastAsia" w:eastAsiaTheme="minorEastAsia"/>
        </w:rPr>
        <w:t>项目经理未经批准，擅自离开施工现场的违约责任：</w:t>
      </w:r>
      <w:r>
        <w:rPr>
          <w:rFonts w:hint="eastAsia" w:asciiTheme="minorEastAsia" w:hAnsiTheme="minorEastAsia" w:eastAsiaTheme="minorEastAsia"/>
          <w:u w:val="single"/>
        </w:rPr>
        <w:t xml:space="preserve"> 发包人有权处违约金 5000 元/人•次 ,</w:t>
      </w:r>
      <w:r>
        <w:rPr>
          <w:spacing w:val="4"/>
          <w:u w:val="single"/>
        </w:rPr>
        <w:t>以后每发现一次罚</w:t>
      </w:r>
      <w:r>
        <w:rPr>
          <w:spacing w:val="3"/>
          <w:u w:val="single"/>
        </w:rPr>
        <w:t>金加</w:t>
      </w:r>
      <w:r>
        <w:rPr>
          <w:spacing w:val="-22"/>
          <w:u w:val="single"/>
        </w:rPr>
        <w:t xml:space="preserve"> </w:t>
      </w:r>
      <w:r>
        <w:rPr>
          <w:spacing w:val="3"/>
          <w:u w:val="single"/>
        </w:rPr>
        <w:t>100</w:t>
      </w:r>
      <w:r>
        <w:rPr>
          <w:rFonts w:hint="eastAsia"/>
          <w:spacing w:val="3"/>
          <w:u w:val="single"/>
        </w:rPr>
        <w:t>00</w:t>
      </w:r>
      <w:r>
        <w:rPr>
          <w:spacing w:val="-38"/>
          <w:u w:val="single"/>
        </w:rPr>
        <w:t xml:space="preserve"> </w:t>
      </w:r>
      <w:r>
        <w:rPr>
          <w:spacing w:val="3"/>
          <w:u w:val="single"/>
        </w:rPr>
        <w:t>元/</w:t>
      </w:r>
      <w:r>
        <w:rPr>
          <w:rFonts w:hint="eastAsia"/>
          <w:spacing w:val="3"/>
          <w:u w:val="single"/>
        </w:rPr>
        <w:t>次</w:t>
      </w:r>
      <w:r>
        <w:rPr>
          <w:rFonts w:hint="eastAsia" w:asciiTheme="minorEastAsia" w:hAnsiTheme="minorEastAsia" w:eastAsiaTheme="minorEastAsia"/>
        </w:rPr>
        <w:t>。</w:t>
      </w:r>
    </w:p>
    <w:p w14:paraId="39B50B99">
      <w:pPr>
        <w:spacing w:line="300" w:lineRule="exact"/>
        <w:ind w:firstLine="420" w:firstLineChars="200"/>
        <w:rPr>
          <w:rFonts w:asciiTheme="minorEastAsia" w:hAnsiTheme="minorEastAsia" w:eastAsiaTheme="minorEastAsia"/>
          <w:u w:val="single"/>
        </w:rPr>
      </w:pPr>
      <w:r>
        <w:rPr>
          <w:rFonts w:hint="eastAsia" w:asciiTheme="minorEastAsia" w:hAnsiTheme="minorEastAsia" w:eastAsiaTheme="minorEastAsia"/>
        </w:rPr>
        <w:t>3.2.3 承包人擅自更换项目经理的违约责任：</w:t>
      </w:r>
      <w:r>
        <w:rPr>
          <w:rFonts w:hint="eastAsia" w:asciiTheme="minorEastAsia" w:hAnsiTheme="minorEastAsia" w:eastAsiaTheme="minorEastAsia"/>
          <w:u w:val="single"/>
        </w:rPr>
        <w:t xml:space="preserve"> 由承包人承担违约责任，并扣除履约保证金</w:t>
      </w:r>
    </w:p>
    <w:p w14:paraId="5B5CDDF5">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u w:val="single"/>
        </w:rPr>
        <w:t xml:space="preserve">的50% </w:t>
      </w:r>
      <w:r>
        <w:rPr>
          <w:rFonts w:hint="eastAsia" w:asciiTheme="minorEastAsia" w:hAnsiTheme="minorEastAsia" w:eastAsiaTheme="minorEastAsia"/>
        </w:rPr>
        <w:t>。</w:t>
      </w:r>
    </w:p>
    <w:p w14:paraId="5B31B95A">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 xml:space="preserve">    3.2.4 承包人无正当理由拒绝更换项目经理的违约责任：</w:t>
      </w:r>
      <w:r>
        <w:rPr>
          <w:rFonts w:hint="eastAsia" w:asciiTheme="minorEastAsia" w:hAnsiTheme="minorEastAsia" w:eastAsiaTheme="minorEastAsia"/>
          <w:u w:val="single"/>
        </w:rPr>
        <w:t xml:space="preserve"> </w:t>
      </w:r>
      <w:r>
        <w:rPr>
          <w:rFonts w:hint="eastAsia"/>
          <w:spacing w:val="7"/>
          <w:u w:val="single"/>
        </w:rPr>
        <w:t>未经建设单位批准，不得更换项目经理</w:t>
      </w:r>
      <w:r>
        <w:rPr>
          <w:rFonts w:hint="eastAsia" w:asciiTheme="minorEastAsia" w:hAnsiTheme="minorEastAsia" w:eastAsiaTheme="minorEastAsia"/>
          <w:u w:val="single"/>
        </w:rPr>
        <w:t xml:space="preserve"> </w:t>
      </w:r>
      <w:r>
        <w:rPr>
          <w:rFonts w:hint="eastAsia" w:asciiTheme="minorEastAsia" w:hAnsiTheme="minorEastAsia" w:eastAsiaTheme="minorEastAsia"/>
        </w:rPr>
        <w:t>。</w:t>
      </w:r>
    </w:p>
    <w:p w14:paraId="7D05C846">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3.3 承包人人员</w:t>
      </w:r>
    </w:p>
    <w:p w14:paraId="6C560D6C">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3.3.1 承包人提交项目管理机构及施工现场管理人员安排报告的期限：</w:t>
      </w:r>
      <w:r>
        <w:rPr>
          <w:rFonts w:hint="eastAsia" w:asciiTheme="minorEastAsia" w:hAnsiTheme="minorEastAsia" w:eastAsiaTheme="minorEastAsia"/>
          <w:u w:val="single"/>
        </w:rPr>
        <w:t xml:space="preserve"> 承包人应在接到开工通知后 7 天内，向监理人提交承包人项目管理机构及施工现场人员安排的报告</w:t>
      </w:r>
      <w:r>
        <w:rPr>
          <w:rFonts w:hint="eastAsia" w:asciiTheme="minorEastAsia" w:hAnsiTheme="minorEastAsia" w:eastAsiaTheme="minorEastAsia"/>
        </w:rPr>
        <w:t>。</w:t>
      </w:r>
    </w:p>
    <w:p w14:paraId="2FDF64B6">
      <w:pPr>
        <w:spacing w:line="300" w:lineRule="exact"/>
        <w:ind w:firstLine="420" w:firstLineChars="200"/>
        <w:rPr>
          <w:rFonts w:asciiTheme="minorEastAsia" w:hAnsiTheme="minorEastAsia" w:eastAsiaTheme="minorEastAsia"/>
          <w:u w:val="single"/>
        </w:rPr>
      </w:pPr>
      <w:r>
        <w:rPr>
          <w:rFonts w:hint="eastAsia" w:asciiTheme="minorEastAsia" w:hAnsiTheme="minorEastAsia" w:eastAsiaTheme="minorEastAsia"/>
        </w:rPr>
        <w:t>3.3.3 承包人无正当理由拒绝撤换主要施工管理人员的违约责任：</w:t>
      </w:r>
      <w:r>
        <w:rPr>
          <w:rFonts w:hint="eastAsia" w:asciiTheme="minorEastAsia" w:hAnsiTheme="minorEastAsia" w:eastAsiaTheme="minorEastAsia"/>
          <w:u w:val="single"/>
        </w:rPr>
        <w:t xml:space="preserve"> 由承包人承担违约责任，</w:t>
      </w:r>
    </w:p>
    <w:p w14:paraId="4178631D">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u w:val="single"/>
        </w:rPr>
        <w:t xml:space="preserve">并扣除履约保证金的 20%     </w:t>
      </w:r>
      <w:r>
        <w:rPr>
          <w:rFonts w:hint="eastAsia" w:asciiTheme="minorEastAsia" w:hAnsiTheme="minorEastAsia" w:eastAsiaTheme="minorEastAsia"/>
        </w:rPr>
        <w:t>。</w:t>
      </w:r>
    </w:p>
    <w:p w14:paraId="6B80CF8C">
      <w:pPr>
        <w:spacing w:line="300" w:lineRule="exact"/>
        <w:ind w:firstLine="420" w:firstLineChars="200"/>
        <w:rPr>
          <w:rFonts w:asciiTheme="minorEastAsia" w:hAnsiTheme="minorEastAsia" w:eastAsiaTheme="minorEastAsia"/>
          <w:u w:val="single"/>
        </w:rPr>
      </w:pPr>
      <w:r>
        <w:rPr>
          <w:rFonts w:hint="eastAsia" w:asciiTheme="minorEastAsia" w:hAnsiTheme="minorEastAsia" w:eastAsiaTheme="minorEastAsia"/>
        </w:rPr>
        <w:t xml:space="preserve">3.3.4 承包人主要施工管理人员离开施工现场的批准要求： </w:t>
      </w:r>
      <w:r>
        <w:rPr>
          <w:rFonts w:hint="eastAsia" w:asciiTheme="minorEastAsia" w:hAnsiTheme="minorEastAsia" w:eastAsiaTheme="minorEastAsia"/>
          <w:u w:val="single"/>
        </w:rPr>
        <w:t xml:space="preserve"> 应事先通知监理人，并取得发</w:t>
      </w:r>
    </w:p>
    <w:p w14:paraId="199CA866">
      <w:pPr>
        <w:spacing w:line="300" w:lineRule="exact"/>
        <w:ind w:firstLine="420" w:firstLineChars="200"/>
        <w:rPr>
          <w:rFonts w:asciiTheme="minorEastAsia" w:hAnsiTheme="minorEastAsia" w:eastAsiaTheme="minorEastAsia"/>
          <w:u w:val="single"/>
        </w:rPr>
      </w:pPr>
      <w:r>
        <w:rPr>
          <w:rFonts w:hint="eastAsia" w:asciiTheme="minorEastAsia" w:hAnsiTheme="minorEastAsia" w:eastAsiaTheme="minorEastAsia"/>
          <w:u w:val="single"/>
        </w:rPr>
        <w:t xml:space="preserve">包人的书面同意，书面请假手续同时报招标人或监理备案，其它按通用条款执行   </w:t>
      </w:r>
      <w:r>
        <w:rPr>
          <w:rFonts w:hint="eastAsia" w:asciiTheme="minorEastAsia" w:hAnsiTheme="minorEastAsia" w:eastAsiaTheme="minorEastAsia"/>
        </w:rPr>
        <w:t>。</w:t>
      </w:r>
    </w:p>
    <w:p w14:paraId="509BD5F2">
      <w:pPr>
        <w:spacing w:line="300" w:lineRule="exact"/>
        <w:ind w:firstLine="420" w:firstLineChars="200"/>
        <w:rPr>
          <w:rFonts w:asciiTheme="minorEastAsia" w:hAnsiTheme="minorEastAsia" w:eastAsiaTheme="minorEastAsia"/>
          <w:u w:val="single"/>
        </w:rPr>
      </w:pPr>
      <w:r>
        <w:rPr>
          <w:rFonts w:hint="eastAsia" w:asciiTheme="minorEastAsia" w:hAnsiTheme="minorEastAsia" w:eastAsiaTheme="minorEastAsia"/>
        </w:rPr>
        <w:t>3.3.5承包人擅自更换主要施工管理人员的违约责任：</w:t>
      </w:r>
      <w:r>
        <w:rPr>
          <w:rFonts w:hint="eastAsia" w:asciiTheme="minorEastAsia" w:hAnsiTheme="minorEastAsia" w:eastAsiaTheme="minorEastAsia"/>
          <w:u w:val="single"/>
        </w:rPr>
        <w:t xml:space="preserve"> 由承包人承担违约责任，并扣除履约</w:t>
      </w:r>
    </w:p>
    <w:p w14:paraId="72967891">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u w:val="single"/>
        </w:rPr>
        <w:t xml:space="preserve">保证金的 20%。  </w:t>
      </w:r>
      <w:r>
        <w:rPr>
          <w:rFonts w:hint="eastAsia" w:asciiTheme="minorEastAsia" w:hAnsiTheme="minorEastAsia" w:eastAsiaTheme="minorEastAsia"/>
        </w:rPr>
        <w:t>。</w:t>
      </w:r>
    </w:p>
    <w:p w14:paraId="32E1F380">
      <w:pPr>
        <w:spacing w:line="300" w:lineRule="exact"/>
        <w:ind w:firstLine="420" w:firstLineChars="200"/>
        <w:rPr>
          <w:rFonts w:asciiTheme="minorEastAsia" w:hAnsiTheme="minorEastAsia" w:eastAsiaTheme="minorEastAsia"/>
          <w:u w:val="single"/>
        </w:rPr>
      </w:pPr>
      <w:r>
        <w:rPr>
          <w:rFonts w:hint="eastAsia" w:asciiTheme="minorEastAsia" w:hAnsiTheme="minorEastAsia" w:eastAsiaTheme="minorEastAsia"/>
        </w:rPr>
        <w:t>承包人主要施工管理人员擅自离开施工现场的违约责任：</w:t>
      </w:r>
      <w:r>
        <w:rPr>
          <w:rFonts w:hint="eastAsia" w:asciiTheme="minorEastAsia" w:hAnsiTheme="minorEastAsia" w:eastAsiaTheme="minorEastAsia"/>
          <w:u w:val="single"/>
        </w:rPr>
        <w:t xml:space="preserve"> 由承包人承担违约责任，发包人</w:t>
      </w:r>
    </w:p>
    <w:p w14:paraId="094DBEF8">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u w:val="single"/>
        </w:rPr>
        <w:t xml:space="preserve">有权处违约金 500 元/人•次(人民币)     </w:t>
      </w:r>
      <w:r>
        <w:rPr>
          <w:rFonts w:hint="eastAsia" w:asciiTheme="minorEastAsia" w:hAnsiTheme="minorEastAsia" w:eastAsiaTheme="minorEastAsia"/>
        </w:rPr>
        <w:t>。</w:t>
      </w:r>
    </w:p>
    <w:p w14:paraId="42DE1DBE">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3</w:t>
      </w:r>
      <w:bookmarkStart w:id="141" w:name="_Toc292559364"/>
      <w:bookmarkStart w:id="142" w:name="_Toc296503159"/>
      <w:bookmarkStart w:id="143" w:name="_Toc297216151"/>
      <w:bookmarkStart w:id="144" w:name="_Toc303539102"/>
      <w:bookmarkStart w:id="145" w:name="_Toc296347158"/>
      <w:bookmarkStart w:id="146" w:name="_Toc296346660"/>
      <w:bookmarkStart w:id="147" w:name="_Toc296891199"/>
      <w:bookmarkStart w:id="148" w:name="_Toc312677988"/>
      <w:bookmarkStart w:id="149" w:name="_Toc304295523"/>
      <w:bookmarkStart w:id="150" w:name="_Toc292559869"/>
      <w:bookmarkStart w:id="151" w:name="_Toc300934945"/>
      <w:bookmarkStart w:id="152" w:name="_Toc297120459"/>
      <w:bookmarkStart w:id="153" w:name="_Toc296944498"/>
      <w:bookmarkStart w:id="154" w:name="_Toc296890987"/>
      <w:bookmarkStart w:id="155" w:name="_Toc297123492"/>
      <w:bookmarkStart w:id="156" w:name="_Toc297048345"/>
      <w:r>
        <w:rPr>
          <w:rFonts w:hint="eastAsia" w:asciiTheme="minorEastAsia" w:hAnsiTheme="minorEastAsia" w:eastAsiaTheme="minorEastAsia"/>
        </w:rPr>
        <w:t>.5 分包</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14:paraId="120BDE21">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3</w:t>
      </w:r>
      <w:bookmarkStart w:id="157" w:name="_Toc318581158"/>
      <w:bookmarkStart w:id="158" w:name="_Toc297123493"/>
      <w:bookmarkStart w:id="159" w:name="_Toc292559365"/>
      <w:bookmarkStart w:id="160" w:name="_Toc296944499"/>
      <w:bookmarkStart w:id="161" w:name="_Toc312677989"/>
      <w:bookmarkStart w:id="162" w:name="_Toc296891200"/>
      <w:bookmarkStart w:id="163" w:name="_Toc292559870"/>
      <w:bookmarkStart w:id="164" w:name="_Toc297216152"/>
      <w:bookmarkStart w:id="165" w:name="_Toc297048346"/>
      <w:bookmarkStart w:id="166" w:name="_Toc296346661"/>
      <w:bookmarkStart w:id="167" w:name="_Toc303539103"/>
      <w:bookmarkStart w:id="168" w:name="_Toc296347159"/>
      <w:bookmarkStart w:id="169" w:name="_Toc297120460"/>
      <w:bookmarkStart w:id="170" w:name="_Toc300934946"/>
      <w:bookmarkStart w:id="171" w:name="_Toc296503160"/>
      <w:bookmarkStart w:id="172" w:name="_Toc296890988"/>
      <w:bookmarkStart w:id="173" w:name="_Toc304295524"/>
      <w:r>
        <w:rPr>
          <w:rFonts w:hint="eastAsia" w:asciiTheme="minorEastAsia" w:hAnsiTheme="minorEastAsia" w:eastAsiaTheme="minorEastAsia"/>
        </w:rPr>
        <w:t>.5.1 分包的一般约定</w:t>
      </w:r>
    </w:p>
    <w:p w14:paraId="47AFA6E3">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禁止分包的工程包括：</w:t>
      </w:r>
      <w:r>
        <w:rPr>
          <w:rFonts w:hint="eastAsia" w:asciiTheme="minorEastAsia" w:hAnsiTheme="minorEastAsia" w:eastAsiaTheme="minorEastAsia"/>
          <w:u w:val="single"/>
        </w:rPr>
        <w:t xml:space="preserve"> 法律法规禁止分包的工程</w:t>
      </w:r>
      <w:r>
        <w:rPr>
          <w:rFonts w:hint="eastAsia" w:asciiTheme="minorEastAsia" w:hAnsiTheme="minorEastAsia" w:eastAsiaTheme="minorEastAsia"/>
        </w:rPr>
        <w:t>。</w:t>
      </w:r>
    </w:p>
    <w:p w14:paraId="064125B7">
      <w:pPr>
        <w:spacing w:line="300" w:lineRule="exact"/>
        <w:ind w:firstLine="420" w:firstLineChars="200"/>
        <w:jc w:val="left"/>
        <w:rPr>
          <w:rFonts w:asciiTheme="minorEastAsia" w:hAnsiTheme="minorEastAsia" w:eastAsiaTheme="minorEastAsia"/>
          <w:u w:val="single"/>
        </w:rPr>
      </w:pPr>
      <w:r>
        <w:rPr>
          <w:rFonts w:hint="eastAsia" w:asciiTheme="minorEastAsia" w:hAnsiTheme="minorEastAsia" w:eastAsiaTheme="minorEastAsia"/>
        </w:rPr>
        <w:t>主体结构、关键性工作的范围：。</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p>
    <w:p w14:paraId="79759D38">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 xml:space="preserve">    3</w:t>
      </w:r>
      <w:bookmarkStart w:id="174" w:name="_Toc312677990"/>
      <w:bookmarkStart w:id="175" w:name="_Toc318581159"/>
      <w:r>
        <w:rPr>
          <w:rFonts w:hint="eastAsia" w:asciiTheme="minorEastAsia" w:hAnsiTheme="minorEastAsia" w:eastAsiaTheme="minorEastAsia"/>
        </w:rPr>
        <w:t>.5.2分包的确定</w:t>
      </w:r>
    </w:p>
    <w:p w14:paraId="30678C4A">
      <w:pPr>
        <w:spacing w:line="300" w:lineRule="exact"/>
        <w:ind w:firstLine="420" w:firstLineChars="200"/>
        <w:rPr>
          <w:rFonts w:asciiTheme="minorEastAsia" w:hAnsiTheme="minorEastAsia" w:eastAsiaTheme="minorEastAsia"/>
          <w:u w:val="single"/>
        </w:rPr>
      </w:pPr>
      <w:r>
        <w:rPr>
          <w:rFonts w:hint="eastAsia" w:asciiTheme="minorEastAsia" w:hAnsiTheme="minorEastAsia" w:eastAsiaTheme="minorEastAsia"/>
        </w:rPr>
        <w:t>允许分包的专业工程包括：。</w:t>
      </w:r>
    </w:p>
    <w:p w14:paraId="5C3B0A4B">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其他关于分包的约定：</w:t>
      </w:r>
      <w:r>
        <w:rPr>
          <w:rFonts w:hint="eastAsia" w:asciiTheme="minorEastAsia" w:hAnsiTheme="minorEastAsia" w:eastAsiaTheme="minorEastAsia"/>
          <w:u w:val="single"/>
        </w:rPr>
        <w:t xml:space="preserve"> 非主体、非关键性工程可以分包，分包单位须具有相关资质且得到招标人认可                  </w:t>
      </w:r>
      <w:r>
        <w:rPr>
          <w:rFonts w:hint="eastAsia" w:asciiTheme="minorEastAsia" w:hAnsiTheme="minorEastAsia" w:eastAsiaTheme="minorEastAsia"/>
        </w:rPr>
        <w:t>。</w:t>
      </w:r>
    </w:p>
    <w:p w14:paraId="5455C5AB">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3.5.4 分包合同价款</w:t>
      </w:r>
    </w:p>
    <w:p w14:paraId="37C0AB90">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关于分包合同价款支付的约定：。</w:t>
      </w:r>
      <w:bookmarkEnd w:id="174"/>
      <w:bookmarkEnd w:id="175"/>
    </w:p>
    <w:p w14:paraId="5EF2FD10">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3.6 工程照管与成品、半成品保护</w:t>
      </w:r>
    </w:p>
    <w:p w14:paraId="40070223">
      <w:pPr>
        <w:spacing w:line="300" w:lineRule="exact"/>
        <w:ind w:firstLine="420" w:firstLineChars="200"/>
        <w:rPr>
          <w:rFonts w:asciiTheme="minorEastAsia" w:hAnsiTheme="minorEastAsia" w:eastAsiaTheme="minorEastAsia"/>
          <w:u w:val="single"/>
        </w:rPr>
      </w:pPr>
      <w:r>
        <w:rPr>
          <w:rFonts w:hint="eastAsia" w:asciiTheme="minorEastAsia" w:hAnsiTheme="minorEastAsia" w:eastAsiaTheme="minorEastAsia"/>
        </w:rPr>
        <w:t>承包人负责照管工程及工程相关的材料、工程设备的起始时间：</w:t>
      </w:r>
      <w:r>
        <w:rPr>
          <w:rFonts w:hint="eastAsia" w:asciiTheme="minorEastAsia" w:hAnsiTheme="minorEastAsia" w:eastAsiaTheme="minorEastAsia"/>
          <w:u w:val="single"/>
        </w:rPr>
        <w:t xml:space="preserve"> 发包人向承包人移交施工</w:t>
      </w:r>
    </w:p>
    <w:p w14:paraId="0B00B399">
      <w:pPr>
        <w:spacing w:line="300" w:lineRule="exact"/>
        <w:ind w:firstLine="420" w:firstLineChars="200"/>
        <w:rPr>
          <w:rFonts w:asciiTheme="minorEastAsia" w:hAnsiTheme="minorEastAsia" w:eastAsiaTheme="minorEastAsia"/>
          <w:u w:val="single"/>
        </w:rPr>
      </w:pPr>
      <w:r>
        <w:rPr>
          <w:rFonts w:hint="eastAsia" w:asciiTheme="minorEastAsia" w:hAnsiTheme="minorEastAsia" w:eastAsiaTheme="minorEastAsia"/>
          <w:u w:val="single"/>
        </w:rPr>
        <w:t xml:space="preserve">现场之日起                 </w:t>
      </w:r>
      <w:r>
        <w:rPr>
          <w:rFonts w:hint="eastAsia" w:asciiTheme="minorEastAsia" w:hAnsiTheme="minorEastAsia" w:eastAsiaTheme="minorEastAsia"/>
        </w:rPr>
        <w:t>。</w:t>
      </w:r>
    </w:p>
    <w:p w14:paraId="4829807F">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3.7 履约担保</w:t>
      </w:r>
    </w:p>
    <w:p w14:paraId="31DD3EDE">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承包人是否提供履约担保：</w:t>
      </w:r>
      <w:r>
        <w:rPr>
          <w:rFonts w:hint="eastAsia" w:asciiTheme="minorEastAsia" w:hAnsiTheme="minorEastAsia" w:eastAsiaTheme="minorEastAsia"/>
          <w:u w:val="single"/>
        </w:rPr>
        <w:t xml:space="preserve"> 详见招标文件第二章投标人须知前附表 7.3.1 条款  </w:t>
      </w:r>
      <w:r>
        <w:rPr>
          <w:rFonts w:hint="eastAsia" w:asciiTheme="minorEastAsia" w:hAnsiTheme="minorEastAsia" w:eastAsiaTheme="minorEastAsia"/>
        </w:rPr>
        <w:t>。</w:t>
      </w:r>
    </w:p>
    <w:p w14:paraId="5F744C61">
      <w:pPr>
        <w:spacing w:line="300" w:lineRule="exact"/>
        <w:ind w:firstLine="420" w:firstLineChars="200"/>
        <w:jc w:val="left"/>
        <w:rPr>
          <w:rFonts w:asciiTheme="minorEastAsia" w:hAnsiTheme="minorEastAsia" w:eastAsiaTheme="minorEastAsia"/>
          <w:u w:val="single"/>
        </w:rPr>
      </w:pPr>
      <w:r>
        <w:rPr>
          <w:rFonts w:hint="eastAsia" w:asciiTheme="minorEastAsia" w:hAnsiTheme="minorEastAsia" w:eastAsiaTheme="minorEastAsia"/>
        </w:rPr>
        <w:t>承包人提供履约担保的形式、金额及期限的：</w:t>
      </w:r>
      <w:r>
        <w:rPr>
          <w:rFonts w:hint="eastAsia" w:asciiTheme="minorEastAsia" w:hAnsiTheme="minorEastAsia" w:eastAsiaTheme="minorEastAsia"/>
          <w:u w:val="single"/>
        </w:rPr>
        <w:t xml:space="preserve"> 详见招标文件第二章投标人须知前附表 7.3.1</w:t>
      </w:r>
    </w:p>
    <w:p w14:paraId="733CA78D">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u w:val="single"/>
        </w:rPr>
        <w:t xml:space="preserve">条款 </w:t>
      </w:r>
      <w:r>
        <w:rPr>
          <w:rFonts w:hint="eastAsia" w:asciiTheme="minorEastAsia" w:hAnsiTheme="minorEastAsia" w:eastAsiaTheme="minorEastAsia"/>
        </w:rPr>
        <w:t>。</w:t>
      </w:r>
    </w:p>
    <w:p w14:paraId="263EE64F">
      <w:pPr>
        <w:pStyle w:val="232"/>
        <w:spacing w:before="0" w:after="0" w:line="300" w:lineRule="exact"/>
        <w:ind w:firstLine="422" w:firstLineChars="200"/>
        <w:rPr>
          <w:rFonts w:asciiTheme="minorEastAsia" w:hAnsiTheme="minorEastAsia" w:eastAsiaTheme="minorEastAsia"/>
          <w:sz w:val="21"/>
        </w:rPr>
      </w:pPr>
      <w:bookmarkStart w:id="176" w:name="_Toc351203636"/>
      <w:r>
        <w:rPr>
          <w:rFonts w:hint="eastAsia" w:asciiTheme="minorEastAsia" w:hAnsiTheme="minorEastAsia" w:eastAsiaTheme="minorEastAsia"/>
          <w:sz w:val="21"/>
        </w:rPr>
        <w:t>4</w:t>
      </w:r>
      <w:bookmarkStart w:id="177" w:name="_Toc297048348"/>
      <w:bookmarkStart w:id="178" w:name="_Toc292559871"/>
      <w:bookmarkStart w:id="179" w:name="_Toc292559366"/>
      <w:bookmarkStart w:id="180" w:name="_Toc297120462"/>
      <w:bookmarkStart w:id="181" w:name="_Toc296891202"/>
      <w:bookmarkStart w:id="182" w:name="_Toc296346663"/>
      <w:bookmarkStart w:id="183" w:name="_Toc267251413"/>
      <w:bookmarkStart w:id="184" w:name="_Toc296347161"/>
      <w:bookmarkStart w:id="185" w:name="_Toc296503162"/>
      <w:bookmarkStart w:id="186" w:name="_Toc296944501"/>
      <w:bookmarkStart w:id="187" w:name="_Toc296890990"/>
      <w:r>
        <w:rPr>
          <w:rFonts w:hint="eastAsia" w:asciiTheme="minorEastAsia" w:hAnsiTheme="minorEastAsia" w:eastAsiaTheme="minorEastAsia"/>
          <w:sz w:val="21"/>
        </w:rPr>
        <w:t>. 监</w:t>
      </w:r>
      <w:bookmarkEnd w:id="177"/>
      <w:bookmarkEnd w:id="178"/>
      <w:bookmarkEnd w:id="179"/>
      <w:bookmarkEnd w:id="180"/>
      <w:bookmarkEnd w:id="181"/>
      <w:bookmarkEnd w:id="182"/>
      <w:bookmarkEnd w:id="183"/>
      <w:bookmarkEnd w:id="184"/>
      <w:bookmarkEnd w:id="185"/>
      <w:bookmarkEnd w:id="186"/>
      <w:bookmarkEnd w:id="187"/>
      <w:r>
        <w:rPr>
          <w:rFonts w:hint="eastAsia" w:asciiTheme="minorEastAsia" w:hAnsiTheme="minorEastAsia" w:eastAsiaTheme="minorEastAsia"/>
          <w:sz w:val="21"/>
        </w:rPr>
        <w:t>理人</w:t>
      </w:r>
      <w:bookmarkEnd w:id="176"/>
    </w:p>
    <w:p w14:paraId="2D8F20C4">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4.1监理人的一般规定</w:t>
      </w:r>
    </w:p>
    <w:p w14:paraId="61459F14">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关于监理人的监理内容：</w:t>
      </w:r>
      <w:r>
        <w:rPr>
          <w:rFonts w:hint="eastAsia" w:asciiTheme="minorEastAsia" w:hAnsiTheme="minorEastAsia" w:eastAsiaTheme="minorEastAsia"/>
          <w:u w:val="single"/>
        </w:rPr>
        <w:t xml:space="preserve"> 见监理合同                              </w:t>
      </w:r>
      <w:r>
        <w:rPr>
          <w:rFonts w:hint="eastAsia" w:asciiTheme="minorEastAsia" w:hAnsiTheme="minorEastAsia" w:eastAsiaTheme="minorEastAsia"/>
        </w:rPr>
        <w:t>。</w:t>
      </w:r>
    </w:p>
    <w:p w14:paraId="5242B947">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关于监理人的监理权限：</w:t>
      </w:r>
      <w:r>
        <w:rPr>
          <w:rFonts w:hint="eastAsia" w:asciiTheme="minorEastAsia" w:hAnsiTheme="minorEastAsia" w:eastAsiaTheme="minorEastAsia"/>
          <w:u w:val="single"/>
        </w:rPr>
        <w:t xml:space="preserve"> 对本工程施工阶段的质量、进度、造价进行控制，以及对合同、安全、信息和现场进行管理，涉及工期、质量标准、造价变更的需发包人书面确认    </w:t>
      </w:r>
      <w:r>
        <w:rPr>
          <w:rFonts w:hint="eastAsia" w:asciiTheme="minorEastAsia" w:hAnsiTheme="minorEastAsia" w:eastAsiaTheme="minorEastAsia"/>
        </w:rPr>
        <w:t xml:space="preserve">。 </w:t>
      </w:r>
    </w:p>
    <w:p w14:paraId="6D07941D">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关于监理人在施工现场的办公场所、生活场所的提供和费用承担的约定：</w:t>
      </w:r>
      <w:r>
        <w:rPr>
          <w:rFonts w:hint="eastAsia" w:asciiTheme="minorEastAsia" w:hAnsiTheme="minorEastAsia" w:eastAsiaTheme="minorEastAsia"/>
          <w:u w:val="single"/>
        </w:rPr>
        <w:t xml:space="preserve"> 由承包人提供    </w:t>
      </w:r>
      <w:r>
        <w:rPr>
          <w:rFonts w:hint="eastAsia" w:asciiTheme="minorEastAsia" w:hAnsiTheme="minorEastAsia" w:eastAsiaTheme="minorEastAsia"/>
        </w:rPr>
        <w:t>。</w:t>
      </w:r>
    </w:p>
    <w:p w14:paraId="06364C26">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4.2 监理人员</w:t>
      </w:r>
    </w:p>
    <w:p w14:paraId="1A4C8048">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总监理工程师：</w:t>
      </w:r>
    </w:p>
    <w:p w14:paraId="0829C036">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姓    名：；</w:t>
      </w:r>
    </w:p>
    <w:p w14:paraId="6927C1AE">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职    务：；</w:t>
      </w:r>
    </w:p>
    <w:p w14:paraId="103C6E1F">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监理工程师执业资格证书号：；</w:t>
      </w:r>
    </w:p>
    <w:p w14:paraId="42BC6548">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联系电话：；</w:t>
      </w:r>
    </w:p>
    <w:p w14:paraId="27523B53">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电子信箱：；</w:t>
      </w:r>
    </w:p>
    <w:p w14:paraId="513CF0F4">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通信地址：；</w:t>
      </w:r>
    </w:p>
    <w:p w14:paraId="43EDFC5B">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关于监理人的其他约定：。</w:t>
      </w:r>
    </w:p>
    <w:p w14:paraId="6DF04B69">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4.4 商定或确定</w:t>
      </w:r>
    </w:p>
    <w:p w14:paraId="3D8A7397">
      <w:pPr>
        <w:spacing w:line="300" w:lineRule="exact"/>
        <w:ind w:firstLine="420" w:firstLineChars="200"/>
        <w:rPr>
          <w:rFonts w:asciiTheme="minorEastAsia" w:hAnsiTheme="minorEastAsia" w:eastAsiaTheme="minorEastAsia"/>
        </w:rPr>
      </w:pPr>
      <w:bookmarkStart w:id="188" w:name="_Toc267251418"/>
      <w:r>
        <w:rPr>
          <w:rFonts w:hint="eastAsia" w:asciiTheme="minorEastAsia" w:hAnsiTheme="minorEastAsia" w:eastAsiaTheme="minorEastAsia"/>
        </w:rPr>
        <w:t>在发包人和承包人不能通过协商达成一致意见时，发包人授权监理人对以下事项进行确定：</w:t>
      </w:r>
    </w:p>
    <w:p w14:paraId="2F817229">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（1）；</w:t>
      </w:r>
    </w:p>
    <w:p w14:paraId="71B1CC14">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（2）；</w:t>
      </w:r>
    </w:p>
    <w:p w14:paraId="10BE14BE">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（3）。</w:t>
      </w:r>
    </w:p>
    <w:p w14:paraId="2B7F1A90">
      <w:pPr>
        <w:pStyle w:val="232"/>
        <w:spacing w:before="0" w:after="0" w:line="300" w:lineRule="exact"/>
        <w:ind w:firstLine="422" w:firstLineChars="200"/>
        <w:rPr>
          <w:rFonts w:asciiTheme="minorEastAsia" w:hAnsiTheme="minorEastAsia" w:eastAsiaTheme="minorEastAsia"/>
          <w:sz w:val="21"/>
        </w:rPr>
      </w:pPr>
      <w:bookmarkStart w:id="189" w:name="_Toc351203637"/>
      <w:r>
        <w:rPr>
          <w:rFonts w:hint="eastAsia" w:asciiTheme="minorEastAsia" w:hAnsiTheme="minorEastAsia" w:eastAsiaTheme="minorEastAsia"/>
          <w:sz w:val="21"/>
        </w:rPr>
        <w:t>5</w:t>
      </w:r>
      <w:bookmarkEnd w:id="188"/>
      <w:bookmarkStart w:id="190" w:name="_Toc296891203"/>
      <w:bookmarkStart w:id="191" w:name="_Toc297120463"/>
      <w:bookmarkStart w:id="192" w:name="_Toc292559872"/>
      <w:bookmarkStart w:id="193" w:name="_Toc296347162"/>
      <w:bookmarkStart w:id="194" w:name="_Toc296890991"/>
      <w:bookmarkStart w:id="195" w:name="_Toc296503163"/>
      <w:bookmarkStart w:id="196" w:name="_Toc296346664"/>
      <w:bookmarkStart w:id="197" w:name="_Toc292559367"/>
      <w:bookmarkStart w:id="198" w:name="_Toc296944502"/>
      <w:bookmarkStart w:id="199" w:name="_Toc297048349"/>
      <w:r>
        <w:rPr>
          <w:rFonts w:hint="eastAsia" w:asciiTheme="minorEastAsia" w:hAnsiTheme="minorEastAsia" w:eastAsiaTheme="minorEastAsia"/>
          <w:sz w:val="21"/>
        </w:rPr>
        <w:t>. 工程质量</w:t>
      </w:r>
      <w:bookmarkEnd w:id="189"/>
    </w:p>
    <w:p w14:paraId="714DCB15">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5.1 质量要求</w:t>
      </w:r>
    </w:p>
    <w:p w14:paraId="7B94E40B">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5</w:t>
      </w:r>
      <w:bookmarkStart w:id="200" w:name="_Toc300934949"/>
      <w:bookmarkStart w:id="201" w:name="_Toc303539106"/>
      <w:bookmarkStart w:id="202" w:name="_Toc312677997"/>
      <w:bookmarkStart w:id="203" w:name="_Toc297123496"/>
      <w:bookmarkStart w:id="204" w:name="_Toc304295527"/>
      <w:bookmarkStart w:id="205" w:name="_Toc297216155"/>
      <w:bookmarkStart w:id="206" w:name="_Toc318581164"/>
      <w:r>
        <w:rPr>
          <w:rFonts w:hint="eastAsia" w:asciiTheme="minorEastAsia" w:hAnsiTheme="minorEastAsia" w:eastAsiaTheme="minorEastAsia"/>
        </w:rPr>
        <w:t>.1.1 特殊质量标准和要求：。</w:t>
      </w:r>
    </w:p>
    <w:p w14:paraId="219E49E2">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关于工程奖项的约定：。</w:t>
      </w:r>
    </w:p>
    <w:p w14:paraId="20A79C56">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5.3 隐蔽工程检查</w:t>
      </w:r>
    </w:p>
    <w:p w14:paraId="2821383A">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5.3.2承包人提前通知监理人隐蔽工程检查的期限的约定：</w:t>
      </w:r>
      <w:r>
        <w:rPr>
          <w:rFonts w:hint="eastAsia" w:asciiTheme="minorEastAsia" w:hAnsiTheme="minorEastAsia" w:eastAsiaTheme="minorEastAsia"/>
          <w:u w:val="single"/>
        </w:rPr>
        <w:t xml:space="preserve">  按通用条款执行   </w:t>
      </w:r>
      <w:r>
        <w:rPr>
          <w:rFonts w:hint="eastAsia" w:asciiTheme="minorEastAsia" w:hAnsiTheme="minorEastAsia" w:eastAsiaTheme="minorEastAsia"/>
        </w:rPr>
        <w:t>。</w:t>
      </w:r>
    </w:p>
    <w:p w14:paraId="090B640D">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监理人不能按时进行检查时，应提前</w:t>
      </w:r>
      <w:r>
        <w:rPr>
          <w:rFonts w:hint="eastAsia" w:asciiTheme="minorEastAsia" w:hAnsiTheme="minorEastAsia" w:eastAsiaTheme="minorEastAsia"/>
          <w:u w:val="single"/>
        </w:rPr>
        <w:t xml:space="preserve">  24     </w:t>
      </w:r>
      <w:r>
        <w:rPr>
          <w:rFonts w:hint="eastAsia" w:asciiTheme="minorEastAsia" w:hAnsiTheme="minorEastAsia" w:eastAsiaTheme="minorEastAsia"/>
        </w:rPr>
        <w:t>小时提交书面延期要求。</w:t>
      </w:r>
    </w:p>
    <w:p w14:paraId="26EBBE97">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关于延期最长不得超过：</w:t>
      </w:r>
      <w:r>
        <w:rPr>
          <w:rFonts w:hint="eastAsia" w:asciiTheme="minorEastAsia" w:hAnsiTheme="minorEastAsia" w:eastAsiaTheme="minorEastAsia"/>
          <w:u w:val="single"/>
        </w:rPr>
        <w:t xml:space="preserve">  48       </w:t>
      </w:r>
      <w:r>
        <w:rPr>
          <w:rFonts w:hint="eastAsia" w:asciiTheme="minorEastAsia" w:hAnsiTheme="minorEastAsia" w:eastAsiaTheme="minorEastAsia"/>
        </w:rPr>
        <w:t>小时。</w:t>
      </w:r>
    </w:p>
    <w:p w14:paraId="3A221A30">
      <w:pPr>
        <w:pStyle w:val="232"/>
        <w:spacing w:before="0" w:after="0" w:line="300" w:lineRule="exact"/>
        <w:ind w:firstLine="422" w:firstLineChars="200"/>
        <w:rPr>
          <w:rFonts w:asciiTheme="minorEastAsia" w:hAnsiTheme="minorEastAsia" w:eastAsiaTheme="minorEastAsia"/>
          <w:sz w:val="21"/>
        </w:rPr>
      </w:pPr>
      <w:bookmarkStart w:id="207" w:name="_Toc351203638"/>
      <w:r>
        <w:rPr>
          <w:rFonts w:hint="eastAsia" w:asciiTheme="minorEastAsia" w:hAnsiTheme="minorEastAsia" w:eastAsiaTheme="minorEastAsia"/>
          <w:sz w:val="21"/>
        </w:rPr>
        <w:t>6. 安全文明施工与环境保护</w:t>
      </w:r>
      <w:bookmarkEnd w:id="207"/>
    </w:p>
    <w:p w14:paraId="67B65B21">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6.1安全文明施工</w:t>
      </w:r>
    </w:p>
    <w:p w14:paraId="371BC263">
      <w:pPr>
        <w:spacing w:line="300" w:lineRule="exact"/>
        <w:ind w:firstLine="420" w:firstLineChars="200"/>
        <w:jc w:val="left"/>
        <w:rPr>
          <w:rFonts w:asciiTheme="minorEastAsia" w:hAnsiTheme="minorEastAsia" w:eastAsiaTheme="minorEastAsia"/>
          <w:u w:val="single"/>
        </w:rPr>
      </w:pPr>
      <w:r>
        <w:rPr>
          <w:rFonts w:hint="eastAsia" w:asciiTheme="minorEastAsia" w:hAnsiTheme="minorEastAsia" w:eastAsiaTheme="minorEastAsia"/>
        </w:rPr>
        <w:t>6.1.1 项目安全生产的达标目标及相应事项的约定：</w:t>
      </w:r>
      <w:r>
        <w:rPr>
          <w:rFonts w:hint="eastAsia" w:asciiTheme="minorEastAsia" w:hAnsiTheme="minorEastAsia" w:eastAsiaTheme="minorEastAsia"/>
          <w:u w:val="single"/>
        </w:rPr>
        <w:t xml:space="preserve">  无安全事故   </w:t>
      </w:r>
    </w:p>
    <w:p w14:paraId="19F98E65">
      <w:pPr>
        <w:spacing w:line="300" w:lineRule="exact"/>
        <w:ind w:firstLine="420" w:firstLineChars="200"/>
        <w:jc w:val="left"/>
        <w:rPr>
          <w:rFonts w:asciiTheme="minorEastAsia" w:hAnsiTheme="minorEastAsia" w:eastAsiaTheme="minorEastAsia"/>
          <w:u w:val="single"/>
        </w:rPr>
      </w:pPr>
      <w:r>
        <w:rPr>
          <w:rFonts w:hint="eastAsia" w:asciiTheme="minorEastAsia" w:hAnsiTheme="minorEastAsia" w:eastAsiaTheme="minorEastAsia"/>
          <w:u w:val="single"/>
        </w:rPr>
        <w:t>1)本工程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p>
    <w:p w14:paraId="710A7D3D">
      <w:pPr>
        <w:spacing w:line="300" w:lineRule="exact"/>
        <w:ind w:firstLine="420" w:firstLineChars="200"/>
        <w:jc w:val="left"/>
        <w:rPr>
          <w:rFonts w:asciiTheme="minorEastAsia" w:hAnsiTheme="minorEastAsia" w:eastAsiaTheme="minorEastAsia"/>
          <w:u w:val="single"/>
        </w:rPr>
      </w:pPr>
      <w:r>
        <w:rPr>
          <w:rFonts w:hint="eastAsia" w:asciiTheme="minorEastAsia" w:hAnsiTheme="minorEastAsia" w:eastAsiaTheme="minorEastAsia"/>
          <w:u w:val="single"/>
        </w:rPr>
        <w:t>2）承包人必须成立项目安全管理小组，所有全部工程施工过程均必须有安全管理人员在施</w:t>
      </w:r>
    </w:p>
    <w:p w14:paraId="1D99640A">
      <w:pPr>
        <w:spacing w:line="300" w:lineRule="exact"/>
        <w:ind w:firstLine="420" w:firstLineChars="200"/>
        <w:jc w:val="left"/>
        <w:rPr>
          <w:rFonts w:asciiTheme="minorEastAsia" w:hAnsiTheme="minorEastAsia" w:eastAsiaTheme="minorEastAsia"/>
          <w:u w:val="single"/>
        </w:rPr>
      </w:pPr>
      <w:r>
        <w:rPr>
          <w:rFonts w:hint="eastAsia" w:asciiTheme="minorEastAsia" w:hAnsiTheme="minorEastAsia" w:eastAsiaTheme="minorEastAsia"/>
          <w:u w:val="single"/>
        </w:rPr>
        <w:t>工现场，实施安全监督。</w:t>
      </w:r>
    </w:p>
    <w:p w14:paraId="7EC4682A">
      <w:pPr>
        <w:spacing w:line="300" w:lineRule="exact"/>
        <w:ind w:firstLine="420" w:firstLineChars="200"/>
        <w:jc w:val="left"/>
        <w:rPr>
          <w:rFonts w:asciiTheme="minorEastAsia" w:hAnsiTheme="minorEastAsia" w:eastAsiaTheme="minorEastAsia"/>
          <w:u w:val="single"/>
        </w:rPr>
      </w:pPr>
      <w:r>
        <w:rPr>
          <w:rFonts w:hint="eastAsia" w:asciiTheme="minorEastAsia" w:hAnsiTheme="minorEastAsia" w:eastAsiaTheme="minorEastAsia"/>
          <w:u w:val="single"/>
        </w:rPr>
        <w:t>3）承包人在施工组织安排时，要充分考虑施工条件的影响。施工现场内、外的设置临时交</w:t>
      </w:r>
    </w:p>
    <w:p w14:paraId="3216FAF0">
      <w:pPr>
        <w:spacing w:line="300" w:lineRule="exact"/>
        <w:ind w:firstLine="420" w:firstLineChars="200"/>
        <w:jc w:val="left"/>
        <w:rPr>
          <w:rFonts w:asciiTheme="minorEastAsia" w:hAnsiTheme="minorEastAsia" w:eastAsiaTheme="minorEastAsia"/>
          <w:u w:val="single"/>
        </w:rPr>
      </w:pPr>
      <w:r>
        <w:rPr>
          <w:rFonts w:hint="eastAsia" w:asciiTheme="minorEastAsia" w:hAnsiTheme="minorEastAsia" w:eastAsiaTheme="minorEastAsia"/>
          <w:u w:val="single"/>
        </w:rPr>
        <w:t>通安全设施等。</w:t>
      </w:r>
    </w:p>
    <w:p w14:paraId="38DBE8B3">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u w:val="single"/>
        </w:rPr>
        <w:t>4）承包人对本工程的质量安全负全责。</w:t>
      </w:r>
      <w:r>
        <w:rPr>
          <w:rFonts w:hint="eastAsia" w:asciiTheme="minorEastAsia" w:hAnsiTheme="minorEastAsia" w:eastAsiaTheme="minorEastAsia"/>
        </w:rPr>
        <w:t>。</w:t>
      </w:r>
    </w:p>
    <w:p w14:paraId="5E5602B8">
      <w:pPr>
        <w:spacing w:line="300" w:lineRule="exact"/>
        <w:ind w:firstLine="420" w:firstLineChars="200"/>
        <w:jc w:val="left"/>
        <w:rPr>
          <w:rFonts w:asciiTheme="minorEastAsia" w:hAnsiTheme="minorEastAsia" w:eastAsiaTheme="minorEastAsia"/>
          <w:u w:val="single"/>
        </w:rPr>
      </w:pPr>
      <w:r>
        <w:rPr>
          <w:rFonts w:hint="eastAsia" w:asciiTheme="minorEastAsia" w:hAnsiTheme="minorEastAsia" w:eastAsiaTheme="minorEastAsia"/>
        </w:rPr>
        <w:t>6.1.4 关于治安保卫的特别约定：</w:t>
      </w:r>
      <w:r>
        <w:rPr>
          <w:rFonts w:hint="eastAsia" w:asciiTheme="minorEastAsia" w:hAnsiTheme="minorEastAsia" w:eastAsiaTheme="minorEastAsia"/>
          <w:u w:val="single"/>
        </w:rPr>
        <w:t xml:space="preserve"> 承包人按照规定负责施工现场的治安保卫工作及施工照</w:t>
      </w:r>
    </w:p>
    <w:p w14:paraId="44983927">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u w:val="single"/>
        </w:rPr>
        <w:t xml:space="preserve">明，负责施工人员的治安教育和管理工作，承包人对治安防护工作负责，禁止外单位车辆、人员出入工地。施工期间的承包人设置的供电设施由承包人负责管理和保护。上述事项的费用由承 包人承担。其它按通用条款执行       </w:t>
      </w:r>
      <w:r>
        <w:rPr>
          <w:rFonts w:hint="eastAsia" w:asciiTheme="minorEastAsia" w:hAnsiTheme="minorEastAsia" w:eastAsiaTheme="minorEastAsia"/>
        </w:rPr>
        <w:t>。</w:t>
      </w:r>
    </w:p>
    <w:p w14:paraId="4919A3C5">
      <w:pPr>
        <w:spacing w:line="300" w:lineRule="exact"/>
        <w:ind w:firstLine="420" w:firstLineChars="200"/>
        <w:jc w:val="left"/>
        <w:rPr>
          <w:rFonts w:asciiTheme="minorEastAsia" w:hAnsiTheme="minorEastAsia" w:eastAsiaTheme="minorEastAsia"/>
          <w:u w:val="single"/>
        </w:rPr>
      </w:pPr>
      <w:r>
        <w:rPr>
          <w:rFonts w:hint="eastAsia" w:asciiTheme="minorEastAsia" w:hAnsiTheme="minorEastAsia" w:eastAsiaTheme="minorEastAsia"/>
        </w:rPr>
        <w:t>关于编制施工场地治安管理计划的约定：</w:t>
      </w:r>
      <w:r>
        <w:rPr>
          <w:rFonts w:hint="eastAsia" w:asciiTheme="minorEastAsia" w:hAnsiTheme="minorEastAsia" w:eastAsiaTheme="minorEastAsia"/>
          <w:u w:val="single"/>
        </w:rPr>
        <w:t xml:space="preserve"> 承包人须编制施工场地治安管理计划，建立健全</w:t>
      </w:r>
    </w:p>
    <w:p w14:paraId="06730B1E">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u w:val="single"/>
        </w:rPr>
        <w:t xml:space="preserve">施工现场治安保卫制度及管理责任制，并制定应对突发治安事件的应急预案       </w:t>
      </w:r>
      <w:r>
        <w:rPr>
          <w:rFonts w:hint="eastAsia" w:asciiTheme="minorEastAsia" w:hAnsiTheme="minorEastAsia" w:eastAsiaTheme="minorEastAsia"/>
        </w:rPr>
        <w:t>。</w:t>
      </w:r>
    </w:p>
    <w:p w14:paraId="0C3A573B">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6.1.5 文明施工</w:t>
      </w:r>
    </w:p>
    <w:p w14:paraId="3C4FFD90">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合同当事人对文明施工的要求：</w:t>
      </w:r>
      <w:r>
        <w:rPr>
          <w:rFonts w:hint="eastAsia" w:asciiTheme="minorEastAsia" w:hAnsiTheme="minorEastAsia" w:eastAsiaTheme="minorEastAsia"/>
          <w:u w:val="single"/>
        </w:rPr>
        <w:t xml:space="preserve"> 承包人应根据创建文明施工现场的要求，保证工地周围工程及设施完好。施工期间乙方必须服从招标人派出的工程管理人员和监理人员的指导、监督，工程竣工结束，中标人负责清运自身生活、改造拆除等建筑垃圾，保证场地整洁、符合要求       </w:t>
      </w:r>
      <w:r>
        <w:rPr>
          <w:rFonts w:hint="eastAsia" w:asciiTheme="minorEastAsia" w:hAnsiTheme="minorEastAsia" w:eastAsiaTheme="minorEastAsia"/>
        </w:rPr>
        <w:t>。</w:t>
      </w:r>
    </w:p>
    <w:p w14:paraId="3EB43DAE">
      <w:pPr>
        <w:spacing w:line="300" w:lineRule="exact"/>
        <w:ind w:firstLine="420" w:firstLineChars="200"/>
        <w:jc w:val="left"/>
        <w:rPr>
          <w:rFonts w:asciiTheme="minorEastAsia" w:hAnsiTheme="minorEastAsia" w:eastAsiaTheme="minorEastAsia"/>
          <w:u w:val="single"/>
        </w:rPr>
      </w:pPr>
      <w:r>
        <w:rPr>
          <w:rFonts w:hint="eastAsia" w:asciiTheme="minorEastAsia" w:hAnsiTheme="minorEastAsia" w:eastAsiaTheme="minorEastAsia"/>
        </w:rPr>
        <w:t>6.1.6 关于安全文明施工费支付比例和支付期限的约定：</w:t>
      </w:r>
      <w:r>
        <w:rPr>
          <w:rFonts w:hint="eastAsia" w:asciiTheme="minorEastAsia" w:hAnsiTheme="minorEastAsia" w:eastAsiaTheme="minorEastAsia"/>
          <w:u w:val="single"/>
        </w:rPr>
        <w:t xml:space="preserve"> 按国家规定比例，该费用包含在</w:t>
      </w:r>
    </w:p>
    <w:p w14:paraId="3703360A">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u w:val="single"/>
        </w:rPr>
        <w:t xml:space="preserve">首次付款中     </w:t>
      </w:r>
      <w:r>
        <w:rPr>
          <w:rFonts w:hint="eastAsia" w:asciiTheme="minorEastAsia" w:hAnsiTheme="minorEastAsia" w:eastAsiaTheme="minorEastAsia"/>
        </w:rPr>
        <w:t>。</w:t>
      </w:r>
      <w:bookmarkEnd w:id="200"/>
      <w:bookmarkEnd w:id="201"/>
      <w:bookmarkEnd w:id="202"/>
      <w:bookmarkEnd w:id="203"/>
      <w:bookmarkEnd w:id="204"/>
      <w:bookmarkEnd w:id="205"/>
      <w:bookmarkEnd w:id="206"/>
    </w:p>
    <w:p w14:paraId="51B6E0FE">
      <w:pPr>
        <w:pStyle w:val="232"/>
        <w:spacing w:before="0" w:after="0" w:line="300" w:lineRule="exact"/>
        <w:ind w:firstLine="422" w:firstLineChars="200"/>
        <w:rPr>
          <w:rFonts w:asciiTheme="minorEastAsia" w:hAnsiTheme="minorEastAsia" w:eastAsiaTheme="minorEastAsia"/>
          <w:sz w:val="21"/>
        </w:rPr>
      </w:pPr>
      <w:bookmarkStart w:id="208" w:name="_Toc351203639"/>
      <w:r>
        <w:rPr>
          <w:rFonts w:hint="eastAsia" w:asciiTheme="minorEastAsia" w:hAnsiTheme="minorEastAsia" w:eastAsiaTheme="minorEastAsia"/>
          <w:sz w:val="21"/>
        </w:rPr>
        <w:t>7. 工期和进度</w:t>
      </w:r>
      <w:bookmarkEnd w:id="208"/>
    </w:p>
    <w:p w14:paraId="7D8D1CAB">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7.1 施工组织设计</w:t>
      </w:r>
    </w:p>
    <w:p w14:paraId="6F28D4B2">
      <w:pPr>
        <w:spacing w:line="300" w:lineRule="exact"/>
        <w:ind w:firstLine="420" w:firstLineChars="200"/>
        <w:jc w:val="left"/>
        <w:rPr>
          <w:rFonts w:asciiTheme="minorEastAsia" w:hAnsiTheme="minorEastAsia" w:eastAsiaTheme="minorEastAsia"/>
          <w:u w:val="single"/>
        </w:rPr>
      </w:pPr>
      <w:r>
        <w:rPr>
          <w:rFonts w:hint="eastAsia" w:asciiTheme="minorEastAsia" w:hAnsiTheme="minorEastAsia" w:eastAsiaTheme="minorEastAsia"/>
        </w:rPr>
        <w:t>7.1.1 合同当事人约定的施工组织设计应包括的其他内容：</w:t>
      </w:r>
      <w:r>
        <w:rPr>
          <w:rFonts w:hint="eastAsia" w:asciiTheme="minorEastAsia" w:hAnsiTheme="minorEastAsia" w:eastAsiaTheme="minorEastAsia"/>
          <w:u w:val="single"/>
        </w:rPr>
        <w:t xml:space="preserve"> 1、施工期间交通组织及交通安</w:t>
      </w:r>
    </w:p>
    <w:p w14:paraId="3849851E">
      <w:pPr>
        <w:spacing w:line="300" w:lineRule="exact"/>
        <w:ind w:firstLine="420" w:firstLineChars="200"/>
        <w:jc w:val="left"/>
        <w:rPr>
          <w:rFonts w:asciiTheme="minorEastAsia" w:hAnsiTheme="minorEastAsia" w:eastAsiaTheme="minorEastAsia"/>
          <w:u w:val="single"/>
        </w:rPr>
      </w:pPr>
      <w:r>
        <w:rPr>
          <w:rFonts w:hint="eastAsia" w:asciiTheme="minorEastAsia" w:hAnsiTheme="minorEastAsia" w:eastAsiaTheme="minorEastAsia"/>
          <w:u w:val="single"/>
        </w:rPr>
        <w:t>全的保证措施；2、根据合同的要求编写详细的《施工进度计划》（此计划应包括但不仅限 于：</w:t>
      </w:r>
    </w:p>
    <w:p w14:paraId="439FFF9C">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u w:val="single"/>
        </w:rPr>
        <w:t xml:space="preserve">分部分项工程施工进度安排、精确到以“周”为单位的施工进度时间段），周报、月报、月完成形象化进度、进度计划表各两份，发包人、监理单位各一份；承包人未按时提交上述内容， 视为承包人违约一次，每违约一次承包人赔偿发包人伍仟元整，并按监理单位指定要求提交上述内容及整改措施      </w:t>
      </w:r>
      <w:r>
        <w:rPr>
          <w:rFonts w:hint="eastAsia" w:asciiTheme="minorEastAsia" w:hAnsiTheme="minorEastAsia" w:eastAsiaTheme="minorEastAsia"/>
        </w:rPr>
        <w:t>。</w:t>
      </w:r>
    </w:p>
    <w:p w14:paraId="27CD1DEF">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7.1.2 施工组织设计的提交和修改</w:t>
      </w:r>
    </w:p>
    <w:p w14:paraId="4E35D2B8">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承包人提交详细施工组织设计的期限的约定：。</w:t>
      </w:r>
    </w:p>
    <w:p w14:paraId="33B805FD">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发包人和监理人在收到详细的施工组织设计后确认或提出修改意见的期限：。</w:t>
      </w:r>
    </w:p>
    <w:p w14:paraId="168583CE">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7</w:t>
      </w:r>
      <w:bookmarkStart w:id="209" w:name="_Toc312678005"/>
      <w:bookmarkStart w:id="210" w:name="_Toc303539123"/>
      <w:bookmarkStart w:id="211" w:name="_Toc312677479"/>
      <w:bookmarkStart w:id="212" w:name="_Toc297216173"/>
      <w:bookmarkStart w:id="213" w:name="_Toc304295541"/>
      <w:bookmarkStart w:id="214" w:name="_Toc300934966"/>
      <w:bookmarkStart w:id="215" w:name="_Toc297123514"/>
      <w:r>
        <w:rPr>
          <w:rFonts w:hint="eastAsia" w:asciiTheme="minorEastAsia" w:hAnsiTheme="minorEastAsia" w:eastAsiaTheme="minorEastAsia"/>
        </w:rPr>
        <w:t>.2 施工进度计划</w:t>
      </w:r>
    </w:p>
    <w:p w14:paraId="068D6F50">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7.2.2 施工进度计划的修订</w:t>
      </w:r>
    </w:p>
    <w:p w14:paraId="10FEF73D">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发包人和监理人在收到修订的施工进度计划后确认或提出修改意见的期限：。</w:t>
      </w:r>
    </w:p>
    <w:p w14:paraId="088E6337">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7.3 开工</w:t>
      </w:r>
    </w:p>
    <w:p w14:paraId="37BDE88D">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7.3.1 开工准备</w:t>
      </w:r>
    </w:p>
    <w:p w14:paraId="58A3AF06">
      <w:pPr>
        <w:spacing w:line="300" w:lineRule="exact"/>
        <w:ind w:firstLine="420" w:firstLineChars="200"/>
        <w:jc w:val="left"/>
        <w:rPr>
          <w:rFonts w:asciiTheme="minorEastAsia" w:hAnsiTheme="minorEastAsia" w:eastAsiaTheme="minorEastAsia"/>
          <w:u w:val="single"/>
        </w:rPr>
      </w:pPr>
      <w:r>
        <w:rPr>
          <w:rFonts w:hint="eastAsia" w:asciiTheme="minorEastAsia" w:hAnsiTheme="minorEastAsia" w:eastAsiaTheme="minorEastAsia"/>
        </w:rPr>
        <w:t>关于承包人提交工程开工报审表的期限：。</w:t>
      </w:r>
    </w:p>
    <w:p w14:paraId="111C870A">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关于发包人应完成的其他开工准备工作及期限：。</w:t>
      </w:r>
    </w:p>
    <w:p w14:paraId="19CBDEB8">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关于承包人应完成的其他开工准备工作及期限：。</w:t>
      </w:r>
    </w:p>
    <w:p w14:paraId="22CBFD91">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7.3.2开工通知</w:t>
      </w:r>
    </w:p>
    <w:p w14:paraId="7A6B089B">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因发包人原因造成监理人未能在计划开工日期之日起</w:t>
      </w:r>
      <w:r>
        <w:rPr>
          <w:rFonts w:hint="eastAsia" w:asciiTheme="minorEastAsia" w:hAnsiTheme="minorEastAsia" w:eastAsiaTheme="minorEastAsia"/>
          <w:u w:val="single"/>
        </w:rPr>
        <w:t xml:space="preserve">  90   </w:t>
      </w:r>
      <w:r>
        <w:rPr>
          <w:rFonts w:hint="eastAsia" w:asciiTheme="minorEastAsia" w:hAnsiTheme="minorEastAsia" w:eastAsiaTheme="minorEastAsia"/>
        </w:rPr>
        <w:t>天内发出开工通知的，承包人有权提出价格调整要求，或者解除合同。</w:t>
      </w:r>
      <w:bookmarkEnd w:id="209"/>
      <w:bookmarkEnd w:id="210"/>
      <w:bookmarkEnd w:id="211"/>
      <w:bookmarkEnd w:id="212"/>
      <w:bookmarkEnd w:id="213"/>
      <w:bookmarkEnd w:id="214"/>
      <w:bookmarkEnd w:id="215"/>
    </w:p>
    <w:p w14:paraId="534C114C">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7.4 测量放线</w:t>
      </w:r>
    </w:p>
    <w:p w14:paraId="1E31CB54">
      <w:pPr>
        <w:spacing w:line="300" w:lineRule="exact"/>
        <w:ind w:firstLine="420" w:firstLineChars="200"/>
        <w:jc w:val="left"/>
        <w:rPr>
          <w:rFonts w:asciiTheme="minorEastAsia" w:hAnsiTheme="minorEastAsia" w:eastAsiaTheme="minorEastAsia"/>
          <w:u w:val="single"/>
        </w:rPr>
      </w:pPr>
      <w:r>
        <w:rPr>
          <w:rFonts w:hint="eastAsia" w:asciiTheme="minorEastAsia" w:hAnsiTheme="minorEastAsia" w:eastAsiaTheme="minorEastAsia"/>
        </w:rPr>
        <w:t>7.4.1发包人通过监理人向承包人提供测量基准点、基准线和水准点及其书面资料的期限：。</w:t>
      </w:r>
    </w:p>
    <w:p w14:paraId="63486EEF">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7</w:t>
      </w:r>
      <w:bookmarkStart w:id="216" w:name="_Toc300934968"/>
      <w:bookmarkStart w:id="217" w:name="_Toc312677484"/>
      <w:bookmarkStart w:id="218" w:name="_Toc304295546"/>
      <w:bookmarkStart w:id="219" w:name="_Toc297123516"/>
      <w:bookmarkStart w:id="220" w:name="_Toc303539125"/>
      <w:bookmarkStart w:id="221" w:name="_Toc297216175"/>
      <w:bookmarkStart w:id="222" w:name="_Toc312678010"/>
      <w:r>
        <w:rPr>
          <w:rFonts w:hint="eastAsia" w:asciiTheme="minorEastAsia" w:hAnsiTheme="minorEastAsia" w:eastAsiaTheme="minorEastAsia"/>
        </w:rPr>
        <w:t>.5 工期延误</w:t>
      </w:r>
      <w:bookmarkEnd w:id="216"/>
      <w:bookmarkEnd w:id="217"/>
      <w:bookmarkEnd w:id="218"/>
      <w:bookmarkEnd w:id="219"/>
      <w:bookmarkEnd w:id="220"/>
      <w:bookmarkEnd w:id="221"/>
      <w:bookmarkEnd w:id="222"/>
    </w:p>
    <w:p w14:paraId="59B3FCDD">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7.5.1 因发包人原因导致工期延误</w:t>
      </w:r>
    </w:p>
    <w:p w14:paraId="6A4EDDFD">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（7）因发包人原因导致工期延误的其他情形：</w:t>
      </w:r>
      <w:r>
        <w:rPr>
          <w:rFonts w:hint="eastAsia" w:asciiTheme="minorEastAsia" w:hAnsiTheme="minorEastAsia" w:eastAsiaTheme="minorEastAsia"/>
          <w:u w:val="single"/>
        </w:rPr>
        <w:t xml:space="preserve">  工期顺延                     </w:t>
      </w:r>
      <w:r>
        <w:rPr>
          <w:rFonts w:hint="eastAsia" w:asciiTheme="minorEastAsia" w:hAnsiTheme="minorEastAsia" w:eastAsiaTheme="minorEastAsia"/>
        </w:rPr>
        <w:t>。</w:t>
      </w:r>
    </w:p>
    <w:p w14:paraId="6A5EF739">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7</w:t>
      </w:r>
      <w:bookmarkStart w:id="223" w:name="_Toc312677486"/>
      <w:bookmarkStart w:id="224" w:name="_Toc318581169"/>
      <w:bookmarkStart w:id="225" w:name="_Toc312678012"/>
      <w:bookmarkStart w:id="226" w:name="_Toc300934970"/>
      <w:bookmarkStart w:id="227" w:name="_Toc297216177"/>
      <w:bookmarkStart w:id="228" w:name="_Toc297123518"/>
      <w:bookmarkStart w:id="229" w:name="_Toc303539127"/>
      <w:bookmarkStart w:id="230" w:name="_Toc304295548"/>
      <w:r>
        <w:rPr>
          <w:rFonts w:hint="eastAsia" w:asciiTheme="minorEastAsia" w:hAnsiTheme="minorEastAsia" w:eastAsiaTheme="minorEastAsia"/>
        </w:rPr>
        <w:t>.5.2 因承包人原因导致工期延误</w:t>
      </w:r>
      <w:bookmarkEnd w:id="223"/>
      <w:bookmarkEnd w:id="224"/>
      <w:bookmarkEnd w:id="225"/>
    </w:p>
    <w:p w14:paraId="14E65689">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因</w:t>
      </w:r>
      <w:bookmarkStart w:id="231" w:name="_Toc312677487"/>
      <w:bookmarkStart w:id="232" w:name="_Toc318581170"/>
      <w:bookmarkStart w:id="233" w:name="_Toc312678013"/>
      <w:r>
        <w:rPr>
          <w:rFonts w:hint="eastAsia" w:asciiTheme="minorEastAsia" w:hAnsiTheme="minorEastAsia" w:eastAsiaTheme="minorEastAsia"/>
        </w:rPr>
        <w:t>承包人原因造成工期延误，逾期竣工违约金的计算方法为：</w:t>
      </w:r>
      <w:r>
        <w:rPr>
          <w:rFonts w:hint="eastAsia" w:asciiTheme="minorEastAsia" w:hAnsiTheme="minorEastAsia" w:eastAsiaTheme="minorEastAsia"/>
          <w:u w:val="single"/>
        </w:rPr>
        <w:t xml:space="preserve"> 每天赔偿金额为 1 万元  </w:t>
      </w:r>
      <w:r>
        <w:rPr>
          <w:rFonts w:hint="eastAsia" w:asciiTheme="minorEastAsia" w:hAnsiTheme="minorEastAsia" w:eastAsiaTheme="minorEastAsia"/>
        </w:rPr>
        <w:t>。</w:t>
      </w:r>
      <w:bookmarkEnd w:id="226"/>
      <w:bookmarkEnd w:id="227"/>
      <w:bookmarkEnd w:id="228"/>
      <w:bookmarkEnd w:id="229"/>
      <w:bookmarkEnd w:id="230"/>
      <w:bookmarkEnd w:id="231"/>
      <w:bookmarkEnd w:id="232"/>
      <w:bookmarkEnd w:id="233"/>
    </w:p>
    <w:p w14:paraId="22D37C7C">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因承包人原因造成工期延误，逾</w:t>
      </w:r>
      <w:bookmarkStart w:id="234" w:name="_Toc318581171"/>
      <w:bookmarkStart w:id="235" w:name="_Toc312678014"/>
      <w:r>
        <w:rPr>
          <w:rFonts w:hint="eastAsia" w:asciiTheme="minorEastAsia" w:hAnsiTheme="minorEastAsia" w:eastAsiaTheme="minorEastAsia"/>
        </w:rPr>
        <w:t xml:space="preserve">期竣工违约金的上限： </w:t>
      </w:r>
      <w:r>
        <w:rPr>
          <w:rFonts w:hint="eastAsia" w:asciiTheme="minorEastAsia" w:hAnsiTheme="minorEastAsia" w:eastAsiaTheme="minorEastAsia"/>
          <w:u w:val="single"/>
        </w:rPr>
        <w:t xml:space="preserve"> /  </w:t>
      </w:r>
      <w:r>
        <w:rPr>
          <w:rFonts w:hint="eastAsia" w:asciiTheme="minorEastAsia" w:hAnsiTheme="minorEastAsia" w:eastAsiaTheme="minorEastAsia"/>
        </w:rPr>
        <w:t>。</w:t>
      </w:r>
      <w:bookmarkEnd w:id="234"/>
      <w:bookmarkEnd w:id="235"/>
    </w:p>
    <w:p w14:paraId="4C2B6077">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7</w:t>
      </w:r>
      <w:bookmarkStart w:id="236" w:name="_Toc312678015"/>
      <w:bookmarkStart w:id="237" w:name="_Toc303539128"/>
      <w:bookmarkStart w:id="238" w:name="_Toc300934971"/>
      <w:bookmarkStart w:id="239" w:name="_Toc297123519"/>
      <w:bookmarkStart w:id="240" w:name="_Toc304295549"/>
      <w:bookmarkStart w:id="241" w:name="_Toc297216178"/>
      <w:r>
        <w:rPr>
          <w:rFonts w:hint="eastAsia" w:asciiTheme="minorEastAsia" w:hAnsiTheme="minorEastAsia" w:eastAsiaTheme="minorEastAsia"/>
        </w:rPr>
        <w:t>.6 不</w:t>
      </w:r>
      <w:bookmarkEnd w:id="236"/>
      <w:bookmarkEnd w:id="237"/>
      <w:bookmarkEnd w:id="238"/>
      <w:bookmarkEnd w:id="239"/>
      <w:bookmarkEnd w:id="240"/>
      <w:bookmarkEnd w:id="241"/>
      <w:r>
        <w:rPr>
          <w:rFonts w:hint="eastAsia" w:asciiTheme="minorEastAsia" w:hAnsiTheme="minorEastAsia" w:eastAsiaTheme="minorEastAsia"/>
        </w:rPr>
        <w:t>利物质条件</w:t>
      </w:r>
    </w:p>
    <w:p w14:paraId="5D97B5B8">
      <w:pPr>
        <w:spacing w:line="300" w:lineRule="exact"/>
        <w:ind w:firstLine="420" w:firstLineChars="200"/>
        <w:jc w:val="left"/>
        <w:rPr>
          <w:rFonts w:asciiTheme="minorEastAsia" w:hAnsiTheme="minorEastAsia" w:eastAsiaTheme="minorEastAsia"/>
        </w:rPr>
      </w:pPr>
      <w:bookmarkStart w:id="242" w:name="_Toc318581172"/>
      <w:bookmarkStart w:id="243" w:name="_Toc297123520"/>
      <w:bookmarkStart w:id="244" w:name="_Toc303539129"/>
      <w:bookmarkStart w:id="245" w:name="_Toc300934972"/>
      <w:bookmarkStart w:id="246" w:name="_Toc297216179"/>
      <w:bookmarkStart w:id="247" w:name="_Toc304295550"/>
      <w:bookmarkStart w:id="248" w:name="_Toc312678016"/>
      <w:r>
        <w:rPr>
          <w:rFonts w:hint="eastAsia" w:asciiTheme="minorEastAsia" w:hAnsiTheme="minorEastAsia" w:eastAsiaTheme="minorEastAsia"/>
        </w:rPr>
        <w:t>不利物质条件的其他情形和有关约定：。</w:t>
      </w:r>
      <w:bookmarkEnd w:id="242"/>
      <w:bookmarkEnd w:id="243"/>
      <w:bookmarkEnd w:id="244"/>
      <w:bookmarkEnd w:id="245"/>
      <w:bookmarkEnd w:id="246"/>
      <w:bookmarkEnd w:id="247"/>
      <w:bookmarkEnd w:id="248"/>
    </w:p>
    <w:p w14:paraId="1C55DE91">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7</w:t>
      </w:r>
      <w:bookmarkStart w:id="249" w:name="_Toc312678017"/>
      <w:bookmarkStart w:id="250" w:name="_Toc297216180"/>
      <w:bookmarkStart w:id="251" w:name="_Toc297123521"/>
      <w:bookmarkStart w:id="252" w:name="_Toc303539130"/>
      <w:bookmarkStart w:id="253" w:name="_Toc300934973"/>
      <w:bookmarkStart w:id="254" w:name="_Toc304295551"/>
      <w:r>
        <w:rPr>
          <w:rFonts w:hint="eastAsia" w:asciiTheme="minorEastAsia" w:hAnsiTheme="minorEastAsia" w:eastAsiaTheme="minorEastAsia"/>
        </w:rPr>
        <w:t>.7异常恶劣的气候条件</w:t>
      </w:r>
      <w:bookmarkEnd w:id="249"/>
      <w:bookmarkEnd w:id="250"/>
      <w:bookmarkEnd w:id="251"/>
      <w:bookmarkEnd w:id="252"/>
      <w:bookmarkEnd w:id="253"/>
      <w:bookmarkEnd w:id="254"/>
    </w:p>
    <w:p w14:paraId="7E4A6A3C">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发包人和承包人同意以下情形视为异常恶劣的气候条件：</w:t>
      </w:r>
    </w:p>
    <w:p w14:paraId="4BCC0D16">
      <w:pPr>
        <w:spacing w:line="300" w:lineRule="exact"/>
        <w:ind w:firstLine="420" w:firstLineChars="200"/>
        <w:jc w:val="left"/>
        <w:rPr>
          <w:rFonts w:asciiTheme="minorEastAsia" w:hAnsiTheme="minorEastAsia" w:eastAsiaTheme="minorEastAsia"/>
          <w:u w:val="single"/>
        </w:rPr>
      </w:pPr>
      <w:r>
        <w:rPr>
          <w:rFonts w:hint="eastAsia" w:asciiTheme="minorEastAsia" w:hAnsiTheme="minorEastAsia" w:eastAsiaTheme="minorEastAsia"/>
        </w:rPr>
        <w:t>（1）</w:t>
      </w:r>
      <w:r>
        <w:rPr>
          <w:rFonts w:hint="eastAsia" w:asciiTheme="minorEastAsia" w:hAnsiTheme="minorEastAsia" w:eastAsiaTheme="minorEastAsia"/>
          <w:u w:val="single"/>
        </w:rPr>
        <w:t xml:space="preserve"> 日降雨量大于_50_mm 的雨日超_1_天；风速大于 12 m/s 的 8 级以上台风灾害；日 气</w:t>
      </w:r>
    </w:p>
    <w:p w14:paraId="1C00FC74">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u w:val="single"/>
        </w:rPr>
        <w:t xml:space="preserve">温超过 38 oC 的高温大于 10 天；日气温低于 -20 oC 的严寒大于 3 天       </w:t>
      </w:r>
      <w:r>
        <w:rPr>
          <w:rFonts w:hint="eastAsia" w:asciiTheme="minorEastAsia" w:hAnsiTheme="minorEastAsia" w:eastAsiaTheme="minorEastAsia"/>
        </w:rPr>
        <w:t>；</w:t>
      </w:r>
    </w:p>
    <w:p w14:paraId="65621FF2">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（2）</w:t>
      </w:r>
      <w:r>
        <w:rPr>
          <w:rFonts w:hint="eastAsia" w:asciiTheme="minorEastAsia" w:hAnsiTheme="minorEastAsia" w:eastAsiaTheme="minorEastAsia"/>
          <w:u w:val="single"/>
        </w:rPr>
        <w:t xml:space="preserve"> 造成工程损坏的冰雹和大雪灾害： 日降雪量 10mm 及以上      </w:t>
      </w:r>
      <w:r>
        <w:rPr>
          <w:rFonts w:hint="eastAsia" w:asciiTheme="minorEastAsia" w:hAnsiTheme="minorEastAsia" w:eastAsiaTheme="minorEastAsia"/>
        </w:rPr>
        <w:t>；</w:t>
      </w:r>
    </w:p>
    <w:p w14:paraId="7DFBF7C6">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（3）</w:t>
      </w:r>
      <w:r>
        <w:rPr>
          <w:rFonts w:hint="eastAsia" w:asciiTheme="minorEastAsia" w:hAnsiTheme="minorEastAsia" w:eastAsiaTheme="minorEastAsia"/>
          <w:u w:val="single"/>
        </w:rPr>
        <w:t xml:space="preserve"> 异常恶劣气候灾害                                         </w:t>
      </w:r>
      <w:r>
        <w:rPr>
          <w:rFonts w:hint="eastAsia" w:asciiTheme="minorEastAsia" w:hAnsiTheme="minorEastAsia" w:eastAsiaTheme="minorEastAsia"/>
        </w:rPr>
        <w:t>。</w:t>
      </w:r>
    </w:p>
    <w:p w14:paraId="65934151">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7.9 提前竣工的奖励</w:t>
      </w:r>
    </w:p>
    <w:p w14:paraId="797033B2">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7.9.2提前竣工的奖励：。</w:t>
      </w:r>
    </w:p>
    <w:p w14:paraId="29A8EAEE">
      <w:pPr>
        <w:pStyle w:val="232"/>
        <w:spacing w:before="0" w:after="0" w:line="300" w:lineRule="exact"/>
        <w:ind w:firstLine="422" w:firstLineChars="200"/>
        <w:rPr>
          <w:rFonts w:asciiTheme="minorEastAsia" w:hAnsiTheme="minorEastAsia" w:eastAsiaTheme="minorEastAsia"/>
          <w:sz w:val="21"/>
        </w:rPr>
      </w:pPr>
      <w:bookmarkStart w:id="255" w:name="_Toc351203640"/>
      <w:r>
        <w:rPr>
          <w:rFonts w:hint="eastAsia" w:asciiTheme="minorEastAsia" w:hAnsiTheme="minorEastAsia" w:eastAsiaTheme="minorEastAsia"/>
          <w:sz w:val="21"/>
        </w:rPr>
        <w:t>8. 材料与设备</w:t>
      </w:r>
      <w:bookmarkEnd w:id="190"/>
      <w:bookmarkEnd w:id="191"/>
      <w:bookmarkEnd w:id="192"/>
      <w:bookmarkEnd w:id="193"/>
      <w:bookmarkEnd w:id="194"/>
      <w:bookmarkEnd w:id="195"/>
      <w:bookmarkEnd w:id="196"/>
      <w:bookmarkEnd w:id="197"/>
      <w:bookmarkEnd w:id="198"/>
      <w:bookmarkEnd w:id="199"/>
      <w:bookmarkEnd w:id="255"/>
    </w:p>
    <w:p w14:paraId="2A236E0C">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8</w:t>
      </w:r>
      <w:bookmarkStart w:id="256" w:name="_Toc296944506"/>
      <w:bookmarkStart w:id="257" w:name="_Toc303539136"/>
      <w:bookmarkStart w:id="258" w:name="_Toc297048353"/>
      <w:bookmarkStart w:id="259" w:name="_Toc304295556"/>
      <w:bookmarkStart w:id="260" w:name="_Toc296503167"/>
      <w:bookmarkStart w:id="261" w:name="_Toc297123527"/>
      <w:bookmarkStart w:id="262" w:name="_Toc312677493"/>
      <w:bookmarkStart w:id="263" w:name="_Toc296346668"/>
      <w:bookmarkStart w:id="264" w:name="_Toc280868654"/>
      <w:bookmarkStart w:id="265" w:name="_Toc296890995"/>
      <w:bookmarkStart w:id="266" w:name="_Toc292559372"/>
      <w:bookmarkStart w:id="267" w:name="_Toc300934979"/>
      <w:bookmarkStart w:id="268" w:name="_Toc312678019"/>
      <w:bookmarkStart w:id="269" w:name="_Toc296347166"/>
      <w:bookmarkStart w:id="270" w:name="_Toc297120467"/>
      <w:bookmarkStart w:id="271" w:name="_Toc292559877"/>
      <w:bookmarkStart w:id="272" w:name="_Toc296891207"/>
      <w:bookmarkStart w:id="273" w:name="_Toc297216186"/>
      <w:bookmarkStart w:id="274" w:name="_Toc280868656"/>
      <w:bookmarkStart w:id="275" w:name="_Toc280868655"/>
      <w:bookmarkStart w:id="276" w:name="_Toc267251424"/>
      <w:r>
        <w:rPr>
          <w:rFonts w:hint="eastAsia" w:asciiTheme="minorEastAsia" w:hAnsiTheme="minorEastAsia" w:eastAsiaTheme="minorEastAsia"/>
        </w:rPr>
        <w:t>.4材料与工程设备的保管与使用</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p>
    <w:p w14:paraId="66215B82">
      <w:pPr>
        <w:spacing w:line="300" w:lineRule="exact"/>
        <w:ind w:firstLine="420" w:firstLineChars="200"/>
        <w:jc w:val="left"/>
        <w:rPr>
          <w:rFonts w:asciiTheme="minorEastAsia" w:hAnsiTheme="minorEastAsia" w:eastAsiaTheme="minorEastAsia"/>
          <w:u w:val="single"/>
        </w:rPr>
      </w:pPr>
      <w:r>
        <w:rPr>
          <w:rFonts w:hint="eastAsia" w:asciiTheme="minorEastAsia" w:hAnsiTheme="minorEastAsia" w:eastAsiaTheme="minorEastAsia"/>
        </w:rPr>
        <w:t>8</w:t>
      </w:r>
      <w:bookmarkStart w:id="277" w:name="_Toc292559373"/>
      <w:bookmarkStart w:id="278" w:name="_Toc292559878"/>
      <w:bookmarkStart w:id="279" w:name="_Toc296944507"/>
      <w:bookmarkStart w:id="280" w:name="_Toc296347167"/>
      <w:bookmarkStart w:id="281" w:name="_Toc296503168"/>
      <w:bookmarkStart w:id="282" w:name="_Toc297120468"/>
      <w:bookmarkStart w:id="283" w:name="_Toc297216187"/>
      <w:bookmarkStart w:id="284" w:name="_Toc303539137"/>
      <w:bookmarkStart w:id="285" w:name="_Toc312678020"/>
      <w:bookmarkStart w:id="286" w:name="_Toc312677494"/>
      <w:bookmarkStart w:id="287" w:name="_Toc296346669"/>
      <w:bookmarkStart w:id="288" w:name="_Toc300934980"/>
      <w:bookmarkStart w:id="289" w:name="_Toc318581173"/>
      <w:bookmarkStart w:id="290" w:name="_Toc296891208"/>
      <w:bookmarkStart w:id="291" w:name="_Toc304295557"/>
      <w:bookmarkStart w:id="292" w:name="_Toc297048354"/>
      <w:bookmarkStart w:id="293" w:name="_Toc297123528"/>
      <w:bookmarkStart w:id="294" w:name="_Toc296890996"/>
      <w:r>
        <w:rPr>
          <w:rFonts w:hint="eastAsia" w:asciiTheme="minorEastAsia" w:hAnsiTheme="minorEastAsia" w:eastAsiaTheme="minorEastAsia"/>
        </w:rPr>
        <w:t>.4.1发包人供应的材料设备的保管费用的承担：</w:t>
      </w:r>
      <w:r>
        <w:rPr>
          <w:rFonts w:hint="eastAsia" w:asciiTheme="minorEastAsia" w:hAnsiTheme="minorEastAsia" w:eastAsiaTheme="minorEastAsia"/>
          <w:u w:val="single"/>
        </w:rPr>
        <w:t xml:space="preserve"> 发包人供应的材料和工程设备，承包人清</w:t>
      </w:r>
    </w:p>
    <w:p w14:paraId="07814517">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u w:val="single"/>
        </w:rPr>
        <w:t xml:space="preserve">点后由承包人妥善保管，保管费用由承包人承担                      </w:t>
      </w:r>
      <w:r>
        <w:rPr>
          <w:rFonts w:hint="eastAsia" w:asciiTheme="minorEastAsia" w:hAnsiTheme="minorEastAsia" w:eastAsiaTheme="minorEastAsia"/>
        </w:rPr>
        <w:t>。</w:t>
      </w:r>
      <w:bookmarkEnd w:id="277"/>
      <w:bookmarkEnd w:id="278"/>
    </w:p>
    <w:p w14:paraId="364879FE">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8.6 样品</w:t>
      </w:r>
    </w:p>
    <w:p w14:paraId="0A02DEDC">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8.6.1</w:t>
      </w:r>
      <w:r>
        <w:rPr>
          <w:rFonts w:hint="eastAsia" w:asciiTheme="minorEastAsia" w:hAnsiTheme="minorEastAsia" w:eastAsiaTheme="minorEastAsia"/>
        </w:rPr>
        <w:tab/>
      </w:r>
      <w:r>
        <w:rPr>
          <w:rFonts w:hint="eastAsia" w:asciiTheme="minorEastAsia" w:hAnsiTheme="minorEastAsia" w:eastAsiaTheme="minorEastAsia"/>
        </w:rPr>
        <w:t>样品的报送与封存</w:t>
      </w:r>
    </w:p>
    <w:p w14:paraId="685782FF">
      <w:pPr>
        <w:spacing w:line="300" w:lineRule="exact"/>
        <w:ind w:firstLine="420" w:firstLineChars="200"/>
        <w:jc w:val="left"/>
        <w:rPr>
          <w:rFonts w:asciiTheme="minorEastAsia" w:hAnsiTheme="minorEastAsia" w:eastAsiaTheme="minorEastAsia"/>
          <w:u w:val="single"/>
        </w:rPr>
      </w:pPr>
      <w:r>
        <w:rPr>
          <w:rFonts w:hint="eastAsia" w:asciiTheme="minorEastAsia" w:hAnsiTheme="minorEastAsia" w:eastAsiaTheme="minorEastAsia"/>
        </w:rPr>
        <w:t>需要承包人报送样品的材料或工程设备，样品的种类、名称、规格、数量要求：</w:t>
      </w:r>
      <w:r>
        <w:rPr>
          <w:rFonts w:hint="eastAsia" w:asciiTheme="minorEastAsia" w:hAnsiTheme="minorEastAsia" w:eastAsiaTheme="minorEastAsia"/>
          <w:u w:val="single"/>
        </w:rPr>
        <w:t xml:space="preserve"> 工程使用</w:t>
      </w:r>
    </w:p>
    <w:p w14:paraId="227E54D4">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u w:val="single"/>
        </w:rPr>
        <w:t xml:space="preserve">的所有的材料和设备其规格、数量、品牌必须经建设单位、监理单位、设计单位认可后方可进场使 用，如不经建设单位、监理单位、设计单位认可，承包人擅自进场使用的，建设单位有权没收其履约保证金并终止合同，同时承包人须赔偿建设单位实际损失。规格、数量按国家、江苏省和泰州市的相关要求，品牌按招标文件要求      </w:t>
      </w:r>
      <w:r>
        <w:rPr>
          <w:rFonts w:hint="eastAsia" w:asciiTheme="minorEastAsia" w:hAnsiTheme="minorEastAsia" w:eastAsiaTheme="minorEastAsia"/>
        </w:rPr>
        <w:t>。</w:t>
      </w:r>
    </w:p>
    <w:p w14:paraId="0BCED91F">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8.8 施工设备和临时设施</w:t>
      </w:r>
    </w:p>
    <w:p w14:paraId="1FB33014">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8.8.1 承包人提供的施工设备和临时设施</w:t>
      </w:r>
    </w:p>
    <w:p w14:paraId="6AD6C743">
      <w:pPr>
        <w:spacing w:line="300" w:lineRule="exact"/>
        <w:ind w:firstLine="420" w:firstLineChars="200"/>
        <w:jc w:val="left"/>
        <w:rPr>
          <w:rFonts w:asciiTheme="minorEastAsia" w:hAnsiTheme="minorEastAsia" w:eastAsiaTheme="minorEastAsia"/>
          <w:u w:val="single"/>
        </w:rPr>
      </w:pPr>
      <w:r>
        <w:rPr>
          <w:rFonts w:hint="eastAsia" w:asciiTheme="minorEastAsia" w:hAnsiTheme="minorEastAsia" w:eastAsiaTheme="minorEastAsia"/>
        </w:rPr>
        <w:t>关于修建临时设施费用承担的约定：</w:t>
      </w:r>
      <w:r>
        <w:rPr>
          <w:rFonts w:hint="eastAsia" w:asciiTheme="minorEastAsia" w:hAnsiTheme="minorEastAsia" w:eastAsiaTheme="minorEastAsia"/>
          <w:u w:val="single"/>
        </w:rPr>
        <w:t xml:space="preserve"> 承包人自行承担修建临时设施的费用，需要临时占地</w:t>
      </w:r>
    </w:p>
    <w:p w14:paraId="151EA011">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u w:val="single"/>
        </w:rPr>
        <w:t xml:space="preserve">的， 发包人可以帮助承包人进行协调，但费用由承包人承担                  </w:t>
      </w:r>
      <w:r>
        <w:rPr>
          <w:rFonts w:hint="eastAsia" w:asciiTheme="minorEastAsia" w:hAnsiTheme="minorEastAsia" w:eastAsiaTheme="minorEastAsia"/>
        </w:rPr>
        <w:t>。</w:t>
      </w:r>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p>
    <w:p w14:paraId="581E77C2">
      <w:pPr>
        <w:pStyle w:val="232"/>
        <w:spacing w:before="0" w:after="0" w:line="300" w:lineRule="exact"/>
        <w:ind w:firstLine="422" w:firstLineChars="200"/>
        <w:rPr>
          <w:rFonts w:asciiTheme="minorEastAsia" w:hAnsiTheme="minorEastAsia" w:eastAsiaTheme="minorEastAsia"/>
          <w:sz w:val="21"/>
        </w:rPr>
      </w:pPr>
      <w:bookmarkStart w:id="295" w:name="_Toc351203641"/>
      <w:r>
        <w:rPr>
          <w:rFonts w:hint="eastAsia" w:asciiTheme="minorEastAsia" w:hAnsiTheme="minorEastAsia" w:eastAsiaTheme="minorEastAsia"/>
          <w:sz w:val="21"/>
        </w:rPr>
        <w:t>9</w:t>
      </w:r>
      <w:bookmarkEnd w:id="274"/>
      <w:bookmarkEnd w:id="275"/>
      <w:bookmarkEnd w:id="276"/>
      <w:bookmarkStart w:id="296" w:name="_Toc304295559"/>
      <w:bookmarkStart w:id="297" w:name="_Toc297123533"/>
      <w:bookmarkStart w:id="298" w:name="_Toc312678021"/>
      <w:bookmarkStart w:id="299" w:name="_Toc300934982"/>
      <w:bookmarkStart w:id="300" w:name="_Toc297216192"/>
      <w:bookmarkStart w:id="301" w:name="_Toc312677495"/>
      <w:bookmarkStart w:id="302" w:name="_Toc303539139"/>
      <w:bookmarkStart w:id="303" w:name="_Toc297120473"/>
      <w:bookmarkStart w:id="304" w:name="_Toc292559378"/>
      <w:bookmarkStart w:id="305" w:name="_Toc267251427"/>
      <w:bookmarkStart w:id="306" w:name="_Toc296891001"/>
      <w:bookmarkStart w:id="307" w:name="_Toc296346674"/>
      <w:bookmarkStart w:id="308" w:name="_Toc296347172"/>
      <w:bookmarkStart w:id="309" w:name="_Toc292559883"/>
      <w:bookmarkStart w:id="310" w:name="_Toc267251428"/>
      <w:bookmarkStart w:id="311" w:name="_Toc296944512"/>
      <w:bookmarkStart w:id="312" w:name="_Toc297048359"/>
      <w:bookmarkStart w:id="313" w:name="_Toc296891213"/>
      <w:bookmarkStart w:id="314" w:name="_Toc296503173"/>
      <w:r>
        <w:rPr>
          <w:rFonts w:hint="eastAsia" w:asciiTheme="minorEastAsia" w:hAnsiTheme="minorEastAsia" w:eastAsiaTheme="minorEastAsia"/>
          <w:sz w:val="21"/>
        </w:rPr>
        <w:t>. 试验与检验</w:t>
      </w:r>
      <w:bookmarkEnd w:id="295"/>
      <w:bookmarkEnd w:id="296"/>
      <w:bookmarkEnd w:id="297"/>
      <w:bookmarkEnd w:id="298"/>
      <w:bookmarkEnd w:id="299"/>
      <w:bookmarkEnd w:id="300"/>
      <w:bookmarkEnd w:id="301"/>
      <w:bookmarkEnd w:id="302"/>
    </w:p>
    <w:p w14:paraId="4A396E42">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9</w:t>
      </w:r>
      <w:bookmarkStart w:id="315" w:name="_Toc304295560"/>
      <w:bookmarkStart w:id="316" w:name="_Toc312677496"/>
      <w:bookmarkStart w:id="317" w:name="_Toc297123534"/>
      <w:bookmarkStart w:id="318" w:name="_Toc312678022"/>
      <w:bookmarkStart w:id="319" w:name="_Toc300934983"/>
      <w:bookmarkStart w:id="320" w:name="_Toc303539140"/>
      <w:bookmarkStart w:id="321" w:name="_Toc297216193"/>
      <w:r>
        <w:rPr>
          <w:rFonts w:hint="eastAsia" w:asciiTheme="minorEastAsia" w:hAnsiTheme="minorEastAsia" w:eastAsiaTheme="minorEastAsia"/>
        </w:rPr>
        <w:t>.1试验设备与试验人员</w:t>
      </w:r>
      <w:bookmarkEnd w:id="315"/>
      <w:bookmarkEnd w:id="316"/>
      <w:bookmarkEnd w:id="317"/>
      <w:bookmarkEnd w:id="318"/>
      <w:bookmarkEnd w:id="319"/>
      <w:bookmarkEnd w:id="320"/>
      <w:bookmarkEnd w:id="321"/>
    </w:p>
    <w:p w14:paraId="1988F759">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9</w:t>
      </w:r>
      <w:bookmarkStart w:id="322" w:name="_Toc312678023"/>
      <w:bookmarkStart w:id="323" w:name="_Toc297216194"/>
      <w:bookmarkStart w:id="324" w:name="_Toc312677497"/>
      <w:bookmarkStart w:id="325" w:name="_Toc297123535"/>
      <w:bookmarkStart w:id="326" w:name="_Toc303539141"/>
      <w:bookmarkStart w:id="327" w:name="_Toc304295561"/>
      <w:bookmarkStart w:id="328" w:name="_Toc300934984"/>
      <w:bookmarkStart w:id="329" w:name="_Toc318581174"/>
      <w:r>
        <w:rPr>
          <w:rFonts w:hint="eastAsia" w:asciiTheme="minorEastAsia" w:hAnsiTheme="minorEastAsia" w:eastAsiaTheme="minorEastAsia"/>
        </w:rPr>
        <w:t>.1.2 试验设备</w:t>
      </w:r>
    </w:p>
    <w:p w14:paraId="01173BD5">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施工现场需要配置的试验场所：</w:t>
      </w:r>
      <w:bookmarkEnd w:id="322"/>
      <w:bookmarkEnd w:id="323"/>
      <w:bookmarkEnd w:id="324"/>
      <w:bookmarkEnd w:id="325"/>
      <w:bookmarkEnd w:id="326"/>
      <w:bookmarkEnd w:id="327"/>
      <w:bookmarkEnd w:id="328"/>
      <w:bookmarkStart w:id="330" w:name="_Toc304295562"/>
      <w:bookmarkStart w:id="331" w:name="_Toc297123536"/>
      <w:bookmarkStart w:id="332" w:name="_Toc303539142"/>
      <w:bookmarkStart w:id="333" w:name="_Toc300934985"/>
      <w:bookmarkStart w:id="334" w:name="_Toc312678024"/>
      <w:bookmarkStart w:id="335" w:name="_Toc312677498"/>
      <w:bookmarkStart w:id="336" w:name="_Toc297216195"/>
      <w:r>
        <w:rPr>
          <w:rFonts w:hint="eastAsia" w:asciiTheme="minorEastAsia" w:hAnsiTheme="minorEastAsia" w:eastAsiaTheme="minorEastAsia"/>
        </w:rPr>
        <w:t xml:space="preserve">。 </w:t>
      </w:r>
    </w:p>
    <w:p w14:paraId="3A90BAE0">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施工现场需要配备的试验设备：。</w:t>
      </w:r>
    </w:p>
    <w:p w14:paraId="3C900B49">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施工现场需要具备的其他试验条件：。</w:t>
      </w:r>
    </w:p>
    <w:p w14:paraId="1F54F3F6">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 xml:space="preserve">9.4 现场工艺试验 </w:t>
      </w:r>
    </w:p>
    <w:p w14:paraId="682085A2">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现场工艺试验的有关约定：。</w:t>
      </w:r>
      <w:bookmarkEnd w:id="329"/>
      <w:bookmarkEnd w:id="330"/>
      <w:bookmarkEnd w:id="331"/>
      <w:bookmarkEnd w:id="332"/>
      <w:bookmarkEnd w:id="333"/>
      <w:bookmarkEnd w:id="334"/>
      <w:bookmarkEnd w:id="335"/>
      <w:bookmarkEnd w:id="336"/>
    </w:p>
    <w:p w14:paraId="0D831EDD">
      <w:pPr>
        <w:pStyle w:val="232"/>
        <w:spacing w:before="0" w:after="0" w:line="300" w:lineRule="exact"/>
        <w:ind w:firstLine="422" w:firstLineChars="200"/>
        <w:rPr>
          <w:rFonts w:asciiTheme="minorEastAsia" w:hAnsiTheme="minorEastAsia" w:eastAsiaTheme="minorEastAsia"/>
          <w:sz w:val="21"/>
        </w:rPr>
      </w:pPr>
      <w:bookmarkStart w:id="337" w:name="_Toc351203642"/>
      <w:r>
        <w:rPr>
          <w:rFonts w:hint="eastAsia" w:asciiTheme="minorEastAsia" w:hAnsiTheme="minorEastAsia" w:eastAsiaTheme="minorEastAsia"/>
          <w:sz w:val="21"/>
        </w:rPr>
        <w:t>1</w:t>
      </w:r>
      <w:bookmarkEnd w:id="303"/>
      <w:bookmarkEnd w:id="304"/>
      <w:bookmarkEnd w:id="305"/>
      <w:bookmarkEnd w:id="306"/>
      <w:bookmarkEnd w:id="307"/>
      <w:bookmarkEnd w:id="308"/>
      <w:bookmarkEnd w:id="309"/>
      <w:bookmarkEnd w:id="310"/>
      <w:bookmarkEnd w:id="311"/>
      <w:bookmarkEnd w:id="312"/>
      <w:bookmarkEnd w:id="313"/>
      <w:bookmarkEnd w:id="314"/>
      <w:bookmarkStart w:id="338" w:name="_Toc304295566"/>
      <w:bookmarkStart w:id="339" w:name="_Toc292559903"/>
      <w:bookmarkStart w:id="340" w:name="_Toc300934989"/>
      <w:bookmarkStart w:id="341" w:name="_Toc312678025"/>
      <w:bookmarkStart w:id="342" w:name="_Toc296891233"/>
      <w:bookmarkStart w:id="343" w:name="_Toc303539146"/>
      <w:bookmarkStart w:id="344" w:name="_Toc296891021"/>
      <w:bookmarkStart w:id="345" w:name="_Toc296503193"/>
      <w:bookmarkStart w:id="346" w:name="_Toc297123540"/>
      <w:bookmarkStart w:id="347" w:name="_Toc297048379"/>
      <w:bookmarkStart w:id="348" w:name="_Toc297120493"/>
      <w:bookmarkStart w:id="349" w:name="_Toc296346694"/>
      <w:bookmarkStart w:id="350" w:name="_Toc296944532"/>
      <w:bookmarkStart w:id="351" w:name="_Toc297216199"/>
      <w:bookmarkStart w:id="352" w:name="_Toc312677499"/>
      <w:bookmarkStart w:id="353" w:name="_Toc292559398"/>
      <w:bookmarkStart w:id="354" w:name="_Toc296347192"/>
      <w:bookmarkStart w:id="355" w:name="_Toc267251437"/>
      <w:bookmarkStart w:id="356" w:name="_Toc267251441"/>
      <w:bookmarkStart w:id="357" w:name="_Toc267251435"/>
      <w:bookmarkStart w:id="358" w:name="_Toc267251439"/>
      <w:bookmarkStart w:id="359" w:name="_Toc267251440"/>
      <w:bookmarkStart w:id="360" w:name="_Toc267251433"/>
      <w:bookmarkStart w:id="361" w:name="_Toc267251442"/>
      <w:r>
        <w:rPr>
          <w:rFonts w:hint="eastAsia" w:asciiTheme="minorEastAsia" w:hAnsiTheme="minorEastAsia" w:eastAsiaTheme="minorEastAsia"/>
          <w:sz w:val="21"/>
        </w:rPr>
        <w:t>0. 变更</w:t>
      </w:r>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p>
    <w:p w14:paraId="010D4E27">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1</w:t>
      </w:r>
      <w:bookmarkStart w:id="362" w:name="_Toc296347193"/>
      <w:bookmarkStart w:id="363" w:name="_Toc297123541"/>
      <w:bookmarkStart w:id="364" w:name="_Toc297216200"/>
      <w:bookmarkStart w:id="365" w:name="_Toc303539147"/>
      <w:bookmarkStart w:id="366" w:name="_Toc297048380"/>
      <w:bookmarkStart w:id="367" w:name="_Toc296346695"/>
      <w:bookmarkStart w:id="368" w:name="_Toc304295567"/>
      <w:bookmarkStart w:id="369" w:name="_Toc312677500"/>
      <w:bookmarkStart w:id="370" w:name="_Toc312678026"/>
      <w:bookmarkStart w:id="371" w:name="_Toc296944533"/>
      <w:bookmarkStart w:id="372" w:name="_Toc296503194"/>
      <w:bookmarkStart w:id="373" w:name="_Toc300934990"/>
      <w:bookmarkStart w:id="374" w:name="_Toc297120494"/>
      <w:bookmarkStart w:id="375" w:name="_Toc292559399"/>
      <w:bookmarkStart w:id="376" w:name="_Toc296891022"/>
      <w:bookmarkStart w:id="377" w:name="_Toc296891234"/>
      <w:bookmarkStart w:id="378" w:name="_Toc292559904"/>
      <w:r>
        <w:rPr>
          <w:rFonts w:hint="eastAsia" w:asciiTheme="minorEastAsia" w:hAnsiTheme="minorEastAsia" w:eastAsiaTheme="minorEastAsia"/>
        </w:rPr>
        <w:t>0.1变更的范围</w:t>
      </w:r>
    </w:p>
    <w:p w14:paraId="1086AD06">
      <w:pPr>
        <w:spacing w:line="300" w:lineRule="exact"/>
        <w:ind w:firstLine="420" w:firstLineChars="200"/>
        <w:jc w:val="left"/>
        <w:rPr>
          <w:rFonts w:asciiTheme="minorEastAsia" w:hAnsiTheme="minorEastAsia" w:eastAsiaTheme="minorEastAsia"/>
          <w:u w:val="single"/>
        </w:rPr>
      </w:pPr>
      <w:r>
        <w:rPr>
          <w:rFonts w:hint="eastAsia" w:asciiTheme="minorEastAsia" w:hAnsiTheme="minorEastAsia" w:eastAsiaTheme="minorEastAsia"/>
        </w:rPr>
        <w:t>关于变更的范围的约定：</w:t>
      </w:r>
      <w:r>
        <w:rPr>
          <w:rFonts w:hint="eastAsia" w:asciiTheme="minorEastAsia" w:hAnsiTheme="minorEastAsia" w:eastAsiaTheme="minorEastAsia"/>
          <w:u w:val="single"/>
        </w:rPr>
        <w:t xml:space="preserve"> 因工程建设的需要，发包人提出的设计变更要求，承包人必须</w:t>
      </w:r>
    </w:p>
    <w:p w14:paraId="16419F47">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u w:val="single"/>
        </w:rPr>
        <w:t xml:space="preserve">执行。否则视为违约。其他执行合同通用条款                     </w:t>
      </w:r>
      <w:r>
        <w:rPr>
          <w:rFonts w:hint="eastAsia" w:asciiTheme="minorEastAsia" w:hAnsiTheme="minorEastAsia" w:eastAsiaTheme="minorEastAsia"/>
        </w:rPr>
        <w:t>。</w:t>
      </w:r>
    </w:p>
    <w:p w14:paraId="7F91B2F6">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10.4 变更估价</w:t>
      </w:r>
    </w:p>
    <w:p w14:paraId="2ED820C9">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10.4.1 变更估价原则</w:t>
      </w:r>
    </w:p>
    <w:p w14:paraId="0D5E6E81">
      <w:pPr>
        <w:spacing w:line="300" w:lineRule="exact"/>
        <w:ind w:firstLine="420" w:firstLineChars="200"/>
        <w:jc w:val="left"/>
        <w:rPr>
          <w:rFonts w:asciiTheme="minorEastAsia" w:hAnsiTheme="minorEastAsia" w:eastAsiaTheme="minorEastAsia"/>
          <w:u w:val="single"/>
        </w:rPr>
      </w:pPr>
      <w:r>
        <w:rPr>
          <w:rFonts w:hint="eastAsia" w:asciiTheme="minorEastAsia" w:hAnsiTheme="minorEastAsia" w:eastAsiaTheme="minorEastAsia"/>
        </w:rPr>
        <w:t xml:space="preserve">关于变更估价的约定: </w:t>
      </w:r>
      <w:r>
        <w:rPr>
          <w:rFonts w:hint="eastAsia" w:asciiTheme="minorEastAsia" w:hAnsiTheme="minorEastAsia" w:eastAsiaTheme="minorEastAsia"/>
          <w:u w:val="single"/>
        </w:rPr>
        <w:t xml:space="preserve">  按招标文件执行                      </w:t>
      </w:r>
      <w:r>
        <w:rPr>
          <w:rFonts w:hint="eastAsia" w:asciiTheme="minorEastAsia" w:hAnsiTheme="minorEastAsia" w:eastAsiaTheme="minorEastAsia"/>
        </w:rPr>
        <w:t>。</w:t>
      </w:r>
    </w:p>
    <w:p w14:paraId="6B58141C">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1</w:t>
      </w:r>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Start w:id="379" w:name="_Toc296891237"/>
      <w:bookmarkStart w:id="380" w:name="_Toc303539150"/>
      <w:bookmarkStart w:id="381" w:name="_Toc292559402"/>
      <w:bookmarkStart w:id="382" w:name="_Toc297216203"/>
      <w:bookmarkStart w:id="383" w:name="_Toc296346698"/>
      <w:bookmarkStart w:id="384" w:name="_Toc297123544"/>
      <w:bookmarkStart w:id="385" w:name="_Toc296891025"/>
      <w:bookmarkStart w:id="386" w:name="_Toc297120497"/>
      <w:bookmarkStart w:id="387" w:name="_Toc296347196"/>
      <w:bookmarkStart w:id="388" w:name="_Toc297048383"/>
      <w:bookmarkStart w:id="389" w:name="_Toc296944536"/>
      <w:bookmarkStart w:id="390" w:name="_Toc296503197"/>
      <w:bookmarkStart w:id="391" w:name="_Toc292559907"/>
      <w:bookmarkStart w:id="392" w:name="_Toc300934993"/>
      <w:bookmarkStart w:id="393" w:name="_Toc312678029"/>
      <w:bookmarkStart w:id="394" w:name="_Toc312677503"/>
      <w:bookmarkStart w:id="395" w:name="_Toc304295570"/>
      <w:r>
        <w:rPr>
          <w:rFonts w:hint="eastAsia" w:asciiTheme="minorEastAsia" w:hAnsiTheme="minorEastAsia" w:eastAsiaTheme="minorEastAsia"/>
        </w:rPr>
        <w:t>0.5承</w:t>
      </w:r>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Start w:id="396" w:name="_Toc296891243"/>
      <w:bookmarkStart w:id="397" w:name="_Toc292559913"/>
      <w:bookmarkStart w:id="398" w:name="_Toc296503203"/>
      <w:bookmarkStart w:id="399" w:name="_Toc297123545"/>
      <w:bookmarkStart w:id="400" w:name="_Toc296346704"/>
      <w:bookmarkStart w:id="401" w:name="_Toc296944542"/>
      <w:bookmarkStart w:id="402" w:name="_Toc303539151"/>
      <w:bookmarkStart w:id="403" w:name="_Toc296891031"/>
      <w:bookmarkStart w:id="404" w:name="_Toc300934994"/>
      <w:bookmarkStart w:id="405" w:name="_Toc297120503"/>
      <w:bookmarkStart w:id="406" w:name="_Toc296347202"/>
      <w:bookmarkStart w:id="407" w:name="_Toc297048389"/>
      <w:bookmarkStart w:id="408" w:name="_Toc292559408"/>
      <w:bookmarkStart w:id="409" w:name="_Toc297216204"/>
      <w:r>
        <w:rPr>
          <w:rFonts w:hint="eastAsia" w:asciiTheme="minorEastAsia" w:hAnsiTheme="minorEastAsia" w:eastAsiaTheme="minorEastAsia"/>
        </w:rPr>
        <w:t>包人的合理化建议</w:t>
      </w:r>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p>
    <w:p w14:paraId="477A30DE">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监理人审查承包人合理化建议的期限：。</w:t>
      </w:r>
    </w:p>
    <w:p w14:paraId="5115A34E">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发包人审批承包人合理化建议的期限：。</w:t>
      </w:r>
    </w:p>
    <w:p w14:paraId="78D9A4BB">
      <w:pPr>
        <w:spacing w:line="300" w:lineRule="exact"/>
        <w:ind w:firstLine="420" w:firstLineChars="200"/>
        <w:jc w:val="left"/>
        <w:rPr>
          <w:rFonts w:asciiTheme="minorEastAsia" w:hAnsiTheme="minorEastAsia" w:eastAsiaTheme="minorEastAsia"/>
          <w:u w:val="single"/>
        </w:rPr>
      </w:pPr>
      <w:r>
        <w:rPr>
          <w:rFonts w:hint="eastAsia" w:asciiTheme="minorEastAsia" w:hAnsiTheme="minorEastAsia" w:eastAsiaTheme="minorEastAsia"/>
        </w:rPr>
        <w:t>承</w:t>
      </w:r>
      <w:bookmarkStart w:id="410" w:name="_Toc296503204"/>
      <w:bookmarkStart w:id="411" w:name="_Toc297216205"/>
      <w:bookmarkStart w:id="412" w:name="_Toc296891032"/>
      <w:bookmarkStart w:id="413" w:name="_Toc318581175"/>
      <w:bookmarkStart w:id="414" w:name="_Toc300934995"/>
      <w:bookmarkStart w:id="415" w:name="_Toc292559914"/>
      <w:bookmarkStart w:id="416" w:name="_Toc312677504"/>
      <w:bookmarkStart w:id="417" w:name="_Toc304295571"/>
      <w:bookmarkStart w:id="418" w:name="_Toc297120504"/>
      <w:bookmarkStart w:id="419" w:name="_Toc296346705"/>
      <w:bookmarkStart w:id="420" w:name="_Toc292559409"/>
      <w:bookmarkStart w:id="421" w:name="_Toc297048390"/>
      <w:bookmarkStart w:id="422" w:name="_Toc297123546"/>
      <w:bookmarkStart w:id="423" w:name="_Toc312678030"/>
      <w:bookmarkStart w:id="424" w:name="_Toc303539152"/>
      <w:bookmarkStart w:id="425" w:name="_Toc296891244"/>
      <w:bookmarkStart w:id="426" w:name="_Toc296944543"/>
      <w:bookmarkStart w:id="427" w:name="_Toc296347203"/>
      <w:r>
        <w:rPr>
          <w:rFonts w:hint="eastAsia" w:asciiTheme="minorEastAsia" w:hAnsiTheme="minorEastAsia" w:eastAsiaTheme="minorEastAsia"/>
        </w:rPr>
        <w:t>包人提出的合理化建议降低了合同价格或者提高了工程经济效益的奖励的方法和金额为：</w:t>
      </w:r>
    </w:p>
    <w:p w14:paraId="47D70922">
      <w:pPr>
        <w:spacing w:line="300" w:lineRule="exact"/>
        <w:ind w:firstLine="420" w:firstLineChars="200"/>
        <w:jc w:val="left"/>
        <w:rPr>
          <w:rFonts w:asciiTheme="minorEastAsia" w:hAnsiTheme="minorEastAsia" w:eastAsiaTheme="minorEastAsia"/>
          <w:u w:val="single"/>
        </w:rPr>
      </w:pPr>
      <w:r>
        <w:rPr>
          <w:rFonts w:hint="eastAsia" w:asciiTheme="minorEastAsia" w:hAnsiTheme="minorEastAsia" w:eastAsiaTheme="minorEastAsia"/>
        </w:rPr>
        <w:t>。</w:t>
      </w:r>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p>
    <w:p w14:paraId="76CA2AEB">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1</w:t>
      </w:r>
      <w:bookmarkStart w:id="428" w:name="_Toc296944538"/>
      <w:bookmarkStart w:id="429" w:name="_Toc312677507"/>
      <w:bookmarkStart w:id="430" w:name="_Toc296891027"/>
      <w:bookmarkStart w:id="431" w:name="_Toc297048385"/>
      <w:bookmarkStart w:id="432" w:name="_Toc297123548"/>
      <w:bookmarkStart w:id="433" w:name="_Toc292559909"/>
      <w:bookmarkStart w:id="434" w:name="_Toc296503199"/>
      <w:bookmarkStart w:id="435" w:name="_Toc296891239"/>
      <w:bookmarkStart w:id="436" w:name="_Toc304295574"/>
      <w:bookmarkStart w:id="437" w:name="_Toc296346700"/>
      <w:bookmarkStart w:id="438" w:name="_Toc300934997"/>
      <w:bookmarkStart w:id="439" w:name="_Toc297120499"/>
      <w:bookmarkStart w:id="440" w:name="_Toc303539154"/>
      <w:bookmarkStart w:id="441" w:name="_Toc292559404"/>
      <w:bookmarkStart w:id="442" w:name="_Toc296347198"/>
      <w:bookmarkStart w:id="443" w:name="_Toc297216207"/>
      <w:bookmarkStart w:id="444" w:name="_Toc312678033"/>
      <w:r>
        <w:rPr>
          <w:rFonts w:hint="eastAsia" w:asciiTheme="minorEastAsia" w:hAnsiTheme="minorEastAsia" w:eastAsiaTheme="minorEastAsia"/>
        </w:rPr>
        <w:t>0.7 暂估价</w:t>
      </w:r>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p>
    <w:p w14:paraId="7B2B757E">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暂</w:t>
      </w:r>
      <w:bookmarkStart w:id="445" w:name="_Toc318581176"/>
      <w:bookmarkStart w:id="446" w:name="_Toc312678034"/>
      <w:bookmarkStart w:id="447" w:name="_Toc312677508"/>
      <w:r>
        <w:rPr>
          <w:rFonts w:hint="eastAsia" w:asciiTheme="minorEastAsia" w:hAnsiTheme="minorEastAsia" w:eastAsiaTheme="minorEastAsia"/>
        </w:rPr>
        <w:t>估价材料和工程设备的明细详见附件11：《暂估价一览表》。</w:t>
      </w:r>
      <w:bookmarkEnd w:id="445"/>
      <w:bookmarkEnd w:id="446"/>
      <w:bookmarkEnd w:id="447"/>
    </w:p>
    <w:p w14:paraId="33689E82">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1</w:t>
      </w:r>
      <w:bookmarkStart w:id="448" w:name="_Toc312677509"/>
      <w:bookmarkStart w:id="449" w:name="_Toc312678035"/>
      <w:bookmarkStart w:id="450" w:name="_Toc318581177"/>
      <w:r>
        <w:rPr>
          <w:rFonts w:hint="eastAsia" w:asciiTheme="minorEastAsia" w:hAnsiTheme="minorEastAsia" w:eastAsiaTheme="minorEastAsia"/>
        </w:rPr>
        <w:t>0.7.1 依法必须招标的暂估价项目</w:t>
      </w:r>
      <w:bookmarkEnd w:id="448"/>
      <w:bookmarkEnd w:id="449"/>
      <w:bookmarkEnd w:id="450"/>
    </w:p>
    <w:p w14:paraId="44A74766">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对于依法必须招标的暂估价项目的确认和批准采取第</w:t>
      </w:r>
      <w:r>
        <w:rPr>
          <w:rFonts w:hint="eastAsia" w:asciiTheme="minorEastAsia" w:hAnsiTheme="minorEastAsia" w:eastAsiaTheme="minorEastAsia"/>
          <w:u w:val="single"/>
        </w:rPr>
        <w:t xml:space="preserve">  2  </w:t>
      </w:r>
      <w:r>
        <w:rPr>
          <w:rFonts w:hint="eastAsia" w:asciiTheme="minorEastAsia" w:hAnsiTheme="minorEastAsia" w:eastAsiaTheme="minorEastAsia"/>
        </w:rPr>
        <w:t>种方式确定。</w:t>
      </w:r>
    </w:p>
    <w:p w14:paraId="3350D0F5">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10.7.2 不属于依法必须招标的暂估价项目</w:t>
      </w:r>
    </w:p>
    <w:p w14:paraId="2F6CA1E1">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对于不属于依法必须招标的暂估价项目的确认和批准采取第</w:t>
      </w:r>
      <w:r>
        <w:rPr>
          <w:rFonts w:hint="eastAsia" w:asciiTheme="minorEastAsia" w:hAnsiTheme="minorEastAsia" w:eastAsiaTheme="minorEastAsia"/>
          <w:u w:val="single"/>
        </w:rPr>
        <w:t xml:space="preserve">  2 </w:t>
      </w:r>
      <w:r>
        <w:rPr>
          <w:rFonts w:hint="eastAsia" w:asciiTheme="minorEastAsia" w:hAnsiTheme="minorEastAsia" w:eastAsiaTheme="minorEastAsia"/>
        </w:rPr>
        <w:t xml:space="preserve"> 种方式确定。</w:t>
      </w:r>
    </w:p>
    <w:p w14:paraId="57D10F3E">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第3种方式：承包人直接实施的暂估价项目</w:t>
      </w:r>
    </w:p>
    <w:p w14:paraId="0425791F">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承包人直接实施的暂估价项目的约定：。</w:t>
      </w:r>
    </w:p>
    <w:p w14:paraId="6EFB04C1">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10.8 暂列金额</w:t>
      </w:r>
    </w:p>
    <w:p w14:paraId="450FCD44">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合同当事人关于暂列金额使用的约定：</w:t>
      </w:r>
      <w:r>
        <w:rPr>
          <w:rFonts w:hint="eastAsia" w:asciiTheme="minorEastAsia" w:hAnsiTheme="minorEastAsia" w:eastAsiaTheme="minorEastAsia"/>
          <w:u w:val="single"/>
        </w:rPr>
        <w:t xml:space="preserve">  执行合同通用条款              </w:t>
      </w:r>
      <w:r>
        <w:rPr>
          <w:rFonts w:hint="eastAsia" w:asciiTheme="minorEastAsia" w:hAnsiTheme="minorEastAsia" w:eastAsiaTheme="minorEastAsia"/>
        </w:rPr>
        <w:t>。</w:t>
      </w:r>
    </w:p>
    <w:p w14:paraId="4C7BA76B">
      <w:pPr>
        <w:pStyle w:val="232"/>
        <w:spacing w:before="0" w:after="0" w:line="300" w:lineRule="exact"/>
        <w:ind w:firstLine="422" w:firstLineChars="200"/>
        <w:rPr>
          <w:rFonts w:asciiTheme="minorEastAsia" w:hAnsiTheme="minorEastAsia" w:eastAsiaTheme="minorEastAsia"/>
          <w:sz w:val="21"/>
        </w:rPr>
      </w:pPr>
      <w:bookmarkStart w:id="451" w:name="_Toc351203643"/>
      <w:r>
        <w:rPr>
          <w:rFonts w:hint="eastAsia" w:asciiTheme="minorEastAsia" w:hAnsiTheme="minorEastAsia" w:eastAsiaTheme="minorEastAsia"/>
          <w:sz w:val="21"/>
        </w:rPr>
        <w:t>11. 价格调整</w:t>
      </w:r>
      <w:bookmarkEnd w:id="451"/>
    </w:p>
    <w:p w14:paraId="1A469D2C">
      <w:pPr>
        <w:spacing w:line="300" w:lineRule="exact"/>
        <w:ind w:firstLine="420" w:firstLineChars="200"/>
        <w:rPr>
          <w:rFonts w:asciiTheme="minorEastAsia" w:hAnsiTheme="minorEastAsia" w:eastAsiaTheme="minorEastAsia"/>
        </w:rPr>
      </w:pPr>
      <w:bookmarkStart w:id="452" w:name="_Toc304295577"/>
      <w:bookmarkStart w:id="453" w:name="_Toc296891029"/>
      <w:bookmarkStart w:id="454" w:name="_Toc297216209"/>
      <w:bookmarkStart w:id="455" w:name="_Toc312678039"/>
      <w:bookmarkStart w:id="456" w:name="_Toc300935000"/>
      <w:bookmarkStart w:id="457" w:name="_Toc297120501"/>
      <w:bookmarkStart w:id="458" w:name="_Toc296347200"/>
      <w:bookmarkStart w:id="459" w:name="_Toc292559406"/>
      <w:bookmarkStart w:id="460" w:name="_Toc296891241"/>
      <w:bookmarkStart w:id="461" w:name="_Toc296944540"/>
      <w:bookmarkStart w:id="462" w:name="_Toc296346702"/>
      <w:bookmarkStart w:id="463" w:name="_Toc297123550"/>
      <w:bookmarkStart w:id="464" w:name="_Toc303539157"/>
      <w:bookmarkStart w:id="465" w:name="_Toc296503201"/>
      <w:bookmarkStart w:id="466" w:name="_Toc297048387"/>
      <w:bookmarkStart w:id="467" w:name="_Toc292559911"/>
      <w:r>
        <w:rPr>
          <w:rFonts w:hint="eastAsia" w:asciiTheme="minorEastAsia" w:hAnsiTheme="minorEastAsia" w:eastAsiaTheme="minorEastAsia"/>
        </w:rPr>
        <w:t>11.1 市场价格波动引起的调整</w:t>
      </w:r>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p>
    <w:p w14:paraId="012330DA">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市场价格波动是否调整合同价格的约定：</w:t>
      </w:r>
      <w:r>
        <w:rPr>
          <w:rFonts w:hint="eastAsia" w:asciiTheme="minorEastAsia" w:hAnsiTheme="minorEastAsia" w:eastAsiaTheme="minorEastAsia"/>
          <w:u w:val="single"/>
        </w:rPr>
        <w:t xml:space="preserve">  是               </w:t>
      </w:r>
      <w:r>
        <w:rPr>
          <w:rFonts w:hint="eastAsia" w:asciiTheme="minorEastAsia" w:hAnsiTheme="minorEastAsia" w:eastAsiaTheme="minorEastAsia"/>
        </w:rPr>
        <w:t>。</w:t>
      </w:r>
    </w:p>
    <w:p w14:paraId="14098310">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因市场价格波动调整合同价格，采用以下第</w:t>
      </w:r>
      <w:r>
        <w:rPr>
          <w:rFonts w:hint="eastAsia" w:asciiTheme="minorEastAsia" w:hAnsiTheme="minorEastAsia" w:eastAsiaTheme="minorEastAsia"/>
          <w:u w:val="single"/>
        </w:rPr>
        <w:t xml:space="preserve">  3  </w:t>
      </w:r>
      <w:r>
        <w:rPr>
          <w:rFonts w:hint="eastAsia" w:asciiTheme="minorEastAsia" w:hAnsiTheme="minorEastAsia" w:eastAsiaTheme="minorEastAsia"/>
        </w:rPr>
        <w:t>种方式对合同价格进行调整：</w:t>
      </w:r>
    </w:p>
    <w:p w14:paraId="74E4114C">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第1种方式：采用价格指数进行价格调整。</w:t>
      </w:r>
    </w:p>
    <w:p w14:paraId="3628628E">
      <w:pPr>
        <w:spacing w:line="300" w:lineRule="exact"/>
        <w:ind w:firstLine="420" w:firstLineChars="200"/>
        <w:jc w:val="left"/>
        <w:rPr>
          <w:rFonts w:asciiTheme="minorEastAsia" w:hAnsiTheme="minorEastAsia" w:eastAsiaTheme="minorEastAsia"/>
          <w:u w:val="single"/>
        </w:rPr>
      </w:pPr>
      <w:r>
        <w:rPr>
          <w:rFonts w:hint="eastAsia" w:asciiTheme="minorEastAsia" w:hAnsiTheme="minorEastAsia" w:eastAsiaTheme="minorEastAsia"/>
        </w:rPr>
        <w:t xml:space="preserve">关于各可调因子、定值和变值权重，以及基本价格指数及其来源的约定：；  </w:t>
      </w:r>
    </w:p>
    <w:p w14:paraId="770A7B05">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第2种方式：采用造价信息进行价格调整。</w:t>
      </w:r>
    </w:p>
    <w:p w14:paraId="1DAB1816">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（2）关于基准价格的约定：。</w:t>
      </w:r>
    </w:p>
    <w:p w14:paraId="233814CF">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专用合同条款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w:t>
      </w:r>
    </w:p>
    <w:p w14:paraId="71F2D578">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w:t>
      </w:r>
    </w:p>
    <w:p w14:paraId="5285C4BC">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③承包人在已标价工程量清单或预算书中载明的材料单价等于基准单价的：专用合同条款合同履行期间材料单价涨跌幅以基准单价为基础超过±%时，其超过部分据实调整。</w:t>
      </w:r>
    </w:p>
    <w:p w14:paraId="474EF654">
      <w:pPr>
        <w:spacing w:line="300" w:lineRule="exact"/>
        <w:ind w:firstLine="420" w:firstLineChars="200"/>
        <w:jc w:val="left"/>
        <w:rPr>
          <w:rFonts w:asciiTheme="minorEastAsia" w:hAnsiTheme="minorEastAsia" w:eastAsiaTheme="minorEastAsia"/>
          <w:u w:val="single"/>
        </w:rPr>
      </w:pPr>
      <w:r>
        <w:rPr>
          <w:rFonts w:hint="eastAsia" w:asciiTheme="minorEastAsia" w:hAnsiTheme="minorEastAsia" w:eastAsiaTheme="minorEastAsia"/>
        </w:rPr>
        <w:t>第3种方式：其他价格调整方式：</w:t>
      </w:r>
      <w:r>
        <w:rPr>
          <w:rFonts w:hint="eastAsia" w:asciiTheme="minorEastAsia" w:hAnsiTheme="minorEastAsia" w:eastAsiaTheme="minorEastAsia"/>
          <w:u w:val="single"/>
        </w:rPr>
        <w:t xml:space="preserve"> (1)人工单价发生变化且符合省级或行业建设主管部门</w:t>
      </w:r>
    </w:p>
    <w:p w14:paraId="6E6D1B79">
      <w:pPr>
        <w:spacing w:line="300" w:lineRule="exact"/>
        <w:ind w:firstLine="420" w:firstLineChars="200"/>
        <w:jc w:val="left"/>
        <w:rPr>
          <w:rFonts w:asciiTheme="minorEastAsia" w:hAnsiTheme="minorEastAsia" w:eastAsiaTheme="minorEastAsia"/>
          <w:u w:val="single"/>
        </w:rPr>
      </w:pPr>
      <w:r>
        <w:rPr>
          <w:rFonts w:hint="eastAsia" w:asciiTheme="minorEastAsia" w:hAnsiTheme="minorEastAsia" w:eastAsiaTheme="minorEastAsia"/>
          <w:u w:val="single"/>
        </w:rPr>
        <w:t>发布的人工费调整规定，合同当事人应按省级或行业建设主管部门或其授权的工程造价管理机构发布的人工费等文件调整合同价格，但承包人对人工费或人工单价的报价高于发布价格的除外。</w:t>
      </w:r>
    </w:p>
    <w:p w14:paraId="41B6B522">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u w:val="single"/>
        </w:rPr>
        <w:t xml:space="preserve">(2)材料、工程设备价格：按泰建发〔2021〕167 号《泰州市住房和城乡建设局关于加强建筑材 料价格风险管控的通知》调整工程价款。工程施工期间主要材料、工程设备价格上涨或者下降幅 度在 5%以内的，其价差由承包人承担或者受益，超过 5%的部分由发包人承担或受益。(3)施工机械台班单价或施工机械使用费发生变化超过省级或行业建设主管部门或其授权的工程造价管理机构规定的范围时，按规定调整合同价格                   </w:t>
      </w:r>
      <w:r>
        <w:rPr>
          <w:rFonts w:hint="eastAsia" w:asciiTheme="minorEastAsia" w:hAnsiTheme="minorEastAsia" w:eastAsiaTheme="minorEastAsia"/>
        </w:rPr>
        <w:t>。</w:t>
      </w:r>
      <w:bookmarkEnd w:id="355"/>
      <w:bookmarkEnd w:id="356"/>
      <w:bookmarkEnd w:id="357"/>
      <w:bookmarkEnd w:id="358"/>
      <w:bookmarkEnd w:id="359"/>
      <w:bookmarkEnd w:id="360"/>
    </w:p>
    <w:p w14:paraId="172B36E6">
      <w:pPr>
        <w:pStyle w:val="232"/>
        <w:spacing w:before="0" w:after="0" w:line="300" w:lineRule="exact"/>
        <w:ind w:firstLine="422" w:firstLineChars="200"/>
        <w:rPr>
          <w:rFonts w:asciiTheme="minorEastAsia" w:hAnsiTheme="minorEastAsia" w:eastAsiaTheme="minorEastAsia"/>
          <w:sz w:val="21"/>
        </w:rPr>
      </w:pPr>
      <w:bookmarkStart w:id="468" w:name="_Toc296503205"/>
      <w:bookmarkStart w:id="469" w:name="_Toc296891033"/>
      <w:bookmarkStart w:id="470" w:name="_Toc297048391"/>
      <w:bookmarkStart w:id="471" w:name="_Toc296346706"/>
      <w:bookmarkStart w:id="472" w:name="_Toc296891245"/>
      <w:bookmarkStart w:id="473" w:name="_Toc292559915"/>
      <w:bookmarkStart w:id="474" w:name="_Toc292559410"/>
      <w:bookmarkStart w:id="475" w:name="_Toc296347204"/>
      <w:bookmarkStart w:id="476" w:name="_Toc296944544"/>
      <w:bookmarkStart w:id="477" w:name="_Toc297120505"/>
      <w:bookmarkStart w:id="478" w:name="_Toc312678040"/>
      <w:bookmarkStart w:id="479" w:name="_Toc300935002"/>
      <w:bookmarkStart w:id="480" w:name="_Toc297123552"/>
      <w:bookmarkStart w:id="481" w:name="_Toc351203644"/>
      <w:bookmarkStart w:id="482" w:name="_Toc297216211"/>
      <w:bookmarkStart w:id="483" w:name="_Toc303539159"/>
      <w:bookmarkStart w:id="484" w:name="_Toc304295579"/>
      <w:r>
        <w:rPr>
          <w:rFonts w:hint="eastAsia" w:asciiTheme="minorEastAsia" w:hAnsiTheme="minorEastAsia" w:eastAsiaTheme="minorEastAsia"/>
          <w:sz w:val="21"/>
        </w:rPr>
        <w:t xml:space="preserve">12. </w:t>
      </w:r>
      <w:bookmarkEnd w:id="468"/>
      <w:bookmarkEnd w:id="469"/>
      <w:bookmarkEnd w:id="470"/>
      <w:bookmarkEnd w:id="471"/>
      <w:bookmarkEnd w:id="472"/>
      <w:bookmarkEnd w:id="473"/>
      <w:bookmarkEnd w:id="474"/>
      <w:bookmarkEnd w:id="475"/>
      <w:bookmarkEnd w:id="476"/>
      <w:bookmarkEnd w:id="477"/>
      <w:r>
        <w:rPr>
          <w:rFonts w:hint="eastAsia" w:asciiTheme="minorEastAsia" w:hAnsiTheme="minorEastAsia" w:eastAsiaTheme="minorEastAsia"/>
          <w:sz w:val="21"/>
        </w:rPr>
        <w:t>合同价格、计量与支付</w:t>
      </w:r>
      <w:bookmarkEnd w:id="478"/>
      <w:bookmarkEnd w:id="479"/>
      <w:bookmarkEnd w:id="480"/>
      <w:bookmarkEnd w:id="481"/>
      <w:bookmarkEnd w:id="482"/>
      <w:bookmarkEnd w:id="483"/>
      <w:bookmarkEnd w:id="484"/>
    </w:p>
    <w:p w14:paraId="353C6247">
      <w:pPr>
        <w:spacing w:line="300" w:lineRule="exact"/>
        <w:ind w:firstLine="420" w:firstLineChars="200"/>
        <w:rPr>
          <w:rFonts w:asciiTheme="minorEastAsia" w:hAnsiTheme="minorEastAsia" w:eastAsiaTheme="minorEastAsia"/>
        </w:rPr>
      </w:pPr>
      <w:bookmarkStart w:id="485" w:name="_Toc292559916"/>
      <w:bookmarkStart w:id="486" w:name="_Toc292559411"/>
      <w:bookmarkStart w:id="487" w:name="_Toc267251461"/>
      <w:bookmarkStart w:id="488" w:name="_Toc296944545"/>
      <w:bookmarkStart w:id="489" w:name="_Toc296891034"/>
      <w:bookmarkStart w:id="490" w:name="_Toc297048392"/>
      <w:bookmarkStart w:id="491" w:name="_Toc297120506"/>
      <w:bookmarkStart w:id="492" w:name="_Toc296891246"/>
      <w:bookmarkStart w:id="493" w:name="_Toc296347205"/>
      <w:bookmarkStart w:id="494" w:name="_Toc296346707"/>
      <w:bookmarkStart w:id="495" w:name="_Toc296503206"/>
      <w:bookmarkStart w:id="496" w:name="_Toc304295580"/>
      <w:bookmarkStart w:id="497" w:name="_Toc297123553"/>
      <w:bookmarkStart w:id="498" w:name="_Toc300935003"/>
      <w:bookmarkStart w:id="499" w:name="_Toc303539160"/>
      <w:bookmarkStart w:id="500" w:name="_Toc297216212"/>
      <w:bookmarkStart w:id="501" w:name="_Toc312678041"/>
      <w:r>
        <w:rPr>
          <w:rFonts w:hint="eastAsia" w:asciiTheme="minorEastAsia" w:hAnsiTheme="minorEastAsia" w:eastAsiaTheme="minorEastAsia"/>
        </w:rPr>
        <w:t>12.1 合</w:t>
      </w:r>
      <w:bookmarkEnd w:id="485"/>
      <w:bookmarkEnd w:id="486"/>
      <w:bookmarkEnd w:id="487"/>
      <w:r>
        <w:rPr>
          <w:rFonts w:hint="eastAsia" w:asciiTheme="minorEastAsia" w:hAnsiTheme="minorEastAsia" w:eastAsiaTheme="minorEastAsia"/>
        </w:rPr>
        <w:t>同价</w:t>
      </w:r>
      <w:bookmarkEnd w:id="488"/>
      <w:bookmarkEnd w:id="489"/>
      <w:bookmarkEnd w:id="490"/>
      <w:bookmarkEnd w:id="491"/>
      <w:bookmarkEnd w:id="492"/>
      <w:bookmarkEnd w:id="493"/>
      <w:bookmarkEnd w:id="494"/>
      <w:bookmarkEnd w:id="495"/>
      <w:r>
        <w:rPr>
          <w:rFonts w:hint="eastAsia" w:asciiTheme="minorEastAsia" w:hAnsiTheme="minorEastAsia" w:eastAsiaTheme="minorEastAsia"/>
        </w:rPr>
        <w:t>格形式</w:t>
      </w:r>
      <w:bookmarkEnd w:id="496"/>
      <w:bookmarkEnd w:id="497"/>
      <w:bookmarkEnd w:id="498"/>
      <w:bookmarkEnd w:id="499"/>
      <w:bookmarkEnd w:id="500"/>
      <w:bookmarkEnd w:id="501"/>
    </w:p>
    <w:p w14:paraId="28DB5FD1">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1、单价合同。</w:t>
      </w:r>
    </w:p>
    <w:p w14:paraId="0C1B7E4E">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综合单价包含的风险范围：</w:t>
      </w:r>
      <w:r>
        <w:rPr>
          <w:rFonts w:hint="eastAsia" w:asciiTheme="minorEastAsia" w:hAnsiTheme="minorEastAsia" w:eastAsiaTheme="minorEastAsia"/>
          <w:u w:val="single"/>
        </w:rPr>
        <w:t xml:space="preserve"> 除招标文件约定工程价款调整以外的全部风险   </w:t>
      </w:r>
      <w:r>
        <w:rPr>
          <w:rFonts w:hint="eastAsia" w:asciiTheme="minorEastAsia" w:hAnsiTheme="minorEastAsia" w:eastAsiaTheme="minorEastAsia"/>
        </w:rPr>
        <w:t>。</w:t>
      </w:r>
    </w:p>
    <w:p w14:paraId="23A142BB">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风险费用的计算方法：</w:t>
      </w:r>
      <w:r>
        <w:rPr>
          <w:rFonts w:hint="eastAsia" w:asciiTheme="minorEastAsia" w:hAnsiTheme="minorEastAsia" w:eastAsiaTheme="minorEastAsia"/>
          <w:u w:val="single"/>
        </w:rPr>
        <w:t xml:space="preserve">  除招标文件约定工程价款调整以外的全部风险    </w:t>
      </w:r>
      <w:r>
        <w:rPr>
          <w:rFonts w:hint="eastAsia" w:asciiTheme="minorEastAsia" w:hAnsiTheme="minorEastAsia" w:eastAsiaTheme="minorEastAsia"/>
        </w:rPr>
        <w:t>。</w:t>
      </w:r>
    </w:p>
    <w:p w14:paraId="230ADB4D">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风险范围以外合同价格的调整方法：</w:t>
      </w:r>
      <w:r>
        <w:rPr>
          <w:rFonts w:hint="eastAsia" w:asciiTheme="minorEastAsia" w:hAnsiTheme="minorEastAsia" w:eastAsiaTheme="minorEastAsia"/>
          <w:u w:val="single"/>
        </w:rPr>
        <w:t xml:space="preserve"> 除招标文件约定工程价款调整以外的全部风险    </w:t>
      </w:r>
      <w:r>
        <w:rPr>
          <w:rFonts w:hint="eastAsia" w:asciiTheme="minorEastAsia" w:hAnsiTheme="minorEastAsia" w:eastAsiaTheme="minorEastAsia"/>
        </w:rPr>
        <w:t>。</w:t>
      </w:r>
    </w:p>
    <w:p w14:paraId="1080693C">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2、总价合同。</w:t>
      </w:r>
    </w:p>
    <w:p w14:paraId="7C683F61">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总价包含的风险范围：。</w:t>
      </w:r>
    </w:p>
    <w:p w14:paraId="2D049CD2">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风险费用的计算方法：。</w:t>
      </w:r>
    </w:p>
    <w:p w14:paraId="713C497B">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风险范围以外合同价格的调整方法：。</w:t>
      </w:r>
    </w:p>
    <w:p w14:paraId="31372F5B">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3、其他价格方式：。</w:t>
      </w:r>
    </w:p>
    <w:p w14:paraId="690F2C3F">
      <w:pPr>
        <w:spacing w:line="300" w:lineRule="exact"/>
        <w:ind w:firstLine="420" w:firstLineChars="200"/>
        <w:rPr>
          <w:rFonts w:asciiTheme="minorEastAsia" w:hAnsiTheme="minorEastAsia" w:eastAsiaTheme="minorEastAsia"/>
        </w:rPr>
      </w:pPr>
      <w:bookmarkStart w:id="502" w:name="_Toc297123554"/>
      <w:bookmarkStart w:id="503" w:name="_Toc312678042"/>
      <w:bookmarkStart w:id="504" w:name="_Toc297216213"/>
      <w:bookmarkStart w:id="505" w:name="_Toc303539161"/>
      <w:bookmarkStart w:id="506" w:name="_Toc300935004"/>
      <w:bookmarkStart w:id="507" w:name="_Toc304295581"/>
      <w:bookmarkStart w:id="508" w:name="_Toc297120507"/>
      <w:bookmarkStart w:id="509" w:name="_Toc297048393"/>
      <w:bookmarkStart w:id="510" w:name="_Toc296347206"/>
      <w:bookmarkStart w:id="511" w:name="_Toc292559412"/>
      <w:bookmarkStart w:id="512" w:name="_Toc296944546"/>
      <w:bookmarkStart w:id="513" w:name="_Toc296891247"/>
      <w:bookmarkStart w:id="514" w:name="_Toc296891035"/>
      <w:bookmarkStart w:id="515" w:name="_Toc292559917"/>
      <w:bookmarkStart w:id="516" w:name="_Toc296346708"/>
      <w:bookmarkStart w:id="517" w:name="_Toc296503207"/>
      <w:r>
        <w:rPr>
          <w:rFonts w:hint="eastAsia" w:asciiTheme="minorEastAsia" w:hAnsiTheme="minorEastAsia" w:eastAsiaTheme="minorEastAsia"/>
        </w:rPr>
        <w:t>12.2 预付款</w:t>
      </w:r>
      <w:bookmarkEnd w:id="502"/>
      <w:bookmarkEnd w:id="503"/>
      <w:bookmarkEnd w:id="504"/>
      <w:bookmarkEnd w:id="505"/>
      <w:bookmarkEnd w:id="506"/>
      <w:bookmarkEnd w:id="507"/>
    </w:p>
    <w:p w14:paraId="4567FADB">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12.2.1 预付款的支付</w:t>
      </w:r>
    </w:p>
    <w:p w14:paraId="5E517F69">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预付款支付比例或金额：</w:t>
      </w:r>
      <w:r>
        <w:rPr>
          <w:rFonts w:hint="eastAsia" w:asciiTheme="minorEastAsia" w:hAnsiTheme="minorEastAsia" w:eastAsiaTheme="minorEastAsia"/>
          <w:u w:val="single"/>
        </w:rPr>
        <w:t xml:space="preserve"> 按照招标文件第三章中付款方式约定          </w:t>
      </w:r>
      <w:r>
        <w:rPr>
          <w:rFonts w:hint="eastAsia" w:asciiTheme="minorEastAsia" w:hAnsiTheme="minorEastAsia" w:eastAsiaTheme="minorEastAsia"/>
        </w:rPr>
        <w:t>。</w:t>
      </w:r>
    </w:p>
    <w:p w14:paraId="31CA1A10">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预付款支付期限：</w:t>
      </w:r>
      <w:r>
        <w:rPr>
          <w:rFonts w:hint="eastAsia" w:asciiTheme="minorEastAsia" w:hAnsiTheme="minorEastAsia" w:eastAsiaTheme="minorEastAsia"/>
          <w:u w:val="single"/>
        </w:rPr>
        <w:t xml:space="preserve"> 按照招标文件第三章中付款方式约定           </w:t>
      </w:r>
      <w:r>
        <w:rPr>
          <w:rFonts w:hint="eastAsia" w:asciiTheme="minorEastAsia" w:hAnsiTheme="minorEastAsia" w:eastAsiaTheme="minorEastAsia"/>
        </w:rPr>
        <w:t>。</w:t>
      </w:r>
    </w:p>
    <w:p w14:paraId="6EB8EAFF">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预付款扣回的方式：</w:t>
      </w:r>
      <w:r>
        <w:rPr>
          <w:rFonts w:hint="eastAsia" w:asciiTheme="minorEastAsia" w:hAnsiTheme="minorEastAsia" w:eastAsiaTheme="minorEastAsia"/>
          <w:u w:val="single"/>
        </w:rPr>
        <w:t xml:space="preserve">  按照招标文件第三章中付款方式约定     </w:t>
      </w:r>
      <w:r>
        <w:rPr>
          <w:rFonts w:hint="eastAsia" w:asciiTheme="minorEastAsia" w:hAnsiTheme="minorEastAsia" w:eastAsiaTheme="minorEastAsia"/>
        </w:rPr>
        <w:t>。</w:t>
      </w:r>
    </w:p>
    <w:p w14:paraId="1C70D76A">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12.2.2 预付款担保</w:t>
      </w:r>
    </w:p>
    <w:p w14:paraId="59D5E74D">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承包人提交预付款担保的期限：。</w:t>
      </w:r>
    </w:p>
    <w:p w14:paraId="242A0408">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预付款担保的形式为：。</w:t>
      </w:r>
      <w:bookmarkEnd w:id="508"/>
      <w:bookmarkEnd w:id="509"/>
      <w:bookmarkEnd w:id="510"/>
      <w:bookmarkEnd w:id="511"/>
      <w:bookmarkEnd w:id="512"/>
      <w:bookmarkEnd w:id="513"/>
      <w:bookmarkEnd w:id="514"/>
      <w:bookmarkEnd w:id="515"/>
      <w:bookmarkEnd w:id="516"/>
      <w:bookmarkEnd w:id="517"/>
    </w:p>
    <w:p w14:paraId="43DCBBB9">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12.3 计量</w:t>
      </w:r>
    </w:p>
    <w:p w14:paraId="0F3C979B">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12.3.1 计量原则</w:t>
      </w:r>
    </w:p>
    <w:p w14:paraId="746981B2">
      <w:pPr>
        <w:spacing w:line="300" w:lineRule="exact"/>
        <w:ind w:firstLine="420" w:firstLineChars="200"/>
        <w:jc w:val="left"/>
        <w:rPr>
          <w:rFonts w:asciiTheme="minorEastAsia" w:hAnsiTheme="minorEastAsia" w:eastAsiaTheme="minorEastAsia"/>
          <w:u w:val="single"/>
        </w:rPr>
      </w:pPr>
      <w:r>
        <w:rPr>
          <w:rFonts w:hint="eastAsia" w:asciiTheme="minorEastAsia" w:hAnsiTheme="minorEastAsia" w:eastAsiaTheme="minorEastAsia"/>
        </w:rPr>
        <w:t>工程量计算规则：</w:t>
      </w:r>
      <w:r>
        <w:rPr>
          <w:rFonts w:hint="eastAsia" w:asciiTheme="minorEastAsia" w:hAnsiTheme="minorEastAsia" w:eastAsiaTheme="minorEastAsia"/>
          <w:u w:val="single"/>
        </w:rPr>
        <w:t xml:space="preserve"> 《建设工程工程量清单计价规范》（GB50500—2013）及《房屋建筑与 装</w:t>
      </w:r>
    </w:p>
    <w:p w14:paraId="4C2D4ED9">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u w:val="single"/>
        </w:rPr>
        <w:t xml:space="preserve">饰工程工程量计算规范》（GB50854-2013）等 9 本工程量计算规范      </w:t>
      </w:r>
      <w:r>
        <w:rPr>
          <w:rFonts w:hint="eastAsia" w:asciiTheme="minorEastAsia" w:hAnsiTheme="minorEastAsia" w:eastAsiaTheme="minorEastAsia"/>
        </w:rPr>
        <w:t>。</w:t>
      </w:r>
    </w:p>
    <w:p w14:paraId="0B21B2F6">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12.3.2 计量周期</w:t>
      </w:r>
    </w:p>
    <w:p w14:paraId="6D5C57A7">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关于计量周期的约定：</w:t>
      </w:r>
      <w:r>
        <w:rPr>
          <w:rFonts w:hint="eastAsia" w:asciiTheme="minorEastAsia" w:hAnsiTheme="minorEastAsia" w:eastAsiaTheme="minorEastAsia"/>
          <w:u w:val="single"/>
        </w:rPr>
        <w:t xml:space="preserve">  按月计量                                </w:t>
      </w:r>
      <w:r>
        <w:rPr>
          <w:rFonts w:hint="eastAsia" w:asciiTheme="minorEastAsia" w:hAnsiTheme="minorEastAsia" w:eastAsiaTheme="minorEastAsia"/>
        </w:rPr>
        <w:t>。</w:t>
      </w:r>
    </w:p>
    <w:p w14:paraId="0456284A">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12.3.3 单价合同的计量</w:t>
      </w:r>
    </w:p>
    <w:p w14:paraId="513820DE">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关于单价合同计量的约定：。</w:t>
      </w:r>
    </w:p>
    <w:p w14:paraId="2C6DC69B">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12.3.4 总价合同的计量</w:t>
      </w:r>
    </w:p>
    <w:p w14:paraId="00C34024">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关于总价合同计量的约定：。</w:t>
      </w:r>
    </w:p>
    <w:p w14:paraId="3A34C2A0">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12.3.5总价合同采用支付分解表计量支付的，是否适用第12.3.4 项〔总价合同的计量〕约定进行计量：。</w:t>
      </w:r>
    </w:p>
    <w:p w14:paraId="0FA659EF">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12.3.6 其他价格形式合同的计量</w:t>
      </w:r>
    </w:p>
    <w:p w14:paraId="3C7F472F">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其他价格形式的计量方式和程序：。</w:t>
      </w:r>
    </w:p>
    <w:p w14:paraId="0E7ED757">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12.4 工程进度款支付</w:t>
      </w:r>
    </w:p>
    <w:p w14:paraId="170C9AEE">
      <w:pPr>
        <w:spacing w:line="300" w:lineRule="exact"/>
        <w:ind w:firstLine="420" w:firstLineChars="200"/>
        <w:jc w:val="left"/>
        <w:rPr>
          <w:rFonts w:asciiTheme="minorEastAsia" w:hAnsiTheme="minorEastAsia" w:eastAsiaTheme="minorEastAsia"/>
        </w:rPr>
      </w:pPr>
      <w:bookmarkStart w:id="518" w:name="_Toc297216215"/>
      <w:bookmarkStart w:id="519" w:name="_Toc297120511"/>
      <w:bookmarkStart w:id="520" w:name="_Toc296347210"/>
      <w:bookmarkStart w:id="521" w:name="_Toc297123556"/>
      <w:bookmarkStart w:id="522" w:name="_Toc297048397"/>
      <w:bookmarkStart w:id="523" w:name="_Toc292559416"/>
      <w:bookmarkStart w:id="524" w:name="_Toc292559921"/>
      <w:bookmarkStart w:id="525" w:name="_Toc303539163"/>
      <w:bookmarkStart w:id="526" w:name="_Toc296891039"/>
      <w:bookmarkStart w:id="527" w:name="_Toc296944550"/>
      <w:bookmarkStart w:id="528" w:name="_Toc296346712"/>
      <w:bookmarkStart w:id="529" w:name="_Toc300935006"/>
      <w:bookmarkStart w:id="530" w:name="_Toc296891251"/>
      <w:bookmarkStart w:id="531" w:name="_Toc296503211"/>
      <w:r>
        <w:rPr>
          <w:rFonts w:hint="eastAsia" w:asciiTheme="minorEastAsia" w:hAnsiTheme="minorEastAsia" w:eastAsiaTheme="minorEastAsia"/>
        </w:rPr>
        <w:t>12.4.1 付款周期</w:t>
      </w:r>
    </w:p>
    <w:p w14:paraId="6C7A0006">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关于付款周期的约定：</w:t>
      </w:r>
      <w:r>
        <w:rPr>
          <w:rFonts w:hint="eastAsia" w:asciiTheme="minorEastAsia" w:hAnsiTheme="minorEastAsia" w:eastAsiaTheme="minorEastAsia"/>
          <w:u w:val="single"/>
        </w:rPr>
        <w:t xml:space="preserve"> 详见招标文件第三章中付款方式约定    </w:t>
      </w:r>
      <w:r>
        <w:rPr>
          <w:rFonts w:hint="eastAsia" w:asciiTheme="minorEastAsia" w:hAnsiTheme="minorEastAsia" w:eastAsiaTheme="minorEastAsia"/>
        </w:rPr>
        <w:t>。</w:t>
      </w:r>
    </w:p>
    <w:p w14:paraId="50849478">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12.4.2 进度付款申请单的编制</w:t>
      </w:r>
    </w:p>
    <w:p w14:paraId="43F918F6">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关于进度付款申请单编制的约定：。</w:t>
      </w:r>
    </w:p>
    <w:p w14:paraId="0A457155">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1</w:t>
      </w:r>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r>
        <w:rPr>
          <w:rFonts w:hint="eastAsia" w:asciiTheme="minorEastAsia" w:hAnsiTheme="minorEastAsia" w:eastAsiaTheme="minorEastAsia"/>
        </w:rPr>
        <w:t>2.4.3 进度付款申请单的提交</w:t>
      </w:r>
    </w:p>
    <w:p w14:paraId="122D99C0">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（1）单价合同进度付款申请单提交的约定：。</w:t>
      </w:r>
    </w:p>
    <w:p w14:paraId="6438386F">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（2）总价合同进度付款申请单提交的约定：。</w:t>
      </w:r>
    </w:p>
    <w:p w14:paraId="070CC8CE">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（3）其他价格形式合同进度付款申请单提交的约定：。</w:t>
      </w:r>
    </w:p>
    <w:p w14:paraId="3A262215">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12.4.4 进度款审核和支付</w:t>
      </w:r>
    </w:p>
    <w:p w14:paraId="34F80A4F">
      <w:pPr>
        <w:spacing w:line="300" w:lineRule="exact"/>
        <w:ind w:firstLine="420" w:firstLineChars="200"/>
        <w:jc w:val="left"/>
        <w:rPr>
          <w:rFonts w:asciiTheme="minorEastAsia" w:hAnsiTheme="minorEastAsia" w:eastAsiaTheme="minorEastAsia"/>
          <w:u w:val="single"/>
        </w:rPr>
      </w:pPr>
      <w:r>
        <w:rPr>
          <w:rFonts w:hint="eastAsia" w:asciiTheme="minorEastAsia" w:hAnsiTheme="minorEastAsia" w:eastAsiaTheme="minorEastAsia"/>
        </w:rPr>
        <w:t>（1）监理人审查并报送发包人的期限：。</w:t>
      </w:r>
    </w:p>
    <w:p w14:paraId="0C88C81D">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发包人完成审批并签发进度款支付证书的期限：。</w:t>
      </w:r>
    </w:p>
    <w:p w14:paraId="2597390E">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（2）发包人支付进度款的期限：。</w:t>
      </w:r>
    </w:p>
    <w:p w14:paraId="2542251E">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发包人逾期支付进度款的违约金的计算方式：。</w:t>
      </w:r>
    </w:p>
    <w:p w14:paraId="6A9E3032">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12.4.6 支付分解表的编制</w:t>
      </w:r>
    </w:p>
    <w:p w14:paraId="0B590EAD">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2、总价合同支付分解表的编制与审批：。</w:t>
      </w:r>
    </w:p>
    <w:p w14:paraId="21DF1608">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3、单价合同的总价项目支付分解表的编制与审批：。</w:t>
      </w:r>
    </w:p>
    <w:p w14:paraId="2E4CB7B1">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12.5支付账户</w:t>
      </w:r>
    </w:p>
    <w:p w14:paraId="56F047AC">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1、账户信息</w:t>
      </w:r>
    </w:p>
    <w:p w14:paraId="7FB8E3EE">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发包人应将合同价款依照合同约定，支付至合同协议书中约定的承包人账户，账户信息以合同协议书中承包人的开户银行和账号为准。</w:t>
      </w:r>
    </w:p>
    <w:p w14:paraId="14EE39D8">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2、账户变更</w:t>
      </w:r>
    </w:p>
    <w:p w14:paraId="56C83AD6">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合同双方是否能自行变更支付账号：</w:t>
      </w:r>
      <w:r>
        <w:rPr>
          <w:rFonts w:cs="Wingdings" w:asciiTheme="minorEastAsia" w:hAnsiTheme="minorEastAsia" w:eastAsiaTheme="minorEastAsia"/>
        </w:rPr>
        <w:t>¨</w:t>
      </w:r>
      <w:r>
        <w:rPr>
          <w:rFonts w:hint="eastAsia" w:asciiTheme="minorEastAsia" w:hAnsiTheme="minorEastAsia" w:eastAsiaTheme="minorEastAsia"/>
        </w:rPr>
        <w:t xml:space="preserve">是  </w:t>
      </w:r>
      <w:r>
        <w:rPr>
          <w:rFonts w:cs="Wingdings" w:asciiTheme="minorEastAsia" w:hAnsiTheme="minorEastAsia" w:eastAsiaTheme="minorEastAsia"/>
        </w:rPr>
        <w:t>¨</w:t>
      </w:r>
      <w:r>
        <w:rPr>
          <w:rFonts w:hint="eastAsia" w:asciiTheme="minorEastAsia" w:hAnsiTheme="minorEastAsia" w:eastAsiaTheme="minorEastAsia"/>
        </w:rPr>
        <w:t>否</w:t>
      </w:r>
    </w:p>
    <w:p w14:paraId="29C0ACA1">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如勾选“否”，则变更支付账号，需经原账户开户银行书面同意。”</w:t>
      </w:r>
    </w:p>
    <w:p w14:paraId="269584F2">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注：承包人账户信息（开户行、账号），在主合同“合同协议书”中有明确表述。</w:t>
      </w:r>
      <w:bookmarkEnd w:id="361"/>
    </w:p>
    <w:p w14:paraId="07799F2B">
      <w:pPr>
        <w:pStyle w:val="232"/>
        <w:spacing w:before="0" w:after="0" w:line="300" w:lineRule="exact"/>
        <w:ind w:firstLine="422" w:firstLineChars="200"/>
        <w:rPr>
          <w:rFonts w:asciiTheme="minorEastAsia" w:hAnsiTheme="minorEastAsia" w:eastAsiaTheme="minorEastAsia"/>
          <w:sz w:val="21"/>
        </w:rPr>
      </w:pPr>
      <w:bookmarkStart w:id="532" w:name="_Toc297216223"/>
      <w:bookmarkStart w:id="533" w:name="_Toc300935015"/>
      <w:bookmarkStart w:id="534" w:name="_Toc297123564"/>
      <w:bookmarkStart w:id="535" w:name="_Toc303539172"/>
      <w:bookmarkStart w:id="536" w:name="_Toc296944558"/>
      <w:bookmarkStart w:id="537" w:name="_Toc296891259"/>
      <w:bookmarkStart w:id="538" w:name="_Toc297048405"/>
      <w:bookmarkStart w:id="539" w:name="_Toc296347218"/>
      <w:bookmarkStart w:id="540" w:name="_Toc312678053"/>
      <w:bookmarkStart w:id="541" w:name="_Toc351203645"/>
      <w:bookmarkStart w:id="542" w:name="_Toc292559929"/>
      <w:bookmarkStart w:id="543" w:name="_Toc292559424"/>
      <w:bookmarkStart w:id="544" w:name="_Toc297120519"/>
      <w:bookmarkStart w:id="545" w:name="_Toc296346720"/>
      <w:bookmarkStart w:id="546" w:name="_Toc296503219"/>
      <w:bookmarkStart w:id="547" w:name="_Toc304295593"/>
      <w:bookmarkStart w:id="548" w:name="_Toc296891047"/>
      <w:r>
        <w:rPr>
          <w:rFonts w:hint="eastAsia" w:asciiTheme="minorEastAsia" w:hAnsiTheme="minorEastAsia" w:eastAsiaTheme="minorEastAsia"/>
          <w:sz w:val="21"/>
        </w:rPr>
        <w:t>13. 验收和工程试车</w:t>
      </w:r>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p>
    <w:p w14:paraId="2CBC501D">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13.1 分部分项工程验收</w:t>
      </w:r>
    </w:p>
    <w:p w14:paraId="4F9872EA">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13.1.2监理人不能按时进行验收时，应提前</w:t>
      </w:r>
      <w:r>
        <w:rPr>
          <w:rFonts w:hint="eastAsia" w:asciiTheme="minorEastAsia" w:hAnsiTheme="minorEastAsia" w:eastAsiaTheme="minorEastAsia"/>
          <w:u w:val="single"/>
        </w:rPr>
        <w:t xml:space="preserve">   24    </w:t>
      </w:r>
      <w:r>
        <w:rPr>
          <w:rFonts w:hint="eastAsia" w:asciiTheme="minorEastAsia" w:hAnsiTheme="minorEastAsia" w:eastAsiaTheme="minorEastAsia"/>
        </w:rPr>
        <w:t>小时提交书面延期要求。</w:t>
      </w:r>
    </w:p>
    <w:p w14:paraId="06D38B28">
      <w:pPr>
        <w:spacing w:line="300" w:lineRule="exact"/>
        <w:ind w:firstLine="420" w:firstLineChars="200"/>
        <w:jc w:val="left"/>
        <w:rPr>
          <w:rFonts w:asciiTheme="minorEastAsia" w:hAnsiTheme="minorEastAsia" w:eastAsiaTheme="minorEastAsia"/>
          <w:b/>
        </w:rPr>
      </w:pPr>
      <w:r>
        <w:rPr>
          <w:rFonts w:hint="eastAsia" w:asciiTheme="minorEastAsia" w:hAnsiTheme="minorEastAsia" w:eastAsiaTheme="minorEastAsia"/>
        </w:rPr>
        <w:t>关于延期最长不得超过：</w:t>
      </w:r>
      <w:r>
        <w:rPr>
          <w:rFonts w:hint="eastAsia" w:asciiTheme="minorEastAsia" w:hAnsiTheme="minorEastAsia" w:eastAsiaTheme="minorEastAsia"/>
          <w:u w:val="single"/>
        </w:rPr>
        <w:t xml:space="preserve">   48      </w:t>
      </w:r>
      <w:r>
        <w:rPr>
          <w:rFonts w:hint="eastAsia" w:asciiTheme="minorEastAsia" w:hAnsiTheme="minorEastAsia" w:eastAsiaTheme="minorEastAsia"/>
        </w:rPr>
        <w:t>小时。</w:t>
      </w:r>
    </w:p>
    <w:p w14:paraId="6BF0EB11">
      <w:pPr>
        <w:spacing w:line="300" w:lineRule="exact"/>
        <w:ind w:firstLine="420" w:firstLineChars="200"/>
        <w:rPr>
          <w:rFonts w:asciiTheme="minorEastAsia" w:hAnsiTheme="minorEastAsia" w:eastAsiaTheme="minorEastAsia"/>
        </w:rPr>
      </w:pPr>
      <w:bookmarkStart w:id="549" w:name="_Toc297216224"/>
      <w:bookmarkStart w:id="550" w:name="_Toc297048409"/>
      <w:bookmarkStart w:id="551" w:name="_Toc300935016"/>
      <w:bookmarkStart w:id="552" w:name="_Toc312678056"/>
      <w:bookmarkStart w:id="553" w:name="_Toc296346724"/>
      <w:bookmarkStart w:id="554" w:name="_Toc296944562"/>
      <w:bookmarkStart w:id="555" w:name="_Toc303539173"/>
      <w:bookmarkStart w:id="556" w:name="_Toc296891263"/>
      <w:bookmarkStart w:id="557" w:name="_Toc296891051"/>
      <w:bookmarkStart w:id="558" w:name="_Toc297123565"/>
      <w:bookmarkStart w:id="559" w:name="_Toc296347222"/>
      <w:bookmarkStart w:id="560" w:name="_Toc296503223"/>
      <w:bookmarkStart w:id="561" w:name="_Toc292559428"/>
      <w:bookmarkStart w:id="562" w:name="_Toc304295596"/>
      <w:bookmarkStart w:id="563" w:name="_Toc297120523"/>
      <w:bookmarkStart w:id="564" w:name="_Toc292559933"/>
      <w:bookmarkStart w:id="565" w:name="_Toc267251471"/>
      <w:bookmarkStart w:id="566" w:name="_Toc267251475"/>
      <w:bookmarkStart w:id="567" w:name="_Toc267251476"/>
      <w:bookmarkStart w:id="568" w:name="_Toc267251470"/>
      <w:bookmarkStart w:id="569" w:name="_Toc267251474"/>
      <w:bookmarkStart w:id="570" w:name="_Toc267251472"/>
      <w:bookmarkStart w:id="571" w:name="_Toc267251473"/>
      <w:r>
        <w:rPr>
          <w:rFonts w:hint="eastAsia" w:asciiTheme="minorEastAsia" w:hAnsiTheme="minorEastAsia" w:eastAsiaTheme="minorEastAsia"/>
        </w:rPr>
        <w:t>13.2 竣工验收</w:t>
      </w:r>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p>
    <w:p w14:paraId="45F343F8">
      <w:pPr>
        <w:spacing w:line="300" w:lineRule="exact"/>
        <w:ind w:firstLine="420" w:firstLineChars="200"/>
        <w:jc w:val="left"/>
        <w:rPr>
          <w:rFonts w:asciiTheme="minorEastAsia" w:hAnsiTheme="minorEastAsia" w:eastAsiaTheme="minorEastAsia"/>
        </w:rPr>
      </w:pPr>
      <w:bookmarkStart w:id="572" w:name="_Toc280868704"/>
      <w:bookmarkStart w:id="573" w:name="_Toc280868705"/>
      <w:bookmarkStart w:id="574" w:name="_Toc280868706"/>
      <w:bookmarkStart w:id="575" w:name="_Toc280868707"/>
      <w:bookmarkStart w:id="576" w:name="_Toc280868708"/>
      <w:bookmarkStart w:id="577" w:name="_Toc280868709"/>
      <w:r>
        <w:rPr>
          <w:rFonts w:hint="eastAsia" w:asciiTheme="minorEastAsia" w:hAnsiTheme="minorEastAsia" w:eastAsiaTheme="minorEastAsia"/>
        </w:rPr>
        <w:t>13.2.2竣工验收程序</w:t>
      </w:r>
      <w:bookmarkEnd w:id="572"/>
    </w:p>
    <w:p w14:paraId="156A647E">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关于竣工验收程序的约定：。</w:t>
      </w:r>
    </w:p>
    <w:p w14:paraId="287216CE">
      <w:pPr>
        <w:spacing w:line="300" w:lineRule="exact"/>
        <w:ind w:firstLine="420" w:firstLineChars="200"/>
        <w:jc w:val="left"/>
        <w:rPr>
          <w:rFonts w:asciiTheme="minorEastAsia" w:hAnsiTheme="minorEastAsia" w:eastAsiaTheme="minorEastAsia"/>
          <w:u w:val="single"/>
        </w:rPr>
      </w:pPr>
      <w:r>
        <w:rPr>
          <w:rFonts w:hint="eastAsia" w:asciiTheme="minorEastAsia" w:hAnsiTheme="minorEastAsia" w:eastAsiaTheme="minorEastAsia"/>
        </w:rPr>
        <w:t>发包人不按照本项约定组织竣工验收、颁发工程接收证书的违约金的计算方法：</w:t>
      </w:r>
      <w:r>
        <w:rPr>
          <w:rFonts w:hint="eastAsia" w:asciiTheme="minorEastAsia" w:hAnsiTheme="minorEastAsia" w:eastAsiaTheme="minorEastAsia"/>
          <w:u w:val="single"/>
        </w:rPr>
        <w:t xml:space="preserve"> 颁发工程</w:t>
      </w:r>
    </w:p>
    <w:p w14:paraId="75987CC0">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u w:val="single"/>
        </w:rPr>
        <w:t xml:space="preserve">接受证书后 7 天内完成工程的移交                    </w:t>
      </w:r>
      <w:r>
        <w:rPr>
          <w:rFonts w:hint="eastAsia" w:asciiTheme="minorEastAsia" w:hAnsiTheme="minorEastAsia" w:eastAsiaTheme="minorEastAsia"/>
        </w:rPr>
        <w:t>。</w:t>
      </w:r>
      <w:bookmarkEnd w:id="573"/>
    </w:p>
    <w:p w14:paraId="62FCB0E2">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13.2.5移交、接收全部与部分工程</w:t>
      </w:r>
      <w:bookmarkEnd w:id="574"/>
    </w:p>
    <w:p w14:paraId="715F29EA">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承包人向发包人移交工程的期限：</w:t>
      </w:r>
      <w:r>
        <w:rPr>
          <w:rFonts w:hint="eastAsia" w:asciiTheme="minorEastAsia" w:hAnsiTheme="minorEastAsia" w:eastAsiaTheme="minorEastAsia"/>
          <w:u w:val="single"/>
        </w:rPr>
        <w:t xml:space="preserve"> 颁发工程接受证书后 7 天内完成工程的移交   </w:t>
      </w:r>
      <w:r>
        <w:rPr>
          <w:rFonts w:hint="eastAsia" w:asciiTheme="minorEastAsia" w:hAnsiTheme="minorEastAsia" w:eastAsiaTheme="minorEastAsia"/>
        </w:rPr>
        <w:t>。</w:t>
      </w:r>
    </w:p>
    <w:p w14:paraId="0B68A4BF">
      <w:pPr>
        <w:spacing w:line="300" w:lineRule="exact"/>
        <w:ind w:firstLine="420" w:firstLineChars="200"/>
        <w:jc w:val="left"/>
        <w:rPr>
          <w:rFonts w:asciiTheme="minorEastAsia" w:hAnsiTheme="minorEastAsia" w:eastAsiaTheme="minorEastAsia"/>
          <w:u w:val="single"/>
        </w:rPr>
      </w:pPr>
      <w:r>
        <w:rPr>
          <w:rFonts w:hint="eastAsia" w:asciiTheme="minorEastAsia" w:hAnsiTheme="minorEastAsia" w:eastAsiaTheme="minorEastAsia"/>
        </w:rPr>
        <w:t>发包人未按本合同约定接收全部或部分工程的，违约金的计算方法为：</w:t>
      </w:r>
      <w:r>
        <w:rPr>
          <w:rFonts w:hint="eastAsia" w:asciiTheme="minorEastAsia" w:hAnsiTheme="minorEastAsia" w:eastAsiaTheme="minorEastAsia"/>
          <w:u w:val="single"/>
        </w:rPr>
        <w:t xml:space="preserve">  如有，双方另行约</w:t>
      </w:r>
    </w:p>
    <w:p w14:paraId="5F5D872C">
      <w:pPr>
        <w:spacing w:line="300" w:lineRule="exact"/>
        <w:ind w:firstLine="420" w:firstLineChars="200"/>
        <w:jc w:val="left"/>
        <w:rPr>
          <w:rFonts w:asciiTheme="minorEastAsia" w:hAnsiTheme="minorEastAsia" w:eastAsiaTheme="minorEastAsia"/>
          <w:u w:val="single"/>
        </w:rPr>
      </w:pPr>
      <w:r>
        <w:rPr>
          <w:rFonts w:hint="eastAsia" w:asciiTheme="minorEastAsia" w:hAnsiTheme="minorEastAsia" w:eastAsiaTheme="minorEastAsia"/>
          <w:u w:val="single"/>
        </w:rPr>
        <w:t xml:space="preserve">定 </w:t>
      </w:r>
      <w:r>
        <w:rPr>
          <w:rFonts w:hint="eastAsia" w:asciiTheme="minorEastAsia" w:hAnsiTheme="minorEastAsia" w:eastAsiaTheme="minorEastAsia"/>
        </w:rPr>
        <w:t>。</w:t>
      </w:r>
      <w:bookmarkEnd w:id="575"/>
    </w:p>
    <w:p w14:paraId="01E72439">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承包人未按时移交工程的，违约金的计算方法为：</w:t>
      </w:r>
      <w:r>
        <w:rPr>
          <w:rFonts w:hint="eastAsia" w:asciiTheme="minorEastAsia" w:hAnsiTheme="minorEastAsia" w:eastAsiaTheme="minorEastAsia"/>
          <w:u w:val="single"/>
        </w:rPr>
        <w:t xml:space="preserve">  每天赔偿金额为贰万元   </w:t>
      </w:r>
      <w:r>
        <w:rPr>
          <w:rFonts w:hint="eastAsia" w:asciiTheme="minorEastAsia" w:hAnsiTheme="minorEastAsia" w:eastAsiaTheme="minorEastAsia"/>
        </w:rPr>
        <w:t>。</w:t>
      </w:r>
    </w:p>
    <w:p w14:paraId="17BBEABC">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13.3 工程试车</w:t>
      </w:r>
      <w:bookmarkEnd w:id="576"/>
    </w:p>
    <w:p w14:paraId="4D13B96A">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13.3.1 试车程序</w:t>
      </w:r>
    </w:p>
    <w:p w14:paraId="7E3A6EE7">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工程试车内容：。</w:t>
      </w:r>
    </w:p>
    <w:p w14:paraId="1E51239B">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（1）单机无负荷试车费用由</w:t>
      </w:r>
      <w:r>
        <w:rPr>
          <w:rFonts w:hint="eastAsia" w:asciiTheme="minorEastAsia" w:hAnsiTheme="minorEastAsia" w:eastAsiaTheme="minorEastAsia"/>
          <w:u w:val="single"/>
        </w:rPr>
        <w:t xml:space="preserve"> 承包人                    </w:t>
      </w:r>
      <w:r>
        <w:rPr>
          <w:rFonts w:hint="eastAsia" w:asciiTheme="minorEastAsia" w:hAnsiTheme="minorEastAsia" w:eastAsiaTheme="minorEastAsia"/>
        </w:rPr>
        <w:t>承担；</w:t>
      </w:r>
    </w:p>
    <w:p w14:paraId="18FA2450">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（2）无负荷联动试车费用由</w:t>
      </w:r>
      <w:r>
        <w:rPr>
          <w:rFonts w:hint="eastAsia" w:asciiTheme="minorEastAsia" w:hAnsiTheme="minorEastAsia" w:eastAsiaTheme="minorEastAsia"/>
          <w:u w:val="single"/>
        </w:rPr>
        <w:t xml:space="preserve"> 承包人                    </w:t>
      </w:r>
      <w:r>
        <w:rPr>
          <w:rFonts w:hint="eastAsia" w:asciiTheme="minorEastAsia" w:hAnsiTheme="minorEastAsia" w:eastAsiaTheme="minorEastAsia"/>
        </w:rPr>
        <w:t>承担。</w:t>
      </w:r>
    </w:p>
    <w:p w14:paraId="57E621D8">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13.3.3 投料试车</w:t>
      </w:r>
    </w:p>
    <w:p w14:paraId="59E3381F">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关于投料试车相关事项的约定：。</w:t>
      </w:r>
    </w:p>
    <w:p w14:paraId="178D7321">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13.6 竣工退场</w:t>
      </w:r>
    </w:p>
    <w:p w14:paraId="4FABC817">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13.6.1 竣工退场</w:t>
      </w:r>
    </w:p>
    <w:p w14:paraId="08AC8525">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承包人完成竣工退场的期限：</w:t>
      </w:r>
      <w:r>
        <w:rPr>
          <w:rFonts w:hint="eastAsia" w:asciiTheme="minorEastAsia" w:hAnsiTheme="minorEastAsia" w:eastAsiaTheme="minorEastAsia"/>
          <w:u w:val="single"/>
        </w:rPr>
        <w:t xml:space="preserve"> 工程竣工验收合格一周内    </w:t>
      </w:r>
      <w:r>
        <w:rPr>
          <w:rFonts w:hint="eastAsia" w:asciiTheme="minorEastAsia" w:hAnsiTheme="minorEastAsia" w:eastAsiaTheme="minorEastAsia"/>
        </w:rPr>
        <w:t>。</w:t>
      </w:r>
    </w:p>
    <w:p w14:paraId="749C8655">
      <w:pPr>
        <w:pStyle w:val="232"/>
        <w:spacing w:before="0" w:after="0" w:line="300" w:lineRule="exact"/>
        <w:ind w:firstLine="422" w:firstLineChars="200"/>
        <w:rPr>
          <w:rFonts w:asciiTheme="minorEastAsia" w:hAnsiTheme="minorEastAsia" w:eastAsiaTheme="minorEastAsia"/>
          <w:sz w:val="21"/>
        </w:rPr>
      </w:pPr>
      <w:bookmarkStart w:id="578" w:name="_Toc351203646"/>
      <w:r>
        <w:rPr>
          <w:rFonts w:hint="eastAsia" w:asciiTheme="minorEastAsia" w:hAnsiTheme="minorEastAsia" w:eastAsiaTheme="minorEastAsia"/>
          <w:sz w:val="21"/>
        </w:rPr>
        <w:t>14. 竣工结算</w:t>
      </w:r>
      <w:bookmarkEnd w:id="578"/>
    </w:p>
    <w:p w14:paraId="0AEA500B">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14.1 竣工结算申请</w:t>
      </w:r>
    </w:p>
    <w:p w14:paraId="2CF8525F">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承包人提交竣工结算申请单的期限：</w:t>
      </w:r>
      <w:r>
        <w:rPr>
          <w:rFonts w:hint="eastAsia" w:asciiTheme="minorEastAsia" w:hAnsiTheme="minorEastAsia" w:eastAsiaTheme="minorEastAsia"/>
          <w:u w:val="single"/>
        </w:rPr>
        <w:t xml:space="preserve"> 按照招标文件第一章中付款方式约定 </w:t>
      </w:r>
      <w:r>
        <w:rPr>
          <w:rFonts w:hint="eastAsia" w:asciiTheme="minorEastAsia" w:hAnsiTheme="minorEastAsia" w:eastAsiaTheme="minorEastAsia"/>
        </w:rPr>
        <w:t>。</w:t>
      </w:r>
    </w:p>
    <w:p w14:paraId="72573622">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竣工结算申请单应包括的内容：</w:t>
      </w:r>
      <w:r>
        <w:rPr>
          <w:rFonts w:hint="eastAsia" w:asciiTheme="minorEastAsia" w:hAnsiTheme="minorEastAsia" w:eastAsiaTheme="minorEastAsia"/>
          <w:u w:val="single"/>
        </w:rPr>
        <w:t xml:space="preserve"> 按照招标文件第一章中付款方式约定     </w:t>
      </w:r>
      <w:r>
        <w:rPr>
          <w:rFonts w:hint="eastAsia" w:asciiTheme="minorEastAsia" w:hAnsiTheme="minorEastAsia" w:eastAsiaTheme="minorEastAsia"/>
        </w:rPr>
        <w:t>。</w:t>
      </w:r>
    </w:p>
    <w:p w14:paraId="51A651BB">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14.2 竣工结算审核</w:t>
      </w:r>
    </w:p>
    <w:p w14:paraId="5BA2B96A">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发包人审批竣工付款申请单的期限：。</w:t>
      </w:r>
    </w:p>
    <w:p w14:paraId="25DA04DB">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发包人完成竣工付款的期限：。</w:t>
      </w:r>
    </w:p>
    <w:p w14:paraId="402EC76D">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关于竣工付款证书异议部分复核的方式和程序：。</w:t>
      </w:r>
    </w:p>
    <w:p w14:paraId="090E6E74">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14.4 最终结清</w:t>
      </w:r>
    </w:p>
    <w:p w14:paraId="6222563D">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14.4.1 最终结清申请单</w:t>
      </w:r>
    </w:p>
    <w:p w14:paraId="21DBA38E">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承包人提交最终结清申请单的份数：。</w:t>
      </w:r>
    </w:p>
    <w:p w14:paraId="19DA22FB">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 xml:space="preserve">承包人提交最终结算申请单的期限：。 </w:t>
      </w:r>
    </w:p>
    <w:p w14:paraId="64CB2673">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14.4.2 最终结清证书和支付</w:t>
      </w:r>
    </w:p>
    <w:p w14:paraId="3D3487F3">
      <w:pPr>
        <w:spacing w:line="300" w:lineRule="exact"/>
        <w:ind w:firstLine="420" w:firstLineChars="200"/>
        <w:jc w:val="left"/>
        <w:rPr>
          <w:rFonts w:asciiTheme="minorEastAsia" w:hAnsiTheme="minorEastAsia" w:eastAsiaTheme="minorEastAsia"/>
          <w:u w:val="single"/>
        </w:rPr>
      </w:pPr>
      <w:r>
        <w:rPr>
          <w:rFonts w:hint="eastAsia" w:asciiTheme="minorEastAsia" w:hAnsiTheme="minorEastAsia" w:eastAsiaTheme="minorEastAsia"/>
        </w:rPr>
        <w:t>（1）发包人完成最终结清申请单的审批并颁发最终结清证书的期限：</w:t>
      </w:r>
      <w:r>
        <w:rPr>
          <w:rFonts w:hint="eastAsia" w:asciiTheme="minorEastAsia" w:hAnsiTheme="minorEastAsia" w:eastAsiaTheme="minorEastAsia"/>
          <w:u w:val="single"/>
        </w:rPr>
        <w:t xml:space="preserve"> 发包人在收到承包人</w:t>
      </w:r>
    </w:p>
    <w:p w14:paraId="13234E2B">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u w:val="single"/>
        </w:rPr>
        <w:t xml:space="preserve">最终结清申请单后完成审批       </w:t>
      </w:r>
      <w:r>
        <w:rPr>
          <w:rFonts w:hint="eastAsia" w:asciiTheme="minorEastAsia" w:hAnsiTheme="minorEastAsia" w:eastAsiaTheme="minorEastAsia"/>
        </w:rPr>
        <w:t>。</w:t>
      </w:r>
    </w:p>
    <w:p w14:paraId="5D1FFFB4">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（2）发包人完成支付的期限：。</w:t>
      </w:r>
      <w:bookmarkEnd w:id="565"/>
      <w:bookmarkEnd w:id="566"/>
      <w:bookmarkEnd w:id="567"/>
      <w:bookmarkEnd w:id="568"/>
      <w:bookmarkEnd w:id="569"/>
      <w:bookmarkEnd w:id="570"/>
      <w:bookmarkEnd w:id="571"/>
      <w:bookmarkEnd w:id="577"/>
    </w:p>
    <w:p w14:paraId="28789890">
      <w:pPr>
        <w:pStyle w:val="232"/>
        <w:spacing w:before="0" w:after="0" w:line="300" w:lineRule="exact"/>
        <w:ind w:firstLine="422" w:firstLineChars="200"/>
        <w:rPr>
          <w:rFonts w:asciiTheme="minorEastAsia" w:hAnsiTheme="minorEastAsia" w:eastAsiaTheme="minorEastAsia"/>
          <w:sz w:val="21"/>
        </w:rPr>
      </w:pPr>
      <w:bookmarkStart w:id="579" w:name="_Toc351203647"/>
      <w:bookmarkStart w:id="580" w:name="_Toc267251483"/>
      <w:bookmarkStart w:id="581" w:name="_Toc267251482"/>
      <w:bookmarkStart w:id="582" w:name="_Toc267251484"/>
      <w:bookmarkStart w:id="583" w:name="_Toc267251485"/>
      <w:bookmarkStart w:id="584" w:name="_Toc267251486"/>
      <w:bookmarkStart w:id="585" w:name="_Toc267251488"/>
      <w:bookmarkStart w:id="586" w:name="_Toc267251489"/>
      <w:bookmarkStart w:id="587" w:name="_Toc267251490"/>
      <w:bookmarkStart w:id="588" w:name="_Toc267251495"/>
      <w:bookmarkStart w:id="589" w:name="_Toc267251491"/>
      <w:bookmarkStart w:id="590" w:name="_Toc267251499"/>
      <w:bookmarkStart w:id="591" w:name="_Toc267251492"/>
      <w:bookmarkStart w:id="592" w:name="_Toc267251501"/>
      <w:bookmarkStart w:id="593" w:name="_Toc267251497"/>
      <w:bookmarkStart w:id="594" w:name="_Toc267251493"/>
      <w:bookmarkStart w:id="595" w:name="_Toc267251494"/>
      <w:bookmarkStart w:id="596" w:name="_Toc267251498"/>
      <w:bookmarkStart w:id="597" w:name="_Toc267251496"/>
      <w:bookmarkStart w:id="598" w:name="_Toc267251503"/>
      <w:bookmarkStart w:id="599" w:name="_Toc267251502"/>
      <w:bookmarkStart w:id="600" w:name="_Toc267251504"/>
      <w:bookmarkStart w:id="601" w:name="_Toc267251506"/>
      <w:bookmarkStart w:id="602" w:name="_Toc267251507"/>
      <w:bookmarkStart w:id="603" w:name="_Toc267251508"/>
      <w:bookmarkStart w:id="604" w:name="_Toc267251514"/>
      <w:bookmarkStart w:id="605" w:name="_Toc267251509"/>
      <w:bookmarkStart w:id="606" w:name="_Toc267251515"/>
      <w:bookmarkStart w:id="607" w:name="_Toc267251510"/>
      <w:bookmarkStart w:id="608" w:name="_Toc267251513"/>
      <w:bookmarkStart w:id="609" w:name="_Toc267251511"/>
      <w:r>
        <w:rPr>
          <w:rFonts w:hint="eastAsia" w:asciiTheme="minorEastAsia" w:hAnsiTheme="minorEastAsia" w:eastAsiaTheme="minorEastAsia"/>
          <w:sz w:val="21"/>
        </w:rPr>
        <w:t>15. 缺陷责任期与保修</w:t>
      </w:r>
      <w:bookmarkEnd w:id="579"/>
    </w:p>
    <w:p w14:paraId="3DADB45C">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15.2缺陷责任期</w:t>
      </w:r>
      <w:bookmarkEnd w:id="580"/>
    </w:p>
    <w:p w14:paraId="50DC3A09">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缺陷责任期的具体期限：</w:t>
      </w:r>
      <w:r>
        <w:rPr>
          <w:rFonts w:hint="eastAsia" w:asciiTheme="minorEastAsia" w:hAnsiTheme="minorEastAsia" w:eastAsiaTheme="minorEastAsia"/>
          <w:u w:val="single"/>
        </w:rPr>
        <w:t xml:space="preserve"> 2年   </w:t>
      </w:r>
      <w:r>
        <w:rPr>
          <w:rFonts w:hint="eastAsia" w:asciiTheme="minorEastAsia" w:hAnsiTheme="minorEastAsia" w:eastAsiaTheme="minorEastAsia"/>
        </w:rPr>
        <w:t>。</w:t>
      </w:r>
    </w:p>
    <w:p w14:paraId="7146B592">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15.3 质量保证金</w:t>
      </w:r>
    </w:p>
    <w:p w14:paraId="2064C695">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关于是否扣留质量保证金的约定：</w:t>
      </w:r>
      <w:r>
        <w:rPr>
          <w:rFonts w:hint="eastAsia" w:asciiTheme="minorEastAsia" w:hAnsiTheme="minorEastAsia" w:eastAsiaTheme="minorEastAsia"/>
          <w:u w:val="single"/>
        </w:rPr>
        <w:t xml:space="preserve">     是       </w:t>
      </w:r>
      <w:r>
        <w:rPr>
          <w:rFonts w:hint="eastAsia" w:asciiTheme="minorEastAsia" w:hAnsiTheme="minorEastAsia" w:eastAsiaTheme="minorEastAsia"/>
        </w:rPr>
        <w:t>。在工程项目竣工前，承包人按专用合同条款第3.7条提供履约担保的，发包人不得同时预留工程质量保证金。</w:t>
      </w:r>
    </w:p>
    <w:p w14:paraId="2020F10D">
      <w:pPr>
        <w:spacing w:line="300" w:lineRule="exact"/>
        <w:ind w:firstLine="420" w:firstLineChars="200"/>
        <w:jc w:val="left"/>
        <w:rPr>
          <w:rFonts w:asciiTheme="minorEastAsia" w:hAnsiTheme="minorEastAsia" w:eastAsiaTheme="minorEastAsia"/>
        </w:rPr>
      </w:pPr>
    </w:p>
    <w:p w14:paraId="2741E64B">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15.3.1 承包人提供质量保证金的方式</w:t>
      </w:r>
    </w:p>
    <w:p w14:paraId="5B12E053">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质量保证金采用以下第</w:t>
      </w:r>
      <w:r>
        <w:rPr>
          <w:rFonts w:hint="eastAsia" w:asciiTheme="minorEastAsia" w:hAnsiTheme="minorEastAsia" w:eastAsiaTheme="minorEastAsia"/>
          <w:u w:val="single"/>
        </w:rPr>
        <w:t xml:space="preserve">   3  </w:t>
      </w:r>
      <w:r>
        <w:rPr>
          <w:rFonts w:hint="eastAsia" w:asciiTheme="minorEastAsia" w:hAnsiTheme="minorEastAsia" w:eastAsiaTheme="minorEastAsia"/>
        </w:rPr>
        <w:t>种方式：</w:t>
      </w:r>
    </w:p>
    <w:p w14:paraId="34743370">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 xml:space="preserve">（1）质量保证金保函，保证金额为：； </w:t>
      </w:r>
    </w:p>
    <w:p w14:paraId="1E9682EB">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（2）%的工程款；</w:t>
      </w:r>
    </w:p>
    <w:p w14:paraId="44416F52">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（3）其他方式:</w:t>
      </w:r>
      <w:r>
        <w:rPr>
          <w:rFonts w:hint="eastAsia" w:asciiTheme="minorEastAsia" w:hAnsiTheme="minorEastAsia" w:eastAsiaTheme="minorEastAsia"/>
          <w:u w:val="single"/>
        </w:rPr>
        <w:t xml:space="preserve"> 发包人按工程价款结算总额的3%预留工程质量保修金，待缺陷责任期满后返还    </w:t>
      </w:r>
      <w:r>
        <w:rPr>
          <w:rFonts w:hint="eastAsia" w:asciiTheme="minorEastAsia" w:hAnsiTheme="minorEastAsia" w:eastAsiaTheme="minorEastAsia"/>
        </w:rPr>
        <w:t>。</w:t>
      </w:r>
    </w:p>
    <w:p w14:paraId="2CD61140">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 xml:space="preserve">15.3.2 质量保证金的扣留 </w:t>
      </w:r>
    </w:p>
    <w:p w14:paraId="4053E297">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质量保证金的扣留采取以下第</w:t>
      </w:r>
      <w:r>
        <w:rPr>
          <w:rFonts w:hint="eastAsia" w:asciiTheme="minorEastAsia" w:hAnsiTheme="minorEastAsia" w:eastAsiaTheme="minorEastAsia"/>
          <w:u w:val="single"/>
        </w:rPr>
        <w:t xml:space="preserve">   2  </w:t>
      </w:r>
      <w:r>
        <w:rPr>
          <w:rFonts w:hint="eastAsia" w:asciiTheme="minorEastAsia" w:hAnsiTheme="minorEastAsia" w:eastAsiaTheme="minorEastAsia"/>
        </w:rPr>
        <w:t>种方式：</w:t>
      </w:r>
    </w:p>
    <w:p w14:paraId="48979610">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（1）在支付工程进度款时逐次扣留，在此情形下，质量保证金的计算基数不包括预付款的支付、扣回以及价格调整的金额；</w:t>
      </w:r>
    </w:p>
    <w:p w14:paraId="60083156">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（2）工程竣工结算时一次性扣留质量保证金；</w:t>
      </w:r>
    </w:p>
    <w:p w14:paraId="53C107AF">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（3）其他扣留方式:。</w:t>
      </w:r>
    </w:p>
    <w:p w14:paraId="5FD3BEE5">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关于质量保证金的补充约定：</w:t>
      </w:r>
      <w:r>
        <w:rPr>
          <w:rFonts w:hint="eastAsia" w:asciiTheme="minorEastAsia" w:hAnsiTheme="minorEastAsia" w:eastAsiaTheme="minorEastAsia"/>
          <w:u w:val="single"/>
        </w:rPr>
        <w:t xml:space="preserve"> 质量保证金不计息  </w:t>
      </w:r>
      <w:r>
        <w:rPr>
          <w:rFonts w:hint="eastAsia" w:asciiTheme="minorEastAsia" w:hAnsiTheme="minorEastAsia" w:eastAsiaTheme="minorEastAsia"/>
        </w:rPr>
        <w:t>。</w:t>
      </w:r>
      <w:bookmarkEnd w:id="581"/>
      <w:bookmarkEnd w:id="582"/>
    </w:p>
    <w:p w14:paraId="47C25E52">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15.4保修</w:t>
      </w:r>
      <w:bookmarkEnd w:id="583"/>
    </w:p>
    <w:p w14:paraId="3D4841E2">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15.4.1 保修责任</w:t>
      </w:r>
    </w:p>
    <w:p w14:paraId="0F7B42C8">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工程保修期为：。</w:t>
      </w:r>
    </w:p>
    <w:p w14:paraId="7B52F276">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15.4.3 修复通知</w:t>
      </w:r>
    </w:p>
    <w:p w14:paraId="54E582F5">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承包人收到保修通知并到达工程现场的合理时间：</w:t>
      </w:r>
      <w:r>
        <w:rPr>
          <w:rFonts w:hint="eastAsia" w:asciiTheme="minorEastAsia" w:hAnsiTheme="minorEastAsia" w:eastAsiaTheme="minorEastAsia"/>
          <w:u w:val="single"/>
        </w:rPr>
        <w:t xml:space="preserve"> 8 小时内   </w:t>
      </w:r>
      <w:r>
        <w:rPr>
          <w:rFonts w:hint="eastAsia" w:asciiTheme="minorEastAsia" w:hAnsiTheme="minorEastAsia" w:eastAsiaTheme="minorEastAsia"/>
        </w:rPr>
        <w:t>。</w:t>
      </w:r>
      <w:bookmarkEnd w:id="584"/>
      <w:bookmarkEnd w:id="585"/>
      <w:bookmarkEnd w:id="586"/>
      <w:bookmarkEnd w:id="587"/>
    </w:p>
    <w:p w14:paraId="4F8E95B3">
      <w:pPr>
        <w:pStyle w:val="232"/>
        <w:spacing w:before="0" w:after="0" w:line="300" w:lineRule="exact"/>
        <w:ind w:firstLine="422" w:firstLineChars="200"/>
        <w:rPr>
          <w:rFonts w:asciiTheme="minorEastAsia" w:hAnsiTheme="minorEastAsia" w:eastAsiaTheme="minorEastAsia"/>
          <w:sz w:val="21"/>
        </w:rPr>
      </w:pPr>
      <w:bookmarkStart w:id="610" w:name="_Toc351203648"/>
      <w:bookmarkStart w:id="611" w:name="_Toc280868717"/>
      <w:bookmarkStart w:id="612" w:name="_Toc280868718"/>
      <w:r>
        <w:rPr>
          <w:rFonts w:hint="eastAsia" w:asciiTheme="minorEastAsia" w:hAnsiTheme="minorEastAsia" w:eastAsiaTheme="minorEastAsia"/>
          <w:sz w:val="21"/>
        </w:rPr>
        <w:t>16. 违约</w:t>
      </w:r>
      <w:bookmarkEnd w:id="610"/>
    </w:p>
    <w:p w14:paraId="18C86262">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16.1 发包人违约</w:t>
      </w:r>
    </w:p>
    <w:p w14:paraId="239AA37F">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16.1.1发包人违约的情形</w:t>
      </w:r>
    </w:p>
    <w:p w14:paraId="2FABED2F">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发包人违约的其他情形：。</w:t>
      </w:r>
    </w:p>
    <w:p w14:paraId="4C5118E6">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 xml:space="preserve">    16.1.2 发包人违约的责任</w:t>
      </w:r>
    </w:p>
    <w:p w14:paraId="4D10766D">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发包人违约责任的承担方式和计算方法：</w:t>
      </w:r>
    </w:p>
    <w:p w14:paraId="529D8B56">
      <w:pPr>
        <w:spacing w:line="300" w:lineRule="exact"/>
        <w:ind w:firstLine="420" w:firstLineChars="200"/>
        <w:jc w:val="left"/>
        <w:rPr>
          <w:rFonts w:asciiTheme="minorEastAsia" w:hAnsiTheme="minorEastAsia" w:eastAsiaTheme="minorEastAsia"/>
          <w:u w:val="single"/>
        </w:rPr>
      </w:pPr>
      <w:r>
        <w:rPr>
          <w:rFonts w:hint="eastAsia" w:asciiTheme="minorEastAsia" w:hAnsiTheme="minorEastAsia" w:eastAsiaTheme="minorEastAsia"/>
        </w:rPr>
        <w:t>（1）因发包人原因未能在计划开工日期前7天内下达开工通知的违约责任：</w:t>
      </w:r>
      <w:r>
        <w:rPr>
          <w:rFonts w:hint="eastAsia" w:asciiTheme="minorEastAsia" w:hAnsiTheme="minorEastAsia" w:eastAsiaTheme="minorEastAsia"/>
          <w:u w:val="single"/>
        </w:rPr>
        <w:t xml:space="preserve"> 工期顺延 </w:t>
      </w:r>
      <w:r>
        <w:rPr>
          <w:rFonts w:hint="eastAsia" w:asciiTheme="minorEastAsia" w:hAnsiTheme="minorEastAsia" w:eastAsiaTheme="minorEastAsia"/>
        </w:rPr>
        <w:t>。</w:t>
      </w:r>
    </w:p>
    <w:p w14:paraId="6E0321CD">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（2）因发包人原因未能按合同约定支付合同价款的违约责任：。</w:t>
      </w:r>
    </w:p>
    <w:p w14:paraId="2FBF74CA">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（3）发包人违反第10.1款〔变更的范围〕第（2）项约定，自行实施被取消的工作或转由他人实施的违约责任：。</w:t>
      </w:r>
    </w:p>
    <w:p w14:paraId="25646CD7">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（4）发包人提供的材料、工程设备的规格、数量或质量不符合合同约定，或因发包人原因导致交货日期延误或交货地点变更等情况的违约责任：</w:t>
      </w:r>
      <w:r>
        <w:rPr>
          <w:rFonts w:hint="eastAsia" w:asciiTheme="minorEastAsia" w:hAnsiTheme="minorEastAsia" w:eastAsiaTheme="minorEastAsia"/>
          <w:u w:val="single"/>
        </w:rPr>
        <w:t xml:space="preserve"> 工期顺延   </w:t>
      </w:r>
      <w:r>
        <w:rPr>
          <w:rFonts w:hint="eastAsia" w:asciiTheme="minorEastAsia" w:hAnsiTheme="minorEastAsia" w:eastAsiaTheme="minorEastAsia"/>
        </w:rPr>
        <w:t>。</w:t>
      </w:r>
    </w:p>
    <w:p w14:paraId="593A01CA">
      <w:pPr>
        <w:spacing w:line="300" w:lineRule="exact"/>
        <w:ind w:firstLine="420" w:firstLineChars="200"/>
        <w:jc w:val="left"/>
        <w:rPr>
          <w:rFonts w:asciiTheme="minorEastAsia" w:hAnsiTheme="minorEastAsia" w:eastAsiaTheme="minorEastAsia"/>
          <w:u w:val="single"/>
        </w:rPr>
      </w:pPr>
      <w:r>
        <w:rPr>
          <w:rFonts w:hint="eastAsia" w:asciiTheme="minorEastAsia" w:hAnsiTheme="minorEastAsia" w:eastAsiaTheme="minorEastAsia"/>
        </w:rPr>
        <w:t>（5）因发包人违反合同约定造成暂停施工的违约责任：。</w:t>
      </w:r>
    </w:p>
    <w:p w14:paraId="22168D31">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（6）发包人无正当理由没有在约定期限内发出复工指示，导致承包人无法复工的违约责任：</w:t>
      </w:r>
      <w:r>
        <w:rPr>
          <w:rFonts w:hint="eastAsia" w:asciiTheme="minorEastAsia" w:hAnsiTheme="minorEastAsia" w:eastAsiaTheme="minorEastAsia"/>
          <w:u w:val="single"/>
        </w:rPr>
        <w:t xml:space="preserve">  工期顺延   </w:t>
      </w:r>
      <w:r>
        <w:rPr>
          <w:rFonts w:hint="eastAsia" w:asciiTheme="minorEastAsia" w:hAnsiTheme="minorEastAsia" w:eastAsiaTheme="minorEastAsia"/>
        </w:rPr>
        <w:t>。</w:t>
      </w:r>
    </w:p>
    <w:p w14:paraId="48E743A9">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（7）其他：。</w:t>
      </w:r>
    </w:p>
    <w:p w14:paraId="16E8425F">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16.1.3 因发包人违约解除合同</w:t>
      </w:r>
    </w:p>
    <w:p w14:paraId="1C097D95">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承包人按16.1.1项〔发包人违约的情形〕约定暂停施工满天后发包人仍不纠正其违约行为并致使合同目的不能实现的，承包人有权解除合同。</w:t>
      </w:r>
    </w:p>
    <w:p w14:paraId="76563E59">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16.2 承包人违约</w:t>
      </w:r>
    </w:p>
    <w:p w14:paraId="41313C87">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16.2.1 承包人违约的情形</w:t>
      </w:r>
    </w:p>
    <w:p w14:paraId="60CEE9A1">
      <w:pPr>
        <w:spacing w:line="300" w:lineRule="exact"/>
        <w:ind w:firstLine="420" w:firstLineChars="200"/>
        <w:jc w:val="left"/>
        <w:rPr>
          <w:rFonts w:asciiTheme="minorEastAsia" w:hAnsiTheme="minorEastAsia" w:eastAsiaTheme="minorEastAsia"/>
          <w:u w:val="single"/>
        </w:rPr>
      </w:pPr>
      <w:r>
        <w:rPr>
          <w:rFonts w:hint="eastAsia" w:asciiTheme="minorEastAsia" w:hAnsiTheme="minorEastAsia" w:eastAsiaTheme="minorEastAsia"/>
        </w:rPr>
        <w:t>承包人违约的其他情形：。</w:t>
      </w:r>
    </w:p>
    <w:p w14:paraId="08D24313">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16.2.2承包人违约的责任</w:t>
      </w:r>
    </w:p>
    <w:p w14:paraId="1D41DD1E">
      <w:pPr>
        <w:spacing w:line="300" w:lineRule="exact"/>
        <w:ind w:firstLine="420" w:firstLineChars="200"/>
        <w:jc w:val="left"/>
        <w:rPr>
          <w:rFonts w:asciiTheme="minorEastAsia" w:hAnsiTheme="minorEastAsia" w:eastAsiaTheme="minorEastAsia"/>
          <w:u w:val="single"/>
        </w:rPr>
      </w:pPr>
      <w:r>
        <w:rPr>
          <w:rFonts w:hint="eastAsia" w:asciiTheme="minorEastAsia" w:hAnsiTheme="minorEastAsia" w:eastAsiaTheme="minorEastAsia"/>
        </w:rPr>
        <w:t>承包人违约责任的承担方式和计算方法：</w:t>
      </w:r>
      <w:r>
        <w:rPr>
          <w:rFonts w:hint="eastAsia" w:asciiTheme="minorEastAsia" w:hAnsiTheme="minorEastAsia" w:eastAsiaTheme="minorEastAsia"/>
          <w:u w:val="single"/>
        </w:rPr>
        <w:t xml:space="preserve"> 承包人应承担因其违约行为而增加的费用和</w:t>
      </w:r>
    </w:p>
    <w:p w14:paraId="2F781B83">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u w:val="single"/>
        </w:rPr>
        <w:t xml:space="preserve">（或） 延误的工期    </w:t>
      </w:r>
      <w:r>
        <w:rPr>
          <w:rFonts w:hint="eastAsia" w:asciiTheme="minorEastAsia" w:hAnsiTheme="minorEastAsia" w:eastAsiaTheme="minorEastAsia"/>
        </w:rPr>
        <w:t>。</w:t>
      </w:r>
    </w:p>
    <w:p w14:paraId="29C40491">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16.2.3 因承包人违约解除合同</w:t>
      </w:r>
    </w:p>
    <w:p w14:paraId="755F896C">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关于承包人违约解除合同的特别约定：</w:t>
      </w:r>
      <w:r>
        <w:rPr>
          <w:rFonts w:hint="eastAsia" w:asciiTheme="minorEastAsia" w:hAnsiTheme="minorEastAsia" w:eastAsiaTheme="minorEastAsia"/>
          <w:u w:val="single"/>
        </w:rPr>
        <w:t xml:space="preserve"> 双方约定    </w:t>
      </w:r>
      <w:r>
        <w:rPr>
          <w:rFonts w:hint="eastAsia" w:asciiTheme="minorEastAsia" w:hAnsiTheme="minorEastAsia" w:eastAsiaTheme="minorEastAsia"/>
        </w:rPr>
        <w:t>。</w:t>
      </w:r>
    </w:p>
    <w:p w14:paraId="19BE0B0F">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发包人继续使用承包人在施工现场的材料、设备、临时工程、承包人文件和由承包人或以其名义编制的其他文件的费用承担方式：。</w:t>
      </w:r>
    </w:p>
    <w:p w14:paraId="16A74A61">
      <w:pPr>
        <w:pStyle w:val="232"/>
        <w:spacing w:before="0" w:after="0" w:line="300" w:lineRule="exact"/>
        <w:ind w:firstLine="422" w:firstLineChars="200"/>
        <w:rPr>
          <w:rFonts w:asciiTheme="minorEastAsia" w:hAnsiTheme="minorEastAsia" w:eastAsiaTheme="minorEastAsia"/>
          <w:sz w:val="21"/>
        </w:rPr>
      </w:pPr>
      <w:bookmarkStart w:id="613" w:name="_Toc351203649"/>
      <w:r>
        <w:rPr>
          <w:rFonts w:hint="eastAsia" w:asciiTheme="minorEastAsia" w:hAnsiTheme="minorEastAsia" w:eastAsiaTheme="minorEastAsia"/>
          <w:sz w:val="21"/>
        </w:rPr>
        <w:t>17. 不可抗力</w:t>
      </w:r>
      <w:bookmarkEnd w:id="611"/>
      <w:bookmarkEnd w:id="613"/>
    </w:p>
    <w:p w14:paraId="5D3D7224">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17.1 不可抗力的确认</w:t>
      </w:r>
    </w:p>
    <w:p w14:paraId="244689B6">
      <w:pPr>
        <w:spacing w:line="300" w:lineRule="exact"/>
        <w:ind w:firstLine="420" w:firstLineChars="200"/>
        <w:jc w:val="left"/>
        <w:rPr>
          <w:rFonts w:asciiTheme="minorEastAsia" w:hAnsiTheme="minorEastAsia" w:eastAsiaTheme="minorEastAsia"/>
          <w:u w:val="single"/>
        </w:rPr>
      </w:pPr>
      <w:r>
        <w:rPr>
          <w:rFonts w:hint="eastAsia" w:asciiTheme="minorEastAsia" w:hAnsiTheme="minorEastAsia" w:eastAsiaTheme="minorEastAsia"/>
        </w:rPr>
        <w:t>除通用合同条款约定的不可抗力事件之外，视为不可抗力的其他情形： 。</w:t>
      </w:r>
    </w:p>
    <w:p w14:paraId="617F6BF4">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17.4 因不可抗力解除合同</w:t>
      </w:r>
    </w:p>
    <w:p w14:paraId="695C0F4B">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合同解除后，发包人应在商定或确定发包人应支付款项后天内完成款项的支付。</w:t>
      </w:r>
    </w:p>
    <w:p w14:paraId="1876D3B2">
      <w:pPr>
        <w:pStyle w:val="232"/>
        <w:spacing w:before="0" w:after="0" w:line="300" w:lineRule="exact"/>
        <w:ind w:firstLine="422" w:firstLineChars="200"/>
        <w:rPr>
          <w:rFonts w:asciiTheme="minorEastAsia" w:hAnsiTheme="minorEastAsia" w:eastAsiaTheme="minorEastAsia"/>
          <w:sz w:val="21"/>
        </w:rPr>
      </w:pPr>
      <w:bookmarkStart w:id="614" w:name="_Toc351203650"/>
      <w:r>
        <w:rPr>
          <w:rFonts w:hint="eastAsia" w:asciiTheme="minorEastAsia" w:hAnsiTheme="minorEastAsia" w:eastAsiaTheme="minorEastAsia"/>
          <w:sz w:val="21"/>
        </w:rPr>
        <w:t>18. 保险</w:t>
      </w:r>
      <w:bookmarkEnd w:id="612"/>
      <w:bookmarkEnd w:id="614"/>
    </w:p>
    <w:p w14:paraId="6685CC33">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18.1 工程保险</w:t>
      </w:r>
    </w:p>
    <w:p w14:paraId="0E123A3E">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关于工程保险的特别约定：。</w:t>
      </w:r>
    </w:p>
    <w:p w14:paraId="244402BD">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18.3 其他保险</w:t>
      </w:r>
    </w:p>
    <w:p w14:paraId="4A9BF65F">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关于其他保险的约定：。</w:t>
      </w:r>
    </w:p>
    <w:p w14:paraId="2E24BD90">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承包人是否应为其施工设备等办理财产保险：。</w:t>
      </w:r>
    </w:p>
    <w:p w14:paraId="78BDE129">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18.7 通知义务</w:t>
      </w:r>
    </w:p>
    <w:p w14:paraId="659059A1">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关于变更保险合同时的通知义务的约定：。</w:t>
      </w:r>
      <w:bookmarkEnd w:id="588"/>
      <w:bookmarkEnd w:id="589"/>
      <w:bookmarkEnd w:id="590"/>
      <w:bookmarkEnd w:id="591"/>
      <w:bookmarkEnd w:id="592"/>
      <w:bookmarkEnd w:id="593"/>
      <w:bookmarkEnd w:id="594"/>
      <w:bookmarkEnd w:id="595"/>
      <w:bookmarkEnd w:id="596"/>
      <w:bookmarkEnd w:id="597"/>
      <w:bookmarkEnd w:id="598"/>
      <w:bookmarkEnd w:id="599"/>
    </w:p>
    <w:p w14:paraId="11C88BF5">
      <w:pPr>
        <w:pStyle w:val="232"/>
        <w:spacing w:before="0" w:after="0" w:line="300" w:lineRule="exact"/>
        <w:ind w:firstLine="422" w:firstLineChars="200"/>
        <w:rPr>
          <w:rFonts w:asciiTheme="minorEastAsia" w:hAnsiTheme="minorEastAsia" w:eastAsiaTheme="minorEastAsia"/>
          <w:sz w:val="21"/>
        </w:rPr>
      </w:pPr>
      <w:bookmarkStart w:id="615" w:name="_Toc351203651"/>
      <w:r>
        <w:rPr>
          <w:rFonts w:hint="eastAsia" w:asciiTheme="minorEastAsia" w:hAnsiTheme="minorEastAsia" w:eastAsiaTheme="minorEastAsia"/>
          <w:sz w:val="21"/>
        </w:rPr>
        <w:t>20. 争议解决</w:t>
      </w:r>
      <w:bookmarkEnd w:id="600"/>
      <w:bookmarkEnd w:id="601"/>
      <w:bookmarkEnd w:id="615"/>
    </w:p>
    <w:p w14:paraId="037C9F5E">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20.3 争</w:t>
      </w:r>
      <w:bookmarkEnd w:id="602"/>
      <w:r>
        <w:rPr>
          <w:rFonts w:hint="eastAsia" w:asciiTheme="minorEastAsia" w:hAnsiTheme="minorEastAsia" w:eastAsiaTheme="minorEastAsia"/>
        </w:rPr>
        <w:t>议评审</w:t>
      </w:r>
    </w:p>
    <w:p w14:paraId="75E3DFCA">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合同当事人是否同意将工程争议提交争议评审小组决定：</w:t>
      </w:r>
      <w:r>
        <w:rPr>
          <w:rFonts w:hint="eastAsia" w:asciiTheme="minorEastAsia" w:hAnsiTheme="minorEastAsia" w:eastAsiaTheme="minorEastAsia"/>
          <w:u w:val="single"/>
        </w:rPr>
        <w:t xml:space="preserve">  否       </w:t>
      </w:r>
      <w:r>
        <w:rPr>
          <w:rFonts w:hint="eastAsia" w:asciiTheme="minorEastAsia" w:hAnsiTheme="minorEastAsia" w:eastAsiaTheme="minorEastAsia"/>
        </w:rPr>
        <w:t xml:space="preserve">。  </w:t>
      </w:r>
    </w:p>
    <w:p w14:paraId="52171D95">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20.3.1 争议评审小组的确定</w:t>
      </w:r>
    </w:p>
    <w:p w14:paraId="22CA1CFF">
      <w:pPr>
        <w:spacing w:line="300" w:lineRule="exact"/>
        <w:ind w:firstLine="420" w:firstLineChars="200"/>
        <w:jc w:val="left"/>
        <w:rPr>
          <w:rFonts w:asciiTheme="minorEastAsia" w:hAnsiTheme="minorEastAsia" w:eastAsiaTheme="minorEastAsia"/>
          <w:u w:val="single"/>
        </w:rPr>
      </w:pPr>
      <w:r>
        <w:rPr>
          <w:rFonts w:hint="eastAsia" w:asciiTheme="minorEastAsia" w:hAnsiTheme="minorEastAsia" w:eastAsiaTheme="minorEastAsia"/>
        </w:rPr>
        <w:t>争议评审小组成员的确定：。</w:t>
      </w:r>
    </w:p>
    <w:p w14:paraId="2D04E18A">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选定争议评审员的期限：。</w:t>
      </w:r>
    </w:p>
    <w:p w14:paraId="754A8173">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争议评审小组成员的报酬承担方式：。</w:t>
      </w:r>
    </w:p>
    <w:p w14:paraId="6DC83DBC">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其他事项的约定：。</w:t>
      </w:r>
    </w:p>
    <w:p w14:paraId="6C289B3F">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20.3.2 争议评审小组的决定</w:t>
      </w:r>
    </w:p>
    <w:p w14:paraId="483D7A01">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合同当事人关于本项的约定：。</w:t>
      </w:r>
    </w:p>
    <w:p w14:paraId="5EDCB12C">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20.4仲裁或诉讼</w:t>
      </w:r>
      <w:bookmarkEnd w:id="603"/>
    </w:p>
    <w:p w14:paraId="0F8762FB">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因合同及合同有关事项发生的争议，按下列第</w:t>
      </w:r>
      <w:r>
        <w:rPr>
          <w:rFonts w:hint="eastAsia" w:asciiTheme="minorEastAsia" w:hAnsiTheme="minorEastAsia" w:eastAsiaTheme="minorEastAsia"/>
          <w:u w:val="single"/>
        </w:rPr>
        <w:t xml:space="preserve">   （2）  </w:t>
      </w:r>
      <w:r>
        <w:rPr>
          <w:rFonts w:hint="eastAsia" w:asciiTheme="minorEastAsia" w:hAnsiTheme="minorEastAsia" w:eastAsiaTheme="minorEastAsia"/>
        </w:rPr>
        <w:t>种方式解决：</w:t>
      </w:r>
    </w:p>
    <w:p w14:paraId="57691945">
      <w:pPr>
        <w:spacing w:line="300" w:lineRule="exact"/>
        <w:ind w:firstLine="420" w:firstLineChars="200"/>
        <w:jc w:val="left"/>
        <w:rPr>
          <w:rFonts w:asciiTheme="minorEastAsia" w:hAnsiTheme="minorEastAsia" w:eastAsiaTheme="minorEastAsia"/>
        </w:rPr>
      </w:pPr>
      <w:r>
        <w:rPr>
          <w:rFonts w:hint="eastAsia" w:asciiTheme="minorEastAsia" w:hAnsiTheme="minorEastAsia" w:eastAsiaTheme="minorEastAsia"/>
        </w:rPr>
        <w:t>（1）向仲裁委员会申请仲裁；</w:t>
      </w:r>
    </w:p>
    <w:p w14:paraId="6D6DA245">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（2）向</w:t>
      </w:r>
      <w:r>
        <w:rPr>
          <w:rFonts w:hint="eastAsia" w:asciiTheme="minorEastAsia" w:hAnsiTheme="minorEastAsia" w:eastAsiaTheme="minorEastAsia"/>
          <w:u w:val="single"/>
        </w:rPr>
        <w:t xml:space="preserve"> 有管辖权的      </w:t>
      </w:r>
      <w:r>
        <w:rPr>
          <w:rFonts w:hint="eastAsia" w:asciiTheme="minorEastAsia" w:hAnsiTheme="minorEastAsia" w:eastAsiaTheme="minorEastAsia"/>
        </w:rPr>
        <w:t>人民法院起诉。</w:t>
      </w:r>
      <w:bookmarkEnd w:id="604"/>
      <w:bookmarkEnd w:id="605"/>
      <w:bookmarkEnd w:id="606"/>
      <w:bookmarkEnd w:id="607"/>
      <w:bookmarkEnd w:id="608"/>
      <w:bookmarkEnd w:id="609"/>
    </w:p>
    <w:p w14:paraId="1EF1841F">
      <w:pPr>
        <w:pStyle w:val="232"/>
        <w:spacing w:before="0" w:after="0" w:line="300" w:lineRule="exact"/>
        <w:ind w:firstLine="422" w:firstLineChars="200"/>
        <w:rPr>
          <w:rFonts w:asciiTheme="minorEastAsia" w:hAnsiTheme="minorEastAsia" w:eastAsiaTheme="minorEastAsia"/>
          <w:sz w:val="21"/>
        </w:rPr>
      </w:pPr>
      <w:r>
        <w:rPr>
          <w:rFonts w:hint="eastAsia" w:asciiTheme="minorEastAsia" w:hAnsiTheme="minorEastAsia" w:eastAsiaTheme="minorEastAsia"/>
          <w:sz w:val="21"/>
        </w:rPr>
        <w:t>21. 其他</w:t>
      </w:r>
    </w:p>
    <w:p w14:paraId="4211EA66">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 xml:space="preserve">21.1 围挡设置 </w:t>
      </w:r>
    </w:p>
    <w:p w14:paraId="4DB0E0B8">
      <w:pPr>
        <w:spacing w:line="300" w:lineRule="exact"/>
        <w:ind w:firstLine="420" w:firstLineChars="200"/>
        <w:rPr>
          <w:rFonts w:asciiTheme="minorEastAsia" w:hAnsiTheme="minorEastAsia" w:eastAsiaTheme="minorEastAsia"/>
        </w:rPr>
      </w:pPr>
      <w:r>
        <w:rPr>
          <w:rFonts w:hint="eastAsia" w:asciiTheme="minorEastAsia" w:hAnsiTheme="minorEastAsia" w:eastAsiaTheme="minorEastAsia"/>
        </w:rPr>
        <w:t>承包人应严格按照《泰州市建设工程施工现场围挡示范图集（2020年第一版）》以及本项目的工程量清单设置围挡。</w:t>
      </w:r>
    </w:p>
    <w:p w14:paraId="7B28654A">
      <w:pPr>
        <w:tabs>
          <w:tab w:val="left" w:pos="685"/>
        </w:tabs>
        <w:jc w:val="left"/>
        <w:rPr>
          <w:rFonts w:asciiTheme="minorEastAsia" w:hAnsiTheme="minorEastAsia" w:eastAsiaTheme="minorEastAsia"/>
        </w:rPr>
      </w:pPr>
      <w:bookmarkStart w:id="616" w:name="_Toc179632787"/>
      <w:bookmarkStart w:id="617" w:name="_Toc152042551"/>
      <w:bookmarkStart w:id="618" w:name="_Toc152045769"/>
      <w:r>
        <w:rPr>
          <w:rStyle w:val="231"/>
          <w:rFonts w:hint="eastAsia" w:asciiTheme="minorEastAsia" w:hAnsiTheme="minorEastAsia" w:eastAsiaTheme="minorEastAsia"/>
          <w:sz w:val="21"/>
        </w:rPr>
        <w:t>附件：履约担保格式</w:t>
      </w:r>
      <w:bookmarkEnd w:id="616"/>
      <w:bookmarkEnd w:id="617"/>
      <w:bookmarkEnd w:id="618"/>
    </w:p>
    <w:p w14:paraId="39B62C60">
      <w:pPr>
        <w:spacing w:line="440" w:lineRule="exact"/>
        <w:rPr>
          <w:rFonts w:asciiTheme="minorEastAsia" w:hAnsiTheme="minorEastAsia" w:eastAsiaTheme="minorEastAsia"/>
          <w:sz w:val="20"/>
        </w:rPr>
      </w:pPr>
    </w:p>
    <w:p w14:paraId="2C5A21F4">
      <w:pPr>
        <w:pStyle w:val="16"/>
        <w:ind w:firstLine="0"/>
        <w:rPr>
          <w:rFonts w:ascii="宋体" w:hAnsi="宋体" w:cs="宋体"/>
          <w:sz w:val="24"/>
        </w:rPr>
      </w:pPr>
      <w:r>
        <w:rPr>
          <w:rFonts w:hint="eastAsia" w:asciiTheme="minorEastAsia" w:hAnsiTheme="minorEastAsia" w:eastAsiaTheme="minorEastAsia"/>
          <w:color w:val="000000"/>
        </w:rPr>
        <w:t>按照《住房和城乡建设部关于印发工程保函示范文本的通知》（建市〔2021〕11号）中明确的格式递交</w:t>
      </w:r>
    </w:p>
    <w:p w14:paraId="2586DDDF">
      <w:pPr>
        <w:pStyle w:val="2"/>
        <w:rPr>
          <w:rFonts w:cs="宋体"/>
        </w:rPr>
      </w:pPr>
      <w:bookmarkStart w:id="619" w:name="_Toc30120"/>
      <w:bookmarkStart w:id="620" w:name="_Toc30868"/>
    </w:p>
    <w:p w14:paraId="2A637C19">
      <w:pPr>
        <w:pStyle w:val="2"/>
        <w:rPr>
          <w:rFonts w:cs="宋体"/>
        </w:rPr>
      </w:pPr>
    </w:p>
    <w:p w14:paraId="6E991B24">
      <w:pPr>
        <w:pStyle w:val="2"/>
        <w:rPr>
          <w:rFonts w:cs="宋体"/>
        </w:rPr>
      </w:pPr>
    </w:p>
    <w:p w14:paraId="712A218A">
      <w:pPr>
        <w:pStyle w:val="2"/>
        <w:rPr>
          <w:rFonts w:cs="宋体"/>
        </w:rPr>
      </w:pPr>
    </w:p>
    <w:p w14:paraId="2A5D5492">
      <w:pPr>
        <w:rPr>
          <w:rFonts w:cs="宋体"/>
        </w:rPr>
      </w:pPr>
    </w:p>
    <w:p w14:paraId="0D8B0917">
      <w:pPr>
        <w:rPr>
          <w:rFonts w:cs="宋体"/>
        </w:rPr>
      </w:pPr>
    </w:p>
    <w:p w14:paraId="47B6F6B5">
      <w:pPr>
        <w:rPr>
          <w:rFonts w:cs="宋体"/>
        </w:rPr>
      </w:pPr>
    </w:p>
    <w:p w14:paraId="00572EC9">
      <w:pPr>
        <w:rPr>
          <w:rFonts w:cs="宋体"/>
        </w:rPr>
      </w:pPr>
    </w:p>
    <w:p w14:paraId="348726D2">
      <w:pPr>
        <w:rPr>
          <w:rFonts w:cs="宋体"/>
        </w:rPr>
      </w:pPr>
    </w:p>
    <w:p w14:paraId="77A34202">
      <w:pPr>
        <w:rPr>
          <w:rFonts w:cs="宋体"/>
        </w:rPr>
      </w:pPr>
    </w:p>
    <w:p w14:paraId="43AAC257">
      <w:pPr>
        <w:rPr>
          <w:rFonts w:cs="宋体"/>
        </w:rPr>
      </w:pPr>
    </w:p>
    <w:p w14:paraId="73677A72">
      <w:pPr>
        <w:rPr>
          <w:rFonts w:cs="宋体"/>
        </w:rPr>
      </w:pPr>
    </w:p>
    <w:p w14:paraId="1759FF51">
      <w:pPr>
        <w:rPr>
          <w:rFonts w:cs="宋体"/>
        </w:rPr>
      </w:pPr>
    </w:p>
    <w:p w14:paraId="42206E7C">
      <w:pPr>
        <w:rPr>
          <w:rFonts w:cs="宋体"/>
        </w:rPr>
      </w:pPr>
    </w:p>
    <w:p w14:paraId="0224C21A">
      <w:pPr>
        <w:rPr>
          <w:rFonts w:cs="宋体"/>
        </w:rPr>
      </w:pPr>
    </w:p>
    <w:p w14:paraId="04144419">
      <w:pPr>
        <w:rPr>
          <w:rFonts w:cs="宋体"/>
        </w:rPr>
      </w:pPr>
    </w:p>
    <w:p w14:paraId="3719CCC3">
      <w:pPr>
        <w:rPr>
          <w:rFonts w:cs="宋体"/>
        </w:rPr>
      </w:pPr>
    </w:p>
    <w:p w14:paraId="4026FA5E">
      <w:pPr>
        <w:rPr>
          <w:rFonts w:cs="宋体"/>
        </w:rPr>
      </w:pPr>
    </w:p>
    <w:p w14:paraId="5022BEBA">
      <w:pPr>
        <w:rPr>
          <w:rFonts w:cs="宋体"/>
        </w:rPr>
      </w:pPr>
    </w:p>
    <w:p w14:paraId="66D2AE28">
      <w:pPr>
        <w:rPr>
          <w:rFonts w:cs="宋体"/>
        </w:rPr>
      </w:pPr>
    </w:p>
    <w:p w14:paraId="05D59E70">
      <w:pPr>
        <w:rPr>
          <w:rFonts w:cs="宋体"/>
        </w:rPr>
      </w:pPr>
    </w:p>
    <w:p w14:paraId="49BA7FC5">
      <w:pPr>
        <w:rPr>
          <w:rFonts w:cs="宋体"/>
        </w:rPr>
      </w:pPr>
    </w:p>
    <w:p w14:paraId="583DE37A">
      <w:pPr>
        <w:rPr>
          <w:rFonts w:cs="宋体"/>
        </w:rPr>
      </w:pPr>
    </w:p>
    <w:p w14:paraId="16DB7F8B">
      <w:pPr>
        <w:rPr>
          <w:rFonts w:cs="宋体"/>
        </w:rPr>
      </w:pPr>
    </w:p>
    <w:p w14:paraId="070D3329">
      <w:pPr>
        <w:rPr>
          <w:rFonts w:cs="宋体"/>
        </w:rPr>
      </w:pPr>
    </w:p>
    <w:p w14:paraId="041BDA4F">
      <w:pPr>
        <w:rPr>
          <w:rFonts w:cs="宋体"/>
        </w:rPr>
      </w:pPr>
    </w:p>
    <w:p w14:paraId="66C126C1">
      <w:pPr>
        <w:rPr>
          <w:rFonts w:cs="宋体"/>
        </w:rPr>
      </w:pPr>
    </w:p>
    <w:p w14:paraId="1AA4A443">
      <w:pPr>
        <w:rPr>
          <w:rFonts w:cs="宋体"/>
        </w:rPr>
      </w:pPr>
    </w:p>
    <w:p w14:paraId="6DB9075B">
      <w:pPr>
        <w:rPr>
          <w:rFonts w:cs="宋体"/>
        </w:rPr>
      </w:pPr>
    </w:p>
    <w:p w14:paraId="6D163C10">
      <w:pPr>
        <w:rPr>
          <w:rFonts w:cs="宋体"/>
        </w:rPr>
      </w:pPr>
    </w:p>
    <w:p w14:paraId="1E4FB7D1">
      <w:pPr>
        <w:rPr>
          <w:rFonts w:cs="宋体"/>
        </w:rPr>
      </w:pPr>
    </w:p>
    <w:p w14:paraId="7EE9E1DC">
      <w:pPr>
        <w:rPr>
          <w:rFonts w:cs="宋体"/>
        </w:rPr>
      </w:pPr>
    </w:p>
    <w:p w14:paraId="21421BDA">
      <w:pPr>
        <w:pStyle w:val="2"/>
        <w:rPr>
          <w:rFonts w:cs="宋体"/>
        </w:rPr>
      </w:pPr>
      <w:r>
        <w:rPr>
          <w:rFonts w:hint="eastAsia" w:cs="宋体"/>
        </w:rPr>
        <w:t>第十一章  响应文件格式</w:t>
      </w:r>
      <w:bookmarkEnd w:id="619"/>
      <w:bookmarkEnd w:id="620"/>
    </w:p>
    <w:p w14:paraId="0BAC6DB3">
      <w:pPr>
        <w:rPr>
          <w:rFonts w:ascii="宋体" w:hAnsi="宋体" w:cs="宋体"/>
          <w:b/>
          <w:bCs/>
          <w:color w:val="000000"/>
          <w:sz w:val="28"/>
          <w:szCs w:val="28"/>
        </w:rPr>
      </w:pPr>
    </w:p>
    <w:p w14:paraId="7504581E">
      <w:pPr>
        <w:rPr>
          <w:rFonts w:ascii="宋体" w:hAnsi="宋体" w:cs="宋体"/>
          <w:b/>
          <w:bCs/>
          <w:color w:val="000000"/>
          <w:sz w:val="52"/>
          <w:szCs w:val="52"/>
        </w:rPr>
      </w:pPr>
    </w:p>
    <w:p w14:paraId="7384BA3C">
      <w:pPr>
        <w:rPr>
          <w:rFonts w:ascii="宋体" w:hAnsi="宋体" w:cs="宋体"/>
          <w:b/>
          <w:bCs/>
          <w:color w:val="000000"/>
          <w:sz w:val="52"/>
          <w:szCs w:val="52"/>
        </w:rPr>
      </w:pPr>
    </w:p>
    <w:p w14:paraId="2A9A0D13">
      <w:pPr>
        <w:rPr>
          <w:rFonts w:ascii="宋体" w:hAnsi="宋体" w:cs="宋体"/>
          <w:b/>
          <w:bCs/>
          <w:color w:val="000000"/>
          <w:sz w:val="52"/>
          <w:szCs w:val="52"/>
        </w:rPr>
      </w:pPr>
    </w:p>
    <w:p w14:paraId="5FA98EAE">
      <w:pPr>
        <w:spacing w:line="720" w:lineRule="exact"/>
        <w:jc w:val="center"/>
        <w:rPr>
          <w:rFonts w:ascii="宋体" w:hAnsi="宋体" w:cs="宋体"/>
          <w:b/>
          <w:bCs/>
          <w:color w:val="000000"/>
          <w:sz w:val="52"/>
          <w:szCs w:val="52"/>
        </w:rPr>
      </w:pPr>
      <w:r>
        <w:rPr>
          <w:rFonts w:hint="eastAsia" w:ascii="宋体" w:hAnsi="宋体" w:cs="宋体"/>
          <w:b/>
          <w:bCs/>
          <w:color w:val="000000"/>
          <w:sz w:val="52"/>
          <w:szCs w:val="52"/>
        </w:rPr>
        <w:t>竞争性磋商响应文件</w:t>
      </w:r>
    </w:p>
    <w:p w14:paraId="5F2BDE94">
      <w:pPr>
        <w:rPr>
          <w:rFonts w:ascii="宋体" w:hAnsi="宋体" w:cs="宋体"/>
          <w:bCs/>
          <w:color w:val="000000"/>
          <w:sz w:val="72"/>
        </w:rPr>
      </w:pPr>
    </w:p>
    <w:p w14:paraId="70961960">
      <w:pPr>
        <w:rPr>
          <w:rFonts w:ascii="宋体" w:hAnsi="宋体" w:cs="宋体"/>
          <w:bCs/>
          <w:color w:val="000000"/>
          <w:sz w:val="72"/>
        </w:rPr>
      </w:pPr>
    </w:p>
    <w:p w14:paraId="60C125F5">
      <w:pPr>
        <w:rPr>
          <w:rFonts w:ascii="宋体" w:hAnsi="宋体" w:cs="宋体"/>
          <w:bCs/>
          <w:color w:val="000000"/>
          <w:sz w:val="72"/>
        </w:rPr>
      </w:pPr>
    </w:p>
    <w:p w14:paraId="51265894">
      <w:pPr>
        <w:ind w:firstLine="472"/>
        <w:rPr>
          <w:rFonts w:ascii="宋体" w:hAnsi="宋体" w:cs="宋体"/>
          <w:b/>
          <w:bCs/>
          <w:color w:val="FF0000"/>
          <w:sz w:val="24"/>
        </w:rPr>
      </w:pPr>
      <w:r>
        <w:rPr>
          <w:rFonts w:hint="eastAsia" w:ascii="宋体" w:hAnsi="宋体" w:cs="宋体"/>
          <w:b/>
          <w:bCs/>
          <w:sz w:val="24"/>
        </w:rPr>
        <w:t>项目编号：</w:t>
      </w:r>
      <w:r>
        <w:rPr>
          <w:rFonts w:hint="eastAsia" w:ascii="宋体" w:hAnsi="宋体" w:cs="宋体"/>
          <w:b/>
          <w:bCs/>
          <w:color w:val="FF0000"/>
          <w:sz w:val="24"/>
        </w:rPr>
        <w:t xml:space="preserve"> </w:t>
      </w:r>
    </w:p>
    <w:p w14:paraId="596A3E2B">
      <w:pPr>
        <w:spacing w:line="560" w:lineRule="exact"/>
        <w:ind w:firstLine="482"/>
        <w:rPr>
          <w:rFonts w:ascii="宋体" w:hAnsi="宋体" w:cs="宋体"/>
          <w:bCs/>
          <w:color w:val="FF0000"/>
          <w:sz w:val="24"/>
        </w:rPr>
      </w:pPr>
      <w:r>
        <w:rPr>
          <w:rFonts w:hint="eastAsia" w:ascii="宋体" w:hAnsi="宋体" w:cs="宋体"/>
          <w:b/>
          <w:bCs/>
          <w:sz w:val="24"/>
        </w:rPr>
        <w:t>项目名称：</w:t>
      </w:r>
      <w:r>
        <w:rPr>
          <w:rFonts w:hint="eastAsia" w:ascii="宋体" w:hAnsi="宋体" w:cs="宋体"/>
          <w:bCs/>
          <w:color w:val="FF0000"/>
          <w:sz w:val="24"/>
        </w:rPr>
        <w:t xml:space="preserve"> </w:t>
      </w:r>
    </w:p>
    <w:p w14:paraId="4895001B">
      <w:pPr>
        <w:spacing w:line="560" w:lineRule="exact"/>
        <w:ind w:firstLine="482"/>
        <w:rPr>
          <w:rFonts w:ascii="宋体" w:hAnsi="宋体" w:cs="宋体"/>
          <w:b/>
          <w:bCs/>
          <w:sz w:val="24"/>
        </w:rPr>
      </w:pPr>
    </w:p>
    <w:p w14:paraId="52911E50">
      <w:pPr>
        <w:spacing w:line="560" w:lineRule="exact"/>
        <w:ind w:firstLine="482"/>
        <w:rPr>
          <w:rFonts w:ascii="宋体" w:hAnsi="宋体" w:cs="宋体"/>
          <w:b/>
          <w:bCs/>
          <w:sz w:val="24"/>
        </w:rPr>
      </w:pPr>
    </w:p>
    <w:p w14:paraId="339DDF3C">
      <w:pPr>
        <w:spacing w:line="560" w:lineRule="exact"/>
        <w:ind w:firstLine="482"/>
        <w:rPr>
          <w:rFonts w:ascii="宋体" w:hAnsi="宋体" w:cs="宋体"/>
          <w:b/>
          <w:bCs/>
          <w:sz w:val="24"/>
        </w:rPr>
      </w:pPr>
    </w:p>
    <w:p w14:paraId="6AA752C6">
      <w:pPr>
        <w:spacing w:line="520" w:lineRule="exact"/>
        <w:rPr>
          <w:rFonts w:ascii="宋体" w:hAnsi="宋体" w:cs="宋体"/>
          <w:b/>
          <w:sz w:val="24"/>
          <w:u w:val="single"/>
        </w:rPr>
      </w:pPr>
      <w:r>
        <w:rPr>
          <w:rFonts w:hint="eastAsia" w:ascii="宋体" w:hAnsi="宋体" w:cs="宋体"/>
          <w:b/>
          <w:sz w:val="24"/>
        </w:rPr>
        <w:t xml:space="preserve">响应单位名称： </w:t>
      </w:r>
      <w:r>
        <w:rPr>
          <w:rFonts w:hint="eastAsia" w:ascii="宋体" w:hAnsi="宋体" w:cs="宋体"/>
          <w:b/>
          <w:sz w:val="24"/>
          <w:u w:val="single"/>
        </w:rPr>
        <w:t xml:space="preserve">                                  </w:t>
      </w:r>
      <w:r>
        <w:rPr>
          <w:rFonts w:hint="eastAsia" w:ascii="宋体" w:hAnsi="宋体" w:cs="宋体"/>
          <w:b/>
          <w:sz w:val="24"/>
        </w:rPr>
        <w:t>（盖单位章）</w:t>
      </w:r>
    </w:p>
    <w:p w14:paraId="283371F3">
      <w:pPr>
        <w:spacing w:line="520" w:lineRule="exact"/>
        <w:rPr>
          <w:rFonts w:ascii="宋体" w:hAnsi="宋体" w:cs="宋体"/>
          <w:b/>
          <w:sz w:val="24"/>
          <w:u w:val="single"/>
        </w:rPr>
      </w:pPr>
      <w:r>
        <w:rPr>
          <w:rFonts w:hint="eastAsia" w:ascii="宋体" w:hAnsi="宋体" w:cs="宋体"/>
          <w:b/>
          <w:sz w:val="24"/>
        </w:rPr>
        <w:t xml:space="preserve">日      期： </w:t>
      </w:r>
      <w:r>
        <w:rPr>
          <w:rFonts w:hint="eastAsia" w:ascii="宋体" w:hAnsi="宋体" w:cs="宋体"/>
          <w:b/>
          <w:sz w:val="24"/>
          <w:u w:val="single"/>
        </w:rPr>
        <w:t xml:space="preserve">                               </w:t>
      </w:r>
    </w:p>
    <w:p w14:paraId="451A577D">
      <w:pPr>
        <w:rPr>
          <w:rFonts w:ascii="宋体" w:hAnsi="宋体" w:cs="宋体"/>
          <w:b/>
          <w:bCs/>
          <w:sz w:val="44"/>
          <w:szCs w:val="44"/>
        </w:rPr>
      </w:pPr>
    </w:p>
    <w:p w14:paraId="2D68F6DB">
      <w:pPr>
        <w:rPr>
          <w:rFonts w:ascii="宋体" w:hAnsi="宋体" w:cs="宋体"/>
          <w:bCs/>
          <w:color w:val="000000"/>
          <w:sz w:val="36"/>
          <w:szCs w:val="36"/>
        </w:rPr>
      </w:pPr>
    </w:p>
    <w:p w14:paraId="76371251">
      <w:pPr>
        <w:spacing w:line="500" w:lineRule="exact"/>
        <w:rPr>
          <w:rFonts w:ascii="宋体" w:hAnsi="宋体" w:cs="宋体"/>
          <w:b/>
          <w:spacing w:val="20"/>
          <w:sz w:val="24"/>
        </w:rPr>
      </w:pPr>
    </w:p>
    <w:p w14:paraId="60264ACE">
      <w:pPr>
        <w:spacing w:line="520" w:lineRule="exact"/>
        <w:rPr>
          <w:rFonts w:ascii="宋体" w:hAnsi="宋体" w:cs="宋体"/>
          <w:b/>
        </w:rPr>
      </w:pPr>
    </w:p>
    <w:p w14:paraId="1F717020">
      <w:pPr>
        <w:spacing w:line="520" w:lineRule="exact"/>
        <w:rPr>
          <w:rFonts w:ascii="宋体" w:hAnsi="宋体" w:cs="宋体"/>
          <w:b/>
          <w:spacing w:val="20"/>
          <w:szCs w:val="21"/>
        </w:rPr>
      </w:pPr>
    </w:p>
    <w:p w14:paraId="119713FC">
      <w:pPr>
        <w:pStyle w:val="322"/>
        <w:spacing w:before="240" w:after="120" w:line="800" w:lineRule="exact"/>
        <w:rPr>
          <w:rFonts w:ascii="宋体" w:hAnsi="宋体" w:cs="宋体"/>
          <w:b/>
          <w:bCs/>
          <w:sz w:val="24"/>
          <w:szCs w:val="21"/>
        </w:rPr>
      </w:pPr>
      <w:r>
        <w:rPr>
          <w:rFonts w:hint="eastAsia" w:ascii="宋体" w:hAnsi="宋体" w:cs="宋体"/>
          <w:b/>
          <w:bCs/>
          <w:sz w:val="32"/>
        </w:rPr>
        <w:br w:type="page" w:clear="all"/>
      </w:r>
      <w:r>
        <w:rPr>
          <w:rFonts w:hint="eastAsia" w:ascii="宋体" w:hAnsi="宋体" w:cs="宋体"/>
          <w:b/>
          <w:bCs/>
          <w:sz w:val="24"/>
          <w:szCs w:val="21"/>
        </w:rPr>
        <w:t>附件一</w:t>
      </w:r>
    </w:p>
    <w:p w14:paraId="64919343">
      <w:pPr>
        <w:pStyle w:val="2"/>
        <w:rPr>
          <w:rFonts w:cs="宋体"/>
          <w:bCs/>
          <w:sz w:val="32"/>
          <w:szCs w:val="18"/>
        </w:rPr>
      </w:pPr>
      <w:r>
        <w:rPr>
          <w:rFonts w:hint="eastAsia" w:cs="宋体"/>
          <w:sz w:val="32"/>
          <w:szCs w:val="18"/>
        </w:rPr>
        <w:t>磋商报价表</w:t>
      </w:r>
    </w:p>
    <w:p w14:paraId="13CF1E8D">
      <w:pPr>
        <w:pStyle w:val="100"/>
        <w:ind w:firstLine="480"/>
        <w:rPr>
          <w:rFonts w:ascii="宋体" w:hAnsi="宋体" w:eastAsia="宋体" w:cs="宋体"/>
          <w:sz w:val="24"/>
          <w:szCs w:val="24"/>
        </w:rPr>
      </w:pPr>
      <w:r>
        <w:rPr>
          <w:rFonts w:hint="eastAsia" w:ascii="宋体" w:hAnsi="宋体" w:eastAsia="宋体" w:cs="宋体"/>
          <w:sz w:val="24"/>
          <w:szCs w:val="24"/>
        </w:rPr>
        <w:t>本次为首次报价                          货币单位：人民币元</w:t>
      </w:r>
    </w:p>
    <w:p w14:paraId="3AA4902F">
      <w:pPr>
        <w:pStyle w:val="100"/>
        <w:spacing w:line="360" w:lineRule="auto"/>
        <w:ind w:firstLine="480"/>
        <w:rPr>
          <w:rFonts w:ascii="宋体" w:hAnsi="宋体" w:eastAsia="宋体" w:cs="宋体"/>
          <w:sz w:val="24"/>
          <w:szCs w:val="24"/>
        </w:rPr>
      </w:pPr>
      <w:r>
        <w:rPr>
          <w:rFonts w:hint="eastAsia" w:ascii="宋体" w:hAnsi="宋体" w:eastAsia="宋体" w:cs="宋体"/>
          <w:sz w:val="24"/>
          <w:szCs w:val="24"/>
        </w:rPr>
        <w:t xml:space="preserve">项目编号：        </w:t>
      </w:r>
    </w:p>
    <w:tbl>
      <w:tblPr>
        <w:tblStyle w:val="54"/>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top w:w="0" w:type="dxa"/>
          <w:left w:w="108" w:type="dxa"/>
          <w:bottom w:w="0" w:type="dxa"/>
          <w:right w:w="108" w:type="dxa"/>
        </w:tblCellMar>
      </w:tblPr>
      <w:tblGrid>
        <w:gridCol w:w="3293"/>
        <w:gridCol w:w="2509"/>
        <w:gridCol w:w="3056"/>
      </w:tblGrid>
      <w:tr w14:paraId="470D3DA2">
        <w:tblPrEx>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108" w:type="dxa"/>
            <w:bottom w:w="0" w:type="dxa"/>
            <w:right w:w="108" w:type="dxa"/>
          </w:tblCellMar>
        </w:tblPrEx>
        <w:trPr>
          <w:cantSplit/>
          <w:trHeight w:val="1182" w:hRule="atLeast"/>
          <w:jc w:val="center"/>
        </w:trPr>
        <w:tc>
          <w:tcPr>
            <w:tcW w:w="3293" w:type="dxa"/>
            <w:tcBorders>
              <w:top w:val="single" w:color="000000" w:sz="6" w:space="0"/>
              <w:left w:val="single" w:color="000000" w:sz="6" w:space="0"/>
              <w:bottom w:val="single" w:color="000000" w:sz="2" w:space="0"/>
              <w:right w:val="single" w:color="000000" w:sz="2" w:space="0"/>
            </w:tcBorders>
            <w:vAlign w:val="center"/>
          </w:tcPr>
          <w:p w14:paraId="4FD60467">
            <w:pPr>
              <w:pStyle w:val="322"/>
              <w:jc w:val="center"/>
              <w:rPr>
                <w:rFonts w:ascii="宋体" w:hAnsi="宋体" w:cs="宋体"/>
                <w:sz w:val="24"/>
              </w:rPr>
            </w:pPr>
            <w:r>
              <w:rPr>
                <w:rFonts w:hint="eastAsia" w:ascii="宋体" w:hAnsi="宋体" w:cs="宋体"/>
                <w:sz w:val="24"/>
              </w:rPr>
              <w:t>项目名称</w:t>
            </w:r>
          </w:p>
        </w:tc>
        <w:tc>
          <w:tcPr>
            <w:tcW w:w="2509" w:type="dxa"/>
            <w:tcBorders>
              <w:top w:val="single" w:color="000000" w:sz="6" w:space="0"/>
              <w:left w:val="single" w:color="000000" w:sz="2" w:space="0"/>
              <w:bottom w:val="single" w:color="000000" w:sz="2" w:space="0"/>
              <w:right w:val="single" w:color="000000" w:sz="2" w:space="0"/>
            </w:tcBorders>
            <w:vAlign w:val="center"/>
          </w:tcPr>
          <w:p w14:paraId="793508E2">
            <w:pPr>
              <w:pStyle w:val="322"/>
              <w:jc w:val="center"/>
              <w:rPr>
                <w:rFonts w:ascii="宋体" w:hAnsi="宋体" w:cs="宋体"/>
                <w:sz w:val="24"/>
              </w:rPr>
            </w:pPr>
            <w:r>
              <w:rPr>
                <w:rFonts w:hint="eastAsia" w:ascii="宋体" w:hAnsi="宋体" w:cs="宋体"/>
                <w:sz w:val="24"/>
              </w:rPr>
              <w:t>项目内容</w:t>
            </w:r>
          </w:p>
        </w:tc>
        <w:tc>
          <w:tcPr>
            <w:tcW w:w="3056" w:type="dxa"/>
            <w:tcBorders>
              <w:top w:val="single" w:color="000000" w:sz="6" w:space="0"/>
              <w:left w:val="single" w:color="000000" w:sz="2" w:space="0"/>
              <w:bottom w:val="single" w:color="000000" w:sz="2" w:space="0"/>
              <w:right w:val="single" w:color="000000" w:sz="2" w:space="0"/>
            </w:tcBorders>
            <w:vAlign w:val="center"/>
          </w:tcPr>
          <w:p w14:paraId="5708D940">
            <w:pPr>
              <w:pStyle w:val="322"/>
              <w:jc w:val="center"/>
              <w:rPr>
                <w:rFonts w:ascii="宋体" w:hAnsi="宋体" w:cs="宋体"/>
                <w:sz w:val="24"/>
              </w:rPr>
            </w:pPr>
            <w:r>
              <w:rPr>
                <w:rFonts w:hint="eastAsia" w:ascii="宋体" w:hAnsi="宋体" w:cs="宋体"/>
                <w:sz w:val="24"/>
              </w:rPr>
              <w:t>总价（小写）</w:t>
            </w:r>
          </w:p>
        </w:tc>
      </w:tr>
      <w:tr w14:paraId="431A7DCA">
        <w:tblPrEx>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108" w:type="dxa"/>
            <w:bottom w:w="0" w:type="dxa"/>
            <w:right w:w="108" w:type="dxa"/>
          </w:tblCellMar>
        </w:tblPrEx>
        <w:trPr>
          <w:cantSplit/>
          <w:trHeight w:val="1012" w:hRule="atLeast"/>
          <w:jc w:val="center"/>
        </w:trPr>
        <w:tc>
          <w:tcPr>
            <w:tcW w:w="3293" w:type="dxa"/>
            <w:tcBorders>
              <w:top w:val="single" w:color="000000" w:sz="2" w:space="0"/>
              <w:left w:val="single" w:color="000000" w:sz="6" w:space="0"/>
              <w:right w:val="single" w:color="000000" w:sz="2" w:space="0"/>
            </w:tcBorders>
            <w:vAlign w:val="center"/>
          </w:tcPr>
          <w:p w14:paraId="13C321B5">
            <w:pPr>
              <w:pStyle w:val="322"/>
              <w:jc w:val="center"/>
              <w:rPr>
                <w:rFonts w:ascii="宋体" w:hAnsi="宋体" w:cs="宋体"/>
                <w:sz w:val="24"/>
              </w:rPr>
            </w:pPr>
          </w:p>
        </w:tc>
        <w:tc>
          <w:tcPr>
            <w:tcW w:w="2509" w:type="dxa"/>
            <w:tcBorders>
              <w:top w:val="single" w:color="000000" w:sz="2" w:space="0"/>
              <w:left w:val="single" w:color="000000" w:sz="2" w:space="0"/>
              <w:right w:val="single" w:color="000000" w:sz="2" w:space="0"/>
            </w:tcBorders>
            <w:vAlign w:val="center"/>
          </w:tcPr>
          <w:p w14:paraId="19BEC890">
            <w:pPr>
              <w:pStyle w:val="322"/>
              <w:jc w:val="center"/>
              <w:rPr>
                <w:rFonts w:ascii="宋体" w:hAnsi="宋体" w:cs="宋体"/>
                <w:sz w:val="24"/>
              </w:rPr>
            </w:pPr>
            <w:r>
              <w:rPr>
                <w:rFonts w:hint="eastAsia" w:ascii="宋体" w:hAnsi="宋体" w:cs="宋体"/>
                <w:sz w:val="24"/>
              </w:rPr>
              <w:t>详见响应文件</w:t>
            </w:r>
          </w:p>
        </w:tc>
        <w:tc>
          <w:tcPr>
            <w:tcW w:w="3056" w:type="dxa"/>
            <w:tcBorders>
              <w:top w:val="single" w:color="000000" w:sz="2" w:space="0"/>
              <w:left w:val="single" w:color="000000" w:sz="2" w:space="0"/>
              <w:right w:val="single" w:color="000000" w:sz="2" w:space="0"/>
            </w:tcBorders>
            <w:vAlign w:val="center"/>
          </w:tcPr>
          <w:p w14:paraId="44931EE0">
            <w:pPr>
              <w:pStyle w:val="322"/>
              <w:jc w:val="center"/>
              <w:rPr>
                <w:rFonts w:ascii="宋体" w:hAnsi="宋体" w:cs="宋体"/>
                <w:sz w:val="24"/>
              </w:rPr>
            </w:pPr>
          </w:p>
        </w:tc>
      </w:tr>
      <w:tr w14:paraId="38DFB00B">
        <w:tblPrEx>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108" w:type="dxa"/>
            <w:bottom w:w="0" w:type="dxa"/>
            <w:right w:w="108" w:type="dxa"/>
          </w:tblCellMar>
        </w:tblPrEx>
        <w:trPr>
          <w:cantSplit/>
          <w:trHeight w:val="1035" w:hRule="atLeast"/>
          <w:jc w:val="center"/>
        </w:trPr>
        <w:tc>
          <w:tcPr>
            <w:tcW w:w="3293" w:type="dxa"/>
            <w:tcBorders>
              <w:top w:val="single" w:color="000000" w:sz="2" w:space="0"/>
              <w:left w:val="single" w:color="000000" w:sz="6" w:space="0"/>
              <w:bottom w:val="single" w:color="000000" w:sz="2" w:space="0"/>
              <w:right w:val="single" w:color="000000" w:sz="2" w:space="0"/>
            </w:tcBorders>
            <w:vAlign w:val="center"/>
          </w:tcPr>
          <w:p w14:paraId="63A064C6">
            <w:pPr>
              <w:pStyle w:val="322"/>
              <w:jc w:val="center"/>
              <w:rPr>
                <w:rFonts w:ascii="宋体" w:hAnsi="宋体" w:cs="宋体"/>
                <w:sz w:val="24"/>
              </w:rPr>
            </w:pPr>
            <w:r>
              <w:rPr>
                <w:rFonts w:hint="eastAsia" w:ascii="宋体" w:hAnsi="宋体" w:cs="宋体"/>
                <w:sz w:val="24"/>
              </w:rPr>
              <w:t>总价（大写）：</w:t>
            </w:r>
          </w:p>
        </w:tc>
        <w:tc>
          <w:tcPr>
            <w:tcW w:w="5565" w:type="dxa"/>
            <w:gridSpan w:val="2"/>
            <w:tcBorders>
              <w:top w:val="single" w:color="000000" w:sz="2" w:space="0"/>
              <w:left w:val="single" w:color="000000" w:sz="2" w:space="0"/>
              <w:bottom w:val="single" w:color="000000" w:sz="2" w:space="0"/>
              <w:right w:val="single" w:color="000000" w:sz="2" w:space="0"/>
            </w:tcBorders>
            <w:vAlign w:val="center"/>
          </w:tcPr>
          <w:p w14:paraId="179761B9">
            <w:pPr>
              <w:pStyle w:val="322"/>
              <w:jc w:val="center"/>
              <w:rPr>
                <w:rFonts w:ascii="宋体" w:hAnsi="宋体" w:cs="宋体"/>
                <w:sz w:val="24"/>
              </w:rPr>
            </w:pPr>
          </w:p>
        </w:tc>
      </w:tr>
    </w:tbl>
    <w:p w14:paraId="77038453">
      <w:pPr>
        <w:pStyle w:val="100"/>
        <w:spacing w:line="360" w:lineRule="auto"/>
        <w:rPr>
          <w:rFonts w:ascii="宋体" w:hAnsi="宋体" w:eastAsia="宋体" w:cs="宋体"/>
        </w:rPr>
      </w:pPr>
      <w:r>
        <w:rPr>
          <w:rFonts w:hint="eastAsia" w:ascii="宋体" w:hAnsi="宋体" w:eastAsia="宋体" w:cs="宋体"/>
        </w:rPr>
        <w:t>报价说明：</w:t>
      </w:r>
    </w:p>
    <w:p w14:paraId="5973D7F7">
      <w:pPr>
        <w:pStyle w:val="100"/>
        <w:spacing w:line="360" w:lineRule="auto"/>
        <w:rPr>
          <w:rFonts w:ascii="宋体" w:hAnsi="宋体" w:eastAsia="宋体" w:cs="宋体"/>
        </w:rPr>
      </w:pPr>
      <w:r>
        <w:rPr>
          <w:rFonts w:hint="eastAsia" w:ascii="宋体" w:hAnsi="宋体" w:eastAsia="宋体" w:cs="宋体"/>
        </w:rPr>
        <w:t>1、报价包括完成项目的所有费用。采购人不再支付报价以外的任何费用。</w:t>
      </w:r>
    </w:p>
    <w:p w14:paraId="0B660124">
      <w:pPr>
        <w:pStyle w:val="100"/>
        <w:spacing w:line="360" w:lineRule="auto"/>
        <w:rPr>
          <w:rFonts w:ascii="宋体" w:hAnsi="宋体" w:eastAsia="宋体" w:cs="宋体"/>
        </w:rPr>
      </w:pPr>
      <w:r>
        <w:rPr>
          <w:rFonts w:hint="eastAsia" w:ascii="宋体" w:hAnsi="宋体" w:eastAsia="宋体" w:cs="宋体"/>
        </w:rPr>
        <w:t>2、报价以总价为准，大小写不一致以大写为准；</w:t>
      </w:r>
    </w:p>
    <w:p w14:paraId="2AF67DB9">
      <w:pPr>
        <w:pStyle w:val="100"/>
        <w:spacing w:line="360" w:lineRule="auto"/>
        <w:rPr>
          <w:rFonts w:ascii="宋体" w:hAnsi="宋体" w:eastAsia="宋体" w:cs="宋体"/>
        </w:rPr>
      </w:pPr>
      <w:r>
        <w:rPr>
          <w:rFonts w:hint="eastAsia" w:ascii="宋体" w:hAnsi="宋体" w:eastAsia="宋体" w:cs="宋体"/>
        </w:rPr>
        <w:t>3、偏离说明：详见《偏离表》；</w:t>
      </w:r>
    </w:p>
    <w:p w14:paraId="720BC51F">
      <w:pPr>
        <w:pStyle w:val="100"/>
        <w:spacing w:line="360" w:lineRule="auto"/>
        <w:rPr>
          <w:rFonts w:ascii="宋体" w:hAnsi="宋体" w:eastAsia="宋体" w:cs="宋体"/>
        </w:rPr>
      </w:pPr>
      <w:r>
        <w:rPr>
          <w:rFonts w:hint="eastAsia" w:ascii="宋体" w:hAnsi="宋体" w:eastAsia="宋体" w:cs="宋体"/>
        </w:rPr>
        <w:t>4、如最后报价未列明单价，则最后所报各项单价计算方法为：（最后报价/ 最初报价）* 各项最初报价的单价。</w:t>
      </w:r>
    </w:p>
    <w:p w14:paraId="62FEC8E9">
      <w:pPr>
        <w:pStyle w:val="100"/>
        <w:spacing w:line="360" w:lineRule="auto"/>
        <w:rPr>
          <w:rFonts w:ascii="宋体" w:hAnsi="宋体" w:eastAsia="宋体" w:cs="宋体"/>
        </w:rPr>
      </w:pPr>
    </w:p>
    <w:p w14:paraId="51C9904C">
      <w:pPr>
        <w:pStyle w:val="100"/>
        <w:spacing w:line="360" w:lineRule="auto"/>
        <w:rPr>
          <w:rFonts w:ascii="宋体" w:hAnsi="宋体" w:eastAsia="宋体" w:cs="宋体"/>
          <w:sz w:val="24"/>
          <w:szCs w:val="24"/>
        </w:rPr>
      </w:pPr>
      <w:r>
        <w:rPr>
          <w:rFonts w:hint="eastAsia" w:ascii="宋体" w:hAnsi="宋体" w:eastAsia="宋体" w:cs="宋体"/>
        </w:rPr>
        <w:t>供应商（电子签章）：</w:t>
      </w:r>
    </w:p>
    <w:p w14:paraId="0CCBCA17">
      <w:pPr>
        <w:pStyle w:val="2"/>
        <w:jc w:val="left"/>
        <w:rPr>
          <w:rFonts w:cs="宋体"/>
          <w:bCs/>
          <w:sz w:val="24"/>
          <w:szCs w:val="24"/>
        </w:rPr>
      </w:pPr>
      <w:bookmarkStart w:id="621" w:name="_Toc17349"/>
      <w:bookmarkStart w:id="622" w:name="_Toc21151"/>
      <w:r>
        <w:rPr>
          <w:rFonts w:hint="eastAsia" w:cs="宋体"/>
          <w:bCs/>
          <w:sz w:val="24"/>
          <w:szCs w:val="24"/>
        </w:rPr>
        <w:br w:type="page" w:clear="all"/>
      </w:r>
      <w:r>
        <w:rPr>
          <w:rFonts w:hint="eastAsia" w:cs="宋体"/>
          <w:bCs/>
          <w:sz w:val="24"/>
          <w:szCs w:val="24"/>
        </w:rPr>
        <w:t>附件二</w:t>
      </w:r>
      <w:bookmarkEnd w:id="621"/>
      <w:bookmarkEnd w:id="622"/>
      <w:r>
        <w:rPr>
          <w:rFonts w:hint="eastAsia" w:cs="宋体"/>
          <w:bCs/>
          <w:sz w:val="24"/>
          <w:szCs w:val="24"/>
        </w:rPr>
        <w:t xml:space="preserve"> </w:t>
      </w:r>
    </w:p>
    <w:p w14:paraId="7F275E82">
      <w:pPr>
        <w:pStyle w:val="2"/>
        <w:rPr>
          <w:rFonts w:cs="宋体"/>
        </w:rPr>
      </w:pPr>
      <w:bookmarkStart w:id="623" w:name="OLE_LINK28"/>
      <w:bookmarkStart w:id="624" w:name="OLE_LINK29"/>
      <w:r>
        <w:rPr>
          <w:rFonts w:hint="eastAsia" w:cs="宋体"/>
        </w:rPr>
        <w:t>已标价工程量清单</w:t>
      </w:r>
    </w:p>
    <w:p w14:paraId="5FDC8A7A">
      <w:pPr>
        <w:pStyle w:val="100"/>
        <w:spacing w:line="360" w:lineRule="auto"/>
        <w:rPr>
          <w:rFonts w:ascii="宋体" w:hAnsi="宋体" w:eastAsia="宋体" w:cs="宋体"/>
          <w:sz w:val="24"/>
          <w:szCs w:val="24"/>
        </w:rPr>
      </w:pPr>
    </w:p>
    <w:p w14:paraId="6D662629">
      <w:pPr>
        <w:pStyle w:val="100"/>
        <w:spacing w:before="0" w:after="0" w:line="360" w:lineRule="auto"/>
        <w:rPr>
          <w:rFonts w:ascii="宋体" w:hAnsi="宋体" w:eastAsia="宋体" w:cs="宋体"/>
          <w:sz w:val="24"/>
          <w:szCs w:val="24"/>
        </w:rPr>
      </w:pPr>
      <w:r>
        <w:rPr>
          <w:rFonts w:hint="eastAsia" w:ascii="宋体" w:hAnsi="宋体" w:eastAsia="宋体" w:cs="宋体"/>
          <w:sz w:val="24"/>
          <w:szCs w:val="24"/>
        </w:rPr>
        <w:t>本次为首次报价</w:t>
      </w:r>
    </w:p>
    <w:p w14:paraId="556FF9C9">
      <w:pPr>
        <w:pStyle w:val="100"/>
        <w:spacing w:before="0" w:after="0" w:line="360" w:lineRule="auto"/>
        <w:rPr>
          <w:rFonts w:ascii="宋体" w:hAnsi="宋体" w:eastAsia="宋体" w:cs="宋体"/>
          <w:sz w:val="24"/>
          <w:szCs w:val="24"/>
        </w:rPr>
      </w:pPr>
      <w:r>
        <w:rPr>
          <w:rFonts w:hint="eastAsia" w:ascii="宋体" w:hAnsi="宋体" w:eastAsia="宋体" w:cs="宋体"/>
          <w:sz w:val="24"/>
          <w:szCs w:val="24"/>
        </w:rPr>
        <w:t>项目名称：</w:t>
      </w:r>
    </w:p>
    <w:p w14:paraId="49AE3F5B">
      <w:pPr>
        <w:pStyle w:val="10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项目编号：      </w:t>
      </w:r>
    </w:p>
    <w:p w14:paraId="04FD4D42">
      <w:pPr>
        <w:pStyle w:val="10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              </w:t>
      </w:r>
    </w:p>
    <w:p w14:paraId="2F1F4E73">
      <w:pPr>
        <w:pStyle w:val="100"/>
        <w:spacing w:before="0" w:after="0" w:line="360" w:lineRule="auto"/>
        <w:rPr>
          <w:rFonts w:ascii="宋体" w:hAnsi="宋体" w:eastAsia="宋体" w:cs="宋体"/>
          <w:sz w:val="24"/>
          <w:szCs w:val="24"/>
        </w:rPr>
      </w:pPr>
    </w:p>
    <w:p w14:paraId="1E41B5E6">
      <w:pPr>
        <w:pStyle w:val="100"/>
        <w:spacing w:before="0" w:after="0" w:line="360" w:lineRule="auto"/>
        <w:rPr>
          <w:rFonts w:ascii="宋体" w:hAnsi="宋体" w:eastAsia="宋体" w:cs="宋体"/>
          <w:sz w:val="24"/>
          <w:szCs w:val="24"/>
        </w:rPr>
      </w:pPr>
      <w:r>
        <w:rPr>
          <w:rFonts w:hint="eastAsia" w:ascii="宋体" w:hAnsi="宋体" w:eastAsia="宋体" w:cs="宋体"/>
          <w:sz w:val="24"/>
          <w:szCs w:val="24"/>
        </w:rPr>
        <w:t>须附详细工程量清单。</w:t>
      </w:r>
    </w:p>
    <w:p w14:paraId="35A58CA7">
      <w:pPr>
        <w:pStyle w:val="100"/>
        <w:spacing w:before="0" w:after="0" w:line="360" w:lineRule="auto"/>
        <w:rPr>
          <w:rFonts w:ascii="宋体" w:hAnsi="宋体" w:eastAsia="宋体" w:cs="宋体"/>
          <w:sz w:val="24"/>
          <w:szCs w:val="24"/>
        </w:rPr>
      </w:pPr>
    </w:p>
    <w:p w14:paraId="636BA8E3">
      <w:pPr>
        <w:pStyle w:val="100"/>
        <w:rPr>
          <w:rFonts w:ascii="宋体" w:hAnsi="宋体" w:eastAsia="宋体" w:cs="宋体"/>
          <w:sz w:val="24"/>
          <w:szCs w:val="24"/>
        </w:rPr>
      </w:pPr>
    </w:p>
    <w:p w14:paraId="608E881A">
      <w:pPr>
        <w:pStyle w:val="100"/>
        <w:rPr>
          <w:rFonts w:ascii="宋体" w:hAnsi="宋体" w:eastAsia="宋体" w:cs="宋体"/>
          <w:sz w:val="24"/>
          <w:szCs w:val="24"/>
        </w:rPr>
      </w:pPr>
    </w:p>
    <w:p w14:paraId="7294E7B2">
      <w:pPr>
        <w:pStyle w:val="100"/>
        <w:rPr>
          <w:rFonts w:ascii="宋体" w:hAnsi="宋体" w:eastAsia="宋体" w:cs="宋体"/>
          <w:sz w:val="24"/>
          <w:szCs w:val="24"/>
        </w:rPr>
      </w:pPr>
    </w:p>
    <w:p w14:paraId="68FF25B2">
      <w:pPr>
        <w:pStyle w:val="100"/>
        <w:rPr>
          <w:rFonts w:ascii="宋体" w:hAnsi="宋体" w:eastAsia="宋体" w:cs="宋体"/>
          <w:sz w:val="24"/>
          <w:szCs w:val="24"/>
        </w:rPr>
      </w:pPr>
    </w:p>
    <w:p w14:paraId="62722BCB">
      <w:pPr>
        <w:pStyle w:val="100"/>
        <w:rPr>
          <w:rFonts w:ascii="宋体" w:hAnsi="宋体" w:eastAsia="宋体" w:cs="宋体"/>
          <w:sz w:val="24"/>
          <w:szCs w:val="24"/>
        </w:rPr>
      </w:pPr>
    </w:p>
    <w:p w14:paraId="2CB0C4DC">
      <w:pPr>
        <w:pStyle w:val="100"/>
        <w:rPr>
          <w:rFonts w:ascii="宋体" w:hAnsi="宋体" w:eastAsia="宋体" w:cs="宋体"/>
          <w:sz w:val="24"/>
          <w:szCs w:val="24"/>
        </w:rPr>
      </w:pPr>
    </w:p>
    <w:p w14:paraId="33631BD1">
      <w:pPr>
        <w:pStyle w:val="100"/>
        <w:spacing w:before="0" w:after="0" w:line="360" w:lineRule="auto"/>
        <w:rPr>
          <w:rFonts w:ascii="宋体" w:hAnsi="宋体" w:eastAsia="宋体" w:cs="宋体"/>
          <w:sz w:val="24"/>
          <w:szCs w:val="24"/>
        </w:rPr>
      </w:pPr>
      <w:r>
        <w:rPr>
          <w:rFonts w:hint="eastAsia" w:ascii="宋体" w:hAnsi="宋体" w:eastAsia="宋体" w:cs="宋体"/>
          <w:sz w:val="24"/>
          <w:szCs w:val="24"/>
        </w:rPr>
        <w:t>供应商（电子签章）：</w:t>
      </w:r>
    </w:p>
    <w:p w14:paraId="2ACB8346">
      <w:pPr>
        <w:pStyle w:val="100"/>
        <w:spacing w:before="0" w:after="0" w:line="360" w:lineRule="auto"/>
        <w:rPr>
          <w:rFonts w:ascii="宋体" w:hAnsi="宋体" w:eastAsia="宋体" w:cs="宋体"/>
          <w:sz w:val="24"/>
          <w:szCs w:val="24"/>
        </w:rPr>
      </w:pPr>
      <w:r>
        <w:rPr>
          <w:rFonts w:hint="eastAsia" w:ascii="宋体" w:hAnsi="宋体" w:eastAsia="宋体" w:cs="宋体"/>
          <w:sz w:val="24"/>
          <w:szCs w:val="24"/>
        </w:rPr>
        <w:t>法定代表人或供应商授权代表（签名或印鉴）：</w:t>
      </w:r>
    </w:p>
    <w:p w14:paraId="6DE6DF6D">
      <w:pPr>
        <w:pStyle w:val="100"/>
        <w:spacing w:before="0" w:after="0" w:line="360" w:lineRule="auto"/>
        <w:rPr>
          <w:rFonts w:ascii="宋体" w:hAnsi="宋体" w:eastAsia="宋体" w:cs="宋体"/>
          <w:sz w:val="24"/>
          <w:szCs w:val="24"/>
        </w:rPr>
      </w:pPr>
      <w:r>
        <w:rPr>
          <w:rFonts w:hint="eastAsia" w:ascii="宋体" w:hAnsi="宋体" w:eastAsia="宋体" w:cs="宋体"/>
          <w:sz w:val="24"/>
          <w:szCs w:val="24"/>
        </w:rPr>
        <w:t>日期：</w:t>
      </w:r>
    </w:p>
    <w:p w14:paraId="589BCF0D">
      <w:pPr>
        <w:pStyle w:val="100"/>
        <w:spacing w:before="0" w:after="0" w:line="360" w:lineRule="auto"/>
        <w:rPr>
          <w:rFonts w:ascii="宋体" w:hAnsi="宋体" w:eastAsia="宋体" w:cs="宋体"/>
          <w:sz w:val="24"/>
          <w:szCs w:val="24"/>
        </w:rPr>
      </w:pPr>
    </w:p>
    <w:p w14:paraId="594A34EB">
      <w:pPr>
        <w:pStyle w:val="100"/>
        <w:spacing w:before="0" w:after="0" w:line="360" w:lineRule="auto"/>
        <w:rPr>
          <w:rFonts w:ascii="宋体" w:hAnsi="宋体" w:eastAsia="宋体" w:cs="宋体"/>
          <w:sz w:val="24"/>
          <w:szCs w:val="24"/>
        </w:rPr>
      </w:pPr>
    </w:p>
    <w:p w14:paraId="08BBBD3C">
      <w:pPr>
        <w:pStyle w:val="100"/>
        <w:spacing w:before="0" w:after="0" w:line="360" w:lineRule="auto"/>
        <w:rPr>
          <w:rFonts w:ascii="宋体" w:hAnsi="宋体" w:eastAsia="宋体" w:cs="宋体"/>
          <w:sz w:val="24"/>
          <w:szCs w:val="24"/>
        </w:rPr>
      </w:pPr>
      <w:r>
        <w:rPr>
          <w:rFonts w:hint="eastAsia" w:ascii="宋体" w:hAnsi="宋体" w:eastAsia="宋体" w:cs="宋体"/>
          <w:sz w:val="24"/>
          <w:szCs w:val="24"/>
        </w:rPr>
        <w:t>注：1．如果按单价计算的结果与总价不一致，以总价为准。</w:t>
      </w:r>
    </w:p>
    <w:p w14:paraId="7B2F5E31">
      <w:pPr>
        <w:pStyle w:val="100"/>
        <w:spacing w:before="0" w:after="0" w:line="360" w:lineRule="auto"/>
        <w:rPr>
          <w:rFonts w:ascii="宋体" w:hAnsi="宋体" w:eastAsia="宋体" w:cs="宋体"/>
          <w:sz w:val="24"/>
          <w:szCs w:val="24"/>
        </w:rPr>
      </w:pPr>
      <w:r>
        <w:rPr>
          <w:rFonts w:hint="eastAsia" w:ascii="宋体" w:hAnsi="宋体" w:eastAsia="宋体" w:cs="宋体"/>
          <w:sz w:val="24"/>
          <w:szCs w:val="24"/>
        </w:rPr>
        <w:t>2．如果不提供详细分项报价将视为没有实质性响应。</w:t>
      </w:r>
    </w:p>
    <w:p w14:paraId="1E831DCD">
      <w:pPr>
        <w:pStyle w:val="100"/>
        <w:spacing w:before="0" w:after="0" w:line="360" w:lineRule="auto"/>
        <w:rPr>
          <w:rFonts w:ascii="宋体" w:hAnsi="宋体" w:eastAsia="宋体" w:cs="宋体"/>
          <w:sz w:val="24"/>
          <w:szCs w:val="24"/>
        </w:rPr>
      </w:pPr>
      <w:r>
        <w:rPr>
          <w:rFonts w:hint="eastAsia" w:ascii="宋体" w:hAnsi="宋体" w:eastAsia="宋体" w:cs="宋体"/>
          <w:sz w:val="24"/>
          <w:szCs w:val="24"/>
        </w:rPr>
        <w:t>3. 供应商对以上数据的真实性负责。</w:t>
      </w:r>
    </w:p>
    <w:bookmarkEnd w:id="623"/>
    <w:bookmarkEnd w:id="624"/>
    <w:p w14:paraId="772E2999">
      <w:pPr>
        <w:pStyle w:val="100"/>
        <w:spacing w:before="0" w:after="0" w:line="360" w:lineRule="auto"/>
        <w:rPr>
          <w:rFonts w:ascii="宋体" w:hAnsi="宋体" w:eastAsia="宋体" w:cs="宋体"/>
          <w:sz w:val="24"/>
          <w:szCs w:val="24"/>
        </w:rPr>
      </w:pPr>
    </w:p>
    <w:p w14:paraId="1306C46D">
      <w:pPr>
        <w:pStyle w:val="100"/>
        <w:spacing w:before="0" w:after="0" w:line="360" w:lineRule="auto"/>
        <w:rPr>
          <w:rFonts w:ascii="宋体" w:hAnsi="宋体" w:eastAsia="宋体" w:cs="宋体"/>
          <w:sz w:val="24"/>
          <w:szCs w:val="24"/>
        </w:rPr>
      </w:pPr>
    </w:p>
    <w:p w14:paraId="7249AC4D">
      <w:pPr>
        <w:pStyle w:val="100"/>
        <w:ind w:firstLine="480"/>
        <w:rPr>
          <w:rFonts w:ascii="宋体" w:hAnsi="宋体" w:eastAsia="宋体" w:cs="宋体"/>
          <w:sz w:val="24"/>
          <w:szCs w:val="24"/>
        </w:rPr>
      </w:pPr>
    </w:p>
    <w:p w14:paraId="46D3F1AB">
      <w:pPr>
        <w:pStyle w:val="322"/>
        <w:spacing w:before="360" w:after="100" w:afterAutospacing="1"/>
        <w:rPr>
          <w:rFonts w:ascii="宋体" w:hAnsi="宋体" w:cs="宋体"/>
          <w:b/>
          <w:bCs/>
          <w:sz w:val="24"/>
        </w:rPr>
      </w:pPr>
      <w:r>
        <w:rPr>
          <w:rFonts w:hint="eastAsia" w:ascii="宋体" w:hAnsi="宋体" w:cs="宋体"/>
          <w:b/>
          <w:bCs/>
          <w:sz w:val="24"/>
        </w:rPr>
        <w:br w:type="page" w:clear="all"/>
      </w:r>
      <w:r>
        <w:rPr>
          <w:rFonts w:hint="eastAsia" w:ascii="宋体" w:hAnsi="宋体" w:cs="宋体"/>
          <w:b/>
          <w:bCs/>
          <w:sz w:val="24"/>
        </w:rPr>
        <w:t>附件三</w:t>
      </w:r>
    </w:p>
    <w:p w14:paraId="37025014">
      <w:pPr>
        <w:pStyle w:val="2"/>
        <w:spacing w:line="300" w:lineRule="exact"/>
        <w:rPr>
          <w:rFonts w:cs="宋体"/>
          <w:bCs/>
          <w:sz w:val="30"/>
          <w:szCs w:val="30"/>
        </w:rPr>
      </w:pPr>
      <w:bookmarkStart w:id="625" w:name="_Toc18211"/>
      <w:bookmarkStart w:id="626" w:name="_Toc5756"/>
      <w:bookmarkStart w:id="627" w:name="_Toc6273"/>
      <w:r>
        <w:rPr>
          <w:rFonts w:hint="eastAsia" w:cs="宋体"/>
          <w:sz w:val="30"/>
          <w:szCs w:val="30"/>
        </w:rPr>
        <w:t>承  诺  书</w:t>
      </w:r>
      <w:bookmarkEnd w:id="625"/>
      <w:bookmarkEnd w:id="626"/>
      <w:bookmarkEnd w:id="627"/>
    </w:p>
    <w:p w14:paraId="22B11972">
      <w:pPr>
        <w:pStyle w:val="100"/>
        <w:spacing w:line="400" w:lineRule="exact"/>
        <w:rPr>
          <w:rFonts w:ascii="宋体" w:hAnsi="宋体" w:eastAsia="宋体" w:cs="宋体"/>
          <w:sz w:val="24"/>
          <w:szCs w:val="24"/>
        </w:rPr>
      </w:pPr>
      <w:r>
        <w:rPr>
          <w:rFonts w:hint="eastAsia" w:ascii="宋体" w:hAnsi="宋体" w:eastAsia="宋体" w:cs="宋体"/>
          <w:sz w:val="24"/>
          <w:szCs w:val="24"/>
        </w:rPr>
        <w:t>致</w:t>
      </w:r>
      <w:r>
        <w:rPr>
          <w:rFonts w:hint="eastAsia" w:ascii="宋体" w:hAnsi="宋体" w:eastAsia="宋体" w:cs="宋体"/>
          <w:sz w:val="24"/>
          <w:szCs w:val="24"/>
          <w:u w:val="single"/>
        </w:rPr>
        <w:t xml:space="preserve">                    （采购人）</w:t>
      </w:r>
      <w:r>
        <w:rPr>
          <w:rFonts w:hint="eastAsia" w:ascii="宋体" w:hAnsi="宋体" w:eastAsia="宋体" w:cs="宋体"/>
          <w:sz w:val="24"/>
          <w:szCs w:val="24"/>
        </w:rPr>
        <w:t>：</w:t>
      </w:r>
    </w:p>
    <w:p w14:paraId="6A9B88CF">
      <w:pPr>
        <w:pStyle w:val="332"/>
        <w:spacing w:line="400" w:lineRule="exact"/>
        <w:ind w:firstLine="480"/>
        <w:rPr>
          <w:rFonts w:ascii="宋体" w:hAnsi="宋体" w:eastAsia="宋体" w:cs="宋体"/>
          <w:sz w:val="24"/>
          <w:szCs w:val="24"/>
        </w:rPr>
      </w:pPr>
      <w:r>
        <w:rPr>
          <w:rFonts w:hint="eastAsia" w:ascii="宋体" w:hAnsi="宋体" w:eastAsia="宋体" w:cs="宋体"/>
          <w:sz w:val="24"/>
          <w:szCs w:val="24"/>
        </w:rPr>
        <w:t>根据贵方《</w:t>
      </w:r>
      <w:r>
        <w:rPr>
          <w:rFonts w:hint="eastAsia" w:ascii="宋体" w:hAnsi="宋体" w:eastAsia="宋体" w:cs="宋体"/>
          <w:bCs/>
          <w:sz w:val="24"/>
          <w:szCs w:val="24"/>
        </w:rPr>
        <w:t>磋商文件</w:t>
      </w:r>
      <w:r>
        <w:rPr>
          <w:rFonts w:hint="eastAsia" w:ascii="宋体" w:hAnsi="宋体" w:eastAsia="宋体" w:cs="宋体"/>
          <w:sz w:val="24"/>
          <w:szCs w:val="24"/>
        </w:rPr>
        <w:t>》（项目编号：             ）要求，本供应商正式提交以下首次响应文件。</w:t>
      </w:r>
    </w:p>
    <w:p w14:paraId="13A4B61F">
      <w:pPr>
        <w:pStyle w:val="332"/>
        <w:spacing w:line="400" w:lineRule="exact"/>
        <w:ind w:firstLine="480"/>
        <w:rPr>
          <w:rFonts w:ascii="宋体" w:hAnsi="宋体" w:eastAsia="宋体" w:cs="宋体"/>
          <w:sz w:val="24"/>
          <w:szCs w:val="24"/>
        </w:rPr>
      </w:pPr>
      <w:r>
        <w:rPr>
          <w:rFonts w:hint="eastAsia" w:ascii="宋体" w:hAnsi="宋体" w:eastAsia="宋体" w:cs="宋体"/>
          <w:sz w:val="24"/>
          <w:szCs w:val="24"/>
        </w:rPr>
        <w:t>我单位符合《中华人民共和国政府采购法》第二十二条的规定，符合本项目供应商资格要求。</w:t>
      </w:r>
    </w:p>
    <w:p w14:paraId="361FFD23">
      <w:pPr>
        <w:pStyle w:val="332"/>
        <w:spacing w:line="400" w:lineRule="exact"/>
        <w:ind w:firstLine="480"/>
        <w:rPr>
          <w:rFonts w:ascii="宋体" w:hAnsi="宋体" w:eastAsia="宋体" w:cs="宋体"/>
          <w:sz w:val="24"/>
          <w:szCs w:val="24"/>
        </w:rPr>
      </w:pPr>
      <w:r>
        <w:rPr>
          <w:rFonts w:hint="eastAsia" w:ascii="宋体" w:hAnsi="宋体" w:eastAsia="宋体" w:cs="宋体"/>
          <w:sz w:val="24"/>
          <w:szCs w:val="24"/>
        </w:rPr>
        <w:t>我单位按照磋商文件的要求编制响应文件，并对其提交的响应文件的真实性、合法性承担法律责任。</w:t>
      </w:r>
    </w:p>
    <w:p w14:paraId="2E079B82">
      <w:pPr>
        <w:pStyle w:val="100"/>
        <w:spacing w:line="400" w:lineRule="exact"/>
        <w:ind w:right="29" w:firstLine="480"/>
        <w:rPr>
          <w:rFonts w:ascii="宋体" w:hAnsi="宋体" w:eastAsia="宋体" w:cs="宋体"/>
          <w:sz w:val="24"/>
          <w:szCs w:val="24"/>
        </w:rPr>
      </w:pPr>
      <w:r>
        <w:rPr>
          <w:rFonts w:hint="eastAsia" w:ascii="宋体" w:hAnsi="宋体" w:eastAsia="宋体" w:cs="宋体"/>
          <w:sz w:val="24"/>
          <w:szCs w:val="24"/>
        </w:rPr>
        <w:t xml:space="preserve">供应商兹宣布同意如下: </w:t>
      </w:r>
    </w:p>
    <w:p w14:paraId="21AEA3FA">
      <w:pPr>
        <w:pStyle w:val="332"/>
        <w:spacing w:line="400" w:lineRule="exact"/>
        <w:ind w:firstLine="480"/>
        <w:rPr>
          <w:rFonts w:ascii="宋体" w:hAnsi="宋体" w:eastAsia="宋体" w:cs="宋体"/>
          <w:sz w:val="24"/>
          <w:szCs w:val="24"/>
        </w:rPr>
      </w:pPr>
      <w:r>
        <w:rPr>
          <w:rFonts w:hint="eastAsia" w:ascii="宋体" w:hAnsi="宋体" w:eastAsia="宋体" w:cs="宋体"/>
          <w:sz w:val="24"/>
          <w:szCs w:val="24"/>
        </w:rPr>
        <mc:AlternateContent>
          <mc:Choice Requires="wps">
            <w:drawing>
              <wp:anchor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4445" r="0" b="5080"/>
                <wp:wrapNone/>
                <wp:docPr id="3" name="直接连接符 2"/>
                <wp:cNvGraphicFramePr/>
                <a:graphic xmlns:a="http://schemas.openxmlformats.org/drawingml/2006/main">
                  <a:graphicData uri="http://schemas.microsoft.com/office/word/2010/wordprocessingShape">
                    <wps:wsp>
                      <wps:cNvCnPr/>
                      <wps:spPr bwMode="auto">
                        <a:xfrm>
                          <a:off x="0" y="0"/>
                          <a:ext cx="635" cy="0"/>
                        </a:xfrm>
                        <a:prstGeom prst="line">
                          <a:avLst/>
                        </a:prstGeom>
                        <a:noFill/>
                        <a:ln>
                          <a:solidFill>
                            <a:srgbClr val="000000"/>
                          </a:solidFill>
                        </a:ln>
                        <a:effectLst/>
                      </wps:spPr>
                      <wps:bodyPr/>
                    </wps:wsp>
                  </a:graphicData>
                </a:graphic>
              </wp:anchor>
            </w:drawing>
          </mc:Choice>
          <mc:Fallback>
            <w:pict>
              <v:line id="直接连接符 2" o:spid="_x0000_s1026" o:spt="20" style="position:absolute;left:0pt;margin-left:246.75pt;margin-top:23.4pt;height:0pt;width:0.05pt;z-index:251660288;mso-width-relative:page;mso-height-relative:page;" filled="f" stroked="t" coordsize="21600,21600" o:allowincell="f" o:gfxdata="UEsDBAoAAAAAAIdO4kAAAAAAAAAAAAAAAAAEAAAAZHJzL1BLAwQUAAAACACHTuJAWC3oPNUAAAAJ&#10;AQAADwAAAGRycy9kb3ducmV2LnhtbE2PT0/DMAzF70h8h8hIXKYt2QYVlKY7AL1xYTBx9RrTVjRO&#10;12R/4NNjxAFu9vPT8+8Vq5Pv1YHG2AW2MJ8ZUMR1cB03Fl5fqukNqJiQHfaBycInRViV52cF5i4c&#10;+ZkO69QoCeGYo4U2pSHXOtYteYyzMBDL7T2MHpOsY6PdiEcJ971eGJNpjx3LhxYHum+p/ljvvYVY&#10;bWhXfU3qiXlbNoEWu4enR7T28mJu7kAlOqU/M/zgCzqUwrQNe3ZR9RaubpfXYpUhkwpiECEDtf0V&#10;dFno/w3Kb1BLAwQUAAAACACHTuJAYONN9L4BAABvAwAADgAAAGRycy9lMm9Eb2MueG1srVM7bhsx&#10;EO0D5A4Ee2tlGTGChVYuLNhNPgaSHGDE5WoJkByCQ2mlS+QCAdIlVcr0uU2cY2TIlQTBaVxkC4Lz&#10;OPOG7w13frNzVmx1JIO+kZeTqRTaK2yNXzfy08e7i9dSUALfgkWvG7nXJG8WL1/Mh1DrGfZoWx0F&#10;k3iqh9DIPqVQVxWpXjugCQbt+bDD6CBxGNdVG2Fgdmer2XR6XQ0Y2xBRaSJGl+OhPDDG5xBi1xml&#10;l6g2Tvs0skZtIbEk6k0guSi37Tqt0vuuI52EbSQrTWXlJrxf5bVazKFeRwi9UYcrwHOu8ESTA+O5&#10;6YlqCQnEJpp/qJxREQm7NFHoqlFIcYRVXE6fePOhh6CLFraawsl0+n+06t32IQrTNvJKCg+OB/74&#10;5efvz9/+/PrK6+OP72KWTRoC1Zx76x/iIaLAhavhLbZcA5uERf+uiy77wMrErti8P9msd0koBq+v&#10;XkmhjngF9bEoREr3Gp3Im0Za47N6qGH7hhK35dRjSoY93hlrywStzwChNW3GShDXq1sbxRby6MuX&#10;hTDHWRpHY6kub+XQJovN8kbZK2z3RXWVcZ5DITm8mTzo85j35//J4i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BYLeg81QAAAAkBAAAPAAAAAAAAAAEAIAAAACIAAABkcnMvZG93bnJldi54bWxQSwEC&#10;FAAUAAAACACHTuJAYONN9L4BAABvAwAADgAAAAAAAAABACAAAAAkAQAAZHJzL2Uyb0RvYy54bWxQ&#10;SwUGAAAAAAYABgBZAQAAVAUAAAAA&#10;">
                <v:fill on="f" focussize="0,0"/>
                <v:stroke color="#000000" joinstyle="round"/>
                <v:imagedata o:title=""/>
                <o:lock v:ext="edit" aspectratio="f"/>
              </v:line>
            </w:pict>
          </mc:Fallback>
        </mc:AlternateContent>
      </w:r>
      <w:r>
        <w:rPr>
          <w:rFonts w:hint="eastAsia" w:ascii="宋体" w:hAnsi="宋体" w:eastAsia="宋体" w:cs="宋体"/>
          <w:sz w:val="24"/>
          <w:szCs w:val="24"/>
        </w:rPr>
        <mc:AlternateContent>
          <mc:Choice Requires="wps">
            <w:drawing>
              <wp:anchor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4445" r="0" b="5080"/>
                <wp:wrapNone/>
                <wp:docPr id="4" name="直接连接符 3"/>
                <wp:cNvGraphicFramePr/>
                <a:graphic xmlns:a="http://schemas.openxmlformats.org/drawingml/2006/main">
                  <a:graphicData uri="http://schemas.microsoft.com/office/word/2010/wordprocessingShape">
                    <wps:wsp>
                      <wps:cNvCnPr/>
                      <wps:spPr bwMode="auto">
                        <a:xfrm>
                          <a:off x="0" y="0"/>
                          <a:ext cx="635" cy="0"/>
                        </a:xfrm>
                        <a:prstGeom prst="line">
                          <a:avLst/>
                        </a:prstGeom>
                        <a:noFill/>
                        <a:ln>
                          <a:solidFill>
                            <a:srgbClr val="000000"/>
                          </a:solidFill>
                        </a:ln>
                        <a:effectLst/>
                      </wps:spPr>
                      <wps:bodyPr/>
                    </wps:wsp>
                  </a:graphicData>
                </a:graphic>
              </wp:anchor>
            </w:drawing>
          </mc:Choice>
          <mc:Fallback>
            <w:pict>
              <v:line id="直接连接符 3" o:spid="_x0000_s1026" o:spt="20" style="position:absolute;left:0pt;margin-left:220.5pt;margin-top:46.8pt;height:0pt;width:0.05pt;z-index:251661312;mso-width-relative:page;mso-height-relative:page;" filled="f" stroked="t" coordsize="21600,21600" o:allowincell="f" o:gfxdata="UEsDBAoAAAAAAIdO4kAAAAAAAAAAAAAAAAAEAAAAZHJzL1BLAwQUAAAACACHTuJAk/a6W9YAAAAJ&#10;AQAADwAAAGRycy9kb3ducmV2LnhtbE2PzU7DMBCE70i8g7VIXCpqp62qEuL0AOTGhQLqdRsvSUS8&#10;TmP3B56eRRzguLOjmW+K9dn36khj7AJbyKYGFHEdXMeNhdeX6mYFKiZkh31gsvBJEdbl5UWBuQsn&#10;fqbjJjVKQjjmaKFNaci1jnVLHuM0DMTyew+jxyTn2Gg34knCfa9nxiy1x46locWB7luqPzYHbyFW&#10;b7Svvib1xGznTaDZ/uHpEa29vsrMHahE5/Rnhh98QYdSmHbhwC6q3sJikcmWZOF2vgQlBhEyULtf&#10;QZeF/r+g/AZQSwMEFAAAAAgAh07iQDsDIDO/AQAAbwMAAA4AAABkcnMvZTJvRG9jLnhtbK1TO24b&#10;MRDtA/gOBHtrZTsxgoVWLiw4TT4GkhxgxOVqCZAcgkNppUvkAgHSJVXK9LlN7GNkSK0EwWlcZAuC&#10;8zjzhu8Nd3azdVZsdCSDvpEXk6kU2itsjV818vOnu/PXUlAC34JFrxu50yRv5mcvZkOo9SX2aFsd&#10;BZN4qofQyD6lUFcVqV47oAkG7fmww+ggcRhXVRthYHZnq8vp9LoaMLYhotJEjC72h3JkjM8hxK4z&#10;Si9QrZ32ac8atYXEkqg3geS83LbrtEofuo50EraRrDSVlZvwfpnXaj6DehUh9EaNV4DnXOGJJgfG&#10;c9Mj1QISiHU0/1A5oyISdmmi0FV7IcURVnExfeLNxx6CLlrYagpH0+n/0ar3m/soTNvIl1J4cDzw&#10;h6+//nz5/vj7G68PP3+Iq2zSEKjm3Ft/H8eIAhcuh3fYcg2sExb92y667AMrE9ti8+5os94moRi8&#10;vnolhTrgFdSHohApvdHoRN400hqf1UMNm7eUuC2nHlIy7PHOWFsmaH0GCK1pM1aCuFre2ig2kEdf&#10;viyEOU7SONqX6vJWxjZZbJa3l73EdldUVxnnORSS8c3kQZ/GvD/9T+Z/A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JP2ulvWAAAACQEAAA8AAAAAAAAAAQAgAAAAIgAAAGRycy9kb3ducmV2LnhtbFBL&#10;AQIUABQAAAAIAIdO4kA7AyAzvwEAAG8DAAAOAAAAAAAAAAEAIAAAACUBAABkcnMvZTJvRG9jLnht&#10;bFBLBQYAAAAABgAGAFkBAABWBQAAAAA=&#10;">
                <v:fill on="f" focussize="0,0"/>
                <v:stroke color="#000000" joinstyle="round"/>
                <v:imagedata o:title=""/>
                <o:lock v:ext="edit" aspectratio="f"/>
              </v:line>
            </w:pict>
          </mc:Fallback>
        </mc:AlternateContent>
      </w:r>
      <w:r>
        <w:rPr>
          <w:rFonts w:hint="eastAsia" w:ascii="宋体" w:hAnsi="宋体" w:eastAsia="宋体" w:cs="宋体"/>
          <w:sz w:val="24"/>
          <w:szCs w:val="24"/>
        </w:rPr>
        <w:t>一、完全承担根据《磋商文件》规定完成合同的责任和义务（如有偏离，将全部填写在偏离表中）。</w:t>
      </w:r>
    </w:p>
    <w:p w14:paraId="1CF1C47B">
      <w:pPr>
        <w:pStyle w:val="332"/>
        <w:spacing w:line="400" w:lineRule="exact"/>
        <w:ind w:firstLine="480"/>
        <w:rPr>
          <w:rFonts w:ascii="宋体" w:hAnsi="宋体" w:eastAsia="宋体" w:cs="宋体"/>
          <w:sz w:val="24"/>
          <w:szCs w:val="24"/>
        </w:rPr>
      </w:pPr>
      <w:r>
        <w:rPr>
          <w:rFonts w:hint="eastAsia" w:ascii="宋体" w:hAnsi="宋体" w:eastAsia="宋体" w:cs="宋体"/>
          <w:sz w:val="24"/>
          <w:szCs w:val="24"/>
        </w:rPr>
        <mc:AlternateContent>
          <mc:Choice Requires="wps">
            <w:drawing>
              <wp:anchor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5" name="直接连接符 4"/>
                <wp:cNvGraphicFramePr/>
                <a:graphic xmlns:a="http://schemas.openxmlformats.org/drawingml/2006/main">
                  <a:graphicData uri="http://schemas.microsoft.com/office/word/2010/wordprocessingShape">
                    <wps:wsp>
                      <wps:cNvCnPr/>
                      <wps:spPr bwMode="auto">
                        <a:xfrm>
                          <a:off x="0" y="0"/>
                          <a:ext cx="635" cy="0"/>
                        </a:xfrm>
                        <a:prstGeom prst="line">
                          <a:avLst/>
                        </a:prstGeom>
                        <a:noFill/>
                        <a:ln>
                          <a:solidFill>
                            <a:srgbClr val="000000"/>
                          </a:solidFill>
                        </a:ln>
                        <a:effectLst/>
                      </wps:spPr>
                      <wps:bodyPr/>
                    </wps:wsp>
                  </a:graphicData>
                </a:graphic>
              </wp:anchor>
            </w:drawing>
          </mc:Choice>
          <mc:Fallback>
            <w:pict>
              <v:line id="直接连接符 4" o:spid="_x0000_s1026" o:spt="20" style="position:absolute;left:0pt;margin-left:210pt;margin-top:19.5pt;height:0pt;width:0.05pt;z-index:251662336;mso-width-relative:page;mso-height-relative:page;" filled="f" stroked="t" coordsize="21600,21600" o:allowincell="f" o:gfxdata="UEsDBAoAAAAAAIdO4kAAAAAAAAAAAAAAAAAEAAAAZHJzL1BLAwQUAAAACACHTuJAuHo1ANUAAAAJ&#10;AQAADwAAAGRycy9kb3ducmV2LnhtbE2PT0/DMAzF70j7DpGRuEws6YYQlKY7DHrjsgHi6jWmrWic&#10;rsn+wKefEQc4WX7v6fnnYnnyvTrQGLvAFrKZAUVcB9dxY+H1pbq+AxUTssM+MFn4ogjLcnJRYO7C&#10;kdd02KRGSQnHHC20KQ251rFuyWOchYFYvI8wekyyjo12Ix6l3Pd6bsyt9tixXGhxoFVL9edm7y3E&#10;6o121fe0npr3RRNovnt8fkJrry4z8wAq0Sn9heEHX9ChFKZt2LOLqrdwI/UStbC4lykBETJQ219B&#10;l4X+/0F5BlBLAwQUAAAACACHTuJALi2Z470BAABvAwAADgAAAGRycy9lMm9Eb2MueG1srVNLjhMx&#10;EN0jcQfLe9KZAUaolc4sJho2fEYCDlBxu9OWbJflctLJJbgAEjtYsWTPbRiOQdndiaJhMwt6Ybme&#10;q175vXIvrvfOip2OZNA38mI2l0J7ha3xm0Z++nj77JUUlMC3YNHrRh40yevl0yeLIdT6Enu0rY6C&#10;STzVQ2hkn1Koq4pUrx3QDIP2fNhhdJA4jJuqjTAwu7PV5Xx+VQ0Y2xBRaSJGV+OhnBjjYwix64zS&#10;K1Rbp30aWaO2kFgS9SaQXJbbdp1W6X3XkU7CNpKVprJyE96v81otF1BvIoTeqOkK8JgrPNDkwHhu&#10;eqJaQQKxjeYfKmdURMIuzRS6ahRSHGEVF/MH3nzoIeiiha2mcDKd/h+tere7i8K0jXwphQfHA7//&#10;8vP3529/fn3l9f7Hd/EimzQEqjn3xt/FKaLAhevhLbZcA9uERf++iy77wMrEvth8ONms90koBq+e&#10;cy91xCuoj0UhUnqt0Ym8aaQ1PquHGnZvKHFbTj2mZNjjrbG2TND6DBBa02asBHGzvrFR7CCPvnxZ&#10;CHOcpXE0luryVqY2WWyWN8peY3soqquM8xwKyfRm8qDPY96f/yfLv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Lh6NQDVAAAACQEAAA8AAAAAAAAAAQAgAAAAIgAAAGRycy9kb3ducmV2LnhtbFBLAQIU&#10;ABQAAAAIAIdO4kAuLZnjvQEAAG8DAAAOAAAAAAAAAAEAIAAAACQBAABkcnMvZTJvRG9jLnhtbFBL&#10;BQYAAAAABgAGAFkBAABTBQAAAAA=&#10;">
                <v:fill on="f" focussize="0,0"/>
                <v:stroke color="#000000" joinstyle="round"/>
                <v:imagedata o:title=""/>
                <o:lock v:ext="edit" aspectratio="f"/>
              </v:line>
            </w:pict>
          </mc:Fallback>
        </mc:AlternateContent>
      </w:r>
      <w:r>
        <w:rPr>
          <w:rFonts w:hint="eastAsia" w:ascii="宋体" w:hAnsi="宋体" w:eastAsia="宋体" w:cs="宋体"/>
          <w:sz w:val="24"/>
          <w:szCs w:val="24"/>
        </w:rPr>
        <mc:AlternateContent>
          <mc:Choice Requires="wps">
            <w:drawing>
              <wp:anchor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6" name="直接连接符 5"/>
                <wp:cNvGraphicFramePr/>
                <a:graphic xmlns:a="http://schemas.openxmlformats.org/drawingml/2006/main">
                  <a:graphicData uri="http://schemas.microsoft.com/office/word/2010/wordprocessingShape">
                    <wps:wsp>
                      <wps:cNvCnPr/>
                      <wps:spPr bwMode="auto">
                        <a:xfrm>
                          <a:off x="0" y="0"/>
                          <a:ext cx="635" cy="0"/>
                        </a:xfrm>
                        <a:prstGeom prst="line">
                          <a:avLst/>
                        </a:prstGeom>
                        <a:noFill/>
                        <a:ln>
                          <a:solidFill>
                            <a:srgbClr val="000000"/>
                          </a:solidFill>
                        </a:ln>
                        <a:effectLst/>
                      </wps:spPr>
                      <wps:bodyPr/>
                    </wps:wsp>
                  </a:graphicData>
                </a:graphic>
              </wp:anchor>
            </w:drawing>
          </mc:Choice>
          <mc:Fallback>
            <w:pict>
              <v:line id="直接连接符 5" o:spid="_x0000_s1026" o:spt="20" style="position:absolute;left:0pt;margin-left:210pt;margin-top:19.5pt;height:0pt;width:0.05pt;z-index:251663360;mso-width-relative:page;mso-height-relative:page;" filled="f" stroked="t" coordsize="21600,21600" o:allowincell="f" o:gfxdata="UEsDBAoAAAAAAIdO4kAAAAAAAAAAAAAAAAAEAAAAZHJzL1BLAwQUAAAACACHTuJAuHo1ANUAAAAJ&#10;AQAADwAAAGRycy9kb3ducmV2LnhtbE2PT0/DMAzF70j7DpGRuEws6YYQlKY7DHrjsgHi6jWmrWic&#10;rsn+wKefEQc4WX7v6fnnYnnyvTrQGLvAFrKZAUVcB9dxY+H1pbq+AxUTssM+MFn4ogjLcnJRYO7C&#10;kdd02KRGSQnHHC20KQ251rFuyWOchYFYvI8wekyyjo12Ix6l3Pd6bsyt9tixXGhxoFVL9edm7y3E&#10;6o121fe0npr3RRNovnt8fkJrry4z8wAq0Sn9heEHX9ChFKZt2LOLqrdwI/UStbC4lykBETJQ219B&#10;l4X+/0F5BlBLAwQUAAAACACHTuJA5Bo2yL4BAABvAwAADgAAAGRycy9lMm9Eb2MueG1srVM7bhsx&#10;EO0D5A4E+2hlGxaChVYuLNhNPgaSHGDE5WoJkByCQ2mlS+QCAdIlVcr0uU2cY2TIlQTBaVxkC4Lz&#10;OPOG7w13frNzVmx1JIO+kReTqRTaK2yNXzfy08e7V6+loAS+BYteN3KvSd4sXr6YD6HWl9ijbXUU&#10;TOKpHkIj+5RCXVWkeu2AJhi058MOo4PEYVxXbYSB2Z2tLqfTWTVgbENEpYkYXY6H8sAYn0OIXWeU&#10;XqLaOO3TyBq1hcSSqDeB5KLctuu0Su+7jnQStpGsNJWVm/B+lddqMYd6HSH0Rh2uAM+5whNNDozn&#10;pieqJSQQm2j+oXJGRSTs0kShq0YhxRFWcTF94s2HHoIuWthqCifT6f/RqnfbhyhM28iZFB4cD/zx&#10;y8/fn7/9+fWV18cf38V1NmkIVHPurX+Ih4gCF66Gt9hyDWwSFv27LrrsAysTu2Lz/mSz3iWhGJxd&#10;XUuhjngF9bEoREr3Gp3Im0Za47N6qGH7hhK35dRjSoY93hlrywStzwChNW3GShDXq1sbxRby6MuX&#10;hTDHWRpHY6kub+XQJovN8kbZK2z3RXWVcZ5DITm8mTzo85j35//J4i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C4ejUA1QAAAAkBAAAPAAAAAAAAAAEAIAAAACIAAABkcnMvZG93bnJldi54bWxQSwEC&#10;FAAUAAAACACHTuJA5Bo2yL4BAABvAwAADgAAAAAAAAABACAAAAAkAQAAZHJzL2Uyb0RvYy54bWxQ&#10;SwUGAAAAAAYABgBZAQAAVAUAAAAA&#10;">
                <v:fill on="f" focussize="0,0"/>
                <v:stroke color="#000000" joinstyle="round"/>
                <v:imagedata o:title=""/>
                <o:lock v:ext="edit" aspectratio="f"/>
              </v:line>
            </w:pict>
          </mc:Fallback>
        </mc:AlternateContent>
      </w:r>
      <w:r>
        <w:rPr>
          <w:rFonts w:hint="eastAsia" w:ascii="宋体" w:hAnsi="宋体" w:eastAsia="宋体" w:cs="宋体"/>
          <w:sz w:val="24"/>
          <w:szCs w:val="24"/>
        </w:rPr>
        <w:t>二、保证所提供的响应文件及所有材料的真实、合法、有效，并对其负责。</w:t>
      </w:r>
    </w:p>
    <w:p w14:paraId="7279A825">
      <w:pPr>
        <w:pStyle w:val="100"/>
        <w:spacing w:line="400" w:lineRule="exact"/>
        <w:ind w:firstLine="480"/>
        <w:rPr>
          <w:rFonts w:ascii="宋体" w:hAnsi="宋体" w:eastAsia="宋体" w:cs="宋体"/>
          <w:sz w:val="24"/>
          <w:szCs w:val="24"/>
        </w:rPr>
      </w:pPr>
      <w:r>
        <w:rPr>
          <w:rFonts w:hint="eastAsia" w:ascii="宋体" w:hAnsi="宋体" w:eastAsia="宋体" w:cs="宋体"/>
          <w:sz w:val="24"/>
          <w:szCs w:val="24"/>
        </w:rPr>
        <w:t>三、已详细审核竞争性磋商文件（含竞争性磋商文件的澄清或者修改），本供应商完全理解并同意放弃对这方面不明及误解的权利。</w:t>
      </w:r>
    </w:p>
    <w:p w14:paraId="72DA1262">
      <w:pPr>
        <w:pStyle w:val="100"/>
        <w:spacing w:line="400" w:lineRule="exact"/>
        <w:ind w:right="29" w:firstLine="480"/>
        <w:rPr>
          <w:rFonts w:ascii="宋体" w:hAnsi="宋体" w:eastAsia="宋体" w:cs="宋体"/>
          <w:sz w:val="24"/>
          <w:szCs w:val="24"/>
        </w:rPr>
      </w:pPr>
      <w:r>
        <w:rPr>
          <w:rFonts w:hint="eastAsia" w:ascii="宋体" w:hAnsi="宋体" w:eastAsia="宋体" w:cs="宋体"/>
          <w:sz w:val="24"/>
          <w:szCs w:val="24"/>
        </w:rPr>
        <w:t>四、报价有效期为60日。</w:t>
      </w:r>
    </w:p>
    <w:p w14:paraId="56380967">
      <w:pPr>
        <w:pStyle w:val="100"/>
        <w:spacing w:line="400" w:lineRule="exact"/>
        <w:ind w:right="29" w:firstLine="480"/>
        <w:rPr>
          <w:rFonts w:ascii="宋体" w:hAnsi="宋体" w:eastAsia="宋体" w:cs="宋体"/>
          <w:sz w:val="24"/>
          <w:szCs w:val="24"/>
        </w:rPr>
      </w:pPr>
      <w:r>
        <w:rPr>
          <w:rFonts w:hint="eastAsia" w:ascii="宋体" w:hAnsi="宋体" w:eastAsia="宋体" w:cs="宋体"/>
          <w:sz w:val="24"/>
          <w:szCs w:val="24"/>
        </w:rPr>
        <w:t>五、同意向贵方提供贵方可能要求的与本次磋商采购有关的任何证据或资料。</w:t>
      </w:r>
    </w:p>
    <w:p w14:paraId="785805E4">
      <w:pPr>
        <w:pStyle w:val="100"/>
        <w:spacing w:line="400" w:lineRule="exact"/>
        <w:ind w:right="29" w:firstLine="480"/>
        <w:rPr>
          <w:rFonts w:ascii="宋体" w:hAnsi="宋体" w:eastAsia="宋体" w:cs="宋体"/>
          <w:sz w:val="24"/>
          <w:szCs w:val="24"/>
        </w:rPr>
      </w:pPr>
      <w:r>
        <w:rPr>
          <w:rFonts w:hint="eastAsia" w:ascii="宋体" w:hAnsi="宋体" w:eastAsia="宋体" w:cs="宋体"/>
          <w:sz w:val="24"/>
          <w:szCs w:val="24"/>
        </w:rPr>
        <w:t>六、完全理解贵方不一定要接受最低的报价或收到的任何报价。</w:t>
      </w:r>
    </w:p>
    <w:p w14:paraId="133EBDC0">
      <w:pPr>
        <w:pStyle w:val="100"/>
        <w:spacing w:line="400" w:lineRule="exact"/>
        <w:ind w:right="29" w:firstLine="480"/>
        <w:rPr>
          <w:rFonts w:ascii="宋体" w:hAnsi="宋体" w:eastAsia="宋体" w:cs="宋体"/>
          <w:sz w:val="24"/>
          <w:szCs w:val="24"/>
        </w:rPr>
      </w:pPr>
      <w:r>
        <w:rPr>
          <w:rFonts w:hint="eastAsia" w:ascii="宋体" w:hAnsi="宋体" w:eastAsia="宋体" w:cs="宋体"/>
          <w:sz w:val="24"/>
          <w:szCs w:val="24"/>
        </w:rPr>
        <w:t>七、本公司拟派往本工程的项目经理现阶段没有担任其他在建建设工程项目的项目经理。</w:t>
      </w:r>
    </w:p>
    <w:p w14:paraId="72A8E5C6">
      <w:pPr>
        <w:pStyle w:val="100"/>
        <w:spacing w:line="400" w:lineRule="exact"/>
        <w:ind w:right="29" w:firstLine="480"/>
        <w:rPr>
          <w:rFonts w:ascii="宋体" w:hAnsi="宋体" w:eastAsia="宋体" w:cs="宋体"/>
          <w:sz w:val="24"/>
          <w:szCs w:val="24"/>
        </w:rPr>
      </w:pPr>
      <w:r>
        <w:rPr>
          <w:rFonts w:hint="eastAsia" w:ascii="宋体" w:hAnsi="宋体" w:eastAsia="宋体" w:cs="宋体"/>
          <w:sz w:val="24"/>
          <w:szCs w:val="24"/>
        </w:rPr>
        <w:t>八、如我单位被确定为中标、成交供应商，代理机构有权将我单位本项目响应文件中的《中小企业声明函》（如有），《残疾人福利性单位声明函》（如有）和我单位注册所在县扶贫部门出具的聘用建档立卡贫困人员具体数量的证明（如有）作为《中标（成交）结果公告》的附件予以公告。</w:t>
      </w:r>
    </w:p>
    <w:p w14:paraId="1E8B00E9">
      <w:pPr>
        <w:pStyle w:val="100"/>
        <w:spacing w:line="400" w:lineRule="exact"/>
        <w:ind w:right="29" w:firstLine="480"/>
        <w:rPr>
          <w:rFonts w:ascii="宋体" w:hAnsi="宋体" w:eastAsia="宋体" w:cs="宋体"/>
          <w:sz w:val="24"/>
          <w:szCs w:val="24"/>
        </w:rPr>
      </w:pPr>
      <w:r>
        <w:rPr>
          <w:rFonts w:hint="eastAsia" w:ascii="宋体" w:hAnsi="宋体" w:eastAsia="宋体" w:cs="宋体"/>
          <w:sz w:val="24"/>
          <w:szCs w:val="24"/>
        </w:rPr>
        <w:t>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p>
    <w:p w14:paraId="36592CC3">
      <w:pPr>
        <w:pStyle w:val="100"/>
        <w:spacing w:line="400" w:lineRule="exact"/>
        <w:ind w:right="29" w:firstLine="480"/>
        <w:rPr>
          <w:rFonts w:ascii="宋体" w:hAnsi="宋体" w:eastAsia="宋体" w:cs="宋体"/>
          <w:sz w:val="24"/>
          <w:szCs w:val="24"/>
        </w:rPr>
      </w:pPr>
      <w:r>
        <w:rPr>
          <w:rFonts w:hint="eastAsia" w:ascii="宋体" w:hAnsi="宋体" w:eastAsia="宋体" w:cs="宋体"/>
          <w:sz w:val="24"/>
          <w:szCs w:val="24"/>
        </w:rPr>
        <w:t>供应商（电子签章）：</w:t>
      </w:r>
    </w:p>
    <w:p w14:paraId="3CF15D55">
      <w:pPr>
        <w:pStyle w:val="100"/>
        <w:spacing w:line="400" w:lineRule="exact"/>
        <w:ind w:right="29" w:firstLine="480"/>
        <w:rPr>
          <w:rFonts w:ascii="宋体" w:hAnsi="宋体" w:eastAsia="宋体" w:cs="宋体"/>
          <w:sz w:val="24"/>
          <w:szCs w:val="24"/>
        </w:rPr>
      </w:pPr>
      <w:r>
        <w:rPr>
          <w:rFonts w:hint="eastAsia" w:ascii="宋体" w:hAnsi="宋体" w:eastAsia="宋体" w:cs="宋体"/>
          <w:sz w:val="24"/>
          <w:szCs w:val="24"/>
        </w:rPr>
        <w:t>法定代表人或授权代表（签名或印鉴）：</w:t>
      </w:r>
    </w:p>
    <w:p w14:paraId="50EBE8E3">
      <w:pPr>
        <w:pStyle w:val="100"/>
        <w:spacing w:line="400" w:lineRule="exact"/>
        <w:ind w:right="29" w:firstLine="480"/>
        <w:rPr>
          <w:rFonts w:ascii="宋体" w:hAnsi="宋体" w:eastAsia="宋体" w:cs="宋体"/>
          <w:sz w:val="24"/>
          <w:szCs w:val="24"/>
        </w:rPr>
      </w:pPr>
      <w:r>
        <w:rPr>
          <w:rFonts w:hint="eastAsia" w:ascii="宋体" w:hAnsi="宋体" w:eastAsia="宋体" w:cs="宋体"/>
          <w:sz w:val="24"/>
          <w:szCs w:val="24"/>
        </w:rPr>
        <w:t>联系电话：</w:t>
      </w:r>
    </w:p>
    <w:p w14:paraId="6956EB01">
      <w:pPr>
        <w:pStyle w:val="100"/>
        <w:spacing w:line="400" w:lineRule="exact"/>
        <w:ind w:firstLine="480"/>
        <w:rPr>
          <w:rFonts w:ascii="宋体" w:hAnsi="宋体" w:eastAsia="宋体" w:cs="宋体"/>
          <w:sz w:val="24"/>
          <w:szCs w:val="24"/>
        </w:rPr>
      </w:pPr>
      <w:r>
        <w:rPr>
          <w:rFonts w:hint="eastAsia" w:ascii="宋体" w:hAnsi="宋体" w:eastAsia="宋体" w:cs="宋体"/>
          <w:sz w:val="24"/>
          <w:szCs w:val="24"/>
        </w:rPr>
        <w:t>移动电话：</w:t>
      </w:r>
    </w:p>
    <w:p w14:paraId="2AEFF67B">
      <w:pPr>
        <w:pStyle w:val="322"/>
        <w:spacing w:line="400" w:lineRule="exact"/>
        <w:ind w:right="28" w:firstLine="480"/>
        <w:rPr>
          <w:rFonts w:ascii="宋体" w:hAnsi="宋体" w:cs="宋体"/>
          <w:sz w:val="24"/>
        </w:rPr>
      </w:pPr>
      <w:r>
        <w:rPr>
          <w:rFonts w:hint="eastAsia" w:ascii="宋体" w:hAnsi="宋体" w:cs="宋体"/>
          <w:sz w:val="24"/>
        </w:rPr>
        <w:t>日期：   年   月   日</w:t>
      </w:r>
    </w:p>
    <w:p w14:paraId="5B9BBCCA">
      <w:pPr>
        <w:pStyle w:val="322"/>
        <w:rPr>
          <w:rFonts w:ascii="宋体" w:hAnsi="宋体" w:cs="宋体"/>
          <w:sz w:val="24"/>
        </w:rPr>
      </w:pPr>
      <w:r>
        <w:rPr>
          <w:rFonts w:hint="eastAsia" w:ascii="宋体" w:hAnsi="宋体" w:cs="宋体"/>
          <w:sz w:val="24"/>
        </w:rPr>
        <w:t>附件四</w:t>
      </w:r>
    </w:p>
    <w:p w14:paraId="4FB7D51F">
      <w:pPr>
        <w:pStyle w:val="2"/>
        <w:rPr>
          <w:rFonts w:cs="宋体"/>
          <w:szCs w:val="24"/>
        </w:rPr>
      </w:pPr>
      <w:bookmarkStart w:id="628" w:name="_Toc30554"/>
      <w:bookmarkStart w:id="629" w:name="_Toc21294"/>
      <w:bookmarkStart w:id="630" w:name="_Toc23499"/>
      <w:r>
        <w:rPr>
          <w:rFonts w:hint="eastAsia" w:cs="宋体"/>
        </w:rPr>
        <w:t>偏 离 表</w:t>
      </w:r>
      <w:bookmarkEnd w:id="628"/>
      <w:bookmarkEnd w:id="629"/>
      <w:bookmarkEnd w:id="630"/>
    </w:p>
    <w:p w14:paraId="2D35267F">
      <w:pPr>
        <w:pStyle w:val="100"/>
        <w:rPr>
          <w:rFonts w:ascii="宋体" w:hAnsi="宋体" w:eastAsia="宋体" w:cs="宋体"/>
          <w:sz w:val="24"/>
          <w:szCs w:val="24"/>
        </w:rPr>
      </w:pPr>
      <w:r>
        <w:rPr>
          <w:rFonts w:hint="eastAsia" w:ascii="宋体" w:hAnsi="宋体" w:eastAsia="宋体" w:cs="宋体"/>
          <w:sz w:val="24"/>
          <w:szCs w:val="24"/>
        </w:rPr>
        <w:t>项目名称：</w:t>
      </w:r>
    </w:p>
    <w:p w14:paraId="6940770B">
      <w:pPr>
        <w:pStyle w:val="100"/>
        <w:spacing w:line="0" w:lineRule="atLeast"/>
        <w:rPr>
          <w:rFonts w:ascii="宋体" w:hAnsi="宋体" w:eastAsia="宋体" w:cs="宋体"/>
          <w:sz w:val="24"/>
          <w:szCs w:val="24"/>
        </w:rPr>
      </w:pPr>
      <w:r>
        <w:rPr>
          <w:rFonts w:hint="eastAsia" w:ascii="宋体" w:hAnsi="宋体" w:eastAsia="宋体" w:cs="宋体"/>
          <w:sz w:val="24"/>
          <w:szCs w:val="24"/>
        </w:rPr>
        <w:t>项目编号：</w:t>
      </w:r>
    </w:p>
    <w:p w14:paraId="4EC9DA2A">
      <w:pPr>
        <w:pStyle w:val="100"/>
        <w:spacing w:line="0" w:lineRule="atLeast"/>
        <w:rPr>
          <w:rFonts w:ascii="宋体" w:hAnsi="宋体" w:eastAsia="宋体" w:cs="宋体"/>
          <w:sz w:val="24"/>
          <w:szCs w:val="24"/>
        </w:rPr>
      </w:pPr>
    </w:p>
    <w:tbl>
      <w:tblPr>
        <w:tblStyle w:val="54"/>
        <w:tblW w:w="5000"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top w:w="0" w:type="dxa"/>
          <w:left w:w="108" w:type="dxa"/>
          <w:bottom w:w="0" w:type="dxa"/>
          <w:right w:w="108" w:type="dxa"/>
        </w:tblCellMar>
      </w:tblPr>
      <w:tblGrid>
        <w:gridCol w:w="904"/>
        <w:gridCol w:w="982"/>
        <w:gridCol w:w="2717"/>
        <w:gridCol w:w="1603"/>
        <w:gridCol w:w="1375"/>
        <w:gridCol w:w="2159"/>
      </w:tblGrid>
      <w:tr w14:paraId="184B13A9">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1190" w:hRule="atLeast"/>
        </w:trPr>
        <w:tc>
          <w:tcPr>
            <w:tcW w:w="464" w:type="pct"/>
            <w:tcBorders>
              <w:top w:val="single" w:color="000000" w:sz="6" w:space="0"/>
              <w:left w:val="single" w:color="000000" w:sz="6" w:space="0"/>
              <w:bottom w:val="single" w:color="000000" w:sz="6" w:space="0"/>
              <w:right w:val="single" w:color="000000" w:sz="6" w:space="0"/>
            </w:tcBorders>
            <w:vAlign w:val="center"/>
          </w:tcPr>
          <w:p w14:paraId="0F702C5A">
            <w:pPr>
              <w:pStyle w:val="100"/>
              <w:ind w:firstLine="0"/>
              <w:jc w:val="center"/>
              <w:rPr>
                <w:rFonts w:ascii="宋体" w:hAnsi="宋体" w:eastAsia="宋体" w:cs="宋体"/>
                <w:caps/>
                <w:sz w:val="24"/>
                <w:szCs w:val="24"/>
              </w:rPr>
            </w:pPr>
            <w:r>
              <w:rPr>
                <w:rFonts w:hint="eastAsia" w:ascii="宋体" w:hAnsi="宋体" w:eastAsia="宋体" w:cs="宋体"/>
                <w:caps/>
                <w:sz w:val="24"/>
                <w:szCs w:val="24"/>
              </w:rPr>
              <w:t>序号</w:t>
            </w:r>
          </w:p>
        </w:tc>
        <w:tc>
          <w:tcPr>
            <w:tcW w:w="504" w:type="pct"/>
            <w:tcBorders>
              <w:top w:val="single" w:color="000000" w:sz="6" w:space="0"/>
              <w:left w:val="single" w:color="000000" w:sz="6" w:space="0"/>
              <w:bottom w:val="single" w:color="000000" w:sz="6" w:space="0"/>
              <w:right w:val="single" w:color="000000" w:sz="6" w:space="0"/>
            </w:tcBorders>
            <w:vAlign w:val="center"/>
          </w:tcPr>
          <w:p w14:paraId="6F80DA75">
            <w:pPr>
              <w:pStyle w:val="100"/>
              <w:ind w:firstLine="0"/>
              <w:jc w:val="center"/>
              <w:rPr>
                <w:rFonts w:ascii="宋体" w:hAnsi="宋体" w:eastAsia="宋体" w:cs="宋体"/>
                <w:caps/>
                <w:sz w:val="24"/>
                <w:szCs w:val="24"/>
              </w:rPr>
            </w:pPr>
            <w:r>
              <w:rPr>
                <w:rFonts w:hint="eastAsia" w:ascii="宋体" w:hAnsi="宋体" w:eastAsia="宋体" w:cs="宋体"/>
                <w:caps/>
                <w:sz w:val="24"/>
                <w:szCs w:val="24"/>
              </w:rPr>
              <w:t>内容</w:t>
            </w:r>
          </w:p>
        </w:tc>
        <w:tc>
          <w:tcPr>
            <w:tcW w:w="1395" w:type="pct"/>
            <w:tcBorders>
              <w:top w:val="single" w:color="000000" w:sz="6" w:space="0"/>
              <w:left w:val="single" w:color="000000" w:sz="6" w:space="0"/>
              <w:bottom w:val="single" w:color="000000" w:sz="6" w:space="0"/>
              <w:right w:val="single" w:color="000000" w:sz="6" w:space="0"/>
            </w:tcBorders>
            <w:vAlign w:val="center"/>
          </w:tcPr>
          <w:p w14:paraId="17E41FA8">
            <w:pPr>
              <w:pStyle w:val="100"/>
              <w:spacing w:line="240" w:lineRule="auto"/>
              <w:ind w:firstLine="0"/>
              <w:jc w:val="center"/>
              <w:rPr>
                <w:rFonts w:ascii="宋体" w:hAnsi="宋体" w:eastAsia="宋体" w:cs="宋体"/>
                <w:caps/>
                <w:sz w:val="24"/>
                <w:szCs w:val="24"/>
              </w:rPr>
            </w:pPr>
            <w:r>
              <w:rPr>
                <w:rFonts w:hint="eastAsia" w:ascii="宋体" w:hAnsi="宋体" w:eastAsia="宋体" w:cs="宋体"/>
                <w:sz w:val="24"/>
                <w:szCs w:val="24"/>
              </w:rPr>
              <w:t>竞争性磋商文件（含竞争性磋商文件的澄清或者修改）的要求</w:t>
            </w:r>
          </w:p>
        </w:tc>
        <w:tc>
          <w:tcPr>
            <w:tcW w:w="823" w:type="pct"/>
            <w:tcBorders>
              <w:top w:val="single" w:color="000000" w:sz="6" w:space="0"/>
              <w:left w:val="single" w:color="000000" w:sz="6" w:space="0"/>
              <w:bottom w:val="single" w:color="000000" w:sz="6" w:space="0"/>
              <w:right w:val="single" w:color="000000" w:sz="6" w:space="0"/>
            </w:tcBorders>
            <w:vAlign w:val="center"/>
          </w:tcPr>
          <w:p w14:paraId="24AC546D">
            <w:pPr>
              <w:pStyle w:val="100"/>
              <w:spacing w:line="240" w:lineRule="auto"/>
              <w:ind w:firstLine="0"/>
              <w:jc w:val="center"/>
              <w:rPr>
                <w:rFonts w:ascii="宋体" w:hAnsi="宋体" w:eastAsia="宋体" w:cs="宋体"/>
                <w:caps/>
                <w:sz w:val="24"/>
                <w:szCs w:val="24"/>
              </w:rPr>
            </w:pPr>
            <w:r>
              <w:rPr>
                <w:rFonts w:hint="eastAsia" w:ascii="宋体" w:hAnsi="宋体" w:eastAsia="宋体" w:cs="宋体"/>
                <w:sz w:val="24"/>
                <w:szCs w:val="24"/>
              </w:rPr>
              <w:t>首次响应文件中的内容</w:t>
            </w:r>
          </w:p>
        </w:tc>
        <w:tc>
          <w:tcPr>
            <w:tcW w:w="706" w:type="pct"/>
            <w:tcBorders>
              <w:top w:val="single" w:color="000000" w:sz="6" w:space="0"/>
              <w:left w:val="single" w:color="000000" w:sz="6" w:space="0"/>
              <w:bottom w:val="single" w:color="000000" w:sz="6" w:space="0"/>
              <w:right w:val="single" w:color="000000" w:sz="6" w:space="0"/>
            </w:tcBorders>
            <w:vAlign w:val="center"/>
          </w:tcPr>
          <w:p w14:paraId="750E225A">
            <w:pPr>
              <w:pStyle w:val="100"/>
              <w:spacing w:line="240" w:lineRule="auto"/>
              <w:ind w:firstLine="0"/>
              <w:jc w:val="center"/>
              <w:rPr>
                <w:rFonts w:ascii="宋体" w:hAnsi="宋体" w:eastAsia="宋体" w:cs="宋体"/>
                <w:caps/>
                <w:sz w:val="24"/>
                <w:szCs w:val="24"/>
              </w:rPr>
            </w:pPr>
            <w:r>
              <w:rPr>
                <w:rFonts w:hint="eastAsia" w:ascii="宋体" w:hAnsi="宋体" w:eastAsia="宋体" w:cs="宋体"/>
                <w:caps/>
                <w:sz w:val="24"/>
                <w:szCs w:val="24"/>
              </w:rPr>
              <w:t>（正/负/无）偏离</w:t>
            </w:r>
          </w:p>
        </w:tc>
        <w:tc>
          <w:tcPr>
            <w:tcW w:w="1109" w:type="pct"/>
            <w:tcBorders>
              <w:top w:val="single" w:color="000000" w:sz="6" w:space="0"/>
              <w:left w:val="single" w:color="000000" w:sz="6" w:space="0"/>
              <w:bottom w:val="single" w:color="000000" w:sz="6" w:space="0"/>
              <w:right w:val="single" w:color="000000" w:sz="6" w:space="0"/>
            </w:tcBorders>
            <w:vAlign w:val="center"/>
          </w:tcPr>
          <w:p w14:paraId="27348E38">
            <w:pPr>
              <w:pStyle w:val="100"/>
              <w:spacing w:line="240" w:lineRule="auto"/>
              <w:ind w:firstLine="0"/>
              <w:jc w:val="center"/>
              <w:rPr>
                <w:rFonts w:ascii="宋体" w:hAnsi="宋体" w:eastAsia="宋体" w:cs="宋体"/>
                <w:caps/>
                <w:sz w:val="24"/>
                <w:szCs w:val="24"/>
              </w:rPr>
            </w:pPr>
            <w:r>
              <w:rPr>
                <w:rFonts w:hint="eastAsia" w:ascii="宋体" w:hAnsi="宋体" w:eastAsia="宋体" w:cs="宋体"/>
                <w:caps/>
                <w:sz w:val="24"/>
                <w:szCs w:val="24"/>
              </w:rPr>
              <w:t>说明</w:t>
            </w:r>
          </w:p>
        </w:tc>
      </w:tr>
      <w:tr w14:paraId="3304131B">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794" w:hRule="atLeast"/>
        </w:trPr>
        <w:tc>
          <w:tcPr>
            <w:tcW w:w="464" w:type="pct"/>
            <w:tcBorders>
              <w:top w:val="single" w:color="000000" w:sz="6" w:space="0"/>
              <w:left w:val="single" w:color="000000" w:sz="6" w:space="0"/>
              <w:bottom w:val="single" w:color="000000" w:sz="6" w:space="0"/>
              <w:right w:val="single" w:color="000000" w:sz="6" w:space="0"/>
            </w:tcBorders>
            <w:vAlign w:val="center"/>
          </w:tcPr>
          <w:p w14:paraId="70CA1F82">
            <w:pPr>
              <w:pStyle w:val="100"/>
              <w:ind w:firstLine="0"/>
              <w:jc w:val="both"/>
              <w:rPr>
                <w:rFonts w:ascii="宋体" w:hAnsi="宋体" w:eastAsia="宋体" w:cs="宋体"/>
                <w:caps/>
                <w:sz w:val="24"/>
                <w:szCs w:val="24"/>
              </w:rPr>
            </w:pPr>
            <w:r>
              <w:rPr>
                <w:rFonts w:hint="eastAsia" w:ascii="宋体" w:hAnsi="宋体" w:eastAsia="宋体" w:cs="宋体"/>
                <w:caps/>
                <w:sz w:val="24"/>
                <w:szCs w:val="24"/>
              </w:rPr>
              <w:t>1</w:t>
            </w:r>
          </w:p>
        </w:tc>
        <w:tc>
          <w:tcPr>
            <w:tcW w:w="504" w:type="pct"/>
            <w:tcBorders>
              <w:top w:val="single" w:color="000000" w:sz="6" w:space="0"/>
              <w:left w:val="single" w:color="000000" w:sz="6" w:space="0"/>
              <w:bottom w:val="single" w:color="000000" w:sz="6" w:space="0"/>
              <w:right w:val="single" w:color="000000" w:sz="6" w:space="0"/>
            </w:tcBorders>
            <w:vAlign w:val="center"/>
          </w:tcPr>
          <w:p w14:paraId="51517C29">
            <w:pPr>
              <w:pStyle w:val="100"/>
              <w:ind w:firstLine="0"/>
              <w:jc w:val="both"/>
              <w:rPr>
                <w:rFonts w:ascii="宋体" w:hAnsi="宋体" w:eastAsia="宋体" w:cs="宋体"/>
                <w:caps/>
                <w:sz w:val="24"/>
                <w:szCs w:val="24"/>
              </w:rPr>
            </w:pPr>
            <w:r>
              <w:rPr>
                <w:rFonts w:hint="eastAsia" w:ascii="宋体" w:hAnsi="宋体" w:eastAsia="宋体" w:cs="宋体"/>
                <w:caps/>
                <w:sz w:val="24"/>
                <w:szCs w:val="24"/>
              </w:rPr>
              <w:t>服务期</w:t>
            </w:r>
          </w:p>
        </w:tc>
        <w:tc>
          <w:tcPr>
            <w:tcW w:w="1395" w:type="pct"/>
            <w:tcBorders>
              <w:top w:val="single" w:color="000000" w:sz="6" w:space="0"/>
              <w:left w:val="single" w:color="000000" w:sz="6" w:space="0"/>
              <w:bottom w:val="single" w:color="000000" w:sz="6" w:space="0"/>
              <w:right w:val="single" w:color="000000" w:sz="6" w:space="0"/>
            </w:tcBorders>
            <w:vAlign w:val="center"/>
          </w:tcPr>
          <w:p w14:paraId="13A38AFF">
            <w:pPr>
              <w:pStyle w:val="100"/>
              <w:jc w:val="center"/>
              <w:rPr>
                <w:rFonts w:ascii="宋体" w:hAnsi="宋体" w:eastAsia="宋体" w:cs="宋体"/>
                <w:caps/>
                <w:sz w:val="24"/>
                <w:szCs w:val="24"/>
              </w:rPr>
            </w:pPr>
          </w:p>
        </w:tc>
        <w:tc>
          <w:tcPr>
            <w:tcW w:w="823" w:type="pct"/>
            <w:tcBorders>
              <w:top w:val="single" w:color="000000" w:sz="6" w:space="0"/>
              <w:left w:val="single" w:color="000000" w:sz="6" w:space="0"/>
              <w:bottom w:val="single" w:color="000000" w:sz="6" w:space="0"/>
              <w:right w:val="single" w:color="000000" w:sz="6" w:space="0"/>
            </w:tcBorders>
            <w:vAlign w:val="center"/>
          </w:tcPr>
          <w:p w14:paraId="710DBDE1">
            <w:pPr>
              <w:pStyle w:val="100"/>
              <w:jc w:val="center"/>
              <w:rPr>
                <w:rFonts w:ascii="宋体" w:hAnsi="宋体" w:eastAsia="宋体" w:cs="宋体"/>
                <w:caps/>
                <w:sz w:val="24"/>
                <w:szCs w:val="24"/>
              </w:rPr>
            </w:pPr>
          </w:p>
        </w:tc>
        <w:tc>
          <w:tcPr>
            <w:tcW w:w="706" w:type="pct"/>
            <w:tcBorders>
              <w:top w:val="single" w:color="000000" w:sz="6" w:space="0"/>
              <w:left w:val="single" w:color="000000" w:sz="6" w:space="0"/>
              <w:bottom w:val="single" w:color="000000" w:sz="6" w:space="0"/>
              <w:right w:val="single" w:color="000000" w:sz="6" w:space="0"/>
            </w:tcBorders>
            <w:vAlign w:val="center"/>
          </w:tcPr>
          <w:p w14:paraId="4EB432FB">
            <w:pPr>
              <w:pStyle w:val="100"/>
              <w:jc w:val="center"/>
              <w:rPr>
                <w:rFonts w:ascii="宋体" w:hAnsi="宋体" w:eastAsia="宋体" w:cs="宋体"/>
                <w:caps/>
                <w:sz w:val="24"/>
                <w:szCs w:val="24"/>
              </w:rPr>
            </w:pPr>
          </w:p>
        </w:tc>
        <w:tc>
          <w:tcPr>
            <w:tcW w:w="1109" w:type="pct"/>
            <w:tcBorders>
              <w:top w:val="single" w:color="000000" w:sz="6" w:space="0"/>
              <w:left w:val="single" w:color="000000" w:sz="6" w:space="0"/>
              <w:bottom w:val="single" w:color="000000" w:sz="6" w:space="0"/>
              <w:right w:val="single" w:color="000000" w:sz="6" w:space="0"/>
            </w:tcBorders>
            <w:vAlign w:val="center"/>
          </w:tcPr>
          <w:p w14:paraId="6E243DD1">
            <w:pPr>
              <w:pStyle w:val="100"/>
              <w:jc w:val="center"/>
              <w:rPr>
                <w:rFonts w:ascii="宋体" w:hAnsi="宋体" w:eastAsia="宋体" w:cs="宋体"/>
                <w:caps/>
                <w:sz w:val="24"/>
                <w:szCs w:val="24"/>
              </w:rPr>
            </w:pPr>
          </w:p>
        </w:tc>
      </w:tr>
      <w:tr w14:paraId="58F0FEFA">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794" w:hRule="atLeast"/>
        </w:trPr>
        <w:tc>
          <w:tcPr>
            <w:tcW w:w="464" w:type="pct"/>
            <w:tcBorders>
              <w:top w:val="single" w:color="000000" w:sz="6" w:space="0"/>
              <w:left w:val="single" w:color="000000" w:sz="6" w:space="0"/>
              <w:bottom w:val="single" w:color="000000" w:sz="6" w:space="0"/>
              <w:right w:val="single" w:color="000000" w:sz="6" w:space="0"/>
            </w:tcBorders>
            <w:vAlign w:val="center"/>
          </w:tcPr>
          <w:p w14:paraId="63DAEEB3">
            <w:pPr>
              <w:pStyle w:val="100"/>
              <w:ind w:firstLine="0"/>
              <w:jc w:val="both"/>
              <w:rPr>
                <w:rFonts w:ascii="宋体" w:hAnsi="宋体" w:eastAsia="宋体" w:cs="宋体"/>
                <w:sz w:val="24"/>
                <w:szCs w:val="24"/>
              </w:rPr>
            </w:pPr>
            <w:r>
              <w:rPr>
                <w:rFonts w:hint="eastAsia" w:ascii="宋体" w:hAnsi="宋体" w:eastAsia="宋体" w:cs="宋体"/>
                <w:sz w:val="24"/>
                <w:szCs w:val="24"/>
              </w:rPr>
              <w:t>2</w:t>
            </w:r>
          </w:p>
        </w:tc>
        <w:tc>
          <w:tcPr>
            <w:tcW w:w="504" w:type="pct"/>
            <w:tcBorders>
              <w:top w:val="single" w:color="000000" w:sz="6" w:space="0"/>
              <w:left w:val="single" w:color="000000" w:sz="6" w:space="0"/>
              <w:bottom w:val="single" w:color="000000" w:sz="6" w:space="0"/>
              <w:right w:val="single" w:color="000000" w:sz="6" w:space="0"/>
            </w:tcBorders>
            <w:vAlign w:val="center"/>
          </w:tcPr>
          <w:p w14:paraId="7EBB26A9">
            <w:pPr>
              <w:pStyle w:val="100"/>
              <w:ind w:firstLine="0"/>
              <w:jc w:val="both"/>
              <w:rPr>
                <w:rFonts w:ascii="宋体" w:hAnsi="宋体" w:eastAsia="宋体" w:cs="宋体"/>
                <w:sz w:val="24"/>
                <w:szCs w:val="24"/>
              </w:rPr>
            </w:pPr>
            <w:r>
              <w:rPr>
                <w:rFonts w:hint="eastAsia" w:ascii="宋体" w:hAnsi="宋体" w:eastAsia="宋体" w:cs="宋体"/>
                <w:sz w:val="24"/>
                <w:szCs w:val="24"/>
              </w:rPr>
              <w:t>付款方式</w:t>
            </w:r>
          </w:p>
        </w:tc>
        <w:tc>
          <w:tcPr>
            <w:tcW w:w="1395" w:type="pct"/>
            <w:tcBorders>
              <w:top w:val="single" w:color="000000" w:sz="6" w:space="0"/>
              <w:left w:val="single" w:color="000000" w:sz="6" w:space="0"/>
              <w:bottom w:val="single" w:color="000000" w:sz="6" w:space="0"/>
              <w:right w:val="single" w:color="000000" w:sz="6" w:space="0"/>
            </w:tcBorders>
            <w:vAlign w:val="center"/>
          </w:tcPr>
          <w:p w14:paraId="506D9DAB">
            <w:pPr>
              <w:pStyle w:val="100"/>
              <w:rPr>
                <w:rFonts w:ascii="宋体" w:hAnsi="宋体" w:eastAsia="宋体" w:cs="宋体"/>
                <w:sz w:val="24"/>
                <w:szCs w:val="24"/>
              </w:rPr>
            </w:pPr>
          </w:p>
        </w:tc>
        <w:tc>
          <w:tcPr>
            <w:tcW w:w="823" w:type="pct"/>
            <w:tcBorders>
              <w:top w:val="single" w:color="000000" w:sz="6" w:space="0"/>
              <w:left w:val="single" w:color="000000" w:sz="6" w:space="0"/>
              <w:bottom w:val="single" w:color="000000" w:sz="6" w:space="0"/>
              <w:right w:val="single" w:color="000000" w:sz="6" w:space="0"/>
            </w:tcBorders>
            <w:vAlign w:val="center"/>
          </w:tcPr>
          <w:p w14:paraId="68653C89">
            <w:pPr>
              <w:pStyle w:val="100"/>
              <w:rPr>
                <w:rFonts w:ascii="宋体" w:hAnsi="宋体" w:eastAsia="宋体" w:cs="宋体"/>
                <w:sz w:val="24"/>
                <w:szCs w:val="24"/>
              </w:rPr>
            </w:pPr>
          </w:p>
        </w:tc>
        <w:tc>
          <w:tcPr>
            <w:tcW w:w="706" w:type="pct"/>
            <w:tcBorders>
              <w:top w:val="single" w:color="000000" w:sz="6" w:space="0"/>
              <w:left w:val="single" w:color="000000" w:sz="6" w:space="0"/>
              <w:bottom w:val="single" w:color="000000" w:sz="6" w:space="0"/>
              <w:right w:val="single" w:color="000000" w:sz="6" w:space="0"/>
            </w:tcBorders>
            <w:vAlign w:val="center"/>
          </w:tcPr>
          <w:p w14:paraId="100D7163">
            <w:pPr>
              <w:pStyle w:val="100"/>
              <w:rPr>
                <w:rFonts w:ascii="宋体" w:hAnsi="宋体" w:eastAsia="宋体" w:cs="宋体"/>
                <w:sz w:val="24"/>
                <w:szCs w:val="24"/>
              </w:rPr>
            </w:pPr>
          </w:p>
        </w:tc>
        <w:tc>
          <w:tcPr>
            <w:tcW w:w="1109" w:type="pct"/>
            <w:tcBorders>
              <w:top w:val="single" w:color="000000" w:sz="6" w:space="0"/>
              <w:left w:val="single" w:color="000000" w:sz="6" w:space="0"/>
              <w:bottom w:val="single" w:color="000000" w:sz="6" w:space="0"/>
              <w:right w:val="single" w:color="000000" w:sz="6" w:space="0"/>
            </w:tcBorders>
            <w:vAlign w:val="center"/>
          </w:tcPr>
          <w:p w14:paraId="11D2A879">
            <w:pPr>
              <w:pStyle w:val="100"/>
              <w:rPr>
                <w:rFonts w:ascii="宋体" w:hAnsi="宋体" w:eastAsia="宋体" w:cs="宋体"/>
                <w:sz w:val="24"/>
                <w:szCs w:val="24"/>
              </w:rPr>
            </w:pPr>
          </w:p>
        </w:tc>
      </w:tr>
      <w:tr w14:paraId="0C0479CB">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794" w:hRule="atLeast"/>
        </w:trPr>
        <w:tc>
          <w:tcPr>
            <w:tcW w:w="464" w:type="pct"/>
            <w:tcBorders>
              <w:top w:val="single" w:color="000000" w:sz="6" w:space="0"/>
              <w:left w:val="single" w:color="000000" w:sz="6" w:space="0"/>
              <w:bottom w:val="single" w:color="000000" w:sz="6" w:space="0"/>
              <w:right w:val="single" w:color="000000" w:sz="6" w:space="0"/>
            </w:tcBorders>
            <w:vAlign w:val="center"/>
          </w:tcPr>
          <w:p w14:paraId="021A4D19">
            <w:pPr>
              <w:pStyle w:val="100"/>
              <w:ind w:firstLine="0"/>
              <w:jc w:val="both"/>
              <w:rPr>
                <w:rFonts w:ascii="宋体" w:hAnsi="宋体" w:eastAsia="宋体" w:cs="宋体"/>
                <w:sz w:val="24"/>
                <w:szCs w:val="24"/>
              </w:rPr>
            </w:pPr>
            <w:r>
              <w:rPr>
                <w:rFonts w:hint="eastAsia" w:ascii="宋体" w:hAnsi="宋体" w:eastAsia="宋体" w:cs="宋体"/>
                <w:sz w:val="24"/>
                <w:szCs w:val="24"/>
              </w:rPr>
              <w:t>3</w:t>
            </w:r>
          </w:p>
        </w:tc>
        <w:tc>
          <w:tcPr>
            <w:tcW w:w="504" w:type="pct"/>
            <w:tcBorders>
              <w:top w:val="single" w:color="000000" w:sz="6" w:space="0"/>
              <w:left w:val="single" w:color="000000" w:sz="6" w:space="0"/>
              <w:bottom w:val="single" w:color="000000" w:sz="6" w:space="0"/>
              <w:right w:val="single" w:color="000000" w:sz="6" w:space="0"/>
            </w:tcBorders>
            <w:vAlign w:val="center"/>
          </w:tcPr>
          <w:p w14:paraId="67AAE7DB">
            <w:pPr>
              <w:pStyle w:val="100"/>
              <w:ind w:firstLine="0"/>
              <w:jc w:val="both"/>
              <w:rPr>
                <w:rFonts w:ascii="宋体" w:hAnsi="宋体" w:eastAsia="宋体" w:cs="宋体"/>
                <w:sz w:val="24"/>
                <w:szCs w:val="24"/>
              </w:rPr>
            </w:pPr>
            <w:r>
              <w:rPr>
                <w:rFonts w:hint="eastAsia" w:ascii="宋体" w:hAnsi="宋体" w:eastAsia="宋体" w:cs="宋体"/>
                <w:sz w:val="24"/>
                <w:szCs w:val="24"/>
              </w:rPr>
              <w:t>磋商有效期</w:t>
            </w:r>
          </w:p>
        </w:tc>
        <w:tc>
          <w:tcPr>
            <w:tcW w:w="1395" w:type="pct"/>
            <w:tcBorders>
              <w:top w:val="single" w:color="000000" w:sz="6" w:space="0"/>
              <w:left w:val="single" w:color="000000" w:sz="6" w:space="0"/>
              <w:bottom w:val="single" w:color="000000" w:sz="6" w:space="0"/>
              <w:right w:val="single" w:color="000000" w:sz="6" w:space="0"/>
            </w:tcBorders>
            <w:vAlign w:val="center"/>
          </w:tcPr>
          <w:p w14:paraId="4A2554EE">
            <w:pPr>
              <w:pStyle w:val="100"/>
              <w:rPr>
                <w:rFonts w:ascii="宋体" w:hAnsi="宋体" w:eastAsia="宋体" w:cs="宋体"/>
                <w:sz w:val="24"/>
                <w:szCs w:val="24"/>
              </w:rPr>
            </w:pPr>
          </w:p>
        </w:tc>
        <w:tc>
          <w:tcPr>
            <w:tcW w:w="823" w:type="pct"/>
            <w:tcBorders>
              <w:top w:val="single" w:color="000000" w:sz="6" w:space="0"/>
              <w:left w:val="single" w:color="000000" w:sz="6" w:space="0"/>
              <w:bottom w:val="single" w:color="000000" w:sz="6" w:space="0"/>
              <w:right w:val="single" w:color="000000" w:sz="6" w:space="0"/>
            </w:tcBorders>
            <w:vAlign w:val="center"/>
          </w:tcPr>
          <w:p w14:paraId="5B34D417">
            <w:pPr>
              <w:pStyle w:val="100"/>
              <w:rPr>
                <w:rFonts w:ascii="宋体" w:hAnsi="宋体" w:eastAsia="宋体" w:cs="宋体"/>
                <w:sz w:val="24"/>
                <w:szCs w:val="24"/>
              </w:rPr>
            </w:pPr>
          </w:p>
        </w:tc>
        <w:tc>
          <w:tcPr>
            <w:tcW w:w="706" w:type="pct"/>
            <w:tcBorders>
              <w:top w:val="single" w:color="000000" w:sz="6" w:space="0"/>
              <w:left w:val="single" w:color="000000" w:sz="6" w:space="0"/>
              <w:bottom w:val="single" w:color="000000" w:sz="6" w:space="0"/>
              <w:right w:val="single" w:color="000000" w:sz="6" w:space="0"/>
            </w:tcBorders>
            <w:vAlign w:val="center"/>
          </w:tcPr>
          <w:p w14:paraId="7CF2C2B5">
            <w:pPr>
              <w:pStyle w:val="100"/>
              <w:rPr>
                <w:rFonts w:ascii="宋体" w:hAnsi="宋体" w:eastAsia="宋体" w:cs="宋体"/>
                <w:sz w:val="24"/>
                <w:szCs w:val="24"/>
              </w:rPr>
            </w:pPr>
          </w:p>
        </w:tc>
        <w:tc>
          <w:tcPr>
            <w:tcW w:w="1109" w:type="pct"/>
            <w:tcBorders>
              <w:top w:val="single" w:color="000000" w:sz="6" w:space="0"/>
              <w:left w:val="single" w:color="000000" w:sz="6" w:space="0"/>
              <w:bottom w:val="single" w:color="000000" w:sz="6" w:space="0"/>
              <w:right w:val="single" w:color="000000" w:sz="6" w:space="0"/>
            </w:tcBorders>
            <w:vAlign w:val="center"/>
          </w:tcPr>
          <w:p w14:paraId="2D367235">
            <w:pPr>
              <w:pStyle w:val="100"/>
              <w:rPr>
                <w:rFonts w:ascii="宋体" w:hAnsi="宋体" w:eastAsia="宋体" w:cs="宋体"/>
                <w:sz w:val="24"/>
                <w:szCs w:val="24"/>
              </w:rPr>
            </w:pPr>
          </w:p>
        </w:tc>
      </w:tr>
      <w:tr w14:paraId="370D2D7C">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794" w:hRule="atLeast"/>
        </w:trPr>
        <w:tc>
          <w:tcPr>
            <w:tcW w:w="464" w:type="pct"/>
            <w:tcBorders>
              <w:top w:val="single" w:color="000000" w:sz="6" w:space="0"/>
              <w:left w:val="single" w:color="000000" w:sz="6" w:space="0"/>
              <w:bottom w:val="single" w:color="000000" w:sz="6" w:space="0"/>
              <w:right w:val="single" w:color="000000" w:sz="6" w:space="0"/>
            </w:tcBorders>
            <w:vAlign w:val="center"/>
          </w:tcPr>
          <w:p w14:paraId="32A01E24">
            <w:pPr>
              <w:pStyle w:val="100"/>
              <w:ind w:firstLine="0"/>
              <w:rPr>
                <w:rFonts w:ascii="宋体" w:hAnsi="宋体" w:eastAsia="宋体" w:cs="宋体"/>
                <w:sz w:val="24"/>
                <w:szCs w:val="24"/>
              </w:rPr>
            </w:pPr>
            <w:r>
              <w:rPr>
                <w:rFonts w:hint="eastAsia" w:ascii="宋体" w:hAnsi="宋体" w:eastAsia="宋体" w:cs="宋体"/>
                <w:sz w:val="24"/>
                <w:szCs w:val="24"/>
              </w:rPr>
              <w:t>....</w:t>
            </w:r>
          </w:p>
        </w:tc>
        <w:tc>
          <w:tcPr>
            <w:tcW w:w="504" w:type="pct"/>
            <w:tcBorders>
              <w:top w:val="single" w:color="000000" w:sz="6" w:space="0"/>
              <w:left w:val="single" w:color="000000" w:sz="6" w:space="0"/>
              <w:bottom w:val="single" w:color="000000" w:sz="6" w:space="0"/>
              <w:right w:val="single" w:color="000000" w:sz="6" w:space="0"/>
            </w:tcBorders>
            <w:vAlign w:val="center"/>
          </w:tcPr>
          <w:p w14:paraId="71F676D2">
            <w:pPr>
              <w:pStyle w:val="100"/>
              <w:ind w:firstLine="0"/>
              <w:rPr>
                <w:rFonts w:ascii="宋体" w:hAnsi="宋体" w:eastAsia="宋体" w:cs="宋体"/>
                <w:sz w:val="24"/>
                <w:szCs w:val="24"/>
              </w:rPr>
            </w:pPr>
            <w:r>
              <w:rPr>
                <w:rFonts w:hint="eastAsia" w:ascii="宋体" w:hAnsi="宋体" w:eastAsia="宋体" w:cs="宋体"/>
                <w:sz w:val="24"/>
                <w:szCs w:val="24"/>
              </w:rPr>
              <w:t>...</w:t>
            </w:r>
          </w:p>
        </w:tc>
        <w:tc>
          <w:tcPr>
            <w:tcW w:w="1395" w:type="pct"/>
            <w:tcBorders>
              <w:top w:val="single" w:color="000000" w:sz="6" w:space="0"/>
              <w:left w:val="single" w:color="000000" w:sz="6" w:space="0"/>
              <w:bottom w:val="single" w:color="000000" w:sz="6" w:space="0"/>
              <w:right w:val="single" w:color="000000" w:sz="6" w:space="0"/>
            </w:tcBorders>
            <w:vAlign w:val="center"/>
          </w:tcPr>
          <w:p w14:paraId="3016D0C2">
            <w:pPr>
              <w:pStyle w:val="100"/>
              <w:rPr>
                <w:rFonts w:ascii="宋体" w:hAnsi="宋体" w:eastAsia="宋体" w:cs="宋体"/>
                <w:sz w:val="24"/>
                <w:szCs w:val="24"/>
              </w:rPr>
            </w:pPr>
          </w:p>
        </w:tc>
        <w:tc>
          <w:tcPr>
            <w:tcW w:w="823" w:type="pct"/>
            <w:tcBorders>
              <w:top w:val="single" w:color="000000" w:sz="6" w:space="0"/>
              <w:left w:val="single" w:color="000000" w:sz="6" w:space="0"/>
              <w:bottom w:val="single" w:color="000000" w:sz="6" w:space="0"/>
              <w:right w:val="single" w:color="000000" w:sz="6" w:space="0"/>
            </w:tcBorders>
            <w:vAlign w:val="center"/>
          </w:tcPr>
          <w:p w14:paraId="01CCC995">
            <w:pPr>
              <w:pStyle w:val="100"/>
              <w:rPr>
                <w:rFonts w:ascii="宋体" w:hAnsi="宋体" w:eastAsia="宋体" w:cs="宋体"/>
                <w:sz w:val="24"/>
                <w:szCs w:val="24"/>
              </w:rPr>
            </w:pPr>
          </w:p>
        </w:tc>
        <w:tc>
          <w:tcPr>
            <w:tcW w:w="706" w:type="pct"/>
            <w:tcBorders>
              <w:top w:val="single" w:color="000000" w:sz="6" w:space="0"/>
              <w:left w:val="single" w:color="000000" w:sz="6" w:space="0"/>
              <w:bottom w:val="single" w:color="000000" w:sz="6" w:space="0"/>
              <w:right w:val="single" w:color="000000" w:sz="6" w:space="0"/>
            </w:tcBorders>
            <w:vAlign w:val="center"/>
          </w:tcPr>
          <w:p w14:paraId="03A34C7B">
            <w:pPr>
              <w:pStyle w:val="100"/>
              <w:rPr>
                <w:rFonts w:ascii="宋体" w:hAnsi="宋体" w:eastAsia="宋体" w:cs="宋体"/>
                <w:sz w:val="24"/>
                <w:szCs w:val="24"/>
              </w:rPr>
            </w:pPr>
          </w:p>
        </w:tc>
        <w:tc>
          <w:tcPr>
            <w:tcW w:w="1109" w:type="pct"/>
            <w:tcBorders>
              <w:top w:val="single" w:color="000000" w:sz="6" w:space="0"/>
              <w:left w:val="single" w:color="000000" w:sz="6" w:space="0"/>
              <w:bottom w:val="single" w:color="000000" w:sz="6" w:space="0"/>
              <w:right w:val="single" w:color="000000" w:sz="6" w:space="0"/>
            </w:tcBorders>
            <w:vAlign w:val="center"/>
          </w:tcPr>
          <w:p w14:paraId="54C2A90B">
            <w:pPr>
              <w:pStyle w:val="100"/>
              <w:rPr>
                <w:rFonts w:ascii="宋体" w:hAnsi="宋体" w:eastAsia="宋体" w:cs="宋体"/>
                <w:sz w:val="24"/>
                <w:szCs w:val="24"/>
              </w:rPr>
            </w:pPr>
          </w:p>
        </w:tc>
      </w:tr>
      <w:tr w14:paraId="4AC201D9">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794" w:hRule="atLeast"/>
        </w:trPr>
        <w:tc>
          <w:tcPr>
            <w:tcW w:w="464" w:type="pct"/>
            <w:tcBorders>
              <w:top w:val="single" w:color="000000" w:sz="6" w:space="0"/>
              <w:left w:val="single" w:color="000000" w:sz="6" w:space="0"/>
              <w:bottom w:val="single" w:color="000000" w:sz="6" w:space="0"/>
              <w:right w:val="single" w:color="000000" w:sz="6" w:space="0"/>
            </w:tcBorders>
            <w:vAlign w:val="center"/>
          </w:tcPr>
          <w:p w14:paraId="7DED08DB">
            <w:pPr>
              <w:pStyle w:val="100"/>
              <w:rPr>
                <w:rFonts w:ascii="宋体" w:hAnsi="宋体" w:eastAsia="宋体" w:cs="宋体"/>
                <w:sz w:val="24"/>
                <w:szCs w:val="24"/>
              </w:rPr>
            </w:pPr>
          </w:p>
        </w:tc>
        <w:tc>
          <w:tcPr>
            <w:tcW w:w="504" w:type="pct"/>
            <w:tcBorders>
              <w:top w:val="single" w:color="000000" w:sz="6" w:space="0"/>
              <w:left w:val="single" w:color="000000" w:sz="6" w:space="0"/>
              <w:bottom w:val="single" w:color="000000" w:sz="6" w:space="0"/>
              <w:right w:val="single" w:color="000000" w:sz="6" w:space="0"/>
            </w:tcBorders>
            <w:vAlign w:val="center"/>
          </w:tcPr>
          <w:p w14:paraId="33917985">
            <w:pPr>
              <w:pStyle w:val="100"/>
              <w:rPr>
                <w:rFonts w:ascii="宋体" w:hAnsi="宋体" w:eastAsia="宋体" w:cs="宋体"/>
                <w:sz w:val="24"/>
                <w:szCs w:val="24"/>
              </w:rPr>
            </w:pPr>
          </w:p>
        </w:tc>
        <w:tc>
          <w:tcPr>
            <w:tcW w:w="1395" w:type="pct"/>
            <w:tcBorders>
              <w:top w:val="single" w:color="000000" w:sz="6" w:space="0"/>
              <w:left w:val="single" w:color="000000" w:sz="6" w:space="0"/>
              <w:bottom w:val="single" w:color="000000" w:sz="6" w:space="0"/>
              <w:right w:val="single" w:color="000000" w:sz="6" w:space="0"/>
            </w:tcBorders>
            <w:vAlign w:val="center"/>
          </w:tcPr>
          <w:p w14:paraId="3C2AD0F3">
            <w:pPr>
              <w:pStyle w:val="100"/>
              <w:rPr>
                <w:rFonts w:ascii="宋体" w:hAnsi="宋体" w:eastAsia="宋体" w:cs="宋体"/>
                <w:sz w:val="24"/>
                <w:szCs w:val="24"/>
              </w:rPr>
            </w:pPr>
          </w:p>
        </w:tc>
        <w:tc>
          <w:tcPr>
            <w:tcW w:w="823" w:type="pct"/>
            <w:tcBorders>
              <w:top w:val="single" w:color="000000" w:sz="6" w:space="0"/>
              <w:left w:val="single" w:color="000000" w:sz="6" w:space="0"/>
              <w:bottom w:val="single" w:color="000000" w:sz="6" w:space="0"/>
              <w:right w:val="single" w:color="000000" w:sz="6" w:space="0"/>
            </w:tcBorders>
            <w:vAlign w:val="center"/>
          </w:tcPr>
          <w:p w14:paraId="4770623A">
            <w:pPr>
              <w:pStyle w:val="100"/>
              <w:rPr>
                <w:rFonts w:ascii="宋体" w:hAnsi="宋体" w:eastAsia="宋体" w:cs="宋体"/>
                <w:sz w:val="24"/>
                <w:szCs w:val="24"/>
              </w:rPr>
            </w:pPr>
          </w:p>
        </w:tc>
        <w:tc>
          <w:tcPr>
            <w:tcW w:w="706" w:type="pct"/>
            <w:tcBorders>
              <w:top w:val="single" w:color="000000" w:sz="6" w:space="0"/>
              <w:left w:val="single" w:color="000000" w:sz="6" w:space="0"/>
              <w:bottom w:val="single" w:color="000000" w:sz="6" w:space="0"/>
              <w:right w:val="single" w:color="000000" w:sz="6" w:space="0"/>
            </w:tcBorders>
            <w:vAlign w:val="center"/>
          </w:tcPr>
          <w:p w14:paraId="67240B94">
            <w:pPr>
              <w:pStyle w:val="100"/>
              <w:rPr>
                <w:rFonts w:ascii="宋体" w:hAnsi="宋体" w:eastAsia="宋体" w:cs="宋体"/>
                <w:sz w:val="24"/>
                <w:szCs w:val="24"/>
              </w:rPr>
            </w:pPr>
          </w:p>
        </w:tc>
        <w:tc>
          <w:tcPr>
            <w:tcW w:w="1109" w:type="pct"/>
            <w:tcBorders>
              <w:top w:val="single" w:color="000000" w:sz="6" w:space="0"/>
              <w:left w:val="single" w:color="000000" w:sz="6" w:space="0"/>
              <w:bottom w:val="single" w:color="000000" w:sz="6" w:space="0"/>
              <w:right w:val="single" w:color="000000" w:sz="6" w:space="0"/>
            </w:tcBorders>
            <w:vAlign w:val="center"/>
          </w:tcPr>
          <w:p w14:paraId="4E568C42">
            <w:pPr>
              <w:pStyle w:val="100"/>
              <w:rPr>
                <w:rFonts w:ascii="宋体" w:hAnsi="宋体" w:eastAsia="宋体" w:cs="宋体"/>
                <w:sz w:val="24"/>
                <w:szCs w:val="24"/>
              </w:rPr>
            </w:pPr>
          </w:p>
        </w:tc>
      </w:tr>
      <w:tr w14:paraId="71EAA342">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794" w:hRule="atLeast"/>
        </w:trPr>
        <w:tc>
          <w:tcPr>
            <w:tcW w:w="464" w:type="pct"/>
            <w:tcBorders>
              <w:top w:val="single" w:color="000000" w:sz="6" w:space="0"/>
              <w:left w:val="single" w:color="000000" w:sz="6" w:space="0"/>
              <w:bottom w:val="single" w:color="000000" w:sz="6" w:space="0"/>
              <w:right w:val="single" w:color="000000" w:sz="6" w:space="0"/>
            </w:tcBorders>
            <w:vAlign w:val="center"/>
          </w:tcPr>
          <w:p w14:paraId="0FCD424B">
            <w:pPr>
              <w:pStyle w:val="100"/>
              <w:rPr>
                <w:rFonts w:ascii="宋体" w:hAnsi="宋体" w:eastAsia="宋体" w:cs="宋体"/>
                <w:sz w:val="24"/>
                <w:szCs w:val="24"/>
              </w:rPr>
            </w:pPr>
          </w:p>
        </w:tc>
        <w:tc>
          <w:tcPr>
            <w:tcW w:w="504" w:type="pct"/>
            <w:tcBorders>
              <w:top w:val="single" w:color="000000" w:sz="6" w:space="0"/>
              <w:left w:val="single" w:color="000000" w:sz="6" w:space="0"/>
              <w:bottom w:val="single" w:color="000000" w:sz="6" w:space="0"/>
              <w:right w:val="single" w:color="000000" w:sz="6" w:space="0"/>
            </w:tcBorders>
            <w:vAlign w:val="center"/>
          </w:tcPr>
          <w:p w14:paraId="0167681C">
            <w:pPr>
              <w:pStyle w:val="100"/>
              <w:rPr>
                <w:rFonts w:ascii="宋体" w:hAnsi="宋体" w:eastAsia="宋体" w:cs="宋体"/>
                <w:sz w:val="24"/>
                <w:szCs w:val="24"/>
              </w:rPr>
            </w:pPr>
          </w:p>
        </w:tc>
        <w:tc>
          <w:tcPr>
            <w:tcW w:w="1395" w:type="pct"/>
            <w:tcBorders>
              <w:top w:val="single" w:color="000000" w:sz="6" w:space="0"/>
              <w:left w:val="single" w:color="000000" w:sz="6" w:space="0"/>
              <w:bottom w:val="single" w:color="000000" w:sz="6" w:space="0"/>
              <w:right w:val="single" w:color="000000" w:sz="6" w:space="0"/>
            </w:tcBorders>
            <w:vAlign w:val="center"/>
          </w:tcPr>
          <w:p w14:paraId="4E60C3B1">
            <w:pPr>
              <w:pStyle w:val="100"/>
              <w:rPr>
                <w:rFonts w:ascii="宋体" w:hAnsi="宋体" w:eastAsia="宋体" w:cs="宋体"/>
                <w:sz w:val="24"/>
                <w:szCs w:val="24"/>
              </w:rPr>
            </w:pPr>
          </w:p>
        </w:tc>
        <w:tc>
          <w:tcPr>
            <w:tcW w:w="823" w:type="pct"/>
            <w:tcBorders>
              <w:top w:val="single" w:color="000000" w:sz="6" w:space="0"/>
              <w:left w:val="single" w:color="000000" w:sz="6" w:space="0"/>
              <w:bottom w:val="single" w:color="000000" w:sz="6" w:space="0"/>
              <w:right w:val="single" w:color="000000" w:sz="6" w:space="0"/>
            </w:tcBorders>
            <w:vAlign w:val="center"/>
          </w:tcPr>
          <w:p w14:paraId="334CA51F">
            <w:pPr>
              <w:pStyle w:val="100"/>
              <w:rPr>
                <w:rFonts w:ascii="宋体" w:hAnsi="宋体" w:eastAsia="宋体" w:cs="宋体"/>
                <w:sz w:val="24"/>
                <w:szCs w:val="24"/>
              </w:rPr>
            </w:pPr>
          </w:p>
        </w:tc>
        <w:tc>
          <w:tcPr>
            <w:tcW w:w="706" w:type="pct"/>
            <w:tcBorders>
              <w:top w:val="single" w:color="000000" w:sz="6" w:space="0"/>
              <w:left w:val="single" w:color="000000" w:sz="6" w:space="0"/>
              <w:bottom w:val="single" w:color="000000" w:sz="6" w:space="0"/>
              <w:right w:val="single" w:color="000000" w:sz="6" w:space="0"/>
            </w:tcBorders>
            <w:vAlign w:val="center"/>
          </w:tcPr>
          <w:p w14:paraId="52BE095C">
            <w:pPr>
              <w:pStyle w:val="100"/>
              <w:rPr>
                <w:rFonts w:ascii="宋体" w:hAnsi="宋体" w:eastAsia="宋体" w:cs="宋体"/>
                <w:sz w:val="24"/>
                <w:szCs w:val="24"/>
              </w:rPr>
            </w:pPr>
          </w:p>
        </w:tc>
        <w:tc>
          <w:tcPr>
            <w:tcW w:w="1109" w:type="pct"/>
            <w:tcBorders>
              <w:top w:val="single" w:color="000000" w:sz="6" w:space="0"/>
              <w:left w:val="single" w:color="000000" w:sz="6" w:space="0"/>
              <w:bottom w:val="single" w:color="000000" w:sz="6" w:space="0"/>
              <w:right w:val="single" w:color="000000" w:sz="6" w:space="0"/>
            </w:tcBorders>
            <w:vAlign w:val="center"/>
          </w:tcPr>
          <w:p w14:paraId="4DC0885C">
            <w:pPr>
              <w:pStyle w:val="100"/>
              <w:rPr>
                <w:rFonts w:ascii="宋体" w:hAnsi="宋体" w:eastAsia="宋体" w:cs="宋体"/>
                <w:sz w:val="24"/>
                <w:szCs w:val="24"/>
              </w:rPr>
            </w:pPr>
          </w:p>
        </w:tc>
      </w:tr>
    </w:tbl>
    <w:p w14:paraId="19F99214">
      <w:pPr>
        <w:pStyle w:val="100"/>
        <w:rPr>
          <w:rFonts w:ascii="宋体" w:hAnsi="宋体" w:eastAsia="宋体" w:cs="宋体"/>
          <w:sz w:val="24"/>
          <w:szCs w:val="24"/>
          <w:u w:val="single"/>
        </w:rPr>
      </w:pPr>
    </w:p>
    <w:p w14:paraId="27A1B307">
      <w:pPr>
        <w:pStyle w:val="100"/>
        <w:rPr>
          <w:rFonts w:ascii="宋体" w:hAnsi="宋体" w:eastAsia="宋体" w:cs="宋体"/>
          <w:sz w:val="24"/>
          <w:szCs w:val="24"/>
        </w:rPr>
      </w:pPr>
    </w:p>
    <w:p w14:paraId="69894A04">
      <w:pPr>
        <w:pStyle w:val="100"/>
        <w:spacing w:line="360" w:lineRule="auto"/>
        <w:rPr>
          <w:rFonts w:ascii="宋体" w:hAnsi="宋体" w:eastAsia="宋体" w:cs="宋体"/>
        </w:rPr>
      </w:pPr>
      <w:r>
        <w:rPr>
          <w:rFonts w:hint="eastAsia" w:ascii="宋体" w:hAnsi="宋体" w:eastAsia="宋体" w:cs="宋体"/>
          <w:u w:val="single"/>
        </w:rPr>
        <w:t>注：供应商的首次响应文件中的内容与竞争性磋商文件（含竞争性磋商文件的澄清或者修改，下同）的要求不同时，逐条列在偏离表中，否则将认为供应商接受竞争性磋商文件的要求。</w:t>
      </w:r>
    </w:p>
    <w:p w14:paraId="2C6A9ECA">
      <w:pPr>
        <w:pStyle w:val="100"/>
        <w:spacing w:line="360" w:lineRule="auto"/>
        <w:ind w:right="29" w:firstLine="480"/>
        <w:rPr>
          <w:rFonts w:ascii="宋体" w:hAnsi="宋体" w:eastAsia="宋体" w:cs="宋体"/>
        </w:rPr>
      </w:pPr>
    </w:p>
    <w:p w14:paraId="6DFEC74E">
      <w:pPr>
        <w:pStyle w:val="100"/>
        <w:spacing w:line="360" w:lineRule="auto"/>
        <w:ind w:right="29" w:firstLine="480"/>
        <w:rPr>
          <w:rFonts w:ascii="宋体" w:hAnsi="宋体" w:eastAsia="宋体" w:cs="宋体"/>
        </w:rPr>
      </w:pPr>
      <w:r>
        <w:rPr>
          <w:rFonts w:hint="eastAsia" w:ascii="宋体" w:hAnsi="宋体" w:eastAsia="宋体" w:cs="宋体"/>
        </w:rPr>
        <w:t>供应商（电子签章）：</w:t>
      </w:r>
    </w:p>
    <w:p w14:paraId="7D67759C">
      <w:pPr>
        <w:pStyle w:val="100"/>
        <w:spacing w:line="360" w:lineRule="auto"/>
        <w:ind w:firstLine="480"/>
        <w:rPr>
          <w:rFonts w:ascii="宋体" w:hAnsi="宋体" w:eastAsia="宋体" w:cs="宋体"/>
        </w:rPr>
      </w:pPr>
      <w:r>
        <w:rPr>
          <w:rFonts w:hint="eastAsia" w:ascii="宋体" w:hAnsi="宋体" w:eastAsia="宋体" w:cs="宋体"/>
        </w:rPr>
        <w:t>法定代表人（签名或印鉴）：</w:t>
      </w:r>
    </w:p>
    <w:p w14:paraId="737E9E0D">
      <w:pPr>
        <w:pStyle w:val="100"/>
        <w:spacing w:line="360" w:lineRule="auto"/>
        <w:ind w:right="29" w:firstLine="480"/>
        <w:rPr>
          <w:rFonts w:ascii="宋体" w:hAnsi="宋体" w:eastAsia="宋体" w:cs="宋体"/>
        </w:rPr>
      </w:pPr>
      <w:r>
        <w:rPr>
          <w:rFonts w:hint="eastAsia" w:ascii="宋体" w:hAnsi="宋体" w:eastAsia="宋体" w:cs="宋体"/>
        </w:rPr>
        <w:t>日期：</w:t>
      </w:r>
    </w:p>
    <w:p w14:paraId="5F8ED0A3">
      <w:pPr>
        <w:pStyle w:val="322"/>
        <w:spacing w:line="360" w:lineRule="auto"/>
        <w:rPr>
          <w:rFonts w:ascii="宋体" w:hAnsi="宋体" w:cs="宋体"/>
          <w:szCs w:val="21"/>
        </w:rPr>
      </w:pPr>
    </w:p>
    <w:p w14:paraId="0EBB201B">
      <w:pPr>
        <w:pStyle w:val="322"/>
        <w:rPr>
          <w:rFonts w:ascii="宋体" w:hAnsi="宋体" w:cs="宋体"/>
          <w:b/>
          <w:sz w:val="24"/>
        </w:rPr>
      </w:pPr>
    </w:p>
    <w:p w14:paraId="57E2160F">
      <w:pPr>
        <w:pStyle w:val="322"/>
        <w:rPr>
          <w:rFonts w:ascii="宋体" w:hAnsi="宋体" w:cs="宋体"/>
          <w:b/>
          <w:sz w:val="24"/>
        </w:rPr>
      </w:pPr>
    </w:p>
    <w:p w14:paraId="012EAB38">
      <w:pPr>
        <w:pStyle w:val="322"/>
        <w:rPr>
          <w:rFonts w:ascii="宋体" w:hAnsi="宋体" w:cs="宋体"/>
          <w:b/>
          <w:sz w:val="24"/>
        </w:rPr>
      </w:pPr>
    </w:p>
    <w:p w14:paraId="1529C006">
      <w:pPr>
        <w:pStyle w:val="323"/>
        <w:rPr>
          <w:rFonts w:ascii="宋体" w:hAnsi="宋体" w:eastAsia="宋体" w:cs="宋体"/>
        </w:rPr>
      </w:pPr>
    </w:p>
    <w:p w14:paraId="5BDFB6C8">
      <w:pPr>
        <w:pStyle w:val="322"/>
        <w:rPr>
          <w:rFonts w:ascii="宋体" w:hAnsi="宋体" w:cs="宋体"/>
          <w:b/>
          <w:sz w:val="24"/>
        </w:rPr>
      </w:pPr>
    </w:p>
    <w:p w14:paraId="2C6A9785">
      <w:pPr>
        <w:pStyle w:val="322"/>
        <w:rPr>
          <w:rFonts w:ascii="宋体" w:hAnsi="宋体" w:cs="宋体"/>
          <w:b/>
          <w:sz w:val="24"/>
        </w:rPr>
      </w:pPr>
      <w:r>
        <w:rPr>
          <w:rFonts w:hint="eastAsia" w:ascii="宋体" w:hAnsi="宋体" w:cs="宋体"/>
          <w:b/>
          <w:sz w:val="24"/>
        </w:rPr>
        <w:br w:type="page" w:clear="all"/>
      </w:r>
      <w:r>
        <w:rPr>
          <w:rFonts w:hint="eastAsia" w:ascii="宋体" w:hAnsi="宋体" w:cs="宋体"/>
          <w:b/>
          <w:sz w:val="24"/>
        </w:rPr>
        <w:t>附件五</w:t>
      </w:r>
    </w:p>
    <w:p w14:paraId="6F18B6E5">
      <w:pPr>
        <w:pStyle w:val="322"/>
        <w:rPr>
          <w:rFonts w:ascii="宋体" w:hAnsi="宋体" w:cs="宋体"/>
          <w:b/>
          <w:sz w:val="24"/>
        </w:rPr>
      </w:pPr>
      <w:r>
        <w:rPr>
          <w:rFonts w:hint="eastAsia" w:ascii="宋体" w:hAnsi="宋体" w:cs="宋体"/>
          <w:b/>
          <w:sz w:val="24"/>
        </w:rPr>
        <w:t xml:space="preserve">           </w:t>
      </w:r>
    </w:p>
    <w:p w14:paraId="445C70C1">
      <w:pPr>
        <w:pStyle w:val="2"/>
        <w:rPr>
          <w:rFonts w:cs="宋体"/>
        </w:rPr>
      </w:pPr>
      <w:bookmarkStart w:id="631" w:name="_Toc6957"/>
      <w:bookmarkStart w:id="632" w:name="_Toc14231"/>
      <w:bookmarkStart w:id="633" w:name="_Toc735"/>
      <w:bookmarkStart w:id="634" w:name="OLE_LINK30"/>
      <w:bookmarkStart w:id="635" w:name="OLE_LINK31"/>
      <w:r>
        <w:rPr>
          <w:rFonts w:hint="eastAsia" w:cs="宋体"/>
        </w:rPr>
        <w:t>授  权  委  托  书</w:t>
      </w:r>
      <w:bookmarkEnd w:id="631"/>
      <w:bookmarkEnd w:id="632"/>
      <w:bookmarkEnd w:id="633"/>
    </w:p>
    <w:p w14:paraId="1F7123C9">
      <w:pPr>
        <w:pStyle w:val="322"/>
        <w:spacing w:line="360" w:lineRule="exact"/>
        <w:rPr>
          <w:rFonts w:ascii="宋体" w:hAnsi="宋体" w:cs="宋体"/>
          <w:sz w:val="24"/>
        </w:rPr>
      </w:pPr>
    </w:p>
    <w:p w14:paraId="2136953C">
      <w:pPr>
        <w:pStyle w:val="322"/>
        <w:spacing w:line="360" w:lineRule="exact"/>
        <w:rPr>
          <w:rFonts w:ascii="宋体" w:hAnsi="宋体" w:cs="宋体"/>
          <w:sz w:val="24"/>
        </w:rPr>
      </w:pPr>
    </w:p>
    <w:p w14:paraId="3AE97D94">
      <w:pPr>
        <w:pStyle w:val="322"/>
        <w:spacing w:line="480" w:lineRule="auto"/>
        <w:rPr>
          <w:rFonts w:ascii="宋体" w:hAnsi="宋体" w:cs="宋体"/>
          <w:sz w:val="24"/>
        </w:rPr>
      </w:pPr>
      <w:r>
        <w:rPr>
          <w:rFonts w:hint="eastAsia" w:ascii="宋体" w:hAnsi="宋体" w:cs="宋体"/>
          <w:sz w:val="24"/>
          <w:u w:val="single"/>
        </w:rPr>
        <w:t xml:space="preserve">（采购人）                </w:t>
      </w:r>
      <w:r>
        <w:rPr>
          <w:rFonts w:hint="eastAsia" w:ascii="宋体" w:hAnsi="宋体" w:cs="宋体"/>
          <w:sz w:val="24"/>
        </w:rPr>
        <w:t>：</w:t>
      </w:r>
    </w:p>
    <w:p w14:paraId="78527094">
      <w:pPr>
        <w:pStyle w:val="322"/>
        <w:spacing w:line="660" w:lineRule="exact"/>
        <w:ind w:firstLine="732"/>
        <w:rPr>
          <w:rFonts w:ascii="宋体" w:hAnsi="宋体" w:cs="宋体"/>
          <w:sz w:val="24"/>
        </w:rPr>
      </w:pPr>
      <w:r>
        <w:rPr>
          <w:rFonts w:hint="eastAsia" w:ascii="宋体" w:hAnsi="宋体" w:cs="宋体"/>
          <w:sz w:val="24"/>
        </w:rPr>
        <w:t>我</w:t>
      </w:r>
      <w:r>
        <w:rPr>
          <w:rFonts w:hint="eastAsia" w:ascii="宋体" w:hAnsi="宋体" w:cs="宋体"/>
          <w:sz w:val="24"/>
          <w:u w:val="single"/>
        </w:rPr>
        <w:t xml:space="preserve">            </w:t>
      </w:r>
      <w:r>
        <w:rPr>
          <w:rFonts w:hint="eastAsia" w:ascii="宋体" w:hAnsi="宋体" w:cs="宋体"/>
          <w:sz w:val="24"/>
        </w:rPr>
        <w:t>（姓名）系</w:t>
      </w:r>
      <w:r>
        <w:rPr>
          <w:rFonts w:hint="eastAsia" w:ascii="宋体" w:hAnsi="宋体" w:cs="宋体"/>
          <w:sz w:val="24"/>
          <w:u w:val="single"/>
        </w:rPr>
        <w:t xml:space="preserve">                      </w:t>
      </w:r>
      <w:r>
        <w:rPr>
          <w:rFonts w:hint="eastAsia" w:ascii="宋体" w:hAnsi="宋体" w:cs="宋体"/>
          <w:sz w:val="24"/>
        </w:rPr>
        <w:t xml:space="preserve"> (供应商单位全称)法定代表人，现授权委托</w:t>
      </w:r>
      <w:r>
        <w:rPr>
          <w:rFonts w:hint="eastAsia" w:ascii="宋体" w:hAnsi="宋体" w:cs="宋体"/>
          <w:sz w:val="24"/>
          <w:u w:val="single"/>
        </w:rPr>
        <w:t xml:space="preserve">                </w:t>
      </w:r>
      <w:r>
        <w:rPr>
          <w:rFonts w:hint="eastAsia" w:ascii="宋体" w:hAnsi="宋体" w:cs="宋体"/>
          <w:sz w:val="24"/>
        </w:rPr>
        <w:t xml:space="preserve"> (姓名)为我的代理人，以本单位的名义参加贵公司组织的</w:t>
      </w:r>
      <w:r>
        <w:rPr>
          <w:rFonts w:hint="eastAsia" w:ascii="宋体" w:hAnsi="宋体" w:cs="宋体"/>
          <w:bCs/>
          <w:sz w:val="24"/>
          <w:u w:val="single"/>
        </w:rPr>
        <w:t xml:space="preserve">                   </w:t>
      </w:r>
      <w:r>
        <w:rPr>
          <w:rFonts w:hint="eastAsia" w:ascii="宋体" w:hAnsi="宋体" w:cs="宋体"/>
          <w:bCs/>
          <w:sz w:val="24"/>
        </w:rPr>
        <w:t>采购项目的</w:t>
      </w:r>
      <w:r>
        <w:rPr>
          <w:rFonts w:hint="eastAsia" w:ascii="宋体" w:hAnsi="宋体" w:cs="宋体"/>
          <w:sz w:val="24"/>
        </w:rPr>
        <w:t>磋商活动</w:t>
      </w:r>
      <w:r>
        <w:rPr>
          <w:rFonts w:hint="eastAsia" w:ascii="宋体" w:hAnsi="宋体" w:cs="宋体"/>
          <w:bCs/>
          <w:sz w:val="24"/>
        </w:rPr>
        <w:t>，授权代理人所签署的一切文件和处理与之有关的</w:t>
      </w:r>
      <w:r>
        <w:rPr>
          <w:rFonts w:hint="eastAsia" w:ascii="宋体" w:hAnsi="宋体" w:cs="宋体"/>
          <w:sz w:val="24"/>
        </w:rPr>
        <w:t>一切事务，我单位均予承认，但代理人无转委托权。</w:t>
      </w:r>
    </w:p>
    <w:p w14:paraId="6D9E0ADE">
      <w:pPr>
        <w:pStyle w:val="322"/>
        <w:spacing w:line="660" w:lineRule="exact"/>
        <w:ind w:firstLine="732"/>
        <w:rPr>
          <w:rFonts w:ascii="宋体" w:hAnsi="宋体" w:cs="宋体"/>
          <w:sz w:val="24"/>
        </w:rPr>
      </w:pPr>
      <w:r>
        <w:rPr>
          <w:rFonts w:hint="eastAsia" w:ascii="宋体" w:hAnsi="宋体" w:cs="宋体"/>
          <w:bCs/>
          <w:sz w:val="24"/>
        </w:rPr>
        <w:t>授权代理人</w:t>
      </w:r>
      <w:r>
        <w:rPr>
          <w:rFonts w:hint="eastAsia" w:ascii="宋体" w:hAnsi="宋体" w:cs="宋体"/>
          <w:sz w:val="24"/>
        </w:rPr>
        <w:t>从提交磋商响应文件时起至合同执行结束时止，全权代表我单位对上述项目的进行磋商、签约等，所签署的一切文件，我公司均承认有效。</w:t>
      </w:r>
    </w:p>
    <w:p w14:paraId="1F2725F6">
      <w:pPr>
        <w:pStyle w:val="322"/>
        <w:spacing w:line="660" w:lineRule="exact"/>
        <w:ind w:firstLine="732"/>
        <w:rPr>
          <w:rFonts w:ascii="宋体" w:hAnsi="宋体" w:cs="宋体"/>
          <w:sz w:val="24"/>
        </w:rPr>
      </w:pPr>
      <w:r>
        <w:rPr>
          <w:rFonts w:hint="eastAsia" w:ascii="宋体" w:hAnsi="宋体" w:cs="宋体"/>
          <w:sz w:val="24"/>
        </w:rPr>
        <w:t>特此委托。</w:t>
      </w:r>
    </w:p>
    <w:p w14:paraId="2A3D0F36">
      <w:pPr>
        <w:pStyle w:val="322"/>
        <w:spacing w:line="660" w:lineRule="exact"/>
        <w:ind w:firstLine="4324"/>
        <w:rPr>
          <w:rFonts w:ascii="宋体" w:hAnsi="宋体" w:cs="宋体"/>
          <w:sz w:val="24"/>
        </w:rPr>
      </w:pPr>
    </w:p>
    <w:p w14:paraId="648238E6">
      <w:pPr>
        <w:pStyle w:val="322"/>
        <w:spacing w:line="660" w:lineRule="exact"/>
        <w:ind w:firstLine="4324"/>
        <w:rPr>
          <w:rFonts w:ascii="宋体" w:hAnsi="宋体" w:cs="宋体"/>
          <w:sz w:val="24"/>
        </w:rPr>
      </w:pPr>
    </w:p>
    <w:p w14:paraId="7EC36F4A">
      <w:pPr>
        <w:pStyle w:val="322"/>
        <w:spacing w:line="660" w:lineRule="exact"/>
        <w:rPr>
          <w:rFonts w:ascii="宋体" w:hAnsi="宋体" w:cs="宋体"/>
          <w:sz w:val="24"/>
        </w:rPr>
      </w:pPr>
    </w:p>
    <w:p w14:paraId="7CBD9740">
      <w:pPr>
        <w:pStyle w:val="322"/>
        <w:spacing w:line="660" w:lineRule="exact"/>
        <w:ind w:firstLine="4324"/>
        <w:rPr>
          <w:rFonts w:ascii="宋体" w:hAnsi="宋体" w:cs="宋体"/>
          <w:sz w:val="24"/>
        </w:rPr>
      </w:pPr>
      <w:r>
        <w:rPr>
          <w:rFonts w:hint="eastAsia" w:ascii="宋体" w:hAnsi="宋体" w:cs="宋体"/>
          <w:sz w:val="24"/>
        </w:rPr>
        <w:t xml:space="preserve">法定代表人（签名或印鉴）： </w:t>
      </w:r>
    </w:p>
    <w:p w14:paraId="2426BAF9">
      <w:pPr>
        <w:pStyle w:val="322"/>
        <w:spacing w:line="660" w:lineRule="exact"/>
        <w:ind w:firstLine="4324"/>
        <w:rPr>
          <w:rFonts w:ascii="宋体" w:hAnsi="宋体" w:cs="宋体"/>
          <w:sz w:val="24"/>
        </w:rPr>
      </w:pPr>
      <w:r>
        <w:rPr>
          <w:rFonts w:hint="eastAsia" w:ascii="宋体" w:hAnsi="宋体" w:cs="宋体"/>
          <w:sz w:val="24"/>
        </w:rPr>
        <w:t>供应商（电子签章）：</w:t>
      </w:r>
    </w:p>
    <w:p w14:paraId="45674ED8">
      <w:pPr>
        <w:pStyle w:val="322"/>
        <w:spacing w:line="660" w:lineRule="exact"/>
        <w:ind w:firstLine="5076"/>
        <w:rPr>
          <w:rFonts w:ascii="宋体" w:hAnsi="宋体" w:cs="宋体"/>
          <w:sz w:val="24"/>
        </w:rPr>
      </w:pPr>
      <w:r>
        <w:rPr>
          <w:rFonts w:hint="eastAsia" w:ascii="宋体" w:hAnsi="宋体" w:cs="宋体"/>
          <w:sz w:val="24"/>
        </w:rPr>
        <w:t xml:space="preserve">  年    月    日</w:t>
      </w:r>
    </w:p>
    <w:bookmarkEnd w:id="634"/>
    <w:bookmarkEnd w:id="635"/>
    <w:p w14:paraId="54F993E6">
      <w:pPr>
        <w:pStyle w:val="322"/>
        <w:spacing w:line="660" w:lineRule="exact"/>
        <w:rPr>
          <w:rFonts w:ascii="宋体" w:hAnsi="宋体" w:cs="宋体"/>
          <w:sz w:val="24"/>
        </w:rPr>
      </w:pPr>
    </w:p>
    <w:p w14:paraId="5F642C43">
      <w:pPr>
        <w:pStyle w:val="322"/>
        <w:spacing w:line="660" w:lineRule="exact"/>
        <w:rPr>
          <w:rFonts w:ascii="宋体" w:hAnsi="宋体" w:cs="宋体"/>
          <w:sz w:val="24"/>
        </w:rPr>
      </w:pPr>
    </w:p>
    <w:p w14:paraId="7F431E7F">
      <w:pPr>
        <w:pStyle w:val="323"/>
        <w:rPr>
          <w:rFonts w:ascii="宋体" w:hAnsi="宋体" w:eastAsia="宋体" w:cs="宋体"/>
        </w:rPr>
      </w:pPr>
    </w:p>
    <w:p w14:paraId="5D91E5FB">
      <w:pPr>
        <w:pStyle w:val="322"/>
        <w:rPr>
          <w:rFonts w:ascii="宋体" w:hAnsi="宋体" w:cs="宋体"/>
        </w:rPr>
      </w:pPr>
    </w:p>
    <w:p w14:paraId="79BF1EAF">
      <w:pPr>
        <w:pStyle w:val="333"/>
        <w:spacing w:line="240" w:lineRule="auto"/>
        <w:ind w:firstLine="0"/>
        <w:rPr>
          <w:rFonts w:ascii="宋体" w:hAnsi="宋体" w:eastAsia="宋体" w:cs="宋体"/>
          <w:bCs w:val="0"/>
          <w:sz w:val="24"/>
          <w:szCs w:val="24"/>
        </w:rPr>
      </w:pPr>
    </w:p>
    <w:p w14:paraId="740B8A14">
      <w:pPr>
        <w:pStyle w:val="322"/>
        <w:spacing w:line="360" w:lineRule="auto"/>
        <w:rPr>
          <w:rFonts w:ascii="宋体" w:hAnsi="宋体" w:cs="宋体"/>
          <w:b/>
          <w:sz w:val="24"/>
        </w:rPr>
      </w:pPr>
    </w:p>
    <w:p w14:paraId="7F0E854C">
      <w:pPr>
        <w:pStyle w:val="322"/>
        <w:spacing w:line="360" w:lineRule="auto"/>
        <w:rPr>
          <w:rFonts w:ascii="宋体" w:hAnsi="宋体" w:cs="宋体"/>
          <w:b/>
          <w:sz w:val="24"/>
        </w:rPr>
      </w:pPr>
      <w:r>
        <w:rPr>
          <w:rFonts w:hint="eastAsia" w:ascii="宋体" w:hAnsi="宋体" w:cs="宋体"/>
          <w:b/>
          <w:sz w:val="24"/>
        </w:rPr>
        <w:t>附件六</w:t>
      </w:r>
    </w:p>
    <w:p w14:paraId="77C19C3B">
      <w:pPr>
        <w:pStyle w:val="323"/>
        <w:rPr>
          <w:rFonts w:ascii="宋体" w:hAnsi="宋体" w:eastAsia="宋体" w:cs="宋体"/>
        </w:rPr>
      </w:pPr>
    </w:p>
    <w:p w14:paraId="01C96078">
      <w:pPr>
        <w:pStyle w:val="2"/>
        <w:rPr>
          <w:rFonts w:cs="宋体"/>
          <w:szCs w:val="24"/>
        </w:rPr>
      </w:pPr>
      <w:bookmarkStart w:id="636" w:name="_Toc17059"/>
      <w:bookmarkStart w:id="637" w:name="_Toc8273"/>
      <w:bookmarkStart w:id="638" w:name="_Toc19729"/>
      <w:r>
        <w:rPr>
          <w:rFonts w:hint="eastAsia" w:cs="宋体"/>
        </w:rPr>
        <w:t>具备履行合同所必需的设备和专业技术能力的声明</w:t>
      </w:r>
      <w:bookmarkEnd w:id="636"/>
      <w:bookmarkEnd w:id="637"/>
      <w:bookmarkEnd w:id="638"/>
    </w:p>
    <w:p w14:paraId="232931C4">
      <w:pPr>
        <w:pStyle w:val="322"/>
        <w:spacing w:line="360" w:lineRule="auto"/>
        <w:jc w:val="center"/>
        <w:rPr>
          <w:rFonts w:ascii="宋体" w:hAnsi="宋体" w:cs="宋体"/>
          <w:b/>
          <w:sz w:val="24"/>
        </w:rPr>
      </w:pPr>
    </w:p>
    <w:p w14:paraId="6FD1007D">
      <w:pPr>
        <w:pStyle w:val="322"/>
        <w:spacing w:line="360" w:lineRule="auto"/>
        <w:rPr>
          <w:rFonts w:ascii="宋体" w:hAnsi="宋体" w:cs="宋体"/>
          <w:sz w:val="24"/>
        </w:rPr>
      </w:pPr>
      <w:r>
        <w:rPr>
          <w:rFonts w:hint="eastAsia" w:ascii="宋体" w:hAnsi="宋体" w:cs="宋体"/>
          <w:sz w:val="24"/>
          <w:u w:val="single"/>
        </w:rPr>
        <w:t xml:space="preserve">               （采购单位名称）</w:t>
      </w:r>
      <w:r>
        <w:rPr>
          <w:rFonts w:hint="eastAsia" w:ascii="宋体" w:hAnsi="宋体" w:cs="宋体"/>
          <w:sz w:val="24"/>
        </w:rPr>
        <w:t>：</w:t>
      </w:r>
    </w:p>
    <w:p w14:paraId="69544D0F">
      <w:pPr>
        <w:pStyle w:val="322"/>
        <w:spacing w:line="460" w:lineRule="exact"/>
        <w:ind w:firstLine="420"/>
        <w:rPr>
          <w:rFonts w:ascii="宋体" w:hAnsi="宋体" w:cs="宋体"/>
          <w:sz w:val="24"/>
        </w:rPr>
      </w:pPr>
      <w:r>
        <w:rPr>
          <w:rFonts w:hint="eastAsia" w:ascii="宋体" w:hAnsi="宋体" w:cs="宋体"/>
          <w:sz w:val="24"/>
        </w:rPr>
        <w:t>我单位</w:t>
      </w:r>
      <w:r>
        <w:rPr>
          <w:rFonts w:hint="eastAsia" w:ascii="宋体" w:hAnsi="宋体" w:cs="宋体"/>
          <w:sz w:val="24"/>
          <w:u w:val="single"/>
        </w:rPr>
        <w:t xml:space="preserve">                             </w:t>
      </w:r>
      <w:r>
        <w:rPr>
          <w:rFonts w:hint="eastAsia" w:ascii="宋体" w:hAnsi="宋体" w:cs="宋体"/>
          <w:sz w:val="24"/>
        </w:rPr>
        <w:t>（供应商名称）郑重声明：我公司具备履行本项采购合同所必需的设备和专业技术能力，为履行本项采购合同我单位具备如下主要设备和主要专业技术能力：</w:t>
      </w:r>
    </w:p>
    <w:p w14:paraId="49FA0657">
      <w:pPr>
        <w:pStyle w:val="322"/>
        <w:spacing w:line="460" w:lineRule="exact"/>
        <w:ind w:firstLine="420"/>
        <w:rPr>
          <w:rFonts w:ascii="宋体" w:hAnsi="宋体" w:cs="宋体"/>
          <w:sz w:val="24"/>
        </w:rPr>
      </w:pPr>
      <w:r>
        <w:rPr>
          <w:rFonts w:hint="eastAsia" w:ascii="宋体" w:hAnsi="宋体" w:cs="宋体"/>
          <w:sz w:val="24"/>
        </w:rPr>
        <w:t>主要设备有：                          。( 若有 )</w:t>
      </w:r>
    </w:p>
    <w:p w14:paraId="5CFF6EB6">
      <w:pPr>
        <w:pStyle w:val="322"/>
        <w:spacing w:line="460" w:lineRule="exact"/>
        <w:ind w:firstLine="420"/>
        <w:rPr>
          <w:rFonts w:ascii="宋体" w:hAnsi="宋体" w:cs="宋体"/>
          <w:sz w:val="24"/>
        </w:rPr>
      </w:pPr>
      <w:r>
        <w:rPr>
          <w:rFonts w:hint="eastAsia" w:ascii="宋体" w:hAnsi="宋体" w:cs="宋体"/>
          <w:sz w:val="24"/>
        </w:rPr>
        <w:t>主要专业技术能力有：                  。( 若有 )</w:t>
      </w:r>
    </w:p>
    <w:p w14:paraId="2A86C38D">
      <w:pPr>
        <w:pStyle w:val="322"/>
        <w:spacing w:line="360" w:lineRule="auto"/>
        <w:ind w:firstLine="420"/>
        <w:rPr>
          <w:rFonts w:ascii="宋体" w:hAnsi="宋体" w:cs="宋体"/>
          <w:sz w:val="24"/>
        </w:rPr>
      </w:pPr>
      <w:r>
        <w:rPr>
          <w:rFonts w:hint="eastAsia" w:ascii="宋体" w:hAnsi="宋体" w:cs="宋体"/>
          <w:sz w:val="24"/>
        </w:rPr>
        <w:t xml:space="preserve">                                      </w:t>
      </w:r>
    </w:p>
    <w:p w14:paraId="0B7AEEED">
      <w:pPr>
        <w:pStyle w:val="322"/>
        <w:spacing w:line="360" w:lineRule="auto"/>
        <w:ind w:firstLine="420"/>
        <w:rPr>
          <w:rFonts w:ascii="宋体" w:hAnsi="宋体" w:cs="宋体"/>
          <w:sz w:val="24"/>
        </w:rPr>
      </w:pPr>
    </w:p>
    <w:p w14:paraId="005BB812">
      <w:pPr>
        <w:pStyle w:val="322"/>
        <w:spacing w:line="360" w:lineRule="auto"/>
        <w:ind w:firstLine="420"/>
        <w:rPr>
          <w:rFonts w:ascii="宋体" w:hAnsi="宋体" w:cs="宋体"/>
          <w:sz w:val="24"/>
        </w:rPr>
      </w:pPr>
      <w:r>
        <w:rPr>
          <w:rFonts w:hint="eastAsia" w:ascii="宋体" w:hAnsi="宋体" w:cs="宋体"/>
          <w:sz w:val="24"/>
        </w:rPr>
        <w:t xml:space="preserve">                                           声明人：（电子签章）</w:t>
      </w:r>
    </w:p>
    <w:p w14:paraId="36986F2D">
      <w:pPr>
        <w:pStyle w:val="322"/>
        <w:spacing w:line="460" w:lineRule="exact"/>
        <w:ind w:firstLine="480"/>
        <w:rPr>
          <w:rFonts w:ascii="宋体" w:hAnsi="宋体" w:cs="宋体"/>
          <w:sz w:val="24"/>
        </w:rPr>
      </w:pPr>
      <w:r>
        <w:rPr>
          <w:rFonts w:hint="eastAsia" w:ascii="宋体" w:hAnsi="宋体" w:cs="宋体"/>
          <w:bCs/>
          <w:sz w:val="24"/>
        </w:rPr>
        <w:t xml:space="preserve">                                          </w:t>
      </w:r>
      <w:r>
        <w:rPr>
          <w:rFonts w:hint="eastAsia" w:ascii="宋体" w:hAnsi="宋体" w:cs="宋体"/>
          <w:sz w:val="24"/>
        </w:rPr>
        <w:t>日期：     年    月    日</w:t>
      </w:r>
    </w:p>
    <w:p w14:paraId="4BBF0C25">
      <w:pPr>
        <w:pStyle w:val="322"/>
        <w:spacing w:line="360" w:lineRule="auto"/>
        <w:ind w:firstLine="420"/>
        <w:rPr>
          <w:rFonts w:ascii="宋体" w:hAnsi="宋体" w:cs="宋体"/>
          <w:sz w:val="24"/>
        </w:rPr>
      </w:pPr>
    </w:p>
    <w:p w14:paraId="3D9C5A71">
      <w:pPr>
        <w:pStyle w:val="322"/>
        <w:spacing w:line="360" w:lineRule="auto"/>
        <w:jc w:val="left"/>
        <w:rPr>
          <w:rFonts w:ascii="宋体" w:hAnsi="宋体" w:cs="宋体"/>
          <w:b/>
          <w:bCs/>
          <w:sz w:val="24"/>
        </w:rPr>
      </w:pPr>
      <w:r>
        <w:rPr>
          <w:rFonts w:hint="eastAsia" w:ascii="宋体" w:hAnsi="宋体" w:cs="宋体"/>
          <w:sz w:val="24"/>
        </w:rPr>
        <w:t>其他证明材料及文件：（如果供应商认为需要提供的话）</w:t>
      </w:r>
    </w:p>
    <w:p w14:paraId="7CA22E78">
      <w:pPr>
        <w:pStyle w:val="322"/>
        <w:spacing w:line="360" w:lineRule="auto"/>
        <w:jc w:val="left"/>
        <w:rPr>
          <w:rFonts w:ascii="宋体" w:hAnsi="宋体" w:cs="宋体"/>
          <w:b/>
          <w:bCs/>
          <w:sz w:val="24"/>
        </w:rPr>
      </w:pPr>
    </w:p>
    <w:p w14:paraId="15FD7050">
      <w:pPr>
        <w:pStyle w:val="322"/>
        <w:spacing w:line="560" w:lineRule="exact"/>
        <w:rPr>
          <w:rFonts w:ascii="宋体" w:hAnsi="宋体" w:cs="宋体"/>
          <w:b/>
          <w:sz w:val="24"/>
        </w:rPr>
      </w:pPr>
    </w:p>
    <w:p w14:paraId="7DAE83C2">
      <w:pPr>
        <w:pStyle w:val="322"/>
        <w:spacing w:line="560" w:lineRule="exact"/>
        <w:rPr>
          <w:rFonts w:ascii="宋体" w:hAnsi="宋体" w:cs="宋体"/>
          <w:b/>
          <w:sz w:val="24"/>
        </w:rPr>
      </w:pPr>
    </w:p>
    <w:p w14:paraId="2E6AD0F7">
      <w:pPr>
        <w:pStyle w:val="322"/>
        <w:spacing w:line="560" w:lineRule="exact"/>
        <w:rPr>
          <w:rFonts w:ascii="宋体" w:hAnsi="宋体" w:cs="宋体"/>
          <w:b/>
          <w:sz w:val="24"/>
        </w:rPr>
      </w:pPr>
    </w:p>
    <w:p w14:paraId="019F1B9C">
      <w:pPr>
        <w:pStyle w:val="322"/>
        <w:spacing w:line="560" w:lineRule="exact"/>
        <w:rPr>
          <w:rFonts w:ascii="宋体" w:hAnsi="宋体" w:cs="宋体"/>
          <w:b/>
          <w:sz w:val="24"/>
        </w:rPr>
      </w:pPr>
    </w:p>
    <w:p w14:paraId="421BDE5B">
      <w:pPr>
        <w:pStyle w:val="322"/>
        <w:spacing w:line="560" w:lineRule="exact"/>
        <w:rPr>
          <w:rFonts w:ascii="宋体" w:hAnsi="宋体" w:cs="宋体"/>
          <w:b/>
          <w:sz w:val="24"/>
        </w:rPr>
      </w:pPr>
    </w:p>
    <w:p w14:paraId="6C37B7C7">
      <w:pPr>
        <w:pStyle w:val="322"/>
        <w:spacing w:line="560" w:lineRule="exact"/>
        <w:rPr>
          <w:rFonts w:ascii="宋体" w:hAnsi="宋体" w:cs="宋体"/>
          <w:b/>
          <w:sz w:val="24"/>
        </w:rPr>
      </w:pPr>
    </w:p>
    <w:p w14:paraId="52D31D83">
      <w:pPr>
        <w:pStyle w:val="322"/>
        <w:spacing w:line="560" w:lineRule="exact"/>
        <w:rPr>
          <w:rFonts w:ascii="宋体" w:hAnsi="宋体" w:cs="宋体"/>
          <w:b/>
          <w:sz w:val="24"/>
        </w:rPr>
      </w:pPr>
    </w:p>
    <w:p w14:paraId="26BD60FF">
      <w:pPr>
        <w:pStyle w:val="322"/>
        <w:spacing w:line="560" w:lineRule="exact"/>
        <w:rPr>
          <w:rFonts w:ascii="宋体" w:hAnsi="宋体" w:cs="宋体"/>
          <w:b/>
          <w:sz w:val="24"/>
        </w:rPr>
      </w:pPr>
    </w:p>
    <w:p w14:paraId="54837238">
      <w:pPr>
        <w:pStyle w:val="323"/>
        <w:rPr>
          <w:rFonts w:ascii="宋体" w:hAnsi="宋体" w:eastAsia="宋体" w:cs="宋体"/>
          <w:b/>
          <w:szCs w:val="24"/>
        </w:rPr>
      </w:pPr>
    </w:p>
    <w:p w14:paraId="3C4FF825">
      <w:pPr>
        <w:pStyle w:val="322"/>
        <w:rPr>
          <w:rFonts w:ascii="宋体" w:hAnsi="宋体" w:cs="宋体"/>
        </w:rPr>
      </w:pPr>
    </w:p>
    <w:p w14:paraId="04FDE6C9">
      <w:pPr>
        <w:pStyle w:val="322"/>
        <w:rPr>
          <w:rFonts w:ascii="宋体" w:hAnsi="宋体" w:cs="宋体"/>
          <w:sz w:val="24"/>
        </w:rPr>
      </w:pPr>
    </w:p>
    <w:p w14:paraId="3854F600">
      <w:pPr>
        <w:pStyle w:val="333"/>
        <w:spacing w:line="240" w:lineRule="auto"/>
        <w:ind w:firstLine="0"/>
        <w:rPr>
          <w:rFonts w:ascii="宋体" w:hAnsi="宋体" w:eastAsia="宋体" w:cs="宋体"/>
          <w:bCs w:val="0"/>
          <w:sz w:val="24"/>
          <w:szCs w:val="24"/>
        </w:rPr>
      </w:pPr>
      <w:bookmarkStart w:id="639" w:name="_Toc16987"/>
    </w:p>
    <w:p w14:paraId="46A0483E">
      <w:pPr>
        <w:pStyle w:val="333"/>
        <w:spacing w:line="240" w:lineRule="auto"/>
        <w:ind w:firstLine="0"/>
        <w:rPr>
          <w:rFonts w:ascii="宋体" w:hAnsi="宋体" w:eastAsia="宋体" w:cs="宋体"/>
          <w:bCs w:val="0"/>
          <w:sz w:val="24"/>
          <w:szCs w:val="24"/>
        </w:rPr>
      </w:pPr>
      <w:r>
        <w:rPr>
          <w:rFonts w:hint="eastAsia" w:ascii="宋体" w:hAnsi="宋体" w:eastAsia="宋体" w:cs="宋体"/>
          <w:bCs w:val="0"/>
          <w:sz w:val="24"/>
          <w:szCs w:val="24"/>
        </w:rPr>
        <w:br w:type="page" w:clear="all"/>
      </w:r>
      <w:r>
        <w:rPr>
          <w:rFonts w:hint="eastAsia" w:ascii="宋体" w:hAnsi="宋体" w:eastAsia="宋体" w:cs="宋体"/>
          <w:bCs w:val="0"/>
          <w:sz w:val="24"/>
          <w:szCs w:val="24"/>
        </w:rPr>
        <w:t>附件七</w:t>
      </w:r>
      <w:bookmarkEnd w:id="639"/>
    </w:p>
    <w:p w14:paraId="555EB8A5">
      <w:pPr>
        <w:pStyle w:val="322"/>
        <w:rPr>
          <w:rFonts w:ascii="宋体" w:hAnsi="宋体" w:cs="宋体"/>
        </w:rPr>
      </w:pPr>
    </w:p>
    <w:p w14:paraId="241876FE">
      <w:pPr>
        <w:pStyle w:val="2"/>
        <w:rPr>
          <w:rFonts w:cs="宋体"/>
          <w:b w:val="0"/>
          <w:szCs w:val="24"/>
        </w:rPr>
      </w:pPr>
      <w:bookmarkStart w:id="640" w:name="_Toc19960"/>
      <w:bookmarkStart w:id="641" w:name="_Toc8045"/>
      <w:bookmarkStart w:id="642" w:name="_Toc11288"/>
      <w:bookmarkStart w:id="643" w:name="OLE_LINK32"/>
      <w:bookmarkStart w:id="644" w:name="OLE_LINK33"/>
      <w:r>
        <w:rPr>
          <w:rFonts w:hint="eastAsia" w:cs="宋体"/>
        </w:rPr>
        <w:t>无重大违法记录声明</w:t>
      </w:r>
      <w:bookmarkEnd w:id="640"/>
      <w:bookmarkEnd w:id="641"/>
      <w:bookmarkEnd w:id="642"/>
    </w:p>
    <w:p w14:paraId="2010D3F0">
      <w:pPr>
        <w:pStyle w:val="322"/>
        <w:tabs>
          <w:tab w:val="left" w:pos="6300"/>
        </w:tabs>
        <w:jc w:val="center"/>
        <w:rPr>
          <w:rFonts w:ascii="宋体" w:hAnsi="宋体" w:cs="宋体"/>
          <w:sz w:val="24"/>
        </w:rPr>
      </w:pPr>
    </w:p>
    <w:p w14:paraId="23377E9C">
      <w:pPr>
        <w:pStyle w:val="322"/>
        <w:tabs>
          <w:tab w:val="left" w:pos="6300"/>
        </w:tabs>
        <w:spacing w:line="560" w:lineRule="exact"/>
        <w:rPr>
          <w:rFonts w:ascii="宋体" w:hAnsi="宋体" w:cs="宋体"/>
          <w:sz w:val="24"/>
          <w:u w:val="single"/>
        </w:rPr>
      </w:pPr>
    </w:p>
    <w:p w14:paraId="13738AE3">
      <w:pPr>
        <w:pStyle w:val="322"/>
        <w:tabs>
          <w:tab w:val="left" w:pos="6300"/>
        </w:tabs>
        <w:spacing w:line="560" w:lineRule="exact"/>
        <w:rPr>
          <w:rFonts w:ascii="宋体" w:hAnsi="宋体" w:cs="宋体"/>
          <w:sz w:val="24"/>
        </w:rPr>
      </w:pPr>
      <w:r>
        <w:rPr>
          <w:rFonts w:hint="eastAsia" w:ascii="宋体" w:hAnsi="宋体" w:cs="宋体"/>
          <w:sz w:val="24"/>
        </w:rPr>
        <w:t>致：</w:t>
      </w:r>
      <w:r>
        <w:rPr>
          <w:rFonts w:hint="eastAsia" w:ascii="宋体" w:hAnsi="宋体" w:cs="宋体"/>
          <w:sz w:val="24"/>
          <w:u w:val="single"/>
        </w:rPr>
        <w:t xml:space="preserve">                   </w:t>
      </w:r>
      <w:r>
        <w:rPr>
          <w:rFonts w:hint="eastAsia" w:ascii="宋体" w:hAnsi="宋体" w:cs="宋体"/>
          <w:sz w:val="24"/>
        </w:rPr>
        <w:t>（采购代理机构名称）：</w:t>
      </w:r>
    </w:p>
    <w:p w14:paraId="634EA8C3">
      <w:pPr>
        <w:pStyle w:val="322"/>
        <w:tabs>
          <w:tab w:val="left" w:pos="6300"/>
        </w:tabs>
        <w:spacing w:line="560" w:lineRule="exact"/>
        <w:rPr>
          <w:rFonts w:ascii="宋体" w:hAnsi="宋体" w:cs="宋体"/>
          <w:sz w:val="24"/>
          <w:u w:val="single"/>
        </w:rPr>
      </w:pP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（供应商名称）郑重声明，我方参加</w:t>
      </w:r>
      <w:r>
        <w:rPr>
          <w:rFonts w:hint="eastAsia" w:ascii="宋体" w:hAnsi="宋体" w:cs="宋体"/>
          <w:sz w:val="24"/>
          <w:u w:val="single"/>
        </w:rPr>
        <w:t xml:space="preserve">                     </w:t>
      </w:r>
    </w:p>
    <w:p w14:paraId="66EEAD7F">
      <w:pPr>
        <w:pStyle w:val="322"/>
        <w:tabs>
          <w:tab w:val="left" w:pos="6300"/>
        </w:tabs>
        <w:spacing w:line="560" w:lineRule="exact"/>
        <w:rPr>
          <w:rFonts w:ascii="宋体" w:hAnsi="宋体" w:cs="宋体"/>
          <w:sz w:val="24"/>
        </w:rPr>
      </w:pPr>
      <w:r>
        <w:rPr>
          <w:rFonts w:hint="eastAsia" w:ascii="宋体" w:hAnsi="宋体" w:cs="宋体"/>
          <w:sz w:val="24"/>
        </w:rPr>
        <w:t>（项目名称）采购活动前三年内无重大违法活动记录，符合《政府采购法》规定的供应商资格条件。我方对此声明负全部法律责任。</w:t>
      </w:r>
    </w:p>
    <w:p w14:paraId="7C0EAA01">
      <w:pPr>
        <w:pStyle w:val="322"/>
        <w:tabs>
          <w:tab w:val="left" w:pos="6300"/>
        </w:tabs>
        <w:spacing w:line="560" w:lineRule="exact"/>
        <w:ind w:firstLine="525"/>
        <w:rPr>
          <w:rFonts w:ascii="宋体" w:hAnsi="宋体" w:cs="宋体"/>
          <w:sz w:val="24"/>
        </w:rPr>
      </w:pPr>
      <w:r>
        <w:rPr>
          <w:rFonts w:hint="eastAsia" w:ascii="宋体" w:hAnsi="宋体" w:cs="宋体"/>
          <w:sz w:val="24"/>
        </w:rPr>
        <w:t>特此声明。</w:t>
      </w:r>
    </w:p>
    <w:p w14:paraId="4BFA4F76">
      <w:pPr>
        <w:pStyle w:val="322"/>
        <w:spacing w:line="560" w:lineRule="exact"/>
        <w:ind w:right="1032"/>
        <w:rPr>
          <w:rFonts w:ascii="宋体" w:hAnsi="宋体" w:cs="宋体"/>
          <w:sz w:val="24"/>
        </w:rPr>
      </w:pPr>
    </w:p>
    <w:p w14:paraId="19DF329D">
      <w:pPr>
        <w:pStyle w:val="322"/>
        <w:spacing w:line="560" w:lineRule="exact"/>
        <w:ind w:right="1032"/>
        <w:rPr>
          <w:rFonts w:ascii="宋体" w:hAnsi="宋体" w:cs="宋体"/>
          <w:sz w:val="24"/>
        </w:rPr>
      </w:pPr>
      <w:r>
        <w:rPr>
          <w:rFonts w:hint="eastAsia" w:ascii="宋体" w:hAnsi="宋体" w:cs="宋体"/>
          <w:sz w:val="24"/>
        </w:rPr>
        <w:t xml:space="preserve"> </w:t>
      </w:r>
    </w:p>
    <w:p w14:paraId="551FA2CC">
      <w:pPr>
        <w:pStyle w:val="322"/>
        <w:spacing w:line="560" w:lineRule="exact"/>
        <w:ind w:right="1032" w:firstLine="5762"/>
        <w:rPr>
          <w:rFonts w:ascii="宋体" w:hAnsi="宋体" w:cs="宋体"/>
          <w:sz w:val="24"/>
        </w:rPr>
      </w:pPr>
      <w:r>
        <w:rPr>
          <w:rFonts w:hint="eastAsia" w:ascii="宋体" w:hAnsi="宋体" w:cs="宋体"/>
          <w:sz w:val="24"/>
        </w:rPr>
        <w:t>供应商（电子签章）：</w:t>
      </w:r>
    </w:p>
    <w:p w14:paraId="174A8BF5">
      <w:pPr>
        <w:pStyle w:val="322"/>
        <w:spacing w:line="560" w:lineRule="exact"/>
        <w:ind w:right="1032" w:firstLine="3360"/>
        <w:rPr>
          <w:rFonts w:ascii="宋体" w:hAnsi="宋体" w:cs="宋体"/>
          <w:sz w:val="24"/>
        </w:rPr>
      </w:pPr>
      <w:r>
        <w:rPr>
          <w:rFonts w:hint="eastAsia" w:ascii="宋体" w:hAnsi="宋体" w:cs="宋体"/>
          <w:sz w:val="24"/>
        </w:rPr>
        <w:t>法定代表人或被授权代表（签名或印鉴）：</w:t>
      </w:r>
    </w:p>
    <w:p w14:paraId="3012E03B">
      <w:pPr>
        <w:pStyle w:val="322"/>
        <w:spacing w:line="560" w:lineRule="exact"/>
        <w:ind w:right="516" w:firstLine="7272"/>
        <w:rPr>
          <w:rFonts w:ascii="宋体" w:hAnsi="宋体" w:cs="宋体"/>
          <w:sz w:val="24"/>
        </w:rPr>
      </w:pPr>
      <w:r>
        <w:rPr>
          <w:rFonts w:hint="eastAsia" w:ascii="宋体" w:hAnsi="宋体" w:cs="宋体"/>
          <w:sz w:val="24"/>
        </w:rPr>
        <w:t>年 月  日</w:t>
      </w:r>
    </w:p>
    <w:p w14:paraId="674DC249">
      <w:pPr>
        <w:pStyle w:val="322"/>
        <w:spacing w:line="560" w:lineRule="exact"/>
        <w:rPr>
          <w:rFonts w:ascii="宋体" w:hAnsi="宋体" w:cs="宋体"/>
          <w:sz w:val="24"/>
        </w:rPr>
      </w:pPr>
    </w:p>
    <w:bookmarkEnd w:id="643"/>
    <w:bookmarkEnd w:id="644"/>
    <w:p w14:paraId="1598B521">
      <w:pPr>
        <w:pStyle w:val="322"/>
        <w:spacing w:line="560" w:lineRule="exact"/>
        <w:rPr>
          <w:rFonts w:ascii="宋体" w:hAnsi="宋体" w:cs="宋体"/>
          <w:sz w:val="24"/>
        </w:rPr>
      </w:pPr>
    </w:p>
    <w:p w14:paraId="2A8F614D">
      <w:pPr>
        <w:pStyle w:val="322"/>
        <w:spacing w:line="560" w:lineRule="exact"/>
        <w:rPr>
          <w:rFonts w:ascii="宋体" w:hAnsi="宋体" w:cs="宋体"/>
          <w:sz w:val="24"/>
        </w:rPr>
      </w:pPr>
    </w:p>
    <w:p w14:paraId="0E1B5762">
      <w:pPr>
        <w:pStyle w:val="322"/>
        <w:spacing w:line="560" w:lineRule="exact"/>
        <w:rPr>
          <w:rFonts w:ascii="宋体" w:hAnsi="宋体" w:cs="宋体"/>
          <w:sz w:val="24"/>
        </w:rPr>
      </w:pPr>
    </w:p>
    <w:p w14:paraId="5CFB9AE7">
      <w:pPr>
        <w:pStyle w:val="322"/>
        <w:spacing w:line="560" w:lineRule="exact"/>
        <w:rPr>
          <w:rFonts w:ascii="宋体" w:hAnsi="宋体" w:cs="宋体"/>
          <w:sz w:val="24"/>
        </w:rPr>
      </w:pPr>
    </w:p>
    <w:p w14:paraId="45500997">
      <w:pPr>
        <w:pStyle w:val="322"/>
        <w:spacing w:line="560" w:lineRule="exact"/>
        <w:rPr>
          <w:rFonts w:ascii="宋体" w:hAnsi="宋体" w:cs="宋体"/>
          <w:sz w:val="24"/>
        </w:rPr>
      </w:pPr>
    </w:p>
    <w:p w14:paraId="73F4CAF3">
      <w:pPr>
        <w:pStyle w:val="322"/>
        <w:spacing w:line="560" w:lineRule="exact"/>
        <w:rPr>
          <w:rFonts w:ascii="宋体" w:hAnsi="宋体" w:cs="宋体"/>
          <w:sz w:val="24"/>
        </w:rPr>
      </w:pPr>
    </w:p>
    <w:p w14:paraId="50D211D7">
      <w:pPr>
        <w:pStyle w:val="322"/>
        <w:spacing w:line="560" w:lineRule="exact"/>
        <w:rPr>
          <w:rFonts w:ascii="宋体" w:hAnsi="宋体" w:cs="宋体"/>
          <w:sz w:val="24"/>
        </w:rPr>
      </w:pPr>
    </w:p>
    <w:p w14:paraId="1FB2A649">
      <w:pPr>
        <w:pStyle w:val="322"/>
        <w:spacing w:line="560" w:lineRule="exact"/>
        <w:rPr>
          <w:rFonts w:ascii="宋体" w:hAnsi="宋体" w:cs="宋体"/>
          <w:sz w:val="24"/>
        </w:rPr>
      </w:pPr>
    </w:p>
    <w:p w14:paraId="6CD51B6E">
      <w:pPr>
        <w:pStyle w:val="323"/>
        <w:rPr>
          <w:rFonts w:ascii="宋体" w:hAnsi="宋体" w:eastAsia="宋体" w:cs="宋体"/>
          <w:szCs w:val="24"/>
        </w:rPr>
      </w:pPr>
    </w:p>
    <w:p w14:paraId="668C03E7">
      <w:pPr>
        <w:pStyle w:val="322"/>
        <w:rPr>
          <w:rFonts w:ascii="宋体" w:hAnsi="宋体" w:cs="宋体"/>
        </w:rPr>
      </w:pPr>
    </w:p>
    <w:p w14:paraId="51A448BC">
      <w:pPr>
        <w:pStyle w:val="323"/>
        <w:rPr>
          <w:rFonts w:ascii="宋体" w:hAnsi="宋体" w:eastAsia="宋体" w:cs="宋体"/>
          <w:szCs w:val="24"/>
        </w:rPr>
      </w:pPr>
    </w:p>
    <w:p w14:paraId="72C1626E">
      <w:pPr>
        <w:pStyle w:val="322"/>
        <w:rPr>
          <w:rFonts w:ascii="宋体" w:hAnsi="宋体" w:cs="宋体"/>
        </w:rPr>
      </w:pPr>
    </w:p>
    <w:p w14:paraId="2B43D21B">
      <w:pPr>
        <w:pStyle w:val="322"/>
        <w:spacing w:line="560" w:lineRule="exact"/>
        <w:rPr>
          <w:rFonts w:ascii="宋体" w:hAnsi="宋体" w:cs="宋体"/>
          <w:b/>
          <w:sz w:val="24"/>
        </w:rPr>
      </w:pPr>
      <w:r>
        <w:rPr>
          <w:rFonts w:hint="eastAsia" w:ascii="宋体" w:hAnsi="宋体" w:cs="宋体"/>
          <w:b/>
          <w:sz w:val="24"/>
        </w:rPr>
        <w:t>附件八</w:t>
      </w:r>
      <w:bookmarkStart w:id="645" w:name="OLE_LINK34"/>
      <w:bookmarkStart w:id="646" w:name="OLE_LINK35"/>
    </w:p>
    <w:p w14:paraId="732825E1">
      <w:pPr>
        <w:spacing w:after="320" w:line="360" w:lineRule="auto"/>
        <w:jc w:val="center"/>
        <w:rPr>
          <w:rFonts w:ascii="宋体" w:hAnsi="宋体" w:cs="宋体"/>
          <w:b/>
          <w:bCs/>
          <w:sz w:val="28"/>
          <w:szCs w:val="28"/>
        </w:rPr>
      </w:pPr>
      <w:r>
        <w:rPr>
          <w:rFonts w:hint="eastAsia" w:ascii="宋体" w:hAnsi="宋体" w:cs="宋体"/>
          <w:b/>
          <w:bCs/>
          <w:sz w:val="28"/>
          <w:szCs w:val="28"/>
        </w:rPr>
        <w:t>中小企业声明函（工程）</w:t>
      </w:r>
    </w:p>
    <w:p w14:paraId="3C471E89">
      <w:pPr>
        <w:spacing w:line="360" w:lineRule="auto"/>
        <w:ind w:firstLine="480"/>
        <w:rPr>
          <w:rFonts w:ascii="宋体" w:hAnsi="宋体" w:cs="宋体"/>
          <w:sz w:val="24"/>
        </w:rPr>
      </w:pPr>
      <w:r>
        <w:rPr>
          <w:rFonts w:hint="eastAsia" w:ascii="宋体" w:hAnsi="宋体" w:cs="宋体"/>
          <w:sz w:val="24"/>
          <w:lang w:bidi="ar"/>
        </w:rPr>
        <w:t>本公司（联合体）郑重声明，根据《政府采购促进中小企业发展管理办法》（财库﹝2020﹞46 号）的规定，本公司 （联合体）参加</w:t>
      </w:r>
      <w:r>
        <w:rPr>
          <w:rFonts w:hint="eastAsia" w:ascii="宋体" w:hAnsi="宋体" w:cs="宋体"/>
          <w:i/>
          <w:iCs/>
          <w:sz w:val="24"/>
          <w:u w:val="single"/>
          <w:lang w:bidi="ar"/>
        </w:rPr>
        <w:t>（单位名称）</w:t>
      </w:r>
      <w:r>
        <w:rPr>
          <w:rFonts w:hint="eastAsia" w:ascii="宋体" w:hAnsi="宋体" w:cs="宋体"/>
          <w:sz w:val="24"/>
          <w:lang w:bidi="ar"/>
        </w:rPr>
        <w:t>的</w:t>
      </w:r>
      <w:r>
        <w:rPr>
          <w:rFonts w:hint="eastAsia" w:ascii="宋体" w:hAnsi="宋体" w:cs="宋体"/>
          <w:i/>
          <w:iCs/>
          <w:sz w:val="24"/>
          <w:u w:val="single"/>
          <w:lang w:bidi="ar"/>
        </w:rPr>
        <w:t>（项目名称）</w:t>
      </w:r>
      <w:r>
        <w:rPr>
          <w:rFonts w:hint="eastAsia" w:ascii="宋体" w:hAnsi="宋体" w:cs="宋体"/>
          <w:sz w:val="24"/>
          <w:lang w:bidi="ar"/>
        </w:rPr>
        <w:t xml:space="preserve">采购活动，工程的施工单位全部为符合政策要求的中小企业（全部由符合政策要求的中小企业承接）。相关企业（含联合体中的中小企业、签订分包意向协议的中小企业）的具体情况如下： </w:t>
      </w:r>
    </w:p>
    <w:p w14:paraId="4B945A36">
      <w:pPr>
        <w:spacing w:line="360" w:lineRule="auto"/>
        <w:ind w:firstLine="480"/>
        <w:rPr>
          <w:rFonts w:ascii="宋体" w:hAnsi="宋体" w:cs="宋体"/>
          <w:sz w:val="24"/>
        </w:rPr>
      </w:pPr>
      <w:r>
        <w:rPr>
          <w:rFonts w:hint="eastAsia" w:ascii="宋体" w:hAnsi="宋体" w:cs="宋体"/>
          <w:sz w:val="24"/>
          <w:lang w:bidi="ar"/>
        </w:rPr>
        <w:t>1.</w:t>
      </w:r>
      <w:r>
        <w:rPr>
          <w:rFonts w:hint="eastAsia" w:ascii="宋体" w:hAnsi="宋体" w:cs="宋体"/>
          <w:sz w:val="24"/>
          <w:u w:val="single"/>
          <w:lang w:bidi="ar"/>
        </w:rPr>
        <w:t xml:space="preserve"> （标的名称） </w:t>
      </w:r>
      <w:r>
        <w:rPr>
          <w:rFonts w:hint="eastAsia" w:ascii="宋体" w:hAnsi="宋体" w:cs="宋体"/>
          <w:sz w:val="24"/>
          <w:lang w:bidi="ar"/>
        </w:rPr>
        <w:t>，属于</w:t>
      </w:r>
      <w:r>
        <w:rPr>
          <w:rFonts w:hint="eastAsia" w:ascii="宋体" w:hAnsi="宋体" w:cs="宋体"/>
          <w:sz w:val="24"/>
          <w:u w:val="single"/>
          <w:lang w:bidi="ar"/>
        </w:rPr>
        <w:t xml:space="preserve"> 建筑业 </w:t>
      </w:r>
      <w:r>
        <w:rPr>
          <w:rFonts w:hint="eastAsia" w:ascii="宋体" w:hAnsi="宋体" w:cs="宋体"/>
          <w:sz w:val="24"/>
          <w:lang w:bidi="ar"/>
        </w:rPr>
        <w:t>行业；承建（承接）企业为</w:t>
      </w:r>
      <w:r>
        <w:rPr>
          <w:rFonts w:hint="eastAsia" w:ascii="宋体" w:hAnsi="宋体" w:cs="宋体"/>
          <w:sz w:val="24"/>
          <w:u w:val="single"/>
          <w:lang w:bidi="ar"/>
        </w:rPr>
        <w:t>（企业名称）</w:t>
      </w:r>
      <w:r>
        <w:rPr>
          <w:rFonts w:hint="eastAsia" w:ascii="宋体" w:hAnsi="宋体" w:cs="宋体"/>
          <w:sz w:val="24"/>
          <w:lang w:bidi="ar"/>
        </w:rPr>
        <w:t xml:space="preserve">，从业人员 </w:t>
      </w:r>
      <w:r>
        <w:rPr>
          <w:rFonts w:hint="eastAsia" w:ascii="宋体" w:hAnsi="宋体" w:cs="宋体"/>
          <w:sz w:val="24"/>
          <w:u w:val="single"/>
          <w:lang w:bidi="ar"/>
        </w:rPr>
        <w:t xml:space="preserve">   </w:t>
      </w:r>
      <w:r>
        <w:rPr>
          <w:rFonts w:hint="eastAsia" w:ascii="宋体" w:hAnsi="宋体" w:cs="宋体"/>
          <w:sz w:val="24"/>
          <w:lang w:bidi="ar"/>
        </w:rPr>
        <w:t>人，营业收入为</w:t>
      </w:r>
      <w:r>
        <w:rPr>
          <w:rFonts w:hint="eastAsia" w:ascii="宋体" w:hAnsi="宋体" w:cs="宋体"/>
          <w:sz w:val="24"/>
          <w:u w:val="single"/>
          <w:lang w:bidi="ar"/>
        </w:rPr>
        <w:t xml:space="preserve">  </w:t>
      </w:r>
      <w:r>
        <w:rPr>
          <w:rFonts w:hint="eastAsia" w:ascii="宋体" w:hAnsi="宋体" w:cs="宋体"/>
          <w:sz w:val="24"/>
          <w:lang w:bidi="ar"/>
        </w:rPr>
        <w:t>万元，资产总额为</w:t>
      </w:r>
      <w:r>
        <w:rPr>
          <w:rFonts w:hint="eastAsia" w:ascii="宋体" w:hAnsi="宋体" w:cs="宋体"/>
          <w:sz w:val="24"/>
          <w:u w:val="single"/>
          <w:lang w:bidi="ar"/>
        </w:rPr>
        <w:t xml:space="preserve">   </w:t>
      </w:r>
      <w:r>
        <w:rPr>
          <w:rFonts w:hint="eastAsia" w:ascii="宋体" w:hAnsi="宋体" w:cs="宋体"/>
          <w:sz w:val="24"/>
          <w:lang w:bidi="ar"/>
        </w:rPr>
        <w:t>万元</w:t>
      </w:r>
      <w:r>
        <w:rPr>
          <w:rStyle w:val="70"/>
          <w:rFonts w:hint="eastAsia" w:ascii="宋体" w:hAnsi="宋体" w:cs="宋体"/>
          <w:sz w:val="24"/>
          <w:lang w:bidi="ar"/>
        </w:rPr>
        <w:footnoteReference w:id="0"/>
      </w:r>
      <w:r>
        <w:rPr>
          <w:rFonts w:hint="eastAsia" w:ascii="宋体" w:hAnsi="宋体" w:cs="宋体"/>
          <w:sz w:val="24"/>
          <w:lang w:bidi="ar"/>
        </w:rPr>
        <w:t xml:space="preserve">，属于（中型企业、小型企业、微型企业）； </w:t>
      </w:r>
    </w:p>
    <w:p w14:paraId="3BD0FFD8">
      <w:pPr>
        <w:spacing w:line="360" w:lineRule="auto"/>
        <w:ind w:firstLine="480"/>
        <w:rPr>
          <w:rFonts w:ascii="宋体" w:hAnsi="宋体" w:cs="宋体"/>
          <w:sz w:val="24"/>
        </w:rPr>
      </w:pPr>
      <w:r>
        <w:rPr>
          <w:rFonts w:hint="eastAsia" w:ascii="宋体" w:hAnsi="宋体" w:cs="宋体"/>
          <w:sz w:val="24"/>
          <w:lang w:bidi="ar"/>
        </w:rPr>
        <w:t xml:space="preserve">2. </w:t>
      </w:r>
      <w:r>
        <w:rPr>
          <w:rFonts w:hint="eastAsia" w:ascii="宋体" w:hAnsi="宋体" w:cs="宋体"/>
          <w:sz w:val="24"/>
          <w:u w:val="single"/>
          <w:lang w:bidi="ar"/>
        </w:rPr>
        <w:t>（标的名称）</w:t>
      </w:r>
      <w:r>
        <w:rPr>
          <w:rFonts w:hint="eastAsia" w:ascii="宋体" w:hAnsi="宋体" w:cs="宋体"/>
          <w:sz w:val="24"/>
          <w:lang w:bidi="ar"/>
        </w:rPr>
        <w:t xml:space="preserve"> ，属于</w:t>
      </w:r>
      <w:r>
        <w:rPr>
          <w:rFonts w:hint="eastAsia" w:ascii="宋体" w:hAnsi="宋体" w:cs="宋体"/>
          <w:sz w:val="24"/>
          <w:u w:val="single"/>
          <w:lang w:bidi="ar"/>
        </w:rPr>
        <w:t xml:space="preserve"> 建筑业 </w:t>
      </w:r>
      <w:r>
        <w:rPr>
          <w:rFonts w:hint="eastAsia" w:ascii="宋体" w:hAnsi="宋体" w:cs="宋体"/>
          <w:sz w:val="24"/>
          <w:lang w:bidi="ar"/>
        </w:rPr>
        <w:t>行业；承建（承接）企业为</w:t>
      </w:r>
      <w:r>
        <w:rPr>
          <w:rFonts w:hint="eastAsia" w:ascii="宋体" w:hAnsi="宋体" w:cs="宋体"/>
          <w:sz w:val="24"/>
          <w:u w:val="single"/>
          <w:lang w:bidi="ar"/>
        </w:rPr>
        <w:t>（企业名称）</w:t>
      </w:r>
      <w:r>
        <w:rPr>
          <w:rFonts w:hint="eastAsia" w:ascii="宋体" w:hAnsi="宋体" w:cs="宋体"/>
          <w:sz w:val="24"/>
          <w:lang w:bidi="ar"/>
        </w:rPr>
        <w:t>，从业人员</w:t>
      </w:r>
      <w:r>
        <w:rPr>
          <w:rFonts w:hint="eastAsia" w:ascii="宋体" w:hAnsi="宋体" w:cs="宋体"/>
          <w:sz w:val="24"/>
          <w:u w:val="single"/>
          <w:lang w:bidi="ar"/>
        </w:rPr>
        <w:t xml:space="preserve">   </w:t>
      </w:r>
      <w:r>
        <w:rPr>
          <w:rFonts w:hint="eastAsia" w:ascii="宋体" w:hAnsi="宋体" w:cs="宋体"/>
          <w:sz w:val="24"/>
          <w:lang w:bidi="ar"/>
        </w:rPr>
        <w:t>人，营业收入为</w:t>
      </w:r>
      <w:r>
        <w:rPr>
          <w:rFonts w:hint="eastAsia" w:ascii="宋体" w:hAnsi="宋体" w:cs="宋体"/>
          <w:sz w:val="24"/>
          <w:u w:val="single"/>
          <w:lang w:bidi="ar"/>
        </w:rPr>
        <w:t xml:space="preserve">   </w:t>
      </w:r>
      <w:r>
        <w:rPr>
          <w:rFonts w:hint="eastAsia" w:ascii="宋体" w:hAnsi="宋体" w:cs="宋体"/>
          <w:sz w:val="24"/>
          <w:lang w:bidi="ar"/>
        </w:rPr>
        <w:t>万元，资产总额为</w:t>
      </w:r>
      <w:r>
        <w:rPr>
          <w:rFonts w:hint="eastAsia" w:ascii="宋体" w:hAnsi="宋体" w:cs="宋体"/>
          <w:sz w:val="24"/>
          <w:u w:val="single"/>
          <w:lang w:bidi="ar"/>
        </w:rPr>
        <w:t xml:space="preserve">   </w:t>
      </w:r>
      <w:r>
        <w:rPr>
          <w:rFonts w:hint="eastAsia" w:ascii="宋体" w:hAnsi="宋体" w:cs="宋体"/>
          <w:sz w:val="24"/>
          <w:lang w:bidi="ar"/>
        </w:rPr>
        <w:t xml:space="preserve">万元，属于（中型企业、小型企业、微型企业）； </w:t>
      </w:r>
    </w:p>
    <w:p w14:paraId="64319A8C">
      <w:pPr>
        <w:spacing w:line="360" w:lineRule="auto"/>
        <w:ind w:firstLine="480"/>
        <w:rPr>
          <w:rFonts w:ascii="宋体" w:hAnsi="宋体" w:cs="宋体"/>
          <w:sz w:val="24"/>
        </w:rPr>
      </w:pPr>
      <w:r>
        <w:rPr>
          <w:rFonts w:hint="eastAsia" w:ascii="宋体" w:hAnsi="宋体" w:cs="宋体"/>
          <w:sz w:val="24"/>
          <w:lang w:bidi="ar"/>
        </w:rPr>
        <w:t xml:space="preserve">…… </w:t>
      </w:r>
    </w:p>
    <w:p w14:paraId="4306BAEF">
      <w:pPr>
        <w:spacing w:line="360" w:lineRule="auto"/>
        <w:ind w:firstLine="480"/>
        <w:rPr>
          <w:rFonts w:ascii="宋体" w:hAnsi="宋体" w:cs="宋体"/>
          <w:sz w:val="24"/>
        </w:rPr>
      </w:pPr>
      <w:r>
        <w:rPr>
          <w:rFonts w:hint="eastAsia" w:ascii="宋体" w:hAnsi="宋体" w:cs="宋体"/>
          <w:sz w:val="24"/>
          <w:lang w:bidi="ar"/>
        </w:rPr>
        <w:t xml:space="preserve">以上企业，不属于大企业的分支机构，不存在控股股东为大企业的情形，也不存在与大企业的负责人为同一人的情形。 </w:t>
      </w:r>
    </w:p>
    <w:p w14:paraId="2E2DA94A">
      <w:pPr>
        <w:spacing w:line="360" w:lineRule="auto"/>
        <w:ind w:firstLine="480"/>
        <w:rPr>
          <w:rFonts w:ascii="宋体" w:hAnsi="宋体" w:cs="宋体"/>
          <w:sz w:val="24"/>
        </w:rPr>
      </w:pPr>
      <w:r>
        <w:rPr>
          <w:rFonts w:hint="eastAsia" w:ascii="宋体" w:hAnsi="宋体" w:cs="宋体"/>
          <w:sz w:val="24"/>
          <w:lang w:bidi="ar"/>
        </w:rPr>
        <w:t xml:space="preserve">本企业对上述声明内容的真实性负责。如有虚假，将依法承担相应责任。 </w:t>
      </w:r>
    </w:p>
    <w:p w14:paraId="66F378C1">
      <w:pPr>
        <w:spacing w:line="360" w:lineRule="auto"/>
        <w:ind w:firstLine="5040"/>
        <w:rPr>
          <w:rFonts w:ascii="宋体" w:hAnsi="宋体" w:cs="宋体"/>
          <w:sz w:val="24"/>
        </w:rPr>
      </w:pPr>
      <w:r>
        <w:rPr>
          <w:rFonts w:hint="eastAsia" w:ascii="宋体" w:hAnsi="宋体" w:cs="宋体"/>
          <w:sz w:val="24"/>
          <w:lang w:bidi="ar"/>
        </w:rPr>
        <w:t xml:space="preserve">企业名称（盖章）： </w:t>
      </w:r>
    </w:p>
    <w:p w14:paraId="7B0BA5D1">
      <w:pPr>
        <w:spacing w:line="360" w:lineRule="auto"/>
        <w:ind w:firstLine="5040"/>
        <w:rPr>
          <w:rFonts w:ascii="宋体" w:hAnsi="宋体" w:cs="宋体"/>
          <w:sz w:val="24"/>
        </w:rPr>
      </w:pPr>
      <w:r>
        <w:rPr>
          <w:rFonts w:hint="eastAsia" w:ascii="宋体" w:hAnsi="宋体" w:cs="宋体"/>
          <w:sz w:val="24"/>
          <w:lang w:bidi="ar"/>
        </w:rPr>
        <w:t xml:space="preserve">日 期： </w:t>
      </w:r>
    </w:p>
    <w:p w14:paraId="44EC603D">
      <w:pPr>
        <w:rPr>
          <w:rFonts w:ascii="宋体" w:hAnsi="宋体" w:cs="宋体"/>
          <w:sz w:val="24"/>
        </w:rPr>
      </w:pPr>
    </w:p>
    <w:p w14:paraId="22D758BF">
      <w:pPr>
        <w:rPr>
          <w:rFonts w:ascii="宋体" w:hAnsi="宋体" w:cs="宋体"/>
          <w:sz w:val="24"/>
        </w:rPr>
      </w:pPr>
    </w:p>
    <w:p w14:paraId="68EE09C6">
      <w:pPr>
        <w:rPr>
          <w:rFonts w:ascii="宋体" w:hAnsi="宋体" w:cs="宋体"/>
          <w:szCs w:val="21"/>
        </w:rPr>
      </w:pPr>
      <w:r>
        <w:rPr>
          <w:rFonts w:hint="eastAsia" w:ascii="宋体" w:hAnsi="宋体" w:cs="宋体"/>
          <w:szCs w:val="21"/>
        </w:rPr>
        <w:t>1从业人员、营业收入、资产总额填报上一年度数据，无上一年度数据的新成立企业可不填报。</w:t>
      </w:r>
    </w:p>
    <w:p w14:paraId="5AD36280">
      <w:pPr>
        <w:pStyle w:val="322"/>
        <w:spacing w:line="460" w:lineRule="exact"/>
        <w:rPr>
          <w:rFonts w:ascii="宋体" w:hAnsi="宋体" w:cs="宋体"/>
          <w:b/>
          <w:sz w:val="24"/>
        </w:rPr>
      </w:pPr>
    </w:p>
    <w:p w14:paraId="28EDED00">
      <w:pPr>
        <w:pStyle w:val="323"/>
        <w:rPr>
          <w:rFonts w:ascii="宋体" w:hAnsi="宋体" w:eastAsia="宋体" w:cs="宋体"/>
          <w:b/>
          <w:szCs w:val="24"/>
        </w:rPr>
      </w:pPr>
    </w:p>
    <w:p w14:paraId="08A7F59F">
      <w:pPr>
        <w:pStyle w:val="322"/>
        <w:rPr>
          <w:rFonts w:ascii="宋体" w:hAnsi="宋体" w:cs="宋体"/>
        </w:rPr>
      </w:pPr>
    </w:p>
    <w:p w14:paraId="04C63D18">
      <w:pPr>
        <w:pStyle w:val="322"/>
        <w:spacing w:line="460" w:lineRule="exact"/>
        <w:rPr>
          <w:rFonts w:ascii="宋体" w:hAnsi="宋体" w:cs="宋体"/>
          <w:b/>
          <w:sz w:val="24"/>
        </w:rPr>
      </w:pPr>
      <w:r>
        <w:rPr>
          <w:rFonts w:hint="eastAsia" w:ascii="宋体" w:hAnsi="宋体" w:cs="宋体"/>
          <w:b/>
          <w:sz w:val="24"/>
        </w:rPr>
        <w:br w:type="page" w:clear="all"/>
      </w:r>
      <w:bookmarkEnd w:id="645"/>
      <w:bookmarkEnd w:id="646"/>
      <w:r>
        <w:rPr>
          <w:rFonts w:hint="eastAsia" w:ascii="宋体" w:hAnsi="宋体" w:cs="宋体"/>
          <w:b/>
          <w:sz w:val="24"/>
        </w:rPr>
        <w:t>附件九</w:t>
      </w:r>
    </w:p>
    <w:p w14:paraId="3B9776A8">
      <w:pPr>
        <w:pStyle w:val="2"/>
        <w:rPr>
          <w:rFonts w:cs="宋体"/>
          <w:szCs w:val="24"/>
        </w:rPr>
      </w:pPr>
      <w:bookmarkStart w:id="647" w:name="_Toc5488"/>
      <w:bookmarkStart w:id="648" w:name="_Toc10995"/>
      <w:bookmarkStart w:id="649" w:name="_Toc6257"/>
      <w:r>
        <w:rPr>
          <w:rFonts w:hint="eastAsia" w:cs="宋体"/>
        </w:rPr>
        <w:t>残疾人福利性单位声明函</w:t>
      </w:r>
      <w:bookmarkEnd w:id="647"/>
      <w:bookmarkEnd w:id="648"/>
      <w:bookmarkEnd w:id="649"/>
    </w:p>
    <w:p w14:paraId="17B58B93">
      <w:pPr>
        <w:pStyle w:val="322"/>
        <w:spacing w:line="588" w:lineRule="exact"/>
        <w:ind w:firstLine="624"/>
        <w:rPr>
          <w:rFonts w:ascii="宋体" w:hAnsi="宋体" w:cs="宋体"/>
          <w:spacing w:val="6"/>
          <w:sz w:val="24"/>
        </w:rPr>
      </w:pPr>
    </w:p>
    <w:p w14:paraId="10320514">
      <w:pPr>
        <w:pStyle w:val="334"/>
        <w:spacing w:before="1" w:line="398" w:lineRule="auto"/>
        <w:ind w:right="641" w:firstLine="468"/>
        <w:rPr>
          <w:rFonts w:ascii="宋体" w:hAnsi="宋体" w:cs="宋体"/>
          <w:sz w:val="24"/>
        </w:rPr>
      </w:pPr>
      <w:r>
        <w:rPr>
          <w:rFonts w:hint="eastAsia" w:ascii="宋体" w:hAnsi="宋体" w:cs="宋体"/>
          <w:spacing w:val="-3"/>
          <w:sz w:val="24"/>
        </w:rPr>
        <w:t>本单位郑重声明，根据《财政部 民政部 中国残疾人联合会关于促进残疾人就业政府采购政策的通知》</w:t>
      </w:r>
      <w:r>
        <w:rPr>
          <w:rFonts w:hint="eastAsia" w:ascii="宋体" w:hAnsi="宋体" w:cs="宋体"/>
          <w:sz w:val="24"/>
        </w:rPr>
        <w:t>（</w:t>
      </w:r>
      <w:r>
        <w:rPr>
          <w:rFonts w:hint="eastAsia" w:ascii="宋体" w:hAnsi="宋体" w:cs="宋体"/>
          <w:spacing w:val="-2"/>
          <w:sz w:val="24"/>
        </w:rPr>
        <w:t>财库〔</w:t>
      </w:r>
      <w:r>
        <w:rPr>
          <w:rFonts w:hint="eastAsia" w:ascii="宋体" w:hAnsi="宋体" w:cs="宋体"/>
          <w:sz w:val="24"/>
        </w:rPr>
        <w:t>2017</w:t>
      </w:r>
      <w:r>
        <w:rPr>
          <w:rFonts w:hint="eastAsia" w:ascii="宋体" w:hAnsi="宋体" w:cs="宋体"/>
          <w:spacing w:val="2"/>
          <w:sz w:val="24"/>
        </w:rPr>
        <w:t xml:space="preserve">〕 </w:t>
      </w:r>
      <w:r>
        <w:rPr>
          <w:rFonts w:hint="eastAsia" w:ascii="宋体" w:hAnsi="宋体" w:cs="宋体"/>
          <w:sz w:val="24"/>
        </w:rPr>
        <w:t>141</w:t>
      </w:r>
      <w:r>
        <w:rPr>
          <w:rFonts w:hint="eastAsia" w:ascii="宋体" w:hAnsi="宋体" w:cs="宋体"/>
          <w:spacing w:val="-28"/>
          <w:sz w:val="24"/>
        </w:rPr>
        <w:t xml:space="preserve"> 号</w:t>
      </w:r>
      <w:r>
        <w:rPr>
          <w:rFonts w:hint="eastAsia" w:ascii="宋体" w:hAnsi="宋体" w:cs="宋体"/>
          <w:spacing w:val="-3"/>
          <w:sz w:val="24"/>
        </w:rPr>
        <w:t>）的规定，本单位为符合条件的残疾人福利性单</w:t>
      </w:r>
      <w:r>
        <w:rPr>
          <w:rFonts w:hint="eastAsia" w:ascii="宋体" w:hAnsi="宋体" w:cs="宋体"/>
          <w:spacing w:val="-8"/>
          <w:sz w:val="24"/>
        </w:rPr>
        <w:t>位，且本单位参加单位的项目采购活动提供本单位制造的货物</w:t>
      </w:r>
      <w:r>
        <w:rPr>
          <w:rFonts w:hint="eastAsia" w:ascii="宋体" w:hAnsi="宋体" w:cs="宋体"/>
          <w:sz w:val="24"/>
        </w:rPr>
        <w:t>（</w:t>
      </w:r>
      <w:r>
        <w:rPr>
          <w:rFonts w:hint="eastAsia" w:ascii="宋体" w:hAnsi="宋体" w:cs="宋体"/>
          <w:spacing w:val="-3"/>
          <w:sz w:val="24"/>
        </w:rPr>
        <w:t>由本单位承担工程</w:t>
      </w:r>
      <w:r>
        <w:rPr>
          <w:rFonts w:hint="eastAsia" w:ascii="宋体" w:hAnsi="宋体" w:cs="宋体"/>
          <w:sz w:val="24"/>
        </w:rPr>
        <w:t>/</w:t>
      </w:r>
      <w:r>
        <w:rPr>
          <w:rFonts w:hint="eastAsia" w:ascii="宋体" w:hAnsi="宋体" w:cs="宋体"/>
          <w:spacing w:val="-2"/>
          <w:sz w:val="24"/>
        </w:rPr>
        <w:t>提供服务）</w:t>
      </w:r>
      <w:r>
        <w:rPr>
          <w:rFonts w:hint="eastAsia" w:ascii="宋体" w:hAnsi="宋体" w:cs="宋体"/>
          <w:spacing w:val="-3"/>
          <w:sz w:val="24"/>
        </w:rPr>
        <w:t>，或者提供其他残疾人福利性单位制造的货物（不包括使用非残疾人福利性单位注册商标的货物</w:t>
      </w:r>
      <w:r>
        <w:rPr>
          <w:rFonts w:hint="eastAsia" w:ascii="宋体" w:hAnsi="宋体" w:cs="宋体"/>
          <w:sz w:val="24"/>
        </w:rPr>
        <w:t>）。</w:t>
      </w:r>
    </w:p>
    <w:p w14:paraId="097ABA2E">
      <w:pPr>
        <w:pStyle w:val="334"/>
        <w:ind w:firstLine="480"/>
        <w:rPr>
          <w:rFonts w:ascii="宋体" w:hAnsi="宋体" w:cs="宋体"/>
          <w:sz w:val="24"/>
        </w:rPr>
      </w:pPr>
      <w:r>
        <w:rPr>
          <w:rFonts w:hint="eastAsia" w:ascii="宋体" w:hAnsi="宋体" w:cs="宋体"/>
          <w:sz w:val="24"/>
        </w:rPr>
        <w:t>本单位对上述声明的真实性负责。如有虚假，将依法承担相应责任。</w:t>
      </w:r>
    </w:p>
    <w:p w14:paraId="44944B9F">
      <w:pPr>
        <w:pStyle w:val="334"/>
        <w:ind w:left="1260"/>
        <w:rPr>
          <w:rFonts w:ascii="宋体" w:hAnsi="宋体" w:cs="宋体"/>
          <w:sz w:val="24"/>
        </w:rPr>
      </w:pPr>
    </w:p>
    <w:p w14:paraId="6C02FF47">
      <w:pPr>
        <w:pStyle w:val="334"/>
        <w:spacing w:before="12"/>
        <w:ind w:left="1260"/>
        <w:rPr>
          <w:rFonts w:ascii="宋体" w:hAnsi="宋体" w:cs="宋体"/>
          <w:sz w:val="24"/>
        </w:rPr>
      </w:pPr>
    </w:p>
    <w:p w14:paraId="66DC30EF">
      <w:pPr>
        <w:pStyle w:val="334"/>
        <w:tabs>
          <w:tab w:val="left" w:pos="5061"/>
        </w:tabs>
        <w:ind w:left="1260" w:right="639"/>
        <w:jc w:val="right"/>
        <w:rPr>
          <w:rFonts w:ascii="宋体" w:hAnsi="宋体" w:cs="宋体"/>
          <w:sz w:val="24"/>
        </w:rPr>
      </w:pPr>
      <w:r>
        <w:rPr>
          <w:rFonts w:hint="eastAsia" w:ascii="宋体" w:hAnsi="宋体" w:cs="宋体"/>
          <w:sz w:val="24"/>
        </w:rPr>
        <w:t>供</w:t>
      </w:r>
      <w:r>
        <w:rPr>
          <w:rFonts w:hint="eastAsia" w:ascii="宋体" w:hAnsi="宋体" w:cs="宋体"/>
          <w:spacing w:val="-3"/>
          <w:sz w:val="24"/>
        </w:rPr>
        <w:t>应</w:t>
      </w:r>
      <w:r>
        <w:rPr>
          <w:rFonts w:hint="eastAsia" w:ascii="宋体" w:hAnsi="宋体" w:cs="宋体"/>
          <w:sz w:val="24"/>
        </w:rPr>
        <w:t>商：</w:t>
      </w:r>
      <w:r>
        <w:rPr>
          <w:rFonts w:hint="eastAsia" w:ascii="宋体" w:hAnsi="宋体" w:cs="宋体"/>
          <w:sz w:val="24"/>
          <w:u w:val="single"/>
        </w:rPr>
        <w:tab/>
      </w:r>
      <w:r>
        <w:rPr>
          <w:rFonts w:hint="eastAsia" w:ascii="宋体" w:hAnsi="宋体" w:cs="宋体"/>
          <w:spacing w:val="-1"/>
          <w:sz w:val="24"/>
        </w:rPr>
        <w:t>（</w:t>
      </w:r>
      <w:r>
        <w:rPr>
          <w:rFonts w:hint="eastAsia" w:ascii="宋体" w:hAnsi="宋体" w:cs="宋体"/>
          <w:sz w:val="24"/>
        </w:rPr>
        <w:t>电子签章）</w:t>
      </w:r>
    </w:p>
    <w:p w14:paraId="7A5F307C">
      <w:pPr>
        <w:pStyle w:val="334"/>
        <w:spacing w:before="9"/>
        <w:ind w:left="1260"/>
        <w:rPr>
          <w:rFonts w:ascii="宋体" w:hAnsi="宋体" w:cs="宋体"/>
          <w:sz w:val="24"/>
        </w:rPr>
      </w:pPr>
    </w:p>
    <w:p w14:paraId="1A5D6CB0">
      <w:pPr>
        <w:pStyle w:val="334"/>
        <w:tabs>
          <w:tab w:val="left" w:pos="4511"/>
        </w:tabs>
        <w:spacing w:before="1"/>
        <w:ind w:left="1260" w:right="639"/>
        <w:jc w:val="right"/>
        <w:rPr>
          <w:rFonts w:ascii="宋体" w:hAnsi="宋体" w:cs="宋体"/>
          <w:sz w:val="24"/>
        </w:rPr>
      </w:pPr>
      <w:r>
        <w:rPr>
          <w:rFonts w:hint="eastAsia" w:ascii="宋体" w:hAnsi="宋体" w:cs="宋体"/>
          <w:sz w:val="24"/>
        </w:rPr>
        <w:t>法</w:t>
      </w:r>
      <w:r>
        <w:rPr>
          <w:rFonts w:hint="eastAsia" w:ascii="宋体" w:hAnsi="宋体" w:cs="宋体"/>
          <w:spacing w:val="-3"/>
          <w:sz w:val="24"/>
        </w:rPr>
        <w:t>定</w:t>
      </w:r>
      <w:r>
        <w:rPr>
          <w:rFonts w:hint="eastAsia" w:ascii="宋体" w:hAnsi="宋体" w:cs="宋体"/>
          <w:sz w:val="24"/>
        </w:rPr>
        <w:t>代表</w:t>
      </w:r>
      <w:r>
        <w:rPr>
          <w:rFonts w:hint="eastAsia" w:ascii="宋体" w:hAnsi="宋体" w:cs="宋体"/>
          <w:spacing w:val="-3"/>
          <w:sz w:val="24"/>
        </w:rPr>
        <w:t>人</w:t>
      </w:r>
      <w:r>
        <w:rPr>
          <w:rFonts w:hint="eastAsia" w:ascii="宋体" w:hAnsi="宋体" w:cs="宋体"/>
          <w:sz w:val="24"/>
        </w:rPr>
        <w:t>或授</w:t>
      </w:r>
      <w:r>
        <w:rPr>
          <w:rFonts w:hint="eastAsia" w:ascii="宋体" w:hAnsi="宋体" w:cs="宋体"/>
          <w:spacing w:val="-3"/>
          <w:sz w:val="24"/>
        </w:rPr>
        <w:t>权</w:t>
      </w:r>
      <w:r>
        <w:rPr>
          <w:rFonts w:hint="eastAsia" w:ascii="宋体" w:hAnsi="宋体" w:cs="宋体"/>
          <w:sz w:val="24"/>
        </w:rPr>
        <w:t>委托人</w:t>
      </w:r>
      <w:r>
        <w:rPr>
          <w:rFonts w:hint="eastAsia" w:ascii="宋体" w:hAnsi="宋体" w:cs="宋体"/>
          <w:spacing w:val="-3"/>
          <w:sz w:val="24"/>
        </w:rPr>
        <w:t>：</w:t>
      </w:r>
      <w:r>
        <w:rPr>
          <w:rFonts w:hint="eastAsia" w:ascii="宋体" w:hAnsi="宋体" w:cs="宋体"/>
          <w:spacing w:val="-3"/>
          <w:sz w:val="24"/>
          <w:u w:val="single"/>
        </w:rPr>
        <w:tab/>
      </w:r>
      <w:r>
        <w:rPr>
          <w:rFonts w:hint="eastAsia" w:ascii="宋体" w:hAnsi="宋体" w:cs="宋体"/>
          <w:spacing w:val="-1"/>
          <w:sz w:val="24"/>
        </w:rPr>
        <w:t>（</w:t>
      </w:r>
      <w:r>
        <w:rPr>
          <w:rFonts w:hint="eastAsia" w:ascii="宋体" w:hAnsi="宋体" w:cs="宋体"/>
          <w:sz w:val="24"/>
        </w:rPr>
        <w:t>签名或印鉴）</w:t>
      </w:r>
    </w:p>
    <w:p w14:paraId="3122FF8F">
      <w:pPr>
        <w:pStyle w:val="334"/>
        <w:ind w:left="1260"/>
        <w:rPr>
          <w:rFonts w:ascii="宋体" w:hAnsi="宋体" w:cs="宋体"/>
          <w:sz w:val="24"/>
        </w:rPr>
      </w:pPr>
    </w:p>
    <w:p w14:paraId="78D9E935">
      <w:pPr>
        <w:pStyle w:val="334"/>
        <w:ind w:left="1260"/>
        <w:rPr>
          <w:rFonts w:ascii="宋体" w:hAnsi="宋体" w:cs="宋体"/>
          <w:sz w:val="24"/>
        </w:rPr>
      </w:pPr>
    </w:p>
    <w:p w14:paraId="7F1791A1">
      <w:pPr>
        <w:pStyle w:val="334"/>
        <w:spacing w:before="3"/>
        <w:ind w:left="1260"/>
        <w:rPr>
          <w:rFonts w:ascii="宋体" w:hAnsi="宋体" w:cs="宋体"/>
          <w:sz w:val="24"/>
        </w:rPr>
      </w:pPr>
    </w:p>
    <w:p w14:paraId="094345B8">
      <w:pPr>
        <w:pStyle w:val="322"/>
        <w:tabs>
          <w:tab w:val="left" w:pos="734"/>
          <w:tab w:val="left" w:pos="1471"/>
        </w:tabs>
        <w:ind w:right="641"/>
        <w:jc w:val="right"/>
        <w:rPr>
          <w:rFonts w:ascii="宋体" w:hAnsi="宋体" w:cs="宋体"/>
          <w:sz w:val="24"/>
        </w:rPr>
      </w:pPr>
      <w:r>
        <w:rPr>
          <w:rFonts w:hint="eastAsia" w:ascii="宋体" w:hAnsi="宋体" w:cs="宋体"/>
          <w:sz w:val="24"/>
        </w:rPr>
        <w:t>年</w:t>
      </w:r>
      <w:r>
        <w:rPr>
          <w:rFonts w:hint="eastAsia" w:ascii="宋体" w:hAnsi="宋体" w:cs="宋体"/>
          <w:sz w:val="24"/>
        </w:rPr>
        <w:tab/>
      </w:r>
      <w:r>
        <w:rPr>
          <w:rFonts w:hint="eastAsia" w:ascii="宋体" w:hAnsi="宋体" w:cs="宋体"/>
          <w:sz w:val="24"/>
        </w:rPr>
        <w:t>月</w:t>
      </w:r>
      <w:r>
        <w:rPr>
          <w:rFonts w:hint="eastAsia" w:ascii="宋体" w:hAnsi="宋体" w:cs="宋体"/>
          <w:sz w:val="24"/>
        </w:rPr>
        <w:tab/>
      </w:r>
      <w:r>
        <w:rPr>
          <w:rFonts w:hint="eastAsia" w:ascii="宋体" w:hAnsi="宋体" w:cs="宋体"/>
          <w:sz w:val="24"/>
        </w:rPr>
        <w:t>日</w:t>
      </w:r>
    </w:p>
    <w:p w14:paraId="368832A3">
      <w:pPr>
        <w:pStyle w:val="2"/>
        <w:jc w:val="both"/>
        <w:rPr>
          <w:rFonts w:cs="宋体"/>
          <w:color w:val="auto"/>
          <w:sz w:val="24"/>
          <w:szCs w:val="24"/>
        </w:rPr>
      </w:pPr>
      <w:r>
        <w:rPr>
          <w:rFonts w:hint="eastAsia" w:cs="宋体"/>
          <w:color w:val="auto"/>
          <w:sz w:val="24"/>
          <w:szCs w:val="24"/>
        </w:rPr>
        <w:t>附件十</w:t>
      </w:r>
    </w:p>
    <w:p w14:paraId="0058EA9C">
      <w:pPr>
        <w:pStyle w:val="2"/>
        <w:rPr>
          <w:rFonts w:cs="宋体"/>
        </w:rPr>
      </w:pPr>
      <w:bookmarkStart w:id="650" w:name="_Toc11441"/>
      <w:bookmarkStart w:id="651" w:name="_Toc18910"/>
      <w:bookmarkStart w:id="652" w:name="_Toc11345"/>
      <w:r>
        <w:rPr>
          <w:rFonts w:hint="eastAsia" w:cs="宋体"/>
        </w:rPr>
        <w:t>监狱企业证明文件</w:t>
      </w:r>
      <w:bookmarkEnd w:id="650"/>
      <w:bookmarkEnd w:id="651"/>
      <w:bookmarkEnd w:id="652"/>
    </w:p>
    <w:p w14:paraId="62A8F5AB">
      <w:pPr>
        <w:pStyle w:val="334"/>
        <w:ind w:left="1134"/>
        <w:rPr>
          <w:rFonts w:ascii="宋体" w:hAnsi="宋体" w:cs="宋体"/>
          <w:b/>
          <w:sz w:val="24"/>
        </w:rPr>
      </w:pPr>
    </w:p>
    <w:p w14:paraId="27EA9323">
      <w:pPr>
        <w:pStyle w:val="334"/>
        <w:ind w:firstLine="518"/>
        <w:rPr>
          <w:rFonts w:ascii="宋体" w:hAnsi="宋体" w:cs="宋体"/>
          <w:sz w:val="24"/>
        </w:rPr>
      </w:pPr>
      <w:r>
        <w:rPr>
          <w:rFonts w:hint="eastAsia" w:ascii="宋体" w:hAnsi="宋体" w:cs="宋体"/>
          <w:sz w:val="24"/>
        </w:rPr>
        <w:t>提供省级以上监狱管理局、戒毒管理局（含新疆生产建设兵团）出具的属于监狱企业的证明文件复印件（加盖供应商公章）</w:t>
      </w:r>
    </w:p>
    <w:p w14:paraId="74540B41">
      <w:pPr>
        <w:rPr>
          <w:rFonts w:ascii="宋体" w:hAnsi="宋体" w:cs="宋体"/>
        </w:rPr>
      </w:pPr>
      <w:r>
        <w:rPr>
          <w:rFonts w:hint="eastAsia" w:ascii="宋体" w:hAnsi="宋体" w:cs="宋体"/>
        </w:rPr>
        <w:t>文件中。</w:t>
      </w:r>
    </w:p>
    <w:p w14:paraId="04216D19">
      <w:pPr>
        <w:rPr>
          <w:rFonts w:ascii="宋体" w:hAnsi="宋体" w:cs="宋体"/>
        </w:rPr>
      </w:pPr>
    </w:p>
    <w:p w14:paraId="0C2FF6CD">
      <w:pPr>
        <w:rPr>
          <w:rFonts w:ascii="宋体" w:hAnsi="宋体" w:cs="宋体"/>
        </w:rPr>
      </w:pPr>
    </w:p>
    <w:p w14:paraId="594FA2A0">
      <w:pPr>
        <w:jc w:val="center"/>
        <w:rPr>
          <w:rFonts w:ascii="宋体" w:hAnsi="宋体" w:cs="宋体"/>
          <w:sz w:val="36"/>
          <w:szCs w:val="36"/>
        </w:rPr>
      </w:pPr>
    </w:p>
    <w:p w14:paraId="5EAAFABC">
      <w:pPr>
        <w:pBdr>
          <w:top w:val="none" w:color="000000" w:sz="0" w:space="0"/>
          <w:left w:val="none" w:color="000000" w:sz="0" w:space="0"/>
          <w:bottom w:val="none" w:color="000000" w:sz="0" w:space="0"/>
          <w:right w:val="none" w:color="000000" w:sz="0" w:space="0"/>
        </w:pBdr>
        <w:jc w:val="center"/>
      </w:pPr>
      <w:r>
        <w:rPr>
          <w:rFonts w:ascii="宋体" w:hAnsi="宋体" w:cs="宋体"/>
          <w:b/>
          <w:color w:val="000000"/>
          <w:sz w:val="36"/>
        </w:rPr>
        <w:t>技术偏离表</w:t>
      </w:r>
    </w:p>
    <w:p w14:paraId="27FE43B4">
      <w:pPr>
        <w:pBdr>
          <w:top w:val="none" w:color="000000" w:sz="0" w:space="0"/>
          <w:left w:val="none" w:color="000000" w:sz="0" w:space="0"/>
          <w:bottom w:val="none" w:color="000000" w:sz="0" w:space="0"/>
          <w:right w:val="none" w:color="000000" w:sz="0" w:space="0"/>
        </w:pBdr>
      </w:pPr>
      <w:r>
        <w:rPr>
          <w:rFonts w:ascii="宋体" w:hAnsi="宋体" w:cs="宋体"/>
          <w:color w:val="000000"/>
          <w:sz w:val="24"/>
        </w:rPr>
        <w:t>格式自拟</w:t>
      </w:r>
    </w:p>
    <w:p w14:paraId="7CBB9038">
      <w:pPr>
        <w:pBdr>
          <w:top w:val="none" w:color="000000" w:sz="0" w:space="0"/>
          <w:left w:val="none" w:color="000000" w:sz="0" w:space="0"/>
          <w:bottom w:val="none" w:color="000000" w:sz="0" w:space="0"/>
          <w:right w:val="none" w:color="000000" w:sz="0" w:space="0"/>
        </w:pBdr>
        <w:spacing w:before="210" w:after="120"/>
        <w:ind w:left="200" w:firstLine="420"/>
      </w:pPr>
      <w:r>
        <w:rPr>
          <w:rFonts w:ascii="宋体" w:hAnsi="宋体" w:cs="宋体"/>
          <w:color w:val="000000"/>
          <w:sz w:val="24"/>
        </w:rPr>
        <w:t> </w:t>
      </w:r>
    </w:p>
    <w:p w14:paraId="4944660A">
      <w:pPr>
        <w:rPr>
          <w:rFonts w:ascii="宋体" w:hAnsi="宋体" w:cs="宋体"/>
        </w:rPr>
      </w:pPr>
    </w:p>
    <w:sectPr>
      <w:footerReference r:id="rId5" w:type="default"/>
      <w:pgSz w:w="11906" w:h="16838"/>
      <w:pgMar w:top="1191" w:right="1191" w:bottom="1191" w:left="1191"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monospace">
    <w:altName w:val="DejaVu Math TeX Gyre"/>
    <w:panose1 w:val="00000000000000000000"/>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Adobe 仿宋 Std R">
    <w:altName w:val="仿宋"/>
    <w:panose1 w:val="00000000000000000000"/>
    <w:charset w:val="00"/>
    <w:family w:val="auto"/>
    <w:pitch w:val="default"/>
    <w:sig w:usb0="00000000" w:usb1="00000000" w:usb2="00000000" w:usb3="00000000" w:csb0="00000000" w:csb1="00000000"/>
  </w:font>
  <w:font w:name="Cambria Math">
    <w:panose1 w:val="02040503050406030204"/>
    <w:charset w:val="00"/>
    <w:family w:val="roman"/>
    <w:pitch w:val="default"/>
    <w:sig w:usb0="E00006FF" w:usb1="420024FF" w:usb2="02000000" w:usb3="00000000" w:csb0="2000019F" w:csb1="00000000"/>
  </w:font>
  <w:font w:name="Arial Black">
    <w:panose1 w:val="020B0A04020102020204"/>
    <w:charset w:val="00"/>
    <w:family w:val="swiss"/>
    <w:pitch w:val="default"/>
    <w:sig w:usb0="A00002AF" w:usb1="400078FB" w:usb2="00000000" w:usb3="00000000" w:csb0="6000009F" w:csb1="DFD70000"/>
  </w:font>
  <w:font w:name="Comic Sans MS">
    <w:panose1 w:val="030F0702030302020204"/>
    <w:charset w:val="00"/>
    <w:family w:val="script"/>
    <w:pitch w:val="default"/>
    <w:sig w:usb0="00000287" w:usb1="00000013" w:usb2="00000000" w:usb3="00000000" w:csb0="2000009F" w:csb1="00000000"/>
  </w:font>
  <w:font w:name="Tahoma">
    <w:panose1 w:val="020B0604030504040204"/>
    <w:charset w:val="00"/>
    <w:family w:val="swiss"/>
    <w:pitch w:val="default"/>
    <w:sig w:usb0="E1002EFF" w:usb1="C000605B" w:usb2="00000029" w:usb3="00000000" w:csb0="200101FF" w:csb1="20280000"/>
  </w:font>
  <w:font w:name="Optima">
    <w:altName w:val="DejaVu Math TeX Gyre"/>
    <w:panose1 w:val="00000000000000000000"/>
    <w:charset w:val="00"/>
    <w:family w:val="auto"/>
    <w:pitch w:val="default"/>
    <w:sig w:usb0="00000000" w:usb1="00000000" w:usb2="00000000" w:usb3="00000000" w:csb0="00000000" w:csb1="00000000"/>
  </w:font>
  <w:font w:name="Courier New">
    <w:panose1 w:val="02070309020205020404"/>
    <w:charset w:val="00"/>
    <w:family w:val="modern"/>
    <w:pitch w:val="default"/>
    <w:sig w:usb0="E0002EFF" w:usb1="C0007843" w:usb2="00000009" w:usb3="00000000" w:csb0="400001FF" w:csb1="FFFF0000"/>
  </w:font>
  <w:font w:name="Cambria">
    <w:panose1 w:val="02040503050406030204"/>
    <w:charset w:val="00"/>
    <w:family w:val="roman"/>
    <w:pitch w:val="default"/>
    <w:sig w:usb0="E00006FF" w:usb1="420024FF" w:usb2="02000000" w:usb3="00000000" w:csb0="2000019F" w:csb1="00000000"/>
  </w:font>
  <w:font w:name="Arial Unicode MS">
    <w:panose1 w:val="020B0604020202020204"/>
    <w:charset w:val="86"/>
    <w:family w:val="swiss"/>
    <w:pitch w:val="default"/>
    <w:sig w:usb0="FFFFFFFF" w:usb1="E9FFFFFF" w:usb2="0000003F" w:usb3="00000000" w:csb0="603F01FF" w:csb1="FFFF0000"/>
  </w:font>
  <w:font w:name="MingLiU_HKSCS">
    <w:altName w:val="Sitka Text"/>
    <w:panose1 w:val="00000000000000000000"/>
    <w:charset w:val="00"/>
    <w:family w:val="auto"/>
    <w:pitch w:val="default"/>
    <w:sig w:usb0="00000000" w:usb1="00000000" w:usb2="00000000" w:usb3="00000000" w:csb0="00000000" w:csb1="00000000"/>
  </w:font>
  <w:font w:name="Sitka Text">
    <w:panose1 w:val="02000505000000020004"/>
    <w:charset w:val="00"/>
    <w:family w:val="auto"/>
    <w:pitch w:val="default"/>
    <w:sig w:usb0="A00002EF" w:usb1="4000204B"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5367D9">
    <w:pPr>
      <w:pStyle w:val="33"/>
      <w:tabs>
        <w:tab w:val="clear" w:pos="4153"/>
      </w:tabs>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B5C711">
    <w:pPr>
      <w:pStyle w:val="33"/>
      <w:spacing w:after="120"/>
      <w:ind w:firstLine="480"/>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427E817C">
                          <w:pPr>
                            <w:pStyle w:val="33"/>
                          </w:pPr>
                          <w:r>
                            <w:fldChar w:fldCharType="begin"/>
                          </w:r>
                          <w:r>
                            <w:instrText xml:space="preserve"> PAGE  \* MERGEFORMAT </w:instrText>
                          </w:r>
                          <w:r>
                            <w:fldChar w:fldCharType="separate"/>
                          </w:r>
                          <w:r>
                            <w:t>9</w:t>
                          </w:r>
                          <w:r>
                            <w:fldChar w:fldCharType="end"/>
                          </w:r>
                        </w:p>
                      </w:txbxContent>
                    </wps:txbx>
                    <wps:bodyPr vert="horz" wrap="none" lIns="0" tIns="0" rIns="0" bIns="0" anchor="t" anchorCtr="0">
                      <a:spAutoFit/>
                    </wps:bodyPr>
                  </wps:wsp>
                </a:graphicData>
              </a:graphic>
            </wp:anchor>
          </w:drawing>
        </mc:Choice>
        <mc:Fallback>
          <w:pict>
            <v:shape id="文本框 8"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lbivb+ABAADAAwAADgAAAGRycy9lMm9Eb2MueG1srVNNrtMwEN4jcQfL&#10;e+q8LlAUNX0CqiIk/qTHO4DjOI0l22PZbpNyALgBKzbsOVfPwdhJCjw2b8HGGo/H33zf5/HmdjSa&#10;nKQPCmxNb1YFJdIKaJU91PT+0/5ZSUmI3LZcg5U1PctAb7dPn2wGV8k19KBb6QmC2FANrqZ9jK5i&#10;LIheGh5W4KTFww684RG3/sBazwdEN5qti+I5G8C3zoOQIWB2Nx3SGdE/BhC6Tgm5A3E00sYJ1UvN&#10;I0oKvXKBbjPbrpMifui6ICPRNUWlMa/YBOMmrWy74dXBc9crMVPgj6HwQJPhymLTK9SOR06OXv0D&#10;ZZTwEKCLKwGGTUKyI6jipnjgzV3Pncxa0OrgrqaH/wcr3p8+eqJanARKLDf44JdvXy/ff15+fCFl&#10;smdwocKqO4d1cXwJYyqd8yElm+EdtHiPHyNkD8bOm+QFqiNYjVafr1bLMRKRIMp1WRZ4JPBs2SAq&#10;49Vy3fkQX0swJAU19fiWGZ6f3oY4lS4lqZuFvdIa87zS9q8EYqYMS0oS40lTHJtxltFAe0Yh+Cmw&#10;Tw/+MyUDjkRNLf4ASvQbi46n6VkCvwTNEnAr8GJNIyVT+CrmKUtEgnuB1uxVJp1ITP1mRviwWfY8&#10;hGly/tznqt8fb/sL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zql5uc8AAAAFAQAADwAAAAAAAAAB&#10;ACAAAAAiAAAAZHJzL2Rvd25yZXYueG1sUEsBAhQAFAAAAAgAh07iQJW4r2/gAQAAwAMAAA4AAAAA&#10;AAAAAQAgAAAAHgEAAGRycy9lMm9Eb2MueG1sUEsFBgAAAAAGAAYAWQEAAHAFAAAAAA==&#10;">
              <v:fill on="f" focussize="0,0"/>
              <v:stroke on="f"/>
              <v:imagedata o:title=""/>
              <o:lock v:ext="edit" aspectratio="f"/>
              <v:textbox inset="0mm,0mm,0mm,0mm" style="mso-fit-shape-to-text:t;">
                <w:txbxContent>
                  <w:p w14:paraId="427E817C">
                    <w:pPr>
                      <w:pStyle w:val="33"/>
                    </w:pPr>
                    <w:r>
                      <w:fldChar w:fldCharType="begin"/>
                    </w:r>
                    <w:r>
                      <w:instrText xml:space="preserve"> PAGE  \* MERGEFORMAT </w:instrText>
                    </w:r>
                    <w:r>
                      <w:fldChar w:fldCharType="separate"/>
                    </w:r>
                    <w:r>
                      <w:t>9</w:t>
                    </w:r>
                    <w:r>
                      <w:fldChar w:fldCharType="end"/>
                    </w:r>
                  </w:p>
                </w:txbxContent>
              </v:textbox>
            </v:shape>
          </w:pict>
        </mc:Fallback>
      </mc:AlternateContent>
    </w:r>
  </w:p>
  <w:p w14:paraId="42DF26C0">
    <w:pPr>
      <w:spacing w:line="1" w:lineRule="exac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14:paraId="372C95DB">
      <w:pPr>
        <w:pStyle w:val="41"/>
      </w:pPr>
      <w:r>
        <w:rPr>
          <w:rStyle w:val="70"/>
        </w:rPr>
        <w:footnoteRef/>
      </w:r>
      <w:r>
        <w:t xml:space="preserve"> </w:t>
      </w:r>
      <w:r>
        <w:rPr>
          <w:rFonts w:hint="eastAsia"/>
        </w:rPr>
        <w:t>从业人员、营业收入、资产总额填报上一年度数据，无上一年度数据的新成立企业可不填报。</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53208E"/>
    <w:multiLevelType w:val="multilevel"/>
    <w:tmpl w:val="0053208E"/>
    <w:lvl w:ilvl="0" w:tentative="0">
      <w:start w:val="1"/>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59ADCABA"/>
    <w:multiLevelType w:val="multilevel"/>
    <w:tmpl w:val="59ADCABA"/>
    <w:lvl w:ilvl="0" w:tentative="0">
      <w:start w:val="1"/>
      <w:numFmt w:val="decimal"/>
      <w:suff w:val="nothing"/>
      <w:lvlText w:val="%1．"/>
      <w:lvlJc w:val="left"/>
      <w:pPr>
        <w:ind w:left="0" w:firstLine="400"/>
      </w:pPr>
    </w:lvl>
    <w:lvl w:ilvl="1" w:tentative="0">
      <w:start w:val="1"/>
      <w:numFmt w:val="bullet"/>
      <w:lvlText w:val="o"/>
      <w:lvlJc w:val="left"/>
      <w:pPr>
        <w:ind w:left="1440" w:hanging="360"/>
      </w:pPr>
      <w:rPr>
        <w:rFonts w:ascii="Courier New" w:hAnsi="Courier New" w:eastAsia="Courier New"/>
      </w:rPr>
    </w:lvl>
    <w:lvl w:ilvl="2" w:tentative="0">
      <w:start w:val="1"/>
      <w:numFmt w:val="bullet"/>
      <w:lvlText w:val="§"/>
      <w:lvlJc w:val="left"/>
      <w:pPr>
        <w:ind w:left="2160" w:hanging="360"/>
      </w:pPr>
      <w:rPr>
        <w:rFonts w:ascii="Wingdings" w:hAnsi="Wingdings" w:eastAsia="Wingdings"/>
      </w:rPr>
    </w:lvl>
    <w:lvl w:ilvl="3" w:tentative="0">
      <w:start w:val="1"/>
      <w:numFmt w:val="bullet"/>
      <w:lvlText w:val="·"/>
      <w:lvlJc w:val="left"/>
      <w:pPr>
        <w:ind w:left="2880" w:hanging="360"/>
      </w:pPr>
      <w:rPr>
        <w:rFonts w:ascii="Symbol" w:hAnsi="Symbol" w:eastAsia="Symbol"/>
      </w:rPr>
    </w:lvl>
    <w:lvl w:ilvl="4" w:tentative="0">
      <w:start w:val="1"/>
      <w:numFmt w:val="bullet"/>
      <w:lvlText w:val="o"/>
      <w:lvlJc w:val="left"/>
      <w:pPr>
        <w:ind w:left="3600" w:hanging="360"/>
      </w:pPr>
      <w:rPr>
        <w:rFonts w:ascii="Courier New" w:hAnsi="Courier New" w:eastAsia="Courier New"/>
      </w:rPr>
    </w:lvl>
    <w:lvl w:ilvl="5" w:tentative="0">
      <w:start w:val="1"/>
      <w:numFmt w:val="bullet"/>
      <w:lvlText w:val="§"/>
      <w:lvlJc w:val="left"/>
      <w:pPr>
        <w:ind w:left="4320" w:hanging="360"/>
      </w:pPr>
      <w:rPr>
        <w:rFonts w:ascii="Wingdings" w:hAnsi="Wingdings" w:eastAsia="Wingdings"/>
      </w:rPr>
    </w:lvl>
    <w:lvl w:ilvl="6" w:tentative="0">
      <w:start w:val="1"/>
      <w:numFmt w:val="bullet"/>
      <w:lvlText w:val="·"/>
      <w:lvlJc w:val="left"/>
      <w:pPr>
        <w:ind w:left="5040" w:hanging="360"/>
      </w:pPr>
      <w:rPr>
        <w:rFonts w:ascii="Symbol" w:hAnsi="Symbol" w:eastAsia="Symbol"/>
      </w:rPr>
    </w:lvl>
    <w:lvl w:ilvl="7" w:tentative="0">
      <w:start w:val="1"/>
      <w:numFmt w:val="bullet"/>
      <w:lvlText w:val="o"/>
      <w:lvlJc w:val="left"/>
      <w:pPr>
        <w:ind w:left="5760" w:hanging="360"/>
      </w:pPr>
      <w:rPr>
        <w:rFonts w:ascii="Courier New" w:hAnsi="Courier New" w:eastAsia="Courier New"/>
      </w:rPr>
    </w:lvl>
    <w:lvl w:ilvl="8" w:tentative="0">
      <w:start w:val="1"/>
      <w:numFmt w:val="bullet"/>
      <w:lvlText w:val="§"/>
      <w:lvlJc w:val="left"/>
      <w:pPr>
        <w:ind w:left="6480" w:hanging="360"/>
      </w:pPr>
      <w:rPr>
        <w:rFonts w:ascii="Wingdings" w:hAnsi="Wingdings" w:eastAsia="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2"/>
  <w:documentProtection w:enforcement="0"/>
  <w:defaultTabStop w:val="420"/>
  <w:noPunctuationKerning w:val="1"/>
  <w:characterSpacingControl w:val="doNotCompress"/>
  <w:footnotePr>
    <w:footnote w:id="2"/>
    <w:footnote w:id="3"/>
  </w:footnotePr>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0101"/>
    <w:rsid w:val="00717DA6"/>
    <w:rsid w:val="007F59B2"/>
    <w:rsid w:val="00800101"/>
    <w:rsid w:val="00AD656D"/>
    <w:rsid w:val="00B26F26"/>
    <w:rsid w:val="00CE794C"/>
    <w:rsid w:val="00D271BD"/>
    <w:rsid w:val="044B5C73"/>
    <w:rsid w:val="09353038"/>
    <w:rsid w:val="0E8417B5"/>
    <w:rsid w:val="18D52499"/>
    <w:rsid w:val="2F673A15"/>
    <w:rsid w:val="31B219C3"/>
    <w:rsid w:val="35933774"/>
    <w:rsid w:val="3EAB0477"/>
    <w:rsid w:val="410E2FA0"/>
    <w:rsid w:val="45EA7CB3"/>
    <w:rsid w:val="4B95350F"/>
    <w:rsid w:val="4DA70238"/>
    <w:rsid w:val="4F705141"/>
    <w:rsid w:val="5E74723A"/>
    <w:rsid w:val="60771860"/>
    <w:rsid w:val="7614728E"/>
    <w:rsid w:val="774C76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iPriority="9" w:semiHidden="0" w:name="heading 8"/>
    <w:lsdException w:qFormat="1" w:unhideWhenUsed="0" w:uiPriority="0" w:semiHidden="0" w:name="heading 9"/>
    <w:lsdException w:uiPriority="99" w:name="index 1"/>
    <w:lsdException w:uiPriority="99" w:name="index 2"/>
    <w:lsdException w:uiPriority="99" w:name="index 3"/>
    <w:lsdException w:qFormat="1" w:unhideWhenUsed="0" w:uiPriority="0" w:semiHidden="0" w:name="index 4"/>
    <w:lsdException w:qFormat="1" w:unhideWhenUsed="0" w:uiPriority="0" w:semiHidden="0" w:name="index 5"/>
    <w:lsdException w:uiPriority="99" w:name="index 6"/>
    <w:lsdException w:uiPriority="99" w:name="index 7"/>
    <w:lsdException w:uiPriority="99" w:name="index 8"/>
    <w:lsdException w:qFormat="1"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qFormat="1" w:unhideWhenUsed="0" w:uiPriority="0" w:semiHidden="0"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qFormat="1" w:unhideWhenUsed="0" w:uiPriority="0" w:semiHidden="0"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iPriority="99"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link w:val="229"/>
    <w:qFormat/>
    <w:uiPriority w:val="0"/>
    <w:pPr>
      <w:keepNext/>
      <w:keepLines/>
      <w:tabs>
        <w:tab w:val="left" w:pos="360"/>
      </w:tabs>
      <w:spacing w:line="360" w:lineRule="auto"/>
      <w:jc w:val="center"/>
      <w:outlineLvl w:val="0"/>
    </w:pPr>
    <w:rPr>
      <w:rFonts w:ascii="宋体" w:hAnsi="宋体"/>
      <w:b/>
      <w:color w:val="000000"/>
      <w:sz w:val="36"/>
      <w:szCs w:val="20"/>
    </w:rPr>
  </w:style>
  <w:style w:type="paragraph" w:styleId="3">
    <w:name w:val="heading 2"/>
    <w:basedOn w:val="1"/>
    <w:next w:val="1"/>
    <w:link w:val="230"/>
    <w:qFormat/>
    <w:uiPriority w:val="0"/>
    <w:pPr>
      <w:keepNext/>
      <w:keepLines/>
      <w:spacing w:before="260" w:after="260" w:line="412" w:lineRule="auto"/>
      <w:outlineLvl w:val="1"/>
    </w:pPr>
    <w:rPr>
      <w:rFonts w:ascii="Arial" w:hAnsi="Arial" w:eastAsia="黑体"/>
      <w:b/>
      <w:bCs/>
      <w:sz w:val="32"/>
      <w:szCs w:val="32"/>
    </w:rPr>
  </w:style>
  <w:style w:type="paragraph" w:styleId="4">
    <w:name w:val="heading 3"/>
    <w:basedOn w:val="1"/>
    <w:next w:val="1"/>
    <w:link w:val="99"/>
    <w:qFormat/>
    <w:uiPriority w:val="0"/>
    <w:pPr>
      <w:tabs>
        <w:tab w:val="left" w:pos="709"/>
      </w:tabs>
      <w:spacing w:line="300" w:lineRule="auto"/>
      <w:ind w:left="709" w:hanging="709"/>
      <w:outlineLvl w:val="2"/>
    </w:pPr>
    <w:rPr>
      <w:rFonts w:ascii="黑体" w:eastAsia="黑体"/>
      <w:b/>
      <w:color w:val="000000"/>
      <w:sz w:val="28"/>
      <w:szCs w:val="20"/>
    </w:rPr>
  </w:style>
  <w:style w:type="paragraph" w:styleId="5">
    <w:name w:val="heading 4"/>
    <w:basedOn w:val="1"/>
    <w:next w:val="1"/>
    <w:qFormat/>
    <w:uiPriority w:val="0"/>
    <w:pPr>
      <w:keepNext/>
      <w:keepLines/>
      <w:spacing w:before="280" w:after="290" w:line="372" w:lineRule="auto"/>
      <w:outlineLvl w:val="3"/>
    </w:pPr>
    <w:rPr>
      <w:rFonts w:ascii="Arial" w:hAnsi="Arial" w:eastAsia="黑体"/>
      <w:b/>
      <w:bCs/>
      <w:sz w:val="28"/>
      <w:szCs w:val="28"/>
    </w:rPr>
  </w:style>
  <w:style w:type="paragraph" w:styleId="6">
    <w:name w:val="heading 5"/>
    <w:basedOn w:val="1"/>
    <w:next w:val="7"/>
    <w:link w:val="233"/>
    <w:qFormat/>
    <w:uiPriority w:val="0"/>
    <w:pPr>
      <w:keepNext/>
      <w:keepLines/>
      <w:tabs>
        <w:tab w:val="left" w:pos="2100"/>
      </w:tabs>
      <w:spacing w:before="280" w:after="290"/>
      <w:ind w:left="2100" w:hanging="420"/>
      <w:outlineLvl w:val="4"/>
    </w:pPr>
    <w:rPr>
      <w:rFonts w:eastAsia="黑体"/>
      <w:b/>
      <w:bCs/>
      <w:sz w:val="28"/>
      <w:szCs w:val="28"/>
    </w:rPr>
  </w:style>
  <w:style w:type="paragraph" w:styleId="8">
    <w:name w:val="heading 6"/>
    <w:basedOn w:val="1"/>
    <w:next w:val="7"/>
    <w:link w:val="234"/>
    <w:qFormat/>
    <w:uiPriority w:val="0"/>
    <w:pPr>
      <w:keepNext/>
      <w:keepLines/>
      <w:tabs>
        <w:tab w:val="left" w:pos="2520"/>
      </w:tabs>
      <w:spacing w:before="240" w:after="64" w:line="320" w:lineRule="auto"/>
      <w:ind w:left="2520" w:hanging="420"/>
      <w:outlineLvl w:val="5"/>
    </w:pPr>
    <w:rPr>
      <w:rFonts w:eastAsia="黑体"/>
      <w:b/>
      <w:bCs/>
      <w:sz w:val="28"/>
    </w:rPr>
  </w:style>
  <w:style w:type="paragraph" w:styleId="9">
    <w:name w:val="heading 7"/>
    <w:basedOn w:val="1"/>
    <w:next w:val="1"/>
    <w:link w:val="235"/>
    <w:qFormat/>
    <w:uiPriority w:val="0"/>
    <w:pPr>
      <w:keepNext/>
      <w:keepLines/>
      <w:tabs>
        <w:tab w:val="left" w:pos="2940"/>
      </w:tabs>
      <w:spacing w:before="240" w:after="64" w:line="320" w:lineRule="auto"/>
      <w:ind w:left="2940" w:hanging="420"/>
      <w:outlineLvl w:val="6"/>
    </w:pPr>
    <w:rPr>
      <w:rFonts w:eastAsia="黑体"/>
      <w:b/>
      <w:bCs/>
      <w:sz w:val="24"/>
    </w:rPr>
  </w:style>
  <w:style w:type="paragraph" w:styleId="10">
    <w:name w:val="heading 8"/>
    <w:basedOn w:val="1"/>
    <w:next w:val="1"/>
    <w:link w:val="109"/>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236"/>
    <w:qFormat/>
    <w:uiPriority w:val="0"/>
    <w:pPr>
      <w:keepNext/>
      <w:keepLines/>
      <w:tabs>
        <w:tab w:val="left" w:pos="3780"/>
      </w:tabs>
      <w:spacing w:before="240" w:after="64" w:line="320" w:lineRule="auto"/>
      <w:ind w:left="3780" w:hanging="420"/>
      <w:outlineLvl w:val="8"/>
    </w:pPr>
    <w:rPr>
      <w:sz w:val="24"/>
      <w:szCs w:val="21"/>
    </w:rPr>
  </w:style>
  <w:style w:type="character" w:default="1" w:styleId="56">
    <w:name w:val="Default Paragraph Font"/>
    <w:semiHidden/>
    <w:unhideWhenUsed/>
    <w:uiPriority w:val="1"/>
  </w:style>
  <w:style w:type="table" w:default="1" w:styleId="54">
    <w:name w:val="Normal Table"/>
    <w:semiHidden/>
    <w:unhideWhenUsed/>
    <w:qFormat/>
    <w:uiPriority w:val="99"/>
    <w:tblPr>
      <w:tblCellMar>
        <w:top w:w="0" w:type="dxa"/>
        <w:left w:w="108" w:type="dxa"/>
        <w:bottom w:w="0" w:type="dxa"/>
        <w:right w:w="108" w:type="dxa"/>
      </w:tblCellMar>
    </w:tblPr>
  </w:style>
  <w:style w:type="paragraph" w:customStyle="1" w:styleId="7">
    <w:name w:val="文章正文"/>
    <w:basedOn w:val="1"/>
    <w:qFormat/>
    <w:uiPriority w:val="0"/>
    <w:pPr>
      <w:spacing w:line="360" w:lineRule="auto"/>
      <w:ind w:firstLine="560"/>
    </w:pPr>
    <w:rPr>
      <w:rFonts w:eastAsia="仿宋_GB2312"/>
      <w:sz w:val="28"/>
    </w:rPr>
  </w:style>
  <w:style w:type="paragraph" w:styleId="12">
    <w:name w:val="List 3"/>
    <w:basedOn w:val="1"/>
    <w:qFormat/>
    <w:uiPriority w:val="0"/>
    <w:pPr>
      <w:ind w:left="100" w:hanging="200"/>
      <w:contextualSpacing/>
    </w:pPr>
  </w:style>
  <w:style w:type="paragraph" w:styleId="13">
    <w:name w:val="toc 7"/>
    <w:basedOn w:val="1"/>
    <w:next w:val="1"/>
    <w:qFormat/>
    <w:uiPriority w:val="0"/>
    <w:pPr>
      <w:ind w:left="1260"/>
      <w:jc w:val="left"/>
    </w:pPr>
    <w:rPr>
      <w:sz w:val="18"/>
      <w:szCs w:val="18"/>
    </w:rPr>
  </w:style>
  <w:style w:type="paragraph" w:styleId="14">
    <w:name w:val="Note Heading"/>
    <w:basedOn w:val="1"/>
    <w:next w:val="1"/>
    <w:qFormat/>
    <w:uiPriority w:val="0"/>
    <w:rPr>
      <w:rFonts w:ascii="Verdana" w:hAnsi="Verdana"/>
      <w:szCs w:val="20"/>
    </w:rPr>
  </w:style>
  <w:style w:type="paragraph" w:styleId="15">
    <w:name w:val="List Number"/>
    <w:basedOn w:val="1"/>
    <w:qFormat/>
    <w:uiPriority w:val="0"/>
    <w:pPr>
      <w:widowControl/>
      <w:tabs>
        <w:tab w:val="left" w:pos="454"/>
        <w:tab w:val="left" w:pos="720"/>
      </w:tabs>
      <w:spacing w:after="50"/>
      <w:ind w:left="454" w:hanging="284"/>
      <w:jc w:val="left"/>
    </w:pPr>
    <w:rPr>
      <w:sz w:val="24"/>
      <w:szCs w:val="20"/>
    </w:rPr>
  </w:style>
  <w:style w:type="paragraph" w:styleId="16">
    <w:name w:val="Normal Indent"/>
    <w:basedOn w:val="1"/>
    <w:next w:val="1"/>
    <w:link w:val="237"/>
    <w:qFormat/>
    <w:uiPriority w:val="0"/>
    <w:pPr>
      <w:ind w:firstLine="200"/>
    </w:pPr>
  </w:style>
  <w:style w:type="paragraph" w:styleId="17">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8">
    <w:name w:val="index 5"/>
    <w:basedOn w:val="1"/>
    <w:next w:val="1"/>
    <w:qFormat/>
    <w:uiPriority w:val="0"/>
    <w:pPr>
      <w:ind w:left="1680"/>
    </w:pPr>
  </w:style>
  <w:style w:type="paragraph" w:styleId="19">
    <w:name w:val="annotation text"/>
    <w:basedOn w:val="1"/>
    <w:semiHidden/>
    <w:qFormat/>
    <w:uiPriority w:val="0"/>
    <w:pPr>
      <w:jc w:val="left"/>
    </w:pPr>
  </w:style>
  <w:style w:type="paragraph" w:styleId="20">
    <w:name w:val="Body Text 3"/>
    <w:basedOn w:val="1"/>
    <w:qFormat/>
    <w:uiPriority w:val="0"/>
    <w:pPr>
      <w:spacing w:after="120"/>
    </w:pPr>
    <w:rPr>
      <w:sz w:val="16"/>
      <w:szCs w:val="16"/>
    </w:rPr>
  </w:style>
  <w:style w:type="paragraph" w:styleId="21">
    <w:name w:val="Body Text"/>
    <w:basedOn w:val="1"/>
    <w:next w:val="1"/>
    <w:link w:val="238"/>
    <w:qFormat/>
    <w:uiPriority w:val="0"/>
    <w:pPr>
      <w:spacing w:after="120"/>
    </w:pPr>
  </w:style>
  <w:style w:type="paragraph" w:styleId="22">
    <w:name w:val="Body Text Indent"/>
    <w:basedOn w:val="1"/>
    <w:qFormat/>
    <w:uiPriority w:val="0"/>
    <w:pPr>
      <w:spacing w:after="120"/>
      <w:ind w:left="200"/>
    </w:pPr>
  </w:style>
  <w:style w:type="paragraph" w:styleId="23">
    <w:name w:val="List 2"/>
    <w:basedOn w:val="1"/>
    <w:qFormat/>
    <w:uiPriority w:val="0"/>
    <w:pPr>
      <w:ind w:left="400" w:hanging="200"/>
    </w:pPr>
  </w:style>
  <w:style w:type="paragraph" w:styleId="24">
    <w:name w:val="index 4"/>
    <w:basedOn w:val="1"/>
    <w:next w:val="1"/>
    <w:qFormat/>
    <w:uiPriority w:val="0"/>
    <w:pPr>
      <w:ind w:left="600"/>
    </w:pPr>
    <w:rPr>
      <w:rFonts w:ascii="Verdana" w:hAnsi="Verdana"/>
      <w:szCs w:val="20"/>
    </w:rPr>
  </w:style>
  <w:style w:type="paragraph" w:styleId="25">
    <w:name w:val="toc 5"/>
    <w:basedOn w:val="1"/>
    <w:next w:val="1"/>
    <w:qFormat/>
    <w:uiPriority w:val="0"/>
    <w:pPr>
      <w:ind w:left="840"/>
      <w:jc w:val="left"/>
    </w:pPr>
    <w:rPr>
      <w:sz w:val="18"/>
      <w:szCs w:val="18"/>
    </w:rPr>
  </w:style>
  <w:style w:type="paragraph" w:styleId="26">
    <w:name w:val="toc 3"/>
    <w:basedOn w:val="1"/>
    <w:next w:val="1"/>
    <w:qFormat/>
    <w:uiPriority w:val="0"/>
    <w:pPr>
      <w:ind w:left="420"/>
      <w:jc w:val="left"/>
    </w:pPr>
    <w:rPr>
      <w:i/>
      <w:iCs/>
      <w:sz w:val="20"/>
      <w:szCs w:val="20"/>
    </w:rPr>
  </w:style>
  <w:style w:type="paragraph" w:styleId="27">
    <w:name w:val="Plain Text"/>
    <w:basedOn w:val="1"/>
    <w:next w:val="16"/>
    <w:link w:val="239"/>
    <w:qFormat/>
    <w:uiPriority w:val="0"/>
    <w:rPr>
      <w:rFonts w:ascii="宋体"/>
    </w:rPr>
  </w:style>
  <w:style w:type="paragraph" w:styleId="28">
    <w:name w:val="toc 8"/>
    <w:basedOn w:val="1"/>
    <w:next w:val="1"/>
    <w:qFormat/>
    <w:uiPriority w:val="0"/>
    <w:pPr>
      <w:ind w:left="1470"/>
      <w:jc w:val="left"/>
    </w:pPr>
    <w:rPr>
      <w:sz w:val="18"/>
      <w:szCs w:val="18"/>
    </w:rPr>
  </w:style>
  <w:style w:type="paragraph" w:styleId="29">
    <w:name w:val="Date"/>
    <w:basedOn w:val="1"/>
    <w:next w:val="1"/>
    <w:qFormat/>
    <w:uiPriority w:val="0"/>
    <w:pPr>
      <w:ind w:left="100"/>
    </w:pPr>
    <w:rPr>
      <w:sz w:val="28"/>
      <w:szCs w:val="20"/>
    </w:rPr>
  </w:style>
  <w:style w:type="paragraph" w:styleId="30">
    <w:name w:val="Body Text Indent 2"/>
    <w:basedOn w:val="1"/>
    <w:qFormat/>
    <w:uiPriority w:val="0"/>
    <w:pPr>
      <w:spacing w:line="360" w:lineRule="auto"/>
      <w:ind w:firstLine="200"/>
      <w:jc w:val="left"/>
    </w:pPr>
    <w:rPr>
      <w:rFonts w:ascii="仿宋_GB2312" w:eastAsia="仿宋_GB2312"/>
      <w:b/>
      <w:bCs/>
      <w:sz w:val="24"/>
    </w:rPr>
  </w:style>
  <w:style w:type="paragraph" w:styleId="31">
    <w:name w:val="endnote text"/>
    <w:basedOn w:val="1"/>
    <w:link w:val="227"/>
    <w:semiHidden/>
    <w:unhideWhenUsed/>
    <w:qFormat/>
    <w:uiPriority w:val="99"/>
    <w:rPr>
      <w:sz w:val="20"/>
    </w:rPr>
  </w:style>
  <w:style w:type="paragraph" w:styleId="32">
    <w:name w:val="Balloon Text"/>
    <w:basedOn w:val="1"/>
    <w:qFormat/>
    <w:uiPriority w:val="0"/>
    <w:rPr>
      <w:sz w:val="18"/>
      <w:szCs w:val="18"/>
    </w:rPr>
  </w:style>
  <w:style w:type="paragraph" w:styleId="33">
    <w:name w:val="footer"/>
    <w:basedOn w:val="1"/>
    <w:link w:val="240"/>
    <w:qFormat/>
    <w:uiPriority w:val="99"/>
    <w:pPr>
      <w:tabs>
        <w:tab w:val="center" w:pos="4153"/>
        <w:tab w:val="right" w:pos="8306"/>
      </w:tabs>
      <w:jc w:val="left"/>
    </w:pPr>
    <w:rPr>
      <w:sz w:val="18"/>
      <w:szCs w:val="18"/>
    </w:rPr>
  </w:style>
  <w:style w:type="paragraph" w:styleId="34">
    <w:name w:val="envelope return"/>
    <w:basedOn w:val="35"/>
    <w:qFormat/>
    <w:uiPriority w:val="0"/>
    <w:rPr>
      <w:rFonts w:ascii="Arial" w:hAnsi="Arial"/>
    </w:rPr>
  </w:style>
  <w:style w:type="paragraph" w:customStyle="1" w:styleId="35">
    <w:name w:val="Normal_19"/>
    <w:next w:val="36"/>
    <w:qFormat/>
    <w:uiPriority w:val="0"/>
    <w:pPr>
      <w:widowControl w:val="0"/>
      <w:jc w:val="both"/>
    </w:pPr>
    <w:rPr>
      <w:rFonts w:ascii="Calibri" w:hAnsi="Calibri" w:eastAsia="宋体" w:cs="Times New Roman"/>
      <w:sz w:val="21"/>
      <w:szCs w:val="24"/>
      <w:lang w:val="en-US" w:eastAsia="zh-CN" w:bidi="ar-SA"/>
    </w:rPr>
  </w:style>
  <w:style w:type="paragraph" w:customStyle="1" w:styleId="36">
    <w:name w:val="正文文本缩进1"/>
    <w:basedOn w:val="35"/>
    <w:qFormat/>
    <w:uiPriority w:val="0"/>
    <w:pPr>
      <w:ind w:firstLine="225"/>
    </w:pPr>
    <w:rPr>
      <w:rFonts w:ascii="仿宋_GB2312" w:eastAsia="仿宋_GB2312"/>
      <w:sz w:val="32"/>
    </w:rPr>
  </w:style>
  <w:style w:type="paragraph" w:styleId="37">
    <w:name w:val="header"/>
    <w:basedOn w:val="1"/>
    <w:link w:val="117"/>
    <w:qFormat/>
    <w:uiPriority w:val="0"/>
    <w:pPr>
      <w:pBdr>
        <w:bottom w:val="single" w:color="auto" w:sz="6" w:space="1"/>
      </w:pBdr>
      <w:tabs>
        <w:tab w:val="left" w:pos="4125"/>
        <w:tab w:val="center" w:pos="4153"/>
        <w:tab w:val="left" w:pos="4200"/>
        <w:tab w:val="left" w:pos="4620"/>
        <w:tab w:val="left" w:pos="5040"/>
        <w:tab w:val="left" w:pos="5460"/>
        <w:tab w:val="left" w:pos="5880"/>
      </w:tabs>
      <w:jc w:val="left"/>
    </w:pPr>
    <w:rPr>
      <w:sz w:val="18"/>
      <w:szCs w:val="21"/>
    </w:rPr>
  </w:style>
  <w:style w:type="paragraph" w:styleId="38">
    <w:name w:val="toc 1"/>
    <w:basedOn w:val="1"/>
    <w:next w:val="1"/>
    <w:qFormat/>
    <w:uiPriority w:val="0"/>
    <w:pPr>
      <w:spacing w:before="120" w:after="120"/>
      <w:jc w:val="left"/>
    </w:pPr>
    <w:rPr>
      <w:b/>
      <w:bCs/>
      <w:caps/>
      <w:sz w:val="20"/>
      <w:szCs w:val="20"/>
    </w:rPr>
  </w:style>
  <w:style w:type="paragraph" w:styleId="39">
    <w:name w:val="toc 4"/>
    <w:basedOn w:val="1"/>
    <w:next w:val="1"/>
    <w:qFormat/>
    <w:uiPriority w:val="0"/>
    <w:pPr>
      <w:ind w:left="630"/>
      <w:jc w:val="left"/>
    </w:pPr>
    <w:rPr>
      <w:sz w:val="18"/>
      <w:szCs w:val="18"/>
    </w:rPr>
  </w:style>
  <w:style w:type="paragraph" w:styleId="40">
    <w:name w:val="Subtitle"/>
    <w:basedOn w:val="1"/>
    <w:next w:val="1"/>
    <w:link w:val="112"/>
    <w:qFormat/>
    <w:uiPriority w:val="11"/>
    <w:pPr>
      <w:spacing w:before="200" w:after="200"/>
    </w:pPr>
    <w:rPr>
      <w:sz w:val="24"/>
    </w:rPr>
  </w:style>
  <w:style w:type="paragraph" w:styleId="41">
    <w:name w:val="footnote text"/>
    <w:basedOn w:val="1"/>
    <w:link w:val="241"/>
    <w:qFormat/>
    <w:uiPriority w:val="0"/>
    <w:pPr>
      <w:jc w:val="left"/>
    </w:pPr>
    <w:rPr>
      <w:sz w:val="18"/>
      <w:szCs w:val="18"/>
    </w:rPr>
  </w:style>
  <w:style w:type="paragraph" w:styleId="42">
    <w:name w:val="toc 6"/>
    <w:basedOn w:val="1"/>
    <w:next w:val="1"/>
    <w:qFormat/>
    <w:uiPriority w:val="0"/>
    <w:pPr>
      <w:ind w:left="1050"/>
      <w:jc w:val="left"/>
    </w:pPr>
    <w:rPr>
      <w:sz w:val="18"/>
      <w:szCs w:val="18"/>
    </w:rPr>
  </w:style>
  <w:style w:type="paragraph" w:styleId="43">
    <w:name w:val="Body Text Indent 3"/>
    <w:basedOn w:val="1"/>
    <w:qFormat/>
    <w:uiPriority w:val="0"/>
    <w:pPr>
      <w:ind w:firstLine="570"/>
    </w:pPr>
    <w:rPr>
      <w:rFonts w:ascii="楷体_GB2312" w:eastAsia="楷体_GB2312"/>
      <w:sz w:val="32"/>
      <w:szCs w:val="20"/>
    </w:rPr>
  </w:style>
  <w:style w:type="paragraph" w:styleId="44">
    <w:name w:val="index 9"/>
    <w:basedOn w:val="1"/>
    <w:next w:val="1"/>
    <w:qFormat/>
    <w:uiPriority w:val="0"/>
    <w:pPr>
      <w:ind w:left="3360"/>
    </w:pPr>
  </w:style>
  <w:style w:type="paragraph" w:styleId="45">
    <w:name w:val="table of figures"/>
    <w:basedOn w:val="1"/>
    <w:next w:val="1"/>
    <w:unhideWhenUsed/>
    <w:qFormat/>
    <w:uiPriority w:val="99"/>
  </w:style>
  <w:style w:type="paragraph" w:styleId="46">
    <w:name w:val="toc 2"/>
    <w:basedOn w:val="1"/>
    <w:next w:val="1"/>
    <w:qFormat/>
    <w:uiPriority w:val="0"/>
    <w:pPr>
      <w:ind w:left="210"/>
      <w:jc w:val="left"/>
    </w:pPr>
    <w:rPr>
      <w:smallCaps/>
      <w:sz w:val="20"/>
      <w:szCs w:val="20"/>
    </w:rPr>
  </w:style>
  <w:style w:type="paragraph" w:styleId="47">
    <w:name w:val="toc 9"/>
    <w:basedOn w:val="1"/>
    <w:next w:val="1"/>
    <w:qFormat/>
    <w:uiPriority w:val="0"/>
    <w:pPr>
      <w:ind w:left="1680"/>
      <w:jc w:val="left"/>
    </w:pPr>
    <w:rPr>
      <w:sz w:val="18"/>
      <w:szCs w:val="18"/>
    </w:rPr>
  </w:style>
  <w:style w:type="paragraph" w:styleId="48">
    <w:name w:val="Body Text 2"/>
    <w:basedOn w:val="1"/>
    <w:qFormat/>
    <w:uiPriority w:val="0"/>
    <w:pPr>
      <w:jc w:val="left"/>
    </w:pPr>
    <w:rPr>
      <w:rFonts w:eastAsia="楷体_GB2312"/>
    </w:rPr>
  </w:style>
  <w:style w:type="paragraph" w:styleId="49">
    <w:name w:val="Normal (Web)"/>
    <w:basedOn w:val="1"/>
    <w:qFormat/>
    <w:uiPriority w:val="99"/>
    <w:pPr>
      <w:widowControl/>
      <w:spacing w:before="100" w:beforeAutospacing="1" w:after="100" w:afterAutospacing="1"/>
      <w:jc w:val="left"/>
    </w:pPr>
    <w:rPr>
      <w:rFonts w:ascii="宋体"/>
      <w:color w:val="000000"/>
      <w:sz w:val="24"/>
    </w:rPr>
  </w:style>
  <w:style w:type="paragraph" w:styleId="50">
    <w:name w:val="Title"/>
    <w:basedOn w:val="1"/>
    <w:link w:val="242"/>
    <w:qFormat/>
    <w:uiPriority w:val="0"/>
    <w:pPr>
      <w:widowControl/>
      <w:jc w:val="center"/>
    </w:pPr>
    <w:rPr>
      <w:b/>
      <w:sz w:val="24"/>
      <w:szCs w:val="20"/>
      <w:lang w:val="en-GB" w:eastAsia="en-GB"/>
    </w:rPr>
  </w:style>
  <w:style w:type="paragraph" w:styleId="51">
    <w:name w:val="annotation subject"/>
    <w:basedOn w:val="19"/>
    <w:next w:val="19"/>
    <w:semiHidden/>
    <w:qFormat/>
    <w:uiPriority w:val="0"/>
    <w:rPr>
      <w:b/>
      <w:bCs/>
    </w:rPr>
  </w:style>
  <w:style w:type="paragraph" w:styleId="52">
    <w:name w:val="Body Text First Indent"/>
    <w:basedOn w:val="21"/>
    <w:next w:val="53"/>
    <w:link w:val="243"/>
    <w:qFormat/>
    <w:uiPriority w:val="0"/>
    <w:pPr>
      <w:ind w:firstLine="420"/>
    </w:pPr>
  </w:style>
  <w:style w:type="paragraph" w:styleId="53">
    <w:name w:val="Body Text First Indent 2"/>
    <w:basedOn w:val="22"/>
    <w:semiHidden/>
    <w:qFormat/>
    <w:uiPriority w:val="0"/>
    <w:pPr>
      <w:ind w:firstLine="420"/>
    </w:pPr>
  </w:style>
  <w:style w:type="table" w:styleId="55">
    <w:name w:val="Table Grid"/>
    <w:basedOn w:val="54"/>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57">
    <w:name w:val="Strong"/>
    <w:qFormat/>
    <w:uiPriority w:val="0"/>
    <w:rPr>
      <w:b/>
      <w:bCs/>
    </w:rPr>
  </w:style>
  <w:style w:type="character" w:styleId="58">
    <w:name w:val="endnote reference"/>
    <w:basedOn w:val="56"/>
    <w:semiHidden/>
    <w:unhideWhenUsed/>
    <w:qFormat/>
    <w:uiPriority w:val="99"/>
    <w:rPr>
      <w:vertAlign w:val="superscript"/>
    </w:rPr>
  </w:style>
  <w:style w:type="character" w:styleId="59">
    <w:name w:val="page number"/>
    <w:basedOn w:val="56"/>
    <w:qFormat/>
    <w:uiPriority w:val="0"/>
  </w:style>
  <w:style w:type="character" w:styleId="60">
    <w:name w:val="FollowedHyperlink"/>
    <w:basedOn w:val="56"/>
    <w:qFormat/>
    <w:uiPriority w:val="0"/>
    <w:rPr>
      <w:color w:val="800080"/>
      <w:u w:val="none"/>
    </w:rPr>
  </w:style>
  <w:style w:type="character" w:styleId="61">
    <w:name w:val="Emphasis"/>
    <w:basedOn w:val="56"/>
    <w:qFormat/>
    <w:uiPriority w:val="0"/>
  </w:style>
  <w:style w:type="character" w:styleId="62">
    <w:name w:val="HTML Definition"/>
    <w:basedOn w:val="56"/>
    <w:qFormat/>
    <w:uiPriority w:val="0"/>
  </w:style>
  <w:style w:type="character" w:styleId="63">
    <w:name w:val="HTML Typewriter"/>
    <w:basedOn w:val="56"/>
    <w:qFormat/>
    <w:uiPriority w:val="0"/>
    <w:rPr>
      <w:rFonts w:ascii="monospace" w:hAnsi="monospace" w:eastAsia="monospace" w:cs="monospace"/>
      <w:sz w:val="20"/>
    </w:rPr>
  </w:style>
  <w:style w:type="character" w:styleId="64">
    <w:name w:val="HTML Acronym"/>
    <w:basedOn w:val="56"/>
    <w:qFormat/>
    <w:uiPriority w:val="0"/>
  </w:style>
  <w:style w:type="character" w:styleId="65">
    <w:name w:val="HTML Variable"/>
    <w:basedOn w:val="56"/>
    <w:qFormat/>
    <w:uiPriority w:val="0"/>
  </w:style>
  <w:style w:type="character" w:styleId="66">
    <w:name w:val="Hyperlink"/>
    <w:basedOn w:val="56"/>
    <w:qFormat/>
    <w:uiPriority w:val="0"/>
    <w:rPr>
      <w:color w:val="0000FF"/>
      <w:u w:val="none"/>
    </w:rPr>
  </w:style>
  <w:style w:type="character" w:styleId="67">
    <w:name w:val="HTML Code"/>
    <w:basedOn w:val="56"/>
    <w:qFormat/>
    <w:uiPriority w:val="0"/>
    <w:rPr>
      <w:rFonts w:hint="default" w:ascii="monospace" w:hAnsi="monospace" w:eastAsia="monospace" w:cs="monospace"/>
      <w:sz w:val="20"/>
    </w:rPr>
  </w:style>
  <w:style w:type="character" w:styleId="68">
    <w:name w:val="annotation reference"/>
    <w:qFormat/>
    <w:uiPriority w:val="0"/>
    <w:rPr>
      <w:sz w:val="21"/>
    </w:rPr>
  </w:style>
  <w:style w:type="character" w:styleId="69">
    <w:name w:val="HTML Cite"/>
    <w:basedOn w:val="56"/>
    <w:qFormat/>
    <w:uiPriority w:val="0"/>
  </w:style>
  <w:style w:type="character" w:styleId="70">
    <w:name w:val="footnote reference"/>
    <w:basedOn w:val="56"/>
    <w:qFormat/>
    <w:uiPriority w:val="0"/>
    <w:rPr>
      <w:vertAlign w:val="superscript"/>
    </w:rPr>
  </w:style>
  <w:style w:type="character" w:styleId="71">
    <w:name w:val="HTML Keyboard"/>
    <w:basedOn w:val="56"/>
    <w:qFormat/>
    <w:uiPriority w:val="0"/>
    <w:rPr>
      <w:rFonts w:hint="default" w:ascii="monospace" w:hAnsi="monospace" w:eastAsia="monospace" w:cs="monospace"/>
      <w:sz w:val="20"/>
    </w:rPr>
  </w:style>
  <w:style w:type="character" w:styleId="72">
    <w:name w:val="HTML Sample"/>
    <w:basedOn w:val="56"/>
    <w:qFormat/>
    <w:uiPriority w:val="0"/>
    <w:rPr>
      <w:rFonts w:hint="default" w:ascii="monospace" w:hAnsi="monospace" w:eastAsia="monospace" w:cs="monospace"/>
    </w:rPr>
  </w:style>
  <w:style w:type="character" w:customStyle="1" w:styleId="73">
    <w:name w:val="Heading 8 Char"/>
    <w:basedOn w:val="56"/>
    <w:qFormat/>
    <w:uiPriority w:val="9"/>
    <w:rPr>
      <w:rFonts w:ascii="Arial" w:hAnsi="Arial" w:eastAsia="Arial" w:cs="Arial"/>
      <w:i/>
      <w:iCs/>
      <w:sz w:val="22"/>
      <w:szCs w:val="22"/>
    </w:rPr>
  </w:style>
  <w:style w:type="character" w:customStyle="1" w:styleId="74">
    <w:name w:val="Subtitle Char"/>
    <w:basedOn w:val="56"/>
    <w:qFormat/>
    <w:uiPriority w:val="11"/>
    <w:rPr>
      <w:sz w:val="24"/>
      <w:szCs w:val="24"/>
    </w:rPr>
  </w:style>
  <w:style w:type="character" w:customStyle="1" w:styleId="75">
    <w:name w:val="Quote Char"/>
    <w:qFormat/>
    <w:uiPriority w:val="29"/>
    <w:rPr>
      <w:i/>
    </w:rPr>
  </w:style>
  <w:style w:type="character" w:customStyle="1" w:styleId="76">
    <w:name w:val="Intense Quote Char"/>
    <w:qFormat/>
    <w:uiPriority w:val="30"/>
    <w:rPr>
      <w:i/>
    </w:rPr>
  </w:style>
  <w:style w:type="character" w:customStyle="1" w:styleId="77">
    <w:name w:val="Header Char"/>
    <w:basedOn w:val="56"/>
    <w:qFormat/>
    <w:uiPriority w:val="99"/>
  </w:style>
  <w:style w:type="table" w:customStyle="1" w:styleId="78">
    <w:name w:val="无格式表格 11"/>
    <w:basedOn w:val="54"/>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9">
    <w:name w:val="无格式表格 21"/>
    <w:basedOn w:val="54"/>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0">
    <w:name w:val="无格式表格 31"/>
    <w:basedOn w:val="54"/>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1">
    <w:name w:val="无格式表格 41"/>
    <w:basedOn w:val="54"/>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2">
    <w:name w:val="无格式表格 51"/>
    <w:basedOn w:val="54"/>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3">
    <w:name w:val="网格表 1 浅色1"/>
    <w:basedOn w:val="54"/>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4">
    <w:name w:val="网格表 21"/>
    <w:basedOn w:val="54"/>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网格表 31"/>
    <w:basedOn w:val="54"/>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网格表 41"/>
    <w:basedOn w:val="5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网格表 5 深色1"/>
    <w:basedOn w:val="5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8">
    <w:name w:val="网格表 6 彩色1"/>
    <w:basedOn w:val="54"/>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9">
    <w:name w:val="网格表 7 彩色1"/>
    <w:basedOn w:val="54"/>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0">
    <w:name w:val="清单表 1 浅色1"/>
    <w:basedOn w:val="54"/>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91">
    <w:name w:val="清单表 21"/>
    <w:basedOn w:val="54"/>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2">
    <w:name w:val="清单表 31"/>
    <w:basedOn w:val="5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93">
    <w:name w:val="清单表 41"/>
    <w:basedOn w:val="5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4">
    <w:name w:val="清单表 5 深色1"/>
    <w:basedOn w:val="54"/>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95">
    <w:name w:val="清单表 6 彩色1"/>
    <w:basedOn w:val="54"/>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96">
    <w:name w:val="清单表 7 彩色1"/>
    <w:basedOn w:val="54"/>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97">
    <w:name w:val="Endnote Text Char"/>
    <w:qFormat/>
    <w:uiPriority w:val="99"/>
    <w:rPr>
      <w:sz w:val="20"/>
    </w:rPr>
  </w:style>
  <w:style w:type="paragraph" w:customStyle="1" w:styleId="98">
    <w:name w:val="TOC 标题1"/>
    <w:unhideWhenUsed/>
    <w:qFormat/>
    <w:uiPriority w:val="39"/>
    <w:rPr>
      <w:rFonts w:ascii="Times New Roman" w:hAnsi="Times New Roman" w:eastAsia="宋体" w:cs="Times New Roman"/>
      <w:lang w:val="en-US" w:eastAsia="zh-CN" w:bidi="ar-SA"/>
    </w:rPr>
  </w:style>
  <w:style w:type="character" w:customStyle="1" w:styleId="99">
    <w:name w:val="标题 3 Char"/>
    <w:link w:val="4"/>
    <w:qFormat/>
    <w:uiPriority w:val="0"/>
    <w:rPr>
      <w:rFonts w:ascii="黑体" w:eastAsia="黑体"/>
      <w:b/>
      <w:color w:val="000000"/>
      <w:sz w:val="28"/>
    </w:rPr>
  </w:style>
  <w:style w:type="paragraph" w:customStyle="1" w:styleId="100">
    <w:name w:val="正文1"/>
    <w:qFormat/>
    <w:uiPriority w:val="0"/>
    <w:pPr>
      <w:spacing w:before="120" w:after="120" w:line="180" w:lineRule="auto"/>
      <w:ind w:firstLine="200"/>
      <w:contextualSpacing/>
    </w:pPr>
    <w:rPr>
      <w:rFonts w:ascii="Times New Roman" w:hAnsi="Times New Roman" w:eastAsia="Adobe 仿宋 Std R" w:cs="Times New Roman"/>
      <w:sz w:val="21"/>
      <w:szCs w:val="21"/>
      <w:lang w:val="en-US" w:eastAsia="zh-CN" w:bidi="ar-SA"/>
    </w:rPr>
  </w:style>
  <w:style w:type="paragraph" w:customStyle="1" w:styleId="101">
    <w:name w:val="正文2"/>
    <w:basedOn w:val="1"/>
    <w:qFormat/>
    <w:uiPriority w:val="0"/>
    <w:pPr>
      <w:spacing w:before="156" w:line="360" w:lineRule="auto"/>
      <w:ind w:firstLine="200"/>
    </w:pPr>
    <w:rPr>
      <w:sz w:val="24"/>
      <w:szCs w:val="20"/>
    </w:rPr>
  </w:style>
  <w:style w:type="character" w:customStyle="1" w:styleId="102">
    <w:name w:val="Heading 1 Char"/>
    <w:basedOn w:val="56"/>
    <w:qFormat/>
    <w:uiPriority w:val="9"/>
    <w:rPr>
      <w:rFonts w:ascii="Arial" w:hAnsi="Arial" w:eastAsia="Arial" w:cs="Arial"/>
      <w:sz w:val="40"/>
      <w:szCs w:val="40"/>
    </w:rPr>
  </w:style>
  <w:style w:type="character" w:customStyle="1" w:styleId="103">
    <w:name w:val="Heading 2 Char"/>
    <w:basedOn w:val="56"/>
    <w:qFormat/>
    <w:uiPriority w:val="9"/>
    <w:rPr>
      <w:rFonts w:ascii="Arial" w:hAnsi="Arial" w:eastAsia="Arial" w:cs="Arial"/>
      <w:sz w:val="34"/>
    </w:rPr>
  </w:style>
  <w:style w:type="character" w:customStyle="1" w:styleId="104">
    <w:name w:val="Heading 3 Char"/>
    <w:basedOn w:val="56"/>
    <w:qFormat/>
    <w:uiPriority w:val="9"/>
    <w:rPr>
      <w:rFonts w:ascii="Arial" w:hAnsi="Arial" w:eastAsia="Arial" w:cs="Arial"/>
      <w:sz w:val="30"/>
      <w:szCs w:val="30"/>
    </w:rPr>
  </w:style>
  <w:style w:type="character" w:customStyle="1" w:styleId="105">
    <w:name w:val="Heading 4 Char"/>
    <w:basedOn w:val="56"/>
    <w:qFormat/>
    <w:uiPriority w:val="9"/>
    <w:rPr>
      <w:rFonts w:ascii="Arial" w:hAnsi="Arial" w:eastAsia="Arial" w:cs="Arial"/>
      <w:b/>
      <w:bCs/>
      <w:sz w:val="26"/>
      <w:szCs w:val="26"/>
    </w:rPr>
  </w:style>
  <w:style w:type="character" w:customStyle="1" w:styleId="106">
    <w:name w:val="Heading 5 Char"/>
    <w:basedOn w:val="56"/>
    <w:qFormat/>
    <w:uiPriority w:val="9"/>
    <w:rPr>
      <w:rFonts w:ascii="Arial" w:hAnsi="Arial" w:eastAsia="Arial" w:cs="Arial"/>
      <w:b/>
      <w:bCs/>
      <w:sz w:val="24"/>
      <w:szCs w:val="24"/>
    </w:rPr>
  </w:style>
  <w:style w:type="character" w:customStyle="1" w:styleId="107">
    <w:name w:val="Heading 6 Char"/>
    <w:basedOn w:val="56"/>
    <w:qFormat/>
    <w:uiPriority w:val="9"/>
    <w:rPr>
      <w:rFonts w:ascii="Arial" w:hAnsi="Arial" w:eastAsia="Arial" w:cs="Arial"/>
      <w:b/>
      <w:bCs/>
      <w:sz w:val="22"/>
      <w:szCs w:val="22"/>
    </w:rPr>
  </w:style>
  <w:style w:type="character" w:customStyle="1" w:styleId="108">
    <w:name w:val="Heading 7 Char"/>
    <w:basedOn w:val="56"/>
    <w:qFormat/>
    <w:uiPriority w:val="9"/>
    <w:rPr>
      <w:rFonts w:ascii="Arial" w:hAnsi="Arial" w:eastAsia="Arial" w:cs="Arial"/>
      <w:b/>
      <w:bCs/>
      <w:i/>
      <w:iCs/>
      <w:sz w:val="22"/>
      <w:szCs w:val="22"/>
    </w:rPr>
  </w:style>
  <w:style w:type="character" w:customStyle="1" w:styleId="109">
    <w:name w:val="标题 8 Char"/>
    <w:basedOn w:val="56"/>
    <w:link w:val="10"/>
    <w:qFormat/>
    <w:uiPriority w:val="9"/>
    <w:rPr>
      <w:rFonts w:ascii="Arial" w:hAnsi="Arial" w:eastAsia="Arial" w:cs="Arial"/>
      <w:i/>
      <w:iCs/>
      <w:sz w:val="22"/>
      <w:szCs w:val="22"/>
    </w:rPr>
  </w:style>
  <w:style w:type="character" w:customStyle="1" w:styleId="110">
    <w:name w:val="Heading 9 Char"/>
    <w:basedOn w:val="56"/>
    <w:qFormat/>
    <w:uiPriority w:val="9"/>
    <w:rPr>
      <w:rFonts w:ascii="Arial" w:hAnsi="Arial" w:eastAsia="Arial" w:cs="Arial"/>
      <w:i/>
      <w:iCs/>
      <w:sz w:val="21"/>
      <w:szCs w:val="21"/>
    </w:rPr>
  </w:style>
  <w:style w:type="character" w:customStyle="1" w:styleId="111">
    <w:name w:val="Title Char"/>
    <w:basedOn w:val="56"/>
    <w:qFormat/>
    <w:uiPriority w:val="10"/>
    <w:rPr>
      <w:sz w:val="48"/>
      <w:szCs w:val="48"/>
    </w:rPr>
  </w:style>
  <w:style w:type="character" w:customStyle="1" w:styleId="112">
    <w:name w:val="副标题 Char"/>
    <w:basedOn w:val="56"/>
    <w:link w:val="40"/>
    <w:qFormat/>
    <w:uiPriority w:val="11"/>
    <w:rPr>
      <w:sz w:val="24"/>
      <w:szCs w:val="24"/>
    </w:rPr>
  </w:style>
  <w:style w:type="paragraph" w:styleId="113">
    <w:name w:val="Quote"/>
    <w:basedOn w:val="1"/>
    <w:next w:val="1"/>
    <w:link w:val="114"/>
    <w:qFormat/>
    <w:uiPriority w:val="29"/>
    <w:pPr>
      <w:ind w:left="720" w:right="720"/>
    </w:pPr>
    <w:rPr>
      <w:i/>
    </w:rPr>
  </w:style>
  <w:style w:type="character" w:customStyle="1" w:styleId="114">
    <w:name w:val="引用 Char"/>
    <w:link w:val="113"/>
    <w:qFormat/>
    <w:uiPriority w:val="29"/>
    <w:rPr>
      <w:i/>
    </w:rPr>
  </w:style>
  <w:style w:type="paragraph" w:styleId="115">
    <w:name w:val="Intense Quote"/>
    <w:basedOn w:val="1"/>
    <w:next w:val="1"/>
    <w:link w:val="11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16">
    <w:name w:val="明显引用 Char"/>
    <w:link w:val="115"/>
    <w:qFormat/>
    <w:uiPriority w:val="30"/>
    <w:rPr>
      <w:i/>
    </w:rPr>
  </w:style>
  <w:style w:type="character" w:customStyle="1" w:styleId="117">
    <w:name w:val="页眉 Char"/>
    <w:basedOn w:val="56"/>
    <w:link w:val="37"/>
    <w:qFormat/>
    <w:uiPriority w:val="99"/>
  </w:style>
  <w:style w:type="character" w:customStyle="1" w:styleId="118">
    <w:name w:val="Footer Char"/>
    <w:basedOn w:val="56"/>
    <w:qFormat/>
    <w:uiPriority w:val="99"/>
  </w:style>
  <w:style w:type="character" w:customStyle="1" w:styleId="119">
    <w:name w:val="Caption Char"/>
    <w:qFormat/>
    <w:uiPriority w:val="99"/>
  </w:style>
  <w:style w:type="table" w:customStyle="1" w:styleId="120">
    <w:name w:val="Table Grid Light"/>
    <w:basedOn w:val="54"/>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21">
    <w:name w:val="Grid Table 1 Light - Accent 1"/>
    <w:basedOn w:val="54"/>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108" w:type="dxa"/>
        <w:bottom w:w="0" w:type="dxa"/>
        <w:right w:w="108"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22">
    <w:name w:val="Grid Table 1 Light - Accent 2"/>
    <w:basedOn w:val="54"/>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108" w:type="dxa"/>
        <w:bottom w:w="0" w:type="dxa"/>
        <w:right w:w="108"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23">
    <w:name w:val="Grid Table 1 Light - Accent 3"/>
    <w:basedOn w:val="54"/>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108" w:type="dxa"/>
        <w:bottom w:w="0" w:type="dxa"/>
        <w:right w:w="108"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24">
    <w:name w:val="Grid Table 1 Light - Accent 4"/>
    <w:basedOn w:val="5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108" w:type="dxa"/>
        <w:bottom w:w="0" w:type="dxa"/>
        <w:right w:w="108"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25">
    <w:name w:val="Grid Table 1 Light - Accent 5"/>
    <w:basedOn w:val="54"/>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108" w:type="dxa"/>
        <w:bottom w:w="0" w:type="dxa"/>
        <w:right w:w="108"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26">
    <w:name w:val="Grid Table 1 Light - Accent 6"/>
    <w:basedOn w:val="54"/>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108" w:type="dxa"/>
        <w:bottom w:w="0" w:type="dxa"/>
        <w:right w:w="108"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27">
    <w:name w:val="Grid Table 2 - Accent 1"/>
    <w:basedOn w:val="54"/>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8">
    <w:name w:val="Grid Table 2 - Accent 2"/>
    <w:basedOn w:val="54"/>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9">
    <w:name w:val="Grid Table 2 - Accent 3"/>
    <w:basedOn w:val="54"/>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0">
    <w:name w:val="Grid Table 2 - Accent 4"/>
    <w:basedOn w:val="5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1">
    <w:name w:val="Grid Table 2 - Accent 5"/>
    <w:basedOn w:val="54"/>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2">
    <w:name w:val="Grid Table 2 - Accent 6"/>
    <w:basedOn w:val="54"/>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3">
    <w:name w:val="Grid Table 3 - Accent 1"/>
    <w:basedOn w:val="54"/>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34">
    <w:name w:val="Grid Table 3 - Accent 2"/>
    <w:basedOn w:val="54"/>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5">
    <w:name w:val="Grid Table 3 - Accent 3"/>
    <w:basedOn w:val="54"/>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6">
    <w:name w:val="Grid Table 3 - Accent 4"/>
    <w:basedOn w:val="5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7">
    <w:name w:val="Grid Table 3 - Accent 5"/>
    <w:basedOn w:val="54"/>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8">
    <w:name w:val="Grid Table 3 - Accent 6"/>
    <w:basedOn w:val="54"/>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9">
    <w:name w:val="Grid Table 4 - Accent 1"/>
    <w:basedOn w:val="54"/>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40">
    <w:name w:val="Grid Table 4 - Accent 2"/>
    <w:basedOn w:val="54"/>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41">
    <w:name w:val="Grid Table 4 - Accent 3"/>
    <w:basedOn w:val="54"/>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42">
    <w:name w:val="Grid Table 4 - Accent 4"/>
    <w:basedOn w:val="5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43">
    <w:name w:val="Grid Table 4 - Accent 5"/>
    <w:basedOn w:val="54"/>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4">
    <w:name w:val="Grid Table 4 - Accent 6"/>
    <w:basedOn w:val="54"/>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5">
    <w:name w:val="Grid Table 5 Dark- Accent 1"/>
    <w:basedOn w:val="5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46">
    <w:name w:val="Grid Table 5 Dark - Accent 2"/>
    <w:basedOn w:val="5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47">
    <w:name w:val="Grid Table 5 Dark - Accent 3"/>
    <w:basedOn w:val="5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48">
    <w:name w:val="Grid Table 5 Dark- Accent 4"/>
    <w:basedOn w:val="5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49">
    <w:name w:val="Grid Table 5 Dark - Accent 5"/>
    <w:basedOn w:val="5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50">
    <w:name w:val="Grid Table 5 Dark - Accent 6"/>
    <w:basedOn w:val="5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51">
    <w:name w:val="Grid Table 6 Colorful - Accent 1"/>
    <w:basedOn w:val="54"/>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108" w:type="dxa"/>
        <w:bottom w:w="0" w:type="dxa"/>
        <w:right w:w="108"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2">
    <w:name w:val="Grid Table 6 Colorful - Accent 2"/>
    <w:basedOn w:val="54"/>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3">
    <w:name w:val="Grid Table 6 Colorful - Accent 3"/>
    <w:basedOn w:val="54"/>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4">
    <w:name w:val="Grid Table 6 Colorful - Accent 4"/>
    <w:basedOn w:val="5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5">
    <w:name w:val="Grid Table 6 Colorful - Accent 5"/>
    <w:basedOn w:val="54"/>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6">
    <w:name w:val="Grid Table 6 Colorful - Accent 6"/>
    <w:basedOn w:val="54"/>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57">
    <w:name w:val="Grid Table 7 Colorful - Accent 1"/>
    <w:basedOn w:val="54"/>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108" w:type="dxa"/>
        <w:bottom w:w="0" w:type="dxa"/>
        <w:right w:w="108"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8">
    <w:name w:val="Grid Table 7 Colorful - Accent 2"/>
    <w:basedOn w:val="54"/>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9">
    <w:name w:val="Grid Table 7 Colorful - Accent 3"/>
    <w:basedOn w:val="54"/>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60">
    <w:name w:val="Grid Table 7 Colorful - Accent 4"/>
    <w:basedOn w:val="5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1">
    <w:name w:val="Grid Table 7 Colorful - Accent 5"/>
    <w:basedOn w:val="54"/>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108" w:type="dxa"/>
        <w:bottom w:w="0" w:type="dxa"/>
        <w:right w:w="108"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62">
    <w:name w:val="Grid Table 7 Colorful - Accent 6"/>
    <w:basedOn w:val="54"/>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108" w:type="dxa"/>
        <w:bottom w:w="0" w:type="dxa"/>
        <w:right w:w="108"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63">
    <w:name w:val="List Table 1 Light - Accent 1"/>
    <w:basedOn w:val="54"/>
    <w:qFormat/>
    <w:uiPriority w:val="99"/>
    <w:tblPr>
      <w:tblCellMar>
        <w:top w:w="0" w:type="dxa"/>
        <w:left w:w="108" w:type="dxa"/>
        <w:bottom w:w="0" w:type="dxa"/>
        <w:right w:w="108"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64">
    <w:name w:val="List Table 1 Light - Accent 2"/>
    <w:basedOn w:val="54"/>
    <w:qFormat/>
    <w:uiPriority w:val="99"/>
    <w:tblPr>
      <w:tblCellMar>
        <w:top w:w="0" w:type="dxa"/>
        <w:left w:w="108" w:type="dxa"/>
        <w:bottom w:w="0" w:type="dxa"/>
        <w:right w:w="108"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65">
    <w:name w:val="List Table 1 Light - Accent 3"/>
    <w:basedOn w:val="54"/>
    <w:qFormat/>
    <w:uiPriority w:val="99"/>
    <w:tblPr>
      <w:tblCellMar>
        <w:top w:w="0" w:type="dxa"/>
        <w:left w:w="108" w:type="dxa"/>
        <w:bottom w:w="0" w:type="dxa"/>
        <w:right w:w="108"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66">
    <w:name w:val="List Table 1 Light - Accent 4"/>
    <w:basedOn w:val="54"/>
    <w:qFormat/>
    <w:uiPriority w:val="99"/>
    <w:tblPr>
      <w:tblCellMar>
        <w:top w:w="0" w:type="dxa"/>
        <w:left w:w="108" w:type="dxa"/>
        <w:bottom w:w="0" w:type="dxa"/>
        <w:right w:w="108"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67">
    <w:name w:val="List Table 1 Light - Accent 5"/>
    <w:basedOn w:val="54"/>
    <w:qFormat/>
    <w:uiPriority w:val="99"/>
    <w:tblPr>
      <w:tblCellMar>
        <w:top w:w="0" w:type="dxa"/>
        <w:left w:w="108" w:type="dxa"/>
        <w:bottom w:w="0" w:type="dxa"/>
        <w:right w:w="108"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8">
    <w:name w:val="List Table 1 Light - Accent 6"/>
    <w:basedOn w:val="54"/>
    <w:qFormat/>
    <w:uiPriority w:val="99"/>
    <w:tblPr>
      <w:tblCellMar>
        <w:top w:w="0" w:type="dxa"/>
        <w:left w:w="108" w:type="dxa"/>
        <w:bottom w:w="0" w:type="dxa"/>
        <w:right w:w="108"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9">
    <w:name w:val="List Table 2 - Accent 1"/>
    <w:basedOn w:val="54"/>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0">
    <w:name w:val="List Table 2 - Accent 2"/>
    <w:basedOn w:val="54"/>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1">
    <w:name w:val="List Table 2 - Accent 3"/>
    <w:basedOn w:val="54"/>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2">
    <w:name w:val="List Table 2 - Accent 4"/>
    <w:basedOn w:val="5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3">
    <w:name w:val="List Table 2 - Accent 5"/>
    <w:basedOn w:val="54"/>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4">
    <w:name w:val="List Table 2 - Accent 6"/>
    <w:basedOn w:val="54"/>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5">
    <w:name w:val="List Table 3 - Accent 1"/>
    <w:basedOn w:val="54"/>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6">
    <w:name w:val="List Table 3 - Accent 2"/>
    <w:basedOn w:val="54"/>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108" w:type="dxa"/>
        <w:bottom w:w="0" w:type="dxa"/>
        <w:right w:w="108"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7">
    <w:name w:val="List Table 3 - Accent 3"/>
    <w:basedOn w:val="54"/>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108" w:type="dxa"/>
        <w:bottom w:w="0" w:type="dxa"/>
        <w:right w:w="108"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8">
    <w:name w:val="List Table 3 - Accent 4"/>
    <w:basedOn w:val="5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108" w:type="dxa"/>
        <w:bottom w:w="0" w:type="dxa"/>
        <w:right w:w="108"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9">
    <w:name w:val="List Table 3 - Accent 5"/>
    <w:basedOn w:val="54"/>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108" w:type="dxa"/>
        <w:bottom w:w="0" w:type="dxa"/>
        <w:right w:w="108"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80">
    <w:name w:val="List Table 3 - Accent 6"/>
    <w:basedOn w:val="54"/>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108" w:type="dxa"/>
        <w:bottom w:w="0" w:type="dxa"/>
        <w:right w:w="108"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81">
    <w:name w:val="List Table 4 - Accent 1"/>
    <w:basedOn w:val="54"/>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2">
    <w:name w:val="List Table 4 - Accent 2"/>
    <w:basedOn w:val="54"/>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108" w:type="dxa"/>
        <w:bottom w:w="0" w:type="dxa"/>
        <w:right w:w="108"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3">
    <w:name w:val="List Table 4 - Accent 3"/>
    <w:basedOn w:val="54"/>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108" w:type="dxa"/>
        <w:bottom w:w="0" w:type="dxa"/>
        <w:right w:w="108"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4">
    <w:name w:val="List Table 4 - Accent 4"/>
    <w:basedOn w:val="5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108" w:type="dxa"/>
        <w:bottom w:w="0" w:type="dxa"/>
        <w:right w:w="108"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5">
    <w:name w:val="List Table 4 - Accent 5"/>
    <w:basedOn w:val="54"/>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6">
    <w:name w:val="List Table 4 - Accent 6"/>
    <w:basedOn w:val="54"/>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108" w:type="dxa"/>
        <w:bottom w:w="0" w:type="dxa"/>
        <w:right w:w="108"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7">
    <w:name w:val="List Table 5 Dark - Accent 1"/>
    <w:basedOn w:val="54"/>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88">
    <w:name w:val="List Table 5 Dark - Accent 2"/>
    <w:basedOn w:val="54"/>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89">
    <w:name w:val="List Table 5 Dark - Accent 3"/>
    <w:basedOn w:val="54"/>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90">
    <w:name w:val="List Table 5 Dark - Accent 4"/>
    <w:basedOn w:val="5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91">
    <w:name w:val="List Table 5 Dark - Accent 5"/>
    <w:basedOn w:val="54"/>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2">
    <w:name w:val="List Table 5 Dark - Accent 6"/>
    <w:basedOn w:val="54"/>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3">
    <w:name w:val="List Table 6 Colorful - Accent 1"/>
    <w:basedOn w:val="54"/>
    <w:qFormat/>
    <w:uiPriority w:val="99"/>
    <w:tblPr>
      <w:tblBorders>
        <w:top w:val="single" w:color="4F81BD" w:themeColor="accent1" w:sz="4" w:space="0"/>
        <w:bottom w:val="single" w:color="4F81BD" w:themeColor="accent1" w:sz="4" w:space="0"/>
      </w:tblBorders>
      <w:tblCellMar>
        <w:top w:w="0" w:type="dxa"/>
        <w:left w:w="108" w:type="dxa"/>
        <w:bottom w:w="0" w:type="dxa"/>
        <w:right w:w="108"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4">
    <w:name w:val="List Table 6 Colorful - Accent 2"/>
    <w:basedOn w:val="54"/>
    <w:qFormat/>
    <w:uiPriority w:val="99"/>
    <w:tblPr>
      <w:tblBorders>
        <w:top w:val="single" w:color="D99795" w:themeColor="accent2" w:themeTint="97" w:sz="4" w:space="0"/>
        <w:bottom w:val="single" w:color="D99795" w:themeColor="accent2" w:themeTint="97" w:sz="4" w:space="0"/>
      </w:tblBorders>
      <w:tblCellMar>
        <w:top w:w="0" w:type="dxa"/>
        <w:left w:w="108" w:type="dxa"/>
        <w:bottom w:w="0" w:type="dxa"/>
        <w:right w:w="108"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5">
    <w:name w:val="List Table 6 Colorful - Accent 3"/>
    <w:basedOn w:val="54"/>
    <w:qFormat/>
    <w:uiPriority w:val="99"/>
    <w:tblPr>
      <w:tblBorders>
        <w:top w:val="single" w:color="C3D69C" w:themeColor="accent3" w:themeTint="98" w:sz="4" w:space="0"/>
        <w:bottom w:val="single" w:color="C3D69C" w:themeColor="accent3" w:themeTint="98" w:sz="4" w:space="0"/>
      </w:tblBorders>
      <w:tblCellMar>
        <w:top w:w="0" w:type="dxa"/>
        <w:left w:w="108" w:type="dxa"/>
        <w:bottom w:w="0" w:type="dxa"/>
        <w:right w:w="108"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6">
    <w:name w:val="List Table 6 Colorful - Accent 4"/>
    <w:basedOn w:val="54"/>
    <w:qFormat/>
    <w:uiPriority w:val="99"/>
    <w:tblPr>
      <w:tblBorders>
        <w:top w:val="single" w:color="B2A1C6" w:themeColor="accent4" w:themeTint="9A" w:sz="4" w:space="0"/>
        <w:bottom w:val="single" w:color="B2A1C6" w:themeColor="accent4" w:themeTint="9A" w:sz="4" w:space="0"/>
      </w:tblBorders>
      <w:tblCellMar>
        <w:top w:w="0" w:type="dxa"/>
        <w:left w:w="108" w:type="dxa"/>
        <w:bottom w:w="0" w:type="dxa"/>
        <w:right w:w="108"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7">
    <w:name w:val="List Table 6 Colorful - Accent 5"/>
    <w:basedOn w:val="54"/>
    <w:qFormat/>
    <w:uiPriority w:val="99"/>
    <w:tblPr>
      <w:tblBorders>
        <w:top w:val="single" w:color="92CCDC" w:themeColor="accent5" w:themeTint="9A" w:sz="4" w:space="0"/>
        <w:bottom w:val="single" w:color="92CCDC" w:themeColor="accent5" w:themeTint="9A" w:sz="4" w:space="0"/>
      </w:tblBorders>
      <w:tblCellMar>
        <w:top w:w="0" w:type="dxa"/>
        <w:left w:w="108" w:type="dxa"/>
        <w:bottom w:w="0" w:type="dxa"/>
        <w:right w:w="108"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8">
    <w:name w:val="List Table 6 Colorful - Accent 6"/>
    <w:basedOn w:val="54"/>
    <w:qFormat/>
    <w:uiPriority w:val="99"/>
    <w:tblPr>
      <w:tblBorders>
        <w:top w:val="single" w:color="FAC090" w:themeColor="accent6" w:themeTint="98" w:sz="4" w:space="0"/>
        <w:bottom w:val="single" w:color="FAC090" w:themeColor="accent6" w:themeTint="98" w:sz="4" w:space="0"/>
      </w:tblBorders>
      <w:tblCellMar>
        <w:top w:w="0" w:type="dxa"/>
        <w:left w:w="108" w:type="dxa"/>
        <w:bottom w:w="0" w:type="dxa"/>
        <w:right w:w="108"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9">
    <w:name w:val="List Table 7 Colorful - Accent 1"/>
    <w:basedOn w:val="54"/>
    <w:qFormat/>
    <w:uiPriority w:val="99"/>
    <w:tblPr>
      <w:tblBorders>
        <w:right w:val="single" w:color="4F81BD" w:themeColor="accent1" w:sz="4" w:space="0"/>
      </w:tblBorders>
      <w:tblCellMar>
        <w:top w:w="0" w:type="dxa"/>
        <w:left w:w="108" w:type="dxa"/>
        <w:bottom w:w="0" w:type="dxa"/>
        <w:right w:w="108"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0">
    <w:name w:val="List Table 7 Colorful - Accent 2"/>
    <w:basedOn w:val="54"/>
    <w:qFormat/>
    <w:uiPriority w:val="99"/>
    <w:tblPr>
      <w:tblBorders>
        <w:right w:val="single" w:color="D99795" w:themeColor="accent2" w:themeTint="97" w:sz="4" w:space="0"/>
      </w:tblBorders>
      <w:tblCellMar>
        <w:top w:w="0" w:type="dxa"/>
        <w:left w:w="108" w:type="dxa"/>
        <w:bottom w:w="0" w:type="dxa"/>
        <w:right w:w="108"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1">
    <w:name w:val="List Table 7 Colorful - Accent 3"/>
    <w:basedOn w:val="54"/>
    <w:qFormat/>
    <w:uiPriority w:val="99"/>
    <w:tblPr>
      <w:tblBorders>
        <w:right w:val="single" w:color="C3D69C" w:themeColor="accent3" w:themeTint="98" w:sz="4" w:space="0"/>
      </w:tblBorders>
      <w:tblCellMar>
        <w:top w:w="0" w:type="dxa"/>
        <w:left w:w="108" w:type="dxa"/>
        <w:bottom w:w="0" w:type="dxa"/>
        <w:right w:w="108"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2">
    <w:name w:val="List Table 7 Colorful - Accent 4"/>
    <w:basedOn w:val="54"/>
    <w:qFormat/>
    <w:uiPriority w:val="99"/>
    <w:tblPr>
      <w:tblBorders>
        <w:right w:val="single" w:color="B2A1C6" w:themeColor="accent4" w:themeTint="9A" w:sz="4" w:space="0"/>
      </w:tblBorders>
      <w:tblCellMar>
        <w:top w:w="0" w:type="dxa"/>
        <w:left w:w="108" w:type="dxa"/>
        <w:bottom w:w="0" w:type="dxa"/>
        <w:right w:w="108"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3">
    <w:name w:val="List Table 7 Colorful - Accent 5"/>
    <w:basedOn w:val="54"/>
    <w:qFormat/>
    <w:uiPriority w:val="99"/>
    <w:tblPr>
      <w:tblBorders>
        <w:right w:val="single" w:color="92CCDC" w:themeColor="accent5" w:themeTint="9A" w:sz="4" w:space="0"/>
      </w:tblBorders>
      <w:tblCellMar>
        <w:top w:w="0" w:type="dxa"/>
        <w:left w:w="108" w:type="dxa"/>
        <w:bottom w:w="0" w:type="dxa"/>
        <w:right w:w="108"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4">
    <w:name w:val="List Table 7 Colorful - Accent 6"/>
    <w:basedOn w:val="54"/>
    <w:qFormat/>
    <w:uiPriority w:val="99"/>
    <w:tblPr>
      <w:tblBorders>
        <w:right w:val="single" w:color="FAC090" w:themeColor="accent6" w:themeTint="98" w:sz="4" w:space="0"/>
      </w:tblBorders>
      <w:tblCellMar>
        <w:top w:w="0" w:type="dxa"/>
        <w:left w:w="108" w:type="dxa"/>
        <w:bottom w:w="0" w:type="dxa"/>
        <w:right w:w="108"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5">
    <w:name w:val="Lined - Accent"/>
    <w:basedOn w:val="54"/>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6">
    <w:name w:val="Lined - Accent 1"/>
    <w:basedOn w:val="54"/>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7">
    <w:name w:val="Lined - Accent 2"/>
    <w:basedOn w:val="54"/>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8">
    <w:name w:val="Lined - Accent 3"/>
    <w:basedOn w:val="54"/>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9">
    <w:name w:val="Lined - Accent 4"/>
    <w:basedOn w:val="54"/>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0">
    <w:name w:val="Lined - Accent 5"/>
    <w:basedOn w:val="54"/>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1">
    <w:name w:val="Lined - Accent 6"/>
    <w:basedOn w:val="54"/>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2">
    <w:name w:val="Bordered &amp; Lined - Accent"/>
    <w:basedOn w:val="54"/>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3">
    <w:name w:val="Bordered &amp; Lined - Accent 1"/>
    <w:basedOn w:val="54"/>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108" w:type="dxa"/>
        <w:bottom w:w="0" w:type="dxa"/>
        <w:right w:w="108"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4">
    <w:name w:val="Bordered &amp; Lined - Accent 2"/>
    <w:basedOn w:val="54"/>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108" w:type="dxa"/>
        <w:bottom w:w="0" w:type="dxa"/>
        <w:right w:w="108"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5">
    <w:name w:val="Bordered &amp; Lined - Accent 3"/>
    <w:basedOn w:val="54"/>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108" w:type="dxa"/>
        <w:bottom w:w="0" w:type="dxa"/>
        <w:right w:w="108"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6">
    <w:name w:val="Bordered &amp; Lined - Accent 4"/>
    <w:basedOn w:val="5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108" w:type="dxa"/>
        <w:bottom w:w="0" w:type="dxa"/>
        <w:right w:w="108"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7">
    <w:name w:val="Bordered &amp; Lined - Accent 5"/>
    <w:basedOn w:val="54"/>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108" w:type="dxa"/>
        <w:bottom w:w="0" w:type="dxa"/>
        <w:right w:w="108"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8">
    <w:name w:val="Bordered &amp; Lined - Accent 6"/>
    <w:basedOn w:val="54"/>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108" w:type="dxa"/>
        <w:bottom w:w="0" w:type="dxa"/>
        <w:right w:w="108"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9">
    <w:name w:val="Bordered"/>
    <w:basedOn w:val="54"/>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108" w:type="dxa"/>
        <w:bottom w:w="0" w:type="dxa"/>
        <w:right w:w="108"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0">
    <w:name w:val="Bordered - Accent 1"/>
    <w:basedOn w:val="54"/>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21">
    <w:name w:val="Bordered - Accent 2"/>
    <w:basedOn w:val="54"/>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2">
    <w:name w:val="Bordered - Accent 3"/>
    <w:basedOn w:val="54"/>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3">
    <w:name w:val="Bordered - Accent 4"/>
    <w:basedOn w:val="5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4">
    <w:name w:val="Bordered - Accent 5"/>
    <w:basedOn w:val="54"/>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5">
    <w:name w:val="Bordered - Accent 6"/>
    <w:basedOn w:val="54"/>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26">
    <w:name w:val="Footnote Text Char"/>
    <w:qFormat/>
    <w:uiPriority w:val="99"/>
    <w:rPr>
      <w:sz w:val="18"/>
    </w:rPr>
  </w:style>
  <w:style w:type="character" w:customStyle="1" w:styleId="227">
    <w:name w:val="尾注文本 Char"/>
    <w:link w:val="31"/>
    <w:qFormat/>
    <w:uiPriority w:val="99"/>
    <w:rPr>
      <w:sz w:val="20"/>
    </w:rPr>
  </w:style>
  <w:style w:type="paragraph" w:customStyle="1" w:styleId="228">
    <w:name w:val="TOC 标题11"/>
    <w:unhideWhenUsed/>
    <w:qFormat/>
    <w:uiPriority w:val="39"/>
    <w:rPr>
      <w:rFonts w:ascii="Times New Roman" w:hAnsi="Times New Roman" w:eastAsia="宋体" w:cs="Times New Roman"/>
      <w:lang w:val="en-US" w:eastAsia="zh-CN" w:bidi="ar-SA"/>
    </w:rPr>
  </w:style>
  <w:style w:type="character" w:customStyle="1" w:styleId="229">
    <w:name w:val="标题 1 Char"/>
    <w:link w:val="2"/>
    <w:qFormat/>
    <w:uiPriority w:val="0"/>
    <w:rPr>
      <w:rFonts w:ascii="宋体" w:hAnsi="宋体" w:eastAsia="宋体"/>
      <w:b/>
      <w:color w:val="000000"/>
      <w:sz w:val="36"/>
      <w:szCs w:val="20"/>
    </w:rPr>
  </w:style>
  <w:style w:type="character" w:customStyle="1" w:styleId="230">
    <w:name w:val="标题 2 Char"/>
    <w:link w:val="3"/>
    <w:qFormat/>
    <w:uiPriority w:val="0"/>
    <w:rPr>
      <w:rFonts w:ascii="Arial" w:hAnsi="Arial" w:eastAsia="黑体"/>
      <w:b/>
      <w:bCs/>
      <w:sz w:val="32"/>
      <w:szCs w:val="32"/>
    </w:rPr>
  </w:style>
  <w:style w:type="character" w:customStyle="1" w:styleId="231">
    <w:name w:val="标题 4 字符"/>
    <w:link w:val="232"/>
    <w:qFormat/>
    <w:uiPriority w:val="0"/>
    <w:rPr>
      <w:rFonts w:ascii="Arial" w:hAnsi="Arial" w:eastAsia="黑体"/>
      <w:b/>
      <w:bCs/>
      <w:sz w:val="28"/>
      <w:szCs w:val="28"/>
    </w:rPr>
  </w:style>
  <w:style w:type="paragraph" w:customStyle="1" w:styleId="232">
    <w:name w:val="标题 41"/>
    <w:basedOn w:val="1"/>
    <w:next w:val="1"/>
    <w:link w:val="231"/>
    <w:qFormat/>
    <w:uiPriority w:val="0"/>
    <w:pPr>
      <w:keepNext/>
      <w:keepLines/>
      <w:spacing w:before="280" w:after="290" w:line="372" w:lineRule="auto"/>
      <w:outlineLvl w:val="3"/>
    </w:pPr>
    <w:rPr>
      <w:rFonts w:ascii="Arial" w:hAnsi="Arial" w:eastAsia="黑体"/>
      <w:b/>
      <w:bCs/>
      <w:sz w:val="28"/>
      <w:szCs w:val="28"/>
    </w:rPr>
  </w:style>
  <w:style w:type="character" w:customStyle="1" w:styleId="233">
    <w:name w:val="标题 5 Char"/>
    <w:link w:val="6"/>
    <w:qFormat/>
    <w:uiPriority w:val="0"/>
    <w:rPr>
      <w:rFonts w:eastAsia="黑体"/>
      <w:b/>
      <w:bCs/>
      <w:sz w:val="28"/>
      <w:szCs w:val="28"/>
    </w:rPr>
  </w:style>
  <w:style w:type="character" w:customStyle="1" w:styleId="234">
    <w:name w:val="标题 6 Char"/>
    <w:link w:val="8"/>
    <w:qFormat/>
    <w:uiPriority w:val="0"/>
    <w:rPr>
      <w:rFonts w:eastAsia="黑体"/>
      <w:b/>
      <w:bCs/>
      <w:sz w:val="28"/>
      <w:szCs w:val="24"/>
    </w:rPr>
  </w:style>
  <w:style w:type="character" w:customStyle="1" w:styleId="235">
    <w:name w:val="标题 7 Char"/>
    <w:link w:val="9"/>
    <w:qFormat/>
    <w:uiPriority w:val="0"/>
    <w:rPr>
      <w:rFonts w:eastAsia="黑体"/>
      <w:b/>
      <w:bCs/>
      <w:sz w:val="24"/>
      <w:szCs w:val="24"/>
    </w:rPr>
  </w:style>
  <w:style w:type="character" w:customStyle="1" w:styleId="236">
    <w:name w:val="标题 9 Char"/>
    <w:link w:val="11"/>
    <w:qFormat/>
    <w:uiPriority w:val="0"/>
    <w:rPr>
      <w:sz w:val="24"/>
      <w:szCs w:val="21"/>
    </w:rPr>
  </w:style>
  <w:style w:type="character" w:customStyle="1" w:styleId="237">
    <w:name w:val="正文缩进 Char"/>
    <w:link w:val="16"/>
    <w:qFormat/>
    <w:uiPriority w:val="0"/>
    <w:rPr>
      <w:sz w:val="21"/>
      <w:szCs w:val="24"/>
    </w:rPr>
  </w:style>
  <w:style w:type="character" w:customStyle="1" w:styleId="238">
    <w:name w:val="正文文本 Char"/>
    <w:link w:val="21"/>
    <w:qFormat/>
    <w:uiPriority w:val="0"/>
    <w:rPr>
      <w:sz w:val="21"/>
      <w:szCs w:val="24"/>
    </w:rPr>
  </w:style>
  <w:style w:type="character" w:customStyle="1" w:styleId="239">
    <w:name w:val="纯文本 Char"/>
    <w:link w:val="27"/>
    <w:qFormat/>
    <w:uiPriority w:val="0"/>
    <w:rPr>
      <w:rFonts w:ascii="宋体" w:eastAsia="宋体"/>
      <w:sz w:val="21"/>
      <w:szCs w:val="24"/>
      <w:lang w:val="en-US" w:eastAsia="zh-CN" w:bidi="ar-SA"/>
    </w:rPr>
  </w:style>
  <w:style w:type="character" w:customStyle="1" w:styleId="240">
    <w:name w:val="页脚 Char"/>
    <w:link w:val="33"/>
    <w:qFormat/>
    <w:uiPriority w:val="99"/>
    <w:rPr>
      <w:sz w:val="18"/>
      <w:szCs w:val="18"/>
    </w:rPr>
  </w:style>
  <w:style w:type="character" w:customStyle="1" w:styleId="241">
    <w:name w:val="脚注文本 Char"/>
    <w:link w:val="41"/>
    <w:qFormat/>
    <w:uiPriority w:val="0"/>
    <w:rPr>
      <w:sz w:val="18"/>
      <w:szCs w:val="18"/>
    </w:rPr>
  </w:style>
  <w:style w:type="character" w:customStyle="1" w:styleId="242">
    <w:name w:val="标题 Char"/>
    <w:link w:val="50"/>
    <w:qFormat/>
    <w:uiPriority w:val="0"/>
    <w:rPr>
      <w:b/>
      <w:sz w:val="24"/>
      <w:lang w:val="en-GB" w:eastAsia="en-GB"/>
    </w:rPr>
  </w:style>
  <w:style w:type="character" w:customStyle="1" w:styleId="243">
    <w:name w:val="正文首行缩进 Char"/>
    <w:basedOn w:val="238"/>
    <w:link w:val="52"/>
    <w:qFormat/>
    <w:uiPriority w:val="0"/>
    <w:rPr>
      <w:sz w:val="21"/>
      <w:szCs w:val="24"/>
    </w:rPr>
  </w:style>
  <w:style w:type="character" w:customStyle="1" w:styleId="244">
    <w:name w:val="超链接1"/>
    <w:basedOn w:val="245"/>
    <w:qFormat/>
    <w:uiPriority w:val="99"/>
    <w:rPr>
      <w:sz w:val="21"/>
      <w:szCs w:val="24"/>
      <w:lang w:val="en-US" w:eastAsia="zh-CN" w:bidi="ar-SA"/>
    </w:rPr>
  </w:style>
  <w:style w:type="character" w:customStyle="1" w:styleId="245">
    <w:name w:val="默认段落字体1"/>
    <w:semiHidden/>
    <w:qFormat/>
    <w:uiPriority w:val="0"/>
  </w:style>
  <w:style w:type="character" w:customStyle="1" w:styleId="246">
    <w:name w:val="_Style 82"/>
    <w:qFormat/>
    <w:uiPriority w:val="0"/>
    <w:rPr>
      <w:b/>
      <w:bCs/>
      <w:smallCaps/>
      <w:spacing w:val="5"/>
    </w:rPr>
  </w:style>
  <w:style w:type="character" w:customStyle="1" w:styleId="247">
    <w:name w:val="WPS Plain Char"/>
    <w:link w:val="248"/>
    <w:qFormat/>
    <w:uiPriority w:val="0"/>
    <w:rPr>
      <w:lang w:val="en-US" w:eastAsia="zh-CN" w:bidi="ar-SA"/>
    </w:rPr>
  </w:style>
  <w:style w:type="paragraph" w:customStyle="1" w:styleId="248">
    <w:name w:val="WPS Plain"/>
    <w:link w:val="247"/>
    <w:qFormat/>
    <w:uiPriority w:val="0"/>
    <w:rPr>
      <w:rFonts w:ascii="Times New Roman" w:hAnsi="Times New Roman" w:eastAsia="宋体" w:cs="Times New Roman"/>
      <w:lang w:val="en-US" w:eastAsia="zh-CN" w:bidi="ar-SA"/>
    </w:rPr>
  </w:style>
  <w:style w:type="character" w:customStyle="1" w:styleId="249">
    <w:name w:val="info1"/>
    <w:qFormat/>
    <w:uiPriority w:val="0"/>
    <w:rPr>
      <w:sz w:val="29"/>
      <w:szCs w:val="29"/>
    </w:rPr>
  </w:style>
  <w:style w:type="character" w:customStyle="1" w:styleId="250">
    <w:name w:val="Heading #3|1_"/>
    <w:link w:val="251"/>
    <w:qFormat/>
    <w:uiPriority w:val="0"/>
    <w:rPr>
      <w:rFonts w:ascii="宋体" w:hAnsi="宋体" w:eastAsia="宋体" w:cs="宋体"/>
      <w:sz w:val="42"/>
      <w:szCs w:val="42"/>
      <w:lang w:val="zh-TW" w:eastAsia="zh-TW" w:bidi="zh-TW"/>
    </w:rPr>
  </w:style>
  <w:style w:type="paragraph" w:customStyle="1" w:styleId="251">
    <w:name w:val="Heading #3|1"/>
    <w:basedOn w:val="1"/>
    <w:link w:val="250"/>
    <w:qFormat/>
    <w:uiPriority w:val="0"/>
    <w:pPr>
      <w:spacing w:after="590" w:line="634" w:lineRule="exact"/>
      <w:jc w:val="center"/>
      <w:outlineLvl w:val="2"/>
    </w:pPr>
    <w:rPr>
      <w:rFonts w:ascii="宋体" w:hAnsi="宋体" w:cs="宋体"/>
      <w:sz w:val="42"/>
      <w:szCs w:val="42"/>
      <w:lang w:val="zh-TW" w:eastAsia="zh-TW" w:bidi="zh-TW"/>
    </w:rPr>
  </w:style>
  <w:style w:type="character" w:customStyle="1" w:styleId="252">
    <w:name w:val="font01"/>
    <w:qFormat/>
    <w:uiPriority w:val="0"/>
    <w:rPr>
      <w:rFonts w:ascii="宋体" w:eastAsia="宋体" w:cs="宋体"/>
      <w:color w:val="000000"/>
      <w:sz w:val="22"/>
      <w:szCs w:val="22"/>
      <w:vertAlign w:val="superscript"/>
      <w:lang w:bidi="ar-SA"/>
    </w:rPr>
  </w:style>
  <w:style w:type="character" w:customStyle="1" w:styleId="253">
    <w:name w:val="bulletintext1"/>
    <w:qFormat/>
    <w:uiPriority w:val="0"/>
    <w:rPr>
      <w:color w:val="000000"/>
      <w:sz w:val="18"/>
      <w:szCs w:val="18"/>
    </w:rPr>
  </w:style>
  <w:style w:type="character" w:customStyle="1" w:styleId="254">
    <w:name w:val="font11"/>
    <w:qFormat/>
    <w:uiPriority w:val="0"/>
    <w:rPr>
      <w:rFonts w:ascii="宋体" w:eastAsia="宋体" w:cs="宋体"/>
      <w:color w:val="000000"/>
      <w:sz w:val="22"/>
      <w:szCs w:val="22"/>
      <w:lang w:bidi="ar-SA"/>
    </w:rPr>
  </w:style>
  <w:style w:type="character" w:customStyle="1" w:styleId="255">
    <w:name w:val="样式 宋体 小四"/>
    <w:qFormat/>
    <w:uiPriority w:val="0"/>
    <w:rPr>
      <w:rFonts w:ascii="宋体"/>
      <w:spacing w:val="6"/>
      <w:sz w:val="24"/>
      <w:szCs w:val="24"/>
    </w:rPr>
  </w:style>
  <w:style w:type="character" w:customStyle="1" w:styleId="256">
    <w:name w:val="列出段落 Char"/>
    <w:link w:val="257"/>
    <w:qFormat/>
    <w:uiPriority w:val="0"/>
    <w:rPr>
      <w:rFonts w:ascii="Calibri" w:hAnsi="Calibri"/>
      <w:sz w:val="24"/>
      <w:szCs w:val="24"/>
      <w:lang w:eastAsia="en-US" w:bidi="en-US"/>
    </w:rPr>
  </w:style>
  <w:style w:type="paragraph" w:customStyle="1" w:styleId="257">
    <w:name w:val="列出段落1"/>
    <w:basedOn w:val="1"/>
    <w:link w:val="256"/>
    <w:qFormat/>
    <w:uiPriority w:val="0"/>
    <w:pPr>
      <w:widowControl/>
      <w:ind w:left="720"/>
      <w:contextualSpacing/>
      <w:jc w:val="left"/>
    </w:pPr>
    <w:rPr>
      <w:rFonts w:ascii="Calibri" w:hAnsi="Calibri"/>
      <w:sz w:val="24"/>
      <w:lang w:eastAsia="en-US" w:bidi="en-US"/>
    </w:rPr>
  </w:style>
  <w:style w:type="character" w:customStyle="1" w:styleId="258">
    <w:name w:val="md"/>
    <w:basedOn w:val="56"/>
    <w:qFormat/>
    <w:uiPriority w:val="0"/>
  </w:style>
  <w:style w:type="character" w:customStyle="1" w:styleId="259">
    <w:name w:val="cart_title_smaller1"/>
    <w:qFormat/>
    <w:uiPriority w:val="0"/>
    <w:rPr>
      <w:color w:val="000000"/>
      <w:sz w:val="18"/>
      <w:szCs w:val="18"/>
      <w:u w:val="none"/>
    </w:rPr>
  </w:style>
  <w:style w:type="character" w:customStyle="1" w:styleId="260">
    <w:name w:val="表格标题 Char"/>
    <w:link w:val="261"/>
    <w:qFormat/>
    <w:uiPriority w:val="0"/>
    <w:rPr>
      <w:rFonts w:ascii="Cambria Math" w:hAnsi="Cambria Math" w:eastAsia="仿宋_GB2312"/>
      <w:b/>
      <w:sz w:val="21"/>
      <w:szCs w:val="24"/>
    </w:rPr>
  </w:style>
  <w:style w:type="paragraph" w:customStyle="1" w:styleId="261">
    <w:name w:val="表格标题"/>
    <w:basedOn w:val="1"/>
    <w:link w:val="260"/>
    <w:qFormat/>
    <w:uiPriority w:val="0"/>
    <w:pPr>
      <w:jc w:val="center"/>
    </w:pPr>
    <w:rPr>
      <w:rFonts w:ascii="Cambria Math" w:hAnsi="Cambria Math" w:eastAsia="仿宋_GB2312"/>
      <w:b/>
    </w:rPr>
  </w:style>
  <w:style w:type="character" w:customStyle="1" w:styleId="262">
    <w:name w:val="Body text|1_"/>
    <w:link w:val="263"/>
    <w:qFormat/>
    <w:uiPriority w:val="0"/>
    <w:rPr>
      <w:rFonts w:ascii="宋体" w:hAnsi="宋体" w:eastAsia="宋体" w:cs="宋体"/>
      <w:lang w:val="zh-TW" w:eastAsia="zh-TW" w:bidi="zh-TW"/>
    </w:rPr>
  </w:style>
  <w:style w:type="paragraph" w:customStyle="1" w:styleId="263">
    <w:name w:val="Body text|1"/>
    <w:basedOn w:val="1"/>
    <w:link w:val="262"/>
    <w:qFormat/>
    <w:uiPriority w:val="0"/>
    <w:pPr>
      <w:spacing w:after="270" w:line="590" w:lineRule="exact"/>
      <w:ind w:left="190" w:firstLine="650"/>
      <w:jc w:val="left"/>
    </w:pPr>
    <w:rPr>
      <w:rFonts w:ascii="宋体" w:hAnsi="宋体" w:cs="宋体"/>
      <w:sz w:val="20"/>
      <w:szCs w:val="20"/>
      <w:lang w:val="zh-TW" w:eastAsia="zh-TW" w:bidi="zh-TW"/>
    </w:rPr>
  </w:style>
  <w:style w:type="character" w:customStyle="1" w:styleId="264">
    <w:name w:val="Header or footer|1_"/>
    <w:link w:val="265"/>
    <w:qFormat/>
    <w:uiPriority w:val="0"/>
    <w:rPr>
      <w:sz w:val="26"/>
      <w:szCs w:val="26"/>
      <w:lang w:val="zh-TW" w:eastAsia="zh-TW" w:bidi="zh-TW"/>
    </w:rPr>
  </w:style>
  <w:style w:type="paragraph" w:customStyle="1" w:styleId="265">
    <w:name w:val="Header or footer|1"/>
    <w:basedOn w:val="1"/>
    <w:link w:val="264"/>
    <w:qFormat/>
    <w:uiPriority w:val="0"/>
    <w:pPr>
      <w:jc w:val="left"/>
    </w:pPr>
    <w:rPr>
      <w:sz w:val="26"/>
      <w:szCs w:val="26"/>
      <w:lang w:val="zh-TW" w:eastAsia="zh-TW" w:bidi="zh-TW"/>
    </w:rPr>
  </w:style>
  <w:style w:type="paragraph" w:customStyle="1" w:styleId="266">
    <w:name w:val="Char2 Char Char Char"/>
    <w:basedOn w:val="1"/>
    <w:qFormat/>
    <w:uiPriority w:val="0"/>
    <w:rPr>
      <w:rFonts w:ascii="仿宋_GB2312" w:eastAsia="仿宋_GB2312"/>
      <w:b/>
      <w:sz w:val="32"/>
      <w:szCs w:val="32"/>
    </w:rPr>
  </w:style>
  <w:style w:type="paragraph" w:customStyle="1" w:styleId="267">
    <w:name w:val="文件标题"/>
    <w:basedOn w:val="1"/>
    <w:qFormat/>
    <w:uiPriority w:val="0"/>
    <w:pPr>
      <w:spacing w:after="240"/>
      <w:jc w:val="center"/>
    </w:pPr>
    <w:rPr>
      <w:rFonts w:ascii="Arial Black" w:hAnsi="Arial Black"/>
      <w:sz w:val="48"/>
      <w:szCs w:val="20"/>
    </w:rPr>
  </w:style>
  <w:style w:type="paragraph" w:customStyle="1" w:styleId="268">
    <w:name w:val="xl29"/>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Comic Sans MS" w:hAnsi="Comic Sans MS" w:cs="宋体"/>
      <w:sz w:val="20"/>
      <w:szCs w:val="20"/>
    </w:rPr>
  </w:style>
  <w:style w:type="paragraph" w:customStyle="1" w:styleId="269">
    <w:name w:val="标准中文版式_正文"/>
    <w:basedOn w:val="1"/>
    <w:qFormat/>
    <w:uiPriority w:val="0"/>
    <w:pPr>
      <w:spacing w:before="30" w:line="360" w:lineRule="auto"/>
      <w:ind w:firstLine="200"/>
    </w:pPr>
    <w:rPr>
      <w:rFonts w:ascii="Arial" w:hAnsi="Arial"/>
      <w:sz w:val="24"/>
    </w:rPr>
  </w:style>
  <w:style w:type="paragraph" w:customStyle="1" w:styleId="270">
    <w:name w:val="默认段落字体 Para Char Char Char Char Char Char Char Char Char1 Char Char Char Char"/>
    <w:basedOn w:val="1"/>
    <w:qFormat/>
    <w:uiPriority w:val="0"/>
    <w:rPr>
      <w:rFonts w:ascii="Tahoma" w:hAnsi="Tahoma"/>
      <w:sz w:val="24"/>
      <w:szCs w:val="20"/>
    </w:rPr>
  </w:style>
  <w:style w:type="paragraph" w:customStyle="1" w:styleId="271">
    <w:name w:val="简单回函地址"/>
    <w:basedOn w:val="1"/>
    <w:qFormat/>
    <w:uiPriority w:val="0"/>
    <w:rPr>
      <w:rFonts w:cs="宋体"/>
      <w:szCs w:val="21"/>
    </w:rPr>
  </w:style>
  <w:style w:type="paragraph" w:customStyle="1" w:styleId="272">
    <w:name w:val="Char Char Char Char Char Char"/>
    <w:basedOn w:val="1"/>
    <w:qFormat/>
    <w:uiPriority w:val="0"/>
    <w:rPr>
      <w:szCs w:val="20"/>
    </w:rPr>
  </w:style>
  <w:style w:type="paragraph" w:customStyle="1" w:styleId="273">
    <w:name w:val="部分1"/>
    <w:basedOn w:val="1"/>
    <w:qFormat/>
    <w:uiPriority w:val="0"/>
    <w:pPr>
      <w:keepNext/>
      <w:pageBreakBefore/>
      <w:tabs>
        <w:tab w:val="left" w:pos="720"/>
      </w:tabs>
      <w:spacing w:line="360" w:lineRule="auto"/>
      <w:jc w:val="center"/>
      <w:outlineLvl w:val="0"/>
    </w:pPr>
    <w:rPr>
      <w:rFonts w:eastAsia="黑体"/>
      <w:b/>
      <w:sz w:val="36"/>
      <w:szCs w:val="20"/>
    </w:rPr>
  </w:style>
  <w:style w:type="paragraph" w:customStyle="1" w:styleId="274">
    <w:name w:val="Char"/>
    <w:basedOn w:val="1"/>
    <w:qFormat/>
    <w:uiPriority w:val="0"/>
    <w:rPr>
      <w:rFonts w:ascii="仿宋_GB2312" w:eastAsia="仿宋_GB2312"/>
      <w:b/>
      <w:sz w:val="32"/>
      <w:szCs w:val="32"/>
    </w:rPr>
  </w:style>
  <w:style w:type="paragraph" w:customStyle="1" w:styleId="275">
    <w:name w:val="xl38"/>
    <w:basedOn w:val="1"/>
    <w:qFormat/>
    <w:uiPriority w:val="0"/>
    <w:pPr>
      <w:widowControl/>
      <w:pBdr>
        <w:left w:val="single" w:color="auto" w:sz="4" w:space="0"/>
        <w:right w:val="single" w:color="auto" w:sz="4" w:space="0"/>
      </w:pBdr>
      <w:spacing w:before="100" w:beforeAutospacing="1" w:after="100" w:afterAutospacing="1"/>
      <w:jc w:val="center"/>
    </w:pPr>
    <w:rPr>
      <w:rFonts w:ascii="宋体"/>
      <w:sz w:val="24"/>
    </w:rPr>
  </w:style>
  <w:style w:type="paragraph" w:customStyle="1" w:styleId="276">
    <w:name w:val="xl28"/>
    <w:basedOn w:val="1"/>
    <w:qFormat/>
    <w:uiPriority w:val="0"/>
    <w:pPr>
      <w:widowControl/>
      <w:pBdr>
        <w:top w:val="single" w:color="auto" w:sz="4" w:space="0"/>
        <w:bottom w:val="single" w:color="auto" w:sz="4" w:space="0"/>
      </w:pBdr>
      <w:spacing w:before="100" w:beforeAutospacing="1" w:after="100" w:afterAutospacing="1"/>
      <w:jc w:val="center"/>
    </w:pPr>
    <w:rPr>
      <w:rFonts w:ascii="Comic Sans MS" w:hAnsi="Comic Sans MS" w:cs="宋体"/>
      <w:sz w:val="20"/>
      <w:szCs w:val="20"/>
    </w:rPr>
  </w:style>
  <w:style w:type="paragraph" w:customStyle="1" w:styleId="277">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omic Sans MS" w:hAnsi="Comic Sans MS" w:cs="宋体"/>
      <w:sz w:val="20"/>
      <w:szCs w:val="20"/>
    </w:rPr>
  </w:style>
  <w:style w:type="paragraph" w:customStyle="1" w:styleId="278">
    <w:name w:val="Section #"/>
    <w:next w:val="1"/>
    <w:qFormat/>
    <w:uiPriority w:val="0"/>
    <w:pPr>
      <w:tabs>
        <w:tab w:val="left" w:pos="2636"/>
        <w:tab w:val="left" w:pos="3090"/>
      </w:tabs>
      <w:spacing w:after="113" w:line="340" w:lineRule="atLeast"/>
      <w:jc w:val="center"/>
    </w:pPr>
    <w:rPr>
      <w:rFonts w:ascii="Optima" w:hAnsi="Optima" w:eastAsia="宋体" w:cs="Times New Roman"/>
      <w:b/>
      <w:sz w:val="30"/>
      <w:lang w:val="en-US" w:eastAsia="zh-CN" w:bidi="ar-SA"/>
    </w:rPr>
  </w:style>
  <w:style w:type="paragraph" w:styleId="279">
    <w:name w:val="No Spacing"/>
    <w:qFormat/>
    <w:uiPriority w:val="0"/>
    <w:rPr>
      <w:rFonts w:ascii="Times New Roman" w:hAnsi="Times New Roman" w:eastAsia="宋体" w:cs="Times New Roman"/>
      <w:sz w:val="22"/>
      <w:szCs w:val="22"/>
      <w:lang w:val="en-US" w:eastAsia="en-US" w:bidi="en-US"/>
    </w:rPr>
  </w:style>
  <w:style w:type="paragraph" w:customStyle="1" w:styleId="280">
    <w:name w:val="Char1"/>
    <w:basedOn w:val="1"/>
    <w:qFormat/>
    <w:uiPriority w:val="0"/>
    <w:rPr>
      <w:rFonts w:ascii="仿宋_GB2312" w:eastAsia="仿宋_GB2312"/>
      <w:b/>
      <w:sz w:val="32"/>
      <w:szCs w:val="32"/>
    </w:rPr>
  </w:style>
  <w:style w:type="paragraph" w:styleId="281">
    <w:name w:val="List Paragraph"/>
    <w:basedOn w:val="1"/>
    <w:next w:val="44"/>
    <w:qFormat/>
    <w:uiPriority w:val="34"/>
    <w:pPr>
      <w:ind w:firstLine="200"/>
    </w:pPr>
    <w:rPr>
      <w:szCs w:val="22"/>
    </w:rPr>
  </w:style>
  <w:style w:type="paragraph" w:customStyle="1" w:styleId="282">
    <w:name w:val="表格标题/图片标题/日期格式/图片居中"/>
    <w:qFormat/>
    <w:uiPriority w:val="0"/>
    <w:pPr>
      <w:jc w:val="center"/>
    </w:pPr>
    <w:rPr>
      <w:rFonts w:ascii="Times New Roman" w:hAnsi="Times New Roman" w:eastAsia="宋体" w:cs="Times New Roman"/>
      <w:b/>
      <w:sz w:val="21"/>
      <w:szCs w:val="24"/>
      <w:lang w:val="en-US" w:eastAsia="zh-CN" w:bidi="ar-SA"/>
    </w:rPr>
  </w:style>
  <w:style w:type="paragraph" w:customStyle="1" w:styleId="283">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omic Sans MS" w:hAnsi="Comic Sans MS" w:cs="宋体"/>
      <w:b/>
      <w:bCs/>
      <w:sz w:val="20"/>
      <w:szCs w:val="20"/>
    </w:rPr>
  </w:style>
  <w:style w:type="paragraph" w:customStyle="1" w:styleId="284">
    <w:name w:val="规范正文"/>
    <w:basedOn w:val="1"/>
    <w:qFormat/>
    <w:uiPriority w:val="0"/>
    <w:pPr>
      <w:spacing w:line="360" w:lineRule="auto"/>
      <w:ind w:left="480"/>
    </w:pPr>
    <w:rPr>
      <w:sz w:val="24"/>
      <w:szCs w:val="20"/>
    </w:rPr>
  </w:style>
  <w:style w:type="paragraph" w:customStyle="1" w:styleId="285">
    <w:name w:val="表格文字"/>
    <w:basedOn w:val="1"/>
    <w:qFormat/>
    <w:uiPriority w:val="0"/>
    <w:pPr>
      <w:jc w:val="center"/>
    </w:pPr>
    <w:rPr>
      <w:rFonts w:ascii="Cambria Math" w:hAnsi="Cambria Math" w:eastAsia="仿宋_GB2312"/>
    </w:rPr>
  </w:style>
  <w:style w:type="paragraph" w:customStyle="1" w:styleId="286">
    <w:name w:val="xl27"/>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Comic Sans MS" w:hAnsi="Comic Sans MS" w:cs="宋体"/>
      <w:sz w:val="20"/>
      <w:szCs w:val="20"/>
    </w:rPr>
  </w:style>
  <w:style w:type="paragraph" w:customStyle="1" w:styleId="287">
    <w:name w:val="HTML 预先格式化"/>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sz w:val="20"/>
      <w:szCs w:val="20"/>
    </w:rPr>
  </w:style>
  <w:style w:type="paragraph" w:customStyle="1" w:styleId="288">
    <w:name w:val="正文 样式"/>
    <w:basedOn w:val="1"/>
    <w:qFormat/>
    <w:uiPriority w:val="0"/>
    <w:pPr>
      <w:spacing w:line="360" w:lineRule="auto"/>
      <w:ind w:firstLine="480"/>
    </w:pPr>
    <w:rPr>
      <w:rFonts w:ascii="Cambria Math" w:hAnsi="Cambria Math" w:eastAsia="仿宋_GB2312" w:cs="Cambria Math"/>
      <w:sz w:val="24"/>
    </w:rPr>
  </w:style>
  <w:style w:type="paragraph" w:customStyle="1" w:styleId="289">
    <w:name w:val="正文缩进1"/>
    <w:next w:val="18"/>
    <w:qFormat/>
    <w:uiPriority w:val="0"/>
    <w:pPr>
      <w:widowControl w:val="0"/>
      <w:spacing w:before="50"/>
      <w:ind w:left="200" w:firstLine="200"/>
      <w:jc w:val="both"/>
    </w:pPr>
    <w:rPr>
      <w:rFonts w:ascii="Times New Roman" w:hAnsi="Times New Roman" w:eastAsia="宋体" w:cs="Times New Roman"/>
      <w:sz w:val="24"/>
      <w:lang w:val="en-US" w:eastAsia="zh-CN" w:bidi="ar-SA"/>
    </w:rPr>
  </w:style>
  <w:style w:type="paragraph" w:customStyle="1" w:styleId="290">
    <w:name w:val="flName"/>
    <w:basedOn w:val="1"/>
    <w:qFormat/>
    <w:uiPriority w:val="0"/>
    <w:pPr>
      <w:spacing w:before="320" w:after="160" w:line="360" w:lineRule="atLeast"/>
      <w:ind w:firstLine="200"/>
      <w:jc w:val="center"/>
    </w:pPr>
    <w:rPr>
      <w:rFonts w:ascii="Arial" w:hAnsi="Arial" w:eastAsia="黑体"/>
      <w:sz w:val="32"/>
    </w:rPr>
  </w:style>
  <w:style w:type="paragraph" w:customStyle="1" w:styleId="291">
    <w:name w:val="普通正文"/>
    <w:basedOn w:val="1"/>
    <w:qFormat/>
    <w:uiPriority w:val="0"/>
    <w:pPr>
      <w:spacing w:before="120" w:after="120" w:line="360" w:lineRule="auto"/>
      <w:ind w:firstLine="480"/>
      <w:jc w:val="left"/>
    </w:pPr>
    <w:rPr>
      <w:rFonts w:ascii="Arial" w:hAnsi="Arial"/>
      <w:sz w:val="24"/>
    </w:rPr>
  </w:style>
  <w:style w:type="paragraph" w:customStyle="1" w:styleId="292">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omic Sans MS" w:hAnsi="Comic Sans MS" w:cs="宋体"/>
      <w:sz w:val="20"/>
      <w:szCs w:val="20"/>
    </w:rPr>
  </w:style>
  <w:style w:type="paragraph" w:customStyle="1" w:styleId="293">
    <w:name w:val="表内文字"/>
    <w:basedOn w:val="1"/>
    <w:qFormat/>
    <w:uiPriority w:val="0"/>
    <w:pPr>
      <w:spacing w:before="50" w:after="50"/>
      <w:jc w:val="center"/>
    </w:pPr>
    <w:rPr>
      <w:rFonts w:ascii="宋体"/>
      <w:sz w:val="24"/>
      <w:szCs w:val="20"/>
    </w:rPr>
  </w:style>
  <w:style w:type="paragraph" w:customStyle="1" w:styleId="294">
    <w:name w:val="正文段"/>
    <w:basedOn w:val="1"/>
    <w:qFormat/>
    <w:uiPriority w:val="0"/>
    <w:pPr>
      <w:widowControl/>
      <w:spacing w:after="50"/>
      <w:ind w:firstLine="200"/>
    </w:pPr>
    <w:rPr>
      <w:sz w:val="24"/>
      <w:szCs w:val="20"/>
    </w:rPr>
  </w:style>
  <w:style w:type="paragraph" w:customStyle="1" w:styleId="295">
    <w:name w:val="xl30"/>
    <w:basedOn w:val="1"/>
    <w:qFormat/>
    <w:uiPriority w:val="0"/>
    <w:pPr>
      <w:widowControl/>
      <w:pBdr>
        <w:top w:val="single" w:color="auto" w:sz="4" w:space="0"/>
        <w:bottom w:val="single" w:color="auto" w:sz="4" w:space="0"/>
      </w:pBdr>
      <w:spacing w:before="100" w:beforeAutospacing="1" w:after="100" w:afterAutospacing="1"/>
      <w:jc w:val="center"/>
    </w:pPr>
    <w:rPr>
      <w:rFonts w:ascii="Comic Sans MS" w:hAnsi="Comic Sans MS" w:cs="宋体"/>
      <w:sz w:val="20"/>
      <w:szCs w:val="20"/>
    </w:rPr>
  </w:style>
  <w:style w:type="paragraph" w:customStyle="1" w:styleId="296">
    <w:name w:val="Proposals body"/>
    <w:basedOn w:val="1"/>
    <w:next w:val="1"/>
    <w:qFormat/>
    <w:uiPriority w:val="0"/>
    <w:pPr>
      <w:widowControl/>
      <w:spacing w:line="360" w:lineRule="auto"/>
      <w:jc w:val="left"/>
    </w:pPr>
    <w:rPr>
      <w:rFonts w:ascii="宋体"/>
      <w:color w:val="000000"/>
      <w:sz w:val="24"/>
      <w:szCs w:val="20"/>
    </w:rPr>
  </w:style>
  <w:style w:type="paragraph" w:customStyle="1" w:styleId="297">
    <w:name w:val="正文格式"/>
    <w:basedOn w:val="1"/>
    <w:qFormat/>
    <w:uiPriority w:val="0"/>
    <w:pPr>
      <w:spacing w:line="360" w:lineRule="auto"/>
      <w:ind w:firstLine="480"/>
    </w:pPr>
    <w:rPr>
      <w:rFonts w:ascii="Cambria Math" w:hAnsi="Cambria Math" w:eastAsia="仿宋_GB2312" w:cs="Cambria Math"/>
      <w:sz w:val="24"/>
      <w:szCs w:val="20"/>
    </w:rPr>
  </w:style>
  <w:style w:type="paragraph" w:customStyle="1" w:styleId="298">
    <w:name w:val="Char21"/>
    <w:basedOn w:val="1"/>
    <w:qFormat/>
    <w:uiPriority w:val="0"/>
    <w:rPr>
      <w:szCs w:val="20"/>
    </w:rPr>
  </w:style>
  <w:style w:type="paragraph" w:customStyle="1" w:styleId="299">
    <w:name w:val="纯文本1"/>
    <w:basedOn w:val="1"/>
    <w:qFormat/>
    <w:uiPriority w:val="0"/>
    <w:rPr>
      <w:rFonts w:ascii="宋体" w:hAnsi="Courier New" w:eastAsia="楷体_GB2312" w:cs="宋体"/>
      <w:sz w:val="28"/>
      <w:szCs w:val="21"/>
    </w:rPr>
  </w:style>
  <w:style w:type="paragraph" w:customStyle="1" w:styleId="300">
    <w:name w:val="Char2"/>
    <w:basedOn w:val="1"/>
    <w:qFormat/>
    <w:uiPriority w:val="0"/>
    <w:rPr>
      <w:rFonts w:ascii="仿宋_GB2312" w:eastAsia="仿宋_GB2312"/>
      <w:b/>
      <w:sz w:val="32"/>
      <w:szCs w:val="32"/>
    </w:rPr>
  </w:style>
  <w:style w:type="paragraph" w:customStyle="1" w:styleId="301">
    <w:name w:val="正文（缩进）"/>
    <w:basedOn w:val="1"/>
    <w:qFormat/>
    <w:uiPriority w:val="0"/>
    <w:pPr>
      <w:spacing w:before="156" w:after="156"/>
      <w:ind w:firstLine="480"/>
    </w:pPr>
    <w:rPr>
      <w:rFonts w:ascii="Calibri" w:hAnsi="Calibri"/>
      <w:szCs w:val="20"/>
    </w:rPr>
  </w:style>
  <w:style w:type="character" w:customStyle="1" w:styleId="302">
    <w:name w:val="NormalCharacter"/>
    <w:qFormat/>
    <w:uiPriority w:val="0"/>
  </w:style>
  <w:style w:type="character" w:customStyle="1" w:styleId="303">
    <w:name w:val="UserStyle_9"/>
    <w:qFormat/>
    <w:uiPriority w:val="0"/>
  </w:style>
  <w:style w:type="paragraph" w:customStyle="1" w:styleId="304">
    <w:name w:val="Table Paragraph"/>
    <w:basedOn w:val="1"/>
    <w:qFormat/>
    <w:uiPriority w:val="1"/>
    <w:rPr>
      <w:rFonts w:ascii="宋体" w:hAnsi="宋体" w:cs="宋体"/>
      <w:lang w:val="zh-CN" w:bidi="zh-CN"/>
    </w:rPr>
  </w:style>
  <w:style w:type="character" w:customStyle="1" w:styleId="305">
    <w:name w:val="hour_am"/>
    <w:basedOn w:val="56"/>
    <w:qFormat/>
    <w:uiPriority w:val="0"/>
  </w:style>
  <w:style w:type="character" w:customStyle="1" w:styleId="306">
    <w:name w:val="hover"/>
    <w:basedOn w:val="56"/>
    <w:qFormat/>
    <w:uiPriority w:val="0"/>
    <w:rPr>
      <w:shd w:val="clear" w:color="auto" w:fill="EEEEEE"/>
    </w:rPr>
  </w:style>
  <w:style w:type="character" w:customStyle="1" w:styleId="307">
    <w:name w:val="hover1"/>
    <w:basedOn w:val="56"/>
    <w:qFormat/>
    <w:uiPriority w:val="0"/>
    <w:rPr>
      <w:color w:val="5FB878"/>
    </w:rPr>
  </w:style>
  <w:style w:type="character" w:customStyle="1" w:styleId="308">
    <w:name w:val="hover2"/>
    <w:basedOn w:val="56"/>
    <w:qFormat/>
    <w:uiPriority w:val="0"/>
    <w:rPr>
      <w:color w:val="5FB878"/>
    </w:rPr>
  </w:style>
  <w:style w:type="character" w:customStyle="1" w:styleId="309">
    <w:name w:val="hover3"/>
    <w:basedOn w:val="56"/>
    <w:qFormat/>
    <w:uiPriority w:val="0"/>
    <w:rPr>
      <w:color w:val="FFFFFF"/>
    </w:rPr>
  </w:style>
  <w:style w:type="character" w:customStyle="1" w:styleId="310">
    <w:name w:val="old"/>
    <w:basedOn w:val="56"/>
    <w:qFormat/>
    <w:uiPriority w:val="0"/>
    <w:rPr>
      <w:color w:val="999999"/>
    </w:rPr>
  </w:style>
  <w:style w:type="character" w:customStyle="1" w:styleId="311">
    <w:name w:val="glyphicon"/>
    <w:basedOn w:val="56"/>
    <w:qFormat/>
    <w:uiPriority w:val="0"/>
  </w:style>
  <w:style w:type="character" w:customStyle="1" w:styleId="312">
    <w:name w:val="hour_pm"/>
    <w:basedOn w:val="56"/>
    <w:qFormat/>
    <w:uiPriority w:val="0"/>
  </w:style>
  <w:style w:type="paragraph" w:customStyle="1" w:styleId="313">
    <w:name w:val="无间隔1"/>
    <w:qFormat/>
    <w:uiPriority w:val="99"/>
    <w:pPr>
      <w:widowControl w:val="0"/>
      <w:jc w:val="both"/>
    </w:pPr>
    <w:rPr>
      <w:rFonts w:ascii="Times New Roman" w:hAnsi="Times New Roman" w:eastAsia="宋体" w:cs="Times New Roman"/>
      <w:sz w:val="21"/>
      <w:szCs w:val="24"/>
      <w:lang w:val="en-US" w:eastAsia="zh-CN" w:bidi="ar-SA"/>
    </w:rPr>
  </w:style>
  <w:style w:type="paragraph" w:customStyle="1" w:styleId="314">
    <w:name w:val="样式 标题 2 + Times New Roman 四号 非加粗 段前: 5 磅 段后: 0 磅 行距: 固定值 20..."/>
    <w:basedOn w:val="3"/>
    <w:qFormat/>
    <w:uiPriority w:val="0"/>
    <w:pPr>
      <w:spacing w:before="100" w:after="0" w:line="400" w:lineRule="exact"/>
    </w:pPr>
    <w:rPr>
      <w:rFonts w:ascii="Times New Roman" w:hAnsi="Times New Roman" w:cs="宋体"/>
      <w:b w:val="0"/>
      <w:bCs w:val="0"/>
      <w:sz w:val="28"/>
      <w:szCs w:val="20"/>
    </w:rPr>
  </w:style>
  <w:style w:type="paragraph" w:customStyle="1" w:styleId="315">
    <w:name w:val="正文_0"/>
    <w:qFormat/>
    <w:uiPriority w:val="0"/>
    <w:pPr>
      <w:widowControl w:val="0"/>
      <w:jc w:val="both"/>
    </w:pPr>
    <w:rPr>
      <w:rFonts w:ascii="Calibri" w:hAnsi="Calibri" w:eastAsia="宋体" w:cs="Times New Roman"/>
      <w:sz w:val="21"/>
      <w:szCs w:val="22"/>
      <w:lang w:val="en-US" w:eastAsia="zh-CN" w:bidi="ar-SA"/>
    </w:rPr>
  </w:style>
  <w:style w:type="character" w:customStyle="1" w:styleId="316">
    <w:name w:val="hover4"/>
    <w:basedOn w:val="56"/>
    <w:qFormat/>
    <w:uiPriority w:val="0"/>
    <w:rPr>
      <w:color w:val="5FB878"/>
    </w:rPr>
  </w:style>
  <w:style w:type="character" w:customStyle="1" w:styleId="317">
    <w:name w:val="hover5"/>
    <w:basedOn w:val="56"/>
    <w:qFormat/>
    <w:uiPriority w:val="0"/>
    <w:rPr>
      <w:color w:val="5FB878"/>
    </w:rPr>
  </w:style>
  <w:style w:type="character" w:customStyle="1" w:styleId="318">
    <w:name w:val="first-child"/>
    <w:basedOn w:val="56"/>
    <w:qFormat/>
    <w:uiPriority w:val="0"/>
  </w:style>
  <w:style w:type="character" w:customStyle="1" w:styleId="319">
    <w:name w:val="layui-this2"/>
    <w:basedOn w:val="56"/>
    <w:qFormat/>
    <w:uiPriority w:val="0"/>
    <w:rPr>
      <w:shd w:val="clear" w:color="auto" w:fill="FFFFFF"/>
    </w:rPr>
  </w:style>
  <w:style w:type="character" w:customStyle="1" w:styleId="320">
    <w:name w:val="active"/>
    <w:basedOn w:val="56"/>
    <w:qFormat/>
    <w:uiPriority w:val="0"/>
    <w:rPr>
      <w:color w:val="FFFFFF"/>
      <w:shd w:val="clear" w:color="auto" w:fill="0F5BB9"/>
    </w:rPr>
  </w:style>
  <w:style w:type="character" w:customStyle="1" w:styleId="321">
    <w:name w:val="active16"/>
    <w:basedOn w:val="56"/>
    <w:qFormat/>
    <w:uiPriority w:val="0"/>
    <w:rPr>
      <w:color w:val="FFFFFF"/>
      <w:shd w:val="clear" w:color="auto" w:fill="0F5BB9"/>
    </w:rPr>
  </w:style>
  <w:style w:type="paragraph" w:customStyle="1" w:styleId="322">
    <w:name w:val="正文11"/>
    <w:next w:val="323"/>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23">
    <w:name w:val="目录 11"/>
    <w:basedOn w:val="322"/>
    <w:next w:val="322"/>
    <w:qFormat/>
    <w:uiPriority w:val="0"/>
    <w:pPr>
      <w:widowControl/>
      <w:tabs>
        <w:tab w:val="left" w:pos="142"/>
        <w:tab w:val="right" w:leader="dot" w:pos="9617"/>
      </w:tabs>
      <w:spacing w:after="100" w:line="276" w:lineRule="auto"/>
      <w:jc w:val="left"/>
    </w:pPr>
    <w:rPr>
      <w:rFonts w:eastAsia="黑体"/>
      <w:sz w:val="24"/>
      <w:szCs w:val="22"/>
    </w:rPr>
  </w:style>
  <w:style w:type="paragraph" w:customStyle="1" w:styleId="324">
    <w:name w:val="正文首行缩进 21"/>
    <w:basedOn w:val="36"/>
    <w:qFormat/>
    <w:uiPriority w:val="0"/>
    <w:pPr>
      <w:spacing w:after="120"/>
      <w:ind w:left="420" w:firstLine="420"/>
      <w:jc w:val="left"/>
    </w:pPr>
    <w:rPr>
      <w:rFonts w:eastAsia="宋体"/>
      <w:sz w:val="21"/>
    </w:rPr>
  </w:style>
  <w:style w:type="paragraph" w:customStyle="1" w:styleId="325">
    <w:name w:val="寄信人地址1"/>
    <w:basedOn w:val="1"/>
    <w:unhideWhenUsed/>
    <w:qFormat/>
    <w:uiPriority w:val="99"/>
    <w:rPr>
      <w:rFonts w:ascii="Arial" w:hAnsi="Arial"/>
    </w:rPr>
  </w:style>
  <w:style w:type="paragraph" w:customStyle="1" w:styleId="326">
    <w:name w:val="普通(网站)1"/>
    <w:basedOn w:val="1"/>
    <w:qFormat/>
    <w:uiPriority w:val="0"/>
    <w:pPr>
      <w:widowControl/>
      <w:spacing w:before="100" w:beforeAutospacing="1" w:after="100" w:afterAutospacing="1"/>
      <w:jc w:val="left"/>
    </w:pPr>
    <w:rPr>
      <w:rFonts w:ascii="宋体" w:hAnsi="宋体"/>
      <w:color w:val="000000"/>
      <w:sz w:val="24"/>
    </w:rPr>
  </w:style>
  <w:style w:type="paragraph" w:customStyle="1" w:styleId="327">
    <w:name w:val="纯文本1111"/>
    <w:basedOn w:val="1"/>
    <w:qFormat/>
    <w:uiPriority w:val="99"/>
    <w:rPr>
      <w:rFonts w:ascii="宋体" w:hAnsi="Courier New"/>
      <w:sz w:val="24"/>
    </w:rPr>
  </w:style>
  <w:style w:type="paragraph" w:customStyle="1" w:styleId="328">
    <w:name w:val="段"/>
    <w:next w:val="1"/>
    <w:qFormat/>
    <w:uiPriority w:val="0"/>
    <w:pPr>
      <w:spacing w:line="360" w:lineRule="auto"/>
      <w:ind w:firstLine="200"/>
      <w:jc w:val="both"/>
    </w:pPr>
    <w:rPr>
      <w:rFonts w:ascii="宋体" w:hAnsi="Times New Roman" w:eastAsia="宋体" w:cs="Times New Roman"/>
      <w:sz w:val="24"/>
      <w:szCs w:val="22"/>
      <w:lang w:val="en-US" w:eastAsia="zh-CN" w:bidi="ar-SA"/>
    </w:rPr>
  </w:style>
  <w:style w:type="paragraph" w:customStyle="1" w:styleId="329">
    <w:name w:val="纯文本11"/>
    <w:basedOn w:val="1"/>
    <w:qFormat/>
    <w:uiPriority w:val="99"/>
    <w:rPr>
      <w:rFonts w:ascii="宋体"/>
    </w:rPr>
  </w:style>
  <w:style w:type="paragraph" w:customStyle="1" w:styleId="330">
    <w:name w:val="正文文本缩进 31"/>
    <w:basedOn w:val="322"/>
    <w:qFormat/>
    <w:uiPriority w:val="0"/>
    <w:pPr>
      <w:spacing w:before="50" w:after="50" w:line="400" w:lineRule="exact"/>
      <w:ind w:firstLine="600"/>
    </w:pPr>
    <w:rPr>
      <w:rFonts w:ascii="仿宋_GB2312" w:hAnsi="宋体" w:eastAsia="仿宋_GB2312"/>
      <w:sz w:val="32"/>
    </w:rPr>
  </w:style>
  <w:style w:type="paragraph" w:customStyle="1" w:styleId="331">
    <w:name w:val="black1"/>
    <w:basedOn w:val="322"/>
    <w:qFormat/>
    <w:uiPriority w:val="0"/>
    <w:pPr>
      <w:widowControl/>
      <w:spacing w:before="100" w:beforeAutospacing="1" w:after="100" w:afterAutospacing="1"/>
      <w:jc w:val="left"/>
    </w:pPr>
    <w:rPr>
      <w:rFonts w:ascii="宋体" w:hAnsi="宋体"/>
      <w:sz w:val="24"/>
    </w:rPr>
  </w:style>
  <w:style w:type="paragraph" w:customStyle="1" w:styleId="332">
    <w:name w:val="页脚1"/>
    <w:basedOn w:val="100"/>
    <w:qFormat/>
    <w:uiPriority w:val="0"/>
    <w:pPr>
      <w:tabs>
        <w:tab w:val="center" w:pos="4153"/>
        <w:tab w:val="right" w:pos="8306"/>
      </w:tabs>
      <w:spacing w:line="240" w:lineRule="auto"/>
    </w:pPr>
    <w:rPr>
      <w:sz w:val="18"/>
      <w:szCs w:val="18"/>
    </w:rPr>
  </w:style>
  <w:style w:type="paragraph" w:customStyle="1" w:styleId="333">
    <w:name w:val="副标题1"/>
    <w:basedOn w:val="322"/>
    <w:next w:val="322"/>
    <w:qFormat/>
    <w:uiPriority w:val="0"/>
    <w:pPr>
      <w:spacing w:line="400" w:lineRule="exact"/>
      <w:ind w:firstLine="200"/>
      <w:jc w:val="left"/>
      <w:outlineLvl w:val="1"/>
    </w:pPr>
    <w:rPr>
      <w:rFonts w:ascii="Cambria" w:hAnsi="Cambria" w:eastAsia="黑体"/>
      <w:b/>
      <w:bCs/>
      <w:sz w:val="32"/>
      <w:szCs w:val="32"/>
    </w:rPr>
  </w:style>
  <w:style w:type="paragraph" w:customStyle="1" w:styleId="334">
    <w:name w:val="正文文本1"/>
    <w:basedOn w:val="322"/>
    <w:next w:val="335"/>
    <w:qFormat/>
    <w:uiPriority w:val="0"/>
    <w:pPr>
      <w:spacing w:after="120"/>
    </w:pPr>
    <w:rPr>
      <w:sz w:val="15"/>
    </w:rPr>
  </w:style>
  <w:style w:type="paragraph" w:customStyle="1" w:styleId="335">
    <w:name w:val="一级条标题"/>
    <w:basedOn w:val="336"/>
    <w:next w:val="328"/>
    <w:qFormat/>
    <w:uiPriority w:val="0"/>
    <w:pPr>
      <w:tabs>
        <w:tab w:val="left" w:pos="1200"/>
      </w:tabs>
      <w:outlineLvl w:val="2"/>
    </w:pPr>
  </w:style>
  <w:style w:type="paragraph" w:customStyle="1" w:styleId="336">
    <w:name w:val="章标题"/>
    <w:next w:val="1"/>
    <w:qFormat/>
    <w:uiPriority w:val="0"/>
    <w:pPr>
      <w:tabs>
        <w:tab w:val="left" w:pos="1200"/>
      </w:tabs>
      <w:spacing w:before="50" w:after="50"/>
      <w:ind w:left="1320" w:hanging="420"/>
      <w:jc w:val="both"/>
      <w:outlineLvl w:val="1"/>
    </w:pPr>
    <w:rPr>
      <w:rFonts w:ascii="黑体" w:hAnsi="Times New Roman" w:eastAsia="黑体" w:cs="Times New Roman"/>
      <w:sz w:val="21"/>
      <w:lang w:val="en-US" w:eastAsia="zh-CN" w:bidi="ar-SA"/>
    </w:rPr>
  </w:style>
  <w:style w:type="paragraph" w:customStyle="1" w:styleId="337">
    <w:name w:val="标题 31"/>
    <w:basedOn w:val="1"/>
    <w:next w:val="1"/>
    <w:qFormat/>
    <w:uiPriority w:val="0"/>
    <w:pPr>
      <w:keepNext/>
      <w:keepLines/>
      <w:spacing w:before="260" w:after="260" w:line="415" w:lineRule="auto"/>
      <w:outlineLvl w:val="2"/>
    </w:pPr>
    <w:rPr>
      <w:sz w:val="32"/>
      <w:szCs w:val="32"/>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8A2469E-089D-4E86-A58A-EF8C0457ABE7}">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55</Pages>
  <Words>34425</Words>
  <Characters>36478</Characters>
  <Lines>328</Lines>
  <Paragraphs>92</Paragraphs>
  <TotalTime>1537</TotalTime>
  <ScaleCrop>false</ScaleCrop>
  <LinksUpToDate>false</LinksUpToDate>
  <CharactersWithSpaces>38253</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2025-08-08T07:31:00Z</dcterms:created>
  <dc:creator>姜堰招标中心</dc:creator>
  <cp:lastModifiedBy>鹤之天</cp:lastModifiedBy>
  <dcterms:modified xsi:type="dcterms:W3CDTF">2025-09-29T03:36:22Z</dcterms:modified>
  <dc:title>政府采购谈判文件示范文本</dc:title>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50965B7E9DBA47CC8F6CF70152D5122D_13</vt:lpwstr>
  </property>
  <property fmtid="{D5CDD505-2E9C-101B-9397-08002B2CF9AE}" pid="4" name="KSOTemplateDocerSaveRecord">
    <vt:lpwstr>eyJoZGlkIjoiMmE4ODVhMzdjODE2M2JlYTBhMDM4ODEwYjhjNDk1MmUiLCJ1c2VySWQiOiI0NTM0MDEzOTMifQ==</vt:lpwstr>
  </property>
</Properties>
</file>