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rPr>
          <w:highlight w:val="none"/>
        </w:rPr>
      </w:r>
    </w:p>
    <w:p>
      <w:pPr>
        <w:pStyle w:val="662"/>
        <w:jc w:val="center"/>
        <w:spacing w:before="120" w:after="120" w:line="360" w:lineRule="auto"/>
        <w:rPr>
          <w:rFonts w:hint="eastAsia" w:ascii="Arial" w:hAnsi="Arial" w:eastAsia="黑体"/>
          <w:b/>
          <w:bCs/>
          <w:color w:val="000000"/>
          <w:sz w:val="84"/>
          <w:szCs w:val="24"/>
          <w:highlight w:val="none"/>
        </w:rPr>
        <w:outlineLvl w:val="0"/>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rPr>
          <w:highlight w:val="none"/>
        </w:rPr>
      </w:r>
    </w:p>
    <w:p>
      <w:pPr>
        <w:pStyle w:val="662"/>
        <w:ind w:left="764" w:firstLine="0"/>
        <w:jc w:val="left"/>
        <w:spacing w:before="120" w:after="120" w:line="360" w:lineRule="auto"/>
        <w:rPr>
          <w:rFonts w:ascii="Arial" w:hAnsi="Arial" w:eastAsia="宋体" w:cs="Times New Roman"/>
          <w:b/>
          <w:bCs/>
          <w:color w:val="000000"/>
          <w:sz w:val="32"/>
          <w:szCs w:val="24"/>
          <w:highlight w:val="none"/>
        </w:rPr>
        <w:outlineLvl w:val="0"/>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rPr>
        <w:t xml:space="preserve">：</w:t>
      </w:r>
      <w:r>
        <w:rPr>
          <w:rFonts w:hint="eastAsia" w:ascii="Arial" w:hAnsi="Arial" w:cs="Times New Roman"/>
          <w:b/>
          <w:bCs/>
          <w:color w:val="000000"/>
          <w:sz w:val="32"/>
          <w:szCs w:val="24"/>
          <w:highlight w:val="none"/>
          <w:lang w:val="en-US" w:eastAsia="zh-CN"/>
        </w:rPr>
        <w:t xml:space="preserve">泰州市人民医院核医学实验室设备采购项目</w:t>
      </w:r>
      <w:r>
        <w:rPr>
          <w:rFonts w:ascii="Arial" w:hAnsi="Arial" w:eastAsia="宋体" w:cs="Times New Roman"/>
          <w:b/>
          <w:bCs/>
          <w:color w:val="000000"/>
          <w:sz w:val="32"/>
          <w:szCs w:val="24"/>
          <w:highlight w:val="none"/>
        </w:rPr>
      </w:r>
      <w:r>
        <w:rPr>
          <w:highlight w:val="none"/>
        </w:rPr>
      </w:r>
    </w:p>
    <w:p>
      <w:pPr>
        <w:pStyle w:val="662"/>
        <w:ind w:firstLine="964"/>
        <w:jc w:val="left"/>
        <w:spacing w:before="120" w:after="120" w:line="360" w:lineRule="auto"/>
        <w:rPr>
          <w:rFonts w:ascii="Arial" w:hAnsi="Arial"/>
          <w:b/>
          <w:bCs/>
          <w:color w:val="000000"/>
          <w:sz w:val="32"/>
          <w:szCs w:val="24"/>
          <w:highlight w:val="none"/>
        </w:rPr>
        <w:outlineLvl w:val="0"/>
      </w:pPr>
      <w:r>
        <w:rPr>
          <w:rFonts w:hint="eastAsia" w:ascii="Arial" w:hAnsi="Arial"/>
          <w:b/>
          <w:bCs/>
          <w:color w:val="000000"/>
          <w:sz w:val="32"/>
          <w:szCs w:val="24"/>
          <w:highlight w:val="none"/>
        </w:rPr>
        <w:t xml:space="preserve">项目编号：JSZC-321200-JSHY-C2025-0312</w:t>
      </w:r>
      <w:r>
        <w:rPr>
          <w:rFonts w:hint="eastAsia" w:ascii="Arial" w:hAnsi="Arial"/>
          <w:b/>
          <w:bCs/>
          <w:color w:val="000000"/>
          <w:sz w:val="32"/>
          <w:szCs w:val="24"/>
          <w:highlight w:val="none"/>
          <w:lang w:val="en-US" w:eastAsia="zh-CN"/>
        </w:rPr>
        <w:t xml:space="preserve">  </w:t>
      </w:r>
      <w:r>
        <w:rPr>
          <w:rFonts w:hint="eastAsia" w:ascii="Arial" w:hAnsi="Arial" w:eastAsia="宋体" w:cs="Times New Roman"/>
          <w:b/>
          <w:bCs/>
          <w:color w:val="000000"/>
          <w:sz w:val="32"/>
          <w:szCs w:val="24"/>
          <w:highlight w:val="none"/>
          <w:lang w:val="en-US" w:eastAsia="zh-CN"/>
        </w:rPr>
        <w:t xml:space="preserve">    </w:t>
      </w:r>
      <w:r>
        <w:rPr>
          <w:rFonts w:ascii="Arial" w:hAnsi="Arial"/>
          <w:b/>
          <w:bCs/>
          <w:color w:val="000000"/>
          <w:sz w:val="32"/>
          <w:szCs w:val="24"/>
          <w:highlight w:val="none"/>
        </w:rPr>
        <w:t xml:space="preserve">          </w:t>
      </w:r>
      <w:r>
        <w:rPr>
          <w:rFonts w:ascii="Arial" w:hAnsi="Arial"/>
          <w:b/>
          <w:bCs/>
          <w:color w:val="000000"/>
          <w:sz w:val="32"/>
          <w:szCs w:val="24"/>
          <w:highlight w:val="none"/>
        </w:rPr>
      </w:r>
      <w:r>
        <w:rPr>
          <w:highlight w:val="none"/>
        </w:rPr>
      </w:r>
    </w:p>
    <w:p>
      <w:pPr>
        <w:pStyle w:val="662"/>
        <w:ind w:firstLine="1470"/>
        <w:jc w:val="left"/>
        <w:spacing w:before="120" w:after="120" w:line="360" w:lineRule="auto"/>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rPr>
          <w:rFonts w:hint="eastAsia" w:ascii="Times New Roman" w:hAnsi="Times New Roman"/>
          <w:b/>
          <w:color w:val="000000"/>
          <w:sz w:val="30"/>
          <w:szCs w:val="30"/>
          <w:highlight w:val="none"/>
        </w:rPr>
      </w:r>
      <w:r>
        <w:rPr>
          <w:highlight w:val="none"/>
        </w:rPr>
      </w:r>
    </w:p>
    <w:p>
      <w:pPr>
        <w:pStyle w:val="6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rPr>
          <w:highlight w:val="none"/>
        </w:rPr>
      </w:r>
    </w:p>
    <w:p>
      <w:pPr>
        <w:pStyle w:val="662"/>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rPr>
          <w:highlight w:val="none"/>
        </w:rPr>
      </w:r>
    </w:p>
    <w:p>
      <w:pPr>
        <w:pStyle w:val="662"/>
        <w:jc w:val="center"/>
        <w:spacing w:before="120" w:after="120" w:line="360" w:lineRule="auto"/>
        <w:rPr>
          <w:rFonts w:hint="eastAsia" w:ascii="Arial" w:hAnsi="Arial" w:eastAsia="宋体" w:cs="Times New Roman"/>
          <w:b/>
          <w:bCs/>
          <w:color w:val="000000"/>
          <w:sz w:val="32"/>
          <w:szCs w:val="24"/>
          <w:highlight w:val="none"/>
        </w:rPr>
        <w:outlineLvl w:val="0"/>
      </w:pPr>
      <w:r>
        <w:rPr>
          <w:rFonts w:hint="eastAsia" w:ascii="Arial" w:hAnsi="Arial"/>
          <w:b/>
          <w:bCs/>
          <w:color w:val="000000"/>
          <w:sz w:val="32"/>
          <w:szCs w:val="24"/>
          <w:highlight w:val="none"/>
        </w:rPr>
        <w:t xml:space="preserve">采购人：</w:t>
      </w:r>
      <w:r>
        <w:rPr>
          <w:rFonts w:hint="eastAsia" w:ascii="Arial" w:hAnsi="Arial" w:cs="Times New Roman"/>
          <w:b/>
          <w:bCs/>
          <w:color w:val="000000"/>
          <w:sz w:val="32"/>
          <w:szCs w:val="24"/>
          <w:highlight w:val="none"/>
          <w:lang w:val="en-US" w:eastAsia="zh-CN"/>
        </w:rPr>
        <w:t xml:space="preserve">泰州市人民医院</w:t>
      </w:r>
      <w:r>
        <w:rPr>
          <w:rFonts w:hint="eastAsia" w:ascii="Arial" w:hAnsi="Arial" w:eastAsia="宋体" w:cs="Times New Roman"/>
          <w:b/>
          <w:bCs/>
          <w:color w:val="000000"/>
          <w:sz w:val="32"/>
          <w:szCs w:val="24"/>
          <w:highlight w:val="none"/>
        </w:rPr>
      </w:r>
      <w:r>
        <w:rPr>
          <w:highlight w:val="none"/>
        </w:rPr>
      </w:r>
    </w:p>
    <w:p>
      <w:pPr>
        <w:pStyle w:val="662"/>
        <w:jc w:val="center"/>
        <w:spacing w:before="120" w:after="120" w:line="360" w:lineRule="auto"/>
        <w:rPr>
          <w:rFonts w:hint="eastAsia" w:ascii="Arial" w:hAnsi="Arial"/>
          <w:b/>
          <w:bCs/>
          <w:color w:val="000000"/>
          <w:sz w:val="32"/>
          <w:szCs w:val="24"/>
          <w:highlight w:val="none"/>
        </w:rPr>
        <w:outlineLvl w:val="0"/>
      </w:pPr>
      <w:r>
        <w:rPr>
          <w:rFonts w:hint="eastAsia" w:ascii="Arial" w:hAnsi="Arial"/>
          <w:b/>
          <w:bCs/>
          <w:color w:val="000000"/>
          <w:sz w:val="32"/>
          <w:szCs w:val="24"/>
          <w:highlight w:val="none"/>
          <w:lang w:val="en-US" w:eastAsia="zh-CN"/>
        </w:rPr>
        <w:t xml:space="preserve">2025</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9</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rPr>
      </w:r>
      <w:r>
        <w:rPr>
          <w:highlight w:val="none"/>
        </w:rPr>
      </w:r>
    </w:p>
    <w:p>
      <w:pPr>
        <w:pStyle w:val="662"/>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rPr>
          <w:highlight w:val="none"/>
        </w:rPr>
      </w:r>
    </w:p>
    <w:p>
      <w:pPr>
        <w:pStyle w:val="662"/>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rPr>
          <w:highlight w:val="none"/>
        </w:rPr>
      </w:r>
      <w:bookmarkStart w:id="1" w:name="_Toc523127445"/>
      <w:r>
        <w:rPr>
          <w:highlight w:val="none"/>
        </w:rPr>
      </w:r>
      <w:bookmarkStart w:id="2" w:name="_Toc16938516"/>
      <w:r>
        <w:rPr>
          <w:highlight w:val="none"/>
        </w:rPr>
      </w:r>
      <w:bookmarkStart w:id="3" w:name="_Toc513029200"/>
      <w:r>
        <w:rPr>
          <w:highlight w:val="none"/>
        </w:rPr>
      </w:r>
      <w:bookmarkStart w:id="4" w:name="_Toc479757206"/>
      <w:r>
        <w:rPr>
          <w:highlight w:val="none"/>
        </w:rPr>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rPr>
          <w:highlight w:val="none"/>
        </w:rPr>
      </w:r>
    </w:p>
    <w:p>
      <w:pPr>
        <w:pStyle w:val="662"/>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rPr>
          <w:highlight w:val="none"/>
        </w:rPr>
      </w:r>
    </w:p>
    <w:p>
      <w:pPr>
        <w:pStyle w:val="662"/>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1"/>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2"/>
          <w:szCs w:val="21"/>
          <w:highlight w:val="none"/>
        </w:rPr>
      </w:r>
      <w:r>
        <w:rPr>
          <w:highlight w:val="none"/>
        </w:rPr>
      </w:r>
    </w:p>
    <w:p>
      <w:pPr>
        <w:pStyle w:val="662"/>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1"/>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rPr>
          <w:highlight w:val="none"/>
        </w:rPr>
      </w:r>
    </w:p>
    <w:p>
      <w:pPr>
        <w:pStyle w:val="662"/>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1"/>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r>
      <w:r>
        <w:rPr>
          <w:highlight w:val="none"/>
        </w:rPr>
      </w:r>
    </w:p>
    <w:p>
      <w:pPr>
        <w:pStyle w:val="662"/>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1"/>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r>
      <w:r>
        <w:rPr>
          <w:highlight w:val="none"/>
        </w:rPr>
      </w:r>
    </w:p>
    <w:p>
      <w:pPr>
        <w:pStyle w:val="662"/>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1"/>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黑体" w:hAnsi="Times New Roman" w:eastAsia="黑体"/>
          <w:color w:val="000000"/>
          <w:sz w:val="44"/>
          <w:szCs w:val="44"/>
          <w:highlight w:val="none"/>
        </w:rPr>
      </w:pPr>
      <w:r>
        <w:rPr>
          <w:rFonts w:hint="eastAsia" w:ascii="黑体" w:hAnsi="Times New Roman" w:eastAsia="黑体"/>
          <w:color w:val="000000"/>
          <w:sz w:val="44"/>
          <w:szCs w:val="44"/>
          <w:highlight w:val="none"/>
        </w:rPr>
        <w:br w:type="page" w:clear="all"/>
      </w:r>
      <w:r>
        <w:rPr>
          <w:rFonts w:hint="eastAsia" w:ascii="黑体" w:hAnsi="Times New Roman" w:eastAsia="黑体"/>
          <w:color w:val="000000"/>
          <w:sz w:val="44"/>
          <w:szCs w:val="44"/>
          <w:highlight w:val="none"/>
        </w:rPr>
      </w:r>
      <w:r>
        <w:rPr>
          <w:highlight w:val="none"/>
        </w:rPr>
      </w:r>
    </w:p>
    <w:p>
      <w:pPr>
        <w:pStyle w:val="662"/>
        <w:ind w:firstLine="0"/>
        <w:jc w:val="center"/>
        <w:keepNext/>
        <w:spacing w:line="560" w:lineRule="exac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磋商邀请</w:t>
      </w:r>
      <w:r>
        <w:rPr>
          <w:rFonts w:hint="eastAsia" w:ascii="黑体" w:hAnsi="Times New Roman" w:eastAsia="黑体"/>
          <w:bCs/>
          <w:color w:val="000000"/>
          <w:sz w:val="44"/>
          <w:szCs w:val="44"/>
          <w:highlight w:val="none"/>
        </w:rPr>
      </w:r>
      <w:r>
        <w:rPr>
          <w:highlight w:val="none"/>
        </w:rPr>
      </w:r>
    </w:p>
    <w:p>
      <w:pPr>
        <w:pStyle w:val="662"/>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泰州市人民医院</w:t>
      </w:r>
      <w:r>
        <w:rPr>
          <w:rFonts w:hint="eastAsia" w:ascii="宋体" w:hAnsi="宋体" w:eastAsia="宋体" w:cs="Times New Roman"/>
          <w:color w:val="000000"/>
          <w:sz w:val="24"/>
          <w:szCs w:val="24"/>
          <w:highlight w:val="none"/>
          <w:lang w:val="en-US" w:eastAsia="zh-CN"/>
        </w:rPr>
        <w:t xml:space="preserve">]的委托，江苏弘业国际技术工程有限公司就[</w:t>
      </w:r>
      <w:r>
        <w:rPr>
          <w:rFonts w:hint="eastAsia" w:ascii="宋体" w:hAnsi="宋体" w:cs="Times New Roman"/>
          <w:color w:val="000000"/>
          <w:sz w:val="24"/>
          <w:szCs w:val="24"/>
          <w:highlight w:val="none"/>
          <w:lang w:val="en-US" w:eastAsia="zh-CN"/>
        </w:rPr>
        <w:t xml:space="preserve">泰州市人民医院核医学实验室设备采购项目</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JSZC-321200-JSHY-C2025-0312</w:t>
      </w:r>
      <w:r>
        <w:rPr>
          <w:rFonts w:hint="eastAsia" w:ascii="宋体" w:hAnsi="宋体"/>
          <w:color w:val="000000"/>
          <w:sz w:val="24"/>
          <w:szCs w:val="24"/>
          <w:highlight w:val="none"/>
        </w:rPr>
        <w:t xml:space="preserve">])项目进行竞争性磋商采购，欢迎符合条件的供应商参加磋商。</w:t>
      </w:r>
      <w:r>
        <w:rPr>
          <w:rFonts w:ascii="宋体" w:hAnsi="宋体"/>
          <w:color w:val="000000"/>
          <w:sz w:val="24"/>
          <w:szCs w:val="24"/>
          <w:highlight w:val="none"/>
        </w:rPr>
      </w:r>
      <w:r>
        <w:rPr>
          <w:highlight w:val="none"/>
        </w:rPr>
      </w:r>
    </w:p>
    <w:p>
      <w:pPr>
        <w:pStyle w:val="662"/>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rPr>
          <w:highlight w:val="none"/>
        </w:rPr>
      </w:r>
    </w:p>
    <w:p>
      <w:pPr>
        <w:pStyle w:val="662"/>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000000"/>
          <w:sz w:val="24"/>
          <w:szCs w:val="24"/>
          <w:highlight w:val="none"/>
          <w:lang w:val="en-US" w:eastAsia="zh-CN"/>
        </w:rPr>
        <w:t xml:space="preserve">泰州市人民医院核医学实验室设备采购项目</w:t>
      </w:r>
      <w:r>
        <w:rPr>
          <w:rFonts w:hint="eastAsia" w:ascii="宋体" w:hAnsi="宋体"/>
          <w:color w:val="000000"/>
          <w:sz w:val="24"/>
          <w:szCs w:val="24"/>
          <w:highlight w:val="none"/>
        </w:rPr>
        <w:t xml:space="preserve">竞争性磋商项目的潜在供应商可在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磋商文件，并于</w:t>
      </w:r>
      <w:r>
        <w:rPr>
          <w:rFonts w:hint="eastAsia" w:ascii="宋体" w:hAnsi="宋体"/>
          <w:color w:val="000000"/>
          <w:sz w:val="24"/>
          <w:szCs w:val="24"/>
          <w:highlight w:val="none"/>
          <w:u w:val="single"/>
          <w:lang w:val="en-US" w:eastAsia="zh-CN"/>
        </w:rPr>
        <w:t xml:space="preserve">2025</w:t>
      </w:r>
      <w:r>
        <w:rPr>
          <w:rFonts w:hint="eastAsia" w:ascii="宋体" w:hAnsi="宋体"/>
          <w:bCs/>
          <w:color w:val="000000"/>
          <w:sz w:val="24"/>
          <w:szCs w:val="24"/>
          <w:highlight w:val="none"/>
          <w:u w:val="single"/>
        </w:rPr>
        <w:t xml:space="preserve">年10</w:t>
      </w:r>
      <w:r>
        <w:rPr>
          <w:rFonts w:hint="eastAsia" w:ascii="宋体" w:hAnsi="宋体"/>
          <w:bCs/>
          <w:color w:val="000000"/>
          <w:sz w:val="24"/>
          <w:szCs w:val="24"/>
          <w:highlight w:val="none"/>
          <w:u w:val="single"/>
        </w:rPr>
        <w:t xml:space="preserve">月13</w:t>
      </w:r>
      <w:r>
        <w:rPr>
          <w:rFonts w:hint="eastAsia" w:ascii="宋体" w:hAnsi="宋体"/>
          <w:bCs/>
          <w:color w:val="000000"/>
          <w:sz w:val="24"/>
          <w:szCs w:val="24"/>
          <w:highlight w:val="none"/>
          <w:u w:val="single"/>
        </w:rPr>
        <w:t xml:space="preserve">日10</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662"/>
        <w:ind w:firstLine="498"/>
        <w:keepLines/>
        <w:keepNext/>
        <w:spacing w:line="560" w:lineRule="exact"/>
        <w:rPr>
          <w:rFonts w:ascii="Times New Roman" w:hAnsi="Times New Roman"/>
          <w:b/>
          <w:bCs/>
          <w:color w:val="000000"/>
          <w:sz w:val="32"/>
          <w:szCs w:val="32"/>
          <w:highlight w:val="none"/>
        </w:rPr>
        <w:outlineLvl w:val="1"/>
      </w:pPr>
      <w:r>
        <w:rPr>
          <w:highlight w:val="none"/>
        </w:rPr>
      </w:r>
      <w:bookmarkStart w:id="6" w:name="_Toc35393790"/>
      <w:r>
        <w:rPr>
          <w:highlight w:val="none"/>
        </w:rPr>
      </w:r>
      <w:bookmarkStart w:id="7" w:name="_Toc38985263"/>
      <w:r>
        <w:rPr>
          <w:highlight w:val="none"/>
        </w:rPr>
      </w:r>
      <w:bookmarkStart w:id="8" w:name="_Toc35393621"/>
      <w:r>
        <w:rPr>
          <w:highlight w:val="none"/>
        </w:rPr>
      </w:r>
      <w:bookmarkStart w:id="9" w:name="_Toc28359079"/>
      <w:r>
        <w:rPr>
          <w:highlight w:val="none"/>
        </w:rPr>
      </w:r>
      <w:bookmarkStart w:id="10" w:name="_Toc28359002"/>
      <w:r>
        <w:rPr>
          <w:highlight w:val="none"/>
        </w:rPr>
      </w:r>
      <w:bookmarkStart w:id="11" w:name="_Hlk24379207"/>
      <w:r>
        <w:rPr>
          <w:rFonts w:hint="eastAsia" w:ascii="Times New Roman" w:hAnsi="Times New Roman"/>
          <w:b/>
          <w:bCs/>
          <w:color w:val="000000"/>
          <w:sz w:val="32"/>
          <w:szCs w:val="32"/>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rFonts w:ascii="Times New Roman" w:hAnsi="Times New Roman"/>
          <w:b/>
          <w:bCs/>
          <w:color w:val="000000"/>
          <w:sz w:val="32"/>
          <w:szCs w:val="32"/>
          <w:highlight w:val="none"/>
        </w:rPr>
      </w:r>
      <w:r>
        <w:rPr>
          <w:highlight w:val="none"/>
        </w:rPr>
      </w:r>
    </w:p>
    <w:p>
      <w:pPr>
        <w:pStyle w:val="662"/>
        <w:ind w:firstLine="480"/>
        <w:spacing w:line="560" w:lineRule="exact"/>
        <w:rPr>
          <w:rFonts w:ascii="宋体" w:hAnsi="宋体" w:eastAsia="宋体" w:cs="宋体"/>
          <w:color w:val="000000"/>
          <w:sz w:val="24"/>
          <w:szCs w:val="24"/>
          <w:highlight w:val="none"/>
        </w:rPr>
      </w:pPr>
      <w:r>
        <w:rPr>
          <w:highlight w:val="none"/>
        </w:rPr>
      </w:r>
      <w:bookmarkEnd w:id="11"/>
      <w:r>
        <w:rPr>
          <w:rFonts w:hint="eastAsia" w:ascii="宋体" w:hAnsi="宋体"/>
          <w:color w:val="000000"/>
          <w:sz w:val="24"/>
          <w:szCs w:val="24"/>
          <w:highlight w:val="none"/>
        </w:rPr>
        <w:t xml:space="preserve">1.项目编号：</w:t>
      </w:r>
      <w:r>
        <w:rPr>
          <w:rFonts w:hint="eastAsia" w:ascii="宋体" w:hAnsi="宋体" w:eastAsia="宋体" w:cs="宋体"/>
          <w:color w:val="000000"/>
          <w:sz w:val="24"/>
          <w:szCs w:val="24"/>
          <w:highlight w:val="none"/>
        </w:rPr>
        <w:t xml:space="preserve">JSZC-321200-JSHY-C2025-0312</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s="Times New Roman"/>
          <w:color w:val="000000"/>
          <w:sz w:val="24"/>
          <w:szCs w:val="24"/>
          <w:highlight w:val="none"/>
          <w:lang w:val="en-US" w:eastAsia="zh-CN"/>
        </w:rPr>
        <w:t xml:space="preserve">泰州市人民医院核医学实验室设备采购项目</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3.项目类型：</w:t>
      </w:r>
      <w:r>
        <w:rPr>
          <w:rFonts w:hint="eastAsia" w:ascii="宋体" w:hAnsi="宋体"/>
          <w:color w:val="000000"/>
          <w:sz w:val="24"/>
          <w:szCs w:val="24"/>
          <w:highlight w:val="none"/>
          <w:lang w:val="en-US" w:eastAsia="zh-CN"/>
        </w:rPr>
        <w:t xml:space="preserve">货物</w:t>
      </w:r>
      <w:r>
        <w:rPr>
          <w:rFonts w:hint="eastAsia" w:ascii="宋体" w:hAnsi="宋体" w:eastAsia="宋体"/>
          <w:color w:val="000000"/>
          <w:sz w:val="24"/>
          <w:szCs w:val="24"/>
          <w:highlight w:val="none"/>
          <w:lang w:val="en-US" w:eastAsia="zh-CN"/>
        </w:rPr>
      </w:r>
      <w:r>
        <w:rPr>
          <w:highlight w:val="none"/>
        </w:rPr>
      </w:r>
    </w:p>
    <w:p>
      <w:pPr>
        <w:pStyle w:val="662"/>
        <w:ind w:firstLine="480"/>
        <w:spacing w:line="56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4.项目行业：</w:t>
      </w:r>
      <w:r>
        <w:rPr>
          <w:rFonts w:hint="eastAsia" w:ascii="宋体" w:hAnsi="宋体"/>
          <w:color w:val="000000"/>
          <w:sz w:val="24"/>
          <w:szCs w:val="24"/>
          <w:highlight w:val="none"/>
          <w:lang w:val="en-US" w:eastAsia="zh-CN"/>
        </w:rPr>
        <w:t xml:space="preserve">工业</w:t>
      </w:r>
      <w:r>
        <w:rPr>
          <w:rFonts w:ascii="宋体" w:hAnsi="宋体" w:eastAsia="宋体"/>
          <w:color w:val="000000"/>
          <w:sz w:val="24"/>
          <w:szCs w:val="24"/>
          <w:highlight w:val="none"/>
          <w:lang w:val="en-US" w:eastAsia="zh-CN"/>
        </w:rPr>
      </w:r>
      <w:r>
        <w:rPr>
          <w:highlight w:val="none"/>
        </w:rPr>
      </w:r>
    </w:p>
    <w:p>
      <w:pPr>
        <w:pStyle w:val="662"/>
        <w:ind w:firstLine="480"/>
        <w:spacing w:line="56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5.预算金额：</w:t>
      </w:r>
      <w:r>
        <w:rPr>
          <w:rFonts w:hint="eastAsia" w:ascii="宋体" w:hAnsi="宋体"/>
          <w:color w:val="000000"/>
          <w:sz w:val="24"/>
          <w:szCs w:val="24"/>
          <w:highlight w:val="none"/>
          <w:lang w:val="en-US" w:eastAsia="zh-CN"/>
        </w:rPr>
        <w:t xml:space="preserve">173.27</w:t>
      </w:r>
      <w:r>
        <w:rPr>
          <w:rFonts w:hint="eastAsia" w:ascii="宋体" w:hAnsi="宋体"/>
          <w:color w:val="000000"/>
          <w:sz w:val="24"/>
          <w:szCs w:val="24"/>
          <w:highlight w:val="none"/>
          <w:lang w:eastAsia="zh-CN"/>
        </w:rPr>
        <w:t xml:space="preserve">万元</w:t>
      </w:r>
      <w:r>
        <w:rPr>
          <w:rFonts w:hint="eastAsia" w:ascii="宋体" w:hAnsi="宋体" w:eastAsia="宋体"/>
          <w:color w:val="000000"/>
          <w:sz w:val="24"/>
          <w:szCs w:val="24"/>
          <w:highlight w:val="none"/>
          <w:lang w:val="en-US" w:eastAsia="zh-CN"/>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6.最高限价：</w:t>
      </w:r>
      <w:r>
        <w:rPr>
          <w:rFonts w:hint="eastAsia" w:ascii="宋体" w:hAnsi="宋体"/>
          <w:color w:val="000000"/>
          <w:sz w:val="24"/>
          <w:szCs w:val="24"/>
          <w:highlight w:val="none"/>
          <w:lang w:val="en-US" w:eastAsia="zh-CN"/>
        </w:rPr>
        <w:t xml:space="preserve">159</w:t>
      </w:r>
      <w:r>
        <w:rPr>
          <w:rFonts w:hint="eastAsia" w:ascii="宋体" w:hAnsi="宋体"/>
          <w:color w:val="000000"/>
          <w:sz w:val="24"/>
          <w:szCs w:val="24"/>
          <w:highlight w:val="none"/>
          <w:lang w:eastAsia="zh-CN"/>
        </w:rPr>
        <w:t xml:space="preserve">万元</w:t>
      </w:r>
      <w:r>
        <w:rPr>
          <w:rFonts w:hint="eastAsia" w:ascii="宋体" w:hAnsi="宋体"/>
          <w:color w:val="000000"/>
          <w:sz w:val="24"/>
          <w:szCs w:val="24"/>
          <w:highlight w:val="none"/>
        </w:rPr>
        <w:t xml:space="preserve">，报价超过最高限价的将作为无效响应处理。</w:t>
      </w:r>
      <w:r>
        <w:rPr>
          <w:rFonts w:hint="eastAsia" w:ascii="宋体" w:hAnsi="宋体"/>
          <w:color w:val="000000"/>
          <w:sz w:val="24"/>
          <w:szCs w:val="24"/>
          <w:highlight w:val="none"/>
        </w:rPr>
      </w:r>
      <w:r>
        <w:rPr>
          <w:highlight w:val="none"/>
        </w:rPr>
      </w:r>
    </w:p>
    <w:p>
      <w:pPr>
        <w:pStyle w:val="662"/>
        <w:ind w:firstLine="480"/>
        <w:spacing w:line="56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7.采购需求：</w:t>
      </w:r>
      <w:r>
        <w:rPr>
          <w:rFonts w:hint="eastAsia" w:ascii="宋体" w:hAnsi="宋体" w:cs="宋体"/>
          <w:color w:val="000000"/>
          <w:sz w:val="24"/>
          <w:szCs w:val="24"/>
          <w:highlight w:val="none"/>
        </w:rPr>
        <w:t xml:space="preserve">详细内容见本采购文件第三章，</w:t>
      </w:r>
      <w:r>
        <w:rPr>
          <w:rFonts w:ascii="宋体" w:hAnsi="宋体" w:cs="宋体"/>
          <w:color w:val="000000"/>
          <w:sz w:val="24"/>
          <w:szCs w:val="24"/>
          <w:highlight w:val="none"/>
        </w:rPr>
        <w:t xml:space="preserve">请仔细研究。</w:t>
      </w:r>
      <w:r>
        <w:rPr>
          <w:rFonts w:ascii="宋体" w:hAnsi="宋体" w:cs="宋体"/>
          <w:color w:val="000000"/>
          <w:sz w:val="24"/>
          <w:szCs w:val="24"/>
          <w:highlight w:val="none"/>
        </w:rPr>
      </w:r>
      <w:r>
        <w:rPr>
          <w:highlight w:val="none"/>
        </w:rPr>
      </w:r>
    </w:p>
    <w:p>
      <w:pPr>
        <w:pStyle w:val="662"/>
        <w:ind w:firstLine="480"/>
        <w:spacing w:line="560" w:lineRule="exact"/>
        <w:rPr>
          <w:rFonts w:ascii="宋体" w:hAnsi="宋体" w:eastAsia="宋体"/>
          <w:color w:val="000000"/>
          <w:sz w:val="24"/>
          <w:szCs w:val="24"/>
          <w:highlight w:val="none"/>
          <w:u w:val="single"/>
        </w:rPr>
      </w:pPr>
      <w:r>
        <w:rPr>
          <w:rFonts w:hint="eastAsia" w:ascii="宋体" w:hAnsi="宋体"/>
          <w:color w:val="000000"/>
          <w:sz w:val="24"/>
          <w:szCs w:val="24"/>
          <w:highlight w:val="none"/>
        </w:rPr>
        <w:t xml:space="preserve">8.合同履行期限：</w:t>
      </w:r>
      <w:r>
        <w:rPr>
          <w:rFonts w:hint="eastAsia" w:ascii="宋体" w:hAnsi="宋体"/>
          <w:color w:val="000000"/>
          <w:sz w:val="24"/>
          <w:szCs w:val="24"/>
          <w:highlight w:val="none"/>
          <w:lang w:val="en-US" w:eastAsia="zh-CN"/>
        </w:rPr>
        <w:t xml:space="preserve">详见采购需求。</w:t>
      </w:r>
      <w:r>
        <w:rPr>
          <w:rFonts w:ascii="宋体" w:hAnsi="宋体" w:eastAsia="宋体"/>
          <w:color w:val="000000"/>
          <w:sz w:val="24"/>
          <w:szCs w:val="24"/>
          <w:highlight w:val="none"/>
          <w:u w:val="single"/>
          <w:lang w:val="en-US" w:eastAsia="zh-CN"/>
        </w:rPr>
      </w:r>
      <w:r>
        <w:rPr>
          <w:highlight w:val="none"/>
        </w:rPr>
      </w:r>
    </w:p>
    <w:p>
      <w:pPr>
        <w:pStyle w:val="662"/>
        <w:ind w:firstLine="498"/>
        <w:keepLines/>
        <w:keepNext/>
        <w:spacing w:line="560" w:lineRule="exact"/>
        <w:rPr>
          <w:rFonts w:ascii="Times New Roman" w:hAnsi="Times New Roman"/>
          <w:b/>
          <w:bCs/>
          <w:color w:val="000000"/>
          <w:sz w:val="32"/>
          <w:szCs w:val="32"/>
          <w:highlight w:val="none"/>
        </w:rPr>
        <w:outlineLvl w:val="1"/>
      </w:pPr>
      <w:r>
        <w:rPr>
          <w:highlight w:val="none"/>
        </w:rPr>
      </w:r>
      <w:bookmarkStart w:id="12" w:name="_Toc35393622"/>
      <w:r>
        <w:rPr>
          <w:highlight w:val="none"/>
        </w:rPr>
      </w:r>
      <w:bookmarkStart w:id="13" w:name="_Toc38985264"/>
      <w:r>
        <w:rPr>
          <w:highlight w:val="none"/>
        </w:rPr>
      </w:r>
      <w:bookmarkStart w:id="14" w:name="_Toc35393791"/>
      <w:r>
        <w:rPr>
          <w:highlight w:val="none"/>
        </w:rPr>
      </w:r>
      <w:bookmarkStart w:id="15" w:name="_Toc28359080"/>
      <w:r>
        <w:rPr>
          <w:highlight w:val="none"/>
        </w:rPr>
      </w:r>
      <w:bookmarkStart w:id="16" w:name="_Toc28359003"/>
      <w:r>
        <w:rPr>
          <w:rFonts w:hint="eastAsia" w:ascii="Times New Roman" w:hAnsi="Times New Roman"/>
          <w:b/>
          <w:bCs/>
          <w:color w:val="000000"/>
          <w:sz w:val="32"/>
          <w:szCs w:val="32"/>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rFonts w:ascii="Times New Roman" w:hAnsi="Times New Roman"/>
          <w:b/>
          <w:bCs/>
          <w:color w:val="000000"/>
          <w:sz w:val="32"/>
          <w:szCs w:val="32"/>
          <w:highlight w:val="none"/>
        </w:rPr>
      </w:r>
      <w:r>
        <w:rPr>
          <w:highlight w:val="none"/>
        </w:rPr>
      </w:r>
    </w:p>
    <w:p>
      <w:pPr>
        <w:pStyle w:val="662"/>
        <w:ind w:firstLine="480"/>
        <w:spacing w:line="560" w:lineRule="exact"/>
        <w:rPr>
          <w:rFonts w:hint="eastAsia" w:ascii="宋体" w:hAnsi="宋体"/>
          <w:color w:val="000000"/>
          <w:sz w:val="24"/>
          <w:szCs w:val="24"/>
          <w:highlight w:val="none"/>
        </w:rPr>
        <w:outlineLvl w:val="2"/>
      </w:pPr>
      <w:r>
        <w:rPr>
          <w:highlight w:val="none"/>
        </w:rPr>
      </w:r>
      <w:bookmarkStart w:id="17" w:name="_Toc28359081"/>
      <w:r>
        <w:rPr>
          <w:highlight w:val="none"/>
        </w:rPr>
      </w:r>
      <w:bookmarkStart w:id="18" w:name="_Toc28359004"/>
      <w:r>
        <w:rPr>
          <w:highlight w:val="none"/>
        </w:rPr>
      </w:r>
      <w:bookmarkStart w:id="19" w:name="_Toc35393792"/>
      <w:r>
        <w:rPr>
          <w:highlight w:val="none"/>
        </w:rPr>
      </w:r>
      <w:bookmarkStart w:id="20" w:name="_Toc38985265"/>
      <w:r>
        <w:rPr>
          <w:highlight w:val="none"/>
        </w:rPr>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满足《中华人民共和国政府采购法》第二十二条规定，并提供相关材料：</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 法人或者其他组织的营业执照等证明文件，自然人的身份证明； </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2024</w:t>
      </w:r>
      <w:r>
        <w:rPr>
          <w:rFonts w:hint="eastAsia" w:ascii="宋体" w:hAnsi="宋体"/>
          <w:color w:val="000000"/>
          <w:sz w:val="24"/>
          <w:szCs w:val="24"/>
          <w:highlight w:val="none"/>
        </w:rPr>
        <w:t xml:space="preserve">年度的财务状况报告（</w:t>
      </w:r>
      <w:r>
        <w:rPr>
          <w:rFonts w:hint="eastAsia" w:ascii="宋体" w:hAnsi="宋体"/>
          <w:color w:val="000000"/>
          <w:sz w:val="24"/>
          <w:szCs w:val="24"/>
          <w:highlight w:val="none"/>
          <w:lang w:val="en-US" w:eastAsia="zh-CN"/>
        </w:rPr>
        <w:t xml:space="preserve">2025年1月1日以后成立的</w:t>
      </w:r>
      <w:r>
        <w:rPr>
          <w:rFonts w:hint="eastAsia" w:ascii="宋体" w:hAnsi="宋体"/>
          <w:color w:val="000000"/>
          <w:sz w:val="24"/>
          <w:szCs w:val="24"/>
          <w:highlight w:val="none"/>
        </w:rPr>
        <w:t xml:space="preserve">不需提供）；</w:t>
      </w:r>
      <w:r>
        <w:rPr>
          <w:rFonts w:hint="eastAsia" w:ascii="宋体" w:hAnsi="宋体"/>
          <w:color w:val="000000"/>
          <w:sz w:val="24"/>
          <w:szCs w:val="24"/>
          <w:highlight w:val="none"/>
        </w:rPr>
      </w:r>
      <w:r>
        <w:rPr>
          <w:highlight w:val="none"/>
        </w:rPr>
      </w:r>
    </w:p>
    <w:p>
      <w:pPr>
        <w:pStyle w:val="662"/>
        <w:ind w:firstLine="480"/>
        <w:spacing w:line="32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(3)依法缴纳税收和社会保障资金的相关材料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提供</w:t>
      </w:r>
      <w:r>
        <w:rPr>
          <w:rFonts w:hint="eastAsia" w:ascii="宋体" w:cs="宋体"/>
          <w:color w:val="000000"/>
          <w:sz w:val="24"/>
          <w:szCs w:val="24"/>
          <w:highlight w:val="none"/>
        </w:rPr>
        <w:t xml:space="preserve">（提供202</w:t>
      </w:r>
      <w:r>
        <w:rPr>
          <w:rFonts w:hint="eastAsia" w:ascii="宋体" w:cs="宋体"/>
          <w:color w:val="000000"/>
          <w:sz w:val="24"/>
          <w:szCs w:val="24"/>
          <w:highlight w:val="none"/>
          <w:lang w:val="en-US" w:eastAsia="zh-CN"/>
        </w:rPr>
        <w:t xml:space="preserve">5</w:t>
      </w:r>
      <w:r>
        <w:rPr>
          <w:rFonts w:hint="eastAsia" w:ascii="宋体" w:cs="宋体"/>
          <w:color w:val="000000"/>
          <w:sz w:val="24"/>
          <w:szCs w:val="24"/>
          <w:highlight w:val="none"/>
        </w:rPr>
        <w:t xml:space="preserve">年</w:t>
      </w:r>
      <w:r>
        <w:rPr>
          <w:rFonts w:hint="eastAsia" w:ascii="宋体" w:cs="宋体"/>
          <w:color w:val="000000"/>
          <w:sz w:val="24"/>
          <w:szCs w:val="24"/>
          <w:highlight w:val="none"/>
          <w:lang w:val="en-US" w:eastAsia="zh-CN"/>
        </w:rPr>
        <w:t xml:space="preserve">1</w:t>
      </w:r>
      <w:r>
        <w:rPr>
          <w:rFonts w:hint="eastAsia" w:ascii="宋体" w:cs="宋体"/>
          <w:color w:val="000000"/>
          <w:sz w:val="24"/>
          <w:szCs w:val="24"/>
          <w:highlight w:val="none"/>
        </w:rPr>
        <w:t xml:space="preserve">月至今）中任一月份的依法缴纳税收和社会保险费的相关材料</w:t>
      </w:r>
      <w:r>
        <w:rPr>
          <w:rFonts w:hint="eastAsia" w:ascii="宋体" w:cs="宋体"/>
          <w:b/>
          <w:bCs/>
          <w:color w:val="000000"/>
          <w:sz w:val="24"/>
          <w:szCs w:val="24"/>
          <w:highlight w:val="none"/>
        </w:rPr>
        <w:t xml:space="preserve">（提供相关主管部门证明或银行代扣证明的复印件，根据国家相关政策免缴或迟缴的需提供相关证明材料）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 具备履行合同所必需的设备和专业技术能力的证明材料； </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 参加政府采购活动前3年内在经营活动中没有重大违法记录的书面声明</w:t>
      </w:r>
      <w:r>
        <w:rPr>
          <w:rFonts w:hint="eastAsia" w:ascii="宋体" w:hAnsi="宋体"/>
          <w:color w:val="000000"/>
          <w:sz w:val="24"/>
          <w:szCs w:val="24"/>
          <w:highlight w:val="none"/>
        </w:rPr>
      </w:r>
      <w:r>
        <w:rPr>
          <w:highlight w:val="none"/>
        </w:rPr>
      </w:r>
    </w:p>
    <w:p>
      <w:pPr>
        <w:pStyle w:val="662"/>
        <w:ind w:firstLine="480"/>
        <w:spacing w:line="56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(6)法律、行政法规规定的其他</w:t>
      </w:r>
      <w:r>
        <w:rPr>
          <w:rFonts w:hint="eastAsia" w:ascii="宋体" w:hAnsi="宋体"/>
          <w:color w:val="000000"/>
          <w:sz w:val="24"/>
          <w:szCs w:val="24"/>
          <w:highlight w:val="none"/>
        </w:rPr>
        <w:t xml:space="preserve">条件。</w:t>
      </w:r>
      <w:r>
        <w:rPr>
          <w:rFonts w:hint="eastAsia" w:ascii="宋体" w:hAnsi="宋体"/>
          <w:color w:val="000000"/>
          <w:sz w:val="24"/>
          <w:szCs w:val="24"/>
          <w:highlight w:val="none"/>
        </w:rPr>
      </w:r>
      <w:r>
        <w:rPr>
          <w:highlight w:val="none"/>
        </w:rPr>
      </w:r>
    </w:p>
    <w:p>
      <w:pPr>
        <w:pStyle w:val="662"/>
        <w:ind w:firstLine="480"/>
        <w:spacing w:line="56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2.落实政府采购政策需满足的资格要求：本项目为专门面向中小微企业项目，投标人必须在投标文件中提供中小企业声明函，否则作无效投标文件处理。</w:t>
      </w:r>
      <w:r>
        <w:rPr>
          <w:rFonts w:hint="eastAsia" w:ascii="宋体" w:hAnsi="宋体" w:eastAsia="宋体" w:cs="Times New Roman"/>
          <w:color w:val="000000"/>
          <w:sz w:val="24"/>
          <w:szCs w:val="24"/>
          <w:highlight w:val="none"/>
        </w:rPr>
      </w:r>
      <w:r>
        <w:rPr>
          <w:highlight w:val="none"/>
        </w:rPr>
      </w:r>
    </w:p>
    <w:p>
      <w:pPr>
        <w:pStyle w:val="662"/>
        <w:ind w:firstLine="480"/>
        <w:spacing w:line="56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3.单位负责人为同一个人或者存在</w:t>
      </w:r>
      <w:r>
        <w:rPr>
          <w:rFonts w:hint="eastAsia" w:ascii="宋体" w:hAnsi="宋体"/>
          <w:color w:val="000000"/>
          <w:sz w:val="24"/>
          <w:szCs w:val="24"/>
          <w:highlight w:val="none"/>
        </w:rPr>
        <w:t xml:space="preserve">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4.本项目（不接受）联合体投标。</w:t>
      </w:r>
      <w:r>
        <w:rPr>
          <w:rFonts w:hint="eastAsia" w:ascii="宋体" w:hAnsi="宋体"/>
          <w:color w:val="000000"/>
          <w:sz w:val="24"/>
          <w:szCs w:val="24"/>
          <w:highlight w:val="none"/>
        </w:rPr>
      </w:r>
      <w:r>
        <w:rPr>
          <w:highlight w:val="none"/>
        </w:rPr>
      </w:r>
    </w:p>
    <w:p>
      <w:pPr>
        <w:pStyle w:val="662"/>
        <w:ind w:firstLine="480"/>
        <w:spacing w:line="560" w:lineRule="exact"/>
        <w:rPr>
          <w:rFonts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.本项目（不接受）分包。</w:t>
      </w:r>
      <w:r>
        <w:rPr>
          <w:rFonts w:ascii="宋体" w:hAnsi="宋体" w:cs="宋体"/>
          <w:color w:val="000000"/>
          <w:sz w:val="24"/>
          <w:szCs w:val="24"/>
          <w:highlight w:val="none"/>
        </w:rPr>
      </w:r>
      <w:r>
        <w:rPr>
          <w:highlight w:val="none"/>
        </w:rPr>
      </w:r>
    </w:p>
    <w:p>
      <w:pPr>
        <w:pStyle w:val="662"/>
        <w:ind w:firstLine="480"/>
        <w:spacing w:line="56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rPr>
          <w:highlight w:val="none"/>
        </w:rPr>
      </w:r>
    </w:p>
    <w:p>
      <w:pPr>
        <w:pStyle w:val="921"/>
        <w:numPr>
          <w:ilvl w:val="0"/>
          <w:numId w:val="0"/>
        </w:numPr>
        <w:ind w:firstLine="480"/>
        <w:spacing w:line="329"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拒绝被“信用中国”（www.creditchina.gov.cn）、“中国政府采购网”(www.ccgp.gov.cn）、“信用江苏”（http://credit.jiangsu.gov.cn/）列入失信被执行人、重大税收违法案件当事人、政府采购严重失信行为的供应商参加投标。</w:t>
      </w:r>
      <w:r>
        <w:rPr>
          <w:rFonts w:hint="eastAsia" w:ascii="宋体" w:hAnsi="宋体" w:eastAsia="宋体" w:cs="Times New Roman"/>
          <w:color w:val="000000"/>
          <w:sz w:val="24"/>
          <w:szCs w:val="24"/>
          <w:highlight w:val="none"/>
        </w:rPr>
      </w:r>
      <w:r>
        <w:rPr>
          <w:highlight w:val="none"/>
        </w:rPr>
      </w:r>
    </w:p>
    <w:p>
      <w:pPr>
        <w:pStyle w:val="662"/>
        <w:ind w:left="0" w:right="0" w:firstLine="555"/>
        <w:jc w:val="both"/>
        <w:spacing w:before="0" w:after="0" w:line="7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）中华人民共和国实行安装安全认可证，制造、经营许可，强制性认证、准入证制度的产品、行业，必须提供中华人民共和国有关部门颁发的资质证明文件。</w:t>
      </w:r>
      <w:r>
        <w:rPr>
          <w:color w:val="000000"/>
          <w:highlight w:val="none"/>
        </w:rPr>
      </w:r>
      <w:r>
        <w:rPr>
          <w:highlight w:val="none"/>
        </w:rPr>
      </w:r>
    </w:p>
    <w:p>
      <w:pPr>
        <w:pStyle w:val="662"/>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三、获取</w:t>
      </w:r>
      <w:bookmarkEnd w:id="17"/>
      <w:r>
        <w:rPr>
          <w:highlight w:val="none"/>
        </w:rPr>
      </w:r>
      <w:bookmarkEnd w:id="18"/>
      <w:r>
        <w:rPr>
          <w:highlight w:val="none"/>
        </w:rPr>
      </w:r>
      <w:bookmarkEnd w:id="19"/>
      <w:r>
        <w:rPr>
          <w:highlight w:val="none"/>
        </w:rPr>
      </w:r>
      <w:bookmarkEnd w:id="20"/>
      <w:r>
        <w:rPr>
          <w:highlight w:val="none"/>
        </w:rPr>
      </w:r>
      <w:bookmarkEnd w:id="21"/>
      <w:r>
        <w:rPr>
          <w:rFonts w:hint="eastAsia" w:ascii="Times New Roman" w:hAnsi="Times New Roman"/>
          <w:b/>
          <w:bCs/>
          <w:color w:val="000000"/>
          <w:sz w:val="32"/>
          <w:szCs w:val="32"/>
          <w:highlight w:val="none"/>
        </w:rPr>
        <w:t xml:space="preserve">磋商文件</w:t>
      </w:r>
      <w:r>
        <w:rPr>
          <w:rFonts w:ascii="Times New Roman" w:hAnsi="Times New Roman"/>
          <w:b/>
          <w:bCs/>
          <w:color w:val="000000"/>
          <w:sz w:val="32"/>
          <w:szCs w:val="32"/>
          <w:highlight w:val="none"/>
        </w:rPr>
      </w:r>
      <w:r>
        <w:rPr>
          <w:highlight w:val="none"/>
        </w:rPr>
      </w:r>
    </w:p>
    <w:p>
      <w:pPr>
        <w:pStyle w:val="662"/>
        <w:ind w:firstLine="540"/>
        <w:spacing w:line="560" w:lineRule="exact"/>
        <w:shd w:val="clear" w:color="auto" w:fill="auto"/>
        <w:rPr>
          <w:rFonts w:ascii="宋体" w:hAnsi="宋体" w:cs="宋体"/>
          <w:b/>
          <w:color w:val="000000"/>
          <w:sz w:val="24"/>
          <w:szCs w:val="24"/>
          <w:highlight w:val="none"/>
        </w:rPr>
      </w:pPr>
      <w:r>
        <w:rPr>
          <w:highlight w:val="none"/>
        </w:rPr>
      </w:r>
      <w:bookmarkStart w:id="22" w:name="_Toc28359082"/>
      <w:r>
        <w:rPr>
          <w:highlight w:val="none"/>
        </w:rPr>
      </w:r>
      <w:bookmarkStart w:id="23" w:name="_Toc28359005"/>
      <w:r>
        <w:rPr>
          <w:highlight w:val="none"/>
        </w:rPr>
      </w:r>
      <w:bookmarkStart w:id="24" w:name="_Toc38985266"/>
      <w:r>
        <w:rPr>
          <w:highlight w:val="none"/>
        </w:rPr>
      </w:r>
      <w:bookmarkStart w:id="25" w:name="_Toc35393793"/>
      <w:r>
        <w:rPr>
          <w:highlight w:val="none"/>
        </w:rPr>
      </w:r>
      <w:bookmarkStart w:id="26" w:name="_Toc35393624"/>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lang w:val="en-US" w:eastAsia="zh-CN"/>
        </w:rPr>
        <w:t xml:space="preserve">自公告发布之日起</w:t>
      </w:r>
      <w:r>
        <w:rPr>
          <w:rFonts w:hint="eastAsia" w:ascii="宋体" w:hAnsi="宋体" w:cs="宋体"/>
          <w:color w:val="000000"/>
          <w:sz w:val="24"/>
          <w:szCs w:val="24"/>
          <w:highlight w:val="none"/>
        </w:rPr>
        <w:t xml:space="preserve">至</w:t>
      </w:r>
      <w:r>
        <w:rPr>
          <w:rFonts w:hint="eastAsia" w:ascii="宋体" w:hAnsi="宋体" w:cs="宋体"/>
          <w:color w:val="000000"/>
          <w:sz w:val="24"/>
          <w:szCs w:val="24"/>
          <w:highlight w:val="none"/>
          <w:lang w:val="en-US" w:eastAsia="zh-CN"/>
        </w:rPr>
        <w:t xml:space="preserve">2025</w:t>
      </w:r>
      <w:r>
        <w:rPr>
          <w:rFonts w:hint="eastAsia" w:ascii="宋体" w:hAnsi="宋体" w:cs="宋体"/>
          <w:color w:val="000000"/>
          <w:sz w:val="24"/>
          <w:szCs w:val="24"/>
          <w:highlight w:val="none"/>
        </w:rPr>
        <w:t xml:space="preserve">年10</w:t>
      </w:r>
      <w:r>
        <w:rPr>
          <w:rFonts w:hint="eastAsia" w:ascii="宋体" w:hAnsi="宋体" w:cs="宋体"/>
          <w:color w:val="000000"/>
          <w:sz w:val="24"/>
          <w:szCs w:val="24"/>
          <w:highlight w:val="none"/>
        </w:rPr>
        <w:t xml:space="preserve">月1</w:t>
      </w:r>
      <w:r>
        <w:rPr>
          <w:rFonts w:hint="eastAsia" w:ascii="宋体" w:hAnsi="宋体" w:cs="宋体"/>
          <w:color w:val="000000"/>
          <w:sz w:val="24"/>
          <w:szCs w:val="24"/>
          <w:highlight w:val="none"/>
        </w:rPr>
        <w:t xml:space="preserve">日（提供期限自本公告发布之日起不得少于5个工作日）。</w:t>
      </w:r>
      <w:r>
        <w:rPr>
          <w:rFonts w:ascii="宋体" w:hAnsi="宋体" w:cs="宋体"/>
          <w:b/>
          <w:color w:val="000000"/>
          <w:sz w:val="24"/>
          <w:szCs w:val="24"/>
          <w:highlight w:val="none"/>
        </w:rPr>
      </w:r>
      <w:r>
        <w:rPr>
          <w:highlight w:val="none"/>
        </w:rPr>
      </w:r>
    </w:p>
    <w:p>
      <w:pPr>
        <w:pStyle w:val="662"/>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hint="eastAsia" w:ascii="宋体" w:hAnsi="宋体" w:cs="宋体"/>
          <w:color w:val="000000"/>
          <w:sz w:val="24"/>
          <w:szCs w:val="24"/>
          <w:highlight w:val="none"/>
        </w:rPr>
      </w:r>
      <w:r>
        <w:rPr>
          <w:highlight w:val="none"/>
        </w:rPr>
      </w:r>
    </w:p>
    <w:p>
      <w:pPr>
        <w:pStyle w:val="66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3.获取方式：本项目采用网上注册登记方式。</w:t>
      </w:r>
      <w:r>
        <w:rPr>
          <w:rFonts w:ascii="宋体" w:hAnsi="宋体" w:cs="宋体"/>
          <w:color w:val="000000"/>
          <w:sz w:val="24"/>
          <w:szCs w:val="24"/>
          <w:highlight w:val="none"/>
        </w:rPr>
      </w:r>
      <w:r>
        <w:rPr>
          <w:highlight w:val="none"/>
        </w:rPr>
      </w:r>
    </w:p>
    <w:p>
      <w:pPr>
        <w:pStyle w:val="662"/>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3.1潜在供应商访问电子招标响应交易平台的网络地址和方法：</w:t>
      </w:r>
      <w:r>
        <w:rPr>
          <w:rFonts w:hint="eastAsia" w:ascii="宋体" w:hAnsi="宋体" w:cs="宋体"/>
          <w:color w:val="000000"/>
          <w:sz w:val="24"/>
          <w:szCs w:val="24"/>
          <w:highlight w:val="none"/>
        </w:rPr>
      </w:r>
      <w:r>
        <w:rPr>
          <w:highlight w:val="none"/>
        </w:rPr>
      </w:r>
    </w:p>
    <w:p>
      <w:pPr>
        <w:pStyle w:val="662"/>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color w:val="000000"/>
          <w:sz w:val="24"/>
          <w:szCs w:val="24"/>
          <w:highlight w:val="none"/>
        </w:rPr>
      </w:r>
      <w:r>
        <w:rPr>
          <w:highlight w:val="none"/>
        </w:rPr>
      </w:r>
    </w:p>
    <w:p>
      <w:pPr>
        <w:pStyle w:val="662"/>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3.2潜在供应商访问“苏采云”系统的网络地址和方法：“苏采云”系统的网址：http://jszfcg.jsczt.cn/。</w:t>
      </w:r>
      <w:r>
        <w:rPr>
          <w:rFonts w:hint="eastAsia" w:ascii="宋体" w:hAnsi="宋体" w:cs="宋体"/>
          <w:color w:val="000000"/>
          <w:sz w:val="24"/>
          <w:szCs w:val="24"/>
          <w:highlight w:val="none"/>
        </w:rPr>
      </w:r>
      <w:r>
        <w:rPr>
          <w:highlight w:val="none"/>
        </w:rPr>
      </w:r>
    </w:p>
    <w:p>
      <w:pPr>
        <w:pStyle w:val="662"/>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3.3“CA数字证书”的获取：</w:t>
      </w:r>
      <w:r>
        <w:rPr>
          <w:rFonts w:hint="eastAsia" w:ascii="宋体" w:hAnsi="宋体" w:cs="宋体"/>
          <w:color w:val="000000"/>
          <w:sz w:val="24"/>
          <w:szCs w:val="24"/>
          <w:highlight w:val="none"/>
        </w:rPr>
      </w:r>
      <w:r>
        <w:rPr>
          <w:highlight w:val="none"/>
        </w:rPr>
      </w:r>
    </w:p>
    <w:p>
      <w:pPr>
        <w:pStyle w:val="662"/>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 数字证书”，CA办理指南及“苏采云”操作手册可至江苏省政府采购网—办事指南-资料下载中心下载。</w:t>
      </w:r>
      <w:r>
        <w:rPr>
          <w:rFonts w:hint="eastAsia" w:ascii="宋体" w:hAnsi="宋体" w:cs="宋体"/>
          <w:color w:val="000000"/>
          <w:sz w:val="24"/>
          <w:szCs w:val="24"/>
          <w:highlight w:val="none"/>
        </w:rPr>
      </w:r>
      <w:r>
        <w:rPr>
          <w:highlight w:val="none"/>
        </w:rPr>
      </w:r>
    </w:p>
    <w:p>
      <w:pPr>
        <w:pStyle w:val="662"/>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rPr>
          <w:highlight w:val="none"/>
        </w:rPr>
      </w:r>
    </w:p>
    <w:p>
      <w:pPr>
        <w:pStyle w:val="662"/>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3.5招标代理机构（采购代理机构）将数据电文形式的采购文件加载至“苏采云”系统，供潜在供应商下载或者查阅。  </w:t>
      </w:r>
      <w:r>
        <w:rPr>
          <w:rFonts w:hint="eastAsia" w:ascii="宋体" w:hAnsi="宋体" w:cs="宋体"/>
          <w:color w:val="000000"/>
          <w:sz w:val="24"/>
          <w:szCs w:val="24"/>
          <w:highlight w:val="none"/>
        </w:rPr>
      </w:r>
      <w:r>
        <w:rPr>
          <w:highlight w:val="none"/>
        </w:rPr>
      </w:r>
    </w:p>
    <w:p>
      <w:pPr>
        <w:pStyle w:val="662"/>
        <w:ind w:firstLine="54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highlight w:val="none"/>
          <w:u w:val="single"/>
        </w:rPr>
      </w:r>
      <w:r>
        <w:rPr>
          <w:highlight w:val="none"/>
        </w:rPr>
      </w:r>
    </w:p>
    <w:p>
      <w:pPr>
        <w:pStyle w:val="662"/>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四、提交</w:t>
      </w:r>
      <w:bookmarkEnd w:id="22"/>
      <w:r>
        <w:rPr>
          <w:highlight w:val="none"/>
        </w:rPr>
      </w:r>
      <w:bookmarkEnd w:id="23"/>
      <w:r>
        <w:rPr>
          <w:rFonts w:hint="eastAsia" w:ascii="Times New Roman" w:hAnsi="Times New Roman"/>
          <w:b/>
          <w:bCs/>
          <w:color w:val="000000"/>
          <w:sz w:val="32"/>
          <w:szCs w:val="32"/>
          <w:highlight w:val="none"/>
        </w:rPr>
        <w:t xml:space="preserve">响应文件截止时间</w:t>
      </w:r>
      <w:bookmarkEnd w:id="24"/>
      <w:r>
        <w:rPr>
          <w:highlight w:val="none"/>
        </w:rPr>
      </w:r>
      <w:bookmarkEnd w:id="25"/>
      <w:r>
        <w:rPr>
          <w:highlight w:val="none"/>
        </w:rPr>
      </w:r>
      <w:bookmarkEnd w:id="26"/>
      <w:r>
        <w:rPr>
          <w:rFonts w:ascii="Times New Roman" w:hAnsi="Times New Roman"/>
          <w:b/>
          <w:bCs/>
          <w:color w:val="000000"/>
          <w:sz w:val="32"/>
          <w:szCs w:val="32"/>
          <w:highlight w:val="none"/>
        </w:rPr>
      </w:r>
      <w:r>
        <w:rPr>
          <w:highlight w:val="none"/>
        </w:rPr>
      </w:r>
    </w:p>
    <w:p>
      <w:pPr>
        <w:pStyle w:val="662"/>
        <w:ind w:firstLine="480"/>
        <w:spacing w:line="560" w:lineRule="exact"/>
        <w:rPr>
          <w:rFonts w:hint="eastAsia" w:ascii="宋体" w:hAnsi="宋体" w:cs="宋体"/>
          <w:color w:val="000000"/>
          <w:sz w:val="24"/>
          <w:szCs w:val="24"/>
          <w:highlight w:val="none"/>
        </w:rPr>
      </w:pPr>
      <w:r>
        <w:rPr>
          <w:rFonts w:hint="eastAsia" w:ascii="宋体" w:hAnsi="宋体"/>
          <w:bCs/>
          <w:color w:val="000000"/>
          <w:sz w:val="24"/>
          <w:szCs w:val="24"/>
          <w:highlight w:val="none"/>
          <w:u w:val="single"/>
        </w:rPr>
        <w:t xml:space="preserve">1.</w:t>
      </w:r>
      <w:r>
        <w:rPr>
          <w:rFonts w:hint="eastAsia" w:ascii="宋体" w:hAnsi="宋体"/>
          <w:bCs/>
          <w:color w:val="000000"/>
          <w:sz w:val="24"/>
          <w:szCs w:val="24"/>
          <w:highlight w:val="none"/>
          <w:u w:val="single"/>
          <w:lang w:val="en-US" w:eastAsia="zh-CN"/>
        </w:rPr>
        <w:t xml:space="preserve">2025</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月13</w:t>
      </w:r>
      <w:r>
        <w:rPr>
          <w:rFonts w:hint="eastAsia" w:ascii="宋体" w:hAnsi="宋体"/>
          <w:bCs/>
          <w:color w:val="000000"/>
          <w:sz w:val="24"/>
          <w:szCs w:val="24"/>
          <w:highlight w:val="none"/>
          <w:u w:val="single"/>
        </w:rPr>
        <w:t xml:space="preserve">日10点0</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宋体" w:hAnsi="宋体" w:cs="宋体"/>
          <w:color w:val="000000"/>
          <w:sz w:val="24"/>
          <w:szCs w:val="24"/>
          <w:highlight w:val="none"/>
        </w:rPr>
        <w:t xml:space="preserve">（自磋商文件开始发出之日起至供应商提交响应文件截止之日止，不得少于10日。）</w:t>
      </w:r>
      <w:r>
        <w:rPr>
          <w:rFonts w:hint="eastAsia" w:ascii="宋体" w:hAnsi="宋体" w:cs="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rPr>
          <w:rFonts w:hint="eastAsia" w:ascii="宋体" w:hAnsi="宋体"/>
          <w:color w:val="000000"/>
          <w:sz w:val="24"/>
          <w:szCs w:val="24"/>
          <w:highlight w:val="none"/>
        </w:rPr>
      </w:r>
      <w:r>
        <w:rPr>
          <w:highlight w:val="none"/>
        </w:rPr>
      </w:r>
    </w:p>
    <w:p>
      <w:pPr>
        <w:pStyle w:val="662"/>
        <w:ind w:firstLine="482"/>
        <w:spacing w:line="56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sz w:val="24"/>
          <w:szCs w:val="24"/>
          <w:highlight w:val="none"/>
        </w:rPr>
        <w:t xml:space="preserve">供应商未在磋商小组规定的时间内在苏采云系统中提交最后报价的视为放弃磋商，其响应文件按无效响应处理。</w:t>
      </w:r>
      <w:r>
        <w:rPr>
          <w:rFonts w:hint="eastAsia" w:ascii="宋体" w:hAnsi="宋体" w:cs="宋体"/>
          <w:b/>
          <w:color w:val="000000"/>
          <w:sz w:val="24"/>
          <w:szCs w:val="21"/>
          <w:highlight w:val="none"/>
        </w:rPr>
      </w:r>
      <w:r>
        <w:rPr>
          <w:highlight w:val="none"/>
        </w:rPr>
      </w:r>
    </w:p>
    <w:p>
      <w:pPr>
        <w:pStyle w:val="662"/>
        <w:ind w:firstLine="480"/>
        <w:spacing w:line="560" w:lineRule="exact"/>
        <w:rPr>
          <w:rFonts w:ascii="宋体" w:hAnsi="宋体"/>
          <w:bCs/>
          <w:color w:val="000000"/>
          <w:sz w:val="24"/>
          <w:szCs w:val="24"/>
          <w:highlight w:val="none"/>
          <w:u w:val="single"/>
        </w:rPr>
      </w:pPr>
      <w:r>
        <w:rPr>
          <w:rFonts w:hint="eastAsia" w:ascii="宋体" w:hAnsi="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1"/>
          <w:highlight w:val="none"/>
        </w:rPr>
        <w:t xml:space="preserve">供应商解密限定在开标后30分钟之内完成</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bCs/>
          <w:color w:val="000000"/>
          <w:sz w:val="24"/>
          <w:szCs w:val="24"/>
          <w:highlight w:val="none"/>
          <w:u w:val="single"/>
        </w:rPr>
      </w:r>
      <w:r>
        <w:rPr>
          <w:highlight w:val="none"/>
        </w:rPr>
      </w:r>
    </w:p>
    <w:p>
      <w:pPr>
        <w:pStyle w:val="662"/>
        <w:ind w:firstLine="498"/>
        <w:keepLines/>
        <w:keepNext/>
        <w:spacing w:line="560" w:lineRule="exact"/>
        <w:rPr>
          <w:rFonts w:ascii="Times New Roman" w:hAnsi="Times New Roman"/>
          <w:b/>
          <w:bCs/>
          <w:color w:val="000000"/>
          <w:sz w:val="32"/>
          <w:szCs w:val="32"/>
          <w:highlight w:val="none"/>
        </w:rPr>
        <w:outlineLvl w:val="1"/>
      </w:pPr>
      <w:r>
        <w:rPr>
          <w:highlight w:val="none"/>
        </w:rPr>
      </w:r>
      <w:bookmarkStart w:id="27" w:name="_Toc35393625"/>
      <w:r>
        <w:rPr>
          <w:highlight w:val="none"/>
        </w:rPr>
      </w:r>
      <w:bookmarkStart w:id="28" w:name="_Toc35393794"/>
      <w:r>
        <w:rPr>
          <w:highlight w:val="none"/>
        </w:rPr>
      </w:r>
      <w:bookmarkStart w:id="29" w:name="_Toc38985267"/>
      <w:r>
        <w:rPr>
          <w:highlight w:val="none"/>
        </w:rPr>
      </w:r>
      <w:bookmarkStart w:id="30" w:name="_Toc28359084"/>
      <w:r>
        <w:rPr>
          <w:highlight w:val="none"/>
        </w:rPr>
      </w:r>
      <w:bookmarkStart w:id="31" w:name="_Toc28359007"/>
      <w:r>
        <w:rPr>
          <w:rFonts w:hint="eastAsia" w:ascii="Times New Roman" w:hAnsi="Times New Roman"/>
          <w:b/>
          <w:bCs/>
          <w:color w:val="000000"/>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rFonts w:ascii="Times New Roman" w:hAnsi="Times New Roman"/>
          <w:b/>
          <w:bCs/>
          <w:color w:val="000000"/>
          <w:sz w:val="32"/>
          <w:szCs w:val="32"/>
          <w:highlight w:val="none"/>
        </w:rPr>
      </w:r>
      <w:r>
        <w:rPr>
          <w:highlight w:val="none"/>
        </w:rPr>
      </w:r>
    </w:p>
    <w:p>
      <w:pPr>
        <w:pStyle w:val="662"/>
        <w:ind w:firstLine="480"/>
        <w:spacing w:line="560" w:lineRule="exact"/>
        <w:rPr>
          <w:rFonts w:ascii="宋体" w:hAnsi="宋体" w:cs="宋体"/>
          <w:color w:val="000000"/>
          <w:sz w:val="24"/>
          <w:szCs w:val="24"/>
          <w:highlight w:val="none"/>
        </w:rPr>
      </w:pPr>
      <w:r>
        <w:rPr>
          <w:highlight w:val="none"/>
        </w:rPr>
      </w:r>
      <w:bookmarkStart w:id="32" w:name="_Toc38985268"/>
      <w:r>
        <w:rPr>
          <w:highlight w:val="none"/>
        </w:rPr>
      </w:r>
      <w:bookmarkStart w:id="33" w:name="_Toc35393795"/>
      <w:r>
        <w:rPr>
          <w:highlight w:val="none"/>
        </w:rPr>
      </w:r>
      <w:bookmarkStart w:id="34" w:name="_Toc35393626"/>
      <w:r>
        <w:rPr>
          <w:rFonts w:hint="eastAsia" w:ascii="宋体" w:hAnsi="宋体" w:cs="宋体"/>
          <w:color w:val="000000"/>
          <w:sz w:val="24"/>
          <w:szCs w:val="24"/>
          <w:highlight w:val="none"/>
        </w:rPr>
        <w:t xml:space="preserve">磋商公告及磋商文件公告期限为自本公告发布之日起5个工作日。</w:t>
      </w:r>
      <w:r>
        <w:rPr>
          <w:rFonts w:ascii="宋体" w:hAnsi="宋体" w:cs="宋体"/>
          <w:color w:val="000000"/>
          <w:sz w:val="24"/>
          <w:szCs w:val="24"/>
          <w:highlight w:val="none"/>
        </w:rPr>
      </w:r>
      <w:r>
        <w:rPr>
          <w:highlight w:val="none"/>
        </w:rPr>
      </w:r>
    </w:p>
    <w:p>
      <w:pPr>
        <w:pStyle w:val="662"/>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六、其他补充事宜</w:t>
      </w:r>
      <w:bookmarkEnd w:id="32"/>
      <w:r>
        <w:rPr>
          <w:highlight w:val="none"/>
        </w:rPr>
      </w:r>
      <w:bookmarkEnd w:id="33"/>
      <w:r>
        <w:rPr>
          <w:highlight w:val="none"/>
        </w:rPr>
      </w:r>
      <w:bookmarkEnd w:id="34"/>
      <w:r>
        <w:rPr>
          <w:rFonts w:ascii="Times New Roman" w:hAnsi="Times New Roman"/>
          <w:b/>
          <w:bCs/>
          <w:color w:val="000000"/>
          <w:sz w:val="32"/>
          <w:szCs w:val="32"/>
          <w:highlight w:val="none"/>
        </w:rPr>
      </w:r>
      <w:r>
        <w:rPr>
          <w:highlight w:val="none"/>
        </w:rPr>
      </w:r>
    </w:p>
    <w:p>
      <w:pPr>
        <w:pStyle w:val="66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1.投标保证金：免收</w:t>
      </w:r>
      <w:r>
        <w:rPr>
          <w:rFonts w:hint="eastAsia" w:ascii="宋体" w:hAnsi="宋体" w:cs="宋体"/>
          <w:color w:val="000000"/>
          <w:sz w:val="24"/>
          <w:szCs w:val="24"/>
          <w:highlight w:val="none"/>
        </w:rPr>
      </w:r>
      <w:r>
        <w:rPr>
          <w:highlight w:val="none"/>
        </w:rPr>
      </w:r>
    </w:p>
    <w:p>
      <w:pPr>
        <w:pStyle w:val="66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2.项目开标活动模式：不见面远程开标模式，供应商在各自地点通过“苏采云”政府采购交易系统参加磋商活动。</w:t>
      </w:r>
      <w:r>
        <w:rPr>
          <w:rFonts w:hint="eastAsia" w:ascii="宋体" w:hAnsi="宋体" w:cs="宋体"/>
          <w:color w:val="000000"/>
          <w:sz w:val="24"/>
          <w:szCs w:val="24"/>
          <w:highlight w:val="none"/>
        </w:rPr>
      </w:r>
      <w:r>
        <w:rPr>
          <w:highlight w:val="none"/>
        </w:rPr>
      </w:r>
    </w:p>
    <w:p>
      <w:pPr>
        <w:pStyle w:val="66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3.项目演示、样品、答辩等（如有请描述）：无</w:t>
      </w:r>
      <w:r>
        <w:rPr>
          <w:rFonts w:hint="eastAsia" w:ascii="宋体" w:hAnsi="宋体" w:cs="宋体"/>
          <w:color w:val="000000"/>
          <w:sz w:val="24"/>
          <w:szCs w:val="24"/>
          <w:highlight w:val="none"/>
        </w:rPr>
      </w:r>
      <w:r>
        <w:rPr>
          <w:highlight w:val="none"/>
        </w:rPr>
      </w:r>
    </w:p>
    <w:p>
      <w:pPr>
        <w:pStyle w:val="66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color w:val="000000"/>
          <w:sz w:val="24"/>
          <w:szCs w:val="24"/>
          <w:highlight w:val="none"/>
        </w:rPr>
      </w:r>
      <w:r>
        <w:rPr>
          <w:highlight w:val="none"/>
        </w:rPr>
      </w:r>
    </w:p>
    <w:p>
      <w:pPr>
        <w:pStyle w:val="66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color w:val="000000"/>
          <w:sz w:val="24"/>
          <w:szCs w:val="24"/>
          <w:highlight w:val="none"/>
        </w:rPr>
      </w:r>
      <w:r>
        <w:rPr>
          <w:highlight w:val="none"/>
        </w:rPr>
      </w:r>
    </w:p>
    <w:p>
      <w:pPr>
        <w:pStyle w:val="66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6.有关本次磋商的事项若存在变动或修改，敬请及时关注采购人在“江苏政府采购网”发布的更正公告。</w:t>
      </w:r>
      <w:r>
        <w:rPr>
          <w:rFonts w:hint="eastAsia" w:ascii="宋体" w:hAnsi="宋体" w:cs="宋体"/>
          <w:color w:val="000000"/>
          <w:sz w:val="24"/>
          <w:szCs w:val="24"/>
          <w:highlight w:val="none"/>
        </w:rPr>
      </w:r>
      <w:r>
        <w:rPr>
          <w:highlight w:val="none"/>
        </w:rPr>
      </w:r>
    </w:p>
    <w:p>
      <w:pPr>
        <w:pStyle w:val="662"/>
        <w:ind w:firstLine="498"/>
        <w:keepLines/>
        <w:keepNext/>
        <w:spacing w:line="560" w:lineRule="exact"/>
        <w:rPr>
          <w:rFonts w:ascii="Times New Roman" w:hAnsi="Times New Roman"/>
          <w:b/>
          <w:bCs/>
          <w:color w:val="000000"/>
          <w:sz w:val="32"/>
          <w:szCs w:val="32"/>
          <w:highlight w:val="none"/>
        </w:rPr>
        <w:outlineLvl w:val="1"/>
      </w:pPr>
      <w:r>
        <w:rPr>
          <w:highlight w:val="none"/>
        </w:rPr>
      </w:r>
      <w:bookmarkStart w:id="35" w:name="_Toc38985269"/>
      <w:r>
        <w:rPr>
          <w:highlight w:val="none"/>
        </w:rPr>
      </w:r>
      <w:bookmarkStart w:id="36" w:name="_Toc28359085"/>
      <w:r>
        <w:rPr>
          <w:highlight w:val="none"/>
        </w:rPr>
      </w:r>
      <w:bookmarkStart w:id="37" w:name="_Toc35393627"/>
      <w:r>
        <w:rPr>
          <w:highlight w:val="none"/>
        </w:rPr>
      </w:r>
      <w:bookmarkStart w:id="38" w:name="_Toc28359008"/>
      <w:r>
        <w:rPr>
          <w:highlight w:val="none"/>
        </w:rPr>
      </w:r>
      <w:bookmarkStart w:id="39" w:name="_Toc35393796"/>
      <w:r>
        <w:rPr>
          <w:rFonts w:hint="eastAsia" w:ascii="Times New Roman" w:hAnsi="Times New Roman"/>
          <w:b/>
          <w:bCs/>
          <w:color w:val="000000"/>
          <w:sz w:val="32"/>
          <w:szCs w:val="32"/>
          <w:highlight w:val="none"/>
        </w:rPr>
        <w:t xml:space="preserve">七、本次磋商联系方式</w:t>
      </w:r>
      <w:bookmarkEnd w:id="35"/>
      <w:r>
        <w:rPr>
          <w:highlight w:val="none"/>
        </w:rPr>
      </w:r>
      <w:bookmarkEnd w:id="36"/>
      <w:r>
        <w:rPr>
          <w:highlight w:val="none"/>
        </w:rPr>
      </w:r>
      <w:bookmarkEnd w:id="37"/>
      <w:r>
        <w:rPr>
          <w:highlight w:val="none"/>
        </w:rPr>
      </w:r>
      <w:bookmarkEnd w:id="38"/>
      <w:r>
        <w:rPr>
          <w:highlight w:val="none"/>
        </w:rPr>
      </w:r>
      <w:bookmarkEnd w:id="39"/>
      <w:r>
        <w:rPr>
          <w:rFonts w:ascii="Times New Roman" w:hAnsi="Times New Roman"/>
          <w:b/>
          <w:bCs/>
          <w:color w:val="000000"/>
          <w:sz w:val="32"/>
          <w:szCs w:val="32"/>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名称：泰州市人民医院        </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地址：江苏省泰州市海陵区太湖路366号 </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联系方式：052389890057 </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名称：江苏弘业国际技术工程有限公司 </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地址：南京市中华路50号弘业大厦10楼</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联系方式：13515216336</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传真：025-52278761</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邮箱：hollyzbzy@artall.com  </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项目联系人：王苏琪        </w:t>
      </w:r>
      <w:r>
        <w:rPr>
          <w:rFonts w:hint="eastAsia" w:ascii="宋体" w:hAnsi="宋体" w:cs="宋体"/>
          <w:color w:val="000000"/>
          <w:sz w:val="24"/>
          <w:szCs w:val="24"/>
          <w:highlight w:val="none"/>
        </w:rPr>
      </w:r>
      <w:r>
        <w:rPr>
          <w:highlight w:val="none"/>
        </w:rPr>
      </w:r>
    </w:p>
    <w:p>
      <w:pPr>
        <w:pStyle w:val="662"/>
        <w:ind w:firstLine="720"/>
        <w:spacing w:line="56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电话：18352665859</w:t>
      </w:r>
      <w:r>
        <w:rPr>
          <w:rFonts w:hint="eastAsia" w:ascii="宋体" w:hAnsi="宋体"/>
          <w:color w:val="000000"/>
          <w:sz w:val="24"/>
          <w:szCs w:val="24"/>
          <w:highlight w:val="none"/>
        </w:rPr>
      </w:r>
      <w:r>
        <w:rPr>
          <w:highlight w:val="none"/>
        </w:rPr>
      </w:r>
    </w:p>
    <w:p>
      <w:pPr>
        <w:pStyle w:val="662"/>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center"/>
        <w:keepLines/>
        <w:keepNext/>
        <w:spacing w:line="520" w:lineRule="exact"/>
        <w:rPr>
          <w:rFonts w:hint="eastAsia" w:ascii="黑体" w:hAnsi="Arial" w:eastAsia="黑体" w:cs="Arial"/>
          <w:color w:val="000000"/>
          <w:sz w:val="44"/>
          <w:szCs w:val="44"/>
          <w:highlight w:val="none"/>
        </w:rPr>
        <w:outlineLvl w:val="0"/>
      </w:pPr>
      <w:r>
        <w:rPr>
          <w:highlight w:val="none"/>
        </w:rPr>
      </w:r>
      <w:bookmarkStart w:id="40" w:name="_Toc120614211"/>
      <w:r>
        <w:rPr>
          <w:rFonts w:ascii="黑体" w:hAnsi="Arial" w:eastAsia="黑体" w:cs="Arial"/>
          <w:b/>
          <w:bCs/>
          <w:color w:val="000000"/>
          <w:sz w:val="44"/>
          <w:szCs w:val="44"/>
          <w:highlight w:val="none"/>
        </w:rPr>
        <w:br w:type="page" w:clear="all"/>
      </w:r>
      <w:r>
        <w:rPr>
          <w:rFonts w:hint="eastAsia" w:ascii="黑体" w:hAnsi="Arial" w:eastAsia="黑体" w:cs="Arial"/>
          <w:b/>
          <w:bCs/>
          <w:color w:val="000000"/>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0"/>
      <w:r>
        <w:rPr>
          <w:rFonts w:hint="eastAsia" w:ascii="黑体" w:hAnsi="Arial" w:eastAsia="黑体" w:cs="Arial"/>
          <w:b/>
          <w:bCs/>
          <w:color w:val="000000"/>
          <w:sz w:val="44"/>
          <w:szCs w:val="44"/>
          <w:highlight w:val="none"/>
        </w:rPr>
        <w:t xml:space="preserve">供应商须知</w:t>
      </w:r>
      <w:r>
        <w:rPr>
          <w:rFonts w:hint="eastAsia" w:ascii="黑体" w:hAnsi="Arial" w:eastAsia="黑体" w:cs="Arial"/>
          <w:color w:val="000000"/>
          <w:sz w:val="44"/>
          <w:szCs w:val="44"/>
          <w:highlight w:val="none"/>
        </w:rPr>
      </w:r>
      <w:r>
        <w:rPr>
          <w:highlight w:val="none"/>
        </w:rPr>
      </w:r>
    </w:p>
    <w:p>
      <w:pPr>
        <w:pStyle w:val="662"/>
        <w:ind w:firstLine="498"/>
        <w:keepLines/>
        <w:keepNext/>
        <w:spacing w:line="520" w:lineRule="exact"/>
        <w:rPr>
          <w:rFonts w:hint="eastAsia" w:ascii="Times New Roman" w:hAnsi="Times New Roman"/>
          <w:b/>
          <w:bCs/>
          <w:color w:val="000000"/>
          <w:sz w:val="32"/>
          <w:szCs w:val="32"/>
          <w:highlight w:val="none"/>
        </w:rPr>
        <w:outlineLvl w:val="1"/>
      </w:pPr>
      <w:r>
        <w:rPr>
          <w:highlight w:val="none"/>
        </w:rPr>
      </w:r>
      <w:bookmarkStart w:id="41" w:name="_Toc120614214"/>
      <w:r>
        <w:rPr>
          <w:highlight w:val="none"/>
        </w:rPr>
      </w:r>
      <w:bookmarkStart w:id="42" w:name="_Toc16938519"/>
      <w:r>
        <w:rPr>
          <w:highlight w:val="none"/>
        </w:rPr>
      </w:r>
      <w:bookmarkStart w:id="43" w:name="_Toc513029203"/>
      <w:r>
        <w:rPr>
          <w:highlight w:val="none"/>
        </w:rPr>
      </w:r>
      <w:bookmarkStart w:id="44" w:name="_Toc20823275"/>
      <w:r>
        <w:rPr>
          <w:rFonts w:hint="eastAsia" w:ascii="Times New Roman" w:hAnsi="Times New Roman"/>
          <w:b/>
          <w:bCs/>
          <w:color w:val="000000"/>
          <w:sz w:val="32"/>
          <w:szCs w:val="32"/>
          <w:highlight w:val="none"/>
        </w:rPr>
        <w:t xml:space="preserve">一、总则</w:t>
      </w:r>
      <w:bookmarkEnd w:id="41"/>
      <w:r>
        <w:rPr>
          <w:highlight w:val="none"/>
        </w:rPr>
      </w:r>
      <w:bookmarkEnd w:id="42"/>
      <w:r>
        <w:rPr>
          <w:highlight w:val="none"/>
        </w:rPr>
      </w:r>
      <w:bookmarkEnd w:id="43"/>
      <w:r>
        <w:rPr>
          <w:highlight w:val="none"/>
        </w:rPr>
      </w:r>
      <w:bookmarkEnd w:id="44"/>
      <w:r>
        <w:rPr>
          <w:rFonts w:hint="eastAsia" w:ascii="Times New Roman" w:hAnsi="Times New Roman"/>
          <w:b/>
          <w:bCs/>
          <w:color w:val="000000"/>
          <w:sz w:val="32"/>
          <w:szCs w:val="32"/>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2"/>
      </w:pPr>
      <w:r>
        <w:rPr>
          <w:highlight w:val="none"/>
        </w:rPr>
      </w:r>
      <w:bookmarkStart w:id="45" w:name="_Hlt16619475"/>
      <w:r>
        <w:rPr>
          <w:highlight w:val="none"/>
        </w:rPr>
      </w:r>
      <w:bookmarkEnd w:id="45"/>
      <w:r>
        <w:rPr>
          <w:highlight w:val="none"/>
        </w:rPr>
      </w:r>
      <w:bookmarkStart w:id="46" w:name="_Toc458694821"/>
      <w:r>
        <w:rPr>
          <w:highlight w:val="none"/>
        </w:rPr>
      </w:r>
      <w:bookmarkStart w:id="47" w:name="_Toc20823276"/>
      <w:r>
        <w:rPr>
          <w:highlight w:val="none"/>
        </w:rPr>
      </w:r>
      <w:bookmarkStart w:id="48" w:name="_Toc16938520"/>
      <w:r>
        <w:rPr>
          <w:highlight w:val="none"/>
        </w:rPr>
      </w:r>
      <w:bookmarkStart w:id="49" w:name="_Toc513029204"/>
      <w:r>
        <w:rPr>
          <w:rFonts w:hint="eastAsia" w:ascii="Arial" w:hAnsi="Arial" w:eastAsia="黑体" w:cs="Arial"/>
          <w:color w:val="000000"/>
          <w:sz w:val="28"/>
          <w:szCs w:val="28"/>
          <w:highlight w:val="none"/>
        </w:rPr>
        <w:t xml:space="preserve">1</w:t>
      </w:r>
      <w:bookmarkEnd w:id="46"/>
      <w:r>
        <w:rPr>
          <w:rFonts w:hint="eastAsia" w:ascii="Arial" w:hAnsi="Arial" w:eastAsia="黑体" w:cs="Arial"/>
          <w:color w:val="000000"/>
          <w:sz w:val="28"/>
          <w:szCs w:val="28"/>
          <w:highlight w:val="none"/>
        </w:rPr>
        <w:t xml:space="preserve">.采购方式</w:t>
      </w:r>
      <w:bookmarkEnd w:id="47"/>
      <w:r>
        <w:rPr>
          <w:highlight w:val="none"/>
        </w:rPr>
      </w:r>
      <w:bookmarkEnd w:id="48"/>
      <w:r>
        <w:rPr>
          <w:highlight w:val="none"/>
        </w:rPr>
      </w:r>
      <w:bookmarkEnd w:id="49"/>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2"/>
      </w:pPr>
      <w:r>
        <w:rPr>
          <w:highlight w:val="none"/>
        </w:rPr>
      </w:r>
      <w:bookmarkStart w:id="50" w:name="_Toc16938521"/>
      <w:r>
        <w:rPr>
          <w:highlight w:val="none"/>
        </w:rPr>
      </w:r>
      <w:bookmarkStart w:id="51" w:name="_Toc20823277"/>
      <w:r>
        <w:rPr>
          <w:highlight w:val="none"/>
        </w:rPr>
      </w:r>
      <w:bookmarkStart w:id="52" w:name="_Toc513029205"/>
      <w:r>
        <w:rPr>
          <w:rFonts w:hint="eastAsia" w:ascii="Arial" w:hAnsi="Arial" w:eastAsia="黑体" w:cs="Arial"/>
          <w:color w:val="000000"/>
          <w:sz w:val="28"/>
          <w:szCs w:val="28"/>
          <w:highlight w:val="none"/>
        </w:rPr>
        <w:t xml:space="preserve">2.合格的</w:t>
      </w:r>
      <w:bookmarkEnd w:id="50"/>
      <w:r>
        <w:rPr>
          <w:highlight w:val="none"/>
        </w:rPr>
      </w:r>
      <w:bookmarkEnd w:id="51"/>
      <w:r>
        <w:rPr>
          <w:highlight w:val="none"/>
        </w:rPr>
      </w:r>
      <w:bookmarkEnd w:id="52"/>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hint="eastAsia" w:ascii="宋体" w:hAnsi="宋体"/>
          <w:color w:val="000000"/>
          <w:sz w:val="24"/>
          <w:szCs w:val="24"/>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2"/>
      </w:pPr>
      <w:r>
        <w:rPr>
          <w:highlight w:val="none"/>
        </w:rPr>
      </w:r>
      <w:bookmarkStart w:id="53" w:name="_Toc20823278"/>
      <w:r>
        <w:rPr>
          <w:highlight w:val="none"/>
        </w:rPr>
      </w:r>
      <w:bookmarkStart w:id="54" w:name="_Toc16938522"/>
      <w:r>
        <w:rPr>
          <w:highlight w:val="none"/>
        </w:rPr>
      </w:r>
      <w:bookmarkStart w:id="55" w:name="_Toc513029206"/>
      <w:r>
        <w:rPr>
          <w:rFonts w:hint="eastAsia" w:ascii="Arial" w:hAnsi="Arial" w:eastAsia="黑体" w:cs="Arial"/>
          <w:color w:val="000000"/>
          <w:sz w:val="28"/>
          <w:szCs w:val="28"/>
          <w:highlight w:val="none"/>
        </w:rPr>
        <w:t xml:space="preserve">3.适用法律</w:t>
      </w:r>
      <w:bookmarkEnd w:id="53"/>
      <w:r>
        <w:rPr>
          <w:highlight w:val="none"/>
        </w:rPr>
      </w:r>
      <w:bookmarkEnd w:id="54"/>
      <w:r>
        <w:rPr>
          <w:highlight w:val="none"/>
        </w:rPr>
      </w:r>
      <w:bookmarkEnd w:id="55"/>
      <w:r>
        <w:rPr>
          <w:rFonts w:hint="eastAsia" w:ascii="Arial" w:hAnsi="Arial" w:eastAsia="黑体" w:cs="Arial"/>
          <w:color w:val="000000"/>
          <w:sz w:val="28"/>
          <w:szCs w:val="28"/>
          <w:highlight w:val="none"/>
        </w:rPr>
      </w:r>
      <w:r>
        <w:rPr>
          <w:highlight w:val="none"/>
        </w:rPr>
      </w:r>
    </w:p>
    <w:p>
      <w:pPr>
        <w:pStyle w:val="662"/>
        <w:ind w:firstLine="42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2"/>
      </w:pPr>
      <w:r>
        <w:rPr>
          <w:highlight w:val="none"/>
        </w:rPr>
      </w:r>
      <w:bookmarkStart w:id="56" w:name="_Toc16938523"/>
      <w:r>
        <w:rPr>
          <w:highlight w:val="none"/>
        </w:rPr>
      </w:r>
      <w:bookmarkStart w:id="57" w:name="_Toc513029207"/>
      <w:r>
        <w:rPr>
          <w:highlight w:val="none"/>
        </w:rPr>
      </w:r>
      <w:bookmarkStart w:id="58" w:name="_Toc462564067"/>
      <w:r>
        <w:rPr>
          <w:highlight w:val="none"/>
        </w:rPr>
      </w:r>
      <w:bookmarkStart w:id="59" w:name="_Toc20823279"/>
      <w:r>
        <w:rPr>
          <w:rFonts w:hint="eastAsia" w:ascii="Arial" w:hAnsi="Arial" w:eastAsia="黑体" w:cs="Arial"/>
          <w:color w:val="000000"/>
          <w:sz w:val="28"/>
          <w:szCs w:val="28"/>
          <w:highlight w:val="none"/>
        </w:rPr>
        <w:t xml:space="preserve">4.磋商费用</w:t>
      </w:r>
      <w:bookmarkEnd w:id="56"/>
      <w:r>
        <w:rPr>
          <w:highlight w:val="none"/>
        </w:rPr>
      </w:r>
      <w:bookmarkEnd w:id="57"/>
      <w:r>
        <w:rPr>
          <w:highlight w:val="none"/>
        </w:rPr>
      </w:r>
      <w:bookmarkEnd w:id="58"/>
      <w:r>
        <w:rPr>
          <w:highlight w:val="none"/>
        </w:rPr>
      </w:r>
      <w:bookmarkEnd w:id="59"/>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供应商应自行承担所有与参加本次磋商有关的费用，无论磋商过程中的做法和结果如何，采购人和采购代理机构在任何情况下均无义务和责任承担这些费用。</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4.2本次磋商不收取标书工本费。</w:t>
      </w:r>
      <w:r>
        <w:rPr>
          <w:rFonts w:hint="eastAsia" w:ascii="宋体" w:hAnsi="宋体"/>
          <w:color w:val="000000"/>
          <w:sz w:val="24"/>
          <w:szCs w:val="21"/>
          <w:highlight w:val="none"/>
        </w:rPr>
      </w:r>
      <w:r>
        <w:rPr>
          <w:highlight w:val="none"/>
        </w:rPr>
      </w:r>
    </w:p>
    <w:p>
      <w:pPr>
        <w:pStyle w:val="662"/>
        <w:ind w:firstLine="480"/>
        <w:spacing w:line="520" w:lineRule="exact"/>
        <w:rPr>
          <w:rFonts w:ascii="宋体" w:hAnsi="宋体" w:eastAsia="宋体"/>
          <w:color w:val="000000"/>
          <w:sz w:val="24"/>
          <w:szCs w:val="21"/>
          <w:highlight w:val="none"/>
        </w:rPr>
      </w:pPr>
      <w:r>
        <w:rPr>
          <w:rFonts w:hint="eastAsia" w:ascii="宋体" w:hAnsi="宋体"/>
          <w:color w:val="000000"/>
          <w:sz w:val="24"/>
          <w:szCs w:val="21"/>
          <w:highlight w:val="none"/>
          <w:lang w:val="en-US" w:eastAsia="zh-CN"/>
        </w:rPr>
        <w:t xml:space="preserve">4.3本项目采购代理服务费由成交供应商支付，代理服务费应包含（分摊）在响应报价中，但无须单独列出。成交供应商在应领取成交通知书前向代理机构支付服务费，中标服务费按《关于印发(江苏省政府采购代理服务收费指导意见〉的通知》(苏政采协(2024〕20号)文件规定的收费标准的60%进行收费，单项目不足2500元的按2500元收取。</w:t>
      </w:r>
      <w:r>
        <w:rPr>
          <w:rFonts w:ascii="宋体" w:hAnsi="宋体" w:eastAsia="宋体"/>
          <w:color w:val="000000"/>
          <w:sz w:val="24"/>
          <w:szCs w:val="21"/>
          <w:highlight w:val="none"/>
          <w:lang w:val="en-US" w:eastAsia="zh-CN"/>
        </w:rPr>
      </w:r>
      <w:r>
        <w:rPr>
          <w:highlight w:val="none"/>
        </w:rPr>
      </w:r>
    </w:p>
    <w:p>
      <w:pPr>
        <w:pStyle w:val="662"/>
        <w:ind w:firstLine="301"/>
        <w:keepLines/>
        <w:keepNext/>
        <w:spacing w:line="520" w:lineRule="exact"/>
        <w:rPr>
          <w:rFonts w:hint="eastAsia" w:ascii="黑体" w:hAnsi="宋体" w:eastAsia="黑体" w:cs="Arial"/>
          <w:color w:val="000000"/>
          <w:sz w:val="28"/>
          <w:szCs w:val="28"/>
          <w:highlight w:val="none"/>
        </w:rPr>
        <w:outlineLvl w:val="2"/>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rPr>
          <w:rFonts w:hint="eastAsia" w:ascii="黑体" w:hAnsi="宋体"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rPr>
          <w:highlight w:val="none"/>
        </w:rPr>
      </w:r>
    </w:p>
    <w:p>
      <w:pPr>
        <w:pStyle w:val="662"/>
        <w:ind w:firstLine="321"/>
        <w:keepLines/>
        <w:keepNext/>
        <w:spacing w:line="520" w:lineRule="exact"/>
        <w:rPr>
          <w:rFonts w:hint="eastAsia" w:ascii="Times New Roman" w:hAnsi="Times New Roman"/>
          <w:b/>
          <w:bCs/>
          <w:color w:val="000000"/>
          <w:sz w:val="32"/>
          <w:szCs w:val="32"/>
          <w:highlight w:val="none"/>
        </w:rPr>
        <w:outlineLvl w:val="1"/>
      </w:pPr>
      <w:r>
        <w:rPr>
          <w:highlight w:val="none"/>
        </w:rPr>
      </w:r>
      <w:bookmarkStart w:id="60" w:name="_Toc16938525"/>
      <w:r>
        <w:rPr>
          <w:highlight w:val="none"/>
        </w:rPr>
      </w:r>
      <w:bookmarkStart w:id="61" w:name="_Toc20823281"/>
      <w:r>
        <w:rPr>
          <w:highlight w:val="none"/>
        </w:rPr>
      </w:r>
      <w:bookmarkStart w:id="62" w:name="_Toc120614215"/>
      <w:r>
        <w:rPr>
          <w:highlight w:val="none"/>
        </w:rPr>
      </w:r>
      <w:bookmarkStart w:id="63" w:name="_Toc513029209"/>
      <w:r>
        <w:rPr>
          <w:rFonts w:hint="eastAsia" w:ascii="Times New Roman" w:hAnsi="Times New Roman"/>
          <w:b/>
          <w:bCs/>
          <w:color w:val="000000"/>
          <w:sz w:val="32"/>
          <w:szCs w:val="32"/>
          <w:highlight w:val="none"/>
        </w:rPr>
        <w:t xml:space="preserve">二、</w:t>
      </w:r>
      <w:bookmarkEnd w:id="60"/>
      <w:r>
        <w:rPr>
          <w:highlight w:val="none"/>
        </w:rPr>
      </w:r>
      <w:bookmarkEnd w:id="61"/>
      <w:r>
        <w:rPr>
          <w:highlight w:val="none"/>
        </w:rPr>
      </w:r>
      <w:bookmarkEnd w:id="62"/>
      <w:r>
        <w:rPr>
          <w:highlight w:val="none"/>
        </w:rPr>
      </w:r>
      <w:bookmarkEnd w:id="63"/>
      <w:r>
        <w:rPr>
          <w:rFonts w:hint="eastAsia" w:ascii="Times New Roman" w:hAnsi="Times New Roman"/>
          <w:b/>
          <w:bCs/>
          <w:color w:val="000000"/>
          <w:sz w:val="32"/>
          <w:szCs w:val="32"/>
          <w:highlight w:val="none"/>
        </w:rPr>
        <w:t xml:space="preserve">磋商文件</w:t>
      </w:r>
      <w:r>
        <w:rPr>
          <w:rFonts w:hint="eastAsia" w:ascii="Times New Roman" w:hAnsi="Times New Roman"/>
          <w:b/>
          <w:bCs/>
          <w:color w:val="000000"/>
          <w:sz w:val="32"/>
          <w:szCs w:val="32"/>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64" w:name="_Toc513029210"/>
      <w:r>
        <w:rPr>
          <w:highlight w:val="none"/>
        </w:rPr>
      </w:r>
      <w:bookmarkStart w:id="65" w:name="_Toc16938526"/>
      <w:r>
        <w:rPr>
          <w:highlight w:val="none"/>
        </w:rPr>
      </w:r>
      <w:bookmarkStart w:id="66" w:name="_Toc20823282"/>
      <w:r>
        <w:rPr>
          <w:rFonts w:hint="eastAsia" w:ascii="Arial" w:hAnsi="Arial" w:eastAsia="黑体" w:cs="Arial"/>
          <w:color w:val="000000"/>
          <w:sz w:val="28"/>
          <w:szCs w:val="28"/>
          <w:highlight w:val="none"/>
        </w:rPr>
        <w:t xml:space="preserve">6.磋商文件构成</w:t>
      </w:r>
      <w:bookmarkEnd w:id="64"/>
      <w:r>
        <w:rPr>
          <w:highlight w:val="none"/>
        </w:rPr>
      </w:r>
      <w:bookmarkEnd w:id="65"/>
      <w:r>
        <w:rPr>
          <w:highlight w:val="none"/>
        </w:rPr>
      </w:r>
      <w:bookmarkEnd w:id="66"/>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rPr>
          <w:rFonts w:hint="eastAsia" w:ascii="宋体" w:hAnsi="宋体"/>
          <w:color w:val="000000"/>
          <w:sz w:val="24"/>
          <w:szCs w:val="21"/>
          <w:highlight w:val="none"/>
        </w:rPr>
      </w:r>
      <w:r>
        <w:rPr>
          <w:highlight w:val="none"/>
        </w:rPr>
      </w:r>
    </w:p>
    <w:p>
      <w:pPr>
        <w:pStyle w:val="662"/>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rPr>
          <w:highlight w:val="none"/>
        </w:rPr>
      </w:r>
    </w:p>
    <w:p>
      <w:pPr>
        <w:pStyle w:val="662"/>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rPr>
          <w:highlight w:val="none"/>
        </w:rPr>
      </w:r>
    </w:p>
    <w:p>
      <w:pPr>
        <w:pStyle w:val="662"/>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（3）采购需求</w:t>
      </w:r>
      <w:r>
        <w:rPr>
          <w:rFonts w:hint="eastAsia" w:ascii="宋体" w:hAnsi="宋体"/>
          <w:color w:val="000000"/>
          <w:sz w:val="24"/>
          <w:szCs w:val="24"/>
          <w:highlight w:val="none"/>
        </w:rPr>
      </w:r>
      <w:r>
        <w:rPr>
          <w:highlight w:val="none"/>
        </w:rPr>
      </w:r>
    </w:p>
    <w:p>
      <w:pPr>
        <w:pStyle w:val="662"/>
        <w:ind w:firstLine="360"/>
        <w:spacing w:line="52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（4）</w:t>
      </w:r>
      <w:r>
        <w:rPr>
          <w:rFonts w:hint="eastAsia" w:ascii="Times New Roman" w:hAnsi="宋体"/>
          <w:color w:val="000000"/>
          <w:sz w:val="24"/>
          <w:szCs w:val="24"/>
          <w:highlight w:val="none"/>
        </w:rPr>
        <w:t xml:space="preserve">评审方法与评审标准</w:t>
      </w:r>
      <w:r>
        <w:rPr>
          <w:rFonts w:hint="eastAsia" w:ascii="Times New Roman" w:hAnsi="Times New Roman"/>
          <w:color w:val="000000"/>
          <w:sz w:val="24"/>
          <w:szCs w:val="24"/>
          <w:highlight w:val="none"/>
        </w:rPr>
      </w:r>
      <w:r>
        <w:rPr>
          <w:highlight w:val="none"/>
        </w:rPr>
      </w:r>
    </w:p>
    <w:p>
      <w:pPr>
        <w:pStyle w:val="662"/>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（5）响应文件格式</w:t>
      </w:r>
      <w:r>
        <w:rPr>
          <w:rFonts w:hint="eastAsia" w:ascii="宋体" w:hAnsi="宋体"/>
          <w:color w:val="000000"/>
          <w:sz w:val="24"/>
          <w:szCs w:val="24"/>
          <w:highlight w:val="none"/>
        </w:rPr>
      </w:r>
      <w:r>
        <w:rPr>
          <w:highlight w:val="none"/>
        </w:rPr>
      </w:r>
    </w:p>
    <w:p>
      <w:pPr>
        <w:pStyle w:val="662"/>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（6）附件（如有）</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请仔细检查磋商文件是否齐全，如有缺漏请立即与采购人或采购代理机构联系解决。</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rPr>
          <w:highlight w:val="none"/>
        </w:rPr>
      </w:r>
    </w:p>
    <w:p>
      <w:pPr>
        <w:pStyle w:val="662"/>
        <w:ind w:firstLine="560"/>
        <w:keepLines/>
        <w:keepNext/>
        <w:spacing w:line="520" w:lineRule="exact"/>
        <w:rPr>
          <w:rFonts w:hint="eastAsia" w:ascii="Arial" w:hAnsi="Arial" w:eastAsia="黑体" w:cs="Arial"/>
          <w:color w:val="000000"/>
          <w:sz w:val="28"/>
          <w:szCs w:val="28"/>
          <w:highlight w:val="none"/>
        </w:rPr>
        <w:outlineLvl w:val="3"/>
      </w:pPr>
      <w:r>
        <w:rPr>
          <w:highlight w:val="none"/>
        </w:rPr>
      </w:r>
      <w:bookmarkStart w:id="67" w:name="_Toc513029211"/>
      <w:r>
        <w:rPr>
          <w:highlight w:val="none"/>
        </w:rPr>
      </w:r>
      <w:bookmarkStart w:id="68" w:name="_Toc16938527"/>
      <w:r>
        <w:rPr>
          <w:highlight w:val="none"/>
        </w:rPr>
      </w:r>
      <w:bookmarkStart w:id="69" w:name="_Toc462564070"/>
      <w:r>
        <w:rPr>
          <w:highlight w:val="none"/>
        </w:rPr>
      </w:r>
      <w:bookmarkStart w:id="70" w:name="_Toc20823283"/>
      <w:r>
        <w:rPr>
          <w:rFonts w:hint="eastAsia" w:ascii="Arial" w:hAnsi="Arial" w:eastAsia="黑体" w:cs="Arial"/>
          <w:color w:val="000000"/>
          <w:sz w:val="28"/>
          <w:szCs w:val="28"/>
          <w:highlight w:val="none"/>
        </w:rPr>
        <w:t xml:space="preserve">7.磋商文件的澄清</w:t>
      </w:r>
      <w:bookmarkEnd w:id="67"/>
      <w:r>
        <w:rPr>
          <w:highlight w:val="none"/>
        </w:rPr>
      </w:r>
      <w:bookmarkEnd w:id="68"/>
      <w:r>
        <w:rPr>
          <w:highlight w:val="none"/>
        </w:rPr>
      </w:r>
      <w:bookmarkEnd w:id="69"/>
      <w:r>
        <w:rPr>
          <w:highlight w:val="none"/>
        </w:rPr>
      </w:r>
      <w:bookmarkEnd w:id="70"/>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按磋商公告中的通讯地址，以书面形式通知采购人或采购代理机构。</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eastAsia="宋体"/>
          <w:color w:val="000000"/>
          <w:sz w:val="24"/>
          <w:szCs w:val="24"/>
          <w:highlight w:val="none"/>
        </w:rPr>
      </w:pPr>
      <w:r>
        <w:rPr>
          <w:rFonts w:hint="eastAsia" w:ascii="宋体" w:hAnsi="宋体"/>
          <w:color w:val="000000"/>
          <w:sz w:val="24"/>
          <w:szCs w:val="21"/>
          <w:highlight w:val="none"/>
        </w:rPr>
        <w:t xml:space="preserve">7.2采购人视情组织答疑会。</w:t>
      </w:r>
      <w:r>
        <w:rPr>
          <w:rFonts w:hint="eastAsia" w:ascii="宋体" w:hAnsi="宋体" w:eastAsia="宋体"/>
          <w:color w:val="000000"/>
          <w:sz w:val="24"/>
          <w:szCs w:val="24"/>
          <w:highlight w:val="none"/>
          <w:lang w:eastAsia="zh-CN"/>
        </w:rPr>
      </w:r>
      <w:r>
        <w:rPr>
          <w:highlight w:val="none"/>
        </w:rPr>
      </w:r>
    </w:p>
    <w:p>
      <w:pPr>
        <w:pStyle w:val="662"/>
        <w:ind w:firstLine="560"/>
        <w:keepLines/>
        <w:keepNext/>
        <w:spacing w:line="520" w:lineRule="exact"/>
        <w:rPr>
          <w:rFonts w:hint="eastAsia" w:ascii="Arial" w:hAnsi="Arial" w:eastAsia="黑体" w:cs="Arial"/>
          <w:color w:val="000000"/>
          <w:sz w:val="28"/>
          <w:szCs w:val="28"/>
          <w:highlight w:val="none"/>
        </w:rPr>
        <w:outlineLvl w:val="3"/>
      </w:pPr>
      <w:r>
        <w:rPr>
          <w:highlight w:val="none"/>
        </w:rPr>
      </w:r>
      <w:bookmarkStart w:id="71" w:name="_Toc513029212"/>
      <w:r>
        <w:rPr>
          <w:highlight w:val="none"/>
        </w:rPr>
      </w:r>
      <w:bookmarkStart w:id="72" w:name="_Toc20823284"/>
      <w:r>
        <w:rPr>
          <w:highlight w:val="none"/>
        </w:rPr>
      </w:r>
      <w:bookmarkStart w:id="73" w:name="_Toc16938528"/>
      <w:r>
        <w:rPr>
          <w:highlight w:val="none"/>
        </w:rPr>
      </w:r>
      <w:bookmarkStart w:id="74" w:name="_Toc462564071"/>
      <w:r>
        <w:rPr>
          <w:rFonts w:hint="eastAsia" w:ascii="Arial" w:hAnsi="Arial" w:eastAsia="黑体" w:cs="Arial"/>
          <w:color w:val="000000"/>
          <w:sz w:val="28"/>
          <w:szCs w:val="28"/>
          <w:highlight w:val="none"/>
        </w:rPr>
        <w:t xml:space="preserve">8.磋商文件的澄清和修改</w:t>
      </w:r>
      <w:bookmarkEnd w:id="71"/>
      <w:r>
        <w:rPr>
          <w:highlight w:val="none"/>
        </w:rPr>
      </w:r>
      <w:bookmarkEnd w:id="72"/>
      <w:r>
        <w:rPr>
          <w:highlight w:val="none"/>
        </w:rPr>
      </w:r>
      <w:bookmarkEnd w:id="73"/>
      <w:r>
        <w:rPr>
          <w:highlight w:val="none"/>
        </w:rPr>
      </w:r>
      <w:bookmarkEnd w:id="74"/>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，采购人或采购代理机构可以对磋商文件进行澄清和修改,</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更正公告内容将作为磋商文件的组成部分，并对供应商具有约束力。不足5日的，采购人将顺延提交首次响应文件截止时间。</w:t>
      </w:r>
      <w:r>
        <w:rPr>
          <w:rFonts w:hint="eastAsia" w:ascii="宋体" w:hAnsi="宋体"/>
          <w:color w:val="000000"/>
          <w:sz w:val="24"/>
          <w:szCs w:val="21"/>
          <w:highlight w:val="none"/>
        </w:rPr>
      </w:r>
      <w:r>
        <w:rPr>
          <w:highlight w:val="none"/>
        </w:rPr>
      </w:r>
    </w:p>
    <w:p>
      <w:pPr>
        <w:pStyle w:val="662"/>
        <w:ind w:firstLine="482"/>
        <w:keepLines/>
        <w:keepNext/>
        <w:spacing w:line="520" w:lineRule="exact"/>
        <w:rPr>
          <w:rFonts w:hint="eastAsia" w:ascii="Times New Roman" w:hAnsi="Times New Roman"/>
          <w:b/>
          <w:bCs/>
          <w:color w:val="000000"/>
          <w:sz w:val="32"/>
          <w:szCs w:val="32"/>
          <w:highlight w:val="none"/>
        </w:rPr>
        <w:outlineLvl w:val="1"/>
      </w:pPr>
      <w:r>
        <w:rPr>
          <w:highlight w:val="none"/>
        </w:rPr>
      </w:r>
      <w:bookmarkStart w:id="75" w:name="_Toc16938529"/>
      <w:r>
        <w:rPr>
          <w:highlight w:val="none"/>
        </w:rPr>
      </w:r>
      <w:bookmarkStart w:id="76" w:name="_Toc462564072"/>
      <w:r>
        <w:rPr>
          <w:highlight w:val="none"/>
        </w:rPr>
      </w:r>
      <w:bookmarkStart w:id="77" w:name="_Toc20823285"/>
      <w:r>
        <w:rPr>
          <w:highlight w:val="none"/>
        </w:rPr>
      </w:r>
      <w:bookmarkStart w:id="78" w:name="_Toc513029213"/>
      <w:r>
        <w:rPr>
          <w:highlight w:val="none"/>
        </w:rPr>
      </w:r>
      <w:bookmarkStart w:id="79" w:name="_Toc120614216"/>
      <w:r>
        <w:rPr>
          <w:rFonts w:hint="eastAsia" w:ascii="Times New Roman" w:hAnsi="Times New Roman"/>
          <w:b/>
          <w:bCs/>
          <w:color w:val="000000"/>
          <w:sz w:val="32"/>
          <w:szCs w:val="32"/>
          <w:highlight w:val="none"/>
        </w:rPr>
        <w:t xml:space="preserve">三、响应文件的编制</w:t>
      </w:r>
      <w:bookmarkEnd w:id="75"/>
      <w:r>
        <w:rPr>
          <w:highlight w:val="none"/>
        </w:rPr>
      </w:r>
      <w:bookmarkEnd w:id="76"/>
      <w:r>
        <w:rPr>
          <w:highlight w:val="none"/>
        </w:rPr>
      </w:r>
      <w:bookmarkEnd w:id="77"/>
      <w:r>
        <w:rPr>
          <w:highlight w:val="none"/>
        </w:rPr>
      </w:r>
      <w:bookmarkEnd w:id="78"/>
      <w:r>
        <w:rPr>
          <w:highlight w:val="none"/>
        </w:rPr>
      </w:r>
      <w:bookmarkEnd w:id="79"/>
      <w:r>
        <w:rPr>
          <w:rFonts w:hint="eastAsia" w:ascii="Times New Roman" w:hAnsi="Times New Roman"/>
          <w:b/>
          <w:bCs/>
          <w:color w:val="000000"/>
          <w:sz w:val="32"/>
          <w:szCs w:val="32"/>
          <w:highlight w:val="none"/>
        </w:rPr>
      </w:r>
      <w:r>
        <w:rPr>
          <w:highlight w:val="none"/>
        </w:rPr>
      </w:r>
    </w:p>
    <w:p>
      <w:pPr>
        <w:pStyle w:val="662"/>
        <w:ind w:firstLine="560"/>
        <w:keepLines/>
        <w:keepNext/>
        <w:spacing w:line="520" w:lineRule="exact"/>
        <w:rPr>
          <w:rFonts w:hint="eastAsia" w:ascii="Arial" w:hAnsi="Arial" w:eastAsia="黑体" w:cs="Arial"/>
          <w:b/>
          <w:color w:val="000000"/>
          <w:sz w:val="28"/>
          <w:szCs w:val="28"/>
          <w:highlight w:val="none"/>
        </w:rPr>
        <w:outlineLvl w:val="3"/>
      </w:pPr>
      <w:r>
        <w:rPr>
          <w:highlight w:val="none"/>
        </w:rPr>
      </w:r>
      <w:bookmarkStart w:id="80" w:name="_Toc16938530"/>
      <w:r>
        <w:rPr>
          <w:highlight w:val="none"/>
        </w:rPr>
      </w:r>
      <w:bookmarkStart w:id="81" w:name="_Toc20823286"/>
      <w:r>
        <w:rPr>
          <w:highlight w:val="none"/>
        </w:rPr>
      </w:r>
      <w:bookmarkStart w:id="82" w:name="_Toc513029214"/>
      <w:r>
        <w:rPr>
          <w:highlight w:val="none"/>
        </w:rPr>
      </w:r>
      <w:bookmarkStart w:id="83" w:name="_Toc462564073"/>
      <w:r>
        <w:rPr>
          <w:rFonts w:hint="eastAsia" w:ascii="Arial" w:hAnsi="Arial" w:eastAsia="黑体" w:cs="Arial"/>
          <w:color w:val="000000"/>
          <w:sz w:val="28"/>
          <w:szCs w:val="28"/>
          <w:highlight w:val="none"/>
        </w:rPr>
        <w:t xml:space="preserve">9.响应文件的语言及度量衡单位</w:t>
      </w:r>
      <w:bookmarkEnd w:id="80"/>
      <w:r>
        <w:rPr>
          <w:highlight w:val="none"/>
        </w:rPr>
      </w:r>
      <w:bookmarkEnd w:id="81"/>
      <w:r>
        <w:rPr>
          <w:highlight w:val="none"/>
        </w:rPr>
      </w:r>
      <w:bookmarkEnd w:id="82"/>
      <w:r>
        <w:rPr>
          <w:highlight w:val="none"/>
        </w:rPr>
      </w:r>
      <w:bookmarkEnd w:id="83"/>
      <w:r>
        <w:rPr>
          <w:rFonts w:hint="eastAsia" w:ascii="Arial" w:hAnsi="Arial" w:eastAsia="黑体" w:cs="Arial"/>
          <w:b/>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供应商提交的响应文件以及供应商与采购人就有关磋商的所有来往通知、函件和文件均应使用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rPr>
          <w:rFonts w:hint="eastAsia" w:ascii="宋体" w:hAnsi="宋体"/>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84" w:name="_Toc513029215"/>
      <w:r>
        <w:rPr>
          <w:highlight w:val="none"/>
        </w:rPr>
      </w:r>
      <w:bookmarkStart w:id="85" w:name="_Toc16938531"/>
      <w:r>
        <w:rPr>
          <w:highlight w:val="none"/>
        </w:rPr>
      </w:r>
      <w:bookmarkStart w:id="86" w:name="_Toc462564074"/>
      <w:r>
        <w:rPr>
          <w:highlight w:val="none"/>
        </w:rPr>
      </w:r>
      <w:bookmarkStart w:id="87" w:name="_Toc20823287"/>
      <w:r>
        <w:rPr>
          <w:rFonts w:hint="eastAsia" w:ascii="Arial" w:hAnsi="Arial" w:eastAsia="黑体" w:cs="Arial"/>
          <w:color w:val="000000"/>
          <w:sz w:val="28"/>
          <w:szCs w:val="28"/>
          <w:highlight w:val="none"/>
        </w:rPr>
        <w:t xml:space="preserve">10.响应文件构成</w:t>
      </w:r>
      <w:bookmarkEnd w:id="84"/>
      <w:r>
        <w:rPr>
          <w:highlight w:val="none"/>
        </w:rPr>
      </w:r>
      <w:bookmarkEnd w:id="85"/>
      <w:r>
        <w:rPr>
          <w:highlight w:val="none"/>
        </w:rPr>
      </w:r>
      <w:bookmarkEnd w:id="86"/>
      <w:r>
        <w:rPr>
          <w:highlight w:val="none"/>
        </w:rPr>
      </w:r>
      <w:bookmarkEnd w:id="87"/>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88" w:name="_Hlt26954838"/>
      <w:r>
        <w:rPr>
          <w:highlight w:val="none"/>
        </w:rPr>
      </w:r>
      <w:bookmarkEnd w:id="88"/>
      <w:r>
        <w:rPr>
          <w:highlight w:val="none"/>
        </w:rPr>
      </w:r>
      <w:bookmarkStart w:id="89" w:name="_Hlt26670360"/>
      <w:r>
        <w:rPr>
          <w:highlight w:val="none"/>
        </w:rPr>
      </w:r>
      <w:bookmarkEnd w:id="89"/>
      <w:r>
        <w:rPr>
          <w:highlight w:val="none"/>
        </w:rPr>
      </w:r>
      <w:bookmarkStart w:id="90" w:name="_Hlt26668975"/>
      <w:r>
        <w:rPr>
          <w:highlight w:val="none"/>
        </w:rPr>
      </w:r>
      <w:bookmarkEnd w:id="90"/>
      <w:r>
        <w:rPr>
          <w:highlight w:val="none"/>
        </w:rPr>
      </w:r>
      <w:bookmarkStart w:id="91" w:name="_Toc49090509"/>
      <w:r>
        <w:rPr>
          <w:highlight w:val="none"/>
        </w:rPr>
      </w:r>
      <w:bookmarkStart w:id="92" w:name="_Toc513029219"/>
      <w:r>
        <w:rPr>
          <w:highlight w:val="none"/>
        </w:rPr>
      </w:r>
      <w:bookmarkStart w:id="93" w:name="_Toc14577357"/>
      <w:r>
        <w:rPr>
          <w:highlight w:val="none"/>
        </w:rPr>
      </w:r>
      <w:bookmarkStart w:id="94" w:name="_Toc513029216"/>
      <w:r>
        <w:rPr>
          <w:highlight w:val="none"/>
        </w:rPr>
      </w:r>
      <w:bookmarkStart w:id="95" w:name="_Toc49090507"/>
      <w:r>
        <w:rPr>
          <w:highlight w:val="none"/>
        </w:rPr>
      </w:r>
      <w:bookmarkStart w:id="96" w:name="_Toc14577354"/>
      <w:r>
        <w:rPr>
          <w:highlight w:val="none"/>
        </w:rPr>
      </w:r>
      <w:bookmarkStart w:id="97" w:name="_Toc49090508"/>
      <w:r>
        <w:rPr>
          <w:highlight w:val="none"/>
        </w:rPr>
      </w:r>
      <w:bookmarkStart w:id="98" w:name="_Toc14577355"/>
      <w:r>
        <w:rPr>
          <w:rFonts w:hint="eastAsia" w:ascii="Arial" w:hAnsi="Arial" w:eastAsia="黑体" w:cs="Arial"/>
          <w:color w:val="000000"/>
          <w:sz w:val="28"/>
          <w:szCs w:val="28"/>
          <w:highlight w:val="none"/>
        </w:rPr>
        <w:t xml:space="preserve">11.证明磋商响应标的符合磋商文件规定的文件</w:t>
      </w:r>
      <w:bookmarkEnd w:id="91"/>
      <w:r>
        <w:rPr>
          <w:highlight w:val="none"/>
        </w:rPr>
      </w:r>
      <w:bookmarkEnd w:id="92"/>
      <w:r>
        <w:rPr>
          <w:highlight w:val="none"/>
        </w:rPr>
      </w:r>
      <w:bookmarkEnd w:id="93"/>
      <w:r>
        <w:rPr>
          <w:rFonts w:hint="eastAsia" w:ascii="Arial" w:hAnsi="Arial" w:eastAsia="黑体" w:cs="Arial"/>
          <w:color w:val="000000"/>
          <w:sz w:val="28"/>
          <w:szCs w:val="28"/>
          <w:highlight w:val="none"/>
        </w:rPr>
      </w:r>
      <w:r>
        <w:rPr>
          <w:highlight w:val="none"/>
        </w:rPr>
      </w:r>
    </w:p>
    <w:p>
      <w:pPr>
        <w:pStyle w:val="662"/>
        <w:spacing w:line="520" w:lineRule="exact"/>
        <w:rPr>
          <w:rFonts w:hint="eastAsia" w:ascii="宋体" w:hAnsi="宋体"/>
          <w:color w:val="000000"/>
          <w:sz w:val="24"/>
          <w:szCs w:val="24"/>
          <w:highlight w:val="none"/>
        </w:rPr>
      </w:pPr>
      <w:r>
        <w:rPr>
          <w:highlight w:val="none"/>
        </w:rPr>
      </w:r>
      <w:bookmarkEnd w:id="94"/>
      <w:r>
        <w:rPr>
          <w:highlight w:val="none"/>
        </w:rPr>
      </w:r>
      <w:bookmarkEnd w:id="95"/>
      <w:r>
        <w:rPr>
          <w:highlight w:val="none"/>
        </w:rPr>
      </w:r>
      <w:bookmarkEnd w:id="96"/>
      <w:r>
        <w:rPr>
          <w:rFonts w:hint="eastAsia" w:ascii="宋体" w:hAnsi="宋体"/>
          <w:color w:val="000000"/>
          <w:sz w:val="24"/>
          <w:szCs w:val="24"/>
          <w:highlight w:val="none"/>
        </w:rPr>
        <w:t xml:space="preserve">    11.1供应商应按照磋商文件要求提交证明文件，证明其及磋商响应标的符合磋商文件规定。</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hint="eastAsia" w:ascii="宋体" w:hAnsi="宋体"/>
          <w:color w:val="000000"/>
          <w:sz w:val="24"/>
          <w:szCs w:val="24"/>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End w:id="97"/>
      <w:r>
        <w:rPr>
          <w:highlight w:val="none"/>
        </w:rPr>
      </w:r>
      <w:bookmarkEnd w:id="98"/>
      <w:r>
        <w:rPr>
          <w:rFonts w:hint="eastAsia" w:ascii="Arial" w:hAnsi="Arial" w:eastAsia="黑体" w:cs="Arial"/>
          <w:color w:val="000000"/>
          <w:sz w:val="28"/>
          <w:szCs w:val="28"/>
          <w:highlight w:val="none"/>
        </w:rPr>
        <w:t xml:space="preserve">12.分项报价表</w:t>
      </w:r>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供应商应按照磋商文件规定格式填报分项报价表。</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rPr>
          <w:rFonts w:hint="eastAsia" w:ascii="宋体" w:hAnsi="宋体"/>
          <w:bCs/>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99" w:name="_Hlt26670482"/>
      <w:r>
        <w:rPr>
          <w:highlight w:val="none"/>
        </w:rPr>
      </w:r>
      <w:bookmarkEnd w:id="99"/>
      <w:r>
        <w:rPr>
          <w:highlight w:val="none"/>
        </w:rPr>
      </w:r>
      <w:bookmarkStart w:id="100" w:name="_Hlt26954731"/>
      <w:r>
        <w:rPr>
          <w:highlight w:val="none"/>
        </w:rPr>
      </w:r>
      <w:bookmarkEnd w:id="100"/>
      <w:r>
        <w:rPr>
          <w:highlight w:val="none"/>
        </w:rPr>
      </w:r>
      <w:bookmarkStart w:id="101" w:name="_Hlt26954848"/>
      <w:r>
        <w:rPr>
          <w:highlight w:val="none"/>
        </w:rPr>
      </w:r>
      <w:bookmarkEnd w:id="101"/>
      <w:r>
        <w:rPr>
          <w:highlight w:val="none"/>
        </w:rPr>
      </w:r>
      <w:bookmarkStart w:id="102" w:name="_Hlt26954846"/>
      <w:r>
        <w:rPr>
          <w:highlight w:val="none"/>
        </w:rPr>
      </w:r>
      <w:bookmarkEnd w:id="102"/>
      <w:r>
        <w:rPr>
          <w:highlight w:val="none"/>
        </w:rPr>
      </w:r>
      <w:bookmarkStart w:id="103" w:name="_Hlt26670486"/>
      <w:r>
        <w:rPr>
          <w:highlight w:val="none"/>
        </w:rPr>
      </w:r>
      <w:bookmarkEnd w:id="103"/>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Arial" w:cs="宋体"/>
          <w:color w:val="000000"/>
          <w:sz w:val="24"/>
          <w:szCs w:val="21"/>
          <w:highlight w:val="none"/>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供应商需对磋商文件中的技术要求与商务要求逐项作出响应或偏离，并说明原因。</w:t>
      </w:r>
      <w:r>
        <w:rPr>
          <w:rFonts w:hint="eastAsia" w:ascii="宋体" w:hAnsi="Arial" w:cs="宋体"/>
          <w:color w:val="000000"/>
          <w:sz w:val="24"/>
          <w:szCs w:val="21"/>
          <w:highlight w:val="none"/>
          <w:lang w:val="zh-CN"/>
        </w:rPr>
      </w:r>
      <w:r>
        <w:rPr>
          <w:highlight w:val="none"/>
        </w:rPr>
      </w:r>
    </w:p>
    <w:p>
      <w:pPr>
        <w:pStyle w:val="662"/>
        <w:ind w:firstLine="480"/>
        <w:spacing w:line="520" w:lineRule="exact"/>
        <w:rPr>
          <w:rFonts w:hint="eastAsia" w:ascii="宋体" w:hAnsi="Arial" w:cs="宋体"/>
          <w:color w:val="000000"/>
          <w:sz w:val="24"/>
          <w:szCs w:val="21"/>
          <w:highlight w:val="none"/>
        </w:rPr>
      </w:pPr>
      <w:r>
        <w:rPr>
          <w:rFonts w:hint="eastAsia" w:ascii="宋体" w:hAnsi="Arial" w:cs="宋体"/>
          <w:color w:val="000000"/>
          <w:sz w:val="24"/>
          <w:szCs w:val="21"/>
          <w:highlight w:val="none"/>
          <w:lang w:val="zh-CN"/>
        </w:rPr>
        <w:t xml:space="preserve">13.2供应商可在响应文件中提供认为需要的其他技术文件或说明。</w:t>
      </w:r>
      <w:r>
        <w:rPr>
          <w:rFonts w:hint="eastAsia" w:ascii="宋体" w:hAnsi="Arial" w:cs="宋体"/>
          <w:color w:val="000000"/>
          <w:sz w:val="24"/>
          <w:szCs w:val="21"/>
          <w:highlight w:val="none"/>
          <w:lang w:val="zh-CN"/>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rPr>
          <w:rFonts w:hint="eastAsia" w:ascii="宋体" w:hAnsi="宋体"/>
          <w:color w:val="000000"/>
          <w:sz w:val="24"/>
          <w:szCs w:val="24"/>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104" w:name="_Toc49090510"/>
      <w:r>
        <w:rPr>
          <w:highlight w:val="none"/>
        </w:rPr>
      </w:r>
      <w:bookmarkStart w:id="105" w:name="_Toc14577359"/>
      <w:r>
        <w:rPr>
          <w:rFonts w:hint="eastAsia" w:ascii="Arial" w:hAnsi="Arial" w:eastAsia="黑体" w:cs="Arial"/>
          <w:color w:val="000000"/>
          <w:sz w:val="28"/>
          <w:szCs w:val="28"/>
          <w:highlight w:val="none"/>
        </w:rPr>
        <w:t xml:space="preserve">15.磋商响应函</w:t>
      </w:r>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r>
        <w:rPr>
          <w:rFonts w:hint="eastAsia" w:ascii="宋体" w:hAnsi="宋体"/>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End w:id="104"/>
      <w:r>
        <w:rPr>
          <w:highlight w:val="none"/>
        </w:rPr>
      </w:r>
      <w:bookmarkEnd w:id="105"/>
      <w:r>
        <w:rPr>
          <w:highlight w:val="none"/>
        </w:rPr>
      </w:r>
      <w:bookmarkStart w:id="106" w:name="_Toc49090511"/>
      <w:r>
        <w:rPr>
          <w:highlight w:val="none"/>
        </w:rPr>
      </w:r>
      <w:bookmarkStart w:id="107" w:name="_Toc14577360"/>
      <w:r>
        <w:rPr>
          <w:rFonts w:hint="eastAsia" w:ascii="Arial" w:hAnsi="Arial" w:eastAsia="黑体" w:cs="Arial"/>
          <w:color w:val="000000"/>
          <w:sz w:val="28"/>
          <w:szCs w:val="28"/>
          <w:highlight w:val="none"/>
        </w:rPr>
        <w:t xml:space="preserve">16.磋商有效期</w:t>
      </w:r>
      <w:bookmarkEnd w:id="106"/>
      <w:r>
        <w:rPr>
          <w:highlight w:val="none"/>
        </w:rPr>
      </w:r>
      <w:bookmarkEnd w:id="107"/>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16.1磋商有效期为采购人规定的提交响应文件截止之日后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。磋商有效期比规定短的将被视为非实质性响应磋商文件而予以拒绝。</w:t>
      </w:r>
      <w:r>
        <w:rPr>
          <w:rFonts w:hint="eastAsia" w:ascii="宋体" w:hAnsi="宋体"/>
          <w:bCs/>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rPr>
          <w:highlight w:val="none"/>
        </w:rPr>
      </w:r>
    </w:p>
    <w:p>
      <w:pPr>
        <w:pStyle w:val="662"/>
        <w:ind w:firstLine="482"/>
        <w:keepLines/>
        <w:keepNext/>
        <w:spacing w:line="520" w:lineRule="exact"/>
        <w:rPr>
          <w:rFonts w:hint="eastAsia" w:ascii="Times New Roman" w:hAnsi="Times New Roman"/>
          <w:b/>
          <w:bCs/>
          <w:color w:val="000000"/>
          <w:sz w:val="32"/>
          <w:szCs w:val="32"/>
          <w:highlight w:val="none"/>
        </w:rPr>
        <w:outlineLvl w:val="1"/>
      </w:pPr>
      <w:r>
        <w:rPr>
          <w:highlight w:val="none"/>
        </w:rPr>
      </w:r>
      <w:bookmarkStart w:id="108" w:name="_Hlt26954852"/>
      <w:r>
        <w:rPr>
          <w:highlight w:val="none"/>
        </w:rPr>
      </w:r>
      <w:bookmarkEnd w:id="108"/>
      <w:r>
        <w:rPr>
          <w:highlight w:val="none"/>
        </w:rPr>
      </w:r>
      <w:bookmarkStart w:id="109" w:name="_Hlt26954739"/>
      <w:r>
        <w:rPr>
          <w:highlight w:val="none"/>
        </w:rPr>
      </w:r>
      <w:bookmarkEnd w:id="109"/>
      <w:r>
        <w:rPr>
          <w:highlight w:val="none"/>
        </w:rPr>
      </w:r>
      <w:bookmarkStart w:id="110" w:name="_Toc120614217"/>
      <w:r>
        <w:rPr>
          <w:highlight w:val="none"/>
        </w:rPr>
      </w:r>
      <w:bookmarkStart w:id="111" w:name="_Toc20823296"/>
      <w:r>
        <w:rPr>
          <w:highlight w:val="none"/>
        </w:rPr>
      </w:r>
      <w:bookmarkStart w:id="112" w:name="_Toc513029224"/>
      <w:r>
        <w:rPr>
          <w:highlight w:val="none"/>
        </w:rPr>
      </w:r>
      <w:bookmarkStart w:id="113" w:name="_Toc16938540"/>
      <w:r>
        <w:rPr>
          <w:rFonts w:hint="eastAsia" w:ascii="Times New Roman" w:hAnsi="Times New Roman"/>
          <w:b/>
          <w:bCs/>
          <w:color w:val="000000"/>
          <w:sz w:val="32"/>
          <w:szCs w:val="32"/>
          <w:highlight w:val="none"/>
        </w:rPr>
        <w:t xml:space="preserve">四、响应文件的递交</w:t>
      </w:r>
      <w:bookmarkEnd w:id="110"/>
      <w:r>
        <w:rPr>
          <w:highlight w:val="none"/>
        </w:rPr>
      </w:r>
      <w:bookmarkEnd w:id="111"/>
      <w:r>
        <w:rPr>
          <w:highlight w:val="none"/>
        </w:rPr>
      </w:r>
      <w:bookmarkEnd w:id="112"/>
      <w:r>
        <w:rPr>
          <w:highlight w:val="none"/>
        </w:rPr>
      </w:r>
      <w:bookmarkEnd w:id="113"/>
      <w:r>
        <w:rPr>
          <w:rFonts w:hint="eastAsia" w:ascii="Times New Roman" w:hAnsi="Times New Roman"/>
          <w:b/>
          <w:bCs/>
          <w:color w:val="000000"/>
          <w:sz w:val="32"/>
          <w:szCs w:val="32"/>
          <w:highlight w:val="none"/>
        </w:rPr>
      </w:r>
      <w:r>
        <w:rPr>
          <w:highlight w:val="none"/>
        </w:rPr>
      </w:r>
    </w:p>
    <w:p>
      <w:pPr>
        <w:pStyle w:val="662"/>
        <w:ind w:firstLine="560"/>
        <w:keepLines/>
        <w:keepNext/>
        <w:spacing w:line="520" w:lineRule="exact"/>
        <w:rPr>
          <w:rFonts w:hint="eastAsia" w:ascii="黑体" w:hAnsi="Arial" w:eastAsia="黑体" w:cs="Arial"/>
          <w:color w:val="000000"/>
          <w:sz w:val="28"/>
          <w:szCs w:val="28"/>
          <w:highlight w:val="none"/>
        </w:rPr>
        <w:outlineLvl w:val="3"/>
      </w:pPr>
      <w:r>
        <w:rPr>
          <w:highlight w:val="none"/>
        </w:rPr>
      </w:r>
      <w:bookmarkStart w:id="114" w:name="_Toc462564084"/>
      <w:r>
        <w:rPr>
          <w:highlight w:val="none"/>
        </w:rPr>
      </w:r>
      <w:bookmarkStart w:id="115" w:name="_Toc513029225"/>
      <w:r>
        <w:rPr>
          <w:highlight w:val="none"/>
        </w:rPr>
      </w:r>
      <w:bookmarkStart w:id="116" w:name="_Toc20823297"/>
      <w:r>
        <w:rPr>
          <w:highlight w:val="none"/>
        </w:rPr>
      </w:r>
      <w:bookmarkStart w:id="117"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14"/>
      <w:r>
        <w:rPr>
          <w:highlight w:val="none"/>
        </w:rPr>
      </w:r>
      <w:bookmarkEnd w:id="115"/>
      <w:r>
        <w:rPr>
          <w:highlight w:val="none"/>
        </w:rPr>
      </w:r>
      <w:bookmarkEnd w:id="116"/>
      <w:r>
        <w:rPr>
          <w:highlight w:val="none"/>
        </w:rPr>
      </w:r>
      <w:bookmarkEnd w:id="117"/>
      <w:r>
        <w:rPr>
          <w:rFonts w:hint="eastAsia" w:ascii="黑体" w:hAnsi="Arial" w:eastAsia="黑体" w:cs="Arial"/>
          <w:color w:val="000000"/>
          <w:sz w:val="28"/>
          <w:szCs w:val="28"/>
          <w:highlight w:val="none"/>
        </w:rPr>
        <w:t xml:space="preserve">响应文件的递交</w:t>
      </w:r>
      <w:r>
        <w:rPr>
          <w:rFonts w:hint="eastAsia" w:ascii="黑体" w:hAnsi="Arial" w:eastAsia="黑体" w:cs="Arial"/>
          <w:color w:val="000000"/>
          <w:sz w:val="28"/>
          <w:szCs w:val="28"/>
          <w:highlight w:val="none"/>
        </w:rPr>
      </w:r>
      <w:r>
        <w:rPr>
          <w:highlight w:val="none"/>
        </w:rPr>
      </w:r>
    </w:p>
    <w:p>
      <w:pPr>
        <w:pStyle w:val="662"/>
        <w:ind w:firstLine="60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18" w:name="_Toc20823298"/>
      <w:r>
        <w:rPr>
          <w:highlight w:val="none"/>
        </w:rPr>
      </w:r>
      <w:bookmarkStart w:id="119" w:name="_Toc513029226"/>
      <w:r>
        <w:rPr>
          <w:highlight w:val="none"/>
        </w:rPr>
      </w:r>
      <w:bookmarkStart w:id="120" w:name="_Toc16938542"/>
      <w:r>
        <w:rPr>
          <w:rFonts w:ascii="宋体" w:hAnsi="宋体"/>
          <w:bCs/>
          <w:color w:val="000000"/>
          <w:sz w:val="24"/>
          <w:szCs w:val="21"/>
          <w:highlight w:val="none"/>
        </w:rPr>
      </w:r>
      <w:r>
        <w:rPr>
          <w:highlight w:val="none"/>
        </w:rPr>
      </w:r>
    </w:p>
    <w:p>
      <w:pPr>
        <w:pStyle w:val="662"/>
        <w:ind w:firstLine="560"/>
        <w:keepLines/>
        <w:keepNext/>
        <w:spacing w:line="52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18"/>
      <w:r>
        <w:rPr>
          <w:highlight w:val="none"/>
        </w:rPr>
      </w:r>
      <w:bookmarkEnd w:id="119"/>
      <w:r>
        <w:rPr>
          <w:highlight w:val="none"/>
        </w:rPr>
      </w:r>
      <w:bookmarkEnd w:id="120"/>
      <w:r>
        <w:rPr>
          <w:rFonts w:hint="eastAsia" w:ascii="宋体" w:hAnsi="宋体" w:eastAsia="黑体" w:cs="Arial"/>
          <w:bCs/>
          <w:color w:val="000000"/>
          <w:sz w:val="24"/>
          <w:szCs w:val="28"/>
          <w:highlight w:val="none"/>
        </w:rPr>
      </w:r>
      <w:r>
        <w:rPr>
          <w:highlight w:val="none"/>
        </w:rPr>
      </w:r>
    </w:p>
    <w:p>
      <w:pPr>
        <w:pStyle w:val="662"/>
        <w:ind w:firstLine="480"/>
        <w:spacing w:line="520" w:lineRule="exact"/>
        <w:rPr>
          <w:rFonts w:hint="eastAsia" w:ascii="宋体" w:hAnsi="宋体"/>
          <w:b/>
          <w:bCs/>
          <w:color w:val="000000"/>
          <w:sz w:val="24"/>
          <w:szCs w:val="21"/>
          <w:highlight w:val="none"/>
          <w:u w:val="singl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.1</w:t>
      </w:r>
      <w:r>
        <w:rPr>
          <w:rFonts w:hint="eastAsia" w:ascii="宋体" w:hAnsi="宋体"/>
          <w:b/>
          <w:bCs/>
          <w:color w:val="000000"/>
          <w:sz w:val="24"/>
          <w:szCs w:val="21"/>
          <w:highlight w:val="none"/>
          <w:u w:val="single"/>
        </w:rPr>
        <w:t xml:space="preserve">供应商上传电子响应文件的时间不得迟于磋商公告中规定的提交响应文件截止时间。</w:t>
      </w:r>
      <w:r>
        <w:rPr>
          <w:rFonts w:hint="eastAsia" w:ascii="宋体" w:hAnsi="宋体"/>
          <w:b/>
          <w:bCs/>
          <w:color w:val="000000"/>
          <w:sz w:val="24"/>
          <w:szCs w:val="21"/>
          <w:highlight w:val="none"/>
          <w:u w:val="singl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121" w:name="_Toc513029227"/>
      <w:r>
        <w:rPr>
          <w:highlight w:val="none"/>
        </w:rPr>
      </w:r>
      <w:bookmarkStart w:id="122" w:name="_Toc20823299"/>
      <w:r>
        <w:rPr>
          <w:highlight w:val="none"/>
        </w:rPr>
      </w:r>
      <w:bookmarkStart w:id="123"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121"/>
      <w:r>
        <w:rPr>
          <w:highlight w:val="none"/>
        </w:rPr>
      </w:r>
      <w:bookmarkEnd w:id="122"/>
      <w:r>
        <w:rPr>
          <w:highlight w:val="none"/>
        </w:rPr>
      </w:r>
      <w:bookmarkEnd w:id="123"/>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采购人拒绝接收在其规定的提交响应文件截止时间后上传的任何电子响应文件。</w:t>
      </w:r>
      <w:r>
        <w:rPr>
          <w:rFonts w:hint="eastAsia" w:ascii="宋体" w:hAnsi="宋体"/>
          <w:bCs/>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124" w:name="_Toc20823300"/>
      <w:r>
        <w:rPr>
          <w:highlight w:val="none"/>
        </w:rPr>
      </w:r>
      <w:bookmarkStart w:id="125" w:name="_Toc513029228"/>
      <w:r>
        <w:rPr>
          <w:highlight w:val="none"/>
        </w:rPr>
      </w:r>
      <w:bookmarkStart w:id="126"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124"/>
      <w:r>
        <w:rPr>
          <w:highlight w:val="none"/>
        </w:rPr>
      </w:r>
      <w:bookmarkEnd w:id="125"/>
      <w:r>
        <w:rPr>
          <w:highlight w:val="none"/>
        </w:rPr>
      </w:r>
      <w:bookmarkEnd w:id="126"/>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1"/>
          <w:highlight w:val="none"/>
        </w:rPr>
      </w:r>
      <w:r>
        <w:rPr>
          <w:highlight w:val="none"/>
        </w:rPr>
      </w:r>
    </w:p>
    <w:p>
      <w:pPr>
        <w:pStyle w:val="662"/>
        <w:ind w:firstLine="482"/>
        <w:keepLines/>
        <w:keepNext/>
        <w:spacing w:line="520" w:lineRule="exact"/>
        <w:rPr>
          <w:rFonts w:hint="eastAsia" w:ascii="Times New Roman" w:hAnsi="Times New Roman"/>
          <w:b/>
          <w:bCs/>
          <w:color w:val="000000"/>
          <w:sz w:val="32"/>
          <w:szCs w:val="32"/>
          <w:highlight w:val="none"/>
        </w:rPr>
        <w:outlineLvl w:val="1"/>
      </w:pPr>
      <w:r>
        <w:rPr>
          <w:highlight w:val="none"/>
        </w:rPr>
      </w:r>
      <w:bookmarkStart w:id="127" w:name="_Toc513029229"/>
      <w:r>
        <w:rPr>
          <w:highlight w:val="none"/>
        </w:rPr>
      </w:r>
      <w:bookmarkStart w:id="128" w:name="_Toc16938545"/>
      <w:r>
        <w:rPr>
          <w:highlight w:val="none"/>
        </w:rPr>
      </w:r>
      <w:bookmarkStart w:id="129" w:name="_Toc20823301"/>
      <w:r>
        <w:rPr>
          <w:highlight w:val="none"/>
        </w:rPr>
      </w:r>
      <w:bookmarkStart w:id="130" w:name="_Toc120614218"/>
      <w:r>
        <w:rPr>
          <w:rFonts w:hint="eastAsia" w:ascii="Times New Roman" w:hAnsi="Times New Roman"/>
          <w:b/>
          <w:bCs/>
          <w:color w:val="000000"/>
          <w:sz w:val="32"/>
          <w:szCs w:val="32"/>
          <w:highlight w:val="none"/>
        </w:rPr>
        <w:t xml:space="preserve">五、响应文件的解密与评审</w:t>
      </w:r>
      <w:bookmarkEnd w:id="127"/>
      <w:r>
        <w:rPr>
          <w:highlight w:val="none"/>
        </w:rPr>
      </w:r>
      <w:bookmarkEnd w:id="128"/>
      <w:r>
        <w:rPr>
          <w:highlight w:val="none"/>
        </w:rPr>
      </w:r>
      <w:bookmarkEnd w:id="129"/>
      <w:r>
        <w:rPr>
          <w:highlight w:val="none"/>
        </w:rPr>
      </w:r>
      <w:bookmarkEnd w:id="130"/>
      <w:r>
        <w:rPr>
          <w:rFonts w:hint="eastAsia" w:ascii="Times New Roman" w:hAnsi="Times New Roman"/>
          <w:b/>
          <w:bCs/>
          <w:color w:val="000000"/>
          <w:sz w:val="32"/>
          <w:szCs w:val="32"/>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131" w:name="_Toc16938546"/>
      <w:r>
        <w:rPr>
          <w:highlight w:val="none"/>
        </w:rPr>
      </w:r>
      <w:bookmarkStart w:id="132" w:name="_Toc20823302"/>
      <w:r>
        <w:rPr>
          <w:highlight w:val="none"/>
        </w:rPr>
      </w:r>
      <w:bookmarkStart w:id="133" w:name="_Toc513029230"/>
      <w:r>
        <w:rPr>
          <w:rFonts w:hint="eastAsia" w:ascii="Arial" w:hAnsi="Arial" w:eastAsia="黑体" w:cs="Arial"/>
          <w:color w:val="000000"/>
          <w:sz w:val="28"/>
          <w:szCs w:val="28"/>
          <w:highlight w:val="none"/>
        </w:rPr>
        <w:t xml:space="preserve">22</w:t>
      </w:r>
      <w:bookmarkEnd w:id="131"/>
      <w:r>
        <w:rPr>
          <w:highlight w:val="none"/>
        </w:rPr>
      </w:r>
      <w:bookmarkEnd w:id="132"/>
      <w:r>
        <w:rPr>
          <w:highlight w:val="none"/>
        </w:rPr>
      </w:r>
      <w:bookmarkEnd w:id="133"/>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rPr>
          <w:highlight w:val="none"/>
        </w:rPr>
      </w:r>
    </w:p>
    <w:p>
      <w:pPr>
        <w:pStyle w:val="662"/>
        <w:ind w:firstLine="360"/>
        <w:spacing w:line="520" w:lineRule="exact"/>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szCs w:val="24"/>
          <w:highlight w:val="none"/>
        </w:rPr>
        <w:t xml:space="preserve">供应商应当按照《操作手册》规定，在苏采云系统规定的时间内对磋商响应文件进行解密。</w:t>
      </w:r>
      <w:r>
        <w:rPr>
          <w:rFonts w:hint="eastAsia" w:ascii="Times New Roman" w:hAnsi="Times New Roman"/>
          <w:color w:val="000000"/>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134" w:name="_Toc513029231"/>
      <w:r>
        <w:rPr>
          <w:highlight w:val="none"/>
        </w:rPr>
      </w:r>
      <w:bookmarkStart w:id="135" w:name="_Toc20823303"/>
      <w:r>
        <w:rPr>
          <w:highlight w:val="none"/>
        </w:rPr>
      </w:r>
      <w:bookmarkStart w:id="136"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rPr>
          <w:rFonts w:hint="eastAsia" w:ascii="Arial" w:hAnsi="Arial" w:eastAsia="黑体" w:cs="Arial"/>
          <w:color w:val="000000"/>
          <w:sz w:val="28"/>
          <w:szCs w:val="28"/>
          <w:highlight w:val="none"/>
        </w:rPr>
      </w:r>
      <w:r>
        <w:rPr>
          <w:highlight w:val="none"/>
        </w:rPr>
      </w:r>
    </w:p>
    <w:p>
      <w:pPr>
        <w:pStyle w:val="662"/>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rPr>
          <w:highlight w:val="none"/>
        </w:rPr>
      </w:r>
    </w:p>
    <w:p>
      <w:pPr>
        <w:pStyle w:val="662"/>
        <w:spacing w:line="52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rPr>
          <w:highlight w:val="none"/>
        </w:rPr>
      </w:r>
    </w:p>
    <w:p>
      <w:pPr>
        <w:pStyle w:val="662"/>
        <w:ind w:firstLine="420"/>
        <w:keepLines/>
        <w:keepNext/>
        <w:spacing w:line="52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highlight w:val="none"/>
        </w:rPr>
      </w:r>
      <w:bookmarkEnd w:id="134"/>
      <w:r>
        <w:rPr>
          <w:highlight w:val="none"/>
        </w:rPr>
      </w:r>
      <w:bookmarkEnd w:id="135"/>
      <w:r>
        <w:rPr>
          <w:highlight w:val="none"/>
        </w:rPr>
      </w:r>
      <w:bookmarkEnd w:id="136"/>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在评审过程中，供应商不得以任何行为影响磋商评审过程，否则其响应文件将被作为无效响应文件。</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szCs w:val="24"/>
          <w:highlight w:val="none"/>
        </w:rPr>
        <w:t xml:space="preserve">在项目评审期间，采购代理机构将设专门人员与供应商联系。</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 采购人和磋商小组不向未成交的供应商解释未成交原因，也不公布评审过程中的相关细节。</w:t>
      </w:r>
      <w:r>
        <w:rPr>
          <w:rFonts w:hint="eastAsia" w:ascii="宋体" w:hAnsi="宋体"/>
          <w:color w:val="000000"/>
          <w:sz w:val="24"/>
          <w:szCs w:val="24"/>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137" w:name="_Toc513029232"/>
      <w:r>
        <w:rPr>
          <w:highlight w:val="none"/>
        </w:rPr>
      </w:r>
      <w:bookmarkStart w:id="138" w:name="_Toc16938548"/>
      <w:r>
        <w:rPr>
          <w:highlight w:val="none"/>
        </w:rPr>
      </w:r>
      <w:bookmarkStart w:id="139"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.评审过程中的的澄清</w:t>
      </w:r>
      <w:bookmarkEnd w:id="137"/>
      <w:r>
        <w:rPr>
          <w:highlight w:val="none"/>
        </w:rPr>
      </w:r>
      <w:bookmarkEnd w:id="138"/>
      <w:r>
        <w:rPr>
          <w:highlight w:val="none"/>
        </w:rPr>
      </w:r>
      <w:bookmarkEnd w:id="139"/>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rPr>
          <w:highlight w:val="none"/>
        </w:rPr>
      </w:r>
    </w:p>
    <w:p>
      <w:pPr>
        <w:pStyle w:val="662"/>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rPr>
          <w:highlight w:val="none"/>
        </w:rPr>
      </w:r>
    </w:p>
    <w:p>
      <w:pPr>
        <w:pStyle w:val="66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rPr>
          <w:highlight w:val="none"/>
        </w:rPr>
      </w:r>
    </w:p>
    <w:p>
      <w:pPr>
        <w:pStyle w:val="66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color w:val="000000"/>
          <w:sz w:val="24"/>
          <w:szCs w:val="24"/>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highlight w:val="none"/>
        </w:rPr>
      </w:r>
      <w:bookmarkStart w:id="140" w:name="_Toc16938549"/>
      <w:r>
        <w:rPr>
          <w:highlight w:val="none"/>
        </w:rPr>
      </w:r>
      <w:bookmarkStart w:id="141" w:name="_Toc20823305"/>
      <w:r>
        <w:rPr>
          <w:highlight w:val="none"/>
        </w:rPr>
      </w:r>
      <w:bookmarkStart w:id="142" w:name="_Toc51302923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140"/>
      <w:r>
        <w:rPr>
          <w:highlight w:val="none"/>
        </w:rPr>
      </w:r>
      <w:bookmarkEnd w:id="141"/>
      <w:r>
        <w:rPr>
          <w:highlight w:val="none"/>
        </w:rPr>
      </w:r>
      <w:bookmarkEnd w:id="142"/>
      <w:r>
        <w:rPr>
          <w:rFonts w:hint="eastAsia" w:ascii="Arial" w:hAnsi="Arial" w:eastAsia="黑体" w:cs="Arial"/>
          <w:color w:val="000000"/>
          <w:sz w:val="28"/>
          <w:szCs w:val="28"/>
          <w:highlight w:val="none"/>
        </w:rPr>
        <w:t xml:space="preserve">查</w:t>
      </w:r>
      <w:r>
        <w:rPr>
          <w:rFonts w:hint="eastAsia" w:ascii="Arial" w:hAnsi="Arial" w:eastAsia="黑体" w:cs="Arial"/>
          <w:color w:val="000000"/>
          <w:sz w:val="28"/>
          <w:szCs w:val="28"/>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资格审查：由采购人依据法律法规和磋商文件的规定，对响应文件中的资格证明文件进行审查，以确定供应商是否具备参加磋商的资格。</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采购人在进行资格审查的同时，将在“信用中国”网站（www.creditchina.gov.cn）查询供应商的信用记录，以确定供应商是否具备磋商资格,查询结果留存并归档。</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未通过资格审查或符合性审查的供应商，采购代理机构将在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26.6磋商小组将对确定为实质性响应的文件进行进一步审核，看其是否有计算上或累加上的算术错误，修正错误的原则如下：</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（1）响应文件中报价总表内容与响应文件中相应内容不一致的，以报价总表为准。</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（3）单价金额小数点或者百分比有明显错位的，以报价总表的总价为准，并修改单价。</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color w:val="000000"/>
          <w:sz w:val="24"/>
          <w:szCs w:val="21"/>
          <w:highlight w:val="none"/>
        </w:rPr>
      </w:pPr>
      <w:r>
        <w:rPr>
          <w:highlight w:val="none"/>
        </w:rPr>
      </w:r>
      <w:bookmarkStart w:id="143" w:name="_Toc20823306"/>
      <w:r>
        <w:rPr>
          <w:highlight w:val="none"/>
        </w:rPr>
      </w:r>
      <w:bookmarkStart w:id="144" w:name="_Toc16938550"/>
      <w:r>
        <w:rPr>
          <w:highlight w:val="none"/>
        </w:rPr>
      </w:r>
      <w:bookmarkStart w:id="145"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.7供应商在项目评审全过程中应保持通讯畅通，并安排专人与采购人或采购代理机构及磋商小组联系。</w:t>
      </w:r>
      <w:r>
        <w:rPr>
          <w:rFonts w:hint="eastAsia" w:ascii="宋体" w:hAnsi="宋体"/>
          <w:color w:val="000000"/>
          <w:sz w:val="24"/>
          <w:szCs w:val="21"/>
          <w:highlight w:val="none"/>
        </w:rPr>
      </w:r>
      <w:r>
        <w:rPr>
          <w:highlight w:val="none"/>
        </w:rPr>
      </w:r>
    </w:p>
    <w:p>
      <w:pPr>
        <w:pStyle w:val="662"/>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bookmarkEnd w:id="143"/>
      <w:r>
        <w:rPr>
          <w:highlight w:val="none"/>
        </w:rPr>
      </w:r>
      <w:bookmarkEnd w:id="144"/>
      <w:r>
        <w:rPr>
          <w:highlight w:val="none"/>
        </w:rPr>
      </w:r>
      <w:bookmarkEnd w:id="145"/>
      <w:r>
        <w:rPr>
          <w:rFonts w:hint="eastAsia" w:ascii="Arial" w:hAnsi="Arial" w:eastAsia="黑体" w:cs="Arial"/>
          <w:color w:val="000000"/>
          <w:sz w:val="28"/>
          <w:szCs w:val="28"/>
          <w:highlight w:val="none"/>
        </w:rPr>
        <w:t xml:space="preserve">.磋商程序及评审方法和评审标准</w:t>
      </w:r>
      <w:r>
        <w:rPr>
          <w:rFonts w:hint="eastAsia" w:ascii="Arial" w:hAnsi="Arial" w:eastAsia="黑体" w:cs="Arial"/>
          <w:color w:val="000000"/>
          <w:sz w:val="28"/>
          <w:szCs w:val="28"/>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rPr>
          <w:highlight w:val="none"/>
        </w:rPr>
      </w:r>
    </w:p>
    <w:p>
      <w:pPr>
        <w:pStyle w:val="662"/>
        <w:ind w:firstLine="48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 评审方法和评审标准</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见本磋商文件第四章规定。</w:t>
      </w:r>
      <w:r>
        <w:rPr>
          <w:rFonts w:hint="eastAsia" w:ascii="宋体" w:hAnsi="宋体"/>
          <w:color w:val="000000"/>
          <w:sz w:val="24"/>
          <w:szCs w:val="24"/>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hint="eastAsia" w:ascii="宋体" w:hAnsi="宋体"/>
          <w:color w:val="000000"/>
          <w:sz w:val="24"/>
          <w:szCs w:val="24"/>
          <w:highlight w:val="none"/>
        </w:rPr>
      </w:r>
      <w:r>
        <w:rPr>
          <w:highlight w:val="none"/>
        </w:rPr>
      </w:r>
    </w:p>
    <w:p>
      <w:pPr>
        <w:pStyle w:val="662"/>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rPr>
          <w:highlight w:val="none"/>
        </w:rPr>
      </w:r>
    </w:p>
    <w:p>
      <w:pPr>
        <w:pStyle w:val="662"/>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hint="eastAsia" w:ascii="宋体" w:hAnsi="宋体"/>
          <w:color w:val="000000"/>
          <w:sz w:val="24"/>
          <w:szCs w:val="24"/>
          <w:highlight w:val="none"/>
        </w:rPr>
      </w:r>
      <w:r>
        <w:rPr>
          <w:highlight w:val="none"/>
        </w:rPr>
      </w:r>
    </w:p>
    <w:p>
      <w:pPr>
        <w:pStyle w:val="662"/>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hint="eastAsia" w:ascii="宋体" w:hAnsi="宋体"/>
          <w:color w:val="000000"/>
          <w:sz w:val="24"/>
          <w:szCs w:val="24"/>
          <w:highlight w:val="none"/>
        </w:rPr>
      </w:r>
      <w:r>
        <w:rPr>
          <w:highlight w:val="none"/>
        </w:rPr>
      </w:r>
    </w:p>
    <w:p>
      <w:pPr>
        <w:pStyle w:val="662"/>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highlight w:val="none"/>
        </w:rPr>
      </w:r>
      <w:r>
        <w:rPr>
          <w:highlight w:val="none"/>
        </w:rPr>
      </w:r>
    </w:p>
    <w:p>
      <w:pPr>
        <w:pStyle w:val="662"/>
        <w:ind w:firstLine="36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rPr>
          <w:highlight w:val="none"/>
        </w:rPr>
      </w:r>
    </w:p>
    <w:p>
      <w:pPr>
        <w:pStyle w:val="662"/>
        <w:ind w:firstLine="482"/>
        <w:keepLines/>
        <w:keepNext/>
        <w:spacing w:line="520" w:lineRule="exact"/>
        <w:rPr>
          <w:rFonts w:hint="eastAsia" w:ascii="Times New Roman" w:hAnsi="Times New Roman"/>
          <w:b/>
          <w:bCs/>
          <w:color w:val="000000"/>
          <w:sz w:val="32"/>
          <w:szCs w:val="32"/>
          <w:highlight w:val="none"/>
        </w:rPr>
        <w:outlineLvl w:val="1"/>
      </w:pPr>
      <w:r>
        <w:rPr>
          <w:highlight w:val="none"/>
        </w:rPr>
      </w:r>
      <w:bookmarkStart w:id="146" w:name="_Toc16938551"/>
      <w:r>
        <w:rPr>
          <w:highlight w:val="none"/>
        </w:rPr>
      </w:r>
      <w:bookmarkStart w:id="147" w:name="_Toc20823307"/>
      <w:r>
        <w:rPr>
          <w:highlight w:val="none"/>
        </w:rPr>
      </w:r>
      <w:bookmarkStart w:id="148" w:name="_Toc513029235"/>
      <w:r>
        <w:rPr>
          <w:highlight w:val="none"/>
        </w:rPr>
      </w:r>
      <w:bookmarkStart w:id="149" w:name="_Toc120614219"/>
      <w:r>
        <w:rPr>
          <w:rFonts w:hint="eastAsia" w:ascii="Times New Roman" w:hAnsi="Times New Roman"/>
          <w:b/>
          <w:bCs/>
          <w:color w:val="000000"/>
          <w:sz w:val="32"/>
          <w:szCs w:val="32"/>
          <w:highlight w:val="none"/>
        </w:rPr>
        <w:t xml:space="preserve">六、</w:t>
      </w:r>
      <w:bookmarkEnd w:id="146"/>
      <w:r>
        <w:rPr>
          <w:highlight w:val="none"/>
        </w:rPr>
      </w:r>
      <w:bookmarkEnd w:id="147"/>
      <w:r>
        <w:rPr>
          <w:highlight w:val="none"/>
        </w:rPr>
      </w:r>
      <w:bookmarkEnd w:id="148"/>
      <w:r>
        <w:rPr>
          <w:highlight w:val="none"/>
        </w:rPr>
      </w:r>
      <w:bookmarkEnd w:id="149"/>
      <w:r>
        <w:rPr>
          <w:rFonts w:hint="eastAsia" w:ascii="Times New Roman" w:hAnsi="Times New Roman"/>
          <w:b/>
          <w:bCs/>
          <w:color w:val="000000"/>
          <w:sz w:val="32"/>
          <w:szCs w:val="32"/>
          <w:highlight w:val="none"/>
        </w:rPr>
        <w:t xml:space="preserve">成交</w:t>
      </w:r>
      <w:r>
        <w:rPr>
          <w:rFonts w:hint="eastAsia" w:ascii="Times New Roman" w:hAnsi="Times New Roman"/>
          <w:b/>
          <w:bCs/>
          <w:color w:val="000000"/>
          <w:sz w:val="32"/>
          <w:szCs w:val="32"/>
          <w:highlight w:val="none"/>
        </w:rPr>
      </w:r>
      <w:r>
        <w:rPr>
          <w:highlight w:val="none"/>
        </w:rPr>
      </w:r>
    </w:p>
    <w:p>
      <w:pPr>
        <w:pStyle w:val="662"/>
        <w:ind w:firstLine="600"/>
        <w:keepLines/>
        <w:keepNext/>
        <w:spacing w:line="520" w:lineRule="exact"/>
        <w:rPr>
          <w:rFonts w:hint="eastAsia" w:ascii="黑体" w:hAnsi="宋体" w:eastAsia="黑体"/>
          <w:bCs/>
          <w:color w:val="000000"/>
          <w:sz w:val="30"/>
          <w:szCs w:val="30"/>
          <w:highlight w:val="none"/>
        </w:rPr>
        <w:outlineLvl w:val="3"/>
      </w:pPr>
      <w:r>
        <w:rPr>
          <w:highlight w:val="none"/>
        </w:rPr>
      </w:r>
      <w:bookmarkStart w:id="150" w:name="_Toc513029238"/>
      <w:r>
        <w:rPr>
          <w:highlight w:val="none"/>
        </w:rPr>
      </w:r>
      <w:bookmarkStart w:id="151" w:name="_Toc16938554"/>
      <w:r>
        <w:rPr>
          <w:highlight w:val="none"/>
        </w:rPr>
      </w:r>
      <w:bookmarkStart w:id="152"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bookmarkEnd w:id="150"/>
      <w:r>
        <w:rPr>
          <w:rFonts w:hint="eastAsia" w:ascii="黑体" w:hAnsi="宋体" w:eastAsia="黑体"/>
          <w:bCs/>
          <w:color w:val="000000"/>
          <w:sz w:val="30"/>
          <w:szCs w:val="30"/>
          <w:highlight w:val="none"/>
        </w:rPr>
        <w:t xml:space="preserve">.确定</w:t>
      </w:r>
      <w:bookmarkEnd w:id="151"/>
      <w:r>
        <w:rPr>
          <w:highlight w:val="none"/>
        </w:rPr>
      </w:r>
      <w:bookmarkEnd w:id="152"/>
      <w:r>
        <w:rPr>
          <w:rFonts w:hint="eastAsia" w:ascii="黑体" w:hAnsi="宋体" w:eastAsia="黑体"/>
          <w:bCs/>
          <w:color w:val="000000"/>
          <w:sz w:val="30"/>
          <w:szCs w:val="30"/>
          <w:highlight w:val="none"/>
        </w:rPr>
        <w:t xml:space="preserve">成交单位</w:t>
      </w:r>
      <w:r>
        <w:rPr>
          <w:rFonts w:hint="eastAsia" w:ascii="黑体" w:hAnsi="宋体" w:eastAsia="黑体"/>
          <w:bCs/>
          <w:color w:val="000000"/>
          <w:sz w:val="30"/>
          <w:szCs w:val="30"/>
          <w:highlight w:val="none"/>
        </w:rPr>
      </w:r>
      <w:r>
        <w:rPr>
          <w:highlight w:val="none"/>
        </w:rPr>
      </w:r>
    </w:p>
    <w:p>
      <w:pPr>
        <w:pStyle w:val="662"/>
        <w:ind w:firstLine="477"/>
        <w:spacing w:line="520" w:lineRule="exact"/>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28.3.2与评审专家、采购人、其他供应商或者采购代理机构工作人员恶意串通的。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28.3.3向评审专家、采购人或采购代理机构工作人员行贿或者提供其他不正当利益的。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28.3.4恶意竞争，最后报价明显低于其自身合理成本且又无法提供证明的。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28.3.5不满足本磋商文件规定的实质性要求，但在评审过程中又未被磋商小组发现的。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1"/>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28.3.7将政府采购合同转包的。</w:t>
      </w:r>
      <w:r>
        <w:rPr>
          <w:rFonts w:hint="eastAsia" w:ascii="宋体" w:hAnsi="宋体"/>
          <w:color w:val="000000"/>
          <w:sz w:val="24"/>
          <w:szCs w:val="24"/>
          <w:highlight w:val="none"/>
        </w:rPr>
      </w:r>
      <w:r>
        <w:rPr>
          <w:highlight w:val="none"/>
        </w:rPr>
      </w:r>
    </w:p>
    <w:p>
      <w:pPr>
        <w:pStyle w:val="662"/>
        <w:ind w:firstLine="600"/>
        <w:keepLines/>
        <w:keepNext/>
        <w:spacing w:line="520" w:lineRule="exact"/>
        <w:rPr>
          <w:rFonts w:hint="eastAsia" w:ascii="黑体" w:hAnsi="宋体" w:eastAsia="黑体"/>
          <w:bCs/>
          <w:color w:val="000000"/>
          <w:sz w:val="30"/>
          <w:szCs w:val="30"/>
          <w:highlight w:val="none"/>
        </w:rPr>
        <w:outlineLvl w:val="3"/>
      </w:pPr>
      <w:r>
        <w:rPr>
          <w:highlight w:val="none"/>
        </w:rPr>
      </w:r>
      <w:bookmarkStart w:id="153"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153"/>
      <w:r>
        <w:rPr>
          <w:rFonts w:hint="eastAsia" w:ascii="黑体" w:hAnsi="宋体" w:eastAsia="黑体"/>
          <w:bCs/>
          <w:color w:val="000000"/>
          <w:sz w:val="30"/>
          <w:szCs w:val="30"/>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sz w:val="24"/>
          <w:szCs w:val="24"/>
          <w:highlight w:val="none"/>
        </w:rPr>
        <w:t xml:space="preserve">采购人或采购代理机构</w:t>
      </w:r>
      <w:r>
        <w:rPr>
          <w:rFonts w:hint="eastAsia" w:ascii="宋体" w:hAnsi="宋体"/>
          <w:color w:val="000000"/>
          <w:sz w:val="24"/>
          <w:szCs w:val="24"/>
          <w:highlight w:val="none"/>
        </w:rPr>
        <w:t xml:space="preserve">提出质疑。上述应知其权益受到损害之日，是指：</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hint="eastAsia" w:ascii="Times New Roman" w:hAnsi="宋体" w:cs="宋体"/>
          <w:color w:val="000000"/>
          <w:sz w:val="24"/>
          <w:szCs w:val="24"/>
          <w:highlight w:val="none"/>
        </w:rPr>
      </w:r>
      <w:r>
        <w:rPr>
          <w:highlight w:val="none"/>
        </w:rPr>
      </w:r>
    </w:p>
    <w:p>
      <w:pPr>
        <w:pStyle w:val="662"/>
        <w:ind w:firstLine="480"/>
        <w:spacing w:line="52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w:t>
      </w:r>
      <w:r>
        <w:rPr>
          <w:rFonts w:ascii="宋体" w:hAnsi="宋体"/>
          <w:color w:val="000000"/>
          <w:sz w:val="24"/>
          <w:szCs w:val="24"/>
          <w:highlight w:val="none"/>
        </w:rPr>
        <w:t xml:space="preserve">和评</w:t>
      </w:r>
      <w:r>
        <w:rPr>
          <w:rFonts w:hint="eastAsia" w:ascii="宋体" w:hAnsi="宋体"/>
          <w:color w:val="000000"/>
          <w:sz w:val="24"/>
          <w:szCs w:val="24"/>
          <w:highlight w:val="none"/>
        </w:rPr>
        <w:t xml:space="preserve">审</w:t>
      </w:r>
      <w:r>
        <w:rPr>
          <w:rFonts w:ascii="宋体" w:hAnsi="宋体"/>
          <w:color w:val="000000"/>
          <w:sz w:val="24"/>
          <w:szCs w:val="24"/>
          <w:highlight w:val="none"/>
        </w:rPr>
        <w:t xml:space="preserve">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rPr>
          <w:rFonts w:hint="eastAsia" w:ascii="宋体" w:hAnsi="宋体"/>
          <w:b/>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采购人及采购代理机构质疑接收人及联系方式见本采购文件第一章。</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未参加磋商活动的供应商或在磋商活动中自身权益未受到损害的供应商所提出的质疑。</w:t>
      </w:r>
      <w:r>
        <w:rPr>
          <w:rFonts w:hint="eastAsia" w:ascii="宋体" w:hAnsi="宋体"/>
          <w:color w:val="000000"/>
          <w:sz w:val="24"/>
          <w:szCs w:val="24"/>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rPr>
          <w:highlight w:val="none"/>
        </w:rPr>
      </w:r>
    </w:p>
    <w:p>
      <w:pPr>
        <w:pStyle w:val="662"/>
        <w:ind w:firstLine="468"/>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rPr>
          <w:highlight w:val="none"/>
        </w:rPr>
      </w:r>
    </w:p>
    <w:p>
      <w:pPr>
        <w:pStyle w:val="662"/>
        <w:ind w:firstLine="600"/>
        <w:keepLines/>
        <w:keepNext/>
        <w:spacing w:line="52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rPr>
          <w:highlight w:val="none"/>
        </w:rPr>
      </w:r>
    </w:p>
    <w:p>
      <w:pPr>
        <w:pStyle w:val="662"/>
        <w:ind w:firstLine="60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成交结果确定后，采购人将向成交供应商发出成交通知书。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rPr>
          <w:highlight w:val="none"/>
        </w:rPr>
      </w:r>
    </w:p>
    <w:p>
      <w:pPr>
        <w:pStyle w:val="662"/>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rPr>
          <w:highlight w:val="none"/>
        </w:rPr>
      </w:r>
    </w:p>
    <w:p>
      <w:pPr>
        <w:pStyle w:val="662"/>
        <w:keepLines/>
        <w:keepNext/>
        <w:spacing w:line="520" w:lineRule="exact"/>
        <w:rPr>
          <w:rFonts w:hint="eastAsia" w:ascii="Times New Roman" w:hAnsi="Times New Roman"/>
          <w:b/>
          <w:bCs/>
          <w:color w:val="000000"/>
          <w:sz w:val="32"/>
          <w:szCs w:val="32"/>
          <w:highlight w:val="none"/>
        </w:rPr>
        <w:outlineLvl w:val="1"/>
      </w:pPr>
      <w:r>
        <w:rPr>
          <w:highlight w:val="none"/>
        </w:rPr>
      </w:r>
      <w:bookmarkStart w:id="154" w:name="_Toc120614220"/>
      <w:r>
        <w:rPr>
          <w:highlight w:val="none"/>
        </w:rPr>
      </w:r>
      <w:bookmarkStart w:id="155" w:name="_Toc513029236"/>
      <w:r>
        <w:rPr>
          <w:highlight w:val="none"/>
        </w:rPr>
      </w:r>
      <w:bookmarkStart w:id="156" w:name="_Toc20823308"/>
      <w:r>
        <w:rPr>
          <w:highlight w:val="none"/>
        </w:rPr>
      </w:r>
      <w:bookmarkStart w:id="157" w:name="_Toc16938552"/>
      <w:r>
        <w:rPr>
          <w:rFonts w:hint="eastAsia" w:ascii="Times New Roman" w:hAnsi="Times New Roman"/>
          <w:b/>
          <w:bCs/>
          <w:color w:val="000000"/>
          <w:sz w:val="32"/>
          <w:szCs w:val="32"/>
          <w:highlight w:val="none"/>
        </w:rPr>
        <w:t xml:space="preserve">七、授予合同</w:t>
      </w:r>
      <w:bookmarkEnd w:id="154"/>
      <w:r>
        <w:rPr>
          <w:rFonts w:hint="eastAsia" w:ascii="Times New Roman" w:hAnsi="Times New Roman"/>
          <w:b/>
          <w:bCs/>
          <w:color w:val="000000"/>
          <w:sz w:val="32"/>
          <w:szCs w:val="32"/>
          <w:highlight w:val="none"/>
        </w:rPr>
      </w:r>
      <w:r>
        <w:rPr>
          <w:highlight w:val="none"/>
        </w:rPr>
      </w:r>
    </w:p>
    <w:p>
      <w:pPr>
        <w:pStyle w:val="662"/>
        <w:ind w:firstLine="600"/>
        <w:keepLines/>
        <w:keepNext/>
        <w:spacing w:line="520" w:lineRule="exact"/>
        <w:rPr>
          <w:rFonts w:hint="eastAsia" w:ascii="黑体" w:hAnsi="宋体" w:eastAsia="黑体"/>
          <w:bCs/>
          <w:color w:val="000000"/>
          <w:sz w:val="30"/>
          <w:szCs w:val="30"/>
          <w:highlight w:val="none"/>
        </w:rPr>
        <w:outlineLvl w:val="3"/>
      </w:pPr>
      <w:r>
        <w:rPr>
          <w:highlight w:val="none"/>
        </w:rPr>
      </w:r>
      <w:bookmarkEnd w:id="155"/>
      <w:r>
        <w:rPr>
          <w:highlight w:val="none"/>
        </w:rPr>
      </w:r>
      <w:bookmarkEnd w:id="156"/>
      <w:r>
        <w:rPr>
          <w:highlight w:val="none"/>
        </w:rPr>
      </w:r>
      <w:bookmarkEnd w:id="157"/>
      <w:r>
        <w:rPr>
          <w:highlight w:val="none"/>
        </w:rPr>
      </w:r>
      <w:bookmarkStart w:id="158" w:name="_Toc20823309"/>
      <w:r>
        <w:rPr>
          <w:highlight w:val="none"/>
        </w:rPr>
      </w:r>
      <w:bookmarkStart w:id="159" w:name="_Toc513029237"/>
      <w:r>
        <w:rPr>
          <w:highlight w:val="none"/>
        </w:rPr>
      </w:r>
      <w:bookmarkStart w:id="160"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rPr>
          <w:highlight w:val="none"/>
        </w:rPr>
      </w:r>
    </w:p>
    <w:p>
      <w:pPr>
        <w:pStyle w:val="662"/>
        <w:ind w:firstLine="60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color w:val="000000"/>
          <w:sz w:val="24"/>
          <w:szCs w:val="24"/>
          <w:highlight w:val="none"/>
        </w:rPr>
      </w:r>
      <w:r>
        <w:rPr>
          <w:highlight w:val="none"/>
        </w:rPr>
      </w:r>
    </w:p>
    <w:p>
      <w:pPr>
        <w:pStyle w:val="662"/>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rPr>
          <w:highlight w:val="none"/>
        </w:rPr>
      </w:r>
    </w:p>
    <w:p>
      <w:pPr>
        <w:pStyle w:val="662"/>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 签订合同后，</w:t>
      </w:r>
      <w:r>
        <w:rPr>
          <w:rFonts w:hint="eastAsia" w:ascii="宋体" w:hAnsi="宋体"/>
          <w:b/>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rPr>
          <w:highlight w:val="none"/>
        </w:rPr>
      </w:r>
    </w:p>
    <w:p>
      <w:pPr>
        <w:pStyle w:val="662"/>
        <w:ind w:firstLine="600"/>
        <w:keepLines/>
        <w:keepNext/>
        <w:spacing w:line="52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rPr>
          <w:rFonts w:hint="eastAsia" w:ascii="黑体" w:hAnsi="宋体" w:eastAsia="黑体"/>
          <w:bCs/>
          <w:color w:val="000000"/>
          <w:sz w:val="30"/>
          <w:szCs w:val="30"/>
          <w:highlight w:val="none"/>
        </w:rPr>
      </w:r>
      <w:r>
        <w:rPr>
          <w:highlight w:val="none"/>
        </w:rPr>
      </w:r>
    </w:p>
    <w:p>
      <w:pPr>
        <w:pStyle w:val="662"/>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rPr>
          <w:highlight w:val="none"/>
        </w:rPr>
      </w:r>
    </w:p>
    <w:p>
      <w:pPr>
        <w:pStyle w:val="662"/>
        <w:ind w:firstLine="600"/>
        <w:keepLines/>
        <w:keepNext/>
        <w:spacing w:line="520" w:lineRule="exact"/>
        <w:rPr>
          <w:rFonts w:ascii="黑体" w:hAnsi="宋体" w:eastAsia="黑体"/>
          <w:bCs/>
          <w:color w:val="000000"/>
          <w:sz w:val="30"/>
          <w:szCs w:val="30"/>
          <w:highlight w:val="none"/>
        </w:rPr>
        <w:outlineLvl w:val="3"/>
      </w:pPr>
      <w:r>
        <w:rPr>
          <w:highlight w:val="none"/>
        </w:rPr>
      </w:r>
      <w:bookmarkEnd w:id="158"/>
      <w:r>
        <w:rPr>
          <w:highlight w:val="none"/>
        </w:rPr>
      </w:r>
      <w:bookmarkEnd w:id="159"/>
      <w:r>
        <w:rPr>
          <w:highlight w:val="none"/>
        </w:rPr>
      </w:r>
      <w:bookmarkEnd w:id="160"/>
      <w:r>
        <w:rPr>
          <w:highlight w:val="none"/>
        </w:rPr>
      </w:r>
      <w:bookmarkStart w:id="161" w:name="_Toc16938558"/>
      <w:r>
        <w:rPr>
          <w:highlight w:val="none"/>
        </w:rPr>
      </w:r>
      <w:bookmarkStart w:id="162" w:name="_Toc120614221"/>
      <w:r>
        <w:rPr>
          <w:highlight w:val="none"/>
        </w:rPr>
      </w:r>
      <w:bookmarkStart w:id="163" w:name="_Toc479757207"/>
      <w:r>
        <w:rPr>
          <w:highlight w:val="none"/>
        </w:rPr>
      </w:r>
      <w:bookmarkStart w:id="164" w:name="_Toc513029242"/>
      <w:r>
        <w:rPr>
          <w:highlight w:val="none"/>
        </w:rPr>
      </w:r>
      <w:bookmarkStart w:id="165" w:name="_Toc20823314"/>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rPr>
          <w:highlight w:val="none"/>
        </w:rPr>
      </w:r>
    </w:p>
    <w:p>
      <w:pPr>
        <w:pStyle w:val="662"/>
        <w:ind w:firstLine="555"/>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成交供应商可凭政府采购合同办理融资贷款，详情请见江苏政府采购网“政采贷”专栏。</w:t>
      </w:r>
      <w:bookmarkEnd w:id="161"/>
      <w:r>
        <w:rPr>
          <w:highlight w:val="none"/>
        </w:rPr>
      </w:r>
      <w:bookmarkEnd w:id="162"/>
      <w:r>
        <w:rPr>
          <w:highlight w:val="none"/>
        </w:rPr>
      </w:r>
      <w:bookmarkEnd w:id="163"/>
      <w:r>
        <w:rPr>
          <w:highlight w:val="none"/>
        </w:rPr>
      </w:r>
      <w:bookmarkEnd w:id="164"/>
      <w:r>
        <w:rPr>
          <w:highlight w:val="none"/>
        </w:rPr>
      </w:r>
      <w:bookmarkEnd w:id="165"/>
      <w:r>
        <w:rPr>
          <w:highlight w:val="none"/>
        </w:rPr>
      </w:r>
      <w:bookmarkStart w:id="166" w:name="_Hlt16619350"/>
      <w:r>
        <w:rPr>
          <w:highlight w:val="none"/>
        </w:rPr>
      </w:r>
      <w:bookmarkStart w:id="167" w:name="_Toc120614244"/>
      <w:r>
        <w:rPr>
          <w:highlight w:val="none"/>
        </w:rPr>
      </w:r>
      <w:bookmarkStart w:id="168" w:name="_Toc16938590"/>
      <w:r>
        <w:rPr>
          <w:highlight w:val="none"/>
        </w:rPr>
      </w:r>
      <w:bookmarkStart w:id="169" w:name="_Toc20823346"/>
      <w:r>
        <w:rPr>
          <w:rFonts w:hint="eastAsia" w:ascii="宋体" w:hAnsi="宋体"/>
          <w:bCs/>
          <w:color w:val="000000"/>
          <w:sz w:val="24"/>
          <w:szCs w:val="24"/>
          <w:highlight w:val="none"/>
        </w:rPr>
      </w:r>
      <w:r>
        <w:rPr>
          <w:highlight w:val="none"/>
        </w:rPr>
      </w:r>
    </w:p>
    <w:p>
      <w:pPr>
        <w:pStyle w:val="662"/>
        <w:ind w:firstLine="555"/>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p>
    <w:p>
      <w:pPr>
        <w:pStyle w:val="662"/>
        <w:ind w:firstLine="880"/>
        <w:jc w:val="center"/>
        <w:spacing w:line="560" w:lineRule="exact"/>
        <w:rPr>
          <w:rFonts w:hint="eastAsia" w:ascii="仿宋" w:hAnsi="仿宋" w:eastAsia="仿宋"/>
          <w:bCs/>
          <w:color w:val="000000"/>
          <w:sz w:val="28"/>
          <w:szCs w:val="28"/>
          <w:highlight w:val="none"/>
        </w:rPr>
        <w:outlineLvl w:val="0"/>
      </w:pPr>
      <w:r>
        <w:rPr>
          <w:rFonts w:hint="eastAsia" w:ascii="黑体" w:hAnsi="Courier New" w:eastAsia="黑体" w:cs="Courier New"/>
          <w:bCs/>
          <w:color w:val="000000"/>
          <w:sz w:val="44"/>
          <w:szCs w:val="21"/>
          <w:highlight w:val="none"/>
        </w:rPr>
        <w:t xml:space="preserve">第</w:t>
      </w:r>
      <w:bookmarkEnd w:id="166"/>
      <w:r>
        <w:rPr>
          <w:rFonts w:hint="eastAsia" w:ascii="黑体" w:hAnsi="Courier New" w:eastAsia="黑体" w:cs="Courier New"/>
          <w:bCs/>
          <w:color w:val="000000"/>
          <w:sz w:val="44"/>
          <w:szCs w:val="21"/>
          <w:highlight w:val="none"/>
        </w:rPr>
        <w:t xml:space="preserve">三章 采购需求</w:t>
      </w:r>
      <w:bookmarkEnd w:id="167"/>
      <w:r>
        <w:rPr>
          <w:highlight w:val="none"/>
        </w:rPr>
      </w:r>
      <w:bookmarkEnd w:id="168"/>
      <w:r>
        <w:rPr>
          <w:highlight w:val="none"/>
        </w:rPr>
      </w:r>
      <w:bookmarkEnd w:id="169"/>
      <w:r>
        <w:rPr>
          <w:highlight w:val="none"/>
        </w:rPr>
      </w:r>
      <w:bookmarkStart w:id="172" w:name="_Toc26554093"/>
      <w:r>
        <w:rPr>
          <w:highlight w:val="none"/>
        </w:rPr>
      </w:r>
      <w:bookmarkStart w:id="173" w:name="_Toc49090575"/>
      <w:r>
        <w:rPr>
          <w:rFonts w:hint="eastAsia" w:ascii="仿宋" w:hAnsi="仿宋" w:eastAsia="仿宋"/>
          <w:bCs/>
          <w:color w:val="000000"/>
          <w:sz w:val="28"/>
          <w:szCs w:val="28"/>
          <w:highlight w:val="none"/>
          <w:lang w:eastAsia="zh-CN"/>
        </w:rPr>
      </w:r>
      <w:r>
        <w:rPr>
          <w:highlight w:val="none"/>
        </w:rPr>
      </w:r>
    </w:p>
    <w:p>
      <w:pPr>
        <w:pStyle w:val="662"/>
        <w:numPr>
          <w:ilvl w:val="0"/>
          <w:numId w:val="0"/>
        </w:numPr>
        <w:ind w:firstLine="562"/>
        <w:keepLines w:val="0"/>
        <w:keepNext w:val="0"/>
        <w:pageBreakBefore w:val="0"/>
        <w:spacing w:line="360" w:lineRule="auto"/>
        <w:widowControl w:val="off"/>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eastAsia="zh-CN"/>
        </w:rPr>
        <w:t xml:space="preserve">（</w:t>
      </w:r>
      <w:r>
        <w:rPr>
          <w:rFonts w:hint="eastAsia" w:ascii="仿宋" w:hAnsi="仿宋" w:eastAsia="仿宋" w:cs="仿宋"/>
          <w:b/>
          <w:bCs w:val="0"/>
          <w:sz w:val="28"/>
          <w:szCs w:val="28"/>
          <w:highlight w:val="none"/>
          <w:lang w:val="en-US" w:eastAsia="zh-CN"/>
        </w:rPr>
        <w:t xml:space="preserve">一</w:t>
      </w:r>
      <w:r>
        <w:rPr>
          <w:rFonts w:hint="eastAsia" w:ascii="仿宋" w:hAnsi="仿宋" w:eastAsia="仿宋" w:cs="仿宋"/>
          <w:b/>
          <w:bCs w:val="0"/>
          <w:sz w:val="28"/>
          <w:szCs w:val="28"/>
          <w:highlight w:val="none"/>
          <w:lang w:eastAsia="zh-CN"/>
        </w:rPr>
        <w:t xml:space="preserve">）</w:t>
      </w:r>
      <w:r>
        <w:rPr>
          <w:rFonts w:hint="eastAsia" w:ascii="仿宋" w:hAnsi="仿宋" w:eastAsia="仿宋" w:cs="仿宋"/>
          <w:b/>
          <w:bCs w:val="0"/>
          <w:sz w:val="28"/>
          <w:szCs w:val="28"/>
          <w:highlight w:val="none"/>
        </w:rPr>
        <w:t xml:space="preserve">采购标的需实现的功能或者目标，以及为落实政府采购政策需满足的要求；</w:t>
      </w:r>
      <w:r>
        <w:rPr>
          <w:rFonts w:hint="eastAsia" w:ascii="仿宋" w:hAnsi="仿宋" w:eastAsia="仿宋" w:cs="仿宋"/>
          <w:b/>
          <w:bCs w:val="0"/>
          <w:sz w:val="28"/>
          <w:szCs w:val="28"/>
          <w:highlight w:val="none"/>
        </w:rPr>
      </w:r>
      <w:r>
        <w:rPr>
          <w:highlight w:val="none"/>
        </w:rPr>
      </w:r>
    </w:p>
    <w:p>
      <w:pPr>
        <w:pStyle w:val="662"/>
        <w:numPr>
          <w:ilvl w:val="0"/>
          <w:numId w:val="0"/>
        </w:numPr>
        <w:ind w:firstLine="562"/>
        <w:keepLines w:val="0"/>
        <w:keepNext w:val="0"/>
        <w:pageBreakBefore w:val="0"/>
        <w:spacing w:line="360" w:lineRule="auto"/>
        <w:widowControl w:val="off"/>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一、配置需求</w:t>
      </w:r>
      <w:r>
        <w:rPr>
          <w:rFonts w:hint="eastAsia" w:ascii="仿宋" w:hAnsi="仿宋" w:eastAsia="仿宋" w:cs="仿宋"/>
          <w:b/>
          <w:bCs w:val="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品目一合成热室(75mmpb)</w:t>
      </w:r>
      <w:r>
        <w:rPr>
          <w:rFonts w:ascii="仿宋" w:hAnsi="仿宋" w:eastAsia="仿宋" w:cs="仿宋"/>
          <w:b w:val="0"/>
          <w:bCs w:val="0"/>
          <w:color w:val="000000"/>
          <w:sz w:val="28"/>
          <w:szCs w:val="28"/>
          <w:highlight w:val="none"/>
          <w:lang w:val="en-US" w:eastAsia="zh-CN"/>
        </w:rPr>
        <w:t xml:space="preserve">1台/套</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1.合成热室</w:t>
      </w:r>
      <w:r>
        <w:rPr>
          <w:rFonts w:hint="eastAsia" w:ascii="仿宋" w:hAnsi="仿宋" w:eastAsia="仿宋" w:cs="仿宋"/>
          <w:color w:val="000000"/>
          <w:sz w:val="28"/>
          <w:szCs w:val="28"/>
          <w:highlight w:val="none"/>
          <w:lang w:val="en-US" w:eastAsia="zh-CN"/>
        </w:rPr>
        <w:t xml:space="preserve">            1台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2.配套超纯水纯化系统</w:t>
      </w:r>
      <w:r>
        <w:rPr>
          <w:rFonts w:hint="eastAsia" w:ascii="仿宋" w:hAnsi="仿宋" w:eastAsia="仿宋" w:cs="仿宋"/>
          <w:color w:val="000000"/>
          <w:sz w:val="28"/>
          <w:szCs w:val="28"/>
          <w:highlight w:val="none"/>
          <w:lang w:val="en-US" w:eastAsia="zh-CN"/>
        </w:rPr>
        <w:t xml:space="preserve">  1台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品目二分装热室(75mmpb)</w:t>
      </w:r>
      <w:r>
        <w:rPr>
          <w:rFonts w:ascii="仿宋" w:hAnsi="仿宋" w:eastAsia="仿宋" w:cs="仿宋"/>
          <w:b w:val="0"/>
          <w:bCs w:val="0"/>
          <w:color w:val="000000"/>
          <w:sz w:val="28"/>
          <w:szCs w:val="28"/>
          <w:highlight w:val="none"/>
          <w:lang w:val="en-US" w:eastAsia="zh-CN"/>
        </w:rPr>
        <w:t xml:space="preserve">2台/套</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品目三活度计</w:t>
      </w:r>
      <w:r>
        <w:rPr>
          <w:rFonts w:ascii="仿宋" w:hAnsi="仿宋" w:eastAsia="仿宋" w:cs="仿宋"/>
          <w:color w:val="000000"/>
          <w:sz w:val="28"/>
          <w:szCs w:val="28"/>
          <w:highlight w:val="none"/>
          <w:lang w:val="en-US" w:eastAsia="zh-CN"/>
        </w:rPr>
        <w:t xml:space="preserve">          3台/套</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品目四高效液相色谱(HPLC)</w:t>
      </w:r>
      <w:r>
        <w:rPr>
          <w:rFonts w:ascii="仿宋" w:hAnsi="仿宋" w:eastAsia="仿宋" w:cs="仿宋"/>
          <w:b w:val="0"/>
          <w:bCs w:val="0"/>
          <w:color w:val="000000"/>
          <w:sz w:val="28"/>
          <w:szCs w:val="28"/>
          <w:highlight w:val="none"/>
          <w:lang w:val="en-US" w:eastAsia="zh-CN"/>
        </w:rPr>
        <w:t xml:space="preserve">1台/套</w:t>
      </w:r>
      <w:r>
        <w:rPr>
          <w:rFonts w:ascii="仿宋" w:hAnsi="仿宋" w:eastAsia="仿宋" w:cs="仿宋"/>
          <w:b/>
          <w:bCs/>
          <w:color w:val="000000"/>
          <w:sz w:val="28"/>
          <w:szCs w:val="28"/>
          <w:highlight w:val="none"/>
          <w:lang w:val="en-US" w:eastAsia="zh-CN"/>
        </w:rPr>
        <w:t xml:space="preserve">(核心产品)</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1.高效液相色谱主机</w:t>
      </w:r>
      <w:r>
        <w:rPr>
          <w:rFonts w:hint="eastAsia" w:ascii="仿宋" w:hAnsi="仿宋" w:eastAsia="仿宋" w:cs="仿宋"/>
          <w:color w:val="000000"/>
          <w:sz w:val="28"/>
          <w:szCs w:val="28"/>
          <w:highlight w:val="none"/>
          <w:lang w:val="en-US" w:eastAsia="zh-CN"/>
        </w:rPr>
        <w:t xml:space="preserve">          1台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2.配套放射性HPLC流量检测器</w:t>
      </w:r>
      <w:r>
        <w:rPr>
          <w:rFonts w:hint="eastAsia" w:ascii="仿宋" w:hAnsi="仿宋" w:eastAsia="仿宋" w:cs="仿宋"/>
          <w:color w:val="000000"/>
          <w:sz w:val="28"/>
          <w:szCs w:val="28"/>
          <w:highlight w:val="none"/>
          <w:lang w:val="en-US" w:eastAsia="zh-CN"/>
        </w:rPr>
        <w:t xml:space="preserve"> 1台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3.配套倒置光学显微镜</w:t>
      </w:r>
      <w:r>
        <w:rPr>
          <w:rFonts w:hint="eastAsia" w:ascii="仿宋" w:hAnsi="仿宋" w:eastAsia="仿宋" w:cs="仿宋"/>
          <w:color w:val="000000"/>
          <w:sz w:val="28"/>
          <w:szCs w:val="28"/>
          <w:highlight w:val="none"/>
          <w:lang w:val="en-US" w:eastAsia="zh-CN"/>
        </w:rPr>
        <w:t xml:space="preserve">        1台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品目五质控用放射防护开放式通风橱(双联10mmpb)</w:t>
      </w:r>
      <w:r>
        <w:rPr>
          <w:rFonts w:ascii="仿宋" w:hAnsi="仿宋" w:eastAsia="仿宋" w:cs="仿宋"/>
          <w:color w:val="000000"/>
          <w:sz w:val="28"/>
          <w:szCs w:val="28"/>
          <w:highlight w:val="none"/>
          <w:lang w:val="en-US" w:eastAsia="zh-CN"/>
        </w:rPr>
        <w:t xml:space="preserve">1台/套</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1.放射防护开放式通风橱(带铅屏蔽)</w:t>
      </w:r>
      <w:r>
        <w:rPr>
          <w:rFonts w:hint="eastAsia" w:ascii="仿宋" w:hAnsi="仿宋" w:eastAsia="仿宋" w:cs="仿宋"/>
          <w:color w:val="000000"/>
          <w:sz w:val="28"/>
          <w:szCs w:val="28"/>
          <w:highlight w:val="none"/>
          <w:lang w:val="en-US" w:eastAsia="zh-CN"/>
        </w:rPr>
        <w:t xml:space="preserve">  1台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2.配套生物安全柜</w:t>
      </w:r>
      <w:r>
        <w:rPr>
          <w:rFonts w:hint="eastAsia" w:ascii="仿宋" w:hAnsi="仿宋" w:eastAsia="仿宋" w:cs="仿宋"/>
          <w:color w:val="000000"/>
          <w:sz w:val="28"/>
          <w:szCs w:val="28"/>
          <w:highlight w:val="none"/>
          <w:lang w:val="en-US" w:eastAsia="zh-CN"/>
        </w:rPr>
        <w:t xml:space="preserve">                  2台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3.配套细胞培养箱</w:t>
      </w:r>
      <w:r>
        <w:rPr>
          <w:rFonts w:hint="eastAsia" w:ascii="仿宋" w:hAnsi="仿宋" w:eastAsia="仿宋" w:cs="仿宋"/>
          <w:color w:val="000000"/>
          <w:sz w:val="28"/>
          <w:szCs w:val="28"/>
          <w:highlight w:val="none"/>
          <w:lang w:val="en-US" w:eastAsia="zh-CN"/>
        </w:rPr>
        <w:t xml:space="preserve">                  2台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品目六万分之一天平</w:t>
      </w:r>
      <w:r>
        <w:rPr>
          <w:rFonts w:ascii="仿宋" w:hAnsi="仿宋" w:eastAsia="仿宋" w:cs="仿宋"/>
          <w:color w:val="000000"/>
          <w:sz w:val="28"/>
          <w:szCs w:val="28"/>
          <w:highlight w:val="none"/>
          <w:lang w:val="en-US" w:eastAsia="zh-CN"/>
        </w:rPr>
        <w:t xml:space="preserve">1台/套 </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品目七超声波清洗仪</w:t>
      </w:r>
      <w:r>
        <w:rPr>
          <w:rFonts w:ascii="仿宋" w:hAnsi="仿宋" w:eastAsia="仿宋" w:cs="仿宋"/>
          <w:color w:val="000000"/>
          <w:sz w:val="28"/>
          <w:szCs w:val="28"/>
          <w:highlight w:val="none"/>
          <w:lang w:val="en-US" w:eastAsia="zh-CN"/>
        </w:rPr>
        <w:t xml:space="preserve">1台/套 </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品目八加热干燥箱</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color w:val="000000"/>
          <w:sz w:val="28"/>
          <w:szCs w:val="28"/>
          <w:highlight w:val="none"/>
          <w:lang w:val="en-US" w:eastAsia="zh-CN"/>
        </w:rPr>
        <w:t xml:space="preserve">1台/套</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品目九铅屏风</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color w:val="000000"/>
          <w:sz w:val="28"/>
          <w:szCs w:val="28"/>
          <w:highlight w:val="none"/>
          <w:lang w:val="en-US" w:eastAsia="zh-CN"/>
        </w:rPr>
        <w:t xml:space="preserve">2台/套</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品目十传递防护窗</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color w:val="000000"/>
          <w:sz w:val="28"/>
          <w:szCs w:val="28"/>
          <w:highlight w:val="none"/>
          <w:lang w:val="en-US" w:eastAsia="zh-CN"/>
        </w:rPr>
        <w:t xml:space="preserve">2台/套</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品目十</w:t>
      </w:r>
      <w:r>
        <w:rPr>
          <w:rFonts w:hint="eastAsia" w:ascii="仿宋" w:hAnsi="仿宋" w:eastAsia="仿宋" w:cs="仿宋"/>
          <w:b/>
          <w:bCs/>
          <w:color w:val="000000"/>
          <w:sz w:val="28"/>
          <w:szCs w:val="28"/>
          <w:highlight w:val="none"/>
          <w:lang w:val="en-US" w:eastAsia="zh-CN"/>
        </w:rPr>
        <w:t xml:space="preserve">一</w:t>
      </w:r>
      <w:r>
        <w:rPr>
          <w:rFonts w:ascii="仿宋" w:hAnsi="仿宋" w:eastAsia="仿宋" w:cs="仿宋"/>
          <w:b/>
          <w:bCs/>
          <w:color w:val="000000"/>
          <w:sz w:val="28"/>
          <w:szCs w:val="28"/>
          <w:highlight w:val="none"/>
          <w:lang w:val="en-US" w:eastAsia="zh-CN"/>
        </w:rPr>
        <w:t xml:space="preserve">电动防护铅门</w:t>
      </w:r>
      <w:r>
        <w:rPr>
          <w:rFonts w:ascii="仿宋" w:hAnsi="仿宋" w:eastAsia="仿宋" w:cs="仿宋"/>
          <w:color w:val="000000"/>
          <w:sz w:val="28"/>
          <w:szCs w:val="28"/>
          <w:highlight w:val="none"/>
          <w:lang w:val="en-US" w:eastAsia="zh-CN"/>
        </w:rPr>
        <w:t xml:space="preserve">1台/套</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1.电动防护铅门</w:t>
      </w:r>
      <w:r>
        <w:rPr>
          <w:rFonts w:hint="eastAsia" w:ascii="仿宋" w:hAnsi="仿宋" w:eastAsia="仿宋" w:cs="仿宋"/>
          <w:color w:val="000000"/>
          <w:sz w:val="28"/>
          <w:szCs w:val="28"/>
          <w:highlight w:val="none"/>
          <w:lang w:val="en-US" w:eastAsia="zh-CN"/>
        </w:rPr>
        <w:t xml:space="preserve">      1台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2.配套冰箱</w:t>
      </w:r>
      <w:r>
        <w:rPr>
          <w:rFonts w:hint="eastAsia" w:ascii="仿宋" w:hAnsi="仿宋" w:eastAsia="仿宋" w:cs="仿宋"/>
          <w:color w:val="000000"/>
          <w:sz w:val="28"/>
          <w:szCs w:val="28"/>
          <w:highlight w:val="none"/>
          <w:lang w:val="en-US" w:eastAsia="zh-CN"/>
        </w:rPr>
        <w:t xml:space="preserve">          1台</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品目十二个人剂量仪</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color w:val="000000"/>
          <w:sz w:val="28"/>
          <w:szCs w:val="28"/>
          <w:highlight w:val="none"/>
          <w:lang w:val="en-US" w:eastAsia="zh-CN"/>
        </w:rPr>
        <w:t xml:space="preserve">5台/套</w:t>
      </w:r>
      <w:r>
        <w:rPr>
          <w:rFonts w:ascii="仿宋" w:hAnsi="仿宋" w:eastAsia="仿宋" w:cs="仿宋"/>
          <w:color w:val="000000"/>
          <w:sz w:val="28"/>
          <w:szCs w:val="28"/>
          <w:highlight w:val="none"/>
          <w:lang w:val="en-US" w:eastAsia="zh-CN"/>
        </w:rPr>
      </w:r>
      <w:r>
        <w:rPr>
          <w:highlight w:val="none"/>
        </w:rPr>
      </w:r>
    </w:p>
    <w:p>
      <w:pPr>
        <w:pStyle w:val="662"/>
        <w:numPr>
          <w:ilvl w:val="0"/>
          <w:numId w:val="5"/>
        </w:numPr>
        <w:ind w:firstLine="562"/>
        <w:keepLines w:val="0"/>
        <w:keepNext w:val="0"/>
        <w:pageBreakBefore w:val="0"/>
        <w:spacing w:line="360" w:lineRule="auto"/>
        <w:widowControl w:val="off"/>
        <w:rPr>
          <w:rFonts w:ascii="仿宋" w:hAnsi="仿宋" w:eastAsia="仿宋" w:cs="仿宋"/>
          <w:b/>
          <w:bCs w:val="0"/>
          <w:sz w:val="28"/>
          <w:szCs w:val="28"/>
          <w:highlight w:val="none"/>
        </w:rPr>
      </w:pPr>
      <w:r>
        <w:rPr>
          <w:rFonts w:ascii="仿宋" w:hAnsi="仿宋" w:eastAsia="仿宋" w:cs="仿宋"/>
          <w:b/>
          <w:bCs w:val="0"/>
          <w:sz w:val="28"/>
          <w:szCs w:val="28"/>
          <w:highlight w:val="none"/>
          <w:lang w:val="en-US" w:eastAsia="zh-CN"/>
        </w:rPr>
        <w:t xml:space="preserve">技术参数(包含硬件及配套软件技术参数)</w:t>
      </w:r>
      <w:r>
        <w:rPr>
          <w:rFonts w:ascii="仿宋" w:hAnsi="仿宋" w:eastAsia="仿宋" w:cs="仿宋"/>
          <w:b/>
          <w:bCs w:val="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品目一 合成热室(75mmpb)</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1、防护标准：正面≥75mmPb,其他面≥60mmPb</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2、防护材质：含锑国标1号铅锭防护层(提供铅板/铅砖的第三方检测报告)</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3、屏蔽工作腔室：SUS 316L不锈钢一体成型结构内胆，无缝处理，半径≥10mm圆弧角过渡转角，表面光洁易清理，不留清洁死角</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4、饰面材质：SUS 304不锈钢外饰面，防指纹拉丝处理</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5、进风系统：高效过滤器净化进风，提供不低于CLASS C级的工作腔室环境</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6、排风系统：排风量≥150m³/h的独立负压排风系统，经活性炭过滤器过滤后100%外排</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7、气密性：配置充气式密封系统，设备内胆达到ISO 10648二级密封箱标准；</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8、产品尺寸(mm):≥1150(L)×1185(W)×2400mm(H)±5%</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9、正面两个手孔；</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10、超纯水纯化系统</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10.1产水量：≥40L/h;</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10.2瞬间取水量：≥1.2L/min。</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品目二</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分装热室(75mmpb)</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1、防护标准：正面≥75mmPb,其他面≥60mmPb</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2、防护材质：含锑国标1号铅锭防护层(提供铅板/铅砖的第三方检测报告)</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3、屏蔽工作腔室：SUS 316L不锈钢一体成型结构内胆，无缝处理，半径≥10mm圆弧角过渡转角，表面光洁易清理，不留清洁死角；</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 、进风系统：高效过滤器净化进风，提供不低于CLASS  A 级的工作腔室环境；</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5、排风系统：排风量≥400m³/h 的独立负压排风系统，经活性炭过滤器过滤后100%外排</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 、气密性：配置充气式密封系统，设备内胆达到ISO    10648二级密封箱标准；</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7、产品尺寸(mm):≥1150(L)×1185(W)×2400mm(H)±5%。</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品目三</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活度计</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1、放射性活度计可快速测量各种放射性药物活度，具备一键扣除本底功能，自动量程可以切换；</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2、内置近百种常见核素以及其它核素，除内置常用核素外，支持手动新增其他核素；</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10英寸彩色液晶触摸显示屏，触摸灵敏且佩戴医用手套可完成操作；</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▲4、支持中英文操作界面，使用简单，操作方便；</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5、可外接专用打印机，输出核素活度测量报告；</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▲6、探测器：铝制井型电离室；</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7、测量范围：0.1μCi-6Ci(99mTc),0.1μCi-2Ci(18F);</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▲8、分辨率：≤0.01μCi。</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品目四</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高效液相色谱 (HPLC)  (核心产品)</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1.系统控制器</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1.1标配数模转换器，可连接放射性检测器</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2.输液泵</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2.1   泵类型：并联双柱塞(冲程体积≤10μL)</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2.2流速范围：0.0001-10.0000mL/min</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2.3流速精确度：≤0.062%RSD</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▲2.4 自我诊断/自我恢复：自动检测到批处理分析过程中意外混入的气泡，自动执行 Purge, 快速恢复至正常分析状态。</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2.5智能流量控制功能：防止瞬间高压损害色谱柱，延长色谱柱使用寿命。</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3.自动进样器</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3.1、线性：&gt;0.9999%</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3.2、耐压：≥44Mpa</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▲3.3、样品数量：≥162位(1.5mL/2mL  样品瓶)</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▲3.4、交叉污染： &lt;0.0005%</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▲3.5、智能化样品冷却机制，智能控制样品仓内气流走向，充分保持其内部温度，防止样品仓门打开时外部热空气侵入影响样品仓内温度，并放置冷凝的发生。</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4.柱温箱</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4.1、温度控制类型：强制空气循环</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4.2、温度控制范围：室温-10℃~85℃</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5、具备紫外检测器</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6、放射性HPLC检测器</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en-US" w:eastAsia="zh-CN"/>
        </w:rPr>
        <w:t xml:space="preserve">1</w:t>
      </w:r>
      <w:r>
        <w:rPr>
          <w:rFonts w:ascii="仿宋" w:hAnsi="仿宋" w:eastAsia="仿宋" w:cs="仿宋"/>
          <w:color w:val="000000"/>
          <w:sz w:val="28"/>
          <w:szCs w:val="28"/>
          <w:highlight w:val="none"/>
          <w:lang w:val="en-US" w:eastAsia="zh-CN"/>
        </w:rPr>
        <w:t xml:space="preserve">仪器前面板只有一个电源和显示屏，所有参数都是通过软件设定，通过受访控制和审计跟踪确保合规性；</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6.2 内置数模转换器可将来自其他探测器( 如UV,ECD 等)的模拟信号转换为数字信号软件</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6.3可进行SDA 处理，提高最小峰值的视觉质量和清晰度，无需平滑数据，数据不变</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▲6.4可以控制主流液相色谱(至少应包括安捷伦、岛津、 waters),  实现一体化</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7、倒置光学显微镜</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7.1 观察筒：360°自由旋转；</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7.2聚光镜：适用物镜：2倍、4倍、10倍、20倍和40倍；</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7.3 目镜：放大倍数：≥10倍。</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val="en-US" w:eastAsia="zh-CN"/>
        </w:rPr>
        <w:t xml:space="preserve">品目</w:t>
      </w:r>
      <w:r>
        <w:rPr>
          <w:rFonts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质控用放射防护开放式通风橱(双联10mmpb)</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1、洁净度：100级@≥0.5um;</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2、配备铅屏蔽，铅当量≥10mmPb;</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3、工位：双人双面；</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4、工作区域尺寸：≥1360*600*510 mm;</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5、生物安全柜</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5.1洁净等级：ISO5 级；</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5.2过滤效率： ≥99.995%@0.3um</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6、细胞培养箱</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6.1容积：≥50L</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6.2控温范围：RT+5~65℃</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6.3 CO2浓度控制范围；0～20%。</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品目六</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万分之一天平</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1、精度：≤0.0001g;</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2、最大量程：≥100g;</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3、显示屏：LCD 高清屏。</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品目七</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超声波清洗仪</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1、内槽容量L:≥10L;</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2、温控范围℃:常温-80℃</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3、是否含排水阀：是。</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品目八</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加热干燥箱</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1、温控范围℃: RT+5~300</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2、鼓风功能：有</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3、有效容积：≥130L。</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品目九</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铅屏风</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1、尺寸：≥1800 (L)*1000mm(W);</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2、带可视窗铅屏蔽≥10mmpb。</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品目十</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传递防护窗</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1、主要材质：铅、铅玻璃和304不锈钢，外观必须具备抗指纹功能</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2、传递窗尺寸：≥600mm(w)*600mm(</w:t>
      </w:r>
      <w:r>
        <w:rPr>
          <w:rFonts w:hint="eastAsia" w:ascii="仿宋" w:hAnsi="仿宋" w:eastAsia="仿宋" w:cs="仿宋"/>
          <w:color w:val="000000"/>
          <w:sz w:val="28"/>
          <w:szCs w:val="28"/>
          <w:highlight w:val="none"/>
          <w:lang w:val="en-US" w:eastAsia="zh-CN"/>
        </w:rPr>
        <w:t xml:space="preserve">L</w:t>
      </w:r>
      <w:r>
        <w:rPr>
          <w:rFonts w:ascii="仿宋" w:hAnsi="仿宋" w:eastAsia="仿宋" w:cs="仿宋"/>
          <w:color w:val="000000"/>
          <w:sz w:val="28"/>
          <w:szCs w:val="28"/>
          <w:highlight w:val="none"/>
          <w:lang w:val="en-US" w:eastAsia="zh-CN"/>
        </w:rPr>
        <w:t xml:space="preserve">)*600mm(h)</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3、铅屏蔽≥20mm  Pb。</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b/>
          <w:bCs/>
          <w:color w:val="000000"/>
          <w:sz w:val="28"/>
          <w:szCs w:val="28"/>
          <w:highlight w:val="none"/>
          <w:lang w:val="en-US" w:eastAsia="zh-CN"/>
        </w:rPr>
        <w:t xml:space="preserve">品目十</w:t>
      </w:r>
      <w:r>
        <w:rPr>
          <w:rFonts w:hint="eastAsia" w:ascii="仿宋" w:hAnsi="仿宋" w:eastAsia="仿宋" w:cs="仿宋"/>
          <w:b/>
          <w:bCs/>
          <w:color w:val="000000"/>
          <w:sz w:val="28"/>
          <w:szCs w:val="28"/>
          <w:highlight w:val="none"/>
          <w:lang w:val="en-US" w:eastAsia="zh-CN"/>
        </w:rPr>
        <w:t xml:space="preserve">一 </w:t>
      </w:r>
      <w:r>
        <w:rPr>
          <w:rFonts w:ascii="仿宋" w:hAnsi="仿宋" w:eastAsia="仿宋" w:cs="仿宋"/>
          <w:b/>
          <w:bCs/>
          <w:color w:val="000000"/>
          <w:sz w:val="28"/>
          <w:szCs w:val="28"/>
          <w:highlight w:val="none"/>
          <w:lang w:val="en-US" w:eastAsia="zh-CN"/>
        </w:rPr>
        <w:t xml:space="preserve">电动防护铅门</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1、宽度：≥1.5m;</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2、铅当量≥3mmPb;</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3、饰面材质：304不锈钢或不锈钢喷涂；</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4、冰箱：</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4.1.容积≥80L;</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4.2.温度范围≤-80℃;</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4.3具备医疗器械注册证。</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lang w:val="en-US" w:eastAsia="zh-CN"/>
        </w:rPr>
        <w:t xml:space="preserve">品目十二</w:t>
      </w:r>
      <w:r>
        <w:rPr>
          <w:rFonts w:hint="eastAsia" w:ascii="仿宋" w:hAnsi="仿宋" w:eastAsia="仿宋" w:cs="仿宋"/>
          <w:b/>
          <w:bCs/>
          <w:color w:val="000000"/>
          <w:sz w:val="28"/>
          <w:szCs w:val="28"/>
          <w:highlight w:val="none"/>
          <w:lang w:val="en-US" w:eastAsia="zh-CN"/>
        </w:rPr>
        <w:t xml:space="preserve"> </w:t>
      </w:r>
      <w:r>
        <w:rPr>
          <w:rFonts w:ascii="仿宋" w:hAnsi="仿宋" w:eastAsia="仿宋" w:cs="仿宋"/>
          <w:b/>
          <w:bCs/>
          <w:color w:val="000000"/>
          <w:sz w:val="28"/>
          <w:szCs w:val="28"/>
          <w:highlight w:val="none"/>
          <w:lang w:val="en-US" w:eastAsia="zh-CN"/>
        </w:rPr>
        <w:t xml:space="preserve">个人剂量仪</w:t>
      </w:r>
      <w:r>
        <w:rPr>
          <w:rFonts w:ascii="仿宋" w:hAnsi="仿宋" w:eastAsia="仿宋" w:cs="仿宋"/>
          <w:b/>
          <w:bCs/>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1、测量范围：剂量率：0.01μSv/h~5000μSv/h;</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2、X-y能量范围：40keV~3.0MeV;</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3、灵敏度：≤1.5cps/(μSv/h);</w:t>
      </w:r>
      <w:r>
        <w:rPr>
          <w:rFonts w:ascii="仿宋" w:hAnsi="仿宋" w:eastAsia="仿宋" w:cs="仿宋"/>
          <w:color w:val="000000"/>
          <w:sz w:val="28"/>
          <w:szCs w:val="28"/>
          <w:highlight w:val="none"/>
          <w:lang w:val="en-US" w:eastAsia="zh-CN"/>
        </w:rPr>
      </w:r>
      <w:r>
        <w:rPr>
          <w:highlight w:val="none"/>
        </w:rPr>
      </w:r>
    </w:p>
    <w:p>
      <w:pPr>
        <w:pStyle w:val="662"/>
        <w:ind w:firstLine="560"/>
        <w:keepLines w:val="0"/>
        <w:keepNext w:val="0"/>
        <w:pageBreakBefore w:val="0"/>
        <w:spacing w:line="36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4、剂量率：μSv/h、mSv/h、Sv/h自动切换。</w:t>
      </w:r>
      <w:r>
        <w:rPr>
          <w:rFonts w:ascii="仿宋" w:hAnsi="仿宋" w:eastAsia="仿宋" w:cs="仿宋"/>
          <w:color w:val="000000"/>
          <w:sz w:val="28"/>
          <w:szCs w:val="28"/>
          <w:highlight w:val="none"/>
          <w:lang w:val="en-US" w:eastAsia="zh-CN"/>
        </w:rPr>
      </w:r>
      <w:r>
        <w:rPr>
          <w:highlight w:val="none"/>
        </w:rPr>
      </w:r>
    </w:p>
    <w:p>
      <w:pPr>
        <w:pStyle w:val="662"/>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val="0"/>
          <w:sz w:val="28"/>
          <w:szCs w:val="28"/>
          <w:highlight w:val="none"/>
          <w:lang w:eastAsia="zh-CN"/>
        </w:rPr>
        <w:t xml:space="preserve">（</w:t>
      </w:r>
      <w:r>
        <w:rPr>
          <w:rFonts w:hint="eastAsia" w:ascii="仿宋" w:hAnsi="仿宋" w:eastAsia="仿宋" w:cs="仿宋"/>
          <w:b/>
          <w:bCs w:val="0"/>
          <w:sz w:val="28"/>
          <w:szCs w:val="28"/>
          <w:highlight w:val="none"/>
          <w:lang w:val="en-US" w:eastAsia="zh-CN"/>
        </w:rPr>
        <w:t xml:space="preserve">二</w:t>
      </w:r>
      <w:r>
        <w:rPr>
          <w:rFonts w:hint="eastAsia" w:ascii="仿宋" w:hAnsi="仿宋" w:eastAsia="仿宋" w:cs="仿宋"/>
          <w:b/>
          <w:bCs w:val="0"/>
          <w:sz w:val="28"/>
          <w:szCs w:val="28"/>
          <w:highlight w:val="none"/>
          <w:lang w:eastAsia="zh-CN"/>
        </w:rPr>
        <w:t xml:space="preserve">）</w:t>
      </w:r>
      <w:r>
        <w:rPr>
          <w:rFonts w:hint="eastAsia" w:ascii="仿宋" w:hAnsi="仿宋" w:eastAsia="仿宋" w:cs="仿宋"/>
          <w:b/>
          <w:bCs/>
          <w:sz w:val="28"/>
          <w:szCs w:val="28"/>
          <w:highlight w:val="none"/>
        </w:rPr>
        <w:t xml:space="preserve">商务需求</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不得负偏离，负偏离则作无效投标文件处理</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eastAsia="zh-CN"/>
        </w:rPr>
      </w:r>
      <w:r>
        <w:rPr>
          <w:highlight w:val="none"/>
        </w:rPr>
      </w:r>
    </w:p>
    <w:tbl>
      <w:tblPr>
        <w:tblW w:w="511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896"/>
        <w:gridCol w:w="5597"/>
      </w:tblGrid>
      <w:tr>
        <w:trPr>
          <w:trHeight w:val="750"/>
        </w:trPr>
        <w:tc>
          <w:tcPr>
            <w:tcW w:w="891"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序号</w:t>
            </w:r>
            <w:r>
              <w:rPr>
                <w:rFonts w:hint="eastAsia" w:ascii="宋体" w:hAnsi="宋体" w:eastAsia="宋体" w:cs="宋体"/>
                <w:bCs/>
                <w:sz w:val="24"/>
                <w:szCs w:val="24"/>
                <w:highlight w:val="none"/>
                <w:lang w:val="zh-CN"/>
              </w:rPr>
            </w:r>
            <w:r>
              <w:rPr>
                <w:highlight w:val="none"/>
              </w:rPr>
            </w:r>
          </w:p>
        </w:tc>
        <w:tc>
          <w:tcPr>
            <w:tcW w:w="2896"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商务和服务项目</w:t>
            </w:r>
            <w:r>
              <w:rPr>
                <w:rFonts w:hint="eastAsia" w:ascii="宋体" w:hAnsi="宋体" w:eastAsia="宋体" w:cs="宋体"/>
                <w:bCs/>
                <w:sz w:val="24"/>
                <w:szCs w:val="24"/>
                <w:highlight w:val="none"/>
                <w:lang w:val="zh-CN"/>
              </w:rPr>
            </w:r>
            <w:r>
              <w:rPr>
                <w:highlight w:val="none"/>
              </w:rPr>
            </w:r>
          </w:p>
        </w:tc>
        <w:tc>
          <w:tcPr>
            <w:tcW w:w="5597"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商务和服务要求</w:t>
            </w:r>
            <w:r>
              <w:rPr>
                <w:rFonts w:hint="eastAsia" w:ascii="宋体" w:hAnsi="宋体" w:eastAsia="宋体" w:cs="宋体"/>
                <w:bCs/>
                <w:sz w:val="24"/>
                <w:szCs w:val="24"/>
                <w:highlight w:val="none"/>
                <w:lang w:val="zh-CN"/>
              </w:rPr>
            </w:r>
            <w:r>
              <w:rPr>
                <w:highlight w:val="none"/>
              </w:rPr>
            </w:r>
          </w:p>
        </w:tc>
      </w:tr>
      <w:tr>
        <w:trPr>
          <w:trHeight w:val="759"/>
        </w:trPr>
        <w:tc>
          <w:tcPr>
            <w:tcW w:w="891"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1</w:t>
            </w:r>
            <w:r>
              <w:rPr>
                <w:rFonts w:hint="eastAsia" w:ascii="宋体" w:hAnsi="宋体" w:eastAsia="宋体" w:cs="宋体"/>
                <w:bCs/>
                <w:sz w:val="24"/>
                <w:szCs w:val="24"/>
                <w:highlight w:val="none"/>
                <w:lang w:val="zh-CN"/>
              </w:rPr>
            </w:r>
            <w:r>
              <w:rPr>
                <w:highlight w:val="none"/>
              </w:rPr>
            </w:r>
          </w:p>
        </w:tc>
        <w:tc>
          <w:tcPr>
            <w:tcW w:w="2896"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交货期</w:t>
            </w:r>
            <w:r>
              <w:rPr>
                <w:rFonts w:hint="eastAsia" w:ascii="宋体" w:hAnsi="宋体" w:eastAsia="宋体" w:cs="宋体"/>
                <w:bCs/>
                <w:sz w:val="24"/>
                <w:szCs w:val="24"/>
                <w:highlight w:val="none"/>
                <w:lang w:val="zh-CN"/>
              </w:rPr>
            </w:r>
            <w:r>
              <w:rPr>
                <w:highlight w:val="none"/>
              </w:rPr>
            </w:r>
          </w:p>
        </w:tc>
        <w:tc>
          <w:tcPr>
            <w:tcW w:w="5597"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接到采购人送货通知后30日内</w:t>
            </w:r>
            <w:r>
              <w:rPr>
                <w:rFonts w:hint="eastAsia" w:ascii="宋体" w:hAnsi="宋体" w:eastAsia="宋体" w:cs="宋体"/>
                <w:bCs/>
                <w:sz w:val="24"/>
                <w:szCs w:val="24"/>
                <w:highlight w:val="none"/>
              </w:rPr>
            </w:r>
            <w:r>
              <w:rPr>
                <w:highlight w:val="none"/>
              </w:rPr>
            </w:r>
          </w:p>
        </w:tc>
      </w:tr>
      <w:tr>
        <w:trPr>
          <w:trHeight w:val="867"/>
        </w:trPr>
        <w:tc>
          <w:tcPr>
            <w:tcW w:w="891"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zh-CN"/>
              </w:rPr>
            </w:r>
            <w:r>
              <w:rPr>
                <w:highlight w:val="none"/>
              </w:rPr>
            </w:r>
          </w:p>
        </w:tc>
        <w:tc>
          <w:tcPr>
            <w:tcW w:w="2896"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售后服务</w:t>
            </w:r>
            <w:r>
              <w:rPr>
                <w:rFonts w:hint="eastAsia" w:ascii="宋体" w:hAnsi="宋体" w:eastAsia="宋体" w:cs="宋体"/>
                <w:bCs/>
                <w:sz w:val="24"/>
                <w:szCs w:val="24"/>
                <w:highlight w:val="none"/>
                <w:lang w:val="zh-CN"/>
              </w:rPr>
            </w:r>
            <w:r>
              <w:rPr>
                <w:highlight w:val="none"/>
              </w:rPr>
            </w:r>
          </w:p>
        </w:tc>
        <w:tc>
          <w:tcPr>
            <w:tcW w:w="5597" w:type="dxa"/>
            <w:vAlign w:val="center"/>
            <w:textDirection w:val="lrTb"/>
            <w:noWrap w:val="false"/>
          </w:tcPr>
          <w:p>
            <w:pPr>
              <w:pStyle w:val="665"/>
              <w:numPr>
                <w:ilvl w:val="0"/>
                <w:numId w:val="6"/>
              </w:num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质保期：原厂整机免费质保</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五年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质保期后的维修只收取零备件费。接到客户反馈后半小时响应，24小时内赶到现场维修。</w:t>
            </w:r>
            <w:r>
              <w:rPr>
                <w:rFonts w:hint="eastAsia" w:ascii="宋体" w:hAnsi="宋体" w:eastAsia="宋体" w:cs="宋体"/>
                <w:bCs/>
                <w:sz w:val="24"/>
                <w:szCs w:val="24"/>
                <w:highlight w:val="none"/>
              </w:rPr>
            </w:r>
            <w:r>
              <w:rPr>
                <w:highlight w:val="none"/>
              </w:rPr>
            </w:r>
          </w:p>
          <w:p>
            <w:pPr>
              <w:pStyle w:val="665"/>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所有设备包安装。安装以后，中标供应商协助</w:t>
            </w:r>
            <w:r>
              <w:rPr>
                <w:rFonts w:hint="eastAsia" w:ascii="宋体" w:hAnsi="宋体" w:eastAsia="宋体" w:cs="Times New Roman"/>
                <w:sz w:val="24"/>
                <w:szCs w:val="24"/>
                <w:highlight w:val="none"/>
                <w:lang w:val="en-US" w:eastAsia="zh-CN"/>
              </w:rPr>
              <w:t xml:space="preserve">采购单位</w:t>
            </w:r>
            <w:r>
              <w:rPr>
                <w:rFonts w:hint="eastAsia" w:ascii="宋体" w:hAnsi="宋体" w:eastAsia="宋体" w:cs="Times New Roman"/>
                <w:sz w:val="24"/>
                <w:szCs w:val="24"/>
                <w:highlight w:val="none"/>
              </w:rPr>
              <w:t xml:space="preserve">，根据《放射性药品管理办法》，参照国家核发《放射性药品使用许可证》验收标准(2003 版)及《药品 GMP》放射性药品附录。能达到第四类证的验收标准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rPr>
                <w:highlight w:val="none"/>
              </w:rPr>
            </w:r>
          </w:p>
          <w:p>
            <w:pPr>
              <w:pStyle w:val="665"/>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、免费送货至医院指定地点安装调试，免费培训工程师、操作人员至能熟练操作为止。</w:t>
            </w:r>
            <w:r>
              <w:rPr>
                <w:rFonts w:hint="eastAsia" w:ascii="宋体" w:hAnsi="宋体" w:eastAsia="宋体"/>
                <w:sz w:val="24"/>
                <w:szCs w:val="24"/>
                <w:highlight w:val="none"/>
              </w:rPr>
            </w:r>
            <w:r>
              <w:rPr>
                <w:highlight w:val="none"/>
              </w:rPr>
            </w:r>
          </w:p>
          <w:p>
            <w:pPr>
              <w:pStyle w:val="665"/>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4、设备交付使用后，定期对设备进行维护保养，在保修期内提供免费维护保养服务两次。</w:t>
            </w:r>
            <w:r>
              <w:rPr>
                <w:rFonts w:hint="eastAsia" w:ascii="宋体" w:hAnsi="宋体" w:eastAsia="宋体" w:cs="Times New Roman"/>
                <w:sz w:val="24"/>
                <w:szCs w:val="24"/>
                <w:highlight w:val="none"/>
                <w:lang w:val="en-US" w:eastAsia="zh-CN"/>
              </w:rPr>
            </w:r>
            <w:r>
              <w:rPr>
                <w:highlight w:val="none"/>
              </w:rPr>
            </w:r>
          </w:p>
          <w:p>
            <w:pPr>
              <w:pStyle w:val="665"/>
              <w:spacing w:line="360" w:lineRule="auto"/>
              <w:rPr>
                <w:rFonts w:hint="eastAsia" w:ascii="宋体" w:hAnsi="宋体" w:eastAsia="宋体"/>
                <w:sz w:val="24"/>
                <w:szCs w:val="24"/>
                <w:highlight w:val="none"/>
              </w:rPr>
            </w:pPr>
            <w:r>
              <w:rPr>
                <w:rFonts w:hint="eastAsia" w:ascii="宋体" w:hAnsi="宋体" w:eastAsia="宋体" w:cs="Times New Roman"/>
                <w:sz w:val="24"/>
                <w:szCs w:val="24"/>
                <w:highlight w:val="none"/>
                <w:lang w:val="en-US" w:eastAsia="zh-CN"/>
              </w:rPr>
              <w:t xml:space="preserve">5、保证所提供设备的配件10年</w:t>
            </w:r>
            <w:r>
              <w:rPr>
                <w:rFonts w:hint="eastAsia" w:ascii="宋体" w:hAnsi="宋体" w:eastAsia="宋体"/>
                <w:sz w:val="24"/>
                <w:szCs w:val="24"/>
                <w:highlight w:val="none"/>
              </w:rPr>
              <w:t xml:space="preserve">供货期，承诺期内保证配件需求。</w:t>
            </w:r>
            <w:r>
              <w:rPr>
                <w:rFonts w:hint="eastAsia" w:ascii="宋体" w:hAnsi="宋体" w:eastAsia="宋体"/>
                <w:sz w:val="24"/>
                <w:szCs w:val="24"/>
                <w:highlight w:val="none"/>
              </w:rPr>
            </w:r>
            <w:r>
              <w:rPr>
                <w:highlight w:val="none"/>
              </w:rPr>
            </w:r>
          </w:p>
          <w:p>
            <w:pPr>
              <w:pStyle w:val="665"/>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、定期对机器清洁、性能测试及校准、必要的机械或电气的检查。</w:t>
            </w:r>
            <w:r>
              <w:rPr>
                <w:rFonts w:hint="eastAsia" w:ascii="宋体" w:hAnsi="宋体" w:eastAsia="宋体"/>
                <w:sz w:val="24"/>
                <w:szCs w:val="24"/>
                <w:highlight w:val="none"/>
              </w:rPr>
            </w:r>
            <w:r>
              <w:rPr>
                <w:highlight w:val="none"/>
              </w:rPr>
            </w:r>
          </w:p>
        </w:tc>
      </w:tr>
      <w:tr>
        <w:trPr>
          <w:trHeight w:val="810"/>
        </w:trPr>
        <w:tc>
          <w:tcPr>
            <w:tcW w:w="891"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zh-CN"/>
              </w:rPr>
            </w:r>
            <w:r>
              <w:rPr>
                <w:highlight w:val="none"/>
              </w:rPr>
            </w:r>
          </w:p>
        </w:tc>
        <w:tc>
          <w:tcPr>
            <w:tcW w:w="2896"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交货地点</w:t>
            </w:r>
            <w:r>
              <w:rPr>
                <w:rFonts w:hint="eastAsia" w:ascii="宋体" w:hAnsi="宋体" w:eastAsia="宋体" w:cs="宋体"/>
                <w:bCs/>
                <w:sz w:val="24"/>
                <w:szCs w:val="24"/>
                <w:highlight w:val="none"/>
                <w:lang w:val="zh-CN"/>
              </w:rPr>
            </w:r>
            <w:r>
              <w:rPr>
                <w:highlight w:val="none"/>
              </w:rPr>
            </w:r>
          </w:p>
        </w:tc>
        <w:tc>
          <w:tcPr>
            <w:tcW w:w="5597"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泰州</w:t>
            </w:r>
            <w:r>
              <w:rPr>
                <w:rFonts w:hint="eastAsia" w:ascii="宋体" w:hAnsi="宋体" w:eastAsia="宋体" w:cs="宋体"/>
                <w:bCs/>
                <w:sz w:val="24"/>
                <w:szCs w:val="24"/>
                <w:highlight w:val="none"/>
                <w:lang w:eastAsia="zh-CN"/>
              </w:rPr>
              <w:t xml:space="preserve">市人民医院</w:t>
            </w:r>
            <w:r>
              <w:rPr>
                <w:rFonts w:hint="eastAsia" w:ascii="宋体" w:hAnsi="宋体" w:eastAsia="宋体" w:cs="宋体"/>
                <w:bCs/>
                <w:sz w:val="24"/>
                <w:szCs w:val="24"/>
                <w:highlight w:val="none"/>
              </w:rPr>
              <w:t xml:space="preserve">指定地点</w:t>
            </w:r>
            <w:r>
              <w:rPr>
                <w:rFonts w:hint="eastAsia" w:ascii="宋体" w:hAnsi="宋体" w:eastAsia="宋体" w:cs="宋体"/>
                <w:bCs/>
                <w:sz w:val="24"/>
                <w:szCs w:val="24"/>
                <w:highlight w:val="none"/>
                <w:lang w:val="zh-CN"/>
              </w:rPr>
            </w:r>
            <w:r>
              <w:rPr>
                <w:highlight w:val="none"/>
              </w:rPr>
            </w:r>
          </w:p>
        </w:tc>
      </w:tr>
      <w:tr>
        <w:trPr>
          <w:trHeight w:val="837"/>
        </w:trPr>
        <w:tc>
          <w:tcPr>
            <w:tcW w:w="891"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r>
            <w:r>
              <w:rPr>
                <w:highlight w:val="none"/>
              </w:rPr>
            </w:r>
          </w:p>
        </w:tc>
        <w:tc>
          <w:tcPr>
            <w:tcW w:w="2896"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包装运输</w:t>
            </w:r>
            <w:r>
              <w:rPr>
                <w:rFonts w:hint="eastAsia" w:ascii="宋体" w:hAnsi="宋体" w:eastAsia="宋体" w:cs="宋体"/>
                <w:bCs/>
                <w:sz w:val="24"/>
                <w:szCs w:val="24"/>
                <w:highlight w:val="none"/>
              </w:rPr>
            </w:r>
            <w:r>
              <w:rPr>
                <w:highlight w:val="none"/>
              </w:rPr>
            </w:r>
          </w:p>
        </w:tc>
        <w:tc>
          <w:tcPr>
            <w:tcW w:w="5597"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由供应商承担</w:t>
            </w:r>
            <w:r>
              <w:rPr>
                <w:rFonts w:hint="eastAsia" w:ascii="宋体" w:hAnsi="宋体" w:eastAsia="宋体" w:cs="宋体"/>
                <w:bCs/>
                <w:sz w:val="24"/>
                <w:szCs w:val="24"/>
                <w:highlight w:val="none"/>
              </w:rPr>
            </w:r>
            <w:r>
              <w:rPr>
                <w:highlight w:val="none"/>
              </w:rPr>
            </w:r>
          </w:p>
        </w:tc>
      </w:tr>
      <w:tr>
        <w:trPr>
          <w:trHeight w:val="692"/>
        </w:trPr>
        <w:tc>
          <w:tcPr>
            <w:tcW w:w="891"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r>
            <w:r>
              <w:rPr>
                <w:highlight w:val="none"/>
              </w:rPr>
            </w:r>
          </w:p>
        </w:tc>
        <w:tc>
          <w:tcPr>
            <w:shd w:val="clear" w:color="auto" w:fill="ffffff"/>
            <w:tcW w:w="2896"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付款方式</w:t>
            </w:r>
            <w:r>
              <w:rPr>
                <w:rFonts w:hint="eastAsia" w:ascii="宋体" w:hAnsi="宋体" w:eastAsia="宋体" w:cs="宋体"/>
                <w:bCs/>
                <w:sz w:val="24"/>
                <w:szCs w:val="24"/>
                <w:highlight w:val="none"/>
                <w:lang w:val="zh-CN"/>
              </w:rPr>
            </w:r>
            <w:r>
              <w:rPr>
                <w:highlight w:val="none"/>
              </w:rPr>
            </w:r>
          </w:p>
        </w:tc>
        <w:tc>
          <w:tcPr>
            <w:shd w:val="clear" w:color="auto" w:fill="ffffff"/>
            <w:tcW w:w="5597" w:type="dxa"/>
            <w:vAlign w:val="center"/>
            <w:textDirection w:val="lrTb"/>
            <w:noWrap w:val="false"/>
          </w:tcPr>
          <w:p>
            <w:pPr>
              <w:pStyle w:val="662"/>
              <w:jc w:val="both"/>
              <w:spacing w:line="340" w:lineRule="exact"/>
              <w:widowControl/>
              <w:rPr>
                <w:rFonts w:hint="eastAsia" w:ascii="宋体" w:hAnsi="宋体" w:eastAsia="宋体" w:cs="宋体"/>
                <w:bCs/>
                <w:sz w:val="24"/>
                <w:szCs w:val="24"/>
                <w:highlight w:val="none"/>
              </w:rPr>
            </w:pPr>
            <w:r>
              <w:rPr>
                <w:rFonts w:hint="eastAsia" w:ascii="宋体" w:hAnsi="宋体" w:eastAsia="宋体" w:cs="仿宋"/>
                <w:color w:val="000000"/>
                <w:sz w:val="24"/>
                <w:szCs w:val="24"/>
                <w:highlight w:val="none"/>
              </w:rPr>
              <w:t xml:space="preserve"> 付款方式：货到，安装，验收合格后凭甲方出具的验收报告按甲方财务流程付款90%,余款10%，验收合格后一年后给付。</w:t>
            </w:r>
            <w:r>
              <w:rPr>
                <w:rFonts w:hint="eastAsia" w:ascii="宋体" w:hAnsi="宋体" w:eastAsia="宋体" w:cs="宋体"/>
                <w:bCs/>
                <w:sz w:val="24"/>
                <w:szCs w:val="24"/>
                <w:highlight w:val="none"/>
              </w:rPr>
            </w:r>
            <w:r>
              <w:rPr>
                <w:highlight w:val="none"/>
              </w:rPr>
            </w:r>
          </w:p>
        </w:tc>
      </w:tr>
      <w:tr>
        <w:trPr>
          <w:trHeight w:val="692"/>
        </w:trPr>
        <w:tc>
          <w:tcPr>
            <w:tcW w:w="891"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rPr>
            </w:r>
            <w:r>
              <w:rPr>
                <w:highlight w:val="none"/>
              </w:rPr>
            </w:r>
          </w:p>
        </w:tc>
        <w:tc>
          <w:tcPr>
            <w:shd w:val="clear" w:color="auto" w:fill="ffffff"/>
            <w:tcW w:w="2896"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国家相关标准、行业标准、地方标准或者其他标准、规范</w:t>
            </w:r>
            <w:r>
              <w:rPr>
                <w:rFonts w:hint="eastAsia" w:ascii="宋体" w:hAnsi="宋体" w:eastAsia="宋体" w:cs="宋体"/>
                <w:bCs/>
                <w:sz w:val="24"/>
                <w:szCs w:val="24"/>
                <w:highlight w:val="none"/>
              </w:rPr>
            </w:r>
            <w:r>
              <w:rPr>
                <w:highlight w:val="none"/>
              </w:rPr>
            </w:r>
          </w:p>
        </w:tc>
        <w:tc>
          <w:tcPr>
            <w:shd w:val="clear" w:color="auto" w:fill="ffffff"/>
            <w:tcW w:w="5597" w:type="dxa"/>
            <w:vAlign w:val="center"/>
            <w:textDirection w:val="lrTb"/>
            <w:noWrap w:val="false"/>
          </w:tcPr>
          <w:p>
            <w:pPr>
              <w:pStyle w:val="662"/>
              <w:jc w:val="both"/>
              <w:spacing w:line="340" w:lineRule="exact"/>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产品的技术标准按国家标准执行，无国家标准的，按行业标准执行，无国家和行业标准的，按企业标准执行；但在磋商文件中有特别要求的，按磋商文件中规定的要求执行，并且符合相关法律、法规规定的要求。</w:t>
            </w:r>
            <w:r>
              <w:rPr>
                <w:rFonts w:hint="eastAsia" w:ascii="宋体" w:hAnsi="宋体" w:eastAsia="宋体" w:cs="仿宋"/>
                <w:color w:val="000000"/>
                <w:sz w:val="24"/>
                <w:szCs w:val="24"/>
                <w:highlight w:val="none"/>
              </w:rPr>
            </w:r>
            <w:r>
              <w:rPr>
                <w:highlight w:val="none"/>
              </w:rPr>
            </w:r>
          </w:p>
        </w:tc>
      </w:tr>
      <w:tr>
        <w:trPr>
          <w:trHeight w:val="692"/>
        </w:trPr>
        <w:tc>
          <w:tcPr>
            <w:tcW w:w="891" w:type="dxa"/>
            <w:vAlign w:val="center"/>
            <w:textDirection w:val="lrTb"/>
            <w:noWrap w:val="false"/>
          </w:tcPr>
          <w:p>
            <w:pPr>
              <w:pStyle w:val="662"/>
              <w:jc w:val="center"/>
              <w:spacing w:line="34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ascii="宋体" w:hAnsi="宋体" w:eastAsia="宋体" w:cs="宋体"/>
                <w:bCs/>
                <w:sz w:val="24"/>
                <w:szCs w:val="24"/>
                <w:highlight w:val="none"/>
                <w:lang w:val="en-US" w:eastAsia="zh-CN"/>
              </w:rPr>
            </w:r>
            <w:r>
              <w:rPr>
                <w:highlight w:val="none"/>
              </w:rPr>
            </w:r>
          </w:p>
        </w:tc>
        <w:tc>
          <w:tcPr>
            <w:shd w:val="clear" w:color="auto" w:fill="ffffff"/>
            <w:tcW w:w="2896" w:type="dxa"/>
            <w:vAlign w:val="center"/>
            <w:textDirection w:val="lrTb"/>
            <w:noWrap w:val="false"/>
          </w:tcPr>
          <w:p>
            <w:pPr>
              <w:pStyle w:val="662"/>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采购标的中的核心产品</w:t>
            </w:r>
            <w:r>
              <w:rPr>
                <w:rFonts w:hint="eastAsia" w:ascii="宋体" w:hAnsi="宋体" w:eastAsia="宋体" w:cs="宋体"/>
                <w:bCs/>
                <w:sz w:val="24"/>
                <w:szCs w:val="24"/>
                <w:highlight w:val="none"/>
              </w:rPr>
            </w:r>
            <w:r>
              <w:rPr>
                <w:highlight w:val="none"/>
              </w:rPr>
            </w:r>
          </w:p>
        </w:tc>
        <w:tc>
          <w:tcPr>
            <w:shd w:val="clear" w:color="auto" w:fill="ffffff"/>
            <w:tcW w:w="5597" w:type="dxa"/>
            <w:vAlign w:val="center"/>
            <w:textDirection w:val="lrTb"/>
            <w:noWrap w:val="false"/>
          </w:tcPr>
          <w:p>
            <w:pPr>
              <w:pStyle w:val="662"/>
              <w:jc w:val="both"/>
              <w:spacing w:line="340" w:lineRule="exact"/>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品目四 高效液相色谱 (HPLC)</w:t>
            </w:r>
            <w:r>
              <w:rPr>
                <w:rFonts w:hint="eastAsia" w:ascii="宋体" w:hAnsi="宋体" w:eastAsia="宋体" w:cs="仿宋"/>
                <w:color w:val="000000"/>
                <w:sz w:val="24"/>
                <w:szCs w:val="24"/>
                <w:highlight w:val="none"/>
              </w:rPr>
            </w:r>
            <w:r>
              <w:rPr>
                <w:highlight w:val="none"/>
              </w:rPr>
            </w:r>
          </w:p>
        </w:tc>
      </w:tr>
      <w:tr>
        <w:trPr>
          <w:trHeight w:val="692"/>
        </w:trPr>
        <w:tc>
          <w:tcPr>
            <w:tcW w:w="891" w:type="dxa"/>
            <w:vAlign w:val="center"/>
            <w:textDirection w:val="lrTb"/>
            <w:noWrap w:val="false"/>
          </w:tcPr>
          <w:p>
            <w:pPr>
              <w:pStyle w:val="662"/>
              <w:jc w:val="center"/>
              <w:spacing w:line="34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ascii="宋体" w:hAnsi="宋体" w:eastAsia="宋体" w:cs="宋体"/>
                <w:bCs/>
                <w:sz w:val="24"/>
                <w:szCs w:val="24"/>
                <w:highlight w:val="none"/>
                <w:lang w:val="en-US" w:eastAsia="zh-CN"/>
              </w:rPr>
            </w:r>
            <w:r>
              <w:rPr>
                <w:highlight w:val="none"/>
              </w:rPr>
            </w:r>
          </w:p>
        </w:tc>
        <w:tc>
          <w:tcPr>
            <w:shd w:val="clear" w:color="auto" w:fill="ffffff"/>
            <w:tcW w:w="2896" w:type="dxa"/>
            <w:vAlign w:val="center"/>
            <w:textDirection w:val="lrTb"/>
            <w:noWrap w:val="false"/>
          </w:tcPr>
          <w:p>
            <w:pPr>
              <w:pStyle w:val="662"/>
              <w:jc w:val="center"/>
              <w:spacing w:line="34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验收标准</w:t>
            </w:r>
            <w:r>
              <w:rPr>
                <w:rFonts w:ascii="宋体" w:hAnsi="宋体" w:eastAsia="宋体" w:cs="宋体"/>
                <w:bCs/>
                <w:sz w:val="24"/>
                <w:szCs w:val="24"/>
                <w:highlight w:val="none"/>
                <w:lang w:val="en-US" w:eastAsia="zh-CN"/>
              </w:rPr>
            </w:r>
            <w:r>
              <w:rPr>
                <w:highlight w:val="none"/>
              </w:rPr>
            </w:r>
          </w:p>
        </w:tc>
        <w:tc>
          <w:tcPr>
            <w:shd w:val="clear" w:color="auto" w:fill="ffffff"/>
            <w:tcW w:w="5597" w:type="dxa"/>
            <w:vAlign w:val="center"/>
            <w:textDirection w:val="lrTb"/>
            <w:noWrap w:val="false"/>
          </w:tcPr>
          <w:p>
            <w:pPr>
              <w:pStyle w:val="662"/>
              <w:jc w:val="both"/>
              <w:spacing w:line="340" w:lineRule="exact"/>
              <w:widowControl/>
              <w:rPr>
                <w:rFonts w:hint="eastAsia" w:ascii="宋体" w:hAnsi="宋体" w:eastAsia="宋体" w:cs="仿宋"/>
                <w:color w:val="000000"/>
                <w:sz w:val="24"/>
                <w:szCs w:val="24"/>
                <w:highlight w:val="none"/>
              </w:rPr>
            </w:pPr>
            <w:r>
              <w:rPr>
                <w:rFonts w:hint="eastAsia" w:ascii="宋体" w:hAnsi="宋体" w:eastAsia="宋体" w:cs="Times New Roman"/>
                <w:sz w:val="24"/>
                <w:szCs w:val="24"/>
                <w:highlight w:val="none"/>
                <w:lang w:val="en-US" w:eastAsia="zh-CN"/>
              </w:rPr>
              <w:t xml:space="preserve">中标供应商需保证所供设备全新、型号最新、最近半年生产、保持完好的原包装，系新机，不可为翻新机，符合国家法律、法规的规定，其质量技术满足中国国家标准或国际相关行业标准，并提供相关承诺函。</w:t>
            </w:r>
            <w:r>
              <w:rPr>
                <w:rFonts w:hint="eastAsia" w:ascii="宋体" w:hAnsi="宋体" w:eastAsia="宋体" w:cs="仿宋"/>
                <w:color w:val="000000"/>
                <w:sz w:val="24"/>
                <w:szCs w:val="24"/>
                <w:highlight w:val="none"/>
              </w:rPr>
            </w:r>
            <w:r>
              <w:rPr>
                <w:highlight w:val="none"/>
              </w:rPr>
            </w:r>
          </w:p>
        </w:tc>
      </w:tr>
    </w:tbl>
    <w:p>
      <w:pPr>
        <w:pStyle w:val="662"/>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r>
      <w:r>
        <w:rPr>
          <w:highlight w:val="none"/>
        </w:rPr>
      </w:r>
    </w:p>
    <w:p>
      <w:pPr>
        <w:pStyle w:val="662"/>
        <w:jc w:val="center"/>
        <w:keepNext/>
        <w:spacing w:line="360" w:lineRule="auto"/>
        <w:rPr>
          <w:rFonts w:ascii="宋体" w:hAnsi="宋体" w:cs="宋体"/>
          <w:b/>
          <w:bCs/>
          <w:spacing w:val="-20"/>
          <w:sz w:val="48"/>
          <w:szCs w:val="4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合同文本</w:t>
      </w:r>
      <w:bookmarkStart w:id="174" w:name="_Toc3995"/>
      <w:r>
        <w:rPr>
          <w:highlight w:val="none"/>
        </w:rPr>
      </w:r>
      <w:bookmarkStart w:id="175" w:name="_Hlt16619369"/>
      <w:r>
        <w:rPr>
          <w:highlight w:val="none"/>
        </w:rPr>
      </w:r>
      <w:bookmarkEnd w:id="175"/>
      <w:r>
        <w:rPr>
          <w:rFonts w:ascii="宋体" w:hAnsi="宋体" w:cs="宋体"/>
          <w:b/>
          <w:bCs/>
          <w:spacing w:val="-20"/>
          <w:sz w:val="48"/>
          <w:szCs w:val="48"/>
          <w:highlight w:val="none"/>
        </w:rPr>
      </w:r>
      <w:r>
        <w:rPr>
          <w:highlight w:val="none"/>
        </w:rPr>
      </w:r>
    </w:p>
    <w:p>
      <w:pPr>
        <w:pStyle w:val="662"/>
        <w:ind w:firstLine="560"/>
        <w:keepLines w:val="0"/>
        <w:keepNext w:val="0"/>
        <w:pageBreakBefore w:val="0"/>
        <w:spacing w:line="360" w:lineRule="auto"/>
        <w:widowControl w:val="off"/>
        <w:rPr>
          <w:rFonts w:hint="eastAsia" w:ascii="仿宋" w:hAnsi="仿宋" w:eastAsia="仿宋"/>
          <w:bCs/>
          <w:color w:val="000000"/>
          <w:sz w:val="28"/>
          <w:szCs w:val="28"/>
          <w:highlight w:val="none"/>
        </w:rPr>
      </w:pPr>
      <w:r>
        <w:rPr>
          <w:highlight w:val="none"/>
        </w:rPr>
      </w:r>
      <w:bookmarkStart w:id="176" w:name="_Toc16938559"/>
      <w:r>
        <w:rPr>
          <w:highlight w:val="none"/>
        </w:rPr>
      </w:r>
      <w:bookmarkStart w:id="177" w:name="_Toc513029243"/>
      <w:r>
        <w:rPr>
          <w:highlight w:val="none"/>
        </w:rPr>
      </w:r>
      <w:bookmarkStart w:id="178" w:name="_Toc20823315"/>
      <w:r>
        <w:rPr>
          <w:rFonts w:hint="eastAsia" w:ascii="仿宋" w:hAnsi="仿宋" w:eastAsia="仿宋"/>
          <w:bCs/>
          <w:color w:val="000000"/>
          <w:sz w:val="28"/>
          <w:szCs w:val="28"/>
          <w:highlight w:val="none"/>
        </w:rPr>
        <w:t xml:space="preserve">以下为中标后签定本项目合同的通用条款，中标人不得提出实质性的修改。</w:t>
      </w:r>
      <w:bookmarkEnd w:id="176"/>
      <w:r>
        <w:rPr>
          <w:highlight w:val="none"/>
        </w:rPr>
      </w:r>
      <w:bookmarkEnd w:id="177"/>
      <w:r>
        <w:rPr>
          <w:highlight w:val="none"/>
        </w:rPr>
      </w:r>
      <w:bookmarkEnd w:id="178"/>
      <w:r>
        <w:rPr>
          <w:rFonts w:hint="eastAsia" w:ascii="仿宋" w:hAnsi="仿宋" w:eastAsia="仿宋"/>
          <w:bCs/>
          <w:color w:val="000000"/>
          <w:sz w:val="28"/>
          <w:szCs w:val="28"/>
          <w:highlight w:val="none"/>
        </w:rPr>
      </w:r>
      <w:r>
        <w:rPr>
          <w:highlight w:val="none"/>
        </w:rPr>
      </w:r>
    </w:p>
    <w:p>
      <w:pPr>
        <w:pStyle w:val="662"/>
        <w:jc w:val="center"/>
        <w:keepLines w:val="0"/>
        <w:keepNext w:val="0"/>
        <w:widowControl/>
        <w:rPr>
          <w:rFonts w:hint="eastAsia" w:cs="Arial"/>
          <w:b/>
          <w:sz w:val="36"/>
          <w:szCs w:val="36"/>
          <w:highlight w:val="none"/>
          <w:vertAlign w:val="superscript"/>
        </w:rPr>
        <w:suppressLineNumbers w:val="0"/>
      </w:pPr>
      <w:r>
        <w:rPr>
          <w:highlight w:val="none"/>
        </w:rPr>
      </w:r>
      <w:bookmarkEnd w:id="174"/>
      <w:r>
        <w:rPr>
          <w:highlight w:val="none"/>
        </w:rPr>
      </w:r>
      <w:bookmarkStart w:id="179" w:name="_Toc120614281"/>
      <w:r>
        <w:rPr>
          <w:rFonts w:hint="eastAsia" w:ascii="黑体" w:hAnsi="Times New Roman" w:eastAsia="黑体" w:cs="Times New Roman"/>
          <w:b/>
          <w:sz w:val="30"/>
          <w:szCs w:val="30"/>
          <w:highlight w:val="none"/>
          <w:lang w:val="en-US" w:eastAsia="zh-CN"/>
        </w:rPr>
        <w:t xml:space="preserve">XX系统</w:t>
      </w:r>
      <w:r>
        <w:rPr>
          <w:rFonts w:hint="eastAsia" w:ascii="黑体" w:hAnsi="Times New Roman" w:eastAsia="黑体" w:cs="Times New Roman"/>
          <w:b/>
          <w:sz w:val="30"/>
          <w:szCs w:val="30"/>
          <w:highlight w:val="none"/>
        </w:rPr>
        <w:t xml:space="preserve">采购合</w:t>
      </w:r>
      <w:r>
        <w:rPr>
          <w:rFonts w:hint="eastAsia" w:ascii="黑体" w:eastAsia="黑体"/>
          <w:b/>
          <w:sz w:val="30"/>
          <w:szCs w:val="30"/>
          <w:highlight w:val="none"/>
        </w:rPr>
        <w:t xml:space="preserve">同</w:t>
      </w:r>
      <w:r>
        <w:rPr>
          <w:rFonts w:hint="eastAsia" w:cs="Arial"/>
          <w:b/>
          <w:sz w:val="36"/>
          <w:szCs w:val="36"/>
          <w:highlight w:val="none"/>
          <w:vertAlign w:val="superscript"/>
        </w:rPr>
      </w:r>
      <w:r>
        <w:rPr>
          <w:highlight w:val="none"/>
        </w:rPr>
      </w:r>
    </w:p>
    <w:p>
      <w:pPr>
        <w:pStyle w:val="662"/>
        <w:spacing w:line="400" w:lineRule="exact"/>
        <w:rPr>
          <w:rFonts w:hint="eastAsia"/>
          <w:b/>
          <w:bCs/>
          <w:color w:val="000000"/>
          <w:highlight w:val="none"/>
        </w:rPr>
      </w:pPr>
      <w:r>
        <w:rPr>
          <w:rFonts w:hint="eastAsia"/>
          <w:b/>
          <w:bCs/>
          <w:highlight w:val="none"/>
        </w:rPr>
        <w:t xml:space="preserve">甲方：</w:t>
      </w:r>
      <w:r>
        <w:rPr>
          <w:rFonts w:hint="eastAsia"/>
          <w:b/>
          <w:bCs/>
          <w:color w:val="000000"/>
          <w:highlight w:val="none"/>
        </w:rPr>
        <w:t xml:space="preserve">泰州市人民医院</w:t>
      </w:r>
      <w:r>
        <w:rPr>
          <w:rFonts w:hint="eastAsia"/>
          <w:b/>
          <w:bCs/>
          <w:color w:val="000000"/>
          <w:highlight w:val="none"/>
        </w:rPr>
      </w:r>
      <w:r>
        <w:rPr>
          <w:highlight w:val="none"/>
        </w:rPr>
      </w:r>
    </w:p>
    <w:p>
      <w:pPr>
        <w:pStyle w:val="662"/>
        <w:jc w:val="left"/>
        <w:keepLines w:val="0"/>
        <w:keepNext w:val="0"/>
        <w:widowControl/>
        <w:rPr>
          <w:b/>
          <w:color w:val="000000"/>
          <w:sz w:val="21"/>
          <w:szCs w:val="22"/>
          <w:highlight w:val="none"/>
        </w:rPr>
        <w:suppressLineNumbers w:val="0"/>
      </w:pPr>
      <w:r>
        <w:rPr>
          <w:rFonts w:hint="eastAsia"/>
          <w:b/>
          <w:bCs/>
          <w:color w:val="000000"/>
          <w:highlight w:val="none"/>
        </w:rPr>
        <w:t xml:space="preserve">乙方：</w:t>
      </w:r>
      <w:r>
        <w:rPr>
          <w:rFonts w:hint="eastAsia"/>
          <w:b/>
          <w:color w:val="000000"/>
          <w:sz w:val="21"/>
          <w:highlight w:val="none"/>
          <w:lang w:val="en-US" w:eastAsia="zh-CN"/>
        </w:rPr>
        <w:t xml:space="preserve">XXXXXX有限公司</w:t>
      </w:r>
      <w:r>
        <w:rPr>
          <w:b/>
          <w:color w:val="000000"/>
          <w:sz w:val="21"/>
          <w:szCs w:val="22"/>
          <w:highlight w:val="none"/>
        </w:rPr>
      </w:r>
      <w:r>
        <w:rPr>
          <w:highlight w:val="none"/>
        </w:rPr>
      </w:r>
    </w:p>
    <w:p>
      <w:pPr>
        <w:pStyle w:val="662"/>
        <w:ind w:firstLine="480"/>
        <w:keepLines w:val="0"/>
        <w:keepNext w:val="0"/>
        <w:pageBreakBefore w:val="0"/>
        <w:spacing w:line="420" w:lineRule="exact"/>
        <w:widowControl w:val="off"/>
        <w:rPr>
          <w:rFonts w:hint="eastAsia"/>
          <w:color w:val="000000"/>
          <w:highlight w:val="none"/>
        </w:rPr>
      </w:pPr>
      <w:r>
        <w:rPr>
          <w:rFonts w:hint="eastAsia"/>
          <w:color w:val="000000"/>
          <w:highlight w:val="none"/>
        </w:rPr>
        <w:t xml:space="preserve">经甲、乙双方友好协商，</w:t>
      </w:r>
      <w:r>
        <w:rPr>
          <w:rFonts w:hint="eastAsia"/>
          <w:color w:val="000000"/>
          <w:szCs w:val="21"/>
          <w:highlight w:val="none"/>
        </w:rPr>
        <w:t xml:space="preserve">就乙方销售给甲方设备，</w:t>
      </w:r>
      <w:r>
        <w:rPr>
          <w:rFonts w:hint="eastAsia"/>
          <w:color w:val="000000"/>
          <w:highlight w:val="none"/>
        </w:rPr>
        <w:t xml:space="preserve">双方达成如下协议：</w:t>
      </w:r>
      <w:r>
        <w:rPr>
          <w:rFonts w:hint="eastAsia"/>
          <w:color w:val="000000"/>
          <w:highlight w:val="none"/>
        </w:rPr>
      </w:r>
      <w:r>
        <w:rPr>
          <w:highlight w:val="none"/>
        </w:rPr>
      </w:r>
    </w:p>
    <w:p>
      <w:pPr>
        <w:pStyle w:val="662"/>
        <w:numPr>
          <w:ilvl w:val="0"/>
          <w:numId w:val="7"/>
        </w:numPr>
        <w:spacing w:line="400" w:lineRule="exact"/>
        <w:tabs>
          <w:tab w:val="left" w:pos="420" w:leader="none"/>
        </w:tabs>
        <w:rPr>
          <w:rFonts w:hint="eastAsia"/>
          <w:color w:val="000000"/>
          <w:szCs w:val="21"/>
          <w:highlight w:val="none"/>
        </w:rPr>
      </w:pPr>
      <w:r>
        <w:rPr>
          <w:rFonts w:hint="eastAsia"/>
          <w:color w:val="000000"/>
          <w:szCs w:val="21"/>
          <w:highlight w:val="none"/>
        </w:rPr>
        <w:t xml:space="preserve">设备名称、型号、数量和价格（人民币）</w:t>
      </w:r>
      <w:r>
        <w:rPr>
          <w:rFonts w:hint="eastAsia"/>
          <w:color w:val="000000"/>
          <w:szCs w:val="21"/>
          <w:highlight w:val="none"/>
        </w:rPr>
      </w:r>
      <w:r>
        <w:rPr>
          <w:highlight w:val="none"/>
        </w:rPr>
      </w:r>
    </w:p>
    <w:tbl>
      <w:tblPr>
        <w:tblW w:w="9406" w:type="dxa"/>
        <w:jc w:val="center"/>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2"/>
        <w:gridCol w:w="2715"/>
        <w:gridCol w:w="1232"/>
        <w:gridCol w:w="659"/>
        <w:gridCol w:w="1317"/>
        <w:gridCol w:w="1561"/>
      </w:tblGrid>
      <w:tr>
        <w:trPr>
          <w:cantSplit/>
          <w:trHeight w:val="442" w:hRule="exact"/>
        </w:trPr>
        <w:tc>
          <w:tcPr>
            <w:tcW w:w="1922" w:type="dxa"/>
            <w:vAlign w:val="center"/>
            <w:textDirection w:val="lrTb"/>
            <w:noWrap w:val="false"/>
          </w:tcPr>
          <w:p>
            <w:pPr>
              <w:pStyle w:val="662"/>
              <w:jc w:val="center"/>
              <w:rPr>
                <w:rFonts w:hint="eastAsia"/>
                <w:color w:val="000000"/>
                <w:szCs w:val="21"/>
                <w:highlight w:val="none"/>
              </w:rPr>
            </w:pPr>
            <w:r>
              <w:rPr>
                <w:rFonts w:hint="eastAsia"/>
                <w:color w:val="000000"/>
                <w:szCs w:val="21"/>
                <w:highlight w:val="none"/>
              </w:rPr>
              <w:t xml:space="preserve">设备名称</w:t>
            </w:r>
            <w:r>
              <w:rPr>
                <w:rFonts w:hint="eastAsia"/>
                <w:color w:val="000000"/>
                <w:szCs w:val="21"/>
                <w:highlight w:val="none"/>
              </w:rPr>
            </w:r>
            <w:r>
              <w:rPr>
                <w:highlight w:val="none"/>
              </w:rPr>
            </w:r>
          </w:p>
        </w:tc>
        <w:tc>
          <w:tcPr>
            <w:tcW w:w="2715" w:type="dxa"/>
            <w:vAlign w:val="center"/>
            <w:textDirection w:val="lrTb"/>
            <w:noWrap w:val="false"/>
          </w:tcPr>
          <w:p>
            <w:pPr>
              <w:pStyle w:val="662"/>
              <w:jc w:val="center"/>
              <w:rPr>
                <w:rFonts w:hint="eastAsia"/>
                <w:color w:val="000000"/>
                <w:szCs w:val="21"/>
                <w:highlight w:val="none"/>
              </w:rPr>
            </w:pPr>
            <w:r>
              <w:rPr>
                <w:rFonts w:hint="eastAsia"/>
                <w:color w:val="000000"/>
                <w:szCs w:val="21"/>
                <w:highlight w:val="none"/>
              </w:rPr>
              <w:t xml:space="preserve">生产厂家</w:t>
            </w:r>
            <w:r>
              <w:rPr>
                <w:rFonts w:hint="eastAsia"/>
                <w:color w:val="000000"/>
                <w:szCs w:val="21"/>
                <w:highlight w:val="none"/>
              </w:rPr>
            </w:r>
            <w:r>
              <w:rPr>
                <w:highlight w:val="none"/>
              </w:rPr>
            </w:r>
          </w:p>
        </w:tc>
        <w:tc>
          <w:tcPr>
            <w:tcW w:w="1232" w:type="dxa"/>
            <w:vAlign w:val="center"/>
            <w:textDirection w:val="lrTb"/>
            <w:noWrap w:val="false"/>
          </w:tcPr>
          <w:p>
            <w:pPr>
              <w:pStyle w:val="662"/>
              <w:jc w:val="center"/>
              <w:rPr>
                <w:rFonts w:hint="eastAsia"/>
                <w:color w:val="000000"/>
                <w:szCs w:val="21"/>
                <w:highlight w:val="none"/>
              </w:rPr>
            </w:pPr>
            <w:r>
              <w:rPr>
                <w:rFonts w:hint="eastAsia"/>
                <w:color w:val="000000"/>
                <w:szCs w:val="21"/>
                <w:highlight w:val="none"/>
              </w:rPr>
              <w:t xml:space="preserve">规格型号</w:t>
            </w:r>
            <w:r>
              <w:rPr>
                <w:rFonts w:hint="eastAsia"/>
                <w:color w:val="000000"/>
                <w:szCs w:val="21"/>
                <w:highlight w:val="none"/>
              </w:rPr>
            </w:r>
            <w:r>
              <w:rPr>
                <w:highlight w:val="none"/>
              </w:rPr>
            </w:r>
          </w:p>
        </w:tc>
        <w:tc>
          <w:tcPr>
            <w:tcW w:w="659" w:type="dxa"/>
            <w:vAlign w:val="center"/>
            <w:textDirection w:val="lrTb"/>
            <w:noWrap w:val="false"/>
          </w:tcPr>
          <w:p>
            <w:pPr>
              <w:pStyle w:val="662"/>
              <w:jc w:val="center"/>
              <w:rPr>
                <w:rFonts w:hint="eastAsia"/>
                <w:color w:val="000000"/>
                <w:szCs w:val="21"/>
                <w:highlight w:val="none"/>
              </w:rPr>
            </w:pPr>
            <w:r>
              <w:rPr>
                <w:rFonts w:hint="eastAsia"/>
                <w:color w:val="000000"/>
                <w:szCs w:val="21"/>
                <w:highlight w:val="none"/>
              </w:rPr>
              <w:t xml:space="preserve">数量</w:t>
            </w:r>
            <w:r>
              <w:rPr>
                <w:rFonts w:hint="eastAsia"/>
                <w:color w:val="000000"/>
                <w:szCs w:val="21"/>
                <w:highlight w:val="none"/>
              </w:rPr>
            </w:r>
            <w:r>
              <w:rPr>
                <w:highlight w:val="none"/>
              </w:rPr>
            </w:r>
          </w:p>
        </w:tc>
        <w:tc>
          <w:tcPr>
            <w:tcW w:w="1317" w:type="dxa"/>
            <w:vAlign w:val="center"/>
            <w:textDirection w:val="lrTb"/>
            <w:noWrap w:val="false"/>
          </w:tcPr>
          <w:p>
            <w:pPr>
              <w:pStyle w:val="662"/>
              <w:jc w:val="center"/>
              <w:rPr>
                <w:rFonts w:hint="eastAsia"/>
                <w:color w:val="000000"/>
                <w:szCs w:val="21"/>
                <w:highlight w:val="none"/>
              </w:rPr>
            </w:pPr>
            <w:r>
              <w:rPr>
                <w:rFonts w:hint="eastAsia"/>
                <w:color w:val="000000"/>
                <w:szCs w:val="21"/>
                <w:highlight w:val="none"/>
              </w:rPr>
              <w:t xml:space="preserve">单价（元）</w:t>
            </w:r>
            <w:r>
              <w:rPr>
                <w:rFonts w:hint="eastAsia"/>
                <w:color w:val="000000"/>
                <w:szCs w:val="21"/>
                <w:highlight w:val="none"/>
              </w:rPr>
            </w:r>
            <w:r>
              <w:rPr>
                <w:highlight w:val="none"/>
              </w:rPr>
            </w:r>
          </w:p>
        </w:tc>
        <w:tc>
          <w:tcPr>
            <w:tcW w:w="1561" w:type="dxa"/>
            <w:vAlign w:val="center"/>
            <w:textDirection w:val="lrTb"/>
            <w:noWrap w:val="false"/>
          </w:tcPr>
          <w:p>
            <w:pPr>
              <w:pStyle w:val="662"/>
              <w:jc w:val="center"/>
              <w:rPr>
                <w:rFonts w:hint="eastAsia"/>
                <w:color w:val="000000"/>
                <w:szCs w:val="21"/>
                <w:highlight w:val="none"/>
                <w:u w:val="single"/>
              </w:rPr>
            </w:pPr>
            <w:r>
              <w:rPr>
                <w:rFonts w:hint="eastAsia"/>
                <w:color w:val="000000"/>
                <w:szCs w:val="21"/>
                <w:highlight w:val="none"/>
              </w:rPr>
              <w:t xml:space="preserve">成交总价（元）</w:t>
            </w:r>
            <w:r>
              <w:rPr>
                <w:rFonts w:hint="eastAsia"/>
                <w:color w:val="000000"/>
                <w:szCs w:val="21"/>
                <w:highlight w:val="none"/>
                <w:u w:val="single"/>
              </w:rPr>
            </w:r>
            <w:r>
              <w:rPr>
                <w:highlight w:val="none"/>
              </w:rPr>
            </w:r>
          </w:p>
        </w:tc>
      </w:tr>
      <w:tr>
        <w:trPr>
          <w:cantSplit/>
          <w:trHeight w:val="441" w:hRule="exact"/>
        </w:trPr>
        <w:tc>
          <w:tcPr>
            <w:tcW w:w="1922" w:type="dxa"/>
            <w:vAlign w:val="center"/>
            <w:textDirection w:val="lrTb"/>
            <w:noWrap w:val="false"/>
          </w:tcPr>
          <w:p>
            <w:pPr>
              <w:pStyle w:val="662"/>
              <w:jc w:val="center"/>
              <w:rPr>
                <w:rFonts w:hint="eastAsia" w:ascii="Times New Roman" w:hAnsi="Times New Roman" w:cs="Times New Roman"/>
                <w:color w:val="000000"/>
                <w:szCs w:val="21"/>
                <w:highlight w:val="none"/>
              </w:rPr>
            </w:pPr>
            <w:r>
              <w:rPr>
                <w:rFonts w:hint="eastAsia" w:ascii="Times New Roman" w:hAnsi="Times New Roman" w:cs="Times New Roman"/>
                <w:color w:val="000000"/>
                <w:szCs w:val="21"/>
                <w:highlight w:val="none"/>
                <w:lang w:val="en-US" w:eastAsia="zh-CN"/>
              </w:rPr>
            </w:r>
            <w:r>
              <w:rPr>
                <w:highlight w:val="none"/>
              </w:rPr>
            </w:r>
          </w:p>
        </w:tc>
        <w:tc>
          <w:tcPr>
            <w:tcW w:w="2715" w:type="dxa"/>
            <w:vAlign w:val="center"/>
            <w:textDirection w:val="lrTb"/>
            <w:noWrap w:val="false"/>
          </w:tcPr>
          <w:p>
            <w:pPr>
              <w:pStyle w:val="662"/>
              <w:jc w:val="center"/>
              <w:rPr>
                <w:rFonts w:hint="eastAsia" w:ascii="Times New Roman" w:hAnsi="Times New Roman" w:cs="Times New Roman"/>
                <w:color w:val="000000"/>
                <w:szCs w:val="21"/>
                <w:highlight w:val="none"/>
              </w:rPr>
            </w:pPr>
            <w:r>
              <w:rPr>
                <w:rFonts w:hint="eastAsia" w:ascii="Times New Roman" w:hAnsi="Times New Roman" w:cs="Times New Roman"/>
                <w:color w:val="000000"/>
                <w:szCs w:val="21"/>
                <w:highlight w:val="none"/>
                <w:lang w:val="en-US" w:eastAsia="zh-CN"/>
              </w:rPr>
            </w:r>
            <w:r>
              <w:rPr>
                <w:highlight w:val="none"/>
              </w:rPr>
            </w:r>
          </w:p>
        </w:tc>
        <w:tc>
          <w:tcPr>
            <w:tcW w:w="1232" w:type="dxa"/>
            <w:vAlign w:val="center"/>
            <w:textDirection w:val="lrTb"/>
            <w:noWrap w:val="false"/>
          </w:tcPr>
          <w:p>
            <w:pPr>
              <w:pStyle w:val="662"/>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r>
            <w:r>
              <w:rPr>
                <w:highlight w:val="none"/>
              </w:rPr>
            </w:r>
          </w:p>
        </w:tc>
        <w:tc>
          <w:tcPr>
            <w:tcW w:w="659" w:type="dxa"/>
            <w:vAlign w:val="center"/>
            <w:textDirection w:val="lrTb"/>
            <w:noWrap w:val="false"/>
          </w:tcPr>
          <w:p>
            <w:pPr>
              <w:pStyle w:val="662"/>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r>
            <w:r>
              <w:rPr>
                <w:highlight w:val="none"/>
              </w:rPr>
            </w:r>
          </w:p>
        </w:tc>
        <w:tc>
          <w:tcPr>
            <w:tcW w:w="1317" w:type="dxa"/>
            <w:vAlign w:val="center"/>
            <w:textDirection w:val="lrTb"/>
            <w:noWrap w:val="false"/>
          </w:tcPr>
          <w:p>
            <w:pPr>
              <w:pStyle w:val="662"/>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r>
            <w:r>
              <w:rPr>
                <w:highlight w:val="none"/>
              </w:rPr>
            </w:r>
          </w:p>
        </w:tc>
        <w:tc>
          <w:tcPr>
            <w:tcW w:w="1561" w:type="dxa"/>
            <w:vAlign w:val="center"/>
            <w:textDirection w:val="lrTb"/>
            <w:noWrap w:val="false"/>
          </w:tcPr>
          <w:p>
            <w:pPr>
              <w:pStyle w:val="662"/>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r>
            <w:r>
              <w:rPr>
                <w:highlight w:val="none"/>
              </w:rPr>
            </w:r>
          </w:p>
        </w:tc>
      </w:tr>
      <w:tr>
        <w:trPr>
          <w:cantSplit/>
          <w:trHeight w:val="441" w:hRule="exact"/>
        </w:trPr>
        <w:tc>
          <w:tcPr>
            <w:tcW w:w="1922" w:type="dxa"/>
            <w:vAlign w:val="center"/>
            <w:textDirection w:val="lrTb"/>
            <w:noWrap w:val="false"/>
          </w:tcPr>
          <w:p>
            <w:pPr>
              <w:pStyle w:val="662"/>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eastAsia="zh-CN"/>
              </w:rPr>
            </w:r>
            <w:r>
              <w:rPr>
                <w:highlight w:val="none"/>
              </w:rPr>
            </w:r>
          </w:p>
        </w:tc>
        <w:tc>
          <w:tcPr>
            <w:tcW w:w="2715" w:type="dxa"/>
            <w:vAlign w:val="center"/>
            <w:textDirection w:val="lrTb"/>
            <w:noWrap w:val="false"/>
          </w:tcPr>
          <w:p>
            <w:pPr>
              <w:pStyle w:val="662"/>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eastAsia="zh-CN"/>
              </w:rPr>
            </w:r>
            <w:r>
              <w:rPr>
                <w:highlight w:val="none"/>
              </w:rPr>
            </w:r>
          </w:p>
        </w:tc>
        <w:tc>
          <w:tcPr>
            <w:tcW w:w="1232" w:type="dxa"/>
            <w:vAlign w:val="center"/>
            <w:textDirection w:val="lrTb"/>
            <w:noWrap w:val="false"/>
          </w:tcPr>
          <w:p>
            <w:pPr>
              <w:pStyle w:val="662"/>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eastAsia="zh-CN"/>
              </w:rPr>
            </w:r>
            <w:r>
              <w:rPr>
                <w:highlight w:val="none"/>
              </w:rPr>
            </w:r>
          </w:p>
        </w:tc>
        <w:tc>
          <w:tcPr>
            <w:tcW w:w="659" w:type="dxa"/>
            <w:vAlign w:val="center"/>
            <w:textDirection w:val="lrTb"/>
            <w:noWrap w:val="false"/>
          </w:tcPr>
          <w:p>
            <w:pPr>
              <w:pStyle w:val="662"/>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r>
            <w:r>
              <w:rPr>
                <w:highlight w:val="none"/>
              </w:rPr>
            </w:r>
          </w:p>
        </w:tc>
        <w:tc>
          <w:tcPr>
            <w:tcW w:w="1317" w:type="dxa"/>
            <w:vAlign w:val="center"/>
            <w:textDirection w:val="lrTb"/>
            <w:noWrap w:val="false"/>
          </w:tcPr>
          <w:p>
            <w:pPr>
              <w:pStyle w:val="662"/>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r>
            <w:r>
              <w:rPr>
                <w:highlight w:val="none"/>
              </w:rPr>
            </w:r>
          </w:p>
        </w:tc>
        <w:tc>
          <w:tcPr>
            <w:tcW w:w="1561" w:type="dxa"/>
            <w:vAlign w:val="center"/>
            <w:textDirection w:val="lrTb"/>
            <w:noWrap w:val="false"/>
          </w:tcPr>
          <w:p>
            <w:pPr>
              <w:pStyle w:val="662"/>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r>
            <w:r>
              <w:rPr>
                <w:highlight w:val="none"/>
              </w:rPr>
            </w:r>
          </w:p>
        </w:tc>
      </w:tr>
      <w:tr>
        <w:trPr>
          <w:trHeight w:val="406" w:hRule="exact"/>
        </w:trPr>
        <w:tc>
          <w:tcPr>
            <w:gridSpan w:val="3"/>
            <w:tcW w:w="5869" w:type="dxa"/>
            <w:vAlign w:val="center"/>
            <w:textDirection w:val="lrTb"/>
            <w:noWrap w:val="false"/>
          </w:tcPr>
          <w:p>
            <w:pPr>
              <w:pStyle w:val="662"/>
              <w:jc w:val="left"/>
              <w:rPr>
                <w:rFonts w:hint="eastAsia" w:ascii="Times New Roman" w:hAnsi="Times New Roman" w:cs="Times New Roman"/>
                <w:color w:val="000000"/>
                <w:szCs w:val="21"/>
                <w:highlight w:val="none"/>
              </w:rPr>
            </w:pPr>
            <w:r>
              <w:rPr>
                <w:rFonts w:hint="eastAsia" w:ascii="Times New Roman" w:hAnsi="Times New Roman" w:cs="Times New Roman"/>
                <w:color w:val="000000"/>
                <w:szCs w:val="21"/>
                <w:highlight w:val="none"/>
                <w:lang w:val="en-US" w:eastAsia="zh-CN"/>
              </w:rPr>
              <w:t xml:space="preserve">总计（大写）：</w:t>
            </w:r>
            <w:r>
              <w:rPr>
                <w:rFonts w:hint="eastAsia" w:cs="Times New Roman"/>
                <w:color w:val="000000"/>
                <w:szCs w:val="21"/>
                <w:highlight w:val="none"/>
                <w:lang w:val="en-US" w:eastAsia="zh-CN"/>
              </w:rPr>
              <w:t xml:space="preserve"> </w:t>
            </w:r>
            <w:r>
              <w:rPr>
                <w:rFonts w:hint="eastAsia" w:ascii="Times New Roman" w:hAnsi="Times New Roman" w:cs="Times New Roman"/>
                <w:color w:val="000000"/>
                <w:szCs w:val="21"/>
                <w:highlight w:val="none"/>
                <w:lang w:val="en-US" w:eastAsia="zh-CN"/>
              </w:rPr>
            </w:r>
            <w:r>
              <w:rPr>
                <w:highlight w:val="none"/>
              </w:rPr>
            </w:r>
          </w:p>
        </w:tc>
        <w:tc>
          <w:tcPr>
            <w:gridSpan w:val="3"/>
            <w:tcW w:w="3537" w:type="dxa"/>
            <w:vAlign w:val="center"/>
            <w:textDirection w:val="lrTb"/>
            <w:noWrap w:val="false"/>
          </w:tcPr>
          <w:p>
            <w:pPr>
              <w:pStyle w:val="662"/>
              <w:rPr>
                <w:rFonts w:eastAsia="宋体"/>
                <w:color w:val="000000"/>
                <w:szCs w:val="21"/>
                <w:highlight w:val="none"/>
                <w:u w:val="single"/>
              </w:rPr>
            </w:pPr>
            <w:r>
              <w:rPr>
                <w:rFonts w:hint="eastAsia"/>
                <w:color w:val="000000"/>
                <w:szCs w:val="21"/>
                <w:highlight w:val="none"/>
              </w:rPr>
              <w:t xml:space="preserve">（小写）：</w:t>
            </w:r>
            <w:r>
              <w:rPr>
                <w:rFonts w:hint="eastAsia"/>
                <w:color w:val="000000"/>
                <w:szCs w:val="21"/>
                <w:highlight w:val="none"/>
                <w:lang w:val="en-US" w:eastAsia="zh-CN"/>
              </w:rPr>
              <w:t xml:space="preserve"> </w:t>
            </w:r>
            <w:r>
              <w:rPr>
                <w:rFonts w:eastAsia="宋体"/>
                <w:color w:val="000000"/>
                <w:szCs w:val="21"/>
                <w:highlight w:val="none"/>
                <w:u w:val="single"/>
                <w:lang w:val="en-US" w:eastAsia="zh-CN"/>
              </w:rPr>
            </w:r>
            <w:r>
              <w:rPr>
                <w:highlight w:val="none"/>
              </w:rPr>
            </w:r>
          </w:p>
        </w:tc>
      </w:tr>
    </w:tbl>
    <w:p>
      <w:pPr>
        <w:pStyle w:val="960"/>
        <w:numPr>
          <w:ilvl w:val="0"/>
          <w:numId w:val="7"/>
        </w:numPr>
        <w:ind w:left="420" w:hanging="420"/>
        <w:keepLines w:val="0"/>
        <w:keepNext w:val="0"/>
        <w:pageBreakBefore w:val="0"/>
        <w:spacing w:line="400" w:lineRule="atLeast"/>
        <w:tabs>
          <w:tab w:val="left" w:pos="420" w:leader="none"/>
        </w:tabs>
        <w:rPr>
          <w:rFonts w:hint="eastAsia" w:ascii="宋体" w:hAnsi="宋体"/>
          <w:color w:val="000000"/>
          <w:sz w:val="21"/>
          <w:szCs w:val="21"/>
          <w:highlight w:val="none"/>
        </w:rPr>
      </w:pPr>
      <w:r>
        <w:rPr>
          <w:rFonts w:hint="eastAsia"/>
          <w:color w:val="000000"/>
          <w:sz w:val="21"/>
          <w:highlight w:val="none"/>
        </w:rPr>
        <w:t xml:space="preserve">付款方式：货到，安装，验收合格后凭甲方出具的验收报告按甲方财务流程</w:t>
      </w:r>
      <w:r>
        <w:rPr>
          <w:rFonts w:hint="eastAsia"/>
          <w:color w:val="000000"/>
          <w:sz w:val="21"/>
          <w:highlight w:val="none"/>
          <w:lang w:eastAsia="zh-CN"/>
        </w:rPr>
        <w:t xml:space="preserve">付款</w:t>
      </w:r>
      <w:r>
        <w:rPr>
          <w:rFonts w:hint="eastAsia" w:ascii="宋体" w:hAnsi="宋体"/>
          <w:color w:val="000000"/>
          <w:sz w:val="21"/>
          <w:szCs w:val="21"/>
          <w:highlight w:val="none"/>
        </w:rPr>
        <w:t xml:space="preserve">90%(¥</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余</w:t>
      </w:r>
      <w:r>
        <w:rPr>
          <w:rFonts w:hint="eastAsia" w:ascii="宋体" w:hAnsi="宋体"/>
          <w:color w:val="000000"/>
          <w:sz w:val="21"/>
          <w:szCs w:val="21"/>
          <w:highlight w:val="none"/>
        </w:rPr>
        <w:t xml:space="preserve">款10</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w:t>
      </w:r>
      <w:r>
        <w:rPr>
          <w:rFonts w:hint="eastAsia"/>
          <w:color w:val="000000"/>
          <w:sz w:val="21"/>
          <w:highlight w:val="none"/>
        </w:rPr>
        <w:t xml:space="preserve">验收合格后</w:t>
      </w:r>
      <w:r>
        <w:rPr>
          <w:rFonts w:hint="eastAsia" w:ascii="宋体" w:hAnsi="宋体"/>
          <w:color w:val="000000"/>
          <w:sz w:val="21"/>
          <w:szCs w:val="21"/>
          <w:highlight w:val="none"/>
        </w:rPr>
        <w:t xml:space="preserve">一年后给付。</w:t>
      </w:r>
      <w:r>
        <w:rPr>
          <w:rFonts w:hint="eastAsia" w:ascii="宋体" w:hAnsi="宋体"/>
          <w:color w:val="000000"/>
          <w:sz w:val="21"/>
          <w:szCs w:val="21"/>
          <w:highlight w:val="none"/>
        </w:rPr>
      </w:r>
      <w:r>
        <w:rPr>
          <w:highlight w:val="none"/>
        </w:rPr>
      </w:r>
    </w:p>
    <w:p>
      <w:pPr>
        <w:pStyle w:val="662"/>
        <w:numPr>
          <w:ilvl w:val="0"/>
          <w:numId w:val="0"/>
        </w:numPr>
        <w:ind w:firstLine="420"/>
        <w:spacing w:line="380" w:lineRule="exact"/>
        <w:rPr>
          <w:rFonts w:ascii="宋体" w:hAnsi="宋体"/>
          <w:color w:val="000000"/>
          <w:sz w:val="21"/>
          <w:szCs w:val="21"/>
          <w:highlight w:val="none"/>
        </w:rPr>
      </w:pPr>
      <w:r>
        <w:rPr>
          <w:rFonts w:hint="eastAsia" w:ascii="宋体" w:hAnsi="宋体" w:eastAsia="宋体" w:cs="宋体"/>
          <w:color w:val="000000"/>
          <w:sz w:val="21"/>
          <w:szCs w:val="21"/>
          <w:highlight w:val="none"/>
        </w:rPr>
        <w:t xml:space="preserve">开户行：</w:t>
      </w:r>
      <w:r>
        <w:rPr>
          <w:rFonts w:hint="eastAsia"/>
          <w:b/>
          <w:color w:val="000000"/>
          <w:sz w:val="21"/>
          <w:highlight w:val="none"/>
          <w:lang w:val="en-US" w:eastAsia="zh-CN"/>
        </w:rPr>
        <w:t xml:space="preserve">XXXXXXXXXXXXXXX</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账号：</w:t>
      </w:r>
      <w:r>
        <w:rPr>
          <w:rFonts w:hint="eastAsia"/>
          <w:b/>
          <w:color w:val="000000"/>
          <w:sz w:val="21"/>
          <w:highlight w:val="none"/>
          <w:lang w:val="en-US" w:eastAsia="zh-CN"/>
        </w:rPr>
        <w:t xml:space="preserve">XXXXXXXXXXXXX</w:t>
      </w:r>
      <w:r>
        <w:rPr>
          <w:rFonts w:hint="eastAsia" w:ascii="宋体" w:hAnsi="宋体" w:eastAsia="宋体" w:cs="宋体"/>
          <w:color w:val="000000"/>
          <w:sz w:val="21"/>
          <w:szCs w:val="21"/>
          <w:highlight w:val="none"/>
          <w:lang w:eastAsia="zh-CN"/>
        </w:rPr>
        <w:t xml:space="preserve">。</w:t>
      </w:r>
      <w:r>
        <w:rPr>
          <w:rFonts w:ascii="宋体" w:hAnsi="宋体"/>
          <w:color w:val="000000"/>
          <w:sz w:val="21"/>
          <w:szCs w:val="21"/>
          <w:highlight w:val="none"/>
          <w:lang w:val="en-US" w:eastAsia="zh-CN"/>
        </w:rPr>
      </w:r>
      <w:r>
        <w:rPr>
          <w:highlight w:val="none"/>
        </w:rPr>
      </w:r>
    </w:p>
    <w:p>
      <w:pPr>
        <w:pStyle w:val="662"/>
        <w:ind w:left="18" w:firstLine="0"/>
        <w:keepLines w:val="0"/>
        <w:keepNext w:val="0"/>
        <w:pageBreakBefore w:val="0"/>
        <w:spacing w:line="400" w:lineRule="exact"/>
        <w:rPr>
          <w:rFonts w:hint="eastAsia"/>
          <w:highlight w:val="none"/>
        </w:rPr>
      </w:pPr>
      <w:r>
        <w:rPr>
          <w:rFonts w:hint="eastAsia"/>
          <w:highlight w:val="none"/>
          <w:lang w:eastAsia="zh-CN"/>
        </w:rPr>
        <w:t xml:space="preserve">三</w:t>
      </w:r>
      <w:r>
        <w:rPr>
          <w:rFonts w:hint="eastAsia"/>
          <w:highlight w:val="none"/>
        </w:rPr>
        <w:t xml:space="preserve">、交货期及交货地点：接到采购人送货通知后30日内货物运抵</w:t>
      </w:r>
      <w:r>
        <w:rPr>
          <w:rFonts w:hint="eastAsia"/>
          <w:szCs w:val="21"/>
          <w:highlight w:val="none"/>
        </w:rPr>
        <w:t xml:space="preserve">甲方指定的医院机房</w:t>
      </w:r>
      <w:r>
        <w:rPr>
          <w:rFonts w:hint="eastAsia"/>
          <w:highlight w:val="none"/>
        </w:rPr>
        <w:t xml:space="preserve">。</w:t>
      </w:r>
      <w:r>
        <w:rPr>
          <w:rFonts w:hint="eastAsia"/>
          <w:highlight w:val="none"/>
        </w:rPr>
      </w:r>
      <w:r>
        <w:rPr>
          <w:highlight w:val="none"/>
        </w:rPr>
      </w:r>
    </w:p>
    <w:p>
      <w:pPr>
        <w:pStyle w:val="662"/>
        <w:ind w:left="18" w:firstLine="0"/>
        <w:keepLines w:val="0"/>
        <w:keepNext w:val="0"/>
        <w:pageBreakBefore w:val="0"/>
        <w:spacing w:line="400" w:lineRule="exact"/>
        <w:rPr>
          <w:highlight w:val="none"/>
        </w:rPr>
      </w:pPr>
      <w:r>
        <w:rPr>
          <w:rFonts w:hint="eastAsia"/>
          <w:highlight w:val="none"/>
          <w:lang w:eastAsia="zh-CN"/>
        </w:rPr>
        <w:t xml:space="preserve">四</w:t>
      </w:r>
      <w:r>
        <w:rPr>
          <w:rFonts w:hint="eastAsia"/>
          <w:highlight w:val="none"/>
        </w:rPr>
        <w:t xml:space="preserve">、</w:t>
      </w:r>
      <w:r>
        <w:rPr>
          <w:rFonts w:hint="eastAsia"/>
          <w:sz w:val="21"/>
          <w:highlight w:val="none"/>
        </w:rPr>
        <w:t xml:space="preserve">乙方保证所供设备全新</w:t>
      </w:r>
      <w:r>
        <w:rPr>
          <w:rFonts w:hint="eastAsia"/>
          <w:sz w:val="21"/>
          <w:highlight w:val="none"/>
        </w:rPr>
        <w:t xml:space="preserve">、型号最新、最近</w:t>
      </w:r>
      <w:r>
        <w:rPr>
          <w:rFonts w:hint="eastAsia"/>
          <w:sz w:val="21"/>
          <w:highlight w:val="none"/>
          <w:lang w:val="en-US" w:eastAsia="zh-CN"/>
        </w:rPr>
        <w:t xml:space="preserve">半</w:t>
      </w:r>
      <w:r>
        <w:rPr>
          <w:rFonts w:hint="eastAsia"/>
          <w:sz w:val="21"/>
          <w:highlight w:val="none"/>
        </w:rPr>
        <w:t xml:space="preserve">年生产、保持完好的原包装，</w:t>
      </w:r>
      <w:r>
        <w:rPr>
          <w:rFonts w:hint="eastAsia"/>
          <w:color w:val="000000"/>
          <w:sz w:val="21"/>
          <w:highlight w:val="none"/>
        </w:rPr>
        <w:t xml:space="preserve">系新机，不可为翻新机，符合国家法律、法规的规定，其质量技术满足中国国家标准或国际相关行业标准，否则，甲方可视为乙方违约，甲方有权解除本合同，造成的一切损失由乙方负全部责任。</w:t>
      </w:r>
      <w:r>
        <w:rPr>
          <w:rFonts w:hint="eastAsia"/>
          <w:color w:val="000000"/>
          <w:sz w:val="21"/>
          <w:szCs w:val="21"/>
          <w:highlight w:val="none"/>
        </w:rPr>
        <w:t xml:space="preserve">因设备质量缺陷所引起的医疗</w:t>
      </w:r>
      <w:r>
        <w:rPr>
          <w:rFonts w:hint="eastAsia"/>
          <w:color w:val="000000"/>
          <w:sz w:val="21"/>
          <w:highlight w:val="none"/>
        </w:rPr>
        <w:t xml:space="preserve">损害责任纠纷，乙方承担全部的法律和经济责任，即使甲方对受损方承担赔偿责任，也可以向乙方等额追偿</w:t>
      </w:r>
      <w:r>
        <w:rPr>
          <w:rFonts w:hint="eastAsia"/>
          <w:color w:val="000000"/>
          <w:sz w:val="21"/>
          <w:highlight w:val="none"/>
          <w:lang w:eastAsia="zh-CN"/>
        </w:rPr>
        <w:t xml:space="preserve">。</w:t>
      </w:r>
      <w:r>
        <w:rPr>
          <w:highlight w:val="none"/>
        </w:rPr>
      </w:r>
    </w:p>
    <w:p>
      <w:pPr>
        <w:pStyle w:val="662"/>
        <w:ind w:left="18" w:firstLine="0"/>
        <w:keepLines w:val="0"/>
        <w:keepNext w:val="0"/>
        <w:pageBreakBefore w:val="0"/>
        <w:spacing w:line="400" w:lineRule="exact"/>
        <w:rPr>
          <w:rFonts w:hint="eastAsia"/>
          <w:highlight w:val="none"/>
        </w:rPr>
      </w:pPr>
      <w:r>
        <w:rPr>
          <w:rFonts w:hint="eastAsia"/>
          <w:highlight w:val="none"/>
          <w:lang w:eastAsia="zh-CN"/>
        </w:rPr>
        <w:t xml:space="preserve">五</w:t>
      </w:r>
      <w:r>
        <w:rPr>
          <w:rFonts w:hint="eastAsia"/>
          <w:highlight w:val="none"/>
        </w:rPr>
        <w:t xml:space="preserve">、根据国家规定，对需要提供3</w:t>
      </w:r>
      <w:r>
        <w:rPr>
          <w:highlight w:val="none"/>
        </w:rPr>
        <w:t xml:space="preserve">C</w:t>
      </w:r>
      <w:r>
        <w:rPr>
          <w:rFonts w:hint="eastAsia"/>
          <w:highlight w:val="none"/>
        </w:rPr>
        <w:t xml:space="preserve">认证证书和标记的设备及有关配置，乙方应当及时提供。</w:t>
      </w:r>
      <w:r>
        <w:rPr>
          <w:rFonts w:hint="eastAsia"/>
          <w:highlight w:val="none"/>
        </w:rPr>
      </w:r>
      <w:r>
        <w:rPr>
          <w:highlight w:val="none"/>
        </w:rPr>
      </w:r>
    </w:p>
    <w:p>
      <w:pPr>
        <w:pStyle w:val="662"/>
        <w:ind w:left="18" w:firstLine="0"/>
        <w:keepLines w:val="0"/>
        <w:keepNext w:val="0"/>
        <w:pageBreakBefore w:val="0"/>
        <w:spacing w:line="400" w:lineRule="exact"/>
        <w:rPr>
          <w:rFonts w:hint="eastAsia"/>
          <w:highlight w:val="none"/>
        </w:rPr>
      </w:pPr>
      <w:r>
        <w:rPr>
          <w:rFonts w:hint="eastAsia"/>
          <w:highlight w:val="none"/>
          <w:lang w:eastAsia="zh-CN"/>
        </w:rPr>
        <w:t xml:space="preserve">六</w:t>
      </w:r>
      <w:r>
        <w:rPr>
          <w:rFonts w:hint="eastAsia"/>
          <w:highlight w:val="none"/>
        </w:rPr>
        <w:t xml:space="preserve">、乙方所供设备经验收不合格，根据甲方的要求，乙方必须无条件换货或退货，由此引起的一切损失由乙方承担。</w:t>
      </w:r>
      <w:r>
        <w:rPr>
          <w:rFonts w:hint="eastAsia"/>
          <w:highlight w:val="none"/>
        </w:rPr>
      </w:r>
      <w:r>
        <w:rPr>
          <w:highlight w:val="none"/>
        </w:rPr>
      </w:r>
    </w:p>
    <w:p>
      <w:pPr>
        <w:pStyle w:val="662"/>
        <w:ind w:left="18" w:firstLine="0"/>
        <w:keepLines w:val="0"/>
        <w:keepNext w:val="0"/>
        <w:pageBreakBefore w:val="0"/>
        <w:spacing w:line="400" w:lineRule="exact"/>
        <w:rPr>
          <w:rFonts w:hint="eastAsia"/>
          <w:highlight w:val="none"/>
        </w:rPr>
      </w:pPr>
      <w:r>
        <w:rPr>
          <w:rFonts w:hint="eastAsia"/>
          <w:highlight w:val="none"/>
          <w:lang w:eastAsia="zh-CN"/>
        </w:rPr>
        <w:t xml:space="preserve">七</w:t>
      </w:r>
      <w:r>
        <w:rPr>
          <w:rFonts w:hint="eastAsia"/>
          <w:highlight w:val="none"/>
        </w:rPr>
        <w:t xml:space="preserve">、设备安装后，乙方应配合甲方按厂方技术参数、国家标准等进行质量验收。若有异议，甲方有权委托中国有资格的机构对该设备进行质量检测，费用由乙方承担。</w:t>
      </w:r>
      <w:r>
        <w:rPr>
          <w:rFonts w:hint="eastAsia"/>
          <w:highlight w:val="none"/>
        </w:rPr>
      </w:r>
      <w:r>
        <w:rPr>
          <w:highlight w:val="none"/>
        </w:rPr>
      </w:r>
    </w:p>
    <w:p>
      <w:pPr>
        <w:pStyle w:val="662"/>
        <w:ind w:left="18" w:firstLine="0"/>
        <w:keepLines w:val="0"/>
        <w:keepNext w:val="0"/>
        <w:pageBreakBefore w:val="0"/>
        <w:spacing w:line="400" w:lineRule="exact"/>
        <w:rPr>
          <w:rFonts w:hint="eastAsia" w:ascii="Times New Roman" w:hAnsi="Times New Roman" w:cs="Times New Roman"/>
          <w:highlight w:val="none"/>
        </w:rPr>
      </w:pPr>
      <w:r>
        <w:rPr>
          <w:rFonts w:hint="eastAsia"/>
          <w:highlight w:val="none"/>
          <w:lang w:eastAsia="zh-CN"/>
        </w:rPr>
        <w:t xml:space="preserve">八</w:t>
      </w:r>
      <w:r>
        <w:rPr>
          <w:rFonts w:hint="eastAsia"/>
          <w:highlight w:val="none"/>
        </w:rPr>
        <w:t xml:space="preserve">、</w:t>
      </w:r>
      <w:r>
        <w:rPr>
          <w:rFonts w:hint="eastAsia" w:ascii="Times New Roman" w:hAnsi="Times New Roman" w:cs="Times New Roman"/>
          <w:b/>
          <w:bCs/>
          <w:highlight w:val="none"/>
        </w:rPr>
        <w:t xml:space="preserve">特别条款一：</w:t>
      </w:r>
      <w:r>
        <w:rPr>
          <w:rFonts w:hint="eastAsia" w:ascii="Times New Roman" w:hAnsi="Times New Roman" w:cs="Times New Roman"/>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Times New Roman" w:hAnsi="Times New Roman" w:cs="Times New Roman"/>
          <w:highlight w:val="none"/>
          <w:lang w:eastAsia="zh-CN"/>
        </w:rPr>
        <w:t xml:space="preserve">提供合法票据（</w:t>
      </w:r>
      <w:r>
        <w:rPr>
          <w:rFonts w:hint="eastAsia" w:ascii="Times New Roman" w:hAnsi="Times New Roman" w:cs="Times New Roman"/>
          <w:highlight w:val="none"/>
          <w:lang w:val="en-US" w:eastAsia="zh-CN"/>
        </w:rPr>
        <w:t xml:space="preserve">必须是国税部门认可的票据</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，发现疑似问题票据一旦认定，款项拒付并立刻终止合同，相关公司和人员列入本院黑名单。发票上所列品名与型号必须与合同所列品名与型号完全一致且仅开壹张发票，同时须提交票据复印件二份</w:t>
      </w:r>
      <w:r>
        <w:rPr>
          <w:rFonts w:hint="eastAsia" w:ascii="Times New Roman" w:hAnsi="Times New Roman" w:cs="Times New Roman"/>
          <w:highlight w:val="none"/>
        </w:rPr>
        <w:t xml:space="preserve">；e、其他未提及事项必须符合国家食品药品监督管理局的相关规定。以上条款乙方必须满足，否则，乙方将承担不利后果。</w:t>
      </w:r>
      <w:r>
        <w:rPr>
          <w:rFonts w:hint="eastAsia" w:ascii="Times New Roman" w:hAnsi="Times New Roman" w:cs="Times New Roman"/>
          <w:highlight w:val="none"/>
          <w:lang w:val="en-US" w:eastAsia="zh-CN"/>
        </w:rPr>
        <w:t xml:space="preserve"> </w:t>
      </w:r>
      <w:r>
        <w:rPr>
          <w:rFonts w:hint="eastAsia" w:ascii="Times New Roman" w:hAnsi="Times New Roman" w:cs="Times New Roman"/>
          <w:highlight w:val="none"/>
          <w:lang w:val="en-US" w:eastAsia="zh-CN"/>
        </w:rPr>
      </w:r>
      <w:r>
        <w:rPr>
          <w:highlight w:val="none"/>
        </w:rPr>
      </w:r>
    </w:p>
    <w:p>
      <w:pPr>
        <w:pStyle w:val="662"/>
        <w:ind w:left="17" w:firstLine="482"/>
        <w:keepLines w:val="0"/>
        <w:keepNext w:val="0"/>
        <w:pageBreakBefore w:val="0"/>
        <w:spacing w:line="400" w:lineRule="exact"/>
        <w:widowControl w:val="off"/>
        <w:rPr>
          <w:rFonts w:hint="eastAsia" w:ascii="Times New Roman" w:hAnsi="Times New Roman" w:cs="Times New Roman"/>
          <w:highlight w:val="none"/>
        </w:rPr>
      </w:pPr>
      <w:r>
        <w:rPr>
          <w:rFonts w:hint="eastAsia" w:ascii="Times New Roman" w:hAnsi="Times New Roman" w:cs="Times New Roman"/>
          <w:b/>
          <w:bCs/>
          <w:highlight w:val="none"/>
        </w:rPr>
        <w:t xml:space="preserve">特别条款二：</w:t>
      </w:r>
      <w:r>
        <w:rPr>
          <w:rFonts w:hint="eastAsia" w:ascii="Times New Roman" w:hAnsi="Times New Roman" w:cs="Times New Roman"/>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rPr>
          <w:rFonts w:hint="eastAsia" w:ascii="Times New Roman" w:hAnsi="Times New Roman" w:cs="Times New Roman"/>
          <w:highlight w:val="none"/>
        </w:rPr>
      </w:r>
      <w:r>
        <w:rPr>
          <w:highlight w:val="none"/>
        </w:rPr>
      </w:r>
    </w:p>
    <w:p>
      <w:pPr>
        <w:pStyle w:val="662"/>
        <w:numPr>
          <w:ilvl w:val="0"/>
          <w:numId w:val="8"/>
        </w:numPr>
        <w:ind w:left="21" w:hanging="21"/>
        <w:spacing w:line="400" w:lineRule="exact"/>
        <w:rPr>
          <w:rFonts w:hint="eastAsia" w:ascii="宋体" w:hAnsi="宋体"/>
          <w:szCs w:val="21"/>
          <w:highlight w:val="none"/>
        </w:rPr>
      </w:pPr>
      <w:r>
        <w:rPr>
          <w:rFonts w:hint="eastAsia" w:ascii="宋体" w:hAnsi="宋体"/>
          <w:szCs w:val="21"/>
          <w:highlight w:val="none"/>
          <w:lang w:val="en-US" w:eastAsia="zh-CN"/>
        </w:rPr>
        <w:t xml:space="preserve">服务条款：</w:t>
      </w:r>
      <w:r>
        <w:rPr>
          <w:rFonts w:hint="eastAsia" w:ascii="宋体" w:hAnsi="宋体"/>
          <w:szCs w:val="21"/>
          <w:highlight w:val="none"/>
          <w:lang w:val="en-US" w:eastAsia="zh-CN"/>
        </w:rPr>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highlight w:val="none"/>
        </w:rPr>
        <w:t xml:space="preserve">免费提前为甲方提供设备安装图纸，并充分协助甲方做好机房的准备工作（如有必要）。</w:t>
      </w:r>
      <w:r>
        <w:rPr>
          <w:rFonts w:hint="eastAsia"/>
          <w:highlight w:val="none"/>
        </w:rPr>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highlight w:val="none"/>
        </w:rPr>
        <w:t xml:space="preserve">设备安装时，</w:t>
      </w:r>
      <w:r>
        <w:rPr>
          <w:rFonts w:hint="eastAsia"/>
          <w:szCs w:val="21"/>
          <w:highlight w:val="none"/>
        </w:rPr>
        <w:t xml:space="preserve">乙方负责设备的免费安装和调试，但</w:t>
      </w:r>
      <w:r>
        <w:rPr>
          <w:rFonts w:hint="eastAsia"/>
          <w:highlight w:val="none"/>
        </w:rPr>
        <w:t xml:space="preserve">乙方必须事先与甲方的医疗设备科联系，并与医疗设备科共同参与，否则引起的一切责任由乙方承担。</w:t>
      </w:r>
      <w:r>
        <w:rPr>
          <w:rFonts w:hint="eastAsia"/>
          <w:highlight w:val="none"/>
        </w:rPr>
      </w:r>
      <w:r>
        <w:rPr>
          <w:highlight w:val="none"/>
        </w:rPr>
      </w:r>
    </w:p>
    <w:p>
      <w:pPr>
        <w:pStyle w:val="662"/>
        <w:numPr>
          <w:ilvl w:val="0"/>
          <w:numId w:val="9"/>
        </w:numPr>
        <w:ind w:left="21" w:hanging="21"/>
        <w:spacing w:line="400" w:lineRule="exact"/>
        <w:tabs>
          <w:tab w:val="clear" w:pos="312" w:leader="none"/>
        </w:tabs>
        <w:rPr>
          <w:rFonts w:hint="eastAsia"/>
          <w:szCs w:val="21"/>
          <w:highlight w:val="none"/>
        </w:rPr>
      </w:pPr>
      <w:r>
        <w:rPr>
          <w:rFonts w:hint="eastAsia"/>
          <w:highlight w:val="none"/>
        </w:rPr>
        <w:t xml:space="preserve">乙方如逾期交付货物，则按每逾期一天，乙方向甲方支付货款总额5‰的滞纳金；如乙方逾期交货达10天，甲方有权解除合同。</w:t>
      </w:r>
      <w:r>
        <w:rPr>
          <w:rFonts w:hint="eastAsia"/>
          <w:szCs w:val="21"/>
          <w:highlight w:val="none"/>
        </w:rPr>
      </w:r>
      <w:r>
        <w:rPr>
          <w:highlight w:val="none"/>
        </w:rPr>
      </w:r>
    </w:p>
    <w:p>
      <w:pPr>
        <w:pStyle w:val="662"/>
        <w:numPr>
          <w:ilvl w:val="0"/>
          <w:numId w:val="9"/>
        </w:numPr>
        <w:ind w:left="21" w:hanging="21"/>
        <w:spacing w:line="400" w:lineRule="exact"/>
        <w:tabs>
          <w:tab w:val="clear" w:pos="312" w:leader="none"/>
        </w:tabs>
        <w:rPr>
          <w:rFonts w:hint="eastAsia"/>
          <w:szCs w:val="21"/>
          <w:highlight w:val="none"/>
        </w:rPr>
      </w:pPr>
      <w:r>
        <w:rPr>
          <w:rFonts w:hint="eastAsia"/>
          <w:highlight w:val="none"/>
        </w:rPr>
        <w:t xml:space="preserve">设备安装、调试结束后，甲方对设备进行</w:t>
      </w:r>
      <w:r>
        <w:rPr>
          <w:rFonts w:hint="eastAsia"/>
          <w:highlight w:val="none"/>
          <w:lang w:val="en-US" w:eastAsia="zh-CN"/>
        </w:rPr>
        <w:t xml:space="preserve">调试</w:t>
      </w:r>
      <w:r>
        <w:rPr>
          <w:rFonts w:hint="eastAsia"/>
          <w:highlight w:val="none"/>
        </w:rPr>
        <w:t xml:space="preserve">验收（时间由甲、乙双方另行商定），乙方免费派工程师到达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rPr>
          <w:rFonts w:hint="eastAsia"/>
          <w:szCs w:val="21"/>
          <w:highlight w:val="none"/>
        </w:rPr>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szCs w:val="21"/>
          <w:highlight w:val="none"/>
        </w:rPr>
        <w:t xml:space="preserve">自甲方验收合格之日起算</w:t>
      </w:r>
      <w:r>
        <w:rPr>
          <w:rFonts w:hint="eastAsia"/>
          <w:szCs w:val="21"/>
          <w:highlight w:val="none"/>
          <w:lang w:eastAsia="zh-CN"/>
        </w:rPr>
        <w:t xml:space="preserve">，</w:t>
      </w:r>
      <w:r>
        <w:rPr>
          <w:rFonts w:hint="eastAsia"/>
          <w:szCs w:val="21"/>
          <w:highlight w:val="none"/>
          <w:lang w:val="en-US" w:eastAsia="zh-CN"/>
        </w:rPr>
        <w:t xml:space="preserve">上述设备</w:t>
      </w:r>
      <w:r>
        <w:rPr>
          <w:rFonts w:hint="eastAsia"/>
          <w:szCs w:val="21"/>
          <w:highlight w:val="none"/>
        </w:rPr>
        <w:t xml:space="preserve">原厂免费</w:t>
      </w:r>
      <w:r>
        <w:rPr>
          <w:rFonts w:hint="eastAsia"/>
          <w:szCs w:val="21"/>
          <w:highlight w:val="none"/>
          <w:lang w:val="en-US" w:eastAsia="zh-CN"/>
        </w:rPr>
        <w:t xml:space="preserve">整</w:t>
      </w:r>
      <w:r>
        <w:rPr>
          <w:rFonts w:hint="eastAsia"/>
          <w:szCs w:val="21"/>
          <w:highlight w:val="none"/>
        </w:rPr>
        <w:t xml:space="preserve">机</w:t>
      </w:r>
      <w:r>
        <w:rPr>
          <w:rFonts w:hint="eastAsia"/>
          <w:szCs w:val="21"/>
          <w:highlight w:val="none"/>
          <w:lang w:eastAsia="zh-CN"/>
        </w:rPr>
        <w:t xml:space="preserve">保修</w:t>
      </w:r>
      <w:r>
        <w:rPr>
          <w:rFonts w:hint="eastAsia"/>
          <w:szCs w:val="21"/>
          <w:highlight w:val="none"/>
          <w:u w:val="single"/>
          <w:lang w:val="en-US" w:eastAsia="zh-CN"/>
        </w:rPr>
        <w:t xml:space="preserve">伍</w:t>
      </w:r>
      <w:r>
        <w:rPr>
          <w:rFonts w:hint="eastAsia"/>
          <w:color w:val="000000"/>
          <w:szCs w:val="21"/>
          <w:highlight w:val="none"/>
        </w:rPr>
        <w:t xml:space="preserve">年</w:t>
      </w:r>
      <w:r>
        <w:rPr>
          <w:rFonts w:hint="eastAsia"/>
          <w:szCs w:val="21"/>
          <w:highlight w:val="none"/>
          <w:lang w:eastAsia="zh-CN"/>
        </w:rPr>
        <w:t xml:space="preserve">，</w:t>
      </w:r>
      <w:r>
        <w:rPr>
          <w:rFonts w:hint="eastAsia"/>
          <w:szCs w:val="21"/>
          <w:highlight w:val="none"/>
        </w:rPr>
        <w:t xml:space="preserve">保修</w:t>
      </w:r>
      <w:r>
        <w:rPr>
          <w:rFonts w:hint="eastAsia"/>
          <w:szCs w:val="21"/>
          <w:highlight w:val="none"/>
          <w:lang w:eastAsia="zh-CN"/>
        </w:rPr>
        <w:t xml:space="preserve">范围</w:t>
      </w:r>
      <w:r>
        <w:rPr>
          <w:rFonts w:hint="eastAsia"/>
          <w:szCs w:val="21"/>
          <w:highlight w:val="none"/>
        </w:rPr>
        <w:t xml:space="preserve">为全保</w:t>
      </w:r>
      <w:r>
        <w:rPr>
          <w:rFonts w:hint="eastAsia"/>
          <w:szCs w:val="21"/>
          <w:highlight w:val="none"/>
          <w:lang w:eastAsia="zh-CN"/>
        </w:rPr>
        <w:t xml:space="preserve">，</w:t>
      </w:r>
      <w:r>
        <w:rPr>
          <w:rFonts w:hint="eastAsia"/>
          <w:szCs w:val="21"/>
          <w:highlight w:val="none"/>
        </w:rPr>
        <w:t xml:space="preserve">含所需配件、人工费、维修人员差旅费，终身维护。每年免费对该设备进行预防性维护保养二次并出具厂家保养报告</w:t>
      </w:r>
      <w:r>
        <w:rPr>
          <w:rFonts w:hint="eastAsia"/>
          <w:szCs w:val="21"/>
          <w:highlight w:val="none"/>
          <w:lang w:eastAsia="zh-CN"/>
        </w:rPr>
        <w:t xml:space="preserve">，</w:t>
      </w:r>
      <w:r>
        <w:rPr>
          <w:rFonts w:hint="eastAsia"/>
          <w:szCs w:val="21"/>
          <w:highlight w:val="none"/>
        </w:rPr>
        <w:t xml:space="preserve">并确保设备保修期内开机率为 95%，如设备故障停机率超过 5%（一年按 365 天计算，每年 18 天），每超过一天，保修期延长两周</w:t>
      </w:r>
      <w:r>
        <w:rPr>
          <w:rFonts w:hint="eastAsia"/>
          <w:szCs w:val="21"/>
          <w:highlight w:val="none"/>
          <w:lang w:eastAsia="zh-CN"/>
        </w:rPr>
        <w:t xml:space="preserve">，</w:t>
      </w:r>
      <w:r>
        <w:rPr>
          <w:rFonts w:hint="eastAsia"/>
          <w:szCs w:val="21"/>
          <w:highlight w:val="none"/>
          <w:lang w:val="en-US" w:eastAsia="zh-CN"/>
        </w:rPr>
        <w:t xml:space="preserve">以上材料乙方提供由原厂出具的售后服务承诺函</w:t>
      </w:r>
      <w:r>
        <w:rPr>
          <w:rFonts w:hint="eastAsia"/>
          <w:szCs w:val="21"/>
          <w:highlight w:val="none"/>
        </w:rPr>
        <w:t xml:space="preserve">。保修期满后，乙方对本设备终身负责维修</w:t>
      </w:r>
      <w:r>
        <w:rPr>
          <w:rFonts w:hint="eastAsia"/>
          <w:szCs w:val="21"/>
          <w:highlight w:val="none"/>
          <w:lang w:eastAsia="zh-CN"/>
        </w:rPr>
        <w:t xml:space="preserve">，</w:t>
      </w:r>
      <w:r>
        <w:rPr>
          <w:rFonts w:hint="eastAsia"/>
          <w:szCs w:val="21"/>
          <w:highlight w:val="none"/>
        </w:rPr>
        <w:t xml:space="preserve">但只收配件费</w:t>
      </w:r>
      <w:r>
        <w:rPr>
          <w:rFonts w:hint="eastAsia"/>
          <w:szCs w:val="21"/>
          <w:highlight w:val="none"/>
          <w:lang w:eastAsia="zh-CN"/>
        </w:rPr>
        <w:t xml:space="preserve">，</w:t>
      </w:r>
      <w:r>
        <w:rPr>
          <w:rFonts w:hint="eastAsia"/>
          <w:szCs w:val="21"/>
          <w:highlight w:val="none"/>
        </w:rPr>
        <w:t xml:space="preserve">免收人工费。</w:t>
      </w:r>
      <w:r>
        <w:rPr>
          <w:rFonts w:hint="eastAsia"/>
          <w:highlight w:val="none"/>
        </w:rPr>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highlight w:val="none"/>
        </w:rPr>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rPr>
          <w:rFonts w:hint="eastAsia"/>
          <w:highlight w:val="none"/>
        </w:rPr>
      </w:r>
      <w:r>
        <w:rPr>
          <w:highlight w:val="none"/>
        </w:rPr>
      </w:r>
    </w:p>
    <w:p>
      <w:pPr>
        <w:pStyle w:val="662"/>
        <w:numPr>
          <w:ilvl w:val="0"/>
          <w:numId w:val="9"/>
        </w:numPr>
        <w:ind w:left="21" w:hanging="21"/>
        <w:spacing w:line="400" w:lineRule="exact"/>
        <w:tabs>
          <w:tab w:val="clear" w:pos="312" w:leader="none"/>
        </w:tabs>
        <w:rPr>
          <w:highlight w:val="none"/>
        </w:rPr>
      </w:pPr>
      <w:r>
        <w:rPr>
          <w:rFonts w:hint="eastAsia"/>
          <w:highlight w:val="none"/>
          <w:lang w:eastAsia="zh-CN"/>
        </w:rPr>
        <w:t xml:space="preserve">乙方</w:t>
      </w:r>
      <w:r>
        <w:rPr>
          <w:rFonts w:hint="eastAsia"/>
          <w:highlight w:val="none"/>
        </w:rPr>
        <w:t xml:space="preserve">应当提供</w:t>
      </w:r>
      <w:r>
        <w:rPr>
          <w:rFonts w:hint="eastAsia"/>
          <w:highlight w:val="none"/>
          <w:lang w:eastAsia="zh-CN"/>
        </w:rPr>
        <w:t xml:space="preserve">该设备的</w:t>
      </w:r>
      <w:r>
        <w:rPr>
          <w:rFonts w:hint="eastAsia"/>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0000ff"/>
          <w:spacing w:val="0"/>
          <w:sz w:val="24"/>
          <w:szCs w:val="24"/>
          <w:highlight w:val="none"/>
          <w:shd w:val="clear" w:color="auto" w:fill="ffffff"/>
        </w:rPr>
        <w:t xml:space="preserve">。</w:t>
      </w:r>
      <w:r>
        <w:rPr>
          <w:rFonts w:hint="eastAsia"/>
          <w:highlight w:val="none"/>
        </w:rPr>
        <w:t xml:space="preserve">如设备软件升级，乙方负责免费软件升级</w:t>
      </w:r>
      <w:r>
        <w:rPr>
          <w:rFonts w:hint="eastAsia"/>
          <w:highlight w:val="none"/>
          <w:lang w:eastAsia="zh-CN"/>
        </w:rPr>
        <w:t xml:space="preserve">并开放所有数据端口</w:t>
      </w:r>
      <w:r>
        <w:rPr>
          <w:rFonts w:hint="eastAsia"/>
          <w:highlight w:val="none"/>
        </w:rPr>
        <w:t xml:space="preserve">。</w:t>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highlight w:val="none"/>
        </w:rPr>
        <w:t xml:space="preserve">乙方免费提供全套技术资料（维修说明书包括详细电路图、操作说明书及光盘），如技术资料不全，甲方有权不支付货款。</w:t>
      </w:r>
      <w:r>
        <w:rPr>
          <w:rFonts w:hint="eastAsia"/>
          <w:highlight w:val="none"/>
        </w:rPr>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highlight w:val="none"/>
        </w:rPr>
        <w:t xml:space="preserve">①现场技术培训：在安装过程中或安装结束后，乙方工程师或有关人员有义务对甲方工程师和操作人员进行现场维修、保养、操作培训并提供快捷操作指南</w:t>
      </w:r>
      <w:r>
        <w:rPr>
          <w:rFonts w:hint="eastAsia"/>
          <w:b/>
          <w:highlight w:val="none"/>
        </w:rPr>
        <w:t xml:space="preserve">（塑胶封好，挂在设备上）</w:t>
      </w:r>
      <w:r>
        <w:rPr>
          <w:rFonts w:hint="eastAsia"/>
          <w:highlight w:val="none"/>
        </w:rPr>
        <w:t xml:space="preserve">，解答甲方人员提出的问题。②正规培训班培训：详见乙方的投标文件及承诺书。</w:t>
      </w:r>
      <w:r>
        <w:rPr>
          <w:rFonts w:hint="eastAsia"/>
          <w:highlight w:val="none"/>
        </w:rPr>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highlight w:val="none"/>
        </w:rPr>
        <w:t xml:space="preserve">如乙方提供的设备设有维修软件密码，乙方保证无条件地为甲方永久免费打开。</w:t>
      </w:r>
      <w:r>
        <w:rPr>
          <w:rFonts w:hint="eastAsia"/>
          <w:highlight w:val="none"/>
        </w:rPr>
      </w:r>
      <w:r>
        <w:rPr>
          <w:highlight w:val="none"/>
        </w:rPr>
      </w:r>
    </w:p>
    <w:p>
      <w:pPr>
        <w:pStyle w:val="662"/>
        <w:numPr>
          <w:ilvl w:val="0"/>
          <w:numId w:val="9"/>
        </w:numPr>
        <w:ind w:left="21" w:hanging="21"/>
        <w:spacing w:line="400" w:lineRule="exact"/>
        <w:tabs>
          <w:tab w:val="clear" w:pos="312" w:leader="none"/>
        </w:tabs>
        <w:rPr>
          <w:rFonts w:hint="eastAsia"/>
          <w:highlight w:val="none"/>
        </w:rPr>
      </w:pPr>
      <w:r>
        <w:rPr>
          <w:rFonts w:hint="eastAsia"/>
          <w:highlight w:val="none"/>
        </w:rPr>
        <w:t xml:space="preserve">乙方提供的设备</w:t>
      </w:r>
      <w:r>
        <w:rPr>
          <w:rFonts w:hint="eastAsia"/>
          <w:highlight w:val="none"/>
          <w:lang w:eastAsia="zh-CN"/>
        </w:rPr>
        <w:t xml:space="preserve">系统工作站应可以接入医院</w:t>
      </w:r>
      <w:r>
        <w:rPr>
          <w:rFonts w:hint="eastAsia"/>
          <w:highlight w:val="none"/>
          <w:lang w:val="en-US" w:eastAsia="zh-CN"/>
        </w:rPr>
        <w:t xml:space="preserve">HIS系统，并按照甲方信息化建设要求，与医院各类信息系统做好接口对接，实现数据交互，乙方负责协调设备相关软件服务，如需产生费用由乙方承担。</w:t>
      </w:r>
      <w:r>
        <w:rPr>
          <w:rFonts w:hint="eastAsia"/>
          <w:highlight w:val="none"/>
        </w:rPr>
      </w:r>
      <w:r>
        <w:rPr>
          <w:highlight w:val="none"/>
        </w:rPr>
      </w:r>
    </w:p>
    <w:p>
      <w:pPr>
        <w:pStyle w:val="662"/>
        <w:numPr>
          <w:ilvl w:val="0"/>
          <w:numId w:val="8"/>
        </w:numPr>
        <w:ind w:left="21" w:hanging="21"/>
        <w:spacing w:line="400" w:lineRule="exact"/>
        <w:rPr>
          <w:rFonts w:hint="eastAsia"/>
          <w:highlight w:val="none"/>
        </w:rPr>
      </w:pPr>
      <w:r>
        <w:rPr>
          <w:rFonts w:hint="eastAsia"/>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rPr>
          <w:rFonts w:hint="eastAsia"/>
          <w:highlight w:val="none"/>
        </w:rPr>
      </w:r>
      <w:r>
        <w:rPr>
          <w:highlight w:val="none"/>
        </w:rPr>
      </w:r>
    </w:p>
    <w:p>
      <w:pPr>
        <w:pStyle w:val="662"/>
        <w:numPr>
          <w:ilvl w:val="0"/>
          <w:numId w:val="8"/>
        </w:numPr>
        <w:ind w:left="21" w:hanging="21"/>
        <w:spacing w:line="400" w:lineRule="exact"/>
        <w:rPr>
          <w:rFonts w:hint="eastAsia"/>
          <w:szCs w:val="22"/>
          <w:highlight w:val="none"/>
        </w:rPr>
      </w:pPr>
      <w:r>
        <w:rPr>
          <w:rFonts w:hint="eastAsia"/>
          <w:szCs w:val="22"/>
          <w:highlight w:val="none"/>
          <w:lang w:val="en-US" w:eastAsia="zh-CN"/>
        </w:rPr>
        <w:t xml:space="preserve">本合同除签字盖章部分，均为打印文本，凡添加手写内容一律无效，合同自双方签字并盖章后生效。</w:t>
      </w:r>
      <w:r>
        <w:rPr>
          <w:rFonts w:hint="eastAsia"/>
          <w:szCs w:val="22"/>
          <w:highlight w:val="none"/>
          <w:lang w:val="en-US" w:eastAsia="zh-CN"/>
        </w:rPr>
      </w:r>
      <w:r>
        <w:rPr>
          <w:highlight w:val="none"/>
        </w:rPr>
      </w:r>
    </w:p>
    <w:p>
      <w:pPr>
        <w:pStyle w:val="662"/>
        <w:ind w:left="21" w:hanging="21"/>
        <w:spacing w:line="400" w:lineRule="exact"/>
        <w:rPr>
          <w:rFonts w:hint="eastAsia"/>
          <w:szCs w:val="22"/>
          <w:highlight w:val="none"/>
        </w:rPr>
      </w:pPr>
      <w:r>
        <w:rPr>
          <w:rFonts w:hint="eastAsia" w:ascii="Times New Roman" w:hAnsi="Times New Roman" w:cs="Times New Roman"/>
          <w:szCs w:val="22"/>
          <w:highlight w:val="none"/>
          <w:lang w:val="en-US" w:eastAsia="zh-CN"/>
        </w:rPr>
        <w:t xml:space="preserve">十二、</w:t>
      </w:r>
      <w:r>
        <w:rPr>
          <w:rFonts w:hint="eastAsia"/>
          <w:szCs w:val="22"/>
          <w:highlight w:val="none"/>
          <w:lang w:val="en-US" w:eastAsia="zh-CN"/>
        </w:rPr>
        <w:t xml:space="preserve">招标文件</w:t>
      </w:r>
      <w:r>
        <w:rPr>
          <w:rFonts w:hint="eastAsia" w:ascii="Times New Roman" w:hAnsi="Times New Roman" w:cs="Times New Roman"/>
          <w:szCs w:val="22"/>
          <w:highlight w:val="none"/>
          <w:lang w:val="en-US" w:eastAsia="zh-CN"/>
        </w:rPr>
        <w:t xml:space="preserve">（</w:t>
      </w:r>
      <w:r>
        <w:rPr>
          <w:rFonts w:hint="eastAsia" w:cs="Times New Roman"/>
          <w:szCs w:val="22"/>
          <w:highlight w:val="none"/>
          <w:lang w:val="en-US" w:eastAsia="zh-CN"/>
        </w:rPr>
        <w:t xml:space="preserve">项目名称：XXXXXXXXXXXXXXX</w:t>
      </w:r>
      <w:r>
        <w:rPr>
          <w:rFonts w:hint="eastAsia" w:ascii="Times New Roman" w:hAnsi="Times New Roman" w:cs="Times New Roman"/>
          <w:szCs w:val="22"/>
          <w:highlight w:val="none"/>
          <w:lang w:val="en-US" w:eastAsia="zh-CN"/>
        </w:rPr>
        <w:t xml:space="preserve">（</w:t>
      </w:r>
      <w:r>
        <w:rPr>
          <w:rFonts w:hint="eastAsia" w:cs="Times New Roman"/>
          <w:szCs w:val="22"/>
          <w:highlight w:val="none"/>
          <w:lang w:val="en-US" w:eastAsia="zh-CN"/>
        </w:rPr>
        <w:t xml:space="preserve">项目编号：XXXXXXXXXXXXXXX </w:t>
      </w:r>
      <w:r>
        <w:rPr>
          <w:rFonts w:hint="eastAsia" w:ascii="Times New Roman" w:hAnsi="Times New Roman" w:cs="Times New Roman"/>
          <w:szCs w:val="22"/>
          <w:highlight w:val="none"/>
          <w:lang w:val="en-US" w:eastAsia="zh-CN"/>
        </w:rPr>
        <w:t xml:space="preserve">））为本</w:t>
      </w:r>
      <w:r>
        <w:rPr>
          <w:rFonts w:hint="eastAsia"/>
          <w:szCs w:val="22"/>
          <w:highlight w:val="none"/>
          <w:lang w:val="en-US" w:eastAsia="zh-CN"/>
        </w:rPr>
        <w:t xml:space="preserve">合同的组成部分，若存在与本合同矛盾之处，以招标</w:t>
      </w:r>
      <w:r>
        <w:rPr>
          <w:rFonts w:hint="eastAsia"/>
          <w:szCs w:val="22"/>
          <w:highlight w:val="none"/>
          <w:lang w:val="en-US" w:eastAsia="zh-CN"/>
        </w:rPr>
        <w:t xml:space="preserve">文件为准。</w:t>
      </w:r>
      <w:r>
        <w:rPr>
          <w:rFonts w:hint="eastAsia"/>
          <w:szCs w:val="22"/>
          <w:highlight w:val="none"/>
          <w:lang w:val="en-US" w:eastAsia="zh-CN"/>
        </w:rPr>
      </w:r>
      <w:r>
        <w:rPr>
          <w:highlight w:val="none"/>
        </w:rPr>
      </w:r>
    </w:p>
    <w:p>
      <w:pPr>
        <w:pStyle w:val="662"/>
        <w:ind w:left="21" w:hanging="21"/>
        <w:spacing w:line="400" w:lineRule="exact"/>
        <w:rPr>
          <w:rFonts w:hint="eastAsia"/>
          <w:szCs w:val="22"/>
          <w:highlight w:val="none"/>
        </w:rPr>
      </w:pPr>
      <w:r>
        <w:rPr>
          <w:rFonts w:hint="eastAsia"/>
          <w:szCs w:val="22"/>
          <w:highlight w:val="none"/>
          <w:lang w:val="en-US" w:eastAsia="zh-CN"/>
        </w:rPr>
        <w:t xml:space="preserve">十三、《</w:t>
      </w:r>
      <w:r>
        <w:rPr>
          <w:rFonts w:hint="eastAsia"/>
          <w:szCs w:val="22"/>
          <w:highlight w:val="none"/>
          <w:lang w:eastAsia="zh-CN"/>
        </w:rPr>
        <w:t xml:space="preserve">医疗设备采购</w:t>
      </w:r>
      <w:r>
        <w:rPr>
          <w:rFonts w:hint="eastAsia"/>
          <w:szCs w:val="22"/>
          <w:highlight w:val="none"/>
        </w:rPr>
        <w:t xml:space="preserve">廉洁购销</w:t>
      </w:r>
      <w:r>
        <w:rPr>
          <w:rFonts w:hint="eastAsia"/>
          <w:szCs w:val="22"/>
          <w:highlight w:val="none"/>
          <w:lang w:eastAsia="zh-CN"/>
        </w:rPr>
        <w:t xml:space="preserve">协议》作为本合同的附件，具备同等的法律效力，双方需严格遵守《医疗设备采购</w:t>
      </w:r>
      <w:r>
        <w:rPr>
          <w:rFonts w:hint="eastAsia"/>
          <w:szCs w:val="22"/>
          <w:highlight w:val="none"/>
        </w:rPr>
        <w:t xml:space="preserve">廉洁购销</w:t>
      </w:r>
      <w:r>
        <w:rPr>
          <w:rFonts w:hint="eastAsia"/>
          <w:szCs w:val="22"/>
          <w:highlight w:val="none"/>
          <w:lang w:eastAsia="zh-CN"/>
        </w:rPr>
        <w:t xml:space="preserve">协议》。</w:t>
      </w:r>
      <w:r>
        <w:rPr>
          <w:rFonts w:hint="eastAsia"/>
          <w:szCs w:val="22"/>
          <w:highlight w:val="none"/>
          <w:lang w:eastAsia="zh-CN"/>
        </w:rPr>
      </w:r>
      <w:r>
        <w:rPr>
          <w:highlight w:val="none"/>
        </w:rPr>
      </w:r>
    </w:p>
    <w:p>
      <w:pPr>
        <w:pStyle w:val="662"/>
        <w:ind w:left="21" w:hanging="21"/>
        <w:spacing w:line="400" w:lineRule="exact"/>
        <w:rPr>
          <w:rFonts w:hint="eastAsia"/>
          <w:highlight w:val="none"/>
        </w:rPr>
      </w:pPr>
      <w:r>
        <w:rPr>
          <w:rFonts w:hint="eastAsia"/>
          <w:highlight w:val="none"/>
        </w:rPr>
        <w:t xml:space="preserve">十</w:t>
      </w:r>
      <w:r>
        <w:rPr>
          <w:rFonts w:hint="eastAsia"/>
          <w:highlight w:val="none"/>
          <w:lang w:val="en-US" w:eastAsia="zh-CN"/>
        </w:rPr>
        <w:t xml:space="preserve">四</w:t>
      </w:r>
      <w:r>
        <w:rPr>
          <w:rFonts w:hint="eastAsia"/>
          <w:highlight w:val="none"/>
          <w:lang w:eastAsia="zh-CN"/>
        </w:rPr>
        <w:t xml:space="preserve">、</w:t>
      </w:r>
      <w:r>
        <w:rPr>
          <w:rFonts w:hint="eastAsia"/>
          <w:highlight w:val="none"/>
        </w:rPr>
        <w:t xml:space="preserve">本合同一式四份，甲方执三份，乙方执一份。甲乙双方如发生合同争议，可向甲方住所地人民法院提起诉讼。</w:t>
      </w:r>
      <w:r>
        <w:rPr>
          <w:rFonts w:hint="eastAsia"/>
          <w:highlight w:val="none"/>
        </w:rPr>
      </w:r>
      <w:r>
        <w:rPr>
          <w:highlight w:val="none"/>
        </w:rPr>
      </w:r>
    </w:p>
    <w:p>
      <w:pPr>
        <w:pStyle w:val="662"/>
        <w:ind w:left="21" w:hanging="21"/>
        <w:spacing w:line="400" w:lineRule="exact"/>
        <w:rPr>
          <w:rFonts w:hint="eastAsia"/>
          <w:highlight w:val="none"/>
        </w:rPr>
      </w:pPr>
      <w:r>
        <w:rPr>
          <w:rFonts w:hint="eastAsia"/>
          <w:highlight w:val="none"/>
        </w:rPr>
      </w:r>
      <w:r>
        <w:rPr>
          <w:highlight w:val="none"/>
        </w:rPr>
      </w:r>
    </w:p>
    <w:p>
      <w:pPr>
        <w:pStyle w:val="662"/>
        <w:ind w:left="21" w:hanging="21"/>
        <w:spacing w:line="400" w:lineRule="exact"/>
        <w:rPr>
          <w:rFonts w:hint="eastAsia"/>
          <w:highlight w:val="none"/>
        </w:rPr>
      </w:pPr>
      <w:r>
        <w:rPr>
          <w:rFonts w:hint="eastAsia"/>
          <w:highlight w:val="none"/>
        </w:rPr>
      </w:r>
      <w:r>
        <w:rPr>
          <w:highlight w:val="none"/>
        </w:rPr>
      </w:r>
    </w:p>
    <w:p>
      <w:pPr>
        <w:pStyle w:val="662"/>
        <w:ind w:left="21" w:hanging="21"/>
        <w:spacing w:line="400" w:lineRule="exact"/>
        <w:rPr>
          <w:rFonts w:hint="eastAsia"/>
          <w:highlight w:val="none"/>
        </w:rPr>
      </w:pPr>
      <w:r>
        <w:rPr>
          <w:rFonts w:hint="eastAsia"/>
          <w:highlight w:val="none"/>
        </w:rPr>
      </w:r>
      <w:r>
        <w:rPr>
          <w:highlight w:val="none"/>
        </w:rPr>
      </w:r>
    </w:p>
    <w:p>
      <w:pPr>
        <w:pStyle w:val="662"/>
        <w:ind w:left="21" w:hanging="21"/>
        <w:spacing w:line="400" w:lineRule="exact"/>
        <w:rPr>
          <w:rFonts w:hint="eastAsia"/>
          <w:highlight w:val="none"/>
        </w:rPr>
      </w:pPr>
      <w:r>
        <w:rPr>
          <w:rFonts w:hint="eastAsia"/>
          <w:highlight w:val="none"/>
        </w:rPr>
      </w:r>
      <w:r>
        <w:rPr>
          <w:highlight w:val="none"/>
        </w:rPr>
      </w:r>
    </w:p>
    <w:p>
      <w:pPr>
        <w:pStyle w:val="662"/>
        <w:ind w:firstLine="361"/>
        <w:keepLines w:val="0"/>
        <w:keepNext w:val="0"/>
        <w:pageBreakBefore w:val="0"/>
        <w:spacing w:line="520" w:lineRule="exact"/>
        <w:widowControl w:val="off"/>
        <w:rPr>
          <w:rFonts w:hint="eastAsia" w:hAnsi="宋体" w:cs="宋体"/>
          <w:b/>
          <w:szCs w:val="21"/>
          <w:highlight w:val="none"/>
        </w:rPr>
        <w:outlineLvl w:val="9"/>
      </w:pPr>
      <w:r>
        <w:rPr>
          <w:rFonts w:hint="eastAsia"/>
          <w:b/>
          <w:bCs/>
          <w:highlight w:val="none"/>
        </w:rPr>
        <w:t xml:space="preserve">甲方（盖章）：                          </w:t>
      </w:r>
      <w:r>
        <w:rPr>
          <w:rFonts w:hint="eastAsia"/>
          <w:b/>
          <w:bCs/>
          <w:highlight w:val="none"/>
          <w:lang w:val="en-US" w:eastAsia="zh-CN"/>
        </w:rPr>
        <w:t xml:space="preserve"> </w:t>
      </w:r>
      <w:r>
        <w:rPr>
          <w:rFonts w:hint="eastAsia"/>
          <w:b/>
          <w:bCs/>
          <w:highlight w:val="none"/>
        </w:rPr>
        <w:t xml:space="preserve"> 乙方（盖章）：</w:t>
      </w:r>
      <w:r>
        <w:rPr>
          <w:rFonts w:hint="eastAsia" w:hAnsi="宋体" w:cs="宋体"/>
          <w:b/>
          <w:szCs w:val="21"/>
          <w:highlight w:val="none"/>
        </w:rPr>
      </w:r>
      <w:r>
        <w:rPr>
          <w:highlight w:val="none"/>
        </w:rPr>
      </w:r>
    </w:p>
    <w:p>
      <w:pPr>
        <w:pStyle w:val="662"/>
        <w:ind w:firstLine="240"/>
        <w:keepLines w:val="0"/>
        <w:keepNext w:val="0"/>
        <w:pageBreakBefore w:val="0"/>
        <w:spacing w:line="520" w:lineRule="exact"/>
        <w:widowControl w:val="off"/>
        <w:rPr>
          <w:rFonts w:hint="eastAsia"/>
          <w:highlight w:val="none"/>
        </w:rPr>
        <w:outlineLvl w:val="9"/>
      </w:pPr>
      <w:r>
        <w:rPr>
          <w:rFonts w:hint="eastAsia"/>
          <w:highlight w:val="none"/>
        </w:rPr>
        <w:t xml:space="preserve">法人或</w:t>
      </w:r>
      <w:r>
        <w:rPr>
          <w:rFonts w:hint="eastAsia"/>
          <w:highlight w:val="none"/>
          <w:lang w:eastAsia="zh-CN"/>
        </w:rPr>
        <w:t xml:space="preserve">其授权代表</w:t>
      </w:r>
      <w:r>
        <w:rPr>
          <w:rFonts w:hint="eastAsia"/>
          <w:highlight w:val="none"/>
        </w:rPr>
        <w:t xml:space="preserve">签字：                    </w:t>
      </w:r>
      <w:r>
        <w:rPr>
          <w:rFonts w:hint="eastAsia"/>
          <w:highlight w:val="none"/>
          <w:lang w:val="en-US" w:eastAsia="zh-CN"/>
        </w:rPr>
        <w:t xml:space="preserve"> </w:t>
      </w:r>
      <w:r>
        <w:rPr>
          <w:rFonts w:hint="eastAsia"/>
          <w:highlight w:val="none"/>
        </w:rPr>
        <w:t xml:space="preserve">法人或</w:t>
      </w:r>
      <w:r>
        <w:rPr>
          <w:rFonts w:hint="eastAsia"/>
          <w:highlight w:val="none"/>
          <w:lang w:eastAsia="zh-CN"/>
        </w:rPr>
        <w:t xml:space="preserve">其授权代表</w:t>
      </w:r>
      <w:r>
        <w:rPr>
          <w:rFonts w:hint="eastAsia"/>
          <w:highlight w:val="none"/>
        </w:rPr>
        <w:t xml:space="preserve">签字：</w:t>
      </w:r>
      <w:r>
        <w:rPr>
          <w:rFonts w:hint="eastAsia"/>
          <w:highlight w:val="none"/>
        </w:rPr>
      </w:r>
      <w:r>
        <w:rPr>
          <w:highlight w:val="none"/>
        </w:rPr>
      </w:r>
    </w:p>
    <w:p>
      <w:pPr>
        <w:pStyle w:val="662"/>
        <w:keepLines w:val="0"/>
        <w:keepNext w:val="0"/>
        <w:pageBreakBefore w:val="0"/>
        <w:spacing w:line="520" w:lineRule="exact"/>
        <w:widowControl w:val="off"/>
        <w:rPr>
          <w:rFonts w:hint="eastAsia"/>
          <w:highlight w:val="none"/>
        </w:rPr>
        <w:outlineLvl w:val="9"/>
      </w:pPr>
      <w:r>
        <w:rPr>
          <w:rFonts w:hint="eastAsia"/>
          <w:highlight w:val="none"/>
        </w:rPr>
        <w:t xml:space="preserve">  业务部门代表签字：                        </w:t>
      </w:r>
      <w:r>
        <w:rPr>
          <w:rFonts w:hint="eastAsia"/>
          <w:highlight w:val="none"/>
          <w:lang w:val="en-US" w:eastAsia="zh-CN"/>
        </w:rPr>
        <w:t xml:space="preserve"> </w:t>
      </w:r>
      <w:r>
        <w:rPr>
          <w:rFonts w:hint="eastAsia"/>
          <w:highlight w:val="none"/>
        </w:rPr>
        <w:t xml:space="preserve">业务代表签字：</w:t>
      </w:r>
      <w:r>
        <w:rPr>
          <w:rFonts w:hint="eastAsia"/>
          <w:highlight w:val="none"/>
        </w:rPr>
      </w:r>
      <w:r>
        <w:rPr>
          <w:highlight w:val="none"/>
        </w:rPr>
      </w:r>
    </w:p>
    <w:p>
      <w:pPr>
        <w:pStyle w:val="662"/>
        <w:keepLines w:val="0"/>
        <w:keepNext w:val="0"/>
        <w:pageBreakBefore w:val="0"/>
        <w:spacing w:line="520" w:lineRule="exact"/>
        <w:widowControl w:val="off"/>
        <w:rPr>
          <w:rFonts w:hint="eastAsia"/>
          <w:highlight w:val="none"/>
        </w:rPr>
        <w:outlineLvl w:val="9"/>
      </w:pPr>
      <w:r>
        <w:rPr>
          <w:rFonts w:hint="eastAsia"/>
          <w:highlight w:val="none"/>
        </w:rPr>
        <w:t xml:space="preserve">  联系电话:  0523-</w:t>
      </w:r>
      <w:r>
        <w:rPr>
          <w:rFonts w:hint="eastAsia"/>
          <w:highlight w:val="none"/>
          <w:lang w:val="en-US" w:eastAsia="zh-CN"/>
        </w:rPr>
        <w:t xml:space="preserve">89890057</w:t>
      </w:r>
      <w:r>
        <w:rPr>
          <w:rFonts w:hint="eastAsia"/>
          <w:highlight w:val="none"/>
        </w:rPr>
        <w:t xml:space="preserve">                  </w:t>
      </w:r>
      <w:r>
        <w:rPr>
          <w:rFonts w:hint="eastAsia"/>
          <w:highlight w:val="none"/>
          <w:lang w:val="en-US" w:eastAsia="zh-CN"/>
        </w:rPr>
        <w:t xml:space="preserve">  </w:t>
      </w:r>
      <w:r>
        <w:rPr>
          <w:rFonts w:hint="eastAsia"/>
          <w:highlight w:val="none"/>
        </w:rPr>
        <w:t xml:space="preserve">联系电话:</w:t>
      </w:r>
      <w:r>
        <w:rPr>
          <w:rFonts w:hint="eastAsia"/>
          <w:highlight w:val="none"/>
        </w:rPr>
      </w:r>
      <w:r>
        <w:rPr>
          <w:highlight w:val="none"/>
        </w:rPr>
      </w:r>
    </w:p>
    <w:p>
      <w:pPr>
        <w:pStyle w:val="662"/>
        <w:keepLines w:val="0"/>
        <w:keepNext w:val="0"/>
        <w:pageBreakBefore w:val="0"/>
        <w:spacing w:line="520" w:lineRule="exact"/>
        <w:widowControl w:val="off"/>
        <w:rPr>
          <w:rFonts w:hint="eastAsia"/>
          <w:b/>
          <w:bCs/>
          <w:sz w:val="30"/>
          <w:szCs w:val="30"/>
          <w:highlight w:val="none"/>
        </w:rPr>
        <w:outlineLvl w:val="9"/>
      </w:pPr>
      <w:r>
        <w:rPr>
          <w:rFonts w:hint="eastAsia"/>
          <w:highlight w:val="none"/>
        </w:rPr>
        <w:t xml:space="preserve"> </w:t>
      </w:r>
      <w:r>
        <w:rPr>
          <w:rFonts w:hint="eastAsia"/>
          <w:szCs w:val="21"/>
          <w:highlight w:val="none"/>
        </w:rPr>
        <w:t xml:space="preserve"> </w:t>
      </w:r>
      <w:r>
        <w:rPr>
          <w:rFonts w:hint="eastAsia"/>
          <w:szCs w:val="21"/>
          <w:highlight w:val="none"/>
          <w:u w:val="single"/>
        </w:rPr>
        <w:t xml:space="preserve">      </w:t>
      </w:r>
      <w:r>
        <w:rPr>
          <w:rFonts w:hint="eastAsia"/>
          <w:szCs w:val="21"/>
          <w:highlight w:val="none"/>
        </w:rPr>
        <w:t xml:space="preserve">年 </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  </w:t>
      </w:r>
      <w:r>
        <w:rPr>
          <w:rFonts w:hint="eastAsia"/>
          <w:highlight w:val="none"/>
        </w:rPr>
        <w:t xml:space="preserve">  </w:t>
      </w:r>
      <w:r>
        <w:rPr>
          <w:highlight w:val="none"/>
        </w:rPr>
        <w:t xml:space="preserve">  </w:t>
      </w:r>
      <w:r>
        <w:rPr>
          <w:rFonts w:hint="eastAsia"/>
          <w:highlight w:val="none"/>
        </w:rPr>
        <w:t xml:space="preserve">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 </w:t>
      </w:r>
      <w:r>
        <w:rPr>
          <w:rFonts w:hint="eastAsia"/>
          <w:b/>
          <w:bCs/>
          <w:sz w:val="30"/>
          <w:szCs w:val="30"/>
          <w:highlight w:val="none"/>
          <w:lang w:eastAsia="zh-CN"/>
        </w:rPr>
      </w:r>
      <w:r>
        <w:rPr>
          <w:highlight w:val="none"/>
        </w:rPr>
      </w:r>
    </w:p>
    <w:p>
      <w:pPr>
        <w:pStyle w:val="662"/>
        <w:ind w:firstLine="280"/>
        <w:keepLines w:val="0"/>
        <w:keepNext w:val="0"/>
        <w:pageBreakBefore w:val="0"/>
        <w:spacing w:line="320" w:lineRule="exact"/>
        <w:rPr>
          <w:rFonts w:hint="eastAsia"/>
          <w:sz w:val="28"/>
          <w:szCs w:val="28"/>
          <w:highlight w:val="none"/>
        </w:rPr>
      </w:pPr>
      <w:r>
        <w:rPr>
          <w:rFonts w:hint="eastAsia"/>
          <w:sz w:val="28"/>
          <w:szCs w:val="28"/>
          <w:highlight w:val="none"/>
          <w:lang w:eastAsia="zh-CN"/>
        </w:rPr>
      </w:r>
      <w:r>
        <w:rPr>
          <w:highlight w:val="none"/>
        </w:rPr>
      </w:r>
    </w:p>
    <w:p>
      <w:pPr>
        <w:pStyle w:val="662"/>
        <w:ind w:firstLine="280"/>
        <w:keepLines w:val="0"/>
        <w:keepNext w:val="0"/>
        <w:pageBreakBefore w:val="0"/>
        <w:spacing w:line="320" w:lineRule="exact"/>
        <w:rPr>
          <w:rFonts w:hint="eastAsia"/>
          <w:sz w:val="28"/>
          <w:szCs w:val="28"/>
          <w:highlight w:val="none"/>
        </w:rPr>
      </w:pPr>
      <w:r>
        <w:rPr>
          <w:rFonts w:hint="eastAsia"/>
          <w:sz w:val="28"/>
          <w:szCs w:val="28"/>
          <w:highlight w:val="none"/>
          <w:lang w:eastAsia="zh-CN"/>
        </w:rPr>
        <w:t xml:space="preserve">附件：</w:t>
      </w:r>
      <w:r>
        <w:rPr>
          <w:rFonts w:hint="eastAsia"/>
          <w:sz w:val="28"/>
          <w:szCs w:val="28"/>
          <w:highlight w:val="none"/>
          <w:lang w:val="en-US" w:eastAsia="zh-CN"/>
        </w:rPr>
        <w:t xml:space="preserve">      </w:t>
      </w:r>
      <w:r>
        <w:rPr>
          <w:rFonts w:hint="eastAsia"/>
          <w:sz w:val="28"/>
          <w:szCs w:val="28"/>
          <w:highlight w:val="none"/>
          <w:lang w:val="en-US" w:eastAsia="zh-CN"/>
        </w:rPr>
      </w:r>
      <w:r>
        <w:rPr>
          <w:highlight w:val="none"/>
        </w:rPr>
      </w:r>
    </w:p>
    <w:p>
      <w:pPr>
        <w:pStyle w:val="662"/>
        <w:ind w:firstLine="301"/>
        <w:jc w:val="center"/>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lang w:val="en-US" w:eastAsia="zh-CN"/>
        </w:rPr>
        <w:t xml:space="preserve">XX（型号：XX）配置清单</w:t>
      </w:r>
      <w:r>
        <w:rPr>
          <w:rFonts w:hint="eastAsia" w:ascii="Times New Roman" w:hAnsi="Times New Roman" w:cs="Times New Roman"/>
          <w:b/>
          <w:bCs/>
          <w:sz w:val="30"/>
          <w:szCs w:val="30"/>
          <w:highlight w:val="none"/>
          <w:lang w:val="en-US" w:eastAsia="zh-CN"/>
        </w:rPr>
      </w:r>
      <w:r>
        <w:rPr>
          <w:highlight w:val="none"/>
        </w:rPr>
      </w:r>
    </w:p>
    <w:tbl>
      <w:tblPr>
        <w:tblW w:w="801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4749"/>
        <w:gridCol w:w="2175"/>
      </w:tblGrid>
      <w:tr>
        <w:trPr>
          <w:trHeight w:val="425" w:hRule="exact"/>
        </w:trPr>
        <w:tc>
          <w:tcPr>
            <w:tcW w:w="1086" w:type="dxa"/>
            <w:vAlign w:val="center"/>
            <w:textDirection w:val="lrTb"/>
            <w:noWrap w:val="false"/>
          </w:tcPr>
          <w:p>
            <w:pPr>
              <w:pStyle w:val="662"/>
              <w:jc w:val="center"/>
              <w:rPr>
                <w:rFonts w:hint="eastAsia" w:ascii="Times New Roman" w:hAnsi="Times New Roman" w:cs="Times New Roman"/>
                <w:b/>
                <w:bCs/>
                <w:szCs w:val="21"/>
                <w:highlight w:val="none"/>
              </w:rPr>
            </w:pPr>
            <w:r>
              <w:rPr>
                <w:rFonts w:hint="eastAsia" w:ascii="Times New Roman" w:hAnsi="Times New Roman" w:cs="Times New Roman"/>
                <w:b/>
                <w:bCs/>
                <w:szCs w:val="21"/>
                <w:highlight w:val="none"/>
                <w:lang w:val="en-US" w:eastAsia="zh-CN"/>
              </w:rPr>
              <w:t xml:space="preserve">序号</w:t>
            </w:r>
            <w:r>
              <w:rPr>
                <w:rFonts w:hint="eastAsia" w:ascii="Times New Roman" w:hAnsi="Times New Roman" w:cs="Times New Roman"/>
                <w:b/>
                <w:bCs/>
                <w:szCs w:val="21"/>
                <w:highlight w:val="none"/>
                <w:lang w:val="en-US" w:eastAsia="zh-CN"/>
              </w:rPr>
            </w:r>
            <w:r>
              <w:rPr>
                <w:highlight w:val="none"/>
              </w:rPr>
            </w:r>
          </w:p>
        </w:tc>
        <w:tc>
          <w:tcPr>
            <w:tcW w:w="4749" w:type="dxa"/>
            <w:vAlign w:val="center"/>
            <w:textDirection w:val="lrTb"/>
            <w:noWrap w:val="false"/>
          </w:tcPr>
          <w:p>
            <w:pPr>
              <w:pStyle w:val="662"/>
              <w:jc w:val="center"/>
              <w:rPr>
                <w:rFonts w:hint="eastAsia" w:ascii="Times New Roman" w:hAnsi="Times New Roman" w:cs="Times New Roman"/>
                <w:b/>
                <w:bCs/>
                <w:szCs w:val="21"/>
                <w:highlight w:val="none"/>
              </w:rPr>
            </w:pPr>
            <w:r>
              <w:rPr>
                <w:rFonts w:hint="eastAsia" w:ascii="Times New Roman" w:hAnsi="Times New Roman" w:cs="Times New Roman"/>
                <w:b/>
                <w:bCs/>
                <w:szCs w:val="21"/>
                <w:highlight w:val="none"/>
                <w:lang w:val="en-US" w:eastAsia="zh-CN"/>
              </w:rPr>
              <w:t xml:space="preserve">名称</w:t>
            </w:r>
            <w:r>
              <w:rPr>
                <w:rFonts w:hint="eastAsia" w:ascii="Times New Roman" w:hAnsi="Times New Roman" w:cs="Times New Roman"/>
                <w:b/>
                <w:bCs/>
                <w:szCs w:val="21"/>
                <w:highlight w:val="none"/>
                <w:lang w:val="en-US" w:eastAsia="zh-CN"/>
              </w:rPr>
            </w:r>
            <w:r>
              <w:rPr>
                <w:highlight w:val="none"/>
              </w:rPr>
            </w:r>
          </w:p>
        </w:tc>
        <w:tc>
          <w:tcPr>
            <w:tcW w:w="2175" w:type="dxa"/>
            <w:vAlign w:val="center"/>
            <w:textDirection w:val="lrTb"/>
            <w:noWrap w:val="false"/>
          </w:tcPr>
          <w:p>
            <w:pPr>
              <w:pStyle w:val="662"/>
              <w:jc w:val="center"/>
              <w:rPr>
                <w:rFonts w:hint="eastAsia" w:ascii="Times New Roman" w:hAnsi="Times New Roman" w:cs="Times New Roman"/>
                <w:b/>
                <w:bCs/>
                <w:szCs w:val="21"/>
                <w:highlight w:val="none"/>
              </w:rPr>
            </w:pPr>
            <w:r>
              <w:rPr>
                <w:rFonts w:hint="eastAsia" w:ascii="Times New Roman" w:hAnsi="Times New Roman" w:cs="Times New Roman"/>
                <w:b/>
                <w:bCs/>
                <w:szCs w:val="21"/>
                <w:highlight w:val="none"/>
                <w:lang w:val="en-US" w:eastAsia="zh-CN"/>
              </w:rPr>
              <w:t xml:space="preserve">数量</w:t>
            </w:r>
            <w:r>
              <w:rPr>
                <w:rFonts w:hint="eastAsia" w:ascii="Times New Roman" w:hAnsi="Times New Roman" w:cs="Times New Roman"/>
                <w:b/>
                <w:bCs/>
                <w:szCs w:val="21"/>
                <w:highlight w:val="none"/>
                <w:lang w:val="en-US" w:eastAsia="zh-CN"/>
              </w:rPr>
            </w:r>
            <w:r>
              <w:rPr>
                <w:highlight w:val="none"/>
              </w:rPr>
            </w:r>
          </w:p>
        </w:tc>
      </w:tr>
      <w:tr>
        <w:trPr>
          <w:trHeight w:val="425" w:hRule="exact"/>
        </w:trPr>
        <w:tc>
          <w:tcPr>
            <w:tcW w:w="1086"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c>
          <w:tcPr>
            <w:tcW w:w="4749"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c>
          <w:tcPr>
            <w:tcW w:w="2175"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r>
      <w:tr>
        <w:trPr>
          <w:trHeight w:val="425" w:hRule="exact"/>
        </w:trPr>
        <w:tc>
          <w:tcPr>
            <w:tcW w:w="1086"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c>
          <w:tcPr>
            <w:tcW w:w="4749"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c>
          <w:tcPr>
            <w:tcW w:w="2175"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r>
      <w:tr>
        <w:trPr>
          <w:trHeight w:val="425" w:hRule="exact"/>
        </w:trPr>
        <w:tc>
          <w:tcPr>
            <w:tcW w:w="1086"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c>
          <w:tcPr>
            <w:tcW w:w="4749"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c>
          <w:tcPr>
            <w:tcW w:w="2175"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r>
      <w:tr>
        <w:trPr>
          <w:trHeight w:val="425" w:hRule="exact"/>
        </w:trPr>
        <w:tc>
          <w:tcPr>
            <w:tcW w:w="1086"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c>
          <w:tcPr>
            <w:tcW w:w="4749"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c>
          <w:tcPr>
            <w:tcW w:w="2175" w:type="dxa"/>
            <w:vAlign w:val="center"/>
            <w:textDirection w:val="lrTb"/>
            <w:noWrap w:val="false"/>
          </w:tcPr>
          <w:p>
            <w:pPr>
              <w:pStyle w:val="662"/>
              <w:jc w:val="center"/>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r>
            <w:r>
              <w:rPr>
                <w:highlight w:val="none"/>
              </w:rPr>
            </w:r>
          </w:p>
        </w:tc>
      </w:tr>
    </w:tbl>
    <w:p>
      <w:pPr>
        <w:pStyle w:val="662"/>
        <w:rPr>
          <w:rFonts w:hint="eastAsia"/>
          <w:b/>
          <w:bCs/>
          <w:sz w:val="30"/>
          <w:szCs w:val="30"/>
          <w:highlight w:val="none"/>
        </w:rPr>
      </w:pPr>
      <w:r>
        <w:rPr>
          <w:rFonts w:hint="eastAsia"/>
          <w:b/>
          <w:bCs/>
          <w:sz w:val="30"/>
          <w:szCs w:val="30"/>
          <w:highlight w:val="none"/>
          <w:lang w:eastAsia="zh-CN"/>
        </w:rPr>
        <w:br w:type="page" w:clear="all"/>
      </w:r>
      <w:r>
        <w:rPr>
          <w:rFonts w:hint="eastAsia"/>
          <w:b/>
          <w:bCs/>
          <w:sz w:val="30"/>
          <w:szCs w:val="30"/>
          <w:highlight w:val="none"/>
          <w:lang w:eastAsia="zh-CN"/>
        </w:rPr>
      </w:r>
      <w:r>
        <w:rPr>
          <w:highlight w:val="none"/>
        </w:rPr>
      </w:r>
    </w:p>
    <w:p>
      <w:pPr>
        <w:pStyle w:val="662"/>
        <w:ind w:firstLine="301"/>
        <w:jc w:val="center"/>
        <w:rPr>
          <w:rFonts w:hint="eastAsia"/>
          <w:b/>
          <w:bCs/>
          <w:sz w:val="30"/>
          <w:szCs w:val="30"/>
          <w:highlight w:val="none"/>
        </w:rPr>
      </w:pPr>
      <w:r>
        <w:rPr>
          <w:rFonts w:hint="eastAsia"/>
          <w:b/>
          <w:bCs/>
          <w:sz w:val="30"/>
          <w:szCs w:val="30"/>
          <w:highlight w:val="none"/>
          <w:lang w:eastAsia="zh-CN"/>
        </w:rPr>
        <w:t xml:space="preserve">医疗设备采购</w:t>
      </w:r>
      <w:r>
        <w:rPr>
          <w:rFonts w:hint="eastAsia"/>
          <w:b/>
          <w:bCs/>
          <w:sz w:val="30"/>
          <w:szCs w:val="30"/>
          <w:highlight w:val="none"/>
        </w:rPr>
        <w:t xml:space="preserve">廉洁购销</w:t>
      </w:r>
      <w:r>
        <w:rPr>
          <w:rFonts w:hint="eastAsia"/>
          <w:b/>
          <w:bCs/>
          <w:sz w:val="30"/>
          <w:szCs w:val="30"/>
          <w:highlight w:val="none"/>
          <w:lang w:eastAsia="zh-CN"/>
        </w:rPr>
        <w:t xml:space="preserve">协议</w:t>
      </w:r>
      <w:r>
        <w:rPr>
          <w:rFonts w:hint="eastAsia"/>
          <w:b/>
          <w:bCs/>
          <w:sz w:val="30"/>
          <w:szCs w:val="30"/>
          <w:highlight w:val="none"/>
          <w:lang w:eastAsia="zh-CN"/>
        </w:rPr>
      </w:r>
      <w:r>
        <w:rPr>
          <w:highlight w:val="none"/>
        </w:rPr>
      </w:r>
    </w:p>
    <w:p>
      <w:pPr>
        <w:pStyle w:val="662"/>
        <w:ind w:left="211" w:firstLine="240"/>
        <w:keepLines w:val="0"/>
        <w:keepNext w:val="0"/>
        <w:pageBreakBefore w:val="0"/>
        <w:spacing w:line="360" w:lineRule="exact"/>
        <w:widowControl w:val="off"/>
        <w:rPr>
          <w:rFonts w:hint="eastAsia"/>
          <w:szCs w:val="22"/>
          <w:highlight w:val="none"/>
        </w:rPr>
      </w:pPr>
      <w:r>
        <w:rPr>
          <w:rFonts w:hint="eastAsia"/>
          <w:szCs w:val="22"/>
          <w:highlight w:val="none"/>
        </w:rPr>
        <w:t xml:space="preserve">为进一步加强医疗卫生行风建设，规范医疗卫生机构</w:t>
      </w:r>
      <w:r>
        <w:rPr>
          <w:rFonts w:hint="eastAsia"/>
          <w:szCs w:val="22"/>
          <w:highlight w:val="none"/>
          <w:lang w:eastAsia="zh-CN"/>
        </w:rPr>
        <w:t xml:space="preserve">医疗设备</w:t>
      </w:r>
      <w:r>
        <w:rPr>
          <w:rFonts w:hint="eastAsia"/>
          <w:szCs w:val="22"/>
          <w:highlight w:val="none"/>
        </w:rPr>
        <w:t xml:space="preserve">购销行为，有效防范商业贿赂行为，营造公平交易、诚实守信的购销环境，经甲、乙双方协商，共同遵守</w:t>
      </w:r>
      <w:r>
        <w:rPr>
          <w:rFonts w:hint="eastAsia"/>
          <w:szCs w:val="22"/>
          <w:highlight w:val="none"/>
          <w:lang w:eastAsia="zh-CN"/>
        </w:rPr>
        <w:t xml:space="preserve">以下协议</w:t>
      </w:r>
      <w:r>
        <w:rPr>
          <w:rFonts w:hint="eastAsia"/>
          <w:szCs w:val="22"/>
          <w:highlight w:val="none"/>
        </w:rPr>
        <w:t xml:space="preserve">：</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szCs w:val="22"/>
          <w:highlight w:val="none"/>
        </w:rPr>
      </w:pPr>
      <w:r>
        <w:rPr>
          <w:rFonts w:hint="eastAsia"/>
          <w:szCs w:val="22"/>
          <w:highlight w:val="none"/>
          <w:lang w:val="en-US" w:eastAsia="zh-CN"/>
        </w:rPr>
        <w:t xml:space="preserve">1、</w:t>
      </w:r>
      <w:r>
        <w:rPr>
          <w:rFonts w:hint="eastAsia"/>
          <w:szCs w:val="22"/>
          <w:highlight w:val="none"/>
        </w:rPr>
        <w:t xml:space="preserve">甲乙双方按照《</w:t>
      </w:r>
      <w:r>
        <w:rPr>
          <w:rFonts w:hint="eastAsia"/>
          <w:szCs w:val="22"/>
          <w:highlight w:val="none"/>
          <w:lang w:eastAsia="zh-CN"/>
        </w:rPr>
        <w:t xml:space="preserve">民法典</w:t>
      </w:r>
      <w:r>
        <w:rPr>
          <w:rFonts w:hint="eastAsia"/>
          <w:szCs w:val="22"/>
          <w:highlight w:val="none"/>
        </w:rPr>
        <w:t xml:space="preserve">》及医药产品购销合同约定购销药品、医用设备、医用耗材等医药产品。</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szCs w:val="22"/>
          <w:highlight w:val="none"/>
        </w:rPr>
      </w:pPr>
      <w:r>
        <w:rPr>
          <w:rFonts w:hint="eastAsia"/>
          <w:szCs w:val="22"/>
          <w:highlight w:val="none"/>
          <w:lang w:val="en-US" w:eastAsia="zh-CN"/>
        </w:rPr>
        <w:t xml:space="preserve">2、</w:t>
      </w:r>
      <w:r>
        <w:rPr>
          <w:rFonts w:hint="eastAsia"/>
          <w:szCs w:val="22"/>
          <w:highlight w:val="none"/>
        </w:rPr>
        <w:t xml:space="preserve">甲方应当严格执行医药产品购销合同验收、入库制度，对采购医药产品及发票进行查验，不得违反有关规定合同外采购、违价采购或从非规定渠道采购。</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szCs w:val="22"/>
          <w:highlight w:val="none"/>
        </w:rPr>
      </w:pPr>
      <w:r>
        <w:rPr>
          <w:rFonts w:hint="eastAsia"/>
          <w:szCs w:val="22"/>
          <w:highlight w:val="none"/>
          <w:lang w:val="en-US" w:eastAsia="zh-CN"/>
        </w:rPr>
        <w:t xml:space="preserve">3、</w:t>
      </w:r>
      <w:r>
        <w:rPr>
          <w:rFonts w:hint="eastAsia"/>
          <w:szCs w:val="22"/>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szCs w:val="22"/>
          <w:highlight w:val="none"/>
        </w:rPr>
      </w:pPr>
      <w:r>
        <w:rPr>
          <w:rFonts w:hint="eastAsia"/>
          <w:szCs w:val="22"/>
          <w:highlight w:val="none"/>
          <w:lang w:val="en-US" w:eastAsia="zh-CN"/>
        </w:rPr>
        <w:t xml:space="preserve">4、</w:t>
      </w:r>
      <w:r>
        <w:rPr>
          <w:rFonts w:hint="eastAsia"/>
          <w:szCs w:val="22"/>
          <w:highlight w:val="none"/>
        </w:rPr>
        <w:t xml:space="preserve">严禁甲方工作人员利用任何途径和方式，为乙方统计医师个人及临床科室有关医药产品用量信息，或为乙方统计提供便利。</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szCs w:val="22"/>
          <w:highlight w:val="none"/>
        </w:rPr>
      </w:pPr>
      <w:r>
        <w:rPr>
          <w:rFonts w:hint="eastAsia"/>
          <w:szCs w:val="22"/>
          <w:highlight w:val="none"/>
          <w:lang w:val="en-US" w:eastAsia="zh-CN"/>
        </w:rPr>
        <w:t xml:space="preserve">5</w:t>
      </w:r>
      <w:r>
        <w:rPr>
          <w:rFonts w:hint="eastAsia"/>
          <w:szCs w:val="22"/>
          <w:highlight w:val="none"/>
        </w:rPr>
        <w:t xml:space="preserve">、乙方不得以回扣、宴请等方式影响甲方工作人员采购或使用医药产品的选择权，不得在学术活动中提供旅游、超标准支付食宿费用。</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szCs w:val="22"/>
          <w:highlight w:val="none"/>
        </w:rPr>
      </w:pPr>
      <w:r>
        <w:rPr>
          <w:rFonts w:hint="eastAsia"/>
          <w:szCs w:val="22"/>
          <w:highlight w:val="none"/>
          <w:lang w:val="en-US" w:eastAsia="zh-CN"/>
        </w:rPr>
        <w:t xml:space="preserve">6、</w:t>
      </w:r>
      <w:r>
        <w:rPr>
          <w:rFonts w:hint="eastAsia"/>
          <w:szCs w:val="22"/>
          <w:highlight w:val="none"/>
        </w:rPr>
        <w:t xml:space="preserve">乙方指定</w:t>
      </w:r>
      <w:r>
        <w:rPr>
          <w:rFonts w:hint="eastAsia"/>
          <w:szCs w:val="22"/>
          <w:highlight w:val="none"/>
          <w:lang w:eastAsia="zh-CN"/>
        </w:rPr>
        <w:t xml:space="preserve">业务代表</w:t>
      </w:r>
      <w:r>
        <w:rPr>
          <w:rFonts w:hint="eastAsia"/>
          <w:szCs w:val="22"/>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szCs w:val="22"/>
          <w:highlight w:val="none"/>
        </w:rPr>
      </w:pPr>
      <w:r>
        <w:rPr>
          <w:rFonts w:hint="eastAsia"/>
          <w:szCs w:val="22"/>
          <w:highlight w:val="none"/>
          <w:lang w:val="en-US" w:eastAsia="zh-CN"/>
        </w:rPr>
        <w:t xml:space="preserve">7、</w:t>
      </w:r>
      <w:r>
        <w:rPr>
          <w:rFonts w:hint="eastAsia"/>
          <w:szCs w:val="22"/>
          <w:highlight w:val="none"/>
        </w:rPr>
        <w:t xml:space="preserve">乙方如违反本</w:t>
      </w:r>
      <w:r>
        <w:rPr>
          <w:rFonts w:hint="eastAsia"/>
          <w:szCs w:val="22"/>
          <w:highlight w:val="none"/>
          <w:lang w:eastAsia="zh-CN"/>
        </w:rPr>
        <w:t xml:space="preserve">协议</w:t>
      </w:r>
      <w:r>
        <w:rPr>
          <w:rFonts w:hint="eastAsia"/>
          <w:szCs w:val="22"/>
          <w:highlight w:val="none"/>
        </w:rPr>
        <w:t xml:space="preserve">，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szCs w:val="22"/>
          <w:highlight w:val="none"/>
        </w:rPr>
      </w:pPr>
      <w:r>
        <w:rPr>
          <w:rFonts w:hint="eastAsia"/>
          <w:szCs w:val="22"/>
          <w:highlight w:val="none"/>
          <w:lang w:val="en-US" w:eastAsia="zh-CN"/>
        </w:rPr>
        <w:t xml:space="preserve">8</w:t>
      </w:r>
      <w:r>
        <w:rPr>
          <w:rFonts w:hint="eastAsia"/>
          <w:szCs w:val="22"/>
          <w:highlight w:val="none"/>
        </w:rPr>
        <w:t xml:space="preserve">、本</w:t>
      </w:r>
      <w:r>
        <w:rPr>
          <w:rFonts w:hint="eastAsia"/>
          <w:szCs w:val="22"/>
          <w:highlight w:val="none"/>
          <w:lang w:eastAsia="zh-CN"/>
        </w:rPr>
        <w:t xml:space="preserve">协议</w:t>
      </w:r>
      <w:r>
        <w:rPr>
          <w:rFonts w:hint="eastAsia"/>
          <w:szCs w:val="22"/>
          <w:highlight w:val="none"/>
        </w:rPr>
        <w:t xml:space="preserve">作为</w:t>
      </w:r>
      <w:r>
        <w:rPr>
          <w:rFonts w:hint="eastAsia"/>
          <w:szCs w:val="22"/>
          <w:highlight w:val="none"/>
          <w:lang w:eastAsia="zh-CN"/>
        </w:rPr>
        <w:t xml:space="preserve">医疗设备采购</w:t>
      </w:r>
      <w:r>
        <w:rPr>
          <w:rFonts w:hint="eastAsia"/>
          <w:szCs w:val="22"/>
          <w:highlight w:val="none"/>
        </w:rPr>
        <w:t xml:space="preserve">合同的重要组成部分，与</w:t>
      </w:r>
      <w:r>
        <w:rPr>
          <w:rFonts w:hint="eastAsia"/>
          <w:szCs w:val="22"/>
          <w:highlight w:val="none"/>
          <w:lang w:eastAsia="zh-CN"/>
        </w:rPr>
        <w:t xml:space="preserve">采购</w:t>
      </w:r>
      <w:r>
        <w:rPr>
          <w:rFonts w:hint="eastAsia"/>
          <w:szCs w:val="22"/>
          <w:highlight w:val="none"/>
        </w:rPr>
        <w:t xml:space="preserve">合同一并执行，具有同等的法律效力。</w:t>
      </w:r>
      <w:r>
        <w:rPr>
          <w:rFonts w:hint="eastAsia"/>
          <w:szCs w:val="22"/>
          <w:highlight w:val="none"/>
        </w:rPr>
      </w:r>
      <w:r>
        <w:rPr>
          <w:highlight w:val="none"/>
        </w:rPr>
      </w:r>
    </w:p>
    <w:p>
      <w:pPr>
        <w:pStyle w:val="662"/>
        <w:ind w:left="211"/>
        <w:keepLines w:val="0"/>
        <w:keepNext w:val="0"/>
        <w:pageBreakBefore w:val="0"/>
        <w:spacing w:line="360" w:lineRule="exact"/>
        <w:widowControl w:val="off"/>
        <w:rPr>
          <w:rFonts w:hint="eastAsia"/>
          <w:b/>
          <w:bCs/>
          <w:sz w:val="21"/>
          <w:szCs w:val="22"/>
          <w:highlight w:val="none"/>
        </w:rPr>
      </w:pPr>
      <w:r>
        <w:rPr>
          <w:rFonts w:hint="eastAsia"/>
          <w:szCs w:val="22"/>
          <w:highlight w:val="none"/>
          <w:lang w:val="en-US" w:eastAsia="zh-CN"/>
        </w:rPr>
        <w:t xml:space="preserve">9、甲乙双方均需严格遵守以上协议</w:t>
      </w:r>
      <w:r>
        <w:rPr>
          <w:rFonts w:hint="eastAsia"/>
          <w:szCs w:val="22"/>
          <w:highlight w:val="none"/>
        </w:rPr>
        <w:t xml:space="preserve">并从签订之日起生效。</w:t>
      </w:r>
      <w:r>
        <w:rPr>
          <w:rFonts w:hint="eastAsia"/>
          <w:b/>
          <w:bCs/>
          <w:sz w:val="21"/>
          <w:szCs w:val="22"/>
          <w:highlight w:val="none"/>
          <w:lang w:val="en-US" w:eastAsia="zh-CN"/>
        </w:rPr>
      </w:r>
      <w:r>
        <w:rPr>
          <w:highlight w:val="none"/>
        </w:rPr>
      </w:r>
    </w:p>
    <w:p>
      <w:pPr>
        <w:pStyle w:val="662"/>
        <w:ind w:firstLine="880"/>
        <w:jc w:val="center"/>
        <w:keepNext/>
        <w:spacing w:line="560" w:lineRule="exact"/>
        <w:rPr>
          <w:rFonts w:hint="eastAsia" w:ascii="黑体" w:hAnsi="Times New Roman" w:eastAsia="黑体"/>
          <w:b/>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第四章  </w:t>
      </w:r>
      <w:r>
        <w:rPr>
          <w:rFonts w:hint="eastAsia" w:ascii="黑体" w:hAnsi="Times New Roman" w:eastAsia="黑体"/>
          <w:b/>
          <w:bCs/>
          <w:color w:val="000000"/>
          <w:sz w:val="44"/>
          <w:szCs w:val="28"/>
          <w:highlight w:val="none"/>
        </w:rPr>
        <w:t xml:space="preserve">评审方法与评审标准</w:t>
      </w:r>
      <w:r>
        <w:rPr>
          <w:rFonts w:hint="eastAsia" w:ascii="黑体" w:hAnsi="Times New Roman" w:eastAsia="黑体"/>
          <w:b/>
          <w:bCs/>
          <w:color w:val="000000"/>
          <w:sz w:val="44"/>
          <w:szCs w:val="28"/>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评委在认真审阅响应文件的基础上，根据各响应文件的响应程度独立评判，不得统一打分。</w:t>
      </w:r>
      <w:r>
        <w:rPr>
          <w:rFonts w:hint="eastAsia" w:ascii="宋体" w:hAnsi="宋体"/>
          <w:color w:val="000000"/>
          <w:sz w:val="24"/>
          <w:szCs w:val="24"/>
          <w:highlight w:val="none"/>
        </w:rPr>
      </w:r>
      <w:r>
        <w:rPr>
          <w:highlight w:val="none"/>
        </w:rPr>
      </w:r>
    </w:p>
    <w:p>
      <w:pPr>
        <w:pStyle w:val="662"/>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（一）采购人（代表）对供应商资格进行审查。</w:t>
      </w:r>
      <w:r>
        <w:rPr>
          <w:rFonts w:hint="eastAsia" w:ascii="宋体" w:hAnsi="宋体"/>
          <w:b/>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供应商资格不合格的，其响应文件判定为无效响应文件。</w:t>
      </w:r>
      <w:r>
        <w:rPr>
          <w:rFonts w:hint="eastAsia" w:ascii="宋体" w:hAnsi="宋体"/>
          <w:color w:val="000000"/>
          <w:sz w:val="24"/>
          <w:szCs w:val="24"/>
          <w:highlight w:val="none"/>
        </w:rPr>
      </w:r>
      <w:r>
        <w:rPr>
          <w:highlight w:val="none"/>
        </w:rPr>
      </w:r>
    </w:p>
    <w:p>
      <w:pPr>
        <w:pStyle w:val="662"/>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（二）磋商小组对符合资格供应商的响应文件进行符合性审查。</w:t>
      </w:r>
      <w:r>
        <w:rPr>
          <w:rFonts w:hint="eastAsia" w:ascii="宋体" w:hAnsi="宋体"/>
          <w:b/>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未通过符合性审查的响应文件，将被判为不满足磋商文件实质性要求。 </w:t>
      </w:r>
      <w:r>
        <w:rPr>
          <w:rFonts w:hint="eastAsia" w:ascii="宋体" w:hAnsi="宋体"/>
          <w:color w:val="000000"/>
          <w:sz w:val="24"/>
          <w:szCs w:val="24"/>
          <w:highlight w:val="none"/>
        </w:rPr>
      </w:r>
      <w:r>
        <w:rPr>
          <w:highlight w:val="none"/>
        </w:rPr>
      </w:r>
    </w:p>
    <w:p>
      <w:pPr>
        <w:pStyle w:val="662"/>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（三）</w:t>
      </w:r>
      <w:r>
        <w:rPr>
          <w:rFonts w:hint="eastAsia" w:ascii="宋体" w:hAnsi="宋体"/>
          <w:b/>
          <w:color w:val="000000"/>
          <w:sz w:val="24"/>
          <w:szCs w:val="24"/>
          <w:highlight w:val="none"/>
          <w:lang w:val="en-US" w:eastAsia="zh-CN"/>
        </w:rPr>
        <w:t xml:space="preserve">价格分：30分，</w:t>
      </w:r>
      <w:r>
        <w:rPr>
          <w:rFonts w:hint="eastAsia" w:ascii="宋体" w:hAnsi="宋体"/>
          <w:b/>
          <w:color w:val="000000"/>
          <w:sz w:val="24"/>
          <w:szCs w:val="24"/>
          <w:highlight w:val="none"/>
        </w:rPr>
        <w:t xml:space="preserve">商务技术分：</w:t>
      </w:r>
      <w:r>
        <w:rPr>
          <w:rFonts w:hint="eastAsia" w:ascii="宋体" w:hAnsi="宋体"/>
          <w:b/>
          <w:color w:val="000000"/>
          <w:sz w:val="24"/>
          <w:szCs w:val="24"/>
          <w:highlight w:val="none"/>
          <w:lang w:val="en-US" w:eastAsia="zh-CN"/>
        </w:rPr>
        <w:t xml:space="preserve">70</w:t>
      </w:r>
      <w:r>
        <w:rPr>
          <w:rFonts w:hint="eastAsia" w:ascii="宋体" w:hAnsi="宋体"/>
          <w:b/>
          <w:color w:val="000000"/>
          <w:sz w:val="24"/>
          <w:szCs w:val="24"/>
          <w:highlight w:val="none"/>
        </w:rPr>
        <w:t xml:space="preserve">分</w:t>
      </w:r>
      <w:r>
        <w:rPr>
          <w:rFonts w:hint="eastAsia" w:ascii="宋体" w:hAnsi="宋体"/>
          <w:b/>
          <w:color w:val="000000"/>
          <w:sz w:val="24"/>
          <w:szCs w:val="24"/>
          <w:highlight w:val="none"/>
        </w:rPr>
      </w:r>
      <w:r>
        <w:rPr>
          <w:highlight w:val="none"/>
        </w:rPr>
      </w:r>
    </w:p>
    <w:p>
      <w:pPr>
        <w:pStyle w:val="662"/>
        <w:ind w:firstLine="480"/>
        <w:spacing w:line="560" w:lineRule="exact"/>
        <w:rPr>
          <w:rFonts w:hint="eastAsia" w:ascii="宋体" w:hAnsi="宋体" w:eastAsia="宋体" w:cs="宋体"/>
          <w:b/>
          <w:color w:val="000000"/>
          <w:sz w:val="24"/>
          <w:szCs w:val="24"/>
          <w:highlight w:val="none"/>
        </w:rPr>
      </w:pPr>
      <w:r>
        <w:rPr>
          <w:rFonts w:hint="eastAsia" w:ascii="宋体" w:hAnsi="宋体"/>
          <w:color w:val="000000"/>
          <w:sz w:val="24"/>
          <w:szCs w:val="24"/>
          <w:highlight w:val="none"/>
        </w:rPr>
        <w:t xml:space="preserve">各供应商得分为磋商小组成员评分的算术平均分，分值保留小数点后两位。</w:t>
      </w: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1"/>
      </w:tblGrid>
      <w:tr>
        <w:trPr/>
        <w:tc>
          <w:tcPr>
            <w:tcW w:w="9361" w:type="dxa"/>
            <w:vAlign w:val="top"/>
            <w:textDirection w:val="lrTb"/>
            <w:noWrap w:val="false"/>
          </w:tcPr>
          <w:p>
            <w:pPr>
              <w:pStyle w:val="662"/>
              <w:jc w:val="left"/>
              <w:spacing w:line="440" w:lineRule="exact"/>
              <w:rPr>
                <w:rFonts w:hint="eastAsia"/>
                <w:b/>
                <w:bCs/>
                <w:color w:val="000000"/>
                <w:sz w:val="24"/>
                <w:szCs w:val="24"/>
                <w:highlight w:val="none"/>
              </w:rPr>
            </w:pPr>
            <w:r>
              <w:rPr>
                <w:highlight w:val="none"/>
              </w:rPr>
            </w:r>
            <w:bookmarkStart w:id="180" w:name="_Hlk132631791"/>
            <w:r>
              <w:rPr>
                <w:rFonts w:hint="eastAsia"/>
                <w:b/>
                <w:bCs/>
                <w:color w:val="000000"/>
                <w:sz w:val="24"/>
                <w:szCs w:val="24"/>
                <w:highlight w:val="none"/>
              </w:rPr>
              <w:t xml:space="preserve">1、报价：30分</w:t>
            </w:r>
            <w:r>
              <w:rPr>
                <w:rFonts w:hint="eastAsia"/>
                <w:b/>
                <w:bCs/>
                <w:color w:val="000000"/>
                <w:sz w:val="24"/>
                <w:szCs w:val="24"/>
                <w:highlight w:val="none"/>
              </w:rPr>
            </w:r>
            <w:r>
              <w:rPr>
                <w:highlight w:val="none"/>
              </w:rPr>
            </w:r>
          </w:p>
          <w:p>
            <w:pPr>
              <w:pStyle w:val="662"/>
              <w:jc w:val="left"/>
              <w:spacing w:line="440" w:lineRule="exact"/>
              <w:rPr>
                <w:color w:val="000000"/>
                <w:sz w:val="24"/>
                <w:szCs w:val="24"/>
                <w:highlight w:val="none"/>
              </w:rPr>
            </w:pPr>
            <w:r>
              <w:rPr>
                <w:rFonts w:hint="eastAsia"/>
                <w:color w:val="000000"/>
                <w:sz w:val="24"/>
                <w:szCs w:val="24"/>
                <w:highlight w:val="none"/>
              </w:rPr>
              <w:t xml:space="preserve">初步评审合格的供应商的报价经勘误、缺漏项等因素修正后的最终价格作为该供应商评审价，评审价格最低者得30分，其它家得分=评审最低价/各家的评审价*30分。</w:t>
            </w:r>
            <w:r>
              <w:rPr>
                <w:color w:val="000000"/>
                <w:sz w:val="24"/>
                <w:szCs w:val="24"/>
                <w:highlight w:val="none"/>
              </w:rPr>
            </w:r>
            <w:r>
              <w:rPr>
                <w:highlight w:val="none"/>
              </w:rPr>
            </w:r>
          </w:p>
          <w:p>
            <w:pPr>
              <w:pStyle w:val="662"/>
              <w:keepLines/>
              <w:keepNext/>
              <w:spacing w:line="440" w:lineRule="exact"/>
              <w:rPr>
                <w:b/>
                <w:bCs/>
                <w:color w:val="000000"/>
                <w:sz w:val="24"/>
                <w:szCs w:val="24"/>
                <w:highlight w:val="none"/>
              </w:rPr>
            </w:pPr>
            <w:r>
              <w:rPr>
                <w:rFonts w:hint="eastAsia"/>
                <w:b/>
                <w:bCs/>
                <w:color w:val="000000"/>
                <w:sz w:val="24"/>
                <w:szCs w:val="24"/>
                <w:highlight w:val="none"/>
              </w:rPr>
              <w:t xml:space="preserve">2、技术、性能、配置：4</w:t>
            </w:r>
            <w:r>
              <w:rPr>
                <w:b/>
                <w:bCs/>
                <w:color w:val="000000"/>
                <w:sz w:val="24"/>
                <w:szCs w:val="24"/>
                <w:highlight w:val="none"/>
              </w:rPr>
              <w:t xml:space="preserve">5</w:t>
            </w:r>
            <w:r>
              <w:rPr>
                <w:rFonts w:hint="eastAsia"/>
                <w:b/>
                <w:bCs/>
                <w:color w:val="000000"/>
                <w:sz w:val="24"/>
                <w:szCs w:val="24"/>
                <w:highlight w:val="none"/>
              </w:rPr>
              <w:t xml:space="preserve">分</w:t>
            </w:r>
            <w:r>
              <w:rPr>
                <w:b/>
                <w:bCs/>
                <w:color w:val="000000"/>
                <w:sz w:val="24"/>
                <w:szCs w:val="24"/>
                <w:highlight w:val="none"/>
              </w:rPr>
            </w:r>
            <w:r>
              <w:rPr>
                <w:highlight w:val="none"/>
              </w:rPr>
            </w:r>
          </w:p>
          <w:p>
            <w:pPr>
              <w:pStyle w:val="662"/>
              <w:keepLines/>
              <w:keepNext/>
              <w:spacing w:line="440" w:lineRule="exact"/>
              <w:rPr>
                <w:rFonts w:hint="eastAsia"/>
                <w:color w:val="000000"/>
                <w:sz w:val="24"/>
                <w:szCs w:val="24"/>
                <w:highlight w:val="none"/>
              </w:rPr>
            </w:pPr>
            <w:r>
              <w:rPr>
                <w:rFonts w:hint="eastAsia"/>
                <w:color w:val="000000"/>
                <w:sz w:val="24"/>
                <w:szCs w:val="24"/>
                <w:highlight w:val="none"/>
              </w:rPr>
              <w:t xml:space="preserve">满足文件基本要求得4</w:t>
            </w:r>
            <w:r>
              <w:rPr>
                <w:color w:val="000000"/>
                <w:sz w:val="24"/>
                <w:szCs w:val="24"/>
                <w:highlight w:val="none"/>
              </w:rPr>
              <w:t xml:space="preserve">5</w:t>
            </w:r>
            <w:r>
              <w:rPr>
                <w:rFonts w:hint="eastAsia"/>
                <w:color w:val="000000"/>
                <w:sz w:val="24"/>
                <w:szCs w:val="24"/>
                <w:highlight w:val="none"/>
              </w:rPr>
              <w:t xml:space="preserve">分，</w:t>
            </w:r>
            <w:r>
              <w:rPr>
                <w:rFonts w:hint="eastAsia" w:ascii="宋体" w:hAnsi="宋体" w:eastAsia="宋体" w:cs="Times New Roman"/>
                <w:color w:val="000000"/>
                <w:sz w:val="24"/>
                <w:szCs w:val="22"/>
                <w:highlight w:val="none"/>
                <w:lang w:val="zh-CN" w:eastAsia="zh-CN" w:bidi="ar-SA"/>
              </w:rPr>
              <w:t xml:space="preserve">▲</w:t>
            </w:r>
            <w:r>
              <w:rPr>
                <w:rFonts w:hint="eastAsia"/>
                <w:color w:val="000000"/>
                <w:sz w:val="24"/>
                <w:szCs w:val="24"/>
                <w:highlight w:val="none"/>
              </w:rPr>
              <w:t xml:space="preserve">项为重要参数，每负偏离一项扣</w:t>
            </w:r>
            <w:r>
              <w:rPr>
                <w:color w:val="000000"/>
                <w:sz w:val="24"/>
                <w:szCs w:val="24"/>
                <w:highlight w:val="none"/>
              </w:rPr>
              <w:t xml:space="preserve">5</w:t>
            </w:r>
            <w:r>
              <w:rPr>
                <w:rFonts w:hint="eastAsia"/>
                <w:color w:val="000000"/>
                <w:sz w:val="24"/>
                <w:szCs w:val="24"/>
                <w:highlight w:val="none"/>
              </w:rPr>
              <w:t xml:space="preserve">分。其他技术参数每负偏离一项扣2分，</w:t>
            </w:r>
            <w:r>
              <w:rPr>
                <w:rFonts w:hint="eastAsia" w:ascii="宋体" w:hAnsi="宋体" w:cs="宋体"/>
                <w:color w:val="000000"/>
                <w:sz w:val="24"/>
                <w:szCs w:val="24"/>
                <w:highlight w:val="none"/>
              </w:rPr>
              <w:t xml:space="preserve">正偏离不加分，</w:t>
            </w:r>
            <w:r>
              <w:rPr>
                <w:rFonts w:hint="eastAsia"/>
                <w:color w:val="000000"/>
                <w:sz w:val="24"/>
                <w:szCs w:val="24"/>
                <w:highlight w:val="none"/>
              </w:rPr>
              <w:t xml:space="preserve">最高分4</w:t>
            </w:r>
            <w:r>
              <w:rPr>
                <w:color w:val="000000"/>
                <w:sz w:val="24"/>
                <w:szCs w:val="24"/>
                <w:highlight w:val="none"/>
              </w:rPr>
              <w:t xml:space="preserve">5</w:t>
            </w:r>
            <w:r>
              <w:rPr>
                <w:rFonts w:hint="eastAsia"/>
                <w:color w:val="000000"/>
                <w:sz w:val="24"/>
                <w:szCs w:val="24"/>
                <w:highlight w:val="none"/>
              </w:rPr>
              <w:t xml:space="preserve">分，最低分0分。</w:t>
            </w:r>
            <w:r>
              <w:rPr>
                <w:rFonts w:hint="eastAsia"/>
                <w:color w:val="000000"/>
                <w:sz w:val="24"/>
                <w:szCs w:val="24"/>
                <w:highlight w:val="none"/>
              </w:rPr>
            </w:r>
            <w:r>
              <w:rPr>
                <w:highlight w:val="none"/>
              </w:rPr>
            </w:r>
          </w:p>
          <w:p>
            <w:pPr>
              <w:pStyle w:val="662"/>
              <w:numPr>
                <w:ilvl w:val="0"/>
                <w:numId w:val="0"/>
              </w:numPr>
              <w:keepLines/>
              <w:keepNext/>
              <w:spacing w:line="440" w:lineRule="exact"/>
              <w:rPr>
                <w:rFonts w:hint="eastAsia"/>
                <w:color w:val="000000"/>
                <w:sz w:val="24"/>
                <w:szCs w:val="24"/>
                <w:highlight w:val="none"/>
              </w:rPr>
            </w:pPr>
            <w:r>
              <w:rPr>
                <w:rFonts w:hint="eastAsia"/>
                <w:color w:val="000000"/>
                <w:sz w:val="24"/>
                <w:szCs w:val="24"/>
                <w:highlight w:val="none"/>
              </w:rPr>
              <w:t xml:space="preserve">本项分值得分低于30分时，视为未实质性响应招标文件的技术要求，予以无效投标处理。</w:t>
            </w:r>
            <w:r>
              <w:rPr>
                <w:rFonts w:hint="eastAsia"/>
                <w:color w:val="000000"/>
                <w:sz w:val="24"/>
                <w:szCs w:val="24"/>
                <w:highlight w:val="none"/>
              </w:rPr>
            </w:r>
            <w:r>
              <w:rPr>
                <w:highlight w:val="none"/>
              </w:rPr>
            </w:r>
          </w:p>
          <w:p>
            <w:pPr>
              <w:pStyle w:val="662"/>
              <w:numPr>
                <w:ilvl w:val="0"/>
                <w:numId w:val="0"/>
              </w:numPr>
              <w:keepLines/>
              <w:keepNext/>
              <w:spacing w:line="440" w:lineRule="exact"/>
              <w:rPr>
                <w:color w:val="000000"/>
                <w:sz w:val="24"/>
                <w:szCs w:val="24"/>
                <w:highlight w:val="none"/>
              </w:rPr>
            </w:pPr>
            <w:r>
              <w:rPr>
                <w:rFonts w:hint="eastAsia"/>
                <w:color w:val="000000"/>
                <w:sz w:val="24"/>
                <w:szCs w:val="24"/>
                <w:highlight w:val="none"/>
              </w:rPr>
              <w:t xml:space="preserve">说明：供应商对于技术参数的响应，需提供制造商印发的技术白皮书或彩页资料等进行佐证或提供其他证明材料；对于投标过程中出现的虚假响应及证明材料不足以认定的情形，经评标委员会评定可按无效响应处理。</w:t>
            </w:r>
            <w:r>
              <w:rPr>
                <w:color w:val="000000"/>
                <w:sz w:val="24"/>
                <w:szCs w:val="24"/>
                <w:highlight w:val="none"/>
              </w:rPr>
            </w:r>
            <w:r>
              <w:rPr>
                <w:highlight w:val="none"/>
              </w:rPr>
            </w:r>
          </w:p>
          <w:p>
            <w:pPr>
              <w:pStyle w:val="662"/>
              <w:spacing w:line="440" w:lineRule="exact"/>
              <w:rPr>
                <w:b/>
                <w:bCs/>
                <w:color w:val="000000"/>
                <w:sz w:val="24"/>
                <w:szCs w:val="24"/>
                <w:highlight w:val="none"/>
              </w:rPr>
            </w:pPr>
            <w:r>
              <w:rPr>
                <w:rFonts w:hint="eastAsia"/>
                <w:b/>
                <w:bCs/>
                <w:color w:val="000000"/>
                <w:sz w:val="24"/>
                <w:szCs w:val="24"/>
                <w:highlight w:val="none"/>
              </w:rPr>
              <w:t xml:space="preserve">3、设备安装培训等方案：</w:t>
            </w:r>
            <w:r>
              <w:rPr>
                <w:rFonts w:hint="eastAsia"/>
                <w:b/>
                <w:bCs/>
                <w:color w:val="000000"/>
                <w:sz w:val="24"/>
                <w:szCs w:val="24"/>
                <w:highlight w:val="none"/>
                <w:lang w:val="en-US" w:eastAsia="zh-CN"/>
              </w:rPr>
              <w:t xml:space="preserve">6</w:t>
            </w:r>
            <w:r>
              <w:rPr>
                <w:rFonts w:hint="eastAsia"/>
                <w:b/>
                <w:bCs/>
                <w:color w:val="000000"/>
                <w:sz w:val="24"/>
                <w:szCs w:val="24"/>
                <w:highlight w:val="none"/>
              </w:rPr>
              <w:t xml:space="preserve">分</w:t>
            </w:r>
            <w:r>
              <w:rPr>
                <w:b/>
                <w:bCs/>
                <w:color w:val="000000"/>
                <w:sz w:val="24"/>
                <w:szCs w:val="24"/>
                <w:highlight w:val="none"/>
              </w:rPr>
            </w:r>
            <w:r>
              <w:rPr>
                <w:highlight w:val="none"/>
              </w:rPr>
            </w:r>
          </w:p>
          <w:p>
            <w:pPr>
              <w:pStyle w:val="662"/>
              <w:spacing w:line="440" w:lineRule="exact"/>
              <w:rPr>
                <w:color w:val="000000"/>
                <w:sz w:val="24"/>
                <w:szCs w:val="24"/>
                <w:highlight w:val="none"/>
              </w:rPr>
            </w:pPr>
            <w:r>
              <w:rPr>
                <w:rFonts w:hint="eastAsia"/>
                <w:color w:val="000000"/>
                <w:sz w:val="24"/>
                <w:szCs w:val="24"/>
                <w:highlight w:val="none"/>
              </w:rPr>
              <w:t xml:space="preserve">供应商根据项目具体的实施情况制定整体实施方案、进度安排、设备使用维护、培训方案、验收方案。方案全面有效合理可行性强的得</w:t>
            </w:r>
            <w:r>
              <w:rPr>
                <w:rFonts w:hint="eastAsia"/>
                <w:color w:val="000000"/>
                <w:sz w:val="24"/>
                <w:szCs w:val="24"/>
                <w:highlight w:val="none"/>
                <w:lang w:val="en-US" w:eastAsia="zh-CN"/>
              </w:rPr>
              <w:t xml:space="preserve">6</w:t>
            </w:r>
            <w:r>
              <w:rPr>
                <w:rFonts w:hint="eastAsia"/>
                <w:color w:val="000000"/>
                <w:sz w:val="24"/>
                <w:szCs w:val="24"/>
                <w:highlight w:val="none"/>
              </w:rPr>
              <w:t xml:space="preserve">分；方案较完善较全面可行性较强的得</w:t>
            </w:r>
            <w:r>
              <w:rPr>
                <w:rFonts w:hint="eastAsia"/>
                <w:color w:val="000000"/>
                <w:sz w:val="24"/>
                <w:szCs w:val="24"/>
                <w:highlight w:val="none"/>
                <w:lang w:val="en-US" w:eastAsia="zh-CN"/>
              </w:rPr>
              <w:t xml:space="preserve">3</w:t>
            </w:r>
            <w:r>
              <w:rPr>
                <w:rFonts w:hint="eastAsia"/>
                <w:color w:val="000000"/>
                <w:sz w:val="24"/>
                <w:szCs w:val="24"/>
                <w:highlight w:val="none"/>
              </w:rPr>
              <w:t xml:space="preserve">分；方案简单有缺失未踩点编写可行性不强的得1分；不提供不得分。</w:t>
            </w:r>
            <w:r>
              <w:rPr>
                <w:color w:val="000000"/>
                <w:sz w:val="24"/>
                <w:szCs w:val="24"/>
                <w:highlight w:val="none"/>
              </w:rPr>
            </w:r>
            <w:r>
              <w:rPr>
                <w:highlight w:val="none"/>
              </w:rPr>
            </w:r>
          </w:p>
          <w:p>
            <w:pPr>
              <w:pStyle w:val="662"/>
              <w:keepLines/>
              <w:keepNext/>
              <w:spacing w:line="440" w:lineRule="exact"/>
              <w:rPr>
                <w:b/>
                <w:bCs/>
                <w:color w:val="000000"/>
                <w:sz w:val="24"/>
                <w:szCs w:val="24"/>
                <w:highlight w:val="none"/>
              </w:rPr>
            </w:pPr>
            <w:r>
              <w:rPr>
                <w:rFonts w:hint="eastAsia"/>
                <w:b/>
                <w:bCs/>
                <w:color w:val="000000"/>
                <w:sz w:val="24"/>
                <w:szCs w:val="24"/>
                <w:highlight w:val="none"/>
              </w:rPr>
              <w:t xml:space="preserve">4、质保期：</w:t>
            </w: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分</w:t>
            </w:r>
            <w:r>
              <w:rPr>
                <w:b/>
                <w:bCs/>
                <w:color w:val="000000"/>
                <w:sz w:val="24"/>
                <w:szCs w:val="24"/>
                <w:highlight w:val="none"/>
              </w:rPr>
            </w:r>
            <w:r>
              <w:rPr>
                <w:highlight w:val="none"/>
              </w:rPr>
            </w:r>
          </w:p>
          <w:p>
            <w:pPr>
              <w:pStyle w:val="662"/>
              <w:keepLines/>
              <w:keepNext/>
              <w:spacing w:line="440" w:lineRule="exact"/>
              <w:rPr>
                <w:color w:val="000000"/>
                <w:sz w:val="24"/>
                <w:szCs w:val="24"/>
                <w:highlight w:val="none"/>
              </w:rPr>
            </w:pPr>
            <w:r>
              <w:rPr>
                <w:rFonts w:hint="eastAsia"/>
                <w:color w:val="000000"/>
                <w:sz w:val="24"/>
                <w:szCs w:val="24"/>
                <w:highlight w:val="none"/>
              </w:rPr>
              <w:t xml:space="preserve">满足文件最低要求的</w:t>
            </w:r>
            <w:r>
              <w:rPr>
                <w:rFonts w:hint="eastAsia"/>
                <w:color w:val="000000"/>
                <w:sz w:val="24"/>
                <w:szCs w:val="24"/>
                <w:highlight w:val="none"/>
                <w:lang w:val="en-US" w:eastAsia="zh-CN"/>
              </w:rPr>
              <w:t xml:space="preserve">不得</w:t>
            </w:r>
            <w:r>
              <w:rPr>
                <w:rFonts w:hint="eastAsia"/>
                <w:color w:val="000000"/>
                <w:sz w:val="24"/>
                <w:szCs w:val="24"/>
                <w:highlight w:val="none"/>
              </w:rPr>
              <w:t xml:space="preserve">分；每增加</w:t>
            </w:r>
            <w:r>
              <w:rPr>
                <w:color w:val="000000"/>
                <w:sz w:val="24"/>
                <w:szCs w:val="24"/>
                <w:highlight w:val="none"/>
              </w:rPr>
              <w:t xml:space="preserve">1</w:t>
            </w:r>
            <w:r>
              <w:rPr>
                <w:rFonts w:hint="eastAsia"/>
                <w:color w:val="000000"/>
                <w:sz w:val="24"/>
                <w:szCs w:val="24"/>
                <w:highlight w:val="none"/>
              </w:rPr>
              <w:t xml:space="preserve">年质保加</w:t>
            </w:r>
            <w:r>
              <w:rPr>
                <w:rFonts w:hint="eastAsia"/>
                <w:color w:val="000000"/>
                <w:sz w:val="24"/>
                <w:szCs w:val="24"/>
                <w:highlight w:val="none"/>
                <w:lang w:val="en-US" w:eastAsia="zh-CN"/>
              </w:rPr>
              <w:t xml:space="preserve">1.5</w:t>
            </w:r>
            <w:r>
              <w:rPr>
                <w:rFonts w:hint="eastAsia"/>
                <w:color w:val="000000"/>
                <w:sz w:val="24"/>
                <w:szCs w:val="24"/>
                <w:highlight w:val="none"/>
              </w:rPr>
              <w:t xml:space="preserve">分，满分</w:t>
            </w:r>
            <w:r>
              <w:rPr>
                <w:rFonts w:hint="eastAsia"/>
                <w:color w:val="000000"/>
                <w:sz w:val="24"/>
                <w:szCs w:val="24"/>
                <w:highlight w:val="none"/>
                <w:lang w:val="en-US" w:eastAsia="zh-CN"/>
              </w:rPr>
              <w:t xml:space="preserve">3</w:t>
            </w:r>
            <w:r>
              <w:rPr>
                <w:rFonts w:hint="eastAsia"/>
                <w:color w:val="000000"/>
                <w:sz w:val="24"/>
                <w:szCs w:val="24"/>
                <w:highlight w:val="none"/>
              </w:rPr>
              <w:t xml:space="preserve">分；不满足基本要求不得分。若质保要求为终身质保，则评委根据售后服务方案中保修的响应性、及时性等综合打分。</w:t>
            </w:r>
            <w:r>
              <w:rPr>
                <w:color w:val="000000"/>
                <w:sz w:val="24"/>
                <w:szCs w:val="24"/>
                <w:highlight w:val="none"/>
              </w:rPr>
            </w:r>
            <w:r>
              <w:rPr>
                <w:highlight w:val="none"/>
              </w:rPr>
            </w:r>
          </w:p>
          <w:p>
            <w:pPr>
              <w:pStyle w:val="662"/>
              <w:keepLines/>
              <w:keepNext/>
              <w:spacing w:line="440" w:lineRule="exact"/>
              <w:rPr>
                <w:b/>
                <w:bCs/>
                <w:color w:val="000000"/>
                <w:sz w:val="24"/>
                <w:szCs w:val="24"/>
                <w:highlight w:val="none"/>
              </w:rPr>
            </w:pPr>
            <w:r>
              <w:rPr>
                <w:rFonts w:hint="eastAsia"/>
                <w:b/>
                <w:bCs/>
                <w:color w:val="000000"/>
                <w:sz w:val="24"/>
                <w:szCs w:val="24"/>
                <w:highlight w:val="none"/>
              </w:rPr>
              <w:t xml:space="preserve">5、售后服务方案：</w:t>
            </w:r>
            <w:r>
              <w:rPr>
                <w:b/>
                <w:bCs/>
                <w:color w:val="000000"/>
                <w:sz w:val="24"/>
                <w:szCs w:val="24"/>
                <w:highlight w:val="none"/>
              </w:rPr>
              <w:t xml:space="preserve">6</w:t>
            </w:r>
            <w:r>
              <w:rPr>
                <w:rFonts w:hint="eastAsia"/>
                <w:b/>
                <w:bCs/>
                <w:color w:val="000000"/>
                <w:sz w:val="24"/>
                <w:szCs w:val="24"/>
                <w:highlight w:val="none"/>
              </w:rPr>
              <w:t xml:space="preserve">分</w:t>
            </w:r>
            <w:r>
              <w:rPr>
                <w:b/>
                <w:bCs/>
                <w:color w:val="000000"/>
                <w:sz w:val="24"/>
                <w:szCs w:val="24"/>
                <w:highlight w:val="none"/>
              </w:rPr>
            </w:r>
            <w:r>
              <w:rPr>
                <w:highlight w:val="none"/>
              </w:rPr>
            </w:r>
          </w:p>
          <w:p>
            <w:pPr>
              <w:pStyle w:val="662"/>
              <w:keepLines/>
              <w:keepNext/>
              <w:spacing w:line="360" w:lineRule="auto"/>
              <w:rPr>
                <w:color w:val="000000"/>
                <w:sz w:val="24"/>
                <w:szCs w:val="24"/>
                <w:highlight w:val="none"/>
              </w:rPr>
            </w:pPr>
            <w:r>
              <w:rPr>
                <w:rFonts w:hint="eastAsia"/>
                <w:color w:val="000000"/>
                <w:sz w:val="24"/>
                <w:szCs w:val="24"/>
                <w:highlight w:val="none"/>
              </w:rPr>
              <w:t xml:space="preserve">供应商根据项目具体特点制定项目的售后服务、应急方案、响应时间等编写服务方案，方案全面有效合理可行性强的得6分；方案较完善较全面有一定可行性的得3分；方案简单有缺失未踩点编写的得1分；不提供不得分。</w:t>
            </w:r>
            <w:r>
              <w:rPr>
                <w:color w:val="000000"/>
                <w:sz w:val="24"/>
                <w:szCs w:val="24"/>
                <w:highlight w:val="none"/>
              </w:rPr>
            </w:r>
            <w:r>
              <w:rPr>
                <w:highlight w:val="none"/>
              </w:rPr>
            </w:r>
          </w:p>
          <w:p>
            <w:pPr>
              <w:pStyle w:val="662"/>
              <w:keepLines/>
              <w:keepNext/>
              <w:spacing w:line="440" w:lineRule="exact"/>
              <w:rPr>
                <w:b/>
                <w:bCs/>
                <w:color w:val="000000"/>
                <w:sz w:val="24"/>
                <w:szCs w:val="24"/>
                <w:highlight w:val="none"/>
              </w:rPr>
            </w:pPr>
            <w:r>
              <w:rPr>
                <w:rFonts w:hint="eastAsia"/>
                <w:b/>
                <w:bCs/>
                <w:color w:val="000000"/>
                <w:sz w:val="24"/>
                <w:szCs w:val="24"/>
                <w:highlight w:val="none"/>
              </w:rPr>
              <w:t xml:space="preserve">6、项目实施、验收方案：</w:t>
            </w:r>
            <w:r>
              <w:rPr>
                <w:rFonts w:hint="eastAsia"/>
                <w:b/>
                <w:bCs/>
                <w:color w:val="000000"/>
                <w:sz w:val="24"/>
                <w:szCs w:val="24"/>
                <w:highlight w:val="none"/>
                <w:lang w:val="en-US" w:eastAsia="zh-CN"/>
              </w:rPr>
              <w:t xml:space="preserve">10</w:t>
            </w:r>
            <w:r>
              <w:rPr>
                <w:rFonts w:hint="eastAsia"/>
                <w:b/>
                <w:bCs/>
                <w:color w:val="000000"/>
                <w:sz w:val="24"/>
                <w:szCs w:val="24"/>
                <w:highlight w:val="none"/>
              </w:rPr>
              <w:t xml:space="preserve">分</w:t>
            </w:r>
            <w:r>
              <w:rPr>
                <w:b/>
                <w:bCs/>
                <w:color w:val="000000"/>
                <w:sz w:val="24"/>
                <w:szCs w:val="24"/>
                <w:highlight w:val="none"/>
              </w:rPr>
            </w:r>
            <w:r>
              <w:rPr>
                <w:highlight w:val="none"/>
              </w:rPr>
            </w:r>
          </w:p>
          <w:p>
            <w:pPr>
              <w:pStyle w:val="662"/>
              <w:spacing w:line="400" w:lineRule="exact"/>
              <w:rPr>
                <w:rFonts w:hint="eastAsia"/>
                <w:color w:val="000000"/>
                <w:sz w:val="24"/>
                <w:szCs w:val="24"/>
                <w:highlight w:val="none"/>
              </w:rPr>
            </w:pPr>
            <w:r>
              <w:rPr>
                <w:rFonts w:hint="eastAsia"/>
                <w:color w:val="000000"/>
                <w:sz w:val="24"/>
                <w:szCs w:val="24"/>
                <w:highlight w:val="none"/>
                <w:lang w:val="en-US" w:eastAsia="zh-CN"/>
              </w:rPr>
              <w:t xml:space="preserve">6.1</w:t>
            </w:r>
            <w:r>
              <w:rPr>
                <w:rFonts w:hint="eastAsia"/>
                <w:color w:val="000000"/>
                <w:sz w:val="24"/>
                <w:szCs w:val="24"/>
                <w:highlight w:val="none"/>
              </w:rPr>
              <w:t xml:space="preserve">项目验收方案：根据投标供应商提供的针对本项目整体实施方案（包括但不限于项目管理团队人员技术力量、设置分工情况、技术指导方案、操作培训及进度安排等）进行综合评审：实施方案明确、思路清晰、内容具体详实、便于操作，项目管理团队人员技术力量雄厚、分工设置合理、操作培训及进度安排科学合理的，得</w:t>
            </w:r>
            <w:r>
              <w:rPr>
                <w:rFonts w:hint="eastAsia"/>
                <w:color w:val="000000"/>
                <w:sz w:val="24"/>
                <w:szCs w:val="24"/>
                <w:highlight w:val="none"/>
                <w:lang w:val="en-US" w:eastAsia="zh-CN"/>
              </w:rPr>
              <w:t xml:space="preserve">5</w:t>
            </w:r>
            <w:r>
              <w:rPr>
                <w:rFonts w:hint="eastAsia"/>
                <w:color w:val="000000"/>
                <w:sz w:val="24"/>
                <w:szCs w:val="24"/>
                <w:highlight w:val="none"/>
              </w:rPr>
              <w:t xml:space="preserve">分；实施方案明确、思路清晰、内容具体但不够详实，有一定可操作性，项目管理团队人员技术力量能够满足需求、分工设置、操作培训及进度安排较合理的，得</w:t>
            </w:r>
            <w:r>
              <w:rPr>
                <w:rFonts w:hint="eastAsia"/>
                <w:color w:val="000000"/>
                <w:sz w:val="24"/>
                <w:szCs w:val="24"/>
                <w:highlight w:val="none"/>
                <w:lang w:val="en-US" w:eastAsia="zh-CN"/>
              </w:rPr>
              <w:t xml:space="preserve">3</w:t>
            </w:r>
            <w:r>
              <w:rPr>
                <w:rFonts w:hint="eastAsia"/>
                <w:color w:val="000000"/>
                <w:sz w:val="24"/>
                <w:szCs w:val="24"/>
                <w:highlight w:val="none"/>
              </w:rPr>
              <w:t xml:space="preserve">分；实施方案、思路阐述不够清晰，项目管理团队人员技术力量薄弱，分工设置、操作培训及进度安排简单的，得1分；未提供方案不得分。</w:t>
            </w:r>
            <w:r>
              <w:rPr>
                <w:rFonts w:hint="eastAsia"/>
                <w:color w:val="000000"/>
                <w:sz w:val="24"/>
                <w:szCs w:val="24"/>
                <w:highlight w:val="none"/>
              </w:rPr>
            </w:r>
            <w:r>
              <w:rPr>
                <w:highlight w:val="none"/>
              </w:rPr>
            </w:r>
          </w:p>
          <w:p>
            <w:pPr>
              <w:pStyle w:val="662"/>
              <w:spacing w:line="400" w:lineRule="exact"/>
              <w:rPr>
                <w:rFonts w:hint="eastAsia" w:ascii="宋体" w:hAnsi="宋体"/>
                <w:color w:val="000000"/>
                <w:szCs w:val="24"/>
                <w:highlight w:val="none"/>
              </w:rPr>
            </w:pPr>
            <w:r>
              <w:rPr>
                <w:rFonts w:hint="eastAsia"/>
                <w:color w:val="000000"/>
                <w:sz w:val="24"/>
                <w:szCs w:val="24"/>
                <w:highlight w:val="none"/>
                <w:lang w:val="en-US" w:eastAsia="zh-CN"/>
              </w:rPr>
              <w:t xml:space="preserve">6.2</w:t>
            </w:r>
            <w:r>
              <w:rPr>
                <w:rFonts w:hint="eastAsia"/>
                <w:color w:val="000000"/>
                <w:sz w:val="24"/>
                <w:szCs w:val="24"/>
                <w:highlight w:val="none"/>
              </w:rPr>
              <w:t xml:space="preserve">项目人员安排，实施方案；故障响应时间、服务方案、系统重大故障的应急预案以及措施安排。根据方案全面有效合理可行性强的得</w:t>
            </w:r>
            <w:r>
              <w:rPr>
                <w:rFonts w:hint="eastAsia"/>
                <w:color w:val="000000"/>
                <w:sz w:val="24"/>
                <w:szCs w:val="24"/>
                <w:highlight w:val="none"/>
                <w:lang w:val="en-US" w:eastAsia="zh-CN"/>
              </w:rPr>
              <w:t xml:space="preserve">5</w:t>
            </w:r>
            <w:r>
              <w:rPr>
                <w:rFonts w:hint="eastAsia"/>
                <w:color w:val="000000"/>
                <w:sz w:val="24"/>
                <w:szCs w:val="24"/>
                <w:highlight w:val="none"/>
              </w:rPr>
              <w:t xml:space="preserve">分；方案较完善较全面可行性较强的得</w:t>
            </w:r>
            <w:r>
              <w:rPr>
                <w:rFonts w:hint="eastAsia"/>
                <w:color w:val="000000"/>
                <w:sz w:val="24"/>
                <w:szCs w:val="24"/>
                <w:highlight w:val="none"/>
                <w:lang w:val="en-US" w:eastAsia="zh-CN"/>
              </w:rPr>
              <w:t xml:space="preserve">3</w:t>
            </w:r>
            <w:r>
              <w:rPr>
                <w:rFonts w:hint="eastAsia"/>
                <w:color w:val="000000"/>
                <w:sz w:val="24"/>
                <w:szCs w:val="24"/>
                <w:highlight w:val="none"/>
              </w:rPr>
              <w:t xml:space="preserve">分；方案简单未踩点编写可行性不太强的得1分；不提供不得分。</w:t>
            </w:r>
            <w:r>
              <w:rPr>
                <w:rFonts w:hint="eastAsia" w:ascii="宋体" w:hAnsi="宋体"/>
                <w:color w:val="000000"/>
                <w:szCs w:val="24"/>
                <w:highlight w:val="none"/>
              </w:rPr>
            </w:r>
            <w:r>
              <w:rPr>
                <w:highlight w:val="none"/>
              </w:rPr>
            </w:r>
          </w:p>
        </w:tc>
      </w:tr>
    </w:tbl>
    <w:p>
      <w:pPr>
        <w:pStyle w:val="662"/>
        <w:ind w:firstLine="482"/>
        <w:spacing w:line="560" w:lineRule="exact"/>
        <w:rPr>
          <w:rFonts w:hint="eastAsia" w:ascii="宋体" w:hAnsi="宋体"/>
          <w:b/>
          <w:color w:val="000000"/>
          <w:sz w:val="24"/>
          <w:szCs w:val="24"/>
          <w:highlight w:val="none"/>
        </w:rPr>
      </w:pPr>
      <w:r>
        <w:rPr>
          <w:highlight w:val="none"/>
        </w:rPr>
      </w:r>
      <w:bookmarkEnd w:id="180"/>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lang w:eastAsia="zh-CN"/>
        </w:rPr>
        <w:t xml:space="preserve">）</w:t>
      </w: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1、小微型企业价格扣除</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（1）对小型和微型企业产品给予</w:t>
      </w:r>
      <w:r>
        <w:rPr>
          <w:rFonts w:hint="eastAsia" w:ascii="宋体" w:hAnsi="宋体"/>
          <w:bCs/>
          <w:sz w:val="24"/>
          <w:highlight w:val="none"/>
        </w:rPr>
        <w:t xml:space="preserve">10</w:t>
      </w:r>
      <w:r>
        <w:rPr>
          <w:rFonts w:ascii="宋体" w:hAnsi="宋体"/>
          <w:bCs/>
          <w:sz w:val="24"/>
          <w:highlight w:val="none"/>
        </w:rPr>
        <w:t xml:space="preserve">%的扣除价格，用扣除后的价格参与评审。</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（2）供应商需按照《政府采购促进中小企业发展管理办法》（财库﹝2020﹞46 号）的规定提供相应的《中小企业声明函》。</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（3）企业标准请参照《关于印发中小企业划型标准规定的通知》（工信部联企业[2011]300号）文件规定自行填写。</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2、残疾人福利单位价格扣除</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（1）对残疾人福利性单位，给予</w:t>
      </w:r>
      <w:r>
        <w:rPr>
          <w:rFonts w:hint="eastAsia" w:ascii="宋体" w:hAnsi="宋体"/>
          <w:bCs/>
          <w:sz w:val="24"/>
          <w:highlight w:val="none"/>
        </w:rPr>
        <w:t xml:space="preserve">10</w:t>
      </w:r>
      <w:r>
        <w:rPr>
          <w:rFonts w:ascii="宋体" w:hAnsi="宋体"/>
          <w:bCs/>
          <w:sz w:val="24"/>
          <w:highlight w:val="none"/>
        </w:rPr>
        <w:t xml:space="preserve">%的价格扣除，用扣除后的价格参与评审。</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（2）残疾人福利单位需按照采购文件的要求提供《残疾人福利性单位声明函》。</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3、监狱和戒毒企业价格扣除</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（1）对监狱和戒毒企业（简称监狱企业）给予</w:t>
      </w:r>
      <w:r>
        <w:rPr>
          <w:rFonts w:hint="eastAsia" w:ascii="宋体" w:hAnsi="宋体"/>
          <w:bCs/>
          <w:sz w:val="24"/>
          <w:highlight w:val="none"/>
        </w:rPr>
        <w:t xml:space="preserve">10</w:t>
      </w:r>
      <w:r>
        <w:rPr>
          <w:rFonts w:ascii="宋体" w:hAnsi="宋体"/>
          <w:bCs/>
          <w:sz w:val="24"/>
          <w:highlight w:val="none"/>
        </w:rPr>
        <w:t xml:space="preserve">%的价格扣除，用扣除后的价格参与评审。</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（3）监狱企业标准请参照《关于政府采购支持监狱企业发展有关问题的通知》（财库[2014]68号）。</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ascii="宋体" w:hAnsi="宋体"/>
          <w:bCs/>
          <w:sz w:val="24"/>
          <w:highlight w:val="none"/>
        </w:rPr>
        <w:t xml:space="preserve">4、残疾人福利单位、监狱企业属于小型、微型企业的，不重复享受政策。</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hint="eastAsia" w:ascii="宋体" w:hAnsi="宋体"/>
          <w:bCs/>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hint="eastAsia" w:ascii="宋体" w:hAnsi="宋体"/>
          <w:bCs/>
          <w:sz w:val="24"/>
          <w:highlight w:val="none"/>
        </w:rPr>
        <w:t xml:space="preserve">6、联合体各方均为小型、微型企业（残疾人福利单位、监狱企业）的，联合体享受上述同类价格扣除，用扣除后的价格参与评审。</w:t>
      </w:r>
      <w:r>
        <w:rPr>
          <w:rFonts w:ascii="宋体" w:hAnsi="宋体"/>
          <w:bCs/>
          <w:sz w:val="24"/>
          <w:highlight w:val="none"/>
        </w:rPr>
      </w:r>
      <w:r>
        <w:rPr>
          <w:highlight w:val="none"/>
        </w:rPr>
      </w:r>
    </w:p>
    <w:p>
      <w:pPr>
        <w:pStyle w:val="662"/>
        <w:ind w:firstLine="570"/>
        <w:spacing w:line="420" w:lineRule="exact"/>
        <w:rPr>
          <w:rFonts w:ascii="宋体" w:hAnsi="宋体"/>
          <w:bCs/>
          <w:sz w:val="24"/>
          <w:highlight w:val="none"/>
        </w:rPr>
      </w:pPr>
      <w:r>
        <w:rPr>
          <w:rFonts w:hint="eastAsia" w:ascii="宋体" w:hAnsi="宋体"/>
          <w:bCs/>
          <w:sz w:val="24"/>
          <w:highlight w:val="none"/>
        </w:rPr>
        <w:t xml:space="preserve">7、对国家认定的节能产品和环保产品分别给予投标价的5%价格扣除，用扣除后的价格参与评审（特别说明：节能、环保产品必须纳入“中国政府采购网</w:t>
      </w:r>
      <w:r>
        <w:rPr>
          <w:rFonts w:hint="eastAsia" w:ascii="宋体" w:hAnsi="宋体"/>
          <w:bCs/>
          <w:sz w:val="24"/>
          <w:highlight w:val="none"/>
        </w:rPr>
        <w:fldChar w:fldCharType="begin"/>
      </w:r>
      <w:r>
        <w:rPr>
          <w:rFonts w:hint="eastAsia" w:ascii="宋体" w:hAnsi="宋体"/>
          <w:bCs/>
          <w:sz w:val="24"/>
          <w:highlight w:val="none"/>
        </w:rPr>
        <w:instrText xml:space="preserve"> HYPERLINK "http://www.ccgp.gov.cn”等官方网站“节能、环保产品查询系统”" \t "_blank"</w:instrText>
      </w:r>
      <w:r>
        <w:rPr>
          <w:rFonts w:hint="eastAsia" w:ascii="宋体" w:hAnsi="宋体"/>
          <w:bCs/>
          <w:sz w:val="24"/>
          <w:highlight w:val="none"/>
        </w:rPr>
        <w:fldChar w:fldCharType="separate"/>
      </w:r>
      <w:r>
        <w:rPr>
          <w:rFonts w:hint="eastAsia" w:ascii="宋体" w:hAnsi="宋体"/>
          <w:bCs/>
          <w:sz w:val="24"/>
          <w:highlight w:val="none"/>
        </w:rPr>
        <w:t xml:space="preserve">http://www.ccgp.gov.cn”等官方网站“节能、环保产品查询系统”</w:t>
      </w:r>
      <w:r>
        <w:rPr>
          <w:rFonts w:hint="eastAsia" w:ascii="宋体" w:hAnsi="宋体"/>
          <w:bCs/>
          <w:sz w:val="24"/>
          <w:highlight w:val="none"/>
        </w:rPr>
        <w:fldChar w:fldCharType="end"/>
      </w:r>
      <w:r>
        <w:rPr>
          <w:rFonts w:hint="eastAsia" w:ascii="宋体" w:hAnsi="宋体"/>
          <w:bCs/>
          <w:sz w:val="24"/>
          <w:highlight w:val="none"/>
        </w:rPr>
        <w:t xml:space="preserve">，且以提供的证书复印件为准）</w:t>
      </w:r>
      <w:r>
        <w:rPr>
          <w:rFonts w:ascii="宋体" w:hAnsi="宋体"/>
          <w:bCs/>
          <w:sz w:val="24"/>
          <w:highlight w:val="none"/>
        </w:rPr>
      </w:r>
      <w:r>
        <w:rPr>
          <w:highlight w:val="none"/>
        </w:rPr>
      </w:r>
    </w:p>
    <w:p>
      <w:pPr>
        <w:pStyle w:val="662"/>
        <w:ind w:firstLine="480"/>
        <w:jc w:val="left"/>
        <w:spacing w:line="420" w:lineRule="exact"/>
        <w:rPr>
          <w:rFonts w:ascii="宋体" w:hAnsi="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rPr>
          <w:rFonts w:ascii="宋体" w:hAnsi="宋体"/>
          <w:sz w:val="24"/>
          <w:highlight w:val="none"/>
        </w:rPr>
      </w:r>
      <w:r>
        <w:rPr>
          <w:highlight w:val="none"/>
        </w:rPr>
      </w:r>
    </w:p>
    <w:p>
      <w:pPr>
        <w:pStyle w:val="662"/>
        <w:ind w:firstLine="480"/>
        <w:spacing w:line="420" w:lineRule="exact"/>
        <w:rPr>
          <w:rFonts w:ascii="宋体" w:hAnsi="宋体"/>
          <w:bCs/>
          <w:sz w:val="24"/>
          <w:highlight w:val="none"/>
        </w:rPr>
      </w:pPr>
      <w:r>
        <w:rPr>
          <w:rFonts w:hint="eastAsia" w:ascii="宋体" w:hAnsi="宋体"/>
          <w:bCs/>
          <w:sz w:val="24"/>
          <w:highlight w:val="none"/>
        </w:rPr>
        <w:t xml:space="preserve">9、专门面向中小企业采购的项目或者采购包，不再执行价格评审优惠的扶持政策。</w:t>
      </w:r>
      <w:r>
        <w:rPr>
          <w:rFonts w:ascii="宋体" w:hAnsi="宋体"/>
          <w:bCs/>
          <w:sz w:val="24"/>
          <w:highlight w:val="none"/>
        </w:rPr>
      </w:r>
      <w:r>
        <w:rPr>
          <w:highlight w:val="none"/>
        </w:rPr>
      </w:r>
    </w:p>
    <w:p>
      <w:pPr>
        <w:pStyle w:val="662"/>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br w:type="page" w:clear="all"/>
      </w: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4"/>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color w:val="000000"/>
          <w:highlight w:val="none"/>
        </w:rPr>
      </w:pPr>
      <w:r>
        <w:rPr>
          <w:rFonts w:hint="eastAsia"/>
          <w:color w:val="000000"/>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bookmarkEnd w:id="172"/>
      <w:r>
        <w:rPr>
          <w:highlight w:val="none"/>
        </w:rPr>
      </w:r>
      <w:bookmarkEnd w:id="173"/>
      <w:r>
        <w:rPr>
          <w:highlight w:val="none"/>
        </w:rPr>
      </w:r>
      <w:bookmarkEnd w:id="179"/>
      <w:r>
        <w:rPr>
          <w:rFonts w:hint="eastAsia" w:ascii="黑体" w:hAnsi="Times New Roman" w:eastAsia="黑体"/>
          <w:bCs/>
          <w:color w:val="000000"/>
          <w:sz w:val="44"/>
          <w:szCs w:val="28"/>
          <w:highlight w:val="none"/>
        </w:rPr>
        <w:t xml:space="preserve">响应文件格式</w:t>
      </w:r>
      <w:r>
        <w:rPr>
          <w:rFonts w:hint="eastAsia" w:ascii="黑体" w:hAnsi="Times New Roman" w:eastAsia="黑体"/>
          <w:bCs/>
          <w:color w:val="000000"/>
          <w:sz w:val="44"/>
          <w:szCs w:val="28"/>
          <w:highlight w:val="none"/>
        </w:rPr>
      </w:r>
      <w:r>
        <w:rPr>
          <w:highlight w:val="none"/>
        </w:rPr>
      </w:r>
    </w:p>
    <w:p>
      <w:pPr>
        <w:pStyle w:val="662"/>
        <w:jc w:val="center"/>
        <w:rPr>
          <w:rFonts w:hint="eastAsia" w:ascii="宋体" w:hAnsi="宋体"/>
          <w:b/>
          <w:color w:val="000000"/>
          <w:sz w:val="72"/>
          <w:szCs w:val="21"/>
          <w:highlight w:val="none"/>
        </w:rPr>
      </w:pPr>
      <w:r>
        <w:rPr>
          <w:highlight w:val="none"/>
        </w:rPr>
      </w:r>
      <w:bookmarkStart w:id="181" w:name="_Hlt26671244"/>
      <w:r>
        <w:rPr>
          <w:highlight w:val="none"/>
        </w:rPr>
      </w:r>
      <w:bookmarkEnd w:id="181"/>
      <w:r>
        <w:rPr>
          <w:highlight w:val="none"/>
        </w:rPr>
      </w:r>
      <w:bookmarkStart w:id="182" w:name="_Hlt26955039"/>
      <w:r>
        <w:rPr>
          <w:highlight w:val="none"/>
        </w:rPr>
      </w:r>
      <w:bookmarkEnd w:id="182"/>
      <w:r>
        <w:rPr>
          <w:highlight w:val="none"/>
        </w:rPr>
      </w:r>
      <w:bookmarkStart w:id="183" w:name="_Toc26554094"/>
      <w:r>
        <w:rPr>
          <w:highlight w:val="none"/>
        </w:rPr>
      </w:r>
      <w:bookmarkStart w:id="184" w:name="_Toc49090576"/>
      <w:r>
        <w:rPr>
          <w:highlight w:val="none"/>
        </w:rPr>
      </w:r>
      <w:bookmarkStart w:id="185" w:name="_Toc120614282"/>
      <w:r>
        <w:rPr>
          <w:rFonts w:hint="eastAsia" w:ascii="宋体" w:hAnsi="宋体"/>
          <w:b/>
          <w:color w:val="000000"/>
          <w:sz w:val="72"/>
          <w:szCs w:val="21"/>
          <w:highlight w:val="none"/>
        </w:rPr>
      </w:r>
      <w:r>
        <w:rPr>
          <w:highlight w:val="none"/>
        </w:rPr>
      </w:r>
    </w:p>
    <w:p>
      <w:pPr>
        <w:pStyle w:val="662"/>
        <w:jc w:val="center"/>
        <w:rPr>
          <w:rFonts w:hint="eastAsia" w:ascii="宋体" w:hAnsi="宋体"/>
          <w:b/>
          <w:color w:val="000000"/>
          <w:sz w:val="72"/>
          <w:szCs w:val="21"/>
          <w:highlight w:val="none"/>
        </w:rPr>
        <w:outlineLvl w:val="0"/>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rPr>
          <w:highlight w:val="none"/>
        </w:rPr>
      </w:r>
    </w:p>
    <w:p>
      <w:pPr>
        <w:pStyle w:val="662"/>
        <w:jc w:val="center"/>
        <w:rPr>
          <w:rFonts w:hint="eastAsia" w:ascii="宋体" w:hAnsi="宋体"/>
          <w:b/>
          <w:color w:val="000000"/>
          <w:sz w:val="72"/>
          <w:szCs w:val="21"/>
          <w:highlight w:val="none"/>
        </w:rPr>
      </w:pPr>
      <w:r>
        <w:rPr>
          <w:rFonts w:hint="eastAsia" w:ascii="宋体" w:hAnsi="宋体"/>
          <w:b/>
          <w:color w:val="000000"/>
          <w:sz w:val="72"/>
          <w:szCs w:val="21"/>
          <w:highlight w:val="none"/>
        </w:rPr>
      </w:r>
      <w:r>
        <w:rPr>
          <w:highlight w:val="none"/>
        </w:rPr>
      </w:r>
    </w:p>
    <w:p>
      <w:pPr>
        <w:pStyle w:val="662"/>
        <w:jc w:val="center"/>
        <w:rPr>
          <w:rFonts w:hint="eastAsia" w:ascii="宋体" w:hAnsi="宋体"/>
          <w:b/>
          <w:color w:val="000000"/>
          <w:sz w:val="72"/>
          <w:szCs w:val="21"/>
          <w:highlight w:val="none"/>
        </w:rPr>
      </w:pPr>
      <w:r>
        <w:rPr>
          <w:rFonts w:hint="eastAsia" w:ascii="宋体" w:hAnsi="宋体"/>
          <w:b/>
          <w:color w:val="000000"/>
          <w:sz w:val="72"/>
          <w:szCs w:val="21"/>
          <w:highlight w:val="none"/>
        </w:rPr>
      </w:r>
      <w:r>
        <w:rPr>
          <w:highlight w:val="none"/>
        </w:rPr>
      </w:r>
    </w:p>
    <w:p>
      <w:pPr>
        <w:pStyle w:val="662"/>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p>
    <w:p>
      <w:pPr>
        <w:pStyle w:val="662"/>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p>
    <w:p>
      <w:pPr>
        <w:pStyle w:val="662"/>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p>
    <w:p>
      <w:pPr>
        <w:pStyle w:val="662"/>
        <w:ind w:firstLine="1084"/>
        <w:rPr>
          <w:rFonts w:hint="eastAsia" w:ascii="宋体" w:hAnsi="宋体"/>
          <w:b/>
          <w:color w:val="000000"/>
          <w:sz w:val="36"/>
          <w:szCs w:val="21"/>
          <w:highlight w:val="none"/>
        </w:rPr>
        <w:outlineLvl w:val="0"/>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rPr>
          <w:highlight w:val="none"/>
        </w:rPr>
      </w:r>
    </w:p>
    <w:p>
      <w:pPr>
        <w:pStyle w:val="662"/>
        <w:ind w:firstLine="1084"/>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rPr>
          <w:highlight w:val="none"/>
        </w:rPr>
      </w:r>
    </w:p>
    <w:p>
      <w:pPr>
        <w:pStyle w:val="662"/>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rPr>
          <w:highlight w:val="none"/>
        </w:rPr>
      </w:r>
    </w:p>
    <w:p>
      <w:pPr>
        <w:pStyle w:val="662"/>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rPr>
          <w:highlight w:val="none"/>
        </w:rPr>
      </w:r>
    </w:p>
    <w:p>
      <w:pPr>
        <w:pStyle w:val="66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p>
    <w:p>
      <w:pPr>
        <w:pStyle w:val="662"/>
        <w:spacing w:line="440" w:lineRule="exact"/>
        <w:rPr>
          <w:rFonts w:ascii="宋体" w:hAnsi="宋体"/>
          <w:color w:val="000000"/>
          <w:szCs w:val="21"/>
          <w:highlight w:val="none"/>
        </w:rPr>
      </w:pPr>
      <w:r>
        <w:rPr>
          <w:rFonts w:ascii="宋体" w:hAnsi="宋体"/>
          <w:color w:val="000000"/>
          <w:szCs w:val="21"/>
          <w:highlight w:val="none"/>
        </w:rPr>
      </w:r>
      <w:r>
        <w:rPr>
          <w:highlight w:val="none"/>
        </w:rPr>
      </w:r>
    </w:p>
    <w:p>
      <w:pPr>
        <w:pStyle w:val="662"/>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rPr>
          <w:highlight w:val="none"/>
        </w:rPr>
      </w:r>
    </w:p>
    <w:p>
      <w:pPr>
        <w:pStyle w:val="662"/>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rPr>
          <w:highlight w:val="none"/>
        </w:rPr>
      </w:r>
    </w:p>
    <w:p>
      <w:pPr>
        <w:pStyle w:val="662"/>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rPr>
          <w:highlight w:val="none"/>
        </w:rPr>
      </w:r>
    </w:p>
    <w:p>
      <w:pPr>
        <w:pStyle w:val="662"/>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rPr>
          <w:highlight w:val="none"/>
        </w:rPr>
      </w:r>
    </w:p>
    <w:p>
      <w:pPr>
        <w:pStyle w:val="662"/>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rPr>
          <w:highlight w:val="none"/>
        </w:rPr>
      </w:r>
    </w:p>
    <w:p>
      <w:pPr>
        <w:pStyle w:val="662"/>
        <w:rPr>
          <w:rFonts w:ascii="宋体" w:hAnsi="宋体"/>
          <w:b/>
          <w:bCs/>
          <w:color w:val="000000"/>
          <w:sz w:val="32"/>
          <w:szCs w:val="32"/>
          <w:highlight w:val="none"/>
        </w:rPr>
      </w:pPr>
      <w:r>
        <w:rPr>
          <w:rFonts w:ascii="宋体" w:hAnsi="宋体"/>
          <w:b/>
          <w:bCs/>
          <w:color w:val="000000"/>
          <w:sz w:val="32"/>
          <w:szCs w:val="32"/>
          <w:highlight w:val="none"/>
        </w:rPr>
      </w:r>
      <w:r>
        <w:rPr>
          <w:highlight w:val="none"/>
        </w:rPr>
      </w:r>
    </w:p>
    <w:p>
      <w:pPr>
        <w:pStyle w:val="662"/>
        <w:jc w:val="center"/>
        <w:spacing w:line="5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响应文件目录</w:t>
      </w:r>
      <w:r>
        <w:rPr>
          <w:rFonts w:hint="eastAsia" w:ascii="宋体" w:hAnsi="宋体"/>
          <w:b/>
          <w:bCs/>
          <w:color w:val="000000"/>
          <w:sz w:val="44"/>
          <w:szCs w:val="44"/>
          <w:highlight w:val="none"/>
        </w:rPr>
      </w:r>
      <w:r>
        <w:rPr>
          <w:highlight w:val="none"/>
        </w:rPr>
      </w:r>
    </w:p>
    <w:p>
      <w:pPr>
        <w:pStyle w:val="662"/>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p>
    <w:p>
      <w:pPr>
        <w:pStyle w:val="662"/>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rPr>
          <w:highlight w:val="none"/>
        </w:rPr>
      </w:r>
    </w:p>
    <w:p>
      <w:pPr>
        <w:pStyle w:val="662"/>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rPr>
          <w:highlight w:val="none"/>
        </w:rPr>
      </w:r>
    </w:p>
    <w:p>
      <w:pPr>
        <w:pStyle w:val="662"/>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rPr>
          <w:highlight w:val="none"/>
        </w:rPr>
      </w:r>
    </w:p>
    <w:p>
      <w:pPr>
        <w:pStyle w:val="662"/>
        <w:ind w:left="482"/>
        <w:spacing w:line="720" w:lineRule="exact"/>
        <w:rPr>
          <w:rFonts w:ascii="宋体" w:hAnsi="宋体"/>
          <w:i/>
          <w:color w:val="000000"/>
          <w:sz w:val="24"/>
          <w:szCs w:val="21"/>
          <w:highlight w:val="none"/>
          <w:u w:val="single"/>
        </w:rPr>
        <w:outlineLvl w:val="0"/>
      </w:pPr>
      <w:r>
        <w:rPr>
          <w:rFonts w:hint="eastAsia" w:ascii="黑体" w:hAnsi="黑体" w:eastAsia="黑体"/>
          <w:color w:val="000000"/>
          <w:sz w:val="32"/>
          <w:szCs w:val="32"/>
          <w:highlight w:val="none"/>
        </w:rPr>
        <w:t xml:space="preserve">四、其他资料（如有）</w:t>
      </w:r>
      <w:r>
        <w:rPr>
          <w:rFonts w:ascii="宋体" w:hAnsi="宋体"/>
          <w:i/>
          <w:color w:val="000000"/>
          <w:sz w:val="24"/>
          <w:szCs w:val="21"/>
          <w:highlight w:val="none"/>
          <w:u w:val="singl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 法人或者其他组织的营业执照等证明文件，自然人的身份证明。</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2.上一年度的财务状况报告（成立不满一年不需提供）；</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3.依法缴纳税收和社会保障资金的相关材料；</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4.具备履行合同所必需的设备和专业技术能力的证明材料（格式详见附件1）；</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5.参加政府采购活动前3年内在经营活动中没有重大违法记录的书面声明（格式详见附件2）；</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6.法定代表人身份证明书（格式见附件3）；</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7.法人授权书（格式见附件4）；</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8.磋商响应函（格式见附件5）；</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9.采购公告中“二、申请人的资格要求（二）”提供相应的佐证材料；</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10.其它需要提交的资格审查证明材料。</w:t>
      </w:r>
      <w:r>
        <w:rPr>
          <w:rFonts w:hint="eastAsia" w:ascii="宋体" w:hAnsi="宋体"/>
          <w:color w:val="000000"/>
          <w:sz w:val="24"/>
          <w:szCs w:val="24"/>
          <w:highlight w:val="none"/>
        </w:rPr>
      </w:r>
      <w:r>
        <w:rPr>
          <w:highlight w:val="none"/>
        </w:rPr>
      </w:r>
    </w:p>
    <w:p>
      <w:pPr>
        <w:pStyle w:val="662"/>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1.商务部分正负偏离表；（格式见附件6）</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2.技术部分正负偏离表；（格式见附件7）</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3.响应方案、货物（服务）清单。具有项目、数量、品牌、型号、配置性能等；</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4.商务、技术评分标准中须提供的相关得分佐证材料；</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5.供应商认为需要提交的其他商务、技术材料。</w:t>
      </w:r>
      <w:r>
        <w:rPr>
          <w:rFonts w:hint="eastAsia" w:ascii="宋体" w:hAnsi="宋体"/>
          <w:color w:val="000000"/>
          <w:sz w:val="24"/>
          <w:szCs w:val="24"/>
          <w:highlight w:val="none"/>
        </w:rPr>
      </w:r>
      <w:r>
        <w:rPr>
          <w:highlight w:val="none"/>
        </w:rPr>
      </w:r>
    </w:p>
    <w:p>
      <w:pPr>
        <w:pStyle w:val="662"/>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color w:val="000000"/>
          <w:highlight w:val="none"/>
        </w:rPr>
        <w:t xml:space="preserve"> </w:t>
      </w:r>
      <w:r>
        <w:rPr>
          <w:rFonts w:hint="eastAsia" w:ascii="宋体" w:hAnsi="宋体"/>
          <w:color w:val="000000"/>
          <w:sz w:val="24"/>
          <w:szCs w:val="24"/>
          <w:highlight w:val="none"/>
        </w:rPr>
        <w:t xml:space="preserve">报价总表（格式见附件8）；</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2.分项报价明细表（格式见附件9）。</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3.小型、微型企业声明函（如有）（格式见附件10）</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4.残疾人福利性单位声明函（如有）（格式见附件11）</w:t>
      </w:r>
      <w:r>
        <w:rPr>
          <w:rFonts w:hint="eastAsia" w:ascii="宋体" w:hAnsi="宋体"/>
          <w:color w:val="000000"/>
          <w:sz w:val="24"/>
          <w:szCs w:val="24"/>
          <w:highlight w:val="none"/>
        </w:rPr>
      </w:r>
      <w:r>
        <w:rPr>
          <w:highlight w:val="none"/>
        </w:rPr>
      </w:r>
    </w:p>
    <w:p>
      <w:pPr>
        <w:pStyle w:val="662"/>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5.监狱和戒毒企业证明材料（如有）（格式见附件12）</w:t>
      </w:r>
      <w:r>
        <w:rPr>
          <w:rFonts w:hint="eastAsia" w:ascii="黑体" w:hAnsi="黑体" w:eastAsia="黑体"/>
          <w:color w:val="000000"/>
          <w:sz w:val="32"/>
          <w:szCs w:val="32"/>
          <w:highlight w:val="none"/>
          <w:u w:val="singl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contextualSpacing/>
        <w:spacing w:line="400" w:lineRule="exact"/>
        <w:rPr>
          <w:rFonts w:ascii="Times New Roman" w:hAnsi="Times New Roman" w:eastAsia="方正黑体_GBK"/>
          <w:color w:val="000000"/>
          <w:sz w:val="32"/>
          <w:szCs w:val="32"/>
          <w:highlight w:val="none"/>
        </w:rPr>
        <w:outlineLvl w:val="0"/>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附件1</w:t>
      </w:r>
      <w:r>
        <w:rPr>
          <w:rFonts w:ascii="Times New Roman" w:hAnsi="Times New Roman" w:eastAsia="方正黑体_GBK"/>
          <w:color w:val="000000"/>
          <w:sz w:val="32"/>
          <w:szCs w:val="32"/>
          <w:highlight w:val="none"/>
          <w:lang w:val="zh-CN"/>
        </w:rPr>
      </w:r>
      <w:r>
        <w:rPr>
          <w:highlight w:val="none"/>
        </w:rPr>
      </w:r>
    </w:p>
    <w:p>
      <w:pPr>
        <w:pStyle w:val="662"/>
        <w:jc w:val="center"/>
        <w:spacing w:line="360" w:lineRule="auto"/>
        <w:rPr>
          <w:rFonts w:ascii="宋体" w:hAnsi="Times New Roman" w:cs="宋体"/>
          <w:b/>
          <w:bCs/>
          <w:color w:val="000000"/>
          <w:sz w:val="24"/>
          <w:szCs w:val="24"/>
          <w:highlight w:val="none"/>
        </w:rPr>
        <w:outlineLvl w:val="1"/>
      </w:pPr>
      <w:r>
        <w:rPr>
          <w:rFonts w:hint="eastAsia" w:ascii="宋体" w:hAnsi="宋体" w:cs="宋体"/>
          <w:b/>
          <w:bCs/>
          <w:color w:val="000000"/>
          <w:sz w:val="24"/>
          <w:szCs w:val="24"/>
          <w:highlight w:val="none"/>
        </w:rPr>
        <w:t xml:space="preserve">具备履行合同所必需的设备和专业技术能力的证明材料</w:t>
      </w:r>
      <w:r>
        <w:rPr>
          <w:rFonts w:ascii="宋体" w:hAnsi="Times New Roman" w:cs="宋体"/>
          <w:b/>
          <w:bCs/>
          <w:color w:val="000000"/>
          <w:sz w:val="24"/>
          <w:szCs w:val="24"/>
          <w:highlight w:val="none"/>
        </w:rPr>
      </w:r>
      <w:r>
        <w:rPr>
          <w:highlight w:val="none"/>
        </w:rPr>
      </w:r>
    </w:p>
    <w:p>
      <w:pPr>
        <w:pStyle w:val="662"/>
        <w:spacing w:line="360" w:lineRule="auto"/>
        <w:rPr>
          <w:rFonts w:ascii="宋体" w:hAnsi="Times New Roman"/>
          <w:color w:val="000000"/>
          <w:sz w:val="24"/>
          <w:szCs w:val="24"/>
          <w:highlight w:val="none"/>
        </w:rPr>
      </w:pPr>
      <w:r>
        <w:rPr>
          <w:rFonts w:ascii="宋体" w:hAnsi="Times New Roman"/>
          <w:color w:val="000000"/>
          <w:sz w:val="24"/>
          <w:szCs w:val="24"/>
          <w:highlight w:val="none"/>
        </w:rPr>
      </w:r>
      <w:r>
        <w:rPr>
          <w:highlight w:val="none"/>
        </w:rPr>
      </w:r>
    </w:p>
    <w:p>
      <w:pPr>
        <w:pStyle w:val="662"/>
        <w:jc w:val="left"/>
        <w:spacing w:line="360" w:lineRule="auto"/>
        <w:widowControl/>
        <w:rPr>
          <w:rFonts w:ascii="宋体" w:hAnsi="Times New Roman" w:cs="宋体"/>
          <w:color w:val="000000"/>
          <w:sz w:val="24"/>
          <w:szCs w:val="24"/>
          <w:highlight w:val="none"/>
        </w:rPr>
      </w:pPr>
      <w:r>
        <w:rPr>
          <w:rFonts w:ascii="宋体" w:hAnsi="Times New Roman" w:cs="宋体"/>
          <w:color w:val="000000"/>
          <w:sz w:val="24"/>
          <w:szCs w:val="24"/>
          <w:highlight w:val="none"/>
        </w:rPr>
      </w:r>
      <w:r>
        <w:rPr>
          <w:highlight w:val="none"/>
        </w:rPr>
      </w:r>
    </w:p>
    <w:p>
      <w:pPr>
        <w:pStyle w:val="662"/>
        <w:spacing w:line="360" w:lineRule="auto"/>
        <w:rPr>
          <w:rFonts w:ascii="宋体" w:hAnsi="Times New Roman"/>
          <w:bCs/>
          <w:color w:val="000000"/>
          <w:sz w:val="24"/>
          <w:szCs w:val="24"/>
          <w:highlight w:val="none"/>
          <w:u w:val="single"/>
        </w:rPr>
      </w:pP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lang w:val="zh-CN"/>
        </w:rPr>
        <w:t xml:space="preserve">：</w:t>
      </w:r>
      <w:r>
        <w:rPr>
          <w:rFonts w:ascii="宋体" w:hAnsi="Times New Roman"/>
          <w:bCs/>
          <w:color w:val="000000"/>
          <w:sz w:val="24"/>
          <w:szCs w:val="24"/>
          <w:highlight w:val="none"/>
          <w:u w:val="single"/>
          <w:lang w:val="zh-CN"/>
        </w:rPr>
      </w:r>
      <w:r>
        <w:rPr>
          <w:highlight w:val="none"/>
        </w:rPr>
      </w:r>
    </w:p>
    <w:p>
      <w:pPr>
        <w:pStyle w:val="662"/>
        <w:ind w:firstLine="468"/>
        <w:jc w:val="left"/>
        <w:spacing w:line="360" w:lineRule="auto"/>
        <w:widowControl/>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我方参加你方的（项目名称）的投标，现我方向你方慎重承诺：</w:t>
      </w:r>
      <w:r>
        <w:rPr>
          <w:rFonts w:ascii="宋体" w:hAnsi="Times New Roman" w:cs="宋体"/>
          <w:color w:val="000000"/>
          <w:sz w:val="24"/>
          <w:szCs w:val="24"/>
          <w:highlight w:val="none"/>
        </w:rPr>
      </w:r>
      <w:r>
        <w:rPr>
          <w:highlight w:val="none"/>
        </w:rPr>
      </w:r>
    </w:p>
    <w:p>
      <w:pPr>
        <w:pStyle w:val="662"/>
        <w:ind w:left="448"/>
        <w:jc w:val="left"/>
        <w:spacing w:line="360" w:lineRule="auto"/>
        <w:widowControl/>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本单位（具备</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不具备）履行合同所必需的设备和专业技术能力。</w:t>
      </w:r>
      <w:r>
        <w:rPr>
          <w:rFonts w:ascii="宋体" w:hAnsi="Times New Roman" w:cs="宋体"/>
          <w:color w:val="000000"/>
          <w:sz w:val="24"/>
          <w:szCs w:val="24"/>
          <w:highlight w:val="none"/>
        </w:rPr>
      </w:r>
      <w:r>
        <w:rPr>
          <w:highlight w:val="none"/>
        </w:rPr>
      </w:r>
    </w:p>
    <w:p>
      <w:pPr>
        <w:pStyle w:val="662"/>
        <w:ind w:right="-512" w:firstLine="3120"/>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rPr>
          <w:highlight w:val="none"/>
        </w:rPr>
      </w:r>
    </w:p>
    <w:p>
      <w:pPr>
        <w:pStyle w:val="662"/>
        <w:ind w:right="-512" w:firstLine="3840"/>
        <w:spacing w:line="360" w:lineRule="auto"/>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供应商（盖章）：</w:t>
      </w:r>
      <w:r>
        <w:rPr>
          <w:rFonts w:ascii="宋体" w:hAnsi="Times New Roman" w:cs="宋体"/>
          <w:color w:val="000000"/>
          <w:sz w:val="24"/>
          <w:szCs w:val="24"/>
          <w:highlight w:val="none"/>
        </w:rPr>
      </w:r>
      <w:r>
        <w:rPr>
          <w:highlight w:val="none"/>
        </w:rPr>
      </w:r>
    </w:p>
    <w:p>
      <w:pPr>
        <w:pStyle w:val="662"/>
        <w:ind w:right="-512" w:firstLine="3120"/>
        <w:spacing w:line="360" w:lineRule="auto"/>
        <w:tabs>
          <w:tab w:val="left" w:pos="4320" w:leader="none"/>
        </w:tabs>
        <w:rPr>
          <w:rFonts w:ascii="宋体" w:hAnsi="Times New Roman" w:cs="宋体"/>
          <w:color w:val="000000"/>
          <w:sz w:val="24"/>
          <w:szCs w:val="24"/>
          <w:highlight w:val="none"/>
        </w:rPr>
      </w:pPr>
      <w:r>
        <w:rPr>
          <w:rFonts w:hint="eastAsia" w:ascii="宋体" w:hAnsi="宋体"/>
          <w:color w:val="000000"/>
          <w:sz w:val="24"/>
          <w:szCs w:val="24"/>
          <w:highlight w:val="none"/>
        </w:rPr>
        <w:t xml:space="preserve">法定代表人或其授权委托人</w:t>
      </w:r>
      <w:r>
        <w:rPr>
          <w:rFonts w:hint="eastAsia" w:ascii="宋体" w:hAnsi="宋体" w:cs="宋体"/>
          <w:color w:val="000000"/>
          <w:sz w:val="24"/>
          <w:szCs w:val="24"/>
          <w:highlight w:val="none"/>
        </w:rPr>
        <w:t xml:space="preserve">（签字或盖章）：</w:t>
      </w:r>
      <w:r>
        <w:rPr>
          <w:rFonts w:ascii="宋体" w:hAnsi="Times New Roman" w:cs="宋体"/>
          <w:color w:val="000000"/>
          <w:sz w:val="24"/>
          <w:szCs w:val="24"/>
          <w:highlight w:val="none"/>
        </w:rPr>
      </w:r>
      <w:r>
        <w:rPr>
          <w:highlight w:val="none"/>
        </w:rPr>
      </w:r>
    </w:p>
    <w:p>
      <w:pPr>
        <w:pStyle w:val="662"/>
        <w:jc w:val="right"/>
        <w:spacing w:line="360" w:lineRule="auto"/>
        <w:rPr>
          <w:rFonts w:ascii="宋体" w:hAnsi="宋体" w:cs="宋体"/>
          <w:color w:val="000000"/>
          <w:sz w:val="24"/>
          <w:szCs w:val="24"/>
          <w:highlight w:val="none"/>
        </w:rPr>
      </w:pP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年</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月</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rPr>
          <w:highlight w:val="none"/>
        </w:rPr>
      </w:r>
    </w:p>
    <w:p>
      <w:pPr>
        <w:pStyle w:val="662"/>
        <w:contextualSpacing/>
        <w:spacing w:line="400" w:lineRule="exact"/>
        <w:rPr>
          <w:rFonts w:ascii="宋体" w:hAnsi="Times New Roman"/>
          <w:color w:val="000000"/>
          <w:sz w:val="32"/>
          <w:szCs w:val="32"/>
          <w:highlight w:val="none"/>
        </w:rPr>
        <w:outlineLvl w:val="0"/>
      </w:pPr>
      <w:r>
        <w:rPr>
          <w:rFonts w:ascii="宋体" w:hAnsi="宋体" w:cs="宋体"/>
          <w:color w:val="000000"/>
          <w:sz w:val="24"/>
          <w:szCs w:val="24"/>
          <w:highlight w:val="none"/>
        </w:rPr>
        <w:br w:type="page" w:clear="all"/>
      </w:r>
      <w:r>
        <w:rPr>
          <w:rFonts w:hint="eastAsia" w:ascii="宋体" w:hAnsi="宋体"/>
          <w:color w:val="000000"/>
          <w:sz w:val="32"/>
          <w:szCs w:val="32"/>
          <w:highlight w:val="none"/>
          <w:lang w:val="zh-CN"/>
        </w:rPr>
        <w:t xml:space="preserve">附件2</w:t>
      </w:r>
      <w:r>
        <w:rPr>
          <w:rFonts w:ascii="宋体" w:hAnsi="Times New Roman"/>
          <w:color w:val="000000"/>
          <w:sz w:val="32"/>
          <w:szCs w:val="32"/>
          <w:highlight w:val="none"/>
          <w:lang w:val="zh-CN"/>
        </w:rPr>
      </w:r>
      <w:r>
        <w:rPr>
          <w:highlight w:val="none"/>
        </w:rPr>
      </w:r>
    </w:p>
    <w:p>
      <w:pPr>
        <w:pStyle w:val="662"/>
        <w:ind w:firstLine="643"/>
        <w:jc w:val="center"/>
        <w:rPr>
          <w:rFonts w:ascii="宋体" w:hAnsi="Times New Roman"/>
          <w:b/>
          <w:color w:val="000000"/>
          <w:sz w:val="32"/>
          <w:szCs w:val="32"/>
          <w:highlight w:val="none"/>
        </w:rPr>
      </w:pPr>
      <w:r>
        <w:rPr>
          <w:rFonts w:ascii="宋体" w:hAnsi="Times New Roman"/>
          <w:b/>
          <w:color w:val="000000"/>
          <w:sz w:val="32"/>
          <w:szCs w:val="32"/>
          <w:highlight w:val="none"/>
        </w:rPr>
      </w:r>
      <w:r>
        <w:rPr>
          <w:highlight w:val="none"/>
        </w:rPr>
      </w:r>
    </w:p>
    <w:p>
      <w:pPr>
        <w:pStyle w:val="662"/>
        <w:ind w:firstLine="643"/>
        <w:jc w:val="center"/>
        <w:rPr>
          <w:rFonts w:ascii="宋体" w:hAnsi="Times New Roman"/>
          <w:b/>
          <w:color w:val="000000"/>
          <w:sz w:val="32"/>
          <w:szCs w:val="32"/>
          <w:highlight w:val="none"/>
        </w:rPr>
      </w:pPr>
      <w:r>
        <w:rPr>
          <w:rFonts w:hint="eastAsia" w:ascii="宋体" w:hAnsi="宋体"/>
          <w:b/>
          <w:color w:val="000000"/>
          <w:sz w:val="32"/>
          <w:szCs w:val="32"/>
          <w:highlight w:val="none"/>
        </w:rPr>
        <w:t xml:space="preserve">参加政府采购活动前</w:t>
      </w:r>
      <w:r>
        <w:rPr>
          <w:rFonts w:ascii="宋体" w:hAnsi="宋体"/>
          <w:b/>
          <w:color w:val="000000"/>
          <w:sz w:val="32"/>
          <w:szCs w:val="32"/>
          <w:highlight w:val="none"/>
        </w:rPr>
        <w:t xml:space="preserve"> 3 </w:t>
      </w:r>
      <w:r>
        <w:rPr>
          <w:rFonts w:hint="eastAsia" w:ascii="宋体" w:hAnsi="宋体"/>
          <w:b/>
          <w:color w:val="000000"/>
          <w:sz w:val="32"/>
          <w:szCs w:val="32"/>
          <w:highlight w:val="none"/>
        </w:rPr>
        <w:t xml:space="preserve">年内在经营活动中没有重大违法记</w:t>
      </w:r>
      <w:r>
        <w:rPr>
          <w:rFonts w:hint="eastAsia" w:ascii="宋体" w:hAnsi="宋体"/>
          <w:b/>
          <w:bCs/>
          <w:color w:val="000000"/>
          <w:sz w:val="32"/>
          <w:szCs w:val="32"/>
          <w:highlight w:val="none"/>
        </w:rPr>
        <w:t xml:space="preserve">录的书面声明</w:t>
      </w:r>
      <w:r>
        <w:rPr>
          <w:rFonts w:ascii="宋体" w:hAnsi="Times New Roman"/>
          <w:b/>
          <w:color w:val="000000"/>
          <w:sz w:val="32"/>
          <w:szCs w:val="32"/>
          <w:highlight w:val="none"/>
        </w:rPr>
      </w:r>
      <w:r>
        <w:rPr>
          <w:highlight w:val="none"/>
        </w:rPr>
      </w:r>
    </w:p>
    <w:p>
      <w:pPr>
        <w:pStyle w:val="662"/>
        <w:spacing w:line="460" w:lineRule="exact"/>
        <w:rPr>
          <w:rFonts w:ascii="宋体" w:hAnsi="Times New Roman"/>
          <w:b/>
          <w:bCs/>
          <w:color w:val="000000"/>
          <w:sz w:val="44"/>
          <w:szCs w:val="44"/>
          <w:highlight w:val="none"/>
        </w:rPr>
      </w:pPr>
      <w:r>
        <w:rPr>
          <w:rFonts w:ascii="宋体" w:hAnsi="Times New Roman"/>
          <w:b/>
          <w:bCs/>
          <w:color w:val="000000"/>
          <w:sz w:val="44"/>
          <w:szCs w:val="44"/>
          <w:highlight w:val="none"/>
        </w:rPr>
      </w:r>
      <w:r>
        <w:rPr>
          <w:highlight w:val="none"/>
        </w:rPr>
      </w:r>
    </w:p>
    <w:p>
      <w:pPr>
        <w:pStyle w:val="662"/>
        <w:ind w:firstLine="881"/>
        <w:jc w:val="center"/>
        <w:spacing w:line="460" w:lineRule="exact"/>
        <w:rPr>
          <w:rFonts w:ascii="宋体" w:hAnsi="Times New Roman"/>
          <w:b/>
          <w:bCs/>
          <w:color w:val="000000"/>
          <w:sz w:val="44"/>
          <w:szCs w:val="44"/>
          <w:highlight w:val="none"/>
        </w:rPr>
      </w:pPr>
      <w:r>
        <w:rPr>
          <w:rFonts w:ascii="宋体" w:hAnsi="Times New Roman"/>
          <w:b/>
          <w:bCs/>
          <w:color w:val="000000"/>
          <w:sz w:val="44"/>
          <w:szCs w:val="44"/>
          <w:highlight w:val="none"/>
        </w:rPr>
      </w:r>
      <w:r>
        <w:rPr>
          <w:highlight w:val="none"/>
        </w:rPr>
      </w:r>
    </w:p>
    <w:p>
      <w:pPr>
        <w:pStyle w:val="662"/>
        <w:ind w:firstLine="482"/>
        <w:spacing w:line="500" w:lineRule="exact"/>
        <w:rPr>
          <w:rFonts w:ascii="宋体" w:hAnsi="Times New Roman"/>
          <w:bCs/>
          <w:color w:val="000000"/>
          <w:szCs w:val="21"/>
          <w:highlight w:val="none"/>
        </w:rPr>
      </w:pPr>
      <w:r>
        <w:rPr>
          <w:rFonts w:hint="eastAsia" w:ascii="宋体" w:hAnsi="宋体"/>
          <w:bCs/>
          <w:color w:val="000000"/>
          <w:szCs w:val="21"/>
          <w:highlight w:val="none"/>
        </w:rPr>
        <w:t xml:space="preserve">我公司（本人）郑重声明：参加本次政府采购活动前</w:t>
      </w:r>
      <w:r>
        <w:rPr>
          <w:rFonts w:ascii="宋体" w:hAnsi="宋体"/>
          <w:bCs/>
          <w:color w:val="000000"/>
          <w:szCs w:val="21"/>
          <w:highlight w:val="none"/>
        </w:rPr>
        <w:t xml:space="preserve"> 3 </w:t>
      </w:r>
      <w:r>
        <w:rPr>
          <w:rFonts w:hint="eastAsia" w:ascii="宋体" w:hAnsi="宋体"/>
          <w:bCs/>
          <w:color w:val="000000"/>
          <w:szCs w:val="21"/>
          <w:highlight w:val="none"/>
        </w:rPr>
        <w:t xml:space="preserve">年内，我公司在经营活动中没有因违法经营受到刑事处罚或者责令停产停业、吊销许可证或者执照、较大数额罚款等行政处罚。</w:t>
      </w:r>
      <w:r>
        <w:rPr>
          <w:rFonts w:ascii="宋体" w:hAnsi="Times New Roman"/>
          <w:bCs/>
          <w:color w:val="000000"/>
          <w:szCs w:val="21"/>
          <w:highlight w:val="none"/>
        </w:rPr>
      </w:r>
      <w:r>
        <w:rPr>
          <w:highlight w:val="none"/>
        </w:rPr>
      </w:r>
    </w:p>
    <w:p>
      <w:pPr>
        <w:pStyle w:val="662"/>
        <w:ind w:firstLine="482"/>
        <w:spacing w:line="500" w:lineRule="exact"/>
        <w:rPr>
          <w:rFonts w:ascii="宋体" w:hAnsi="Times New Roman"/>
          <w:color w:val="000000"/>
          <w:szCs w:val="21"/>
          <w:highlight w:val="none"/>
        </w:rPr>
      </w:pPr>
      <w:r>
        <w:rPr>
          <w:rFonts w:ascii="宋体" w:hAnsi="Times New Roman"/>
          <w:color w:val="000000"/>
          <w:szCs w:val="21"/>
          <w:highlight w:val="none"/>
        </w:rPr>
      </w:r>
      <w:r>
        <w:rPr>
          <w:highlight w:val="none"/>
        </w:rPr>
      </w:r>
    </w:p>
    <w:p>
      <w:pPr>
        <w:pStyle w:val="662"/>
        <w:ind w:firstLine="482"/>
        <w:spacing w:line="500" w:lineRule="exact"/>
        <w:rPr>
          <w:rFonts w:ascii="宋体" w:hAnsi="Times New Roman"/>
          <w:color w:val="000000"/>
          <w:szCs w:val="21"/>
          <w:highlight w:val="none"/>
        </w:rPr>
      </w:pPr>
      <w:r>
        <w:rPr>
          <w:rFonts w:ascii="宋体" w:hAnsi="Times New Roman"/>
          <w:color w:val="000000"/>
          <w:szCs w:val="21"/>
          <w:highlight w:val="none"/>
        </w:rPr>
      </w:r>
      <w:r>
        <w:rPr>
          <w:highlight w:val="none"/>
        </w:rPr>
      </w:r>
    </w:p>
    <w:p>
      <w:pPr>
        <w:pStyle w:val="662"/>
        <w:ind w:firstLine="482"/>
        <w:spacing w:line="500" w:lineRule="exact"/>
        <w:rPr>
          <w:rFonts w:ascii="宋体" w:hAnsi="Times New Roman"/>
          <w:color w:val="000000"/>
          <w:szCs w:val="21"/>
          <w:highlight w:val="none"/>
        </w:rPr>
      </w:pPr>
      <w:r>
        <w:rPr>
          <w:rFonts w:ascii="宋体" w:hAnsi="Times New Roman"/>
          <w:color w:val="000000"/>
          <w:szCs w:val="21"/>
          <w:highlight w:val="none"/>
        </w:rPr>
      </w:r>
      <w:r>
        <w:rPr>
          <w:highlight w:val="none"/>
        </w:rPr>
      </w:r>
    </w:p>
    <w:p>
      <w:pPr>
        <w:pStyle w:val="662"/>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rPr>
          <w:highlight w:val="none"/>
        </w:rPr>
      </w:r>
    </w:p>
    <w:p>
      <w:pPr>
        <w:pStyle w:val="662"/>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rPr>
          <w:highlight w:val="none"/>
        </w:rPr>
      </w:r>
    </w:p>
    <w:p>
      <w:pPr>
        <w:pStyle w:val="662"/>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rPr>
          <w:highlight w:val="none"/>
        </w:rPr>
      </w:r>
    </w:p>
    <w:p>
      <w:pPr>
        <w:pStyle w:val="662"/>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rPr>
          <w:highlight w:val="none"/>
        </w:rPr>
      </w:r>
    </w:p>
    <w:p>
      <w:pPr>
        <w:pStyle w:val="662"/>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rPr>
          <w:highlight w:val="none"/>
        </w:rPr>
      </w:r>
    </w:p>
    <w:p>
      <w:pPr>
        <w:pStyle w:val="662"/>
        <w:spacing w:line="500" w:lineRule="exact"/>
        <w:rPr>
          <w:rFonts w:ascii="宋体" w:hAnsi="Times New Roman"/>
          <w:bCs/>
          <w:color w:val="000000"/>
          <w:sz w:val="24"/>
          <w:szCs w:val="21"/>
          <w:highlight w:val="none"/>
        </w:rPr>
      </w:pPr>
      <w:r>
        <w:rPr>
          <w:rFonts w:ascii="宋体" w:hAnsi="Times New Roman"/>
          <w:bCs/>
          <w:color w:val="000000"/>
          <w:sz w:val="24"/>
          <w:szCs w:val="21"/>
          <w:highlight w:val="none"/>
        </w:rPr>
      </w:r>
      <w:r>
        <w:rPr>
          <w:highlight w:val="none"/>
        </w:rPr>
      </w:r>
    </w:p>
    <w:p>
      <w:pPr>
        <w:pStyle w:val="662"/>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                               </w:t>
      </w:r>
      <w:r>
        <w:rPr>
          <w:rFonts w:ascii="宋体" w:hAnsi="宋体"/>
          <w:bCs/>
          <w:color w:val="000000"/>
          <w:szCs w:val="21"/>
          <w:highlight w:val="none"/>
        </w:rPr>
        <w:t xml:space="preserve">  </w:t>
      </w:r>
      <w:r>
        <w:rPr>
          <w:rFonts w:hint="eastAsia" w:ascii="宋体" w:hAnsi="宋体"/>
          <w:bCs/>
          <w:color w:val="000000"/>
          <w:szCs w:val="21"/>
          <w:highlight w:val="none"/>
        </w:rPr>
        <w:t xml:space="preserve">供应商名称（公章）：</w:t>
      </w:r>
      <w:r>
        <w:rPr>
          <w:rFonts w:ascii="宋体" w:hAnsi="Times New Roman"/>
          <w:bCs/>
          <w:color w:val="000000"/>
          <w:szCs w:val="21"/>
          <w:highlight w:val="none"/>
        </w:rPr>
      </w:r>
      <w:r>
        <w:rPr>
          <w:highlight w:val="none"/>
        </w:rPr>
      </w:r>
    </w:p>
    <w:p>
      <w:pPr>
        <w:pStyle w:val="662"/>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授权代表签字：</w:t>
      </w:r>
      <w:r>
        <w:rPr>
          <w:rFonts w:ascii="宋体" w:hAnsi="宋体"/>
          <w:bCs/>
          <w:color w:val="000000"/>
          <w:szCs w:val="21"/>
          <w:highlight w:val="none"/>
          <w:u w:val="single"/>
        </w:rPr>
        <w:t xml:space="preserve">_______________________</w:t>
      </w:r>
      <w:r>
        <w:rPr>
          <w:rFonts w:ascii="宋体" w:hAnsi="Times New Roman"/>
          <w:bCs/>
          <w:color w:val="000000"/>
          <w:szCs w:val="21"/>
          <w:highlight w:val="none"/>
        </w:rPr>
      </w:r>
      <w:r>
        <w:rPr>
          <w:highlight w:val="none"/>
        </w:rPr>
      </w:r>
    </w:p>
    <w:p>
      <w:pPr>
        <w:pStyle w:val="662"/>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日期：</w:t>
      </w:r>
      <w:r>
        <w:rPr>
          <w:rFonts w:ascii="宋体" w:hAnsi="宋体"/>
          <w:bCs/>
          <w:color w:val="000000"/>
          <w:szCs w:val="21"/>
          <w:highlight w:val="none"/>
          <w:u w:val="single"/>
        </w:rPr>
        <w:t xml:space="preserve">______</w:t>
      </w:r>
      <w:r>
        <w:rPr>
          <w:rFonts w:hint="eastAsia" w:ascii="宋体" w:hAnsi="宋体"/>
          <w:bCs/>
          <w:color w:val="000000"/>
          <w:szCs w:val="21"/>
          <w:highlight w:val="none"/>
        </w:rPr>
        <w:t xml:space="preserve">年</w:t>
      </w:r>
      <w:r>
        <w:rPr>
          <w:rFonts w:ascii="宋体" w:hAnsi="宋体"/>
          <w:bCs/>
          <w:color w:val="000000"/>
          <w:szCs w:val="21"/>
          <w:highlight w:val="none"/>
          <w:u w:val="single"/>
        </w:rPr>
        <w:t xml:space="preserve">______</w:t>
      </w:r>
      <w:r>
        <w:rPr>
          <w:rFonts w:hint="eastAsia" w:ascii="宋体" w:hAnsi="宋体"/>
          <w:bCs/>
          <w:color w:val="000000"/>
          <w:szCs w:val="21"/>
          <w:highlight w:val="none"/>
        </w:rPr>
        <w:t xml:space="preserve">月</w:t>
      </w:r>
      <w:r>
        <w:rPr>
          <w:rFonts w:ascii="宋体" w:hAnsi="宋体"/>
          <w:bCs/>
          <w:color w:val="000000"/>
          <w:szCs w:val="21"/>
          <w:highlight w:val="none"/>
          <w:u w:val="single"/>
        </w:rPr>
        <w:t xml:space="preserve">______</w:t>
      </w:r>
      <w:r>
        <w:rPr>
          <w:rFonts w:hint="eastAsia" w:ascii="宋体" w:hAnsi="宋体"/>
          <w:bCs/>
          <w:color w:val="000000"/>
          <w:szCs w:val="21"/>
          <w:highlight w:val="none"/>
        </w:rPr>
        <w:t xml:space="preserve">日</w:t>
      </w:r>
      <w:r>
        <w:rPr>
          <w:rFonts w:ascii="宋体" w:hAnsi="Times New Roman"/>
          <w:bCs/>
          <w:color w:val="000000"/>
          <w:szCs w:val="21"/>
          <w:highlight w:val="none"/>
        </w:rPr>
      </w:r>
      <w:r>
        <w:rPr>
          <w:highlight w:val="none"/>
        </w:rPr>
      </w:r>
    </w:p>
    <w:p>
      <w:pPr>
        <w:pStyle w:val="662"/>
        <w:jc w:val="right"/>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rPr>
          <w:highlight w:val="none"/>
        </w:rPr>
      </w:r>
    </w:p>
    <w:p>
      <w:pPr>
        <w:pStyle w:val="662"/>
        <w:contextualSpacing/>
        <w:spacing w:line="400" w:lineRule="exact"/>
        <w:rPr>
          <w:rFonts w:ascii="Times New Roman" w:hAnsi="Times New Roman" w:eastAsia="方正黑体_GBK"/>
          <w:color w:val="000000"/>
          <w:sz w:val="32"/>
          <w:szCs w:val="32"/>
          <w:highlight w:val="none"/>
        </w:rPr>
        <w:outlineLvl w:val="0"/>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w:t>
      </w:r>
      <w:r>
        <w:rPr>
          <w:rFonts w:hint="eastAsia" w:ascii="Times New Roman" w:hAnsi="Times New Roman" w:eastAsia="方正黑体_GBK"/>
          <w:color w:val="000000"/>
          <w:sz w:val="32"/>
          <w:szCs w:val="32"/>
          <w:highlight w:val="none"/>
          <w:lang w:val="zh-CN"/>
        </w:rPr>
        <w:t xml:space="preserve">3</w:t>
      </w:r>
      <w:r>
        <w:rPr>
          <w:rFonts w:ascii="Times New Roman" w:hAnsi="Times New Roman" w:eastAsia="方正黑体_GBK"/>
          <w:color w:val="000000"/>
          <w:sz w:val="32"/>
          <w:szCs w:val="32"/>
          <w:highlight w:val="none"/>
          <w:lang w:val="zh-CN"/>
        </w:rPr>
      </w:r>
      <w:r>
        <w:rPr>
          <w:highlight w:val="none"/>
        </w:rPr>
      </w:r>
    </w:p>
    <w:p>
      <w:pPr>
        <w:pStyle w:val="662"/>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rPr>
          <w:rFonts w:ascii="宋体" w:hAnsi="宋体"/>
          <w:b/>
          <w:bCs/>
          <w:color w:val="000000"/>
          <w:sz w:val="32"/>
          <w:szCs w:val="32"/>
          <w:highlight w:val="none"/>
        </w:rPr>
      </w:r>
      <w:r>
        <w:rPr>
          <w:highlight w:val="none"/>
        </w:rPr>
      </w:r>
    </w:p>
    <w:p>
      <w:pPr>
        <w:pStyle w:val="662"/>
        <w:spacing w:line="480" w:lineRule="exact"/>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662"/>
        <w:ind w:firstLine="480"/>
        <w:spacing w:line="480" w:lineRule="exact"/>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先生/女士：</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职务，为法定代表人，特此证明。</w:t>
      </w:r>
      <w:r>
        <w:rPr>
          <w:rFonts w:ascii="宋体" w:hAnsi="宋体"/>
          <w:color w:val="000000"/>
          <w:sz w:val="24"/>
          <w:szCs w:val="24"/>
          <w:highlight w:val="none"/>
        </w:rPr>
      </w:r>
      <w:r>
        <w:rPr>
          <w:highlight w:val="none"/>
        </w:rPr>
      </w:r>
    </w:p>
    <w:p>
      <w:pPr>
        <w:pStyle w:val="662"/>
        <w:ind w:firstLine="480"/>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身份证号码：</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rPr>
          <w:highlight w:val="none"/>
        </w:rPr>
      </w:r>
    </w:p>
    <w:p>
      <w:pPr>
        <w:pStyle w:val="662"/>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662"/>
        <w:spacing w:line="6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注：提供法定代表人的身份证复印件盖公章</w:t>
      </w:r>
      <w:r>
        <w:rPr>
          <w:rFonts w:ascii="宋体" w:hAnsi="宋体"/>
          <w:b/>
          <w:color w:val="000000"/>
          <w:sz w:val="24"/>
          <w:szCs w:val="24"/>
          <w:highlight w:val="none"/>
        </w:rPr>
      </w:r>
      <w:r>
        <w:rPr>
          <w:highlight w:val="none"/>
        </w:rPr>
      </w:r>
    </w:p>
    <w:p>
      <w:pPr>
        <w:pStyle w:val="6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662"/>
        <w:spacing w:line="460" w:lineRule="exact"/>
        <w:rPr>
          <w:rFonts w:ascii="宋体" w:hAnsi="宋体"/>
          <w:bCs/>
          <w:color w:val="000000"/>
          <w:sz w:val="24"/>
          <w:szCs w:val="21"/>
          <w:highlight w:val="none"/>
        </w:rPr>
      </w:pPr>
      <w:r>
        <w:rPr>
          <w:highlight w:val="none"/>
        </w:rPr>
      </w:r>
      <w:bookmarkEnd w:id="183"/>
      <w:r>
        <w:rPr>
          <w:highlight w:val="none"/>
        </w:rPr>
      </w:r>
      <w:bookmarkEnd w:id="184"/>
      <w:r>
        <w:rPr>
          <w:highlight w:val="none"/>
        </w:rPr>
      </w:r>
      <w:bookmarkEnd w:id="185"/>
      <w:r>
        <w:rPr>
          <w:rFonts w:ascii="宋体" w:hAnsi="宋体"/>
          <w:bCs/>
          <w:color w:val="000000"/>
          <w:sz w:val="24"/>
          <w:szCs w:val="21"/>
          <w:highlight w:val="none"/>
        </w:rPr>
      </w:r>
      <w:r>
        <w:rPr>
          <w:highlight w:val="none"/>
        </w:rPr>
      </w:r>
    </w:p>
    <w:p>
      <w:pPr>
        <w:pStyle w:val="662"/>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w:t>
      </w:r>
      <w:r>
        <w:rPr>
          <w:rFonts w:hint="eastAsia" w:ascii="Times New Roman" w:hAnsi="Times New Roman" w:eastAsia="方正黑体_GBK"/>
          <w:color w:val="000000"/>
          <w:sz w:val="32"/>
          <w:szCs w:val="32"/>
          <w:highlight w:val="none"/>
          <w:lang w:val="zh-CN"/>
        </w:rPr>
        <w:t xml:space="preserve">4</w:t>
      </w:r>
      <w:r>
        <w:rPr>
          <w:rFonts w:ascii="Times New Roman" w:hAnsi="Times New Roman" w:eastAsia="方正黑体_GBK"/>
          <w:color w:val="000000"/>
          <w:sz w:val="32"/>
          <w:szCs w:val="32"/>
          <w:highlight w:val="none"/>
          <w:lang w:val="zh-CN"/>
        </w:rPr>
      </w:r>
      <w:r>
        <w:rPr>
          <w:highlight w:val="none"/>
        </w:rPr>
      </w:r>
    </w:p>
    <w:p>
      <w:pPr>
        <w:pStyle w:val="662"/>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法人授权书</w:t>
      </w:r>
      <w:r>
        <w:rPr>
          <w:rFonts w:hint="eastAsia" w:ascii="宋体" w:hAnsi="宋体"/>
          <w:b/>
          <w:bCs/>
          <w:color w:val="000000"/>
          <w:sz w:val="32"/>
          <w:szCs w:val="32"/>
          <w:highlight w:val="none"/>
        </w:rPr>
      </w:r>
      <w:r>
        <w:rPr>
          <w:highlight w:val="none"/>
        </w:rPr>
      </w:r>
    </w:p>
    <w:p>
      <w:pPr>
        <w:pStyle w:val="662"/>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本授权书声明：____________（供应商名称）授权________________（被授权人的姓名）为我方项目编号：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项目采购活动的合法代理人，以本单位名义全权处理一切与该项目采购有关的事务。</w:t>
      </w:r>
      <w:r>
        <w:rPr>
          <w:rFonts w:hint="eastAsia" w:ascii="Times New Roman" w:hAnsi="Times New Roman"/>
          <w:color w:val="000000"/>
          <w:sz w:val="24"/>
          <w:szCs w:val="24"/>
          <w:highlight w:val="none"/>
        </w:rPr>
      </w:r>
      <w:r>
        <w:rPr>
          <w:highlight w:val="none"/>
        </w:rPr>
      </w:r>
    </w:p>
    <w:p>
      <w:pPr>
        <w:pStyle w:val="662"/>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rPr>
          <w:highlight w:val="none"/>
        </w:rPr>
      </w:r>
    </w:p>
    <w:p>
      <w:pPr>
        <w:pStyle w:val="662"/>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rPr>
          <w:highlight w:val="none"/>
        </w:rPr>
      </w:r>
    </w:p>
    <w:p>
      <w:pPr>
        <w:pStyle w:val="662"/>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rPr>
          <w:highlight w:val="none"/>
        </w:rPr>
      </w:r>
    </w:p>
    <w:p>
      <w:pPr>
        <w:pStyle w:val="662"/>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rPr>
          <w:highlight w:val="none"/>
        </w:rPr>
      </w:r>
    </w:p>
    <w:p>
      <w:pPr>
        <w:pStyle w:val="6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rPr>
          <w:highlight w:val="none"/>
        </w:rPr>
      </w:r>
    </w:p>
    <w:p>
      <w:pPr>
        <w:pStyle w:val="662"/>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rPr>
          <w:highlight w:val="none"/>
        </w:rPr>
      </w:r>
    </w:p>
    <w:p>
      <w:pPr>
        <w:pStyle w:val="662"/>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rPr>
          <w:highlight w:val="none"/>
        </w:rPr>
      </w:r>
    </w:p>
    <w:p>
      <w:pPr>
        <w:pStyle w:val="662"/>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66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662"/>
        <w:spacing w:line="460" w:lineRule="exact"/>
        <w:rPr>
          <w:rFonts w:ascii="宋体" w:hAnsi="宋体"/>
          <w:bCs/>
          <w:color w:val="000000"/>
          <w:sz w:val="24"/>
          <w:szCs w:val="21"/>
          <w:highlight w:val="none"/>
        </w:rPr>
      </w:pPr>
      <w:r>
        <w:rPr>
          <w:rFonts w:ascii="宋体" w:hAnsi="宋体"/>
          <w:bCs/>
          <w:color w:val="000000"/>
          <w:sz w:val="24"/>
          <w:szCs w:val="21"/>
          <w:highlight w:val="none"/>
        </w:rPr>
      </w:r>
      <w:r>
        <w:rPr>
          <w:highlight w:val="none"/>
        </w:rPr>
      </w:r>
    </w:p>
    <w:p>
      <w:pPr>
        <w:pStyle w:val="662"/>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5</w:t>
      </w:r>
      <w:r>
        <w:rPr>
          <w:rFonts w:ascii="Times New Roman" w:hAnsi="Times New Roman" w:eastAsia="方正黑体_GBK"/>
          <w:color w:val="000000"/>
          <w:sz w:val="32"/>
          <w:szCs w:val="32"/>
          <w:highlight w:val="none"/>
        </w:rPr>
      </w:r>
      <w:r>
        <w:rPr>
          <w:highlight w:val="none"/>
        </w:rPr>
      </w:r>
    </w:p>
    <w:p>
      <w:pPr>
        <w:pStyle w:val="662"/>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磋商响应函</w:t>
      </w:r>
      <w:r>
        <w:rPr>
          <w:rFonts w:ascii="宋体" w:hAnsi="宋体"/>
          <w:b/>
          <w:bCs/>
          <w:color w:val="000000"/>
          <w:sz w:val="32"/>
          <w:szCs w:val="32"/>
          <w:highlight w:val="none"/>
        </w:rPr>
      </w:r>
      <w:r>
        <w:rPr>
          <w:highlight w:val="none"/>
        </w:rPr>
      </w:r>
    </w:p>
    <w:p>
      <w:pPr>
        <w:pStyle w:val="662"/>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致：采购人</w:t>
      </w:r>
      <w:r>
        <w:rPr>
          <w:rFonts w:ascii="宋体" w:hAnsi="宋体"/>
          <w:color w:val="000000"/>
          <w:sz w:val="24"/>
          <w:szCs w:val="21"/>
          <w:highlight w:val="none"/>
        </w:rPr>
      </w:r>
      <w:r>
        <w:rPr>
          <w:highlight w:val="none"/>
        </w:rPr>
      </w:r>
    </w:p>
    <w:p>
      <w:pPr>
        <w:pStyle w:val="6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根据贵方的项目编号：</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磋商文件，正式授权下述签字人______(姓名)代表我方______________（供应商的名称），全权处理本次项目磋商的有关事宜。</w:t>
      </w:r>
      <w:r>
        <w:rPr>
          <w:rFonts w:hint="eastAsia" w:ascii="宋体" w:hAnsi="宋体"/>
          <w:color w:val="000000"/>
          <w:sz w:val="24"/>
          <w:szCs w:val="21"/>
          <w:highlight w:val="none"/>
        </w:rPr>
      </w:r>
      <w:r>
        <w:rPr>
          <w:highlight w:val="none"/>
        </w:rPr>
      </w:r>
    </w:p>
    <w:p>
      <w:pPr>
        <w:pStyle w:val="6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rPr>
          <w:highlight w:val="none"/>
        </w:rPr>
      </w:r>
    </w:p>
    <w:p>
      <w:pPr>
        <w:pStyle w:val="6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rPr>
          <w:rFonts w:hint="eastAsia" w:ascii="宋体" w:hAnsi="宋体"/>
          <w:color w:val="000000"/>
          <w:sz w:val="24"/>
          <w:szCs w:val="21"/>
          <w:highlight w:val="none"/>
        </w:rPr>
      </w:r>
      <w:r>
        <w:rPr>
          <w:highlight w:val="none"/>
        </w:rPr>
      </w:r>
    </w:p>
    <w:p>
      <w:pPr>
        <w:pStyle w:val="6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rPr>
          <w:highlight w:val="none"/>
        </w:rPr>
      </w:r>
    </w:p>
    <w:p>
      <w:pPr>
        <w:pStyle w:val="6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rPr>
          <w:highlight w:val="none"/>
        </w:rPr>
      </w:r>
    </w:p>
    <w:p>
      <w:pPr>
        <w:pStyle w:val="6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rPr>
          <w:rFonts w:hint="eastAsia" w:ascii="宋体" w:hAnsi="宋体"/>
          <w:color w:val="000000"/>
          <w:sz w:val="24"/>
          <w:szCs w:val="21"/>
          <w:highlight w:val="none"/>
        </w:rPr>
      </w:r>
      <w:r>
        <w:rPr>
          <w:highlight w:val="none"/>
        </w:rPr>
      </w:r>
    </w:p>
    <w:p>
      <w:pPr>
        <w:pStyle w:val="662"/>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rPr>
          <w:highlight w:val="none"/>
        </w:rPr>
      </w:r>
    </w:p>
    <w:p>
      <w:pPr>
        <w:pStyle w:val="662"/>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rPr>
          <w:highlight w:val="none"/>
        </w:rPr>
      </w:r>
    </w:p>
    <w:p>
      <w:pPr>
        <w:pStyle w:val="662"/>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rPr>
          <w:rFonts w:hint="eastAsia" w:ascii="宋体" w:hAnsi="宋体"/>
          <w:color w:val="000000"/>
          <w:sz w:val="24"/>
          <w:szCs w:val="21"/>
          <w:highlight w:val="none"/>
        </w:rPr>
      </w:r>
      <w:r>
        <w:rPr>
          <w:highlight w:val="none"/>
        </w:rPr>
      </w:r>
    </w:p>
    <w:p>
      <w:pPr>
        <w:pStyle w:val="6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rPr>
          <w:highlight w:val="none"/>
        </w:rPr>
      </w:r>
    </w:p>
    <w:p>
      <w:pPr>
        <w:pStyle w:val="6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rPr>
          <w:highlight w:val="none"/>
        </w:rPr>
      </w:r>
    </w:p>
    <w:p>
      <w:pPr>
        <w:pStyle w:val="6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rPr>
          <w:highlight w:val="none"/>
        </w:rPr>
      </w:r>
    </w:p>
    <w:p>
      <w:pPr>
        <w:pStyle w:val="6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rPr>
          <w:highlight w:val="none"/>
        </w:rPr>
      </w:r>
    </w:p>
    <w:p>
      <w:pPr>
        <w:pStyle w:val="6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rPr>
          <w:highlight w:val="none"/>
        </w:rPr>
      </w:r>
    </w:p>
    <w:p>
      <w:pPr>
        <w:pStyle w:val="6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rPr>
          <w:highlight w:val="none"/>
        </w:rPr>
      </w:r>
    </w:p>
    <w:p>
      <w:pPr>
        <w:pStyle w:val="6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rPr>
          <w:highlight w:val="none"/>
        </w:rPr>
      </w:r>
    </w:p>
    <w:p>
      <w:pPr>
        <w:pStyle w:val="662"/>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rPr>
          <w:highlight w:val="none"/>
        </w:rPr>
      </w:r>
    </w:p>
    <w:p>
      <w:pPr>
        <w:pStyle w:val="662"/>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rPr>
          <w:rFonts w:hint="eastAsia" w:ascii="宋体" w:hAnsi="宋体"/>
          <w:color w:val="000000"/>
          <w:sz w:val="24"/>
          <w:szCs w:val="21"/>
          <w:highlight w:val="none"/>
        </w:rPr>
      </w:r>
      <w:r>
        <w:rPr>
          <w:highlight w:val="none"/>
        </w:rPr>
      </w:r>
    </w:p>
    <w:p>
      <w:pPr>
        <w:pStyle w:val="662"/>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rPr>
          <w:rFonts w:hint="eastAsia" w:ascii="宋体" w:hAnsi="宋体"/>
          <w:color w:val="000000"/>
          <w:sz w:val="24"/>
          <w:szCs w:val="21"/>
          <w:highlight w:val="none"/>
        </w:rPr>
      </w:r>
      <w:r>
        <w:rPr>
          <w:highlight w:val="none"/>
        </w:rPr>
      </w:r>
    </w:p>
    <w:p>
      <w:pPr>
        <w:pStyle w:val="662"/>
        <w:spacing w:line="460" w:lineRule="exact"/>
        <w:rPr>
          <w:rFonts w:ascii="宋体" w:hAnsi="宋体"/>
          <w:bCs/>
          <w:color w:val="000000"/>
          <w:sz w:val="24"/>
          <w:szCs w:val="21"/>
          <w:highlight w:val="none"/>
        </w:rPr>
      </w:pPr>
      <w:r>
        <w:rPr>
          <w:rFonts w:ascii="宋体" w:hAnsi="宋体"/>
          <w:bCs/>
          <w:color w:val="000000"/>
          <w:sz w:val="24"/>
          <w:szCs w:val="21"/>
          <w:highlight w:val="none"/>
        </w:rPr>
      </w:r>
      <w:r>
        <w:rPr>
          <w:highlight w:val="none"/>
        </w:rPr>
      </w:r>
    </w:p>
    <w:p>
      <w:pPr>
        <w:pStyle w:val="662"/>
        <w:spacing w:line="460" w:lineRule="exact"/>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r>
      <w:r>
        <w:rPr>
          <w:highlight w:val="none"/>
        </w:rPr>
      </w:r>
    </w:p>
    <w:p>
      <w:pPr>
        <w:pStyle w:val="662"/>
        <w:contextualSpacing/>
        <w:spacing w:line="40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6</w:t>
      </w:r>
      <w:r>
        <w:rPr>
          <w:rFonts w:ascii="Times New Roman" w:hAnsi="Times New Roman" w:eastAsia="方正黑体_GBK"/>
          <w:color w:val="000000"/>
          <w:sz w:val="32"/>
          <w:szCs w:val="32"/>
          <w:highlight w:val="none"/>
        </w:rPr>
      </w:r>
      <w:r>
        <w:rPr>
          <w:highlight w:val="none"/>
        </w:rPr>
      </w:r>
    </w:p>
    <w:p>
      <w:pPr>
        <w:pStyle w:val="662"/>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rPr>
          <w:rFonts w:hint="eastAsia" w:ascii="宋体" w:hAnsi="宋体"/>
          <w:b/>
          <w:color w:val="000000"/>
          <w:sz w:val="32"/>
          <w:szCs w:val="32"/>
          <w:highlight w:val="none"/>
        </w:rPr>
      </w:r>
      <w:r>
        <w:rPr>
          <w:highlight w:val="none"/>
        </w:rPr>
      </w:r>
    </w:p>
    <w:p>
      <w:pPr>
        <w:pStyle w:val="662"/>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rPr>
          <w:highlight w:val="none"/>
        </w:rP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序号</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货物或服务名称</w:t>
            </w: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磋商文件要求的商务条款</w:t>
            </w:r>
            <w:r>
              <w:rPr>
                <w:rFonts w:ascii="宋体" w:hAnsi="宋体"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响应文件响应情况</w:t>
            </w:r>
            <w:r>
              <w:rPr>
                <w:rFonts w:ascii="宋体" w:hAnsi="宋体"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偏离说明</w:t>
            </w:r>
            <w:r>
              <w:rPr>
                <w:rFonts w:ascii="宋体" w:hAnsi="宋体" w:eastAsia="宋体"/>
                <w:color w:val="000000"/>
                <w:sz w:val="24"/>
                <w:szCs w:val="24"/>
                <w:highlight w:val="none"/>
                <w:lang w:val="en-US" w:eastAsia="en-US" w:bidi="ar-SA"/>
              </w:rPr>
            </w:r>
            <w:r>
              <w:rPr>
                <w:highlight w:val="none"/>
              </w:rPr>
            </w:r>
          </w:p>
        </w:tc>
      </w:tr>
      <w:tr>
        <w:trPr>
          <w:trHeight w:val="414"/>
        </w:trPr>
        <w:tc>
          <w:tcPr>
            <w:tcW w:w="843"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1</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r>
      <w:tr>
        <w:trPr>
          <w:trHeight w:val="548"/>
        </w:trPr>
        <w:tc>
          <w:tcPr>
            <w:tcW w:w="843"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2</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r>
      <w:tr>
        <w:trPr>
          <w:trHeight w:val="400"/>
        </w:trPr>
        <w:tc>
          <w:tcPr>
            <w:tcW w:w="843"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3</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r>
      <w:tr>
        <w:trPr>
          <w:trHeight w:val="419"/>
        </w:trPr>
        <w:tc>
          <w:tcPr>
            <w:tcW w:w="843"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4</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r>
    </w:tbl>
    <w:p>
      <w:pPr>
        <w:pStyle w:val="662"/>
        <w:contextualSpacing/>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rPr>
          <w:rFonts w:hint="eastAsia" w:ascii="宋体" w:hAnsi="宋体"/>
          <w:b/>
          <w:color w:val="000000"/>
          <w:sz w:val="24"/>
          <w:szCs w:val="24"/>
          <w:highlight w:val="none"/>
        </w:rPr>
      </w:r>
      <w:r>
        <w:rPr>
          <w:highlight w:val="none"/>
        </w:rPr>
      </w:r>
    </w:p>
    <w:p>
      <w:pPr>
        <w:pStyle w:val="662"/>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1.供应商提交的响应文件中与磋商文件第三部分“项目需求”中的商务部分的要求，应逐条填列在偏离表中。</w:t>
      </w:r>
      <w:r>
        <w:rPr>
          <w:rFonts w:hint="eastAsia" w:ascii="宋体" w:hAnsi="宋体"/>
          <w:color w:val="000000"/>
          <w:sz w:val="24"/>
          <w:szCs w:val="24"/>
          <w:highlight w:val="none"/>
        </w:rPr>
      </w:r>
      <w:r>
        <w:rPr>
          <w:highlight w:val="none"/>
        </w:rPr>
      </w:r>
    </w:p>
    <w:p>
      <w:pPr>
        <w:pStyle w:val="662"/>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“偏离说明”一栏选择“正偏离”、“无偏离”、“负偏离”进行填写。正偏离、无偏离的确认和负偏离的是否响应采购文件，由磋商小组认定。</w:t>
      </w:r>
      <w:r>
        <w:rPr>
          <w:rFonts w:hint="eastAsia" w:ascii="宋体" w:hAnsi="宋体"/>
          <w:color w:val="000000"/>
          <w:sz w:val="24"/>
          <w:szCs w:val="24"/>
          <w:highlight w:val="none"/>
        </w:rPr>
      </w:r>
      <w:r>
        <w:rPr>
          <w:highlight w:val="none"/>
        </w:rPr>
      </w:r>
    </w:p>
    <w:p>
      <w:pPr>
        <w:pStyle w:val="662"/>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3.供应商如果虚假响应，将被暂停参加采购人组织政府采购活动。</w:t>
      </w:r>
      <w:r>
        <w:rPr>
          <w:rFonts w:hint="eastAsia" w:ascii="宋体" w:hAnsi="宋体"/>
          <w:color w:val="000000"/>
          <w:sz w:val="24"/>
          <w:szCs w:val="24"/>
          <w:highlight w:val="none"/>
        </w:rPr>
      </w:r>
      <w:r>
        <w:rPr>
          <w:highlight w:val="none"/>
        </w:rPr>
      </w:r>
    </w:p>
    <w:p>
      <w:pPr>
        <w:pStyle w:val="662"/>
        <w:contextualSpacing/>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rPr>
          <w:rFonts w:hint="eastAsia" w:ascii="宋体" w:hAnsi="宋体"/>
          <w:bCs/>
          <w:color w:val="000000"/>
          <w:sz w:val="24"/>
          <w:szCs w:val="24"/>
          <w:highlight w:val="none"/>
        </w:rPr>
      </w:r>
      <w:r>
        <w:rPr>
          <w:highlight w:val="none"/>
        </w:rPr>
      </w:r>
    </w:p>
    <w:p>
      <w:pPr>
        <w:pStyle w:val="662"/>
        <w:contextualSpacing/>
        <w:ind w:firstLine="540"/>
        <w:spacing w:line="56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pStyle w:val="662"/>
        <w:spacing w:line="460" w:lineRule="exact"/>
        <w:rPr>
          <w:rFonts w:ascii="宋体" w:hAnsi="宋体"/>
          <w:bCs/>
          <w:color w:val="000000"/>
          <w:sz w:val="24"/>
          <w:szCs w:val="21"/>
          <w:highlight w:val="none"/>
        </w:rPr>
      </w:pPr>
      <w:r>
        <w:rPr>
          <w:rFonts w:ascii="宋体" w:hAnsi="宋体"/>
          <w:bCs/>
          <w:color w:val="000000"/>
          <w:sz w:val="24"/>
          <w:szCs w:val="21"/>
          <w:highlight w:val="none"/>
        </w:rPr>
      </w:r>
      <w:r>
        <w:rPr>
          <w:highlight w:val="none"/>
        </w:rPr>
      </w:r>
    </w:p>
    <w:p>
      <w:pPr>
        <w:pStyle w:val="662"/>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7</w:t>
      </w:r>
      <w:r>
        <w:rPr>
          <w:rFonts w:ascii="Times New Roman" w:hAnsi="Times New Roman" w:eastAsia="方正黑体_GBK"/>
          <w:color w:val="000000"/>
          <w:sz w:val="32"/>
          <w:szCs w:val="32"/>
          <w:highlight w:val="none"/>
        </w:rPr>
      </w:r>
      <w:r>
        <w:rPr>
          <w:highlight w:val="none"/>
        </w:rPr>
      </w:r>
    </w:p>
    <w:p>
      <w:pPr>
        <w:pStyle w:val="662"/>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rPr>
          <w:rFonts w:hint="eastAsia" w:ascii="宋体" w:hAnsi="宋体"/>
          <w:b/>
          <w:color w:val="000000"/>
          <w:sz w:val="32"/>
          <w:szCs w:val="32"/>
          <w:highlight w:val="none"/>
        </w:rPr>
      </w:r>
      <w:r>
        <w:rPr>
          <w:highlight w:val="none"/>
        </w:rPr>
      </w:r>
    </w:p>
    <w:p>
      <w:pPr>
        <w:pStyle w:val="662"/>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rPr>
          <w:highlight w:val="none"/>
        </w:rP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序号</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货物或服务名称</w:t>
            </w: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磋商文件要求的技术要求</w:t>
            </w:r>
            <w:r>
              <w:rPr>
                <w:rFonts w:ascii="宋体" w:hAnsi="宋体"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响应文件响应情况</w:t>
            </w:r>
            <w:r>
              <w:rPr>
                <w:rFonts w:ascii="宋体" w:hAnsi="宋体"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偏离说明</w:t>
            </w:r>
            <w:r>
              <w:rPr>
                <w:rFonts w:ascii="宋体" w:hAnsi="宋体" w:eastAsia="宋体"/>
                <w:color w:val="000000"/>
                <w:sz w:val="24"/>
                <w:szCs w:val="24"/>
                <w:highlight w:val="none"/>
                <w:lang w:val="en-US" w:eastAsia="en-US" w:bidi="ar-SA"/>
              </w:rPr>
            </w:r>
            <w:r>
              <w:rPr>
                <w:highlight w:val="none"/>
              </w:rPr>
            </w:r>
          </w:p>
        </w:tc>
      </w:tr>
      <w:tr>
        <w:trPr>
          <w:trHeight w:val="414"/>
        </w:trPr>
        <w:tc>
          <w:tcPr>
            <w:tcW w:w="843"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1</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r>
      <w:tr>
        <w:trPr>
          <w:trHeight w:val="548"/>
        </w:trPr>
        <w:tc>
          <w:tcPr>
            <w:tcW w:w="843"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2</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r>
      <w:tr>
        <w:trPr>
          <w:trHeight w:val="400"/>
        </w:trPr>
        <w:tc>
          <w:tcPr>
            <w:tcW w:w="843"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3</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r>
      <w:tr>
        <w:trPr>
          <w:trHeight w:val="419"/>
        </w:trPr>
        <w:tc>
          <w:tcPr>
            <w:tcW w:w="843" w:type="dxa"/>
            <w:vAlign w:val="top"/>
            <w:textDirection w:val="lrTb"/>
            <w:noWrap w:val="false"/>
          </w:tcPr>
          <w:p>
            <w:pPr>
              <w:pStyle w:val="662"/>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4</w:t>
            </w:r>
            <w:r>
              <w:rPr>
                <w:rFonts w:ascii="宋体" w:hAnsi="宋体" w:eastAsia="宋体"/>
                <w:color w:val="000000"/>
                <w:sz w:val="24"/>
                <w:szCs w:val="24"/>
                <w:highlight w:val="none"/>
                <w:lang w:val="en-US" w:eastAsia="en-US" w:bidi="ar-SA"/>
              </w:rPr>
            </w:r>
            <w:r>
              <w:rPr>
                <w:highlight w:val="none"/>
              </w:rPr>
            </w:r>
          </w:p>
        </w:tc>
        <w:tc>
          <w:tcPr>
            <w:tcW w:w="2300"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008" w:type="dxa"/>
            <w:vAlign w:val="center"/>
            <w:textDirection w:val="lrTb"/>
            <w:noWrap w:val="false"/>
          </w:tcPr>
          <w:p>
            <w:pPr>
              <w:pStyle w:val="662"/>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lang w:val="en-US" w:eastAsia="en-US" w:bidi="ar-SA"/>
              </w:rPr>
            </w:r>
            <w:r>
              <w:rPr>
                <w:highlight w:val="none"/>
              </w:rPr>
            </w:r>
          </w:p>
        </w:tc>
        <w:tc>
          <w:tcPr>
            <w:tcW w:w="2591" w:type="dxa"/>
            <w:vAlign w:val="center"/>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c>
          <w:tcPr>
            <w:tcW w:w="1427" w:type="dxa"/>
            <w:vAlign w:val="top"/>
            <w:textDirection w:val="lrTb"/>
            <w:noWrap w:val="false"/>
          </w:tcPr>
          <w:p>
            <w:pPr>
              <w:pStyle w:val="662"/>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lang w:val="en-US" w:eastAsia="en-US" w:bidi="ar-SA"/>
              </w:rPr>
            </w:r>
            <w:r>
              <w:rPr>
                <w:highlight w:val="none"/>
              </w:rPr>
            </w:r>
          </w:p>
        </w:tc>
      </w:tr>
    </w:tbl>
    <w:p>
      <w:pPr>
        <w:pStyle w:val="662"/>
        <w:contextualSpacing/>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rPr>
          <w:rFonts w:hint="eastAsia" w:ascii="宋体" w:hAnsi="宋体"/>
          <w:b/>
          <w:color w:val="000000"/>
          <w:sz w:val="24"/>
          <w:szCs w:val="24"/>
          <w:highlight w:val="none"/>
        </w:rPr>
      </w:r>
      <w:r>
        <w:rPr>
          <w:highlight w:val="none"/>
        </w:rPr>
      </w:r>
    </w:p>
    <w:p>
      <w:pPr>
        <w:pStyle w:val="662"/>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1.供应商提交的响应文件中与磋商文件第三部分“项目需求”中的技术部分的要求，应逐条填列在偏离表中。</w:t>
      </w:r>
      <w:r>
        <w:rPr>
          <w:rFonts w:hint="eastAsia" w:ascii="宋体" w:hAnsi="宋体"/>
          <w:color w:val="000000"/>
          <w:sz w:val="24"/>
          <w:szCs w:val="24"/>
          <w:highlight w:val="none"/>
        </w:rPr>
      </w:r>
      <w:r>
        <w:rPr>
          <w:highlight w:val="none"/>
        </w:rPr>
      </w:r>
    </w:p>
    <w:p>
      <w:pPr>
        <w:pStyle w:val="662"/>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“偏离说明”一栏选择“正偏离”、“无偏离”、“负偏离”进行填写。正偏离、无偏离的确认和负偏离的是否响应采购文件，由磋商小组认定。</w:t>
      </w:r>
      <w:r>
        <w:rPr>
          <w:rFonts w:hint="eastAsia" w:ascii="宋体" w:hAnsi="宋体"/>
          <w:color w:val="000000"/>
          <w:sz w:val="24"/>
          <w:szCs w:val="24"/>
          <w:highlight w:val="none"/>
        </w:rPr>
      </w:r>
      <w:r>
        <w:rPr>
          <w:highlight w:val="none"/>
        </w:rPr>
      </w:r>
    </w:p>
    <w:p>
      <w:pPr>
        <w:pStyle w:val="662"/>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3.供应商如果虚假响应，将被暂停参加采购人组织政府采购活动。</w:t>
      </w:r>
      <w:r>
        <w:rPr>
          <w:rFonts w:hint="eastAsia" w:ascii="宋体" w:hAnsi="宋体"/>
          <w:color w:val="000000"/>
          <w:sz w:val="24"/>
          <w:szCs w:val="24"/>
          <w:highlight w:val="none"/>
        </w:rPr>
      </w:r>
      <w:r>
        <w:rPr>
          <w:highlight w:val="none"/>
        </w:rPr>
      </w:r>
    </w:p>
    <w:p>
      <w:pPr>
        <w:pStyle w:val="662"/>
        <w:contextualSpacing/>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rPr>
          <w:rFonts w:hint="eastAsia" w:ascii="宋体" w:hAnsi="宋体"/>
          <w:bCs/>
          <w:color w:val="000000"/>
          <w:sz w:val="24"/>
          <w:szCs w:val="24"/>
          <w:highlight w:val="none"/>
        </w:rPr>
      </w:r>
      <w:r>
        <w:rPr>
          <w:highlight w:val="none"/>
        </w:rPr>
      </w:r>
    </w:p>
    <w:p>
      <w:pPr>
        <w:pStyle w:val="662"/>
        <w:spacing w:line="460" w:lineRule="exact"/>
        <w:rPr>
          <w:rFonts w:ascii="宋体" w:hAnsi="宋体"/>
          <w:bCs/>
          <w:color w:val="000000"/>
          <w:sz w:val="24"/>
          <w:szCs w:val="21"/>
          <w:highlight w:val="none"/>
        </w:rPr>
      </w:pPr>
      <w:r>
        <w:rPr>
          <w:rFonts w:ascii="宋体" w:hAnsi="宋体"/>
          <w:bCs/>
          <w:color w:val="000000"/>
          <w:sz w:val="24"/>
          <w:szCs w:val="21"/>
          <w:highlight w:val="none"/>
        </w:rPr>
      </w:r>
      <w:r>
        <w:rPr>
          <w:highlight w:val="none"/>
        </w:rPr>
      </w:r>
    </w:p>
    <w:p>
      <w:pPr>
        <w:pStyle w:val="662"/>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8</w:t>
      </w:r>
      <w:r>
        <w:rPr>
          <w:rFonts w:ascii="Times New Roman" w:hAnsi="Times New Roman" w:eastAsia="方正黑体_GBK"/>
          <w:color w:val="000000"/>
          <w:sz w:val="32"/>
          <w:szCs w:val="32"/>
          <w:highlight w:val="none"/>
        </w:rPr>
      </w:r>
      <w:r>
        <w:rPr>
          <w:highlight w:val="none"/>
        </w:rPr>
      </w:r>
    </w:p>
    <w:p>
      <w:pPr>
        <w:pStyle w:val="662"/>
        <w:jc w:val="center"/>
        <w:spacing w:before="100" w:beforeAutospacing="1" w:after="100" w:afterAutospacing="1" w:line="500" w:lineRule="atLeast"/>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报价总表</w:t>
      </w:r>
      <w:r>
        <w:rPr>
          <w:rFonts w:ascii="宋体" w:hAnsi="宋体" w:cs="宋体"/>
          <w:color w:val="000000"/>
          <w:sz w:val="32"/>
          <w:szCs w:val="32"/>
          <w:highlight w:val="none"/>
        </w:rPr>
      </w:r>
      <w:r>
        <w:rPr>
          <w:highlight w:val="none"/>
        </w:rPr>
      </w:r>
    </w:p>
    <w:p>
      <w:pPr>
        <w:pStyle w:val="662"/>
        <w:rPr>
          <w:rFonts w:ascii="宋体" w:hAnsi="宋体" w:cs="宋体"/>
          <w:color w:val="000000"/>
          <w:sz w:val="28"/>
          <w:szCs w:val="28"/>
          <w:highlight w:val="none"/>
          <w:u w:val="single"/>
        </w:rPr>
      </w:pPr>
      <w:r>
        <w:rPr>
          <w:rFonts w:ascii="宋体" w:hAnsi="宋体" w:cs="宋体"/>
          <w:color w:val="000000"/>
          <w:sz w:val="28"/>
          <w:szCs w:val="28"/>
          <w:highlight w:val="none"/>
        </w:rPr>
        <w:t xml:space="preserve">供应商全称（加盖公章）：</w:t>
      </w:r>
      <w:r>
        <w:rPr>
          <w:rFonts w:ascii="宋体" w:hAnsi="宋体" w:cs="宋体"/>
          <w:color w:val="000000"/>
          <w:sz w:val="28"/>
          <w:szCs w:val="28"/>
          <w:highlight w:val="none"/>
          <w:u w:val="single"/>
        </w:rPr>
      </w:r>
      <w:r>
        <w:rPr>
          <w:highlight w:val="none"/>
        </w:rPr>
      </w:r>
    </w:p>
    <w:p>
      <w:pPr>
        <w:pStyle w:val="662"/>
        <w:rPr>
          <w:rFonts w:ascii="宋体" w:hAnsi="宋体" w:cs="宋体"/>
          <w:color w:val="000000"/>
          <w:sz w:val="28"/>
          <w:szCs w:val="28"/>
          <w:highlight w:val="none"/>
          <w:u w:val="single"/>
        </w:rPr>
      </w:pPr>
      <w:r>
        <w:rPr>
          <w:rFonts w:ascii="宋体" w:hAnsi="宋体" w:cs="宋体"/>
          <w:color w:val="000000"/>
          <w:sz w:val="28"/>
          <w:szCs w:val="28"/>
          <w:highlight w:val="none"/>
        </w:rPr>
        <w:t xml:space="preserve">项目名称：</w:t>
      </w:r>
      <w:r>
        <w:rPr>
          <w:rFonts w:ascii="宋体" w:hAnsi="宋体" w:cs="宋体"/>
          <w:color w:val="000000"/>
          <w:sz w:val="28"/>
          <w:szCs w:val="28"/>
          <w:highlight w:val="none"/>
          <w:u w:val="single"/>
        </w:rPr>
      </w:r>
      <w:r>
        <w:rPr>
          <w:highlight w:val="none"/>
        </w:rPr>
      </w:r>
    </w:p>
    <w:p>
      <w:pPr>
        <w:pStyle w:val="662"/>
        <w:rPr>
          <w:rFonts w:ascii="宋体" w:hAnsi="宋体" w:cs="宋体"/>
          <w:color w:val="000000"/>
          <w:sz w:val="28"/>
          <w:szCs w:val="28"/>
          <w:highlight w:val="none"/>
        </w:rPr>
      </w:pPr>
      <w:r>
        <w:rPr>
          <w:rFonts w:ascii="宋体" w:hAnsi="宋体" w:cs="宋体"/>
          <w:color w:val="000000"/>
          <w:sz w:val="28"/>
          <w:szCs w:val="28"/>
          <w:highlight w:val="none"/>
        </w:rPr>
        <w:t xml:space="preserve">项目编号：</w:t>
      </w:r>
      <w:r>
        <w:rPr>
          <w:rFonts w:ascii="宋体" w:hAnsi="宋体" w:cs="宋体"/>
          <w:color w:val="000000"/>
          <w:sz w:val="28"/>
          <w:szCs w:val="28"/>
          <w:highlight w:val="none"/>
        </w:rPr>
      </w:r>
      <w:r>
        <w:rPr>
          <w:highlight w:val="none"/>
        </w:rPr>
      </w:r>
    </w:p>
    <w:p>
      <w:pPr>
        <w:pStyle w:val="662"/>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分包号：</w:t>
      </w:r>
      <w:r>
        <w:rPr>
          <w:rFonts w:ascii="宋体" w:hAnsi="宋体" w:cs="宋体"/>
          <w:color w:val="000000"/>
          <w:sz w:val="28"/>
          <w:szCs w:val="28"/>
          <w:highlight w:val="none"/>
        </w:rPr>
      </w:r>
      <w:r>
        <w:rPr>
          <w:highlight w:val="none"/>
        </w:rPr>
      </w:r>
    </w:p>
    <w:tbl>
      <w:tblPr>
        <w:tblW w:w="875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62"/>
              <w:jc w:val="cente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磋商</w:t>
            </w:r>
            <w:r>
              <w:rPr>
                <w:rFonts w:ascii="宋体" w:hAnsi="宋体" w:eastAsia="宋体" w:cs="宋体"/>
                <w:color w:val="000000"/>
                <w:sz w:val="28"/>
                <w:szCs w:val="28"/>
                <w:highlight w:val="none"/>
                <w:lang w:val="en-US" w:eastAsia="en-US" w:bidi="ar-SA"/>
              </w:rPr>
              <w:t xml:space="preserve">货物、服务名称</w:t>
            </w:r>
            <w:r>
              <w:rPr>
                <w:rFonts w:ascii="等线" w:hAnsi="等线" w:eastAsia="等线"/>
                <w:color w:val="000000"/>
                <w:sz w:val="24"/>
                <w:szCs w:val="24"/>
                <w:highlight w:val="none"/>
                <w:lang w:val="en-US" w:eastAsia="en-US" w:bidi="ar-SA"/>
              </w:rPr>
            </w:r>
            <w:r>
              <w:rPr>
                <w:highlight w:val="none"/>
              </w:rPr>
            </w:r>
          </w:p>
        </w:tc>
        <w:tc>
          <w:tcPr>
            <w:tcW w:w="4607" w:type="dxa"/>
            <w:vAlign w:val="top"/>
            <w:textDirection w:val="lrTb"/>
            <w:noWrap w:val="false"/>
          </w:tcPr>
          <w:p>
            <w:pPr>
              <w:pStyle w:val="662"/>
              <w:jc w:val="cente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磋商</w:t>
            </w:r>
            <w:r>
              <w:rPr>
                <w:rFonts w:ascii="宋体" w:hAnsi="宋体" w:eastAsia="宋体" w:cs="宋体"/>
                <w:color w:val="000000"/>
                <w:sz w:val="28"/>
                <w:szCs w:val="28"/>
                <w:highlight w:val="none"/>
                <w:lang w:val="en-US" w:eastAsia="en-US" w:bidi="ar-SA"/>
              </w:rPr>
              <w:t xml:space="preserve">总报价</w:t>
            </w:r>
            <w:r>
              <w:rPr>
                <w:rFonts w:ascii="等线" w:hAnsi="等线" w:eastAsia="等线"/>
                <w:color w:val="000000"/>
                <w:sz w:val="24"/>
                <w:szCs w:val="24"/>
                <w:highlight w:val="none"/>
                <w:lang w:val="en-US" w:eastAsia="en-US" w:bidi="ar-SA"/>
              </w:rPr>
            </w:r>
            <w:r>
              <w:rPr>
                <w:highlight w:val="none"/>
              </w:rPr>
            </w:r>
          </w:p>
        </w:tc>
      </w:tr>
      <w:tr>
        <w:trPr>
          <w:trHeight w:val="1091"/>
        </w:trPr>
        <w:tc>
          <w:tcPr>
            <w:tcW w:w="4148" w:type="dxa"/>
            <w:vAlign w:val="top"/>
            <w:textDirection w:val="lrTb"/>
            <w:noWrap w:val="false"/>
          </w:tcPr>
          <w:p>
            <w:pPr>
              <w:pStyle w:val="662"/>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lang w:val="en-US" w:eastAsia="en-US" w:bidi="ar-SA"/>
              </w:rPr>
            </w:r>
            <w:r>
              <w:rPr>
                <w:highlight w:val="none"/>
              </w:rPr>
            </w:r>
          </w:p>
        </w:tc>
        <w:tc>
          <w:tcPr>
            <w:tcW w:w="4607" w:type="dxa"/>
            <w:vAlign w:val="top"/>
            <w:textDirection w:val="lrTb"/>
            <w:noWrap w:val="false"/>
          </w:tcPr>
          <w:p>
            <w:pPr>
              <w:pStyle w:val="662"/>
              <w:spacing w:line="560" w:lineRule="exact"/>
              <w:rPr>
                <w:rFonts w:ascii="等线" w:hAnsi="等线" w:eastAsia="等线"/>
                <w:color w:val="000000"/>
                <w:sz w:val="24"/>
                <w:szCs w:val="24"/>
                <w:highlight w:val="none"/>
                <w:u w:val="single"/>
              </w:rPr>
            </w:pPr>
            <w:r>
              <w:rPr>
                <w:rFonts w:ascii="宋体" w:hAnsi="宋体" w:eastAsia="宋体" w:cs="宋体"/>
                <w:color w:val="000000"/>
                <w:sz w:val="28"/>
                <w:szCs w:val="28"/>
                <w:highlight w:val="none"/>
                <w:lang w:val="en-US" w:eastAsia="en-US" w:bidi="ar-SA"/>
              </w:rPr>
              <w:t xml:space="preserve">大写：</w:t>
            </w:r>
            <w:r>
              <w:rPr>
                <w:rFonts w:ascii="宋体" w:hAnsi="宋体" w:eastAsia="宋体" w:cs="宋体"/>
                <w:color w:val="000000"/>
                <w:sz w:val="28"/>
                <w:szCs w:val="28"/>
                <w:highlight w:val="none"/>
                <w:lang w:val="en-US" w:eastAsia="en-US" w:bidi="ar-SA"/>
              </w:rPr>
              <w:br w:type="textWrapping" w:clear="all"/>
            </w:r>
            <w:r>
              <w:rPr>
                <w:rFonts w:ascii="宋体" w:hAnsi="宋体" w:eastAsia="宋体" w:cs="宋体"/>
                <w:color w:val="000000"/>
                <w:sz w:val="28"/>
                <w:szCs w:val="28"/>
                <w:highlight w:val="none"/>
                <w:lang w:val="en-US" w:eastAsia="en-US" w:bidi="ar-SA"/>
              </w:rPr>
              <w:t xml:space="preserve">小写：元（人民币）</w:t>
            </w:r>
            <w:r>
              <w:rPr>
                <w:rFonts w:ascii="等线" w:hAnsi="等线" w:eastAsia="等线"/>
                <w:color w:val="000000"/>
                <w:sz w:val="24"/>
                <w:szCs w:val="24"/>
                <w:highlight w:val="none"/>
                <w:u w:val="single"/>
                <w:lang w:val="en-US" w:eastAsia="en-US" w:bidi="ar-SA"/>
              </w:rPr>
            </w:r>
            <w:r>
              <w:rPr>
                <w:highlight w:val="none"/>
              </w:rPr>
            </w:r>
          </w:p>
        </w:tc>
      </w:tr>
      <w:tr>
        <w:trPr/>
        <w:tc>
          <w:tcPr>
            <w:tcW w:w="4148" w:type="dxa"/>
            <w:vAlign w:val="top"/>
            <w:textDirection w:val="lrTb"/>
            <w:noWrap w:val="false"/>
          </w:tcPr>
          <w:p>
            <w:pPr>
              <w:pStyle w:val="662"/>
              <w:spacing w:line="560" w:lineRule="exact"/>
              <w:rPr>
                <w:rFonts w:ascii="等线" w:hAnsi="等线" w:eastAsia="等线"/>
                <w:color w:val="000000"/>
                <w:sz w:val="24"/>
                <w:szCs w:val="24"/>
                <w:highlight w:val="none"/>
              </w:rPr>
            </w:pPr>
            <w:r>
              <w:rPr>
                <w:rFonts w:ascii="宋体" w:hAnsi="宋体" w:eastAsia="宋体" w:cs="宋体"/>
                <w:color w:val="000000"/>
                <w:sz w:val="28"/>
                <w:szCs w:val="28"/>
                <w:highlight w:val="none"/>
                <w:lang w:val="en-US" w:eastAsia="en-US" w:bidi="ar-SA"/>
              </w:rPr>
              <w:t xml:space="preserve">主要货物、服务制造商及产地</w:t>
            </w:r>
            <w:r>
              <w:rPr>
                <w:rFonts w:ascii="等线" w:hAnsi="等线" w:eastAsia="等线"/>
                <w:color w:val="000000"/>
                <w:sz w:val="24"/>
                <w:szCs w:val="24"/>
                <w:highlight w:val="none"/>
                <w:lang w:val="en-US" w:eastAsia="en-US" w:bidi="ar-SA"/>
              </w:rPr>
            </w:r>
            <w:r>
              <w:rPr>
                <w:highlight w:val="none"/>
              </w:rPr>
            </w:r>
          </w:p>
        </w:tc>
        <w:tc>
          <w:tcPr>
            <w:tcW w:w="4607" w:type="dxa"/>
            <w:vAlign w:val="top"/>
            <w:textDirection w:val="lrTb"/>
            <w:noWrap w:val="false"/>
          </w:tcPr>
          <w:p>
            <w:pPr>
              <w:pStyle w:val="662"/>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lang w:val="en-US" w:eastAsia="en-US" w:bidi="ar-SA"/>
              </w:rPr>
            </w:r>
            <w:r>
              <w:rPr>
                <w:highlight w:val="none"/>
              </w:rPr>
            </w:r>
          </w:p>
        </w:tc>
      </w:tr>
      <w:tr>
        <w:trPr>
          <w:trHeight w:val="481"/>
        </w:trPr>
        <w:tc>
          <w:tcPr>
            <w:tcW w:w="4148" w:type="dxa"/>
            <w:vAlign w:val="top"/>
            <w:textDirection w:val="lrTb"/>
            <w:noWrap w:val="false"/>
          </w:tcPr>
          <w:p>
            <w:pPr>
              <w:pStyle w:val="662"/>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核心产品品牌（如有）</w:t>
            </w:r>
            <w:r>
              <w:rPr>
                <w:rFonts w:ascii="等线" w:hAnsi="等线" w:eastAsia="等线"/>
                <w:color w:val="000000"/>
                <w:sz w:val="24"/>
                <w:szCs w:val="24"/>
                <w:highlight w:val="none"/>
                <w:lang w:val="en-US" w:eastAsia="en-US" w:bidi="ar-SA"/>
              </w:rPr>
            </w:r>
            <w:r>
              <w:rPr>
                <w:highlight w:val="none"/>
              </w:rPr>
            </w:r>
          </w:p>
        </w:tc>
        <w:tc>
          <w:tcPr>
            <w:tcW w:w="4607" w:type="dxa"/>
            <w:vAlign w:val="top"/>
            <w:textDirection w:val="lrTb"/>
            <w:noWrap w:val="false"/>
          </w:tcPr>
          <w:p>
            <w:pPr>
              <w:pStyle w:val="662"/>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lang w:val="en-US" w:eastAsia="en-US" w:bidi="ar-SA"/>
              </w:rPr>
            </w:r>
            <w:r>
              <w:rPr>
                <w:highlight w:val="none"/>
              </w:rPr>
            </w:r>
          </w:p>
        </w:tc>
      </w:tr>
    </w:tbl>
    <w:p>
      <w:pPr>
        <w:pStyle w:val="662"/>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日期：</w:t>
      </w:r>
      <w:r>
        <w:rPr>
          <w:rFonts w:ascii="宋体" w:hAnsi="宋体" w:cs="宋体"/>
          <w:color w:val="000000"/>
          <w:sz w:val="28"/>
          <w:szCs w:val="28"/>
          <w:highlight w:val="none"/>
        </w:rPr>
      </w:r>
      <w:r>
        <w:rPr>
          <w:highlight w:val="none"/>
        </w:rPr>
      </w:r>
    </w:p>
    <w:p>
      <w:pPr>
        <w:pStyle w:val="662"/>
        <w:spacing w:line="520" w:lineRule="exact"/>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rPr>
          <w:rFonts w:ascii="宋体" w:hAnsi="宋体" w:cs="宋体"/>
          <w:color w:val="000000"/>
          <w:sz w:val="24"/>
          <w:szCs w:val="24"/>
          <w:highlight w:val="none"/>
        </w:rPr>
      </w:r>
      <w:r>
        <w:rPr>
          <w:highlight w:val="none"/>
        </w:rPr>
      </w:r>
    </w:p>
    <w:p>
      <w:pPr>
        <w:pStyle w:val="662"/>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必须加盖</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公章（复印件无效）。</w:t>
      </w:r>
      <w:r>
        <w:rPr>
          <w:rFonts w:ascii="宋体" w:hAnsi="宋体" w:cs="宋体"/>
          <w:color w:val="000000"/>
          <w:sz w:val="24"/>
          <w:szCs w:val="24"/>
          <w:highlight w:val="none"/>
        </w:rPr>
      </w:r>
      <w:r>
        <w:rPr>
          <w:highlight w:val="none"/>
        </w:rPr>
      </w:r>
    </w:p>
    <w:p>
      <w:pPr>
        <w:pStyle w:val="66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、如有分包，</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投任何一个包的标的，都需单独填写</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rPr>
          <w:highlight w:val="none"/>
        </w:rPr>
      </w:r>
    </w:p>
    <w:p>
      <w:pPr>
        <w:pStyle w:val="662"/>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922"/>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662"/>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922"/>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662"/>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922"/>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662"/>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922"/>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662"/>
        <w:rPr>
          <w:rFonts w:hint="eastAsia"/>
          <w:color w:val="000000"/>
          <w:highlight w:val="none"/>
        </w:rPr>
      </w:pPr>
      <w:r>
        <w:rPr>
          <w:rFonts w:hint="eastAsia"/>
          <w:color w:val="000000"/>
          <w:highlight w:val="none"/>
        </w:rPr>
      </w:r>
      <w:r>
        <w:rPr>
          <w:highlight w:val="none"/>
        </w:rPr>
      </w:r>
    </w:p>
    <w:p>
      <w:pPr>
        <w:pStyle w:val="662"/>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662"/>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662"/>
        <w:contextualSpacing/>
        <w:spacing w:line="40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9</w:t>
      </w:r>
      <w:r>
        <w:rPr>
          <w:rFonts w:ascii="Times New Roman" w:hAnsi="Times New Roman" w:eastAsia="方正黑体_GBK"/>
          <w:color w:val="000000"/>
          <w:sz w:val="32"/>
          <w:szCs w:val="32"/>
          <w:highlight w:val="none"/>
        </w:rPr>
      </w:r>
      <w:r>
        <w:rPr>
          <w:highlight w:val="none"/>
        </w:rPr>
      </w:r>
    </w:p>
    <w:p>
      <w:pPr>
        <w:pStyle w:val="662"/>
        <w:contextualSpacing/>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p>
    <w:p>
      <w:pPr>
        <w:pStyle w:val="662"/>
        <w:jc w:val="center"/>
        <w:spacing w:line="400" w:lineRule="exact"/>
        <w:rPr>
          <w:color w:val="000000"/>
          <w:sz w:val="32"/>
          <w:szCs w:val="32"/>
          <w:highlight w:val="none"/>
        </w:rPr>
      </w:pPr>
      <w:r>
        <w:rPr>
          <w:rFonts w:hint="eastAsia"/>
          <w:b/>
          <w:bCs/>
          <w:color w:val="000000"/>
          <w:sz w:val="32"/>
          <w:szCs w:val="32"/>
          <w:highlight w:val="none"/>
        </w:rPr>
        <w:t xml:space="preserve">分项报价明细表（货物类）</w:t>
      </w:r>
      <w:r>
        <w:rPr>
          <w:color w:val="000000"/>
          <w:sz w:val="32"/>
          <w:szCs w:val="32"/>
          <w:highlight w:val="none"/>
        </w:rPr>
      </w:r>
      <w:r>
        <w:rPr>
          <w:highlight w:val="none"/>
        </w:rPr>
      </w:r>
    </w:p>
    <w:p>
      <w:pPr>
        <w:pStyle w:val="662"/>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供应商（盖章）：</w:t>
      </w:r>
      <w:r>
        <w:rPr>
          <w:rFonts w:ascii="仿宋_GB2312" w:hAnsi="宋体" w:eastAsia="仿宋_GB2312"/>
          <w:color w:val="000000"/>
          <w:sz w:val="28"/>
          <w:szCs w:val="28"/>
          <w:highlight w:val="none"/>
        </w:rPr>
      </w:r>
      <w:r>
        <w:rPr>
          <w:highlight w:val="none"/>
        </w:rPr>
      </w:r>
    </w:p>
    <w:tbl>
      <w:tblPr>
        <w:tblW w:w="9956" w:type="dxa"/>
        <w:jc w:val="center"/>
        <w:tblInd w:w="-7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348"/>
        <w:gridCol w:w="1218"/>
        <w:gridCol w:w="1283"/>
        <w:gridCol w:w="998"/>
        <w:gridCol w:w="856"/>
        <w:gridCol w:w="855"/>
        <w:gridCol w:w="856"/>
        <w:gridCol w:w="1499"/>
      </w:tblGrid>
      <w:tr>
        <w:trPr>
          <w:cantSplit/>
          <w:trHeight w:val="892" w:hRule="exact"/>
        </w:trPr>
        <w:tc>
          <w:tcPr>
            <w:tcW w:w="1043" w:type="dxa"/>
            <w:vAlign w:val="center"/>
            <w:textDirection w:val="lrTb"/>
            <w:noWrap w:val="false"/>
          </w:tcPr>
          <w:p>
            <w:pPr>
              <w:pStyle w:val="662"/>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序号</w:t>
            </w:r>
            <w:r>
              <w:rPr>
                <w:rFonts w:ascii="宋体" w:hAnsi="宋体" w:eastAsia="宋体"/>
                <w:b/>
                <w:color w:val="000000"/>
                <w:sz w:val="24"/>
                <w:szCs w:val="21"/>
                <w:highlight w:val="none"/>
                <w:lang w:val="en-US" w:eastAsia="en-US" w:bidi="ar-SA"/>
              </w:rPr>
            </w:r>
            <w:r>
              <w:rPr>
                <w:highlight w:val="none"/>
              </w:rPr>
            </w:r>
          </w:p>
        </w:tc>
        <w:tc>
          <w:tcPr>
            <w:tcW w:w="1348" w:type="dxa"/>
            <w:vAlign w:val="center"/>
            <w:textDirection w:val="lrTb"/>
            <w:noWrap w:val="false"/>
          </w:tcPr>
          <w:p>
            <w:pPr>
              <w:pStyle w:val="662"/>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名称</w:t>
            </w:r>
            <w:r>
              <w:rPr>
                <w:rFonts w:ascii="宋体" w:hAnsi="宋体" w:eastAsia="宋体"/>
                <w:b/>
                <w:color w:val="000000"/>
                <w:sz w:val="24"/>
                <w:szCs w:val="21"/>
                <w:highlight w:val="none"/>
                <w:lang w:val="en-US" w:eastAsia="en-US" w:bidi="ar-SA"/>
              </w:rPr>
            </w:r>
            <w:r>
              <w:rPr>
                <w:highlight w:val="none"/>
              </w:rPr>
            </w:r>
          </w:p>
        </w:tc>
        <w:tc>
          <w:tcPr>
            <w:tcW w:w="1218" w:type="dxa"/>
            <w:vAlign w:val="center"/>
            <w:textDirection w:val="lrTb"/>
            <w:noWrap w:val="false"/>
          </w:tcPr>
          <w:p>
            <w:pPr>
              <w:pStyle w:val="662"/>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规格型号</w:t>
            </w:r>
            <w:r>
              <w:rPr>
                <w:rFonts w:ascii="宋体" w:hAnsi="宋体" w:eastAsia="宋体"/>
                <w:b/>
                <w:color w:val="000000"/>
                <w:sz w:val="24"/>
                <w:szCs w:val="21"/>
                <w:highlight w:val="none"/>
                <w:lang w:val="en-US" w:eastAsia="en-US" w:bidi="ar-SA"/>
              </w:rPr>
            </w:r>
            <w:r>
              <w:rPr>
                <w:highlight w:val="none"/>
              </w:rPr>
            </w:r>
          </w:p>
        </w:tc>
        <w:tc>
          <w:tcPr>
            <w:tcW w:w="1283" w:type="dxa"/>
            <w:vAlign w:val="center"/>
            <w:textDirection w:val="lrTb"/>
            <w:noWrap w:val="false"/>
          </w:tcPr>
          <w:p>
            <w:pPr>
              <w:pStyle w:val="662"/>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品牌</w:t>
            </w:r>
            <w:r>
              <w:rPr>
                <w:rFonts w:ascii="宋体" w:hAnsi="宋体" w:eastAsia="宋体"/>
                <w:b/>
                <w:color w:val="000000"/>
                <w:sz w:val="24"/>
                <w:szCs w:val="21"/>
                <w:highlight w:val="none"/>
                <w:lang w:val="en-US" w:eastAsia="en-US" w:bidi="ar-SA"/>
              </w:rPr>
            </w:r>
            <w:r>
              <w:rPr>
                <w:highlight w:val="none"/>
              </w:rPr>
            </w:r>
          </w:p>
        </w:tc>
        <w:tc>
          <w:tcPr>
            <w:tcW w:w="998" w:type="dxa"/>
            <w:vAlign w:val="center"/>
            <w:textDirection w:val="lrTb"/>
            <w:noWrap w:val="false"/>
          </w:tcPr>
          <w:p>
            <w:pPr>
              <w:pStyle w:val="662"/>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单位</w:t>
            </w:r>
            <w:r>
              <w:rPr>
                <w:rFonts w:ascii="宋体" w:hAnsi="宋体" w:eastAsia="宋体"/>
                <w:b/>
                <w:color w:val="000000"/>
                <w:sz w:val="24"/>
                <w:szCs w:val="21"/>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数量</w:t>
            </w:r>
            <w:r>
              <w:rPr>
                <w:rFonts w:ascii="宋体" w:hAnsi="宋体" w:eastAsia="宋体"/>
                <w:b/>
                <w:color w:val="000000"/>
                <w:sz w:val="24"/>
                <w:szCs w:val="21"/>
                <w:highlight w:val="none"/>
                <w:lang w:val="en-US" w:eastAsia="en-US" w:bidi="ar-SA"/>
              </w:rPr>
            </w:r>
            <w:r>
              <w:rPr>
                <w:highlight w:val="none"/>
              </w:rPr>
            </w:r>
          </w:p>
        </w:tc>
        <w:tc>
          <w:tcPr>
            <w:tcW w:w="855" w:type="dxa"/>
            <w:vAlign w:val="center"/>
            <w:textDirection w:val="lrTb"/>
            <w:noWrap w:val="false"/>
          </w:tcPr>
          <w:p>
            <w:pPr>
              <w:pStyle w:val="662"/>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单价</w:t>
            </w:r>
            <w:r>
              <w:rPr>
                <w:rFonts w:ascii="宋体" w:hAnsi="宋体" w:eastAsia="宋体"/>
                <w:b/>
                <w:color w:val="000000"/>
                <w:sz w:val="24"/>
                <w:szCs w:val="21"/>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金额</w:t>
            </w:r>
            <w:r>
              <w:rPr>
                <w:rFonts w:ascii="宋体" w:hAnsi="宋体" w:eastAsia="宋体"/>
                <w:b/>
                <w:color w:val="000000"/>
                <w:sz w:val="24"/>
                <w:szCs w:val="21"/>
                <w:highlight w:val="none"/>
                <w:lang w:val="en-US" w:eastAsia="en-US" w:bidi="ar-SA"/>
              </w:rPr>
            </w:r>
            <w:r>
              <w:rPr>
                <w:highlight w:val="none"/>
              </w:rPr>
            </w:r>
          </w:p>
        </w:tc>
        <w:tc>
          <w:tcPr>
            <w:tcW w:w="1499" w:type="dxa"/>
            <w:vAlign w:val="center"/>
            <w:textDirection w:val="lrTb"/>
            <w:noWrap w:val="false"/>
          </w:tcPr>
          <w:p>
            <w:pPr>
              <w:pStyle w:val="662"/>
              <w:ind w:firstLine="105"/>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备注（是否为主要标的）</w:t>
            </w:r>
            <w:r>
              <w:rPr>
                <w:rFonts w:ascii="宋体" w:hAnsi="宋体" w:eastAsia="宋体"/>
                <w:b/>
                <w:color w:val="000000"/>
                <w:sz w:val="24"/>
                <w:szCs w:val="21"/>
                <w:highlight w:val="none"/>
                <w:lang w:val="en-US" w:eastAsia="en-US" w:bidi="ar-SA"/>
              </w:rPr>
            </w:r>
            <w:r>
              <w:rPr>
                <w:highlight w:val="none"/>
              </w:rPr>
            </w:r>
          </w:p>
        </w:tc>
      </w:tr>
      <w:tr>
        <w:trPr>
          <w:cantSplit/>
          <w:trHeight w:val="537"/>
        </w:trPr>
        <w:tc>
          <w:tcPr>
            <w:tcW w:w="104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1</w:t>
            </w:r>
            <w:r>
              <w:rPr>
                <w:rFonts w:ascii="仿宋_GB2312" w:hAnsi="宋体" w:eastAsia="仿宋_GB2312"/>
                <w:color w:val="000000"/>
                <w:sz w:val="24"/>
                <w:szCs w:val="24"/>
                <w:highlight w:val="none"/>
                <w:lang w:val="en-US" w:eastAsia="en-US" w:bidi="ar-SA"/>
              </w:rPr>
            </w:r>
            <w:r>
              <w:rPr>
                <w:highlight w:val="none"/>
              </w:rPr>
            </w:r>
          </w:p>
        </w:tc>
        <w:tc>
          <w:tcPr>
            <w:tcW w:w="134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1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8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99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5"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499"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r>
      <w:tr>
        <w:trPr>
          <w:cantSplit/>
          <w:trHeight w:val="562"/>
        </w:trPr>
        <w:tc>
          <w:tcPr>
            <w:tcW w:w="104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2</w:t>
            </w:r>
            <w:r>
              <w:rPr>
                <w:rFonts w:ascii="仿宋_GB2312" w:hAnsi="宋体" w:eastAsia="仿宋_GB2312"/>
                <w:color w:val="000000"/>
                <w:sz w:val="24"/>
                <w:szCs w:val="24"/>
                <w:highlight w:val="none"/>
                <w:lang w:val="en-US" w:eastAsia="en-US" w:bidi="ar-SA"/>
              </w:rPr>
            </w:r>
            <w:r>
              <w:rPr>
                <w:highlight w:val="none"/>
              </w:rPr>
            </w:r>
          </w:p>
        </w:tc>
        <w:tc>
          <w:tcPr>
            <w:tcW w:w="134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1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8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99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5"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499"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r>
      <w:tr>
        <w:trPr>
          <w:cantSplit/>
          <w:trHeight w:val="574"/>
        </w:trPr>
        <w:tc>
          <w:tcPr>
            <w:tcW w:w="104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3</w:t>
            </w:r>
            <w:r>
              <w:rPr>
                <w:rFonts w:ascii="仿宋_GB2312" w:hAnsi="宋体" w:eastAsia="仿宋_GB2312"/>
                <w:color w:val="000000"/>
                <w:sz w:val="24"/>
                <w:szCs w:val="24"/>
                <w:highlight w:val="none"/>
                <w:lang w:val="en-US" w:eastAsia="en-US" w:bidi="ar-SA"/>
              </w:rPr>
            </w:r>
            <w:r>
              <w:rPr>
                <w:highlight w:val="none"/>
              </w:rPr>
            </w:r>
          </w:p>
        </w:tc>
        <w:tc>
          <w:tcPr>
            <w:tcW w:w="134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1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8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99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5"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499"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r>
      <w:tr>
        <w:trPr>
          <w:cantSplit/>
          <w:trHeight w:val="574"/>
        </w:trPr>
        <w:tc>
          <w:tcPr>
            <w:tcW w:w="104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4</w:t>
            </w:r>
            <w:r>
              <w:rPr>
                <w:rFonts w:ascii="仿宋_GB2312" w:hAnsi="宋体" w:eastAsia="仿宋_GB2312"/>
                <w:color w:val="000000"/>
                <w:sz w:val="24"/>
                <w:szCs w:val="24"/>
                <w:highlight w:val="none"/>
                <w:lang w:val="en-US" w:eastAsia="en-US" w:bidi="ar-SA"/>
              </w:rPr>
            </w:r>
            <w:r>
              <w:rPr>
                <w:highlight w:val="none"/>
              </w:rPr>
            </w:r>
          </w:p>
        </w:tc>
        <w:tc>
          <w:tcPr>
            <w:tcW w:w="134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1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8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99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5"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499"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r>
      <w:tr>
        <w:trPr>
          <w:cantSplit/>
          <w:trHeight w:val="574"/>
        </w:trPr>
        <w:tc>
          <w:tcPr>
            <w:tcW w:w="104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34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1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28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998"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5"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856"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c>
          <w:tcPr>
            <w:tcW w:w="1499"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r>
      <w:tr>
        <w:trPr>
          <w:cantSplit/>
          <w:trHeight w:val="534"/>
        </w:trPr>
        <w:tc>
          <w:tcPr>
            <w:tcW w:w="104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合计</w:t>
            </w:r>
            <w:r>
              <w:rPr>
                <w:rFonts w:ascii="仿宋_GB2312" w:hAnsi="宋体" w:eastAsia="仿宋_GB2312"/>
                <w:color w:val="000000"/>
                <w:sz w:val="24"/>
                <w:szCs w:val="24"/>
                <w:highlight w:val="none"/>
                <w:lang w:val="en-US" w:eastAsia="en-US" w:bidi="ar-SA"/>
              </w:rPr>
            </w:r>
            <w:r>
              <w:rPr>
                <w:highlight w:val="none"/>
              </w:rPr>
            </w:r>
          </w:p>
        </w:tc>
        <w:tc>
          <w:tcPr>
            <w:gridSpan w:val="8"/>
            <w:tcW w:w="8913" w:type="dxa"/>
            <w:vAlign w:val="center"/>
            <w:textDirection w:val="lrTb"/>
            <w:noWrap w:val="false"/>
          </w:tcPr>
          <w:p>
            <w:pPr>
              <w:pStyle w:val="662"/>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lang w:val="en-US" w:eastAsia="en-US" w:bidi="ar-SA"/>
              </w:rPr>
            </w:r>
            <w:r>
              <w:rPr>
                <w:highlight w:val="none"/>
              </w:rPr>
            </w:r>
          </w:p>
        </w:tc>
      </w:tr>
    </w:tbl>
    <w:p>
      <w:pPr>
        <w:pStyle w:val="662"/>
        <w:ind w:left="984" w:hanging="984"/>
        <w:spacing w:line="400" w:lineRule="exact"/>
        <w:rPr>
          <w:rFonts w:ascii="仿宋_GB2312" w:hAnsi="Times New Roman" w:eastAsia="仿宋_GB2312"/>
          <w:b/>
          <w:bCs/>
          <w:color w:val="000000"/>
          <w:sz w:val="28"/>
          <w:szCs w:val="28"/>
          <w:highlight w:val="none"/>
        </w:rPr>
      </w:pPr>
      <w:r>
        <w:rPr>
          <w:rFonts w:ascii="仿宋_GB2312" w:hAnsi="Times New Roman" w:eastAsia="仿宋_GB2312"/>
          <w:b/>
          <w:bCs/>
          <w:color w:val="000000"/>
          <w:sz w:val="28"/>
          <w:szCs w:val="28"/>
          <w:highlight w:val="none"/>
        </w:rPr>
      </w:r>
      <w:r>
        <w:rPr>
          <w:highlight w:val="none"/>
        </w:rPr>
      </w:r>
    </w:p>
    <w:p>
      <w:pPr>
        <w:pStyle w:val="662"/>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lang w:val="zh-CN"/>
        </w:rPr>
      </w:r>
      <w:r>
        <w:rPr>
          <w:highlight w:val="none"/>
        </w:rPr>
      </w:r>
    </w:p>
    <w:p>
      <w:pPr>
        <w:pStyle w:val="662"/>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rFonts w:hint="eastAsia" w:ascii="宋体" w:hAnsi="宋体" w:cs="宋体"/>
          <w:b/>
          <w:color w:val="000000"/>
          <w:sz w:val="28"/>
          <w:szCs w:val="28"/>
          <w:highlight w:val="none"/>
          <w:lang w:val="zh-CN"/>
        </w:rPr>
      </w:r>
      <w:r>
        <w:rPr>
          <w:highlight w:val="none"/>
        </w:rPr>
      </w:r>
    </w:p>
    <w:p>
      <w:pPr>
        <w:pStyle w:val="662"/>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lang w:val="zh-CN"/>
        </w:rPr>
        <w:t xml:space="preserve">2.</w:t>
      </w:r>
      <w:r>
        <w:rPr>
          <w:rFonts w:hint="eastAsia" w:ascii="宋体" w:hAnsi="宋体" w:cs="宋体"/>
          <w:b/>
          <w:color w:val="000000"/>
          <w:sz w:val="28"/>
          <w:szCs w:val="28"/>
          <w:highlight w:val="none"/>
        </w:rPr>
        <w:t xml:space="preserve"> 供应商须详细备注主要标的信息，并</w:t>
      </w:r>
      <w:r>
        <w:rPr>
          <w:rFonts w:hint="eastAsia" w:ascii="宋体" w:hAnsi="宋体" w:cs="宋体"/>
          <w:b/>
          <w:color w:val="000000"/>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000000"/>
          <w:sz w:val="28"/>
          <w:szCs w:val="28"/>
          <w:highlight w:val="none"/>
        </w:rPr>
        <w:t xml:space="preserve">国政府采购法》等国家有关规定追究相应责</w:t>
      </w:r>
      <w:r>
        <w:rPr>
          <w:rFonts w:hint="eastAsia" w:ascii="宋体" w:hAnsi="宋体" w:cs="宋体"/>
          <w:b/>
          <w:color w:val="000000"/>
          <w:sz w:val="28"/>
          <w:szCs w:val="28"/>
          <w:highlight w:val="none"/>
          <w:lang w:val="zh-CN"/>
        </w:rPr>
        <w:t xml:space="preserve">任。</w:t>
      </w:r>
      <w:r>
        <w:rPr>
          <w:rFonts w:hint="eastAsia" w:ascii="宋体" w:hAnsi="宋体" w:cs="宋体"/>
          <w:b/>
          <w:color w:val="000000"/>
          <w:sz w:val="28"/>
          <w:szCs w:val="28"/>
          <w:highlight w:val="none"/>
          <w:lang w:val="zh-CN"/>
        </w:rPr>
      </w:r>
      <w:r>
        <w:rPr>
          <w:highlight w:val="none"/>
        </w:rPr>
      </w:r>
    </w:p>
    <w:p>
      <w:pPr>
        <w:pStyle w:val="662"/>
        <w:spacing w:line="300" w:lineRule="auto"/>
        <w:rPr>
          <w:rFonts w:ascii="Times New Roman" w:hAnsi="Times New Roman" w:eastAsia="方正黑体_GBK"/>
          <w:color w:val="000000"/>
          <w:sz w:val="32"/>
          <w:szCs w:val="32"/>
          <w:highlight w:val="none"/>
        </w:rPr>
        <w:outlineLvl w:val="0"/>
      </w:pPr>
      <w:r>
        <w:rPr>
          <w:rFonts w:ascii="宋体" w:hAnsi="宋体" w:eastAsia="幼圆" w:cs="Arial"/>
          <w:b/>
          <w:color w:val="000000"/>
          <w:sz w:val="24"/>
          <w:szCs w:val="44"/>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10</w:t>
      </w:r>
      <w:r>
        <w:rPr>
          <w:rFonts w:ascii="Times New Roman" w:hAnsi="Times New Roman" w:eastAsia="方正黑体_GBK"/>
          <w:color w:val="000000"/>
          <w:sz w:val="32"/>
          <w:szCs w:val="32"/>
          <w:highlight w:val="none"/>
        </w:rPr>
      </w:r>
      <w:r>
        <w:rPr>
          <w:highlight w:val="none"/>
        </w:rPr>
      </w:r>
    </w:p>
    <w:p>
      <w:pPr>
        <w:pStyle w:val="961"/>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961"/>
        <w:jc w:val="center"/>
        <w:rPr>
          <w:rFonts w:hint="eastAsia" w:ascii="宋体" w:hAnsi="宋体"/>
          <w:b/>
          <w:sz w:val="36"/>
          <w:szCs w:val="36"/>
          <w:highlight w:val="none"/>
        </w:rPr>
      </w:pPr>
      <w:r>
        <w:rPr>
          <w:rFonts w:hint="eastAsia" w:ascii="宋体" w:hAnsi="宋体"/>
          <w:b/>
          <w:sz w:val="36"/>
          <w:szCs w:val="36"/>
          <w:highlight w:val="none"/>
        </w:rPr>
        <w:t xml:space="preserve">中小企业声明函（货物）</w:t>
      </w:r>
      <w:r>
        <w:rPr>
          <w:rFonts w:hint="eastAsia" w:ascii="宋体" w:hAnsi="宋体"/>
          <w:b/>
          <w:sz w:val="36"/>
          <w:szCs w:val="36"/>
          <w:highlight w:val="none"/>
        </w:rPr>
      </w:r>
      <w:r>
        <w:rPr>
          <w:highlight w:val="none"/>
        </w:rPr>
      </w:r>
    </w:p>
    <w:p>
      <w:pPr>
        <w:pStyle w:val="961"/>
        <w:jc w:val="left"/>
        <w:rPr>
          <w:rFonts w:hint="eastAsia" w:ascii="宋体" w:hAnsi="宋体"/>
          <w:b/>
          <w:sz w:val="32"/>
          <w:szCs w:val="32"/>
          <w:highlight w:val="none"/>
        </w:rPr>
      </w:pPr>
      <w:r>
        <w:rPr>
          <w:rFonts w:hint="eastAsia" w:ascii="宋体" w:hAnsi="宋体"/>
          <w:b/>
          <w:sz w:val="32"/>
          <w:szCs w:val="32"/>
          <w:highlight w:val="none"/>
        </w:rPr>
      </w:r>
      <w:r>
        <w:rPr>
          <w:highlight w:val="none"/>
        </w:rPr>
      </w:r>
    </w:p>
    <w:p>
      <w:pPr>
        <w:pStyle w:val="961"/>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ascii="宋体" w:hAnsi="宋体"/>
          <w:sz w:val="24"/>
          <w:szCs w:val="24"/>
          <w:highlight w:val="none"/>
        </w:rPr>
        <w:t xml:space="preserve">〔2020〕46号）</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 单位名称  </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 采购活动，提供的货物全部由符合政策要求的中小企业制造。相关企业（含联合体中的中小企业、签订分包意向协议的中小企业）的具体情况如下：</w:t>
      </w:r>
      <w:r>
        <w:rPr>
          <w:rFonts w:hint="eastAsia" w:ascii="宋体" w:hAnsi="宋体"/>
          <w:sz w:val="24"/>
          <w:szCs w:val="24"/>
          <w:highlight w:val="none"/>
        </w:rPr>
      </w:r>
      <w:r>
        <w:rPr>
          <w:highlight w:val="none"/>
        </w:rPr>
      </w:r>
    </w:p>
    <w:p>
      <w:pPr>
        <w:pStyle w:val="961"/>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1.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rFonts w:hint="eastAsia" w:ascii="宋体" w:hAnsi="宋体"/>
          <w:sz w:val="24"/>
          <w:szCs w:val="24"/>
          <w:highlight w:val="none"/>
          <w:u w:val="single"/>
        </w:rPr>
      </w:r>
      <w:r>
        <w:rPr>
          <w:highlight w:val="none"/>
        </w:rPr>
      </w:r>
    </w:p>
    <w:p>
      <w:pPr>
        <w:pStyle w:val="961"/>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2.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rPr>
          <w:rFonts w:hint="eastAsia" w:ascii="宋体" w:hAnsi="宋体"/>
          <w:sz w:val="24"/>
          <w:szCs w:val="24"/>
          <w:highlight w:val="none"/>
          <w:u w:val="single"/>
        </w:rPr>
      </w:r>
      <w:r>
        <w:rPr>
          <w:highlight w:val="none"/>
        </w:rPr>
      </w:r>
    </w:p>
    <w:p>
      <w:pPr>
        <w:pStyle w:val="961"/>
        <w:ind w:firstLine="480"/>
        <w:jc w:val="left"/>
        <w:spacing w:line="5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rPr>
          <w:highlight w:val="none"/>
        </w:rPr>
      </w:r>
    </w:p>
    <w:p>
      <w:pPr>
        <w:pStyle w:val="961"/>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rPr>
          <w:highlight w:val="none"/>
        </w:rPr>
      </w:r>
    </w:p>
    <w:p>
      <w:pPr>
        <w:pStyle w:val="961"/>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rPr>
          <w:highlight w:val="none"/>
        </w:rPr>
      </w:r>
    </w:p>
    <w:p>
      <w:pPr>
        <w:pStyle w:val="961"/>
        <w:ind w:firstLine="480"/>
        <w:jc w:val="center"/>
        <w:spacing w:line="500" w:lineRule="exact"/>
        <w:rPr>
          <w:rFonts w:hint="eastAsia" w:ascii="宋体" w:hAnsi="宋体"/>
          <w:sz w:val="24"/>
          <w:szCs w:val="24"/>
          <w:highlight w:val="none"/>
        </w:rPr>
      </w:pPr>
      <w:r>
        <w:rPr>
          <w:rFonts w:hint="eastAsia" w:ascii="宋体" w:hAnsi="宋体"/>
          <w:sz w:val="24"/>
          <w:szCs w:val="24"/>
          <w:highlight w:val="none"/>
        </w:rPr>
      </w:r>
      <w:r>
        <w:rPr>
          <w:highlight w:val="none"/>
        </w:rPr>
      </w:r>
    </w:p>
    <w:p>
      <w:pPr>
        <w:pStyle w:val="961"/>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rPr>
          <w:highlight w:val="none"/>
        </w:rPr>
      </w:r>
    </w:p>
    <w:p>
      <w:pPr>
        <w:pStyle w:val="961"/>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日期：</w:t>
      </w:r>
      <w:r>
        <w:rPr>
          <w:rFonts w:hint="eastAsia" w:ascii="宋体" w:hAnsi="宋体"/>
          <w:sz w:val="24"/>
          <w:szCs w:val="24"/>
          <w:highlight w:val="none"/>
        </w:rPr>
      </w:r>
      <w:r>
        <w:rPr>
          <w:highlight w:val="none"/>
        </w:rPr>
      </w:r>
    </w:p>
    <w:p>
      <w:pPr>
        <w:pStyle w:val="961"/>
        <w:ind w:firstLine="560"/>
        <w:spacing w:line="560" w:lineRule="exact"/>
        <w:rPr>
          <w:rFonts w:hint="eastAsia" w:ascii="宋体" w:hAnsi="宋体"/>
          <w:sz w:val="28"/>
          <w:szCs w:val="28"/>
          <w:highlight w:val="none"/>
        </w:rPr>
      </w:pPr>
      <w:r>
        <w:rPr>
          <w:rFonts w:hint="eastAsia" w:ascii="宋体" w:hAnsi="宋体"/>
          <w:sz w:val="28"/>
          <w:szCs w:val="28"/>
          <w:highlight w:val="none"/>
        </w:rPr>
      </w:r>
      <w:r>
        <w:rPr>
          <w:highlight w:val="none"/>
        </w:rPr>
      </w:r>
    </w:p>
    <w:p>
      <w:pPr>
        <w:pStyle w:val="961"/>
        <w:ind w:firstLine="360"/>
        <w:spacing w:line="560" w:lineRule="exact"/>
        <w:rPr>
          <w:rFonts w:hint="eastAsia" w:ascii="宋体" w:hAnsi="宋体"/>
          <w:sz w:val="18"/>
          <w:szCs w:val="18"/>
          <w:highlight w:val="none"/>
        </w:rPr>
      </w:pPr>
      <w:r>
        <w:rPr>
          <w:rFonts w:hint="eastAsia" w:ascii="宋体" w:hAnsi="宋体"/>
          <w:sz w:val="18"/>
          <w:szCs w:val="18"/>
          <w:highlight w:val="none"/>
          <w:vertAlign w:val="superscript"/>
        </w:rPr>
        <w:t xml:space="preserve">1</w:t>
      </w:r>
      <w:r>
        <w:rPr>
          <w:rFonts w:hint="eastAsia" w:ascii="宋体" w:hAnsi="宋体"/>
          <w:sz w:val="18"/>
          <w:szCs w:val="18"/>
          <w:highlight w:val="none"/>
        </w:rPr>
        <w:t xml:space="preserve">从业人员、营业收入、资产总额填报上一年数据，无上一年数据的新成立企业可不填报。</w:t>
      </w:r>
      <w:r>
        <w:rPr>
          <w:rFonts w:hint="eastAsia" w:ascii="宋体" w:hAnsi="宋体"/>
          <w:sz w:val="18"/>
          <w:szCs w:val="18"/>
          <w:highlight w:val="none"/>
        </w:rPr>
      </w:r>
      <w:r>
        <w:rPr>
          <w:highlight w:val="none"/>
        </w:rPr>
      </w:r>
    </w:p>
    <w:p>
      <w:pPr>
        <w:pStyle w:val="961"/>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961"/>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961"/>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662"/>
        <w:jc w:val="center"/>
        <w:spacing w:line="300" w:lineRule="auto"/>
        <w:rPr>
          <w:rFonts w:hint="eastAsia" w:ascii="Times New Roman" w:hAnsi="Times New Roman"/>
          <w:b/>
          <w:bCs/>
          <w:color w:val="000000"/>
          <w:sz w:val="28"/>
          <w:szCs w:val="28"/>
          <w:highlight w:val="none"/>
        </w:rPr>
        <w:outlineLvl w:val="0"/>
      </w:pPr>
      <w:r>
        <w:rPr>
          <w:rFonts w:hint="eastAsia" w:ascii="Times New Roman" w:hAnsi="Times New Roman"/>
          <w:b/>
          <w:bCs/>
          <w:color w:val="000000"/>
          <w:sz w:val="28"/>
          <w:szCs w:val="28"/>
          <w:highlight w:val="none"/>
          <w:lang w:bidi="zh-CN"/>
        </w:rPr>
      </w:r>
      <w:r>
        <w:rPr>
          <w:highlight w:val="none"/>
        </w:rPr>
      </w:r>
    </w:p>
    <w:p>
      <w:pPr>
        <w:pStyle w:val="876"/>
        <w:rPr>
          <w:rFonts w:hint="eastAsia" w:ascii="Times New Roman" w:hAnsi="Times New Roman"/>
          <w:b/>
          <w:bCs/>
          <w:color w:val="000000"/>
          <w:sz w:val="28"/>
          <w:szCs w:val="28"/>
          <w:highlight w:val="none"/>
        </w:rPr>
      </w:pPr>
      <w:r>
        <w:rPr>
          <w:rFonts w:hint="eastAsia" w:ascii="Times New Roman" w:hAnsi="Times New Roman"/>
          <w:b/>
          <w:bCs/>
          <w:color w:val="000000"/>
          <w:sz w:val="28"/>
          <w:szCs w:val="28"/>
          <w:highlight w:val="none"/>
          <w:lang w:bidi="zh-CN"/>
        </w:rPr>
      </w:r>
      <w:r>
        <w:rPr>
          <w:highlight w:val="none"/>
        </w:rPr>
      </w:r>
    </w:p>
    <w:p>
      <w:pPr>
        <w:pStyle w:val="878"/>
        <w:rPr>
          <w:rFonts w:hint="eastAsia" w:ascii="Times New Roman" w:hAnsi="Times New Roman"/>
          <w:b/>
          <w:bCs/>
          <w:color w:val="000000"/>
          <w:sz w:val="28"/>
          <w:szCs w:val="28"/>
          <w:highlight w:val="none"/>
        </w:rPr>
      </w:pPr>
      <w:r>
        <w:rPr>
          <w:rFonts w:hint="eastAsia" w:ascii="Times New Roman" w:hAnsi="Times New Roman"/>
          <w:b/>
          <w:bCs/>
          <w:color w:val="000000"/>
          <w:sz w:val="28"/>
          <w:szCs w:val="28"/>
          <w:highlight w:val="none"/>
          <w:lang w:bidi="zh-CN"/>
        </w:rPr>
      </w:r>
      <w:r>
        <w:rPr>
          <w:highlight w:val="none"/>
        </w:rPr>
      </w:r>
    </w:p>
    <w:p>
      <w:pPr>
        <w:pStyle w:val="878"/>
        <w:rPr>
          <w:rFonts w:hint="eastAsia" w:ascii="Times New Roman" w:hAnsi="Times New Roman"/>
          <w:b/>
          <w:bCs/>
          <w:color w:val="000000"/>
          <w:sz w:val="28"/>
          <w:szCs w:val="28"/>
          <w:highlight w:val="none"/>
        </w:rPr>
      </w:pPr>
      <w:r>
        <w:rPr>
          <w:rFonts w:hint="eastAsia" w:ascii="Times New Roman" w:hAnsi="Times New Roman"/>
          <w:b/>
          <w:bCs/>
          <w:color w:val="000000"/>
          <w:sz w:val="28"/>
          <w:szCs w:val="28"/>
          <w:highlight w:val="none"/>
          <w:lang w:bidi="zh-CN"/>
        </w:rPr>
      </w:r>
      <w:r>
        <w:rPr>
          <w:highlight w:val="none"/>
        </w:rPr>
      </w:r>
    </w:p>
    <w:p>
      <w:pPr>
        <w:pStyle w:val="662"/>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1</w:t>
      </w:r>
      <w:r>
        <w:rPr>
          <w:rFonts w:ascii="Times New Roman" w:hAnsi="Times New Roman" w:eastAsia="方正黑体_GBK"/>
          <w:color w:val="000000"/>
          <w:sz w:val="32"/>
          <w:szCs w:val="32"/>
          <w:highlight w:val="none"/>
        </w:rPr>
      </w:r>
      <w:r>
        <w:rPr>
          <w:highlight w:val="none"/>
        </w:rPr>
      </w:r>
    </w:p>
    <w:p>
      <w:pPr>
        <w:pStyle w:val="662"/>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rPr>
          <w:highlight w:val="none"/>
        </w:rPr>
      </w:r>
    </w:p>
    <w:p>
      <w:pPr>
        <w:pStyle w:val="66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rPr>
          <w:highlight w:val="none"/>
        </w:rPr>
      </w:r>
    </w:p>
    <w:p>
      <w:pPr>
        <w:pStyle w:val="66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rPr>
          <w:highlight w:val="none"/>
        </w:rPr>
      </w:r>
    </w:p>
    <w:p>
      <w:pPr>
        <w:pStyle w:val="66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66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66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66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662"/>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rPr>
          <w:highlight w:val="none"/>
        </w:rPr>
      </w:r>
    </w:p>
    <w:p>
      <w:pPr>
        <w:pStyle w:val="662"/>
        <w:ind w:firstLine="560"/>
        <w:spacing w:line="588" w:lineRule="exact"/>
        <w:rPr>
          <w:rFonts w:hint="eastAsia" w:ascii="仿宋_GB2312" w:hAnsi="Times New Roman"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color w:val="000000"/>
          <w:spacing w:val="6"/>
          <w:sz w:val="28"/>
          <w:szCs w:val="28"/>
          <w:highlight w:val="none"/>
        </w:rPr>
      </w:r>
      <w:r>
        <w:rPr>
          <w:highlight w:val="none"/>
        </w:rPr>
      </w:r>
    </w:p>
    <w:p>
      <w:pPr>
        <w:pStyle w:val="662"/>
        <w:ind w:firstLine="584"/>
        <w:spacing w:line="588"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rPr>
          <w:highlight w:val="none"/>
        </w:rPr>
      </w:r>
    </w:p>
    <w:p>
      <w:pPr>
        <w:pStyle w:val="662"/>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hAnsi="Times New Roman"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rPr>
          <w:highlight w:val="none"/>
        </w:rPr>
      </w:r>
    </w:p>
    <w:p>
      <w:pPr>
        <w:pStyle w:val="662"/>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rPr>
          <w:highlight w:val="none"/>
        </w:rPr>
      </w:r>
    </w:p>
    <w:p>
      <w:pPr>
        <w:pStyle w:val="662"/>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2</w:t>
      </w:r>
      <w:r>
        <w:rPr>
          <w:rFonts w:ascii="Times New Roman" w:hAnsi="Times New Roman" w:eastAsia="方正黑体_GBK"/>
          <w:color w:val="000000"/>
          <w:sz w:val="32"/>
          <w:szCs w:val="32"/>
          <w:highlight w:val="none"/>
        </w:rPr>
      </w:r>
      <w:r>
        <w:rPr>
          <w:highlight w:val="none"/>
        </w:rPr>
      </w:r>
    </w:p>
    <w:p>
      <w:pPr>
        <w:pStyle w:val="662"/>
        <w:jc w:val="center"/>
        <w:spacing w:line="420" w:lineRule="exact"/>
        <w:rPr>
          <w:b/>
          <w:bCs/>
          <w:color w:val="000000"/>
          <w:sz w:val="32"/>
          <w:szCs w:val="32"/>
          <w:highlight w:val="none"/>
        </w:rPr>
        <w:outlineLvl w:val="3"/>
      </w:pPr>
      <w:r>
        <w:rPr>
          <w:rFonts w:hint="eastAsia"/>
          <w:b/>
          <w:bCs/>
          <w:color w:val="000000"/>
          <w:sz w:val="32"/>
          <w:szCs w:val="32"/>
          <w:highlight w:val="none"/>
        </w:rPr>
        <w:t xml:space="preserve">监狱和戒毒企业证明材料</w:t>
      </w:r>
      <w:r>
        <w:rPr>
          <w:b/>
          <w:bCs/>
          <w:color w:val="000000"/>
          <w:sz w:val="32"/>
          <w:szCs w:val="32"/>
          <w:highlight w:val="none"/>
        </w:rPr>
      </w:r>
      <w:r>
        <w:rPr>
          <w:highlight w:val="none"/>
        </w:rPr>
      </w:r>
    </w:p>
    <w:p>
      <w:pPr>
        <w:pStyle w:val="662"/>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p>
    <w:p>
      <w:pPr>
        <w:pStyle w:val="662"/>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rPr>
          <w:highlight w:val="none"/>
        </w:rPr>
      </w:r>
    </w:p>
    <w:p>
      <w:pPr>
        <w:pStyle w:val="662"/>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rPr>
          <w:highlight w:val="none"/>
        </w:rPr>
      </w:r>
    </w:p>
    <w:p>
      <w:pPr>
        <w:pStyle w:val="662"/>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注：1、供应商如不提供此声明函，价格将不做相应扣除。</w:t>
      </w:r>
      <w:r>
        <w:rPr>
          <w:rFonts w:hint="eastAsia" w:ascii="Times New Roman" w:hAnsi="Times New Roman"/>
          <w:color w:val="000000"/>
          <w:sz w:val="28"/>
          <w:szCs w:val="28"/>
          <w:highlight w:val="none"/>
        </w:rPr>
      </w:r>
      <w:r>
        <w:rPr>
          <w:highlight w:val="none"/>
        </w:rPr>
      </w:r>
    </w:p>
    <w:p>
      <w:pPr>
        <w:pStyle w:val="662"/>
        <w:ind w:firstLine="560"/>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2、成交供应商为监狱企业的，此声明函将随成交结果同时公告，</w:t>
      </w: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接受社会监督。供应商按照本办法规定提供声明函内容不实的，属于</w:t>
      </w: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提供虚假材料谋取中标、成交，依照《中华人民共和国政府采购法》</w:t>
      </w: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等国家有关规定追究相应责任。</w:t>
      </w:r>
      <w:r>
        <w:rPr>
          <w:rFonts w:hint="eastAsia" w:ascii="Times New Roman" w:hAnsi="Times New Roman"/>
          <w:color w:val="000000"/>
          <w:sz w:val="28"/>
          <w:szCs w:val="28"/>
          <w:highlight w:val="none"/>
        </w:rPr>
      </w:r>
      <w:r>
        <w:rPr>
          <w:highlight w:val="none"/>
        </w:rPr>
      </w:r>
    </w:p>
    <w:p>
      <w:pPr>
        <w:pStyle w:val="662"/>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rPr>
          <w:highlight w:val="none"/>
        </w:rPr>
      </w:r>
    </w:p>
    <w:p>
      <w:pPr>
        <w:pStyle w:val="662"/>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rPr>
          <w:highlight w:val="none"/>
        </w:rPr>
      </w:r>
    </w:p>
    <w:p>
      <w:pPr>
        <w:pStyle w:val="662"/>
        <w:rPr>
          <w:rFonts w:ascii="Times New Roman" w:hAnsi="Times New Roman" w:eastAsia="方正黑体_GBK"/>
          <w:bCs/>
          <w:color w:val="000000"/>
          <w:sz w:val="32"/>
          <w:szCs w:val="32"/>
          <w:highlight w:val="none"/>
        </w:rPr>
        <w:outlineLvl w:val="0"/>
      </w:pPr>
      <w:r>
        <w:rPr>
          <w:rFonts w:ascii="黑体" w:hAnsi="黑体" w:eastAsia="黑体"/>
          <w:b/>
          <w:color w:val="000000"/>
          <w:sz w:val="32"/>
          <w:szCs w:val="32"/>
          <w:highlight w:val="none"/>
        </w:rPr>
        <w:br w:type="page" w:clear="all"/>
      </w:r>
      <w:r>
        <w:rPr>
          <w:rFonts w:ascii="Times New Roman" w:hAnsi="Times New Roman" w:eastAsia="方正黑体_GBK"/>
          <w:bCs/>
          <w:color w:val="000000"/>
          <w:sz w:val="32"/>
          <w:szCs w:val="32"/>
          <w:highlight w:val="none"/>
          <w:lang w:bidi="ar"/>
        </w:rPr>
        <w:t xml:space="preserve">附件1</w:t>
      </w:r>
      <w:r>
        <w:rPr>
          <w:rFonts w:hint="eastAsia" w:ascii="Times New Roman" w:hAnsi="Times New Roman" w:eastAsia="方正黑体_GBK"/>
          <w:bCs/>
          <w:color w:val="000000"/>
          <w:sz w:val="32"/>
          <w:szCs w:val="32"/>
          <w:highlight w:val="none"/>
          <w:lang w:bidi="ar"/>
        </w:rPr>
        <w:t xml:space="preserve">3</w:t>
      </w:r>
      <w:r>
        <w:rPr>
          <w:rFonts w:ascii="Times New Roman" w:hAnsi="Times New Roman" w:eastAsia="方正黑体_GBK"/>
          <w:bCs/>
          <w:color w:val="000000"/>
          <w:sz w:val="32"/>
          <w:szCs w:val="32"/>
          <w:highlight w:val="none"/>
          <w:lang w:bidi="ar"/>
        </w:rPr>
      </w:r>
      <w:r>
        <w:rPr>
          <w:highlight w:val="none"/>
        </w:rPr>
      </w:r>
    </w:p>
    <w:p>
      <w:pPr>
        <w:pStyle w:val="662"/>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rPr>
          <w:rFonts w:ascii="黑体" w:hAnsi="黑体" w:eastAsia="黑体"/>
          <w:b/>
          <w:color w:val="000000"/>
          <w:sz w:val="32"/>
          <w:szCs w:val="32"/>
          <w:highlight w:val="none"/>
        </w:rPr>
      </w:r>
      <w:r>
        <w:rPr>
          <w:highlight w:val="none"/>
        </w:rPr>
      </w:r>
    </w:p>
    <w:p>
      <w:pPr>
        <w:pStyle w:val="662"/>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rPr>
          <w:highlight w:val="none"/>
        </w:rPr>
      </w:r>
    </w:p>
    <w:p>
      <w:pPr>
        <w:pStyle w:val="662"/>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自愿组成联合体，参加采购人组织的采购编号为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rPr>
          <w:highlight w:val="none"/>
        </w:rPr>
      </w:r>
    </w:p>
    <w:p>
      <w:pPr>
        <w:pStyle w:val="662"/>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rPr>
          <w:highlight w:val="none"/>
        </w:rPr>
      </w:r>
    </w:p>
    <w:p>
      <w:pPr>
        <w:pStyle w:val="662"/>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662"/>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662"/>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备注：本磋商文件中要求加盖CA电子签章的地方，仅需加盖牵头单位的CA电子签章。</w:t>
      </w:r>
      <w:r>
        <w:rPr>
          <w:rFonts w:ascii="宋体" w:hAnsi="宋体"/>
          <w:color w:val="000000"/>
          <w:sz w:val="24"/>
          <w:szCs w:val="21"/>
          <w:highlight w:val="none"/>
        </w:rPr>
      </w:r>
      <w:r>
        <w:rPr>
          <w:highlight w:val="none"/>
        </w:rPr>
      </w:r>
    </w:p>
    <w:p>
      <w:pPr>
        <w:pStyle w:val="662"/>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rPr>
          <w:highlight w:val="none"/>
        </w:rPr>
      </w:r>
    </w:p>
    <w:p>
      <w:pPr>
        <w:pStyle w:val="662"/>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rPr>
          <w:highlight w:val="none"/>
        </w:rPr>
      </w:r>
    </w:p>
    <w:p>
      <w:pPr>
        <w:pStyle w:val="662"/>
        <w:ind w:firstLine="645"/>
        <w:spacing w:line="560" w:lineRule="exact"/>
        <w:rPr>
          <w:rFonts w:hint="eastAsia" w:ascii="宋体" w:hAnsi="宋体"/>
          <w:color w:val="000000"/>
          <w:sz w:val="24"/>
          <w:szCs w:val="24"/>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rPr>
          <w:highlight w:val="none"/>
        </w:rPr>
      </w:r>
    </w:p>
    <w:p>
      <w:pPr>
        <w:pStyle w:val="662"/>
        <w:ind w:firstLine="480"/>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662"/>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spacing w:line="52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4</w:t>
      </w:r>
      <w:r>
        <w:rPr>
          <w:rFonts w:ascii="Times New Roman" w:hAnsi="Times New Roman" w:eastAsia="方正黑体_GBK"/>
          <w:color w:val="000000"/>
          <w:sz w:val="32"/>
          <w:szCs w:val="32"/>
          <w:highlight w:val="none"/>
        </w:rPr>
      </w:r>
      <w:r>
        <w:rPr>
          <w:highlight w:val="none"/>
        </w:rPr>
      </w:r>
    </w:p>
    <w:p>
      <w:pPr>
        <w:pStyle w:val="662"/>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rPr>
          <w:highlight w:val="none"/>
        </w:rPr>
      </w:r>
    </w:p>
    <w:p>
      <w:pPr>
        <w:pStyle w:val="662"/>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662"/>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662"/>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rPr>
          <w:highlight w:val="none"/>
        </w:rPr>
      </w:r>
    </w:p>
    <w:p>
      <w:pPr>
        <w:pStyle w:val="66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rPr>
          <w:highlight w:val="none"/>
        </w:rPr>
      </w:r>
    </w:p>
    <w:p>
      <w:pPr>
        <w:pStyle w:val="662"/>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rPr>
          <w:highlight w:val="none"/>
        </w:rPr>
      </w:r>
    </w:p>
    <w:p>
      <w:pPr>
        <w:pStyle w:val="66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66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rPr>
          <w:highlight w:val="none"/>
        </w:rPr>
      </w:r>
    </w:p>
    <w:p>
      <w:pPr>
        <w:pStyle w:val="66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rPr>
          <w:highlight w:val="none"/>
        </w:rPr>
      </w:r>
    </w:p>
    <w:p>
      <w:pPr>
        <w:pStyle w:val="662"/>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rPr>
          <w:highlight w:val="none"/>
        </w:rPr>
      </w:r>
    </w:p>
    <w:p>
      <w:pPr>
        <w:pStyle w:val="66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rPr>
          <w:highlight w:val="none"/>
        </w:rPr>
      </w:r>
    </w:p>
    <w:p>
      <w:pPr>
        <w:pStyle w:val="66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rPr>
          <w:highlight w:val="none"/>
        </w:rPr>
      </w:r>
    </w:p>
    <w:p>
      <w:pPr>
        <w:pStyle w:val="66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rPr>
          <w:highlight w:val="none"/>
        </w:rPr>
      </w:r>
    </w:p>
    <w:p>
      <w:pPr>
        <w:pStyle w:val="66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rPr>
          <w:highlight w:val="none"/>
        </w:rPr>
      </w:r>
    </w:p>
    <w:p>
      <w:pPr>
        <w:pStyle w:val="66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rPr>
          <w:highlight w:val="none"/>
        </w:rPr>
      </w:r>
    </w:p>
    <w:p>
      <w:pPr>
        <w:pStyle w:val="662"/>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66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891"/>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rPr>
        <w:rStyle w:val="916"/>
      </w:rPr>
    </w:r>
    <w:r/>
  </w:p>
  <w:p>
    <w:pPr>
      <w:pStyle w:val="8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0"/>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856"/>
      <w:isLgl w:val="false"/>
      <w:suff w:val="nothing"/>
      <w:lvlText w:val=""/>
      <w:lvlJc w:val="left"/>
      <w:pPr>
        <w:pStyle w:val="662"/>
        <w:ind w:left="0" w:firstLine="0"/>
      </w:pPr>
      <w:rPr>
        <w:rFonts w:hint="eastAsia"/>
      </w:rPr>
    </w:lvl>
    <w:lvl w:ilvl="6">
      <w:start w:val="1"/>
      <w:numFmt w:val="decimal"/>
      <w:pStyle w:val="858"/>
      <w:isLgl w:val="false"/>
      <w:suff w:val="nothing"/>
      <w:lvlText w:val=""/>
      <w:lvlJc w:val="left"/>
      <w:pPr>
        <w:pStyle w:val="662"/>
        <w:ind w:left="0" w:firstLine="0"/>
      </w:pPr>
      <w:rPr>
        <w:rFonts w:hint="eastAsia"/>
      </w:rPr>
    </w:lvl>
    <w:lvl w:ilvl="7">
      <w:start w:val="1"/>
      <w:numFmt w:val="decimal"/>
      <w:pStyle w:val="860"/>
      <w:isLgl w:val="false"/>
      <w:suff w:val="nothing"/>
      <w:lvlText w:val=""/>
      <w:lvlJc w:val="left"/>
      <w:pPr>
        <w:pStyle w:val="662"/>
        <w:ind w:left="0" w:firstLine="0"/>
      </w:pPr>
      <w:rPr>
        <w:rFonts w:hint="eastAsia"/>
      </w:rPr>
    </w:lvl>
    <w:lvl w:ilvl="8">
      <w:start w:val="1"/>
      <w:numFmt w:val="decimal"/>
      <w:pStyle w:val="862"/>
      <w:isLgl w:val="false"/>
      <w:suff w:val="nothing"/>
      <w:lvlText w:val=""/>
      <w:lvlJc w:val="left"/>
      <w:pPr>
        <w:pStyle w:val="662"/>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662"/>
        <w:ind w:left="420" w:hanging="420"/>
        <w:tabs>
          <w:tab w:val="num" w:pos="420" w:leader="none"/>
        </w:tabs>
      </w:pPr>
    </w:lvl>
    <w:lvl w:ilvl="1">
      <w:start w:val="1"/>
      <w:numFmt w:val="lowerLetter"/>
      <w:isLgl w:val="false"/>
      <w:suff w:val="tab"/>
      <w:lvlText w:val="%2)"/>
      <w:lvlJc w:val="left"/>
      <w:pPr>
        <w:pStyle w:val="662"/>
        <w:ind w:left="840" w:hanging="420"/>
        <w:tabs>
          <w:tab w:val="num" w:pos="840" w:leader="none"/>
        </w:tabs>
      </w:pPr>
    </w:lvl>
    <w:lvl w:ilvl="2">
      <w:start w:val="1"/>
      <w:numFmt w:val="lowerRoman"/>
      <w:isLgl w:val="false"/>
      <w:suff w:val="tab"/>
      <w:lvlText w:val="%3."/>
      <w:lvlJc w:val="right"/>
      <w:pPr>
        <w:pStyle w:val="662"/>
        <w:ind w:left="1260" w:hanging="420"/>
        <w:tabs>
          <w:tab w:val="num" w:pos="1260" w:leader="none"/>
        </w:tabs>
      </w:pPr>
    </w:lvl>
    <w:lvl w:ilvl="3">
      <w:start w:val="1"/>
      <w:numFmt w:val="decimal"/>
      <w:isLgl w:val="false"/>
      <w:suff w:val="tab"/>
      <w:lvlText w:val="%4."/>
      <w:lvlJc w:val="left"/>
      <w:pPr>
        <w:pStyle w:val="662"/>
        <w:ind w:left="1680" w:hanging="420"/>
        <w:tabs>
          <w:tab w:val="num" w:pos="1680" w:leader="none"/>
        </w:tabs>
      </w:pPr>
    </w:lvl>
    <w:lvl w:ilvl="4">
      <w:start w:val="1"/>
      <w:numFmt w:val="lowerLetter"/>
      <w:isLgl w:val="false"/>
      <w:suff w:val="tab"/>
      <w:lvlText w:val="%5)"/>
      <w:lvlJc w:val="left"/>
      <w:pPr>
        <w:pStyle w:val="662"/>
        <w:ind w:left="2100" w:hanging="420"/>
        <w:tabs>
          <w:tab w:val="num" w:pos="2100" w:leader="none"/>
        </w:tabs>
      </w:pPr>
    </w:lvl>
    <w:lvl w:ilvl="5">
      <w:start w:val="1"/>
      <w:numFmt w:val="lowerRoman"/>
      <w:isLgl w:val="false"/>
      <w:suff w:val="tab"/>
      <w:lvlText w:val="%6."/>
      <w:lvlJc w:val="right"/>
      <w:pPr>
        <w:pStyle w:val="662"/>
        <w:ind w:left="2520" w:hanging="420"/>
        <w:tabs>
          <w:tab w:val="num" w:pos="2520" w:leader="none"/>
        </w:tabs>
      </w:pPr>
    </w:lvl>
    <w:lvl w:ilvl="6">
      <w:start w:val="1"/>
      <w:numFmt w:val="decimal"/>
      <w:isLgl w:val="false"/>
      <w:suff w:val="tab"/>
      <w:lvlText w:val="%7."/>
      <w:lvlJc w:val="left"/>
      <w:pPr>
        <w:pStyle w:val="662"/>
        <w:ind w:left="2940" w:hanging="420"/>
        <w:tabs>
          <w:tab w:val="num" w:pos="2940" w:leader="none"/>
        </w:tabs>
      </w:pPr>
    </w:lvl>
    <w:lvl w:ilvl="7">
      <w:start w:val="1"/>
      <w:numFmt w:val="lowerLetter"/>
      <w:isLgl w:val="false"/>
      <w:suff w:val="tab"/>
      <w:lvlText w:val="%8)"/>
      <w:lvlJc w:val="left"/>
      <w:pPr>
        <w:pStyle w:val="662"/>
        <w:ind w:left="3360" w:hanging="420"/>
        <w:tabs>
          <w:tab w:val="num" w:pos="3360" w:leader="none"/>
        </w:tabs>
      </w:pPr>
    </w:lvl>
    <w:lvl w:ilvl="8">
      <w:start w:val="1"/>
      <w:numFmt w:val="lowerRoman"/>
      <w:isLgl w:val="false"/>
      <w:suff w:val="tab"/>
      <w:lvlText w:val="%9."/>
      <w:lvlJc w:val="right"/>
      <w:pPr>
        <w:pStyle w:val="662"/>
        <w:ind w:left="3780" w:hanging="420"/>
        <w:tabs>
          <w:tab w:val="num" w:pos="3780" w:leader="none"/>
        </w:tabs>
      </w:pPr>
    </w:lvl>
  </w:abstractNum>
  <w:abstractNum w:abstractNumId="7">
    <w:multiLevelType w:val="hybridMultilevel"/>
    <w:lvl w:ilvl="0">
      <w:start w:val="1"/>
      <w:numFmt w:val="upperLetter"/>
      <w:pStyle w:val="925"/>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5"/>
  </w:num>
  <w:num w:numId="5">
    <w:abstractNumId w:val="2"/>
  </w:num>
  <w:num w:numId="6">
    <w:abstractNumId w:val="8"/>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62"/>
    <w:next w:val="662"/>
    <w:link w:val="683"/>
    <w:uiPriority w:val="10"/>
    <w:qFormat/>
    <w:pPr>
      <w:contextualSpacing/>
      <w:spacing w:before="300" w:after="200"/>
    </w:pPr>
    <w:rPr>
      <w:sz w:val="48"/>
      <w:szCs w:val="48"/>
    </w:rPr>
  </w:style>
  <w:style w:type="paragraph" w:styleId="35">
    <w:name w:val="Subtitle"/>
    <w:basedOn w:val="662"/>
    <w:next w:val="662"/>
    <w:link w:val="675"/>
    <w:uiPriority w:val="11"/>
    <w:qFormat/>
    <w:pPr>
      <w:spacing w:before="200" w:after="200"/>
    </w:pPr>
    <w:rPr>
      <w:sz w:val="24"/>
      <w:szCs w:val="24"/>
    </w:rPr>
  </w:style>
  <w:style w:type="paragraph" w:styleId="41">
    <w:name w:val="Header"/>
    <w:basedOn w:val="662"/>
    <w:link w:val="713"/>
    <w:uiPriority w:val="99"/>
    <w:unhideWhenUsed/>
    <w:pPr>
      <w:spacing w:after="0" w:line="240" w:lineRule="auto"/>
      <w:tabs>
        <w:tab w:val="center" w:pos="7143" w:leader="none"/>
        <w:tab w:val="right" w:pos="14287" w:leader="none"/>
      </w:tabs>
    </w:pPr>
  </w:style>
  <w:style w:type="paragraph" w:styleId="43">
    <w:name w:val="Footer"/>
    <w:basedOn w:val="662"/>
    <w:link w:val="716"/>
    <w:uiPriority w:val="99"/>
    <w:unhideWhenUsed/>
    <w:pPr>
      <w:spacing w:after="0" w:line="240" w:lineRule="auto"/>
      <w:tabs>
        <w:tab w:val="center" w:pos="7143" w:leader="none"/>
        <w:tab w:val="right" w:pos="14287" w:leader="none"/>
      </w:tabs>
    </w:pPr>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2"/>
    <w:link w:val="67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2"/>
    <w:link w:val="67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90">
    <w:name w:val="table of figures"/>
    <w:basedOn w:val="662"/>
    <w:next w:val="662"/>
    <w:uiPriority w:val="99"/>
    <w:unhideWhenUsed/>
    <w:pPr>
      <w:spacing w:after="0" w:afterAutospacing="0"/>
    </w:pPr>
  </w:style>
  <w:style w:type="paragraph" w:styleId="662" w:default="1">
    <w:name w:val="Normal"/>
    <w:next w:val="665"/>
    <w:link w:val="662"/>
    <w:qFormat/>
    <w:rPr>
      <w:sz w:val="24"/>
      <w:szCs w:val="24"/>
    </w:rPr>
  </w:style>
  <w:style w:type="character" w:styleId="663">
    <w:name w:val="默认段落字体"/>
    <w:next w:val="663"/>
    <w:link w:val="662"/>
    <w:uiPriority w:val="1"/>
    <w:unhideWhenUsed/>
  </w:style>
  <w:style w:type="table" w:styleId="664">
    <w:name w:val="普通表格"/>
    <w:next w:val="664"/>
    <w:link w:val="662"/>
    <w:uiPriority w:val="99"/>
    <w:unhideWhenUsed/>
    <w:tblPr/>
  </w:style>
  <w:style w:type="paragraph" w:styleId="665">
    <w:name w:val="正文文本"/>
    <w:basedOn w:val="662"/>
    <w:next w:val="662"/>
    <w:link w:val="662"/>
    <w:qFormat/>
    <w:rPr>
      <w:rFonts w:ascii="楷体_GB2312" w:hAnsi="Arial"/>
      <w:sz w:val="28"/>
    </w:rPr>
  </w:style>
  <w:style w:type="paragraph" w:styleId="666">
    <w:name w:val="目录 7"/>
    <w:basedOn w:val="662"/>
    <w:next w:val="662"/>
    <w:link w:val="662"/>
    <w:uiPriority w:val="39"/>
    <w:unhideWhenUsed/>
    <w:pPr>
      <w:ind w:left="1701" w:right="0" w:firstLine="0"/>
      <w:spacing w:after="57"/>
    </w:pPr>
  </w:style>
  <w:style w:type="paragraph" w:styleId="667">
    <w:name w:val="目录 5"/>
    <w:basedOn w:val="662"/>
    <w:next w:val="662"/>
    <w:link w:val="662"/>
    <w:uiPriority w:val="39"/>
    <w:unhideWhenUsed/>
    <w:pPr>
      <w:ind w:left="1134" w:right="0" w:firstLine="0"/>
      <w:spacing w:after="57"/>
    </w:pPr>
  </w:style>
  <w:style w:type="paragraph" w:styleId="668">
    <w:name w:val="目录 3"/>
    <w:basedOn w:val="662"/>
    <w:next w:val="662"/>
    <w:link w:val="662"/>
    <w:uiPriority w:val="39"/>
    <w:unhideWhenUsed/>
    <w:pPr>
      <w:ind w:left="567" w:right="0" w:firstLine="0"/>
      <w:spacing w:after="57"/>
    </w:pPr>
  </w:style>
  <w:style w:type="paragraph" w:styleId="669">
    <w:name w:val="目录 8"/>
    <w:basedOn w:val="662"/>
    <w:next w:val="662"/>
    <w:link w:val="662"/>
    <w:uiPriority w:val="39"/>
    <w:unhideWhenUsed/>
    <w:pPr>
      <w:ind w:left="1984" w:right="0" w:firstLine="0"/>
      <w:spacing w:after="57"/>
    </w:pPr>
  </w:style>
  <w:style w:type="paragraph" w:styleId="670">
    <w:name w:val="尾注文本"/>
    <w:basedOn w:val="662"/>
    <w:next w:val="670"/>
    <w:link w:val="671"/>
    <w:uiPriority w:val="99"/>
    <w:unhideWhenUsed/>
    <w:pPr>
      <w:spacing w:after="0" w:line="240" w:lineRule="auto"/>
    </w:pPr>
    <w:rPr>
      <w:sz w:val="20"/>
    </w:rPr>
  </w:style>
  <w:style w:type="character" w:styleId="671">
    <w:name w:val="Endnote Text Char"/>
    <w:next w:val="671"/>
    <w:link w:val="670"/>
    <w:uiPriority w:val="99"/>
    <w:rPr>
      <w:sz w:val="20"/>
    </w:rPr>
  </w:style>
  <w:style w:type="paragraph" w:styleId="672">
    <w:name w:val="目录 1"/>
    <w:basedOn w:val="662"/>
    <w:next w:val="662"/>
    <w:link w:val="662"/>
    <w:uiPriority w:val="39"/>
    <w:unhideWhenUsed/>
    <w:pPr>
      <w:ind w:left="0" w:right="0" w:firstLine="0"/>
      <w:spacing w:after="57"/>
    </w:pPr>
  </w:style>
  <w:style w:type="paragraph" w:styleId="673">
    <w:name w:val="目录 4"/>
    <w:basedOn w:val="662"/>
    <w:next w:val="662"/>
    <w:link w:val="662"/>
    <w:uiPriority w:val="39"/>
    <w:unhideWhenUsed/>
    <w:pPr>
      <w:ind w:left="850" w:right="0" w:firstLine="0"/>
      <w:spacing w:after="57"/>
    </w:pPr>
  </w:style>
  <w:style w:type="paragraph" w:styleId="674">
    <w:name w:val="副标题"/>
    <w:basedOn w:val="662"/>
    <w:next w:val="662"/>
    <w:link w:val="675"/>
    <w:uiPriority w:val="11"/>
    <w:qFormat/>
    <w:pPr>
      <w:spacing w:before="200" w:after="200"/>
    </w:pPr>
    <w:rPr>
      <w:sz w:val="24"/>
      <w:szCs w:val="24"/>
    </w:rPr>
  </w:style>
  <w:style w:type="character" w:styleId="675">
    <w:name w:val="Subtitle Char"/>
    <w:next w:val="675"/>
    <w:link w:val="674"/>
    <w:uiPriority w:val="11"/>
    <w:rPr>
      <w:sz w:val="24"/>
      <w:szCs w:val="24"/>
    </w:rPr>
  </w:style>
  <w:style w:type="paragraph" w:styleId="676">
    <w:name w:val="脚注文本"/>
    <w:basedOn w:val="662"/>
    <w:next w:val="676"/>
    <w:link w:val="677"/>
    <w:uiPriority w:val="99"/>
    <w:unhideWhenUsed/>
    <w:pPr>
      <w:spacing w:after="40" w:line="240" w:lineRule="auto"/>
    </w:pPr>
    <w:rPr>
      <w:sz w:val="18"/>
    </w:rPr>
  </w:style>
  <w:style w:type="character" w:styleId="677">
    <w:name w:val="Footnote Text Char"/>
    <w:next w:val="677"/>
    <w:link w:val="676"/>
    <w:uiPriority w:val="99"/>
    <w:rPr>
      <w:sz w:val="18"/>
    </w:rPr>
  </w:style>
  <w:style w:type="paragraph" w:styleId="678">
    <w:name w:val="目录 6"/>
    <w:basedOn w:val="662"/>
    <w:next w:val="662"/>
    <w:link w:val="662"/>
    <w:uiPriority w:val="39"/>
    <w:unhideWhenUsed/>
    <w:pPr>
      <w:ind w:left="1417" w:right="0" w:firstLine="0"/>
      <w:spacing w:after="57"/>
    </w:pPr>
  </w:style>
  <w:style w:type="paragraph" w:styleId="679">
    <w:name w:val="图表目录"/>
    <w:basedOn w:val="662"/>
    <w:next w:val="662"/>
    <w:link w:val="662"/>
    <w:uiPriority w:val="99"/>
    <w:unhideWhenUsed/>
    <w:pPr>
      <w:spacing w:after="0" w:afterAutospacing="0"/>
    </w:pPr>
  </w:style>
  <w:style w:type="paragraph" w:styleId="680">
    <w:name w:val="目录 2"/>
    <w:basedOn w:val="662"/>
    <w:next w:val="662"/>
    <w:link w:val="662"/>
    <w:uiPriority w:val="39"/>
    <w:unhideWhenUsed/>
    <w:pPr>
      <w:ind w:left="283" w:right="0" w:firstLine="0"/>
      <w:spacing w:after="57"/>
    </w:pPr>
  </w:style>
  <w:style w:type="paragraph" w:styleId="681">
    <w:name w:val="目录 9"/>
    <w:basedOn w:val="662"/>
    <w:next w:val="662"/>
    <w:link w:val="662"/>
    <w:uiPriority w:val="39"/>
    <w:unhideWhenUsed/>
    <w:pPr>
      <w:ind w:left="2268" w:right="0" w:firstLine="0"/>
      <w:spacing w:after="57"/>
    </w:pPr>
  </w:style>
  <w:style w:type="paragraph" w:styleId="682">
    <w:name w:val="标题"/>
    <w:basedOn w:val="662"/>
    <w:next w:val="662"/>
    <w:link w:val="683"/>
    <w:uiPriority w:val="10"/>
    <w:qFormat/>
    <w:pPr>
      <w:contextualSpacing/>
      <w:spacing w:before="300" w:after="200"/>
    </w:pPr>
    <w:rPr>
      <w:sz w:val="48"/>
      <w:szCs w:val="48"/>
    </w:rPr>
  </w:style>
  <w:style w:type="character" w:styleId="683">
    <w:name w:val="Title Char"/>
    <w:next w:val="683"/>
    <w:link w:val="682"/>
    <w:uiPriority w:val="10"/>
    <w:rPr>
      <w:sz w:val="48"/>
      <w:szCs w:val="48"/>
    </w:rPr>
  </w:style>
  <w:style w:type="table" w:styleId="684">
    <w:name w:val="网格型"/>
    <w:next w:val="684"/>
    <w:link w:val="662"/>
    <w:uiPriority w:val="59"/>
    <w:pPr>
      <w:spacing w:after="0" w:line="240" w:lineRule="auto"/>
    </w:pPr>
    <w:tblPr/>
  </w:style>
  <w:style w:type="character" w:styleId="685">
    <w:name w:val="尾注引用"/>
    <w:next w:val="685"/>
    <w:link w:val="662"/>
    <w:uiPriority w:val="99"/>
    <w:unhideWhenUsed/>
    <w:rPr>
      <w:vertAlign w:val="superscript"/>
    </w:rPr>
  </w:style>
  <w:style w:type="character" w:styleId="686">
    <w:name w:val="超链接"/>
    <w:next w:val="686"/>
    <w:link w:val="662"/>
    <w:uiPriority w:val="99"/>
    <w:unhideWhenUsed/>
    <w:rPr>
      <w:color w:val="0000ff"/>
      <w:u w:val="single"/>
    </w:rPr>
  </w:style>
  <w:style w:type="character" w:styleId="687">
    <w:name w:val="脚注引用"/>
    <w:next w:val="687"/>
    <w:link w:val="662"/>
    <w:uiPriority w:val="99"/>
    <w:unhideWhenUsed/>
    <w:rPr>
      <w:vertAlign w:val="superscript"/>
    </w:rPr>
  </w:style>
  <w:style w:type="paragraph" w:styleId="688">
    <w:name w:val="Heading 1"/>
    <w:basedOn w:val="662"/>
    <w:next w:val="662"/>
    <w:link w:val="689"/>
    <w:uiPriority w:val="9"/>
    <w:qFormat/>
    <w:pPr>
      <w:keepLines/>
      <w:keepNext/>
      <w:spacing w:before="480" w:after="200"/>
      <w:outlineLvl w:val="0"/>
    </w:pPr>
    <w:rPr>
      <w:rFonts w:ascii="Arial" w:hAnsi="Arial" w:eastAsia="Arial" w:cs="Arial"/>
      <w:sz w:val="40"/>
      <w:szCs w:val="40"/>
    </w:rPr>
  </w:style>
  <w:style w:type="character" w:styleId="689">
    <w:name w:val="Heading 1 Char"/>
    <w:next w:val="689"/>
    <w:link w:val="688"/>
    <w:uiPriority w:val="9"/>
    <w:rPr>
      <w:rFonts w:ascii="Arial" w:hAnsi="Arial" w:eastAsia="Arial" w:cs="Arial"/>
      <w:sz w:val="40"/>
      <w:szCs w:val="40"/>
    </w:rPr>
  </w:style>
  <w:style w:type="paragraph" w:styleId="690">
    <w:name w:val="Heading 2"/>
    <w:basedOn w:val="662"/>
    <w:next w:val="662"/>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next w:val="691"/>
    <w:link w:val="690"/>
    <w:uiPriority w:val="9"/>
    <w:rPr>
      <w:rFonts w:ascii="Arial" w:hAnsi="Arial" w:eastAsia="Arial" w:cs="Arial"/>
      <w:sz w:val="34"/>
    </w:rPr>
  </w:style>
  <w:style w:type="paragraph" w:styleId="692">
    <w:name w:val="Heading 3"/>
    <w:basedOn w:val="662"/>
    <w:next w:val="662"/>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next w:val="693"/>
    <w:link w:val="692"/>
    <w:uiPriority w:val="9"/>
    <w:rPr>
      <w:rFonts w:ascii="Arial" w:hAnsi="Arial" w:eastAsia="Arial" w:cs="Arial"/>
      <w:sz w:val="30"/>
      <w:szCs w:val="30"/>
    </w:rPr>
  </w:style>
  <w:style w:type="paragraph" w:styleId="694">
    <w:name w:val="Heading 4"/>
    <w:basedOn w:val="662"/>
    <w:next w:val="662"/>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next w:val="695"/>
    <w:link w:val="694"/>
    <w:uiPriority w:val="9"/>
    <w:rPr>
      <w:rFonts w:ascii="Arial" w:hAnsi="Arial" w:eastAsia="Arial" w:cs="Arial"/>
      <w:b/>
      <w:bCs/>
      <w:sz w:val="26"/>
      <w:szCs w:val="26"/>
    </w:rPr>
  </w:style>
  <w:style w:type="paragraph" w:styleId="696">
    <w:name w:val="Heading 5"/>
    <w:basedOn w:val="662"/>
    <w:next w:val="662"/>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next w:val="697"/>
    <w:link w:val="696"/>
    <w:uiPriority w:val="9"/>
    <w:rPr>
      <w:rFonts w:ascii="Arial" w:hAnsi="Arial" w:eastAsia="Arial" w:cs="Arial"/>
      <w:b/>
      <w:bCs/>
      <w:sz w:val="24"/>
      <w:szCs w:val="24"/>
    </w:rPr>
  </w:style>
  <w:style w:type="paragraph" w:styleId="698">
    <w:name w:val="Heading 6"/>
    <w:basedOn w:val="662"/>
    <w:next w:val="662"/>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next w:val="699"/>
    <w:link w:val="698"/>
    <w:uiPriority w:val="9"/>
    <w:rPr>
      <w:rFonts w:ascii="Arial" w:hAnsi="Arial" w:eastAsia="Arial" w:cs="Arial"/>
      <w:b/>
      <w:bCs/>
      <w:sz w:val="22"/>
      <w:szCs w:val="22"/>
    </w:rPr>
  </w:style>
  <w:style w:type="paragraph" w:styleId="700">
    <w:name w:val="Heading 7"/>
    <w:basedOn w:val="662"/>
    <w:next w:val="662"/>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next w:val="701"/>
    <w:link w:val="700"/>
    <w:uiPriority w:val="9"/>
    <w:rPr>
      <w:rFonts w:ascii="Arial" w:hAnsi="Arial" w:eastAsia="Arial" w:cs="Arial"/>
      <w:b/>
      <w:bCs/>
      <w:i/>
      <w:iCs/>
      <w:sz w:val="22"/>
      <w:szCs w:val="22"/>
    </w:rPr>
  </w:style>
  <w:style w:type="paragraph" w:styleId="702">
    <w:name w:val="Heading 8"/>
    <w:basedOn w:val="662"/>
    <w:next w:val="662"/>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next w:val="703"/>
    <w:link w:val="702"/>
    <w:uiPriority w:val="9"/>
    <w:rPr>
      <w:rFonts w:ascii="Arial" w:hAnsi="Arial" w:eastAsia="Arial" w:cs="Arial"/>
      <w:i/>
      <w:iCs/>
      <w:sz w:val="22"/>
      <w:szCs w:val="22"/>
    </w:rPr>
  </w:style>
  <w:style w:type="paragraph" w:styleId="704">
    <w:name w:val="Heading 9"/>
    <w:basedOn w:val="662"/>
    <w:next w:val="662"/>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next w:val="705"/>
    <w:link w:val="704"/>
    <w:uiPriority w:val="9"/>
    <w:rPr>
      <w:rFonts w:ascii="Arial" w:hAnsi="Arial" w:eastAsia="Arial" w:cs="Arial"/>
      <w:i/>
      <w:iCs/>
      <w:sz w:val="21"/>
      <w:szCs w:val="21"/>
    </w:rPr>
  </w:style>
  <w:style w:type="paragraph" w:styleId="706">
    <w:name w:val="List Paragraph"/>
    <w:basedOn w:val="662"/>
    <w:next w:val="706"/>
    <w:link w:val="662"/>
    <w:uiPriority w:val="34"/>
    <w:qFormat/>
    <w:pPr>
      <w:contextualSpacing/>
      <w:ind w:left="720"/>
    </w:pPr>
  </w:style>
  <w:style w:type="paragraph" w:styleId="707">
    <w:name w:val="No Spacing"/>
    <w:next w:val="707"/>
    <w:link w:val="662"/>
    <w:uiPriority w:val="1"/>
    <w:qFormat/>
    <w:pPr>
      <w:spacing w:before="0" w:after="0" w:line="240" w:lineRule="auto"/>
    </w:pPr>
  </w:style>
  <w:style w:type="paragraph" w:styleId="708">
    <w:name w:val="Quote"/>
    <w:basedOn w:val="662"/>
    <w:next w:val="662"/>
    <w:link w:val="709"/>
    <w:uiPriority w:val="29"/>
    <w:qFormat/>
    <w:pPr>
      <w:ind w:left="720" w:right="720"/>
    </w:pPr>
    <w:rPr>
      <w:i/>
    </w:rPr>
  </w:style>
  <w:style w:type="character" w:styleId="709">
    <w:name w:val="Quote Char"/>
    <w:next w:val="709"/>
    <w:link w:val="708"/>
    <w:uiPriority w:val="29"/>
    <w:rPr>
      <w:i/>
    </w:rPr>
  </w:style>
  <w:style w:type="paragraph" w:styleId="710">
    <w:name w:val="Intense Quote"/>
    <w:basedOn w:val="662"/>
    <w:next w:val="662"/>
    <w:link w:val="7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next w:val="711"/>
    <w:link w:val="710"/>
    <w:uiPriority w:val="30"/>
    <w:rPr>
      <w:i/>
    </w:rPr>
  </w:style>
  <w:style w:type="paragraph" w:styleId="712">
    <w:name w:val="Header1"/>
    <w:basedOn w:val="662"/>
    <w:next w:val="712"/>
    <w:link w:val="713"/>
    <w:uiPriority w:val="99"/>
    <w:unhideWhenUsed/>
    <w:pPr>
      <w:spacing w:after="0" w:line="240" w:lineRule="auto"/>
      <w:tabs>
        <w:tab w:val="center" w:pos="7143" w:leader="none"/>
        <w:tab w:val="right" w:pos="14287" w:leader="none"/>
      </w:tabs>
    </w:pPr>
  </w:style>
  <w:style w:type="character" w:styleId="713">
    <w:name w:val="Header Char"/>
    <w:next w:val="713"/>
    <w:link w:val="712"/>
    <w:uiPriority w:val="99"/>
  </w:style>
  <w:style w:type="paragraph" w:styleId="714">
    <w:name w:val="Footer1"/>
    <w:basedOn w:val="662"/>
    <w:next w:val="714"/>
    <w:link w:val="715"/>
    <w:uiPriority w:val="99"/>
    <w:unhideWhenUsed/>
    <w:pPr>
      <w:spacing w:after="0" w:line="240" w:lineRule="auto"/>
      <w:tabs>
        <w:tab w:val="center" w:pos="7143" w:leader="none"/>
        <w:tab w:val="right" w:pos="14287" w:leader="none"/>
      </w:tabs>
    </w:pPr>
  </w:style>
  <w:style w:type="character" w:styleId="715">
    <w:name w:val="Footer Char"/>
    <w:next w:val="715"/>
    <w:link w:val="714"/>
    <w:uiPriority w:val="99"/>
  </w:style>
  <w:style w:type="character" w:styleId="716">
    <w:name w:val="Caption Char"/>
    <w:next w:val="716"/>
    <w:link w:val="714"/>
    <w:uiPriority w:val="99"/>
  </w:style>
  <w:style w:type="paragraph" w:styleId="717">
    <w:name w:val="Caption1"/>
    <w:basedOn w:val="662"/>
    <w:next w:val="662"/>
    <w:link w:val="662"/>
    <w:uiPriority w:val="35"/>
    <w:unhideWhenUsed/>
    <w:qFormat/>
    <w:pPr>
      <w:spacing w:line="276" w:lineRule="auto"/>
    </w:pPr>
    <w:rPr>
      <w:b/>
      <w:bCs/>
      <w:color w:val="4f81bd"/>
      <w:sz w:val="18"/>
      <w:szCs w:val="18"/>
    </w:rPr>
  </w:style>
  <w:style w:type="table" w:styleId="718">
    <w:name w:val="Table Grid Light"/>
    <w:next w:val="718"/>
    <w:link w:val="662"/>
    <w:uiPriority w:val="59"/>
    <w:pPr>
      <w:spacing w:after="0" w:line="240" w:lineRule="auto"/>
    </w:pPr>
    <w:tblPr/>
  </w:style>
  <w:style w:type="table" w:styleId="719">
    <w:name w:val="Plain Table 1"/>
    <w:next w:val="719"/>
    <w:link w:val="662"/>
    <w:uiPriority w:val="59"/>
    <w:pPr>
      <w:spacing w:after="0" w:line="240" w:lineRule="auto"/>
    </w:pPr>
    <w:tblPr/>
  </w:style>
  <w:style w:type="table" w:styleId="720">
    <w:name w:val="Plain Table 2"/>
    <w:next w:val="720"/>
    <w:link w:val="662"/>
    <w:uiPriority w:val="59"/>
    <w:pPr>
      <w:spacing w:after="0" w:line="240" w:lineRule="auto"/>
    </w:pPr>
    <w:tblPr/>
  </w:style>
  <w:style w:type="table" w:styleId="721">
    <w:name w:val="Plain Table 3"/>
    <w:next w:val="721"/>
    <w:link w:val="662"/>
    <w:uiPriority w:val="99"/>
    <w:pPr>
      <w:spacing w:after="0" w:line="240" w:lineRule="auto"/>
    </w:pPr>
    <w:tblPr/>
  </w:style>
  <w:style w:type="table" w:styleId="722">
    <w:name w:val="Plain Table 4"/>
    <w:next w:val="722"/>
    <w:link w:val="662"/>
    <w:uiPriority w:val="99"/>
    <w:pPr>
      <w:spacing w:after="0" w:line="240" w:lineRule="auto"/>
    </w:pPr>
    <w:tblPr/>
  </w:style>
  <w:style w:type="table" w:styleId="723">
    <w:name w:val="Plain Table 5"/>
    <w:next w:val="723"/>
    <w:link w:val="662"/>
    <w:uiPriority w:val="99"/>
    <w:pPr>
      <w:spacing w:after="0" w:line="240" w:lineRule="auto"/>
    </w:pPr>
    <w:tblPr/>
  </w:style>
  <w:style w:type="table" w:styleId="724">
    <w:name w:val="Grid Table 1 Light"/>
    <w:next w:val="724"/>
    <w:link w:val="662"/>
    <w:uiPriority w:val="99"/>
    <w:pPr>
      <w:spacing w:after="0" w:line="240" w:lineRule="auto"/>
    </w:pPr>
    <w:tblPr/>
  </w:style>
  <w:style w:type="table" w:styleId="725">
    <w:name w:val="Grid Table 1 Light - Accent 1"/>
    <w:next w:val="725"/>
    <w:link w:val="662"/>
    <w:uiPriority w:val="99"/>
    <w:pPr>
      <w:spacing w:after="0" w:line="240" w:lineRule="auto"/>
    </w:pPr>
    <w:tblPr/>
  </w:style>
  <w:style w:type="table" w:styleId="726">
    <w:name w:val="Grid Table 1 Light - Accent 2"/>
    <w:next w:val="726"/>
    <w:link w:val="662"/>
    <w:uiPriority w:val="99"/>
    <w:pPr>
      <w:spacing w:after="0" w:line="240" w:lineRule="auto"/>
    </w:pPr>
    <w:tblPr/>
  </w:style>
  <w:style w:type="table" w:styleId="727">
    <w:name w:val="Grid Table 1 Light - Accent 3"/>
    <w:next w:val="727"/>
    <w:link w:val="662"/>
    <w:uiPriority w:val="99"/>
    <w:pPr>
      <w:spacing w:after="0" w:line="240" w:lineRule="auto"/>
    </w:pPr>
    <w:tblPr/>
  </w:style>
  <w:style w:type="table" w:styleId="728">
    <w:name w:val="Grid Table 1 Light - Accent 4"/>
    <w:next w:val="728"/>
    <w:link w:val="662"/>
    <w:uiPriority w:val="99"/>
    <w:pPr>
      <w:spacing w:after="0" w:line="240" w:lineRule="auto"/>
    </w:pPr>
    <w:tblPr/>
  </w:style>
  <w:style w:type="table" w:styleId="729">
    <w:name w:val="Grid Table 1 Light - Accent 5"/>
    <w:next w:val="729"/>
    <w:link w:val="662"/>
    <w:uiPriority w:val="99"/>
    <w:pPr>
      <w:spacing w:after="0" w:line="240" w:lineRule="auto"/>
    </w:pPr>
    <w:tblPr/>
  </w:style>
  <w:style w:type="table" w:styleId="730">
    <w:name w:val="Grid Table 1 Light - Accent 6"/>
    <w:next w:val="730"/>
    <w:link w:val="662"/>
    <w:uiPriority w:val="99"/>
    <w:pPr>
      <w:spacing w:after="0" w:line="240" w:lineRule="auto"/>
    </w:pPr>
    <w:tblPr/>
  </w:style>
  <w:style w:type="table" w:styleId="731">
    <w:name w:val="Grid Table 2"/>
    <w:next w:val="731"/>
    <w:link w:val="662"/>
    <w:uiPriority w:val="99"/>
    <w:pPr>
      <w:spacing w:after="0" w:line="240" w:lineRule="auto"/>
    </w:pPr>
    <w:tblPr/>
  </w:style>
  <w:style w:type="table" w:styleId="732">
    <w:name w:val="Grid Table 2 - Accent 1"/>
    <w:next w:val="732"/>
    <w:link w:val="662"/>
    <w:uiPriority w:val="99"/>
    <w:pPr>
      <w:spacing w:after="0" w:line="240" w:lineRule="auto"/>
    </w:pPr>
    <w:tblPr/>
  </w:style>
  <w:style w:type="table" w:styleId="733">
    <w:name w:val="Grid Table 2 - Accent 2"/>
    <w:next w:val="733"/>
    <w:link w:val="662"/>
    <w:uiPriority w:val="99"/>
    <w:pPr>
      <w:spacing w:after="0" w:line="240" w:lineRule="auto"/>
    </w:pPr>
    <w:tblPr/>
  </w:style>
  <w:style w:type="table" w:styleId="734">
    <w:name w:val="Grid Table 2 - Accent 3"/>
    <w:next w:val="734"/>
    <w:link w:val="662"/>
    <w:uiPriority w:val="99"/>
    <w:pPr>
      <w:spacing w:after="0" w:line="240" w:lineRule="auto"/>
    </w:pPr>
    <w:tblPr/>
  </w:style>
  <w:style w:type="table" w:styleId="735">
    <w:name w:val="Grid Table 2 - Accent 4"/>
    <w:next w:val="735"/>
    <w:link w:val="662"/>
    <w:uiPriority w:val="99"/>
    <w:pPr>
      <w:spacing w:after="0" w:line="240" w:lineRule="auto"/>
    </w:pPr>
    <w:tblPr/>
  </w:style>
  <w:style w:type="table" w:styleId="736">
    <w:name w:val="Grid Table 2 - Accent 5"/>
    <w:next w:val="736"/>
    <w:link w:val="662"/>
    <w:uiPriority w:val="99"/>
    <w:pPr>
      <w:spacing w:after="0" w:line="240" w:lineRule="auto"/>
    </w:pPr>
    <w:tblPr/>
  </w:style>
  <w:style w:type="table" w:styleId="737">
    <w:name w:val="Grid Table 2 - Accent 6"/>
    <w:next w:val="737"/>
    <w:link w:val="662"/>
    <w:uiPriority w:val="99"/>
    <w:pPr>
      <w:spacing w:after="0" w:line="240" w:lineRule="auto"/>
    </w:pPr>
    <w:tblPr/>
  </w:style>
  <w:style w:type="table" w:styleId="738">
    <w:name w:val="Grid Table 3"/>
    <w:next w:val="738"/>
    <w:link w:val="662"/>
    <w:uiPriority w:val="99"/>
    <w:pPr>
      <w:spacing w:after="0" w:line="240" w:lineRule="auto"/>
    </w:pPr>
    <w:tblPr/>
  </w:style>
  <w:style w:type="table" w:styleId="739">
    <w:name w:val="Grid Table 3 - Accent 1"/>
    <w:next w:val="739"/>
    <w:link w:val="662"/>
    <w:uiPriority w:val="99"/>
    <w:pPr>
      <w:spacing w:after="0" w:line="240" w:lineRule="auto"/>
    </w:pPr>
    <w:tblPr/>
  </w:style>
  <w:style w:type="table" w:styleId="740">
    <w:name w:val="Grid Table 3 - Accent 2"/>
    <w:next w:val="740"/>
    <w:link w:val="662"/>
    <w:uiPriority w:val="99"/>
    <w:pPr>
      <w:spacing w:after="0" w:line="240" w:lineRule="auto"/>
    </w:pPr>
    <w:tblPr/>
  </w:style>
  <w:style w:type="table" w:styleId="741">
    <w:name w:val="Grid Table 3 - Accent 3"/>
    <w:next w:val="741"/>
    <w:link w:val="662"/>
    <w:uiPriority w:val="99"/>
    <w:pPr>
      <w:spacing w:after="0" w:line="240" w:lineRule="auto"/>
    </w:pPr>
    <w:tblPr/>
  </w:style>
  <w:style w:type="table" w:styleId="742">
    <w:name w:val="Grid Table 3 - Accent 4"/>
    <w:next w:val="742"/>
    <w:link w:val="662"/>
    <w:uiPriority w:val="99"/>
    <w:pPr>
      <w:spacing w:after="0" w:line="240" w:lineRule="auto"/>
    </w:pPr>
    <w:tblPr/>
  </w:style>
  <w:style w:type="table" w:styleId="743">
    <w:name w:val="Grid Table 3 - Accent 5"/>
    <w:next w:val="743"/>
    <w:link w:val="662"/>
    <w:uiPriority w:val="99"/>
    <w:pPr>
      <w:spacing w:after="0" w:line="240" w:lineRule="auto"/>
    </w:pPr>
    <w:tblPr/>
  </w:style>
  <w:style w:type="table" w:styleId="744">
    <w:name w:val="Grid Table 3 - Accent 6"/>
    <w:next w:val="744"/>
    <w:link w:val="662"/>
    <w:uiPriority w:val="99"/>
    <w:pPr>
      <w:spacing w:after="0" w:line="240" w:lineRule="auto"/>
    </w:pPr>
    <w:tblPr/>
  </w:style>
  <w:style w:type="table" w:styleId="745">
    <w:name w:val="Grid Table 4"/>
    <w:next w:val="745"/>
    <w:link w:val="662"/>
    <w:uiPriority w:val="59"/>
    <w:pPr>
      <w:spacing w:after="0" w:line="240" w:lineRule="auto"/>
    </w:pPr>
    <w:tblPr/>
  </w:style>
  <w:style w:type="table" w:styleId="746">
    <w:name w:val="Grid Table 4 - Accent 1"/>
    <w:next w:val="746"/>
    <w:link w:val="662"/>
    <w:uiPriority w:val="59"/>
    <w:pPr>
      <w:spacing w:after="0" w:line="240" w:lineRule="auto"/>
    </w:pPr>
    <w:tblPr/>
  </w:style>
  <w:style w:type="table" w:styleId="747">
    <w:name w:val="Grid Table 4 - Accent 2"/>
    <w:next w:val="747"/>
    <w:link w:val="662"/>
    <w:uiPriority w:val="59"/>
    <w:pPr>
      <w:spacing w:after="0" w:line="240" w:lineRule="auto"/>
    </w:pPr>
    <w:tblPr/>
  </w:style>
  <w:style w:type="table" w:styleId="748">
    <w:name w:val="Grid Table 4 - Accent 3"/>
    <w:next w:val="748"/>
    <w:link w:val="662"/>
    <w:uiPriority w:val="59"/>
    <w:pPr>
      <w:spacing w:after="0" w:line="240" w:lineRule="auto"/>
    </w:pPr>
    <w:tblPr/>
  </w:style>
  <w:style w:type="table" w:styleId="749">
    <w:name w:val="Grid Table 4 - Accent 4"/>
    <w:next w:val="749"/>
    <w:link w:val="662"/>
    <w:uiPriority w:val="59"/>
    <w:pPr>
      <w:spacing w:after="0" w:line="240" w:lineRule="auto"/>
    </w:pPr>
    <w:tblPr/>
  </w:style>
  <w:style w:type="table" w:styleId="750">
    <w:name w:val="Grid Table 4 - Accent 5"/>
    <w:next w:val="750"/>
    <w:link w:val="662"/>
    <w:uiPriority w:val="59"/>
    <w:pPr>
      <w:spacing w:after="0" w:line="240" w:lineRule="auto"/>
    </w:pPr>
    <w:tblPr/>
  </w:style>
  <w:style w:type="table" w:styleId="751">
    <w:name w:val="Grid Table 4 - Accent 6"/>
    <w:next w:val="751"/>
    <w:link w:val="662"/>
    <w:uiPriority w:val="59"/>
    <w:pPr>
      <w:spacing w:after="0" w:line="240" w:lineRule="auto"/>
    </w:pPr>
    <w:tblPr/>
  </w:style>
  <w:style w:type="table" w:styleId="752">
    <w:name w:val="Grid Table 5 Dark"/>
    <w:next w:val="752"/>
    <w:link w:val="662"/>
    <w:uiPriority w:val="99"/>
    <w:pPr>
      <w:spacing w:after="0" w:line="240" w:lineRule="auto"/>
    </w:pPr>
    <w:tblPr/>
  </w:style>
  <w:style w:type="table" w:styleId="753">
    <w:name w:val="Grid Table 5 Dark- Accent 1"/>
    <w:next w:val="753"/>
    <w:link w:val="662"/>
    <w:uiPriority w:val="99"/>
    <w:pPr>
      <w:spacing w:after="0" w:line="240" w:lineRule="auto"/>
    </w:pPr>
    <w:tblPr/>
  </w:style>
  <w:style w:type="table" w:styleId="754">
    <w:name w:val="Grid Table 5 Dark - Accent 2"/>
    <w:next w:val="754"/>
    <w:link w:val="662"/>
    <w:uiPriority w:val="99"/>
    <w:pPr>
      <w:spacing w:after="0" w:line="240" w:lineRule="auto"/>
    </w:pPr>
    <w:tblPr/>
  </w:style>
  <w:style w:type="table" w:styleId="755">
    <w:name w:val="Grid Table 5 Dark - Accent 3"/>
    <w:next w:val="755"/>
    <w:link w:val="662"/>
    <w:uiPriority w:val="99"/>
    <w:pPr>
      <w:spacing w:after="0" w:line="240" w:lineRule="auto"/>
    </w:pPr>
    <w:tblPr/>
  </w:style>
  <w:style w:type="table" w:styleId="756">
    <w:name w:val="Grid Table 5 Dark- Accent 4"/>
    <w:next w:val="756"/>
    <w:link w:val="662"/>
    <w:uiPriority w:val="99"/>
    <w:pPr>
      <w:spacing w:after="0" w:line="240" w:lineRule="auto"/>
    </w:pPr>
    <w:tblPr/>
  </w:style>
  <w:style w:type="table" w:styleId="757">
    <w:name w:val="Grid Table 5 Dark - Accent 5"/>
    <w:next w:val="757"/>
    <w:link w:val="662"/>
    <w:uiPriority w:val="99"/>
    <w:pPr>
      <w:spacing w:after="0" w:line="240" w:lineRule="auto"/>
    </w:pPr>
    <w:tblPr/>
  </w:style>
  <w:style w:type="table" w:styleId="758">
    <w:name w:val="Grid Table 5 Dark - Accent 6"/>
    <w:next w:val="758"/>
    <w:link w:val="662"/>
    <w:uiPriority w:val="99"/>
    <w:pPr>
      <w:spacing w:after="0" w:line="240" w:lineRule="auto"/>
    </w:pPr>
    <w:tblPr/>
  </w:style>
  <w:style w:type="table" w:styleId="759">
    <w:name w:val="Grid Table 6 Colorful"/>
    <w:next w:val="759"/>
    <w:link w:val="662"/>
    <w:uiPriority w:val="99"/>
    <w:pPr>
      <w:spacing w:after="0" w:line="240" w:lineRule="auto"/>
    </w:pPr>
    <w:tblPr/>
  </w:style>
  <w:style w:type="table" w:styleId="760">
    <w:name w:val="Grid Table 6 Colorful - Accent 1"/>
    <w:next w:val="760"/>
    <w:link w:val="662"/>
    <w:uiPriority w:val="99"/>
    <w:pPr>
      <w:spacing w:after="0" w:line="240" w:lineRule="auto"/>
    </w:pPr>
    <w:tblPr/>
  </w:style>
  <w:style w:type="table" w:styleId="761">
    <w:name w:val="Grid Table 6 Colorful - Accent 2"/>
    <w:next w:val="761"/>
    <w:link w:val="662"/>
    <w:uiPriority w:val="99"/>
    <w:pPr>
      <w:spacing w:after="0" w:line="240" w:lineRule="auto"/>
    </w:pPr>
    <w:tblPr/>
  </w:style>
  <w:style w:type="table" w:styleId="762">
    <w:name w:val="Grid Table 6 Colorful - Accent 3"/>
    <w:next w:val="762"/>
    <w:link w:val="662"/>
    <w:uiPriority w:val="99"/>
    <w:pPr>
      <w:spacing w:after="0" w:line="240" w:lineRule="auto"/>
    </w:pPr>
    <w:tblPr/>
  </w:style>
  <w:style w:type="table" w:styleId="763">
    <w:name w:val="Grid Table 6 Colorful - Accent 4"/>
    <w:next w:val="763"/>
    <w:link w:val="662"/>
    <w:uiPriority w:val="99"/>
    <w:pPr>
      <w:spacing w:after="0" w:line="240" w:lineRule="auto"/>
    </w:pPr>
    <w:tblPr/>
  </w:style>
  <w:style w:type="table" w:styleId="764">
    <w:name w:val="Grid Table 6 Colorful - Accent 5"/>
    <w:next w:val="764"/>
    <w:link w:val="662"/>
    <w:uiPriority w:val="99"/>
    <w:pPr>
      <w:spacing w:after="0" w:line="240" w:lineRule="auto"/>
    </w:pPr>
    <w:tblPr/>
  </w:style>
  <w:style w:type="table" w:styleId="765">
    <w:name w:val="Grid Table 6 Colorful - Accent 6"/>
    <w:next w:val="765"/>
    <w:link w:val="662"/>
    <w:uiPriority w:val="99"/>
    <w:pPr>
      <w:spacing w:after="0" w:line="240" w:lineRule="auto"/>
    </w:pPr>
    <w:tblPr/>
  </w:style>
  <w:style w:type="table" w:styleId="766">
    <w:name w:val="Grid Table 7 Colorful"/>
    <w:next w:val="766"/>
    <w:link w:val="662"/>
    <w:uiPriority w:val="99"/>
    <w:pPr>
      <w:spacing w:after="0" w:line="240" w:lineRule="auto"/>
    </w:pPr>
    <w:tblPr/>
  </w:style>
  <w:style w:type="table" w:styleId="767">
    <w:name w:val="Grid Table 7 Colorful - Accent 1"/>
    <w:next w:val="767"/>
    <w:link w:val="662"/>
    <w:uiPriority w:val="99"/>
    <w:pPr>
      <w:spacing w:after="0" w:line="240" w:lineRule="auto"/>
    </w:pPr>
    <w:tblPr/>
  </w:style>
  <w:style w:type="table" w:styleId="768">
    <w:name w:val="Grid Table 7 Colorful - Accent 2"/>
    <w:next w:val="768"/>
    <w:link w:val="662"/>
    <w:uiPriority w:val="99"/>
    <w:pPr>
      <w:spacing w:after="0" w:line="240" w:lineRule="auto"/>
    </w:pPr>
    <w:tblPr/>
  </w:style>
  <w:style w:type="table" w:styleId="769">
    <w:name w:val="Grid Table 7 Colorful - Accent 3"/>
    <w:next w:val="769"/>
    <w:link w:val="662"/>
    <w:uiPriority w:val="99"/>
    <w:pPr>
      <w:spacing w:after="0" w:line="240" w:lineRule="auto"/>
    </w:pPr>
    <w:tblPr/>
  </w:style>
  <w:style w:type="table" w:styleId="770">
    <w:name w:val="Grid Table 7 Colorful - Accent 4"/>
    <w:next w:val="770"/>
    <w:link w:val="662"/>
    <w:uiPriority w:val="99"/>
    <w:pPr>
      <w:spacing w:after="0" w:line="240" w:lineRule="auto"/>
    </w:pPr>
    <w:tblPr/>
  </w:style>
  <w:style w:type="table" w:styleId="771">
    <w:name w:val="Grid Table 7 Colorful - Accent 5"/>
    <w:next w:val="771"/>
    <w:link w:val="662"/>
    <w:uiPriority w:val="99"/>
    <w:pPr>
      <w:spacing w:after="0" w:line="240" w:lineRule="auto"/>
    </w:pPr>
    <w:tblPr/>
  </w:style>
  <w:style w:type="table" w:styleId="772">
    <w:name w:val="Grid Table 7 Colorful - Accent 6"/>
    <w:next w:val="772"/>
    <w:link w:val="662"/>
    <w:uiPriority w:val="99"/>
    <w:pPr>
      <w:spacing w:after="0" w:line="240" w:lineRule="auto"/>
    </w:pPr>
    <w:tblPr/>
  </w:style>
  <w:style w:type="table" w:styleId="773">
    <w:name w:val="List Table 1 Light"/>
    <w:next w:val="773"/>
    <w:link w:val="662"/>
    <w:uiPriority w:val="99"/>
    <w:pPr>
      <w:spacing w:after="0" w:line="240" w:lineRule="auto"/>
    </w:pPr>
    <w:tblPr/>
  </w:style>
  <w:style w:type="table" w:styleId="774">
    <w:name w:val="List Table 1 Light - Accent 1"/>
    <w:next w:val="774"/>
    <w:link w:val="662"/>
    <w:uiPriority w:val="99"/>
    <w:pPr>
      <w:spacing w:after="0" w:line="240" w:lineRule="auto"/>
    </w:pPr>
    <w:tblPr/>
  </w:style>
  <w:style w:type="table" w:styleId="775">
    <w:name w:val="List Table 1 Light - Accent 2"/>
    <w:next w:val="775"/>
    <w:link w:val="662"/>
    <w:uiPriority w:val="99"/>
    <w:pPr>
      <w:spacing w:after="0" w:line="240" w:lineRule="auto"/>
    </w:pPr>
    <w:tblPr/>
  </w:style>
  <w:style w:type="table" w:styleId="776">
    <w:name w:val="List Table 1 Light - Accent 3"/>
    <w:next w:val="776"/>
    <w:link w:val="662"/>
    <w:uiPriority w:val="99"/>
    <w:pPr>
      <w:spacing w:after="0" w:line="240" w:lineRule="auto"/>
    </w:pPr>
    <w:tblPr/>
  </w:style>
  <w:style w:type="table" w:styleId="777">
    <w:name w:val="List Table 1 Light - Accent 4"/>
    <w:next w:val="777"/>
    <w:link w:val="662"/>
    <w:uiPriority w:val="99"/>
    <w:pPr>
      <w:spacing w:after="0" w:line="240" w:lineRule="auto"/>
    </w:pPr>
    <w:tblPr/>
  </w:style>
  <w:style w:type="table" w:styleId="778">
    <w:name w:val="List Table 1 Light - Accent 5"/>
    <w:next w:val="778"/>
    <w:link w:val="662"/>
    <w:uiPriority w:val="99"/>
    <w:pPr>
      <w:spacing w:after="0" w:line="240" w:lineRule="auto"/>
    </w:pPr>
    <w:tblPr/>
  </w:style>
  <w:style w:type="table" w:styleId="779">
    <w:name w:val="List Table 1 Light - Accent 6"/>
    <w:next w:val="779"/>
    <w:link w:val="662"/>
    <w:uiPriority w:val="99"/>
    <w:pPr>
      <w:spacing w:after="0" w:line="240" w:lineRule="auto"/>
    </w:pPr>
    <w:tblPr/>
  </w:style>
  <w:style w:type="table" w:styleId="780">
    <w:name w:val="List Table 2"/>
    <w:next w:val="780"/>
    <w:link w:val="662"/>
    <w:uiPriority w:val="99"/>
    <w:pPr>
      <w:spacing w:after="0" w:line="240" w:lineRule="auto"/>
    </w:pPr>
    <w:tblPr/>
  </w:style>
  <w:style w:type="table" w:styleId="781">
    <w:name w:val="List Table 2 - Accent 1"/>
    <w:next w:val="781"/>
    <w:link w:val="662"/>
    <w:uiPriority w:val="99"/>
    <w:pPr>
      <w:spacing w:after="0" w:line="240" w:lineRule="auto"/>
    </w:pPr>
    <w:tblPr/>
  </w:style>
  <w:style w:type="table" w:styleId="782">
    <w:name w:val="List Table 2 - Accent 2"/>
    <w:next w:val="782"/>
    <w:link w:val="662"/>
    <w:uiPriority w:val="99"/>
    <w:pPr>
      <w:spacing w:after="0" w:line="240" w:lineRule="auto"/>
    </w:pPr>
    <w:tblPr/>
  </w:style>
  <w:style w:type="table" w:styleId="783">
    <w:name w:val="List Table 2 - Accent 3"/>
    <w:next w:val="783"/>
    <w:link w:val="662"/>
    <w:uiPriority w:val="99"/>
    <w:pPr>
      <w:spacing w:after="0" w:line="240" w:lineRule="auto"/>
    </w:pPr>
    <w:tblPr/>
  </w:style>
  <w:style w:type="table" w:styleId="784">
    <w:name w:val="List Table 2 - Accent 4"/>
    <w:next w:val="784"/>
    <w:link w:val="662"/>
    <w:uiPriority w:val="99"/>
    <w:pPr>
      <w:spacing w:after="0" w:line="240" w:lineRule="auto"/>
    </w:pPr>
    <w:tblPr/>
  </w:style>
  <w:style w:type="table" w:styleId="785">
    <w:name w:val="List Table 2 - Accent 5"/>
    <w:next w:val="785"/>
    <w:link w:val="662"/>
    <w:uiPriority w:val="99"/>
    <w:pPr>
      <w:spacing w:after="0" w:line="240" w:lineRule="auto"/>
    </w:pPr>
    <w:tblPr/>
  </w:style>
  <w:style w:type="table" w:styleId="786">
    <w:name w:val="List Table 2 - Accent 6"/>
    <w:next w:val="786"/>
    <w:link w:val="662"/>
    <w:uiPriority w:val="99"/>
    <w:pPr>
      <w:spacing w:after="0" w:line="240" w:lineRule="auto"/>
    </w:pPr>
    <w:tblPr/>
  </w:style>
  <w:style w:type="table" w:styleId="787">
    <w:name w:val="List Table 3"/>
    <w:next w:val="787"/>
    <w:link w:val="662"/>
    <w:uiPriority w:val="99"/>
    <w:pPr>
      <w:spacing w:after="0" w:line="240" w:lineRule="auto"/>
    </w:pPr>
    <w:tblPr/>
  </w:style>
  <w:style w:type="table" w:styleId="788">
    <w:name w:val="List Table 3 - Accent 1"/>
    <w:next w:val="788"/>
    <w:link w:val="662"/>
    <w:uiPriority w:val="99"/>
    <w:pPr>
      <w:spacing w:after="0" w:line="240" w:lineRule="auto"/>
    </w:pPr>
    <w:tblPr/>
  </w:style>
  <w:style w:type="table" w:styleId="789">
    <w:name w:val="List Table 3 - Accent 2"/>
    <w:next w:val="789"/>
    <w:link w:val="662"/>
    <w:uiPriority w:val="99"/>
    <w:pPr>
      <w:spacing w:after="0" w:line="240" w:lineRule="auto"/>
    </w:pPr>
    <w:tblPr/>
  </w:style>
  <w:style w:type="table" w:styleId="790">
    <w:name w:val="List Table 3 - Accent 3"/>
    <w:next w:val="790"/>
    <w:link w:val="662"/>
    <w:uiPriority w:val="99"/>
    <w:pPr>
      <w:spacing w:after="0" w:line="240" w:lineRule="auto"/>
    </w:pPr>
    <w:tblPr/>
  </w:style>
  <w:style w:type="table" w:styleId="791">
    <w:name w:val="List Table 3 - Accent 4"/>
    <w:next w:val="791"/>
    <w:link w:val="662"/>
    <w:uiPriority w:val="99"/>
    <w:pPr>
      <w:spacing w:after="0" w:line="240" w:lineRule="auto"/>
    </w:pPr>
    <w:tblPr/>
  </w:style>
  <w:style w:type="table" w:styleId="792">
    <w:name w:val="List Table 3 - Accent 5"/>
    <w:next w:val="792"/>
    <w:link w:val="662"/>
    <w:uiPriority w:val="99"/>
    <w:pPr>
      <w:spacing w:after="0" w:line="240" w:lineRule="auto"/>
    </w:pPr>
    <w:tblPr/>
  </w:style>
  <w:style w:type="table" w:styleId="793">
    <w:name w:val="List Table 3 - Accent 6"/>
    <w:next w:val="793"/>
    <w:link w:val="662"/>
    <w:uiPriority w:val="99"/>
    <w:pPr>
      <w:spacing w:after="0" w:line="240" w:lineRule="auto"/>
    </w:pPr>
    <w:tblPr/>
  </w:style>
  <w:style w:type="table" w:styleId="794">
    <w:name w:val="List Table 4"/>
    <w:next w:val="794"/>
    <w:link w:val="662"/>
    <w:uiPriority w:val="99"/>
    <w:pPr>
      <w:spacing w:after="0" w:line="240" w:lineRule="auto"/>
    </w:pPr>
    <w:tblPr/>
  </w:style>
  <w:style w:type="table" w:styleId="795">
    <w:name w:val="List Table 4 - Accent 1"/>
    <w:next w:val="795"/>
    <w:link w:val="662"/>
    <w:uiPriority w:val="99"/>
    <w:pPr>
      <w:spacing w:after="0" w:line="240" w:lineRule="auto"/>
    </w:pPr>
    <w:tblPr/>
  </w:style>
  <w:style w:type="table" w:styleId="796">
    <w:name w:val="List Table 4 - Accent 2"/>
    <w:next w:val="796"/>
    <w:link w:val="662"/>
    <w:uiPriority w:val="99"/>
    <w:pPr>
      <w:spacing w:after="0" w:line="240" w:lineRule="auto"/>
    </w:pPr>
    <w:tblPr/>
  </w:style>
  <w:style w:type="table" w:styleId="797">
    <w:name w:val="List Table 4 - Accent 3"/>
    <w:next w:val="797"/>
    <w:link w:val="662"/>
    <w:uiPriority w:val="99"/>
    <w:pPr>
      <w:spacing w:after="0" w:line="240" w:lineRule="auto"/>
    </w:pPr>
    <w:tblPr/>
  </w:style>
  <w:style w:type="table" w:styleId="798">
    <w:name w:val="List Table 4 - Accent 4"/>
    <w:next w:val="798"/>
    <w:link w:val="662"/>
    <w:uiPriority w:val="99"/>
    <w:pPr>
      <w:spacing w:after="0" w:line="240" w:lineRule="auto"/>
    </w:pPr>
    <w:tblPr/>
  </w:style>
  <w:style w:type="table" w:styleId="799">
    <w:name w:val="List Table 4 - Accent 5"/>
    <w:next w:val="799"/>
    <w:link w:val="662"/>
    <w:uiPriority w:val="99"/>
    <w:pPr>
      <w:spacing w:after="0" w:line="240" w:lineRule="auto"/>
    </w:pPr>
    <w:tblPr/>
  </w:style>
  <w:style w:type="table" w:styleId="800">
    <w:name w:val="List Table 4 - Accent 6"/>
    <w:next w:val="800"/>
    <w:link w:val="662"/>
    <w:uiPriority w:val="99"/>
    <w:pPr>
      <w:spacing w:after="0" w:line="240" w:lineRule="auto"/>
    </w:pPr>
    <w:tblPr/>
  </w:style>
  <w:style w:type="table" w:styleId="801">
    <w:name w:val="List Table 5 Dark"/>
    <w:next w:val="801"/>
    <w:link w:val="662"/>
    <w:uiPriority w:val="99"/>
    <w:pPr>
      <w:spacing w:after="0" w:line="240" w:lineRule="auto"/>
    </w:pPr>
    <w:tblPr/>
  </w:style>
  <w:style w:type="table" w:styleId="802">
    <w:name w:val="List Table 5 Dark - Accent 1"/>
    <w:next w:val="802"/>
    <w:link w:val="662"/>
    <w:uiPriority w:val="99"/>
    <w:pPr>
      <w:spacing w:after="0" w:line="240" w:lineRule="auto"/>
    </w:pPr>
    <w:tblPr/>
  </w:style>
  <w:style w:type="table" w:styleId="803">
    <w:name w:val="List Table 5 Dark - Accent 2"/>
    <w:next w:val="803"/>
    <w:link w:val="662"/>
    <w:uiPriority w:val="99"/>
    <w:pPr>
      <w:spacing w:after="0" w:line="240" w:lineRule="auto"/>
    </w:pPr>
    <w:tblPr/>
  </w:style>
  <w:style w:type="table" w:styleId="804">
    <w:name w:val="List Table 5 Dark - Accent 3"/>
    <w:next w:val="804"/>
    <w:link w:val="662"/>
    <w:uiPriority w:val="99"/>
    <w:pPr>
      <w:spacing w:after="0" w:line="240" w:lineRule="auto"/>
    </w:pPr>
    <w:tblPr/>
  </w:style>
  <w:style w:type="table" w:styleId="805">
    <w:name w:val="List Table 5 Dark - Accent 4"/>
    <w:next w:val="805"/>
    <w:link w:val="662"/>
    <w:uiPriority w:val="99"/>
    <w:pPr>
      <w:spacing w:after="0" w:line="240" w:lineRule="auto"/>
    </w:pPr>
    <w:tblPr/>
  </w:style>
  <w:style w:type="table" w:styleId="806">
    <w:name w:val="List Table 5 Dark - Accent 5"/>
    <w:next w:val="806"/>
    <w:link w:val="662"/>
    <w:uiPriority w:val="99"/>
    <w:pPr>
      <w:spacing w:after="0" w:line="240" w:lineRule="auto"/>
    </w:pPr>
    <w:tblPr/>
  </w:style>
  <w:style w:type="table" w:styleId="807">
    <w:name w:val="List Table 5 Dark - Accent 6"/>
    <w:next w:val="807"/>
    <w:link w:val="662"/>
    <w:uiPriority w:val="99"/>
    <w:pPr>
      <w:spacing w:after="0" w:line="240" w:lineRule="auto"/>
    </w:pPr>
    <w:tblPr/>
  </w:style>
  <w:style w:type="table" w:styleId="808">
    <w:name w:val="List Table 6 Colorful"/>
    <w:next w:val="808"/>
    <w:link w:val="662"/>
    <w:uiPriority w:val="99"/>
    <w:pPr>
      <w:spacing w:after="0" w:line="240" w:lineRule="auto"/>
    </w:pPr>
    <w:tblPr/>
  </w:style>
  <w:style w:type="table" w:styleId="809">
    <w:name w:val="List Table 6 Colorful - Accent 1"/>
    <w:next w:val="809"/>
    <w:link w:val="662"/>
    <w:uiPriority w:val="99"/>
    <w:pPr>
      <w:spacing w:after="0" w:line="240" w:lineRule="auto"/>
    </w:pPr>
    <w:tblPr/>
  </w:style>
  <w:style w:type="table" w:styleId="810">
    <w:name w:val="List Table 6 Colorful - Accent 2"/>
    <w:next w:val="810"/>
    <w:link w:val="662"/>
    <w:uiPriority w:val="99"/>
    <w:pPr>
      <w:spacing w:after="0" w:line="240" w:lineRule="auto"/>
    </w:pPr>
    <w:tblPr/>
  </w:style>
  <w:style w:type="table" w:styleId="811">
    <w:name w:val="List Table 6 Colorful - Accent 3"/>
    <w:next w:val="811"/>
    <w:link w:val="662"/>
    <w:uiPriority w:val="99"/>
    <w:pPr>
      <w:spacing w:after="0" w:line="240" w:lineRule="auto"/>
    </w:pPr>
    <w:tblPr/>
  </w:style>
  <w:style w:type="table" w:styleId="812">
    <w:name w:val="List Table 6 Colorful - Accent 4"/>
    <w:next w:val="812"/>
    <w:link w:val="662"/>
    <w:uiPriority w:val="99"/>
    <w:pPr>
      <w:spacing w:after="0" w:line="240" w:lineRule="auto"/>
    </w:pPr>
    <w:tblPr/>
  </w:style>
  <w:style w:type="table" w:styleId="813">
    <w:name w:val="List Table 6 Colorful - Accent 5"/>
    <w:next w:val="813"/>
    <w:link w:val="662"/>
    <w:uiPriority w:val="99"/>
    <w:pPr>
      <w:spacing w:after="0" w:line="240" w:lineRule="auto"/>
    </w:pPr>
    <w:tblPr/>
  </w:style>
  <w:style w:type="table" w:styleId="814">
    <w:name w:val="List Table 6 Colorful - Accent 6"/>
    <w:next w:val="814"/>
    <w:link w:val="662"/>
    <w:uiPriority w:val="99"/>
    <w:pPr>
      <w:spacing w:after="0" w:line="240" w:lineRule="auto"/>
    </w:pPr>
    <w:tblPr/>
  </w:style>
  <w:style w:type="table" w:styleId="815">
    <w:name w:val="List Table 7 Colorful"/>
    <w:next w:val="815"/>
    <w:link w:val="662"/>
    <w:uiPriority w:val="99"/>
    <w:pPr>
      <w:spacing w:after="0" w:line="240" w:lineRule="auto"/>
    </w:pPr>
    <w:tblPr/>
  </w:style>
  <w:style w:type="table" w:styleId="816">
    <w:name w:val="List Table 7 Colorful - Accent 1"/>
    <w:next w:val="816"/>
    <w:link w:val="662"/>
    <w:uiPriority w:val="99"/>
    <w:pPr>
      <w:spacing w:after="0" w:line="240" w:lineRule="auto"/>
    </w:pPr>
    <w:tblPr/>
  </w:style>
  <w:style w:type="table" w:styleId="817">
    <w:name w:val="List Table 7 Colorful - Accent 2"/>
    <w:next w:val="817"/>
    <w:link w:val="662"/>
    <w:uiPriority w:val="99"/>
    <w:pPr>
      <w:spacing w:after="0" w:line="240" w:lineRule="auto"/>
    </w:pPr>
    <w:tblPr/>
  </w:style>
  <w:style w:type="table" w:styleId="818">
    <w:name w:val="List Table 7 Colorful - Accent 3"/>
    <w:next w:val="818"/>
    <w:link w:val="662"/>
    <w:uiPriority w:val="99"/>
    <w:pPr>
      <w:spacing w:after="0" w:line="240" w:lineRule="auto"/>
    </w:pPr>
    <w:tblPr/>
  </w:style>
  <w:style w:type="table" w:styleId="819">
    <w:name w:val="List Table 7 Colorful - Accent 4"/>
    <w:next w:val="819"/>
    <w:link w:val="662"/>
    <w:uiPriority w:val="99"/>
    <w:pPr>
      <w:spacing w:after="0" w:line="240" w:lineRule="auto"/>
    </w:pPr>
    <w:tblPr/>
  </w:style>
  <w:style w:type="table" w:styleId="820">
    <w:name w:val="List Table 7 Colorful - Accent 5"/>
    <w:next w:val="820"/>
    <w:link w:val="662"/>
    <w:uiPriority w:val="99"/>
    <w:pPr>
      <w:spacing w:after="0" w:line="240" w:lineRule="auto"/>
    </w:pPr>
    <w:tblPr/>
  </w:style>
  <w:style w:type="table" w:styleId="821">
    <w:name w:val="List Table 7 Colorful - Accent 6"/>
    <w:next w:val="821"/>
    <w:link w:val="662"/>
    <w:uiPriority w:val="99"/>
    <w:pPr>
      <w:spacing w:after="0" w:line="240" w:lineRule="auto"/>
    </w:pPr>
    <w:tblPr/>
  </w:style>
  <w:style w:type="table" w:styleId="822">
    <w:name w:val="Lined - Accent"/>
    <w:next w:val="822"/>
    <w:link w:val="662"/>
    <w:uiPriority w:val="99"/>
    <w:pPr>
      <w:spacing w:after="0" w:line="240" w:lineRule="auto"/>
    </w:pPr>
    <w:rPr>
      <w:color w:val="404040"/>
    </w:rPr>
    <w:tblPr/>
  </w:style>
  <w:style w:type="table" w:styleId="823">
    <w:name w:val="Lined - Accent 1"/>
    <w:next w:val="823"/>
    <w:link w:val="662"/>
    <w:uiPriority w:val="99"/>
    <w:pPr>
      <w:spacing w:after="0" w:line="240" w:lineRule="auto"/>
    </w:pPr>
    <w:rPr>
      <w:color w:val="404040"/>
    </w:rPr>
    <w:tblPr/>
  </w:style>
  <w:style w:type="table" w:styleId="824">
    <w:name w:val="Lined - Accent 2"/>
    <w:next w:val="824"/>
    <w:link w:val="662"/>
    <w:uiPriority w:val="99"/>
    <w:pPr>
      <w:spacing w:after="0" w:line="240" w:lineRule="auto"/>
    </w:pPr>
    <w:rPr>
      <w:color w:val="404040"/>
    </w:rPr>
    <w:tblPr/>
  </w:style>
  <w:style w:type="table" w:styleId="825">
    <w:name w:val="Lined - Accent 3"/>
    <w:next w:val="825"/>
    <w:link w:val="662"/>
    <w:uiPriority w:val="99"/>
    <w:pPr>
      <w:spacing w:after="0" w:line="240" w:lineRule="auto"/>
    </w:pPr>
    <w:rPr>
      <w:color w:val="404040"/>
    </w:rPr>
    <w:tblPr/>
  </w:style>
  <w:style w:type="table" w:styleId="826">
    <w:name w:val="Lined - Accent 4"/>
    <w:next w:val="826"/>
    <w:link w:val="662"/>
    <w:uiPriority w:val="99"/>
    <w:pPr>
      <w:spacing w:after="0" w:line="240" w:lineRule="auto"/>
    </w:pPr>
    <w:rPr>
      <w:color w:val="404040"/>
    </w:rPr>
    <w:tblPr/>
  </w:style>
  <w:style w:type="table" w:styleId="827">
    <w:name w:val="Lined - Accent 5"/>
    <w:next w:val="827"/>
    <w:link w:val="662"/>
    <w:uiPriority w:val="99"/>
    <w:pPr>
      <w:spacing w:after="0" w:line="240" w:lineRule="auto"/>
    </w:pPr>
    <w:rPr>
      <w:color w:val="404040"/>
    </w:rPr>
    <w:tblPr/>
  </w:style>
  <w:style w:type="table" w:styleId="828">
    <w:name w:val="Lined - Accent 6"/>
    <w:next w:val="828"/>
    <w:link w:val="662"/>
    <w:uiPriority w:val="99"/>
    <w:pPr>
      <w:spacing w:after="0" w:line="240" w:lineRule="auto"/>
    </w:pPr>
    <w:rPr>
      <w:color w:val="404040"/>
    </w:rPr>
    <w:tblPr/>
  </w:style>
  <w:style w:type="table" w:styleId="829">
    <w:name w:val="Bordered &amp; Lined - Accent"/>
    <w:next w:val="829"/>
    <w:link w:val="662"/>
    <w:uiPriority w:val="99"/>
    <w:pPr>
      <w:spacing w:after="0" w:line="240" w:lineRule="auto"/>
    </w:pPr>
    <w:rPr>
      <w:color w:val="404040"/>
    </w:rPr>
    <w:tblPr/>
  </w:style>
  <w:style w:type="table" w:styleId="830">
    <w:name w:val="Bordered &amp; Lined - Accent 1"/>
    <w:next w:val="830"/>
    <w:link w:val="662"/>
    <w:uiPriority w:val="99"/>
    <w:pPr>
      <w:spacing w:after="0" w:line="240" w:lineRule="auto"/>
    </w:pPr>
    <w:rPr>
      <w:color w:val="404040"/>
    </w:rPr>
    <w:tblPr/>
  </w:style>
  <w:style w:type="table" w:styleId="831">
    <w:name w:val="Bordered &amp; Lined - Accent 2"/>
    <w:next w:val="831"/>
    <w:link w:val="662"/>
    <w:uiPriority w:val="99"/>
    <w:pPr>
      <w:spacing w:after="0" w:line="240" w:lineRule="auto"/>
    </w:pPr>
    <w:rPr>
      <w:color w:val="404040"/>
    </w:rPr>
    <w:tblPr/>
  </w:style>
  <w:style w:type="table" w:styleId="832">
    <w:name w:val="Bordered &amp; Lined - Accent 3"/>
    <w:next w:val="832"/>
    <w:link w:val="662"/>
    <w:uiPriority w:val="99"/>
    <w:pPr>
      <w:spacing w:after="0" w:line="240" w:lineRule="auto"/>
    </w:pPr>
    <w:rPr>
      <w:color w:val="404040"/>
    </w:rPr>
    <w:tblPr/>
  </w:style>
  <w:style w:type="table" w:styleId="833">
    <w:name w:val="Bordered &amp; Lined - Accent 4"/>
    <w:next w:val="833"/>
    <w:link w:val="662"/>
    <w:uiPriority w:val="99"/>
    <w:pPr>
      <w:spacing w:after="0" w:line="240" w:lineRule="auto"/>
    </w:pPr>
    <w:rPr>
      <w:color w:val="404040"/>
    </w:rPr>
    <w:tblPr/>
  </w:style>
  <w:style w:type="table" w:styleId="834">
    <w:name w:val="Bordered &amp; Lined - Accent 5"/>
    <w:next w:val="834"/>
    <w:link w:val="662"/>
    <w:uiPriority w:val="99"/>
    <w:pPr>
      <w:spacing w:after="0" w:line="240" w:lineRule="auto"/>
    </w:pPr>
    <w:rPr>
      <w:color w:val="404040"/>
    </w:rPr>
    <w:tblPr/>
  </w:style>
  <w:style w:type="table" w:styleId="835">
    <w:name w:val="Bordered &amp; Lined - Accent 6"/>
    <w:next w:val="835"/>
    <w:link w:val="662"/>
    <w:uiPriority w:val="99"/>
    <w:pPr>
      <w:spacing w:after="0" w:line="240" w:lineRule="auto"/>
    </w:pPr>
    <w:rPr>
      <w:color w:val="404040"/>
    </w:rPr>
    <w:tblPr/>
  </w:style>
  <w:style w:type="table" w:styleId="836">
    <w:name w:val="Bordered"/>
    <w:next w:val="836"/>
    <w:link w:val="662"/>
    <w:uiPriority w:val="99"/>
    <w:pPr>
      <w:spacing w:after="0" w:line="240" w:lineRule="auto"/>
    </w:pPr>
    <w:tblPr/>
  </w:style>
  <w:style w:type="table" w:styleId="837">
    <w:name w:val="Bordered - Accent 1"/>
    <w:next w:val="837"/>
    <w:link w:val="662"/>
    <w:uiPriority w:val="99"/>
    <w:pPr>
      <w:spacing w:after="0" w:line="240" w:lineRule="auto"/>
    </w:pPr>
    <w:tblPr/>
  </w:style>
  <w:style w:type="table" w:styleId="838">
    <w:name w:val="Bordered - Accent 2"/>
    <w:next w:val="838"/>
    <w:link w:val="662"/>
    <w:uiPriority w:val="99"/>
    <w:pPr>
      <w:spacing w:after="0" w:line="240" w:lineRule="auto"/>
    </w:pPr>
    <w:tblPr/>
  </w:style>
  <w:style w:type="table" w:styleId="839">
    <w:name w:val="Bordered - Accent 3"/>
    <w:next w:val="839"/>
    <w:link w:val="662"/>
    <w:uiPriority w:val="99"/>
    <w:pPr>
      <w:spacing w:after="0" w:line="240" w:lineRule="auto"/>
    </w:pPr>
    <w:tblPr/>
  </w:style>
  <w:style w:type="table" w:styleId="840">
    <w:name w:val="Bordered - Accent 4"/>
    <w:next w:val="840"/>
    <w:link w:val="662"/>
    <w:uiPriority w:val="99"/>
    <w:pPr>
      <w:spacing w:after="0" w:line="240" w:lineRule="auto"/>
    </w:pPr>
    <w:tblPr/>
  </w:style>
  <w:style w:type="table" w:styleId="841">
    <w:name w:val="Bordered - Accent 5"/>
    <w:next w:val="841"/>
    <w:link w:val="662"/>
    <w:uiPriority w:val="99"/>
    <w:pPr>
      <w:spacing w:after="0" w:line="240" w:lineRule="auto"/>
    </w:pPr>
    <w:tblPr/>
  </w:style>
  <w:style w:type="table" w:styleId="842">
    <w:name w:val="Bordered - Accent 6"/>
    <w:next w:val="842"/>
    <w:link w:val="662"/>
    <w:uiPriority w:val="99"/>
    <w:pPr>
      <w:spacing w:after="0" w:line="240" w:lineRule="auto"/>
    </w:pPr>
    <w:tblPr/>
  </w:style>
  <w:style w:type="paragraph" w:styleId="843">
    <w:name w:val="TOC Heading"/>
    <w:next w:val="843"/>
    <w:link w:val="662"/>
    <w:uiPriority w:val="39"/>
    <w:unhideWhenUsed/>
  </w:style>
  <w:style w:type="paragraph" w:styleId="844">
    <w:name w:val="标题 11"/>
    <w:basedOn w:val="662"/>
    <w:next w:val="662"/>
    <w:link w:val="845"/>
    <w:pPr>
      <w:jc w:val="center"/>
      <w:keepNext/>
      <w:outlineLvl w:val="0"/>
    </w:pPr>
    <w:rPr>
      <w:rFonts w:ascii="楷体_GB2312" w:hAnsi="Times New Roman" w:eastAsia="楷体_GB2312" w:cs="Times New Roman"/>
      <w:sz w:val="28"/>
      <w:szCs w:val="28"/>
    </w:rPr>
  </w:style>
  <w:style w:type="character" w:styleId="845">
    <w:name w:val="标题 1 Char"/>
    <w:next w:val="845"/>
    <w:link w:val="844"/>
    <w:rPr>
      <w:rFonts w:ascii="楷体_GB2312" w:hAnsi="Times New Roman" w:eastAsia="楷体_GB2312" w:cs="Times New Roman"/>
      <w:sz w:val="28"/>
      <w:szCs w:val="28"/>
    </w:rPr>
  </w:style>
  <w:style w:type="paragraph" w:styleId="846">
    <w:name w:val="标题 21"/>
    <w:basedOn w:val="662"/>
    <w:next w:val="662"/>
    <w:link w:val="847"/>
    <w:pPr>
      <w:jc w:val="center"/>
      <w:keepLines/>
      <w:keepNext/>
      <w:spacing w:before="260" w:after="260" w:line="416" w:lineRule="auto"/>
      <w:outlineLvl w:val="1"/>
    </w:pPr>
    <w:rPr>
      <w:rFonts w:ascii="Arial" w:hAnsi="Arial" w:eastAsia="幼圆" w:cs="Times New Roman"/>
      <w:b/>
      <w:bCs/>
      <w:sz w:val="44"/>
      <w:szCs w:val="44"/>
    </w:rPr>
  </w:style>
  <w:style w:type="character" w:styleId="847">
    <w:name w:val="标题 2 Char"/>
    <w:next w:val="847"/>
    <w:link w:val="846"/>
    <w:rPr>
      <w:rFonts w:ascii="Arial" w:hAnsi="Arial" w:eastAsia="幼圆" w:cs="Arial"/>
      <w:b/>
      <w:bCs/>
      <w:sz w:val="44"/>
      <w:szCs w:val="44"/>
    </w:rPr>
  </w:style>
  <w:style w:type="paragraph" w:styleId="848">
    <w:name w:val="标题 31"/>
    <w:basedOn w:val="662"/>
    <w:next w:val="850"/>
    <w:link w:val="849"/>
    <w:pPr>
      <w:keepLines/>
      <w:keepNext/>
      <w:spacing w:before="260" w:after="260" w:line="416" w:lineRule="auto"/>
      <w:outlineLvl w:val="2"/>
    </w:pPr>
    <w:rPr>
      <w:rFonts w:ascii="Times New Roman" w:hAnsi="Times New Roman" w:eastAsia="宋体" w:cs="Times New Roman"/>
      <w:b/>
      <w:bCs/>
      <w:sz w:val="32"/>
      <w:szCs w:val="32"/>
    </w:rPr>
  </w:style>
  <w:style w:type="character" w:styleId="849">
    <w:name w:val="标题 3 Char"/>
    <w:next w:val="849"/>
    <w:link w:val="848"/>
    <w:rPr>
      <w:rFonts w:ascii="Times New Roman" w:hAnsi="Times New Roman" w:eastAsia="宋体" w:cs="Times New Roman"/>
      <w:b/>
      <w:bCs/>
      <w:sz w:val="32"/>
      <w:szCs w:val="32"/>
    </w:rPr>
  </w:style>
  <w:style w:type="paragraph" w:styleId="850">
    <w:name w:val="正文缩进1"/>
    <w:basedOn w:val="662"/>
    <w:next w:val="850"/>
    <w:link w:val="851"/>
    <w:pPr>
      <w:ind w:firstLine="420"/>
    </w:pPr>
    <w:rPr>
      <w:rFonts w:ascii="Times New Roman" w:hAnsi="Times New Roman" w:eastAsia="宋体" w:cs="Times New Roman"/>
      <w:sz w:val="20"/>
      <w:szCs w:val="21"/>
    </w:rPr>
  </w:style>
  <w:style w:type="character" w:styleId="851">
    <w:name w:val="正文缩进 Char"/>
    <w:next w:val="851"/>
    <w:link w:val="850"/>
    <w:rPr>
      <w:rFonts w:ascii="Times New Roman" w:hAnsi="Times New Roman" w:eastAsia="宋体" w:cs="Times New Roman"/>
      <w:szCs w:val="21"/>
    </w:rPr>
  </w:style>
  <w:style w:type="paragraph" w:styleId="852">
    <w:name w:val="标题 41"/>
    <w:basedOn w:val="662"/>
    <w:next w:val="850"/>
    <w:link w:val="853"/>
    <w:pPr>
      <w:keepLines/>
      <w:keepNext/>
      <w:spacing w:before="280" w:after="290" w:line="376" w:lineRule="auto"/>
      <w:outlineLvl w:val="3"/>
    </w:pPr>
    <w:rPr>
      <w:rFonts w:ascii="Arial" w:hAnsi="Arial" w:eastAsia="黑体" w:cs="Times New Roman"/>
      <w:b/>
      <w:bCs/>
      <w:sz w:val="28"/>
      <w:szCs w:val="28"/>
    </w:rPr>
  </w:style>
  <w:style w:type="character" w:styleId="853">
    <w:name w:val="标题 4 Char"/>
    <w:next w:val="853"/>
    <w:link w:val="852"/>
    <w:rPr>
      <w:rFonts w:ascii="Arial" w:hAnsi="Arial" w:eastAsia="黑体" w:cs="Arial"/>
      <w:b/>
      <w:bCs/>
      <w:sz w:val="28"/>
      <w:szCs w:val="28"/>
    </w:rPr>
  </w:style>
  <w:style w:type="paragraph" w:styleId="854">
    <w:name w:val="标题 51"/>
    <w:basedOn w:val="662"/>
    <w:next w:val="850"/>
    <w:link w:val="855"/>
    <w:pPr>
      <w:keepNext/>
      <w:outlineLvl w:val="4"/>
    </w:pPr>
    <w:rPr>
      <w:rFonts w:ascii="宋体" w:hAnsi="Times New Roman" w:eastAsia="宋体" w:cs="Times New Roman"/>
      <w:color w:val="000000"/>
      <w:sz w:val="28"/>
      <w:szCs w:val="28"/>
    </w:rPr>
  </w:style>
  <w:style w:type="character" w:styleId="855">
    <w:name w:val="标题 5 Char"/>
    <w:next w:val="855"/>
    <w:link w:val="854"/>
    <w:rPr>
      <w:rFonts w:ascii="宋体" w:hAnsi="Times New Roman" w:eastAsia="宋体" w:cs="Times New Roman"/>
      <w:color w:val="000000"/>
      <w:sz w:val="28"/>
      <w:szCs w:val="28"/>
    </w:rPr>
  </w:style>
  <w:style w:type="paragraph" w:styleId="856">
    <w:name w:val="标题 61"/>
    <w:basedOn w:val="662"/>
    <w:next w:val="662"/>
    <w:link w:val="857"/>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57">
    <w:name w:val="标题 6 Char"/>
    <w:next w:val="857"/>
    <w:link w:val="856"/>
    <w:rPr>
      <w:rFonts w:ascii="Arial" w:hAnsi="Arial" w:eastAsia="黑体" w:cs="Times New Roman"/>
      <w:b/>
      <w:bCs/>
      <w:sz w:val="24"/>
      <w:szCs w:val="24"/>
    </w:rPr>
  </w:style>
  <w:style w:type="paragraph" w:styleId="858">
    <w:name w:val="标题 71"/>
    <w:basedOn w:val="662"/>
    <w:next w:val="662"/>
    <w:link w:val="859"/>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59">
    <w:name w:val="标题 7 Char"/>
    <w:next w:val="859"/>
    <w:link w:val="858"/>
    <w:rPr>
      <w:rFonts w:ascii="Times New Roman" w:hAnsi="Times New Roman" w:eastAsia="宋体" w:cs="Times New Roman"/>
      <w:b/>
      <w:bCs/>
      <w:sz w:val="24"/>
      <w:szCs w:val="24"/>
    </w:rPr>
  </w:style>
  <w:style w:type="paragraph" w:styleId="860">
    <w:name w:val="标题 81"/>
    <w:basedOn w:val="662"/>
    <w:next w:val="662"/>
    <w:link w:val="861"/>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61">
    <w:name w:val="标题 8 Char"/>
    <w:next w:val="861"/>
    <w:link w:val="860"/>
    <w:rPr>
      <w:rFonts w:ascii="Arial" w:hAnsi="Arial" w:eastAsia="黑体" w:cs="Times New Roman"/>
      <w:sz w:val="24"/>
      <w:szCs w:val="24"/>
    </w:rPr>
  </w:style>
  <w:style w:type="paragraph" w:styleId="862">
    <w:name w:val="标题 91"/>
    <w:basedOn w:val="662"/>
    <w:next w:val="662"/>
    <w:link w:val="863"/>
    <w:pPr>
      <w:numPr>
        <w:ilvl w:val="8"/>
        <w:numId w:val="1"/>
      </w:numPr>
      <w:keepLines/>
      <w:keepNext/>
      <w:spacing w:before="240" w:after="64" w:line="320" w:lineRule="auto"/>
      <w:outlineLvl w:val="8"/>
    </w:pPr>
    <w:rPr>
      <w:rFonts w:ascii="Arial" w:hAnsi="Arial" w:eastAsia="黑体" w:cs="Times New Roman"/>
      <w:sz w:val="20"/>
      <w:szCs w:val="21"/>
    </w:rPr>
  </w:style>
  <w:style w:type="character" w:styleId="863">
    <w:name w:val="标题 9 Char"/>
    <w:next w:val="863"/>
    <w:link w:val="862"/>
    <w:rPr>
      <w:rFonts w:ascii="Arial" w:hAnsi="Arial" w:eastAsia="黑体" w:cs="Times New Roman"/>
      <w:szCs w:val="21"/>
    </w:rPr>
  </w:style>
  <w:style w:type="character" w:styleId="864">
    <w:name w:val="默认段落字体1"/>
    <w:next w:val="864"/>
    <w:link w:val="662"/>
    <w:rPr>
      <w:rFonts w:ascii="Times New Roman" w:hAnsi="Times New Roman" w:eastAsia="宋体" w:cs="Times New Roman"/>
    </w:rPr>
  </w:style>
  <w:style w:type="table" w:styleId="865">
    <w:name w:val="普通表格1"/>
    <w:next w:val="865"/>
    <w:link w:val="662"/>
    <w:rPr>
      <w:rFonts w:ascii="Times New Roman" w:hAnsi="Times New Roman" w:eastAsia="宋体" w:cs="Times New Roman"/>
    </w:rPr>
    <w:tblPr/>
  </w:style>
  <w:style w:type="paragraph" w:styleId="866">
    <w:name w:val="列表 31"/>
    <w:basedOn w:val="662"/>
    <w:next w:val="866"/>
    <w:link w:val="662"/>
    <w:pPr>
      <w:ind w:left="100" w:hanging="200"/>
    </w:pPr>
    <w:rPr>
      <w:rFonts w:ascii="Times New Roman" w:hAnsi="Times New Roman" w:eastAsia="宋体" w:cs="Times New Roman"/>
      <w:szCs w:val="21"/>
    </w:rPr>
  </w:style>
  <w:style w:type="paragraph" w:styleId="867">
    <w:name w:val="目录 71"/>
    <w:basedOn w:val="662"/>
    <w:next w:val="662"/>
    <w:link w:val="662"/>
    <w:pPr>
      <w:ind w:left="1260"/>
      <w:jc w:val="left"/>
    </w:pPr>
    <w:rPr>
      <w:rFonts w:ascii="Times New Roman" w:hAnsi="Times New Roman" w:eastAsia="宋体" w:cs="Times New Roman"/>
      <w:szCs w:val="21"/>
    </w:rPr>
  </w:style>
  <w:style w:type="paragraph" w:styleId="868">
    <w:name w:val="文档结构图1"/>
    <w:basedOn w:val="662"/>
    <w:next w:val="868"/>
    <w:link w:val="869"/>
    <w:pPr>
      <w:shd w:val="clear" w:color="auto" w:fill="000080"/>
    </w:pPr>
    <w:rPr>
      <w:rFonts w:ascii="Times New Roman" w:hAnsi="Times New Roman" w:eastAsia="宋体" w:cs="Times New Roman"/>
      <w:sz w:val="20"/>
      <w:szCs w:val="21"/>
    </w:rPr>
  </w:style>
  <w:style w:type="character" w:styleId="869">
    <w:name w:val="文档结构图 Char"/>
    <w:next w:val="869"/>
    <w:link w:val="868"/>
    <w:rPr>
      <w:rFonts w:ascii="Times New Roman" w:hAnsi="Times New Roman" w:eastAsia="宋体" w:cs="Times New Roman"/>
      <w:szCs w:val="21"/>
      <w:shd w:val="clear" w:color="auto" w:fill="000080"/>
    </w:rPr>
  </w:style>
  <w:style w:type="paragraph" w:styleId="870">
    <w:name w:val="批注文字1"/>
    <w:basedOn w:val="662"/>
    <w:next w:val="870"/>
    <w:link w:val="871"/>
    <w:pPr>
      <w:jc w:val="left"/>
    </w:pPr>
    <w:rPr>
      <w:rFonts w:ascii="Times New Roman" w:hAnsi="Times New Roman" w:eastAsia="宋体" w:cs="Times New Roman"/>
    </w:rPr>
  </w:style>
  <w:style w:type="character" w:styleId="871">
    <w:name w:val="批注文字 Char"/>
    <w:basedOn w:val="864"/>
    <w:next w:val="871"/>
    <w:link w:val="870"/>
    <w:rPr>
      <w:rFonts w:ascii="Times New Roman" w:hAnsi="Times New Roman" w:eastAsia="宋体" w:cs="Times New Roman"/>
    </w:rPr>
  </w:style>
  <w:style w:type="paragraph" w:styleId="872">
    <w:name w:val="正文文本 31"/>
    <w:basedOn w:val="662"/>
    <w:next w:val="872"/>
    <w:link w:val="873"/>
    <w:rPr>
      <w:rFonts w:ascii="仿宋_GB2312" w:hAnsi="Arial" w:eastAsia="仿宋_GB2312" w:cs="Times New Roman"/>
      <w:sz w:val="32"/>
      <w:szCs w:val="32"/>
    </w:rPr>
  </w:style>
  <w:style w:type="character" w:styleId="873">
    <w:name w:val="正文文本 3 Char"/>
    <w:next w:val="873"/>
    <w:link w:val="872"/>
    <w:rPr>
      <w:rFonts w:ascii="仿宋_GB2312" w:hAnsi="Arial" w:eastAsia="仿宋_GB2312" w:cs="Times New Roman"/>
      <w:sz w:val="32"/>
      <w:szCs w:val="32"/>
    </w:rPr>
  </w:style>
  <w:style w:type="paragraph" w:styleId="874">
    <w:name w:val="正文文本1"/>
    <w:basedOn w:val="662"/>
    <w:next w:val="662"/>
    <w:link w:val="875"/>
    <w:rPr>
      <w:rFonts w:ascii="楷体_GB2312" w:hAnsi="Arial" w:eastAsia="楷体_GB2312" w:cs="Times New Roman"/>
      <w:sz w:val="28"/>
      <w:szCs w:val="28"/>
    </w:rPr>
  </w:style>
  <w:style w:type="character" w:styleId="875">
    <w:name w:val="正文文本 Char"/>
    <w:next w:val="875"/>
    <w:link w:val="874"/>
    <w:rPr>
      <w:rFonts w:ascii="楷体_GB2312" w:hAnsi="Arial" w:eastAsia="楷体_GB2312" w:cs="Times New Roman"/>
      <w:sz w:val="28"/>
      <w:szCs w:val="28"/>
    </w:rPr>
  </w:style>
  <w:style w:type="paragraph" w:styleId="876">
    <w:name w:val="正文文本缩进1"/>
    <w:basedOn w:val="662"/>
    <w:next w:val="878"/>
    <w:link w:val="877"/>
    <w:pPr>
      <w:ind w:left="420"/>
      <w:spacing w:after="120"/>
    </w:pPr>
    <w:rPr>
      <w:rFonts w:ascii="Times New Roman" w:hAnsi="Times New Roman" w:eastAsia="宋体" w:cs="Times New Roman"/>
    </w:rPr>
  </w:style>
  <w:style w:type="character" w:styleId="877">
    <w:name w:val="正文文本缩进 Char"/>
    <w:basedOn w:val="864"/>
    <w:next w:val="877"/>
    <w:link w:val="876"/>
    <w:rPr>
      <w:rFonts w:ascii="Times New Roman" w:hAnsi="Times New Roman" w:eastAsia="宋体" w:cs="Times New Roman"/>
    </w:rPr>
  </w:style>
  <w:style w:type="paragraph" w:styleId="878">
    <w:name w:val="寄信人地址1"/>
    <w:basedOn w:val="662"/>
    <w:next w:val="878"/>
    <w:link w:val="662"/>
    <w:rPr>
      <w:rFonts w:ascii="Arial" w:hAnsi="Arial" w:eastAsia="宋体" w:cs="Times New Roman"/>
    </w:rPr>
  </w:style>
  <w:style w:type="paragraph" w:styleId="879">
    <w:name w:val="列表 21"/>
    <w:basedOn w:val="662"/>
    <w:next w:val="879"/>
    <w:link w:val="662"/>
    <w:pPr>
      <w:ind w:left="100" w:hanging="200"/>
    </w:pPr>
    <w:rPr>
      <w:rFonts w:ascii="Times New Roman" w:hAnsi="Times New Roman" w:eastAsia="宋体" w:cs="Times New Roman"/>
      <w:szCs w:val="21"/>
    </w:rPr>
  </w:style>
  <w:style w:type="paragraph" w:styleId="880">
    <w:name w:val="目录 51"/>
    <w:basedOn w:val="662"/>
    <w:next w:val="662"/>
    <w:link w:val="662"/>
    <w:pPr>
      <w:ind w:left="840"/>
      <w:jc w:val="left"/>
    </w:pPr>
    <w:rPr>
      <w:rFonts w:ascii="Times New Roman" w:hAnsi="Times New Roman" w:eastAsia="宋体" w:cs="Times New Roman"/>
      <w:szCs w:val="21"/>
    </w:rPr>
  </w:style>
  <w:style w:type="paragraph" w:styleId="881">
    <w:name w:val="目录 31"/>
    <w:basedOn w:val="662"/>
    <w:next w:val="662"/>
    <w:link w:val="662"/>
    <w:pPr>
      <w:ind w:left="420"/>
      <w:jc w:val="left"/>
    </w:pPr>
    <w:rPr>
      <w:rFonts w:ascii="Times New Roman" w:hAnsi="Times New Roman" w:eastAsia="宋体" w:cs="Times New Roman"/>
      <w:i/>
      <w:iCs/>
      <w:szCs w:val="24"/>
    </w:rPr>
  </w:style>
  <w:style w:type="paragraph" w:styleId="882">
    <w:name w:val="纯文本1"/>
    <w:basedOn w:val="662"/>
    <w:next w:val="882"/>
    <w:link w:val="883"/>
    <w:rPr>
      <w:rFonts w:ascii="宋体" w:hAnsi="Courier New" w:eastAsia="宋体" w:cs="Times New Roman"/>
      <w:sz w:val="20"/>
      <w:szCs w:val="21"/>
    </w:rPr>
  </w:style>
  <w:style w:type="character" w:styleId="883">
    <w:name w:val="纯文本 Char"/>
    <w:next w:val="883"/>
    <w:link w:val="882"/>
    <w:rPr>
      <w:rFonts w:ascii="宋体" w:hAnsi="Courier New" w:eastAsia="宋体" w:cs="Courier New"/>
      <w:szCs w:val="21"/>
    </w:rPr>
  </w:style>
  <w:style w:type="paragraph" w:styleId="884">
    <w:name w:val="目录 81"/>
    <w:basedOn w:val="662"/>
    <w:next w:val="662"/>
    <w:link w:val="662"/>
    <w:pPr>
      <w:ind w:left="1470"/>
      <w:jc w:val="left"/>
    </w:pPr>
    <w:rPr>
      <w:rFonts w:ascii="Times New Roman" w:hAnsi="Times New Roman" w:eastAsia="宋体" w:cs="Times New Roman"/>
      <w:szCs w:val="21"/>
    </w:rPr>
  </w:style>
  <w:style w:type="paragraph" w:styleId="885">
    <w:name w:val="日期1"/>
    <w:basedOn w:val="662"/>
    <w:next w:val="662"/>
    <w:link w:val="886"/>
    <w:rPr>
      <w:rFonts w:ascii="Times New Roman" w:hAnsi="Times New Roman" w:eastAsia="宋体" w:cs="Times New Roman"/>
      <w:sz w:val="24"/>
      <w:szCs w:val="24"/>
    </w:rPr>
  </w:style>
  <w:style w:type="character" w:styleId="886">
    <w:name w:val="日期 Char"/>
    <w:next w:val="886"/>
    <w:link w:val="885"/>
    <w:rPr>
      <w:rFonts w:ascii="Times New Roman" w:hAnsi="Times New Roman" w:eastAsia="宋体" w:cs="Times New Roman"/>
      <w:sz w:val="24"/>
      <w:szCs w:val="24"/>
    </w:rPr>
  </w:style>
  <w:style w:type="paragraph" w:styleId="887">
    <w:name w:val="正文文本缩进 21"/>
    <w:basedOn w:val="662"/>
    <w:next w:val="887"/>
    <w:link w:val="888"/>
    <w:pPr>
      <w:ind w:left="630" w:firstLine="645"/>
    </w:pPr>
    <w:rPr>
      <w:rFonts w:ascii="Arial" w:hAnsi="Arial" w:eastAsia="仿宋_GB2312" w:cs="Times New Roman"/>
      <w:sz w:val="32"/>
      <w:szCs w:val="32"/>
    </w:rPr>
  </w:style>
  <w:style w:type="character" w:styleId="888">
    <w:name w:val="正文文本缩进 2 Char"/>
    <w:next w:val="888"/>
    <w:link w:val="887"/>
    <w:rPr>
      <w:rFonts w:ascii="Arial" w:hAnsi="Arial" w:eastAsia="仿宋_GB2312" w:cs="Arial"/>
      <w:sz w:val="32"/>
      <w:szCs w:val="32"/>
    </w:rPr>
  </w:style>
  <w:style w:type="paragraph" w:styleId="889">
    <w:name w:val="批注框文本1"/>
    <w:basedOn w:val="662"/>
    <w:next w:val="889"/>
    <w:link w:val="890"/>
    <w:rPr>
      <w:rFonts w:ascii="Times New Roman" w:hAnsi="Times New Roman" w:eastAsia="宋体" w:cs="Times New Roman"/>
      <w:sz w:val="18"/>
      <w:szCs w:val="18"/>
    </w:rPr>
  </w:style>
  <w:style w:type="character" w:styleId="890">
    <w:name w:val="批注框文本 Char"/>
    <w:next w:val="890"/>
    <w:link w:val="889"/>
    <w:rPr>
      <w:rFonts w:ascii="Times New Roman" w:hAnsi="Times New Roman" w:eastAsia="宋体" w:cs="Times New Roman"/>
      <w:sz w:val="18"/>
      <w:szCs w:val="18"/>
    </w:rPr>
  </w:style>
  <w:style w:type="paragraph" w:styleId="891">
    <w:name w:val="页脚1"/>
    <w:basedOn w:val="662"/>
    <w:next w:val="891"/>
    <w:link w:val="892"/>
    <w:pPr>
      <w:jc w:val="left"/>
      <w:tabs>
        <w:tab w:val="center" w:pos="4153" w:leader="none"/>
        <w:tab w:val="right" w:pos="8306" w:leader="none"/>
      </w:tabs>
    </w:pPr>
    <w:rPr>
      <w:rFonts w:ascii="Times New Roman" w:hAnsi="Times New Roman" w:eastAsia="宋体" w:cs="Times New Roman"/>
      <w:sz w:val="18"/>
      <w:szCs w:val="18"/>
    </w:rPr>
  </w:style>
  <w:style w:type="character" w:styleId="892">
    <w:name w:val="页脚 Char"/>
    <w:next w:val="892"/>
    <w:link w:val="891"/>
    <w:rPr>
      <w:rFonts w:ascii="Times New Roman" w:hAnsi="Times New Roman" w:eastAsia="宋体" w:cs="Times New Roman"/>
      <w:sz w:val="18"/>
      <w:szCs w:val="18"/>
    </w:rPr>
  </w:style>
  <w:style w:type="paragraph" w:styleId="893">
    <w:name w:val="页眉1"/>
    <w:basedOn w:val="662"/>
    <w:next w:val="893"/>
    <w:link w:val="89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4">
    <w:name w:val="页眉 Char"/>
    <w:next w:val="894"/>
    <w:link w:val="893"/>
    <w:rPr>
      <w:rFonts w:ascii="Times New Roman" w:hAnsi="Times New Roman" w:eastAsia="宋体" w:cs="Times New Roman"/>
      <w:sz w:val="18"/>
      <w:szCs w:val="18"/>
    </w:rPr>
  </w:style>
  <w:style w:type="paragraph" w:styleId="895">
    <w:name w:val="目录 11"/>
    <w:basedOn w:val="662"/>
    <w:next w:val="662"/>
    <w:link w:val="662"/>
    <w:pPr>
      <w:jc w:val="left"/>
      <w:spacing w:before="120" w:after="120" w:line="400" w:lineRule="exact"/>
      <w:tabs>
        <w:tab w:val="right" w:pos="8720" w:leader="dot"/>
      </w:tabs>
    </w:pPr>
    <w:rPr>
      <w:rFonts w:ascii="宋体" w:hAnsi="宋体" w:eastAsia="宋体" w:cs="Times New Roman"/>
      <w:caps/>
      <w:sz w:val="24"/>
      <w:szCs w:val="24"/>
    </w:rPr>
  </w:style>
  <w:style w:type="paragraph" w:styleId="896">
    <w:name w:val="目录 41"/>
    <w:basedOn w:val="662"/>
    <w:next w:val="662"/>
    <w:link w:val="662"/>
    <w:pPr>
      <w:ind w:left="630"/>
      <w:jc w:val="left"/>
    </w:pPr>
    <w:rPr>
      <w:rFonts w:ascii="Times New Roman" w:hAnsi="Times New Roman" w:eastAsia="宋体" w:cs="Times New Roman"/>
      <w:szCs w:val="21"/>
    </w:rPr>
  </w:style>
  <w:style w:type="paragraph" w:styleId="897">
    <w:name w:val="列表1"/>
    <w:basedOn w:val="662"/>
    <w:next w:val="897"/>
    <w:link w:val="662"/>
    <w:pPr>
      <w:ind w:left="200" w:hanging="200"/>
    </w:pPr>
    <w:rPr>
      <w:rFonts w:ascii="Times New Roman" w:hAnsi="Times New Roman" w:eastAsia="宋体" w:cs="Times New Roman"/>
      <w:szCs w:val="21"/>
    </w:rPr>
  </w:style>
  <w:style w:type="paragraph" w:styleId="898">
    <w:name w:val="目录 61"/>
    <w:basedOn w:val="662"/>
    <w:next w:val="662"/>
    <w:link w:val="662"/>
    <w:pPr>
      <w:ind w:left="1050"/>
      <w:jc w:val="left"/>
    </w:pPr>
    <w:rPr>
      <w:rFonts w:ascii="Times New Roman" w:hAnsi="Times New Roman" w:eastAsia="宋体" w:cs="Times New Roman"/>
      <w:szCs w:val="21"/>
    </w:rPr>
  </w:style>
  <w:style w:type="paragraph" w:styleId="899">
    <w:name w:val="正文文本缩进 31"/>
    <w:basedOn w:val="662"/>
    <w:next w:val="899"/>
    <w:link w:val="900"/>
    <w:pPr>
      <w:ind w:left="645" w:firstLine="645"/>
    </w:pPr>
    <w:rPr>
      <w:rFonts w:ascii="Arial" w:hAnsi="Arial" w:eastAsia="仿宋_GB2312" w:cs="Times New Roman"/>
      <w:color w:val="ffff00"/>
      <w:sz w:val="32"/>
      <w:szCs w:val="32"/>
    </w:rPr>
  </w:style>
  <w:style w:type="character" w:styleId="900">
    <w:name w:val="正文文本缩进 3 Char"/>
    <w:next w:val="900"/>
    <w:link w:val="899"/>
    <w:rPr>
      <w:rFonts w:ascii="Arial" w:hAnsi="Arial" w:eastAsia="仿宋_GB2312" w:cs="Arial"/>
      <w:color w:val="ffff00"/>
      <w:sz w:val="32"/>
      <w:szCs w:val="32"/>
    </w:rPr>
  </w:style>
  <w:style w:type="paragraph" w:styleId="901">
    <w:name w:val="图表目录1"/>
    <w:basedOn w:val="662"/>
    <w:next w:val="662"/>
    <w:link w:val="662"/>
    <w:pPr>
      <w:ind w:left="840" w:hanging="420"/>
    </w:pPr>
    <w:rPr>
      <w:rFonts w:ascii="Times New Roman" w:hAnsi="Times New Roman" w:eastAsia="宋体" w:cs="Times New Roman"/>
      <w:szCs w:val="21"/>
    </w:rPr>
  </w:style>
  <w:style w:type="paragraph" w:styleId="902">
    <w:name w:val="目录 21"/>
    <w:basedOn w:val="662"/>
    <w:next w:val="662"/>
    <w:link w:val="662"/>
    <w:pPr>
      <w:ind w:left="210"/>
      <w:jc w:val="left"/>
    </w:pPr>
    <w:rPr>
      <w:rFonts w:ascii="Times New Roman" w:hAnsi="Times New Roman" w:eastAsia="宋体" w:cs="Times New Roman"/>
      <w:smallCaps/>
      <w:szCs w:val="24"/>
    </w:rPr>
  </w:style>
  <w:style w:type="paragraph" w:styleId="903">
    <w:name w:val="目录 91"/>
    <w:basedOn w:val="662"/>
    <w:next w:val="662"/>
    <w:link w:val="662"/>
    <w:pPr>
      <w:ind w:left="1680"/>
      <w:jc w:val="left"/>
    </w:pPr>
    <w:rPr>
      <w:rFonts w:ascii="Times New Roman" w:hAnsi="Times New Roman" w:eastAsia="宋体" w:cs="Times New Roman"/>
      <w:szCs w:val="21"/>
    </w:rPr>
  </w:style>
  <w:style w:type="paragraph" w:styleId="904">
    <w:name w:val="正文文本 21"/>
    <w:basedOn w:val="662"/>
    <w:next w:val="904"/>
    <w:link w:val="905"/>
    <w:pPr>
      <w:jc w:val="center"/>
      <w:widowControl/>
    </w:pPr>
    <w:rPr>
      <w:rFonts w:ascii="楷体_GB2312" w:hAnsi="Times New Roman" w:eastAsia="楷体_GB2312" w:cs="Times New Roman"/>
      <w:sz w:val="28"/>
      <w:szCs w:val="28"/>
    </w:rPr>
  </w:style>
  <w:style w:type="character" w:styleId="905">
    <w:name w:val="正文文本 2 Char"/>
    <w:next w:val="905"/>
    <w:link w:val="904"/>
    <w:rPr>
      <w:rFonts w:ascii="楷体_GB2312" w:hAnsi="Times New Roman" w:eastAsia="楷体_GB2312" w:cs="Times New Roman"/>
      <w:sz w:val="28"/>
      <w:szCs w:val="28"/>
    </w:rPr>
  </w:style>
  <w:style w:type="paragraph" w:styleId="906">
    <w:name w:val="普通(网站)1"/>
    <w:basedOn w:val="662"/>
    <w:next w:val="906"/>
    <w:link w:val="662"/>
    <w:pPr>
      <w:jc w:val="left"/>
      <w:spacing w:before="100" w:beforeAutospacing="1" w:after="100" w:afterAutospacing="1"/>
      <w:widowControl/>
    </w:pPr>
    <w:rPr>
      <w:rFonts w:ascii="宋体" w:hAnsi="宋体" w:eastAsia="宋体" w:cs="宋体"/>
      <w:sz w:val="24"/>
      <w:szCs w:val="24"/>
    </w:rPr>
  </w:style>
  <w:style w:type="paragraph" w:styleId="907">
    <w:name w:val="索引 11"/>
    <w:basedOn w:val="662"/>
    <w:next w:val="662"/>
    <w:link w:val="662"/>
    <w:pPr>
      <w:spacing w:line="240" w:lineRule="atLeast"/>
    </w:pPr>
    <w:rPr>
      <w:rFonts w:ascii="Times New Roman" w:hAnsi="Times New Roman" w:eastAsia="宋体" w:cs="Times New Roman"/>
      <w:b/>
      <w:bCs/>
      <w:szCs w:val="21"/>
    </w:rPr>
  </w:style>
  <w:style w:type="paragraph" w:styleId="908">
    <w:name w:val="批注主题1"/>
    <w:basedOn w:val="870"/>
    <w:next w:val="870"/>
    <w:link w:val="909"/>
    <w:rPr>
      <w:rFonts w:ascii="Times New Roman" w:hAnsi="Times New Roman" w:eastAsia="宋体" w:cs="Times New Roman"/>
      <w:b/>
      <w:bCs/>
      <w:sz w:val="20"/>
      <w:szCs w:val="21"/>
    </w:rPr>
  </w:style>
  <w:style w:type="character" w:styleId="909">
    <w:name w:val="批注主题 Char"/>
    <w:next w:val="909"/>
    <w:link w:val="908"/>
    <w:rPr>
      <w:rFonts w:ascii="Times New Roman" w:hAnsi="Times New Roman" w:eastAsia="宋体" w:cs="Times New Roman"/>
      <w:b/>
      <w:bCs/>
      <w:szCs w:val="21"/>
    </w:rPr>
  </w:style>
  <w:style w:type="paragraph" w:styleId="910">
    <w:name w:val="正文首行缩进1"/>
    <w:basedOn w:val="662"/>
    <w:next w:val="910"/>
    <w:link w:val="911"/>
    <w:pPr>
      <w:ind w:firstLine="200"/>
      <w:spacing w:line="360" w:lineRule="auto"/>
    </w:pPr>
    <w:rPr>
      <w:rFonts w:ascii="仿宋_GB2312" w:hAnsi="Times New Roman" w:eastAsia="仿宋_GB2312" w:cs="Times New Roman"/>
      <w:sz w:val="30"/>
      <w:szCs w:val="30"/>
    </w:rPr>
  </w:style>
  <w:style w:type="character" w:styleId="911">
    <w:name w:val="正文首行缩进 Char"/>
    <w:next w:val="911"/>
    <w:link w:val="910"/>
    <w:rPr>
      <w:rFonts w:ascii="仿宋_GB2312" w:hAnsi="Times New Roman" w:eastAsia="仿宋_GB2312" w:cs="Times New Roman"/>
      <w:sz w:val="30"/>
      <w:szCs w:val="30"/>
    </w:rPr>
  </w:style>
  <w:style w:type="paragraph" w:styleId="912">
    <w:name w:val="正文首行缩进 21"/>
    <w:basedOn w:val="876"/>
    <w:next w:val="912"/>
    <w:link w:val="913"/>
    <w:pPr>
      <w:ind w:left="0" w:firstLine="420"/>
      <w:spacing w:after="0" w:line="360" w:lineRule="auto"/>
    </w:pPr>
    <w:rPr>
      <w:rFonts w:ascii="宋体" w:hAnsi="宋体" w:eastAsia="宋体" w:cs="Times New Roman"/>
      <w:sz w:val="20"/>
      <w:szCs w:val="20"/>
    </w:rPr>
  </w:style>
  <w:style w:type="character" w:styleId="913">
    <w:name w:val="正文首行缩进 2 Char"/>
    <w:next w:val="913"/>
    <w:link w:val="912"/>
    <w:rPr>
      <w:rFonts w:ascii="宋体" w:hAnsi="宋体" w:eastAsia="宋体" w:cs="Times New Roman"/>
      <w:szCs w:val="20"/>
    </w:rPr>
  </w:style>
  <w:style w:type="table" w:styleId="914">
    <w:name w:val="网格型1"/>
    <w:basedOn w:val="865"/>
    <w:next w:val="914"/>
    <w:link w:val="662"/>
    <w:pPr>
      <w:jc w:val="both"/>
      <w:widowControl w:val="off"/>
    </w:pPr>
    <w:rPr>
      <w:rFonts w:ascii="Times New Roman" w:hAnsi="Times New Roman" w:eastAsia="宋体" w:cs="Times New Roman"/>
      <w:sz w:val="20"/>
      <w:szCs w:val="20"/>
    </w:rPr>
    <w:tblPr/>
  </w:style>
  <w:style w:type="character" w:styleId="915">
    <w:name w:val="要点1"/>
    <w:next w:val="915"/>
    <w:link w:val="662"/>
    <w:rPr>
      <w:rFonts w:ascii="Times New Roman" w:hAnsi="Times New Roman" w:eastAsia="宋体" w:cs="Times New Roman"/>
      <w:b/>
      <w:bCs/>
    </w:rPr>
  </w:style>
  <w:style w:type="character" w:styleId="916">
    <w:name w:val="页码1"/>
    <w:next w:val="916"/>
    <w:link w:val="662"/>
    <w:rPr>
      <w:rFonts w:ascii="Times New Roman" w:hAnsi="Times New Roman" w:eastAsia="宋体" w:cs="Times New Roman"/>
    </w:rPr>
  </w:style>
  <w:style w:type="character" w:styleId="917">
    <w:name w:val="已访问的超链接1"/>
    <w:next w:val="917"/>
    <w:link w:val="662"/>
    <w:rPr>
      <w:rFonts w:ascii="Times New Roman" w:hAnsi="Times New Roman" w:eastAsia="宋体" w:cs="Times New Roman"/>
      <w:color w:val="800080"/>
      <w:u w:val="single"/>
    </w:rPr>
  </w:style>
  <w:style w:type="character" w:styleId="918">
    <w:name w:val="超链接1"/>
    <w:next w:val="918"/>
    <w:link w:val="662"/>
    <w:rPr>
      <w:rFonts w:ascii="Times New Roman" w:hAnsi="Times New Roman" w:eastAsia="宋体" w:cs="Times New Roman"/>
      <w:color w:val="0000ff"/>
      <w:u w:val="single"/>
    </w:rPr>
  </w:style>
  <w:style w:type="character" w:styleId="919">
    <w:name w:val="批注引用1"/>
    <w:next w:val="919"/>
    <w:link w:val="662"/>
    <w:rPr>
      <w:rFonts w:ascii="Times New Roman" w:hAnsi="Times New Roman" w:eastAsia="宋体" w:cs="Times New Roman"/>
      <w:sz w:val="21"/>
      <w:szCs w:val="21"/>
    </w:rPr>
  </w:style>
  <w:style w:type="paragraph" w:styleId="920">
    <w:name w:val="样式1"/>
    <w:basedOn w:val="662"/>
    <w:next w:val="662"/>
    <w:link w:val="662"/>
    <w:pPr>
      <w:numPr>
        <w:ilvl w:val="0"/>
        <w:numId w:val="2"/>
      </w:numPr>
      <w:tabs>
        <w:tab w:val="left" w:pos="709" w:leader="none"/>
      </w:tabs>
    </w:pPr>
    <w:rPr>
      <w:rFonts w:ascii="宋体" w:hAnsi="宋体" w:eastAsia="宋体" w:cs="Times New Roman"/>
      <w:szCs w:val="21"/>
    </w:rPr>
  </w:style>
  <w:style w:type="paragraph" w:styleId="921">
    <w:name w:val="列出段落"/>
    <w:basedOn w:val="662"/>
    <w:next w:val="921"/>
    <w:link w:val="662"/>
    <w:pPr>
      <w:contextualSpacing/>
      <w:ind w:left="720"/>
      <w:jc w:val="left"/>
      <w:widowControl/>
    </w:pPr>
    <w:rPr>
      <w:rFonts w:ascii="Calibri" w:hAnsi="Calibri" w:eastAsia="宋体" w:cs="Times New Roman"/>
      <w:sz w:val="24"/>
      <w:szCs w:val="24"/>
      <w:lang w:eastAsia="en-US" w:bidi="en-US"/>
    </w:rPr>
  </w:style>
  <w:style w:type="paragraph" w:styleId="922">
    <w:name w:val="正文文本11"/>
    <w:basedOn w:val="662"/>
    <w:next w:val="662"/>
    <w:link w:val="662"/>
    <w:rPr>
      <w:rFonts w:ascii="楷体_GB2312" w:hAnsi="Arial" w:eastAsia="楷体_GB2312" w:cs="Times New Roman"/>
      <w:sz w:val="28"/>
      <w:szCs w:val="28"/>
    </w:rPr>
  </w:style>
  <w:style w:type="paragraph" w:styleId="923">
    <w:name w:val="彩色列表1"/>
    <w:basedOn w:val="662"/>
    <w:next w:val="923"/>
    <w:link w:val="662"/>
    <w:pPr>
      <w:ind w:firstLine="420"/>
    </w:pPr>
    <w:rPr>
      <w:rFonts w:ascii="Times New Roman" w:hAnsi="Times New Roman" w:eastAsia="宋体" w:cs="Times New Roman"/>
      <w:szCs w:val="24"/>
    </w:rPr>
  </w:style>
  <w:style w:type="character" w:styleId="924">
    <w:name w:val="font5 Char"/>
    <w:next w:val="924"/>
    <w:link w:val="662"/>
    <w:rPr>
      <w:rFonts w:ascii="宋体" w:hAnsi="宋体" w:eastAsia="宋体" w:cs="Times New Roman"/>
      <w:sz w:val="28"/>
      <w:szCs w:val="28"/>
      <w:lang w:val="en-US" w:eastAsia="zh-CN" w:bidi="ar-SA"/>
    </w:rPr>
  </w:style>
  <w:style w:type="paragraph" w:styleId="925">
    <w:name w:val="二级目录"/>
    <w:next w:val="662"/>
    <w:link w:val="926"/>
    <w:pPr>
      <w:numPr>
        <w:ilvl w:val="0"/>
        <w:numId w:val="3"/>
      </w:numPr>
      <w:ind w:left="907" w:hanging="907"/>
      <w:tabs>
        <w:tab w:val="left" w:pos="907" w:leader="none"/>
        <w:tab w:val="left" w:pos="1145" w:leader="none"/>
      </w:tabs>
      <w:outlineLvl w:val="1"/>
    </w:pPr>
    <w:rPr>
      <w:b/>
      <w:sz w:val="30"/>
      <w:szCs w:val="28"/>
      <w:lang w:eastAsia="zh-CN"/>
    </w:rPr>
  </w:style>
  <w:style w:type="character" w:styleId="926">
    <w:name w:val="二级目录 Char"/>
    <w:next w:val="926"/>
    <w:link w:val="925"/>
    <w:rPr>
      <w:rFonts w:ascii="Times New Roman" w:hAnsi="Times New Roman" w:eastAsia="宋体" w:cs="Times New Roman"/>
      <w:b/>
      <w:sz w:val="30"/>
      <w:szCs w:val="28"/>
      <w:lang w:val="en-US" w:eastAsia="zh-CN" w:bidi="ar-SA"/>
    </w:rPr>
  </w:style>
  <w:style w:type="paragraph" w:styleId="927">
    <w:name w:val="列出段落1"/>
    <w:basedOn w:val="662"/>
    <w:next w:val="927"/>
    <w:link w:val="928"/>
    <w:pPr>
      <w:contextualSpacing/>
      <w:ind w:left="720"/>
      <w:jc w:val="left"/>
      <w:widowControl/>
    </w:pPr>
    <w:rPr>
      <w:rFonts w:ascii="Times New Roman" w:hAnsi="Times New Roman" w:eastAsia="宋体" w:cs="Times New Roman"/>
      <w:sz w:val="24"/>
      <w:szCs w:val="24"/>
      <w:lang w:eastAsia="en-US" w:bidi="en-US"/>
    </w:rPr>
  </w:style>
  <w:style w:type="character" w:styleId="928">
    <w:name w:val="列出段落 Char,Bullet List Char,numbered Char,FooterText Char,List Paragraph1 Char,Paragraphe de liste1 Char"/>
    <w:next w:val="928"/>
    <w:link w:val="927"/>
    <w:rPr>
      <w:rFonts w:ascii="Calibri" w:hAnsi="Calibri" w:eastAsia="宋体" w:cs="Times New Roman"/>
      <w:sz w:val="24"/>
      <w:szCs w:val="24"/>
      <w:lang w:eastAsia="en-US" w:bidi="en-US"/>
    </w:rPr>
  </w:style>
  <w:style w:type="paragraph" w:styleId="929">
    <w:name w:val="Body Text(ch)"/>
    <w:basedOn w:val="662"/>
    <w:next w:val="874"/>
    <w:link w:val="662"/>
    <w:pPr>
      <w:spacing w:after="120"/>
    </w:pPr>
    <w:rPr>
      <w:rFonts w:ascii="宋体" w:hAnsi="Arial" w:eastAsia="宋体" w:cs="Times New Roman"/>
      <w:bCs/>
      <w:iCs/>
      <w:szCs w:val="24"/>
    </w:rPr>
  </w:style>
  <w:style w:type="paragraph" w:styleId="930">
    <w:name w:val="xl27"/>
    <w:basedOn w:val="662"/>
    <w:next w:val="930"/>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1">
    <w:name w:val="xl26"/>
    <w:basedOn w:val="662"/>
    <w:next w:val="931"/>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2">
    <w:name w:val="Char"/>
    <w:basedOn w:val="662"/>
    <w:next w:val="932"/>
    <w:link w:val="662"/>
    <w:pPr>
      <w:ind w:firstLine="200"/>
      <w:tabs>
        <w:tab w:val="left" w:pos="360" w:leader="none"/>
      </w:tabs>
    </w:pPr>
    <w:rPr>
      <w:rFonts w:ascii="Times New Roman" w:hAnsi="Times New Roman" w:eastAsia="宋体" w:cs="Times New Roman"/>
      <w:sz w:val="28"/>
      <w:szCs w:val="30"/>
    </w:rPr>
  </w:style>
  <w:style w:type="paragraph" w:styleId="933">
    <w:name w:val=" Char"/>
    <w:basedOn w:val="868"/>
    <w:next w:val="933"/>
    <w:link w:val="662"/>
    <w:rPr>
      <w:rFonts w:ascii="Tahoma" w:hAnsi="Tahoma" w:eastAsia="宋体" w:cs="Times New Roman"/>
      <w:sz w:val="24"/>
      <w:szCs w:val="24"/>
    </w:rPr>
  </w:style>
  <w:style w:type="paragraph" w:styleId="934">
    <w:name w:val="普通正文"/>
    <w:basedOn w:val="662"/>
    <w:next w:val="934"/>
    <w:link w:val="662"/>
    <w:pPr>
      <w:ind w:firstLine="480"/>
      <w:jc w:val="left"/>
      <w:spacing w:before="120" w:after="120" w:line="360" w:lineRule="auto"/>
    </w:pPr>
    <w:rPr>
      <w:rFonts w:ascii="Arial" w:hAnsi="Arial" w:eastAsia="宋体" w:cs="Times New Roman"/>
      <w:sz w:val="24"/>
      <w:szCs w:val="24"/>
    </w:rPr>
  </w:style>
  <w:style w:type="paragraph" w:styleId="935">
    <w:name w:val="table_lines"/>
    <w:basedOn w:val="662"/>
    <w:next w:val="935"/>
    <w:link w:val="662"/>
    <w:pPr>
      <w:jc w:val="left"/>
      <w:widowControl/>
    </w:pPr>
    <w:rPr>
      <w:rFonts w:ascii="Times New Roman" w:hAnsi="Times New Roman" w:eastAsia="宋体" w:cs="Times New Roman"/>
      <w:sz w:val="20"/>
      <w:szCs w:val="20"/>
      <w:lang w:val="de-DE" w:eastAsia="de-DE"/>
    </w:rPr>
  </w:style>
  <w:style w:type="paragraph" w:styleId="936">
    <w:name w:val="附录1"/>
    <w:next w:val="936"/>
    <w:link w:val="662"/>
    <w:pPr>
      <w:numPr>
        <w:ilvl w:val="0"/>
        <w:numId w:val="3"/>
      </w:numPr>
      <w:ind w:left="907" w:hanging="907"/>
      <w:spacing w:before="240" w:line="600" w:lineRule="atLeast"/>
      <w:tabs>
        <w:tab w:val="left" w:pos="907" w:leader="none"/>
      </w:tabs>
    </w:pPr>
    <w:rPr>
      <w:b/>
      <w:i/>
      <w:sz w:val="28"/>
      <w:lang w:eastAsia="zh-CN"/>
    </w:rPr>
  </w:style>
  <w:style w:type="paragraph" w:styleId="937">
    <w:name w:val="font7"/>
    <w:basedOn w:val="662"/>
    <w:next w:val="937"/>
    <w:link w:val="662"/>
    <w:pPr>
      <w:jc w:val="left"/>
      <w:spacing w:before="100" w:beforeAutospacing="1" w:after="100" w:afterAutospacing="1"/>
      <w:widowControl/>
    </w:pPr>
    <w:rPr>
      <w:rFonts w:hint="eastAsia" w:ascii="宋体" w:hAnsi="宋体" w:eastAsia="宋体" w:cs="Times New Roman"/>
      <w:sz w:val="18"/>
      <w:szCs w:val="18"/>
    </w:rPr>
  </w:style>
  <w:style w:type="paragraph" w:styleId="938">
    <w:name w:val=" Char Char Char Char"/>
    <w:basedOn w:val="868"/>
    <w:next w:val="938"/>
    <w:link w:val="662"/>
    <w:pPr>
      <w:spacing w:line="360" w:lineRule="auto"/>
    </w:pPr>
    <w:rPr>
      <w:rFonts w:ascii="Tahoma" w:hAnsi="Tahoma" w:eastAsia="宋体" w:cs="Times New Roman"/>
      <w:sz w:val="24"/>
      <w:szCs w:val="24"/>
    </w:rPr>
  </w:style>
  <w:style w:type="paragraph" w:styleId="939">
    <w:name w:val="4"/>
    <w:basedOn w:val="662"/>
    <w:next w:val="899"/>
    <w:link w:val="662"/>
    <w:pPr>
      <w:ind w:firstLine="420"/>
      <w:spacing w:line="360" w:lineRule="auto"/>
    </w:pPr>
    <w:rPr>
      <w:rFonts w:ascii="Times New Roman" w:hAnsi="Times New Roman" w:eastAsia="宋体" w:cs="Times New Roman"/>
      <w:color w:val="ff0000"/>
      <w:sz w:val="24"/>
      <w:szCs w:val="24"/>
    </w:rPr>
  </w:style>
  <w:style w:type="paragraph" w:styleId="940">
    <w:name w:val="普通 (Web)"/>
    <w:basedOn w:val="662"/>
    <w:next w:val="940"/>
    <w:link w:val="662"/>
    <w:pPr>
      <w:jc w:val="left"/>
      <w:spacing w:before="100" w:beforeAutospacing="1" w:after="100" w:afterAutospacing="1"/>
      <w:widowControl/>
    </w:pPr>
    <w:rPr>
      <w:rFonts w:ascii="宋体" w:hAnsi="宋体" w:eastAsia="宋体" w:cs="Times New Roman"/>
      <w:sz w:val="24"/>
      <w:szCs w:val="24"/>
    </w:rPr>
  </w:style>
  <w:style w:type="paragraph" w:styleId="941">
    <w:name w:val=" Char Char Char Char Char Char Char Char Char Char"/>
    <w:basedOn w:val="662"/>
    <w:next w:val="941"/>
    <w:link w:val="662"/>
    <w:pPr>
      <w:spacing w:line="360" w:lineRule="auto"/>
    </w:pPr>
    <w:rPr>
      <w:rFonts w:ascii="Times New Roman" w:hAnsi="Times New Roman" w:eastAsia="宋体" w:cs="Times New Roman"/>
      <w:sz w:val="24"/>
      <w:szCs w:val="20"/>
    </w:rPr>
  </w:style>
  <w:style w:type="paragraph" w:styleId="942">
    <w:name w:val="font6"/>
    <w:basedOn w:val="662"/>
    <w:next w:val="942"/>
    <w:link w:val="662"/>
    <w:pPr>
      <w:jc w:val="left"/>
      <w:spacing w:before="100" w:beforeAutospacing="1" w:after="100" w:afterAutospacing="1"/>
      <w:widowControl/>
    </w:pPr>
    <w:rPr>
      <w:rFonts w:hint="eastAsia" w:ascii="宋体" w:hAnsi="宋体" w:eastAsia="宋体" w:cs="Times New Roman"/>
      <w:sz w:val="28"/>
      <w:szCs w:val="28"/>
      <w:u w:val="single"/>
    </w:rPr>
  </w:style>
  <w:style w:type="paragraph" w:styleId="943">
    <w:name w:val="xl25"/>
    <w:basedOn w:val="662"/>
    <w:next w:val="943"/>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name w:val="图标"/>
    <w:basedOn w:val="662"/>
    <w:next w:val="662"/>
    <w:link w:val="6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5">
    <w:name w:val="标题3"/>
    <w:basedOn w:val="662"/>
    <w:next w:val="662"/>
    <w:link w:val="662"/>
    <w:pPr>
      <w:ind w:firstLine="624"/>
      <w:spacing w:line="590" w:lineRule="atLeast"/>
    </w:pPr>
    <w:rPr>
      <w:rFonts w:ascii="方正黑体_GBK" w:hAnsi="Times New Roman" w:eastAsia="方正黑体_GBK" w:cs="Times New Roman"/>
      <w:sz w:val="32"/>
      <w:szCs w:val="32"/>
    </w:rPr>
  </w:style>
  <w:style w:type="paragraph" w:styleId="946">
    <w:name w:val="xl24"/>
    <w:basedOn w:val="662"/>
    <w:next w:val="946"/>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name w:val="xl29"/>
    <w:basedOn w:val="662"/>
    <w:next w:val="947"/>
    <w:link w:val="6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8">
    <w:name w:val="Char Char Char Char Char Char Char Char"/>
    <w:basedOn w:val="662"/>
    <w:next w:val="948"/>
    <w:link w:val="662"/>
    <w:pPr>
      <w:jc w:val="left"/>
      <w:spacing w:after="160" w:line="240" w:lineRule="exact"/>
      <w:widowControl/>
    </w:pPr>
    <w:rPr>
      <w:rFonts w:ascii="Verdana" w:hAnsi="Verdana" w:eastAsia="宋体" w:cs="Times New Roman"/>
      <w:sz w:val="20"/>
      <w:szCs w:val="20"/>
      <w:lang w:eastAsia="en-US"/>
    </w:rPr>
  </w:style>
  <w:style w:type="paragraph" w:styleId="949">
    <w:name w:val="xl28"/>
    <w:basedOn w:val="662"/>
    <w:next w:val="949"/>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0">
    <w:name w:val=" Char Char Char Char Char Char Char Char"/>
    <w:basedOn w:val="662"/>
    <w:next w:val="950"/>
    <w:link w:val="662"/>
    <w:pPr>
      <w:jc w:val="left"/>
      <w:spacing w:after="160" w:line="240" w:lineRule="exact"/>
      <w:widowControl/>
    </w:pPr>
    <w:rPr>
      <w:rFonts w:ascii="Verdana" w:hAnsi="Verdana" w:eastAsia="宋体" w:cs="Times New Roman"/>
      <w:sz w:val="20"/>
      <w:szCs w:val="20"/>
      <w:lang w:eastAsia="en-US"/>
    </w:rPr>
  </w:style>
  <w:style w:type="paragraph" w:styleId="951">
    <w:name w:val="xl30"/>
    <w:basedOn w:val="662"/>
    <w:next w:val="951"/>
    <w:link w:val="662"/>
    <w:pPr>
      <w:jc w:val="center"/>
      <w:spacing w:before="100" w:beforeAutospacing="1" w:after="100" w:afterAutospacing="1"/>
      <w:widowControl/>
    </w:pPr>
    <w:rPr>
      <w:rFonts w:ascii="宋体" w:hAnsi="宋体" w:eastAsia="宋体" w:cs="Times New Roman"/>
      <w:b/>
      <w:bCs/>
      <w:sz w:val="36"/>
      <w:szCs w:val="36"/>
    </w:rPr>
  </w:style>
  <w:style w:type="paragraph" w:styleId="952">
    <w:name w:val="Char Char Char Char"/>
    <w:basedOn w:val="868"/>
    <w:next w:val="952"/>
    <w:link w:val="662"/>
    <w:pPr>
      <w:spacing w:line="360" w:lineRule="auto"/>
    </w:pPr>
    <w:rPr>
      <w:rFonts w:ascii="Tahoma" w:hAnsi="Tahoma" w:eastAsia="宋体" w:cs="Times New Roman"/>
      <w:sz w:val="24"/>
      <w:szCs w:val="24"/>
    </w:rPr>
  </w:style>
  <w:style w:type="paragraph" w:styleId="953">
    <w:name w:val="table_1stline"/>
    <w:basedOn w:val="662"/>
    <w:next w:val="953"/>
    <w:link w:val="662"/>
    <w:pPr>
      <w:jc w:val="left"/>
      <w:spacing w:before="120"/>
      <w:widowControl/>
    </w:pPr>
    <w:rPr>
      <w:rFonts w:ascii="Times New Roman" w:hAnsi="Times New Roman" w:eastAsia="宋体" w:cs="Times New Roman"/>
      <w:bCs/>
      <w:sz w:val="20"/>
      <w:szCs w:val="20"/>
      <w:lang w:val="de-DE" w:eastAsia="de-DE"/>
    </w:rPr>
  </w:style>
  <w:style w:type="paragraph" w:styleId="954">
    <w:name w:val="font5"/>
    <w:basedOn w:val="662"/>
    <w:next w:val="954"/>
    <w:link w:val="662"/>
    <w:pPr>
      <w:jc w:val="left"/>
      <w:spacing w:before="100" w:beforeAutospacing="1" w:after="100" w:afterAutospacing="1"/>
      <w:widowControl/>
    </w:pPr>
    <w:rPr>
      <w:rFonts w:hint="eastAsia" w:ascii="宋体" w:hAnsi="宋体" w:eastAsia="宋体" w:cs="Times New Roman"/>
      <w:sz w:val="28"/>
      <w:szCs w:val="28"/>
    </w:rPr>
  </w:style>
  <w:style w:type="paragraph" w:styleId="955">
    <w:name w:val="标题1"/>
    <w:basedOn w:val="662"/>
    <w:next w:val="662"/>
    <w:link w:val="6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6">
    <w:name w:val="修订"/>
    <w:next w:val="956"/>
    <w:link w:val="662"/>
    <w:rPr>
      <w:sz w:val="21"/>
      <w:szCs w:val="21"/>
      <w:lang w:eastAsia="zh-CN"/>
    </w:rPr>
  </w:style>
  <w:style w:type="paragraph" w:styleId="957">
    <w:name w:val="无间隔"/>
    <w:next w:val="957"/>
    <w:link w:val="662"/>
    <w:pPr>
      <w:jc w:val="both"/>
      <w:widowControl w:val="off"/>
    </w:pPr>
    <w:rPr>
      <w:sz w:val="21"/>
      <w:szCs w:val="21"/>
      <w:lang w:eastAsia="zh-CN"/>
    </w:rPr>
  </w:style>
  <w:style w:type="paragraph" w:styleId="958">
    <w:name w:val="Table Text"/>
    <w:basedOn w:val="662"/>
    <w:next w:val="958"/>
    <w:link w:val="662"/>
    <w:semiHidden/>
    <w:qFormat/>
    <w:pPr>
      <w:spacing w:line="360" w:lineRule="auto"/>
      <w:widowControl/>
    </w:pPr>
    <w:rPr>
      <w:rFonts w:ascii="宋体" w:hAnsi="宋体" w:cs="宋体"/>
      <w:color w:val="000000"/>
      <w:szCs w:val="21"/>
    </w:rPr>
  </w:style>
  <w:style w:type="table" w:styleId="959">
    <w:name w:val="Table Normal"/>
    <w:next w:val="959"/>
    <w:link w:val="662"/>
    <w:unhideWhenUsed/>
    <w:qFormat/>
    <w:tblPr/>
  </w:style>
  <w:style w:type="paragraph" w:styleId="960">
    <w:name w:val="p16"/>
    <w:basedOn w:val="662"/>
    <w:next w:val="960"/>
    <w:link w:val="662"/>
    <w:qFormat/>
    <w:pPr>
      <w:jc w:val="left"/>
      <w:widowControl/>
    </w:pPr>
    <w:rPr>
      <w:sz w:val="24"/>
      <w:szCs w:val="24"/>
    </w:rPr>
  </w:style>
  <w:style w:type="paragraph" w:styleId="961">
    <w:name w:val="Normal_17_1"/>
    <w:next w:val="961"/>
    <w:link w:val="662"/>
    <w:qFormat/>
    <w:pPr>
      <w:jc w:val="both"/>
      <w:widowControl w:val="off"/>
    </w:pPr>
    <w:rPr>
      <w:rFonts w:ascii="Calibri" w:hAnsi="Calibri" w:eastAsia="宋体" w:cs="Times New Roman"/>
      <w:sz w:val="21"/>
      <w:szCs w:val="22"/>
    </w:rPr>
  </w:style>
  <w:style w:type="character" w:styleId="8434" w:default="1">
    <w:name w:val="Default Paragraph Font"/>
    <w:uiPriority w:val="1"/>
    <w:semiHidden/>
    <w:unhideWhenUsed/>
  </w:style>
  <w:style w:type="numbering" w:styleId="8435" w:default="1">
    <w:name w:val="No List"/>
    <w:uiPriority w:val="99"/>
    <w:semiHidden/>
    <w:unhideWhenUsed/>
  </w:style>
  <w:style w:type="table" w:styleId="84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王苏琪</cp:lastModifiedBy>
  <cp:revision>2</cp:revision>
  <dcterms:created xsi:type="dcterms:W3CDTF">2023-12-07T06:21:00Z</dcterms:created>
  <dcterms:modified xsi:type="dcterms:W3CDTF">2025-09-23T05:54:26Z</dcterms:modified>
</cp:coreProperties>
</file>