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7"/>
        <w:spacing w:before="120" w:beforeAutospacing="0" w:after="120" w:afterAutospacing="0" w:line="360" w:lineRule="auto"/>
        <w:rPr>
          <w:color w:val="auto"/>
          <w:highlight w:val="none"/>
        </w:rPr>
      </w:pPr>
      <w:r>
        <w:rPr>
          <w:color w:val="auto"/>
          <w:highlight w:val="none"/>
        </w:rPr>
        <w:t xml:space="preserve"> </w:t>
      </w:r>
      <w:r/>
    </w:p>
    <w:p>
      <w:pPr>
        <w:pStyle w:val="667"/>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招 标 文 件</w:t>
      </w:r>
      <w:r/>
    </w:p>
    <w:p>
      <w:pPr>
        <w:pStyle w:val="667"/>
        <w:ind w:firstLine="643"/>
        <w:jc w:val="left"/>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667"/>
        <w:jc w:val="center"/>
        <w:spacing w:before="120" w:beforeAutospacing="0" w:after="120" w:afterAutospacing="0" w:line="360" w:lineRule="auto"/>
        <w:rPr>
          <w:rFonts w:hint="eastAsia" w:eastAsia="宋体"/>
          <w:color w:val="auto"/>
          <w:highlight w:val="none"/>
          <w:lang w:eastAsia="zh-CN"/>
        </w:rPr>
      </w:pPr>
      <w:r>
        <w:rPr>
          <w:rFonts w:ascii="Arial" w:hAnsi="Arial" w:cs="Arial"/>
          <w:b/>
          <w:color w:val="auto"/>
          <w:sz w:val="32"/>
          <w:szCs w:val="32"/>
          <w:highlight w:val="none"/>
        </w:rPr>
        <w:t xml:space="preserve">项目名称：</w:t>
      </w:r>
      <w:r>
        <w:rPr>
          <w:rFonts w:hint="eastAsia" w:ascii="Arial" w:hAnsi="Arial" w:eastAsia="宋体" w:cs="Arial"/>
          <w:b/>
          <w:color w:val="auto"/>
          <w:sz w:val="32"/>
          <w:szCs w:val="32"/>
          <w:highlight w:val="none"/>
          <w:lang w:eastAsia="zh-CN"/>
        </w:rPr>
        <w:t xml:space="preserve">东台市安丰镇数字农业示范基地设备采购安装项目</w:t>
      </w:r>
      <w:r/>
    </w:p>
    <w:p>
      <w:pPr>
        <w:pStyle w:val="667"/>
        <w:jc w:val="center"/>
        <w:spacing w:beforeAutospacing="0" w:afterAutospacing="0"/>
        <w:rPr>
          <w:rFonts w:hint="eastAsia" w:eastAsia="宋体"/>
          <w:color w:val="auto"/>
          <w:highlight w:val="none"/>
          <w:lang w:eastAsia="zh-CN"/>
        </w:rPr>
      </w:pPr>
      <w:r>
        <w:rPr>
          <w:rFonts w:ascii="Times New Roman" w:hAnsi="Times New Roman"/>
          <w:b/>
          <w:color w:val="auto"/>
          <w:sz w:val="32"/>
          <w:szCs w:val="32"/>
          <w:highlight w:val="none"/>
        </w:rPr>
        <w:t xml:space="preserve">项目编号：</w:t>
      </w:r>
      <w:r>
        <w:rPr>
          <w:rFonts w:hint="eastAsia" w:ascii="Times New Roman" w:hAnsi="Times New Roman" w:eastAsia="宋体"/>
          <w:b/>
          <w:color w:val="auto"/>
          <w:sz w:val="32"/>
          <w:szCs w:val="32"/>
          <w:highlight w:val="none"/>
          <w:lang w:eastAsia="zh-CN"/>
        </w:rPr>
        <w:t xml:space="preserve">JSZC-320981-HYGC-G2024-0007</w:t>
      </w:r>
      <w:r/>
    </w:p>
    <w:p>
      <w:pPr>
        <w:pStyle w:val="667"/>
        <w:spacing w:beforeAutospacing="0" w:afterAutospacing="0" w:line="360" w:lineRule="auto"/>
        <w:rPr>
          <w:color w:val="auto"/>
          <w:highlight w:val="none"/>
        </w:rPr>
      </w:pPr>
      <w:r>
        <w:rPr>
          <w:color w:val="auto"/>
          <w:highlight w:val="none"/>
        </w:rPr>
        <w:t xml:space="preserve"> </w:t>
      </w:r>
      <w:r/>
    </w:p>
    <w:p>
      <w:pPr>
        <w:pStyle w:val="667"/>
        <w:spacing w:beforeAutospacing="0" w:afterAutospacing="0" w:line="360" w:lineRule="auto"/>
        <w:rPr>
          <w:color w:val="auto"/>
          <w:highlight w:val="none"/>
        </w:rPr>
      </w:pPr>
      <w:r>
        <w:rPr>
          <w:color w:val="auto"/>
          <w:highlight w:val="none"/>
        </w:rPr>
        <w:t xml:space="preserve"> </w:t>
      </w:r>
      <w:r/>
    </w:p>
    <w:p>
      <w:pPr>
        <w:pStyle w:val="667"/>
        <w:spacing w:beforeAutospacing="0" w:afterAutospacing="0" w:line="360" w:lineRule="auto"/>
        <w:rPr>
          <w:color w:val="auto"/>
          <w:highlight w:val="none"/>
        </w:rPr>
      </w:pPr>
      <w:r>
        <w:rPr>
          <w:color w:val="auto"/>
          <w:highlight w:val="none"/>
        </w:rPr>
        <w:t xml:space="preserve"> </w:t>
      </w:r>
      <w:r/>
    </w:p>
    <w:p>
      <w:pPr>
        <w:pStyle w:val="667"/>
        <w:spacing w:beforeAutospacing="0" w:afterAutospacing="0" w:line="360" w:lineRule="auto"/>
        <w:rPr>
          <w:color w:val="auto"/>
          <w:highlight w:val="none"/>
        </w:rPr>
      </w:pPr>
      <w:r>
        <w:rPr>
          <w:color w:val="auto"/>
          <w:highlight w:val="none"/>
        </w:rPr>
        <w:t xml:space="preserve"> </w:t>
      </w:r>
      <w:r/>
    </w:p>
    <w:p>
      <w:pPr>
        <w:pStyle w:val="667"/>
        <w:spacing w:beforeAutospacing="0" w:afterAutospacing="0" w:line="360" w:lineRule="auto"/>
        <w:rPr>
          <w:color w:val="auto"/>
          <w:highlight w:val="none"/>
        </w:rPr>
      </w:pPr>
      <w:r>
        <w:rPr>
          <w:color w:val="auto"/>
          <w:highlight w:val="none"/>
        </w:rPr>
        <w:t xml:space="preserve"> </w:t>
      </w:r>
      <w:r/>
    </w:p>
    <w:p>
      <w:pPr>
        <w:pStyle w:val="667"/>
        <w:spacing w:beforeAutospacing="0" w:afterAutospacing="0" w:line="360" w:lineRule="auto"/>
        <w:rPr>
          <w:color w:val="auto"/>
          <w:highlight w:val="none"/>
        </w:rPr>
      </w:pPr>
      <w:r>
        <w:rPr>
          <w:color w:val="auto"/>
          <w:highlight w:val="none"/>
        </w:rPr>
        <w:t xml:space="preserve"> </w:t>
      </w:r>
      <w:r/>
    </w:p>
    <w:p>
      <w:pPr>
        <w:pStyle w:val="667"/>
        <w:spacing w:beforeAutospacing="0" w:afterAutospacing="0" w:line="360" w:lineRule="auto"/>
        <w:rPr>
          <w:rFonts w:hint="eastAsia" w:ascii="Arial" w:hAnsi="Arial" w:cs="Arial"/>
          <w:b/>
          <w:color w:val="auto"/>
          <w:sz w:val="32"/>
          <w:szCs w:val="32"/>
          <w:highlight w:val="none"/>
        </w:rPr>
      </w:pPr>
      <w:r>
        <w:rPr>
          <w:color w:val="auto"/>
          <w:highlight w:val="none"/>
        </w:rPr>
        <w:t xml:space="preserve"> </w:t>
      </w:r>
      <w:r/>
    </w:p>
    <w:p>
      <w:pPr>
        <w:pStyle w:val="667"/>
        <w:ind w:firstLine="964"/>
        <w:jc w:val="left"/>
        <w:spacing w:before="120" w:beforeAutospacing="0" w:after="120" w:afterAutospacing="0" w:line="360" w:lineRule="auto"/>
        <w:rPr>
          <w:rFonts w:hint="eastAsia" w:ascii="Arial" w:hAnsi="Arial" w:cs="Arial"/>
          <w:b/>
          <w:color w:val="auto"/>
          <w:sz w:val="32"/>
          <w:szCs w:val="32"/>
          <w:highlight w:val="none"/>
        </w:rPr>
      </w:pPr>
      <w:r>
        <w:rPr>
          <w:rFonts w:hint="eastAsia" w:ascii="Arial" w:hAnsi="Arial" w:cs="Arial"/>
          <w:b/>
          <w:color w:val="auto"/>
          <w:sz w:val="32"/>
          <w:szCs w:val="32"/>
          <w:highlight w:val="none"/>
        </w:rPr>
      </w:r>
      <w:r/>
    </w:p>
    <w:p>
      <w:pPr>
        <w:pStyle w:val="667"/>
        <w:ind w:firstLine="964"/>
        <w:jc w:val="left"/>
        <w:spacing w:before="120" w:beforeAutospacing="0" w:after="120" w:afterAutospacing="0" w:line="360" w:lineRule="auto"/>
        <w:rPr>
          <w:rFonts w:hint="eastAsia" w:ascii="Arial" w:hAnsi="Arial" w:cs="Arial"/>
          <w:b/>
          <w:color w:val="auto"/>
          <w:sz w:val="32"/>
          <w:szCs w:val="32"/>
          <w:highlight w:val="none"/>
        </w:rPr>
      </w:pPr>
      <w:r>
        <w:rPr>
          <w:rFonts w:hint="eastAsia" w:ascii="Arial" w:hAnsi="Arial" w:cs="Arial"/>
          <w:b/>
          <w:color w:val="auto"/>
          <w:sz w:val="32"/>
          <w:szCs w:val="32"/>
          <w:highlight w:val="none"/>
        </w:rPr>
      </w:r>
      <w:r/>
    </w:p>
    <w:p>
      <w:pPr>
        <w:pStyle w:val="667"/>
        <w:jc w:val="center"/>
        <w:spacing w:before="120" w:beforeAutospacing="0" w:after="120" w:afterAutospacing="0" w:line="360" w:lineRule="auto"/>
        <w:rPr>
          <w:rFonts w:hint="eastAsia" w:ascii="Arial" w:hAnsi="Arial" w:cs="Arial"/>
          <w:b/>
          <w:color w:val="auto"/>
          <w:sz w:val="32"/>
          <w:szCs w:val="32"/>
          <w:highlight w:val="none"/>
          <w:lang w:eastAsia="zh-CN"/>
        </w:rPr>
      </w:pPr>
      <w:r>
        <w:rPr>
          <w:rFonts w:hint="eastAsia" w:ascii="Arial" w:hAnsi="Arial" w:cs="Arial"/>
          <w:b/>
          <w:color w:val="auto"/>
          <w:sz w:val="32"/>
          <w:szCs w:val="32"/>
          <w:highlight w:val="none"/>
        </w:rPr>
        <w:t xml:space="preserve">采购单位</w:t>
      </w:r>
      <w:r>
        <w:rPr>
          <w:rFonts w:hint="eastAsia" w:ascii="Arial" w:hAnsi="Arial" w:cs="Arial"/>
          <w:b/>
          <w:color w:val="auto"/>
          <w:sz w:val="32"/>
          <w:szCs w:val="32"/>
          <w:highlight w:val="none"/>
          <w:lang w:eastAsia="zh-CN"/>
        </w:rPr>
        <w:t xml:space="preserve">：东台市安丰镇人民政府</w:t>
      </w:r>
      <w:r/>
    </w:p>
    <w:p>
      <w:pPr>
        <w:pStyle w:val="667"/>
        <w:jc w:val="center"/>
        <w:spacing w:before="120" w:beforeAutospacing="0" w:after="120" w:afterAutospacing="0" w:line="360" w:lineRule="auto"/>
        <w:rPr>
          <w:rFonts w:hint="default" w:ascii="Arial" w:hAnsi="Arial" w:cs="Arial"/>
          <w:b/>
          <w:color w:val="auto"/>
          <w:sz w:val="32"/>
          <w:szCs w:val="32"/>
          <w:highlight w:val="none"/>
          <w:lang w:val="en-US" w:eastAsia="zh-CN"/>
        </w:rPr>
      </w:pPr>
      <w:r>
        <w:rPr>
          <w:rFonts w:hint="eastAsia" w:ascii="Arial" w:hAnsi="Arial" w:cs="Arial"/>
          <w:b/>
          <w:color w:val="auto"/>
          <w:sz w:val="32"/>
          <w:szCs w:val="32"/>
          <w:highlight w:val="none"/>
          <w:lang w:val="en-US" w:eastAsia="zh-CN"/>
        </w:rPr>
        <w:t xml:space="preserve">采购代理机构：江苏恒业工程管理咨询有限公司</w:t>
      </w:r>
      <w:r/>
    </w:p>
    <w:p>
      <w:pPr>
        <w:pStyle w:val="667"/>
        <w:jc w:val="center"/>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667"/>
        <w:jc w:val="center"/>
        <w:spacing w:before="120" w:beforeAutospacing="0" w:after="120" w:afterAutospacing="0" w:line="360" w:lineRule="auto"/>
        <w:rPr>
          <w:color w:val="auto"/>
          <w:highlight w:val="none"/>
        </w:rPr>
      </w:pPr>
      <w:r>
        <w:rPr>
          <w:rFonts w:hint="eastAsia" w:ascii="Arial" w:hAnsi="Arial" w:cs="Arial"/>
          <w:b/>
          <w:color w:val="auto"/>
          <w:sz w:val="32"/>
          <w:szCs w:val="32"/>
          <w:highlight w:val="none"/>
          <w:lang w:val="en-US" w:eastAsia="zh-CN"/>
        </w:rPr>
        <w:t xml:space="preserve">2024</w:t>
      </w:r>
      <w:r>
        <w:rPr>
          <w:rFonts w:ascii="Arial" w:hAnsi="Arial" w:cs="Arial"/>
          <w:b/>
          <w:color w:val="auto"/>
          <w:sz w:val="32"/>
          <w:szCs w:val="32"/>
          <w:highlight w:val="none"/>
        </w:rPr>
        <w:t xml:space="preserve">年</w:t>
      </w:r>
      <w:r>
        <w:rPr>
          <w:rFonts w:hint="eastAsia" w:ascii="Arial" w:hAnsi="Arial" w:cs="Arial"/>
          <w:b/>
          <w:color w:val="auto"/>
          <w:sz w:val="32"/>
          <w:szCs w:val="32"/>
          <w:highlight w:val="none"/>
          <w:lang w:val="en-US" w:eastAsia="zh-CN"/>
        </w:rPr>
        <w:t xml:space="preserve">06</w:t>
      </w:r>
      <w:r>
        <w:rPr>
          <w:rFonts w:ascii="Arial" w:hAnsi="Arial" w:cs="Arial"/>
          <w:b/>
          <w:color w:val="auto"/>
          <w:sz w:val="32"/>
          <w:szCs w:val="32"/>
          <w:highlight w:val="none"/>
        </w:rPr>
        <w:t xml:space="preserve">月</w:t>
      </w:r>
      <w:r>
        <w:rPr>
          <w:rFonts w:hint="eastAsia" w:ascii="Arial" w:hAnsi="Arial" w:eastAsia="宋体" w:cs="Arial"/>
          <w:b/>
          <w:color w:val="auto"/>
          <w:sz w:val="32"/>
          <w:szCs w:val="32"/>
          <w:highlight w:val="none"/>
          <w:lang w:val="en-US" w:eastAsia="zh-CN"/>
        </w:rPr>
        <w:t xml:space="preserve">04</w:t>
      </w:r>
      <w:r>
        <w:rPr>
          <w:rFonts w:ascii="Arial" w:hAnsi="Arial" w:cs="Arial"/>
          <w:b/>
          <w:color w:val="auto"/>
          <w:sz w:val="32"/>
          <w:szCs w:val="32"/>
          <w:highlight w:val="none"/>
        </w:rPr>
        <w:t xml:space="preserve">日</w:t>
      </w:r>
      <w:r/>
    </w:p>
    <w:p>
      <w:pPr>
        <w:pStyle w:val="667"/>
        <w:spacing w:before="120" w:beforeAutospacing="0" w:after="120" w:afterAutospacing="0" w:line="360" w:lineRule="auto"/>
        <w:rPr>
          <w:color w:val="auto"/>
          <w:highlight w:val="none"/>
        </w:rPr>
      </w:pPr>
      <w:r>
        <w:rPr>
          <w:rFonts w:ascii="Arial" w:hAnsi="Arial" w:cs="Arial"/>
          <w:color w:val="auto"/>
          <w:highlight w:val="none"/>
        </w:rPr>
        <w:t xml:space="preserve">                        </w:t>
      </w:r>
      <w:r/>
    </w:p>
    <w:p>
      <w:pPr>
        <w:pStyle w:val="667"/>
        <w:jc w:val="center"/>
        <w:spacing w:before="120" w:beforeAutospacing="0" w:after="120" w:afterAutospacing="0" w:line="360" w:lineRule="auto"/>
        <w:rPr>
          <w:color w:val="auto"/>
          <w:highlight w:val="none"/>
        </w:rPr>
      </w:pPr>
      <w:r>
        <w:rPr>
          <w:color w:val="auto"/>
          <w:highlight w:val="none"/>
        </w:rPr>
        <w:t xml:space="preserve"> </w:t>
      </w:r>
      <w:r/>
    </w:p>
    <w:p>
      <w:pPr>
        <w:pStyle w:val="667"/>
        <w:jc w:val="center"/>
        <w:spacing w:beforeAutospacing="0" w:afterAutospacing="0" w:line="480" w:lineRule="auto"/>
        <w:rPr>
          <w:color w:val="auto"/>
          <w:highlight w:val="none"/>
        </w:rPr>
      </w:pPr>
      <w:r>
        <w:rPr>
          <w:rFonts w:ascii="Times New Roman" w:hAnsi="Times New Roman"/>
          <w:color w:val="auto"/>
          <w:sz w:val="21"/>
          <w:szCs w:val="21"/>
          <w:highlight w:val="none"/>
        </w:rPr>
        <w:br w:type="page" w:clear="all"/>
      </w:r>
      <w:r>
        <w:rPr>
          <w:rFonts w:ascii="Times New Roman" w:hAnsi="Times New Roman"/>
          <w:color w:val="auto"/>
          <w:sz w:val="21"/>
          <w:szCs w:val="21"/>
          <w:highlight w:val="none"/>
        </w:rPr>
        <w:t xml:space="preserve">  </w:t>
      </w:r>
      <w:r>
        <w:rPr>
          <w:rFonts w:ascii="黑体" w:hAnsi="宋体" w:eastAsia="黑体" w:cs="黑体"/>
          <w:b/>
          <w:color w:val="auto"/>
          <w:sz w:val="44"/>
          <w:szCs w:val="44"/>
          <w:highlight w:val="none"/>
        </w:rPr>
        <w:t xml:space="preserve">总  目  录</w:t>
      </w:r>
      <w:r/>
    </w:p>
    <w:p>
      <w:pPr>
        <w:pStyle w:val="667"/>
        <w:jc w:val="both"/>
        <w:spacing w:beforeAutospacing="0" w:afterAutospacing="0" w:line="480" w:lineRule="auto"/>
        <w:rPr>
          <w:color w:val="auto"/>
          <w:highlight w:val="none"/>
        </w:rPr>
      </w:pPr>
      <w:r>
        <w:rPr>
          <w:color w:val="auto"/>
          <w:highlight w:val="none"/>
        </w:rPr>
        <w:t xml:space="preserve"> </w:t>
      </w:r>
      <w:r/>
    </w:p>
    <w:sdt>
      <w:sdtPr>
        <w15:appearance w15:val="boundingBox"/>
        <w15:color w:val="dbdbdb"/>
        <w:id w:val="147474810"/>
        <w:docPartObj>
          <w:docPartGallery w:val="Table of Contents"/>
          <w:docPartUnique w:val="true"/>
        </w:docPartObj>
        <w:rPr>
          <w:rFonts w:ascii="宋体" w:hAnsi="宋体" w:eastAsia="宋体" w:cstheme="minorBidi"/>
          <w:color w:val="auto"/>
          <w:sz w:val="21"/>
          <w:szCs w:val="24"/>
          <w:highlight w:val="none"/>
          <w:lang w:val="en-US" w:eastAsia="zh-CN" w:bidi="ar-SA"/>
        </w:rPr>
      </w:sdtPr>
      <w:sdtContent>
        <w:p>
          <w:pPr>
            <w:pStyle w:val="658"/>
            <w:tabs>
              <w:tab w:val="right" w:pos="9752" w:leader="dot"/>
            </w:tabs>
            <w:rPr>
              <w:b w:val="0"/>
              <w:bCs w:val="0"/>
              <w:sz w:val="48"/>
              <w:szCs w:val="56"/>
            </w:rPr>
          </w:pPr>
          <w:r>
            <w:rPr>
              <w:rFonts w:hint="eastAsia" w:ascii="宋体" w:hAnsi="宋体" w:eastAsia="宋体" w:cstheme="minorBidi"/>
              <w:color w:val="auto"/>
              <w:sz w:val="21"/>
              <w:szCs w:val="24"/>
              <w:highlight w:val="none"/>
              <w:lang w:val="en-US" w:eastAsia="zh-CN" w:bidi="ar-SA"/>
            </w:rPr>
            <w:t xml:space="preserve">      </w:t>
          </w:r>
          <w:r>
            <w:rPr>
              <w:rFonts w:hint="eastAsia" w:ascii="宋体" w:hAnsi="宋体" w:eastAsia="宋体" w:cstheme="minorBidi"/>
              <w:b w:val="0"/>
              <w:bCs w:val="0"/>
              <w:color w:val="auto"/>
              <w:sz w:val="21"/>
              <w:szCs w:val="24"/>
              <w:highlight w:val="none"/>
              <w:lang w:val="en-US" w:eastAsia="zh-CN" w:bidi="ar-SA"/>
            </w:rPr>
            <w:t xml:space="preserve"> </w:t>
          </w:r>
          <w:r>
            <w:rPr>
              <w:rFonts w:hint="eastAsia" w:ascii="宋体" w:hAnsi="宋体" w:eastAsia="宋体" w:cstheme="minorBidi"/>
              <w:b w:val="0"/>
              <w:bCs w:val="0"/>
              <w:color w:val="auto"/>
              <w:sz w:val="48"/>
              <w:szCs w:val="56"/>
              <w:highlight w:val="none"/>
              <w:lang w:val="en-US" w:eastAsia="zh-CN" w:bidi="ar-SA"/>
            </w:rPr>
            <w:t xml:space="preserve">  </w:t>
          </w:r>
          <w:r>
            <w:rPr>
              <w:rFonts w:hint="eastAsia" w:ascii="黑体" w:hAnsi="黑体" w:eastAsia="黑体" w:cs="黑体"/>
              <w:b w:val="0"/>
              <w:bCs w:val="0"/>
              <w:color w:val="auto"/>
              <w:sz w:val="180"/>
              <w:szCs w:val="180"/>
              <w:highlight w:val="none"/>
            </w:rPr>
            <w:fldChar w:fldCharType="begin"/>
          </w:r>
          <w:r>
            <w:rPr>
              <w:rFonts w:hint="eastAsia" w:ascii="黑体" w:hAnsi="黑体" w:eastAsia="黑体" w:cs="黑体"/>
              <w:b w:val="0"/>
              <w:bCs w:val="0"/>
              <w:color w:val="auto"/>
              <w:sz w:val="180"/>
              <w:szCs w:val="180"/>
              <w:highlight w:val="none"/>
            </w:rPr>
            <w:instrText xml:space="preserve">TOC \o "1-1" \h \u </w:instrText>
          </w:r>
          <w:r>
            <w:rPr>
              <w:rFonts w:hint="eastAsia" w:ascii="黑体" w:hAnsi="黑体" w:eastAsia="黑体" w:cs="黑体"/>
              <w:b w:val="0"/>
              <w:bCs w:val="0"/>
              <w:color w:val="auto"/>
              <w:sz w:val="180"/>
              <w:szCs w:val="180"/>
              <w:highlight w:val="none"/>
            </w:rPr>
            <w:fldChar w:fldCharType="separate"/>
          </w:r>
          <w:r>
            <w:rPr>
              <w:b w:val="0"/>
              <w:bCs w:val="0"/>
            </w:rPr>
            <w:fldChar w:fldCharType="begin"/>
          </w:r>
          <w:r>
            <w:rPr>
              <w:b w:val="0"/>
              <w:bCs w:val="0"/>
            </w:rPr>
            <w:instrText xml:space="preserve"> HYPERLINK \l "_Toc1" \o "#_Toc1" </w:instrText>
          </w:r>
          <w:r>
            <w:rPr>
              <w:b w:val="0"/>
              <w:bCs w:val="0"/>
            </w:rPr>
            <w:fldChar w:fldCharType="separate"/>
          </w:r>
          <w:r>
            <w:rPr>
              <w:rStyle w:val="672"/>
              <w:rFonts w:hint="eastAsia" w:ascii="黑体" w:hAnsi="宋体" w:eastAsia="黑体" w:cs="黑体"/>
              <w:b w:val="0"/>
              <w:bCs w:val="0"/>
              <w:sz w:val="48"/>
              <w:szCs w:val="56"/>
              <w:highlight w:val="none"/>
            </w:rPr>
            <w:t xml:space="preserve">第一章  招标公告</w:t>
          </w:r>
          <w:r>
            <w:rPr>
              <w:b w:val="0"/>
              <w:bCs w:val="0"/>
              <w:sz w:val="22"/>
              <w:szCs w:val="28"/>
            </w:rPr>
            <w:fldChar w:fldCharType="end"/>
          </w:r>
          <w:r/>
        </w:p>
        <w:p>
          <w:pPr>
            <w:pStyle w:val="658"/>
            <w:tabs>
              <w:tab w:val="right" w:pos="9752" w:leader="dot"/>
            </w:tabs>
            <w:rPr>
              <w:b w:val="0"/>
              <w:bCs w:val="0"/>
              <w:sz w:val="48"/>
              <w:szCs w:val="56"/>
              <w:highlight w:val="none"/>
              <w:u w:val="none"/>
            </w:rPr>
          </w:pPr>
          <w:r>
            <w:rPr>
              <w:b w:val="0"/>
              <w:bCs w:val="0"/>
              <w:sz w:val="48"/>
              <w:szCs w:val="56"/>
            </w:rPr>
            <w:t xml:space="preserve">     </w:t>
          </w:r>
          <w:r>
            <w:rPr>
              <w:b w:val="0"/>
              <w:bCs w:val="0"/>
            </w:rPr>
            <w:fldChar w:fldCharType="begin"/>
          </w:r>
          <w:r>
            <w:rPr>
              <w:b w:val="0"/>
              <w:bCs w:val="0"/>
            </w:rPr>
            <w:instrText xml:space="preserve"> HYPERLINK \l "_Toc9" \o "#_Toc9" </w:instrText>
          </w:r>
          <w:r>
            <w:rPr>
              <w:b w:val="0"/>
              <w:bCs w:val="0"/>
            </w:rPr>
            <w:fldChar w:fldCharType="separate"/>
          </w:r>
          <w:r>
            <w:rPr>
              <w:rStyle w:val="672"/>
              <w:rFonts w:hint="eastAsia" w:ascii="黑体" w:hAnsi="宋体" w:eastAsia="黑体" w:cs="黑体"/>
              <w:b w:val="0"/>
              <w:bCs w:val="0"/>
              <w:sz w:val="48"/>
              <w:szCs w:val="56"/>
              <w:highlight w:val="none"/>
              <w:u w:val="none"/>
            </w:rPr>
            <w:t xml:space="preserve">第二章  投标人须知</w:t>
          </w:r>
          <w:r>
            <w:rPr>
              <w:b w:val="0"/>
              <w:bCs w:val="0"/>
              <w:sz w:val="22"/>
              <w:szCs w:val="28"/>
              <w:u w:val="single"/>
            </w:rPr>
            <w:fldChar w:fldCharType="end"/>
          </w:r>
          <w:r/>
        </w:p>
        <w:p>
          <w:pPr>
            <w:pStyle w:val="658"/>
            <w:tabs>
              <w:tab w:val="right" w:pos="9752" w:leader="dot"/>
            </w:tabs>
            <w:rPr>
              <w:b w:val="0"/>
              <w:bCs w:val="0"/>
              <w:sz w:val="48"/>
              <w:szCs w:val="56"/>
              <w:highlight w:val="none"/>
              <w:u w:val="none"/>
            </w:rPr>
          </w:pPr>
          <w:r>
            <w:rPr>
              <w:b w:val="0"/>
              <w:bCs w:val="0"/>
            </w:rPr>
            <w:fldChar w:fldCharType="begin"/>
          </w:r>
          <w:r>
            <w:rPr>
              <w:b w:val="0"/>
              <w:bCs w:val="0"/>
            </w:rPr>
            <w:instrText xml:space="preserve"> HYPERLINK \l "_Toc10" \o "#_Toc10" </w:instrText>
          </w:r>
          <w:r>
            <w:rPr>
              <w:b w:val="0"/>
              <w:bCs w:val="0"/>
            </w:rPr>
            <w:fldChar w:fldCharType="separate"/>
          </w:r>
          <w:r>
            <w:rPr>
              <w:rStyle w:val="672"/>
              <w:rFonts w:hint="eastAsia" w:ascii="黑体" w:hAnsi="宋体" w:eastAsia="黑体" w:cs="黑体"/>
              <w:b w:val="0"/>
              <w:bCs w:val="0"/>
              <w:sz w:val="48"/>
              <w:szCs w:val="56"/>
              <w:highlight w:val="none"/>
              <w:u w:val="none"/>
            </w:rPr>
            <w:t xml:space="preserve">     第三章  合同文本</w:t>
          </w:r>
          <w:r>
            <w:rPr>
              <w:b w:val="0"/>
              <w:bCs w:val="0"/>
              <w:sz w:val="22"/>
              <w:szCs w:val="28"/>
              <w:u w:val="single"/>
            </w:rPr>
            <w:fldChar w:fldCharType="end"/>
          </w:r>
          <w:r/>
        </w:p>
        <w:p>
          <w:pPr>
            <w:pStyle w:val="658"/>
            <w:tabs>
              <w:tab w:val="right" w:pos="9752" w:leader="dot"/>
            </w:tabs>
            <w:rPr>
              <w:b w:val="0"/>
              <w:bCs w:val="0"/>
              <w:sz w:val="48"/>
              <w:szCs w:val="56"/>
              <w:highlight w:val="none"/>
              <w:u w:val="none"/>
            </w:rPr>
          </w:pPr>
          <w:r>
            <w:rPr>
              <w:b w:val="0"/>
              <w:bCs w:val="0"/>
            </w:rPr>
            <w:fldChar w:fldCharType="begin"/>
          </w:r>
          <w:r>
            <w:rPr>
              <w:b w:val="0"/>
              <w:bCs w:val="0"/>
            </w:rPr>
            <w:instrText xml:space="preserve"> HYPERLINK \l "_Toc11" \o "#_Toc11" </w:instrText>
          </w:r>
          <w:r>
            <w:rPr>
              <w:b w:val="0"/>
              <w:bCs w:val="0"/>
            </w:rPr>
            <w:fldChar w:fldCharType="separate"/>
          </w:r>
          <w:r>
            <w:rPr>
              <w:rStyle w:val="672"/>
              <w:rFonts w:hint="eastAsia" w:ascii="黑体" w:hAnsi="宋体" w:eastAsia="黑体" w:cs="黑体"/>
              <w:b w:val="0"/>
              <w:bCs w:val="0"/>
              <w:sz w:val="48"/>
              <w:szCs w:val="56"/>
              <w:highlight w:val="none"/>
              <w:u w:val="none"/>
            </w:rPr>
            <w:t xml:space="preserve">     第四章  </w:t>
          </w:r>
          <w:r>
            <w:rPr>
              <w:rStyle w:val="672"/>
              <w:rFonts w:hint="eastAsia" w:ascii="黑体" w:hAnsi="宋体" w:eastAsia="黑体" w:cs="黑体"/>
              <w:b w:val="0"/>
              <w:bCs w:val="0"/>
              <w:sz w:val="48"/>
              <w:szCs w:val="56"/>
              <w:highlight w:val="none"/>
              <w:u w:val="none"/>
              <w:lang w:val="en-US" w:eastAsia="zh-CN"/>
            </w:rPr>
            <w:t xml:space="preserve"> </w:t>
          </w:r>
          <w:r>
            <w:rPr>
              <w:rStyle w:val="672"/>
              <w:rFonts w:hint="eastAsia" w:ascii="黑体" w:hAnsi="宋体" w:eastAsia="黑体" w:cs="黑体"/>
              <w:b w:val="0"/>
              <w:bCs w:val="0"/>
              <w:sz w:val="48"/>
              <w:szCs w:val="56"/>
              <w:highlight w:val="none"/>
              <w:u w:val="none"/>
            </w:rPr>
            <w:t xml:space="preserve">采购需求</w:t>
          </w:r>
          <w:r>
            <w:rPr>
              <w:b w:val="0"/>
              <w:bCs w:val="0"/>
              <w:sz w:val="22"/>
              <w:szCs w:val="28"/>
              <w:u w:val="single"/>
            </w:rPr>
            <w:fldChar w:fldCharType="end"/>
          </w:r>
          <w:r/>
        </w:p>
        <w:p>
          <w:pPr>
            <w:pStyle w:val="658"/>
            <w:tabs>
              <w:tab w:val="right" w:pos="9752" w:leader="dot"/>
            </w:tabs>
            <w:rPr>
              <w:b w:val="0"/>
              <w:bCs w:val="0"/>
              <w:sz w:val="48"/>
              <w:szCs w:val="56"/>
              <w:highlight w:val="none"/>
              <w:u w:val="none"/>
            </w:rPr>
          </w:pPr>
          <w:r>
            <w:rPr>
              <w:b w:val="0"/>
              <w:bCs w:val="0"/>
            </w:rPr>
            <w:fldChar w:fldCharType="begin"/>
          </w:r>
          <w:r>
            <w:rPr>
              <w:b w:val="0"/>
              <w:bCs w:val="0"/>
            </w:rPr>
            <w:instrText xml:space="preserve"> HYPERLINK \l "_Toc12" \o "#_Toc12" </w:instrText>
          </w:r>
          <w:r>
            <w:rPr>
              <w:b w:val="0"/>
              <w:bCs w:val="0"/>
            </w:rPr>
            <w:fldChar w:fldCharType="separate"/>
          </w:r>
          <w:r>
            <w:rPr>
              <w:rStyle w:val="672"/>
              <w:rFonts w:hint="eastAsia" w:ascii="黑体" w:hAnsi="宋体" w:eastAsia="黑体" w:cs="黑体"/>
              <w:b w:val="0"/>
              <w:bCs w:val="0"/>
              <w:sz w:val="48"/>
              <w:szCs w:val="56"/>
              <w:highlight w:val="none"/>
              <w:u w:val="none"/>
            </w:rPr>
            <w:t xml:space="preserve">     第五章  评标方法与评标标准</w:t>
          </w:r>
          <w:r>
            <w:rPr>
              <w:b w:val="0"/>
              <w:bCs w:val="0"/>
              <w:sz w:val="22"/>
              <w:szCs w:val="28"/>
              <w:u w:val="single"/>
            </w:rPr>
            <w:fldChar w:fldCharType="end"/>
          </w:r>
          <w:r/>
        </w:p>
        <w:p>
          <w:pPr>
            <w:pStyle w:val="658"/>
            <w:tabs>
              <w:tab w:val="right" w:pos="9752" w:leader="dot"/>
            </w:tabs>
            <w:rPr>
              <w:rFonts w:hint="eastAsia" w:ascii="黑体" w:hAnsi="宋体" w:eastAsia="黑体" w:cs="黑体"/>
              <w:b w:val="0"/>
              <w:bCs w:val="0"/>
              <w:sz w:val="48"/>
              <w:szCs w:val="56"/>
              <w:highlight w:val="none"/>
              <w:u w:val="none"/>
            </w:rPr>
          </w:pPr>
          <w:r>
            <w:rPr>
              <w:b w:val="0"/>
              <w:bCs w:val="0"/>
            </w:rPr>
            <w:fldChar w:fldCharType="begin"/>
          </w:r>
          <w:r>
            <w:rPr>
              <w:b w:val="0"/>
              <w:bCs w:val="0"/>
            </w:rPr>
            <w:instrText xml:space="preserve"> HYPERLINK \l "_Toc13" \o "#_Toc13" </w:instrText>
          </w:r>
          <w:r>
            <w:rPr>
              <w:b w:val="0"/>
              <w:bCs w:val="0"/>
            </w:rPr>
            <w:fldChar w:fldCharType="separate"/>
          </w:r>
          <w:r>
            <w:rPr>
              <w:rStyle w:val="672"/>
              <w:rFonts w:hint="eastAsia" w:ascii="黑体" w:hAnsi="宋体" w:eastAsia="黑体" w:cs="黑体"/>
              <w:b w:val="0"/>
              <w:bCs w:val="0"/>
              <w:sz w:val="48"/>
              <w:szCs w:val="56"/>
              <w:highlight w:val="none"/>
              <w:u w:val="none"/>
            </w:rPr>
            <w:t xml:space="preserve">     第六章  投标文件格式</w:t>
          </w:r>
          <w:r>
            <w:rPr>
              <w:b w:val="0"/>
              <w:bCs w:val="0"/>
              <w:sz w:val="22"/>
              <w:szCs w:val="28"/>
              <w:u w:val="single"/>
            </w:rPr>
            <w:fldChar w:fldCharType="end"/>
          </w:r>
          <w:r/>
        </w:p>
        <w:p>
          <w:pPr>
            <w:pStyle w:val="667"/>
            <w:jc w:val="both"/>
            <w:spacing w:beforeAutospacing="0" w:afterAutospacing="0"/>
            <w:rPr>
              <w:color w:val="auto"/>
              <w:highlight w:val="none"/>
            </w:rPr>
          </w:pPr>
          <w:r>
            <w:rPr>
              <w:rFonts w:hint="eastAsia" w:ascii="黑体" w:hAnsi="黑体" w:eastAsia="黑体" w:cs="黑体"/>
              <w:b w:val="0"/>
              <w:bCs w:val="0"/>
              <w:color w:val="auto"/>
              <w:sz w:val="180"/>
              <w:szCs w:val="180"/>
              <w:highlight w:val="none"/>
            </w:rPr>
            <w:fldChar w:fldCharType="end"/>
          </w:r>
          <w:r/>
        </w:p>
      </w:sdtContent>
    </w:sdt>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667"/>
        <w:jc w:val="center"/>
        <w:keepNext/>
        <w:spacing w:beforeAutospacing="0" w:afterAutospacing="0"/>
        <w:rPr>
          <w:color w:val="auto"/>
          <w:highlight w:val="none"/>
        </w:rPr>
        <w:outlineLvl w:val="0"/>
      </w:pPr>
      <w:r/>
      <w:bookmarkStart w:id="0" w:name="_Toc1"/>
      <w:r>
        <w:rPr>
          <w:rFonts w:hint="eastAsia" w:ascii="黑体" w:hAnsi="宋体" w:eastAsia="黑体" w:cs="黑体"/>
          <w:color w:val="auto"/>
          <w:sz w:val="44"/>
          <w:szCs w:val="44"/>
          <w:highlight w:val="none"/>
        </w:rPr>
        <w:t xml:space="preserve">第一章  招标公告</w:t>
      </w:r>
      <w:bookmarkEnd w:id="0"/>
      <w:r/>
      <w:r/>
    </w:p>
    <w:p>
      <w:pPr>
        <w:pStyle w:val="667"/>
        <w:ind w:firstLine="480"/>
        <w:jc w:val="both"/>
        <w:spacing w:beforeAutospacing="0" w:afterAutospacing="0" w:line="360" w:lineRule="auto"/>
        <w:rPr>
          <w:color w:val="auto"/>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highlight w:val="none"/>
        </w:rPr>
        <w:t xml:space="preserve">项目概况</w:t>
      </w:r>
      <w:r/>
    </w:p>
    <w:p>
      <w:pPr>
        <w:ind w:left="0" w:right="0" w:firstLine="480"/>
        <w:jc w:val="both"/>
        <w:spacing w:before="240" w:after="240" w:line="85" w:lineRule="atLeast"/>
        <w:rPr>
          <w:sz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u w:val="single"/>
          <w:lang w:eastAsia="zh-CN"/>
        </w:rPr>
        <w:t xml:space="preserve">东台市安丰镇数字农业示范基地设备采购安装项目</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eastAsia="zh-CN"/>
        </w:rPr>
        <w:t xml:space="preserve">JSZC-320981-HYGC-G2024-0007</w:t>
      </w:r>
      <w:r>
        <w:rPr>
          <w:rFonts w:ascii="宋体" w:hAnsi="宋体" w:eastAsia="宋体" w:cs="宋体"/>
          <w:color w:val="000000"/>
          <w:sz w:val="24"/>
          <w:u w:val="single"/>
        </w:rPr>
        <w:t xml:space="preserve"> </w:t>
      </w:r>
      <w:r>
        <w:rPr>
          <w:rFonts w:ascii="宋体" w:hAnsi="宋体" w:eastAsia="宋体" w:cs="宋体"/>
          <w:color w:val="000000"/>
          <w:sz w:val="24"/>
        </w:rPr>
        <w:t xml:space="preserve">招标项目的潜在投标人可在</w:t>
      </w:r>
      <w:r>
        <w:rPr>
          <w:rFonts w:ascii="宋体" w:hAnsi="宋体" w:eastAsia="宋体" w:cs="宋体"/>
          <w:color w:val="000000"/>
          <w:sz w:val="24"/>
          <w:u w:val="single"/>
        </w:rPr>
        <w:t xml:space="preserve">江苏政府采购网、盐城市政府采购网获取招标文件</w:t>
      </w:r>
      <w:r>
        <w:rPr>
          <w:rFonts w:ascii="宋体" w:hAnsi="宋体" w:eastAsia="宋体" w:cs="宋体"/>
          <w:color w:val="000000"/>
          <w:sz w:val="24"/>
        </w:rPr>
        <w:t xml:space="preserve">，并于</w:t>
      </w:r>
      <w:r>
        <w:rPr>
          <w:rFonts w:ascii="宋体" w:hAnsi="宋体" w:eastAsia="宋体" w:cs="宋体"/>
          <w:color w:val="000000"/>
          <w:sz w:val="24"/>
          <w:u w:val="single"/>
        </w:rPr>
        <w:t xml:space="preserve">2024</w:t>
      </w:r>
      <w:r>
        <w:rPr>
          <w:rFonts w:hint="eastAsia" w:ascii="宋体" w:hAnsi="宋体" w:eastAsia="宋体" w:cs="宋体"/>
          <w:color w:val="000000"/>
          <w:sz w:val="24"/>
          <w:lang w:eastAsia="zh-CN"/>
        </w:rPr>
        <w:t xml:space="preserve">年</w:t>
      </w:r>
      <w:r>
        <w:rPr>
          <w:rFonts w:hint="eastAsia" w:ascii="宋体" w:hAnsi="宋体" w:eastAsia="宋体" w:cs="宋体"/>
          <w:color w:val="000000"/>
          <w:sz w:val="24"/>
          <w:u w:val="single"/>
          <w:lang w:val="en-US" w:eastAsia="zh-CN"/>
        </w:rPr>
        <w:t xml:space="preserve">7</w:t>
      </w:r>
      <w:r>
        <w:rPr>
          <w:rFonts w:hint="eastAsia" w:ascii="宋体" w:hAnsi="宋体" w:eastAsia="宋体" w:cs="宋体"/>
          <w:color w:val="000000"/>
          <w:sz w:val="24"/>
          <w:u w:val="none"/>
          <w:lang w:val="en-US" w:eastAsia="zh-CN"/>
        </w:rPr>
        <w:t xml:space="preserve">月</w:t>
      </w:r>
      <w:r>
        <w:rPr>
          <w:rFonts w:hint="eastAsia" w:ascii="宋体" w:hAnsi="宋体" w:eastAsia="宋体" w:cs="宋体"/>
          <w:color w:val="000000"/>
          <w:sz w:val="24"/>
          <w:u w:val="single"/>
          <w:lang w:val="en-US" w:eastAsia="zh-CN"/>
        </w:rPr>
        <w:t xml:space="preserve">1</w:t>
      </w:r>
      <w:r>
        <w:rPr>
          <w:rFonts w:hint="eastAsia" w:ascii="宋体" w:hAnsi="宋体" w:eastAsia="宋体" w:cs="宋体"/>
          <w:color w:val="000000"/>
          <w:sz w:val="24"/>
          <w:u w:val="none"/>
          <w:lang w:val="en-US" w:eastAsia="zh-CN"/>
        </w:rPr>
        <w:t xml:space="preserve">日</w:t>
      </w:r>
      <w:r>
        <w:rPr>
          <w:rFonts w:ascii="宋体" w:hAnsi="宋体" w:eastAsia="宋体" w:cs="宋体"/>
          <w:color w:val="000000"/>
          <w:sz w:val="24"/>
          <w:u w:val="none"/>
        </w:rPr>
        <w:t xml:space="preserve"> </w:t>
      </w:r>
      <w:r>
        <w:rPr>
          <w:rFonts w:hint="eastAsia" w:ascii="宋体" w:hAnsi="宋体" w:eastAsia="宋体" w:cs="宋体"/>
          <w:color w:val="000000"/>
          <w:sz w:val="24"/>
          <w:u w:val="single"/>
          <w:lang w:val="en-US" w:eastAsia="zh-CN"/>
        </w:rPr>
        <w:t xml:space="preserve">09</w:t>
      </w:r>
      <w:r>
        <w:rPr>
          <w:rFonts w:hint="eastAsia" w:ascii="宋体" w:hAnsi="宋体" w:eastAsia="宋体" w:cs="宋体"/>
          <w:color w:val="000000"/>
          <w:sz w:val="24"/>
          <w:lang w:eastAsia="zh-CN"/>
        </w:rPr>
        <w:t xml:space="preserve">时</w:t>
      </w:r>
      <w:r>
        <w:rPr>
          <w:rFonts w:ascii="宋体" w:hAnsi="宋体" w:eastAsia="宋体" w:cs="宋体"/>
          <w:color w:val="000000"/>
          <w:sz w:val="24"/>
          <w:u w:val="single"/>
        </w:rPr>
        <w:t xml:space="preserve">00</w:t>
      </w:r>
      <w:r>
        <w:rPr>
          <w:rFonts w:hint="eastAsia" w:ascii="宋体" w:hAnsi="宋体" w:eastAsia="宋体" w:cs="宋体"/>
          <w:color w:val="000000"/>
          <w:sz w:val="24"/>
          <w:u w:val="none"/>
          <w:lang w:eastAsia="zh-CN"/>
        </w:rPr>
        <w:t xml:space="preserve">分</w:t>
      </w:r>
      <w:r>
        <w:rPr>
          <w:rFonts w:ascii="宋体" w:hAnsi="宋体" w:eastAsia="宋体" w:cs="宋体"/>
          <w:color w:val="000000"/>
          <w:sz w:val="24"/>
        </w:rPr>
        <w:t xml:space="preserve">（北京时间）前递交投标文件。</w:t>
      </w:r>
      <w:r/>
    </w:p>
    <w:p>
      <w:pPr>
        <w:pStyle w:val="826"/>
        <w:ind w:firstLine="482"/>
        <w:jc w:val="both"/>
        <w:pageBreakBefore w:val="0"/>
        <w:spacing w:line="360" w:lineRule="auto"/>
        <w:widowControl/>
        <w:rPr>
          <w:rStyle w:val="825"/>
          <w:rFonts w:ascii="宋体" w:hAnsi="宋体" w:eastAsia="宋体" w:cs="Times New Roman"/>
          <w:b/>
          <w:bCs/>
          <w:color w:val="auto"/>
          <w:sz w:val="24"/>
          <w:szCs w:val="24"/>
          <w:highlight w:val="none"/>
        </w:rPr>
      </w:pPr>
      <w:r/>
      <w:bookmarkStart w:id="1" w:name="_Toc2"/>
      <w:r/>
      <w:bookmarkStart w:id="2" w:name="_Hlk24379207"/>
      <w:r>
        <w:rPr>
          <w:rStyle w:val="825"/>
          <w:rFonts w:ascii="宋体" w:hAnsi="宋体" w:eastAsia="宋体" w:cs="Times New Roman"/>
          <w:b/>
          <w:bCs/>
          <w:color w:val="auto"/>
          <w:sz w:val="24"/>
          <w:szCs w:val="24"/>
          <w:highlight w:val="none"/>
        </w:rPr>
        <w:t xml:space="preserve">一、项目基本情况</w:t>
      </w:r>
      <w:bookmarkEnd w:id="1"/>
      <w:r/>
      <w:bookmarkEnd w:id="2"/>
      <w:r/>
      <w:r/>
    </w:p>
    <w:p>
      <w:pPr>
        <w:ind w:left="0" w:right="0" w:firstLine="480"/>
        <w:jc w:val="both"/>
        <w:spacing w:before="0" w:after="0"/>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w:t>
      </w:r>
      <w:r>
        <w:rPr>
          <w:rFonts w:hint="eastAsia" w:ascii="宋体" w:hAnsi="宋体" w:eastAsia="宋体" w:cs="宋体"/>
          <w:color w:val="000000"/>
          <w:sz w:val="24"/>
          <w:lang w:eastAsia="zh-CN"/>
        </w:rPr>
        <w:t xml:space="preserve">JSZC-320981-HYGC-G2024-0007</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rPr>
          <w:rFonts w:hint="eastAsia" w:ascii="宋体" w:hAnsi="宋体" w:eastAsia="宋体" w:cs="宋体"/>
          <w:color w:val="000000"/>
          <w:sz w:val="24"/>
          <w:lang w:eastAsia="zh-CN"/>
        </w:rPr>
        <w:t xml:space="preserve">东台市安丰镇数字农业示范基地设备采购安装项目</w:t>
      </w:r>
      <w:r>
        <w:rPr>
          <w:rFonts w:ascii="宋体" w:hAnsi="宋体" w:eastAsia="宋体" w:cs="宋体"/>
          <w:color w:val="000000"/>
          <w:sz w:val="24"/>
        </w:rPr>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w:t>
      </w:r>
      <w:r>
        <w:rPr>
          <w:rFonts w:hint="eastAsia" w:ascii="宋体" w:hAnsi="宋体" w:eastAsia="宋体" w:cs="宋体"/>
          <w:color w:val="000000"/>
          <w:sz w:val="24"/>
          <w:lang w:eastAsia="zh-CN"/>
        </w:rPr>
        <w:t xml:space="preserve">人民币</w:t>
      </w:r>
      <w:r>
        <w:rPr>
          <w:rFonts w:hint="eastAsia" w:ascii="宋体" w:hAnsi="宋体" w:eastAsia="宋体" w:cs="宋体"/>
          <w:color w:val="000000"/>
          <w:sz w:val="24"/>
          <w:lang w:val="en-US" w:eastAsia="zh-CN"/>
        </w:rPr>
        <w:t xml:space="preserve">130.4</w:t>
      </w:r>
      <w:r>
        <w:rPr>
          <w:rFonts w:ascii="宋体" w:hAnsi="宋体" w:eastAsia="宋体" w:cs="宋体"/>
          <w:color w:val="000000"/>
          <w:sz w:val="24"/>
        </w:rPr>
        <w:t xml:space="preserve">万元</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最高限价：</w:t>
      </w:r>
      <w:r>
        <w:rPr>
          <w:rFonts w:hint="eastAsia" w:ascii="宋体" w:hAnsi="宋体" w:eastAsia="宋体" w:cs="宋体"/>
          <w:color w:val="000000"/>
          <w:sz w:val="24"/>
          <w:lang w:eastAsia="zh-CN"/>
        </w:rPr>
        <w:t xml:space="preserve">人民币</w:t>
      </w:r>
      <w:r>
        <w:rPr>
          <w:rFonts w:hint="eastAsia" w:ascii="宋体" w:hAnsi="宋体" w:eastAsia="宋体" w:cs="宋体"/>
          <w:color w:val="000000"/>
          <w:sz w:val="24"/>
          <w:lang w:val="en-US" w:eastAsia="zh-CN"/>
        </w:rPr>
        <w:t xml:space="preserve">130.4</w:t>
      </w:r>
      <w:r>
        <w:rPr>
          <w:rFonts w:ascii="宋体" w:hAnsi="宋体" w:eastAsia="宋体" w:cs="宋体"/>
          <w:color w:val="000000"/>
          <w:sz w:val="24"/>
        </w:rPr>
        <w:t xml:space="preserve">万元</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采购需求：</w:t>
      </w:r>
      <w:r>
        <w:rPr>
          <w:rFonts w:hint="eastAsia" w:ascii="宋体" w:hAnsi="宋体" w:eastAsia="宋体" w:cs="宋体"/>
          <w:color w:val="000000"/>
          <w:sz w:val="24"/>
          <w:lang w:eastAsia="zh-CN"/>
        </w:rPr>
        <w:t xml:space="preserve">东台市安丰镇数字农业示范基地设备采购安装项目，</w:t>
      </w:r>
      <w:r>
        <w:rPr>
          <w:rFonts w:ascii="宋体" w:hAnsi="宋体" w:eastAsia="宋体" w:cs="宋体"/>
          <w:color w:val="000000"/>
          <w:sz w:val="24"/>
        </w:rPr>
        <w:t xml:space="preserve">详细内容见本招标文件第四章</w:t>
      </w:r>
      <w:r>
        <w:rPr>
          <w:rFonts w:hint="eastAsia" w:ascii="宋体" w:hAnsi="宋体" w:eastAsia="宋体" w:cs="宋体"/>
          <w:color w:val="000000"/>
          <w:sz w:val="24"/>
          <w:lang w:eastAsia="zh-CN"/>
        </w:rPr>
        <w:t xml:space="preserve">采购需求。</w:t>
      </w:r>
      <w:r>
        <w:rPr>
          <w:rFonts w:ascii="宋体" w:hAnsi="宋体" w:eastAsia="宋体" w:cs="宋体"/>
          <w:color w:val="000000"/>
          <w:sz w:val="24"/>
        </w:rPr>
        <w:t xml:space="preserve"> </w:t>
      </w:r>
      <w:r/>
    </w:p>
    <w:p>
      <w:pPr>
        <w:ind w:left="0" w:right="0" w:firstLine="480"/>
        <w:jc w:val="both"/>
        <w:spacing w:before="0" w:after="0"/>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合同履行期限：</w:t>
      </w:r>
      <w:r>
        <w:rPr>
          <w:rFonts w:hint="eastAsia" w:ascii="宋体" w:hAnsi="宋体" w:eastAsia="宋体" w:cs="宋体"/>
          <w:color w:val="000000"/>
          <w:sz w:val="24"/>
        </w:rPr>
        <w:t xml:space="preserve">合同签订后30日历天内完成全部设备的供货到场，安装、调试、验收合格后交付采购人使用</w:t>
      </w:r>
      <w:r>
        <w:rPr>
          <w:rFonts w:hint="eastAsia" w:ascii="宋体" w:hAnsi="宋体" w:eastAsia="宋体" w:cs="宋体"/>
          <w:color w:val="000000"/>
          <w:sz w:val="24"/>
          <w:lang w:eastAsia="zh-CN"/>
        </w:rPr>
        <w:t xml:space="preserve">。</w:t>
      </w:r>
      <w:r/>
    </w:p>
    <w:p>
      <w:pPr>
        <w:ind w:left="0" w:right="0" w:firstLine="480"/>
        <w:jc w:val="both"/>
        <w:spacing w:before="0" w:after="0"/>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本项目（是/否）接受联合体投标：不接受联合体</w:t>
      </w:r>
      <w:r>
        <w:rPr>
          <w:rFonts w:hint="eastAsia" w:ascii="宋体" w:hAnsi="宋体" w:eastAsia="宋体" w:cs="宋体"/>
          <w:color w:val="000000"/>
          <w:sz w:val="24"/>
          <w:lang w:eastAsia="zh-CN"/>
        </w:rPr>
        <w:t xml:space="preserve">。</w:t>
      </w:r>
      <w:r/>
    </w:p>
    <w:p>
      <w:pPr>
        <w:pStyle w:val="826"/>
        <w:ind w:firstLine="482"/>
        <w:jc w:val="both"/>
        <w:pageBreakBefore w:val="0"/>
        <w:spacing w:line="360" w:lineRule="auto"/>
        <w:widowControl/>
        <w:rPr>
          <w:rStyle w:val="825"/>
          <w:rFonts w:ascii="宋体" w:hAnsi="宋体" w:eastAsia="宋体" w:cs="Times New Roman"/>
          <w:b/>
          <w:bCs/>
          <w:color w:val="auto"/>
          <w:sz w:val="24"/>
          <w:szCs w:val="24"/>
          <w:highlight w:val="none"/>
        </w:rPr>
      </w:pPr>
      <w:r/>
      <w:bookmarkStart w:id="3" w:name="_Toc3"/>
      <w:r>
        <w:rPr>
          <w:rStyle w:val="825"/>
          <w:rFonts w:ascii="宋体" w:hAnsi="宋体" w:eastAsia="宋体" w:cs="Times New Roman"/>
          <w:b/>
          <w:bCs/>
          <w:color w:val="auto"/>
          <w:sz w:val="24"/>
          <w:szCs w:val="24"/>
          <w:highlight w:val="none"/>
        </w:rPr>
        <w:t xml:space="preserve">二、申请人的资格要求：</w:t>
      </w:r>
      <w:bookmarkEnd w:id="3"/>
      <w:r/>
      <w:r/>
    </w:p>
    <w:p>
      <w:pPr>
        <w:ind w:left="0" w:right="0" w:firstLine="480"/>
        <w:jc w:val="both"/>
        <w:spacing w:before="0" w:after="0" w:line="85" w:lineRule="atLeast"/>
        <w:rPr>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（一）满足《中华人民共和国政府采购法》第二十二条规定：</w:t>
      </w:r>
      <w:r/>
    </w:p>
    <w:p>
      <w:pPr>
        <w:ind w:left="0" w:right="0" w:firstLine="480"/>
        <w:jc w:val="both"/>
        <w:spacing w:before="0" w:after="0" w:line="85" w:lineRule="atLeast"/>
        <w:rPr>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1.法人或者其他组织的营业执照等证明文件，自然人的身份证明；</w:t>
      </w:r>
      <w:r/>
    </w:p>
    <w:p>
      <w:pPr>
        <w:ind w:left="0" w:right="0" w:firstLine="480"/>
        <w:jc w:val="both"/>
        <w:spacing w:before="0" w:after="0" w:line="85" w:lineRule="atLeast"/>
        <w:rPr>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2.上一年度的财务状况报表（成立不满一年无需提供）；</w:t>
      </w:r>
      <w:r/>
    </w:p>
    <w:p>
      <w:pPr>
        <w:ind w:left="0" w:right="0" w:firstLine="480"/>
        <w:jc w:val="both"/>
        <w:spacing w:before="0" w:after="0" w:line="85" w:lineRule="atLeast"/>
        <w:rPr>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line="85" w:lineRule="atLeast"/>
        <w:rPr>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4.具备履行合同所必需的设备和专业技术能力的书面声明；</w:t>
      </w:r>
      <w:r/>
    </w:p>
    <w:p>
      <w:pPr>
        <w:ind w:left="0" w:right="0" w:firstLine="480"/>
        <w:jc w:val="both"/>
        <w:spacing w:before="0" w:after="0" w:line="85" w:lineRule="atLeast"/>
        <w:rPr>
          <w:rFonts w:hint="eastAsia" w:eastAsia="宋体"/>
          <w:sz w:val="22"/>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5.参加政府采购活动前3年内在经营活动中没有重大违法记录的书面声明</w:t>
      </w:r>
      <w:r>
        <w:rPr>
          <w:rFonts w:hint="eastAsia" w:ascii="宋体" w:hAnsi="宋体" w:eastAsia="宋体" w:cs="宋体"/>
          <w:color w:val="000000"/>
          <w:sz w:val="24"/>
          <w:lang w:eastAsia="zh-CN"/>
        </w:rPr>
        <w:t xml:space="preserve">；</w:t>
      </w:r>
      <w:r/>
    </w:p>
    <w:p>
      <w:pPr>
        <w:ind w:left="0" w:right="0" w:firstLine="480"/>
        <w:jc w:val="both"/>
        <w:spacing w:before="0" w:after="0" w:line="85" w:lineRule="atLeast"/>
        <w:rPr>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6.投标人法定代表人身份证明和投标文件签署授权委托书（另附法定代表人和被授权人的身份证复印件或扫描件）</w:t>
      </w:r>
      <w:r/>
    </w:p>
    <w:p>
      <w:pPr>
        <w:ind w:left="0" w:right="0" w:firstLine="480"/>
        <w:jc w:val="both"/>
        <w:spacing w:before="0" w:after="0" w:line="85" w:lineRule="atLeast"/>
        <w:rPr>
          <w:rFonts w:hint="eastAsia" w:eastAsia="宋体"/>
          <w:sz w:val="22"/>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7.投标人为被授权人缴纳的社会养老保险证明</w:t>
      </w:r>
      <w:r>
        <w:rPr>
          <w:rFonts w:hint="eastAsia" w:ascii="宋体" w:hAnsi="宋体" w:eastAsia="宋体" w:cs="宋体"/>
          <w:color w:val="000000"/>
          <w:sz w:val="24"/>
          <w:lang w:eastAsia="zh-CN"/>
        </w:rPr>
        <w:t xml:space="preserve">；</w:t>
      </w:r>
      <w:r/>
    </w:p>
    <w:p>
      <w:pPr>
        <w:ind w:left="0" w:right="0" w:firstLine="480"/>
        <w:jc w:val="both"/>
        <w:spacing w:before="0" w:after="0" w:line="85"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8.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480"/>
        <w:jc w:val="both"/>
        <w:spacing w:before="0" w:after="0" w:line="85" w:lineRule="atLeast"/>
        <w:rPr>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（二）落实政府采购政策需满足的资格要求：无。</w:t>
      </w:r>
      <w:r/>
    </w:p>
    <w:p>
      <w:pPr>
        <w:ind w:left="0" w:right="0" w:firstLine="480"/>
        <w:jc w:val="both"/>
        <w:spacing w:before="0" w:after="0" w:line="85" w:lineRule="atLeast"/>
        <w:rPr>
          <w:rFonts w:hint="eastAsia" w:eastAsia="宋体"/>
          <w:sz w:val="22"/>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（三）本项目的特定资格要求：无。</w:t>
      </w:r>
      <w:r/>
    </w:p>
    <w:p>
      <w:pPr>
        <w:pStyle w:val="826"/>
        <w:ind w:firstLine="482"/>
        <w:jc w:val="both"/>
        <w:pageBreakBefore w:val="0"/>
        <w:spacing w:line="360" w:lineRule="auto"/>
        <w:widowControl/>
        <w:rPr>
          <w:rStyle w:val="825"/>
          <w:rFonts w:ascii="宋体" w:hAnsi="宋体" w:eastAsia="宋体" w:cs="Times New Roman"/>
          <w:b/>
          <w:bCs/>
          <w:color w:val="auto"/>
          <w:sz w:val="24"/>
          <w:szCs w:val="24"/>
          <w:highlight w:val="none"/>
        </w:rPr>
      </w:pPr>
      <w:r/>
      <w:bookmarkStart w:id="4" w:name="_Toc4"/>
      <w:r>
        <w:rPr>
          <w:rStyle w:val="825"/>
          <w:rFonts w:ascii="宋体" w:hAnsi="宋体" w:eastAsia="宋体" w:cs="Times New Roman"/>
          <w:b/>
          <w:bCs/>
          <w:color w:val="auto"/>
          <w:sz w:val="24"/>
          <w:szCs w:val="24"/>
          <w:highlight w:val="none"/>
        </w:rPr>
        <w:t xml:space="preserve">三、获取招标文件</w:t>
      </w:r>
      <w:bookmarkEnd w:id="4"/>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时间：2024年</w:t>
      </w:r>
      <w:r>
        <w:rPr>
          <w:rFonts w:hint="eastAsia" w:ascii="宋体" w:hAnsi="宋体" w:eastAsia="宋体" w:cs="宋体"/>
          <w:color w:val="000000"/>
          <w:sz w:val="24"/>
          <w:lang w:val="en-US" w:eastAsia="zh-CN"/>
        </w:rPr>
        <w:t xml:space="preserve">6</w:t>
      </w:r>
      <w:r>
        <w:rPr>
          <w:rFonts w:ascii="宋体" w:hAnsi="宋体" w:eastAsia="宋体" w:cs="宋体"/>
          <w:color w:val="000000"/>
          <w:sz w:val="24"/>
        </w:rPr>
        <w:t xml:space="preserve">月</w:t>
      </w:r>
      <w:r>
        <w:rPr>
          <w:rFonts w:ascii="宋体" w:hAnsi="宋体" w:eastAsia="宋体" w:cs="宋体"/>
          <w:color w:val="000000"/>
          <w:sz w:val="24"/>
        </w:rPr>
        <w:t xml:space="preserve">4日至2024年</w:t>
      </w:r>
      <w:r>
        <w:rPr>
          <w:rFonts w:hint="eastAsia" w:ascii="宋体" w:hAnsi="宋体" w:eastAsia="宋体" w:cs="宋体"/>
          <w:color w:val="000000"/>
          <w:sz w:val="24"/>
          <w:lang w:val="en-US" w:eastAsia="zh-CN"/>
        </w:rPr>
        <w:t xml:space="preserve">6</w:t>
      </w:r>
      <w:r>
        <w:rPr>
          <w:rFonts w:ascii="宋体" w:hAnsi="宋体" w:eastAsia="宋体" w:cs="宋体"/>
          <w:color w:val="000000"/>
          <w:sz w:val="24"/>
        </w:rPr>
        <w:t xml:space="preserve">月</w:t>
      </w:r>
      <w:r>
        <w:rPr>
          <w:rFonts w:hint="eastAsia" w:ascii="宋体" w:hAnsi="宋体" w:eastAsia="宋体" w:cs="宋体"/>
          <w:color w:val="000000"/>
          <w:sz w:val="24"/>
          <w:lang w:val="en-US" w:eastAsia="zh-CN"/>
        </w:rPr>
        <w:t xml:space="preserve">13</w:t>
      </w:r>
      <w:r>
        <w:rPr>
          <w:rFonts w:ascii="宋体" w:hAnsi="宋体" w:eastAsia="宋体" w:cs="宋体"/>
          <w:color w:val="000000"/>
          <w:sz w:val="24"/>
        </w:rPr>
        <w:t xml:space="preserve">日，每天上午00:00-12:00，下午12:00-23:59（北京时间，法定节假日除外）</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地点：中国政府采购网、江苏政府采购网、盐城市政府采购网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方式：自行免费下载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售价：0.00元 </w:t>
      </w:r>
      <w:r/>
    </w:p>
    <w:p>
      <w:pPr>
        <w:pStyle w:val="826"/>
        <w:ind w:firstLine="482"/>
        <w:jc w:val="both"/>
        <w:pageBreakBefore w:val="0"/>
        <w:spacing w:line="360" w:lineRule="auto"/>
        <w:widowControl/>
        <w:rPr>
          <w:rStyle w:val="825"/>
          <w:rFonts w:ascii="宋体" w:hAnsi="宋体" w:eastAsia="宋体" w:cs="Times New Roman"/>
          <w:b/>
          <w:bCs/>
          <w:color w:val="auto"/>
          <w:sz w:val="24"/>
          <w:szCs w:val="24"/>
          <w:highlight w:val="none"/>
        </w:rPr>
      </w:pPr>
      <w:r/>
      <w:bookmarkStart w:id="5" w:name="_Toc5"/>
      <w:r>
        <w:rPr>
          <w:rStyle w:val="825"/>
          <w:rFonts w:ascii="宋体" w:hAnsi="宋体" w:eastAsia="宋体" w:cs="Times New Roman"/>
          <w:b/>
          <w:bCs/>
          <w:color w:val="auto"/>
          <w:sz w:val="24"/>
          <w:szCs w:val="24"/>
          <w:highlight w:val="none"/>
        </w:rPr>
        <w:t xml:space="preserve">四、提交投标文件截止时间、开标时间和地点</w:t>
      </w:r>
      <w:bookmarkEnd w:id="5"/>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时间：</w:t>
      </w:r>
      <w:r>
        <w:rPr>
          <w:rFonts w:ascii="宋体" w:hAnsi="宋体" w:eastAsia="宋体" w:cs="宋体"/>
          <w:color w:val="000000"/>
          <w:sz w:val="24"/>
        </w:rPr>
        <w:t xml:space="preserve">2024</w:t>
      </w:r>
      <w:r>
        <w:rPr>
          <w:rFonts w:hint="eastAsia" w:ascii="宋体" w:hAnsi="宋体" w:eastAsia="宋体" w:cs="宋体"/>
          <w:color w:val="000000"/>
          <w:sz w:val="24"/>
          <w:lang w:eastAsia="zh-CN"/>
        </w:rPr>
        <w:t xml:space="preserve">年</w:t>
      </w:r>
      <w:r>
        <w:rPr>
          <w:rFonts w:hint="eastAsia" w:ascii="宋体" w:hAnsi="宋体" w:eastAsia="宋体" w:cs="宋体"/>
          <w:color w:val="000000"/>
          <w:sz w:val="24"/>
          <w:lang w:val="en-US" w:eastAsia="zh-CN"/>
        </w:rPr>
        <w:t xml:space="preserve">7月1日 </w:t>
      </w:r>
      <w:r>
        <w:rPr>
          <w:rFonts w:ascii="宋体" w:hAnsi="宋体" w:eastAsia="宋体" w:cs="宋体"/>
          <w:color w:val="000000"/>
          <w:sz w:val="24"/>
        </w:rPr>
        <w:t xml:space="preserve">09</w:t>
      </w:r>
      <w:r>
        <w:rPr>
          <w:rFonts w:hint="eastAsia" w:ascii="宋体" w:hAnsi="宋体" w:eastAsia="宋体" w:cs="宋体"/>
          <w:color w:val="000000"/>
          <w:sz w:val="24"/>
          <w:lang w:eastAsia="zh-CN"/>
        </w:rPr>
        <w:t xml:space="preserve">点</w:t>
      </w:r>
      <w:r>
        <w:rPr>
          <w:rFonts w:ascii="宋体" w:hAnsi="宋体" w:eastAsia="宋体" w:cs="宋体"/>
          <w:color w:val="000000"/>
          <w:sz w:val="24"/>
        </w:rPr>
        <w:t xml:space="preserve">00</w:t>
      </w:r>
      <w:r>
        <w:rPr>
          <w:rFonts w:hint="eastAsia" w:ascii="宋体" w:hAnsi="宋体" w:eastAsia="宋体" w:cs="宋体"/>
          <w:color w:val="000000"/>
          <w:sz w:val="24"/>
          <w:lang w:eastAsia="zh-CN"/>
        </w:rPr>
        <w:t xml:space="preserve">分</w:t>
      </w:r>
      <w:r>
        <w:rPr>
          <w:rFonts w:ascii="宋体" w:hAnsi="宋体" w:eastAsia="宋体" w:cs="宋体"/>
          <w:color w:val="000000"/>
          <w:sz w:val="24"/>
        </w:rPr>
        <w:t xml:space="preserve"> （北京时间）</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地点：</w:t>
      </w:r>
      <w:r>
        <w:rPr>
          <w:rFonts w:hint="eastAsia" w:ascii="宋体" w:hAnsi="宋体" w:eastAsia="宋体" w:cs="宋体"/>
          <w:color w:val="000000"/>
          <w:sz w:val="24"/>
        </w:rPr>
        <w:t xml:space="preserve">“苏采云”政府采购交易系统网上开标大厅</w:t>
      </w:r>
      <w:r>
        <w:rPr>
          <w:rFonts w:ascii="宋体" w:hAnsi="宋体" w:eastAsia="宋体" w:cs="宋体"/>
          <w:color w:val="000000"/>
          <w:sz w:val="24"/>
        </w:rPr>
        <w:t xml:space="preserve"> </w:t>
      </w:r>
      <w:r/>
    </w:p>
    <w:p>
      <w:pPr>
        <w:pStyle w:val="826"/>
        <w:ind w:firstLine="482"/>
        <w:jc w:val="both"/>
        <w:pageBreakBefore w:val="0"/>
        <w:spacing w:line="360" w:lineRule="auto"/>
        <w:widowControl/>
        <w:rPr>
          <w:rStyle w:val="825"/>
          <w:rFonts w:ascii="宋体" w:hAnsi="宋体" w:eastAsia="宋体" w:cs="Times New Roman"/>
          <w:b/>
          <w:bCs/>
          <w:color w:val="auto"/>
          <w:sz w:val="24"/>
          <w:szCs w:val="24"/>
          <w:highlight w:val="none"/>
        </w:rPr>
      </w:pPr>
      <w:r/>
      <w:bookmarkStart w:id="6" w:name="_Toc6"/>
      <w:r>
        <w:rPr>
          <w:rStyle w:val="825"/>
          <w:rFonts w:ascii="宋体" w:hAnsi="宋体" w:eastAsia="宋体" w:cs="Times New Roman"/>
          <w:b/>
          <w:bCs/>
          <w:color w:val="auto"/>
          <w:sz w:val="24"/>
          <w:szCs w:val="24"/>
          <w:highlight w:val="none"/>
        </w:rPr>
        <w:t xml:space="preserve">五、公告期限</w:t>
      </w:r>
      <w:bookmarkEnd w:id="6"/>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pStyle w:val="826"/>
        <w:ind w:firstLine="482"/>
        <w:jc w:val="both"/>
        <w:pageBreakBefore w:val="0"/>
        <w:spacing w:line="360" w:lineRule="auto"/>
        <w:widowControl/>
        <w:rPr>
          <w:rStyle w:val="825"/>
          <w:rFonts w:ascii="宋体" w:hAnsi="宋体" w:eastAsia="宋体" w:cs="Times New Roman"/>
          <w:b/>
          <w:bCs/>
          <w:color w:val="auto"/>
          <w:sz w:val="24"/>
          <w:szCs w:val="24"/>
          <w:highlight w:val="none"/>
        </w:rPr>
      </w:pPr>
      <w:r/>
      <w:bookmarkStart w:id="7" w:name="_Toc7"/>
      <w:r>
        <w:rPr>
          <w:rStyle w:val="825"/>
          <w:rFonts w:ascii="宋体" w:hAnsi="宋体" w:eastAsia="宋体" w:cs="Times New Roman"/>
          <w:b/>
          <w:bCs/>
          <w:color w:val="auto"/>
          <w:sz w:val="24"/>
          <w:szCs w:val="24"/>
          <w:highlight w:val="none"/>
        </w:rPr>
        <w:t xml:space="preserve">六、其他补充事宜</w:t>
      </w:r>
      <w:bookmarkEnd w:id="7"/>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1.根据省财政厅《关</w:t>
      </w:r>
      <w:r>
        <w:rPr>
          <w:rFonts w:hint="eastAsia" w:ascii="宋体" w:hAnsi="宋体" w:eastAsia="宋体" w:cs="宋体"/>
          <w:color w:val="auto"/>
          <w:sz w:val="24"/>
          <w:szCs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http://czj.yancheng.gov.cn/art/2023/9/14/art_2407_4057499.html。</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2.有关本次招标的事项若存在变动或修改，敬请及时关注“</w:t>
      </w:r>
      <w:r>
        <w:rPr>
          <w:rFonts w:hint="eastAsia" w:ascii="宋体" w:hAnsi="宋体" w:eastAsia="宋体" w:cs="宋体"/>
          <w:color w:val="auto"/>
          <w:sz w:val="24"/>
          <w:szCs w:val="24"/>
          <w:highlight w:val="none"/>
          <w:lang w:val="en-US" w:eastAsia="zh-CN"/>
        </w:rPr>
        <w:t xml:space="preserve">中国</w:t>
      </w:r>
      <w:r>
        <w:rPr>
          <w:rFonts w:hint="eastAsia" w:ascii="宋体" w:hAnsi="宋体" w:eastAsia="宋体" w:cs="宋体"/>
          <w:color w:val="auto"/>
          <w:sz w:val="24"/>
          <w:szCs w:val="24"/>
          <w:highlight w:val="none"/>
        </w:rPr>
        <w:t xml:space="preserve">政府采购网”、“江苏政府采购网”、“盐城市政府采购网”发布的更正公告。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3.本次招标不收取投标保证金，不收取质量保证金。</w:t>
      </w:r>
      <w:r/>
    </w:p>
    <w:p>
      <w:pPr>
        <w:pStyle w:val="826"/>
        <w:ind w:firstLine="482"/>
        <w:jc w:val="both"/>
        <w:pageBreakBefore w:val="0"/>
        <w:spacing w:line="360" w:lineRule="auto"/>
        <w:widowControl/>
        <w:rPr>
          <w:rStyle w:val="825"/>
          <w:rFonts w:ascii="宋体" w:hAnsi="宋体" w:eastAsia="宋体" w:cs="Times New Roman"/>
          <w:b/>
          <w:bCs/>
          <w:color w:val="auto"/>
          <w:sz w:val="24"/>
          <w:szCs w:val="24"/>
          <w:highlight w:val="none"/>
        </w:rPr>
      </w:pPr>
      <w:r/>
      <w:bookmarkStart w:id="8" w:name="_Toc8"/>
      <w:r>
        <w:rPr>
          <w:rStyle w:val="825"/>
          <w:rFonts w:ascii="宋体" w:hAnsi="宋体" w:eastAsia="宋体" w:cs="Times New Roman"/>
          <w:b/>
          <w:bCs/>
          <w:color w:val="auto"/>
          <w:sz w:val="24"/>
          <w:szCs w:val="24"/>
          <w:highlight w:val="none"/>
        </w:rPr>
        <w:t xml:space="preserve">七、本次招标联系方式</w:t>
      </w:r>
      <w:bookmarkEnd w:id="8"/>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Style w:val="825"/>
          <w:rFonts w:ascii="宋体" w:hAnsi="宋体" w:eastAsia="宋体" w:cs="宋体"/>
          <w:b w:val="0"/>
          <w:color w:val="auto"/>
          <w:sz w:val="24"/>
          <w:szCs w:val="24"/>
          <w:highlight w:val="none"/>
        </w:rPr>
        <w:t xml:space="preserve">1.</w:t>
      </w:r>
      <w:r>
        <w:rPr>
          <w:rFonts w:ascii="宋体" w:hAnsi="宋体" w:eastAsia="宋体" w:cs="宋体"/>
          <w:color w:val="000000"/>
          <w:sz w:val="24"/>
        </w:rPr>
        <w:t xml:space="preserve">采购人信息</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rPr>
          <w:rFonts w:hint="eastAsia" w:ascii="宋体" w:hAnsi="宋体" w:eastAsia="宋体" w:cs="宋体"/>
          <w:color w:val="000000"/>
          <w:sz w:val="24"/>
          <w:lang w:eastAsia="zh-CN"/>
        </w:rPr>
        <w:t xml:space="preserve">东台市安丰镇人民政府</w:t>
      </w: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hint="eastAsia" w:ascii="宋体" w:hAnsi="宋体" w:eastAsia="宋体" w:cs="宋体"/>
          <w:color w:val="000000"/>
          <w:sz w:val="24"/>
        </w:rPr>
        <w:t xml:space="preserve">东台市安丰镇府前路1号</w:t>
      </w:r>
      <w:r/>
    </w:p>
    <w:p>
      <w:pPr>
        <w:ind w:left="0" w:right="0" w:firstLine="480"/>
        <w:jc w:val="both"/>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 系 人：</w:t>
      </w:r>
      <w:r>
        <w:rPr>
          <w:rFonts w:hint="eastAsia" w:ascii="宋体" w:hAnsi="宋体" w:eastAsia="宋体" w:cs="宋体"/>
          <w:color w:val="000000"/>
          <w:sz w:val="24"/>
        </w:rPr>
        <w:t xml:space="preserve">陈</w:t>
      </w:r>
      <w:r>
        <w:rPr>
          <w:rFonts w:hint="eastAsia" w:ascii="宋体" w:hAnsi="宋体" w:eastAsia="宋体" w:cs="宋体"/>
          <w:color w:val="000000"/>
          <w:sz w:val="24"/>
          <w:lang w:eastAsia="zh-CN"/>
        </w:rPr>
        <w:t xml:space="preserve">女士</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hint="eastAsia" w:ascii="Times New Roman" w:hAnsi="Times New Roman" w:eastAsia="Times New Roman" w:cs="Times New Roman"/>
          <w:color w:val="000000"/>
          <w:sz w:val="24"/>
        </w:rPr>
        <w:t xml:space="preserve">15949103815</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采购代理机构信息（如有）</w:t>
      </w:r>
      <w:r/>
    </w:p>
    <w:p>
      <w:pPr>
        <w:ind w:left="0" w:right="0" w:firstLine="480"/>
        <w:jc w:val="both"/>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rPr>
          <w:rFonts w:hint="eastAsia" w:ascii="宋体" w:hAnsi="宋体" w:eastAsia="宋体" w:cs="宋体"/>
          <w:color w:val="000000"/>
          <w:sz w:val="24"/>
          <w:lang w:eastAsia="zh-CN"/>
        </w:rPr>
        <w:t xml:space="preserve">江苏恒业工程管理咨询有限公司</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　　址：</w:t>
      </w:r>
      <w:r>
        <w:rPr>
          <w:rFonts w:hint="eastAsia" w:ascii="宋体" w:hAnsi="宋体" w:eastAsia="宋体" w:cs="宋体"/>
          <w:color w:val="000000"/>
          <w:sz w:val="24"/>
        </w:rPr>
        <w:t xml:space="preserve">盐都区兆泉商务中心</w:t>
      </w:r>
      <w:r>
        <w:rPr>
          <w:rFonts w:hint="eastAsia" w:ascii="宋体" w:hAnsi="宋体" w:eastAsia="宋体" w:cs="宋体"/>
          <w:color w:val="000000"/>
          <w:sz w:val="24"/>
          <w:lang w:eastAsia="zh-CN"/>
        </w:rPr>
        <w:t xml:space="preserve">东</w:t>
      </w:r>
      <w:r>
        <w:rPr>
          <w:rFonts w:hint="eastAsia" w:ascii="宋体" w:hAnsi="宋体" w:eastAsia="宋体" w:cs="宋体"/>
          <w:color w:val="000000"/>
          <w:sz w:val="24"/>
        </w:rPr>
        <w:t xml:space="preserve">三楼</w:t>
      </w: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 系 人：</w:t>
      </w:r>
      <w:r>
        <w:rPr>
          <w:rFonts w:hint="eastAsia" w:ascii="宋体" w:hAnsi="宋体" w:eastAsia="宋体" w:cs="宋体"/>
          <w:color w:val="000000"/>
          <w:sz w:val="24"/>
          <w:lang w:eastAsia="zh-CN"/>
        </w:rPr>
        <w:t xml:space="preserve">孙</w:t>
      </w:r>
      <w:r>
        <w:rPr>
          <w:rFonts w:ascii="宋体" w:hAnsi="宋体" w:eastAsia="宋体" w:cs="宋体"/>
          <w:color w:val="000000"/>
          <w:sz w:val="24"/>
        </w:rPr>
        <w:t xml:space="preserve">先生</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hint="eastAsia" w:ascii="Times New Roman" w:hAnsi="Times New Roman" w:eastAsia="宋体" w:cs="Times New Roman"/>
          <w:color w:val="000000"/>
          <w:sz w:val="24"/>
          <w:lang w:val="en-US" w:eastAsia="zh-CN"/>
        </w:rPr>
        <w:t xml:space="preserve">15365769669</w:t>
      </w: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项目联系方式</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项目联系人：</w:t>
      </w:r>
      <w:r>
        <w:rPr>
          <w:rFonts w:hint="eastAsia" w:ascii="宋体" w:hAnsi="宋体" w:eastAsia="宋体" w:cs="宋体"/>
          <w:color w:val="000000"/>
          <w:sz w:val="24"/>
        </w:rPr>
        <w:t xml:space="preserve">陈</w:t>
      </w:r>
      <w:r>
        <w:rPr>
          <w:rFonts w:hint="eastAsia" w:ascii="宋体" w:hAnsi="宋体" w:eastAsia="宋体" w:cs="宋体"/>
          <w:color w:val="000000"/>
          <w:sz w:val="24"/>
          <w:lang w:eastAsia="zh-CN"/>
        </w:rPr>
        <w:t xml:space="preserve">女士</w:t>
      </w:r>
      <w:r>
        <w:rPr>
          <w:rFonts w:ascii="宋体" w:hAnsi="宋体" w:eastAsia="宋体" w:cs="宋体"/>
          <w:color w:val="000000"/>
          <w:sz w:val="24"/>
        </w:rPr>
        <w:t xml:space="preserve">（采购人）、</w:t>
      </w:r>
      <w:r>
        <w:rPr>
          <w:rFonts w:hint="eastAsia" w:ascii="宋体" w:hAnsi="宋体" w:eastAsia="宋体" w:cs="宋体"/>
          <w:color w:val="000000"/>
          <w:sz w:val="24"/>
          <w:lang w:eastAsia="zh-CN"/>
        </w:rPr>
        <w:t xml:space="preserve">孙</w:t>
      </w:r>
      <w:r>
        <w:rPr>
          <w:rFonts w:ascii="宋体" w:hAnsi="宋体" w:eastAsia="宋体" w:cs="宋体"/>
          <w:color w:val="000000"/>
          <w:sz w:val="24"/>
        </w:rPr>
        <w:t xml:space="preserve">先生（代理机构）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　　 话：</w:t>
      </w:r>
      <w:r>
        <w:rPr>
          <w:rFonts w:hint="eastAsia" w:ascii="Times New Roman" w:hAnsi="Times New Roman" w:eastAsia="Times New Roman" w:cs="Times New Roman"/>
          <w:color w:val="000000"/>
          <w:sz w:val="24"/>
        </w:rPr>
        <w:t xml:space="preserve">15949103815</w:t>
      </w:r>
      <w:r>
        <w:rPr>
          <w:rFonts w:ascii="宋体" w:hAnsi="宋体" w:eastAsia="宋体" w:cs="宋体"/>
          <w:color w:val="000000"/>
          <w:sz w:val="24"/>
        </w:rPr>
        <w:t xml:space="preserve">、</w:t>
      </w:r>
      <w:r>
        <w:rPr>
          <w:rFonts w:hint="eastAsia" w:ascii="Times New Roman" w:hAnsi="Times New Roman" w:eastAsia="宋体" w:cs="Times New Roman"/>
          <w:color w:val="000000"/>
          <w:sz w:val="24"/>
          <w:lang w:val="en-US" w:eastAsia="zh-CN"/>
        </w:rPr>
        <w:t xml:space="preserve">15365769669</w:t>
      </w:r>
      <w:r>
        <w:rPr>
          <w:rFonts w:ascii="宋体" w:hAnsi="宋体" w:eastAsia="宋体" w:cs="宋体"/>
          <w:color w:val="000000"/>
          <w:sz w:val="24"/>
        </w:rPr>
        <w:t xml:space="preserve">         </w:t>
      </w:r>
      <w:r/>
    </w:p>
    <w:p>
      <w:pPr>
        <w:pStyle w:val="667"/>
        <w:ind w:right="840"/>
        <w:jc w:val="center"/>
        <w:spacing w:beforeAutospacing="0" w:afterAutospacing="0"/>
        <w:rPr>
          <w:color w:val="auto"/>
          <w:highlight w:val="none"/>
        </w:rPr>
        <w:outlineLvl w:val="0"/>
      </w:pPr>
      <w:r/>
      <w:bookmarkStart w:id="9" w:name="_Toc9"/>
      <w:r>
        <w:rPr>
          <w:rFonts w:hint="eastAsia" w:ascii="宋体" w:hAnsi="宋体" w:eastAsia="宋体" w:cs="宋体"/>
          <w:color w:val="auto"/>
          <w:highlight w:val="none"/>
        </w:rPr>
        <w:br w:type="page" w:clear="all"/>
      </w:r>
      <w:r>
        <w:rPr>
          <w:rFonts w:hint="eastAsia" w:ascii="宋体" w:hAnsi="宋体" w:eastAsia="宋体" w:cs="宋体"/>
          <w:color w:val="auto"/>
          <w:highlight w:val="none"/>
        </w:rPr>
        <w:t xml:space="preserve"> </w:t>
      </w:r>
      <w:r>
        <w:rPr>
          <w:rFonts w:hint="eastAsia" w:ascii="黑体" w:hAnsi="宋体" w:eastAsia="黑体" w:cs="黑体"/>
          <w:b/>
          <w:color w:val="auto"/>
          <w:sz w:val="44"/>
          <w:szCs w:val="44"/>
          <w:highlight w:val="none"/>
        </w:rPr>
        <w:t xml:space="preserve">第二章  投标人须知</w:t>
      </w:r>
      <w:bookmarkEnd w:id="9"/>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一、总则</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bookmarkStart w:id="10" w:name="_Hlt16619475"/>
      <w:r>
        <w:rPr>
          <w:rFonts w:hint="eastAsia" w:ascii="黑体" w:hAnsi="黑体" w:eastAsia="黑体" w:cs="黑体"/>
          <w:color w:val="auto"/>
          <w:sz w:val="28"/>
          <w:szCs w:val="28"/>
          <w:highlight w:val="none"/>
        </w:rPr>
        <w:t xml:space="preserve">1、招标方式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2、合格的投标人</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满足本文件实质性条款的规定。</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3、适用法律</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4、投标费用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投标人应自行承担所有与参加投标有关的费用，无论投标过程中的做法和结果如何，采购人在任何情况下均无义务和责任承担这些费用。</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5、招标文件的约束力</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投标人一旦参加本项目采购活动，即被认为接受了本招标文件的规定和约束。</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二、招标文件</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6、招标文件构成</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招标文件由以下部分组成：</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（1）招标公告</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请仔细检查招标文件是否齐全，如有缺漏请立即与采购中心联系解决。</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7、招标文件的澄清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7.1任何要求对招标文件进行澄清的投标人，应在投标截止期十</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日前按招标公告中的通讯地址，以书面形式通知</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8、招标文件的修改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8.1在投标截止时间前，采购中心可以对招标文件进行修改。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8.2采购中心有权按照法定的要求推迟投标截止日期和开标日期。</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8.3招标文件的修改将在</w:t>
      </w:r>
      <w:r>
        <w:rPr>
          <w:rFonts w:hint="eastAsia" w:ascii="宋体" w:hAnsi="宋体" w:eastAsia="宋体" w:cs="宋体"/>
          <w:color w:val="auto"/>
          <w:sz w:val="24"/>
          <w:szCs w:val="24"/>
          <w:highlight w:val="none"/>
          <w:lang w:eastAsia="zh-CN"/>
        </w:rPr>
        <w:t xml:space="preserve">“中国政府采购网、江苏政府采购网、盐城市政府采购网”</w:t>
      </w:r>
      <w:r>
        <w:rPr>
          <w:rFonts w:hint="eastAsia" w:ascii="宋体" w:hAnsi="宋体" w:eastAsia="宋体" w:cs="宋体"/>
          <w:color w:val="auto"/>
          <w:sz w:val="24"/>
          <w:szCs w:val="24"/>
          <w:highlight w:val="none"/>
        </w:rPr>
        <w:t xml:space="preserve">公布，补充文件将作为招标文件的组成部分，并对投标人具有约束力。</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三、投标文件的编制</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9、投标文件的语言及度量衡单位</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w:t>
      </w:r>
      <w:r>
        <w:rPr>
          <w:rFonts w:hint="eastAsia" w:ascii="宋体" w:hAnsi="宋体" w:eastAsia="宋体" w:cs="宋体"/>
          <w:color w:val="auto"/>
          <w:sz w:val="24"/>
          <w:szCs w:val="24"/>
          <w:highlight w:val="none"/>
          <w:lang w:val="en-US" w:eastAsia="zh-CN"/>
        </w:rPr>
        <w:t xml:space="preserve"> </w:t>
      </w:r>
      <w:r>
        <w:rPr>
          <w:rFonts w:hint="eastAsia" w:ascii="宋体" w:hAnsi="宋体"/>
          <w:color w:val="auto"/>
          <w:sz w:val="24"/>
          <w:highlight w:val="none"/>
        </w:rPr>
        <w:t xml:space="preserve">投标人提交的投标文件以及投标人与</w:t>
      </w:r>
      <w:r>
        <w:rPr>
          <w:rFonts w:hint="eastAsia" w:ascii="宋体" w:hAnsi="宋体"/>
          <w:color w:val="auto"/>
          <w:sz w:val="24"/>
          <w:highlight w:val="none"/>
          <w:lang w:val="en-US" w:eastAsia="zh-CN"/>
        </w:rPr>
        <w:t xml:space="preserve">采购人</w:t>
      </w:r>
      <w:r>
        <w:rPr>
          <w:rFonts w:hint="eastAsia" w:ascii="宋体" w:hAnsi="宋体"/>
          <w:color w:val="auto"/>
          <w:sz w:val="24"/>
          <w:highlight w:val="none"/>
        </w:rPr>
        <w:t xml:space="preserve">就有关投标的所有来往通知、函件和文件均应使用</w:t>
      </w:r>
      <w:r>
        <w:rPr>
          <w:rFonts w:hint="eastAsia" w:ascii="宋体" w:hAnsi="宋体"/>
          <w:b/>
          <w:bCs/>
          <w:color w:val="auto"/>
          <w:sz w:val="24"/>
          <w:highlight w:val="none"/>
        </w:rPr>
        <w:t xml:space="preserve">简体中文</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w:t>
      </w:r>
      <w:r>
        <w:rPr>
          <w:rFonts w:hint="eastAsia" w:ascii="宋体" w:hAnsi="宋体" w:eastAsia="宋体" w:cs="宋体"/>
          <w:color w:val="auto"/>
          <w:sz w:val="24"/>
          <w:szCs w:val="24"/>
          <w:highlight w:val="none"/>
          <w:lang w:val="en-US" w:eastAsia="zh-CN"/>
        </w:rPr>
        <w:t xml:space="preserve"> </w:t>
      </w:r>
      <w:r>
        <w:rPr>
          <w:rFonts w:hint="eastAsia" w:ascii="宋体" w:hAnsi="宋体"/>
          <w:color w:val="auto"/>
          <w:sz w:val="24"/>
          <w:highlight w:val="none"/>
        </w:rPr>
        <w:t xml:space="preserve">除技术性能另有规定外，投标文件所使用的度量衡单位，均须采用国家法定计量单位</w:t>
      </w:r>
      <w:r>
        <w:rPr>
          <w:rFonts w:hint="eastAsia" w:ascii="宋体" w:hAnsi="宋体" w:eastAsia="宋体" w:cs="宋体"/>
          <w:color w:val="auto"/>
          <w:sz w:val="24"/>
          <w:szCs w:val="24"/>
          <w:highlight w:val="none"/>
        </w:rPr>
        <w:t xml:space="preserve">。</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10、投标文件构成</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10.1 开标一览表（系统固定格式）</w:t>
      </w:r>
      <w:r/>
    </w:p>
    <w:p>
      <w:pPr>
        <w:ind w:firstLine="480"/>
        <w:pageBreakBefore w:val="0"/>
        <w:spacing w:line="460" w:lineRule="exact"/>
        <w:widowControl w:val="off"/>
        <w:rPr>
          <w:rFonts w:hint="default"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10.2 资格审查资料</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10.2.1 法人或者其他组织的营业执照等证明文件，自然人的身份证明</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10.2.2上一年度的财务状况报表（至少提供资产负债表、利润表、现金流量表，投标人成立不满一年无需提供）</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10.2.3 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10.2.4 具备履行合同所必需的设备和专业技术能力的书面声明</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10.2.5 参加政府采购活动前 3 年内在经营活动中没有重大违法记录的书面声明</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10.2.6 投标人法定代表人身份证明和投标文件签署授权委托书（另附法定代表人和被授权人的身份证复印件或扫描件）；</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10.2.7 投标人为被授权人缴纳的社会养老保险证明；</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10.2.8 与资格审查有关的其他资料（如有）。</w:t>
      </w:r>
      <w:r/>
    </w:p>
    <w:p>
      <w:pPr>
        <w:ind w:firstLine="480"/>
        <w:pageBreakBefore w:val="0"/>
        <w:spacing w:line="460" w:lineRule="exact"/>
        <w:widowControl w:val="off"/>
        <w:rPr>
          <w:rFonts w:hint="default"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10.3 符合性资料</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10.3.1 报价明细表</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10.3.2 投标函；</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10.3.3 所供货物（货物附带的服务）内容及货物要求偏离表；</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10.3.4 投标人的服务承诺；</w:t>
      </w:r>
      <w:r/>
    </w:p>
    <w:p>
      <w:pPr>
        <w:ind w:firstLine="480"/>
        <w:pageBreakBefore w:val="0"/>
        <w:spacing w:line="460" w:lineRule="exact"/>
        <w:widowControl w:val="off"/>
        <w:rPr>
          <w:rFonts w:hint="default"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10.3.5 小微企业声明函、残疾人福利性单位声明函；（如有）</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10.3.6 联合体协议（如有）；</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10.3.7 东台市政府采购事前信用承诺书；</w:t>
      </w:r>
      <w:r/>
    </w:p>
    <w:p>
      <w:pPr>
        <w:ind w:firstLine="480"/>
        <w:pageBreakBefore w:val="0"/>
        <w:spacing w:line="460" w:lineRule="exact"/>
        <w:widowControl w:val="off"/>
        <w:rPr>
          <w:rFonts w:hint="default"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10.4 综合评审相关资料</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10.5 价格折扣文件（如有）</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注：1）以上材料须按顺序进行排列。</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2）如为法定代表人参与公开招标的无须提供“投标文件签署授权委托书”和“被授权人缴纳的社会养老保险证明”。</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3）与本次公开招标无关的资料不要求提供。</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10.2如标书制作工具中格式和内容与“江苏政府采购网”、“盐城市政府采购网”发布的招标文件不一致，请以“江苏政府采购网”、“盐城市政府采购网”发布的招标文件为准。</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bookmarkStart w:id="11" w:name="_Hlt26668975"/>
      <w:r/>
      <w:bookmarkStart w:id="12" w:name="_Hlt26954838"/>
      <w:r/>
      <w:bookmarkStart w:id="13" w:name="_Hlt26670360"/>
      <w:r>
        <w:rPr>
          <w:rFonts w:hint="eastAsia" w:ascii="黑体" w:hAnsi="黑体" w:eastAsia="黑体" w:cs="黑体"/>
          <w:color w:val="auto"/>
          <w:sz w:val="28"/>
          <w:szCs w:val="28"/>
          <w:highlight w:val="none"/>
        </w:rPr>
        <w:t xml:space="preserve">11、证明投标人及投标标的符合招标文件规定的文件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11.1投标人应按照法律、法规、规章和规范性文件以及招标文件要求提交证明文件，证明其及投标标的符合招标文件规定。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ind w:firstLine="480"/>
        <w:pageBreakBefore w:val="0"/>
        <w:spacing w:line="46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11.3 上一年度的财务状况报表（至少提供资产负债表、利润表、现金流量表，投标人成立不满一年无需提供）</w:t>
      </w:r>
      <w:r/>
    </w:p>
    <w:p>
      <w:pPr>
        <w:ind w:firstLine="480"/>
        <w:pageBreakBefore w:val="0"/>
        <w:spacing w:line="46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11.4 “依法缴纳税收的相关材料”，投标人应提供近期缴纳税收的凭据。</w:t>
      </w:r>
      <w:r/>
    </w:p>
    <w:p>
      <w:pPr>
        <w:ind w:firstLine="480"/>
        <w:pageBreakBefore w:val="0"/>
        <w:spacing w:line="46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11.5 “依法缴纳社会保障资金的相关材料”，投标人应提供近期缴纳社会保险的凭据。</w:t>
      </w:r>
      <w:r/>
    </w:p>
    <w:p>
      <w:pPr>
        <w:ind w:firstLine="480"/>
        <w:pageBreakBefore w:val="0"/>
        <w:spacing w:line="46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11.6 依法免税或不需要缴纳社会保障资金的投标人，应提供相应文件证明其依法免税或不需要缴纳社会保障资金。</w:t>
      </w:r>
      <w:r/>
    </w:p>
    <w:p>
      <w:pPr>
        <w:ind w:firstLine="480"/>
        <w:pageBreakBefore w:val="0"/>
        <w:spacing w:line="460" w:lineRule="exact"/>
        <w:widowControl w:val="off"/>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11.7 “申请人的资格要求”和“资格审查资料”中的“近期”是指近两年以来的任一时间段。</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rPr>
        <w:t xml:space="preserve">12、投标</w:t>
      </w:r>
      <w:bookmarkStart w:id="14" w:name="_Hlt26670373"/>
      <w:r>
        <w:rPr>
          <w:rFonts w:hint="eastAsia" w:ascii="黑体" w:hAnsi="黑体" w:eastAsia="黑体" w:cs="黑体"/>
          <w:color w:val="auto"/>
          <w:sz w:val="28"/>
          <w:szCs w:val="28"/>
          <w:highlight w:val="none"/>
          <w:lang w:eastAsia="zh-CN"/>
        </w:rPr>
        <w:t xml:space="preserve">报价明细表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12.1投</w:t>
      </w:r>
      <w:bookmarkStart w:id="15" w:name="_Hlt26954840"/>
      <w:r>
        <w:rPr>
          <w:rFonts w:hint="eastAsia" w:ascii="宋体" w:hAnsi="宋体" w:eastAsia="宋体" w:cs="宋体"/>
          <w:color w:val="auto"/>
          <w:sz w:val="24"/>
          <w:szCs w:val="24"/>
          <w:highlight w:val="none"/>
        </w:rPr>
        <w:t xml:space="preserve">标人应按照招标文件规定格式填报投标</w:t>
      </w:r>
      <w:bookmarkStart w:id="16" w:name="_Hlt26670399"/>
      <w:r>
        <w:rPr>
          <w:rFonts w:hint="eastAsia" w:ascii="宋体" w:hAnsi="宋体" w:eastAsia="宋体" w:cs="宋体"/>
          <w:color w:val="auto"/>
          <w:sz w:val="24"/>
          <w:szCs w:val="24"/>
          <w:highlight w:val="none"/>
          <w:lang w:eastAsia="zh-CN"/>
        </w:rPr>
        <w:t xml:space="preserve">报价明细表</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r/>
    </w:p>
    <w:p>
      <w:pPr>
        <w:ind w:firstLine="480"/>
        <w:pageBreakBefore w:val="0"/>
        <w:spacing w:line="460" w:lineRule="exact"/>
        <w:widowControl w:val="off"/>
        <w:rPr>
          <w:rFonts w:hint="eastAsia" w:ascii="宋体" w:hAnsi="宋体" w:eastAsia="宋体" w:cs="Times New Roman"/>
          <w:color w:val="auto"/>
          <w:sz w:val="24"/>
          <w:highlight w:val="none"/>
          <w:lang w:val="en-US" w:eastAsia="zh-CN"/>
        </w:rPr>
      </w:pPr>
      <w:r/>
      <w:bookmarkStart w:id="17" w:name="_Hlt26954731"/>
      <w:r/>
      <w:bookmarkStart w:id="18" w:name="_Hlt26670486"/>
      <w:r/>
      <w:bookmarkStart w:id="19" w:name="_Hlt26668983"/>
      <w:r/>
      <w:bookmarkStart w:id="20" w:name="_Hlt26670425"/>
      <w:r/>
      <w:bookmarkStart w:id="21" w:name="_Hlt26954844"/>
      <w:r/>
      <w:bookmarkStart w:id="22" w:name="_Hlt26670482"/>
      <w:r/>
      <w:bookmarkStart w:id="23" w:name="_Hlt26954848"/>
      <w:r/>
      <w:bookmarkStart w:id="24" w:name="_Hlt26954842"/>
      <w:r/>
      <w:bookmarkStart w:id="25" w:name="_Hlt26954846"/>
      <w:r/>
      <w:bookmarkStart w:id="26" w:name="_Hlt26670403"/>
      <w:r>
        <w:rPr>
          <w:rFonts w:hint="eastAsia" w:ascii="宋体" w:hAnsi="宋体" w:eastAsia="宋体" w:cs="Times New Roman"/>
          <w:color w:val="auto"/>
          <w:sz w:val="24"/>
          <w:highlight w:val="none"/>
          <w:lang w:val="en-US" w:eastAsia="zh-CN"/>
        </w:rPr>
        <w:t xml:space="preserve">13.3 投标人应按照第六章投标文件格式完整地填写报价明细表，说明其拟提供服务的名称、服务内容、数量、价格等，采购人要求投标人明确填写的相关内容的，也应填写。</w:t>
      </w:r>
      <w:r/>
    </w:p>
    <w:p>
      <w:pPr>
        <w:ind w:firstLine="480"/>
        <w:pageBreakBefore w:val="0"/>
        <w:spacing w:line="460" w:lineRule="exact"/>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13.4 每项服务内容只允许有一个报价，任何有选择的报价将不予接受。</w:t>
      </w:r>
      <w:r/>
    </w:p>
    <w:p>
      <w:pPr>
        <w:ind w:firstLine="480"/>
        <w:pageBreakBefore w:val="0"/>
        <w:spacing w:line="460" w:lineRule="exact"/>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13.5 报价除标的物的价款外还应包括全部工作内容的价格体现，以及为完成全部工作内容（但不限于）设备价格【含全套设备（包括主设备、配套设备、配套软件、配套耗材、附件、配件等）、备品备件</w:t>
      </w:r>
      <w:r>
        <w:rPr>
          <w:rFonts w:hint="eastAsia" w:ascii="宋体" w:hAnsi="宋体" w:eastAsia="宋体" w:cs="Times New Roman"/>
          <w:color w:val="auto"/>
          <w:sz w:val="24"/>
          <w:highlight w:val="none"/>
          <w:lang w:val="en-US" w:eastAsia="zh-CN"/>
        </w:rPr>
        <w:t xml:space="preserve">、专用工具、技术资料等】、数据接入费、直接和间接成本费、材料损耗费、劳务费、垃圾清运费、包装费、运杂费（含运输费）、装卸费、安装调试费、保修费、保险费、配合费、安装费、测试验收费、检测费、技术（含操作、维护等）培训、运行维护及售后服务费、管理费、税金、利润、风险费、成品保护费、不可预见费及其他一切相关费用等所需的全部费用，凡漏项或少计均视为优惠，采购人不另行增加费用。各类风险和政策性调整等风险已包括在投标报价中，最终结算时除合同约定调整外单价一律不予调整。报价时应逐项填写数量、单价和合价，最后汇总得出总价。</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rPr>
        <w:t xml:space="preserve">13、</w:t>
      </w:r>
      <w:r>
        <w:rPr>
          <w:rFonts w:hint="eastAsia" w:ascii="黑体" w:hAnsi="黑体" w:eastAsia="黑体" w:cs="黑体"/>
          <w:color w:val="auto"/>
          <w:sz w:val="28"/>
          <w:szCs w:val="28"/>
          <w:highlight w:val="none"/>
          <w:lang w:val="en-US" w:eastAsia="zh-CN"/>
        </w:rPr>
        <w:t xml:space="preserve">所供货物（货物附带的服务）内容及货物要求偏离表</w:t>
      </w:r>
      <w:r/>
    </w:p>
    <w:p>
      <w:pPr>
        <w:ind w:firstLine="480"/>
        <w:pageBreakBefore w:val="0"/>
        <w:spacing w:line="460" w:lineRule="exact"/>
        <w:widowControl w:val="off"/>
        <w:rPr>
          <w:rFonts w:hint="eastAsia" w:ascii="宋体" w:hAnsi="Arial" w:cs="宋体"/>
          <w:color w:val="auto"/>
          <w:sz w:val="24"/>
          <w:highlight w:val="none"/>
          <w:lang w:val="zh-CN"/>
        </w:rPr>
      </w:pPr>
      <w:r>
        <w:rPr>
          <w:rFonts w:ascii="宋体" w:hAnsi="Arial" w:cs="宋体"/>
          <w:bCs/>
          <w:color w:val="auto"/>
          <w:sz w:val="24"/>
          <w:highlight w:val="none"/>
          <w:lang w:val="zh-CN"/>
        </w:rPr>
        <w:t xml:space="preserve">1</w:t>
      </w:r>
      <w:r>
        <w:rPr>
          <w:rFonts w:hint="eastAsia" w:ascii="宋体" w:hAnsi="Arial" w:cs="宋体"/>
          <w:bCs/>
          <w:color w:val="auto"/>
          <w:sz w:val="24"/>
          <w:highlight w:val="none"/>
          <w:lang w:val="en-US" w:eastAsia="zh-CN"/>
        </w:rPr>
        <w:t xml:space="preserve">3</w:t>
      </w:r>
      <w:r>
        <w:rPr>
          <w:rFonts w:ascii="宋体" w:hAnsi="Arial" w:cs="宋体"/>
          <w:bCs/>
          <w:color w:val="auto"/>
          <w:sz w:val="24"/>
          <w:highlight w:val="none"/>
          <w:lang w:val="zh-CN"/>
        </w:rPr>
        <w:t xml:space="preserve">.1</w:t>
      </w:r>
      <w:r>
        <w:rPr>
          <w:rFonts w:ascii="宋体" w:hAnsi="Arial" w:cs="宋体"/>
          <w:color w:val="auto"/>
          <w:sz w:val="24"/>
          <w:highlight w:val="none"/>
          <w:lang w:val="zh-CN"/>
        </w:rPr>
        <w:t xml:space="preserve"> </w:t>
      </w:r>
      <w:r>
        <w:rPr>
          <w:rFonts w:hint="eastAsia" w:ascii="宋体" w:hAnsi="Arial" w:cs="宋体"/>
          <w:color w:val="auto"/>
          <w:sz w:val="24"/>
          <w:highlight w:val="none"/>
          <w:lang w:val="zh-CN"/>
        </w:rPr>
        <w:t xml:space="preserve">投标人需对招标文件中的</w:t>
      </w:r>
      <w:r>
        <w:rPr>
          <w:rFonts w:hint="eastAsia" w:ascii="宋体" w:hAnsi="Arial" w:cs="宋体"/>
          <w:color w:val="auto"/>
          <w:sz w:val="24"/>
          <w:highlight w:val="none"/>
          <w:lang w:val="en-US" w:eastAsia="zh-CN"/>
        </w:rPr>
        <w:t xml:space="preserve">货物内容及货物要求</w:t>
      </w:r>
      <w:r>
        <w:rPr>
          <w:rFonts w:hint="eastAsia" w:ascii="宋体" w:hAnsi="Arial" w:cs="宋体"/>
          <w:color w:val="auto"/>
          <w:sz w:val="24"/>
          <w:highlight w:val="none"/>
          <w:lang w:val="zh-CN"/>
        </w:rPr>
        <w:t xml:space="preserve">逐项作出响应或偏离，并说明原因。</w:t>
      </w:r>
      <w:r/>
    </w:p>
    <w:p>
      <w:pPr>
        <w:ind w:firstLine="480"/>
        <w:pageBreakBefore w:val="0"/>
        <w:spacing w:line="460" w:lineRule="exact"/>
        <w:widowControl w:val="off"/>
        <w:tabs>
          <w:tab w:val="left" w:pos="1035" w:leader="none"/>
        </w:tabs>
        <w:rPr>
          <w:rFonts w:hint="eastAsia" w:ascii="宋体" w:hAnsi="Arial" w:cs="宋体"/>
          <w:color w:val="auto"/>
          <w:sz w:val="24"/>
          <w:highlight w:val="none"/>
          <w:lang w:val="zh-CN"/>
        </w:rPr>
      </w:pPr>
      <w:r>
        <w:rPr>
          <w:rFonts w:hint="eastAsia" w:ascii="宋体" w:hAnsi="Arial" w:cs="宋体"/>
          <w:color w:val="auto"/>
          <w:sz w:val="24"/>
          <w:highlight w:val="none"/>
          <w:lang w:val="zh-CN"/>
        </w:rPr>
        <w:t xml:space="preserve">1</w:t>
      </w:r>
      <w:r>
        <w:rPr>
          <w:rFonts w:hint="eastAsia" w:ascii="宋体" w:hAnsi="Arial" w:cs="宋体"/>
          <w:color w:val="auto"/>
          <w:sz w:val="24"/>
          <w:highlight w:val="none"/>
          <w:lang w:val="en-US" w:eastAsia="zh-CN"/>
        </w:rPr>
        <w:t xml:space="preserve">3</w:t>
      </w:r>
      <w:r>
        <w:rPr>
          <w:rFonts w:hint="eastAsia" w:ascii="宋体" w:hAnsi="Arial" w:cs="宋体"/>
          <w:color w:val="auto"/>
          <w:sz w:val="24"/>
          <w:highlight w:val="none"/>
          <w:lang w:val="zh-CN"/>
        </w:rPr>
        <w:t xml:space="preserve">.2 投标人可在投标文件中提供认为需要的其他技术文件或说明。</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14、投标函和开标一览表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14.1投标人应按照招标文件中提供的格式完整、正确填写投标函、开标一览表。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14.2对于采用货币报价的项目，开标一览表中的投标总报价应与投标</w:t>
      </w:r>
      <w:r>
        <w:rPr>
          <w:rFonts w:hint="eastAsia" w:ascii="宋体" w:hAnsi="宋体" w:eastAsia="宋体" w:cs="宋体"/>
          <w:color w:val="auto"/>
          <w:sz w:val="24"/>
          <w:szCs w:val="24"/>
          <w:highlight w:val="none"/>
          <w:lang w:eastAsia="zh-CN"/>
        </w:rPr>
        <w:t xml:space="preserve">报价明细表</w:t>
      </w:r>
      <w:r>
        <w:rPr>
          <w:rFonts w:hint="eastAsia" w:ascii="宋体" w:hAnsi="宋体" w:eastAsia="宋体" w:cs="宋体"/>
          <w:color w:val="auto"/>
          <w:sz w:val="24"/>
          <w:szCs w:val="24"/>
          <w:highlight w:val="none"/>
        </w:rPr>
        <w:t xml:space="preserve">中的投标总报价一致，如不一致，不作为无效投标处理，但评标时按开标一览表中价格为准。</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bookmarkStart w:id="27" w:name="_Hlt26954850"/>
      <w:r/>
      <w:bookmarkStart w:id="28" w:name="_Hlt26954734"/>
      <w:r/>
      <w:bookmarkStart w:id="29" w:name="_Hlt26670489"/>
      <w:r>
        <w:rPr>
          <w:rFonts w:hint="eastAsia" w:ascii="黑体" w:hAnsi="黑体" w:eastAsia="黑体" w:cs="黑体"/>
          <w:color w:val="auto"/>
          <w:sz w:val="28"/>
          <w:szCs w:val="28"/>
          <w:highlight w:val="none"/>
        </w:rPr>
        <w:t xml:space="preserve">15、投标有效期</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15.1投标有效期为</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规定的开标之日后六十（60）天。投标有效期比规定短的将被视为未实质性响应招标文件而予以拒绝。</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16、投标有效期的延长</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16.1在特殊情况下，</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bookmarkStart w:id="30" w:name="_Hlt26954739"/>
      <w:r/>
      <w:bookmarkStart w:id="31" w:name="_Hlt26954852"/>
      <w:r>
        <w:rPr>
          <w:rFonts w:hint="eastAsia" w:ascii="黑体" w:hAnsi="黑体" w:eastAsia="黑体" w:cs="黑体"/>
          <w:color w:val="auto"/>
          <w:sz w:val="28"/>
          <w:szCs w:val="28"/>
          <w:highlight w:val="none"/>
        </w:rPr>
        <w:t xml:space="preserve">四、投标文件的递交</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17、投标文件的递交</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电子投标文件的递交</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投标人应当按照《操作手册》规定，在投标截止时间前制作并上传电子投标文件。</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18、投标截止时间</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18.1投标人上传电子投标文件的时间不得迟于招标公告中规定的投标截止时间。</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19、投标文件的拒收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拒绝接收在其规定的投标截止时间后上传的任何投标文件。</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20、投标文件的撤回和修改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20.1投标文件的撤回</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.1.1电子投标文件的撤回</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.1.2投标人撤回电子投标文件，则认为其不再参与本项目投标活动。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 投标文件的修改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20.2.1投标人可在投标截止时间前，对其电子投标文件进行修改，具体操作方法见《操作手册》。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20.2.2在投标截止时间之后，投标人不得对其电子投标文件作任何修改。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20.3在投标截止时间至招标文件中规定的投标有效期满之间的这段时间内，投标人不得撤回其投标。</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五、开标与评标</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21、开标</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22、评标委员会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22.1开标后，</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将立即组织评标委员会（以下简称评委会）进行评标。</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22.2评委会由采购人代表和有关技术、经济等方面的专家组成，且人员构成符合政府采购有关规定。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22.3评委会独立工作，负责评审所有投标文件并确定中标侯选人。</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23、评标过程的保密与公正</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23.1凡是与审查、澄清、评价和比较投标的有关资料以及授标建议等，采购人、评委不得向投标人或与评标无关的其他人员透露。</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23.2在评标过程中，投标人不得以任何行为影响评标过程，否则其投标文件将被作为无效投标文件。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23.4采用综合评分法的项目，未中标的投标人可于中标结果公告期限届满之日起通过苏采云系统查看自己的评审得分及排序情况。</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24、投标文件的澄清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24.3接到评委会澄清、说明和补正要求的投标人如未按规定做出澄清、说明和补正，其风险由投标人自行承担。</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25、对投标文件的初审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25.1投标文件初审分为资格审查和符合性审查。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25.1.3未通过资格审查或符合性审查的投标人，</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将在苏采云系统中告知未通过资格审查或符合性审查的原因，评标结束后，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将不再告知未通过资格审查和符合性审查的原因。</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25.4评委会将对确定为实质性响应的投标进行进一步审核，确定其是否有计算上或累加上的算术错误，修正错误的原则如下：</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25.6投标人在开、评标全过程中应保持通讯畅通，及时登录苏采云系统查阅、答复相关信息，并安排专人与</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及评标委员会联系。</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26、无效投标条款和废标条款</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26.1无效投标条款</w:t>
      </w:r>
      <w:r/>
    </w:p>
    <w:p>
      <w:pPr>
        <w:ind w:firstLine="480"/>
        <w:pageBreakBefore w:val="0"/>
        <w:spacing w:line="460" w:lineRule="exact"/>
        <w:widowControl w:val="off"/>
        <w:rPr>
          <w:rFonts w:hint="eastAsia" w:ascii="宋体" w:hAnsi="宋体"/>
          <w:bCs/>
          <w:color w:val="auto"/>
          <w:sz w:val="24"/>
          <w:szCs w:val="24"/>
          <w:highlight w:val="none"/>
        </w:rPr>
      </w:pPr>
      <w:r>
        <w:rPr>
          <w:rFonts w:hint="eastAsia" w:ascii="宋体" w:hAnsi="宋体"/>
          <w:bCs/>
          <w:color w:val="auto"/>
          <w:sz w:val="24"/>
          <w:highlight w:val="none"/>
          <w:lang w:eastAsia="zh-CN"/>
        </w:rPr>
        <w:t xml:space="preserve">26.1</w:t>
      </w:r>
      <w:r>
        <w:rPr>
          <w:rFonts w:hint="eastAsia" w:ascii="宋体" w:hAnsi="宋体"/>
          <w:bCs/>
          <w:color w:val="auto"/>
          <w:sz w:val="24"/>
          <w:szCs w:val="24"/>
          <w:highlight w:val="none"/>
        </w:rPr>
        <w:t xml:space="preserve">.1 投标人在</w:t>
      </w:r>
      <w:r>
        <w:rPr>
          <w:rFonts w:hint="eastAsia" w:ascii="宋体" w:hAnsi="宋体"/>
          <w:color w:val="auto"/>
          <w:sz w:val="24"/>
          <w:szCs w:val="24"/>
          <w:highlight w:val="none"/>
        </w:rPr>
        <w:t xml:space="preserve">苏采云系统</w:t>
      </w:r>
      <w:r>
        <w:rPr>
          <w:rFonts w:hint="eastAsia" w:ascii="宋体" w:hAnsi="宋体"/>
          <w:bCs/>
          <w:color w:val="auto"/>
          <w:sz w:val="24"/>
          <w:szCs w:val="24"/>
          <w:highlight w:val="none"/>
        </w:rPr>
        <w:t xml:space="preserve">规定的时间内未成功解密电子投标文件的。</w:t>
      </w:r>
      <w:r/>
    </w:p>
    <w:p>
      <w:pPr>
        <w:ind w:firstLine="480"/>
        <w:pageBreakBefore w:val="0"/>
        <w:spacing w:line="460" w:lineRule="exact"/>
        <w:widowControl w:val="off"/>
        <w:rPr>
          <w:rFonts w:hint="eastAsia" w:ascii="宋体" w:hAnsi="宋体"/>
          <w:bCs/>
          <w:color w:val="auto"/>
          <w:sz w:val="24"/>
          <w:highlight w:val="none"/>
        </w:rPr>
      </w:pPr>
      <w:r>
        <w:rPr>
          <w:rFonts w:hint="eastAsia" w:ascii="宋体" w:hAnsi="宋体"/>
          <w:bCs/>
          <w:color w:val="auto"/>
          <w:sz w:val="24"/>
          <w:highlight w:val="none"/>
          <w:lang w:eastAsia="zh-CN"/>
        </w:rPr>
        <w:t xml:space="preserve">26.1</w:t>
      </w:r>
      <w:r>
        <w:rPr>
          <w:rFonts w:hint="eastAsia" w:ascii="宋体" w:hAnsi="宋体"/>
          <w:bCs/>
          <w:color w:val="auto"/>
          <w:sz w:val="24"/>
          <w:highlight w:val="none"/>
        </w:rPr>
        <w:t xml:space="preserve">.2 投标人未按照招标文件要求上传电子投标文件的。</w:t>
      </w:r>
      <w:r/>
    </w:p>
    <w:p>
      <w:pPr>
        <w:ind w:left="479"/>
        <w:pageBreakBefore w:val="0"/>
        <w:spacing w:line="460" w:lineRule="exact"/>
        <w:widowControl w:val="off"/>
        <w:rPr>
          <w:rFonts w:hint="eastAsia" w:ascii="宋体" w:hAnsi="宋体"/>
          <w:bCs/>
          <w:color w:val="auto"/>
          <w:sz w:val="24"/>
          <w:highlight w:val="none"/>
        </w:rPr>
      </w:pPr>
      <w:r>
        <w:rPr>
          <w:rFonts w:hint="eastAsia" w:ascii="宋体" w:hAnsi="宋体"/>
          <w:bCs/>
          <w:color w:val="auto"/>
          <w:sz w:val="24"/>
          <w:highlight w:val="none"/>
          <w:lang w:eastAsia="zh-CN"/>
        </w:rPr>
        <w:t xml:space="preserve">26.1</w:t>
      </w:r>
      <w:r>
        <w:rPr>
          <w:rFonts w:hint="eastAsia" w:ascii="宋体" w:hAnsi="宋体"/>
          <w:bCs/>
          <w:color w:val="auto"/>
          <w:sz w:val="24"/>
          <w:highlight w:val="none"/>
        </w:rPr>
        <w:t xml:space="preserve">.3</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同一投标人投标人递交两份或多份内容不同的投标文件，或在一份投标文件中对同一采购项目报有两个或多个报价，且未声明哪一个有效，按招标文件规定提交备选方案的除外。</w:t>
      </w:r>
      <w:r/>
    </w:p>
    <w:p>
      <w:pPr>
        <w:ind w:left="479"/>
        <w:pageBreakBefore w:val="0"/>
        <w:spacing w:line="460" w:lineRule="exact"/>
        <w:widowControl w:val="off"/>
        <w:rPr>
          <w:rFonts w:hint="eastAsia" w:ascii="宋体" w:hAnsi="宋体"/>
          <w:bCs/>
          <w:color w:val="auto"/>
          <w:sz w:val="24"/>
          <w:highlight w:val="none"/>
        </w:rPr>
      </w:pPr>
      <w:r>
        <w:rPr>
          <w:rFonts w:hint="eastAsia" w:ascii="宋体" w:hAnsi="宋体"/>
          <w:bCs/>
          <w:color w:val="auto"/>
          <w:sz w:val="24"/>
          <w:highlight w:val="none"/>
          <w:lang w:eastAsia="zh-CN"/>
        </w:rPr>
        <w:t xml:space="preserve">26.1</w:t>
      </w: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5 </w:t>
      </w:r>
      <w:r>
        <w:rPr>
          <w:rFonts w:hint="eastAsia" w:ascii="宋体" w:hAnsi="宋体"/>
          <w:bCs/>
          <w:color w:val="auto"/>
          <w:sz w:val="24"/>
          <w:highlight w:val="none"/>
        </w:rPr>
        <w:t xml:space="preserve">投标人不具备招标文件中规定资格要求的。</w:t>
      </w:r>
      <w:r/>
    </w:p>
    <w:p>
      <w:pPr>
        <w:ind w:firstLine="480"/>
        <w:pageBreakBefore w:val="0"/>
        <w:spacing w:line="460" w:lineRule="exact"/>
        <w:widowControl w:val="off"/>
        <w:rPr>
          <w:rFonts w:hint="eastAsia" w:ascii="宋体" w:hAnsi="宋体"/>
          <w:bCs/>
          <w:color w:val="auto"/>
          <w:sz w:val="24"/>
          <w:highlight w:val="none"/>
        </w:rPr>
      </w:pPr>
      <w:r>
        <w:rPr>
          <w:rFonts w:hint="eastAsia" w:ascii="宋体" w:hAnsi="宋体"/>
          <w:bCs/>
          <w:color w:val="auto"/>
          <w:sz w:val="24"/>
          <w:highlight w:val="none"/>
          <w:lang w:eastAsia="zh-CN"/>
        </w:rPr>
        <w:t xml:space="preserve">26.1</w:t>
      </w: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6 </w:t>
      </w:r>
      <w:r>
        <w:rPr>
          <w:rFonts w:hint="eastAsia" w:ascii="宋体" w:hAnsi="宋体"/>
          <w:bCs/>
          <w:color w:val="auto"/>
          <w:sz w:val="24"/>
          <w:highlight w:val="none"/>
        </w:rPr>
        <w:t xml:space="preserve">投标人的报价超过了采购预算或最高限价的。</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宋体" w:hAnsi="宋体" w:eastAsia="宋体"/>
          <w:bCs/>
          <w:color w:val="auto"/>
          <w:sz w:val="24"/>
          <w:highlight w:val="none"/>
          <w:lang w:eastAsia="zh-CN"/>
        </w:rPr>
        <w:t xml:space="preserve">26.1</w:t>
      </w:r>
      <w:r>
        <w:rPr>
          <w:rFonts w:hint="eastAsia" w:ascii="Times New Roman" w:hAnsi="Times New Roman" w:eastAsia="宋体" w:cs="Times New Roman"/>
          <w:color w:val="auto"/>
          <w:sz w:val="24"/>
          <w:szCs w:val="22"/>
          <w:highlight w:val="none"/>
          <w:lang w:val="en-US" w:eastAsia="zh-CN" w:bidi="ar-SA"/>
        </w:rPr>
        <w:t xml:space="preserve">.7 被授权人无法提供证明其为本单位正式职工的社会养老保险缴费证明的</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26.1.8 由被授权人参加，但未随投标文件一起提交合法、有效的“授权委托书”的；</w:t>
      </w:r>
      <w:r/>
    </w:p>
    <w:p>
      <w:pPr>
        <w:ind w:firstLine="480"/>
        <w:pageBreakBefore w:val="0"/>
        <w:spacing w:line="460" w:lineRule="exact"/>
        <w:widowControl w:val="off"/>
        <w:rPr>
          <w:rFonts w:hint="eastAsia" w:ascii="宋体" w:hAnsi="宋体"/>
          <w:bCs/>
          <w:color w:val="auto"/>
          <w:sz w:val="24"/>
          <w:highlight w:val="none"/>
        </w:rPr>
      </w:pPr>
      <w:r>
        <w:rPr>
          <w:rFonts w:hint="eastAsia" w:ascii="宋体" w:hAnsi="宋体"/>
          <w:bCs/>
          <w:color w:val="auto"/>
          <w:sz w:val="24"/>
          <w:highlight w:val="none"/>
          <w:lang w:eastAsia="zh-CN"/>
        </w:rPr>
        <w:t xml:space="preserve">26.1</w:t>
      </w: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9 </w:t>
      </w:r>
      <w:r>
        <w:rPr>
          <w:rFonts w:hint="eastAsia" w:cs="Times New Roman"/>
          <w:color w:val="auto"/>
          <w:sz w:val="24"/>
          <w:szCs w:val="22"/>
          <w:highlight w:val="none"/>
          <w:lang w:val="en-US" w:eastAsia="zh-CN" w:bidi="ar-SA"/>
        </w:rPr>
        <w:t xml:space="preserve">投标文件内容不全或关键字迹模糊、无法辨认的</w:t>
      </w:r>
      <w:r/>
    </w:p>
    <w:p>
      <w:pPr>
        <w:ind w:firstLine="480"/>
        <w:pageBreakBefore w:val="0"/>
        <w:spacing w:line="460" w:lineRule="exact"/>
        <w:widowControl w:val="off"/>
        <w:rPr>
          <w:rFonts w:hint="eastAsia" w:cs="Times New Roman"/>
          <w:color w:val="auto"/>
          <w:sz w:val="24"/>
          <w:szCs w:val="22"/>
          <w:highlight w:val="none"/>
          <w:lang w:val="en-US" w:eastAsia="zh-CN" w:bidi="ar-SA"/>
        </w:rPr>
      </w:pPr>
      <w:r>
        <w:rPr>
          <w:rFonts w:hint="eastAsia" w:ascii="宋体" w:hAnsi="宋体"/>
          <w:bCs/>
          <w:color w:val="auto"/>
          <w:sz w:val="24"/>
          <w:highlight w:val="none"/>
          <w:lang w:eastAsia="zh-CN"/>
        </w:rPr>
        <w:t xml:space="preserve">26.1</w:t>
      </w: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10</w:t>
      </w:r>
      <w:r>
        <w:rPr>
          <w:rFonts w:hint="eastAsia" w:cs="Times New Roman"/>
          <w:color w:val="auto"/>
          <w:sz w:val="24"/>
          <w:szCs w:val="22"/>
          <w:highlight w:val="none"/>
          <w:lang w:val="en-US" w:eastAsia="zh-CN" w:bidi="ar-SA"/>
        </w:rPr>
        <w:t xml:space="preserve">投标文件修改处未加盖投标人公章的</w:t>
      </w:r>
      <w:r/>
    </w:p>
    <w:p>
      <w:pPr>
        <w:ind w:firstLine="480"/>
        <w:pageBreakBefore w:val="0"/>
        <w:spacing w:line="460" w:lineRule="exact"/>
        <w:widowControl w:val="off"/>
        <w:rPr>
          <w:rFonts w:hint="eastAsia" w:ascii="宋体" w:hAnsi="宋体"/>
          <w:bCs/>
          <w:i/>
          <w:color w:val="auto"/>
          <w:sz w:val="24"/>
          <w:highlight w:val="none"/>
          <w:u w:val="single"/>
        </w:rPr>
      </w:pPr>
      <w:r>
        <w:rPr>
          <w:rFonts w:hint="eastAsia" w:ascii="宋体" w:hAnsi="宋体"/>
          <w:bCs/>
          <w:color w:val="auto"/>
          <w:sz w:val="24"/>
          <w:highlight w:val="none"/>
          <w:lang w:eastAsia="zh-CN"/>
        </w:rPr>
        <w:t xml:space="preserve">26.1</w:t>
      </w: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11</w:t>
      </w:r>
      <w:r>
        <w:rPr>
          <w:rFonts w:hint="eastAsia" w:ascii="宋体" w:hAnsi="宋体"/>
          <w:bCs/>
          <w:color w:val="auto"/>
          <w:sz w:val="24"/>
          <w:highlight w:val="none"/>
        </w:rPr>
        <w:t xml:space="preserve">未通过符合性审查的。</w:t>
      </w:r>
      <w:r/>
    </w:p>
    <w:p>
      <w:pPr>
        <w:ind w:firstLine="360"/>
        <w:pageBreakBefore w:val="0"/>
        <w:spacing w:line="460" w:lineRule="exact"/>
        <w:widowControl w:val="off"/>
        <w:rPr>
          <w:rFonts w:hint="eastAsia" w:ascii="宋体" w:hAnsi="宋体"/>
          <w:bCs/>
          <w:i/>
          <w:color w:val="auto"/>
          <w:sz w:val="24"/>
          <w:highlight w:val="none"/>
          <w:u w:val="single"/>
        </w:rPr>
      </w:pPr>
      <w:r>
        <w:rPr>
          <w:rFonts w:hint="eastAsia" w:ascii="宋体" w:hAnsi="宋体"/>
          <w:bCs/>
          <w:color w:val="auto"/>
          <w:sz w:val="24"/>
          <w:highlight w:val="none"/>
        </w:rPr>
        <w:t xml:space="preserve"> </w:t>
      </w:r>
      <w:r>
        <w:rPr>
          <w:rFonts w:hint="eastAsia" w:ascii="宋体" w:hAnsi="宋体"/>
          <w:bCs/>
          <w:color w:val="auto"/>
          <w:sz w:val="24"/>
          <w:highlight w:val="none"/>
          <w:lang w:eastAsia="zh-CN"/>
        </w:rPr>
        <w:t xml:space="preserve">26.1</w:t>
      </w: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12</w:t>
      </w:r>
      <w:r>
        <w:rPr>
          <w:rFonts w:hint="eastAsia" w:ascii="宋体" w:hAnsi="宋体"/>
          <w:bCs/>
          <w:color w:val="auto"/>
          <w:sz w:val="24"/>
          <w:highlight w:val="none"/>
        </w:rPr>
        <w:t xml:space="preserve">不符合招标文件中规定的实质性要求和条件的</w:t>
      </w:r>
      <w:r>
        <w:rPr>
          <w:rFonts w:hint="eastAsia" w:ascii="宋体" w:hAnsi="宋体"/>
          <w:bCs/>
          <w:i/>
          <w:color w:val="auto"/>
          <w:sz w:val="24"/>
          <w:highlight w:val="none"/>
          <w:u w:val="single"/>
        </w:rPr>
        <w:t xml:space="preserve">。</w:t>
      </w:r>
      <w:r/>
    </w:p>
    <w:p>
      <w:pPr>
        <w:ind w:firstLine="480"/>
        <w:pageBreakBefore w:val="0"/>
        <w:spacing w:line="460" w:lineRule="exact"/>
        <w:widowControl w:val="off"/>
        <w:rPr>
          <w:rFonts w:hint="eastAsia" w:ascii="宋体" w:hAnsi="宋体"/>
          <w:bCs/>
          <w:color w:val="auto"/>
          <w:sz w:val="24"/>
          <w:highlight w:val="none"/>
        </w:rPr>
      </w:pPr>
      <w:r>
        <w:rPr>
          <w:rFonts w:hint="eastAsia" w:ascii="宋体" w:hAnsi="宋体"/>
          <w:bCs/>
          <w:color w:val="auto"/>
          <w:sz w:val="24"/>
          <w:highlight w:val="none"/>
          <w:lang w:eastAsia="zh-CN"/>
        </w:rPr>
        <w:t xml:space="preserve">26.1</w:t>
      </w: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13</w:t>
      </w:r>
      <w:r>
        <w:rPr>
          <w:rFonts w:hint="eastAsia" w:ascii="宋体" w:hAnsi="宋体"/>
          <w:bCs/>
          <w:color w:val="auto"/>
          <w:sz w:val="24"/>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pageBreakBefore w:val="0"/>
        <w:spacing w:line="460" w:lineRule="exact"/>
        <w:widowControl w:val="off"/>
        <w:rPr>
          <w:rFonts w:hint="eastAsia" w:ascii="宋体" w:hAnsi="宋体"/>
          <w:bCs/>
          <w:color w:val="auto"/>
          <w:sz w:val="24"/>
          <w:highlight w:val="none"/>
        </w:rPr>
      </w:pPr>
      <w:r>
        <w:rPr>
          <w:rFonts w:hint="eastAsia" w:ascii="宋体" w:hAnsi="宋体"/>
          <w:bCs/>
          <w:color w:val="auto"/>
          <w:sz w:val="24"/>
          <w:highlight w:val="none"/>
          <w:lang w:eastAsia="zh-CN"/>
        </w:rPr>
        <w:t xml:space="preserve">26.1</w:t>
      </w: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14</w:t>
      </w:r>
      <w:r>
        <w:rPr>
          <w:rFonts w:hint="eastAsia" w:ascii="宋体" w:hAnsi="宋体"/>
          <w:bCs/>
          <w:color w:val="auto"/>
          <w:sz w:val="24"/>
          <w:highlight w:val="none"/>
        </w:rPr>
        <w:t xml:space="preserve"> 投标文件含有采购人不能接受的附加条件的。</w:t>
      </w:r>
      <w:r/>
    </w:p>
    <w:p>
      <w:pPr>
        <w:ind w:firstLine="480"/>
        <w:pageBreakBefore w:val="0"/>
        <w:spacing w:line="460" w:lineRule="exact"/>
        <w:widowControl w:val="off"/>
        <w:rPr>
          <w:rFonts w:hint="eastAsia" w:ascii="宋体" w:hAnsi="宋体"/>
          <w:bCs/>
          <w:color w:val="auto"/>
          <w:sz w:val="24"/>
          <w:highlight w:val="none"/>
        </w:rPr>
      </w:pPr>
      <w:r>
        <w:rPr>
          <w:rFonts w:hint="eastAsia" w:ascii="宋体" w:hAnsi="宋体"/>
          <w:bCs/>
          <w:color w:val="auto"/>
          <w:sz w:val="24"/>
          <w:highlight w:val="none"/>
          <w:lang w:eastAsia="zh-CN"/>
        </w:rPr>
        <w:t xml:space="preserve">26.1</w:t>
      </w: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15</w:t>
      </w:r>
      <w:r>
        <w:rPr>
          <w:rFonts w:hint="eastAsia" w:ascii="宋体" w:hAnsi="宋体"/>
          <w:bCs/>
          <w:color w:val="auto"/>
          <w:sz w:val="24"/>
          <w:highlight w:val="none"/>
        </w:rPr>
        <w:t xml:space="preserve">评标委员会认为投标人的报价明显低于其他通过符合性审查投标人的报价，有可能影响产品质量或者不能诚信履约的，将通过</w:t>
      </w:r>
      <w:r>
        <w:rPr>
          <w:rFonts w:hint="eastAsia" w:ascii="宋体" w:hAnsi="宋体"/>
          <w:color w:val="auto"/>
          <w:sz w:val="24"/>
          <w:szCs w:val="24"/>
          <w:highlight w:val="none"/>
        </w:rPr>
        <w:t xml:space="preserve">苏采云系统</w:t>
      </w:r>
      <w:r>
        <w:rPr>
          <w:rFonts w:hint="eastAsia" w:ascii="宋体" w:hAnsi="宋体"/>
          <w:bCs/>
          <w:color w:val="auto"/>
          <w:sz w:val="24"/>
          <w:highlight w:val="none"/>
        </w:rPr>
        <w:t xml:space="preserve">要求其在合理的时间内提供说明，必要时提交相关证明材料；投标人不能证明其报价合理性的</w:t>
      </w:r>
      <w:r>
        <w:rPr>
          <w:rFonts w:hint="eastAsia" w:cs="Times New Roman"/>
          <w:color w:val="auto"/>
          <w:sz w:val="24"/>
          <w:szCs w:val="22"/>
          <w:highlight w:val="none"/>
          <w:lang w:val="en-US" w:eastAsia="zh-CN" w:bidi="ar-SA"/>
        </w:rPr>
        <w:t xml:space="preserve">或虽说明理由但评标委员会认为其理由不能成立的</w:t>
      </w:r>
      <w:r>
        <w:rPr>
          <w:rFonts w:hint="eastAsia" w:ascii="宋体" w:hAnsi="宋体"/>
          <w:bCs/>
          <w:color w:val="auto"/>
          <w:sz w:val="24"/>
          <w:highlight w:val="none"/>
        </w:rPr>
        <w:t xml:space="preserve">。</w:t>
      </w:r>
      <w:r/>
    </w:p>
    <w:p>
      <w:pPr>
        <w:ind w:firstLine="480"/>
        <w:pageBreakBefore w:val="0"/>
        <w:spacing w:line="460" w:lineRule="exact"/>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26.1.16 投标文件中所供产品供货期限（服务周期）、售后服务条款不符合招标文件相关条款要求或技术指标要求、货物的包装方式、检验标准等低于招标文件规定指标、要求的；</w:t>
      </w:r>
      <w:r/>
    </w:p>
    <w:p>
      <w:pPr>
        <w:ind w:firstLine="480"/>
        <w:pageBreakBefore w:val="0"/>
        <w:spacing w:line="460" w:lineRule="exact"/>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26.1.17 以他人的名义投标、串通投标、以行贿手段谋取中标或者以其他弄虚作假方式投标的；</w:t>
      </w:r>
      <w:r/>
    </w:p>
    <w:p>
      <w:pPr>
        <w:ind w:firstLine="480"/>
        <w:pageBreakBefore w:val="0"/>
        <w:spacing w:line="460" w:lineRule="exact"/>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26.1.18 组成联合体，投标文件未附联合体协议的。</w:t>
      </w:r>
      <w:r/>
    </w:p>
    <w:p>
      <w:pPr>
        <w:ind w:firstLine="480"/>
        <w:pageBreakBefore w:val="0"/>
        <w:spacing w:line="460" w:lineRule="exact"/>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26.1.19 投标文件未按照招标文件要求签署或加盖CA电子公章的。</w:t>
      </w:r>
      <w:r/>
    </w:p>
    <w:p>
      <w:pPr>
        <w:ind w:firstLine="480"/>
        <w:pageBreakBefore w:val="0"/>
        <w:spacing w:line="460" w:lineRule="exact"/>
        <w:widowControl w:val="off"/>
        <w:rPr>
          <w:rFonts w:hint="eastAsia" w:ascii="宋体" w:hAnsi="宋体"/>
          <w:bCs/>
          <w:color w:val="auto"/>
          <w:sz w:val="24"/>
          <w:highlight w:val="none"/>
        </w:rPr>
      </w:pPr>
      <w:r>
        <w:rPr>
          <w:rFonts w:hint="eastAsia" w:ascii="宋体" w:hAnsi="宋体"/>
          <w:bCs/>
          <w:color w:val="auto"/>
          <w:sz w:val="24"/>
          <w:highlight w:val="none"/>
          <w:lang w:eastAsia="zh-CN"/>
        </w:rPr>
        <w:t xml:space="preserve">26.1</w:t>
      </w: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20</w:t>
      </w:r>
      <w:r>
        <w:rPr>
          <w:rFonts w:hint="eastAsia" w:ascii="宋体" w:hAnsi="宋体"/>
          <w:bCs/>
          <w:color w:val="auto"/>
          <w:sz w:val="24"/>
          <w:highlight w:val="none"/>
        </w:rPr>
        <w:t xml:space="preserve">其他法律、法规及本招标文件规定的属无效投标的情形。</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六、定标</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27、确定中标单位</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27.1中标候选人的选取原则和数量见招标文件第五章规定。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27.2采购人应根据评委会推荐的中标候选人确定中标人。</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将在“中国政府采购网、江苏政府采购网、盐城市政府采购网”发布中标公告，公告期限为1个工作日。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27.4若有充分证据证明，中标人出现下列情况之一的，一经查实，将被取消中标资格：</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27.4.2向采购人行贿或者提供其他不正当利益的。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27.4.3属于本文件规定的无效条件，但在评标过程中又未被评委会发现的。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 有下列情形之一的，视为投标人串通投标，投标无效：</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27.5.3不同投标人的投标文件载明的项目管理成员或者联系人员为同一人。</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28、质疑处理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28.1提出质疑的供应商应当是参与所质疑项目采购活动的供应商。潜在供应商依法获取其可质疑的采购文件的，可以对采购文件提出质疑。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28.2.1对可以质疑的采购文件提出质疑的，为收到采购文件之日或者采购文件公告期限届满之日；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28.2.2对采购过程提出质疑的，为各采购程序环节结束之日；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28.2.3对中标或者成交结果提出质疑的，为中标或者成交结果公告期限届满之日。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28.4供应商（含潜在供应商）对采购方式、采购需求、供应商资格条件及审查结果、评标方法和评标标准、合同文本的询问、质疑请向采购人提出，由采购人负责答复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采购人只接收以纸质原件形式送达的质疑,建议供应商尽量通过邮寄方式提交质疑（采购人不接受未填写快递运单的快件）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质疑受理部门</w:t>
      </w:r>
      <w:r>
        <w:rPr>
          <w:rFonts w:hint="eastAsia" w:ascii="宋体" w:hAnsi="宋体" w:eastAsia="宋体" w:cs="宋体"/>
          <w:color w:val="auto"/>
          <w:sz w:val="24"/>
          <w:szCs w:val="24"/>
          <w:highlight w:val="none"/>
          <w:lang w:eastAsia="zh-CN"/>
        </w:rPr>
        <w:t xml:space="preserve">：东台市安丰镇人民政府</w:t>
      </w:r>
      <w:r>
        <w:rPr>
          <w:rFonts w:hint="eastAsia" w:ascii="宋体" w:hAnsi="宋体" w:eastAsia="宋体" w:cs="宋体"/>
          <w:color w:val="auto"/>
          <w:sz w:val="24"/>
          <w:szCs w:val="24"/>
          <w:highlight w:val="none"/>
          <w:lang w:val="en-US" w:eastAsia="zh-CN"/>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联系地址</w:t>
      </w:r>
      <w:r>
        <w:rPr>
          <w:rFonts w:hint="eastAsia" w:ascii="宋体" w:hAnsi="宋体" w:eastAsia="宋体" w:cs="宋体"/>
          <w:color w:val="auto"/>
          <w:sz w:val="24"/>
          <w:szCs w:val="24"/>
          <w:highlight w:val="none"/>
          <w:lang w:eastAsia="zh-CN"/>
        </w:rPr>
        <w:t xml:space="preserve">：东台市安丰镇府前路1号</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联系电话：15949103815</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 以下情形的质疑不予受理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28.5.1内容不符合《政府采购质疑和投诉办法》第十二条规定的质疑。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28.5.2超出政府采购法定期限的质疑。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28.5.3以传真、电子邮件等方式递交的非原件形式的质疑。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28.5.4未参加投标活动的供应商或在投标活动中自身权益未受到损害的供应商所提出的质疑。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28.5.5供应商组成联合体参加投标，联合体中任何一方或多方未按要求签字、盖章、加盖公章的质疑。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29、中标通知书</w:t>
      </w:r>
      <w:r/>
    </w:p>
    <w:p>
      <w:pPr>
        <w:ind w:firstLine="480"/>
        <w:pageBreakBefore w:val="0"/>
        <w:spacing w:line="460" w:lineRule="exact"/>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29.l 中标结果确定后，采购人将向中标人发出中标通知书。</w:t>
      </w:r>
      <w:r/>
    </w:p>
    <w:p>
      <w:pPr>
        <w:ind w:firstLine="480"/>
        <w:pageBreakBefore w:val="0"/>
        <w:spacing w:line="460" w:lineRule="exact"/>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pageBreakBefore w:val="0"/>
        <w:spacing w:line="460" w:lineRule="exact"/>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29.3中标通知书发出之前，如遇质疑、投诉、政策调整等情形，导致重新评审改变评标结果、采购项目流标、重新招标等情形的，采购人将停止发放中标通知书，且不承担由此给供应商造成的经济损失等任何后果。在正式发出中标通知书之前，供应商为完成项目付出的所有成本均由供应商自行承担。</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七、授予合同</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30.签订合同</w:t>
      </w:r>
      <w:r/>
    </w:p>
    <w:p>
      <w:pPr>
        <w:ind w:firstLine="480"/>
        <w:pageBreakBefore w:val="0"/>
        <w:spacing w:line="460" w:lineRule="exact"/>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30.l中标人应当在中标通知书发出之日起三十日内，按照招标文件确定的事项与采购人签订书面合同。所签订的合同不得对招标文件确定的事项和中标人投标文件作实质性修改。招标文件、中标人的投标文件及其澄清文件等均作为签订合同的依据。</w:t>
      </w:r>
      <w:r/>
    </w:p>
    <w:p>
      <w:pPr>
        <w:ind w:firstLine="480"/>
        <w:pageBreakBefore w:val="0"/>
        <w:spacing w:line="460" w:lineRule="exact"/>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30.2 采购人应当自政府采购合同签订之日起2个工作日内，将政府采购合同的扫描件（PDF格式）传送《苏采云系统》实施网上备案公示。</w:t>
      </w:r>
      <w:r/>
    </w:p>
    <w:p>
      <w:pPr>
        <w:ind w:firstLine="480"/>
        <w:pageBreakBefore w:val="0"/>
        <w:spacing w:line="460" w:lineRule="exact"/>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30.3 签订合同后，中标供应商不得将货物及其他相关服务进行转包。未经采购人同意，中标供应商也不得采用分包的形式履行合同，否则采购人有权终止合同</w:t>
      </w:r>
      <w:r>
        <w:rPr>
          <w:rFonts w:hint="eastAsia" w:ascii="宋体" w:hAnsi="宋体" w:eastAsia="宋体" w:cs="Times New Roman"/>
          <w:bCs/>
          <w:color w:val="auto"/>
          <w:sz w:val="24"/>
          <w:highlight w:val="none"/>
          <w:lang w:val="en-US" w:eastAsia="zh-CN"/>
        </w:rPr>
        <w:t xml:space="preserve">，中标供应商的履约保证金将不予退还。转包或分包造成采购人损失的，中标供应商应承担相应赔偿责任。《关于在政府采购活动中应用第三方信用报告落实“信易购”应用场景的通知》（东财购[2021]15号）要求，鼓励甲方对第三方信用服务机构依据标准规范评定为AA级及以上的政府采购供应商（需在签订采购合同前提供信用管理部门备案的第三方信用报告，且信用报告通过“信用盐城网”可查实），免收履约保证金或降低履约保证金缴纳比例。如乙方签订采购合同前提供通过“信用盐城网”可查实的AA级及以上第三方信用报告，本项目履约保证金（是/否）</w:t>
      </w:r>
      <w:r>
        <w:rPr>
          <w:rFonts w:hint="eastAsia" w:ascii="宋体" w:hAnsi="宋体" w:eastAsia="宋体" w:cs="Times New Roman"/>
          <w:bCs/>
          <w:color w:val="auto"/>
          <w:sz w:val="24"/>
          <w:highlight w:val="none"/>
          <w:u w:val="single"/>
          <w:lang w:val="en-US" w:eastAsia="zh-CN"/>
        </w:rPr>
        <w:t xml:space="preserve"> 是 </w:t>
      </w:r>
      <w:r>
        <w:rPr>
          <w:rFonts w:hint="eastAsia" w:ascii="宋体" w:hAnsi="宋体" w:eastAsia="宋体" w:cs="Times New Roman"/>
          <w:bCs/>
          <w:color w:val="auto"/>
          <w:sz w:val="24"/>
          <w:highlight w:val="none"/>
          <w:lang w:val="en-US" w:eastAsia="zh-CN"/>
        </w:rPr>
        <w:t xml:space="preserve">免收 ，降低履约保证金缴纳比例</w:t>
      </w:r>
      <w:r>
        <w:rPr>
          <w:rFonts w:hint="eastAsia" w:ascii="宋体" w:hAnsi="宋体" w:eastAsia="宋体" w:cs="Times New Roman"/>
          <w:bCs/>
          <w:color w:val="auto"/>
          <w:sz w:val="24"/>
          <w:highlight w:val="none"/>
          <w:u w:val="single"/>
          <w:lang w:val="en-US" w:eastAsia="zh-CN"/>
        </w:rPr>
        <w:t xml:space="preserve"> 100% </w:t>
      </w:r>
      <w:r>
        <w:rPr>
          <w:rFonts w:hint="eastAsia" w:ascii="宋体" w:hAnsi="宋体" w:eastAsia="宋体" w:cs="Times New Roman"/>
          <w:bCs/>
          <w:color w:val="auto"/>
          <w:sz w:val="24"/>
          <w:highlight w:val="none"/>
          <w:lang w:val="en-US" w:eastAsia="zh-CN"/>
        </w:rPr>
        <w:t xml:space="preserve">。</w:t>
      </w:r>
      <w:r/>
    </w:p>
    <w:p>
      <w:pPr>
        <w:ind w:firstLine="480"/>
        <w:pageBreakBefore w:val="0"/>
        <w:spacing w:line="460" w:lineRule="exact"/>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履约保证金：由乙方在合同签订时向甲方提交，允许供应商自主选择以支票、汇票、本票、保函等非现金形式缴纳或提交。</w:t>
      </w:r>
      <w:r/>
    </w:p>
    <w:p>
      <w:pPr>
        <w:ind w:firstLine="480"/>
        <w:pageBreakBefore w:val="0"/>
        <w:spacing w:line="460" w:lineRule="exact"/>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30.4 中标人放弃中标或不按招标文件和中标通知书规定与采购人订立合同，或者在订立合同时提出附加条件或者更改合同实质性内容的，采购人将取消中标人中标资格，作为不良行为予以记载。给采购人造成损失的应予以赔偿，同时承担相应的法律责任。</w:t>
      </w:r>
      <w:r/>
    </w:p>
    <w:p>
      <w:pPr>
        <w:ind w:firstLine="480"/>
        <w:pageBreakBefore w:val="0"/>
        <w:spacing w:line="460" w:lineRule="exact"/>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30.5 中标人拒绝签订政府采购合同的，采购人可以从评审报告提出的中标候选投标人中，按照排序由高到低的原则确定下一候选人为中标人，也可以重新开展采购活动。拒绝签订政府采购合同的中标人不得参加对本项目重新开展的采购活动。</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31、服务（包含与服务相关的货物）的追加</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32、政府采购履约资金扶持政策</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r/>
    </w:p>
    <w:p>
      <w:pPr>
        <w:rPr>
          <w:rFonts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667"/>
        <w:jc w:val="center"/>
        <w:keepNext/>
        <w:spacing w:beforeAutospacing="0" w:afterAutospacing="0"/>
        <w:rPr>
          <w:color w:val="auto"/>
          <w:highlight w:val="none"/>
        </w:rPr>
        <w:outlineLvl w:val="0"/>
      </w:pPr>
      <w:r/>
      <w:bookmarkStart w:id="32" w:name="_Toc10"/>
      <w:r>
        <w:rPr>
          <w:rFonts w:hint="eastAsia" w:ascii="黑体" w:hAnsi="宋体" w:eastAsia="黑体" w:cs="黑体"/>
          <w:color w:val="auto"/>
          <w:sz w:val="44"/>
          <w:szCs w:val="44"/>
          <w:highlight w:val="none"/>
        </w:rPr>
        <w:t xml:space="preserve">第三章  合同文本</w:t>
      </w:r>
      <w:bookmarkEnd w:id="32"/>
      <w:r/>
      <w:r/>
    </w:p>
    <w:p>
      <w:pPr>
        <w:pStyle w:val="667"/>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以下为中标后签定本项目合同的通用条款，中标人不得提出实质性的修改。</w:t>
      </w:r>
      <w:r/>
    </w:p>
    <w:p>
      <w:pPr>
        <w:pStyle w:val="667"/>
        <w:jc w:val="center"/>
        <w:spacing w:before="145" w:beforeAutospacing="0" w:after="145" w:afterAutospacing="0"/>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盐城市政府采购合同（服务）（合同编号）</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项</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目</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名</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称：</w:t>
      </w:r>
      <w:r>
        <w:rPr>
          <w:rFonts w:hint="eastAsia" w:ascii="宋体" w:hAnsi="宋体" w:eastAsia="宋体" w:cs="宋体"/>
          <w:color w:val="auto"/>
          <w:sz w:val="24"/>
          <w:szCs w:val="24"/>
          <w:highlight w:val="none"/>
          <w:u w:val="single"/>
          <w:lang w:eastAsia="zh-CN"/>
        </w:rPr>
        <w:t xml:space="preserve">东台市安丰镇数字农业示范基地设备采购安装项目</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目</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编</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号：</w:t>
      </w:r>
      <w:r>
        <w:rPr>
          <w:rFonts w:hint="eastAsia" w:ascii="宋体" w:hAnsi="宋体" w:eastAsia="宋体" w:cs="宋体"/>
          <w:color w:val="auto"/>
          <w:sz w:val="24"/>
          <w:szCs w:val="24"/>
          <w:highlight w:val="none"/>
          <w:u w:val="single"/>
          <w:lang w:eastAsia="zh-CN"/>
        </w:rPr>
        <w:t xml:space="preserve">JSZC-320981-HYGC-G2024-0007</w:t>
      </w:r>
      <w:r/>
    </w:p>
    <w:p>
      <w:pPr>
        <w:pStyle w:val="66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甲方（买方）：</w:t>
      </w:r>
      <w:r>
        <w:rPr>
          <w:rFonts w:hint="eastAsia" w:ascii="宋体" w:hAnsi="宋体" w:eastAsia="宋体" w:cs="宋体"/>
          <w:color w:val="auto"/>
          <w:sz w:val="24"/>
          <w:szCs w:val="24"/>
          <w:highlight w:val="none"/>
          <w:u w:val="single"/>
        </w:rPr>
        <w:t xml:space="preserve">            </w:t>
      </w:r>
      <w:r/>
    </w:p>
    <w:p>
      <w:pPr>
        <w:pStyle w:val="66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乙方（卖方）：</w:t>
      </w:r>
      <w:r>
        <w:rPr>
          <w:rFonts w:hint="eastAsia" w:ascii="宋体" w:hAnsi="宋体" w:eastAsia="宋体" w:cs="宋体"/>
          <w:color w:val="auto"/>
          <w:sz w:val="24"/>
          <w:szCs w:val="24"/>
          <w:highlight w:val="none"/>
          <w:u w:val="single"/>
        </w:rPr>
        <w:t xml:space="preserve">            </w:t>
      </w:r>
      <w:r/>
    </w:p>
    <w:p>
      <w:pPr>
        <w:pStyle w:val="667"/>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szCs w:val="24"/>
          <w:highlight w:val="none"/>
          <w:u w:val="single"/>
          <w:lang w:eastAsia="zh-CN"/>
        </w:rPr>
        <w:t xml:space="preserve">东台市安丰镇数字农业示范基地设备采购安装项目</w:t>
      </w:r>
      <w:r>
        <w:rPr>
          <w:rFonts w:hint="eastAsia" w:ascii="宋体" w:hAnsi="宋体" w:eastAsia="宋体" w:cs="宋体"/>
          <w:color w:val="auto"/>
          <w:sz w:val="24"/>
          <w:szCs w:val="24"/>
          <w:highlight w:val="none"/>
        </w:rPr>
        <w:t xml:space="preserve">公开招标的结果，签署本合同。</w:t>
      </w:r>
      <w:r/>
    </w:p>
    <w:p>
      <w:pPr>
        <w:pStyle w:val="667"/>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一、合同内容</w:t>
      </w:r>
      <w:r/>
    </w:p>
    <w:p>
      <w:pPr>
        <w:pStyle w:val="66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1.1 标的名称：</w:t>
      </w:r>
      <w:r>
        <w:rPr>
          <w:rFonts w:hint="eastAsia" w:ascii="宋体" w:hAnsi="宋体" w:eastAsia="宋体" w:cs="宋体"/>
          <w:color w:val="auto"/>
          <w:szCs w:val="21"/>
          <w:highlight w:val="none"/>
          <w:lang w:eastAsia="zh-CN"/>
        </w:rPr>
        <w:t xml:space="preserve">东台市安丰镇数字农业示范基地设备采购安装项目</w:t>
      </w:r>
      <w:r/>
    </w:p>
    <w:p>
      <w:pPr>
        <w:pStyle w:val="66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1.2标的质量：产品为全新未使用过的原装合格正品，安装质量应符合各项技术标准和国家强制性标准。项目数据必须确保接入省农业物联网管理服务平台。</w:t>
      </w:r>
      <w:r/>
    </w:p>
    <w:p>
      <w:pPr>
        <w:pStyle w:val="667"/>
        <w:ind w:left="0" w:firstLine="480"/>
        <w:jc w:val="left"/>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1.3 标的数量（规模）：</w:t>
      </w:r>
      <w:r>
        <w:rPr>
          <w:rFonts w:hint="eastAsia" w:ascii="宋体" w:hAnsi="宋体" w:eastAsia="宋体" w:cs="宋体"/>
          <w:color w:val="auto"/>
          <w:sz w:val="24"/>
          <w:szCs w:val="24"/>
          <w:highlight w:val="none"/>
          <w:lang w:val="en-US" w:eastAsia="zh-CN"/>
        </w:rPr>
        <w:t xml:space="preserve">详见采购需求</w:t>
      </w:r>
      <w:r/>
    </w:p>
    <w:p>
      <w:pPr>
        <w:pStyle w:val="66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1.4 履行时间（期限）：</w:t>
      </w:r>
      <w:r>
        <w:rPr>
          <w:rFonts w:hint="eastAsia" w:ascii="宋体" w:hAnsi="宋体" w:cs="宋体"/>
          <w:color w:val="auto"/>
          <w:szCs w:val="21"/>
          <w:highlight w:val="none"/>
        </w:rPr>
        <w:t xml:space="preserve">合同签订后30日历天内</w:t>
      </w:r>
      <w:r/>
    </w:p>
    <w:p>
      <w:pPr>
        <w:pStyle w:val="66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1.5 履行地点：</w:t>
      </w:r>
      <w:r>
        <w:rPr>
          <w:rFonts w:hint="eastAsia" w:ascii="宋体" w:hAnsi="宋体" w:eastAsia="宋体" w:cs="宋体"/>
          <w:color w:val="auto"/>
          <w:sz w:val="24"/>
          <w:szCs w:val="24"/>
          <w:highlight w:val="none"/>
          <w:lang w:eastAsia="zh-CN"/>
        </w:rPr>
        <w:t xml:space="preserve">东台市安丰镇境内</w:t>
      </w:r>
      <w:r/>
    </w:p>
    <w:p>
      <w:pPr>
        <w:pStyle w:val="66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1.6履行方式：</w:t>
      </w:r>
      <w:r>
        <w:rPr>
          <w:rFonts w:hint="eastAsia" w:ascii="宋体" w:hAnsi="宋体" w:cs="宋体"/>
          <w:color w:val="auto"/>
          <w:szCs w:val="21"/>
          <w:highlight w:val="none"/>
        </w:rPr>
        <w:t xml:space="preserve">供货到场，安装、调试、验收合格后交付</w:t>
      </w:r>
      <w:r>
        <w:rPr>
          <w:rFonts w:hint="eastAsia" w:ascii="宋体" w:hAnsi="宋体" w:eastAsia="宋体" w:cs="宋体"/>
          <w:color w:val="auto"/>
          <w:szCs w:val="21"/>
          <w:highlight w:val="none"/>
          <w:lang w:eastAsia="zh-CN"/>
        </w:rPr>
        <w:t xml:space="preserve">甲方</w:t>
      </w:r>
      <w:r>
        <w:rPr>
          <w:rFonts w:hint="eastAsia" w:ascii="宋体" w:hAnsi="宋体" w:cs="宋体"/>
          <w:color w:val="auto"/>
          <w:szCs w:val="21"/>
          <w:highlight w:val="none"/>
        </w:rPr>
        <w:t xml:space="preserve">使用</w:t>
      </w:r>
      <w:r>
        <w:rPr>
          <w:rFonts w:hint="eastAsia" w:ascii="宋体" w:hAnsi="宋体" w:eastAsia="宋体" w:cs="宋体"/>
          <w:color w:val="auto"/>
          <w:szCs w:val="21"/>
          <w:highlight w:val="none"/>
          <w:lang w:eastAsia="zh-CN"/>
        </w:rPr>
        <w:t xml:space="preserve">。</w:t>
      </w:r>
      <w:r/>
    </w:p>
    <w:p>
      <w:pPr>
        <w:pStyle w:val="667"/>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二、合同金额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2.1本合同金额为（大写）：______________元整（￥_______元）人民币。</w:t>
      </w:r>
      <w:r/>
    </w:p>
    <w:p>
      <w:pPr>
        <w:ind w:firstLine="480"/>
        <w:spacing w:line="360" w:lineRule="auto"/>
        <w:rPr>
          <w:color w:val="auto"/>
          <w:sz w:val="24"/>
          <w:szCs w:val="24"/>
          <w:highlight w:val="none"/>
        </w:rPr>
      </w:pPr>
      <w:r>
        <w:rPr>
          <w:rFonts w:hint="eastAsia"/>
          <w:color w:val="auto"/>
          <w:sz w:val="24"/>
          <w:szCs w:val="24"/>
          <w:highlight w:val="none"/>
        </w:rPr>
        <w:t xml:space="preserve">本合同价款包含所有乙方提供合同约定的服务报酬及乙方提供合同中服务所支出的所有费用，甲方在上述合同价款之外不再向乙方支付其他任何费用。</w:t>
      </w:r>
      <w:r/>
    </w:p>
    <w:p>
      <w:pPr>
        <w:pStyle w:val="667"/>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三、技术资料</w:t>
      </w:r>
      <w:r/>
    </w:p>
    <w:p>
      <w:pPr>
        <w:pStyle w:val="66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3.1乙方应按招标文件规定的时间向甲方提供</w:t>
      </w:r>
      <w:r>
        <w:rPr>
          <w:rFonts w:hint="eastAsia" w:ascii="宋体" w:hAnsi="宋体" w:eastAsia="宋体" w:cs="宋体"/>
          <w:color w:val="auto"/>
          <w:sz w:val="24"/>
          <w:szCs w:val="24"/>
          <w:highlight w:val="none"/>
          <w:lang w:eastAsia="zh-CN"/>
        </w:rPr>
        <w:t xml:space="preserve">货物</w:t>
      </w:r>
      <w:r>
        <w:rPr>
          <w:rFonts w:hint="eastAsia" w:ascii="宋体" w:hAnsi="宋体" w:eastAsia="宋体" w:cs="宋体"/>
          <w:color w:val="auto"/>
          <w:sz w:val="24"/>
          <w:szCs w:val="24"/>
          <w:highlight w:val="none"/>
        </w:rPr>
        <w:t xml:space="preserve">（包含与</w:t>
      </w:r>
      <w:r>
        <w:rPr>
          <w:rFonts w:hint="eastAsia" w:ascii="宋体" w:hAnsi="宋体" w:eastAsia="宋体" w:cs="宋体"/>
          <w:color w:val="auto"/>
          <w:sz w:val="24"/>
          <w:szCs w:val="24"/>
          <w:highlight w:val="none"/>
          <w:lang w:eastAsia="zh-CN"/>
        </w:rPr>
        <w:t xml:space="preserve">货物</w:t>
      </w:r>
      <w:r>
        <w:rPr>
          <w:rFonts w:hint="eastAsia" w:ascii="宋体" w:hAnsi="宋体" w:eastAsia="宋体" w:cs="宋体"/>
          <w:color w:val="auto"/>
          <w:sz w:val="24"/>
          <w:szCs w:val="24"/>
          <w:highlight w:val="none"/>
        </w:rPr>
        <w:t xml:space="preserve">相关的</w:t>
      </w:r>
      <w:r>
        <w:rPr>
          <w:rFonts w:hint="eastAsia" w:ascii="宋体" w:hAnsi="宋体" w:eastAsia="宋体" w:cs="宋体"/>
          <w:color w:val="auto"/>
          <w:sz w:val="24"/>
          <w:szCs w:val="24"/>
          <w:highlight w:val="none"/>
          <w:lang w:eastAsia="zh-CN"/>
        </w:rPr>
        <w:t xml:space="preserve">服务</w:t>
      </w:r>
      <w:r>
        <w:rPr>
          <w:rFonts w:hint="eastAsia" w:ascii="宋体" w:hAnsi="宋体" w:eastAsia="宋体" w:cs="宋体"/>
          <w:color w:val="auto"/>
          <w:sz w:val="24"/>
          <w:szCs w:val="24"/>
          <w:highlight w:val="none"/>
        </w:rPr>
        <w:t xml:space="preserve">）的有关技术资料。</w:t>
      </w:r>
      <w:r/>
    </w:p>
    <w:p>
      <w:pPr>
        <w:pStyle w:val="66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67"/>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四、知识产权</w:t>
      </w:r>
      <w:r/>
    </w:p>
    <w:p>
      <w:pPr>
        <w:pStyle w:val="66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4.1乙方应保证甲方在使用、接受本合同</w:t>
      </w:r>
      <w:r>
        <w:rPr>
          <w:rFonts w:hint="eastAsia" w:ascii="宋体" w:hAnsi="宋体" w:eastAsia="宋体" w:cs="宋体"/>
          <w:color w:val="auto"/>
          <w:sz w:val="24"/>
          <w:szCs w:val="24"/>
          <w:highlight w:val="none"/>
          <w:lang w:eastAsia="zh-CN"/>
        </w:rPr>
        <w:t xml:space="preserve">货物</w:t>
      </w:r>
      <w:r>
        <w:rPr>
          <w:rFonts w:hint="eastAsia" w:ascii="宋体" w:hAnsi="宋体" w:eastAsia="宋体" w:cs="宋体"/>
          <w:color w:val="auto"/>
          <w:sz w:val="24"/>
          <w:szCs w:val="24"/>
          <w:highlight w:val="none"/>
        </w:rPr>
        <w:t xml:space="preserve">（包含与</w:t>
      </w:r>
      <w:r>
        <w:rPr>
          <w:rFonts w:hint="eastAsia" w:ascii="宋体" w:hAnsi="宋体" w:eastAsia="宋体" w:cs="宋体"/>
          <w:color w:val="auto"/>
          <w:sz w:val="24"/>
          <w:szCs w:val="24"/>
          <w:highlight w:val="none"/>
          <w:lang w:eastAsia="zh-CN"/>
        </w:rPr>
        <w:t xml:space="preserve">货物</w:t>
      </w:r>
      <w:r>
        <w:rPr>
          <w:rFonts w:hint="eastAsia" w:ascii="宋体" w:hAnsi="宋体" w:eastAsia="宋体" w:cs="宋体"/>
          <w:color w:val="auto"/>
          <w:sz w:val="24"/>
          <w:szCs w:val="24"/>
          <w:highlight w:val="none"/>
        </w:rPr>
        <w:t xml:space="preserve">相关的</w:t>
      </w:r>
      <w:r>
        <w:rPr>
          <w:rFonts w:hint="eastAsia" w:ascii="宋体" w:hAnsi="宋体" w:eastAsia="宋体" w:cs="宋体"/>
          <w:color w:val="auto"/>
          <w:sz w:val="24"/>
          <w:szCs w:val="24"/>
          <w:highlight w:val="none"/>
          <w:lang w:eastAsia="zh-CN"/>
        </w:rPr>
        <w:t xml:space="preserve">服务</w:t>
      </w:r>
      <w:r>
        <w:rPr>
          <w:rFonts w:hint="eastAsia" w:ascii="宋体" w:hAnsi="宋体" w:eastAsia="宋体" w:cs="宋体"/>
          <w:color w:val="auto"/>
          <w:sz w:val="24"/>
          <w:szCs w:val="24"/>
          <w:highlight w:val="none"/>
        </w:rPr>
        <w:t xml:space="preserve">）或其任何一部分时不受第三方提出侵犯其专利权、版权、商标权和工业设计权等知识产权的起诉。一旦出现侵权，由乙方负全部责任。</w:t>
      </w:r>
      <w:r/>
    </w:p>
    <w:p>
      <w:pPr>
        <w:pStyle w:val="667"/>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五、产权担保</w:t>
      </w:r>
      <w:r/>
    </w:p>
    <w:p>
      <w:pPr>
        <w:pStyle w:val="66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5.1乙方保证所交付的服务（包含与服务相关的货物）的所有权完全属于乙方且无任何抵押、查封等产权瑕疵。</w:t>
      </w:r>
      <w:r/>
    </w:p>
    <w:p>
      <w:pPr>
        <w:pStyle w:val="667"/>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六、履约保证金</w:t>
      </w:r>
      <w:r/>
    </w:p>
    <w:p>
      <w:pPr>
        <w:ind w:firstLine="480"/>
        <w:spacing w:line="360" w:lineRule="auto"/>
        <w:rPr>
          <w:rFonts w:ascii="宋体"/>
          <w:sz w:val="24"/>
          <w:szCs w:val="24"/>
        </w:rPr>
      </w:pPr>
      <w:r>
        <w:rPr>
          <w:rFonts w:hint="eastAsia" w:ascii="宋体" w:hAnsi="宋体" w:eastAsia="宋体" w:cs="宋体"/>
          <w:color w:val="auto"/>
          <w:sz w:val="24"/>
          <w:szCs w:val="24"/>
          <w:highlight w:val="none"/>
        </w:rPr>
        <w:t xml:space="preserve">6.1</w:t>
      </w:r>
      <w:r>
        <w:rPr>
          <w:rFonts w:hint="eastAsia" w:ascii="宋体"/>
          <w:sz w:val="24"/>
          <w:szCs w:val="24"/>
        </w:rPr>
        <w:t xml:space="preserve">乙方交纳人民币</w:t>
      </w:r>
      <w:r>
        <w:rPr>
          <w:rFonts w:hint="eastAsia" w:ascii="宋体"/>
          <w:sz w:val="24"/>
          <w:szCs w:val="24"/>
          <w:u w:val="single"/>
          <w:lang w:val="en-US" w:eastAsia="zh-CN"/>
        </w:rPr>
        <w:t xml:space="preserve">中标价8%</w:t>
      </w:r>
      <w:r>
        <w:rPr>
          <w:rFonts w:hint="eastAsia" w:ascii="宋体"/>
          <w:sz w:val="24"/>
          <w:szCs w:val="24"/>
          <w:lang w:val="en-US" w:eastAsia="zh-CN"/>
        </w:rPr>
        <w:t xml:space="preserve">元</w:t>
      </w:r>
      <w:r>
        <w:rPr>
          <w:rFonts w:hint="eastAsia" w:ascii="宋体"/>
          <w:sz w:val="24"/>
          <w:szCs w:val="24"/>
        </w:rPr>
        <w:t xml:space="preserve">作为本合同的履约保证金，交纳形式为转账、支票、汇票、本票或者金融机构、担保机构出具的保函、保险公司保险单等。中标人在收到中标通知书后，须在合同签订前，向招标人足额提交履约保证金或者保函，否则招标人可以取消中标资格，履约保证金在本项目验收合格后无息退还。</w:t>
      </w:r>
      <w:r/>
    </w:p>
    <w:p>
      <w:pPr>
        <w:ind w:firstLine="480"/>
        <w:spacing w:line="360" w:lineRule="auto"/>
        <w:rPr>
          <w:rFonts w:ascii="宋体"/>
          <w:sz w:val="24"/>
          <w:szCs w:val="24"/>
        </w:rPr>
      </w:pPr>
      <w:r>
        <w:rPr>
          <w:rFonts w:hint="eastAsia" w:ascii="宋体"/>
          <w:sz w:val="24"/>
          <w:szCs w:val="24"/>
          <w:lang w:val="en-US" w:eastAsia="zh-CN"/>
        </w:rPr>
        <w:t xml:space="preserve">6.2</w:t>
      </w:r>
      <w:r>
        <w:rPr>
          <w:rFonts w:hint="eastAsia" w:ascii="宋体"/>
          <w:sz w:val="24"/>
          <w:szCs w:val="24"/>
        </w:rPr>
        <w:t xml:space="preserve">履约保证金用以约束成交供应商在合同履行中的行为，弥补合同执行中由于自身行为可能给采购人带来的各种损失。鼓励采购人对AA评级及以上政府采购供应商（需提供信用管理部门备案的第三方信用报告，且信用报告概述页等内容通过“信用盐城”网站可查实），免收履约保证金。</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6.3履约保证金的退还：</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6.3.1方式：无息退还至投标人缴纳履约保证金的账户。如为保函，在到期时自行失效。</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6.3.2时间：验收合格且采购人收到发票后30日内。</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6.3.3条件：按合同要求全部履约完成并经采购人验收合格，且采购人收到中标人出具的发票。</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6.3.4不予退还情形：</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除不可抗力情况外，投标人出现下列情形之一的，其履约保证金，招标人将视情节决定不予退还或部分不予退还。</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（1）中标人无正当理由拒绝签订合同的，或者在签订合同时向采购人提出附加条件或者更改合同实质性内容要求的；</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（2）中标人不履行与采购人订立的合同的；</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（3）中标人所供货物或服务不符合招标文件规定要求的；</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（4）中标人采取欺骗、弄虚作假方式投标的或与其它投标人串通投标的；</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（5）中标人将合同内容转包、违法分包的；</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（6）中标人故意捏造事实或伪造证明材料，进行虚假恶意投诉或反映的。</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6.3.5逾期退还的违约责任：采购人逾期无故未退还履约保证金的，按中国人民银行同期贷款基准利率上浮20%后的利率支付超期资金占用费，但因供应商自身原因导致无法及时退还的除外。</w:t>
      </w:r>
      <w:r/>
    </w:p>
    <w:p>
      <w:pPr>
        <w:pStyle w:val="667"/>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七、合同转包或分包</w:t>
      </w:r>
      <w:r/>
    </w:p>
    <w:p>
      <w:pPr>
        <w:pStyle w:val="66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7.1乙方不得将合同标的转包给他人履行。</w:t>
      </w:r>
      <w:r/>
    </w:p>
    <w:p>
      <w:pPr>
        <w:pStyle w:val="66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7.2乙方不得将合同标的分包给他人履行。</w:t>
      </w:r>
      <w:r/>
    </w:p>
    <w:p>
      <w:pPr>
        <w:pStyle w:val="66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7.3乙方如有转包或未经甲方同意的分包行为，甲方有权解除合同。</w:t>
      </w:r>
      <w:r/>
    </w:p>
    <w:p>
      <w:pPr>
        <w:pStyle w:val="667"/>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八、合同款项支付</w:t>
      </w:r>
      <w:r/>
    </w:p>
    <w:p>
      <w:pPr>
        <w:pStyle w:val="66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8.1合同款项的支付方式及进度安排</w:t>
      </w:r>
      <w:r/>
    </w:p>
    <w:p>
      <w:pPr>
        <w:pStyle w:val="66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8.1.1 预付款支付时间：合同签订后</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日内，预付款支付比例：合同金额的</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w:t>
      </w:r>
      <w:r/>
    </w:p>
    <w:p>
      <w:pPr>
        <w:pStyle w:val="66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val="en-US" w:eastAsia="zh-CN"/>
        </w:rPr>
        <w:t xml:space="preserve">8.1.2</w:t>
      </w:r>
      <w:r>
        <w:rPr>
          <w:rFonts w:hint="eastAsia" w:ascii="宋体" w:hAnsi="宋体" w:eastAsia="宋体" w:cs="宋体"/>
          <w:color w:val="auto"/>
          <w:sz w:val="24"/>
          <w:szCs w:val="24"/>
          <w:highlight w:val="none"/>
          <w:u w:val="single"/>
        </w:rPr>
        <w:t xml:space="preserve">所有货物经安装调试并验收合格后付合同价的50%</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审计结束后付至审定价的95%</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余款</w:t>
      </w:r>
      <w:r>
        <w:rPr>
          <w:rFonts w:hint="eastAsia" w:ascii="宋体" w:hAnsi="宋体" w:eastAsia="宋体" w:cs="宋体"/>
          <w:color w:val="auto"/>
          <w:sz w:val="24"/>
          <w:szCs w:val="24"/>
          <w:highlight w:val="none"/>
          <w:u w:val="single"/>
          <w:lang w:eastAsia="zh-CN"/>
        </w:rPr>
        <w:t xml:space="preserve">待项目验收合格</w:t>
      </w:r>
      <w:r>
        <w:rPr>
          <w:rFonts w:hint="eastAsia" w:ascii="宋体" w:hAnsi="宋体" w:eastAsia="宋体" w:cs="宋体"/>
          <w:color w:val="auto"/>
          <w:sz w:val="24"/>
          <w:szCs w:val="24"/>
          <w:highlight w:val="none"/>
          <w:u w:val="single"/>
        </w:rPr>
        <w:t xml:space="preserve">二年</w:t>
      </w:r>
      <w:r>
        <w:rPr>
          <w:rFonts w:hint="eastAsia" w:ascii="宋体" w:hAnsi="宋体" w:eastAsia="宋体" w:cs="宋体"/>
          <w:color w:val="auto"/>
          <w:sz w:val="24"/>
          <w:szCs w:val="24"/>
          <w:highlight w:val="none"/>
          <w:u w:val="single"/>
          <w:lang w:eastAsia="zh-CN"/>
        </w:rPr>
        <w:t xml:space="preserve">后一次性无息</w:t>
      </w:r>
      <w:r>
        <w:rPr>
          <w:rFonts w:hint="eastAsia" w:ascii="宋体" w:hAnsi="宋体" w:eastAsia="宋体" w:cs="宋体"/>
          <w:color w:val="auto"/>
          <w:sz w:val="24"/>
          <w:szCs w:val="24"/>
          <w:highlight w:val="none"/>
          <w:u w:val="single"/>
        </w:rPr>
        <w:t xml:space="preserve">付清</w:t>
      </w:r>
      <w:r>
        <w:rPr>
          <w:rFonts w:hint="eastAsia" w:ascii="宋体" w:hAnsi="宋体" w:eastAsia="宋体" w:cs="宋体"/>
          <w:color w:val="auto"/>
          <w:sz w:val="24"/>
          <w:szCs w:val="24"/>
          <w:highlight w:val="none"/>
          <w:u w:val="single"/>
          <w:lang w:eastAsia="zh-CN"/>
        </w:rPr>
        <w:t xml:space="preserve">。</w:t>
      </w:r>
      <w:r/>
    </w:p>
    <w:p>
      <w:pPr>
        <w:pStyle w:val="667"/>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九、税费</w:t>
      </w:r>
      <w:r/>
    </w:p>
    <w:p>
      <w:pPr>
        <w:pStyle w:val="66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9.1本合同执行中相关的一切税费均由乙方负担。</w:t>
      </w:r>
      <w:r/>
    </w:p>
    <w:p>
      <w:pPr>
        <w:pStyle w:val="667"/>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十、质量及验收方法</w:t>
      </w:r>
      <w:r/>
    </w:p>
    <w:p>
      <w:pPr>
        <w:pStyle w:val="66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甲方对乙方提交的货物依据招标文件上的技术规格要求和国家有关质量标准并邀请监理单位、相关部门专业人员进行现场初步验收，外观、说明书、设备技术要求等符合招标文件技术要求的，给予签收，初步验收不合格的不予签收进场安装。货到后，甲方需在七个工作日内验收。</w:t>
      </w:r>
      <w:r/>
    </w:p>
    <w:p>
      <w:pPr>
        <w:pStyle w:val="667"/>
        <w:ind w:left="0" w:firstLine="480"/>
        <w:jc w:val="left"/>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乙方交货前应对产品作出全面检查和对验收文件进行整理，并列出清单，作为甲方收货验收和使用的技术条件依据，检验的结果应随货物交甲方。乙方在交货时，货物的品牌型号必须与投标报价单保持一致，必须保证品牌正宗，原始包装并附有合格证、产品安装使用说明书等相关资料。特殊情况需要调整品牌型号数量的，甲乙双方协商后须报主管预算单位同意后方可调整。</w:t>
      </w:r>
      <w:r/>
    </w:p>
    <w:p>
      <w:pPr>
        <w:pStyle w:val="66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6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验收方法：全部货物安装调试完毕后7日内，由甲方邀请监理单位、相关部门专业人员，按照招标文件的要求和现行技术标准、强制性标准对所供货物的技术性能、技术参数、安装质量等进行验收，并形成验收意见。项目数据必须确保接入省农业物联网管理服务平台，如乙方未能确保数据接入上级平台，甲方有权不予验收，直至项目数据接入省农业物联网管理服务平台方予验收。</w:t>
      </w:r>
      <w:r/>
    </w:p>
    <w:p>
      <w:pPr>
        <w:pStyle w:val="66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对于实际使用人和甲方分离的项目，甲方邀请实际使用人参与验收。</w:t>
      </w:r>
      <w:r/>
    </w:p>
    <w:p>
      <w:pPr>
        <w:pStyle w:val="66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如有必要，甲方邀请参加本项目的其他供应商或第三方专业机构及专家参与验收，相关意见将作为验收书的参考资料。</w:t>
      </w:r>
      <w:r/>
    </w:p>
    <w:p>
      <w:pPr>
        <w:pStyle w:val="66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6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667"/>
        <w:ind w:left="0" w:firstLine="482"/>
        <w:jc w:val="left"/>
        <w:keepLines w:val="0"/>
        <w:keepNext w:val="0"/>
        <w:pageBreakBefore w:val="0"/>
        <w:spacing w:beforeAutospacing="0" w:afterAutospacing="0"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十一、售后服务</w:t>
      </w:r>
      <w:r/>
    </w:p>
    <w:p>
      <w:pPr>
        <w:pStyle w:val="66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11.1</w:t>
      </w:r>
      <w:r>
        <w:rPr>
          <w:rFonts w:hint="eastAsia" w:ascii="宋体" w:hAnsi="宋体" w:eastAsia="宋体" w:cs="宋体"/>
          <w:color w:val="auto"/>
          <w:sz w:val="24"/>
          <w:szCs w:val="24"/>
          <w:highlight w:val="none"/>
        </w:rPr>
        <w:t xml:space="preserve">在质量保证期</w:t>
      </w:r>
      <w:r>
        <w:rPr>
          <w:rFonts w:hint="eastAsia" w:ascii="宋体" w:hAnsi="宋体" w:eastAsia="宋体" w:cs="宋体"/>
          <w:color w:val="auto"/>
          <w:sz w:val="24"/>
          <w:szCs w:val="24"/>
          <w:highlight w:val="none"/>
          <w:lang w:eastAsia="zh-CN"/>
        </w:rPr>
        <w:t xml:space="preserve">（二年）</w:t>
      </w:r>
      <w:r>
        <w:rPr>
          <w:rFonts w:hint="eastAsia" w:ascii="宋体" w:hAnsi="宋体" w:eastAsia="宋体" w:cs="宋体"/>
          <w:color w:val="auto"/>
          <w:sz w:val="24"/>
          <w:szCs w:val="24"/>
          <w:highlight w:val="none"/>
        </w:rPr>
        <w:t xml:space="preserve">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所供货物发生故障时，</w:t>
      </w:r>
      <w:r>
        <w:rPr>
          <w:rFonts w:hint="eastAsia" w:ascii="宋体" w:hAnsi="宋体" w:eastAsia="宋体" w:cs="宋体"/>
          <w:color w:val="auto"/>
          <w:sz w:val="24"/>
          <w:szCs w:val="24"/>
          <w:highlight w:val="none"/>
          <w:lang w:eastAsia="zh-CN"/>
        </w:rPr>
        <w:t xml:space="preserve">中标</w:t>
      </w:r>
      <w:r>
        <w:rPr>
          <w:rFonts w:hint="eastAsia" w:ascii="宋体" w:hAnsi="宋体" w:eastAsia="宋体" w:cs="宋体"/>
          <w:color w:val="auto"/>
          <w:sz w:val="24"/>
          <w:szCs w:val="24"/>
          <w:highlight w:val="none"/>
        </w:rPr>
        <w:t xml:space="preserve">人须在</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小时内到场维修，无法修复时，须在</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小时内提供备用产品，否则甲方有权自行处理，其费用在</w:t>
      </w:r>
      <w:r>
        <w:rPr>
          <w:rFonts w:hint="eastAsia" w:ascii="宋体" w:hAnsi="宋体" w:eastAsia="宋体" w:cs="宋体"/>
          <w:color w:val="auto"/>
          <w:sz w:val="24"/>
          <w:szCs w:val="24"/>
          <w:highlight w:val="none"/>
          <w:lang w:val="en-US" w:eastAsia="zh-CN"/>
        </w:rPr>
        <w:t xml:space="preserve">余款</w:t>
      </w:r>
      <w:r>
        <w:rPr>
          <w:rFonts w:hint="eastAsia" w:ascii="宋体" w:hAnsi="宋体" w:eastAsia="宋体" w:cs="宋体"/>
          <w:color w:val="auto"/>
          <w:sz w:val="24"/>
          <w:szCs w:val="24"/>
          <w:highlight w:val="none"/>
        </w:rPr>
        <w:t xml:space="preserve">中扣除。</w:t>
      </w:r>
      <w:r/>
    </w:p>
    <w:p>
      <w:pPr>
        <w:pStyle w:val="66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11.2</w:t>
      </w:r>
      <w:r>
        <w:rPr>
          <w:rFonts w:hint="eastAsia" w:ascii="宋体" w:hAnsi="宋体" w:eastAsia="宋体" w:cs="宋体"/>
          <w:color w:val="auto"/>
          <w:sz w:val="24"/>
          <w:szCs w:val="24"/>
          <w:highlight w:val="none"/>
        </w:rPr>
        <w:t xml:space="preserve">所有货物免费送达甲方指定地点，货物的托运、安装及预装常用软件（如需要）等，均不需另行付费。</w:t>
      </w:r>
      <w:r/>
    </w:p>
    <w:p>
      <w:pPr>
        <w:pStyle w:val="66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11.3</w:t>
      </w:r>
      <w:r>
        <w:rPr>
          <w:rFonts w:hint="eastAsia" w:ascii="宋体" w:hAnsi="宋体" w:eastAsia="宋体" w:cs="宋体"/>
          <w:color w:val="auto"/>
          <w:sz w:val="24"/>
          <w:szCs w:val="24"/>
          <w:highlight w:val="none"/>
        </w:rPr>
        <w:t xml:space="preserve">根据厂方的规定对所供货物进行保修，在质量保证期内，乙方不得收取任何费用；质量保证期满后，乙方对用户货物的维修，只收成本费，并提供终生技术服务。</w:t>
      </w:r>
      <w:r/>
    </w:p>
    <w:p>
      <w:pPr>
        <w:pStyle w:val="66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11.4</w:t>
      </w:r>
      <w:r>
        <w:rPr>
          <w:rFonts w:hint="eastAsia" w:ascii="宋体" w:hAnsi="宋体" w:eastAsia="宋体" w:cs="宋体"/>
          <w:color w:val="auto"/>
          <w:sz w:val="24"/>
          <w:szCs w:val="24"/>
          <w:highlight w:val="none"/>
        </w:rPr>
        <w:t xml:space="preserve">如甲方使用不当造成货物的毁损，乙方有义务协助维修。</w:t>
      </w:r>
      <w:r/>
    </w:p>
    <w:p>
      <w:pPr>
        <w:pStyle w:val="66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11.5</w:t>
      </w:r>
      <w:r>
        <w:rPr>
          <w:rFonts w:hint="eastAsia" w:ascii="宋体" w:hAnsi="宋体" w:eastAsia="宋体" w:cs="宋体"/>
          <w:color w:val="auto"/>
          <w:sz w:val="24"/>
          <w:szCs w:val="24"/>
          <w:highlight w:val="none"/>
        </w:rPr>
        <w:t xml:space="preserve">质量保证期满后，乙方和厂家应同样提供免费电话咨询服务，并以优惠价格提供售后服务。</w:t>
      </w:r>
      <w:r/>
    </w:p>
    <w:p>
      <w:pPr>
        <w:pStyle w:val="66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11.6</w:t>
      </w:r>
      <w:r>
        <w:rPr>
          <w:rFonts w:hint="eastAsia" w:ascii="宋体" w:hAnsi="宋体" w:eastAsia="宋体" w:cs="宋体"/>
          <w:color w:val="auto"/>
          <w:sz w:val="24"/>
          <w:szCs w:val="24"/>
          <w:highlight w:val="none"/>
        </w:rPr>
        <w:t xml:space="preserve">产品为全新，未使用过的原装合格正品，安装质量符合各项技术标准和国家强制性标准；</w:t>
      </w:r>
      <w:r/>
    </w:p>
    <w:p>
      <w:pPr>
        <w:pStyle w:val="667"/>
        <w:ind w:left="0" w:firstLine="480"/>
        <w:jc w:val="left"/>
        <w:keepLines w:val="0"/>
        <w:keepNext w:val="0"/>
        <w:pageBreakBefore w:val="0"/>
        <w:spacing w:beforeAutospacing="0" w:afterAutospacing="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11.7</w:t>
      </w:r>
      <w:r>
        <w:rPr>
          <w:rFonts w:hint="eastAsia" w:ascii="宋体" w:hAnsi="宋体" w:eastAsia="宋体" w:cs="宋体"/>
          <w:color w:val="auto"/>
          <w:sz w:val="24"/>
          <w:szCs w:val="24"/>
          <w:highlight w:val="none"/>
        </w:rPr>
        <w:t xml:space="preserve">产品到场时须提供生产厂商出具的产品出厂合格证明。</w:t>
      </w:r>
      <w:r/>
    </w:p>
    <w:p>
      <w:pPr>
        <w:pStyle w:val="667"/>
        <w:ind w:left="0" w:firstLine="482"/>
        <w:jc w:val="left"/>
        <w:keepLines w:val="0"/>
        <w:keepNext w:val="0"/>
        <w:pageBreakBefore w:val="0"/>
        <w:spacing w:beforeAutospacing="0" w:afterAutospacing="0"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十二、其他</w:t>
      </w:r>
      <w:r/>
    </w:p>
    <w:p>
      <w:pPr>
        <w:pStyle w:val="66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12.1</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应严格执行现行安全生产法律、法规，确保安全生产无事故（同时不得伤害他人）因</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原因造成的所有安全事故以及因项目质量问题而引发的一切安全事故均由</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负责，与</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无</w:t>
      </w:r>
      <w:r>
        <w:rPr>
          <w:rFonts w:hint="eastAsia" w:ascii="宋体" w:hAnsi="宋体" w:eastAsia="宋体" w:cs="宋体"/>
          <w:color w:val="auto"/>
          <w:sz w:val="24"/>
          <w:szCs w:val="24"/>
          <w:highlight w:val="none"/>
          <w:lang w:eastAsia="zh-CN"/>
        </w:rPr>
        <w:t xml:space="preserve">关。</w:t>
      </w:r>
      <w:r/>
    </w:p>
    <w:p>
      <w:pPr>
        <w:pStyle w:val="667"/>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eastAsia="zh-CN"/>
        </w:rPr>
        <w:t xml:space="preserve">三</w:t>
      </w:r>
      <w:r>
        <w:rPr>
          <w:rFonts w:hint="eastAsia" w:ascii="宋体" w:hAnsi="宋体" w:eastAsia="宋体" w:cs="宋体"/>
          <w:b/>
          <w:color w:val="auto"/>
          <w:sz w:val="24"/>
          <w:szCs w:val="24"/>
          <w:highlight w:val="none"/>
        </w:rPr>
        <w:t xml:space="preserve">、违约责任</w:t>
      </w:r>
      <w:r/>
    </w:p>
    <w:p>
      <w:pPr>
        <w:pStyle w:val="66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.1甲方无正当理由拒绝接受乙方提供服务的，甲方向乙方偿付拒绝接受服务合同价款总值</w:t>
      </w: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rPr>
        <w:t xml:space="preserve">的违约金。</w:t>
      </w:r>
      <w:r/>
    </w:p>
    <w:p>
      <w:pPr>
        <w:pStyle w:val="66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.2甲方无故逾期验收和办理合同款项支付手续的,甲方应按逾期付款总额</w:t>
      </w: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rPr>
        <w:t xml:space="preserve">每日向乙方支付违约金。</w:t>
      </w:r>
      <w:r/>
    </w:p>
    <w:p>
      <w:pPr>
        <w:pStyle w:val="66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乙方逾期提供服务的，延迟按200元/天/份罚款，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rPr>
        <w:t xml:space="preserve">的违约金，如造成甲方损失超过违约金的，超出部分由乙方继续承担赔偿责任。 </w:t>
      </w:r>
      <w:r/>
    </w:p>
    <w:p>
      <w:pPr>
        <w:pStyle w:val="66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.4乙方所提供服务的标准不符合合同规定及招标文件规定标准的，甲方有权拒绝接受服务，并可单方面解除合同。</w:t>
      </w:r>
      <w:r/>
    </w:p>
    <w:p>
      <w:pPr>
        <w:pStyle w:val="667"/>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eastAsia="zh-CN"/>
        </w:rPr>
        <w:t xml:space="preserve">四</w:t>
      </w:r>
      <w:r>
        <w:rPr>
          <w:rFonts w:hint="eastAsia" w:ascii="宋体" w:hAnsi="宋体" w:eastAsia="宋体" w:cs="宋体"/>
          <w:b/>
          <w:color w:val="auto"/>
          <w:sz w:val="24"/>
          <w:szCs w:val="24"/>
          <w:highlight w:val="none"/>
        </w:rPr>
        <w:t xml:space="preserve">、不可抗力事件处理</w:t>
      </w:r>
      <w:r/>
    </w:p>
    <w:p>
      <w:pPr>
        <w:pStyle w:val="66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.1在合同有效期内，任何一方因不可抗力事件导致不能履行合同，则合同履行期可延长，其延长期与不可抗力影响 期相同。</w:t>
      </w:r>
      <w:r/>
    </w:p>
    <w:p>
      <w:pPr>
        <w:pStyle w:val="66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.2不可抗力事件发生后，应立即通知对方，并寄送有关权威机构出具的证明。</w:t>
      </w:r>
      <w:r/>
    </w:p>
    <w:p>
      <w:pPr>
        <w:pStyle w:val="66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.3不可抗力事件延续120天以上，双方应通过友好协商，确定是否继续履行合同。</w:t>
      </w:r>
      <w:r/>
    </w:p>
    <w:p>
      <w:pPr>
        <w:pStyle w:val="667"/>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eastAsia="zh-CN"/>
        </w:rPr>
        <w:t xml:space="preserve">五</w:t>
      </w:r>
      <w:r>
        <w:rPr>
          <w:rFonts w:hint="eastAsia" w:ascii="宋体" w:hAnsi="宋体" w:eastAsia="宋体" w:cs="宋体"/>
          <w:b/>
          <w:color w:val="auto"/>
          <w:sz w:val="24"/>
          <w:szCs w:val="24"/>
          <w:highlight w:val="none"/>
        </w:rPr>
        <w:t xml:space="preserve">、解决争议的方法</w:t>
      </w:r>
      <w:r/>
    </w:p>
    <w:p>
      <w:pPr>
        <w:pStyle w:val="66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.1双方在签订、履行合同中所发生的一切争议，应通过友好协商解决。如协商不成，由甲方住所地人民法院管辖。</w:t>
      </w:r>
      <w:r/>
    </w:p>
    <w:p>
      <w:pPr>
        <w:pStyle w:val="667"/>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eastAsia="zh-CN"/>
        </w:rPr>
        <w:t xml:space="preserve">六</w:t>
      </w:r>
      <w:r>
        <w:rPr>
          <w:rFonts w:hint="eastAsia" w:ascii="宋体" w:hAnsi="宋体" w:eastAsia="宋体" w:cs="宋体"/>
          <w:b/>
          <w:color w:val="auto"/>
          <w:sz w:val="24"/>
          <w:szCs w:val="24"/>
          <w:highlight w:val="none"/>
        </w:rPr>
        <w:t xml:space="preserve">、合同生效及其它</w:t>
      </w:r>
      <w:r/>
    </w:p>
    <w:p>
      <w:pPr>
        <w:pStyle w:val="66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.1合同经双方法定代表人或授权委托代表人签字并加盖单位公章后生效。</w:t>
      </w:r>
      <w:r/>
    </w:p>
    <w:p>
      <w:pPr>
        <w:pStyle w:val="66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.2本合同未尽事宜，遵照《民法典》、《政府采购法》有关条文执行。</w:t>
      </w:r>
      <w:r/>
    </w:p>
    <w:p>
      <w:pPr>
        <w:pStyle w:val="66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 本合同正本一式两份，具有同等法律效力，甲方、乙方各执一份。</w:t>
      </w:r>
      <w:r/>
    </w:p>
    <w:p>
      <w:pPr>
        <w:pStyle w:val="66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6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 </w:t>
      </w:r>
      <w:r/>
    </w:p>
    <w:p>
      <w:pPr>
        <w:pStyle w:val="66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 </w:t>
      </w:r>
      <w:r/>
    </w:p>
    <w:p>
      <w:pPr>
        <w:pStyle w:val="66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       法定代表人或授权代表：</w:t>
      </w:r>
      <w:r/>
    </w:p>
    <w:p>
      <w:pPr>
        <w:pStyle w:val="66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          </w:t>
      </w:r>
      <w:r/>
    </w:p>
    <w:p>
      <w:pPr>
        <w:pStyle w:val="667"/>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签订日期：      年    月   日</w:t>
      </w:r>
      <w:bookmarkStart w:id="33" w:name="_Hlt16619350"/>
      <w:r/>
      <w:bookmarkStart w:id="34" w:name="_Hlt16619369"/>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667"/>
        <w:jc w:val="center"/>
        <w:keepLines w:val="0"/>
        <w:keepNext w:val="0"/>
        <w:pageBreakBefore w:val="0"/>
        <w:spacing w:beforeAutospacing="0" w:afterAutospacing="0" w:line="360" w:lineRule="auto"/>
        <w:widowControl w:val="off"/>
        <w:rPr>
          <w:color w:val="auto"/>
          <w:highlight w:val="none"/>
        </w:rPr>
        <w:outlineLvl w:val="0"/>
      </w:pPr>
      <w:r/>
      <w:bookmarkStart w:id="35" w:name="_Toc11"/>
      <w:r>
        <w:rPr>
          <w:rFonts w:hint="eastAsia" w:ascii="黑体" w:hAnsi="宋体" w:eastAsia="黑体" w:cs="黑体"/>
          <w:color w:val="auto"/>
          <w:sz w:val="44"/>
          <w:szCs w:val="44"/>
          <w:highlight w:val="none"/>
        </w:rPr>
        <w:t xml:space="preserve">第四章 采购需求</w:t>
      </w:r>
      <w:bookmarkEnd w:id="33"/>
      <w:r/>
      <w:bookmarkEnd w:id="35"/>
      <w:r/>
      <w:r/>
    </w:p>
    <w:p>
      <w:pPr>
        <w:pStyle w:val="667"/>
        <w:jc w:val="both"/>
        <w:spacing w:beforeAutospacing="0" w:afterAutospacing="0" w:line="0" w:lineRule="atLeast"/>
        <w:rPr>
          <w:color w:val="auto"/>
          <w:highlight w:val="none"/>
        </w:rPr>
      </w:pPr>
      <w:r>
        <w:rPr>
          <w:rFonts w:hint="eastAsia" w:ascii="宋体" w:hAnsi="宋体" w:eastAsia="宋体" w:cs="宋体"/>
          <w:color w:val="auto"/>
          <w:highlight w:val="none"/>
        </w:rPr>
        <w:t xml:space="preserve">项目属性:</w:t>
      </w:r>
      <w:r>
        <w:rPr>
          <w:rFonts w:hint="eastAsia" w:ascii="宋体" w:hAnsi="宋体" w:eastAsia="宋体" w:cs="宋体"/>
          <w:color w:val="auto"/>
          <w:highlight w:val="none"/>
          <w:lang w:eastAsia="zh-CN"/>
        </w:rPr>
        <w:t xml:space="preserve">设备</w:t>
      </w:r>
      <w:r>
        <w:rPr>
          <w:rFonts w:hint="eastAsia" w:ascii="宋体" w:hAnsi="宋体" w:eastAsia="宋体" w:cs="宋体"/>
          <w:color w:val="auto"/>
          <w:highlight w:val="none"/>
        </w:rPr>
        <w:t xml:space="preserve">类项目。</w:t>
      </w:r>
      <w:r/>
    </w:p>
    <w:tbl>
      <w:tblPr>
        <w:tblStyle w:val="669"/>
        <w:tblW w:w="104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1413"/>
        <w:gridCol w:w="6732"/>
        <w:gridCol w:w="677"/>
        <w:gridCol w:w="651"/>
      </w:tblGrid>
      <w:tr>
        <w:trPr>
          <w:jc w:val="center"/>
          <w:trHeight w:val="713"/>
        </w:trPr>
        <w:tc>
          <w:tcPr>
            <w:gridSpan w:val="5"/>
            <w:tcW w:w="10466" w:type="dxa"/>
            <w:vAlign w:val="center"/>
            <w:textDirection w:val="lrTb"/>
            <w:noWrap w:val="false"/>
          </w:tcPr>
          <w:p>
            <w:pPr>
              <w:numPr>
                <w:ilvl w:val="0"/>
                <w:numId w:val="0"/>
              </w:numPr>
              <w:ind w:firstLine="643"/>
              <w:jc w:val="center"/>
              <w:spacing w:after="0" w:line="240" w:lineRule="auto"/>
              <w:rPr>
                <w:rFonts w:hint="eastAsia" w:ascii="宋体" w:hAnsi="宋体" w:eastAsia="宋体" w:cs="宋体"/>
                <w:color w:val="auto"/>
                <w:sz w:val="32"/>
                <w:szCs w:val="28"/>
                <w:highlight w:val="none"/>
                <w:lang w:val="en-US" w:eastAsia="zh-CN" w:bidi="ar-SA"/>
              </w:rPr>
            </w:pPr>
            <w:r>
              <w:rPr>
                <w:rFonts w:hint="eastAsia" w:ascii="宋体" w:hAnsi="宋体" w:eastAsia="宋体" w:cs="宋体"/>
                <w:b/>
                <w:bCs/>
                <w:color w:val="auto"/>
                <w:sz w:val="32"/>
                <w:szCs w:val="28"/>
                <w:highlight w:val="none"/>
                <w:lang w:val="en-US" w:eastAsia="zh-CN" w:bidi="ar-SA"/>
              </w:rPr>
              <w:t xml:space="preserve">一、招标内容功能要求</w:t>
            </w:r>
            <w:r/>
          </w:p>
        </w:tc>
      </w:tr>
      <w:tr>
        <w:trPr>
          <w:jc w:val="center"/>
        </w:trPr>
        <w:tc>
          <w:tcPr>
            <w:gridSpan w:val="5"/>
            <w:tcW w:w="10466" w:type="dxa"/>
            <w:vAlign w:val="top"/>
            <w:textDirection w:val="lrTb"/>
            <w:noWrap w:val="false"/>
          </w:tcPr>
          <w:p>
            <w:pPr>
              <w:numPr>
                <w:ilvl w:val="0"/>
                <w:numId w:val="0"/>
              </w:numPr>
              <w:ind w:firstLine="480"/>
              <w:spacing w:after="0" w:line="24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本项目为数字乡村智慧农业(5G)应用示范项目，是运用物联网技术、云存储、边缘计算、GIS、GPS、5G通信、LORA组网、草莓葡萄生长技术、模型数据应用、智能控制等技术，建设基于葡萄需水模型数据应用，草莓环境温度、光照需求模型数据应用，全自动智能滴灌系统、全自动温度控制系统、全自动补光系统。实现农庄葡萄草莓生长管理数字化、标准化、设备智能化。基本功能需求如下。</w:t>
            </w:r>
            <w:r/>
          </w:p>
          <w:p>
            <w:pPr>
              <w:numPr>
                <w:ilvl w:val="0"/>
                <w:numId w:val="0"/>
              </w:numPr>
              <w:ind w:firstLine="480"/>
              <w:spacing w:after="0" w:line="24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1、基于设施葡萄的环境温度、需水模型数据实现葡萄生长大棚温度、滴灌全生长周期全自动控制。</w:t>
            </w:r>
            <w:r/>
          </w:p>
          <w:p>
            <w:pPr>
              <w:numPr>
                <w:ilvl w:val="0"/>
                <w:numId w:val="0"/>
              </w:numPr>
              <w:ind w:firstLine="480"/>
              <w:spacing w:after="0" w:line="24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2、基于室内草莓温度、光照需求模型数据实现全生长周期温度调节、补光全自动控制。</w:t>
            </w:r>
            <w:r/>
          </w:p>
          <w:p>
            <w:pPr>
              <w:numPr>
                <w:ilvl w:val="0"/>
                <w:numId w:val="0"/>
              </w:numPr>
              <w:ind w:firstLine="480"/>
              <w:spacing w:after="0" w:line="24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3、水肥一体化系统从水泵到施肥滴灌全程按系统设置的模式工作，支持草莓需水模型数据应用、支持定时定量滴灌、支持轮巡滴灌、支持手机及pc端控制、支持设备运行状态监控、支持故障预警、任何时候不论什么内部原因都不能造成动力电器损坏。</w:t>
            </w:r>
            <w:r/>
          </w:p>
          <w:p>
            <w:pPr>
              <w:numPr>
                <w:ilvl w:val="0"/>
                <w:numId w:val="0"/>
              </w:numPr>
              <w:ind w:firstLine="480"/>
              <w:spacing w:after="0" w:line="24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4、本次项目所有设备都必须在一个系统里运行统一管理。支持本地手动控制、自动控制(模型数据应用控制)、远程控制。支持所有数据、设备运行状态实时显示。系统支持pc端、手机、平板等。整个系统设置成自动运行模式时，无需人工操作，全生长周期无人化管理模式。这是项目的必须具备的应用功能。</w:t>
            </w:r>
            <w:r/>
          </w:p>
          <w:p>
            <w:pPr>
              <w:numPr>
                <w:ilvl w:val="0"/>
                <w:numId w:val="0"/>
              </w:numPr>
              <w:ind w:firstLine="480"/>
              <w:spacing w:after="0" w:line="24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5、为了保证系统的稳定性，本项目采用了双冗余通讯，总控系统运用局域网通讯，确保系统在外网中断的情况下稳定正常工作。</w:t>
            </w:r>
            <w:r/>
          </w:p>
          <w:p>
            <w:pPr>
              <w:numPr>
                <w:ilvl w:val="0"/>
                <w:numId w:val="0"/>
              </w:numPr>
              <w:ind w:firstLine="480"/>
              <w:spacing w:after="0" w:line="24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6、为了保证系统稳定、长期工作，项目采购的传感器、控制器、管道、水肥机、补光灯等质量、精度、功能须满足招标参数要术。</w:t>
            </w:r>
            <w:r/>
          </w:p>
        </w:tc>
      </w:tr>
      <w:tr>
        <w:trPr>
          <w:jc w:val="center"/>
          <w:trHeight w:val="646"/>
        </w:trPr>
        <w:tc>
          <w:tcPr>
            <w:gridSpan w:val="5"/>
            <w:tcW w:w="10466" w:type="dxa"/>
            <w:vAlign w:val="center"/>
            <w:textDirection w:val="lrTb"/>
            <w:noWrap w:val="false"/>
          </w:tcPr>
          <w:p>
            <w:pPr>
              <w:numPr>
                <w:ilvl w:val="0"/>
                <w:numId w:val="0"/>
              </w:numPr>
              <w:ind w:firstLine="562"/>
              <w:jc w:val="center"/>
              <w:spacing w:after="0" w:line="240" w:lineRule="auto"/>
              <w:rPr>
                <w:rFonts w:hint="eastAsia" w:ascii="宋体" w:hAnsi="宋体" w:eastAsia="宋体" w:cs="宋体"/>
                <w:b/>
                <w:bCs/>
                <w:color w:val="auto"/>
                <w:sz w:val="28"/>
                <w:szCs w:val="24"/>
                <w:highlight w:val="none"/>
                <w:lang w:val="en-US" w:eastAsia="zh-CN" w:bidi="ar-SA"/>
              </w:rPr>
            </w:pPr>
            <w:r>
              <w:rPr>
                <w:rFonts w:hint="eastAsia" w:ascii="宋体" w:hAnsi="宋体" w:eastAsia="宋体" w:cs="宋体"/>
                <w:b/>
                <w:bCs/>
                <w:color w:val="auto"/>
                <w:sz w:val="28"/>
                <w:szCs w:val="24"/>
                <w:highlight w:val="none"/>
                <w:lang w:val="en-US" w:eastAsia="zh-CN" w:bidi="ar-SA"/>
              </w:rPr>
              <w:t xml:space="preserve">招标内容具体数量及参数要求</w:t>
            </w:r>
            <w:r/>
          </w:p>
        </w:tc>
      </w:tr>
      <w:tr>
        <w:trPr>
          <w:jc w:val="center"/>
        </w:trPr>
        <w:tc>
          <w:tcPr>
            <w:tcW w:w="99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序号</w:t>
            </w:r>
            <w:r/>
          </w:p>
        </w:tc>
        <w:tc>
          <w:tcPr>
            <w:tcW w:w="141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货物名称</w:t>
            </w:r>
            <w:r/>
          </w:p>
        </w:tc>
        <w:tc>
          <w:tcPr>
            <w:tcW w:w="673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技术参数要求</w:t>
            </w:r>
            <w:r/>
          </w:p>
        </w:tc>
        <w:tc>
          <w:tcPr>
            <w:tcW w:w="67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单位</w:t>
            </w:r>
            <w:r/>
          </w:p>
        </w:tc>
        <w:tc>
          <w:tcPr>
            <w:tcW w:w="65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数量</w:t>
            </w:r>
            <w:r/>
          </w:p>
        </w:tc>
      </w:tr>
      <w:tr>
        <w:trPr>
          <w:jc w:val="center"/>
        </w:trPr>
        <w:tc>
          <w:tcPr>
            <w:tcW w:w="99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1</w:t>
            </w:r>
            <w:r/>
          </w:p>
        </w:tc>
        <w:tc>
          <w:tcPr>
            <w:tcW w:w="141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空气温度传感器</w:t>
            </w:r>
            <w:r/>
          </w:p>
        </w:tc>
        <w:tc>
          <w:tcPr>
            <w:tcW w:w="6732"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空气温度：量程-40～80℃,精度±0.3℃,分辨率0.1℃，12-24V DC,RS485通讯</w:t>
            </w:r>
            <w:r/>
          </w:p>
        </w:tc>
        <w:tc>
          <w:tcPr>
            <w:tcW w:w="67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个</w:t>
            </w:r>
            <w:r/>
          </w:p>
        </w:tc>
        <w:tc>
          <w:tcPr>
            <w:tcW w:w="65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12</w:t>
            </w:r>
            <w:r/>
          </w:p>
        </w:tc>
      </w:tr>
      <w:tr>
        <w:trPr>
          <w:jc w:val="center"/>
        </w:trPr>
        <w:tc>
          <w:tcPr>
            <w:tcW w:w="99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2</w:t>
            </w:r>
            <w:r/>
          </w:p>
        </w:tc>
        <w:tc>
          <w:tcPr>
            <w:tcW w:w="141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空气湿度传感器</w:t>
            </w:r>
            <w:r/>
          </w:p>
        </w:tc>
        <w:tc>
          <w:tcPr>
            <w:tcW w:w="6732"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空气湿度：量程 0～100%,精度±3%,分辨率0.1%，12-24V DC,RS485通讯</w:t>
            </w:r>
            <w:r/>
          </w:p>
        </w:tc>
        <w:tc>
          <w:tcPr>
            <w:tcW w:w="67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个</w:t>
            </w:r>
            <w:r/>
          </w:p>
        </w:tc>
        <w:tc>
          <w:tcPr>
            <w:tcW w:w="65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12</w:t>
            </w:r>
            <w:r/>
          </w:p>
        </w:tc>
      </w:tr>
      <w:tr>
        <w:trPr>
          <w:jc w:val="center"/>
        </w:trPr>
        <w:tc>
          <w:tcPr>
            <w:tcW w:w="99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3</w:t>
            </w:r>
            <w:r/>
          </w:p>
        </w:tc>
        <w:tc>
          <w:tcPr>
            <w:tcW w:w="141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光照传感器</w:t>
            </w:r>
            <w:r/>
          </w:p>
        </w:tc>
        <w:tc>
          <w:tcPr>
            <w:tcW w:w="6732"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照度: 量程0～200Klux，精度：±5%，分辨率1lux，12-24V DC,RS485通讯</w:t>
            </w:r>
            <w:r/>
          </w:p>
        </w:tc>
        <w:tc>
          <w:tcPr>
            <w:tcW w:w="67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个</w:t>
            </w:r>
            <w:r/>
          </w:p>
        </w:tc>
        <w:tc>
          <w:tcPr>
            <w:tcW w:w="65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12</w:t>
            </w:r>
            <w:r/>
          </w:p>
        </w:tc>
      </w:tr>
      <w:tr>
        <w:trPr>
          <w:jc w:val="center"/>
        </w:trPr>
        <w:tc>
          <w:tcPr>
            <w:tcW w:w="99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4</w:t>
            </w:r>
            <w:r/>
          </w:p>
        </w:tc>
        <w:tc>
          <w:tcPr>
            <w:tcW w:w="141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二氧化碳传感器</w:t>
            </w:r>
            <w:r/>
          </w:p>
        </w:tc>
        <w:tc>
          <w:tcPr>
            <w:tcW w:w="6732"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二氧化碳: 量程0～5000ppm，精度：±100ppm，分辨率1ppm，12-24V DC,RS485通讯</w:t>
            </w:r>
            <w:r/>
          </w:p>
        </w:tc>
        <w:tc>
          <w:tcPr>
            <w:tcW w:w="67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个</w:t>
            </w:r>
            <w:r/>
          </w:p>
        </w:tc>
        <w:tc>
          <w:tcPr>
            <w:tcW w:w="65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12</w:t>
            </w:r>
            <w:r/>
          </w:p>
        </w:tc>
      </w:tr>
      <w:tr>
        <w:trPr>
          <w:jc w:val="center"/>
        </w:trPr>
        <w:tc>
          <w:tcPr>
            <w:tcW w:w="99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5</w:t>
            </w:r>
            <w:r/>
          </w:p>
        </w:tc>
        <w:tc>
          <w:tcPr>
            <w:tcW w:w="141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土壤温度传感器</w:t>
            </w:r>
            <w:r/>
          </w:p>
        </w:tc>
        <w:tc>
          <w:tcPr>
            <w:tcW w:w="6732"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土壤温度：量程-40℃～80℃，精度±0.2℃，12-24V DC,RS485通讯</w:t>
            </w:r>
            <w:r/>
          </w:p>
        </w:tc>
        <w:tc>
          <w:tcPr>
            <w:tcW w:w="67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个</w:t>
            </w:r>
            <w:r/>
          </w:p>
        </w:tc>
        <w:tc>
          <w:tcPr>
            <w:tcW w:w="65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12</w:t>
            </w:r>
            <w:r/>
          </w:p>
        </w:tc>
      </w:tr>
      <w:tr>
        <w:trPr>
          <w:jc w:val="center"/>
        </w:trPr>
        <w:tc>
          <w:tcPr>
            <w:tcW w:w="99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6</w:t>
            </w:r>
            <w:r/>
          </w:p>
        </w:tc>
        <w:tc>
          <w:tcPr>
            <w:tcW w:w="141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土壤湿度传感器</w:t>
            </w:r>
            <w:r/>
          </w:p>
        </w:tc>
        <w:tc>
          <w:tcPr>
            <w:tcW w:w="6732"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土壤湿度：量程0～100%，精度 ±1%，12-24V DC,RS485通讯</w:t>
            </w:r>
            <w:r/>
          </w:p>
        </w:tc>
        <w:tc>
          <w:tcPr>
            <w:tcW w:w="67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个</w:t>
            </w:r>
            <w:r/>
          </w:p>
        </w:tc>
        <w:tc>
          <w:tcPr>
            <w:tcW w:w="65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12</w:t>
            </w:r>
            <w:r/>
          </w:p>
        </w:tc>
      </w:tr>
      <w:tr>
        <w:trPr>
          <w:jc w:val="center"/>
        </w:trPr>
        <w:tc>
          <w:tcPr>
            <w:tcW w:w="99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7</w:t>
            </w:r>
            <w:r/>
          </w:p>
        </w:tc>
        <w:tc>
          <w:tcPr>
            <w:tcW w:w="141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塑料百叶罩</w:t>
            </w:r>
            <w:r/>
          </w:p>
        </w:tc>
        <w:tc>
          <w:tcPr>
            <w:tcW w:w="6732"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全新ABS树脂材料，内径62.5mm，内部可集成相关传感器。</w:t>
            </w:r>
            <w:r/>
          </w:p>
        </w:tc>
        <w:tc>
          <w:tcPr>
            <w:tcW w:w="67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个</w:t>
            </w:r>
            <w:r/>
          </w:p>
        </w:tc>
        <w:tc>
          <w:tcPr>
            <w:tcW w:w="65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12</w:t>
            </w:r>
            <w:r/>
          </w:p>
        </w:tc>
      </w:tr>
      <w:tr>
        <w:trPr>
          <w:jc w:val="center"/>
        </w:trPr>
        <w:tc>
          <w:tcPr>
            <w:tcW w:w="99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8</w:t>
            </w:r>
            <w:r/>
          </w:p>
        </w:tc>
        <w:tc>
          <w:tcPr>
            <w:tcW w:w="141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小型气象站</w:t>
            </w:r>
            <w:r/>
          </w:p>
        </w:tc>
        <w:tc>
          <w:tcPr>
            <w:tcW w:w="6732" w:type="dxa"/>
            <w:vAlign w:val="center"/>
            <w:textDirection w:val="lrTb"/>
            <w:noWrap w:val="false"/>
          </w:tcPr>
          <w:p>
            <w:pPr>
              <w:numPr>
                <w:ilvl w:val="0"/>
                <w:numId w:val="0"/>
              </w:numPr>
              <w:ind w:left="0" w:firstLine="0"/>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主体包含空气温湿度传感器、光照传感器、风速传感器、雨量传感器、大气压力传感器等设备；实时采集环境参数上传农业大数据监测平台。</w:t>
            </w:r>
            <w:r>
              <w:rPr>
                <w:rFonts w:hint="eastAsia" w:ascii="宋体" w:hAnsi="宋体" w:eastAsia="宋体" w:cs="宋体"/>
                <w:color w:val="auto"/>
                <w:sz w:val="24"/>
                <w:szCs w:val="22"/>
                <w:highlight w:val="none"/>
                <w:lang w:val="en-US" w:eastAsia="zh-CN" w:bidi="ar-SA"/>
              </w:rPr>
              <w:br/>
            </w:r>
            <w:r>
              <w:rPr>
                <w:rFonts w:hint="eastAsia" w:ascii="宋体" w:hAnsi="宋体" w:eastAsia="宋体" w:cs="宋体"/>
                <w:color w:val="auto"/>
                <w:sz w:val="24"/>
                <w:szCs w:val="22"/>
                <w:highlight w:val="none"/>
                <w:lang w:val="en-US" w:eastAsia="zh-CN" w:bidi="ar-SA"/>
              </w:rPr>
              <w:t xml:space="preserve">1、空气温度，量程：-40～80℃；分辩率：0.1℃；精度：±0.2℃；</w:t>
            </w:r>
            <w:r>
              <w:rPr>
                <w:rFonts w:hint="eastAsia" w:ascii="宋体" w:hAnsi="宋体" w:eastAsia="宋体" w:cs="宋体"/>
                <w:color w:val="auto"/>
                <w:sz w:val="24"/>
                <w:szCs w:val="22"/>
                <w:highlight w:val="none"/>
                <w:lang w:val="en-US" w:eastAsia="zh-CN" w:bidi="ar-SA"/>
              </w:rPr>
              <w:br/>
            </w:r>
            <w:r>
              <w:rPr>
                <w:rFonts w:hint="eastAsia" w:ascii="宋体" w:hAnsi="宋体" w:eastAsia="宋体" w:cs="宋体"/>
                <w:color w:val="auto"/>
                <w:sz w:val="24"/>
                <w:szCs w:val="22"/>
                <w:highlight w:val="none"/>
                <w:lang w:val="en-US" w:eastAsia="zh-CN" w:bidi="ar-SA"/>
              </w:rPr>
              <w:t xml:space="preserve">2、空气湿度，量程：0～100%RH；分辨率：0.1%RH；精度：±1.5%RH；</w:t>
            </w:r>
            <w:r>
              <w:rPr>
                <w:rFonts w:hint="eastAsia" w:ascii="宋体" w:hAnsi="宋体" w:eastAsia="宋体" w:cs="宋体"/>
                <w:color w:val="auto"/>
                <w:sz w:val="24"/>
                <w:szCs w:val="22"/>
                <w:highlight w:val="none"/>
                <w:lang w:val="en-US" w:eastAsia="zh-CN" w:bidi="ar-SA"/>
              </w:rPr>
              <w:br/>
            </w:r>
            <w:r>
              <w:rPr>
                <w:rFonts w:hint="eastAsia" w:ascii="宋体" w:hAnsi="宋体" w:eastAsia="宋体" w:cs="宋体"/>
                <w:color w:val="auto"/>
                <w:sz w:val="24"/>
                <w:szCs w:val="22"/>
                <w:highlight w:val="none"/>
                <w:lang w:val="en-US" w:eastAsia="zh-CN" w:bidi="ar-SA"/>
              </w:rPr>
              <w:t xml:space="preserve">3、光照强度，量程：0～200000LUX;精度：±5LUX，分辨率：1LUX；</w:t>
            </w:r>
            <w:r>
              <w:rPr>
                <w:rFonts w:hint="eastAsia" w:ascii="宋体" w:hAnsi="宋体" w:eastAsia="宋体" w:cs="宋体"/>
                <w:color w:val="auto"/>
                <w:sz w:val="24"/>
                <w:szCs w:val="22"/>
                <w:highlight w:val="none"/>
                <w:lang w:val="en-US" w:eastAsia="zh-CN" w:bidi="ar-SA"/>
              </w:rPr>
              <w:br/>
            </w:r>
            <w:r>
              <w:rPr>
                <w:rFonts w:hint="eastAsia" w:ascii="宋体" w:hAnsi="宋体" w:eastAsia="宋体" w:cs="宋体"/>
                <w:color w:val="auto"/>
                <w:sz w:val="24"/>
                <w:szCs w:val="22"/>
                <w:highlight w:val="none"/>
                <w:lang w:val="en-US" w:eastAsia="zh-CN" w:bidi="ar-SA"/>
              </w:rPr>
              <w:t xml:space="preserve">4、气压，量程：300～1100hpa；分辨率：0.1hPa；精度：±1.5 hPa；</w:t>
            </w:r>
            <w:r>
              <w:rPr>
                <w:rFonts w:hint="eastAsia" w:ascii="宋体" w:hAnsi="宋体" w:eastAsia="宋体" w:cs="宋体"/>
                <w:color w:val="auto"/>
                <w:sz w:val="24"/>
                <w:szCs w:val="22"/>
                <w:highlight w:val="none"/>
                <w:lang w:val="en-US" w:eastAsia="zh-CN" w:bidi="ar-SA"/>
              </w:rPr>
              <w:br/>
            </w:r>
            <w:r>
              <w:rPr>
                <w:rFonts w:hint="eastAsia" w:ascii="宋体" w:hAnsi="宋体" w:eastAsia="宋体" w:cs="宋体"/>
                <w:color w:val="auto"/>
                <w:sz w:val="24"/>
                <w:szCs w:val="22"/>
                <w:highlight w:val="none"/>
                <w:lang w:val="en-US" w:eastAsia="zh-CN" w:bidi="ar-SA"/>
              </w:rPr>
              <w:t xml:space="preserve">5、风速，量程：0～30m/s；分辨率：0.1m/s；精度：±0.1m/s；起动风速：≤0.5m/s；</w:t>
            </w:r>
            <w:r>
              <w:rPr>
                <w:rFonts w:hint="eastAsia" w:ascii="宋体" w:hAnsi="宋体" w:eastAsia="宋体" w:cs="宋体"/>
                <w:color w:val="auto"/>
                <w:sz w:val="24"/>
                <w:szCs w:val="22"/>
                <w:highlight w:val="none"/>
                <w:lang w:val="en-US" w:eastAsia="zh-CN" w:bidi="ar-SA"/>
              </w:rPr>
              <w:br/>
            </w:r>
            <w:r>
              <w:rPr>
                <w:rFonts w:hint="eastAsia" w:ascii="宋体" w:hAnsi="宋体" w:eastAsia="宋体" w:cs="宋体"/>
                <w:color w:val="auto"/>
                <w:sz w:val="24"/>
                <w:szCs w:val="22"/>
                <w:highlight w:val="none"/>
                <w:lang w:val="en-US" w:eastAsia="zh-CN" w:bidi="ar-SA"/>
              </w:rPr>
              <w:t xml:space="preserve">6、风向，量程：0～360°；精度：±1°；</w:t>
            </w:r>
            <w:r>
              <w:rPr>
                <w:rFonts w:hint="eastAsia" w:ascii="宋体" w:hAnsi="宋体" w:eastAsia="宋体" w:cs="宋体"/>
                <w:color w:val="auto"/>
                <w:sz w:val="24"/>
                <w:szCs w:val="22"/>
                <w:highlight w:val="none"/>
                <w:lang w:val="en-US" w:eastAsia="zh-CN" w:bidi="ar-SA"/>
              </w:rPr>
              <w:br/>
            </w:r>
            <w:r>
              <w:rPr>
                <w:rFonts w:hint="eastAsia" w:ascii="宋体" w:hAnsi="宋体" w:eastAsia="宋体" w:cs="宋体"/>
                <w:color w:val="auto"/>
                <w:sz w:val="24"/>
                <w:szCs w:val="22"/>
                <w:highlight w:val="none"/>
                <w:lang w:val="en-US" w:eastAsia="zh-CN" w:bidi="ar-SA"/>
              </w:rPr>
              <w:t xml:space="preserve">7、降雨量，分辩率0.2mm；精度：±2%；降雨强度：0~30mm/min。标准Modbus-RTU协议</w:t>
            </w:r>
            <w:r/>
          </w:p>
        </w:tc>
        <w:tc>
          <w:tcPr>
            <w:tcW w:w="67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套</w:t>
            </w:r>
            <w:r/>
          </w:p>
        </w:tc>
        <w:tc>
          <w:tcPr>
            <w:tcW w:w="65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1</w:t>
            </w:r>
            <w:r/>
          </w:p>
        </w:tc>
      </w:tr>
      <w:tr>
        <w:trPr>
          <w:jc w:val="center"/>
        </w:trPr>
        <w:tc>
          <w:tcPr>
            <w:tcW w:w="99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9</w:t>
            </w:r>
            <w:r/>
          </w:p>
        </w:tc>
        <w:tc>
          <w:tcPr>
            <w:tcW w:w="141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数据采集模块</w:t>
            </w:r>
            <w:r/>
          </w:p>
        </w:tc>
        <w:tc>
          <w:tcPr>
            <w:tcW w:w="6732"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多通道数据采集仪，带下行485接口；供电方式：12V直流供电。上行RS485接口，标准Modbus-RTU协议，防水保护外壳。</w:t>
            </w:r>
            <w:r/>
          </w:p>
        </w:tc>
        <w:tc>
          <w:tcPr>
            <w:tcW w:w="67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套</w:t>
            </w:r>
            <w:r/>
          </w:p>
        </w:tc>
        <w:tc>
          <w:tcPr>
            <w:tcW w:w="65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12</w:t>
            </w:r>
            <w:r/>
          </w:p>
        </w:tc>
      </w:tr>
      <w:tr>
        <w:trPr>
          <w:jc w:val="center"/>
        </w:trPr>
        <w:tc>
          <w:tcPr>
            <w:tcW w:w="99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10</w:t>
            </w:r>
            <w:r/>
          </w:p>
        </w:tc>
        <w:tc>
          <w:tcPr>
            <w:tcW w:w="141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5G通讯模块</w:t>
            </w:r>
            <w:r/>
          </w:p>
        </w:tc>
        <w:tc>
          <w:tcPr>
            <w:tcW w:w="6732"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采用AC220V供电，输出DC12V直流电源；内置5G无线传输模块；标准Modbus-RTU协议，输入RS485信号；内置5G物联网卡。含3年5G流量费用。</w:t>
            </w:r>
            <w:r/>
          </w:p>
        </w:tc>
        <w:tc>
          <w:tcPr>
            <w:tcW w:w="67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套</w:t>
            </w:r>
            <w:r/>
          </w:p>
        </w:tc>
        <w:tc>
          <w:tcPr>
            <w:tcW w:w="65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13</w:t>
            </w:r>
            <w:r/>
          </w:p>
        </w:tc>
      </w:tr>
      <w:tr>
        <w:trPr>
          <w:jc w:val="center"/>
        </w:trPr>
        <w:tc>
          <w:tcPr>
            <w:tcW w:w="99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11</w:t>
            </w:r>
            <w:r/>
          </w:p>
        </w:tc>
        <w:tc>
          <w:tcPr>
            <w:tcW w:w="141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数据采集箱</w:t>
            </w:r>
            <w:r/>
          </w:p>
        </w:tc>
        <w:tc>
          <w:tcPr>
            <w:tcW w:w="6732"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尺寸宽300mm高400mm厚150mm；1.2mm厚工程级钢板，耐酸碱腐蚀，防水防防尘防虫；内置直流12V4.2A电源，防雷防短路。</w:t>
            </w:r>
            <w:r/>
          </w:p>
        </w:tc>
        <w:tc>
          <w:tcPr>
            <w:tcW w:w="67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台</w:t>
            </w:r>
            <w:r/>
          </w:p>
        </w:tc>
        <w:tc>
          <w:tcPr>
            <w:tcW w:w="65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12</w:t>
            </w:r>
            <w:r/>
          </w:p>
        </w:tc>
      </w:tr>
      <w:tr>
        <w:trPr>
          <w:jc w:val="center"/>
        </w:trPr>
        <w:tc>
          <w:tcPr>
            <w:tcW w:w="99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12</w:t>
            </w:r>
            <w:r/>
          </w:p>
        </w:tc>
        <w:tc>
          <w:tcPr>
            <w:tcW w:w="141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电流电压电量传感器</w:t>
            </w:r>
            <w:r/>
          </w:p>
        </w:tc>
        <w:tc>
          <w:tcPr>
            <w:tcW w:w="6732"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电流电压电量传感器，采用220V供电；内置485传输模块；采集电流电压电量数据。</w:t>
            </w:r>
            <w:r/>
          </w:p>
        </w:tc>
        <w:tc>
          <w:tcPr>
            <w:tcW w:w="67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个</w:t>
            </w:r>
            <w:r/>
          </w:p>
        </w:tc>
        <w:tc>
          <w:tcPr>
            <w:tcW w:w="65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12</w:t>
            </w:r>
            <w:r/>
          </w:p>
        </w:tc>
      </w:tr>
      <w:tr>
        <w:trPr>
          <w:jc w:val="center"/>
          <w:trHeight w:val="2549"/>
        </w:trPr>
        <w:tc>
          <w:tcPr>
            <w:tcW w:w="99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13</w:t>
            </w:r>
            <w:r/>
          </w:p>
        </w:tc>
        <w:tc>
          <w:tcPr>
            <w:tcW w:w="141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控制器(控制中心总控)</w:t>
            </w:r>
            <w:r/>
          </w:p>
        </w:tc>
        <w:tc>
          <w:tcPr>
            <w:tcW w:w="6732" w:type="dxa"/>
            <w:vAlign w:val="center"/>
            <w:textDirection w:val="lrTb"/>
            <w:noWrap w:val="false"/>
          </w:tcPr>
          <w:p>
            <w:pPr>
              <w:jc w:val="left"/>
              <w:keepLines w:val="0"/>
              <w:keepNext w:val="0"/>
              <w:spacing w:after="0" w:line="240" w:lineRule="auto"/>
              <w:shd w:val="clear" w:color="auto" w:fill="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参数要求。</w:t>
            </w:r>
            <w:r/>
          </w:p>
          <w:p>
            <w:pPr>
              <w:jc w:val="left"/>
              <w:keepLines w:val="0"/>
              <w:keepNext w:val="0"/>
              <w:spacing w:after="0" w:line="240" w:lineRule="auto"/>
              <w:shd w:val="clear" w:color="auto" w:fill="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1.CPU32位ARM芯片，≥256MFIash，支持保留文件时间（寿命）≥ 13年。</w:t>
            </w:r>
            <w:r>
              <w:rPr>
                <w:rFonts w:hint="eastAsia" w:ascii="宋体" w:hAnsi="宋体" w:eastAsia="宋体" w:cs="宋体"/>
                <w:color w:val="auto"/>
                <w:sz w:val="24"/>
                <w:szCs w:val="22"/>
                <w:highlight w:val="none"/>
                <w:lang w:val="en-US" w:eastAsia="zh-CN" w:bidi="ar-SA"/>
              </w:rPr>
              <w:br/>
            </w:r>
            <w:r>
              <w:rPr>
                <w:rFonts w:hint="eastAsia" w:ascii="宋体" w:hAnsi="宋体" w:eastAsia="宋体" w:cs="宋体"/>
                <w:color w:val="auto"/>
                <w:sz w:val="24"/>
                <w:szCs w:val="22"/>
                <w:highlight w:val="none"/>
                <w:lang w:val="en-US" w:eastAsia="zh-CN" w:bidi="ar-SA"/>
              </w:rPr>
              <w:t xml:space="preserve">通信速率500kbps。高共模瞬变抗扰度&gt;25 kV/μs磁隔离保护。波特率1200/2400/4800/9600/19200/38400/57600/115200。RS485总线的最长传输距离≥1150米，加中继放大≥10500米。</w:t>
            </w:r>
            <w:r/>
          </w:p>
          <w:p>
            <w:pPr>
              <w:jc w:val="left"/>
              <w:keepLines w:val="0"/>
              <w:keepNext w:val="0"/>
              <w:spacing w:after="0" w:line="240" w:lineRule="auto"/>
              <w:shd w:val="clear" w:color="auto" w:fill="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2.Modbus和BACnet双独立协议，可选用单一协议或双协议同时支持RS485 Modbus Slave协议，RS485 Modbus Master协议，RS485 BACnet MS/TP协议，以太网远程调试协议，以太网Modbus Slave协议。以太网BACnet IP协议。Modbus支持Slave模式和Master模式,2条RS485总线可同时用这2种模式。</w:t>
            </w:r>
            <w:r/>
          </w:p>
          <w:p>
            <w:pPr>
              <w:jc w:val="left"/>
              <w:keepLines w:val="0"/>
              <w:keepNext w:val="0"/>
              <w:spacing w:after="0" w:line="240" w:lineRule="auto"/>
              <w:shd w:val="clear" w:color="auto" w:fill="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多设备运行≥20个现场设备进行互备功能。</w:t>
            </w:r>
            <w:r/>
          </w:p>
          <w:p>
            <w:pPr>
              <w:jc w:val="left"/>
              <w:keepLines w:val="0"/>
              <w:keepNext w:val="0"/>
              <w:spacing w:after="0" w:line="240" w:lineRule="auto"/>
              <w:shd w:val="clear" w:color="auto" w:fill="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支持在离设备最近的位置构建边缘计算节点，利用系统自带的丰富功能逻辑函数模块设计并实施边缘计算功能和现场系统显示管理，实现现场系统自主运算输出结果与云端进行数据通信。</w:t>
            </w:r>
            <w:r/>
          </w:p>
          <w:p>
            <w:pPr>
              <w:jc w:val="left"/>
              <w:keepLines w:val="0"/>
              <w:keepNext w:val="0"/>
              <w:spacing w:after="0" w:line="240" w:lineRule="auto"/>
              <w:shd w:val="clear" w:color="auto" w:fill="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3.支持可直接连接云平台进行双向数据通信。</w:t>
            </w:r>
            <w:r/>
          </w:p>
          <w:p>
            <w:pPr>
              <w:jc w:val="left"/>
              <w:keepLines w:val="0"/>
              <w:keepNext w:val="0"/>
              <w:spacing w:after="0" w:line="240" w:lineRule="auto"/>
              <w:shd w:val="clear" w:color="auto" w:fill="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4.通讯≥2路，RS485和IP接入记录通讯双冗余,任意一条通路断开仍可通讯。</w:t>
            </w:r>
            <w:r/>
          </w:p>
          <w:p>
            <w:pPr>
              <w:jc w:val="left"/>
              <w:keepLines w:val="0"/>
              <w:keepNext w:val="0"/>
              <w:spacing w:after="0" w:line="240" w:lineRule="auto"/>
              <w:shd w:val="clear" w:color="auto" w:fill="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5.LoRa无线低功耗、低宽带、距离大、大量连接。</w:t>
            </w:r>
            <w:r/>
          </w:p>
          <w:p>
            <w:pPr>
              <w:jc w:val="left"/>
              <w:keepLines w:val="0"/>
              <w:keepNext w:val="0"/>
              <w:spacing w:after="0" w:line="240" w:lineRule="auto"/>
              <w:shd w:val="clear" w:color="auto" w:fill="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可适用于工业或恶劣环境下的联网控制系统。</w:t>
            </w:r>
            <w:r/>
          </w:p>
          <w:p>
            <w:pPr>
              <w:jc w:val="left"/>
              <w:keepLines w:val="0"/>
              <w:keepNext w:val="0"/>
              <w:spacing w:after="0" w:line="240" w:lineRule="auto"/>
              <w:shd w:val="clear" w:color="auto" w:fill="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6.工作环境:-40℃≤温度≤88℃；0％≤相对湿度≤90％RH。</w:t>
            </w:r>
            <w:r/>
          </w:p>
          <w:p>
            <w:pPr>
              <w:jc w:val="left"/>
              <w:keepLines w:val="0"/>
              <w:keepNext w:val="0"/>
              <w:spacing w:after="0" w:line="240" w:lineRule="auto"/>
              <w:shd w:val="clear" w:color="auto" w:fill="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项目数据必须接入省农业物联网管理服务平台。</w:t>
            </w:r>
            <w:r/>
          </w:p>
        </w:tc>
        <w:tc>
          <w:tcPr>
            <w:tcW w:w="67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套</w:t>
            </w:r>
            <w:r/>
          </w:p>
        </w:tc>
        <w:tc>
          <w:tcPr>
            <w:tcW w:w="65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1</w:t>
            </w:r>
            <w:r/>
          </w:p>
        </w:tc>
      </w:tr>
      <w:tr>
        <w:trPr>
          <w:jc w:val="center"/>
        </w:trPr>
        <w:tc>
          <w:tcPr>
            <w:tcW w:w="99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14</w:t>
            </w:r>
            <w:r/>
          </w:p>
        </w:tc>
        <w:tc>
          <w:tcPr>
            <w:tcW w:w="141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大棚控制设备</w:t>
            </w:r>
            <w:r/>
          </w:p>
        </w:tc>
        <w:tc>
          <w:tcPr>
            <w:tcW w:w="6732" w:type="dxa"/>
            <w:vAlign w:val="center"/>
            <w:textDirection w:val="lrTb"/>
            <w:noWrap w:val="false"/>
          </w:tcPr>
          <w:p>
            <w:pPr>
              <w:jc w:val="left"/>
              <w:keepLines w:val="0"/>
              <w:keepNext w:val="0"/>
              <w:spacing w:after="0" w:line="240" w:lineRule="auto"/>
              <w:shd w:val="clear" w:color="auto" w:fill="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参数要求。</w:t>
            </w:r>
            <w:r/>
          </w:p>
          <w:p>
            <w:pPr>
              <w:jc w:val="left"/>
              <w:keepLines w:val="0"/>
              <w:keepNext w:val="0"/>
              <w:spacing w:after="0" w:line="240" w:lineRule="auto"/>
              <w:shd w:val="clear" w:color="auto" w:fill="auto"/>
              <w:widowControl/>
              <w:rPr>
                <w:rFonts w:hint="eastAsia" w:ascii="宋体" w:hAnsi="宋体" w:eastAsia="宋体" w:cs="宋体"/>
                <w:color w:val="auto"/>
                <w:sz w:val="24"/>
                <w:szCs w:val="22"/>
                <w:highlight w:val="yellow"/>
                <w:lang w:val="en-US" w:eastAsia="zh-CN" w:bidi="ar-SA"/>
              </w:rPr>
              <w:suppressLineNumbers w:val="0"/>
            </w:pPr>
            <w:r>
              <w:rPr>
                <w:rFonts w:hint="eastAsia" w:ascii="宋体" w:hAnsi="宋体" w:eastAsia="宋体" w:cs="宋体"/>
                <w:color w:val="auto"/>
                <w:sz w:val="24"/>
                <w:szCs w:val="22"/>
                <w:highlight w:val="yellow"/>
                <w:lang w:val="en-US" w:eastAsia="zh-CN" w:bidi="ar-SA"/>
              </w:rPr>
              <w:t xml:space="preserve">★1.CPU32位ARM芯片，≥256MFIash，支持保留文件时间（寿命）≥ 13年。</w:t>
            </w:r>
            <w:r>
              <w:rPr>
                <w:rFonts w:hint="eastAsia" w:ascii="宋体" w:hAnsi="宋体" w:eastAsia="宋体" w:cs="宋体"/>
                <w:color w:val="auto"/>
                <w:sz w:val="24"/>
                <w:szCs w:val="22"/>
                <w:highlight w:val="yellow"/>
                <w:lang w:val="en-US" w:eastAsia="zh-CN" w:bidi="ar-SA"/>
              </w:rPr>
              <w:br/>
            </w:r>
            <w:r>
              <w:rPr>
                <w:rFonts w:hint="eastAsia" w:ascii="宋体" w:hAnsi="宋体" w:eastAsia="宋体" w:cs="宋体"/>
                <w:color w:val="auto"/>
                <w:sz w:val="24"/>
                <w:szCs w:val="22"/>
                <w:highlight w:val="yellow"/>
                <w:lang w:val="en-US" w:eastAsia="zh-CN" w:bidi="ar-SA"/>
              </w:rPr>
              <w:t xml:space="preserve">通信速率500kbps，波特率1200/2400/4800/9600/19200/38400/57600/115200。</w:t>
            </w:r>
            <w:r/>
          </w:p>
          <w:p>
            <w:pPr>
              <w:jc w:val="left"/>
              <w:keepLines w:val="0"/>
              <w:keepNext w:val="0"/>
              <w:spacing w:after="0" w:line="240" w:lineRule="auto"/>
              <w:shd w:val="clear" w:color="auto" w:fill="auto"/>
              <w:widowControl/>
              <w:rPr>
                <w:rFonts w:hint="eastAsia" w:ascii="宋体" w:hAnsi="宋体" w:eastAsia="宋体" w:cs="宋体"/>
                <w:color w:val="auto"/>
                <w:sz w:val="24"/>
                <w:szCs w:val="22"/>
                <w:highlight w:val="yellow"/>
                <w:lang w:val="en-US" w:eastAsia="zh-CN" w:bidi="ar-SA"/>
              </w:rPr>
              <w:suppressLineNumbers w:val="0"/>
            </w:pPr>
            <w:r>
              <w:rPr>
                <w:rFonts w:hint="eastAsia" w:ascii="宋体" w:hAnsi="宋体" w:eastAsia="宋体" w:cs="宋体"/>
                <w:color w:val="auto"/>
                <w:sz w:val="24"/>
                <w:szCs w:val="22"/>
                <w:highlight w:val="yellow"/>
                <w:lang w:val="en-US" w:eastAsia="zh-CN" w:bidi="ar-SA"/>
              </w:rPr>
              <w:t xml:space="preserve">★RS485总线的最长传输距离≥1150米，加中继放大≥10500米。</w:t>
            </w:r>
            <w:r/>
          </w:p>
          <w:p>
            <w:pPr>
              <w:numPr>
                <w:ilvl w:val="0"/>
                <w:numId w:val="0"/>
              </w:numPr>
              <w:jc w:val="left"/>
              <w:keepLines w:val="0"/>
              <w:keepNext w:val="0"/>
              <w:spacing w:after="0" w:line="240" w:lineRule="auto"/>
              <w:shd w:val="clear" w:color="auto" w:fill="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2.Modbus和BACnet双独立协议，可选用单一协议或双协议。同时支持RS485 Modbus Slave协议，RS485 Modbus Master协议，RS485 BACnet MS/TP协议，以太网远程调试协议，以太网Modbus Slave协议。以太网BACnet IP协议。Modbus支持Slave模式和Master模式,2条RS485总线可同时用这2种模式。多设备运行≥20个现场设备进行互备功能。</w:t>
            </w:r>
            <w:r/>
          </w:p>
          <w:p>
            <w:pPr>
              <w:numPr>
                <w:ilvl w:val="0"/>
                <w:numId w:val="0"/>
              </w:numPr>
              <w:jc w:val="left"/>
              <w:keepLines w:val="0"/>
              <w:keepNext w:val="0"/>
              <w:spacing w:after="0" w:line="240" w:lineRule="auto"/>
              <w:shd w:val="clear" w:color="auto" w:fill="auto"/>
              <w:widowControl/>
              <w:rPr>
                <w:rFonts w:hint="eastAsia" w:ascii="宋体" w:hAnsi="宋体" w:eastAsia="宋体" w:cs="宋体"/>
                <w:color w:val="auto"/>
                <w:sz w:val="24"/>
                <w:szCs w:val="22"/>
                <w:highlight w:val="yellow"/>
                <w:lang w:val="en-US" w:eastAsia="zh-CN" w:bidi="ar-SA"/>
              </w:rPr>
              <w:suppressLineNumbers w:val="0"/>
            </w:pPr>
            <w:r>
              <w:rPr>
                <w:rFonts w:hint="eastAsia" w:ascii="宋体" w:hAnsi="宋体" w:eastAsia="宋体" w:cs="宋体"/>
                <w:color w:val="auto"/>
                <w:sz w:val="24"/>
                <w:szCs w:val="22"/>
                <w:highlight w:val="yellow"/>
                <w:lang w:val="en-US" w:eastAsia="zh-CN" w:bidi="ar-SA"/>
              </w:rPr>
              <w:t xml:space="preserve">★支持在离设备最近的位置构建边缘计算节点，利用系统自带的丰富功能逻辑函数模块设计并实施边缘计算功能和现场系统显示管理，实现现场系统自主运算输出结果与云端进行数据通信。</w:t>
            </w:r>
            <w:r/>
          </w:p>
          <w:p>
            <w:pPr>
              <w:jc w:val="left"/>
              <w:keepLines w:val="0"/>
              <w:keepNext w:val="0"/>
              <w:spacing w:after="0" w:line="240" w:lineRule="auto"/>
              <w:shd w:val="clear" w:color="auto" w:fill="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3.支持直接连接云平台进行双向数据通信。</w:t>
            </w:r>
            <w:r/>
          </w:p>
          <w:p>
            <w:pPr>
              <w:jc w:val="left"/>
              <w:keepLines w:val="0"/>
              <w:keepNext w:val="0"/>
              <w:spacing w:after="0" w:line="240" w:lineRule="auto"/>
              <w:shd w:val="clear" w:color="auto" w:fill="auto"/>
              <w:widowControl/>
              <w:rPr>
                <w:rFonts w:hint="eastAsia" w:ascii="宋体" w:hAnsi="宋体" w:eastAsia="宋体" w:cs="宋体"/>
                <w:color w:val="auto"/>
                <w:sz w:val="24"/>
                <w:szCs w:val="22"/>
                <w:highlight w:val="yellow"/>
                <w:lang w:val="en-US" w:eastAsia="zh-CN" w:bidi="ar-SA"/>
              </w:rPr>
              <w:suppressLineNumbers w:val="0"/>
            </w:pPr>
            <w:r>
              <w:rPr>
                <w:rFonts w:hint="eastAsia" w:ascii="宋体" w:hAnsi="宋体" w:eastAsia="宋体" w:cs="宋体"/>
                <w:color w:val="auto"/>
                <w:sz w:val="24"/>
                <w:szCs w:val="22"/>
                <w:highlight w:val="yellow"/>
                <w:lang w:val="en-US" w:eastAsia="zh-CN" w:bidi="ar-SA"/>
              </w:rPr>
              <w:t xml:space="preserve">★4.RS485和IP接入记录通讯双冗余,任意一条通路断开仍可通讯。</w:t>
            </w:r>
            <w:r/>
          </w:p>
          <w:p>
            <w:pPr>
              <w:jc w:val="left"/>
              <w:keepLines w:val="0"/>
              <w:keepNext w:val="0"/>
              <w:spacing w:after="0" w:line="240" w:lineRule="auto"/>
              <w:shd w:val="clear" w:color="auto" w:fill="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5.LoRa无线低功耗、低宽带、距离大、大量连接。</w:t>
            </w:r>
            <w:r/>
          </w:p>
          <w:p>
            <w:pPr>
              <w:jc w:val="left"/>
              <w:keepLines w:val="0"/>
              <w:keepNext w:val="0"/>
              <w:spacing w:after="0" w:line="240" w:lineRule="auto"/>
              <w:shd w:val="clear" w:color="auto" w:fill="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设备可适用于工业或恶劣环境下的联网控制系统。</w:t>
            </w:r>
            <w:r/>
          </w:p>
          <w:p>
            <w:pPr>
              <w:pStyle w:val="651"/>
              <w:spacing w:after="0" w:line="240" w:lineRule="auto"/>
              <w:shd w:val="clear" w:color="auto" w:fill="auto"/>
              <w:rPr>
                <w:rFonts w:hint="eastAsia" w:ascii="宋体" w:hAnsi="宋体" w:eastAsia="宋体" w:cs="宋体"/>
                <w:color w:val="auto"/>
                <w:sz w:val="24"/>
                <w:szCs w:val="22"/>
                <w:highlight w:val="yellow"/>
                <w:lang w:val="en-US" w:eastAsia="zh-CN" w:bidi="ar-SA"/>
              </w:rPr>
            </w:pPr>
            <w:r>
              <w:rPr>
                <w:rFonts w:hint="eastAsia" w:ascii="宋体" w:hAnsi="宋体" w:eastAsia="宋体" w:cs="宋体"/>
                <w:color w:val="auto"/>
                <w:sz w:val="24"/>
                <w:szCs w:val="22"/>
                <w:highlight w:val="yellow"/>
                <w:lang w:val="en-US" w:eastAsia="zh-CN" w:bidi="ar-SA"/>
              </w:rPr>
              <w:t xml:space="preserve">★6.工作环境:-40℃≤温度≤88℃；0％≤相对湿度≤90％RH。</w:t>
            </w:r>
            <w:r/>
          </w:p>
          <w:p>
            <w:pPr>
              <w:numPr>
                <w:ilvl w:val="0"/>
                <w:numId w:val="0"/>
              </w:num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项目数据必须接入省农业物联网管理服务平台。</w:t>
            </w:r>
            <w:r/>
          </w:p>
        </w:tc>
        <w:tc>
          <w:tcPr>
            <w:tcW w:w="67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套</w:t>
            </w:r>
            <w:r/>
          </w:p>
        </w:tc>
        <w:tc>
          <w:tcPr>
            <w:tcW w:w="65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24</w:t>
            </w:r>
            <w:r/>
          </w:p>
        </w:tc>
      </w:tr>
      <w:tr>
        <w:trPr>
          <w:jc w:val="center"/>
        </w:trPr>
        <w:tc>
          <w:tcPr>
            <w:tcW w:w="99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15</w:t>
            </w:r>
            <w:r/>
          </w:p>
        </w:tc>
        <w:tc>
          <w:tcPr>
            <w:tcW w:w="141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触摸屏系统</w:t>
            </w:r>
            <w:r/>
          </w:p>
        </w:tc>
        <w:tc>
          <w:tcPr>
            <w:tcW w:w="6732"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触摸屏规格采用≥7.0 英寸触摸屏，配套软件系统。含一套桌面式专用箱体。控制中心总控功能:1.实时展示农庄所有传感器数据，设备运行状态，报警预警信息。2.LORA无线组网，集中管理、统一协调运行。3.具有工作模式切换、远程控制、故障预警、灯光报警、远程维护功能。</w:t>
            </w:r>
            <w:r/>
          </w:p>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现场控制触摸屏便于现场展示。支持控制模式显示、模型数据全生长周期自动控制状态显示、接收控制中心总控控制。</w:t>
            </w:r>
            <w:r/>
          </w:p>
        </w:tc>
        <w:tc>
          <w:tcPr>
            <w:tcW w:w="67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台</w:t>
            </w:r>
            <w:r/>
          </w:p>
        </w:tc>
        <w:tc>
          <w:tcPr>
            <w:tcW w:w="65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3</w:t>
            </w:r>
            <w:r/>
          </w:p>
        </w:tc>
      </w:tr>
      <w:tr>
        <w:trPr>
          <w:jc w:val="center"/>
        </w:trPr>
        <w:tc>
          <w:tcPr>
            <w:tcW w:w="99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16</w:t>
            </w:r>
            <w:r/>
          </w:p>
        </w:tc>
        <w:tc>
          <w:tcPr>
            <w:tcW w:w="141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小型继电器</w:t>
            </w:r>
            <w:r/>
          </w:p>
        </w:tc>
        <w:tc>
          <w:tcPr>
            <w:tcW w:w="6732"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小型继电器AC220v11脚，3开3闭5A。紫铜线圈，银合金触点，含底座。</w:t>
            </w:r>
            <w:r/>
          </w:p>
        </w:tc>
        <w:tc>
          <w:tcPr>
            <w:tcW w:w="67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个</w:t>
            </w:r>
            <w:r/>
          </w:p>
        </w:tc>
        <w:tc>
          <w:tcPr>
            <w:tcW w:w="65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192</w:t>
            </w:r>
            <w:r/>
          </w:p>
        </w:tc>
      </w:tr>
      <w:tr>
        <w:trPr>
          <w:jc w:val="center"/>
        </w:trPr>
        <w:tc>
          <w:tcPr>
            <w:tcW w:w="99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17</w:t>
            </w:r>
            <w:r/>
          </w:p>
        </w:tc>
        <w:tc>
          <w:tcPr>
            <w:tcW w:w="141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LEDP6全彩显示屏</w:t>
            </w:r>
            <w:r/>
          </w:p>
        </w:tc>
        <w:tc>
          <w:tcPr>
            <w:tcW w:w="6732"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显示尺寸：1536*576mm，P6全彩屏，防水箱体，同步支持标准的modbus协议，同步接收并实时显示棚内数据，与终端控制器直接配套使用，数据通讯稳定可靠，采用工业级芯片，适应高低温且潮湿环境。</w:t>
            </w:r>
            <w:r/>
          </w:p>
        </w:tc>
        <w:tc>
          <w:tcPr>
            <w:tcW w:w="67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套</w:t>
            </w:r>
            <w:r/>
          </w:p>
        </w:tc>
        <w:tc>
          <w:tcPr>
            <w:tcW w:w="65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2</w:t>
            </w:r>
            <w:r/>
          </w:p>
        </w:tc>
      </w:tr>
      <w:tr>
        <w:trPr>
          <w:jc w:val="center"/>
        </w:trPr>
        <w:tc>
          <w:tcPr>
            <w:tcW w:w="99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18</w:t>
            </w:r>
            <w:r/>
          </w:p>
        </w:tc>
        <w:tc>
          <w:tcPr>
            <w:tcW w:w="141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监控摄像机</w:t>
            </w:r>
            <w:r/>
          </w:p>
        </w:tc>
        <w:tc>
          <w:tcPr>
            <w:tcW w:w="6732"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400W球机 </w:t>
            </w:r>
            <w:r/>
          </w:p>
          <w:p>
            <w:pPr>
              <w:numPr>
                <w:ilvl w:val="0"/>
                <w:numId w:val="1"/>
              </w:num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视频输出支持2560×1440@25fps，分辨力不小于1400TVL，红外距离可达100米。 2、支持不低于23倍光学变倍，最大焦距不小于110mm。 </w:t>
            </w:r>
            <w:r/>
          </w:p>
          <w:p>
            <w:pPr>
              <w:numPr>
                <w:ilvl w:val="0"/>
                <w:numId w:val="1"/>
              </w:numPr>
              <w:ind w:left="0" w:firstLine="0"/>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支持最低照度可达彩色0.0005Lux，黑白0.0001Lux。</w:t>
            </w:r>
            <w:r/>
          </w:p>
          <w:p>
            <w:pPr>
              <w:numPr>
                <w:ilvl w:val="0"/>
                <w:numId w:val="1"/>
              </w:numPr>
              <w:ind w:left="0" w:firstLine="0"/>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11、支持智能红外、透雾、强光抑制、电子防抖、数字降噪、防红外过曝功能。</w:t>
            </w:r>
            <w:r/>
          </w:p>
          <w:p>
            <w:pPr>
              <w:numPr>
                <w:ilvl w:val="0"/>
                <w:numId w:val="1"/>
              </w:numPr>
              <w:ind w:left="0" w:firstLine="0"/>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支持区域入侵、越界入侵、徘徊、物品移除、物品遗留、人员聚集、停车，并联动报警 。</w:t>
            </w:r>
            <w:r/>
          </w:p>
          <w:p>
            <w:pPr>
              <w:numPr>
                <w:ilvl w:val="0"/>
                <w:numId w:val="1"/>
              </w:numPr>
              <w:ind w:left="0" w:firstLine="0"/>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具备较好的防护性能环境适应性，支持IP66，6kV防浪涌，工作温度范围可达-30℃-65℃。</w:t>
            </w:r>
            <w:r/>
          </w:p>
          <w:p>
            <w:pPr>
              <w:numPr>
                <w:ilvl w:val="0"/>
                <w:numId w:val="1"/>
              </w:numPr>
              <w:ind w:left="0" w:firstLine="0"/>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支持对镜头前盖玻璃加热，去除玻璃上的冰状和水状附着物。</w:t>
            </w:r>
            <w:r/>
          </w:p>
          <w:p>
            <w:pPr>
              <w:pStyle w:val="651"/>
              <w:spacing w:after="0" w:line="24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7、具备较好的电源适应性，电压在DC12V±30%范围内变化时，设备可正常工作。</w:t>
            </w:r>
            <w:r/>
          </w:p>
        </w:tc>
        <w:tc>
          <w:tcPr>
            <w:tcW w:w="67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台</w:t>
            </w:r>
            <w:r/>
          </w:p>
        </w:tc>
        <w:tc>
          <w:tcPr>
            <w:tcW w:w="65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12</w:t>
            </w:r>
            <w:r/>
          </w:p>
        </w:tc>
      </w:tr>
      <w:tr>
        <w:trPr>
          <w:jc w:val="center"/>
        </w:trPr>
        <w:tc>
          <w:tcPr>
            <w:tcW w:w="99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19</w:t>
            </w:r>
            <w:r/>
          </w:p>
        </w:tc>
        <w:tc>
          <w:tcPr>
            <w:tcW w:w="141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无线网桥</w:t>
            </w:r>
            <w:r/>
          </w:p>
        </w:tc>
        <w:tc>
          <w:tcPr>
            <w:tcW w:w="6732"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室外无线AP监控专用远距离高速无线网桥校园别墅WiFi覆盖，双千兆口，传输距离5公里。</w:t>
            </w:r>
            <w:r/>
          </w:p>
        </w:tc>
        <w:tc>
          <w:tcPr>
            <w:tcW w:w="67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套</w:t>
            </w:r>
            <w:r/>
          </w:p>
        </w:tc>
        <w:tc>
          <w:tcPr>
            <w:tcW w:w="65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8</w:t>
            </w:r>
            <w:r/>
          </w:p>
        </w:tc>
      </w:tr>
      <w:tr>
        <w:trPr>
          <w:jc w:val="center"/>
        </w:trPr>
        <w:tc>
          <w:tcPr>
            <w:tcW w:w="99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20</w:t>
            </w:r>
            <w:r/>
          </w:p>
        </w:tc>
        <w:tc>
          <w:tcPr>
            <w:tcW w:w="141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分支交换机</w:t>
            </w:r>
            <w:r/>
          </w:p>
        </w:tc>
        <w:tc>
          <w:tcPr>
            <w:tcW w:w="6732"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8个千兆端口，双向传输2000Mbps。</w:t>
            </w:r>
            <w:r/>
          </w:p>
        </w:tc>
        <w:tc>
          <w:tcPr>
            <w:tcW w:w="67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台</w:t>
            </w:r>
            <w:r/>
          </w:p>
        </w:tc>
        <w:tc>
          <w:tcPr>
            <w:tcW w:w="65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4</w:t>
            </w:r>
            <w:r/>
          </w:p>
        </w:tc>
      </w:tr>
      <w:tr>
        <w:trPr>
          <w:jc w:val="center"/>
        </w:trPr>
        <w:tc>
          <w:tcPr>
            <w:tcW w:w="99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21</w:t>
            </w:r>
            <w:r/>
          </w:p>
        </w:tc>
        <w:tc>
          <w:tcPr>
            <w:tcW w:w="141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监控硬盘</w:t>
            </w:r>
            <w:r/>
          </w:p>
        </w:tc>
        <w:tc>
          <w:tcPr>
            <w:tcW w:w="6732"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监控级硬盘4T</w:t>
            </w:r>
            <w:r/>
          </w:p>
        </w:tc>
        <w:tc>
          <w:tcPr>
            <w:tcW w:w="67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台</w:t>
            </w:r>
            <w:r/>
          </w:p>
        </w:tc>
        <w:tc>
          <w:tcPr>
            <w:tcW w:w="65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2</w:t>
            </w:r>
            <w:r/>
          </w:p>
        </w:tc>
      </w:tr>
      <w:tr>
        <w:trPr>
          <w:jc w:val="center"/>
        </w:trPr>
        <w:tc>
          <w:tcPr>
            <w:tcW w:w="99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22</w:t>
            </w:r>
            <w:r/>
          </w:p>
        </w:tc>
        <w:tc>
          <w:tcPr>
            <w:tcW w:w="141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高清硬盘录像机</w:t>
            </w:r>
            <w:r/>
          </w:p>
        </w:tc>
        <w:tc>
          <w:tcPr>
            <w:tcW w:w="6732"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用于展示中心存储浏览，支持私有云服务。编解码能力 h.264/h.265；设备支持摄像头接入平台；设备支持视频接入路数：16路1080P，同时并发16路1080P；提供硬盘位：四盘位；双RJ45网口。</w:t>
            </w:r>
            <w:r/>
          </w:p>
        </w:tc>
        <w:tc>
          <w:tcPr>
            <w:tcW w:w="67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台</w:t>
            </w:r>
            <w:r/>
          </w:p>
        </w:tc>
        <w:tc>
          <w:tcPr>
            <w:tcW w:w="65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1</w:t>
            </w:r>
            <w:r/>
          </w:p>
        </w:tc>
      </w:tr>
      <w:tr>
        <w:trPr>
          <w:jc w:val="center"/>
        </w:trPr>
        <w:tc>
          <w:tcPr>
            <w:tcW w:w="99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23</w:t>
            </w:r>
            <w:r/>
          </w:p>
        </w:tc>
        <w:tc>
          <w:tcPr>
            <w:tcW w:w="141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交换机</w:t>
            </w:r>
            <w:r/>
          </w:p>
        </w:tc>
        <w:tc>
          <w:tcPr>
            <w:tcW w:w="6732"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28口核心交换机，24个10/100/1000Base-T自适应以太网口，4个千兆SFP口，1个管理口。交换容量336Gbps/3.36Tbps，包转发率51Mpps/126Mpps。支持GE端口聚合、支持10GE端口聚合、支持静态聚合、支持动态聚合、支持跨设备聚合。支持ARP，支持DHCP，支持静态域名解析，支持动态域名客户端，支持IPV4和IPV6地址。整机功率不超过25W。</w:t>
            </w:r>
            <w:r/>
          </w:p>
        </w:tc>
        <w:tc>
          <w:tcPr>
            <w:tcW w:w="67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台</w:t>
            </w:r>
            <w:r/>
          </w:p>
        </w:tc>
        <w:tc>
          <w:tcPr>
            <w:tcW w:w="65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1</w:t>
            </w:r>
            <w:r/>
          </w:p>
        </w:tc>
      </w:tr>
      <w:tr>
        <w:trPr>
          <w:jc w:val="center"/>
        </w:trPr>
        <w:tc>
          <w:tcPr>
            <w:tcW w:w="99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24</w:t>
            </w:r>
            <w:r/>
          </w:p>
        </w:tc>
        <w:tc>
          <w:tcPr>
            <w:tcW w:w="141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机柜、机架</w:t>
            </w:r>
            <w:r/>
          </w:p>
        </w:tc>
        <w:tc>
          <w:tcPr>
            <w:tcW w:w="6732"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标准机柜1200mm*600mm*600mm</w:t>
            </w:r>
            <w:r/>
          </w:p>
        </w:tc>
        <w:tc>
          <w:tcPr>
            <w:tcW w:w="67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台</w:t>
            </w:r>
            <w:r/>
          </w:p>
        </w:tc>
        <w:tc>
          <w:tcPr>
            <w:tcW w:w="65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1</w:t>
            </w:r>
            <w:r/>
          </w:p>
        </w:tc>
      </w:tr>
      <w:tr>
        <w:trPr>
          <w:jc w:val="center"/>
        </w:trPr>
        <w:tc>
          <w:tcPr>
            <w:tcW w:w="99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25</w:t>
            </w:r>
            <w:r/>
          </w:p>
        </w:tc>
        <w:tc>
          <w:tcPr>
            <w:tcW w:w="141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双绞线缆</w:t>
            </w:r>
            <w:r/>
          </w:p>
        </w:tc>
        <w:tc>
          <w:tcPr>
            <w:tcW w:w="6732"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国标超五类网线。</w:t>
            </w:r>
            <w:r/>
          </w:p>
        </w:tc>
        <w:tc>
          <w:tcPr>
            <w:tcW w:w="67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m</w:t>
            </w:r>
            <w:r/>
          </w:p>
        </w:tc>
        <w:tc>
          <w:tcPr>
            <w:tcW w:w="65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300</w:t>
            </w:r>
            <w:r/>
          </w:p>
        </w:tc>
      </w:tr>
      <w:tr>
        <w:trPr>
          <w:jc w:val="center"/>
        </w:trPr>
        <w:tc>
          <w:tcPr>
            <w:tcW w:w="99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26</w:t>
            </w:r>
            <w:r/>
          </w:p>
        </w:tc>
        <w:tc>
          <w:tcPr>
            <w:tcW w:w="141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专用线缆</w:t>
            </w:r>
            <w:r/>
          </w:p>
        </w:tc>
        <w:tc>
          <w:tcPr>
            <w:tcW w:w="6732"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国标RVV2*1.0。</w:t>
            </w:r>
            <w:r/>
          </w:p>
        </w:tc>
        <w:tc>
          <w:tcPr>
            <w:tcW w:w="67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m</w:t>
            </w:r>
            <w:r/>
          </w:p>
        </w:tc>
        <w:tc>
          <w:tcPr>
            <w:tcW w:w="65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300</w:t>
            </w:r>
            <w:r/>
          </w:p>
        </w:tc>
      </w:tr>
      <w:tr>
        <w:trPr>
          <w:jc w:val="center"/>
        </w:trPr>
        <w:tc>
          <w:tcPr>
            <w:tcW w:w="99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27</w:t>
            </w:r>
            <w:r/>
          </w:p>
        </w:tc>
        <w:tc>
          <w:tcPr>
            <w:tcW w:w="141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农业物联网云平台电脑端软件</w:t>
            </w:r>
            <w:r/>
          </w:p>
        </w:tc>
        <w:tc>
          <w:tcPr>
            <w:tcW w:w="6732"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农业物联网软件系统开发。系统支持pc机运行，支持集成动态地图、传感器数据显示、视频数据展示、数据分析、执行控制、历史数据查询等功能于一体。显示所有传感器数据，能够查询历史数据，能够自动或远程控制园区大棚遮阳网、天窗、喷淋系统、滴灌系统、水肥一体化、水泵等设备，实时显示设备运行状态，及时预警报警。</w:t>
            </w:r>
            <w:r/>
          </w:p>
        </w:tc>
        <w:tc>
          <w:tcPr>
            <w:tcW w:w="67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套</w:t>
            </w:r>
            <w:r/>
          </w:p>
        </w:tc>
        <w:tc>
          <w:tcPr>
            <w:tcW w:w="65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1</w:t>
            </w:r>
            <w:r/>
          </w:p>
        </w:tc>
      </w:tr>
      <w:tr>
        <w:trPr>
          <w:jc w:val="center"/>
        </w:trPr>
        <w:tc>
          <w:tcPr>
            <w:tcW w:w="99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28</w:t>
            </w:r>
            <w:r/>
          </w:p>
        </w:tc>
        <w:tc>
          <w:tcPr>
            <w:tcW w:w="141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农业物联网手机端软件</w:t>
            </w:r>
            <w:r/>
          </w:p>
        </w:tc>
        <w:tc>
          <w:tcPr>
            <w:tcW w:w="6732"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农业物联网软件系统手机端。系统支持传感器数据显示、视频数据、执行控制等功能于一体，能够自动或远程控制大棚内风机和内遮阳网、天窗、喷淋系统、滴灌系统、水肥一体化、水泵等设备。</w:t>
            </w:r>
            <w:r/>
          </w:p>
        </w:tc>
        <w:tc>
          <w:tcPr>
            <w:tcW w:w="67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套</w:t>
            </w:r>
            <w:r/>
          </w:p>
        </w:tc>
        <w:tc>
          <w:tcPr>
            <w:tcW w:w="65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1</w:t>
            </w:r>
            <w:r/>
          </w:p>
        </w:tc>
      </w:tr>
      <w:tr>
        <w:trPr>
          <w:jc w:val="center"/>
        </w:trPr>
        <w:tc>
          <w:tcPr>
            <w:tcW w:w="99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29</w:t>
            </w:r>
            <w:r/>
          </w:p>
        </w:tc>
        <w:tc>
          <w:tcPr>
            <w:tcW w:w="141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5G网络及互联网专线</w:t>
            </w:r>
            <w:r/>
          </w:p>
        </w:tc>
        <w:tc>
          <w:tcPr>
            <w:tcW w:w="6732"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园区5G网络信号全覆盖，5G信号强度RSRP值均≥-90dbm，SINR值均≥10db。互联网专线，带宽100M及以上，服务期3年</w:t>
            </w:r>
            <w:r/>
          </w:p>
        </w:tc>
        <w:tc>
          <w:tcPr>
            <w:tcW w:w="67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个</w:t>
            </w:r>
            <w:r/>
          </w:p>
        </w:tc>
        <w:tc>
          <w:tcPr>
            <w:tcW w:w="65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1</w:t>
            </w:r>
            <w:r/>
          </w:p>
        </w:tc>
      </w:tr>
      <w:tr>
        <w:trPr>
          <w:jc w:val="center"/>
        </w:trPr>
        <w:tc>
          <w:tcPr>
            <w:tcW w:w="99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30</w:t>
            </w:r>
            <w:r/>
          </w:p>
        </w:tc>
        <w:tc>
          <w:tcPr>
            <w:tcW w:w="1413" w:type="dxa"/>
            <w:vAlign w:val="center"/>
            <w:textDirection w:val="lrTb"/>
            <w:noWrap w:val="false"/>
          </w:tcPr>
          <w:p>
            <w:pPr>
              <w:numPr>
                <w:ilvl w:val="0"/>
                <w:numId w:val="0"/>
              </w:num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LED全彩显示屏</w:t>
            </w:r>
            <w:r/>
          </w:p>
        </w:tc>
        <w:tc>
          <w:tcPr>
            <w:tcW w:w="6732" w:type="dxa"/>
            <w:vAlign w:val="center"/>
            <w:textDirection w:val="lrTb"/>
            <w:noWrap w:val="false"/>
          </w:tcPr>
          <w:p>
            <w:pPr>
              <w:numPr>
                <w:ilvl w:val="0"/>
                <w:numId w:val="2"/>
              </w:num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屏体显示面积长4.16m宽2.4m</w:t>
            </w:r>
            <w:r/>
          </w:p>
          <w:p>
            <w:pPr>
              <w:numPr>
                <w:ilvl w:val="0"/>
                <w:numId w:val="2"/>
              </w:num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像素点间距：≤1.8mm单元板分辨率：≥14792 Dots</w:t>
            </w:r>
            <w:r/>
          </w:p>
          <w:p>
            <w:pPr>
              <w:numPr>
                <w:ilvl w:val="0"/>
                <w:numId w:val="2"/>
              </w:num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刷新率：≥3840Hz，支持通过配套控制软件调节刷新率设置选项</w:t>
            </w:r>
            <w:r/>
          </w:p>
          <w:p>
            <w:pPr>
              <w:numPr>
                <w:ilvl w:val="0"/>
                <w:numId w:val="2"/>
              </w:num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像素构成：1R、1G、1B</w:t>
            </w:r>
            <w:r/>
          </w:p>
          <w:p>
            <w:pPr>
              <w:numPr>
                <w:ilvl w:val="0"/>
                <w:numId w:val="2"/>
              </w:num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封装方式：SMD表贴三合一，铜线封装，五面黑灯，表面不反光</w:t>
            </w:r>
            <w:r/>
          </w:p>
          <w:p>
            <w:pPr>
              <w:numPr>
                <w:ilvl w:val="0"/>
                <w:numId w:val="2"/>
              </w:num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驱动方式：恒流驱动</w:t>
            </w:r>
            <w:r/>
          </w:p>
          <w:p>
            <w:pPr>
              <w:numPr>
                <w:ilvl w:val="0"/>
                <w:numId w:val="2"/>
              </w:num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控制方式：同步控制系统</w:t>
            </w:r>
            <w:r/>
          </w:p>
          <w:p>
            <w:pPr>
              <w:numPr>
                <w:ilvl w:val="0"/>
                <w:numId w:val="2"/>
              </w:num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维护方式：前后双向维护</w:t>
            </w:r>
            <w:r/>
          </w:p>
          <w:p>
            <w:pPr>
              <w:numPr>
                <w:ilvl w:val="0"/>
                <w:numId w:val="2"/>
              </w:num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整屏平整度≤0.04mm</w:t>
            </w:r>
            <w:r/>
          </w:p>
          <w:p>
            <w:pPr>
              <w:numPr>
                <w:ilvl w:val="0"/>
                <w:numId w:val="2"/>
              </w:num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白平衡亮度：0-700cd/㎡可调；亮度调节：0-100%亮度可调，256级手动/自动调节，屏幕亮度具有随环境照度的变化任意调整功能；亮度均匀性：≥99%</w:t>
            </w:r>
            <w:r/>
          </w:p>
          <w:p>
            <w:pPr>
              <w:numPr>
                <w:ilvl w:val="0"/>
                <w:numId w:val="2"/>
              </w:num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色温800K-18000K可调；白平衡状态下色温在6500K±5%；色温为6500K时，100%75%50%25%档电平白场调节色温误差≤100K"</w:t>
            </w:r>
            <w:r/>
          </w:p>
          <w:p>
            <w:pPr>
              <w:numPr>
                <w:ilvl w:val="0"/>
                <w:numId w:val="2"/>
              </w:num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水平视角≥170°；垂直视角≥170°</w:t>
            </w:r>
            <w:r/>
          </w:p>
          <w:p>
            <w:pPr>
              <w:numPr>
                <w:ilvl w:val="0"/>
                <w:numId w:val="2"/>
              </w:num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对比度≥8500：1</w:t>
            </w:r>
            <w:r/>
          </w:p>
          <w:p>
            <w:pPr>
              <w:numPr>
                <w:ilvl w:val="0"/>
                <w:numId w:val="2"/>
              </w:num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灰度等级≥14bit，红绿蓝各256级，可达16384级；采用EPWM 灰阶控制技术提升低灰视觉效果，100%亮度时，14bit灰度；70%亮度，14bit灰度；50%亮度，14bit灰度；20%亮度，12bit灰度，显示画面无单列或单行像素失控现象；支持0-100%亮度时，8-14bits灰度自定义设置</w:t>
            </w:r>
            <w:r/>
          </w:p>
          <w:p>
            <w:pPr>
              <w:numPr>
                <w:ilvl w:val="0"/>
                <w:numId w:val="2"/>
              </w:num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峰值功耗≤300W/m²；平均功耗≤120W/m²</w:t>
            </w:r>
            <w:r/>
          </w:p>
          <w:p>
            <w:pPr>
              <w:numPr>
                <w:ilvl w:val="0"/>
                <w:numId w:val="2"/>
              </w:num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供电电源：在4.2*（1±10%）VDC～4.5*（1±10%）VDC范围内能正常工作</w:t>
            </w:r>
            <w:r/>
          </w:p>
          <w:p>
            <w:pPr>
              <w:numPr>
                <w:ilvl w:val="0"/>
                <w:numId w:val="2"/>
              </w:num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输入电压：支持宽压输入 在96-264VAC，支持窄压输入在200-240VAC，在该范围内能正常工作</w:t>
            </w:r>
            <w:r/>
          </w:p>
          <w:p>
            <w:pPr>
              <w:numPr>
                <w:ilvl w:val="0"/>
                <w:numId w:val="2"/>
              </w:num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防护性能：具有防静电、防电磁干扰、防腐蚀、防霉菌、防虫、防潮、抗震动、抗雷击等功能；具有电源过压、过流、断电保护、分布上电措施、防护等级达到IP60</w:t>
            </w:r>
            <w:r/>
          </w:p>
          <w:p>
            <w:pPr>
              <w:numPr>
                <w:ilvl w:val="0"/>
                <w:numId w:val="2"/>
              </w:num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具有列下消隐功能、倍频刷新率提升2/4/8倍、低灰偏色改善</w:t>
            </w:r>
            <w:r/>
          </w:p>
          <w:p>
            <w:pPr>
              <w:numPr>
                <w:ilvl w:val="0"/>
                <w:numId w:val="2"/>
              </w:numPr>
              <w:jc w:val="left"/>
              <w:keepLines w:val="0"/>
              <w:keepNext w:val="0"/>
              <w:spacing w:after="0" w:line="240" w:lineRule="auto"/>
              <w:widowControl/>
              <w:rPr>
                <w:rFonts w:hint="eastAsia" w:ascii="宋体" w:hAnsi="宋体" w:eastAsia="宋体" w:cs="宋体"/>
                <w:color w:val="auto"/>
                <w:sz w:val="24"/>
                <w:szCs w:val="22"/>
                <w:highlight w:val="yellow"/>
                <w:lang w:val="en-US" w:eastAsia="zh-CN" w:bidi="ar-SA"/>
              </w:rPr>
              <w:suppressLineNumbers w:val="0"/>
            </w:pPr>
            <w:r>
              <w:rPr>
                <w:rFonts w:hint="eastAsia" w:ascii="宋体" w:hAnsi="宋体" w:eastAsia="宋体" w:cs="宋体"/>
                <w:color w:val="auto"/>
                <w:sz w:val="24"/>
                <w:szCs w:val="22"/>
                <w:highlight w:val="yellow"/>
                <w:lang w:val="en-US" w:eastAsia="zh-CN" w:bidi="ar-SA"/>
              </w:rPr>
              <w:t xml:space="preserve">★正常播放视频状态下点亮5分钟后产品表面温度升幅≤1.5℃，点亮10分钟后其温度升幅≤8℃；产品在白平衡状态下点亮5分钟后产品表面温度升幅≤8℃，点亮10分钟后其温度升幅≤18℃；产品正常使用工作达到热平衡状态后，屏体结构金属部分温度升幅≤30℃，绝缘材料温度升幅≤30℃。</w:t>
            </w:r>
            <w:r/>
          </w:p>
          <w:p>
            <w:pPr>
              <w:numPr>
                <w:ilvl w:val="0"/>
                <w:numId w:val="2"/>
              </w:num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产品采用高端芯片，可智能调节正常工作与睡眠状态下的节能效果（动态节能，智能息屏），开启智能节电功能比没有开启节能50%以上</w:t>
            </w:r>
            <w:r/>
          </w:p>
          <w:p>
            <w:pPr>
              <w:numPr>
                <w:ilvl w:val="0"/>
                <w:numId w:val="2"/>
              </w:num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具备防蓝光护眼功能，蓝光辐射能量≤20%。蓝光辐射能量值对人眼视网膜无伤害，LED显示屏蓝光辐亮度≤0.5W.m-2.sr-1,符合肉眼观看标准。</w:t>
            </w:r>
            <w:r/>
          </w:p>
          <w:p>
            <w:pPr>
              <w:numPr>
                <w:ilvl w:val="0"/>
                <w:numId w:val="2"/>
              </w:numPr>
              <w:jc w:val="left"/>
              <w:keepLines w:val="0"/>
              <w:keepNext w:val="0"/>
              <w:spacing w:after="0" w:line="240" w:lineRule="auto"/>
              <w:widowControl/>
              <w:rPr>
                <w:rFonts w:hint="eastAsia" w:ascii="宋体" w:hAnsi="宋体" w:eastAsia="宋体" w:cs="宋体"/>
                <w:color w:val="auto"/>
                <w:sz w:val="24"/>
                <w:szCs w:val="22"/>
                <w:highlight w:val="yellow"/>
                <w:lang w:val="en-US" w:eastAsia="zh-CN" w:bidi="ar-SA"/>
              </w:rPr>
              <w:suppressLineNumbers w:val="0"/>
            </w:pPr>
            <w:r>
              <w:rPr>
                <w:rFonts w:hint="eastAsia" w:ascii="宋体" w:hAnsi="宋体" w:eastAsia="宋体" w:cs="宋体"/>
                <w:color w:val="auto"/>
                <w:sz w:val="24"/>
                <w:szCs w:val="22"/>
                <w:highlight w:val="yellow"/>
                <w:lang w:val="en-US" w:eastAsia="zh-CN" w:bidi="ar-SA"/>
              </w:rPr>
              <w:t xml:space="preserve">★支持PPA碗杯结构、点胶封装、出光方式为单面发光；显示面采用高强度化学防护材质，防碰撞、耐冲击、高耐磨、抗腐蚀、防划痕，可直接擦拭LED附着力≥100N；在灯珠四侧以水平夹角 45°的方向施加推力 15N，灯珠未破碎或脱落。</w:t>
            </w:r>
            <w:r/>
          </w:p>
          <w:p>
            <w:pPr>
              <w:numPr>
                <w:ilvl w:val="0"/>
                <w:numId w:val="2"/>
              </w:num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为了防止LED光源对人眼的伤害，LED电子显示屏产品通过TUV莱茵低蓝光认证，无视网膜蓝光危害。</w:t>
            </w:r>
            <w:r/>
          </w:p>
          <w:p>
            <w:pPr>
              <w:numPr>
                <w:ilvl w:val="0"/>
                <w:numId w:val="2"/>
              </w:numPr>
              <w:jc w:val="left"/>
              <w:keepLines w:val="0"/>
              <w:keepNext w:val="0"/>
              <w:spacing w:after="0" w:line="240" w:lineRule="auto"/>
              <w:widowControl/>
              <w:rPr>
                <w:rFonts w:hint="eastAsia" w:ascii="宋体" w:hAnsi="宋体" w:eastAsia="宋体" w:cs="宋体"/>
                <w:color w:val="auto"/>
                <w:sz w:val="24"/>
                <w:szCs w:val="22"/>
                <w:highlight w:val="yellow"/>
                <w:lang w:val="en-US" w:eastAsia="zh-CN" w:bidi="ar-SA"/>
              </w:rPr>
              <w:suppressLineNumbers w:val="0"/>
            </w:pPr>
            <w:r>
              <w:rPr>
                <w:rFonts w:hint="eastAsia" w:ascii="宋体" w:hAnsi="宋体" w:eastAsia="宋体" w:cs="宋体"/>
                <w:color w:val="auto"/>
                <w:sz w:val="24"/>
                <w:szCs w:val="22"/>
                <w:highlight w:val="yellow"/>
                <w:lang w:val="en-US" w:eastAsia="zh-CN" w:bidi="ar-SA"/>
              </w:rPr>
              <w:t xml:space="preserve">★为保证产品的绿色环保性能，对人体不产生危害，LED显示屏的设计生产活动中，所有电子元器件、组装件、相关物料和过程通过国际电工委员会质量评定体系（IECQ）标准要求。</w:t>
            </w:r>
            <w:r/>
          </w:p>
          <w:p>
            <w:pPr>
              <w:numPr>
                <w:ilvl w:val="0"/>
                <w:numId w:val="2"/>
              </w:num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yellow"/>
                <w:lang w:val="en-US" w:eastAsia="zh-CN" w:bidi="ar-SA"/>
              </w:rPr>
              <w:t xml:space="preserve">★为保证消除产品中的铅、汞、镉、六价铬、多溴联苯和多溴二苯醚，利于人体健康及环境保护。</w:t>
            </w:r>
            <w:r/>
          </w:p>
        </w:tc>
        <w:tc>
          <w:tcPr>
            <w:tcW w:w="67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套</w:t>
            </w:r>
            <w:r/>
          </w:p>
        </w:tc>
        <w:tc>
          <w:tcPr>
            <w:tcW w:w="65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1</w:t>
            </w:r>
            <w:r/>
          </w:p>
        </w:tc>
      </w:tr>
      <w:tr>
        <w:trPr>
          <w:jc w:val="center"/>
          <w:trHeight w:val="4402"/>
        </w:trPr>
        <w:tc>
          <w:tcPr>
            <w:tcW w:w="99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31</w:t>
            </w:r>
            <w:r/>
          </w:p>
        </w:tc>
        <w:tc>
          <w:tcPr>
            <w:tcW w:w="141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视频信号处理设备</w:t>
            </w:r>
            <w:r/>
          </w:p>
        </w:tc>
        <w:tc>
          <w:tcPr>
            <w:tcW w:w="6732" w:type="dxa"/>
            <w:vAlign w:val="center"/>
            <w:textDirection w:val="lrTb"/>
            <w:noWrap w:val="false"/>
          </w:tcPr>
          <w:p>
            <w:pPr>
              <w:spacing w:after="0" w:line="240" w:lineRule="atLeast"/>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1.最大1920X1200@60Hz 输入分辨率</w:t>
            </w:r>
            <w:r/>
          </w:p>
          <w:p>
            <w:pPr>
              <w:spacing w:after="0" w:line="240" w:lineRule="atLeast"/>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2.最大带载520万像素，8路千兆网口输出</w:t>
            </w:r>
            <w:r/>
          </w:p>
          <w:p>
            <w:pPr>
              <w:spacing w:after="0" w:line="240" w:lineRule="atLeast"/>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3.最宽8192像素点或最高4096像素点</w:t>
            </w:r>
            <w:r/>
          </w:p>
          <w:p>
            <w:pPr>
              <w:spacing w:after="0" w:line="240" w:lineRule="atLeast"/>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4.支持4路信号输入:1xHDMI1.4，2xDVI，1xSDI</w:t>
            </w:r>
            <w:r/>
          </w:p>
          <w:p>
            <w:pPr>
              <w:spacing w:after="0" w:line="240" w:lineRule="atLeast"/>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5.支持单机或双机冗余备份</w:t>
            </w:r>
            <w:r/>
          </w:p>
          <w:p>
            <w:pPr>
              <w:spacing w:after="0" w:line="240" w:lineRule="atLeast"/>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6.支持1路独立音频输入，1路独立音频输出</w:t>
            </w:r>
            <w:r/>
          </w:p>
          <w:p>
            <w:pPr>
              <w:spacing w:after="0" w:line="240" w:lineRule="atLeast"/>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7.支持3画面显示，位置、大小可自由调节</w:t>
            </w:r>
            <w:r/>
          </w:p>
          <w:p>
            <w:pPr>
              <w:spacing w:after="0" w:line="240" w:lineRule="atLeast"/>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8.支持视频信号任意切换，裁剪，拼接，缩放</w:t>
            </w:r>
            <w:r/>
          </w:p>
          <w:p>
            <w:pPr>
              <w:spacing w:after="0" w:line="240" w:lineRule="atLeast"/>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9.支持HDCP高带宽数字内容保护技术</w:t>
            </w:r>
            <w:r/>
          </w:p>
          <w:p>
            <w:pPr>
              <w:spacing w:after="0" w:line="240" w:lineRule="atLeast"/>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10.支持亮度和色温调节</w:t>
            </w:r>
            <w:r/>
          </w:p>
          <w:p>
            <w:pPr>
              <w:spacing w:after="0" w:line="240" w:lineRule="atLeast"/>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11.支持低亮高灰，能有效地保持低亮下灰阶的完整显示</w:t>
            </w:r>
            <w:r/>
          </w:p>
          <w:p>
            <w:pPr>
              <w:spacing w:after="0" w:line="240" w:lineRule="atLeast"/>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12.支持设备间和网口间冗余备份多台控制器及控制器间任意网口指定备份其他区域控制范围内容。</w:t>
            </w:r>
            <w:r/>
          </w:p>
          <w:p>
            <w:pPr>
              <w:spacing w:after="0" w:line="240" w:lineRule="atLeast"/>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13.不正当操作导致控制器内部设置错乱，可一键恢复出厂标准设置。</w:t>
            </w:r>
            <w:r/>
          </w:p>
          <w:p>
            <w:pPr>
              <w:spacing w:after="0" w:line="240" w:lineRule="atLeas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14.支持自动倍频、2 倍频、3 倍频，采用独特的倍频算法，针对视频源信号小于 30hz 可启用 2 倍频，小于 20hz 可启用 3 倍频，可以将输入信号转成 60Hz 信号输出，提高画面显示效果，信号最高帧率可达 100Hz。</w:t>
            </w:r>
            <w:r/>
          </w:p>
          <w:p>
            <w:pPr>
              <w:spacing w:after="0" w:line="240" w:lineRule="atLeast"/>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15</w:t>
            </w:r>
            <w:r>
              <w:rPr>
                <w:rFonts w:hint="eastAsia" w:ascii="宋体" w:hAnsi="宋体" w:eastAsia="宋体" w:cs="宋体"/>
                <w:color w:val="auto"/>
                <w:sz w:val="24"/>
                <w:szCs w:val="22"/>
                <w:highlight w:val="yellow"/>
                <w:lang w:val="en-US" w:eastAsia="zh-CN" w:bidi="ar-SA"/>
              </w:rPr>
              <w:t xml:space="preserve">.★支持屏幕除湿功能，通过自定义设置预热屏幕减少屏幕水汽，可以减少死灯、短路、暗亮等问题，延长显示屏使用寿命。</w:t>
            </w:r>
            <w:r/>
          </w:p>
          <w:p>
            <w:pPr>
              <w:spacing w:after="0" w:line="240" w:lineRule="atLeast"/>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16.视频控制设备支持EUT的连接方法。</w:t>
            </w:r>
            <w:r/>
          </w:p>
        </w:tc>
        <w:tc>
          <w:tcPr>
            <w:tcW w:w="67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台</w:t>
            </w:r>
            <w:r/>
          </w:p>
        </w:tc>
        <w:tc>
          <w:tcPr>
            <w:tcW w:w="65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1</w:t>
            </w:r>
            <w:r/>
          </w:p>
        </w:tc>
      </w:tr>
      <w:tr>
        <w:trPr>
          <w:jc w:val="center"/>
        </w:trPr>
        <w:tc>
          <w:tcPr>
            <w:tcW w:w="99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32</w:t>
            </w:r>
            <w:r/>
          </w:p>
        </w:tc>
        <w:tc>
          <w:tcPr>
            <w:tcW w:w="141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LED屏配套支架</w:t>
            </w:r>
            <w:r/>
          </w:p>
        </w:tc>
        <w:tc>
          <w:tcPr>
            <w:tcW w:w="6732"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用于安装LED显示屏</w:t>
            </w:r>
            <w:r/>
          </w:p>
        </w:tc>
        <w:tc>
          <w:tcPr>
            <w:tcW w:w="67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套</w:t>
            </w:r>
            <w:r/>
          </w:p>
        </w:tc>
        <w:tc>
          <w:tcPr>
            <w:tcW w:w="65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1</w:t>
            </w:r>
            <w:r/>
          </w:p>
        </w:tc>
      </w:tr>
      <w:tr>
        <w:trPr>
          <w:jc w:val="center"/>
        </w:trPr>
        <w:tc>
          <w:tcPr>
            <w:tcW w:w="99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33</w:t>
            </w:r>
            <w:r/>
          </w:p>
        </w:tc>
        <w:tc>
          <w:tcPr>
            <w:tcW w:w="141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接收卡</w:t>
            </w:r>
            <w:r/>
          </w:p>
        </w:tc>
        <w:tc>
          <w:tcPr>
            <w:tcW w:w="6732" w:type="dxa"/>
            <w:vAlign w:val="center"/>
            <w:textDirection w:val="lrTb"/>
            <w:noWrap w:val="false"/>
          </w:tcPr>
          <w:p>
            <w:pPr>
              <w:spacing w:after="0" w:line="240" w:lineRule="atLeast"/>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1.集成16个HUB75，无需再配转接板</w:t>
            </w:r>
            <w:r/>
          </w:p>
          <w:p>
            <w:pPr>
              <w:spacing w:after="0" w:line="240" w:lineRule="atLeast"/>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2.单卡最大带载256×1024像素，最多支持32组并行数据</w:t>
            </w:r>
            <w:r/>
          </w:p>
          <w:p>
            <w:pPr>
              <w:spacing w:after="0" w:line="240" w:lineRule="atLeast"/>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3.支持8bit色深视频源输入输出，单色灰阶为256，可搭配出16777216种混合色彩。</w:t>
            </w:r>
            <w:r/>
          </w:p>
          <w:p>
            <w:pPr>
              <w:spacing w:after="0" w:line="240" w:lineRule="atLeast"/>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4.支持自适应帧率技术，不仅支持23.98/24/29.97/30/50/59.94/60Hz常规及非整数帧率，还可输出显示120/240Hz高帧率画面，大幅提升画面流畅度、减少拖影。</w:t>
            </w:r>
            <w:r/>
          </w:p>
          <w:p>
            <w:pPr>
              <w:spacing w:after="0" w:line="240" w:lineRule="atLeast"/>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5.支持色温调节，提供调整色温，即饱和度调节，增强画面表现力</w:t>
            </w:r>
            <w:r/>
          </w:p>
          <w:p>
            <w:pPr>
              <w:spacing w:after="0" w:line="240" w:lineRule="atLeast"/>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6.支持低亮高灰</w:t>
            </w:r>
            <w:r/>
          </w:p>
          <w:p>
            <w:pPr>
              <w:spacing w:after="0" w:line="240" w:lineRule="atLeast"/>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7.支持亮色度逐点校正，能有效消除灯点色差，保证整屏的颜色亮度的均匀性和一致性，提升整体显示效果</w:t>
            </w:r>
            <w:r/>
          </w:p>
          <w:p>
            <w:pPr>
              <w:spacing w:after="0" w:line="240" w:lineRule="atLeast"/>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8.支持箱体标定和快速标序</w:t>
            </w:r>
            <w:r/>
          </w:p>
          <w:p>
            <w:pPr>
              <w:spacing w:after="0" w:line="240" w:lineRule="atLeast"/>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9.支持画面旋转，单个箱体画面以90°/180°/270°角度进行旋转，配合部分主控可实现单箱体画面任意角度旋转显示</w:t>
            </w:r>
            <w:r/>
          </w:p>
          <w:p>
            <w:pPr>
              <w:spacing w:after="0" w:line="240" w:lineRule="atLeast"/>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10.支持数据偏移，支持误码侦测</w:t>
            </w:r>
            <w:r/>
          </w:p>
          <w:p>
            <w:pPr>
              <w:spacing w:after="0" w:line="240" w:lineRule="atLeast"/>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11.支持环路备份，支持固件备份</w:t>
            </w:r>
            <w:r/>
          </w:p>
          <w:p>
            <w:pPr>
              <w:spacing w:after="0" w:line="240" w:lineRule="atLeast"/>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12.8bit 精度的色度，亮度一体化逐点校正，能有效消除灯点色差，保证整屏的颜色亮度的均匀性和一致性，提升整体显示效果。</w:t>
            </w:r>
            <w:r/>
          </w:p>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13.检测接收卡之间数据传输质量和误码情况，可以方便快捷地识别出硬件连接异常的箱体，便于维护。</w:t>
            </w:r>
            <w:r/>
          </w:p>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yellow"/>
                <w:lang w:val="en-US" w:eastAsia="zh-CN" w:bidi="ar-SA"/>
              </w:rPr>
              <w:t xml:space="preserve">14.★支持一帧延迟，发送端到显示端延迟达到一帧，解决系统延迟导致的画面不同步问题。</w:t>
            </w:r>
            <w:r/>
          </w:p>
        </w:tc>
        <w:tc>
          <w:tcPr>
            <w:tcW w:w="67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套</w:t>
            </w:r>
            <w:r/>
          </w:p>
        </w:tc>
        <w:tc>
          <w:tcPr>
            <w:tcW w:w="65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26</w:t>
            </w:r>
            <w:r/>
          </w:p>
        </w:tc>
      </w:tr>
      <w:tr>
        <w:trPr>
          <w:jc w:val="center"/>
        </w:trPr>
        <w:tc>
          <w:tcPr>
            <w:tcW w:w="99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34</w:t>
            </w:r>
            <w:r/>
          </w:p>
        </w:tc>
        <w:tc>
          <w:tcPr>
            <w:tcW w:w="141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音箱</w:t>
            </w:r>
            <w:r/>
          </w:p>
        </w:tc>
        <w:tc>
          <w:tcPr>
            <w:tcW w:w="6732"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单元组成 HF:1X1.75(34芯），LF:1X8(51芯140磁）频响（+/-3db) 62-19000Hz覆盖角度 90°X60°灵敏度（1M/1W） 94db输出声压级 124db功率 150W/AES,300W/peak分频点 2100Hz 输入连接 2XSpeakonNL4mp额定阻抗 8欧板材 15厘板，,12M8的吊点净尺寸 250mm x260mmx430mm重量 12Kg 推荐放大器功率 300W/8ohm</w:t>
            </w:r>
            <w:r/>
          </w:p>
        </w:tc>
        <w:tc>
          <w:tcPr>
            <w:tcW w:w="67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个</w:t>
            </w:r>
            <w:r/>
          </w:p>
        </w:tc>
        <w:tc>
          <w:tcPr>
            <w:tcW w:w="65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2</w:t>
            </w:r>
            <w:r/>
          </w:p>
        </w:tc>
      </w:tr>
      <w:tr>
        <w:trPr>
          <w:jc w:val="center"/>
        </w:trPr>
        <w:tc>
          <w:tcPr>
            <w:tcW w:w="99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35</w:t>
            </w:r>
            <w:r/>
          </w:p>
        </w:tc>
        <w:tc>
          <w:tcPr>
            <w:tcW w:w="141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功放系统设备</w:t>
            </w:r>
            <w:r/>
          </w:p>
        </w:tc>
        <w:tc>
          <w:tcPr>
            <w:tcW w:w="6732"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1.机器内部局部采用SMT技术。</w:t>
            </w:r>
            <w:r/>
          </w:p>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2.高效率的环形变压器，保证充足电源供应。</w:t>
            </w:r>
            <w:r/>
          </w:p>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3.功放电路选用半导体元器件，每只元件有足够的余量。</w:t>
            </w:r>
            <w:r/>
          </w:p>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4.散热风扇采用无级调速电路，保证了功放工作在较低的温度下。</w:t>
            </w:r>
            <w:r/>
          </w:p>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5.配有信号输入口与并联信号输出口。功放输出端配有Speakon和接线柱，适用与各种系统的安装要求。</w:t>
            </w:r>
            <w:r/>
          </w:p>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6.完善的保护，包括限幅，直流，开/关机冲击电路，输出短路保护，过热保护。</w:t>
            </w:r>
            <w:r/>
          </w:p>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型号  MA-3输出功率/Power8Ω ≥350W×2。输出功率/Power4Ω ≥475W×2</w:t>
            </w:r>
            <w:r/>
          </w:p>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频率响应 20HZ—20KHZ:±0.5Db   </w:t>
            </w:r>
            <w:r/>
          </w:p>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输入灵敏度 1V。信噪比 ＞103DB。总谐波失真 ≤0.05%</w:t>
            </w:r>
            <w:r/>
          </w:p>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输入阻抗 平衡20KΩ/非平衡10KΩ。消耗功率 900W</w:t>
            </w:r>
            <w:r/>
          </w:p>
        </w:tc>
        <w:tc>
          <w:tcPr>
            <w:tcW w:w="67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套</w:t>
            </w:r>
            <w:r/>
          </w:p>
        </w:tc>
        <w:tc>
          <w:tcPr>
            <w:tcW w:w="65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1</w:t>
            </w:r>
            <w:r/>
          </w:p>
        </w:tc>
      </w:tr>
      <w:tr>
        <w:trPr>
          <w:jc w:val="center"/>
        </w:trPr>
        <w:tc>
          <w:tcPr>
            <w:tcW w:w="99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36</w:t>
            </w:r>
            <w:r/>
          </w:p>
        </w:tc>
        <w:tc>
          <w:tcPr>
            <w:tcW w:w="141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反馈抑制器</w:t>
            </w:r>
            <w:r/>
          </w:p>
        </w:tc>
        <w:tc>
          <w:tcPr>
            <w:tcW w:w="6732"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主要特征</w:t>
            </w:r>
            <w:r/>
          </w:p>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1.有效抑制话筒啸叫，消除反馈于未然，一键式操作模式，简单好用</w:t>
            </w:r>
            <w:r/>
          </w:p>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2.采用DSP技术，实时抓取啸叫点，自动适应声学环境</w:t>
            </w:r>
            <w:r/>
          </w:p>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3.超远会议话筒拾音距离，能自动适应拾音距离</w:t>
            </w:r>
            <w:r/>
          </w:p>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4. 8+2路输入，8路话筒输入和两路LINE输入（音乐输入），话筒和线路输入增益可调，调整范围大于12dB。</w:t>
            </w:r>
            <w:r/>
          </w:p>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5.高品质话放，带+48V幻象电源，每路幻象电源独立开关控制，互不干扰.</w:t>
            </w:r>
            <w:r/>
          </w:p>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6.每路输入带独立增益调节，可以适合不同的话筒同时使用</w:t>
            </w:r>
            <w:r/>
          </w:p>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7.前四路话筒是可以选择卡农或6.35接口输入，接线方便。</w:t>
            </w:r>
            <w:r/>
          </w:p>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8.音乐LINE输入音量单独调节，并有信号指示灯，操作直观</w:t>
            </w:r>
            <w:r/>
          </w:p>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9.8路话筒在面板有总的音量调节旋钮，带信号指示灯和峰值指示灯，操作更加便捷</w:t>
            </w:r>
            <w:r/>
          </w:p>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10.左右平衡式输出，带8段LED电平指示，输出大小可调，信噪比更好。</w:t>
            </w:r>
            <w:r/>
          </w:p>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11.各路话筒和音乐在输出进行混合后输出，也可以当混音器使用</w:t>
            </w:r>
            <w:r/>
          </w:p>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12.频率响应：20Hz~20KHz,+/-1.5dB 。DSP采样率：192KHz 。AD/DA转换：24比特 。总频波失真：&lt;0.01%(+4dBU,1KHz) 。最大输出：+22dBu(平衡）,+16dBu(不平衡）  。信噪比：&gt;95dB  。</w:t>
            </w:r>
            <w:r/>
          </w:p>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输入电源：220v~50Hz</w:t>
            </w:r>
            <w:r/>
          </w:p>
        </w:tc>
        <w:tc>
          <w:tcPr>
            <w:tcW w:w="67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台</w:t>
            </w:r>
            <w:r/>
          </w:p>
        </w:tc>
        <w:tc>
          <w:tcPr>
            <w:tcW w:w="65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1</w:t>
            </w:r>
            <w:r/>
          </w:p>
        </w:tc>
      </w:tr>
      <w:tr>
        <w:trPr>
          <w:jc w:val="center"/>
        </w:trPr>
        <w:tc>
          <w:tcPr>
            <w:tcW w:w="99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37</w:t>
            </w:r>
            <w:r/>
          </w:p>
        </w:tc>
        <w:tc>
          <w:tcPr>
            <w:tcW w:w="141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电源时序器</w:t>
            </w:r>
            <w:r/>
          </w:p>
        </w:tc>
        <w:tc>
          <w:tcPr>
            <w:tcW w:w="6732"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1、显示窗≥2寸彩色液晶屏,实时显示当前电压、电流，功率显示屏。</w:t>
            </w:r>
            <w:r/>
          </w:p>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2、定时开关机功能,内置时钟芯片,可根据日期时间设定,无需人为操作,让设备管更简单,</w:t>
            </w:r>
            <w:r/>
          </w:p>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3、10组设备开关场景数据保存/调用,场景管理应用简单便捷。</w:t>
            </w:r>
            <w:r/>
          </w:p>
          <w:p>
            <w:pPr>
              <w:spacing w:after="0" w:line="240" w:lineRule="auto"/>
              <w:rPr>
                <w:rFonts w:hint="eastAsia" w:ascii="宋体" w:hAnsi="宋体" w:eastAsia="宋体" w:cs="宋体"/>
                <w:color w:val="auto"/>
                <w:sz w:val="24"/>
                <w:szCs w:val="22"/>
                <w:highlight w:val="yellow"/>
                <w:lang w:val="en-US" w:eastAsia="zh-CN" w:bidi="ar-SA"/>
              </w:rPr>
            </w:pPr>
            <w:r>
              <w:rPr>
                <w:rFonts w:hint="eastAsia" w:ascii="宋体" w:hAnsi="宋体" w:eastAsia="宋体" w:cs="宋体"/>
                <w:color w:val="auto"/>
                <w:sz w:val="24"/>
                <w:szCs w:val="22"/>
                <w:highlight w:val="yellow"/>
                <w:lang w:val="en-US" w:eastAsia="zh-CN" w:bidi="ar-SA"/>
              </w:rPr>
              <w:t xml:space="preserve">★4、具有欠压 、超压检测及报警功能,为您的设备提供了可靠的保障,总功率≥7200,单通道最大功率≥2860w。</w:t>
            </w:r>
            <w:r/>
          </w:p>
          <w:p>
            <w:pPr>
              <w:jc w:val="left"/>
              <w:keepLines w:val="0"/>
              <w:keepNext w:val="0"/>
              <w:spacing w:after="0" w:line="240" w:lineRule="auto"/>
              <w:shd w:val="clear" w:color="auto" w:fill="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5、支持多台设备级联控制,级联状态可自动检测及设置。</w:t>
            </w:r>
            <w:r/>
          </w:p>
          <w:p>
            <w:pPr>
              <w:jc w:val="left"/>
              <w:keepLines w:val="0"/>
              <w:keepNext w:val="0"/>
              <w:spacing w:after="0" w:line="240" w:lineRule="auto"/>
              <w:shd w:val="clear" w:color="auto" w:fill="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6、配置RS232接口支持外部中央控制设备控</w:t>
            </w:r>
            <w:r/>
          </w:p>
          <w:p>
            <w:pPr>
              <w:jc w:val="left"/>
              <w:keepLines w:val="0"/>
              <w:keepNext w:val="0"/>
              <w:spacing w:after="0" w:line="240" w:lineRule="auto"/>
              <w:shd w:val="clear" w:color="auto" w:fill="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7、可实现远程集中控制,每台设备自带设备编码ID检测和设置。8、支持面板Lock锁定功能,防止人为误操作。</w:t>
            </w:r>
            <w:r/>
          </w:p>
          <w:p>
            <w:pPr>
              <w:jc w:val="left"/>
              <w:keepLines w:val="0"/>
              <w:keepNext w:val="0"/>
              <w:spacing w:after="0" w:line="240" w:lineRule="auto"/>
              <w:shd w:val="clear" w:color="auto" w:fill="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9.大功率线路,主电源线规格:3X6平方长度:1米输入电压(110V~230V)  </w:t>
            </w:r>
            <w:r/>
          </w:p>
          <w:p>
            <w:pPr>
              <w:jc w:val="left"/>
              <w:keepLines w:val="0"/>
              <w:keepNext w:val="0"/>
              <w:spacing w:after="0" w:line="240" w:lineRule="auto"/>
              <w:shd w:val="clear" w:color="auto" w:fill="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10 智能WIFI传输30M无遮挡（3.4GWiFi网络）   </w:t>
            </w:r>
            <w:r/>
          </w:p>
          <w:p>
            <w:pPr>
              <w:jc w:val="left"/>
              <w:keepLines w:val="0"/>
              <w:keepNext w:val="0"/>
              <w:spacing w:after="0" w:line="240" w:lineRule="auto"/>
              <w:shd w:val="clear" w:color="auto" w:fill="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yellow"/>
                <w:lang w:val="en-US" w:eastAsia="zh-CN" w:bidi="ar-SA"/>
              </w:rPr>
              <w:t xml:space="preserve">★11.支持智能手机APP软件远程控制。</w:t>
            </w:r>
            <w:r/>
          </w:p>
        </w:tc>
        <w:tc>
          <w:tcPr>
            <w:tcW w:w="67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台</w:t>
            </w:r>
            <w:r/>
          </w:p>
        </w:tc>
        <w:tc>
          <w:tcPr>
            <w:tcW w:w="65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1</w:t>
            </w:r>
            <w:r/>
          </w:p>
        </w:tc>
      </w:tr>
      <w:tr>
        <w:trPr>
          <w:jc w:val="center"/>
        </w:trPr>
        <w:tc>
          <w:tcPr>
            <w:tcW w:w="99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38</w:t>
            </w:r>
            <w:r/>
          </w:p>
        </w:tc>
        <w:tc>
          <w:tcPr>
            <w:tcW w:w="141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配线</w:t>
            </w:r>
            <w:r/>
          </w:p>
        </w:tc>
        <w:tc>
          <w:tcPr>
            <w:tcW w:w="6732"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2×2.5纯铜高保真音响线</w:t>
            </w:r>
            <w:r/>
          </w:p>
        </w:tc>
        <w:tc>
          <w:tcPr>
            <w:tcW w:w="67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m</w:t>
            </w:r>
            <w:r/>
          </w:p>
        </w:tc>
        <w:tc>
          <w:tcPr>
            <w:tcW w:w="65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30</w:t>
            </w:r>
            <w:r/>
          </w:p>
        </w:tc>
      </w:tr>
      <w:tr>
        <w:trPr>
          <w:jc w:val="center"/>
        </w:trPr>
        <w:tc>
          <w:tcPr>
            <w:tcW w:w="99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39</w:t>
            </w:r>
            <w:r/>
          </w:p>
        </w:tc>
        <w:tc>
          <w:tcPr>
            <w:tcW w:w="141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话筒</w:t>
            </w:r>
            <w:r/>
          </w:p>
        </w:tc>
        <w:tc>
          <w:tcPr>
            <w:tcW w:w="6732"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特点：1.采用23级电子音量控制,简约搭配</w:t>
            </w:r>
            <w:r/>
          </w:p>
          <w:p>
            <w:pPr>
              <w:numPr>
                <w:ilvl w:val="0"/>
                <w:numId w:val="0"/>
              </w:num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2.采用真分集接收技术，空阔最大使用距离300米</w:t>
            </w:r>
            <w:r/>
          </w:p>
          <w:p>
            <w:pPr>
              <w:numPr>
                <w:ilvl w:val="0"/>
                <w:numId w:val="0"/>
              </w:num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3.具有一键自动搜空闲频点功能、一键锁定按键功能4.300组频点红外线对频，手咪通用，抗干扰能力强</w:t>
            </w:r>
            <w:r/>
          </w:p>
          <w:p>
            <w:pPr>
              <w:numPr>
                <w:ilvl w:val="0"/>
                <w:numId w:val="0"/>
              </w:num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5.发射LCD显示频道和电池电量，电池低压闪烁至1.8V自动关机</w:t>
            </w:r>
            <w:r/>
          </w:p>
          <w:p>
            <w:pPr>
              <w:numPr>
                <w:ilvl w:val="0"/>
                <w:numId w:val="0"/>
              </w:num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6.设有回输啸叫抑制减弱功能，能有效减少回输啸叫</w:t>
            </w:r>
            <w:r/>
          </w:p>
          <w:p>
            <w:pPr>
              <w:numPr>
                <w:ilvl w:val="0"/>
                <w:numId w:val="0"/>
              </w:num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7.适用于大小舞台，会议厅等 </w:t>
            </w:r>
            <w:r/>
          </w:p>
          <w:p>
            <w:pPr>
              <w:numPr>
                <w:ilvl w:val="0"/>
                <w:numId w:val="0"/>
              </w:num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8.可可选配件：手持、领夹、头戴、鹅颈系统指标:频率范围：640-690MHz调制方式：宽带FM可调范围：60MHz信道数目：300信道间隔：200KHz频率稳定度：±0.005%以内动态范围：&gt;105dB最大频偏：±45KHz音频响应：40Hz-1</w:t>
            </w:r>
            <w:r>
              <w:rPr>
                <w:rFonts w:hint="eastAsia" w:ascii="宋体" w:hAnsi="宋体" w:eastAsia="宋体" w:cs="宋体"/>
                <w:color w:val="auto"/>
                <w:sz w:val="24"/>
                <w:szCs w:val="22"/>
                <w:highlight w:val="none"/>
                <w:lang w:val="en-US" w:eastAsia="zh-CN" w:bidi="ar-SA"/>
              </w:rPr>
              <w:t xml:space="preserve">8KHz(±3dB)综合信噪比：&gt;110dB综合失真：≤0.2%工作温度：-25℃--+40℃接收机指标：接收机方式：二次变频超外差输入功率：5W中频频率：第一中频：110MHz,第二中频10.7MHz无线接口：BNC/50Ω灵敏度：12 dBμV (80dBS/N)灵敏度调节范围：10-32dBμV杂散抑制：≥95dB最大输出电平：+10 dBV发射器指标：天线程式：佩挂发射器采用1/4 波长鞭状天线,手持麦克风内置天线输出功率： 20mW杂散抑制：-60dB供电：两节 AA 电池使用时间：约8—10小时</w:t>
            </w:r>
            <w:r/>
          </w:p>
        </w:tc>
        <w:tc>
          <w:tcPr>
            <w:tcW w:w="67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台</w:t>
            </w:r>
            <w:r/>
          </w:p>
        </w:tc>
        <w:tc>
          <w:tcPr>
            <w:tcW w:w="65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2</w:t>
            </w:r>
            <w:r/>
          </w:p>
        </w:tc>
      </w:tr>
      <w:tr>
        <w:trPr>
          <w:jc w:val="center"/>
        </w:trPr>
        <w:tc>
          <w:tcPr>
            <w:tcW w:w="99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40</w:t>
            </w:r>
            <w:r/>
          </w:p>
        </w:tc>
        <w:tc>
          <w:tcPr>
            <w:tcW w:w="141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潜水泵</w:t>
            </w:r>
            <w:r/>
          </w:p>
        </w:tc>
        <w:tc>
          <w:tcPr>
            <w:tcW w:w="6732"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变频潜水泵功率11KW，流量50m3/h，扬程50米。含潜水泵供电缆15m，含水泵支架。含配套河道水位数据实时上传。</w:t>
            </w:r>
            <w:r/>
          </w:p>
        </w:tc>
        <w:tc>
          <w:tcPr>
            <w:tcW w:w="67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台</w:t>
            </w:r>
            <w:r/>
          </w:p>
        </w:tc>
        <w:tc>
          <w:tcPr>
            <w:tcW w:w="65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2</w:t>
            </w:r>
            <w:r/>
          </w:p>
        </w:tc>
      </w:tr>
      <w:tr>
        <w:trPr>
          <w:jc w:val="center"/>
        </w:trPr>
        <w:tc>
          <w:tcPr>
            <w:tcW w:w="99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41</w:t>
            </w:r>
            <w:r/>
          </w:p>
        </w:tc>
        <w:tc>
          <w:tcPr>
            <w:tcW w:w="141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旧泵房改造</w:t>
            </w:r>
            <w:r/>
          </w:p>
        </w:tc>
        <w:tc>
          <w:tcPr>
            <w:tcW w:w="6732"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原来建设的旧泵房改造升级，实现水源水位高度、出水管道压力数据、电流、电压、用电量实时上传并与水泵水肥机联动，实现自动、远程控制。</w:t>
            </w:r>
            <w:r/>
          </w:p>
        </w:tc>
        <w:tc>
          <w:tcPr>
            <w:tcW w:w="67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项</w:t>
            </w:r>
            <w:r/>
          </w:p>
        </w:tc>
        <w:tc>
          <w:tcPr>
            <w:tcW w:w="65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1</w:t>
            </w:r>
            <w:r/>
          </w:p>
        </w:tc>
      </w:tr>
      <w:tr>
        <w:trPr>
          <w:jc w:val="center"/>
        </w:trPr>
        <w:tc>
          <w:tcPr>
            <w:tcW w:w="99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42</w:t>
            </w:r>
            <w:r/>
          </w:p>
        </w:tc>
        <w:tc>
          <w:tcPr>
            <w:tcW w:w="141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智能水肥一体机</w:t>
            </w:r>
            <w:r/>
          </w:p>
        </w:tc>
        <w:tc>
          <w:tcPr>
            <w:tcW w:w="6732" w:type="dxa"/>
            <w:vAlign w:val="center"/>
            <w:textDirection w:val="lrTb"/>
            <w:noWrap w:val="false"/>
          </w:tcPr>
          <w:p>
            <w:pPr>
              <w:numPr>
                <w:ilvl w:val="0"/>
                <w:numId w:val="0"/>
              </w:numPr>
              <w:jc w:val="left"/>
              <w:keepLines w:val="0"/>
              <w:keepNext w:val="0"/>
              <w:spacing w:after="0" w:line="240" w:lineRule="auto"/>
              <w:shd w:val="clear" w:color="auto" w:fill="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全自动水肥－体机，双路比例施肥器，支持二路无动力吸肥，流量≥25吨/小时，稀释比例1%-5.5%。</w:t>
            </w:r>
            <w:r/>
          </w:p>
          <w:p>
            <w:pPr>
              <w:numPr>
                <w:ilvl w:val="0"/>
                <w:numId w:val="0"/>
              </w:numPr>
              <w:jc w:val="left"/>
              <w:keepLines w:val="0"/>
              <w:keepNext w:val="0"/>
              <w:spacing w:after="0" w:line="240" w:lineRule="auto"/>
              <w:shd w:val="clear" w:color="auto" w:fill="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施肥器须具备以下功能：</w:t>
            </w:r>
            <w:r/>
          </w:p>
          <w:p>
            <w:pPr>
              <w:numPr>
                <w:ilvl w:val="0"/>
                <w:numId w:val="0"/>
              </w:numPr>
              <w:jc w:val="left"/>
              <w:keepLines w:val="0"/>
              <w:keepNext w:val="0"/>
              <w:spacing w:after="0" w:line="240" w:lineRule="auto"/>
              <w:shd w:val="clear" w:color="auto" w:fill="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1.按照草莓全生长周期模型数据实现全自动灌溉。</w:t>
            </w:r>
            <w:r/>
          </w:p>
          <w:p>
            <w:pPr>
              <w:numPr>
                <w:ilvl w:val="0"/>
                <w:numId w:val="0"/>
              </w:numPr>
              <w:jc w:val="left"/>
              <w:keepLines w:val="0"/>
              <w:keepNext w:val="0"/>
              <w:spacing w:after="0" w:line="240" w:lineRule="auto"/>
              <w:shd w:val="clear" w:color="auto" w:fill="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2.肥料配比精准无需动力电机，节能低碳。</w:t>
            </w:r>
            <w:r/>
          </w:p>
          <w:p>
            <w:pPr>
              <w:numPr>
                <w:ilvl w:val="0"/>
                <w:numId w:val="0"/>
              </w:numPr>
              <w:jc w:val="left"/>
              <w:keepLines w:val="0"/>
              <w:keepNext w:val="0"/>
              <w:spacing w:after="0" w:line="240" w:lineRule="auto"/>
              <w:shd w:val="clear" w:color="auto" w:fill="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3.具有定时定量灌既，远程控制pc端、手机端、平板等设备支持。</w:t>
            </w:r>
            <w:r/>
          </w:p>
          <w:p>
            <w:pPr>
              <w:numPr>
                <w:ilvl w:val="0"/>
                <w:numId w:val="0"/>
              </w:numPr>
              <w:jc w:val="left"/>
              <w:keepLines w:val="0"/>
              <w:keepNext w:val="0"/>
              <w:spacing w:after="0" w:line="240" w:lineRule="auto"/>
              <w:shd w:val="clear" w:color="auto" w:fill="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4.支持轮灌、水泵自动开关功能，</w:t>
            </w:r>
            <w:r/>
          </w:p>
          <w:p>
            <w:pPr>
              <w:numPr>
                <w:ilvl w:val="0"/>
                <w:numId w:val="0"/>
              </w:numPr>
              <w:jc w:val="left"/>
              <w:keepLines w:val="0"/>
              <w:keepNext w:val="0"/>
              <w:spacing w:after="0" w:line="240" w:lineRule="auto"/>
              <w:shd w:val="clear" w:color="auto" w:fill="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5.支持管路压力预警，支持水肥机运行状态监控。</w:t>
            </w:r>
            <w:r/>
          </w:p>
          <w:p>
            <w:pPr>
              <w:numPr>
                <w:ilvl w:val="0"/>
                <w:numId w:val="0"/>
              </w:numPr>
              <w:jc w:val="left"/>
              <w:keepLines w:val="0"/>
              <w:keepNext w:val="0"/>
              <w:spacing w:after="0" w:line="240" w:lineRule="auto"/>
              <w:shd w:val="clear" w:color="auto" w:fill="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6.支持远程电磁阀10通道控制;</w:t>
            </w:r>
            <w:r/>
          </w:p>
          <w:p>
            <w:pPr>
              <w:numPr>
                <w:ilvl w:val="0"/>
                <w:numId w:val="0"/>
              </w:numPr>
              <w:jc w:val="left"/>
              <w:keepLines w:val="0"/>
              <w:keepNext w:val="0"/>
              <w:spacing w:after="0" w:line="240" w:lineRule="auto"/>
              <w:shd w:val="clear" w:color="auto" w:fill="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7.支持EC值数据上传</w:t>
            </w:r>
            <w:r/>
          </w:p>
          <w:p>
            <w:pPr>
              <w:numPr>
                <w:ilvl w:val="0"/>
                <w:numId w:val="0"/>
              </w:numPr>
              <w:jc w:val="left"/>
              <w:keepLines w:val="0"/>
              <w:keepNext w:val="0"/>
              <w:spacing w:after="0" w:line="240" w:lineRule="auto"/>
              <w:shd w:val="clear" w:color="auto" w:fill="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8.支持4路温湿度传感器数据自动控制滴灌;</w:t>
            </w:r>
            <w:r/>
          </w:p>
          <w:p>
            <w:pPr>
              <w:numPr>
                <w:ilvl w:val="0"/>
                <w:numId w:val="0"/>
              </w:numPr>
              <w:jc w:val="left"/>
              <w:keepLines w:val="0"/>
              <w:keepNext w:val="0"/>
              <w:spacing w:after="0" w:line="240" w:lineRule="auto"/>
              <w:shd w:val="clear" w:color="auto" w:fill="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9. 支持电动机故障预警保护。</w:t>
            </w:r>
            <w:r/>
          </w:p>
          <w:p>
            <w:pPr>
              <w:numPr>
                <w:ilvl w:val="0"/>
                <w:numId w:val="0"/>
              </w:numPr>
              <w:jc w:val="left"/>
              <w:keepLines w:val="0"/>
              <w:keepNext w:val="0"/>
              <w:spacing w:after="0" w:line="240" w:lineRule="auto"/>
              <w:shd w:val="clear" w:color="auto" w:fill="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10.设备支持接入省物联网管理平台。</w:t>
            </w:r>
            <w:r/>
          </w:p>
          <w:p>
            <w:pPr>
              <w:numPr>
                <w:ilvl w:val="0"/>
                <w:numId w:val="0"/>
              </w:numPr>
              <w:jc w:val="left"/>
              <w:keepLines w:val="0"/>
              <w:keepNext w:val="0"/>
              <w:spacing w:after="0" w:line="240" w:lineRule="auto"/>
              <w:shd w:val="clear" w:color="auto" w:fill="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11水肥机固定材料：标准铝型材40mm*40mm臂厚2.0mm，固定支架架构确保长期使用稳定不变形，牢固耐用。含配套63mmPE控制电磁阀门等设备。</w:t>
            </w:r>
            <w:r/>
          </w:p>
        </w:tc>
        <w:tc>
          <w:tcPr>
            <w:tcW w:w="67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台</w:t>
            </w:r>
            <w:r/>
          </w:p>
        </w:tc>
        <w:tc>
          <w:tcPr>
            <w:tcW w:w="65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2</w:t>
            </w:r>
            <w:r/>
          </w:p>
        </w:tc>
      </w:tr>
      <w:tr>
        <w:trPr>
          <w:jc w:val="center"/>
        </w:trPr>
        <w:tc>
          <w:tcPr>
            <w:tcW w:w="99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43</w:t>
            </w:r>
            <w:r/>
          </w:p>
        </w:tc>
        <w:tc>
          <w:tcPr>
            <w:tcW w:w="141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搅拌肥料桶</w:t>
            </w:r>
            <w:r/>
          </w:p>
        </w:tc>
        <w:tc>
          <w:tcPr>
            <w:tcW w:w="6732"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专用肥料桶，PE材质，圆柱形， 容量:500L。自动搅拌电机三相交流电压380V功率:0.75KW，配套肥料桶水位高度数据上传，自动报警。对接智能水肥一体机。</w:t>
            </w:r>
            <w:r/>
          </w:p>
        </w:tc>
        <w:tc>
          <w:tcPr>
            <w:tcW w:w="67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台</w:t>
            </w:r>
            <w:r/>
          </w:p>
        </w:tc>
        <w:tc>
          <w:tcPr>
            <w:tcW w:w="65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4</w:t>
            </w:r>
            <w:r/>
          </w:p>
        </w:tc>
      </w:tr>
      <w:tr>
        <w:trPr>
          <w:jc w:val="center"/>
        </w:trPr>
        <w:tc>
          <w:tcPr>
            <w:tcW w:w="99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44</w:t>
            </w:r>
            <w:r/>
          </w:p>
        </w:tc>
        <w:tc>
          <w:tcPr>
            <w:tcW w:w="141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自动反冲洗砂石过滤器</w:t>
            </w:r>
            <w:r/>
          </w:p>
        </w:tc>
        <w:tc>
          <w:tcPr>
            <w:tcW w:w="6732"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最大工作压力:0.1-2.5Mp自清洗所需水量:&lt;1%。DN100主管、3寸排污、全自动反冲洗砂石过滤器双罐体，单罐直径800mm,内外烤漆，含石英砂，含控制器，碳钢Q235含压力表排气阀。支持物联网平台对接，支持预留手机APP升级接口。</w:t>
            </w:r>
            <w:r/>
          </w:p>
        </w:tc>
        <w:tc>
          <w:tcPr>
            <w:tcW w:w="67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台</w:t>
            </w:r>
            <w:r/>
          </w:p>
        </w:tc>
        <w:tc>
          <w:tcPr>
            <w:tcW w:w="65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2</w:t>
            </w:r>
            <w:r/>
          </w:p>
        </w:tc>
      </w:tr>
      <w:tr>
        <w:trPr>
          <w:jc w:val="center"/>
        </w:trPr>
        <w:tc>
          <w:tcPr>
            <w:tcW w:w="99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45</w:t>
            </w:r>
            <w:r/>
          </w:p>
        </w:tc>
        <w:tc>
          <w:tcPr>
            <w:tcW w:w="141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自动反冲洗叠片过滤器</w:t>
            </w:r>
            <w:r/>
          </w:p>
        </w:tc>
        <w:tc>
          <w:tcPr>
            <w:tcW w:w="6732"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DN100主管、3寸排污、全自动反冲洗叠片过滤器3组，过滤精度120目，含控制器含压力表，最大工作压力:0.1-2.5Mpa， 过滤精度范围:120um自清洗所需水量:&lt;1%。支持物联网平台升级接口，支持预留手机APP升级接口。</w:t>
            </w:r>
            <w:r/>
          </w:p>
        </w:tc>
        <w:tc>
          <w:tcPr>
            <w:tcW w:w="67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台</w:t>
            </w:r>
            <w:r/>
          </w:p>
        </w:tc>
        <w:tc>
          <w:tcPr>
            <w:tcW w:w="65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2</w:t>
            </w:r>
            <w:r/>
          </w:p>
        </w:tc>
      </w:tr>
      <w:tr>
        <w:trPr>
          <w:jc w:val="center"/>
        </w:trPr>
        <w:tc>
          <w:tcPr>
            <w:tcW w:w="99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46</w:t>
            </w:r>
            <w:r/>
          </w:p>
        </w:tc>
        <w:tc>
          <w:tcPr>
            <w:tcW w:w="141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离心过滤器</w:t>
            </w:r>
            <w:r/>
          </w:p>
        </w:tc>
        <w:tc>
          <w:tcPr>
            <w:tcW w:w="6732"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4寸离心过滤器（压力表排气阀）预留支持物联网平台接口，支持手机控制系统接入。支持预留省物联网平台联网接口。</w:t>
            </w:r>
            <w:r/>
          </w:p>
        </w:tc>
        <w:tc>
          <w:tcPr>
            <w:tcW w:w="67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台</w:t>
            </w:r>
            <w:r/>
          </w:p>
        </w:tc>
        <w:tc>
          <w:tcPr>
            <w:tcW w:w="65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2</w:t>
            </w:r>
            <w:r/>
          </w:p>
        </w:tc>
      </w:tr>
      <w:tr>
        <w:trPr>
          <w:jc w:val="center"/>
        </w:trPr>
        <w:tc>
          <w:tcPr>
            <w:tcW w:w="99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47</w:t>
            </w:r>
            <w:r/>
          </w:p>
        </w:tc>
        <w:tc>
          <w:tcPr>
            <w:tcW w:w="141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智能变频控制柜</w:t>
            </w:r>
            <w:r/>
          </w:p>
        </w:tc>
        <w:tc>
          <w:tcPr>
            <w:tcW w:w="6732"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全自动变频调速控制柜，控制电机功率：0.18-20KW；控制电压：380V；控制电机台数：1-7台；压力控制精度:0.02MPa或-0.02MPa。支持物联网平台对接，支持预留手机APP接口。</w:t>
            </w:r>
            <w:r/>
          </w:p>
        </w:tc>
        <w:tc>
          <w:tcPr>
            <w:tcW w:w="67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台</w:t>
            </w:r>
            <w:r/>
          </w:p>
        </w:tc>
        <w:tc>
          <w:tcPr>
            <w:tcW w:w="65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2</w:t>
            </w:r>
            <w:r/>
          </w:p>
        </w:tc>
      </w:tr>
      <w:tr>
        <w:trPr>
          <w:jc w:val="center"/>
        </w:trPr>
        <w:tc>
          <w:tcPr>
            <w:tcW w:w="99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48</w:t>
            </w:r>
            <w:r/>
          </w:p>
        </w:tc>
        <w:tc>
          <w:tcPr>
            <w:tcW w:w="141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滴灌主管道</w:t>
            </w:r>
            <w:r/>
          </w:p>
        </w:tc>
        <w:tc>
          <w:tcPr>
            <w:tcW w:w="6732"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2"/>
                <w:highlight w:val="yellow"/>
                <w:lang w:val="en-US" w:eastAsia="zh-CN" w:bidi="ar-SA"/>
              </w:rPr>
              <w:suppressLineNumbers w:val="0"/>
            </w:pPr>
            <w:r>
              <w:rPr>
                <w:rFonts w:hint="eastAsia" w:ascii="宋体" w:hAnsi="宋体" w:eastAsia="宋体" w:cs="宋体"/>
                <w:color w:val="auto"/>
                <w:sz w:val="24"/>
                <w:szCs w:val="22"/>
                <w:highlight w:val="yellow"/>
                <w:lang w:val="en-US" w:eastAsia="zh-CN" w:bidi="ar-SA"/>
              </w:rPr>
              <w:t xml:space="preserve">★PE材质，直径110mm，1.6Mpa</w:t>
            </w:r>
            <w:r/>
          </w:p>
        </w:tc>
        <w:tc>
          <w:tcPr>
            <w:tcW w:w="67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米</w:t>
            </w:r>
            <w:r/>
          </w:p>
        </w:tc>
        <w:tc>
          <w:tcPr>
            <w:tcW w:w="65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276</w:t>
            </w:r>
            <w:r/>
          </w:p>
        </w:tc>
      </w:tr>
      <w:tr>
        <w:trPr>
          <w:jc w:val="center"/>
        </w:trPr>
        <w:tc>
          <w:tcPr>
            <w:tcW w:w="99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49</w:t>
            </w:r>
            <w:r/>
          </w:p>
        </w:tc>
        <w:tc>
          <w:tcPr>
            <w:tcW w:w="141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滴灌支管道</w:t>
            </w:r>
            <w:r/>
          </w:p>
        </w:tc>
        <w:tc>
          <w:tcPr>
            <w:tcW w:w="6732"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2"/>
                <w:highlight w:val="yellow"/>
                <w:lang w:val="en-US" w:eastAsia="zh-CN" w:bidi="ar-SA"/>
              </w:rPr>
              <w:suppressLineNumbers w:val="0"/>
            </w:pPr>
            <w:r>
              <w:rPr>
                <w:rFonts w:hint="eastAsia" w:ascii="宋体" w:hAnsi="宋体" w:eastAsia="宋体" w:cs="宋体"/>
                <w:color w:val="auto"/>
                <w:sz w:val="24"/>
                <w:szCs w:val="22"/>
                <w:highlight w:val="yellow"/>
                <w:lang w:val="en-US" w:eastAsia="zh-CN" w:bidi="ar-SA"/>
              </w:rPr>
              <w:t xml:space="preserve">★PE材质，直径63mm，1.2Mpa</w:t>
            </w:r>
            <w:r/>
          </w:p>
        </w:tc>
        <w:tc>
          <w:tcPr>
            <w:tcW w:w="67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米</w:t>
            </w:r>
            <w:r/>
          </w:p>
        </w:tc>
        <w:tc>
          <w:tcPr>
            <w:tcW w:w="65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435</w:t>
            </w:r>
            <w:r/>
          </w:p>
        </w:tc>
      </w:tr>
      <w:tr>
        <w:trPr>
          <w:jc w:val="center"/>
        </w:trPr>
        <w:tc>
          <w:tcPr>
            <w:tcW w:w="99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50</w:t>
            </w:r>
            <w:r/>
          </w:p>
        </w:tc>
        <w:tc>
          <w:tcPr>
            <w:tcW w:w="141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喷淋支管道</w:t>
            </w:r>
            <w:r/>
          </w:p>
        </w:tc>
        <w:tc>
          <w:tcPr>
            <w:tcW w:w="6732"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PE材质，直径63mm，1.2Mpa含电磁阀</w:t>
            </w:r>
            <w:r/>
          </w:p>
        </w:tc>
        <w:tc>
          <w:tcPr>
            <w:tcW w:w="67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米</w:t>
            </w:r>
            <w:r/>
          </w:p>
        </w:tc>
        <w:tc>
          <w:tcPr>
            <w:tcW w:w="65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368</w:t>
            </w:r>
            <w:r/>
          </w:p>
        </w:tc>
      </w:tr>
      <w:tr>
        <w:trPr>
          <w:jc w:val="center"/>
        </w:trPr>
        <w:tc>
          <w:tcPr>
            <w:tcW w:w="99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51</w:t>
            </w:r>
            <w:r/>
          </w:p>
        </w:tc>
        <w:tc>
          <w:tcPr>
            <w:tcW w:w="141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滴灌支管道</w:t>
            </w:r>
            <w:r/>
          </w:p>
        </w:tc>
        <w:tc>
          <w:tcPr>
            <w:tcW w:w="6732"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PE材质，直径32mm，0.4Mpa</w:t>
            </w:r>
            <w:r/>
          </w:p>
        </w:tc>
        <w:tc>
          <w:tcPr>
            <w:tcW w:w="67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米</w:t>
            </w:r>
            <w:r/>
          </w:p>
        </w:tc>
        <w:tc>
          <w:tcPr>
            <w:tcW w:w="65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102</w:t>
            </w:r>
            <w:r/>
          </w:p>
        </w:tc>
      </w:tr>
      <w:tr>
        <w:trPr>
          <w:jc w:val="center"/>
        </w:trPr>
        <w:tc>
          <w:tcPr>
            <w:tcW w:w="99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52</w:t>
            </w:r>
            <w:r/>
          </w:p>
        </w:tc>
        <w:tc>
          <w:tcPr>
            <w:tcW w:w="141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电动阀门</w:t>
            </w:r>
            <w:r/>
          </w:p>
        </w:tc>
        <w:tc>
          <w:tcPr>
            <w:tcW w:w="6732"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金属材质直径63mm电动阀门、PE材质直径63mm电磁阀根据情况配套</w:t>
            </w:r>
            <w:r/>
          </w:p>
        </w:tc>
        <w:tc>
          <w:tcPr>
            <w:tcW w:w="67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个</w:t>
            </w:r>
            <w:r/>
          </w:p>
        </w:tc>
        <w:tc>
          <w:tcPr>
            <w:tcW w:w="65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26</w:t>
            </w:r>
            <w:r/>
          </w:p>
        </w:tc>
      </w:tr>
      <w:tr>
        <w:trPr>
          <w:jc w:val="center"/>
        </w:trPr>
        <w:tc>
          <w:tcPr>
            <w:tcW w:w="99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53</w:t>
            </w:r>
            <w:r/>
          </w:p>
        </w:tc>
        <w:tc>
          <w:tcPr>
            <w:tcW w:w="141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阀门</w:t>
            </w:r>
            <w:r/>
          </w:p>
        </w:tc>
        <w:tc>
          <w:tcPr>
            <w:tcW w:w="6732"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upvc材质，直径32mm</w:t>
            </w:r>
            <w:r/>
          </w:p>
        </w:tc>
        <w:tc>
          <w:tcPr>
            <w:tcW w:w="67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个</w:t>
            </w:r>
            <w:r/>
          </w:p>
        </w:tc>
        <w:tc>
          <w:tcPr>
            <w:tcW w:w="65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70</w:t>
            </w:r>
            <w:r/>
          </w:p>
        </w:tc>
      </w:tr>
      <w:tr>
        <w:trPr>
          <w:jc w:val="center"/>
        </w:trPr>
        <w:tc>
          <w:tcPr>
            <w:tcW w:w="99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54</w:t>
            </w:r>
            <w:r/>
          </w:p>
        </w:tc>
        <w:tc>
          <w:tcPr>
            <w:tcW w:w="141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滴灌管</w:t>
            </w:r>
            <w:r/>
          </w:p>
        </w:tc>
        <w:tc>
          <w:tcPr>
            <w:tcW w:w="6732"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PE材质，直径16mm，厚度1.0mm</w:t>
            </w:r>
            <w:r/>
          </w:p>
        </w:tc>
        <w:tc>
          <w:tcPr>
            <w:tcW w:w="67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米</w:t>
            </w:r>
            <w:r/>
          </w:p>
        </w:tc>
        <w:tc>
          <w:tcPr>
            <w:tcW w:w="65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5500</w:t>
            </w:r>
            <w:r/>
          </w:p>
        </w:tc>
      </w:tr>
      <w:tr>
        <w:trPr>
          <w:jc w:val="center"/>
        </w:trPr>
        <w:tc>
          <w:tcPr>
            <w:tcW w:w="99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55</w:t>
            </w:r>
            <w:r/>
          </w:p>
        </w:tc>
        <w:tc>
          <w:tcPr>
            <w:tcW w:w="141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滴灌管</w:t>
            </w:r>
            <w:r/>
          </w:p>
        </w:tc>
        <w:tc>
          <w:tcPr>
            <w:tcW w:w="6732"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PE材质，直径16mm，厚度1.0mm</w:t>
            </w:r>
            <w:r/>
          </w:p>
        </w:tc>
        <w:tc>
          <w:tcPr>
            <w:tcW w:w="67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米</w:t>
            </w:r>
            <w:r/>
          </w:p>
        </w:tc>
        <w:tc>
          <w:tcPr>
            <w:tcW w:w="65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9120</w:t>
            </w:r>
            <w:r/>
          </w:p>
        </w:tc>
      </w:tr>
      <w:tr>
        <w:trPr>
          <w:jc w:val="center"/>
        </w:trPr>
        <w:tc>
          <w:tcPr>
            <w:tcW w:w="99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56</w:t>
            </w:r>
            <w:r/>
          </w:p>
        </w:tc>
        <w:tc>
          <w:tcPr>
            <w:tcW w:w="141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滴灌管</w:t>
            </w:r>
            <w:r/>
          </w:p>
        </w:tc>
        <w:tc>
          <w:tcPr>
            <w:tcW w:w="6732"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PE材质，直径20mm，厚度1.0mm</w:t>
            </w:r>
            <w:r/>
          </w:p>
        </w:tc>
        <w:tc>
          <w:tcPr>
            <w:tcW w:w="67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米</w:t>
            </w:r>
            <w:r/>
          </w:p>
        </w:tc>
        <w:tc>
          <w:tcPr>
            <w:tcW w:w="65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4560</w:t>
            </w:r>
            <w:r/>
          </w:p>
        </w:tc>
      </w:tr>
      <w:tr>
        <w:trPr>
          <w:jc w:val="center"/>
        </w:trPr>
        <w:tc>
          <w:tcPr>
            <w:tcW w:w="99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57</w:t>
            </w:r>
            <w:r/>
          </w:p>
        </w:tc>
        <w:tc>
          <w:tcPr>
            <w:tcW w:w="141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喷头挂件旋转喷头</w:t>
            </w:r>
            <w:r/>
          </w:p>
        </w:tc>
        <w:tc>
          <w:tcPr>
            <w:tcW w:w="6732"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直径20mm-400mm</w:t>
            </w:r>
            <w:r/>
          </w:p>
        </w:tc>
        <w:tc>
          <w:tcPr>
            <w:tcW w:w="67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个</w:t>
            </w:r>
            <w:r/>
          </w:p>
        </w:tc>
        <w:tc>
          <w:tcPr>
            <w:tcW w:w="65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1140</w:t>
            </w:r>
            <w:r/>
          </w:p>
        </w:tc>
      </w:tr>
      <w:tr>
        <w:trPr>
          <w:jc w:val="center"/>
        </w:trPr>
        <w:tc>
          <w:tcPr>
            <w:tcW w:w="99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58</w:t>
            </w:r>
            <w:r/>
          </w:p>
        </w:tc>
        <w:tc>
          <w:tcPr>
            <w:tcW w:w="141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旁通阀</w:t>
            </w:r>
            <w:r/>
          </w:p>
        </w:tc>
        <w:tc>
          <w:tcPr>
            <w:tcW w:w="6732"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直径20mm</w:t>
            </w:r>
            <w:r/>
          </w:p>
        </w:tc>
        <w:tc>
          <w:tcPr>
            <w:tcW w:w="67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个</w:t>
            </w:r>
            <w:r/>
          </w:p>
        </w:tc>
        <w:tc>
          <w:tcPr>
            <w:tcW w:w="65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1140</w:t>
            </w:r>
            <w:r/>
          </w:p>
        </w:tc>
      </w:tr>
      <w:tr>
        <w:trPr>
          <w:jc w:val="center"/>
        </w:trPr>
        <w:tc>
          <w:tcPr>
            <w:tcW w:w="99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59</w:t>
            </w:r>
            <w:r/>
          </w:p>
        </w:tc>
        <w:tc>
          <w:tcPr>
            <w:tcW w:w="141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旁通阀</w:t>
            </w:r>
            <w:r/>
          </w:p>
        </w:tc>
        <w:tc>
          <w:tcPr>
            <w:tcW w:w="6732"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直径16mm</w:t>
            </w:r>
            <w:r/>
          </w:p>
        </w:tc>
        <w:tc>
          <w:tcPr>
            <w:tcW w:w="67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个</w:t>
            </w:r>
            <w:r/>
          </w:p>
        </w:tc>
        <w:tc>
          <w:tcPr>
            <w:tcW w:w="65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1140</w:t>
            </w:r>
            <w:r/>
          </w:p>
        </w:tc>
      </w:tr>
      <w:tr>
        <w:trPr>
          <w:jc w:val="center"/>
        </w:trPr>
        <w:tc>
          <w:tcPr>
            <w:tcW w:w="99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60</w:t>
            </w:r>
            <w:r/>
          </w:p>
        </w:tc>
        <w:tc>
          <w:tcPr>
            <w:tcW w:w="141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卷膜器</w:t>
            </w:r>
            <w:r/>
          </w:p>
        </w:tc>
        <w:tc>
          <w:tcPr>
            <w:tcW w:w="6732"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24VDC，100W，单出轴</w:t>
            </w:r>
            <w:r/>
          </w:p>
        </w:tc>
        <w:tc>
          <w:tcPr>
            <w:tcW w:w="67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台</w:t>
            </w:r>
            <w:r/>
          </w:p>
        </w:tc>
        <w:tc>
          <w:tcPr>
            <w:tcW w:w="65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41</w:t>
            </w:r>
            <w:r/>
          </w:p>
        </w:tc>
      </w:tr>
      <w:tr>
        <w:trPr>
          <w:jc w:val="center"/>
        </w:trPr>
        <w:tc>
          <w:tcPr>
            <w:tcW w:w="99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61</w:t>
            </w:r>
            <w:r/>
          </w:p>
        </w:tc>
        <w:tc>
          <w:tcPr>
            <w:tcW w:w="141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电机电源线</w:t>
            </w:r>
            <w:r/>
          </w:p>
        </w:tc>
        <w:tc>
          <w:tcPr>
            <w:tcW w:w="6732"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RVV2*1.0</w:t>
            </w:r>
            <w:r/>
          </w:p>
        </w:tc>
        <w:tc>
          <w:tcPr>
            <w:tcW w:w="67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米</w:t>
            </w:r>
            <w:r/>
          </w:p>
        </w:tc>
        <w:tc>
          <w:tcPr>
            <w:tcW w:w="65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450</w:t>
            </w:r>
            <w:r/>
          </w:p>
        </w:tc>
      </w:tr>
      <w:tr>
        <w:trPr>
          <w:jc w:val="center"/>
        </w:trPr>
        <w:tc>
          <w:tcPr>
            <w:tcW w:w="99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62</w:t>
            </w:r>
            <w:r/>
          </w:p>
        </w:tc>
        <w:tc>
          <w:tcPr>
            <w:tcW w:w="141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主电源线</w:t>
            </w:r>
            <w:r/>
          </w:p>
        </w:tc>
        <w:tc>
          <w:tcPr>
            <w:tcW w:w="6732"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RVV2*2.0</w:t>
            </w:r>
            <w:r/>
          </w:p>
        </w:tc>
        <w:tc>
          <w:tcPr>
            <w:tcW w:w="67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米</w:t>
            </w:r>
            <w:r/>
          </w:p>
        </w:tc>
        <w:tc>
          <w:tcPr>
            <w:tcW w:w="65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300</w:t>
            </w:r>
            <w:r/>
          </w:p>
        </w:tc>
      </w:tr>
      <w:tr>
        <w:trPr>
          <w:jc w:val="center"/>
        </w:trPr>
        <w:tc>
          <w:tcPr>
            <w:tcW w:w="99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63</w:t>
            </w:r>
            <w:r/>
          </w:p>
        </w:tc>
        <w:tc>
          <w:tcPr>
            <w:tcW w:w="141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电磁阀控制线</w:t>
            </w:r>
            <w:r/>
          </w:p>
        </w:tc>
        <w:tc>
          <w:tcPr>
            <w:tcW w:w="6732"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RVV2*1.5</w:t>
            </w:r>
            <w:r/>
          </w:p>
        </w:tc>
        <w:tc>
          <w:tcPr>
            <w:tcW w:w="67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米</w:t>
            </w:r>
            <w:r/>
          </w:p>
        </w:tc>
        <w:tc>
          <w:tcPr>
            <w:tcW w:w="65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220</w:t>
            </w:r>
            <w:r/>
          </w:p>
        </w:tc>
      </w:tr>
      <w:tr>
        <w:trPr>
          <w:jc w:val="center"/>
        </w:trPr>
        <w:tc>
          <w:tcPr>
            <w:tcW w:w="99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64</w:t>
            </w:r>
            <w:r/>
          </w:p>
        </w:tc>
        <w:tc>
          <w:tcPr>
            <w:tcW w:w="141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补光灯专用线</w:t>
            </w:r>
            <w:r/>
          </w:p>
        </w:tc>
        <w:tc>
          <w:tcPr>
            <w:tcW w:w="6732"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专用防水灯头及一体化防水电缆</w:t>
            </w:r>
            <w:r/>
          </w:p>
        </w:tc>
        <w:tc>
          <w:tcPr>
            <w:tcW w:w="67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米</w:t>
            </w:r>
            <w:r/>
          </w:p>
        </w:tc>
        <w:tc>
          <w:tcPr>
            <w:tcW w:w="65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960</w:t>
            </w:r>
            <w:r/>
          </w:p>
        </w:tc>
      </w:tr>
      <w:tr>
        <w:trPr>
          <w:jc w:val="center"/>
        </w:trPr>
        <w:tc>
          <w:tcPr>
            <w:tcW w:w="99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65</w:t>
            </w:r>
            <w:r/>
          </w:p>
        </w:tc>
        <w:tc>
          <w:tcPr>
            <w:tcW w:w="141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智能电箱</w:t>
            </w:r>
            <w:r/>
          </w:p>
        </w:tc>
        <w:tc>
          <w:tcPr>
            <w:tcW w:w="6732"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400mm*500mm</w:t>
            </w:r>
            <w:r/>
          </w:p>
        </w:tc>
        <w:tc>
          <w:tcPr>
            <w:tcW w:w="67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台</w:t>
            </w:r>
            <w:r/>
          </w:p>
        </w:tc>
        <w:tc>
          <w:tcPr>
            <w:tcW w:w="65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13</w:t>
            </w:r>
            <w:r/>
          </w:p>
        </w:tc>
      </w:tr>
      <w:tr>
        <w:trPr>
          <w:jc w:val="center"/>
        </w:trPr>
        <w:tc>
          <w:tcPr>
            <w:tcW w:w="99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66</w:t>
            </w:r>
            <w:r/>
          </w:p>
        </w:tc>
        <w:tc>
          <w:tcPr>
            <w:tcW w:w="141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交流接触器</w:t>
            </w:r>
            <w:r/>
          </w:p>
        </w:tc>
        <w:tc>
          <w:tcPr>
            <w:tcW w:w="6732"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220v9A</w:t>
            </w:r>
            <w:r/>
          </w:p>
        </w:tc>
        <w:tc>
          <w:tcPr>
            <w:tcW w:w="67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台</w:t>
            </w:r>
            <w:r/>
          </w:p>
        </w:tc>
        <w:tc>
          <w:tcPr>
            <w:tcW w:w="65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48</w:t>
            </w:r>
            <w:r/>
          </w:p>
        </w:tc>
      </w:tr>
      <w:tr>
        <w:trPr>
          <w:jc w:val="center"/>
        </w:trPr>
        <w:tc>
          <w:tcPr>
            <w:tcW w:w="99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67</w:t>
            </w:r>
            <w:r/>
          </w:p>
        </w:tc>
        <w:tc>
          <w:tcPr>
            <w:tcW w:w="141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专用补光灯</w:t>
            </w:r>
            <w:r/>
          </w:p>
        </w:tc>
        <w:tc>
          <w:tcPr>
            <w:tcW w:w="6732"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产品功率：36W。产品尺寸：Φ118*H160MM。输入电压：AC180-265V。灯头：E27。LED：2835。数量：88PCS。发光角度：120°。效率： 2.3 μmol/J。光量子通量(PPF)：82μmol/s。</w:t>
            </w:r>
            <w:r/>
          </w:p>
        </w:tc>
        <w:tc>
          <w:tcPr>
            <w:tcW w:w="67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套</w:t>
            </w:r>
            <w:r/>
          </w:p>
        </w:tc>
        <w:tc>
          <w:tcPr>
            <w:tcW w:w="65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320</w:t>
            </w:r>
            <w:r/>
          </w:p>
        </w:tc>
      </w:tr>
      <w:tr>
        <w:trPr>
          <w:jc w:val="center"/>
        </w:trPr>
        <w:tc>
          <w:tcPr>
            <w:tcW w:w="99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68</w:t>
            </w:r>
            <w:r/>
          </w:p>
        </w:tc>
        <w:tc>
          <w:tcPr>
            <w:tcW w:w="141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专用钢丝</w:t>
            </w:r>
            <w:r/>
          </w:p>
        </w:tc>
        <w:tc>
          <w:tcPr>
            <w:tcW w:w="6732"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钢丝直径2.2mm，防锈大棚专用钢丝。</w:t>
            </w:r>
            <w:r/>
          </w:p>
        </w:tc>
        <w:tc>
          <w:tcPr>
            <w:tcW w:w="67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米</w:t>
            </w:r>
            <w:r/>
          </w:p>
        </w:tc>
        <w:tc>
          <w:tcPr>
            <w:tcW w:w="65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960</w:t>
            </w:r>
            <w:r/>
          </w:p>
        </w:tc>
      </w:tr>
      <w:tr>
        <w:trPr>
          <w:jc w:val="center"/>
        </w:trPr>
        <w:tc>
          <w:tcPr>
            <w:tcW w:w="99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69</w:t>
            </w:r>
            <w:r/>
          </w:p>
        </w:tc>
        <w:tc>
          <w:tcPr>
            <w:tcW w:w="141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辅材</w:t>
            </w:r>
            <w:r/>
          </w:p>
        </w:tc>
        <w:tc>
          <w:tcPr>
            <w:tcW w:w="6732"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各种辅材等</w:t>
            </w:r>
            <w:r/>
          </w:p>
        </w:tc>
        <w:tc>
          <w:tcPr>
            <w:tcW w:w="67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批</w:t>
            </w:r>
            <w:r/>
          </w:p>
        </w:tc>
        <w:tc>
          <w:tcPr>
            <w:tcW w:w="65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1</w:t>
            </w:r>
            <w:r/>
          </w:p>
        </w:tc>
      </w:tr>
      <w:tr>
        <w:trPr>
          <w:jc w:val="center"/>
        </w:trPr>
        <w:tc>
          <w:tcPr>
            <w:tcW w:w="99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70</w:t>
            </w:r>
            <w:r/>
          </w:p>
        </w:tc>
        <w:tc>
          <w:tcPr>
            <w:tcW w:w="141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木质房屋</w:t>
            </w:r>
            <w:r/>
          </w:p>
        </w:tc>
        <w:tc>
          <w:tcPr>
            <w:tcW w:w="6732"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木屋规格：4000mm*6000mm*2300mm，地板材质1</w:t>
            </w:r>
            <w:r>
              <w:rPr>
                <w:rFonts w:hint="eastAsia" w:ascii="宋体" w:hAnsi="宋体" w:eastAsia="宋体" w:cs="宋体"/>
                <w:color w:val="auto"/>
                <w:sz w:val="24"/>
                <w:szCs w:val="22"/>
                <w:highlight w:val="none"/>
                <w:lang w:val="en-US" w:eastAsia="zh-CN" w:bidi="ar-SA"/>
              </w:rPr>
              <w:t xml:space="preserve">220mmX2440mmX20mm俄罗斯樟子松防腐木。外墙体40mmX70mm立柱、横梁112mmX112mm俄罗斯樟子松防腐木。免漆内墙板10×100mm俄罗斯樟子松免漆桑拿板，吊顶、龙骨20X30mm吊顶10×100mm俄罗斯樟子松免漆桑拿板。沥青瓦黑灰色，屋面底板1220mmX2440mmX10mm，OSB大板，屋顶斜梁40X70mm俄罗斯樟子松。窗户4个1200X1500mm铝合金窗，门1000X2000X80mm防盗门。基础：100mmC30砼，尺寸：长7000mm*宽5000mm*厚100mm。</w:t>
            </w:r>
            <w:r/>
          </w:p>
        </w:tc>
        <w:tc>
          <w:tcPr>
            <w:tcW w:w="67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批</w:t>
            </w:r>
            <w:r/>
          </w:p>
        </w:tc>
        <w:tc>
          <w:tcPr>
            <w:tcW w:w="65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2"/>
                <w:highlight w:val="none"/>
                <w:lang w:val="en-US" w:eastAsia="zh-CN" w:bidi="ar-SA"/>
              </w:rPr>
              <w:suppressLineNumbers w:val="0"/>
            </w:pPr>
            <w:r>
              <w:rPr>
                <w:rFonts w:hint="eastAsia" w:ascii="宋体" w:hAnsi="宋体" w:eastAsia="宋体" w:cs="宋体"/>
                <w:color w:val="auto"/>
                <w:sz w:val="24"/>
                <w:szCs w:val="22"/>
                <w:highlight w:val="none"/>
                <w:lang w:val="en-US" w:eastAsia="zh-CN" w:bidi="ar-SA"/>
              </w:rPr>
              <w:t xml:space="preserve">1</w:t>
            </w:r>
            <w:r/>
          </w:p>
        </w:tc>
      </w:tr>
    </w:tbl>
    <w:p>
      <w:pPr>
        <w:keepLines w:val="0"/>
        <w:keepNext w:val="0"/>
        <w:pageBreakBefore w:val="0"/>
        <w:spacing w:line="360" w:lineRule="auto"/>
        <w:widowControl w:val="off"/>
        <w:rPr>
          <w:rFonts w:hint="eastAsia" w:eastAsia="宋体"/>
          <w:color w:val="auto"/>
          <w:highlight w:val="none"/>
          <w:lang w:eastAsia="zh-CN"/>
        </w:rPr>
      </w:pPr>
      <w:r>
        <w:rPr>
          <w:b/>
          <w:bCs/>
          <w:color w:val="auto"/>
          <w:highlight w:val="none"/>
        </w:rPr>
        <w:t xml:space="preserve"> </w:t>
      </w:r>
      <w:r/>
    </w:p>
    <w:p>
      <w:pPr>
        <w:pStyle w:val="667"/>
        <w:ind w:firstLine="482"/>
        <w:jc w:val="both"/>
        <w:spacing w:beforeAutospacing="0" w:afterAutospacing="0"/>
        <w:rPr>
          <w:rFonts w:hint="eastAsia" w:ascii="宋体" w:hAnsi="宋体" w:eastAsia="宋体" w:cs="宋体"/>
          <w:b/>
          <w:bCs/>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lang w:val="en-US" w:eastAsia="zh-CN"/>
        </w:rPr>
        <w:t xml:space="preserve">二、采购标的对应的中小企业划分标准所属行业一览表</w:t>
      </w:r>
      <w:r/>
    </w:p>
    <w:tbl>
      <w:tblPr>
        <w:tblStyle w:val="647"/>
        <w:tblW w:w="8559"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697"/>
        <w:gridCol w:w="4212"/>
        <w:gridCol w:w="3650"/>
      </w:tblGrid>
      <w:tr>
        <w:trPr>
          <w:jc w:val="center"/>
          <w:tblCellSpacing w:w="0" w:type="dxa"/>
          <w:trHeight w:val="613"/>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66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212" w:type="dxa"/>
            <w:vAlign w:val="center"/>
            <w:textDirection w:val="lrTb"/>
            <w:noWrap w:val="false"/>
          </w:tcPr>
          <w:p>
            <w:pPr>
              <w:pStyle w:val="66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650" w:type="dxa"/>
            <w:vAlign w:val="center"/>
            <w:textDirection w:val="lrTb"/>
            <w:noWrap w:val="false"/>
          </w:tcPr>
          <w:p>
            <w:pPr>
              <w:pStyle w:val="66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对应中小企业划分标准所属行业</w:t>
            </w:r>
            <w:r/>
          </w:p>
        </w:tc>
      </w:tr>
      <w:tr>
        <w:trPr>
          <w:jc w:val="center"/>
          <w:tblCellSpacing w:w="0" w:type="dxa"/>
          <w:trHeight w:val="613"/>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667"/>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12" w:type="dxa"/>
            <w:vAlign w:val="center"/>
            <w:textDirection w:val="lrTb"/>
            <w:noWrap w:val="false"/>
          </w:tcPr>
          <w:p>
            <w:pPr>
              <w:pStyle w:val="667"/>
              <w:jc w:val="center"/>
              <w:spacing w:beforeAutospacing="0" w:afterAutospacing="0" w:line="0" w:lineRule="atLeast"/>
              <w:rPr>
                <w:color w:val="auto"/>
                <w:highlight w:val="none"/>
              </w:rPr>
            </w:pPr>
            <w:r>
              <w:rPr>
                <w:rFonts w:hint="eastAsia" w:eastAsia="宋体"/>
                <w:color w:val="auto"/>
                <w:highlight w:val="none"/>
                <w:lang w:eastAsia="zh-CN"/>
              </w:rPr>
              <w:t xml:space="preserve">东台市安丰镇数字农业示范基地设备采购安装项目</w:t>
            </w: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650" w:type="dxa"/>
            <w:vAlign w:val="center"/>
            <w:textDirection w:val="lrTb"/>
            <w:noWrap w:val="false"/>
          </w:tcPr>
          <w:p>
            <w:pPr>
              <w:pStyle w:val="667"/>
              <w:jc w:val="center"/>
              <w:spacing w:beforeAutospacing="0" w:afterAutospacing="0" w:line="0" w:lineRule="atLeast"/>
              <w:rPr>
                <w:color w:val="auto"/>
                <w:highlight w:val="none"/>
              </w:rPr>
            </w:pPr>
            <w:r>
              <w:rPr>
                <w:rFonts w:hint="eastAsia" w:eastAsia="宋体"/>
                <w:color w:val="auto"/>
                <w:highlight w:val="none"/>
                <w:lang w:eastAsia="zh-CN"/>
              </w:rPr>
              <w:t xml:space="preserve">工业</w:t>
            </w:r>
            <w:r>
              <w:rPr>
                <w:color w:val="auto"/>
                <w:highlight w:val="none"/>
              </w:rPr>
              <w:t xml:space="preserve"> </w:t>
            </w:r>
            <w:r/>
          </w:p>
        </w:tc>
      </w:tr>
    </w:tbl>
    <w:p>
      <w:pPr>
        <w:pStyle w:val="667"/>
        <w:jc w:val="both"/>
        <w:spacing w:beforeAutospacing="0" w:afterAutospacing="0"/>
        <w:rPr>
          <w:color w:val="auto"/>
          <w:highlight w:val="none"/>
        </w:rPr>
      </w:pPr>
      <w:r>
        <w:rPr>
          <w:color w:val="auto"/>
          <w:highlight w:val="none"/>
        </w:rPr>
        <w:t xml:space="preserve"> </w:t>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667"/>
        <w:jc w:val="center"/>
        <w:keepNext/>
        <w:spacing w:beforeAutospacing="0" w:afterAutospacing="0"/>
        <w:rPr>
          <w:color w:val="auto"/>
          <w:highlight w:val="none"/>
        </w:rPr>
        <w:outlineLvl w:val="0"/>
      </w:pPr>
      <w:r/>
      <w:bookmarkStart w:id="36" w:name="_Toc12"/>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bookmarkEnd w:id="36"/>
      <w:r/>
      <w:r/>
    </w:p>
    <w:p>
      <w:pPr>
        <w:pStyle w:val="667"/>
        <w:jc w:val="both"/>
        <w:spacing w:beforeAutospacing="0" w:afterAutospacing="0"/>
        <w:rPr>
          <w:color w:val="auto"/>
          <w:highlight w:val="none"/>
        </w:rPr>
      </w:pPr>
      <w:r>
        <w:rPr>
          <w:color w:val="auto"/>
          <w:highlight w:val="none"/>
        </w:rPr>
        <w:t xml:space="preserve"> </w:t>
      </w:r>
      <w:r/>
    </w:p>
    <w:p>
      <w:pPr>
        <w:pStyle w:val="667"/>
        <w:ind w:firstLine="439"/>
        <w:spacing w:before="120" w:beforeAutospacing="0" w:after="120" w:afterAutospacing="0" w:line="360" w:lineRule="auto"/>
        <w:rPr>
          <w:color w:val="auto"/>
          <w:highlight w:val="none"/>
        </w:rPr>
      </w:pPr>
      <w:r>
        <w:rPr>
          <w:rFonts w:ascii="Arial" w:hAnsi="Arial" w:cs="Arial"/>
          <w:color w:val="auto"/>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分包</w:t>
      </w:r>
      <w:r>
        <w:rPr>
          <w:rFonts w:hint="eastAsia" w:ascii="Arial" w:hAnsi="Arial" w:cs="Arial"/>
          <w:color w:val="auto"/>
          <w:highlight w:val="none"/>
          <w:lang w:val="en-US" w:eastAsia="zh-CN"/>
        </w:rPr>
        <w:t xml:space="preserve">1</w:t>
      </w:r>
      <w:r>
        <w:rPr>
          <w:rFonts w:ascii="Arial" w:hAnsi="Arial" w:cs="Arial"/>
          <w:color w:val="auto"/>
          <w:highlight w:val="none"/>
        </w:rPr>
        <w:t xml:space="preserve">选取1名中标候选人。</w:t>
      </w:r>
      <w:r/>
    </w:p>
    <w:p>
      <w:pPr>
        <w:pStyle w:val="667"/>
        <w:ind w:firstLine="441"/>
        <w:spacing w:before="120" w:beforeAutospacing="0" w:after="120" w:afterAutospacing="0" w:line="360" w:lineRule="auto"/>
        <w:rPr>
          <w:color w:val="auto"/>
          <w:highlight w:val="none"/>
        </w:rPr>
      </w:pPr>
      <w:r>
        <w:rPr>
          <w:rFonts w:hint="eastAsia" w:ascii="宋体" w:hAnsi="宋体" w:eastAsia="宋体" w:cs="宋体"/>
          <w:b/>
          <w:color w:val="auto"/>
          <w:highlight w:val="none"/>
        </w:rPr>
        <w:t xml:space="preserve">政府采购政策功能落实</w:t>
      </w:r>
      <w:r/>
    </w:p>
    <w:p>
      <w:pPr>
        <w:pStyle w:val="667"/>
        <w:ind w:firstLine="480"/>
        <w:spacing w:before="120" w:beforeAutospacing="0" w:after="120" w:afterAutospacing="0" w:line="0" w:lineRule="atLeast"/>
        <w:rPr>
          <w:color w:val="auto"/>
          <w:highlight w:val="none"/>
        </w:rPr>
      </w:pPr>
      <w:r>
        <w:rPr>
          <w:rFonts w:hint="eastAsia" w:ascii="宋体" w:hAnsi="宋体" w:eastAsia="宋体" w:cs="宋体"/>
          <w:color w:val="auto"/>
          <w:highlight w:val="none"/>
        </w:rPr>
        <w:t xml:space="preserve">1、小微型企业价格扣除</w:t>
      </w:r>
      <w:r/>
    </w:p>
    <w:p>
      <w:pPr>
        <w:pStyle w:val="667"/>
        <w:ind w:firstLine="360"/>
        <w:spacing w:before="120" w:beforeAutospacing="0" w:after="12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（1）本项目对小型和微型企业提供的服务给予</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rPr>
        <w:t xml:space="preserve">的扣除价格，用扣除后的价格参与评审。</w:t>
      </w:r>
      <w:r/>
    </w:p>
    <w:p>
      <w:pPr>
        <w:pStyle w:val="667"/>
        <w:ind w:firstLine="360"/>
        <w:spacing w:before="120" w:beforeAutospacing="0" w:after="120" w:afterAutospacing="0" w:line="0" w:lineRule="atLeast"/>
        <w:rPr>
          <w:color w:val="auto"/>
          <w:highlight w:val="none"/>
        </w:rPr>
      </w:pPr>
      <w:r>
        <w:rPr>
          <w:rFonts w:hint="eastAsia" w:ascii="宋体" w:hAnsi="宋体" w:eastAsia="宋体" w:cs="宋体"/>
          <w:color w:val="auto"/>
          <w:highlight w:val="none"/>
        </w:rPr>
        <w:t xml:space="preserve">（2）供应商需按照采购文件的要求提供相应的《小微企业声明函》。</w:t>
      </w:r>
      <w:r/>
    </w:p>
    <w:p>
      <w:pPr>
        <w:pStyle w:val="667"/>
        <w:ind w:firstLine="360"/>
        <w:spacing w:before="120" w:beforeAutospacing="0" w:after="120" w:afterAutospacing="0" w:line="0" w:lineRule="atLeast"/>
        <w:rPr>
          <w:color w:val="auto"/>
          <w:highlight w:val="none"/>
        </w:rPr>
      </w:pPr>
      <w:r>
        <w:rPr>
          <w:rFonts w:hint="eastAsia" w:ascii="宋体" w:hAnsi="宋体" w:eastAsia="宋体" w:cs="宋体"/>
          <w:color w:val="auto"/>
          <w:highlight w:val="none"/>
        </w:rPr>
        <w:t xml:space="preserve">（3）企业标准请参照《关于印发中小企业划型标准规定的通知》（工信部联企业[2011]300号）文件规定自行填写。</w:t>
      </w:r>
      <w:r/>
    </w:p>
    <w:p>
      <w:pPr>
        <w:pStyle w:val="667"/>
        <w:ind w:firstLine="480"/>
        <w:spacing w:before="120" w:beforeAutospacing="0" w:after="120" w:afterAutospacing="0" w:line="0" w:lineRule="atLeast"/>
        <w:rPr>
          <w:color w:val="auto"/>
          <w:highlight w:val="none"/>
        </w:rPr>
      </w:pPr>
      <w:r>
        <w:rPr>
          <w:rFonts w:hint="eastAsia" w:ascii="宋体" w:hAnsi="宋体" w:eastAsia="宋体" w:cs="宋体"/>
          <w:color w:val="auto"/>
          <w:highlight w:val="none"/>
        </w:rPr>
        <w:t xml:space="preserve">2、残疾人福利单位价格扣除</w:t>
      </w:r>
      <w:r/>
    </w:p>
    <w:p>
      <w:pPr>
        <w:pStyle w:val="667"/>
        <w:ind w:left="120" w:firstLine="360"/>
        <w:spacing w:before="120" w:beforeAutospacing="0" w:after="120" w:afterAutospacing="0" w:line="0" w:lineRule="atLeast"/>
        <w:rPr>
          <w:rFonts w:ascii="宋体" w:hAnsi="宋体" w:eastAsia="宋体" w:cs="宋体"/>
          <w:color w:val="auto"/>
          <w:highlight w:val="none"/>
          <w:u w:val="single"/>
        </w:rPr>
      </w:pPr>
      <w:r>
        <w:rPr>
          <w:rFonts w:hint="eastAsia" w:ascii="宋体" w:hAnsi="宋体" w:eastAsia="宋体" w:cs="宋体"/>
          <w:color w:val="auto"/>
          <w:highlight w:val="none"/>
        </w:rPr>
        <w:t xml:space="preserve">（1）本项目对残疾人福利性单位视同小型、微型企业，给予</w:t>
      </w:r>
      <w:r>
        <w:rPr>
          <w:rFonts w:hint="eastAsia" w:ascii="宋体" w:hAnsi="宋体" w:eastAsia="宋体" w:cs="宋体"/>
          <w:color w:val="auto"/>
          <w:highlight w:val="none"/>
          <w:u w:val="single"/>
        </w:rPr>
        <w:t xml:space="preserve">20%</w:t>
      </w:r>
      <w:r/>
    </w:p>
    <w:p>
      <w:pPr>
        <w:pStyle w:val="667"/>
        <w:ind w:left="120" w:firstLine="360"/>
        <w:spacing w:before="120" w:beforeAutospacing="0" w:after="120" w:afterAutospacing="0" w:line="0" w:lineRule="atLeast"/>
        <w:rPr>
          <w:color w:val="auto"/>
          <w:highlight w:val="none"/>
        </w:rPr>
      </w:pPr>
      <w:r>
        <w:rPr>
          <w:rFonts w:hint="eastAsia" w:ascii="宋体" w:hAnsi="宋体" w:eastAsia="宋体" w:cs="宋体"/>
          <w:color w:val="auto"/>
          <w:highlight w:val="none"/>
        </w:rPr>
        <w:t xml:space="preserve">（2）残疾人福利单位需按照采购文件的要求提供《残疾人福利性单位声明函》。</w:t>
      </w:r>
      <w:r/>
    </w:p>
    <w:p>
      <w:pPr>
        <w:pStyle w:val="667"/>
        <w:ind w:left="120" w:firstLine="360"/>
        <w:spacing w:before="120" w:beforeAutospacing="0" w:after="120" w:afterAutospacing="0" w:line="0" w:lineRule="atLeast"/>
        <w:rPr>
          <w:color w:val="auto"/>
          <w:highlight w:val="none"/>
        </w:rPr>
      </w:pPr>
      <w:r>
        <w:rPr>
          <w:rFonts w:hint="eastAsia" w:ascii="宋体" w:hAnsi="宋体" w:eastAsia="宋体" w:cs="宋体"/>
          <w:color w:val="auto"/>
          <w:highlight w:val="none"/>
        </w:rPr>
        <w:t xml:space="preserve">（3）残疾人福利单位标准请参照《关于促进残疾人就业政府采购政策的通知》（财库〔2017〕141号）。</w:t>
      </w:r>
      <w:r/>
    </w:p>
    <w:p>
      <w:pPr>
        <w:pStyle w:val="667"/>
        <w:ind w:firstLine="480"/>
        <w:spacing w:before="120" w:beforeAutospacing="0" w:after="120" w:afterAutospacing="0" w:line="0" w:lineRule="atLeast"/>
        <w:rPr>
          <w:color w:val="auto"/>
          <w:highlight w:val="none"/>
        </w:rPr>
      </w:pPr>
      <w:r>
        <w:rPr>
          <w:rFonts w:hint="eastAsia" w:ascii="宋体" w:hAnsi="宋体" w:eastAsia="宋体" w:cs="宋体"/>
          <w:color w:val="auto"/>
          <w:highlight w:val="none"/>
        </w:rPr>
        <w:t xml:space="preserve">3、监狱和戒毒企业价格扣除</w:t>
      </w:r>
      <w:r/>
    </w:p>
    <w:p>
      <w:pPr>
        <w:pStyle w:val="667"/>
        <w:ind w:firstLine="480"/>
        <w:spacing w:before="120" w:beforeAutospacing="0" w:after="120" w:afterAutospacing="0" w:line="0" w:lineRule="atLeast"/>
        <w:rPr>
          <w:rFonts w:ascii="宋体" w:hAnsi="宋体" w:eastAsia="宋体" w:cs="宋体"/>
          <w:color w:val="auto"/>
          <w:highlight w:val="none"/>
          <w:u w:val="single"/>
        </w:rPr>
      </w:pPr>
      <w:r>
        <w:rPr>
          <w:rFonts w:hint="eastAsia" w:ascii="宋体" w:hAnsi="宋体" w:eastAsia="宋体" w:cs="宋体"/>
          <w:color w:val="auto"/>
          <w:highlight w:val="none"/>
        </w:rPr>
        <w:t xml:space="preserve">（1）本项目对监狱和戒毒企业（简称监狱企业）视同小型、微型企业，给予</w:t>
      </w:r>
      <w:r>
        <w:rPr>
          <w:rFonts w:hint="eastAsia" w:ascii="宋体" w:hAnsi="宋体" w:eastAsia="宋体" w:cs="宋体"/>
          <w:color w:val="auto"/>
          <w:highlight w:val="none"/>
          <w:u w:val="single"/>
        </w:rPr>
        <w:t xml:space="preserve">20%</w:t>
      </w:r>
      <w:r/>
    </w:p>
    <w:p>
      <w:pPr>
        <w:pStyle w:val="667"/>
        <w:ind w:firstLine="480"/>
        <w:spacing w:before="120" w:beforeAutospacing="0" w:after="120" w:afterAutospacing="0" w:line="0" w:lineRule="atLeast"/>
        <w:rPr>
          <w:color w:val="auto"/>
          <w:highlight w:val="none"/>
        </w:rPr>
      </w:pPr>
      <w:r>
        <w:rPr>
          <w:rFonts w:hint="eastAsia" w:ascii="宋体" w:hAnsi="宋体" w:eastAsia="宋体" w:cs="宋体"/>
          <w:color w:val="auto"/>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67"/>
        <w:ind w:firstLine="480"/>
        <w:spacing w:before="120" w:beforeAutospacing="0" w:after="120" w:afterAutospacing="0" w:line="0" w:lineRule="atLeast"/>
        <w:rPr>
          <w:color w:val="auto"/>
          <w:highlight w:val="none"/>
        </w:rPr>
      </w:pPr>
      <w:r>
        <w:rPr>
          <w:rFonts w:hint="eastAsia" w:ascii="宋体" w:hAnsi="宋体" w:eastAsia="宋体" w:cs="宋体"/>
          <w:color w:val="auto"/>
          <w:highlight w:val="none"/>
        </w:rPr>
        <w:t xml:space="preserve">（3）监狱企业标准请参照《关于政府采购支持监狱企业发展有关问题的通知》（财库[2014]68号）。</w:t>
      </w:r>
      <w:r/>
    </w:p>
    <w:p>
      <w:pPr>
        <w:pStyle w:val="667"/>
        <w:ind w:firstLine="480"/>
        <w:spacing w:before="120" w:beforeAutospacing="0" w:after="120" w:afterAutospacing="0" w:line="0" w:lineRule="atLeast"/>
        <w:rPr>
          <w:color w:val="auto"/>
          <w:highlight w:val="none"/>
        </w:rPr>
      </w:pPr>
      <w:r>
        <w:rPr>
          <w:rFonts w:hint="eastAsia" w:ascii="宋体" w:hAnsi="宋体" w:eastAsia="宋体" w:cs="宋体"/>
          <w:color w:val="auto"/>
          <w:highlight w:val="none"/>
        </w:rPr>
        <w:t xml:space="preserve">4、残疾人福利单位、监狱企业属于小型、微型企业的，不重复享受政策。</w:t>
      </w:r>
      <w:r/>
    </w:p>
    <w:p>
      <w:pPr>
        <w:pStyle w:val="667"/>
        <w:ind w:firstLine="480"/>
        <w:spacing w:before="120" w:beforeAutospacing="0" w:after="12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highlight w:val="none"/>
          <w:u w:val="single"/>
        </w:rPr>
        <w:t xml:space="preserve">6%</w:t>
      </w:r>
      <w:r>
        <w:rPr>
          <w:rFonts w:hint="eastAsia" w:ascii="宋体" w:hAnsi="宋体" w:eastAsia="宋体" w:cs="宋体"/>
          <w:color w:val="auto"/>
          <w:highlight w:val="none"/>
        </w:rPr>
        <w:t xml:space="preserve">的价格扣除，用扣除后的价格参与评审。</w:t>
      </w:r>
      <w:r/>
    </w:p>
    <w:p>
      <w:pPr>
        <w:pStyle w:val="667"/>
        <w:ind w:firstLine="480"/>
        <w:spacing w:before="120" w:beforeAutospacing="0" w:after="120" w:afterAutospacing="0" w:line="0" w:lineRule="atLeast"/>
        <w:rPr>
          <w:rFonts w:ascii="宋体" w:hAnsi="宋体" w:eastAsia="宋体" w:cs="宋体"/>
          <w:color w:val="auto"/>
          <w:highlight w:val="none"/>
          <w:u w:val="single"/>
        </w:rPr>
      </w:pPr>
      <w:r>
        <w:rPr>
          <w:rFonts w:hint="eastAsia" w:ascii="宋体" w:hAnsi="宋体" w:eastAsia="宋体" w:cs="宋体"/>
          <w:color w:val="auto"/>
          <w:highlight w:val="none"/>
        </w:rPr>
        <w:t xml:space="preserve">6、联合体各方均为小型、微型企业（残疾人福利单位、监狱企业）的，联合体享受</w:t>
      </w:r>
      <w:r>
        <w:rPr>
          <w:rFonts w:hint="eastAsia" w:ascii="宋体" w:hAnsi="宋体" w:eastAsia="宋体" w:cs="宋体"/>
          <w:color w:val="auto"/>
          <w:highlight w:val="none"/>
          <w:u w:val="single"/>
        </w:rPr>
        <w:t xml:space="preserve">20%。</w:t>
      </w:r>
      <w:r/>
    </w:p>
    <w:p>
      <w:pPr>
        <w:ind w:firstLine="480"/>
        <w:rPr>
          <w:rFonts w:ascii="宋体" w:hAnsi="宋体" w:eastAsia="宋体" w:cs="宋体"/>
          <w:color w:val="auto"/>
          <w:sz w:val="24"/>
          <w:highlight w:val="none"/>
        </w:rPr>
      </w:pPr>
      <w:r>
        <w:rPr>
          <w:rFonts w:hint="eastAsia" w:ascii="宋体" w:hAnsi="宋体" w:eastAsia="宋体" w:cs="宋体"/>
          <w:color w:val="auto"/>
          <w:sz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ind w:firstLine="480"/>
        <w:rPr>
          <w:rFonts w:ascii="宋体" w:hAnsi="宋体" w:eastAsia="宋体" w:cs="宋体"/>
          <w:color w:val="auto"/>
          <w:sz w:val="24"/>
          <w:highlight w:val="none"/>
        </w:rPr>
      </w:pPr>
      <w:r>
        <w:rPr>
          <w:rFonts w:hint="eastAsia" w:ascii="宋体" w:hAnsi="宋体" w:eastAsia="宋体" w:cs="宋体"/>
          <w:color w:val="auto"/>
          <w:sz w:val="24"/>
          <w:highlight w:val="none"/>
        </w:rPr>
        <w:t xml:space="preserve">8、供应商对于投标产品的商品包装、快递包装应按照“财办库〔2020〕123号《关于印发《商品包装政府采购需求标准（试行）》、《快递包装政府采购需求标准（试行）》的通知》”执行。</w:t>
      </w:r>
      <w:r/>
    </w:p>
    <w:p>
      <w:pPr>
        <w:ind w:firstLine="480"/>
        <w:rPr>
          <w:rFonts w:ascii="宋体" w:hAnsi="宋体" w:eastAsia="宋体" w:cs="宋体"/>
          <w:color w:val="auto"/>
          <w:sz w:val="24"/>
          <w:highlight w:val="none"/>
        </w:rPr>
      </w:pPr>
      <w:r>
        <w:rPr>
          <w:rFonts w:hint="eastAsia" w:ascii="宋体" w:hAnsi="宋体" w:eastAsia="宋体" w:cs="宋体"/>
          <w:color w:val="auto"/>
          <w:sz w:val="24"/>
          <w:highlight w:val="none"/>
        </w:rPr>
        <w:t xml:space="preserve">9、本文件中若涉及到数据中心采购，应按照《&lt;绿色数据中心政府采购需求标准（试行）&gt;的通知》（财库〔2023〕7号）执行。</w:t>
      </w:r>
      <w:r/>
    </w:p>
    <w:p>
      <w:pPr>
        <w:pStyle w:val="667"/>
        <w:ind w:firstLine="473"/>
        <w:spacing w:before="120" w:beforeAutospacing="0" w:after="120" w:afterAutospacing="0" w:line="0" w:lineRule="atLeast"/>
        <w:rPr>
          <w:color w:val="auto"/>
          <w:highlight w:val="none"/>
        </w:rPr>
      </w:pPr>
      <w:r>
        <w:rPr>
          <w:rFonts w:hint="eastAsia" w:ascii="宋体" w:hAnsi="宋体" w:eastAsia="宋体" w:cs="宋体"/>
          <w:color w:val="auto"/>
          <w:highlight w:val="none"/>
        </w:rPr>
        <w:t xml:space="preserve">10、根据《江苏省政府采购信用管理暂行办法》的规定，供应商信用评价结果为三星的扣2分，评价结果为二星的扣3分，评价结果为一星的扣4分。</w:t>
      </w:r>
      <w:r/>
    </w:p>
    <w:p>
      <w:pPr>
        <w:pStyle w:val="667"/>
        <w:ind w:firstLine="482"/>
        <w:spacing w:before="120" w:beforeAutospacing="0" w:after="120" w:afterAutospacing="0" w:line="0" w:lineRule="atLeast"/>
        <w:rPr>
          <w:color w:val="auto"/>
          <w:highlight w:val="none"/>
        </w:rPr>
      </w:pPr>
      <w:r>
        <w:rPr>
          <w:rFonts w:hint="eastAsia" w:ascii="宋体" w:hAnsi="宋体" w:eastAsia="宋体" w:cs="宋体"/>
          <w:b/>
          <w:color w:val="auto"/>
          <w:highlight w:val="none"/>
        </w:rPr>
        <w:t xml:space="preserve">评标方法与评标标准</w:t>
      </w:r>
      <w:r/>
    </w:p>
    <w:tbl>
      <w:tblPr>
        <w:tblStyle w:val="647"/>
        <w:tblW w:w="98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9"/>
        <w:gridCol w:w="855"/>
        <w:gridCol w:w="660"/>
        <w:gridCol w:w="7867"/>
      </w:tblGrid>
      <w:tr>
        <w:trPr>
          <w:jc w:val="center"/>
          <w:trHeight w:val="505"/>
        </w:trPr>
        <w:tc>
          <w:tcPr>
            <w:tcW w:w="49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85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评分项目</w:t>
            </w:r>
            <w:r/>
          </w:p>
        </w:tc>
        <w:tc>
          <w:tcPr>
            <w:tcW w:w="66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满分</w:t>
            </w:r>
            <w:r/>
          </w:p>
        </w:tc>
        <w:tc>
          <w:tcPr>
            <w:tcW w:w="786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计分办法及内容</w:t>
            </w:r>
            <w:r/>
          </w:p>
        </w:tc>
      </w:tr>
      <w:tr>
        <w:trPr>
          <w:jc w:val="center"/>
          <w:trHeight w:val="425"/>
        </w:trPr>
        <w:tc>
          <w:tcPr>
            <w:tcW w:w="49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85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投标报价</w:t>
            </w:r>
            <w:r/>
          </w:p>
        </w:tc>
        <w:tc>
          <w:tcPr>
            <w:tcW w:w="660"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分</w:t>
            </w:r>
            <w:r/>
          </w:p>
        </w:tc>
        <w:tc>
          <w:tcPr>
            <w:tcW w:w="7867" w:type="dxa"/>
            <w:vAlign w:val="center"/>
            <w:textDirection w:val="lrTb"/>
            <w:noWrap w:val="false"/>
          </w:tcPr>
          <w:p>
            <w:pPr>
              <w:ind w:firstLine="480"/>
              <w:rPr>
                <w:rFonts w:hint="eastAsia" w:ascii="宋体" w:hAnsi="宋体" w:eastAsia="宋体" w:cs="宋体"/>
                <w:sz w:val="24"/>
                <w:szCs w:val="32"/>
              </w:rPr>
            </w:pPr>
            <w:r>
              <w:rPr>
                <w:rFonts w:hint="eastAsia" w:ascii="宋体" w:hAnsi="宋体" w:eastAsia="宋体" w:cs="宋体"/>
                <w:sz w:val="24"/>
                <w:szCs w:val="32"/>
              </w:rPr>
              <w:t xml:space="preserve">满足招标文件要求且投标价格最低的投标报价为评标基准价，其价格分为满分。其他投标人的价格分统一按照下列公式计算：</w:t>
            </w:r>
            <w:r/>
          </w:p>
          <w:p>
            <w:pPr>
              <w:rPr>
                <w:rFonts w:hint="eastAsia" w:ascii="宋体" w:hAnsi="宋体" w:eastAsia="宋体" w:cs="宋体"/>
                <w:sz w:val="24"/>
                <w:szCs w:val="32"/>
              </w:rPr>
            </w:pPr>
            <w:r>
              <w:rPr>
                <w:rFonts w:hint="eastAsia" w:ascii="宋体" w:hAnsi="宋体" w:eastAsia="宋体" w:cs="宋体"/>
                <w:sz w:val="24"/>
                <w:szCs w:val="32"/>
              </w:rPr>
              <w:t xml:space="preserve">投标报价得分=(评标基准价／投标报价)×</w:t>
            </w:r>
            <w:r>
              <w:rPr>
                <w:rFonts w:hint="eastAsia" w:ascii="宋体" w:hAnsi="宋体" w:eastAsia="宋体" w:cs="宋体"/>
                <w:sz w:val="24"/>
                <w:szCs w:val="32"/>
                <w:lang w:val="en-US" w:eastAsia="zh-CN"/>
              </w:rPr>
              <w:t xml:space="preserve">30</w:t>
            </w:r>
            <w:r>
              <w:rPr>
                <w:rFonts w:hint="eastAsia" w:ascii="宋体" w:hAnsi="宋体" w:eastAsia="宋体" w:cs="宋体"/>
                <w:sz w:val="24"/>
                <w:szCs w:val="32"/>
              </w:rPr>
              <w:t xml:space="preserve"> （该结果四舍五入，保留两位小数）</w:t>
            </w:r>
            <w:r/>
          </w:p>
        </w:tc>
      </w:tr>
      <w:tr>
        <w:trPr>
          <w:jc w:val="center"/>
          <w:trHeight w:val="425"/>
        </w:trPr>
        <w:tc>
          <w:tcPr>
            <w:tcW w:w="499"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p>
        </w:tc>
        <w:tc>
          <w:tcPr>
            <w:tcW w:w="85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技术参数</w:t>
            </w:r>
            <w:r/>
          </w:p>
        </w:tc>
        <w:tc>
          <w:tcPr>
            <w:tcW w:w="660"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30分</w:t>
            </w:r>
            <w:r/>
          </w:p>
        </w:tc>
        <w:tc>
          <w:tcPr>
            <w:tcW w:w="7867" w:type="dxa"/>
            <w:vAlign w:val="center"/>
            <w:textDirection w:val="lrTb"/>
            <w:noWrap w:val="false"/>
          </w:tcPr>
          <w:p>
            <w:pPr>
              <w:ind w:firstLine="480"/>
              <w:rPr>
                <w:rFonts w:hint="eastAsia" w:ascii="宋体" w:hAnsi="宋体" w:eastAsia="宋体" w:cs="宋体"/>
                <w:sz w:val="24"/>
                <w:szCs w:val="32"/>
              </w:rPr>
            </w:pPr>
            <w:r>
              <w:rPr>
                <w:rFonts w:hint="eastAsia" w:ascii="宋体" w:hAnsi="宋体" w:eastAsia="宋体" w:cs="宋体"/>
                <w:sz w:val="24"/>
                <w:szCs w:val="32"/>
                <w:lang w:eastAsia="zh-CN"/>
              </w:rPr>
              <w:t xml:space="preserve">为了保证产品质量，实现项目应用功能。</w:t>
            </w:r>
            <w:r>
              <w:rPr>
                <w:rFonts w:hint="eastAsia" w:ascii="宋体" w:hAnsi="宋体" w:eastAsia="宋体" w:cs="宋体"/>
                <w:sz w:val="24"/>
                <w:szCs w:val="32"/>
              </w:rPr>
              <w:t xml:space="preserve">技术参数全部满足</w:t>
            </w:r>
            <w:r>
              <w:rPr>
                <w:rFonts w:hint="eastAsia" w:ascii="宋体" w:hAnsi="宋体" w:eastAsia="宋体" w:cs="宋体"/>
                <w:sz w:val="24"/>
                <w:szCs w:val="32"/>
                <w:lang w:eastAsia="zh-CN"/>
              </w:rPr>
              <w:t xml:space="preserve">“第四章采购需求”要求</w:t>
            </w:r>
            <w:r>
              <w:rPr>
                <w:rFonts w:hint="eastAsia" w:ascii="宋体" w:hAnsi="宋体" w:eastAsia="宋体" w:cs="宋体"/>
                <w:sz w:val="24"/>
                <w:szCs w:val="32"/>
              </w:rPr>
              <w:t xml:space="preserve">的</w:t>
            </w:r>
            <w:r>
              <w:rPr>
                <w:rFonts w:hint="eastAsia" w:ascii="宋体" w:hAnsi="宋体" w:eastAsia="宋体" w:cs="宋体"/>
                <w:sz w:val="24"/>
                <w:szCs w:val="32"/>
                <w:lang w:eastAsia="zh-CN"/>
              </w:rPr>
              <w:t xml:space="preserve">得</w:t>
            </w:r>
            <w:r>
              <w:rPr>
                <w:rFonts w:hint="eastAsia" w:ascii="宋体" w:hAnsi="宋体" w:eastAsia="宋体" w:cs="宋体"/>
                <w:sz w:val="24"/>
                <w:szCs w:val="32"/>
                <w:lang w:val="en-US" w:eastAsia="zh-CN"/>
              </w:rPr>
              <w:t xml:space="preserve">30</w:t>
            </w:r>
            <w:r>
              <w:rPr>
                <w:rFonts w:hint="eastAsia" w:ascii="宋体" w:hAnsi="宋体" w:eastAsia="宋体" w:cs="宋体"/>
                <w:sz w:val="24"/>
                <w:szCs w:val="32"/>
              </w:rPr>
              <w:t xml:space="preserve">分</w:t>
            </w:r>
            <w:r>
              <w:rPr>
                <w:rFonts w:hint="eastAsia" w:ascii="宋体" w:hAnsi="宋体" w:eastAsia="宋体" w:cs="宋体"/>
                <w:sz w:val="24"/>
                <w:szCs w:val="32"/>
                <w:lang w:eastAsia="zh-CN"/>
              </w:rPr>
              <w:t xml:space="preserve">。</w:t>
            </w:r>
            <w:r>
              <w:rPr>
                <w:rFonts w:hint="eastAsia" w:ascii="宋体" w:hAnsi="宋体" w:eastAsia="宋体" w:cs="宋体"/>
                <w:sz w:val="24"/>
                <w:szCs w:val="32"/>
                <w:lang w:val="en-US" w:eastAsia="zh-CN"/>
              </w:rPr>
              <w:t xml:space="preserve">加★项投标时须提供第三方机构出具的带有CMA和CNAS标识的检测报告，加★项每有一项不满足（负偏离）的，扣2分，</w:t>
            </w:r>
            <w:r>
              <w:rPr>
                <w:rFonts w:hint="eastAsia" w:ascii="宋体" w:hAnsi="宋体" w:eastAsia="宋体" w:cs="宋体"/>
                <w:sz w:val="24"/>
                <w:szCs w:val="32"/>
              </w:rPr>
              <w:t xml:space="preserve">扣完为止。</w:t>
            </w:r>
            <w:r>
              <w:rPr>
                <w:rFonts w:hint="eastAsia" w:ascii="宋体" w:hAnsi="宋体" w:eastAsia="宋体" w:cs="宋体"/>
                <w:sz w:val="24"/>
                <w:szCs w:val="32"/>
                <w:lang w:eastAsia="zh-CN"/>
              </w:rPr>
              <w:t xml:space="preserve">（</w:t>
            </w:r>
            <w:r>
              <w:rPr>
                <w:rFonts w:hint="eastAsia" w:ascii="宋体" w:hAnsi="宋体" w:eastAsia="宋体" w:cs="宋体"/>
                <w:sz w:val="24"/>
                <w:szCs w:val="32"/>
                <w:lang w:val="en-US" w:eastAsia="zh-CN"/>
              </w:rPr>
              <w:t xml:space="preserve">以</w:t>
            </w:r>
            <w:r>
              <w:rPr>
                <w:rFonts w:hint="eastAsia" w:ascii="宋体" w:hAnsi="宋体" w:eastAsia="宋体" w:cs="宋体"/>
                <w:sz w:val="24"/>
                <w:szCs w:val="32"/>
              </w:rPr>
              <w:t xml:space="preserve">投标文件</w:t>
            </w:r>
            <w:r>
              <w:rPr>
                <w:rFonts w:hint="eastAsia" w:ascii="宋体" w:hAnsi="宋体" w:eastAsia="宋体" w:cs="宋体"/>
                <w:sz w:val="24"/>
                <w:szCs w:val="32"/>
                <w:lang w:eastAsia="zh-CN"/>
              </w:rPr>
              <w:t xml:space="preserve">中</w:t>
            </w:r>
            <w:r>
              <w:rPr>
                <w:rFonts w:hint="eastAsia" w:ascii="宋体" w:hAnsi="宋体" w:eastAsia="宋体" w:cs="宋体"/>
                <w:sz w:val="24"/>
                <w:szCs w:val="32"/>
                <w:lang w:val="en-US" w:eastAsia="zh-CN"/>
              </w:rPr>
              <w:t xml:space="preserve">提供的“所供货物（货物附带的服务）内容及货物要求偏离表”和第三方机构出具的具有 CMA和 CNAS标识的检测报告证明材料</w:t>
            </w:r>
            <w:r>
              <w:rPr>
                <w:rFonts w:hint="eastAsia" w:ascii="宋体" w:hAnsi="宋体" w:eastAsia="宋体" w:cs="宋体"/>
                <w:sz w:val="24"/>
                <w:szCs w:val="32"/>
              </w:rPr>
              <w:t xml:space="preserve">扫描件</w:t>
            </w:r>
            <w:r>
              <w:rPr>
                <w:rFonts w:hint="eastAsia" w:ascii="宋体" w:hAnsi="宋体" w:eastAsia="宋体" w:cs="宋体"/>
                <w:sz w:val="24"/>
                <w:szCs w:val="32"/>
                <w:lang w:val="en-US" w:eastAsia="zh-CN"/>
              </w:rPr>
              <w:t xml:space="preserve">为依据）</w:t>
            </w:r>
            <w:r/>
          </w:p>
        </w:tc>
      </w:tr>
      <w:tr>
        <w:trPr>
          <w:jc w:val="center"/>
          <w:trHeight w:val="821"/>
        </w:trPr>
        <w:tc>
          <w:tcPr>
            <w:tcW w:w="499"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p>
        </w:tc>
        <w:tc>
          <w:tcPr>
            <w:tcW w:w="855"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rPr>
              <w:t xml:space="preserve">业绩</w:t>
            </w:r>
            <w:r/>
          </w:p>
        </w:tc>
        <w:tc>
          <w:tcPr>
            <w:tcW w:w="66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p>
        </w:tc>
        <w:tc>
          <w:tcPr>
            <w:tcW w:w="7867" w:type="dxa"/>
            <w:vAlign w:val="center"/>
            <w:textDirection w:val="lrTb"/>
            <w:noWrap w:val="false"/>
          </w:tcPr>
          <w:p>
            <w:pPr>
              <w:ind w:firstLine="480"/>
              <w:rPr>
                <w:rFonts w:hint="eastAsia" w:ascii="宋体" w:hAnsi="宋体" w:eastAsia="宋体" w:cs="宋体"/>
                <w:sz w:val="24"/>
                <w:szCs w:val="32"/>
              </w:rPr>
            </w:pPr>
            <w:r>
              <w:rPr>
                <w:rFonts w:hint="eastAsia" w:ascii="宋体" w:hAnsi="宋体" w:eastAsia="宋体" w:cs="宋体"/>
                <w:sz w:val="24"/>
                <w:szCs w:val="32"/>
                <w:lang w:eastAsia="zh-CN"/>
              </w:rPr>
              <w:t xml:space="preserve">自</w:t>
            </w:r>
            <w:r>
              <w:rPr>
                <w:rFonts w:hint="eastAsia" w:ascii="宋体" w:hAnsi="宋体" w:eastAsia="宋体" w:cs="宋体"/>
                <w:sz w:val="24"/>
                <w:szCs w:val="32"/>
              </w:rPr>
              <w:t xml:space="preserve">20</w:t>
            </w:r>
            <w:r>
              <w:rPr>
                <w:rFonts w:hint="eastAsia" w:ascii="宋体" w:hAnsi="宋体" w:eastAsia="宋体" w:cs="宋体"/>
                <w:sz w:val="24"/>
                <w:szCs w:val="32"/>
                <w:lang w:val="en-US" w:eastAsia="zh-CN"/>
              </w:rPr>
              <w:t xml:space="preserve">20</w:t>
            </w:r>
            <w:r>
              <w:rPr>
                <w:rFonts w:hint="eastAsia" w:ascii="宋体" w:hAnsi="宋体" w:eastAsia="宋体" w:cs="宋体"/>
                <w:sz w:val="24"/>
                <w:szCs w:val="32"/>
              </w:rPr>
              <w:t xml:space="preserve">年1月</w:t>
            </w:r>
            <w:r>
              <w:rPr>
                <w:rFonts w:hint="eastAsia" w:ascii="宋体" w:hAnsi="宋体" w:eastAsia="宋体" w:cs="宋体"/>
                <w:sz w:val="24"/>
                <w:szCs w:val="32"/>
                <w:lang w:val="en-US" w:eastAsia="zh-CN"/>
              </w:rPr>
              <w:t xml:space="preserve">1日（以合同签订时间为准）</w:t>
            </w:r>
            <w:r>
              <w:rPr>
                <w:rFonts w:hint="eastAsia" w:ascii="宋体" w:hAnsi="宋体" w:eastAsia="宋体" w:cs="宋体"/>
                <w:sz w:val="24"/>
                <w:szCs w:val="32"/>
              </w:rPr>
              <w:t xml:space="preserve">至今，投标人具有</w:t>
            </w:r>
            <w:r>
              <w:rPr>
                <w:rFonts w:hint="eastAsia" w:ascii="宋体" w:hAnsi="宋体" w:eastAsia="宋体" w:cs="宋体"/>
                <w:sz w:val="24"/>
                <w:szCs w:val="32"/>
                <w:lang w:eastAsia="zh-CN"/>
              </w:rPr>
              <w:t xml:space="preserve">同类</w:t>
            </w:r>
            <w:r>
              <w:rPr>
                <w:rFonts w:hint="eastAsia" w:ascii="宋体" w:hAnsi="宋体" w:eastAsia="宋体" w:cs="宋体"/>
                <w:sz w:val="24"/>
                <w:szCs w:val="32"/>
              </w:rPr>
              <w:t xml:space="preserve">项目</w:t>
            </w:r>
            <w:r>
              <w:rPr>
                <w:rFonts w:hint="eastAsia" w:ascii="宋体" w:hAnsi="宋体" w:eastAsia="宋体" w:cs="宋体"/>
                <w:sz w:val="24"/>
                <w:szCs w:val="32"/>
                <w:lang w:eastAsia="zh-CN"/>
              </w:rPr>
              <w:t xml:space="preserve">相关</w:t>
            </w:r>
            <w:r>
              <w:rPr>
                <w:rFonts w:hint="eastAsia" w:ascii="宋体" w:hAnsi="宋体" w:eastAsia="宋体" w:cs="宋体"/>
                <w:sz w:val="24"/>
                <w:szCs w:val="32"/>
                <w:lang w:val="en-US" w:eastAsia="zh-CN"/>
              </w:rPr>
              <w:t xml:space="preserve">业绩</w:t>
            </w:r>
            <w:r>
              <w:rPr>
                <w:rFonts w:hint="eastAsia" w:ascii="宋体" w:hAnsi="宋体" w:eastAsia="宋体" w:cs="宋体"/>
                <w:sz w:val="24"/>
                <w:szCs w:val="32"/>
              </w:rPr>
              <w:t xml:space="preserve">，每提供一个</w:t>
            </w:r>
            <w:r>
              <w:rPr>
                <w:rFonts w:hint="eastAsia" w:ascii="宋体" w:hAnsi="宋体" w:eastAsia="宋体" w:cs="宋体"/>
                <w:sz w:val="24"/>
                <w:szCs w:val="32"/>
                <w:lang w:val="en-US" w:eastAsia="zh-CN"/>
              </w:rPr>
              <w:t xml:space="preserve">业绩得1</w:t>
            </w:r>
            <w:r>
              <w:rPr>
                <w:rFonts w:hint="eastAsia" w:ascii="宋体" w:hAnsi="宋体" w:eastAsia="宋体" w:cs="宋体"/>
                <w:sz w:val="24"/>
                <w:szCs w:val="32"/>
              </w:rPr>
              <w:t xml:space="preserve">分，最多</w:t>
            </w:r>
            <w:r>
              <w:rPr>
                <w:rFonts w:hint="eastAsia" w:ascii="宋体" w:hAnsi="宋体" w:eastAsia="宋体" w:cs="宋体"/>
                <w:sz w:val="24"/>
                <w:szCs w:val="32"/>
                <w:lang w:eastAsia="zh-CN"/>
              </w:rPr>
              <w:t xml:space="preserve">得</w:t>
            </w:r>
            <w:r>
              <w:rPr>
                <w:rFonts w:hint="eastAsia" w:ascii="宋体" w:hAnsi="宋体" w:eastAsia="宋体" w:cs="宋体"/>
                <w:sz w:val="24"/>
                <w:szCs w:val="32"/>
                <w:lang w:val="en-US" w:eastAsia="zh-CN"/>
              </w:rPr>
              <w:t xml:space="preserve">5</w:t>
            </w:r>
            <w:r>
              <w:rPr>
                <w:rFonts w:hint="eastAsia" w:ascii="宋体" w:hAnsi="宋体" w:eastAsia="宋体" w:cs="宋体"/>
                <w:sz w:val="24"/>
                <w:szCs w:val="32"/>
              </w:rPr>
              <w:t xml:space="preserve">分。（投标文件</w:t>
            </w:r>
            <w:r>
              <w:rPr>
                <w:rFonts w:hint="eastAsia" w:ascii="宋体" w:hAnsi="宋体" w:eastAsia="宋体" w:cs="宋体"/>
                <w:sz w:val="24"/>
                <w:szCs w:val="32"/>
                <w:lang w:eastAsia="zh-CN"/>
              </w:rPr>
              <w:t xml:space="preserve">中</w:t>
            </w:r>
            <w:r>
              <w:rPr>
                <w:rFonts w:hint="eastAsia" w:ascii="宋体" w:hAnsi="宋体" w:eastAsia="宋体" w:cs="宋体"/>
                <w:sz w:val="24"/>
                <w:szCs w:val="32"/>
              </w:rPr>
              <w:t xml:space="preserve">需提供合同</w:t>
            </w:r>
            <w:r>
              <w:rPr>
                <w:rFonts w:hint="eastAsia" w:ascii="宋体" w:hAnsi="宋体" w:eastAsia="宋体" w:cs="宋体"/>
                <w:sz w:val="24"/>
                <w:szCs w:val="32"/>
                <w:lang w:eastAsia="zh-CN"/>
              </w:rPr>
              <w:t xml:space="preserve">、</w:t>
            </w:r>
            <w:r>
              <w:rPr>
                <w:rFonts w:hint="eastAsia" w:ascii="宋体" w:hAnsi="宋体" w:eastAsia="宋体" w:cs="宋体"/>
                <w:sz w:val="24"/>
                <w:szCs w:val="32"/>
              </w:rPr>
              <w:t xml:space="preserve">中标通知书扫描件。</w:t>
            </w:r>
            <w:r>
              <w:rPr>
                <w:rFonts w:hint="eastAsia" w:ascii="宋体" w:hAnsi="宋体" w:eastAsia="宋体" w:cs="宋体"/>
                <w:sz w:val="24"/>
                <w:szCs w:val="32"/>
                <w:lang w:val="en-US" w:eastAsia="zh-CN"/>
              </w:rPr>
              <w:t xml:space="preserve">两者缺一不可，</w:t>
            </w:r>
            <w:r>
              <w:rPr>
                <w:rFonts w:hint="eastAsia" w:ascii="宋体" w:hAnsi="宋体" w:eastAsia="宋体" w:cs="宋体"/>
                <w:sz w:val="24"/>
                <w:szCs w:val="32"/>
              </w:rPr>
              <w:t xml:space="preserve">不提供不得分。）</w:t>
            </w:r>
            <w:r/>
          </w:p>
        </w:tc>
      </w:tr>
      <w:tr>
        <w:trPr>
          <w:jc w:val="center"/>
          <w:trHeight w:val="821"/>
        </w:trPr>
        <w:tc>
          <w:tcPr>
            <w:tcW w:w="499"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tcW w:w="855"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企业知识产权</w:t>
            </w:r>
            <w:r/>
          </w:p>
        </w:tc>
        <w:tc>
          <w:tcPr>
            <w:tcW w:w="660"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5分</w:t>
            </w:r>
            <w:r/>
          </w:p>
        </w:tc>
        <w:tc>
          <w:tcPr>
            <w:tcW w:w="7867" w:type="dxa"/>
            <w:vAlign w:val="center"/>
            <w:textDirection w:val="lrTb"/>
            <w:noWrap w:val="false"/>
          </w:tcPr>
          <w:p>
            <w:pPr>
              <w:ind w:firstLine="480"/>
              <w:rPr>
                <w:rFonts w:hint="eastAsia" w:ascii="宋体" w:hAnsi="宋体" w:eastAsia="宋体" w:cs="宋体"/>
                <w:sz w:val="24"/>
                <w:szCs w:val="32"/>
              </w:rPr>
            </w:pPr>
            <w:r>
              <w:rPr>
                <w:rFonts w:hint="eastAsia" w:ascii="宋体" w:hAnsi="宋体" w:eastAsia="宋体" w:cs="宋体"/>
                <w:sz w:val="24"/>
                <w:szCs w:val="32"/>
              </w:rPr>
              <w:t xml:space="preserve">投标人</w:t>
            </w:r>
            <w:r>
              <w:rPr>
                <w:rFonts w:hint="eastAsia" w:ascii="宋体" w:hAnsi="宋体" w:eastAsia="宋体" w:cs="宋体"/>
                <w:sz w:val="24"/>
                <w:szCs w:val="32"/>
                <w:lang w:eastAsia="zh-CN"/>
              </w:rPr>
              <w:t xml:space="preserve">具有</w:t>
            </w:r>
            <w:r>
              <w:rPr>
                <w:rFonts w:hint="eastAsia" w:ascii="宋体" w:hAnsi="宋体" w:eastAsia="宋体" w:cs="宋体"/>
                <w:sz w:val="24"/>
                <w:szCs w:val="32"/>
              </w:rPr>
              <w:t xml:space="preserve">由国家版权局颁发的物联网</w:t>
            </w:r>
            <w:r>
              <w:rPr>
                <w:rFonts w:hint="eastAsia" w:ascii="宋体" w:hAnsi="宋体" w:eastAsia="宋体" w:cs="宋体"/>
                <w:sz w:val="24"/>
                <w:szCs w:val="32"/>
                <w:lang w:val="en-US" w:eastAsia="zh-CN"/>
              </w:rPr>
              <w:t xml:space="preserve">采集服务平台</w:t>
            </w:r>
            <w:r>
              <w:rPr>
                <w:rFonts w:hint="eastAsia" w:ascii="宋体" w:hAnsi="宋体" w:eastAsia="宋体" w:cs="宋体"/>
                <w:sz w:val="24"/>
                <w:szCs w:val="32"/>
              </w:rPr>
              <w:t xml:space="preserve">软件、</w:t>
            </w:r>
            <w:r>
              <w:rPr>
                <w:rFonts w:hint="eastAsia" w:ascii="宋体" w:hAnsi="宋体" w:eastAsia="宋体" w:cs="宋体"/>
                <w:sz w:val="24"/>
                <w:szCs w:val="32"/>
                <w:lang w:val="en-US" w:eastAsia="zh-CN"/>
              </w:rPr>
              <w:t xml:space="preserve">物联网终端数据分析软件、多维数据可视化平台软件、数据可视化运营系统软件、数字农业产业分析及大数据平台软件、农业生产信息化管理系统软件相关的</w:t>
            </w:r>
            <w:r>
              <w:rPr>
                <w:rFonts w:hint="eastAsia" w:ascii="宋体" w:hAnsi="宋体" w:eastAsia="宋体" w:cs="宋体"/>
                <w:sz w:val="24"/>
                <w:szCs w:val="32"/>
              </w:rPr>
              <w:t xml:space="preserve">软件著作权登记证书的</w:t>
            </w:r>
            <w:r>
              <w:rPr>
                <w:rFonts w:hint="eastAsia" w:ascii="宋体" w:hAnsi="宋体" w:eastAsia="宋体" w:cs="宋体"/>
                <w:sz w:val="24"/>
                <w:szCs w:val="32"/>
                <w:lang w:eastAsia="zh-CN"/>
              </w:rPr>
              <w:t xml:space="preserve">，每有一个证书得</w:t>
            </w:r>
            <w:r>
              <w:rPr>
                <w:rFonts w:hint="eastAsia" w:ascii="宋体" w:hAnsi="宋体" w:eastAsia="宋体" w:cs="宋体"/>
                <w:sz w:val="24"/>
                <w:szCs w:val="32"/>
                <w:lang w:val="en-US" w:eastAsia="zh-CN"/>
              </w:rPr>
              <w:t xml:space="preserve">1分，最多得5分</w:t>
            </w:r>
            <w:r>
              <w:rPr>
                <w:rFonts w:hint="eastAsia" w:ascii="宋体" w:hAnsi="宋体" w:eastAsia="宋体" w:cs="宋体"/>
                <w:sz w:val="24"/>
                <w:szCs w:val="32"/>
              </w:rPr>
              <w:t xml:space="preserve">。</w:t>
            </w:r>
            <w:r/>
          </w:p>
          <w:p>
            <w:pPr>
              <w:ind w:firstLine="480"/>
              <w:rPr>
                <w:rFonts w:hint="eastAsia" w:ascii="宋体" w:hAnsi="宋体" w:eastAsia="宋体" w:cs="宋体"/>
                <w:sz w:val="24"/>
                <w:szCs w:val="32"/>
              </w:rPr>
            </w:pPr>
            <w:r>
              <w:rPr>
                <w:rFonts w:hint="eastAsia" w:ascii="宋体" w:hAnsi="宋体" w:eastAsia="宋体" w:cs="宋体"/>
                <w:sz w:val="24"/>
                <w:szCs w:val="32"/>
              </w:rPr>
              <w:t xml:space="preserve">注：1.相关软件著作权须为投标供应商自有，所登记注册的软件名称可以与上述名称略有不同，但必须是功能相同的产品。含相同关键字段的软件著作权不重复计数</w:t>
            </w:r>
            <w:r/>
          </w:p>
          <w:p>
            <w:pPr>
              <w:ind w:firstLine="480"/>
              <w:rPr>
                <w:rFonts w:hint="eastAsia" w:ascii="宋体" w:hAnsi="宋体" w:eastAsia="宋体" w:cs="宋体"/>
                <w:sz w:val="24"/>
                <w:szCs w:val="32"/>
                <w:lang w:eastAsia="zh-CN"/>
              </w:rPr>
            </w:pPr>
            <w:r>
              <w:rPr>
                <w:rFonts w:hint="eastAsia" w:ascii="宋体" w:hAnsi="宋体" w:eastAsia="宋体" w:cs="宋体"/>
                <w:sz w:val="24"/>
                <w:szCs w:val="32"/>
              </w:rPr>
              <w:t xml:space="preserve">2.投标文件</w:t>
            </w:r>
            <w:r>
              <w:rPr>
                <w:rFonts w:hint="eastAsia" w:ascii="宋体" w:hAnsi="宋体" w:eastAsia="宋体" w:cs="宋体"/>
                <w:sz w:val="24"/>
                <w:szCs w:val="32"/>
                <w:lang w:eastAsia="zh-CN"/>
              </w:rPr>
              <w:t xml:space="preserve">中</w:t>
            </w:r>
            <w:r>
              <w:rPr>
                <w:rFonts w:hint="eastAsia" w:ascii="宋体" w:hAnsi="宋体" w:eastAsia="宋体" w:cs="宋体"/>
                <w:sz w:val="24"/>
                <w:szCs w:val="32"/>
              </w:rPr>
              <w:t xml:space="preserve">需提供以上相关有效证书扫描件或相关证明材料扫描件</w:t>
            </w:r>
            <w:r>
              <w:rPr>
                <w:rFonts w:hint="eastAsia" w:ascii="宋体" w:hAnsi="宋体" w:eastAsia="宋体" w:cs="宋体"/>
                <w:sz w:val="24"/>
                <w:szCs w:val="32"/>
                <w:lang w:eastAsia="zh-CN"/>
              </w:rPr>
              <w:t xml:space="preserve">，未提供不得分</w:t>
            </w:r>
            <w:r>
              <w:rPr>
                <w:rFonts w:hint="eastAsia" w:ascii="宋体" w:hAnsi="宋体" w:eastAsia="宋体" w:cs="宋体"/>
                <w:sz w:val="24"/>
                <w:szCs w:val="32"/>
                <w:lang w:eastAsia="zh-Hans"/>
              </w:rPr>
              <w:t xml:space="preserve">。</w:t>
            </w:r>
            <w:r/>
          </w:p>
        </w:tc>
      </w:tr>
      <w:tr>
        <w:trPr>
          <w:jc w:val="center"/>
          <w:trHeight w:val="821"/>
        </w:trPr>
        <w:tc>
          <w:tcPr>
            <w:tcW w:w="499"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p>
        </w:tc>
        <w:tc>
          <w:tcPr>
            <w:tcW w:w="855"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企业技术实力</w:t>
            </w:r>
            <w:r/>
          </w:p>
        </w:tc>
        <w:tc>
          <w:tcPr>
            <w:tcW w:w="660"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15分</w:t>
            </w:r>
            <w:r/>
          </w:p>
        </w:tc>
        <w:tc>
          <w:tcPr>
            <w:tcW w:w="7867" w:type="dxa"/>
            <w:vAlign w:val="center"/>
            <w:textDirection w:val="lrTb"/>
            <w:noWrap w:val="false"/>
          </w:tcPr>
          <w:p>
            <w:pPr>
              <w:ind w:firstLine="480"/>
              <w:rPr>
                <w:rFonts w:hint="eastAsia" w:ascii="宋体" w:hAnsi="宋体" w:eastAsia="宋体" w:cs="宋体"/>
                <w:sz w:val="24"/>
                <w:szCs w:val="32"/>
              </w:rPr>
            </w:pPr>
            <w:r>
              <w:rPr>
                <w:rFonts w:hint="eastAsia" w:ascii="宋体" w:hAnsi="宋体" w:eastAsia="宋体" w:cs="宋体"/>
                <w:sz w:val="24"/>
                <w:szCs w:val="32"/>
              </w:rPr>
              <w:t xml:space="preserve">1、投标人具有信息</w:t>
            </w:r>
            <w:r>
              <w:rPr>
                <w:rFonts w:hint="eastAsia" w:ascii="宋体" w:hAnsi="宋体" w:eastAsia="宋体" w:cs="宋体"/>
                <w:sz w:val="24"/>
                <w:szCs w:val="32"/>
                <w:lang w:val="en-US" w:eastAsia="zh-CN"/>
              </w:rPr>
              <w:t xml:space="preserve">系统业务安全服务资质CCIA</w:t>
            </w:r>
            <w:r>
              <w:rPr>
                <w:rFonts w:hint="eastAsia" w:ascii="宋体" w:hAnsi="宋体" w:eastAsia="宋体" w:cs="宋体"/>
                <w:sz w:val="24"/>
                <w:szCs w:val="32"/>
              </w:rPr>
              <w:t xml:space="preserve">，达到一级得</w:t>
            </w:r>
            <w:r>
              <w:rPr>
                <w:rFonts w:hint="eastAsia" w:ascii="宋体" w:hAnsi="宋体" w:eastAsia="宋体" w:cs="宋体"/>
                <w:sz w:val="24"/>
                <w:szCs w:val="32"/>
                <w:lang w:val="en-US" w:eastAsia="zh-CN"/>
              </w:rPr>
              <w:t xml:space="preserve">2</w:t>
            </w:r>
            <w:r>
              <w:rPr>
                <w:rFonts w:hint="eastAsia" w:ascii="宋体" w:hAnsi="宋体" w:eastAsia="宋体" w:cs="宋体"/>
                <w:sz w:val="24"/>
                <w:szCs w:val="32"/>
              </w:rPr>
              <w:t xml:space="preserve">分，二级得</w:t>
            </w:r>
            <w:r>
              <w:rPr>
                <w:rFonts w:hint="eastAsia" w:ascii="宋体" w:hAnsi="宋体" w:eastAsia="宋体" w:cs="宋体"/>
                <w:sz w:val="24"/>
                <w:szCs w:val="32"/>
                <w:lang w:val="en-US" w:eastAsia="zh-CN"/>
              </w:rPr>
              <w:t xml:space="preserve">1</w:t>
            </w:r>
            <w:r>
              <w:rPr>
                <w:rFonts w:hint="eastAsia" w:ascii="宋体" w:hAnsi="宋体" w:eastAsia="宋体" w:cs="宋体"/>
                <w:sz w:val="24"/>
                <w:szCs w:val="32"/>
              </w:rPr>
              <w:t xml:space="preserve">分。</w:t>
            </w:r>
            <w:r/>
          </w:p>
          <w:p>
            <w:pPr>
              <w:ind w:firstLine="480"/>
              <w:rPr>
                <w:rFonts w:hint="default" w:ascii="宋体" w:hAnsi="宋体" w:eastAsia="宋体" w:cs="宋体"/>
                <w:sz w:val="24"/>
                <w:szCs w:val="32"/>
                <w:lang w:val="en-US" w:eastAsia="zh-CN"/>
              </w:rPr>
            </w:pPr>
            <w:r>
              <w:rPr>
                <w:rFonts w:hint="eastAsia" w:ascii="宋体" w:hAnsi="宋体" w:eastAsia="宋体" w:cs="宋体"/>
                <w:sz w:val="24"/>
                <w:szCs w:val="32"/>
                <w:lang w:val="en-US" w:eastAsia="zh-CN"/>
              </w:rPr>
              <w:t xml:space="preserve">2、</w:t>
            </w:r>
            <w:r>
              <w:rPr>
                <w:rFonts w:hint="eastAsia" w:ascii="宋体" w:hAnsi="宋体" w:eastAsia="宋体" w:cs="宋体"/>
                <w:sz w:val="24"/>
                <w:szCs w:val="32"/>
              </w:rPr>
              <w:t xml:space="preserve">投标人具有高新技术企业证书的</w:t>
            </w:r>
            <w:r>
              <w:rPr>
                <w:rFonts w:hint="eastAsia" w:ascii="宋体" w:hAnsi="宋体" w:eastAsia="宋体" w:cs="宋体"/>
                <w:sz w:val="24"/>
                <w:szCs w:val="32"/>
                <w:lang w:eastAsia="zh-CN"/>
              </w:rPr>
              <w:t xml:space="preserve">，</w:t>
            </w:r>
            <w:r>
              <w:rPr>
                <w:rFonts w:hint="eastAsia" w:ascii="宋体" w:hAnsi="宋体" w:eastAsia="宋体" w:cs="宋体"/>
                <w:sz w:val="24"/>
                <w:szCs w:val="32"/>
                <w:lang w:val="en-US" w:eastAsia="zh-CN"/>
              </w:rPr>
              <w:t xml:space="preserve">得2分；</w:t>
            </w:r>
            <w:r/>
          </w:p>
          <w:p>
            <w:pPr>
              <w:ind w:firstLine="480"/>
              <w:rPr>
                <w:rFonts w:hint="eastAsia" w:ascii="宋体" w:hAnsi="宋体" w:eastAsia="宋体" w:cs="宋体"/>
                <w:sz w:val="24"/>
                <w:szCs w:val="32"/>
              </w:rPr>
            </w:pPr>
            <w:r>
              <w:rPr>
                <w:rFonts w:hint="eastAsia" w:ascii="宋体" w:hAnsi="宋体" w:eastAsia="宋体" w:cs="宋体"/>
                <w:sz w:val="24"/>
                <w:szCs w:val="32"/>
                <w:lang w:val="en-US" w:eastAsia="zh-CN"/>
              </w:rPr>
              <w:t xml:space="preserve">3、</w:t>
            </w:r>
            <w:r>
              <w:rPr>
                <w:rFonts w:hint="eastAsia" w:ascii="宋体" w:hAnsi="宋体" w:eastAsia="宋体" w:cs="宋体"/>
                <w:sz w:val="24"/>
                <w:szCs w:val="32"/>
              </w:rPr>
              <w:t xml:space="preserve">本项目</w:t>
            </w:r>
            <w:r>
              <w:rPr>
                <w:rFonts w:hint="eastAsia" w:ascii="宋体" w:hAnsi="宋体" w:eastAsia="宋体" w:cs="宋体"/>
                <w:sz w:val="24"/>
                <w:szCs w:val="32"/>
                <w:lang w:eastAsia="zh-CN"/>
              </w:rPr>
              <w:t xml:space="preserve">涉及</w:t>
            </w:r>
            <w:r>
              <w:rPr>
                <w:rFonts w:hint="eastAsia" w:ascii="宋体" w:hAnsi="宋体" w:eastAsia="宋体" w:cs="宋体"/>
                <w:sz w:val="24"/>
                <w:szCs w:val="32"/>
                <w:lang w:val="en-US" w:eastAsia="zh-CN"/>
              </w:rPr>
              <w:t xml:space="preserve">5G通信全覆盖，为了保证项目实施达到预期效果，</w:t>
            </w:r>
            <w:r>
              <w:rPr>
                <w:rFonts w:hint="eastAsia" w:ascii="宋体" w:hAnsi="宋体" w:eastAsia="宋体" w:cs="宋体"/>
                <w:sz w:val="24"/>
                <w:szCs w:val="32"/>
              </w:rPr>
              <w:t xml:space="preserve">投标人</w:t>
            </w:r>
            <w:r>
              <w:rPr>
                <w:rFonts w:hint="eastAsia" w:ascii="宋体" w:hAnsi="宋体" w:eastAsia="宋体" w:cs="宋体"/>
                <w:sz w:val="24"/>
                <w:szCs w:val="32"/>
                <w:lang w:val="en-US" w:eastAsia="zh-CN"/>
              </w:rPr>
              <w:t xml:space="preserve">或其上级公司</w:t>
            </w:r>
            <w:r>
              <w:rPr>
                <w:rFonts w:hint="eastAsia" w:ascii="宋体" w:hAnsi="宋体" w:eastAsia="宋体" w:cs="宋体"/>
                <w:sz w:val="24"/>
                <w:szCs w:val="32"/>
              </w:rPr>
              <w:t xml:space="preserve">具</w:t>
            </w:r>
            <w:r>
              <w:rPr>
                <w:rFonts w:hint="eastAsia" w:ascii="宋体" w:hAnsi="宋体" w:eastAsia="宋体" w:cs="宋体"/>
                <w:sz w:val="24"/>
                <w:szCs w:val="32"/>
                <w:lang w:eastAsia="zh-CN"/>
              </w:rPr>
              <w:t xml:space="preserve">备</w:t>
            </w:r>
            <w:r>
              <w:rPr>
                <w:rFonts w:hint="eastAsia" w:ascii="宋体" w:hAnsi="宋体" w:eastAsia="宋体" w:cs="宋体"/>
                <w:sz w:val="24"/>
                <w:szCs w:val="32"/>
              </w:rPr>
              <w:t xml:space="preserve">基础电信业务经营</w:t>
            </w:r>
            <w:r>
              <w:rPr>
                <w:rFonts w:hint="eastAsia" w:ascii="宋体" w:hAnsi="宋体" w:eastAsia="宋体" w:cs="宋体"/>
                <w:sz w:val="24"/>
                <w:szCs w:val="32"/>
                <w:lang w:eastAsia="zh-CN"/>
              </w:rPr>
              <w:t xml:space="preserve">资质，能提供</w:t>
            </w:r>
            <w:r>
              <w:rPr>
                <w:rFonts w:hint="eastAsia" w:ascii="宋体" w:hAnsi="宋体" w:eastAsia="宋体" w:cs="宋体"/>
                <w:sz w:val="24"/>
                <w:szCs w:val="32"/>
              </w:rPr>
              <w:t xml:space="preserve">国家工信部颁发的基础电信业务经营许可证</w:t>
            </w:r>
            <w:r>
              <w:rPr>
                <w:rFonts w:hint="eastAsia" w:ascii="宋体" w:hAnsi="宋体" w:eastAsia="宋体" w:cs="宋体"/>
                <w:sz w:val="24"/>
                <w:szCs w:val="32"/>
                <w:lang w:eastAsia="zh-CN"/>
              </w:rPr>
              <w:t xml:space="preserve">的</w:t>
            </w:r>
            <w:r>
              <w:rPr>
                <w:rFonts w:hint="eastAsia" w:ascii="宋体" w:hAnsi="宋体" w:eastAsia="宋体" w:cs="宋体"/>
                <w:sz w:val="24"/>
                <w:szCs w:val="32"/>
                <w:lang w:val="en-US" w:eastAsia="zh-CN"/>
              </w:rPr>
              <w:t xml:space="preserve">得5分</w:t>
            </w:r>
            <w:r>
              <w:rPr>
                <w:rFonts w:hint="eastAsia" w:ascii="宋体" w:hAnsi="宋体" w:eastAsia="宋体" w:cs="宋体"/>
                <w:sz w:val="24"/>
                <w:szCs w:val="32"/>
              </w:rPr>
              <w:t xml:space="preserve">。</w:t>
            </w:r>
            <w:r/>
          </w:p>
          <w:p>
            <w:pPr>
              <w:ind w:firstLine="480"/>
              <w:rPr>
                <w:rFonts w:hint="eastAsia" w:ascii="宋体" w:hAnsi="宋体" w:eastAsia="宋体" w:cs="宋体"/>
                <w:sz w:val="24"/>
                <w:szCs w:val="32"/>
              </w:rPr>
            </w:pPr>
            <w:r>
              <w:rPr>
                <w:rFonts w:hint="eastAsia" w:ascii="宋体" w:hAnsi="宋体" w:eastAsia="宋体" w:cs="宋体"/>
                <w:sz w:val="24"/>
                <w:szCs w:val="32"/>
                <w:lang w:val="en-US" w:eastAsia="zh-CN"/>
              </w:rPr>
              <w:t xml:space="preserve">4、</w:t>
            </w:r>
            <w:r>
              <w:rPr>
                <w:rFonts w:hint="eastAsia" w:ascii="宋体" w:hAnsi="宋体" w:eastAsia="宋体" w:cs="宋体"/>
                <w:sz w:val="24"/>
                <w:szCs w:val="32"/>
              </w:rPr>
              <w:t xml:space="preserve">投标人具有系统集成售后服务认证证书的，五星级得</w:t>
            </w:r>
            <w:r>
              <w:rPr>
                <w:rFonts w:hint="eastAsia" w:ascii="宋体" w:hAnsi="宋体" w:eastAsia="宋体" w:cs="宋体"/>
                <w:sz w:val="24"/>
                <w:szCs w:val="32"/>
                <w:lang w:val="en-US" w:eastAsia="zh-CN"/>
              </w:rPr>
              <w:t xml:space="preserve">2</w:t>
            </w:r>
            <w:r>
              <w:rPr>
                <w:rFonts w:hint="eastAsia" w:ascii="宋体" w:hAnsi="宋体" w:eastAsia="宋体" w:cs="宋体"/>
                <w:sz w:val="24"/>
                <w:szCs w:val="32"/>
              </w:rPr>
              <w:t xml:space="preserve">分，三星或四星级得</w:t>
            </w:r>
            <w:r>
              <w:rPr>
                <w:rFonts w:hint="eastAsia" w:ascii="宋体" w:hAnsi="宋体" w:eastAsia="宋体" w:cs="宋体"/>
                <w:sz w:val="24"/>
                <w:szCs w:val="32"/>
                <w:lang w:val="en-US" w:eastAsia="zh-CN"/>
              </w:rPr>
              <w:t xml:space="preserve">1</w:t>
            </w:r>
            <w:r>
              <w:rPr>
                <w:rFonts w:hint="eastAsia" w:ascii="宋体" w:hAnsi="宋体" w:eastAsia="宋体" w:cs="宋体"/>
                <w:sz w:val="24"/>
                <w:szCs w:val="32"/>
              </w:rPr>
              <w:t xml:space="preserve">分，其他不得分。</w:t>
            </w:r>
            <w:r/>
          </w:p>
          <w:p>
            <w:pPr>
              <w:ind w:firstLine="480"/>
              <w:rPr>
                <w:rFonts w:hint="eastAsia" w:ascii="宋体" w:hAnsi="宋体" w:eastAsia="宋体" w:cs="宋体"/>
                <w:sz w:val="24"/>
                <w:szCs w:val="32"/>
              </w:rPr>
            </w:pPr>
            <w:r>
              <w:rPr>
                <w:rFonts w:hint="eastAsia" w:ascii="宋体" w:hAnsi="宋体" w:eastAsia="宋体" w:cs="宋体"/>
                <w:sz w:val="24"/>
                <w:szCs w:val="32"/>
                <w:lang w:val="en-US" w:eastAsia="zh-CN"/>
              </w:rPr>
              <w:t xml:space="preserve">5</w:t>
            </w:r>
            <w:r>
              <w:rPr>
                <w:rFonts w:hint="eastAsia" w:ascii="宋体" w:hAnsi="宋体" w:eastAsia="宋体" w:cs="宋体"/>
                <w:sz w:val="24"/>
                <w:szCs w:val="32"/>
              </w:rPr>
              <w:t xml:space="preserve">、投标人具有大数据服务安全能力评价认证证书得</w:t>
            </w:r>
            <w:r>
              <w:rPr>
                <w:rFonts w:hint="eastAsia" w:ascii="宋体" w:hAnsi="宋体" w:eastAsia="宋体" w:cs="宋体"/>
                <w:sz w:val="24"/>
                <w:szCs w:val="32"/>
                <w:lang w:val="en-US" w:eastAsia="zh-CN"/>
              </w:rPr>
              <w:t xml:space="preserve">2</w:t>
            </w:r>
            <w:r>
              <w:rPr>
                <w:rFonts w:hint="eastAsia" w:ascii="宋体" w:hAnsi="宋体" w:eastAsia="宋体" w:cs="宋体"/>
                <w:sz w:val="24"/>
                <w:szCs w:val="32"/>
              </w:rPr>
              <w:t xml:space="preserve">分；</w:t>
            </w:r>
            <w:r/>
          </w:p>
          <w:p>
            <w:pPr>
              <w:ind w:firstLine="480"/>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 xml:space="preserve">6、</w:t>
            </w:r>
            <w:r>
              <w:rPr>
                <w:rFonts w:hint="eastAsia" w:ascii="宋体" w:hAnsi="宋体" w:eastAsia="宋体" w:cs="宋体"/>
                <w:sz w:val="24"/>
                <w:szCs w:val="32"/>
              </w:rPr>
              <w:t xml:space="preserve">投标人具有有效期内的ISO27701隐私安全管理体系认证证书和ISO27001信息安全管理体系认证证书的，有一类得1分，本项最高得2分；</w:t>
            </w:r>
            <w:r/>
          </w:p>
          <w:p>
            <w:pPr>
              <w:ind w:firstLine="480"/>
              <w:rPr>
                <w:rFonts w:hint="eastAsia" w:ascii="宋体" w:hAnsi="宋体" w:eastAsia="宋体" w:cs="宋体"/>
                <w:sz w:val="24"/>
                <w:szCs w:val="32"/>
                <w:lang w:eastAsia="zh-CN"/>
              </w:rPr>
            </w:pPr>
            <w:r>
              <w:rPr>
                <w:rFonts w:hint="eastAsia" w:ascii="宋体" w:hAnsi="宋体" w:eastAsia="宋体" w:cs="宋体"/>
                <w:sz w:val="24"/>
                <w:szCs w:val="32"/>
              </w:rPr>
              <w:t xml:space="preserve">（</w:t>
            </w:r>
            <w:r>
              <w:rPr>
                <w:rFonts w:hint="eastAsia" w:ascii="宋体" w:hAnsi="宋体" w:eastAsia="宋体" w:cs="宋体"/>
                <w:sz w:val="24"/>
                <w:szCs w:val="32"/>
                <w:lang w:val="en-US" w:eastAsia="zh-CN"/>
              </w:rPr>
              <w:t xml:space="preserve">以上1-6项，</w:t>
            </w:r>
            <w:r>
              <w:rPr>
                <w:rFonts w:hint="eastAsia" w:ascii="宋体" w:hAnsi="宋体" w:eastAsia="宋体" w:cs="宋体"/>
                <w:sz w:val="24"/>
                <w:szCs w:val="32"/>
              </w:rPr>
              <w:t xml:space="preserve">投标文件中均需提供</w:t>
            </w:r>
            <w:r>
              <w:rPr>
                <w:rFonts w:hint="eastAsia" w:ascii="宋体" w:hAnsi="宋体" w:eastAsia="宋体" w:cs="宋体"/>
                <w:sz w:val="24"/>
                <w:szCs w:val="32"/>
                <w:lang w:eastAsia="zh-CN"/>
              </w:rPr>
              <w:t xml:space="preserve">相对应</w:t>
            </w:r>
            <w:r>
              <w:rPr>
                <w:rFonts w:hint="eastAsia" w:ascii="宋体" w:hAnsi="宋体" w:eastAsia="宋体" w:cs="宋体"/>
                <w:sz w:val="24"/>
                <w:szCs w:val="32"/>
              </w:rPr>
              <w:t xml:space="preserve">证书扫描件</w:t>
            </w:r>
            <w:bookmarkStart w:id="48" w:name="_GoBack"/>
            <w:r/>
            <w:bookmarkEnd w:id="48"/>
            <w:r>
              <w:rPr>
                <w:rFonts w:hint="eastAsia" w:ascii="宋体" w:hAnsi="宋体" w:eastAsia="宋体" w:cs="宋体"/>
                <w:sz w:val="24"/>
                <w:szCs w:val="32"/>
              </w:rPr>
              <w:t xml:space="preserve">，否则不得分） </w:t>
            </w:r>
            <w:r/>
          </w:p>
        </w:tc>
      </w:tr>
      <w:tr>
        <w:trPr>
          <w:jc w:val="center"/>
          <w:trHeight w:val="1123"/>
        </w:trPr>
        <w:tc>
          <w:tcPr>
            <w:tcW w:w="499"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p>
        </w:tc>
        <w:tc>
          <w:tcPr>
            <w:tcW w:w="855"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技术</w:t>
            </w:r>
            <w:r/>
          </w:p>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方案</w:t>
            </w:r>
            <w:r/>
          </w:p>
        </w:tc>
        <w:tc>
          <w:tcPr>
            <w:tcW w:w="660"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15分</w:t>
            </w:r>
            <w:r/>
          </w:p>
        </w:tc>
        <w:tc>
          <w:tcPr>
            <w:tcW w:w="7867" w:type="dxa"/>
            <w:vAlign w:val="center"/>
            <w:textDirection w:val="lrTb"/>
            <w:noWrap w:val="false"/>
          </w:tcPr>
          <w:p>
            <w:pPr>
              <w:ind w:firstLine="480"/>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 xml:space="preserve">1.实施方案（5分）：基本分4分。对招标文件的深化理解和项目实施组织方案阐述，具体由评委根据投标单位的项目人员组成、时间进度安排、项目安全措施、文明施工措施、档案管理措施等施工方案和验收方案酌情打分。在0</w:t>
            </w:r>
            <w:r>
              <w:rPr>
                <w:rFonts w:hint="eastAsia" w:ascii="宋体" w:hAnsi="宋体" w:eastAsia="宋体" w:cs="宋体"/>
                <w:sz w:val="24"/>
                <w:szCs w:val="32"/>
              </w:rPr>
              <w:t xml:space="preserve">-</w:t>
            </w:r>
            <w:r>
              <w:rPr>
                <w:rFonts w:hint="eastAsia" w:ascii="宋体" w:hAnsi="宋体" w:eastAsia="宋体" w:cs="宋体"/>
                <w:sz w:val="24"/>
                <w:szCs w:val="32"/>
                <w:lang w:val="en-US" w:eastAsia="zh-CN"/>
              </w:rPr>
              <w:t xml:space="preserve">1分之间加</w:t>
            </w:r>
            <w:r>
              <w:rPr>
                <w:rFonts w:hint="eastAsia" w:ascii="宋体" w:hAnsi="宋体" w:eastAsia="宋体" w:cs="宋体"/>
                <w:sz w:val="24"/>
                <w:szCs w:val="32"/>
              </w:rPr>
              <w:t xml:space="preserve">分。</w:t>
            </w:r>
            <w:r/>
          </w:p>
          <w:p>
            <w:pPr>
              <w:ind w:firstLine="480"/>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 xml:space="preserve">2.培训方案（5分）：基本分4分。投标人提供完整、可行的培训方案，明确具体培训方式、培训计划、时间、地点、对象以及培训内容。</w:t>
            </w:r>
            <w:r>
              <w:rPr>
                <w:rFonts w:hint="eastAsia" w:ascii="宋体" w:hAnsi="宋体" w:eastAsia="宋体" w:cs="宋体"/>
                <w:sz w:val="24"/>
                <w:szCs w:val="32"/>
              </w:rPr>
              <w:t xml:space="preserve">根据培训方案：培训方案内容详细、完整，培训计划及培训内容安排</w:t>
            </w:r>
            <w:r>
              <w:rPr>
                <w:rFonts w:hint="eastAsia" w:ascii="宋体" w:hAnsi="宋体" w:eastAsia="宋体" w:cs="宋体"/>
                <w:sz w:val="24"/>
                <w:szCs w:val="32"/>
                <w:lang w:eastAsia="zh-CN"/>
              </w:rPr>
              <w:t xml:space="preserve">是否</w:t>
            </w:r>
            <w:r>
              <w:rPr>
                <w:rFonts w:hint="eastAsia" w:ascii="宋体" w:hAnsi="宋体" w:eastAsia="宋体" w:cs="宋体"/>
                <w:sz w:val="24"/>
                <w:szCs w:val="32"/>
              </w:rPr>
              <w:t xml:space="preserve">合理可行</w:t>
            </w:r>
            <w:r>
              <w:rPr>
                <w:rFonts w:hint="eastAsia" w:ascii="宋体" w:hAnsi="宋体" w:eastAsia="宋体" w:cs="宋体"/>
                <w:sz w:val="24"/>
                <w:szCs w:val="32"/>
                <w:lang w:val="en-US" w:eastAsia="zh-CN"/>
              </w:rPr>
              <w:t xml:space="preserve">酌情打分</w:t>
            </w:r>
            <w:r>
              <w:rPr>
                <w:rFonts w:hint="eastAsia" w:ascii="宋体" w:hAnsi="宋体" w:eastAsia="宋体" w:cs="宋体"/>
                <w:sz w:val="24"/>
                <w:szCs w:val="32"/>
              </w:rPr>
              <w:t xml:space="preserve">，</w:t>
            </w:r>
            <w:r>
              <w:rPr>
                <w:rFonts w:hint="eastAsia" w:ascii="宋体" w:hAnsi="宋体" w:eastAsia="宋体" w:cs="宋体"/>
                <w:sz w:val="24"/>
                <w:szCs w:val="32"/>
                <w:lang w:val="en-US" w:eastAsia="zh-CN"/>
              </w:rPr>
              <w:t xml:space="preserve">在0</w:t>
            </w:r>
            <w:r>
              <w:rPr>
                <w:rFonts w:hint="eastAsia" w:ascii="宋体" w:hAnsi="宋体" w:eastAsia="宋体" w:cs="宋体"/>
                <w:sz w:val="24"/>
                <w:szCs w:val="32"/>
              </w:rPr>
              <w:t xml:space="preserve">-</w:t>
            </w:r>
            <w:r>
              <w:rPr>
                <w:rFonts w:hint="eastAsia" w:ascii="宋体" w:hAnsi="宋体" w:eastAsia="宋体" w:cs="宋体"/>
                <w:sz w:val="24"/>
                <w:szCs w:val="32"/>
                <w:lang w:val="en-US" w:eastAsia="zh-CN"/>
              </w:rPr>
              <w:t xml:space="preserve">1分之间加</w:t>
            </w:r>
            <w:r>
              <w:rPr>
                <w:rFonts w:hint="eastAsia" w:ascii="宋体" w:hAnsi="宋体" w:eastAsia="宋体" w:cs="宋体"/>
                <w:sz w:val="24"/>
                <w:szCs w:val="32"/>
              </w:rPr>
              <w:t xml:space="preserve">分。</w:t>
            </w:r>
            <w:r/>
          </w:p>
          <w:p>
            <w:pPr>
              <w:ind w:firstLine="480"/>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 xml:space="preserve">3、售后服务方案（5分）：基本分4分。方案具体</w:t>
            </w:r>
            <w:r>
              <w:rPr>
                <w:rFonts w:hint="eastAsia" w:ascii="宋体" w:hAnsi="宋体" w:eastAsia="宋体" w:cs="宋体"/>
                <w:sz w:val="24"/>
                <w:szCs w:val="32"/>
              </w:rPr>
              <w:t xml:space="preserve">包含但不限于售后服务资源和服务体系建设、客户服务标准、故障处理流程、投诉处理流程、应急处置流程、售后服务响应效率等，</w:t>
            </w:r>
            <w:r>
              <w:rPr>
                <w:rFonts w:hint="eastAsia" w:ascii="宋体" w:hAnsi="宋体" w:eastAsia="宋体" w:cs="宋体"/>
                <w:sz w:val="24"/>
                <w:szCs w:val="32"/>
                <w:lang w:val="en-US" w:eastAsia="zh-CN"/>
              </w:rPr>
              <w:t xml:space="preserve">评委根据投标人提供的售后服务方案酌情打分。在0</w:t>
            </w:r>
            <w:r>
              <w:rPr>
                <w:rFonts w:hint="eastAsia" w:ascii="宋体" w:hAnsi="宋体" w:eastAsia="宋体" w:cs="宋体"/>
                <w:sz w:val="24"/>
                <w:szCs w:val="32"/>
              </w:rPr>
              <w:t xml:space="preserve">-</w:t>
            </w:r>
            <w:r>
              <w:rPr>
                <w:rFonts w:hint="eastAsia" w:ascii="宋体" w:hAnsi="宋体" w:eastAsia="宋体" w:cs="宋体"/>
                <w:sz w:val="24"/>
                <w:szCs w:val="32"/>
                <w:lang w:val="en-US" w:eastAsia="zh-CN"/>
              </w:rPr>
              <w:t xml:space="preserve">1分区间加</w:t>
            </w:r>
            <w:r>
              <w:rPr>
                <w:rFonts w:hint="eastAsia" w:ascii="宋体" w:hAnsi="宋体" w:eastAsia="宋体" w:cs="宋体"/>
                <w:sz w:val="24"/>
                <w:szCs w:val="32"/>
              </w:rPr>
              <w:t xml:space="preserve">分。</w:t>
            </w:r>
            <w:r/>
          </w:p>
        </w:tc>
      </w:tr>
    </w:tbl>
    <w:p>
      <w:pPr>
        <w:pStyle w:val="667"/>
        <w:spacing w:before="120" w:beforeAutospacing="0" w:after="120" w:afterAutospacing="0" w:line="360" w:lineRule="auto"/>
        <w:rPr>
          <w:color w:val="auto"/>
          <w:highlight w:val="none"/>
        </w:rPr>
      </w:pPr>
      <w:r>
        <w:rPr>
          <w:color w:val="auto"/>
          <w:highlight w:val="none"/>
        </w:rPr>
      </w:r>
      <w:r/>
    </w:p>
    <w:p>
      <w:pPr>
        <w:pStyle w:val="667"/>
        <w:jc w:val="both"/>
        <w:spacing w:beforeAutospacing="0" w:afterAutospacing="0"/>
        <w:rPr>
          <w:color w:val="auto"/>
          <w:highlight w:val="none"/>
        </w:rPr>
      </w:pPr>
      <w:r>
        <w:rPr>
          <w:color w:val="auto"/>
          <w:highlight w:val="none"/>
        </w:rPr>
        <w:t xml:space="preserve"> </w:t>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667"/>
        <w:jc w:val="center"/>
        <w:keepNext/>
        <w:spacing w:beforeAutospacing="0" w:afterAutospacing="0"/>
        <w:rPr>
          <w:rFonts w:hint="eastAsia" w:ascii="黑体" w:hAnsi="宋体" w:eastAsia="黑体" w:cs="黑体"/>
          <w:color w:val="auto"/>
          <w:sz w:val="44"/>
          <w:szCs w:val="44"/>
          <w:highlight w:val="none"/>
        </w:rPr>
        <w:outlineLvl w:val="0"/>
      </w:pPr>
      <w:r/>
      <w:bookmarkStart w:id="37" w:name="_Toc13"/>
      <w:r>
        <w:rPr>
          <w:rFonts w:hint="eastAsia" w:ascii="黑体" w:hAnsi="宋体" w:eastAsia="黑体" w:cs="黑体"/>
          <w:color w:val="auto"/>
          <w:sz w:val="44"/>
          <w:szCs w:val="44"/>
          <w:highlight w:val="none"/>
        </w:rPr>
        <w:t xml:space="preserve">第六章  投标文件格式</w:t>
      </w:r>
      <w:bookmarkEnd w:id="37"/>
      <w:r/>
      <w:r/>
    </w:p>
    <w:p>
      <w:pPr>
        <w:pStyle w:val="667"/>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67"/>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67"/>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67"/>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 </w:t>
      </w:r>
      <w:r/>
    </w:p>
    <w:p>
      <w:pPr>
        <w:pStyle w:val="667"/>
        <w:jc w:val="center"/>
        <w:spacing w:beforeAutospacing="0" w:afterAutospacing="0"/>
        <w:rPr>
          <w:color w:val="auto"/>
          <w:highlight w:val="none"/>
        </w:rPr>
      </w:pPr>
      <w:r/>
      <w:bookmarkStart w:id="38" w:name="_Hlt26671244"/>
      <w:r/>
      <w:bookmarkEnd w:id="38"/>
      <w:r/>
      <w:bookmarkStart w:id="39" w:name="_Hlt26955039"/>
      <w:r/>
      <w:bookmarkEnd w:id="39"/>
      <w:r>
        <w:rPr>
          <w:rFonts w:hint="eastAsia" w:ascii="宋体" w:hAnsi="宋体" w:eastAsia="宋体" w:cs="宋体"/>
          <w:b/>
          <w:color w:val="auto"/>
          <w:sz w:val="72"/>
          <w:szCs w:val="72"/>
          <w:highlight w:val="none"/>
        </w:rPr>
        <w:t xml:space="preserve">投  标  文  件</w:t>
      </w:r>
      <w:r/>
    </w:p>
    <w:p>
      <w:pPr>
        <w:pStyle w:val="667"/>
        <w:jc w:val="center"/>
        <w:spacing w:beforeAutospacing="0" w:afterAutospacing="0"/>
        <w:rPr>
          <w:color w:val="auto"/>
          <w:highlight w:val="none"/>
        </w:rPr>
      </w:pPr>
      <w:r>
        <w:rPr>
          <w:color w:val="auto"/>
          <w:highlight w:val="none"/>
        </w:rPr>
        <w:t xml:space="preserve"> </w:t>
      </w:r>
      <w:r/>
    </w:p>
    <w:p>
      <w:pPr>
        <w:pStyle w:val="667"/>
        <w:jc w:val="center"/>
        <w:spacing w:beforeAutospacing="0" w:afterAutospacing="0"/>
        <w:rPr>
          <w:color w:val="auto"/>
          <w:highlight w:val="none"/>
        </w:rPr>
      </w:pPr>
      <w:r>
        <w:rPr>
          <w:color w:val="auto"/>
          <w:highlight w:val="none"/>
        </w:rPr>
        <w:t xml:space="preserve"> </w:t>
      </w:r>
      <w:r/>
    </w:p>
    <w:p>
      <w:pPr>
        <w:pStyle w:val="667"/>
        <w:jc w:val="center"/>
        <w:spacing w:beforeAutospacing="0" w:afterAutospacing="0"/>
        <w:rPr>
          <w:color w:val="auto"/>
          <w:highlight w:val="none"/>
        </w:rPr>
      </w:pPr>
      <w:r>
        <w:rPr>
          <w:color w:val="auto"/>
          <w:highlight w:val="none"/>
        </w:rPr>
        <w:t xml:space="preserve"> </w:t>
      </w:r>
      <w:r/>
    </w:p>
    <w:p>
      <w:pPr>
        <w:pStyle w:val="667"/>
        <w:jc w:val="center"/>
        <w:spacing w:beforeAutospacing="0" w:afterAutospacing="0"/>
        <w:rPr>
          <w:color w:val="auto"/>
          <w:highlight w:val="none"/>
        </w:rPr>
      </w:pPr>
      <w:r>
        <w:rPr>
          <w:color w:val="auto"/>
          <w:highlight w:val="none"/>
        </w:rPr>
      </w:r>
      <w:r/>
    </w:p>
    <w:p>
      <w:pPr>
        <w:pStyle w:val="667"/>
        <w:jc w:val="center"/>
        <w:spacing w:beforeAutospacing="0" w:afterAutospacing="0"/>
        <w:rPr>
          <w:color w:val="auto"/>
          <w:highlight w:val="none"/>
        </w:rPr>
      </w:pPr>
      <w:r>
        <w:rPr>
          <w:color w:val="auto"/>
          <w:highlight w:val="none"/>
        </w:rPr>
      </w:r>
      <w:r/>
    </w:p>
    <w:p>
      <w:pPr>
        <w:pStyle w:val="667"/>
        <w:jc w:val="center"/>
        <w:spacing w:beforeAutospacing="0" w:afterAutospacing="0"/>
        <w:rPr>
          <w:color w:val="auto"/>
          <w:highlight w:val="none"/>
        </w:rPr>
      </w:pPr>
      <w:r>
        <w:rPr>
          <w:color w:val="auto"/>
          <w:highlight w:val="none"/>
        </w:rPr>
      </w:r>
      <w:r/>
    </w:p>
    <w:p>
      <w:pPr>
        <w:pStyle w:val="667"/>
        <w:jc w:val="center"/>
        <w:spacing w:beforeAutospacing="0" w:afterAutospacing="0"/>
        <w:rPr>
          <w:color w:val="auto"/>
          <w:highlight w:val="none"/>
        </w:rPr>
      </w:pPr>
      <w:r>
        <w:rPr>
          <w:color w:val="auto"/>
          <w:highlight w:val="none"/>
        </w:rPr>
      </w:r>
      <w:r/>
    </w:p>
    <w:p>
      <w:pPr>
        <w:pStyle w:val="667"/>
        <w:jc w:val="center"/>
        <w:spacing w:beforeAutospacing="0" w:afterAutospacing="0"/>
        <w:rPr>
          <w:color w:val="auto"/>
          <w:highlight w:val="none"/>
        </w:rPr>
      </w:pPr>
      <w:r>
        <w:rPr>
          <w:color w:val="auto"/>
          <w:highlight w:val="none"/>
        </w:rPr>
      </w:r>
      <w:r/>
    </w:p>
    <w:p>
      <w:pPr>
        <w:pStyle w:val="667"/>
        <w:jc w:val="center"/>
        <w:spacing w:beforeAutospacing="0" w:afterAutospacing="0"/>
        <w:rPr>
          <w:color w:val="auto"/>
          <w:highlight w:val="none"/>
        </w:rPr>
      </w:pPr>
      <w:r>
        <w:rPr>
          <w:color w:val="auto"/>
          <w:highlight w:val="none"/>
        </w:rPr>
      </w:r>
      <w:r/>
    </w:p>
    <w:p>
      <w:pPr>
        <w:pStyle w:val="667"/>
        <w:jc w:val="center"/>
        <w:spacing w:beforeAutospacing="0" w:afterAutospacing="0"/>
        <w:rPr>
          <w:color w:val="auto"/>
          <w:highlight w:val="none"/>
        </w:rPr>
      </w:pPr>
      <w:r>
        <w:rPr>
          <w:color w:val="auto"/>
          <w:highlight w:val="none"/>
        </w:rPr>
      </w:r>
      <w:r/>
    </w:p>
    <w:p>
      <w:pPr>
        <w:pStyle w:val="667"/>
        <w:jc w:val="center"/>
        <w:spacing w:beforeAutospacing="0" w:afterAutospacing="0"/>
        <w:rPr>
          <w:color w:val="auto"/>
          <w:highlight w:val="none"/>
        </w:rPr>
      </w:pPr>
      <w:r>
        <w:rPr>
          <w:color w:val="auto"/>
          <w:highlight w:val="none"/>
        </w:rPr>
      </w:r>
      <w:r/>
    </w:p>
    <w:p>
      <w:pPr>
        <w:pStyle w:val="667"/>
        <w:jc w:val="center"/>
        <w:spacing w:beforeAutospacing="0" w:afterAutospacing="0"/>
        <w:rPr>
          <w:color w:val="auto"/>
          <w:highlight w:val="none"/>
        </w:rPr>
      </w:pPr>
      <w:r>
        <w:rPr>
          <w:color w:val="auto"/>
          <w:highlight w:val="none"/>
        </w:rPr>
      </w:r>
      <w:r/>
    </w:p>
    <w:p>
      <w:pPr>
        <w:pStyle w:val="667"/>
        <w:jc w:val="center"/>
        <w:spacing w:beforeAutospacing="0" w:afterAutospacing="0"/>
        <w:rPr>
          <w:color w:val="auto"/>
          <w:highlight w:val="none"/>
        </w:rPr>
      </w:pPr>
      <w:r>
        <w:rPr>
          <w:color w:val="auto"/>
          <w:highlight w:val="none"/>
        </w:rPr>
      </w:r>
      <w:r/>
    </w:p>
    <w:p>
      <w:pPr>
        <w:pStyle w:val="667"/>
        <w:jc w:val="center"/>
        <w:spacing w:beforeAutospacing="0" w:afterAutospacing="0"/>
        <w:rPr>
          <w:color w:val="auto"/>
          <w:highlight w:val="none"/>
        </w:rPr>
      </w:pPr>
      <w:r>
        <w:rPr>
          <w:color w:val="auto"/>
          <w:highlight w:val="none"/>
        </w:rPr>
      </w:r>
      <w:r/>
    </w:p>
    <w:p>
      <w:pPr>
        <w:pStyle w:val="667"/>
        <w:jc w:val="center"/>
        <w:spacing w:beforeAutospacing="0" w:afterAutospacing="0"/>
        <w:rPr>
          <w:color w:val="auto"/>
          <w:highlight w:val="none"/>
        </w:rPr>
      </w:pPr>
      <w:r>
        <w:rPr>
          <w:color w:val="auto"/>
          <w:highlight w:val="none"/>
        </w:rPr>
      </w:r>
      <w:r/>
    </w:p>
    <w:p>
      <w:pPr>
        <w:pStyle w:val="667"/>
        <w:jc w:val="center"/>
        <w:spacing w:beforeAutospacing="0" w:afterAutospacing="0"/>
        <w:rPr>
          <w:color w:val="auto"/>
          <w:highlight w:val="none"/>
        </w:rPr>
      </w:pPr>
      <w:r>
        <w:rPr>
          <w:color w:val="auto"/>
          <w:highlight w:val="none"/>
        </w:rPr>
      </w:r>
      <w:r/>
    </w:p>
    <w:p>
      <w:pPr>
        <w:pStyle w:val="667"/>
        <w:jc w:val="center"/>
        <w:spacing w:beforeAutospacing="0" w:afterAutospacing="0"/>
        <w:rPr>
          <w:color w:val="auto"/>
          <w:highlight w:val="none"/>
        </w:rPr>
      </w:pPr>
      <w:r>
        <w:rPr>
          <w:color w:val="auto"/>
          <w:highlight w:val="none"/>
        </w:rPr>
      </w:r>
      <w:r/>
    </w:p>
    <w:p>
      <w:pPr>
        <w:pStyle w:val="667"/>
        <w:jc w:val="center"/>
        <w:spacing w:beforeAutospacing="0" w:afterAutospacing="0"/>
        <w:rPr>
          <w:color w:val="auto"/>
          <w:highlight w:val="none"/>
        </w:rPr>
      </w:pPr>
      <w:r>
        <w:rPr>
          <w:color w:val="auto"/>
          <w:highlight w:val="none"/>
        </w:rPr>
      </w:r>
      <w:r/>
    </w:p>
    <w:p>
      <w:pPr>
        <w:pStyle w:val="667"/>
        <w:jc w:val="center"/>
        <w:spacing w:beforeAutospacing="0" w:afterAutospacing="0"/>
        <w:rPr>
          <w:color w:val="auto"/>
          <w:highlight w:val="none"/>
        </w:rPr>
      </w:pPr>
      <w:r>
        <w:rPr>
          <w:color w:val="auto"/>
          <w:highlight w:val="none"/>
        </w:rPr>
      </w:r>
      <w:r/>
    </w:p>
    <w:p>
      <w:pPr>
        <w:pStyle w:val="667"/>
        <w:jc w:val="center"/>
        <w:spacing w:beforeAutospacing="0" w:afterAutospacing="0"/>
        <w:rPr>
          <w:color w:val="auto"/>
          <w:highlight w:val="none"/>
        </w:rPr>
      </w:pPr>
      <w:r>
        <w:rPr>
          <w:color w:val="auto"/>
          <w:highlight w:val="none"/>
        </w:rPr>
      </w:r>
      <w:r/>
    </w:p>
    <w:p>
      <w:pPr>
        <w:pStyle w:val="667"/>
        <w:jc w:val="center"/>
        <w:spacing w:beforeAutospacing="0" w:afterAutospacing="0"/>
        <w:rPr>
          <w:color w:val="auto"/>
          <w:highlight w:val="none"/>
        </w:rPr>
      </w:pPr>
      <w:r>
        <w:rPr>
          <w:color w:val="auto"/>
          <w:highlight w:val="none"/>
        </w:rPr>
        <w:t xml:space="preserve"> </w:t>
      </w:r>
      <w:r/>
    </w:p>
    <w:p>
      <w:pPr>
        <w:pStyle w:val="667"/>
        <w:jc w:val="center"/>
        <w:spacing w:beforeAutospacing="0" w:afterAutospacing="0"/>
        <w:rPr>
          <w:color w:val="auto"/>
          <w:highlight w:val="none"/>
        </w:rPr>
      </w:pPr>
      <w:r>
        <w:rPr>
          <w:color w:val="auto"/>
          <w:highlight w:val="none"/>
        </w:rPr>
        <w:t xml:space="preserve"> </w:t>
      </w:r>
      <w:r/>
    </w:p>
    <w:p>
      <w:pPr>
        <w:pStyle w:val="667"/>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p>
    <w:p>
      <w:pPr>
        <w:pStyle w:val="667"/>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p>
    <w:p>
      <w:pPr>
        <w:pStyle w:val="667"/>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        </w:t>
      </w:r>
      <w:r/>
    </w:p>
    <w:p>
      <w:pPr>
        <w:pStyle w:val="667"/>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667"/>
        <w:jc w:val="center"/>
        <w:spacing w:beforeAutospacing="0" w:afterAutospacing="0" w:line="0" w:lineRule="atLeast"/>
        <w:rPr>
          <w:color w:val="auto"/>
          <w:highlight w:val="none"/>
        </w:rPr>
      </w:pPr>
      <w:r>
        <w:rPr>
          <w:color w:val="auto"/>
          <w:highlight w:val="none"/>
        </w:rPr>
        <w:t xml:space="preserve"> </w:t>
      </w:r>
      <w:r/>
    </w:p>
    <w:p>
      <w:pPr>
        <w:pStyle w:val="667"/>
        <w:jc w:val="both"/>
        <w:spacing w:beforeAutospacing="0" w:afterAutospacing="0" w:line="0" w:lineRule="atLeast"/>
        <w:rPr>
          <w:color w:val="auto"/>
          <w:highlight w:val="none"/>
        </w:rPr>
      </w:pPr>
      <w:r>
        <w:rPr>
          <w:color w:val="auto"/>
          <w:highlight w:val="none"/>
        </w:rPr>
        <w:t xml:space="preserve"> </w:t>
      </w:r>
      <w:r/>
    </w:p>
    <w:p>
      <w:pPr>
        <w:rPr>
          <w:rFonts w:hint="eastAsia" w:ascii="宋体" w:hAnsi="宋体"/>
          <w:b/>
          <w:bCs/>
          <w:color w:val="auto"/>
          <w:sz w:val="32"/>
          <w:szCs w:val="32"/>
          <w:highlight w:val="none"/>
        </w:rPr>
      </w:pPr>
      <w:r/>
      <w:bookmarkStart w:id="40" w:name="_格式3__银行出具的资信证明"/>
      <w:r/>
      <w:bookmarkStart w:id="41" w:name="_格式2__法定代表人授权书"/>
      <w:r/>
      <w:bookmarkStart w:id="42" w:name="_Hlt26609389"/>
      <w:r/>
      <w:bookmarkStart w:id="43" w:name="_Hlt26955054"/>
      <w:r/>
      <w:bookmarkStart w:id="44" w:name="_Hlt26671380"/>
      <w:r/>
      <w:bookmarkStart w:id="45" w:name="_Hlt26671374"/>
      <w:r/>
      <w:bookmarkStart w:id="46" w:name="_Hlt26955066"/>
      <w:r/>
      <w:bookmarkStart w:id="47" w:name="_Hlt26955070"/>
      <w:r>
        <w:rPr>
          <w:rFonts w:hint="eastAsia" w:ascii="宋体" w:hAnsi="宋体"/>
          <w:b/>
          <w:bCs/>
          <w:color w:val="auto"/>
          <w:sz w:val="32"/>
          <w:szCs w:val="32"/>
          <w:highlight w:val="none"/>
        </w:rPr>
        <w:br w:type="page" w:clear="all"/>
      </w:r>
      <w:r/>
    </w:p>
    <w:p>
      <w:pPr>
        <w:ind w:firstLine="0"/>
        <w:jc w:val="center"/>
        <w:spacing w:line="240" w:lineRule="auto"/>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投标文件目录</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一、开标一览表（系统固定格式）</w:t>
      </w:r>
      <w:r/>
    </w:p>
    <w:p>
      <w:pPr>
        <w:ind w:firstLine="480"/>
        <w:spacing w:line="440" w:lineRule="exact"/>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二、资格审查资料</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（1）法人或者其他组织的营业执照等证明文件，自然人的身份证明</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（2）上一年度的财务状况报表（至少提供资产负债表、利润表、现金流量表，投标人成立不满一年无需提供）</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（4）具备履行合同所必需的设备和专业技术能力的书面声明</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（5）参加政府采购活动前 3 年内在经营活动中没有重大违法记录的书面声明</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（6）投标人法定代表人身份证明和投标文件签署授权委托书（另附法定代表人和被授权人的身份证复印件或扫描件）；</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（7）投标人为被授权人缴纳的社会养老保险证明；</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（8）与资格审查有关的其他资料（如有）。</w:t>
      </w:r>
      <w:r/>
    </w:p>
    <w:p>
      <w:pPr>
        <w:ind w:firstLine="480"/>
        <w:spacing w:line="440" w:lineRule="exact"/>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三、符合性资料</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（1）投标报价明细表；</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（2）投标函；</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（3）所供货物（货物附带的服务）内容及货物要求偏离表；</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（4）投标人的服务承诺；</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（5）小微企业声明函；（如有）</w:t>
      </w:r>
      <w:r/>
    </w:p>
    <w:p>
      <w:pPr>
        <w:ind w:firstLine="480"/>
        <w:spacing w:line="440" w:lineRule="exact"/>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（6）残疾人福利性单位声明函；（如有）</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（7）联合体协议（如有）；</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（8）东台市政府采购事前信用承诺书；</w:t>
      </w:r>
      <w:r/>
    </w:p>
    <w:p>
      <w:pPr>
        <w:ind w:firstLine="480"/>
        <w:spacing w:line="440" w:lineRule="exact"/>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四、综合评审相关资料</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五、价格折扣文件（如有）</w:t>
      </w:r>
      <w:r/>
    </w:p>
    <w:p>
      <w:pPr>
        <w:jc w:val="center"/>
        <w:rPr>
          <w:rFonts w:hint="eastAsia" w:ascii="黑体" w:eastAsia="黑体"/>
          <w:b/>
          <w:bCs/>
          <w:color w:val="auto"/>
          <w:sz w:val="32"/>
          <w:szCs w:val="32"/>
          <w:highlight w:val="none"/>
        </w:rPr>
      </w:pPr>
      <w:r>
        <w:rPr>
          <w:rFonts w:hint="eastAsia" w:ascii="黑体" w:hAnsi="黑体" w:eastAsia="黑体"/>
          <w:i/>
          <w:color w:val="auto"/>
          <w:sz w:val="32"/>
          <w:szCs w:val="32"/>
          <w:highlight w:val="none"/>
          <w:u w:val="single"/>
        </w:rPr>
        <w:br w:type="page" w:clear="all"/>
      </w:r>
      <w:r>
        <w:rPr>
          <w:rFonts w:hint="eastAsia" w:ascii="黑体" w:hAnsi="Times New Roman" w:eastAsia="黑体" w:cs="Times New Roman"/>
          <w:b/>
          <w:bCs/>
          <w:i w:val="0"/>
          <w:color w:val="auto"/>
          <w:sz w:val="32"/>
          <w:szCs w:val="32"/>
          <w:highlight w:val="none"/>
          <w:u w:val="none"/>
          <w:lang w:val="en-US" w:eastAsia="zh-CN"/>
        </w:rPr>
        <w:t xml:space="preserve">1.</w:t>
      </w:r>
      <w:r>
        <w:rPr>
          <w:rFonts w:hint="eastAsia" w:ascii="黑体" w:hAnsi="Times New Roman" w:eastAsia="黑体" w:cs="Times New Roman"/>
          <w:b/>
          <w:bCs/>
          <w:color w:val="auto"/>
          <w:sz w:val="32"/>
          <w:szCs w:val="32"/>
          <w:highlight w:val="none"/>
        </w:rPr>
        <w:t xml:space="preserve">具有履</w:t>
      </w:r>
      <w:r>
        <w:rPr>
          <w:rFonts w:hint="eastAsia" w:ascii="黑体" w:eastAsia="黑体"/>
          <w:b/>
          <w:bCs/>
          <w:color w:val="auto"/>
          <w:sz w:val="32"/>
          <w:szCs w:val="32"/>
          <w:highlight w:val="none"/>
        </w:rPr>
        <w:t xml:space="preserve">行合同所必需的设备和专业技术能力的书面声明</w:t>
      </w:r>
      <w:r/>
    </w:p>
    <w:p>
      <w:pPr>
        <w:rPr>
          <w:rFonts w:hint="eastAsia" w:ascii="仿宋_GB2312" w:eastAsia="仿宋_GB2312"/>
          <w:color w:val="auto"/>
          <w:sz w:val="24"/>
          <w:highlight w:val="none"/>
        </w:rPr>
      </w:pPr>
      <w:r>
        <w:rPr>
          <w:rFonts w:hint="eastAsia" w:ascii="仿宋_GB2312" w:eastAsia="仿宋_GB2312"/>
          <w:color w:val="auto"/>
          <w:sz w:val="24"/>
          <w:highlight w:val="none"/>
        </w:rPr>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主要设备有：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主要专业技术能力有：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28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w:t>
      </w:r>
      <w:r>
        <w:rPr>
          <w:rFonts w:hint="eastAsia" w:ascii="宋体" w:hAnsi="宋体" w:eastAsia="宋体" w:cs="宋体"/>
          <w:color w:val="auto"/>
          <w:sz w:val="24"/>
          <w:highlight w:val="none"/>
          <w:lang w:eastAsia="zh-CN"/>
        </w:rPr>
        <w:t xml:space="preserve">被授权人（</w:t>
      </w:r>
      <w:r>
        <w:rPr>
          <w:rFonts w:hint="eastAsia" w:ascii="宋体" w:hAnsi="宋体" w:eastAsia="宋体" w:cs="宋体"/>
          <w:color w:val="auto"/>
          <w:sz w:val="24"/>
          <w:highlight w:val="none"/>
        </w:rPr>
        <w:t xml:space="preserve">签字</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ind w:firstLine="16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8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企业名称（加盖CA电子公章）</w:t>
      </w:r>
      <w:r>
        <w:rPr>
          <w:rFonts w:hint="eastAsia" w:ascii="宋体" w:hAnsi="宋体" w:eastAsia="宋体" w:cs="宋体"/>
          <w:color w:val="auto"/>
          <w:sz w:val="24"/>
          <w:highlight w:val="none"/>
        </w:rPr>
        <w:t xml:space="preserve">：</w:t>
      </w:r>
      <w:r/>
    </w:p>
    <w:p>
      <w:pPr>
        <w:ind w:firstLine="16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jc w:val="right"/>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ind w:firstLine="492"/>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                                     </w:t>
      </w:r>
      <w:r/>
    </w:p>
    <w:p>
      <w:pPr>
        <w:pStyle w:val="648"/>
        <w:ind w:firstLine="0"/>
        <w:rPr>
          <w:rFonts w:hint="eastAsia"/>
          <w:color w:val="auto"/>
          <w:highlight w:val="none"/>
        </w:rPr>
      </w:pPr>
      <w:r>
        <w:rPr>
          <w:rFonts w:hint="eastAsia"/>
          <w:color w:val="auto"/>
          <w:highlight w:val="none"/>
        </w:rPr>
      </w:r>
      <w:r/>
    </w:p>
    <w:p>
      <w:pPr>
        <w:jc w:val="center"/>
        <w:spacing w:line="600" w:lineRule="exact"/>
        <w:rPr>
          <w:rFonts w:hint="eastAsia" w:ascii="黑体" w:eastAsia="黑体"/>
          <w:b/>
          <w:bCs/>
          <w:color w:val="auto"/>
          <w:sz w:val="32"/>
          <w:szCs w:val="32"/>
          <w:highlight w:val="none"/>
        </w:rPr>
      </w:pPr>
      <w:r>
        <w:rPr>
          <w:rFonts w:hint="eastAsia" w:ascii="黑体" w:hAnsi="黑体" w:eastAsia="黑体"/>
          <w:i/>
          <w:color w:val="auto"/>
          <w:sz w:val="32"/>
          <w:szCs w:val="32"/>
          <w:highlight w:val="none"/>
          <w:u w:val="single"/>
        </w:rPr>
        <w:br w:type="page" w:clear="all"/>
      </w:r>
      <w:r>
        <w:rPr>
          <w:rFonts w:hint="eastAsia" w:ascii="黑体" w:hAnsi="Calibri" w:eastAsia="黑体" w:cs="Times New Roman"/>
          <w:b/>
          <w:bCs/>
          <w:i w:val="0"/>
          <w:color w:val="auto"/>
          <w:sz w:val="32"/>
          <w:szCs w:val="32"/>
          <w:highlight w:val="none"/>
          <w:u w:val="none"/>
          <w:lang w:val="en-US" w:eastAsia="zh-CN"/>
        </w:rPr>
        <w:t xml:space="preserve">2.</w:t>
      </w:r>
      <w:r>
        <w:rPr>
          <w:rFonts w:hint="eastAsia" w:ascii="黑体" w:hAnsi="Calibri" w:eastAsia="黑体" w:cs="Times New Roman"/>
          <w:b/>
          <w:bCs/>
          <w:color w:val="auto"/>
          <w:sz w:val="32"/>
          <w:szCs w:val="32"/>
          <w:highlight w:val="none"/>
        </w:rPr>
        <w:t xml:space="preserve">参加政</w:t>
      </w:r>
      <w:r>
        <w:rPr>
          <w:rFonts w:hint="eastAsia" w:ascii="黑体" w:eastAsia="黑体"/>
          <w:b/>
          <w:bCs/>
          <w:color w:val="auto"/>
          <w:sz w:val="32"/>
          <w:szCs w:val="32"/>
          <w:highlight w:val="none"/>
        </w:rPr>
        <w:t xml:space="preserve">府采购活动前3年内在经营活动中</w:t>
      </w:r>
      <w:r/>
    </w:p>
    <w:p>
      <w:pPr>
        <w:jc w:val="center"/>
        <w:spacing w:line="600" w:lineRule="exact"/>
        <w:rPr>
          <w:rFonts w:hint="eastAsia" w:ascii="黑体" w:eastAsia="黑体"/>
          <w:b/>
          <w:bCs/>
          <w:color w:val="auto"/>
          <w:sz w:val="32"/>
          <w:szCs w:val="32"/>
          <w:highlight w:val="none"/>
        </w:rPr>
      </w:pPr>
      <w:r>
        <w:rPr>
          <w:rFonts w:hint="eastAsia" w:ascii="黑体" w:eastAsia="黑体"/>
          <w:b/>
          <w:bCs/>
          <w:color w:val="auto"/>
          <w:sz w:val="32"/>
          <w:szCs w:val="32"/>
          <w:highlight w:val="none"/>
        </w:rPr>
        <w:t xml:space="preserve">没有重大违法记录的书面声明</w:t>
      </w:r>
      <w:r/>
    </w:p>
    <w:p>
      <w:pPr>
        <w:spacing w:line="600" w:lineRule="exact"/>
        <w:rPr>
          <w:rFonts w:hint="eastAsia" w:ascii="仿宋_GB2312" w:eastAsia="仿宋_GB2312"/>
          <w:color w:val="auto"/>
          <w:sz w:val="24"/>
          <w:highlight w:val="none"/>
        </w:rPr>
      </w:pPr>
      <w:r>
        <w:rPr>
          <w:rFonts w:hint="eastAsia" w:ascii="仿宋_GB2312" w:eastAsia="仿宋_GB2312"/>
          <w:color w:val="auto"/>
          <w:sz w:val="24"/>
          <w:highlight w:val="none"/>
        </w:rPr>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12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w:t>
      </w:r>
      <w:r>
        <w:rPr>
          <w:rFonts w:hint="eastAsia" w:ascii="宋体" w:hAnsi="宋体" w:eastAsia="宋体" w:cs="宋体"/>
          <w:color w:val="auto"/>
          <w:sz w:val="24"/>
          <w:highlight w:val="none"/>
          <w:lang w:eastAsia="zh-CN"/>
        </w:rPr>
        <w:t xml:space="preserve">被授权人（</w:t>
      </w:r>
      <w:r>
        <w:rPr>
          <w:rFonts w:hint="eastAsia" w:ascii="宋体" w:hAnsi="宋体" w:eastAsia="宋体" w:cs="宋体"/>
          <w:color w:val="auto"/>
          <w:sz w:val="24"/>
          <w:highlight w:val="none"/>
        </w:rPr>
        <w:t xml:space="preserve">签字</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ind w:firstLine="16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12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企业名称（加盖CA电子公章）</w:t>
      </w:r>
      <w:r>
        <w:rPr>
          <w:rFonts w:hint="eastAsia" w:ascii="宋体" w:hAnsi="宋体" w:eastAsia="宋体" w:cs="宋体"/>
          <w:color w:val="auto"/>
          <w:sz w:val="24"/>
          <w:highlight w:val="none"/>
        </w:rPr>
        <w:t xml:space="preserve">：</w:t>
      </w:r>
      <w:r/>
    </w:p>
    <w:p>
      <w:pPr>
        <w:ind w:firstLine="16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680"/>
        <w:jc w:val="right"/>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jc w:val="center"/>
        <w:spacing w:line="600" w:lineRule="exact"/>
        <w:rPr>
          <w:rFonts w:hint="eastAsia" w:ascii="黑体" w:eastAsia="黑体"/>
          <w:b/>
          <w:bCs/>
          <w:color w:val="auto"/>
          <w:sz w:val="32"/>
          <w:szCs w:val="32"/>
          <w:highlight w:val="none"/>
        </w:rPr>
        <w:outlineLvl w:val="1"/>
      </w:pPr>
      <w:r>
        <w:rPr>
          <w:rFonts w:hint="eastAsia" w:ascii="黑体" w:hAnsi="黑体" w:eastAsia="黑体"/>
          <w:i/>
          <w:color w:val="auto"/>
          <w:sz w:val="32"/>
          <w:szCs w:val="32"/>
          <w:highlight w:val="none"/>
          <w:u w:val="single"/>
        </w:rPr>
        <w:br w:type="page" w:clear="all"/>
      </w:r>
      <w:r>
        <w:rPr>
          <w:rFonts w:hint="eastAsia" w:ascii="黑体" w:hAnsi="Calibri" w:eastAsia="黑体" w:cs="Times New Roman"/>
          <w:b/>
          <w:bCs/>
          <w:color w:val="auto"/>
          <w:sz w:val="32"/>
          <w:szCs w:val="32"/>
          <w:highlight w:val="none"/>
          <w:lang w:val="en-US" w:eastAsia="zh-CN"/>
        </w:rPr>
        <w:t xml:space="preserve">3.</w:t>
      </w:r>
      <w:r>
        <w:rPr>
          <w:rFonts w:hint="eastAsia" w:ascii="黑体" w:hAnsi="Calibri" w:eastAsia="黑体" w:cs="Times New Roman"/>
          <w:b/>
          <w:bCs/>
          <w:color w:val="auto"/>
          <w:sz w:val="32"/>
          <w:szCs w:val="32"/>
          <w:highlight w:val="none"/>
        </w:rPr>
        <w:t xml:space="preserve">法</w:t>
      </w:r>
      <w:r>
        <w:rPr>
          <w:rFonts w:hint="eastAsia" w:ascii="黑体" w:eastAsia="黑体"/>
          <w:b/>
          <w:bCs/>
          <w:color w:val="auto"/>
          <w:sz w:val="32"/>
          <w:szCs w:val="32"/>
          <w:highlight w:val="none"/>
        </w:rPr>
        <w:t xml:space="preserve">定代表人身份证明书</w:t>
      </w:r>
      <w:r/>
    </w:p>
    <w:p>
      <w:pPr>
        <w:jc w:val="center"/>
        <w:spacing w:line="600" w:lineRule="exact"/>
        <w:rPr>
          <w:rFonts w:hint="eastAsia" w:ascii="黑体" w:eastAsia="黑体"/>
          <w:b/>
          <w:color w:val="auto"/>
          <w:sz w:val="28"/>
          <w:highlight w:val="none"/>
        </w:rPr>
      </w:pPr>
      <w:r>
        <w:rPr>
          <w:rFonts w:hint="eastAsia" w:ascii="黑体" w:eastAsia="黑体"/>
          <w:b/>
          <w:color w:val="auto"/>
          <w:sz w:val="28"/>
          <w:highlight w:val="none"/>
        </w:rPr>
      </w:r>
      <w:r/>
    </w:p>
    <w:p>
      <w:pPr>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：（采购人名称）</w:t>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（法定代表人姓名） </w:t>
      </w:r>
      <w:r>
        <w:rPr>
          <w:rFonts w:hint="eastAsia" w:ascii="宋体" w:hAnsi="宋体" w:eastAsia="宋体" w:cs="宋体"/>
          <w:color w:val="auto"/>
          <w:sz w:val="24"/>
          <w:highlight w:val="none"/>
        </w:rPr>
        <w:t xml:space="preserve">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投标人</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 xml:space="preserve"> 任</w:t>
      </w:r>
      <w:r>
        <w:rPr>
          <w:rFonts w:hint="eastAsia" w:ascii="宋体" w:hAnsi="宋体" w:eastAsia="宋体" w:cs="宋体"/>
          <w:color w:val="auto"/>
          <w:sz w:val="24"/>
          <w:highlight w:val="none"/>
          <w:u w:val="single"/>
        </w:rPr>
        <w:t xml:space="preserve">（职务名称）</w:t>
      </w:r>
      <w:r>
        <w:rPr>
          <w:rFonts w:hint="eastAsia" w:ascii="宋体" w:hAnsi="宋体" w:eastAsia="宋体" w:cs="宋体"/>
          <w:color w:val="auto"/>
          <w:sz w:val="24"/>
          <w:highlight w:val="none"/>
        </w:rPr>
        <w:t xml:space="preserve">职务，是</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投标人</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 xml:space="preserve">的法定代表人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联系电话（手机号码）</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w:t>
      </w:r>
      <w:r/>
    </w:p>
    <w:p>
      <w:pPr>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特此证明。</w:t>
      </w:r>
      <w:r/>
    </w:p>
    <w:p>
      <w:pPr>
        <w:ind w:firstLine="45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企业名称（加盖CA电子公章）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highlight w:val="none"/>
        </w:rPr>
        <w:t xml:space="preserve">      </w:t>
      </w:r>
      <w:r/>
    </w:p>
    <w:p>
      <w:pPr>
        <w:ind w:firstLine="120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126"/>
        <w:jc w:val="right"/>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 </w:t>
      </w:r>
      <w:r/>
    </w:p>
    <w:p>
      <w:pPr>
        <w:jc w:val="left"/>
        <w:spacing w:line="6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left"/>
        <w:spacing w:line="6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（附：法定代表人身份证正反面</w:t>
      </w:r>
      <w:r>
        <w:rPr>
          <w:rFonts w:hint="eastAsia" w:ascii="宋体" w:hAnsi="宋体" w:eastAsia="宋体" w:cs="宋体"/>
          <w:b/>
          <w:bCs/>
          <w:color w:val="auto"/>
          <w:sz w:val="24"/>
          <w:highlight w:val="none"/>
          <w:lang w:eastAsia="zh-CN"/>
        </w:rPr>
        <w:t xml:space="preserve">复印件或扫描件</w:t>
      </w:r>
      <w:r>
        <w:rPr>
          <w:rFonts w:hint="eastAsia" w:ascii="宋体" w:hAnsi="宋体" w:eastAsia="宋体" w:cs="宋体"/>
          <w:b/>
          <w:bCs/>
          <w:color w:val="auto"/>
          <w:sz w:val="24"/>
          <w:highlight w:val="none"/>
        </w:rPr>
        <w:t xml:space="preserve">）</w:t>
      </w:r>
      <w:r/>
    </w:p>
    <w:p>
      <w:pPr>
        <w:jc w:val="center"/>
        <w:spacing w:line="400" w:lineRule="exact"/>
        <w:rPr>
          <w:rFonts w:hint="eastAsia" w:ascii="黑体" w:eastAsia="黑体"/>
          <w:color w:val="auto"/>
          <w:sz w:val="28"/>
          <w:highlight w:val="none"/>
        </w:rPr>
      </w:pPr>
      <w:r>
        <w:rPr>
          <w:rFonts w:hint="eastAsia" w:ascii="黑体" w:hAnsi="黑体" w:eastAsia="黑体"/>
          <w:i/>
          <w:color w:val="auto"/>
          <w:sz w:val="32"/>
          <w:szCs w:val="32"/>
          <w:highlight w:val="none"/>
          <w:u w:val="single"/>
        </w:rPr>
        <w:br w:type="page" w:clear="all"/>
      </w:r>
      <w:r>
        <w:rPr>
          <w:rFonts w:hint="eastAsia" w:ascii="黑体" w:hAnsi="Times New Roman" w:eastAsia="黑体" w:cs="Times New Roman"/>
          <w:b/>
          <w:bCs/>
          <w:i w:val="0"/>
          <w:color w:val="auto"/>
          <w:sz w:val="32"/>
          <w:szCs w:val="32"/>
          <w:highlight w:val="none"/>
          <w:u w:val="none"/>
          <w:lang w:val="en-US" w:eastAsia="zh-CN"/>
        </w:rPr>
        <w:t xml:space="preserve">4.</w:t>
      </w:r>
      <w:r>
        <w:rPr>
          <w:rFonts w:hint="eastAsia" w:ascii="黑体" w:hAnsi="Times New Roman" w:eastAsia="黑体" w:cs="Times New Roman"/>
          <w:b/>
          <w:bCs/>
          <w:color w:val="auto"/>
          <w:sz w:val="32"/>
          <w:szCs w:val="32"/>
          <w:highlight w:val="none"/>
        </w:rPr>
        <w:t xml:space="preserve">授权委托</w:t>
      </w:r>
      <w:r>
        <w:rPr>
          <w:rFonts w:hint="eastAsia" w:ascii="黑体" w:eastAsia="黑体"/>
          <w:b/>
          <w:bCs/>
          <w:color w:val="auto"/>
          <w:sz w:val="32"/>
          <w:szCs w:val="32"/>
          <w:highlight w:val="none"/>
        </w:rPr>
        <w:t xml:space="preserve">书</w:t>
      </w:r>
      <w:r/>
    </w:p>
    <w:p>
      <w:pPr>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w:t>
      </w:r>
      <w:r>
        <w:rPr>
          <w:rFonts w:hint="eastAsia" w:ascii="宋体" w:hAnsi="宋体" w:eastAsia="宋体" w:cs="宋体"/>
          <w:color w:val="auto"/>
          <w:sz w:val="24"/>
          <w:highlight w:val="none"/>
        </w:rPr>
        <w:t xml:space="preserve">我</w:t>
      </w:r>
      <w:r>
        <w:rPr>
          <w:rFonts w:hint="eastAsia" w:ascii="宋体" w:hAnsi="宋体" w:eastAsia="宋体" w:cs="宋体"/>
          <w:color w:val="auto"/>
          <w:sz w:val="24"/>
          <w:highlight w:val="none"/>
          <w:u w:val="single"/>
        </w:rPr>
        <w:t xml:space="preserve">       （姓名）      </w:t>
      </w:r>
      <w:r>
        <w:rPr>
          <w:rFonts w:hint="eastAsia" w:ascii="宋体" w:hAnsi="宋体" w:eastAsia="宋体" w:cs="宋体"/>
          <w:color w:val="auto"/>
          <w:sz w:val="24"/>
          <w:highlight w:val="none"/>
        </w:rPr>
        <w:t xml:space="preserve">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投标人</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 xml:space="preserve"> 的法定代表人，现授权</w:t>
      </w:r>
      <w:r>
        <w:rPr>
          <w:rFonts w:hint="eastAsia" w:ascii="宋体" w:hAnsi="宋体" w:eastAsia="宋体" w:cs="宋体"/>
          <w:color w:val="auto"/>
          <w:sz w:val="24"/>
          <w:szCs w:val="24"/>
          <w:highlight w:val="none"/>
        </w:rPr>
        <w:t xml:space="preserve">____________（投标人名称）</w:t>
      </w:r>
      <w:r>
        <w:rPr>
          <w:rFonts w:hint="eastAsia" w:ascii="宋体" w:hAnsi="宋体" w:eastAsia="宋体" w:cs="宋体"/>
          <w:color w:val="auto"/>
          <w:sz w:val="24"/>
          <w:highlight w:val="none"/>
        </w:rPr>
        <w:t xml:space="preserve">的</w:t>
      </w:r>
      <w:r>
        <w:rPr>
          <w:rFonts w:hint="eastAsia" w:ascii="宋体" w:hAnsi="宋体" w:eastAsia="宋体" w:cs="宋体"/>
          <w:color w:val="auto"/>
          <w:sz w:val="24"/>
          <w:szCs w:val="24"/>
          <w:highlight w:val="none"/>
        </w:rPr>
        <w:t xml:space="preserve">________________（被授权人的姓名）为</w:t>
      </w:r>
      <w:r>
        <w:rPr>
          <w:rFonts w:hint="eastAsia" w:ascii="宋体" w:hAnsi="宋体" w:eastAsia="宋体" w:cs="宋体"/>
          <w:color w:val="auto"/>
          <w:sz w:val="24"/>
          <w:szCs w:val="24"/>
          <w:highlight w:val="none"/>
          <w:lang w:val="en-US" w:eastAsia="zh-CN"/>
        </w:rPr>
        <w:t xml:space="preserve">我单位</w:t>
      </w:r>
      <w:r>
        <w:rPr>
          <w:rFonts w:hint="eastAsia" w:ascii="宋体" w:hAnsi="宋体" w:eastAsia="宋体" w:cs="宋体"/>
          <w:color w:val="auto"/>
          <w:sz w:val="24"/>
          <w:szCs w:val="24"/>
          <w:highlight w:val="none"/>
        </w:rPr>
        <w:t xml:space="preserve">就JSZC-</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号项目的</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的法定代表人授权委托代理，</w:t>
      </w:r>
      <w:r>
        <w:rPr>
          <w:rFonts w:hint="eastAsia" w:ascii="宋体" w:hAnsi="宋体" w:eastAsia="宋体" w:cs="宋体"/>
          <w:color w:val="auto"/>
          <w:sz w:val="24"/>
          <w:highlight w:val="none"/>
        </w:rPr>
        <w:t xml:space="preserve">，我承认</w:t>
      </w:r>
      <w:r>
        <w:rPr>
          <w:rFonts w:hint="eastAsia" w:ascii="宋体" w:hAnsi="宋体" w:eastAsia="宋体" w:cs="宋体"/>
          <w:color w:val="auto"/>
          <w:sz w:val="24"/>
          <w:highlight w:val="none"/>
          <w:lang w:eastAsia="zh-CN"/>
        </w:rPr>
        <w:t xml:space="preserve">被授权人</w:t>
      </w:r>
      <w:r>
        <w:rPr>
          <w:rFonts w:hint="eastAsia" w:ascii="宋体" w:hAnsi="宋体" w:eastAsia="宋体" w:cs="宋体"/>
          <w:color w:val="auto"/>
          <w:sz w:val="24"/>
          <w:highlight w:val="none"/>
        </w:rPr>
        <w:t xml:space="preserve">全权代表我所签署的本项目的</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的内容。</w:t>
      </w:r>
      <w:r>
        <w:rPr>
          <w:rFonts w:hint="eastAsia" w:ascii="宋体" w:hAnsi="宋体" w:eastAsia="宋体" w:cs="宋体"/>
          <w:color w:val="auto"/>
          <w:sz w:val="24"/>
          <w:szCs w:val="24"/>
          <w:highlight w:val="none"/>
        </w:rPr>
        <w:t xml:space="preserve">以本单位名义全权处理一切与该项目采购有关的事务。</w:t>
      </w:r>
      <w:r/>
    </w:p>
    <w:p>
      <w:pPr>
        <w:pStyle w:val="832"/>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pStyle w:val="832"/>
        <w:ind w:firstLine="0"/>
        <w:spacing w:line="48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highlight w:val="none"/>
        </w:rPr>
        <w:t xml:space="preserve">代理</w:t>
      </w:r>
      <w:r>
        <w:rPr>
          <w:rFonts w:hint="eastAsia" w:ascii="宋体" w:hAnsi="宋体" w:eastAsia="宋体" w:cs="宋体"/>
          <w:color w:val="auto"/>
          <w:sz w:val="24"/>
          <w:highlight w:val="none"/>
          <w:lang w:val="en-US" w:eastAsia="zh-CN"/>
        </w:rPr>
        <w:t xml:space="preserve">人</w:t>
      </w:r>
      <w:r>
        <w:rPr>
          <w:rFonts w:hint="eastAsia" w:ascii="宋体" w:hAnsi="宋体" w:eastAsia="宋体" w:cs="宋体"/>
          <w:color w:val="auto"/>
          <w:sz w:val="24"/>
          <w:szCs w:val="24"/>
          <w:highlight w:val="none"/>
        </w:rPr>
        <w:t xml:space="preserve">被授权人身份证号码：</w:t>
      </w:r>
      <w:r>
        <w:rPr>
          <w:rFonts w:hint="eastAsia" w:ascii="宋体" w:hAnsi="宋体" w:eastAsia="宋体" w:cs="宋体"/>
          <w:color w:val="auto"/>
          <w:sz w:val="24"/>
          <w:szCs w:val="24"/>
          <w:highlight w:val="none"/>
          <w:u w:val="single"/>
        </w:rPr>
        <w:t xml:space="preserve">                              </w:t>
      </w:r>
      <w:r/>
    </w:p>
    <w:p>
      <w:pPr>
        <w:pStyle w:val="832"/>
        <w:ind w:firstLine="0"/>
        <w:spacing w:line="48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被授权人联系电话：（手机）</w:t>
      </w:r>
      <w:r>
        <w:rPr>
          <w:rFonts w:hint="eastAsia" w:ascii="宋体" w:hAnsi="宋体" w:eastAsia="宋体" w:cs="宋体"/>
          <w:color w:val="auto"/>
          <w:sz w:val="24"/>
          <w:szCs w:val="24"/>
          <w:highlight w:val="none"/>
          <w:u w:val="single"/>
        </w:rPr>
        <w:t xml:space="preserve">                          </w:t>
      </w:r>
      <w:r/>
    </w:p>
    <w:p>
      <w:pPr>
        <w:pStyle w:val="832"/>
        <w:ind w:firstLine="120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pStyle w:val="832"/>
        <w:ind w:firstLine="480"/>
        <w:spacing w:line="48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r/>
    </w:p>
    <w:p>
      <w:pPr>
        <w:pStyle w:val="832"/>
        <w:ind w:firstLine="480"/>
        <w:spacing w:line="48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      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u w:val="single"/>
        </w:rPr>
        <w:t xml:space="preserve">（加盖CA电子公章）</w:t>
      </w:r>
      <w:r/>
    </w:p>
    <w:p>
      <w:pPr>
        <w:pStyle w:val="832"/>
        <w:ind w:firstLine="120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u w:val="single"/>
        </w:rPr>
        <w:t xml:space="preserve">                                         </w:t>
      </w:r>
      <w:r/>
    </w:p>
    <w:p>
      <w:pPr>
        <w:jc w:val="left"/>
        <w:spacing w:line="48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w:t>
      </w:r>
      <w:r>
        <w:rPr>
          <w:rFonts w:hint="eastAsia" w:ascii="宋体" w:hAnsi="宋体" w:eastAsia="宋体" w:cs="宋体"/>
          <w:b/>
          <w:bCs/>
          <w:color w:val="auto"/>
          <w:sz w:val="24"/>
          <w:highlight w:val="none"/>
          <w:lang w:eastAsia="zh-CN"/>
        </w:rPr>
        <w:t xml:space="preserve">被授权人</w:t>
      </w:r>
      <w:r>
        <w:rPr>
          <w:rFonts w:hint="eastAsia" w:ascii="宋体" w:hAnsi="宋体" w:eastAsia="宋体" w:cs="宋体"/>
          <w:b/>
          <w:bCs/>
          <w:color w:val="auto"/>
          <w:sz w:val="24"/>
          <w:highlight w:val="none"/>
        </w:rPr>
        <w:t xml:space="preserve">身份证正反面</w:t>
      </w:r>
      <w:r>
        <w:rPr>
          <w:rFonts w:hint="eastAsia" w:ascii="宋体" w:hAnsi="宋体" w:eastAsia="宋体" w:cs="宋体"/>
          <w:b/>
          <w:bCs/>
          <w:color w:val="auto"/>
          <w:sz w:val="24"/>
          <w:highlight w:val="none"/>
          <w:lang w:eastAsia="zh-CN"/>
        </w:rPr>
        <w:t xml:space="preserve">复印件或扫描件</w:t>
      </w:r>
      <w:r>
        <w:rPr>
          <w:rFonts w:hint="eastAsia" w:ascii="宋体" w:hAnsi="宋体" w:eastAsia="宋体" w:cs="宋体"/>
          <w:b/>
          <w:bCs/>
          <w:color w:val="auto"/>
          <w:sz w:val="24"/>
          <w:highlight w:val="none"/>
        </w:rPr>
        <w:t xml:space="preserve">）</w:t>
      </w:r>
      <w:r/>
    </w:p>
    <w:p>
      <w:pPr>
        <w:pStyle w:val="648"/>
        <w:spacing w:line="480" w:lineRule="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spacing w:line="48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注：</w:t>
      </w:r>
      <w:r>
        <w:rPr>
          <w:rFonts w:hint="eastAsia" w:ascii="宋体" w:hAnsi="宋体" w:eastAsia="宋体" w:cs="宋体"/>
          <w:color w:val="auto"/>
          <w:sz w:val="24"/>
          <w:szCs w:val="24"/>
          <w:highlight w:val="none"/>
          <w:lang w:val="en-US" w:eastAsia="zh-CN"/>
        </w:rPr>
        <w:t xml:space="preserve">被授权人</w:t>
      </w:r>
      <w:r>
        <w:rPr>
          <w:rFonts w:hint="eastAsia" w:ascii="宋体" w:hAnsi="宋体" w:eastAsia="宋体" w:cs="宋体"/>
          <w:color w:val="auto"/>
          <w:sz w:val="24"/>
          <w:szCs w:val="24"/>
          <w:highlight w:val="none"/>
          <w:lang w:eastAsia="zh-CN"/>
        </w:rPr>
        <w:t xml:space="preserve">须为本单位正式职工</w:t>
      </w:r>
      <w:r>
        <w:rPr>
          <w:rFonts w:hint="eastAsia" w:ascii="宋体" w:hAnsi="宋体" w:eastAsia="宋体" w:cs="宋体"/>
          <w:color w:val="auto"/>
          <w:sz w:val="24"/>
          <w:szCs w:val="24"/>
          <w:highlight w:val="none"/>
          <w:lang w:val="en-US" w:eastAsia="zh-CN"/>
        </w:rPr>
        <w:t xml:space="preserve">并提供投标人为被授权人缴纳的社会养老保险证明。</w:t>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jc w:val="center"/>
        <w:spacing w:before="50" w:after="50"/>
        <w:rPr>
          <w:rFonts w:hint="eastAsia" w:ascii="黑体" w:hAnsi="Times New Roman" w:eastAsia="黑体" w:cs="Times New Roman"/>
          <w:b/>
          <w:bCs/>
          <w:color w:val="auto"/>
          <w:sz w:val="32"/>
          <w:szCs w:val="32"/>
          <w:highlight w:val="none"/>
        </w:rPr>
      </w:pPr>
      <w:r>
        <w:rPr>
          <w:rFonts w:ascii="宋体" w:hAnsi="宋体"/>
          <w:bCs/>
          <w:color w:val="auto"/>
          <w:sz w:val="24"/>
          <w:highlight w:val="none"/>
        </w:rPr>
        <w:br w:type="page" w:clear="all"/>
      </w:r>
      <w:r>
        <w:rPr>
          <w:rFonts w:hint="eastAsia" w:ascii="黑体" w:hAnsi="Times New Roman" w:eastAsia="黑体" w:cs="Times New Roman"/>
          <w:b/>
          <w:bCs/>
          <w:color w:val="auto"/>
          <w:sz w:val="32"/>
          <w:szCs w:val="32"/>
          <w:highlight w:val="none"/>
          <w:lang w:val="en-US" w:eastAsia="zh-CN"/>
        </w:rPr>
        <w:t xml:space="preserve">5.</w:t>
      </w:r>
      <w:r>
        <w:rPr>
          <w:rFonts w:hint="eastAsia" w:ascii="黑体" w:hAnsi="Times New Roman" w:eastAsia="黑体" w:cs="Times New Roman"/>
          <w:b/>
          <w:bCs/>
          <w:color w:val="auto"/>
          <w:sz w:val="32"/>
          <w:szCs w:val="32"/>
          <w:highlight w:val="none"/>
        </w:rPr>
        <w:t xml:space="preserve">开标一览表（格式）</w:t>
      </w:r>
      <w:r/>
    </w:p>
    <w:p>
      <w:pPr>
        <w:jc w:val="center"/>
        <w:spacing w:before="50" w:after="50"/>
        <w:rPr>
          <w:rFonts w:hint="eastAsia" w:ascii="黑体" w:eastAsia="黑体"/>
          <w:color w:val="auto"/>
          <w:sz w:val="32"/>
          <w:szCs w:val="32"/>
          <w:highlight w:val="none"/>
        </w:rPr>
      </w:pPr>
      <w:r>
        <w:rPr>
          <w:rFonts w:hint="eastAsia" w:ascii="黑体" w:eastAsia="黑体"/>
          <w:color w:val="auto"/>
          <w:sz w:val="32"/>
          <w:szCs w:val="32"/>
          <w:highlight w:val="none"/>
        </w:rPr>
      </w:r>
      <w:r/>
    </w:p>
    <w:tbl>
      <w:tblPr>
        <w:tblStyle w:val="647"/>
        <w:tblW w:w="0" w:type="auto"/>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00"/>
        <w:gridCol w:w="7445"/>
      </w:tblGrid>
      <w:tr>
        <w:trPr>
          <w:cantSplit/>
          <w:trHeight w:val="789"/>
        </w:trPr>
        <w:tc>
          <w:tcPr>
            <w:tcW w:w="2700" w:type="dxa"/>
            <w:vAlign w:val="center"/>
            <w:textDirection w:val="lrTb"/>
            <w:noWrap w:val="false"/>
          </w:tcPr>
          <w:p>
            <w:pPr>
              <w:ind w:firstLine="420"/>
              <w:rPr>
                <w:rFonts w:hint="eastAsia" w:ascii="宋体"/>
                <w:color w:val="auto"/>
                <w:szCs w:val="28"/>
                <w:highlight w:val="none"/>
              </w:rPr>
            </w:pPr>
            <w:r>
              <w:rPr>
                <w:rFonts w:hint="eastAsia" w:ascii="宋体"/>
                <w:color w:val="auto"/>
                <w:szCs w:val="28"/>
                <w:highlight w:val="none"/>
              </w:rPr>
              <w:t xml:space="preserve">项 目 编 号</w:t>
            </w:r>
            <w:r/>
          </w:p>
        </w:tc>
        <w:tc>
          <w:tcPr>
            <w:tcW w:w="7445" w:type="dxa"/>
            <w:vAlign w:val="center"/>
            <w:textDirection w:val="lrTb"/>
            <w:noWrap w:val="false"/>
          </w:tcPr>
          <w:p>
            <w:pPr>
              <w:pStyle w:val="638"/>
              <w:ind w:firstLine="689"/>
              <w:jc w:val="both"/>
              <w:rPr>
                <w:rFonts w:hint="eastAsia" w:ascii="宋体" w:hAnsi="宋体" w:eastAsia="宋体"/>
                <w:color w:val="auto"/>
                <w:sz w:val="28"/>
                <w:szCs w:val="28"/>
                <w:highlight w:val="none"/>
              </w:rPr>
            </w:pPr>
            <w:r>
              <w:rPr>
                <w:rFonts w:hint="eastAsia" w:ascii="宋体" w:hAnsi="宋体" w:eastAsia="宋体"/>
                <w:color w:val="auto"/>
                <w:sz w:val="28"/>
                <w:szCs w:val="28"/>
                <w:highlight w:val="none"/>
              </w:rPr>
            </w:r>
            <w:r/>
          </w:p>
        </w:tc>
      </w:tr>
      <w:tr>
        <w:trPr>
          <w:cantSplit/>
          <w:trHeight w:val="789"/>
        </w:trPr>
        <w:tc>
          <w:tcPr>
            <w:tcW w:w="2700" w:type="dxa"/>
            <w:vAlign w:val="center"/>
            <w:textDirection w:val="lrTb"/>
            <w:noWrap w:val="false"/>
          </w:tcPr>
          <w:p>
            <w:pPr>
              <w:ind w:firstLine="420"/>
              <w:rPr>
                <w:rFonts w:hint="eastAsia" w:ascii="宋体"/>
                <w:color w:val="auto"/>
                <w:szCs w:val="28"/>
                <w:highlight w:val="none"/>
              </w:rPr>
            </w:pPr>
            <w:r>
              <w:rPr>
                <w:rFonts w:hint="eastAsia" w:ascii="宋体"/>
                <w:color w:val="auto"/>
                <w:szCs w:val="28"/>
                <w:highlight w:val="none"/>
              </w:rPr>
              <w:t xml:space="preserve">项 目 名 称</w:t>
            </w:r>
            <w:r/>
          </w:p>
        </w:tc>
        <w:tc>
          <w:tcPr>
            <w:tcW w:w="7445" w:type="dxa"/>
            <w:vAlign w:val="center"/>
            <w:textDirection w:val="lrTb"/>
            <w:noWrap w:val="false"/>
          </w:tcPr>
          <w:p>
            <w:pPr>
              <w:pStyle w:val="638"/>
              <w:jc w:val="both"/>
              <w:rPr>
                <w:rFonts w:hint="eastAsia"/>
                <w:color w:val="auto"/>
                <w:sz w:val="28"/>
                <w:szCs w:val="28"/>
                <w:highlight w:val="none"/>
              </w:rPr>
            </w:pPr>
            <w:r>
              <w:rPr>
                <w:rFonts w:hint="eastAsia"/>
                <w:color w:val="auto"/>
                <w:sz w:val="28"/>
                <w:szCs w:val="28"/>
                <w:highlight w:val="none"/>
              </w:rPr>
            </w:r>
            <w:r/>
          </w:p>
        </w:tc>
      </w:tr>
      <w:tr>
        <w:trPr>
          <w:cantSplit/>
          <w:trHeight w:val="821"/>
        </w:trPr>
        <w:tc>
          <w:tcPr>
            <w:gridSpan w:val="2"/>
            <w:tcW w:w="10145" w:type="dxa"/>
            <w:vAlign w:val="center"/>
            <w:textDirection w:val="lrTb"/>
            <w:noWrap w:val="false"/>
          </w:tcPr>
          <w:p>
            <w:pPr>
              <w:rPr>
                <w:rFonts w:hint="eastAsia" w:ascii="宋体"/>
                <w:color w:val="auto"/>
                <w:szCs w:val="28"/>
                <w:highlight w:val="none"/>
              </w:rPr>
            </w:pPr>
            <w:r>
              <w:rPr>
                <w:rFonts w:hint="eastAsia" w:ascii="宋体" w:eastAsia="宋体"/>
                <w:b/>
                <w:bCs/>
                <w:color w:val="auto"/>
                <w:szCs w:val="28"/>
                <w:highlight w:val="none"/>
                <w:lang w:val="en-US" w:eastAsia="zh-CN"/>
              </w:rPr>
              <w:t xml:space="preserve">投标报价</w:t>
            </w:r>
            <w:r>
              <w:rPr>
                <w:rFonts w:hint="eastAsia" w:ascii="宋体"/>
                <w:b/>
                <w:bCs/>
                <w:color w:val="auto"/>
                <w:szCs w:val="28"/>
                <w:highlight w:val="none"/>
              </w:rPr>
              <w:t xml:space="preserve">：（大写）</w:t>
            </w:r>
            <w:r>
              <w:rPr>
                <w:rFonts w:hint="eastAsia" w:ascii="宋体"/>
                <w:b/>
                <w:bCs/>
                <w:color w:val="auto"/>
                <w:szCs w:val="28"/>
                <w:highlight w:val="none"/>
                <w:u w:val="single"/>
              </w:rPr>
              <w:t xml:space="preserve">                       </w:t>
            </w:r>
            <w:r>
              <w:rPr>
                <w:rFonts w:hint="eastAsia" w:ascii="宋体"/>
                <w:b/>
                <w:bCs/>
                <w:color w:val="auto"/>
                <w:szCs w:val="28"/>
                <w:highlight w:val="none"/>
              </w:rPr>
              <w:t xml:space="preserve">，小写：</w:t>
            </w:r>
            <w:r>
              <w:rPr>
                <w:rFonts w:hint="eastAsia" w:ascii="宋体"/>
                <w:b/>
                <w:bCs/>
                <w:color w:val="auto"/>
                <w:szCs w:val="28"/>
                <w:highlight w:val="none"/>
                <w:u w:val="single"/>
              </w:rPr>
              <w:t xml:space="preserve">                     </w:t>
            </w:r>
            <w:r>
              <w:rPr>
                <w:rFonts w:hint="eastAsia" w:ascii="宋体"/>
                <w:b/>
                <w:bCs/>
                <w:color w:val="auto"/>
                <w:szCs w:val="28"/>
                <w:highlight w:val="none"/>
              </w:rPr>
              <w:t xml:space="preserve"> </w:t>
            </w:r>
            <w:r/>
          </w:p>
        </w:tc>
      </w:tr>
      <w:tr>
        <w:trPr>
          <w:cantSplit/>
          <w:trHeight w:val="821"/>
        </w:trPr>
        <w:tc>
          <w:tcPr>
            <w:gridSpan w:val="2"/>
            <w:tcW w:w="10145" w:type="dxa"/>
            <w:vAlign w:val="center"/>
            <w:textDirection w:val="lrTb"/>
            <w:noWrap w:val="false"/>
          </w:tcPr>
          <w:p>
            <w:pPr>
              <w:rPr>
                <w:rFonts w:hint="eastAsia" w:ascii="宋体"/>
                <w:b/>
                <w:bCs/>
                <w:color w:val="auto"/>
                <w:szCs w:val="28"/>
                <w:highlight w:val="none"/>
              </w:rPr>
            </w:pPr>
            <w:r>
              <w:rPr>
                <w:rFonts w:hint="eastAsia" w:ascii="宋体"/>
                <w:b/>
                <w:bCs/>
                <w:color w:val="auto"/>
                <w:szCs w:val="28"/>
                <w:highlight w:val="none"/>
              </w:rPr>
              <w:t xml:space="preserve">是否提供《企业类型声明函》：</w:t>
            </w:r>
            <w:r>
              <w:rPr>
                <w:rFonts w:hint="eastAsia" w:ascii="宋体"/>
                <w:b/>
                <w:bCs/>
                <w:color w:val="auto"/>
                <w:szCs w:val="28"/>
                <w:highlight w:val="none"/>
                <w:u w:val="single"/>
              </w:rPr>
              <w:t xml:space="preserve">  是/否   </w:t>
            </w:r>
            <w:r/>
          </w:p>
        </w:tc>
      </w:tr>
    </w:tbl>
    <w:p>
      <w:pPr>
        <w:spacing w:line="180" w:lineRule="atLeast"/>
        <w:rPr>
          <w:rFonts w:hint="eastAsia" w:ascii="宋体" w:hAnsi="宋体"/>
          <w:color w:val="auto"/>
          <w:szCs w:val="28"/>
          <w:highlight w:val="none"/>
        </w:rPr>
      </w:pPr>
      <w:r>
        <w:rPr>
          <w:rFonts w:hint="eastAsia" w:ascii="宋体" w:hAnsi="宋体"/>
          <w:color w:val="auto"/>
          <w:szCs w:val="28"/>
          <w:highlight w:val="none"/>
        </w:rPr>
        <w:t xml:space="preserve">填写说明：</w:t>
      </w:r>
      <w:r/>
    </w:p>
    <w:p>
      <w:pPr>
        <w:numPr>
          <w:ilvl w:val="0"/>
          <w:numId w:val="0"/>
        </w:numPr>
        <w:rPr>
          <w:rStyle w:val="825"/>
          <w:rFonts w:hint="eastAsia" w:ascii="宋体" w:hAnsi="宋体"/>
          <w:color w:val="auto"/>
          <w:sz w:val="24"/>
          <w:highlight w:val="none"/>
        </w:rPr>
      </w:pPr>
      <w:r>
        <w:rPr>
          <w:rFonts w:hint="eastAsia" w:ascii="宋体" w:hAnsi="宋体" w:eastAsiaTheme="minorEastAsia" w:cstheme="minorBidi"/>
          <w:color w:val="auto"/>
          <w:sz w:val="24"/>
          <w:szCs w:val="24"/>
          <w:lang w:val="en-US" w:eastAsia="zh-CN" w:bidi="ar-SA"/>
        </w:rPr>
        <w:t xml:space="preserve">1、</w:t>
      </w:r>
      <w:r>
        <w:rPr>
          <w:rStyle w:val="825"/>
          <w:rFonts w:ascii="宋体" w:hAnsi="宋体"/>
          <w:color w:val="auto"/>
          <w:sz w:val="24"/>
          <w:highlight w:val="none"/>
        </w:rPr>
        <w:t xml:space="preserve">开标一览表不得填报选择性报价，否则将作为无效投标</w:t>
      </w:r>
      <w:r>
        <w:rPr>
          <w:rStyle w:val="825"/>
          <w:rFonts w:hint="eastAsia" w:ascii="宋体" w:hAnsi="宋体"/>
          <w:color w:val="auto"/>
          <w:sz w:val="24"/>
          <w:highlight w:val="none"/>
        </w:rPr>
        <w:t xml:space="preserve">。</w:t>
      </w:r>
      <w:r/>
    </w:p>
    <w:p>
      <w:pPr>
        <w:numPr>
          <w:ilvl w:val="0"/>
          <w:numId w:val="0"/>
        </w:numPr>
        <w:rPr>
          <w:rStyle w:val="825"/>
          <w:rFonts w:hint="eastAsia" w:ascii="宋体" w:hAnsi="宋体"/>
          <w:color w:val="auto"/>
          <w:sz w:val="24"/>
          <w:highlight w:val="none"/>
        </w:rPr>
      </w:pPr>
      <w:r>
        <w:rPr>
          <w:rFonts w:hint="eastAsia" w:ascii="宋体" w:hAnsi="宋体" w:eastAsiaTheme="minorEastAsia" w:cstheme="minorBidi"/>
          <w:color w:val="auto"/>
          <w:sz w:val="24"/>
          <w:szCs w:val="24"/>
          <w:lang w:val="en-US" w:eastAsia="zh-CN" w:bidi="ar-SA"/>
        </w:rPr>
        <w:t xml:space="preserve">2、</w:t>
      </w:r>
      <w:r>
        <w:rPr>
          <w:rFonts w:hint="eastAsia" w:ascii="宋体" w:hAnsi="宋体" w:cs="宋体"/>
          <w:color w:val="auto"/>
          <w:sz w:val="24"/>
          <w:szCs w:val="24"/>
          <w:highlight w:val="none"/>
        </w:rPr>
        <w:t xml:space="preserve">投标报价保留两位小数。</w:t>
      </w:r>
      <w:r/>
    </w:p>
    <w:p>
      <w:pPr>
        <w:numPr>
          <w:ilvl w:val="0"/>
          <w:numId w:val="0"/>
        </w:num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pStyle w:val="674"/>
        <w:rPr>
          <w:rFonts w:hint="eastAsia" w:ascii="宋体" w:hAnsi="宋体"/>
          <w:b/>
          <w:color w:val="auto"/>
          <w:sz w:val="24"/>
          <w:highlight w:val="none"/>
        </w:rPr>
      </w:pPr>
      <w:r>
        <w:rPr>
          <w:rFonts w:hint="eastAsia" w:ascii="宋体" w:hAnsi="宋体"/>
          <w:b/>
          <w:color w:val="auto"/>
          <w:sz w:val="24"/>
          <w:highlight w:val="none"/>
        </w:rPr>
      </w:r>
      <w:r/>
    </w:p>
    <w:p>
      <w:pPr>
        <w:ind w:firstLine="2400"/>
        <w:spacing w:line="600" w:lineRule="exact"/>
        <w:rPr>
          <w:rFonts w:hint="eastAsia" w:ascii="仿宋_GB2312" w:eastAsia="仿宋_GB2312"/>
          <w:color w:val="auto"/>
          <w:sz w:val="24"/>
          <w:highlight w:val="none"/>
        </w:rPr>
      </w:pPr>
      <w:r>
        <w:rPr>
          <w:rFonts w:hint="eastAsia" w:ascii="仿宋_GB2312" w:eastAsia="仿宋_GB2312"/>
          <w:color w:val="auto"/>
          <w:sz w:val="24"/>
          <w:highlight w:val="none"/>
        </w:rPr>
      </w:r>
      <w:r/>
    </w:p>
    <w:p>
      <w:pPr>
        <w:ind w:firstLine="33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w:t>
      </w:r>
      <w:r>
        <w:rPr>
          <w:rFonts w:hint="eastAsia" w:ascii="宋体" w:hAnsi="宋体" w:eastAsia="宋体" w:cs="宋体"/>
          <w:color w:val="auto"/>
          <w:sz w:val="24"/>
          <w:highlight w:val="none"/>
          <w:lang w:val="en-US" w:eastAsia="zh-CN"/>
        </w:rPr>
        <w:t xml:space="preserve">被授权人（</w:t>
      </w:r>
      <w:r>
        <w:rPr>
          <w:rFonts w:hint="eastAsia" w:ascii="宋体" w:hAnsi="宋体" w:eastAsia="宋体" w:cs="宋体"/>
          <w:color w:val="auto"/>
          <w:sz w:val="24"/>
          <w:highlight w:val="none"/>
        </w:rPr>
        <w:t xml:space="preserve">签字</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w:t>
      </w:r>
      <w:r/>
    </w:p>
    <w:p>
      <w:pPr>
        <w:ind w:firstLine="16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3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企业名称（加盖CA电子公章）</w:t>
      </w:r>
      <w:r>
        <w:rPr>
          <w:rFonts w:hint="eastAsia" w:ascii="宋体" w:hAnsi="宋体" w:eastAsia="宋体" w:cs="宋体"/>
          <w:color w:val="auto"/>
          <w:sz w:val="24"/>
          <w:highlight w:val="none"/>
        </w:rPr>
        <w:t xml:space="preserve">：</w:t>
      </w:r>
      <w:r/>
    </w:p>
    <w:p>
      <w:pPr>
        <w:ind w:firstLine="1200"/>
        <w:spacing w:line="600" w:lineRule="exact"/>
        <w:rPr>
          <w:rFonts w:hint="eastAsia" w:ascii="仿宋_GB2312" w:eastAsia="仿宋_GB2312"/>
          <w:color w:val="auto"/>
          <w:sz w:val="24"/>
          <w:highlight w:val="none"/>
        </w:rPr>
      </w:pPr>
      <w:r>
        <w:rPr>
          <w:rFonts w:hint="eastAsia" w:ascii="仿宋_GB2312" w:eastAsia="仿宋_GB2312"/>
          <w:color w:val="auto"/>
          <w:sz w:val="24"/>
          <w:highlight w:val="none"/>
        </w:rPr>
        <w:t xml:space="preserve">      </w:t>
      </w:r>
      <w:r/>
    </w:p>
    <w:p>
      <w:pPr>
        <w:jc w:val="right"/>
        <w:rPr>
          <w:rFonts w:ascii="仿宋_GB2312" w:eastAsia="仿宋_GB2312"/>
          <w:color w:val="auto"/>
          <w:sz w:val="24"/>
          <w:highlight w:val="none"/>
        </w:rPr>
        <w:outlineLvl w:val="1"/>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jc w:val="center"/>
        <w:rPr>
          <w:rFonts w:hint="eastAsia" w:ascii="黑体" w:hAnsi="Times New Roman" w:eastAsia="黑体" w:cs="Times New Roman"/>
          <w:b/>
          <w:bCs/>
          <w:color w:val="auto"/>
          <w:sz w:val="32"/>
          <w:szCs w:val="32"/>
          <w:highlight w:val="none"/>
          <w:lang w:val="en-US" w:eastAsia="zh-CN"/>
        </w:rPr>
      </w:pPr>
      <w:r>
        <w:rPr>
          <w:rFonts w:hint="eastAsia" w:ascii="黑体" w:hAnsi="黑体" w:eastAsia="黑体"/>
          <w:i/>
          <w:color w:val="auto"/>
          <w:sz w:val="32"/>
          <w:szCs w:val="32"/>
          <w:highlight w:val="none"/>
          <w:u w:val="single"/>
        </w:rPr>
        <w:br w:type="page" w:clear="all"/>
      </w:r>
      <w:r>
        <w:rPr>
          <w:rFonts w:hint="eastAsia" w:ascii="黑体" w:hAnsi="Times New Roman" w:eastAsia="黑体" w:cs="Times New Roman"/>
          <w:b/>
          <w:bCs/>
          <w:color w:val="auto"/>
          <w:sz w:val="32"/>
          <w:szCs w:val="32"/>
          <w:highlight w:val="none"/>
          <w:lang w:val="en-US" w:eastAsia="zh-CN"/>
        </w:rPr>
        <w:t xml:space="preserve">6.报价明细表（格式）</w:t>
      </w:r>
      <w:r/>
    </w:p>
    <w:tbl>
      <w:tblPr>
        <w:tblStyle w:val="669"/>
        <w:tblW w:w="93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1"/>
        <w:gridCol w:w="1595"/>
        <w:gridCol w:w="3385"/>
        <w:gridCol w:w="780"/>
        <w:gridCol w:w="675"/>
        <w:gridCol w:w="1065"/>
        <w:gridCol w:w="1065"/>
      </w:tblGrid>
      <w:tr>
        <w:trPr>
          <w:trHeight w:val="552"/>
        </w:trPr>
        <w:tc>
          <w:tcPr>
            <w:tcW w:w="781" w:type="dxa"/>
            <w:vAlign w:val="center"/>
            <w:textDirection w:val="lrTb"/>
            <w:noWrap w:val="false"/>
          </w:tcPr>
          <w:p>
            <w:pPr>
              <w:jc w:val="center"/>
              <w:keepLines w:val="0"/>
              <w:keepNext w:val="0"/>
              <w:spacing w:after="0" w:line="240" w:lineRule="auto"/>
              <w:widowControl/>
              <w:rPr>
                <w:rFonts w:hint="eastAsia" w:ascii="黑体" w:hAnsi="Calibri" w:eastAsia="黑体" w:cs="Times New Roman"/>
                <w:b/>
                <w:bCs/>
                <w:sz w:val="32"/>
                <w:szCs w:val="32"/>
                <w:vertAlign w:val="baseline"/>
                <w:lang w:eastAsia="zh-CN" w:bidi="ar-SA"/>
              </w:rPr>
              <w:suppressLineNumbers w:val="0"/>
            </w:pPr>
            <w:r>
              <w:rPr>
                <w:rFonts w:hint="eastAsia" w:ascii="宋体" w:hAnsi="宋体" w:eastAsia="宋体" w:cs="宋体"/>
                <w:b/>
                <w:bCs/>
                <w:i w:val="0"/>
                <w:iCs w:val="0"/>
                <w:color w:val="000000"/>
                <w:sz w:val="15"/>
                <w:szCs w:val="15"/>
                <w:u w:val="none"/>
                <w:lang w:val="en-US" w:eastAsia="zh-CN" w:bidi="ar"/>
              </w:rPr>
              <w:t xml:space="preserve">序号</w:t>
            </w:r>
            <w:r/>
          </w:p>
        </w:tc>
        <w:tc>
          <w:tcPr>
            <w:tcW w:w="1595" w:type="dxa"/>
            <w:vAlign w:val="center"/>
            <w:textDirection w:val="lrTb"/>
            <w:noWrap w:val="false"/>
          </w:tcPr>
          <w:p>
            <w:pPr>
              <w:jc w:val="center"/>
              <w:keepLines w:val="0"/>
              <w:keepNext w:val="0"/>
              <w:spacing w:after="0" w:line="240" w:lineRule="auto"/>
              <w:widowControl/>
              <w:rPr>
                <w:rFonts w:hint="eastAsia" w:ascii="黑体" w:hAnsi="Calibri" w:eastAsia="黑体" w:cs="Times New Roman"/>
                <w:b/>
                <w:bCs/>
                <w:sz w:val="32"/>
                <w:szCs w:val="32"/>
                <w:vertAlign w:val="baseline"/>
                <w:lang w:eastAsia="zh-CN" w:bidi="ar-SA"/>
              </w:rPr>
              <w:suppressLineNumbers w:val="0"/>
            </w:pPr>
            <w:r>
              <w:rPr>
                <w:rFonts w:hint="eastAsia" w:ascii="宋体" w:hAnsi="宋体" w:eastAsia="宋体" w:cs="宋体"/>
                <w:b/>
                <w:bCs/>
                <w:i w:val="0"/>
                <w:iCs w:val="0"/>
                <w:color w:val="000000"/>
                <w:sz w:val="15"/>
                <w:szCs w:val="15"/>
                <w:u w:val="none"/>
                <w:lang w:val="en-US" w:eastAsia="zh-CN" w:bidi="ar"/>
              </w:rPr>
              <w:t xml:space="preserve">项目名称</w:t>
            </w:r>
            <w:r/>
          </w:p>
        </w:tc>
        <w:tc>
          <w:tcPr>
            <w:tcW w:w="3385" w:type="dxa"/>
            <w:vAlign w:val="center"/>
            <w:textDirection w:val="lrTb"/>
            <w:noWrap w:val="false"/>
          </w:tcPr>
          <w:p>
            <w:pPr>
              <w:jc w:val="center"/>
              <w:keepLines w:val="0"/>
              <w:keepNext w:val="0"/>
              <w:spacing w:after="0" w:line="240" w:lineRule="auto"/>
              <w:widowControl/>
              <w:rPr>
                <w:rFonts w:hint="eastAsia" w:ascii="黑体" w:hAnsi="Calibri" w:eastAsia="黑体" w:cs="Times New Roman"/>
                <w:b/>
                <w:bCs/>
                <w:sz w:val="32"/>
                <w:szCs w:val="32"/>
                <w:vertAlign w:val="baseline"/>
                <w:lang w:eastAsia="zh-CN" w:bidi="ar-SA"/>
              </w:rPr>
              <w:suppressLineNumbers w:val="0"/>
            </w:pPr>
            <w:r>
              <w:rPr>
                <w:rFonts w:hint="eastAsia" w:ascii="宋体" w:hAnsi="宋体" w:eastAsia="宋体" w:cs="宋体"/>
                <w:b/>
                <w:bCs/>
                <w:i w:val="0"/>
                <w:iCs w:val="0"/>
                <w:color w:val="000000"/>
                <w:sz w:val="15"/>
                <w:szCs w:val="15"/>
                <w:u w:val="none"/>
                <w:lang w:val="en-US" w:eastAsia="zh-CN" w:bidi="ar"/>
              </w:rPr>
              <w:t xml:space="preserve">品牌及规格型号</w:t>
            </w:r>
            <w:r/>
          </w:p>
        </w:tc>
        <w:tc>
          <w:tcPr>
            <w:tcW w:w="780" w:type="dxa"/>
            <w:vAlign w:val="center"/>
            <w:textDirection w:val="lrTb"/>
            <w:noWrap w:val="false"/>
          </w:tcPr>
          <w:p>
            <w:pPr>
              <w:jc w:val="center"/>
              <w:keepLines w:val="0"/>
              <w:keepNext w:val="0"/>
              <w:spacing w:after="0" w:line="240" w:lineRule="auto"/>
              <w:widowControl/>
              <w:rPr>
                <w:rFonts w:hint="eastAsia" w:ascii="黑体" w:hAnsi="Calibri" w:eastAsia="黑体" w:cs="Times New Roman"/>
                <w:b/>
                <w:bCs/>
                <w:sz w:val="32"/>
                <w:szCs w:val="32"/>
                <w:vertAlign w:val="baseline"/>
                <w:lang w:eastAsia="zh-CN" w:bidi="ar-SA"/>
              </w:rPr>
              <w:suppressLineNumbers w:val="0"/>
            </w:pPr>
            <w:r>
              <w:rPr>
                <w:rFonts w:hint="eastAsia" w:ascii="宋体" w:hAnsi="宋体" w:eastAsia="宋体" w:cs="宋体"/>
                <w:b/>
                <w:bCs/>
                <w:i w:val="0"/>
                <w:iCs w:val="0"/>
                <w:color w:val="000000"/>
                <w:sz w:val="15"/>
                <w:szCs w:val="15"/>
                <w:u w:val="none"/>
                <w:lang w:val="en-US" w:eastAsia="zh-CN" w:bidi="ar"/>
              </w:rPr>
              <w:t xml:space="preserve">单位</w:t>
            </w:r>
            <w:r/>
          </w:p>
        </w:tc>
        <w:tc>
          <w:tcPr>
            <w:tcW w:w="675" w:type="dxa"/>
            <w:vAlign w:val="center"/>
            <w:textDirection w:val="lrTb"/>
            <w:noWrap w:val="false"/>
          </w:tcPr>
          <w:p>
            <w:pPr>
              <w:jc w:val="center"/>
              <w:keepLines w:val="0"/>
              <w:keepNext w:val="0"/>
              <w:spacing w:after="0" w:line="240" w:lineRule="auto"/>
              <w:widowControl/>
              <w:rPr>
                <w:rFonts w:hint="eastAsia" w:ascii="黑体" w:hAnsi="Calibri" w:eastAsia="黑体" w:cs="Times New Roman"/>
                <w:b/>
                <w:bCs/>
                <w:sz w:val="32"/>
                <w:szCs w:val="32"/>
                <w:vertAlign w:val="baseline"/>
                <w:lang w:eastAsia="zh-CN" w:bidi="ar-SA"/>
              </w:rPr>
              <w:suppressLineNumbers w:val="0"/>
            </w:pPr>
            <w:r>
              <w:rPr>
                <w:rFonts w:hint="eastAsia" w:ascii="宋体" w:hAnsi="宋体" w:eastAsia="宋体" w:cs="宋体"/>
                <w:b/>
                <w:bCs/>
                <w:i w:val="0"/>
                <w:iCs w:val="0"/>
                <w:color w:val="000000"/>
                <w:sz w:val="15"/>
                <w:szCs w:val="15"/>
                <w:u w:val="none"/>
                <w:lang w:val="en-US" w:eastAsia="zh-CN" w:bidi="ar"/>
              </w:rPr>
              <w:t xml:space="preserve">数量</w:t>
            </w:r>
            <w:r/>
          </w:p>
        </w:tc>
        <w:tc>
          <w:tcPr>
            <w:tcW w:w="1065" w:type="dxa"/>
            <w:vAlign w:val="center"/>
            <w:textDirection w:val="lrTb"/>
            <w:noWrap w:val="false"/>
          </w:tcPr>
          <w:p>
            <w:pPr>
              <w:jc w:val="center"/>
              <w:keepLines w:val="0"/>
              <w:keepNext w:val="0"/>
              <w:spacing w:after="0" w:line="240" w:lineRule="auto"/>
              <w:widowControl/>
              <w:rPr>
                <w:rFonts w:hint="eastAsia" w:ascii="黑体" w:hAnsi="Calibri" w:eastAsia="黑体" w:cs="Times New Roman"/>
                <w:b/>
                <w:bCs/>
                <w:sz w:val="32"/>
                <w:szCs w:val="32"/>
                <w:vertAlign w:val="baseline"/>
                <w:lang w:eastAsia="zh-CN" w:bidi="ar-SA"/>
              </w:rPr>
              <w:suppressLineNumbers w:val="0"/>
            </w:pPr>
            <w:r>
              <w:rPr>
                <w:rFonts w:hint="eastAsia" w:ascii="宋体" w:hAnsi="宋体" w:eastAsia="宋体" w:cs="宋体"/>
                <w:b/>
                <w:bCs/>
                <w:i w:val="0"/>
                <w:iCs w:val="0"/>
                <w:color w:val="000000"/>
                <w:sz w:val="15"/>
                <w:szCs w:val="15"/>
                <w:u w:val="none"/>
                <w:lang w:val="en-US" w:eastAsia="zh-CN" w:bidi="ar"/>
              </w:rPr>
              <w:t xml:space="preserve">单价（元）</w:t>
            </w:r>
            <w:r/>
          </w:p>
        </w:tc>
        <w:tc>
          <w:tcPr>
            <w:tcW w:w="1065" w:type="dxa"/>
            <w:vAlign w:val="center"/>
            <w:textDirection w:val="lrTb"/>
            <w:noWrap w:val="false"/>
          </w:tcPr>
          <w:p>
            <w:pPr>
              <w:jc w:val="center"/>
              <w:keepLines w:val="0"/>
              <w:keepNext w:val="0"/>
              <w:spacing w:after="0" w:line="240" w:lineRule="auto"/>
              <w:widowControl/>
              <w:rPr>
                <w:rFonts w:hint="eastAsia" w:ascii="黑体" w:hAnsi="Calibri" w:eastAsia="黑体" w:cs="Times New Roman"/>
                <w:b/>
                <w:bCs/>
                <w:sz w:val="32"/>
                <w:szCs w:val="32"/>
                <w:vertAlign w:val="baseline"/>
                <w:lang w:eastAsia="zh-CN" w:bidi="ar-SA"/>
              </w:rPr>
              <w:suppressLineNumbers w:val="0"/>
            </w:pPr>
            <w:r>
              <w:rPr>
                <w:rFonts w:hint="eastAsia" w:ascii="宋体" w:hAnsi="宋体" w:eastAsia="宋体" w:cs="宋体"/>
                <w:b/>
                <w:bCs/>
                <w:i w:val="0"/>
                <w:iCs w:val="0"/>
                <w:color w:val="000000"/>
                <w:sz w:val="15"/>
                <w:szCs w:val="15"/>
                <w:u w:val="none"/>
                <w:lang w:val="en-US" w:eastAsia="zh-CN" w:bidi="ar"/>
              </w:rPr>
              <w:t xml:space="preserve">合价（元）</w:t>
            </w:r>
            <w:r/>
          </w:p>
        </w:tc>
      </w:tr>
      <w:tr>
        <w:trPr>
          <w:trHeight w:val="454" w:hRule="exact"/>
        </w:trPr>
        <w:tc>
          <w:tcPr>
            <w:tcW w:w="781" w:type="dxa"/>
            <w:vAlign w:val="center"/>
            <w:textDirection w:val="lrTb"/>
            <w:noWrap w:val="false"/>
          </w:tcPr>
          <w:p>
            <w:pPr>
              <w:jc w:val="center"/>
              <w:keepLines w:val="0"/>
              <w:keepNext w:val="0"/>
              <w:spacing w:after="0" w:line="240" w:lineRule="auto"/>
              <w:widowControl/>
              <w:rPr>
                <w:rFonts w:hint="eastAsia" w:ascii="宋体" w:hAnsi="宋体" w:eastAsia="宋体" w:cs="宋体"/>
                <w:b/>
                <w:bCs/>
                <w:sz w:val="18"/>
                <w:szCs w:val="18"/>
                <w:vertAlign w:val="baseline"/>
                <w:lang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W w:w="1595" w:type="dxa"/>
            <w:vAlign w:val="center"/>
            <w:textDirection w:val="lrTb"/>
            <w:noWrap w:val="false"/>
          </w:tcPr>
          <w:p>
            <w:pPr>
              <w:jc w:val="center"/>
              <w:keepLines w:val="0"/>
              <w:keepNext w:val="0"/>
              <w:spacing w:after="0" w:line="240" w:lineRule="auto"/>
              <w:widowControl/>
              <w:rPr>
                <w:rFonts w:hint="eastAsia" w:ascii="宋体" w:hAnsi="宋体" w:eastAsia="宋体" w:cs="宋体"/>
                <w:b/>
                <w:bCs/>
                <w:sz w:val="18"/>
                <w:szCs w:val="18"/>
                <w:vertAlign w:val="baseline"/>
                <w:lang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空气温度传感器</w:t>
            </w:r>
            <w:r/>
          </w:p>
        </w:tc>
        <w:tc>
          <w:tcPr>
            <w:tcW w:w="3385" w:type="dxa"/>
            <w:vAlign w:val="center"/>
            <w:textDirection w:val="lrTb"/>
            <w:noWrap w:val="false"/>
          </w:tcPr>
          <w:p>
            <w:pPr>
              <w:jc w:val="left"/>
              <w:keepLines w:val="0"/>
              <w:keepNext w:val="0"/>
              <w:spacing w:after="0" w:line="240" w:lineRule="auto"/>
              <w:widowControl/>
              <w:rPr>
                <w:rFonts w:hint="eastAsia" w:ascii="宋体" w:hAnsi="宋体" w:eastAsia="宋体" w:cs="宋体"/>
                <w:b/>
                <w:bCs/>
                <w:sz w:val="18"/>
                <w:szCs w:val="18"/>
                <w:highlight w:val="yellow"/>
                <w:vertAlign w:val="baseline"/>
                <w:lang w:eastAsia="zh-CN" w:bidi="ar-SA"/>
              </w:rPr>
              <w:suppressLineNumbers w:val="0"/>
            </w:pPr>
            <w:r>
              <w:rPr>
                <w:rFonts w:hint="eastAsia" w:ascii="宋体" w:hAnsi="宋体" w:eastAsia="宋体" w:cs="宋体"/>
                <w:b/>
                <w:bCs/>
                <w:sz w:val="18"/>
                <w:szCs w:val="18"/>
                <w:highlight w:val="yellow"/>
                <w:vertAlign w:val="baseline"/>
                <w:lang w:eastAsia="zh-CN" w:bidi="ar-SA"/>
              </w:rPr>
            </w:r>
            <w:r/>
          </w:p>
        </w:tc>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b/>
                <w:bCs/>
                <w:sz w:val="18"/>
                <w:szCs w:val="18"/>
                <w:vertAlign w:val="baseline"/>
                <w:lang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tcW w:w="675" w:type="dxa"/>
            <w:vAlign w:val="center"/>
            <w:textDirection w:val="lrTb"/>
            <w:noWrap w:val="false"/>
          </w:tcPr>
          <w:p>
            <w:pPr>
              <w:jc w:val="center"/>
              <w:keepLines w:val="0"/>
              <w:keepNext w:val="0"/>
              <w:spacing w:after="0" w:line="240" w:lineRule="auto"/>
              <w:widowControl/>
              <w:rPr>
                <w:rFonts w:hint="eastAsia" w:ascii="宋体" w:hAnsi="宋体" w:eastAsia="宋体" w:cs="宋体"/>
                <w:b/>
                <w:bCs/>
                <w:sz w:val="18"/>
                <w:szCs w:val="18"/>
                <w:vertAlign w:val="baseline"/>
                <w:lang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tcW w:w="1065" w:type="dxa"/>
            <w:vAlign w:val="center"/>
            <w:textDirection w:val="lrTb"/>
            <w:noWrap w:val="false"/>
          </w:tcPr>
          <w:p>
            <w:pPr>
              <w:jc w:val="center"/>
              <w:spacing w:after="0" w:line="240" w:lineRule="auto"/>
              <w:rPr>
                <w:rFonts w:hint="eastAsia" w:ascii="宋体" w:hAnsi="宋体" w:eastAsia="宋体" w:cs="宋体"/>
                <w:b/>
                <w:bCs/>
                <w:sz w:val="18"/>
                <w:szCs w:val="18"/>
                <w:vertAlign w:val="baseline"/>
                <w:lang w:eastAsia="zh-CN" w:bidi="ar-SA"/>
              </w:rPr>
            </w:pPr>
            <w:r>
              <w:rPr>
                <w:rFonts w:hint="eastAsia" w:ascii="宋体" w:hAnsi="宋体" w:eastAsia="宋体" w:cs="宋体"/>
                <w:b/>
                <w:bCs/>
                <w:sz w:val="18"/>
                <w:szCs w:val="18"/>
                <w:vertAlign w:val="baseline"/>
                <w:lang w:eastAsia="zh-CN" w:bidi="ar-SA"/>
              </w:rPr>
            </w:r>
            <w:r/>
          </w:p>
        </w:tc>
        <w:tc>
          <w:tcPr>
            <w:tcW w:w="1065" w:type="dxa"/>
            <w:vAlign w:val="center"/>
            <w:textDirection w:val="lrTb"/>
            <w:noWrap w:val="false"/>
          </w:tcPr>
          <w:p>
            <w:pPr>
              <w:jc w:val="center"/>
              <w:spacing w:after="0" w:line="240" w:lineRule="auto"/>
              <w:rPr>
                <w:rFonts w:hint="eastAsia" w:ascii="宋体" w:hAnsi="宋体" w:eastAsia="宋体" w:cs="宋体"/>
                <w:b/>
                <w:bCs/>
                <w:sz w:val="18"/>
                <w:szCs w:val="18"/>
                <w:vertAlign w:val="baseline"/>
                <w:lang w:eastAsia="zh-CN" w:bidi="ar-SA"/>
              </w:rPr>
            </w:pPr>
            <w:r>
              <w:rPr>
                <w:rFonts w:hint="eastAsia" w:ascii="宋体" w:hAnsi="宋体" w:eastAsia="宋体" w:cs="宋体"/>
                <w:b/>
                <w:bCs/>
                <w:sz w:val="18"/>
                <w:szCs w:val="18"/>
                <w:vertAlign w:val="baseline"/>
                <w:lang w:eastAsia="zh-CN" w:bidi="ar-SA"/>
              </w:rPr>
            </w:r>
            <w:r/>
          </w:p>
        </w:tc>
      </w:tr>
      <w:tr>
        <w:trPr>
          <w:trHeight w:val="454" w:hRule="exact"/>
        </w:trPr>
        <w:tc>
          <w:tcPr>
            <w:tcW w:w="781" w:type="dxa"/>
            <w:vAlign w:val="center"/>
            <w:textDirection w:val="lrTb"/>
            <w:noWrap w:val="false"/>
          </w:tcPr>
          <w:p>
            <w:pPr>
              <w:jc w:val="center"/>
              <w:keepLines w:val="0"/>
              <w:keepNext w:val="0"/>
              <w:spacing w:after="0" w:line="240" w:lineRule="auto"/>
              <w:widowControl/>
              <w:rPr>
                <w:rFonts w:hint="eastAsia" w:ascii="宋体" w:hAnsi="宋体" w:eastAsia="宋体" w:cs="宋体"/>
                <w:b/>
                <w:bCs/>
                <w:sz w:val="18"/>
                <w:szCs w:val="18"/>
                <w:vertAlign w:val="baseline"/>
                <w:lang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W w:w="1595" w:type="dxa"/>
            <w:vAlign w:val="center"/>
            <w:textDirection w:val="lrTb"/>
            <w:noWrap w:val="false"/>
          </w:tcPr>
          <w:p>
            <w:pPr>
              <w:jc w:val="center"/>
              <w:keepLines w:val="0"/>
              <w:keepNext w:val="0"/>
              <w:spacing w:after="0" w:line="240" w:lineRule="auto"/>
              <w:widowControl/>
              <w:rPr>
                <w:rFonts w:hint="eastAsia" w:ascii="宋体" w:hAnsi="宋体" w:eastAsia="宋体" w:cs="宋体"/>
                <w:b/>
                <w:bCs/>
                <w:sz w:val="18"/>
                <w:szCs w:val="18"/>
                <w:vertAlign w:val="baseline"/>
                <w:lang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空气湿度传感器</w:t>
            </w:r>
            <w:r/>
          </w:p>
        </w:tc>
        <w:tc>
          <w:tcPr>
            <w:tcW w:w="3385" w:type="dxa"/>
            <w:vAlign w:val="center"/>
            <w:textDirection w:val="lrTb"/>
            <w:noWrap w:val="false"/>
          </w:tcPr>
          <w:p>
            <w:pPr>
              <w:jc w:val="left"/>
              <w:keepLines w:val="0"/>
              <w:keepNext w:val="0"/>
              <w:spacing w:after="0" w:line="240" w:lineRule="auto"/>
              <w:widowControl/>
              <w:rPr>
                <w:rFonts w:hint="eastAsia" w:ascii="宋体" w:hAnsi="宋体" w:eastAsia="宋体" w:cs="宋体"/>
                <w:b/>
                <w:bCs/>
                <w:sz w:val="18"/>
                <w:szCs w:val="18"/>
                <w:highlight w:val="yellow"/>
                <w:vertAlign w:val="baseline"/>
                <w:lang w:eastAsia="zh-CN" w:bidi="ar-SA"/>
              </w:rPr>
              <w:suppressLineNumbers w:val="0"/>
            </w:pPr>
            <w:r>
              <w:rPr>
                <w:rFonts w:hint="eastAsia" w:ascii="宋体" w:hAnsi="宋体" w:eastAsia="宋体" w:cs="宋体"/>
                <w:b/>
                <w:bCs/>
                <w:sz w:val="18"/>
                <w:szCs w:val="18"/>
                <w:highlight w:val="yellow"/>
                <w:vertAlign w:val="baseline"/>
                <w:lang w:eastAsia="zh-CN" w:bidi="ar-SA"/>
              </w:rPr>
            </w:r>
            <w:r/>
          </w:p>
        </w:tc>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b/>
                <w:bCs/>
                <w:sz w:val="18"/>
                <w:szCs w:val="18"/>
                <w:vertAlign w:val="baseline"/>
                <w:lang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tcW w:w="675" w:type="dxa"/>
            <w:vAlign w:val="center"/>
            <w:textDirection w:val="lrTb"/>
            <w:noWrap w:val="false"/>
          </w:tcPr>
          <w:p>
            <w:pPr>
              <w:jc w:val="center"/>
              <w:keepLines w:val="0"/>
              <w:keepNext w:val="0"/>
              <w:spacing w:after="0" w:line="240" w:lineRule="auto"/>
              <w:widowControl/>
              <w:rPr>
                <w:rFonts w:hint="eastAsia" w:ascii="宋体" w:hAnsi="宋体" w:eastAsia="宋体" w:cs="宋体"/>
                <w:b/>
                <w:bCs/>
                <w:sz w:val="18"/>
                <w:szCs w:val="18"/>
                <w:vertAlign w:val="baseline"/>
                <w:lang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tcW w:w="1065" w:type="dxa"/>
            <w:vAlign w:val="center"/>
            <w:textDirection w:val="lrTb"/>
            <w:noWrap w:val="false"/>
          </w:tcPr>
          <w:p>
            <w:pPr>
              <w:jc w:val="center"/>
              <w:spacing w:after="0" w:line="240" w:lineRule="auto"/>
              <w:rPr>
                <w:rFonts w:hint="eastAsia" w:ascii="宋体" w:hAnsi="宋体" w:eastAsia="宋体" w:cs="宋体"/>
                <w:b/>
                <w:bCs/>
                <w:sz w:val="18"/>
                <w:szCs w:val="18"/>
                <w:vertAlign w:val="baseline"/>
                <w:lang w:eastAsia="zh-CN" w:bidi="ar-SA"/>
              </w:rPr>
            </w:pPr>
            <w:r>
              <w:rPr>
                <w:rFonts w:hint="eastAsia" w:ascii="宋体" w:hAnsi="宋体" w:eastAsia="宋体" w:cs="宋体"/>
                <w:b/>
                <w:bCs/>
                <w:sz w:val="18"/>
                <w:szCs w:val="18"/>
                <w:vertAlign w:val="baseline"/>
                <w:lang w:eastAsia="zh-CN" w:bidi="ar-SA"/>
              </w:rPr>
            </w:r>
            <w:r/>
          </w:p>
        </w:tc>
        <w:tc>
          <w:tcPr>
            <w:tcW w:w="1065" w:type="dxa"/>
            <w:vAlign w:val="center"/>
            <w:textDirection w:val="lrTb"/>
            <w:noWrap w:val="false"/>
          </w:tcPr>
          <w:p>
            <w:pPr>
              <w:jc w:val="center"/>
              <w:spacing w:after="0" w:line="240" w:lineRule="auto"/>
              <w:rPr>
                <w:rFonts w:hint="eastAsia" w:ascii="宋体" w:hAnsi="宋体" w:eastAsia="宋体" w:cs="宋体"/>
                <w:b/>
                <w:bCs/>
                <w:sz w:val="18"/>
                <w:szCs w:val="18"/>
                <w:vertAlign w:val="baseline"/>
                <w:lang w:eastAsia="zh-CN" w:bidi="ar-SA"/>
              </w:rPr>
            </w:pPr>
            <w:r>
              <w:rPr>
                <w:rFonts w:hint="eastAsia" w:ascii="宋体" w:hAnsi="宋体" w:eastAsia="宋体" w:cs="宋体"/>
                <w:b/>
                <w:bCs/>
                <w:sz w:val="18"/>
                <w:szCs w:val="18"/>
                <w:vertAlign w:val="baseline"/>
                <w:lang w:eastAsia="zh-CN" w:bidi="ar-SA"/>
              </w:rPr>
            </w:r>
            <w:r/>
          </w:p>
        </w:tc>
      </w:tr>
      <w:tr>
        <w:trPr>
          <w:trHeight w:val="454" w:hRule="exact"/>
        </w:trPr>
        <w:tc>
          <w:tcPr>
            <w:tcW w:w="781" w:type="dxa"/>
            <w:vAlign w:val="center"/>
            <w:textDirection w:val="lrTb"/>
            <w:noWrap w:val="false"/>
          </w:tcPr>
          <w:p>
            <w:pPr>
              <w:jc w:val="center"/>
              <w:keepLines w:val="0"/>
              <w:keepNext w:val="0"/>
              <w:spacing w:after="0" w:line="240" w:lineRule="auto"/>
              <w:widowControl/>
              <w:rPr>
                <w:rFonts w:hint="eastAsia" w:ascii="宋体" w:hAnsi="宋体" w:eastAsia="宋体" w:cs="宋体"/>
                <w:b/>
                <w:bCs/>
                <w:sz w:val="18"/>
                <w:szCs w:val="18"/>
                <w:vertAlign w:val="baseline"/>
                <w:lang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tcW w:w="1595" w:type="dxa"/>
            <w:vAlign w:val="center"/>
            <w:textDirection w:val="lrTb"/>
            <w:noWrap w:val="false"/>
          </w:tcPr>
          <w:p>
            <w:pPr>
              <w:jc w:val="center"/>
              <w:keepLines w:val="0"/>
              <w:keepNext w:val="0"/>
              <w:spacing w:after="0" w:line="240" w:lineRule="auto"/>
              <w:widowControl/>
              <w:rPr>
                <w:rFonts w:hint="eastAsia" w:ascii="宋体" w:hAnsi="宋体" w:eastAsia="宋体" w:cs="宋体"/>
                <w:b/>
                <w:bCs/>
                <w:sz w:val="18"/>
                <w:szCs w:val="18"/>
                <w:vertAlign w:val="baseline"/>
                <w:lang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光照传感器</w:t>
            </w:r>
            <w:r/>
          </w:p>
        </w:tc>
        <w:tc>
          <w:tcPr>
            <w:tcW w:w="3385" w:type="dxa"/>
            <w:vAlign w:val="center"/>
            <w:textDirection w:val="lrTb"/>
            <w:noWrap w:val="false"/>
          </w:tcPr>
          <w:p>
            <w:pPr>
              <w:jc w:val="left"/>
              <w:keepLines w:val="0"/>
              <w:keepNext w:val="0"/>
              <w:spacing w:after="0" w:line="240" w:lineRule="auto"/>
              <w:widowControl/>
              <w:rPr>
                <w:rFonts w:hint="eastAsia" w:ascii="宋体" w:hAnsi="宋体" w:eastAsia="宋体" w:cs="宋体"/>
                <w:b/>
                <w:bCs/>
                <w:sz w:val="18"/>
                <w:szCs w:val="18"/>
                <w:vertAlign w:val="baseline"/>
                <w:lang w:eastAsia="zh-CN" w:bidi="ar-SA"/>
              </w:rPr>
              <w:suppressLineNumbers w:val="0"/>
            </w:pPr>
            <w:r>
              <w:rPr>
                <w:rFonts w:hint="eastAsia" w:ascii="宋体" w:hAnsi="宋体" w:eastAsia="宋体" w:cs="宋体"/>
                <w:b/>
                <w:bCs/>
                <w:sz w:val="18"/>
                <w:szCs w:val="18"/>
                <w:vertAlign w:val="baseline"/>
                <w:lang w:eastAsia="zh-CN" w:bidi="ar-SA"/>
              </w:rPr>
            </w:r>
            <w:r/>
          </w:p>
        </w:tc>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b/>
                <w:bCs/>
                <w:sz w:val="18"/>
                <w:szCs w:val="18"/>
                <w:vertAlign w:val="baseline"/>
                <w:lang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tcW w:w="675" w:type="dxa"/>
            <w:vAlign w:val="center"/>
            <w:textDirection w:val="lrTb"/>
            <w:noWrap w:val="false"/>
          </w:tcPr>
          <w:p>
            <w:pPr>
              <w:jc w:val="center"/>
              <w:keepLines w:val="0"/>
              <w:keepNext w:val="0"/>
              <w:spacing w:after="0" w:line="240" w:lineRule="auto"/>
              <w:widowControl/>
              <w:rPr>
                <w:rFonts w:hint="eastAsia" w:ascii="宋体" w:hAnsi="宋体" w:eastAsia="宋体" w:cs="宋体"/>
                <w:b/>
                <w:bCs/>
                <w:sz w:val="18"/>
                <w:szCs w:val="18"/>
                <w:vertAlign w:val="baseline"/>
                <w:lang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tcW w:w="1065" w:type="dxa"/>
            <w:vAlign w:val="center"/>
            <w:textDirection w:val="lrTb"/>
            <w:noWrap w:val="false"/>
          </w:tcPr>
          <w:p>
            <w:pPr>
              <w:jc w:val="center"/>
              <w:spacing w:after="0" w:line="240" w:lineRule="auto"/>
              <w:rPr>
                <w:rFonts w:hint="eastAsia" w:ascii="宋体" w:hAnsi="宋体" w:eastAsia="宋体" w:cs="宋体"/>
                <w:b/>
                <w:bCs/>
                <w:sz w:val="18"/>
                <w:szCs w:val="18"/>
                <w:vertAlign w:val="baseline"/>
                <w:lang w:eastAsia="zh-CN" w:bidi="ar-SA"/>
              </w:rPr>
            </w:pPr>
            <w:r>
              <w:rPr>
                <w:rFonts w:hint="eastAsia" w:ascii="宋体" w:hAnsi="宋体" w:eastAsia="宋体" w:cs="宋体"/>
                <w:b/>
                <w:bCs/>
                <w:sz w:val="18"/>
                <w:szCs w:val="18"/>
                <w:vertAlign w:val="baseline"/>
                <w:lang w:eastAsia="zh-CN" w:bidi="ar-SA"/>
              </w:rPr>
            </w:r>
            <w:r/>
          </w:p>
        </w:tc>
        <w:tc>
          <w:tcPr>
            <w:tcW w:w="1065" w:type="dxa"/>
            <w:vAlign w:val="center"/>
            <w:textDirection w:val="lrTb"/>
            <w:noWrap w:val="false"/>
          </w:tcPr>
          <w:p>
            <w:pPr>
              <w:jc w:val="center"/>
              <w:spacing w:after="0" w:line="240" w:lineRule="auto"/>
              <w:rPr>
                <w:rFonts w:hint="eastAsia" w:ascii="宋体" w:hAnsi="宋体" w:eastAsia="宋体" w:cs="宋体"/>
                <w:b/>
                <w:bCs/>
                <w:sz w:val="18"/>
                <w:szCs w:val="18"/>
                <w:vertAlign w:val="baseline"/>
                <w:lang w:eastAsia="zh-CN" w:bidi="ar-SA"/>
              </w:rPr>
            </w:pPr>
            <w:r>
              <w:rPr>
                <w:rFonts w:hint="eastAsia" w:ascii="宋体" w:hAnsi="宋体" w:eastAsia="宋体" w:cs="宋体"/>
                <w:b/>
                <w:bCs/>
                <w:sz w:val="18"/>
                <w:szCs w:val="18"/>
                <w:vertAlign w:val="baseline"/>
                <w:lang w:eastAsia="zh-CN" w:bidi="ar-SA"/>
              </w:rPr>
            </w:r>
            <w:r/>
          </w:p>
        </w:tc>
      </w:tr>
      <w:tr>
        <w:trPr>
          <w:trHeight w:val="454" w:hRule="exact"/>
        </w:trPr>
        <w:tc>
          <w:tcPr>
            <w:tcW w:w="781" w:type="dxa"/>
            <w:vAlign w:val="center"/>
            <w:textDirection w:val="lrTb"/>
            <w:noWrap w:val="false"/>
          </w:tcPr>
          <w:p>
            <w:pPr>
              <w:jc w:val="center"/>
              <w:keepLines w:val="0"/>
              <w:keepNext w:val="0"/>
              <w:spacing w:after="0" w:line="240" w:lineRule="auto"/>
              <w:widowControl/>
              <w:rPr>
                <w:rFonts w:hint="eastAsia" w:ascii="宋体" w:hAnsi="宋体" w:eastAsia="宋体" w:cs="宋体"/>
                <w:b/>
                <w:bCs/>
                <w:sz w:val="18"/>
                <w:szCs w:val="18"/>
                <w:vertAlign w:val="baseline"/>
                <w:lang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W w:w="1595" w:type="dxa"/>
            <w:vAlign w:val="center"/>
            <w:textDirection w:val="lrTb"/>
            <w:noWrap w:val="false"/>
          </w:tcPr>
          <w:p>
            <w:pPr>
              <w:jc w:val="center"/>
              <w:keepLines w:val="0"/>
              <w:keepNext w:val="0"/>
              <w:spacing w:after="0" w:line="240" w:lineRule="auto"/>
              <w:widowControl/>
              <w:rPr>
                <w:rFonts w:hint="eastAsia" w:ascii="宋体" w:hAnsi="宋体" w:eastAsia="宋体" w:cs="宋体"/>
                <w:b/>
                <w:bCs/>
                <w:sz w:val="18"/>
                <w:szCs w:val="18"/>
                <w:vertAlign w:val="baseline"/>
                <w:lang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二氧化碳传感器</w:t>
            </w:r>
            <w:r/>
          </w:p>
        </w:tc>
        <w:tc>
          <w:tcPr>
            <w:tcW w:w="3385" w:type="dxa"/>
            <w:vAlign w:val="center"/>
            <w:textDirection w:val="lrTb"/>
            <w:noWrap w:val="false"/>
          </w:tcPr>
          <w:p>
            <w:pPr>
              <w:jc w:val="left"/>
              <w:keepLines w:val="0"/>
              <w:keepNext w:val="0"/>
              <w:spacing w:after="0" w:line="240" w:lineRule="auto"/>
              <w:widowControl/>
              <w:rPr>
                <w:rFonts w:hint="eastAsia" w:ascii="宋体" w:hAnsi="宋体" w:eastAsia="宋体" w:cs="宋体"/>
                <w:b/>
                <w:bCs/>
                <w:sz w:val="18"/>
                <w:szCs w:val="18"/>
                <w:vertAlign w:val="baseline"/>
                <w:lang w:eastAsia="zh-CN" w:bidi="ar-SA"/>
              </w:rPr>
              <w:suppressLineNumbers w:val="0"/>
            </w:pPr>
            <w:r>
              <w:rPr>
                <w:rFonts w:hint="eastAsia" w:ascii="宋体" w:hAnsi="宋体" w:eastAsia="宋体" w:cs="宋体"/>
                <w:b/>
                <w:bCs/>
                <w:sz w:val="18"/>
                <w:szCs w:val="18"/>
                <w:vertAlign w:val="baseline"/>
                <w:lang w:eastAsia="zh-CN" w:bidi="ar-SA"/>
              </w:rPr>
            </w:r>
            <w:r/>
          </w:p>
        </w:tc>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b/>
                <w:bCs/>
                <w:sz w:val="18"/>
                <w:szCs w:val="18"/>
                <w:vertAlign w:val="baseline"/>
                <w:lang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tcW w:w="675" w:type="dxa"/>
            <w:vAlign w:val="center"/>
            <w:textDirection w:val="lrTb"/>
            <w:noWrap w:val="false"/>
          </w:tcPr>
          <w:p>
            <w:pPr>
              <w:jc w:val="center"/>
              <w:keepLines w:val="0"/>
              <w:keepNext w:val="0"/>
              <w:spacing w:after="0" w:line="240" w:lineRule="auto"/>
              <w:widowControl/>
              <w:rPr>
                <w:rFonts w:hint="eastAsia" w:ascii="宋体" w:hAnsi="宋体" w:eastAsia="宋体" w:cs="宋体"/>
                <w:b/>
                <w:bCs/>
                <w:sz w:val="18"/>
                <w:szCs w:val="18"/>
                <w:vertAlign w:val="baseline"/>
                <w:lang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tcW w:w="1065" w:type="dxa"/>
            <w:vAlign w:val="center"/>
            <w:textDirection w:val="lrTb"/>
            <w:noWrap w:val="false"/>
          </w:tcPr>
          <w:p>
            <w:pPr>
              <w:jc w:val="center"/>
              <w:spacing w:after="0" w:line="240" w:lineRule="auto"/>
              <w:rPr>
                <w:rFonts w:hint="eastAsia" w:ascii="宋体" w:hAnsi="宋体" w:eastAsia="宋体" w:cs="宋体"/>
                <w:b/>
                <w:bCs/>
                <w:sz w:val="18"/>
                <w:szCs w:val="18"/>
                <w:vertAlign w:val="baseline"/>
                <w:lang w:eastAsia="zh-CN" w:bidi="ar-SA"/>
              </w:rPr>
            </w:pPr>
            <w:r>
              <w:rPr>
                <w:rFonts w:hint="eastAsia" w:ascii="宋体" w:hAnsi="宋体" w:eastAsia="宋体" w:cs="宋体"/>
                <w:b/>
                <w:bCs/>
                <w:sz w:val="18"/>
                <w:szCs w:val="18"/>
                <w:vertAlign w:val="baseline"/>
                <w:lang w:eastAsia="zh-CN" w:bidi="ar-SA"/>
              </w:rPr>
            </w:r>
            <w:r/>
          </w:p>
        </w:tc>
        <w:tc>
          <w:tcPr>
            <w:tcW w:w="1065" w:type="dxa"/>
            <w:vAlign w:val="center"/>
            <w:textDirection w:val="lrTb"/>
            <w:noWrap w:val="false"/>
          </w:tcPr>
          <w:p>
            <w:pPr>
              <w:jc w:val="center"/>
              <w:spacing w:after="0" w:line="240" w:lineRule="auto"/>
              <w:rPr>
                <w:rFonts w:hint="eastAsia" w:ascii="宋体" w:hAnsi="宋体" w:eastAsia="宋体" w:cs="宋体"/>
                <w:b/>
                <w:bCs/>
                <w:sz w:val="18"/>
                <w:szCs w:val="18"/>
                <w:vertAlign w:val="baseline"/>
                <w:lang w:eastAsia="zh-CN" w:bidi="ar-SA"/>
              </w:rPr>
            </w:pPr>
            <w:r>
              <w:rPr>
                <w:rFonts w:hint="eastAsia" w:ascii="宋体" w:hAnsi="宋体" w:eastAsia="宋体" w:cs="宋体"/>
                <w:b/>
                <w:bCs/>
                <w:sz w:val="18"/>
                <w:szCs w:val="18"/>
                <w:vertAlign w:val="baseline"/>
                <w:lang w:eastAsia="zh-CN" w:bidi="ar-SA"/>
              </w:rPr>
            </w:r>
            <w:r/>
          </w:p>
        </w:tc>
      </w:tr>
      <w:tr>
        <w:trPr>
          <w:trHeight w:val="454" w:hRule="exact"/>
        </w:trPr>
        <w:tc>
          <w:tcPr>
            <w:tcW w:w="781" w:type="dxa"/>
            <w:vAlign w:val="center"/>
            <w:textDirection w:val="lrTb"/>
            <w:noWrap w:val="false"/>
          </w:tcPr>
          <w:p>
            <w:pPr>
              <w:jc w:val="center"/>
              <w:keepLines w:val="0"/>
              <w:keepNext w:val="0"/>
              <w:spacing w:after="0" w:line="240" w:lineRule="auto"/>
              <w:widowControl/>
              <w:rPr>
                <w:rFonts w:hint="eastAsia" w:ascii="宋体" w:hAnsi="宋体" w:eastAsia="宋体" w:cs="宋体"/>
                <w:b/>
                <w:bCs/>
                <w:sz w:val="18"/>
                <w:szCs w:val="18"/>
                <w:vertAlign w:val="baseline"/>
                <w:lang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tcW w:w="1595" w:type="dxa"/>
            <w:vAlign w:val="center"/>
            <w:textDirection w:val="lrTb"/>
            <w:noWrap w:val="false"/>
          </w:tcPr>
          <w:p>
            <w:pPr>
              <w:jc w:val="center"/>
              <w:keepLines w:val="0"/>
              <w:keepNext w:val="0"/>
              <w:spacing w:after="0" w:line="240" w:lineRule="auto"/>
              <w:widowControl/>
              <w:rPr>
                <w:rFonts w:hint="eastAsia" w:ascii="宋体" w:hAnsi="宋体" w:eastAsia="宋体" w:cs="宋体"/>
                <w:b/>
                <w:bCs/>
                <w:sz w:val="18"/>
                <w:szCs w:val="18"/>
                <w:vertAlign w:val="baseline"/>
                <w:lang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土壤温度传感器</w:t>
            </w:r>
            <w:r/>
          </w:p>
        </w:tc>
        <w:tc>
          <w:tcPr>
            <w:tcW w:w="3385" w:type="dxa"/>
            <w:vAlign w:val="center"/>
            <w:textDirection w:val="lrTb"/>
            <w:noWrap w:val="false"/>
          </w:tcPr>
          <w:p>
            <w:pPr>
              <w:jc w:val="left"/>
              <w:keepLines w:val="0"/>
              <w:keepNext w:val="0"/>
              <w:spacing w:after="0" w:line="240" w:lineRule="auto"/>
              <w:widowControl/>
              <w:rPr>
                <w:rFonts w:hint="eastAsia" w:ascii="宋体" w:hAnsi="宋体" w:eastAsia="宋体" w:cs="宋体"/>
                <w:b/>
                <w:bCs/>
                <w:sz w:val="18"/>
                <w:szCs w:val="18"/>
                <w:vertAlign w:val="baseline"/>
                <w:lang w:eastAsia="zh-CN" w:bidi="ar-SA"/>
              </w:rPr>
              <w:suppressLineNumbers w:val="0"/>
            </w:pPr>
            <w:r>
              <w:rPr>
                <w:rFonts w:hint="eastAsia" w:ascii="宋体" w:hAnsi="宋体" w:eastAsia="宋体" w:cs="宋体"/>
                <w:b/>
                <w:bCs/>
                <w:sz w:val="18"/>
                <w:szCs w:val="18"/>
                <w:vertAlign w:val="baseline"/>
                <w:lang w:eastAsia="zh-CN" w:bidi="ar-SA"/>
              </w:rPr>
            </w:r>
            <w:r/>
          </w:p>
        </w:tc>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b/>
                <w:bCs/>
                <w:sz w:val="18"/>
                <w:szCs w:val="18"/>
                <w:vertAlign w:val="baseline"/>
                <w:lang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tcW w:w="675" w:type="dxa"/>
            <w:vAlign w:val="center"/>
            <w:textDirection w:val="lrTb"/>
            <w:noWrap w:val="false"/>
          </w:tcPr>
          <w:p>
            <w:pPr>
              <w:jc w:val="center"/>
              <w:keepLines w:val="0"/>
              <w:keepNext w:val="0"/>
              <w:spacing w:after="0" w:line="240" w:lineRule="auto"/>
              <w:widowControl/>
              <w:rPr>
                <w:rFonts w:hint="eastAsia" w:ascii="宋体" w:hAnsi="宋体" w:eastAsia="宋体" w:cs="宋体"/>
                <w:b/>
                <w:bCs/>
                <w:sz w:val="18"/>
                <w:szCs w:val="18"/>
                <w:vertAlign w:val="baseline"/>
                <w:lang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tcW w:w="1065" w:type="dxa"/>
            <w:vAlign w:val="center"/>
            <w:textDirection w:val="lrTb"/>
            <w:noWrap w:val="false"/>
          </w:tcPr>
          <w:p>
            <w:pPr>
              <w:jc w:val="center"/>
              <w:spacing w:after="0" w:line="240" w:lineRule="auto"/>
              <w:rPr>
                <w:rFonts w:hint="eastAsia" w:ascii="宋体" w:hAnsi="宋体" w:eastAsia="宋体" w:cs="宋体"/>
                <w:b/>
                <w:bCs/>
                <w:sz w:val="18"/>
                <w:szCs w:val="18"/>
                <w:vertAlign w:val="baseline"/>
                <w:lang w:eastAsia="zh-CN" w:bidi="ar-SA"/>
              </w:rPr>
            </w:pPr>
            <w:r>
              <w:rPr>
                <w:rFonts w:hint="eastAsia" w:ascii="宋体" w:hAnsi="宋体" w:eastAsia="宋体" w:cs="宋体"/>
                <w:b/>
                <w:bCs/>
                <w:sz w:val="18"/>
                <w:szCs w:val="18"/>
                <w:vertAlign w:val="baseline"/>
                <w:lang w:eastAsia="zh-CN" w:bidi="ar-SA"/>
              </w:rPr>
            </w:r>
            <w:r/>
          </w:p>
        </w:tc>
        <w:tc>
          <w:tcPr>
            <w:tcW w:w="1065" w:type="dxa"/>
            <w:vAlign w:val="center"/>
            <w:textDirection w:val="lrTb"/>
            <w:noWrap w:val="false"/>
          </w:tcPr>
          <w:p>
            <w:pPr>
              <w:jc w:val="center"/>
              <w:spacing w:after="0" w:line="240" w:lineRule="auto"/>
              <w:rPr>
                <w:rFonts w:hint="eastAsia" w:ascii="宋体" w:hAnsi="宋体" w:eastAsia="宋体" w:cs="宋体"/>
                <w:b/>
                <w:bCs/>
                <w:sz w:val="18"/>
                <w:szCs w:val="18"/>
                <w:vertAlign w:val="baseline"/>
                <w:lang w:eastAsia="zh-CN" w:bidi="ar-SA"/>
              </w:rPr>
            </w:pPr>
            <w:r>
              <w:rPr>
                <w:rFonts w:hint="eastAsia" w:ascii="宋体" w:hAnsi="宋体" w:eastAsia="宋体" w:cs="宋体"/>
                <w:b/>
                <w:bCs/>
                <w:sz w:val="18"/>
                <w:szCs w:val="18"/>
                <w:vertAlign w:val="baseline"/>
                <w:lang w:eastAsia="zh-CN" w:bidi="ar-SA"/>
              </w:rPr>
            </w:r>
            <w:r/>
          </w:p>
        </w:tc>
      </w:tr>
      <w:tr>
        <w:trPr>
          <w:trHeight w:val="454" w:hRule="exact"/>
        </w:trPr>
        <w:tc>
          <w:tcPr>
            <w:tcW w:w="781" w:type="dxa"/>
            <w:vAlign w:val="center"/>
            <w:textDirection w:val="lrTb"/>
            <w:noWrap w:val="false"/>
          </w:tcPr>
          <w:p>
            <w:pPr>
              <w:jc w:val="center"/>
              <w:keepLines w:val="0"/>
              <w:keepNext w:val="0"/>
              <w:spacing w:after="0" w:line="240" w:lineRule="auto"/>
              <w:widowControl/>
              <w:rPr>
                <w:rFonts w:hint="eastAsia" w:ascii="宋体" w:hAnsi="宋体" w:eastAsia="宋体" w:cs="宋体"/>
                <w:b/>
                <w:bCs/>
                <w:sz w:val="18"/>
                <w:szCs w:val="18"/>
                <w:vertAlign w:val="baseline"/>
                <w:lang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tcW w:w="1595" w:type="dxa"/>
            <w:vAlign w:val="center"/>
            <w:textDirection w:val="lrTb"/>
            <w:noWrap w:val="false"/>
          </w:tcPr>
          <w:p>
            <w:pPr>
              <w:jc w:val="center"/>
              <w:keepLines w:val="0"/>
              <w:keepNext w:val="0"/>
              <w:spacing w:after="0" w:line="240" w:lineRule="auto"/>
              <w:widowControl/>
              <w:rPr>
                <w:rFonts w:hint="eastAsia" w:ascii="宋体" w:hAnsi="宋体" w:eastAsia="宋体" w:cs="宋体"/>
                <w:b/>
                <w:bCs/>
                <w:sz w:val="18"/>
                <w:szCs w:val="18"/>
                <w:vertAlign w:val="baseline"/>
                <w:lang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土壤湿度传感器</w:t>
            </w:r>
            <w:r/>
          </w:p>
        </w:tc>
        <w:tc>
          <w:tcPr>
            <w:tcW w:w="3385" w:type="dxa"/>
            <w:vAlign w:val="center"/>
            <w:textDirection w:val="lrTb"/>
            <w:noWrap w:val="false"/>
          </w:tcPr>
          <w:p>
            <w:pPr>
              <w:jc w:val="left"/>
              <w:keepLines w:val="0"/>
              <w:keepNext w:val="0"/>
              <w:spacing w:after="0" w:line="240" w:lineRule="auto"/>
              <w:widowControl/>
              <w:rPr>
                <w:rFonts w:hint="eastAsia" w:ascii="宋体" w:hAnsi="宋体" w:eastAsia="宋体" w:cs="宋体"/>
                <w:b/>
                <w:bCs/>
                <w:sz w:val="18"/>
                <w:szCs w:val="18"/>
                <w:vertAlign w:val="baseline"/>
                <w:lang w:eastAsia="zh-CN" w:bidi="ar-SA"/>
              </w:rPr>
              <w:suppressLineNumbers w:val="0"/>
            </w:pPr>
            <w:r>
              <w:rPr>
                <w:rFonts w:hint="eastAsia" w:ascii="宋体" w:hAnsi="宋体" w:eastAsia="宋体" w:cs="宋体"/>
                <w:b/>
                <w:bCs/>
                <w:sz w:val="18"/>
                <w:szCs w:val="18"/>
                <w:vertAlign w:val="baseline"/>
                <w:lang w:eastAsia="zh-CN" w:bidi="ar-SA"/>
              </w:rPr>
            </w:r>
            <w:r/>
          </w:p>
        </w:tc>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b/>
                <w:bCs/>
                <w:sz w:val="18"/>
                <w:szCs w:val="18"/>
                <w:vertAlign w:val="baseline"/>
                <w:lang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tcW w:w="675" w:type="dxa"/>
            <w:vAlign w:val="center"/>
            <w:textDirection w:val="lrTb"/>
            <w:noWrap w:val="false"/>
          </w:tcPr>
          <w:p>
            <w:pPr>
              <w:jc w:val="center"/>
              <w:keepLines w:val="0"/>
              <w:keepNext w:val="0"/>
              <w:spacing w:after="0" w:line="240" w:lineRule="auto"/>
              <w:widowControl/>
              <w:rPr>
                <w:rFonts w:hint="eastAsia" w:ascii="宋体" w:hAnsi="宋体" w:eastAsia="宋体" w:cs="宋体"/>
                <w:b/>
                <w:bCs/>
                <w:sz w:val="18"/>
                <w:szCs w:val="18"/>
                <w:vertAlign w:val="baseline"/>
                <w:lang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tcW w:w="1065" w:type="dxa"/>
            <w:vAlign w:val="center"/>
            <w:textDirection w:val="lrTb"/>
            <w:noWrap w:val="false"/>
          </w:tcPr>
          <w:p>
            <w:pPr>
              <w:jc w:val="center"/>
              <w:spacing w:after="0" w:line="240" w:lineRule="auto"/>
              <w:rPr>
                <w:rFonts w:hint="eastAsia" w:ascii="宋体" w:hAnsi="宋体" w:eastAsia="宋体" w:cs="宋体"/>
                <w:b/>
                <w:bCs/>
                <w:sz w:val="18"/>
                <w:szCs w:val="18"/>
                <w:vertAlign w:val="baseline"/>
                <w:lang w:eastAsia="zh-CN" w:bidi="ar-SA"/>
              </w:rPr>
            </w:pPr>
            <w:r>
              <w:rPr>
                <w:rFonts w:hint="eastAsia" w:ascii="宋体" w:hAnsi="宋体" w:eastAsia="宋体" w:cs="宋体"/>
                <w:b/>
                <w:bCs/>
                <w:sz w:val="18"/>
                <w:szCs w:val="18"/>
                <w:vertAlign w:val="baseline"/>
                <w:lang w:eastAsia="zh-CN" w:bidi="ar-SA"/>
              </w:rPr>
            </w:r>
            <w:r/>
          </w:p>
        </w:tc>
        <w:tc>
          <w:tcPr>
            <w:tcW w:w="1065" w:type="dxa"/>
            <w:vAlign w:val="center"/>
            <w:textDirection w:val="lrTb"/>
            <w:noWrap w:val="false"/>
          </w:tcPr>
          <w:p>
            <w:pPr>
              <w:jc w:val="center"/>
              <w:spacing w:after="0" w:line="240" w:lineRule="auto"/>
              <w:rPr>
                <w:rFonts w:hint="eastAsia" w:ascii="宋体" w:hAnsi="宋体" w:eastAsia="宋体" w:cs="宋体"/>
                <w:b/>
                <w:bCs/>
                <w:sz w:val="18"/>
                <w:szCs w:val="18"/>
                <w:vertAlign w:val="baseline"/>
                <w:lang w:eastAsia="zh-CN" w:bidi="ar-SA"/>
              </w:rPr>
            </w:pPr>
            <w:r>
              <w:rPr>
                <w:rFonts w:hint="eastAsia" w:ascii="宋体" w:hAnsi="宋体" w:eastAsia="宋体" w:cs="宋体"/>
                <w:b/>
                <w:bCs/>
                <w:sz w:val="18"/>
                <w:szCs w:val="18"/>
                <w:vertAlign w:val="baseline"/>
                <w:lang w:eastAsia="zh-CN" w:bidi="ar-SA"/>
              </w:rPr>
            </w:r>
            <w:r/>
          </w:p>
        </w:tc>
      </w:tr>
      <w:tr>
        <w:trPr>
          <w:trHeight w:val="454" w:hRule="exact"/>
        </w:trPr>
        <w:tc>
          <w:tcPr>
            <w:tcW w:w="781" w:type="dxa"/>
            <w:vAlign w:val="center"/>
            <w:textDirection w:val="lrTb"/>
            <w:noWrap w:val="false"/>
          </w:tcPr>
          <w:p>
            <w:pPr>
              <w:jc w:val="center"/>
              <w:keepLines w:val="0"/>
              <w:keepNext w:val="0"/>
              <w:spacing w:after="0" w:line="240" w:lineRule="auto"/>
              <w:widowControl/>
              <w:rPr>
                <w:rFonts w:hint="eastAsia" w:ascii="宋体" w:hAnsi="宋体" w:eastAsia="宋体" w:cs="宋体"/>
                <w:b/>
                <w:bCs/>
                <w:sz w:val="18"/>
                <w:szCs w:val="18"/>
                <w:vertAlign w:val="baseline"/>
                <w:lang w:eastAsia="zh-CN" w:bidi="ar-SA"/>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tcW w:w="1595" w:type="dxa"/>
            <w:vAlign w:val="center"/>
            <w:textDirection w:val="lrTb"/>
            <w:noWrap w:val="false"/>
          </w:tcPr>
          <w:p>
            <w:pPr>
              <w:jc w:val="center"/>
              <w:keepLines w:val="0"/>
              <w:keepNext w:val="0"/>
              <w:spacing w:after="0" w:line="240" w:lineRule="auto"/>
              <w:widowControl/>
              <w:rPr>
                <w:rFonts w:hint="eastAsia" w:ascii="宋体" w:hAnsi="宋体" w:eastAsia="宋体" w:cs="宋体"/>
                <w:b/>
                <w:bCs/>
                <w:sz w:val="18"/>
                <w:szCs w:val="18"/>
                <w:vertAlign w:val="baseline"/>
                <w:lang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塑料百叶罩</w:t>
            </w:r>
            <w:r/>
          </w:p>
        </w:tc>
        <w:tc>
          <w:tcPr>
            <w:tcW w:w="3385" w:type="dxa"/>
            <w:vAlign w:val="center"/>
            <w:textDirection w:val="lrTb"/>
            <w:noWrap w:val="false"/>
          </w:tcPr>
          <w:p>
            <w:pPr>
              <w:jc w:val="left"/>
              <w:keepLines w:val="0"/>
              <w:keepNext w:val="0"/>
              <w:spacing w:after="0" w:line="240" w:lineRule="auto"/>
              <w:widowControl/>
              <w:rPr>
                <w:rFonts w:hint="eastAsia" w:ascii="宋体" w:hAnsi="宋体" w:eastAsia="宋体" w:cs="宋体"/>
                <w:b/>
                <w:bCs/>
                <w:sz w:val="18"/>
                <w:szCs w:val="18"/>
                <w:vertAlign w:val="baseline"/>
                <w:lang w:eastAsia="zh-CN" w:bidi="ar-SA"/>
              </w:rPr>
              <w:suppressLineNumbers w:val="0"/>
            </w:pPr>
            <w:r>
              <w:rPr>
                <w:rFonts w:hint="eastAsia" w:ascii="宋体" w:hAnsi="宋体" w:eastAsia="宋体" w:cs="宋体"/>
                <w:b/>
                <w:bCs/>
                <w:sz w:val="18"/>
                <w:szCs w:val="18"/>
                <w:vertAlign w:val="baseline"/>
                <w:lang w:eastAsia="zh-CN" w:bidi="ar-SA"/>
              </w:rPr>
            </w:r>
            <w:r/>
          </w:p>
        </w:tc>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b/>
                <w:bCs/>
                <w:sz w:val="18"/>
                <w:szCs w:val="18"/>
                <w:vertAlign w:val="baseline"/>
                <w:lang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tcW w:w="675" w:type="dxa"/>
            <w:vAlign w:val="center"/>
            <w:textDirection w:val="lrTb"/>
            <w:noWrap w:val="false"/>
          </w:tcPr>
          <w:p>
            <w:pPr>
              <w:jc w:val="center"/>
              <w:keepLines w:val="0"/>
              <w:keepNext w:val="0"/>
              <w:spacing w:after="0" w:line="240" w:lineRule="auto"/>
              <w:widowControl/>
              <w:rPr>
                <w:rFonts w:hint="eastAsia" w:ascii="宋体" w:hAnsi="宋体" w:eastAsia="宋体" w:cs="宋体"/>
                <w:b/>
                <w:bCs/>
                <w:sz w:val="18"/>
                <w:szCs w:val="18"/>
                <w:vertAlign w:val="baseline"/>
                <w:lang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tcW w:w="1065" w:type="dxa"/>
            <w:vAlign w:val="center"/>
            <w:textDirection w:val="lrTb"/>
            <w:noWrap w:val="false"/>
          </w:tcPr>
          <w:p>
            <w:pPr>
              <w:jc w:val="center"/>
              <w:spacing w:after="0" w:line="240" w:lineRule="auto"/>
              <w:rPr>
                <w:rFonts w:hint="eastAsia" w:ascii="宋体" w:hAnsi="宋体" w:eastAsia="宋体" w:cs="宋体"/>
                <w:b/>
                <w:bCs/>
                <w:sz w:val="18"/>
                <w:szCs w:val="18"/>
                <w:vertAlign w:val="baseline"/>
                <w:lang w:eastAsia="zh-CN" w:bidi="ar-SA"/>
              </w:rPr>
            </w:pPr>
            <w:r>
              <w:rPr>
                <w:rFonts w:hint="eastAsia" w:ascii="宋体" w:hAnsi="宋体" w:eastAsia="宋体" w:cs="宋体"/>
                <w:b/>
                <w:bCs/>
                <w:sz w:val="18"/>
                <w:szCs w:val="18"/>
                <w:vertAlign w:val="baseline"/>
                <w:lang w:eastAsia="zh-CN" w:bidi="ar-SA"/>
              </w:rPr>
            </w:r>
            <w:r/>
          </w:p>
        </w:tc>
        <w:tc>
          <w:tcPr>
            <w:tcW w:w="1065" w:type="dxa"/>
            <w:vAlign w:val="center"/>
            <w:textDirection w:val="lrTb"/>
            <w:noWrap w:val="false"/>
          </w:tcPr>
          <w:p>
            <w:pPr>
              <w:jc w:val="center"/>
              <w:spacing w:after="0" w:line="240" w:lineRule="auto"/>
              <w:rPr>
                <w:rFonts w:hint="eastAsia" w:ascii="宋体" w:hAnsi="宋体" w:eastAsia="宋体" w:cs="宋体"/>
                <w:b/>
                <w:bCs/>
                <w:sz w:val="18"/>
                <w:szCs w:val="18"/>
                <w:vertAlign w:val="baseline"/>
                <w:lang w:eastAsia="zh-CN" w:bidi="ar-SA"/>
              </w:rPr>
            </w:pPr>
            <w:r>
              <w:rPr>
                <w:rFonts w:hint="eastAsia" w:ascii="宋体" w:hAnsi="宋体" w:eastAsia="宋体" w:cs="宋体"/>
                <w:b/>
                <w:bCs/>
                <w:sz w:val="18"/>
                <w:szCs w:val="18"/>
                <w:vertAlign w:val="baseline"/>
                <w:lang w:eastAsia="zh-CN" w:bidi="ar-SA"/>
              </w:rPr>
            </w:r>
            <w:r/>
          </w:p>
        </w:tc>
      </w:tr>
      <w:tr>
        <w:trPr>
          <w:trHeight w:val="454" w:hRule="exact"/>
        </w:trPr>
        <w:tc>
          <w:tcPr>
            <w:tcW w:w="78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tcW w:w="159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小型气象站</w:t>
            </w:r>
            <w:r/>
          </w:p>
        </w:tc>
        <w:tc>
          <w:tcPr>
            <w:tcW w:w="338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W w:w="67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54" w:hRule="exact"/>
        </w:trPr>
        <w:tc>
          <w:tcPr>
            <w:tcW w:w="78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W w:w="159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数据采集模块</w:t>
            </w:r>
            <w:r/>
          </w:p>
        </w:tc>
        <w:tc>
          <w:tcPr>
            <w:tcW w:w="338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W w:w="67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54" w:hRule="exact"/>
        </w:trPr>
        <w:tc>
          <w:tcPr>
            <w:tcW w:w="78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tcW w:w="159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5G通讯模块</w:t>
            </w:r>
            <w:r/>
          </w:p>
        </w:tc>
        <w:tc>
          <w:tcPr>
            <w:tcW w:w="338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W w:w="67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54" w:hRule="exact"/>
        </w:trPr>
        <w:tc>
          <w:tcPr>
            <w:tcW w:w="78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tcW w:w="159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数据采集箱</w:t>
            </w:r>
            <w:r/>
          </w:p>
        </w:tc>
        <w:tc>
          <w:tcPr>
            <w:tcW w:w="338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W w:w="67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54" w:hRule="exact"/>
        </w:trPr>
        <w:tc>
          <w:tcPr>
            <w:tcW w:w="78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tcW w:w="159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电流电压电量传感器</w:t>
            </w:r>
            <w:r/>
          </w:p>
        </w:tc>
        <w:tc>
          <w:tcPr>
            <w:tcW w:w="338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tcW w:w="67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720" w:hRule="exact"/>
        </w:trPr>
        <w:tc>
          <w:tcPr>
            <w:tcW w:w="78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tcW w:w="159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控制器(控制中心总控)</w:t>
            </w:r>
            <w:r/>
          </w:p>
        </w:tc>
        <w:tc>
          <w:tcPr>
            <w:tcW w:w="338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W w:w="67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54" w:hRule="exact"/>
        </w:trPr>
        <w:tc>
          <w:tcPr>
            <w:tcW w:w="78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tcW w:w="159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大棚控制设备</w:t>
            </w:r>
            <w:r/>
          </w:p>
        </w:tc>
        <w:tc>
          <w:tcPr>
            <w:tcW w:w="338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W w:w="67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54" w:hRule="exact"/>
        </w:trPr>
        <w:tc>
          <w:tcPr>
            <w:tcW w:w="78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tcW w:w="159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触摸屏系统</w:t>
            </w:r>
            <w:r/>
          </w:p>
        </w:tc>
        <w:tc>
          <w:tcPr>
            <w:tcW w:w="338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W w:w="67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54" w:hRule="exact"/>
        </w:trPr>
        <w:tc>
          <w:tcPr>
            <w:tcW w:w="78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tcW w:w="159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小型继电器</w:t>
            </w:r>
            <w:r/>
          </w:p>
        </w:tc>
        <w:tc>
          <w:tcPr>
            <w:tcW w:w="338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tcW w:w="67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192</w:t>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54" w:hRule="exact"/>
        </w:trPr>
        <w:tc>
          <w:tcPr>
            <w:tcW w:w="78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tcW w:w="159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LEDP6全彩显示屏</w:t>
            </w:r>
            <w:r/>
          </w:p>
        </w:tc>
        <w:tc>
          <w:tcPr>
            <w:tcW w:w="338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W w:w="67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54" w:hRule="exact"/>
        </w:trPr>
        <w:tc>
          <w:tcPr>
            <w:tcW w:w="78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W w:w="159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监控摄像机</w:t>
            </w:r>
            <w:r/>
          </w:p>
        </w:tc>
        <w:tc>
          <w:tcPr>
            <w:tcW w:w="338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W w:w="67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54" w:hRule="exact"/>
        </w:trPr>
        <w:tc>
          <w:tcPr>
            <w:tcW w:w="78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tcW w:w="159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无线网桥</w:t>
            </w:r>
            <w:r/>
          </w:p>
        </w:tc>
        <w:tc>
          <w:tcPr>
            <w:tcW w:w="338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W w:w="67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54" w:hRule="exact"/>
        </w:trPr>
        <w:tc>
          <w:tcPr>
            <w:tcW w:w="78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tcW w:w="159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分支交换机</w:t>
            </w:r>
            <w:r/>
          </w:p>
        </w:tc>
        <w:tc>
          <w:tcPr>
            <w:tcW w:w="338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W w:w="67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54" w:hRule="exact"/>
        </w:trPr>
        <w:tc>
          <w:tcPr>
            <w:tcW w:w="78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21</w:t>
            </w:r>
            <w:r/>
          </w:p>
        </w:tc>
        <w:tc>
          <w:tcPr>
            <w:tcW w:w="159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监控硬盘</w:t>
            </w:r>
            <w:r/>
          </w:p>
        </w:tc>
        <w:tc>
          <w:tcPr>
            <w:tcW w:w="338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W w:w="67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54" w:hRule="exact"/>
        </w:trPr>
        <w:tc>
          <w:tcPr>
            <w:tcW w:w="78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tcW w:w="159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高清硬盘录像机</w:t>
            </w:r>
            <w:r/>
          </w:p>
        </w:tc>
        <w:tc>
          <w:tcPr>
            <w:tcW w:w="338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W w:w="67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54" w:hRule="exact"/>
        </w:trPr>
        <w:tc>
          <w:tcPr>
            <w:tcW w:w="78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tcW w:w="159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交换机</w:t>
            </w:r>
            <w:r/>
          </w:p>
        </w:tc>
        <w:tc>
          <w:tcPr>
            <w:tcW w:w="338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W w:w="67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54" w:hRule="exact"/>
        </w:trPr>
        <w:tc>
          <w:tcPr>
            <w:tcW w:w="78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tcW w:w="159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机柜、机架</w:t>
            </w:r>
            <w:r/>
          </w:p>
        </w:tc>
        <w:tc>
          <w:tcPr>
            <w:tcW w:w="338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W w:w="67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54" w:hRule="exact"/>
        </w:trPr>
        <w:tc>
          <w:tcPr>
            <w:tcW w:w="78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tcW w:w="159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双绞线缆</w:t>
            </w:r>
            <w:r/>
          </w:p>
        </w:tc>
        <w:tc>
          <w:tcPr>
            <w:tcW w:w="338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W w:w="67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300</w:t>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54" w:hRule="exact"/>
        </w:trPr>
        <w:tc>
          <w:tcPr>
            <w:tcW w:w="78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tcW w:w="159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专用线缆</w:t>
            </w:r>
            <w:r/>
          </w:p>
        </w:tc>
        <w:tc>
          <w:tcPr>
            <w:tcW w:w="338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W w:w="67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300</w:t>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733" w:hRule="exact"/>
        </w:trPr>
        <w:tc>
          <w:tcPr>
            <w:tcW w:w="78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27</w:t>
            </w:r>
            <w:r/>
          </w:p>
        </w:tc>
        <w:tc>
          <w:tcPr>
            <w:tcW w:w="159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农业物联网云平台电脑端软件</w:t>
            </w:r>
            <w:r/>
          </w:p>
        </w:tc>
        <w:tc>
          <w:tcPr>
            <w:tcW w:w="338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W w:w="67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54" w:hRule="exact"/>
        </w:trPr>
        <w:tc>
          <w:tcPr>
            <w:tcW w:w="78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28</w:t>
            </w:r>
            <w:r/>
          </w:p>
        </w:tc>
        <w:tc>
          <w:tcPr>
            <w:tcW w:w="159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农业物联网手机端软件</w:t>
            </w:r>
            <w:r/>
          </w:p>
        </w:tc>
        <w:tc>
          <w:tcPr>
            <w:tcW w:w="338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W w:w="67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54" w:hRule="exact"/>
        </w:trPr>
        <w:tc>
          <w:tcPr>
            <w:tcW w:w="78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29</w:t>
            </w:r>
            <w:r/>
          </w:p>
        </w:tc>
        <w:tc>
          <w:tcPr>
            <w:tcW w:w="159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5G网络及互联网专线</w:t>
            </w:r>
            <w:r/>
          </w:p>
        </w:tc>
        <w:tc>
          <w:tcPr>
            <w:tcW w:w="338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tcW w:w="67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54" w:hRule="exact"/>
        </w:trPr>
        <w:tc>
          <w:tcPr>
            <w:tcW w:w="78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tcW w:w="159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LED全彩显示屏</w:t>
            </w:r>
            <w:r/>
          </w:p>
        </w:tc>
        <w:tc>
          <w:tcPr>
            <w:tcW w:w="338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W w:w="67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54" w:hRule="exact"/>
        </w:trPr>
        <w:tc>
          <w:tcPr>
            <w:tcW w:w="78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31</w:t>
            </w:r>
            <w:r/>
          </w:p>
        </w:tc>
        <w:tc>
          <w:tcPr>
            <w:tcW w:w="159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视频信号处理设备</w:t>
            </w:r>
            <w:r/>
          </w:p>
        </w:tc>
        <w:tc>
          <w:tcPr>
            <w:tcW w:w="338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W w:w="67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54" w:hRule="exact"/>
        </w:trPr>
        <w:tc>
          <w:tcPr>
            <w:tcW w:w="78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32</w:t>
            </w:r>
            <w:r/>
          </w:p>
        </w:tc>
        <w:tc>
          <w:tcPr>
            <w:tcW w:w="159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LED屏配套支架</w:t>
            </w:r>
            <w:r/>
          </w:p>
        </w:tc>
        <w:tc>
          <w:tcPr>
            <w:tcW w:w="338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W w:w="67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54" w:hRule="exact"/>
        </w:trPr>
        <w:tc>
          <w:tcPr>
            <w:tcW w:w="78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33</w:t>
            </w:r>
            <w:r/>
          </w:p>
        </w:tc>
        <w:tc>
          <w:tcPr>
            <w:tcW w:w="159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接收卡</w:t>
            </w:r>
            <w:r/>
          </w:p>
        </w:tc>
        <w:tc>
          <w:tcPr>
            <w:tcW w:w="338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W w:w="67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54" w:hRule="exact"/>
        </w:trPr>
        <w:tc>
          <w:tcPr>
            <w:tcW w:w="78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34</w:t>
            </w:r>
            <w:r/>
          </w:p>
        </w:tc>
        <w:tc>
          <w:tcPr>
            <w:tcW w:w="159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音箱</w:t>
            </w:r>
            <w:r/>
          </w:p>
        </w:tc>
        <w:tc>
          <w:tcPr>
            <w:tcW w:w="338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tcW w:w="67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54" w:hRule="exact"/>
        </w:trPr>
        <w:tc>
          <w:tcPr>
            <w:tcW w:w="78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tcW w:w="159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功放系统设备</w:t>
            </w:r>
            <w:r/>
          </w:p>
        </w:tc>
        <w:tc>
          <w:tcPr>
            <w:tcW w:w="338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W w:w="67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54" w:hRule="exact"/>
        </w:trPr>
        <w:tc>
          <w:tcPr>
            <w:tcW w:w="78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36</w:t>
            </w:r>
            <w:r/>
          </w:p>
        </w:tc>
        <w:tc>
          <w:tcPr>
            <w:tcW w:w="159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反馈抑制器</w:t>
            </w:r>
            <w:r/>
          </w:p>
        </w:tc>
        <w:tc>
          <w:tcPr>
            <w:tcW w:w="338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W w:w="67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54" w:hRule="exact"/>
        </w:trPr>
        <w:tc>
          <w:tcPr>
            <w:tcW w:w="78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37</w:t>
            </w:r>
            <w:r/>
          </w:p>
        </w:tc>
        <w:tc>
          <w:tcPr>
            <w:tcW w:w="159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电源时序器</w:t>
            </w:r>
            <w:r/>
          </w:p>
        </w:tc>
        <w:tc>
          <w:tcPr>
            <w:tcW w:w="338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W w:w="67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54" w:hRule="exact"/>
        </w:trPr>
        <w:tc>
          <w:tcPr>
            <w:tcW w:w="78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38</w:t>
            </w:r>
            <w:r/>
          </w:p>
        </w:tc>
        <w:tc>
          <w:tcPr>
            <w:tcW w:w="159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配线</w:t>
            </w:r>
            <w:r/>
          </w:p>
        </w:tc>
        <w:tc>
          <w:tcPr>
            <w:tcW w:w="338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W w:w="67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54" w:hRule="exact"/>
        </w:trPr>
        <w:tc>
          <w:tcPr>
            <w:tcW w:w="78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39</w:t>
            </w:r>
            <w:r/>
          </w:p>
        </w:tc>
        <w:tc>
          <w:tcPr>
            <w:tcW w:w="159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话筒</w:t>
            </w:r>
            <w:r/>
          </w:p>
        </w:tc>
        <w:tc>
          <w:tcPr>
            <w:tcW w:w="338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W w:w="67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54" w:hRule="exact"/>
        </w:trPr>
        <w:tc>
          <w:tcPr>
            <w:tcW w:w="78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tcW w:w="159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潜水泵</w:t>
            </w:r>
            <w:r/>
          </w:p>
        </w:tc>
        <w:tc>
          <w:tcPr>
            <w:tcW w:w="338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W w:w="67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54" w:hRule="exact"/>
        </w:trPr>
        <w:tc>
          <w:tcPr>
            <w:tcW w:w="78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41</w:t>
            </w:r>
            <w:r/>
          </w:p>
        </w:tc>
        <w:tc>
          <w:tcPr>
            <w:tcW w:w="159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旧泵房改造</w:t>
            </w:r>
            <w:r/>
          </w:p>
        </w:tc>
        <w:tc>
          <w:tcPr>
            <w:tcW w:w="338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tcW w:w="67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54" w:hRule="exact"/>
        </w:trPr>
        <w:tc>
          <w:tcPr>
            <w:tcW w:w="78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42</w:t>
            </w:r>
            <w:r/>
          </w:p>
        </w:tc>
        <w:tc>
          <w:tcPr>
            <w:tcW w:w="159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智能水肥一体机</w:t>
            </w:r>
            <w:r/>
          </w:p>
        </w:tc>
        <w:tc>
          <w:tcPr>
            <w:tcW w:w="338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W w:w="67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54" w:hRule="exact"/>
        </w:trPr>
        <w:tc>
          <w:tcPr>
            <w:tcW w:w="78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43</w:t>
            </w:r>
            <w:r/>
          </w:p>
        </w:tc>
        <w:tc>
          <w:tcPr>
            <w:tcW w:w="159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搅拌肥料桶</w:t>
            </w:r>
            <w:r/>
          </w:p>
        </w:tc>
        <w:tc>
          <w:tcPr>
            <w:tcW w:w="338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W w:w="67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54" w:hRule="exact"/>
        </w:trPr>
        <w:tc>
          <w:tcPr>
            <w:tcW w:w="78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44</w:t>
            </w:r>
            <w:r/>
          </w:p>
        </w:tc>
        <w:tc>
          <w:tcPr>
            <w:tcW w:w="159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自动反冲洗砂石过滤器</w:t>
            </w:r>
            <w:r/>
          </w:p>
        </w:tc>
        <w:tc>
          <w:tcPr>
            <w:tcW w:w="338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W w:w="67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54" w:hRule="exact"/>
        </w:trPr>
        <w:tc>
          <w:tcPr>
            <w:tcW w:w="78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45</w:t>
            </w:r>
            <w:r/>
          </w:p>
        </w:tc>
        <w:tc>
          <w:tcPr>
            <w:tcW w:w="159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自动反冲洗叠片过滤器</w:t>
            </w:r>
            <w:r/>
          </w:p>
        </w:tc>
        <w:tc>
          <w:tcPr>
            <w:tcW w:w="338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W w:w="67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54" w:hRule="exact"/>
        </w:trPr>
        <w:tc>
          <w:tcPr>
            <w:tcW w:w="78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46</w:t>
            </w:r>
            <w:r/>
          </w:p>
        </w:tc>
        <w:tc>
          <w:tcPr>
            <w:tcW w:w="159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离心过滤器</w:t>
            </w:r>
            <w:r/>
          </w:p>
        </w:tc>
        <w:tc>
          <w:tcPr>
            <w:tcW w:w="338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W w:w="67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54" w:hRule="exact"/>
        </w:trPr>
        <w:tc>
          <w:tcPr>
            <w:tcW w:w="78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47</w:t>
            </w:r>
            <w:r/>
          </w:p>
        </w:tc>
        <w:tc>
          <w:tcPr>
            <w:tcW w:w="159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智能变频控制柜</w:t>
            </w:r>
            <w:r/>
          </w:p>
        </w:tc>
        <w:tc>
          <w:tcPr>
            <w:tcW w:w="338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W w:w="67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54" w:hRule="exact"/>
        </w:trPr>
        <w:tc>
          <w:tcPr>
            <w:tcW w:w="78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48</w:t>
            </w:r>
            <w:r/>
          </w:p>
        </w:tc>
        <w:tc>
          <w:tcPr>
            <w:tcW w:w="159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滴灌主管道</w:t>
            </w:r>
            <w:r/>
          </w:p>
        </w:tc>
        <w:tc>
          <w:tcPr>
            <w:tcW w:w="338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米</w:t>
            </w:r>
            <w:r/>
          </w:p>
        </w:tc>
        <w:tc>
          <w:tcPr>
            <w:tcW w:w="67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276</w:t>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54" w:hRule="exact"/>
        </w:trPr>
        <w:tc>
          <w:tcPr>
            <w:tcW w:w="78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49</w:t>
            </w:r>
            <w:r/>
          </w:p>
        </w:tc>
        <w:tc>
          <w:tcPr>
            <w:tcW w:w="159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滴灌支管道</w:t>
            </w:r>
            <w:r/>
          </w:p>
        </w:tc>
        <w:tc>
          <w:tcPr>
            <w:tcW w:w="338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米</w:t>
            </w:r>
            <w:r/>
          </w:p>
        </w:tc>
        <w:tc>
          <w:tcPr>
            <w:tcW w:w="67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435</w:t>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54" w:hRule="exact"/>
        </w:trPr>
        <w:tc>
          <w:tcPr>
            <w:tcW w:w="78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tcW w:w="159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喷淋支管道</w:t>
            </w:r>
            <w:r/>
          </w:p>
        </w:tc>
        <w:tc>
          <w:tcPr>
            <w:tcW w:w="338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米</w:t>
            </w:r>
            <w:r/>
          </w:p>
        </w:tc>
        <w:tc>
          <w:tcPr>
            <w:tcW w:w="67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368</w:t>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54" w:hRule="exact"/>
        </w:trPr>
        <w:tc>
          <w:tcPr>
            <w:tcW w:w="78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51</w:t>
            </w:r>
            <w:r/>
          </w:p>
        </w:tc>
        <w:tc>
          <w:tcPr>
            <w:tcW w:w="159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滴灌支管道</w:t>
            </w:r>
            <w:r/>
          </w:p>
        </w:tc>
        <w:tc>
          <w:tcPr>
            <w:tcW w:w="338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米</w:t>
            </w:r>
            <w:r/>
          </w:p>
        </w:tc>
        <w:tc>
          <w:tcPr>
            <w:tcW w:w="67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102</w:t>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54" w:hRule="exact"/>
        </w:trPr>
        <w:tc>
          <w:tcPr>
            <w:tcW w:w="78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52</w:t>
            </w:r>
            <w:r/>
          </w:p>
        </w:tc>
        <w:tc>
          <w:tcPr>
            <w:tcW w:w="159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电动阀门</w:t>
            </w:r>
            <w:r/>
          </w:p>
        </w:tc>
        <w:tc>
          <w:tcPr>
            <w:tcW w:w="338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tcW w:w="67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54" w:hRule="exact"/>
        </w:trPr>
        <w:tc>
          <w:tcPr>
            <w:tcW w:w="78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53</w:t>
            </w:r>
            <w:r/>
          </w:p>
        </w:tc>
        <w:tc>
          <w:tcPr>
            <w:tcW w:w="159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阀门</w:t>
            </w:r>
            <w:r/>
          </w:p>
        </w:tc>
        <w:tc>
          <w:tcPr>
            <w:tcW w:w="338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tcW w:w="67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70</w:t>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54" w:hRule="exact"/>
        </w:trPr>
        <w:tc>
          <w:tcPr>
            <w:tcW w:w="78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54</w:t>
            </w:r>
            <w:r/>
          </w:p>
        </w:tc>
        <w:tc>
          <w:tcPr>
            <w:tcW w:w="159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滴灌管</w:t>
            </w:r>
            <w:r/>
          </w:p>
        </w:tc>
        <w:tc>
          <w:tcPr>
            <w:tcW w:w="338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米</w:t>
            </w:r>
            <w:r/>
          </w:p>
        </w:tc>
        <w:tc>
          <w:tcPr>
            <w:tcW w:w="67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5500</w:t>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54" w:hRule="exact"/>
        </w:trPr>
        <w:tc>
          <w:tcPr>
            <w:tcW w:w="78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55</w:t>
            </w:r>
            <w:r/>
          </w:p>
        </w:tc>
        <w:tc>
          <w:tcPr>
            <w:tcW w:w="159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滴灌管</w:t>
            </w:r>
            <w:r/>
          </w:p>
        </w:tc>
        <w:tc>
          <w:tcPr>
            <w:tcW w:w="338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米</w:t>
            </w:r>
            <w:r/>
          </w:p>
        </w:tc>
        <w:tc>
          <w:tcPr>
            <w:tcW w:w="67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9120</w:t>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54" w:hRule="exact"/>
        </w:trPr>
        <w:tc>
          <w:tcPr>
            <w:tcW w:w="78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tcW w:w="159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滴灌管</w:t>
            </w:r>
            <w:r/>
          </w:p>
        </w:tc>
        <w:tc>
          <w:tcPr>
            <w:tcW w:w="338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米</w:t>
            </w:r>
            <w:r/>
          </w:p>
        </w:tc>
        <w:tc>
          <w:tcPr>
            <w:tcW w:w="67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4560</w:t>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54" w:hRule="exact"/>
        </w:trPr>
        <w:tc>
          <w:tcPr>
            <w:tcW w:w="78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57</w:t>
            </w:r>
            <w:r/>
          </w:p>
        </w:tc>
        <w:tc>
          <w:tcPr>
            <w:tcW w:w="159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喷头挂件旋转喷头</w:t>
            </w:r>
            <w:r/>
          </w:p>
        </w:tc>
        <w:tc>
          <w:tcPr>
            <w:tcW w:w="338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tcW w:w="67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1140</w:t>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54" w:hRule="exact"/>
        </w:trPr>
        <w:tc>
          <w:tcPr>
            <w:tcW w:w="78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58</w:t>
            </w:r>
            <w:r/>
          </w:p>
        </w:tc>
        <w:tc>
          <w:tcPr>
            <w:tcW w:w="159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旁通阀</w:t>
            </w:r>
            <w:r/>
          </w:p>
        </w:tc>
        <w:tc>
          <w:tcPr>
            <w:tcW w:w="338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tcW w:w="67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1140</w:t>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54" w:hRule="exact"/>
        </w:trPr>
        <w:tc>
          <w:tcPr>
            <w:tcW w:w="78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59</w:t>
            </w:r>
            <w:r/>
          </w:p>
        </w:tc>
        <w:tc>
          <w:tcPr>
            <w:tcW w:w="159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旁通阀</w:t>
            </w:r>
            <w:r/>
          </w:p>
        </w:tc>
        <w:tc>
          <w:tcPr>
            <w:tcW w:w="338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tcW w:w="67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1140</w:t>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54" w:hRule="exact"/>
        </w:trPr>
        <w:tc>
          <w:tcPr>
            <w:tcW w:w="78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tcW w:w="159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卷膜器</w:t>
            </w:r>
            <w:r/>
          </w:p>
        </w:tc>
        <w:tc>
          <w:tcPr>
            <w:tcW w:w="338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W w:w="67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41</w:t>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54" w:hRule="exact"/>
        </w:trPr>
        <w:tc>
          <w:tcPr>
            <w:tcW w:w="78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61</w:t>
            </w:r>
            <w:r/>
          </w:p>
        </w:tc>
        <w:tc>
          <w:tcPr>
            <w:tcW w:w="159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电机电源线</w:t>
            </w:r>
            <w:r/>
          </w:p>
        </w:tc>
        <w:tc>
          <w:tcPr>
            <w:tcW w:w="338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米</w:t>
            </w:r>
            <w:r/>
          </w:p>
        </w:tc>
        <w:tc>
          <w:tcPr>
            <w:tcW w:w="67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450</w:t>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54" w:hRule="exact"/>
        </w:trPr>
        <w:tc>
          <w:tcPr>
            <w:tcW w:w="78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62</w:t>
            </w:r>
            <w:r/>
          </w:p>
        </w:tc>
        <w:tc>
          <w:tcPr>
            <w:tcW w:w="159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主电源线</w:t>
            </w:r>
            <w:r/>
          </w:p>
        </w:tc>
        <w:tc>
          <w:tcPr>
            <w:tcW w:w="338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米</w:t>
            </w:r>
            <w:r/>
          </w:p>
        </w:tc>
        <w:tc>
          <w:tcPr>
            <w:tcW w:w="67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300</w:t>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54" w:hRule="exact"/>
        </w:trPr>
        <w:tc>
          <w:tcPr>
            <w:tcW w:w="78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63</w:t>
            </w:r>
            <w:r/>
          </w:p>
        </w:tc>
        <w:tc>
          <w:tcPr>
            <w:tcW w:w="159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电磁阀控制线</w:t>
            </w:r>
            <w:r/>
          </w:p>
        </w:tc>
        <w:tc>
          <w:tcPr>
            <w:tcW w:w="338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米</w:t>
            </w:r>
            <w:r/>
          </w:p>
        </w:tc>
        <w:tc>
          <w:tcPr>
            <w:tcW w:w="67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220</w:t>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54" w:hRule="exact"/>
        </w:trPr>
        <w:tc>
          <w:tcPr>
            <w:tcW w:w="78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64</w:t>
            </w:r>
            <w:r/>
          </w:p>
        </w:tc>
        <w:tc>
          <w:tcPr>
            <w:tcW w:w="159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补光灯专用线</w:t>
            </w:r>
            <w:r/>
          </w:p>
        </w:tc>
        <w:tc>
          <w:tcPr>
            <w:tcW w:w="338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米</w:t>
            </w:r>
            <w:r/>
          </w:p>
        </w:tc>
        <w:tc>
          <w:tcPr>
            <w:tcW w:w="67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960</w:t>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54" w:hRule="exact"/>
        </w:trPr>
        <w:tc>
          <w:tcPr>
            <w:tcW w:w="78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65</w:t>
            </w:r>
            <w:r/>
          </w:p>
        </w:tc>
        <w:tc>
          <w:tcPr>
            <w:tcW w:w="159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智能电箱</w:t>
            </w:r>
            <w:r/>
          </w:p>
        </w:tc>
        <w:tc>
          <w:tcPr>
            <w:tcW w:w="338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W w:w="67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54" w:hRule="exact"/>
        </w:trPr>
        <w:tc>
          <w:tcPr>
            <w:tcW w:w="78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66</w:t>
            </w:r>
            <w:r/>
          </w:p>
        </w:tc>
        <w:tc>
          <w:tcPr>
            <w:tcW w:w="159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交流接触器</w:t>
            </w:r>
            <w:r/>
          </w:p>
        </w:tc>
        <w:tc>
          <w:tcPr>
            <w:tcW w:w="338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W w:w="67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48</w:t>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54" w:hRule="exact"/>
        </w:trPr>
        <w:tc>
          <w:tcPr>
            <w:tcW w:w="78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67</w:t>
            </w:r>
            <w:r/>
          </w:p>
        </w:tc>
        <w:tc>
          <w:tcPr>
            <w:tcW w:w="159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专用补光灯</w:t>
            </w:r>
            <w:r/>
          </w:p>
        </w:tc>
        <w:tc>
          <w:tcPr>
            <w:tcW w:w="338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W w:w="67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320</w:t>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54" w:hRule="exact"/>
        </w:trPr>
        <w:tc>
          <w:tcPr>
            <w:tcW w:w="78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68</w:t>
            </w:r>
            <w:r/>
          </w:p>
        </w:tc>
        <w:tc>
          <w:tcPr>
            <w:tcW w:w="159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专用钢丝</w:t>
            </w:r>
            <w:r/>
          </w:p>
        </w:tc>
        <w:tc>
          <w:tcPr>
            <w:tcW w:w="338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米</w:t>
            </w:r>
            <w:r/>
          </w:p>
        </w:tc>
        <w:tc>
          <w:tcPr>
            <w:tcW w:w="67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960</w:t>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54" w:hRule="exact"/>
        </w:trPr>
        <w:tc>
          <w:tcPr>
            <w:tcW w:w="78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69</w:t>
            </w:r>
            <w:r/>
          </w:p>
        </w:tc>
        <w:tc>
          <w:tcPr>
            <w:tcW w:w="159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辅材</w:t>
            </w:r>
            <w:r/>
          </w:p>
        </w:tc>
        <w:tc>
          <w:tcPr>
            <w:tcW w:w="338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批</w:t>
            </w:r>
            <w:r/>
          </w:p>
        </w:tc>
        <w:tc>
          <w:tcPr>
            <w:tcW w:w="67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54" w:hRule="exact"/>
        </w:trPr>
        <w:tc>
          <w:tcPr>
            <w:tcW w:w="78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70</w:t>
            </w:r>
            <w:r/>
          </w:p>
        </w:tc>
        <w:tc>
          <w:tcPr>
            <w:tcW w:w="159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木质房屋</w:t>
            </w:r>
            <w:r/>
          </w:p>
        </w:tc>
        <w:tc>
          <w:tcPr>
            <w:tcW w:w="338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批</w:t>
            </w:r>
            <w:r/>
          </w:p>
        </w:tc>
        <w:tc>
          <w:tcPr>
            <w:tcW w:w="67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06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16"/>
        </w:trPr>
        <w:tc>
          <w:tcPr>
            <w:gridSpan w:val="2"/>
            <w:tcW w:w="2376" w:type="dxa"/>
            <w:vAlign w:val="center"/>
            <w:textDirection w:val="lrTb"/>
            <w:noWrap w:val="false"/>
          </w:tcPr>
          <w:p>
            <w:pPr>
              <w:jc w:val="center"/>
              <w:keepLines w:val="0"/>
              <w:keepNext w:val="0"/>
              <w:spacing w:after="0" w:line="240" w:lineRule="auto"/>
              <w:widowControl/>
              <w:rPr>
                <w:rFonts w:hint="eastAsia" w:ascii="黑体" w:hAnsi="Calibri" w:eastAsia="黑体" w:cs="Times New Roman"/>
                <w:b/>
                <w:bCs/>
                <w:sz w:val="32"/>
                <w:szCs w:val="32"/>
                <w:vertAlign w:val="baseline"/>
                <w:lang w:eastAsia="zh-CN" w:bidi="ar-SA"/>
              </w:rPr>
              <w:suppressLineNumbers w:val="0"/>
            </w:pPr>
            <w:r>
              <w:rPr>
                <w:rFonts w:hint="eastAsia" w:ascii="宋体" w:hAnsi="宋体" w:eastAsia="宋体" w:cs="宋体"/>
                <w:b/>
                <w:bCs/>
                <w:i w:val="0"/>
                <w:iCs w:val="0"/>
                <w:color w:val="000000"/>
                <w:sz w:val="20"/>
                <w:szCs w:val="20"/>
                <w:u w:val="none"/>
                <w:lang w:val="en-US" w:eastAsia="zh-CN" w:bidi="ar"/>
              </w:rPr>
              <w:t xml:space="preserve">合计</w:t>
            </w:r>
            <w:r/>
          </w:p>
        </w:tc>
        <w:tc>
          <w:tcPr>
            <w:gridSpan w:val="5"/>
            <w:tcW w:w="6970" w:type="dxa"/>
            <w:vAlign w:val="center"/>
            <w:textDirection w:val="lrTb"/>
            <w:noWrap w:val="false"/>
          </w:tcPr>
          <w:p>
            <w:pPr>
              <w:jc w:val="center"/>
              <w:spacing w:after="0" w:line="240" w:lineRule="auto"/>
              <w:rPr>
                <w:rFonts w:hint="eastAsia" w:ascii="黑体" w:hAnsi="Calibri" w:eastAsia="黑体" w:cs="Times New Roman"/>
                <w:b/>
                <w:bCs/>
                <w:sz w:val="32"/>
                <w:szCs w:val="32"/>
                <w:vertAlign w:val="baseline"/>
                <w:lang w:eastAsia="zh-CN" w:bidi="ar-SA"/>
              </w:rPr>
            </w:pPr>
            <w:r>
              <w:rPr>
                <w:rFonts w:hint="eastAsia" w:ascii="宋体" w:hAnsi="宋体" w:eastAsia="宋体" w:cs="宋体"/>
                <w:b/>
                <w:bCs/>
                <w:i w:val="0"/>
                <w:iCs w:val="0"/>
                <w:color w:val="000000"/>
                <w:sz w:val="20"/>
                <w:szCs w:val="20"/>
                <w:u w:val="none"/>
                <w:lang w:eastAsia="zh-CN"/>
              </w:rPr>
              <w:t xml:space="preserve">人民币：大写</w:t>
            </w:r>
            <w:r>
              <w:rPr>
                <w:rFonts w:hint="eastAsia" w:ascii="宋体" w:hAnsi="宋体" w:eastAsia="宋体" w:cs="宋体"/>
                <w:b/>
                <w:bCs/>
                <w:i w:val="0"/>
                <w:iCs w:val="0"/>
                <w:color w:val="000000"/>
                <w:sz w:val="20"/>
                <w:szCs w:val="20"/>
                <w:u w:val="single"/>
                <w:lang w:val="en-US" w:eastAsia="zh-CN"/>
              </w:rPr>
              <w:t xml:space="preserve">                      </w:t>
            </w:r>
            <w:r>
              <w:rPr>
                <w:rFonts w:hint="eastAsia" w:ascii="宋体" w:hAnsi="宋体" w:eastAsia="宋体" w:cs="宋体"/>
                <w:b/>
                <w:bCs/>
                <w:i w:val="0"/>
                <w:iCs w:val="0"/>
                <w:color w:val="000000"/>
                <w:sz w:val="20"/>
                <w:szCs w:val="20"/>
                <w:u w:val="none"/>
                <w:lang w:val="en-US" w:eastAsia="zh-CN"/>
              </w:rPr>
              <w:t xml:space="preserve">（小写：</w:t>
            </w:r>
            <w:r>
              <w:rPr>
                <w:rFonts w:hint="eastAsia" w:ascii="宋体" w:hAnsi="宋体" w:eastAsia="宋体" w:cs="宋体"/>
                <w:b/>
                <w:bCs/>
                <w:i w:val="0"/>
                <w:iCs w:val="0"/>
                <w:color w:val="000000"/>
                <w:sz w:val="20"/>
                <w:szCs w:val="20"/>
                <w:u w:val="single"/>
                <w:lang w:val="en-US" w:eastAsia="zh-CN"/>
              </w:rPr>
              <w:t xml:space="preserve">             </w:t>
            </w:r>
            <w:r>
              <w:rPr>
                <w:rFonts w:hint="eastAsia" w:ascii="宋体" w:hAnsi="宋体" w:eastAsia="宋体" w:cs="宋体"/>
                <w:b/>
                <w:bCs/>
                <w:i w:val="0"/>
                <w:iCs w:val="0"/>
                <w:color w:val="000000"/>
                <w:sz w:val="20"/>
                <w:szCs w:val="20"/>
                <w:u w:val="none"/>
                <w:lang w:val="en-US" w:eastAsia="zh-CN"/>
              </w:rPr>
              <w:t xml:space="preserve">）</w:t>
            </w:r>
            <w:r/>
          </w:p>
        </w:tc>
      </w:tr>
    </w:tbl>
    <w:p>
      <w:pPr>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 xml:space="preserve">注：单价及总价中包括（但不限于）设备价格【含全套设备（包括主设备、配套设备、配套软件、配套耗材、附件、配件等）、备品备件</w:t>
      </w:r>
      <w:r>
        <w:rPr>
          <w:rFonts w:hint="eastAsia" w:ascii="宋体" w:hAnsi="宋体" w:eastAsia="宋体" w:cs="宋体"/>
          <w:color w:val="auto"/>
          <w:sz w:val="24"/>
          <w:highlight w:val="none"/>
          <w:lang w:val="en-US" w:eastAsia="zh-CN"/>
        </w:rPr>
        <w:t xml:space="preserve">、专用工具、技术资料等】、数据接入费、直接和间接成本费、材料损耗费、劳务费、垃圾清运费、包装费、运杂费（含运输费）、装卸费、安装调试费、保修费、保险费、配合费、安装费、测试验收费、检测费、技术（含操作、维护等）培训、运行维护及售后服务费、管理费、税金、利润、风险费、成品保护费、不可预见费及其他一切相关费用等所需的全部费用，凡漏项或少计均视为优惠，采购人不另行增加费用。各类风险和政策性调整等风险已包括在投标报价中，最终结算时除合同约定调整外单价一律不予调整。报价时应逐项填写数量、单价和合价，最后汇总得出总价。</w:t>
      </w:r>
      <w:r/>
    </w:p>
    <w:p>
      <w:pPr>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3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w:t>
      </w:r>
      <w:r>
        <w:rPr>
          <w:rFonts w:hint="eastAsia" w:ascii="宋体" w:hAnsi="宋体" w:eastAsia="宋体" w:cs="宋体"/>
          <w:color w:val="auto"/>
          <w:sz w:val="24"/>
          <w:highlight w:val="none"/>
          <w:lang w:val="en-US" w:eastAsia="zh-CN"/>
        </w:rPr>
        <w:t xml:space="preserve">被授权人（</w:t>
      </w:r>
      <w:r>
        <w:rPr>
          <w:rFonts w:hint="eastAsia" w:ascii="宋体" w:hAnsi="宋体" w:eastAsia="宋体" w:cs="宋体"/>
          <w:color w:val="auto"/>
          <w:sz w:val="24"/>
          <w:highlight w:val="none"/>
        </w:rPr>
        <w:t xml:space="preserve">签字</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w:t>
      </w:r>
      <w:r/>
    </w:p>
    <w:p>
      <w:pPr>
        <w:ind w:firstLine="16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3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企业名称（加盖CA电子公章）</w:t>
      </w:r>
      <w:r>
        <w:rPr>
          <w:rFonts w:hint="eastAsia" w:ascii="宋体" w:hAnsi="宋体" w:eastAsia="宋体" w:cs="宋体"/>
          <w:color w:val="auto"/>
          <w:sz w:val="24"/>
          <w:highlight w:val="none"/>
        </w:rPr>
        <w:t xml:space="preserve">：</w:t>
      </w:r>
      <w:r/>
    </w:p>
    <w:p>
      <w:pPr>
        <w:ind w:firstLine="120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jc w:val="right"/>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br w:type="page" w:clear="all"/>
      </w:r>
      <w:r/>
    </w:p>
    <w:p>
      <w:pPr>
        <w:jc w:val="cente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t xml:space="preserve">7.投标函</w:t>
      </w:r>
      <w:r/>
    </w:p>
    <w:p>
      <w:pPr>
        <w:pStyle w:val="833"/>
        <w:ind w:firstLine="0"/>
        <w:spacing w:before="0" w:after="0" w:line="420" w:lineRule="exact"/>
        <w:rPr>
          <w:rFonts w:hint="default" w:ascii="宋体" w:hAnsi="宋体" w:eastAsia="宋体"/>
          <w:color w:val="auto"/>
          <w:szCs w:val="21"/>
          <w:highlight w:val="none"/>
          <w:u w:val="single"/>
          <w:lang w:val="en-US" w:eastAsia="zh-CN"/>
        </w:rPr>
      </w:pPr>
      <w:r>
        <w:rPr>
          <w:rFonts w:hint="eastAsia" w:ascii="宋体" w:hAnsi="宋体"/>
          <w:color w:val="auto"/>
          <w:szCs w:val="21"/>
          <w:highlight w:val="none"/>
        </w:rPr>
        <w:t xml:space="preserve">致：</w:t>
      </w:r>
      <w:r>
        <w:rPr>
          <w:rFonts w:hint="eastAsia" w:ascii="宋体" w:hAnsi="宋体"/>
          <w:color w:val="auto"/>
          <w:szCs w:val="21"/>
          <w:highlight w:val="none"/>
          <w:u w:val="single"/>
          <w:lang w:val="en-US" w:eastAsia="zh-CN"/>
        </w:rPr>
        <w:t xml:space="preserve">                </w:t>
      </w:r>
      <w:r/>
    </w:p>
    <w:p>
      <w:pPr>
        <w:pStyle w:val="833"/>
        <w:spacing w:before="0" w:after="0" w:line="420" w:lineRule="exact"/>
        <w:rPr>
          <w:rFonts w:hint="eastAsia" w:ascii="宋体" w:hAnsi="宋体"/>
          <w:color w:val="auto"/>
          <w:szCs w:val="21"/>
          <w:highlight w:val="none"/>
        </w:rPr>
      </w:pPr>
      <w:r>
        <w:rPr>
          <w:rFonts w:hint="eastAsia" w:ascii="宋体" w:hAnsi="宋体"/>
          <w:color w:val="auto"/>
          <w:szCs w:val="21"/>
          <w:highlight w:val="none"/>
        </w:rPr>
      </w:r>
      <w:r/>
    </w:p>
    <w:p>
      <w:pPr>
        <w:pStyle w:val="833"/>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根据贵方的</w:t>
      </w:r>
      <w:r>
        <w:rPr>
          <w:rFonts w:hint="eastAsia" w:ascii="宋体" w:hAnsi="宋体"/>
          <w:color w:val="auto"/>
          <w:szCs w:val="21"/>
          <w:highlight w:val="none"/>
          <w:u w:val="single"/>
          <w:lang w:eastAsia="zh-CN"/>
        </w:rPr>
        <w:t xml:space="preserve">JSZC-320981-HYGC-G2024-0007</w:t>
      </w:r>
      <w:r>
        <w:rPr>
          <w:rFonts w:hint="eastAsia" w:ascii="宋体" w:hAnsi="宋体"/>
          <w:color w:val="auto"/>
          <w:szCs w:val="21"/>
          <w:highlight w:val="none"/>
        </w:rPr>
        <w:t xml:space="preserve">号招标文件，正式授权下述签字人______(姓名)代表我方______________（投标人的名称），全权处理本次项目投标的有关事宜。</w:t>
      </w:r>
      <w:r/>
    </w:p>
    <w:p>
      <w:pPr>
        <w:pStyle w:val="833"/>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据此函，__________签字人兹宣布同意如下：</w:t>
      </w:r>
      <w:r/>
    </w:p>
    <w:p>
      <w:pPr>
        <w:pStyle w:val="833"/>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1.按招标文件规定的各项要求，向买方提供所需服务（包含与服务相关的货物）。</w:t>
      </w:r>
      <w:r/>
    </w:p>
    <w:p>
      <w:pPr>
        <w:pStyle w:val="83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2.我们完全理解贵方不一定将合同授予最低报价的投标人。</w:t>
      </w:r>
      <w:r/>
    </w:p>
    <w:p>
      <w:pPr>
        <w:pStyle w:val="83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3.我们已详细审核全部招标文件及其有效补充文件，我们知道必须放弃提出含糊不清或误解问题的权利。</w:t>
      </w:r>
      <w:r/>
    </w:p>
    <w:p>
      <w:pPr>
        <w:pStyle w:val="83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4.我们同意从规定的开标日期起遵循本投标文件，并在规定的投标有效期期满之前均具有约束力。</w:t>
      </w:r>
      <w:r/>
    </w:p>
    <w:p>
      <w:pPr>
        <w:pStyle w:val="83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5.同意向贵方提供贵方可能另外要求的与投标有关的任何证据或资料，并保证我方已提供和将要提供的文件是真实的、准确的。</w:t>
      </w:r>
      <w:r/>
    </w:p>
    <w:p>
      <w:pPr>
        <w:pStyle w:val="83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6.一旦我方中标,我方将根据招标文件的规定，严格履行合同的责任和义务,并保证在招标文件规定的时间完成项目，交付买方验收、使用。</w:t>
      </w:r>
      <w:r/>
    </w:p>
    <w:p>
      <w:pPr>
        <w:pStyle w:val="83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7.与本投标有关的正式通讯地址为：</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地址：</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邮编：</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电话：</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传真：</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投标人开户行：</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账户：</w:t>
      </w:r>
      <w:r>
        <w:rPr>
          <w:rFonts w:hint="eastAsia" w:ascii="宋体" w:hAnsi="宋体" w:eastAsia="宋体" w:cs="宋体"/>
          <w:color w:val="auto"/>
          <w:sz w:val="24"/>
          <w:highlight w:val="none"/>
        </w:rPr>
        <w:t xml:space="preserve">                                      </w:t>
      </w:r>
      <w:r/>
    </w:p>
    <w:p>
      <w:pPr>
        <w:ind w:firstLine="924"/>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6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法定代表人或被授权人（签字）：</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p>
    <w:p>
      <w:pPr>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6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企业名称（加盖CA电子公章）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right"/>
        <w:keepLines w:val="0"/>
        <w:keepNext w:val="0"/>
        <w:pageBreakBefore w:val="0"/>
        <w:spacing w:line="480" w:lineRule="exact"/>
        <w:widowControl w:val="off"/>
        <w:rPr>
          <w:rFonts w:hint="eastAsia" w:ascii="仿宋_GB2312" w:eastAsia="仿宋_GB2312"/>
          <w:color w:val="auto"/>
          <w:sz w:val="24"/>
          <w:highlight w:val="none"/>
        </w:rPr>
        <w:outlineLvl w:val="1"/>
      </w:pP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rPr>
          <w:rFonts w:hint="eastAsia" w:ascii="仿宋_GB2312" w:eastAsia="仿宋_GB2312"/>
          <w:color w:val="auto"/>
          <w:sz w:val="24"/>
          <w:highlight w:val="none"/>
          <w:lang w:val="en-US" w:eastAsia="zh-CN"/>
        </w:rPr>
        <w:t xml:space="preserve"> </w:t>
      </w:r>
      <w:r/>
    </w:p>
    <w:p>
      <w:pP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br w:type="page" w:clear="all"/>
      </w:r>
      <w:r/>
    </w:p>
    <w:p>
      <w:pPr>
        <w:numPr>
          <w:ilvl w:val="0"/>
          <w:numId w:val="0"/>
        </w:numPr>
        <w:jc w:val="center"/>
        <w:rPr>
          <w:rFonts w:hint="eastAsia" w:ascii="黑体" w:hAnsi="Times New Roman" w:eastAsia="黑体" w:cs="Times New Roman"/>
          <w:b/>
          <w:bCs/>
          <w:color w:val="auto"/>
          <w:sz w:val="32"/>
          <w:szCs w:val="32"/>
          <w:highlight w:val="none"/>
          <w:lang w:val="en-US" w:eastAsia="zh-CN"/>
        </w:rPr>
        <w:outlineLvl w:val="1"/>
      </w:pPr>
      <w:r>
        <w:rPr>
          <w:rFonts w:hint="eastAsia" w:ascii="黑体" w:hAnsi="Times New Roman" w:eastAsia="黑体" w:cs="Times New Roman"/>
          <w:b/>
          <w:bCs/>
          <w:color w:val="auto"/>
          <w:sz w:val="32"/>
          <w:szCs w:val="32"/>
          <w:highlight w:val="none"/>
          <w:lang w:val="en-US" w:eastAsia="zh-CN"/>
        </w:rPr>
        <w:t xml:space="preserve">8.所供货物（货物附带的服务）内容及货物要求偏离表</w:t>
      </w:r>
      <w:r/>
    </w:p>
    <w:p>
      <w:pPr>
        <w:pStyle w:val="674"/>
        <w:numPr>
          <w:ilvl w:val="0"/>
          <w:numId w:val="0"/>
        </w:numPr>
        <w:ind w:left="480"/>
        <w:rPr>
          <w:rFonts w:hint="eastAsia"/>
          <w:color w:val="auto"/>
          <w:highlight w:val="none"/>
        </w:rPr>
      </w:pPr>
      <w:r>
        <w:rPr>
          <w:rFonts w:hint="eastAsia"/>
          <w:color w:val="auto"/>
          <w:highlight w:val="none"/>
        </w:rPr>
      </w:r>
      <w:r/>
    </w:p>
    <w:tbl>
      <w:tblPr>
        <w:tblStyle w:val="647"/>
        <w:tblW w:w="0" w:type="auto"/>
        <w:jc w:val="center"/>
        <w:tblLayout w:type="fixed"/>
        <w:tblCellMar>
          <w:left w:w="0" w:type="dxa"/>
          <w:top w:w="0" w:type="dxa"/>
          <w:right w:w="0" w:type="dxa"/>
          <w:bottom w:w="0" w:type="dxa"/>
        </w:tblCellMar>
        <w:tblLook w:val="04A0" w:firstRow="1" w:lastRow="0" w:firstColumn="1" w:lastColumn="0" w:noHBand="0" w:noVBand="1"/>
      </w:tblPr>
      <w:tblGrid>
        <w:gridCol w:w="724"/>
        <w:gridCol w:w="1760"/>
        <w:gridCol w:w="2493"/>
        <w:gridCol w:w="2268"/>
        <w:gridCol w:w="1067"/>
      </w:tblGrid>
      <w:tr>
        <w:trPr>
          <w:jc w:val="center"/>
          <w:trHeight w:val="556"/>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2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6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项目</w:t>
            </w:r>
            <w:r>
              <w:rPr>
                <w:rFonts w:hint="eastAsia" w:ascii="宋体" w:hAnsi="宋体" w:eastAsia="宋体" w:cs="宋体"/>
                <w:color w:val="auto"/>
                <w:sz w:val="24"/>
                <w:highlight w:val="none"/>
              </w:rPr>
              <w:t xml:space="preserve">名称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9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采购产品</w:t>
            </w:r>
            <w:r/>
          </w:p>
          <w:p>
            <w:pPr>
              <w:jc w:val="center"/>
              <w:keepLines w:val="0"/>
              <w:keepNext w:val="0"/>
              <w:pageBreakBefore w:val="0"/>
              <w:spacing w:line="44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功能及技术参数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26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所供产品</w:t>
            </w:r>
            <w:r/>
          </w:p>
          <w:p>
            <w:pPr>
              <w:jc w:val="center"/>
              <w:keepLines w:val="0"/>
              <w:keepNext w:val="0"/>
              <w:pageBreakBefore w:val="0"/>
              <w:spacing w:line="44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功能及技术参数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偏离说明</w:t>
            </w:r>
            <w:r/>
          </w:p>
        </w:tc>
      </w:tr>
      <w:tr>
        <w:trPr>
          <w:jc w:val="center"/>
          <w:trHeight w:val="53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24" w:type="dxa"/>
            <w:vAlign w:val="center"/>
            <w:textDirection w:val="lrTb"/>
            <w:noWrap w:val="false"/>
          </w:tcPr>
          <w:p>
            <w:pPr>
              <w:jc w:val="center"/>
              <w:keepLines w:val="0"/>
              <w:keepNext w:val="0"/>
              <w:pageBreakBefore w:val="0"/>
              <w:spacing w:line="440" w:lineRule="exact"/>
              <w:widowControl w:val="off"/>
              <w:rPr>
                <w:rFonts w:hint="eastAsia" w:ascii="仿宋_GB2312" w:hAnsi="宋体" w:eastAsia="仿宋_GB2312"/>
                <w:color w:val="auto"/>
                <w:sz w:val="24"/>
                <w:highlight w:val="none"/>
                <w:lang w:val="en-US" w:eastAsia="zh-CN"/>
              </w:rPr>
            </w:pPr>
            <w:r>
              <w:rPr>
                <w:rFonts w:hint="eastAsia" w:ascii="仿宋_GB2312" w:hAnsi="宋体" w:eastAsia="仿宋_GB2312"/>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60" w:type="dxa"/>
            <w:vAlign w:val="center"/>
            <w:textDirection w:val="lrTb"/>
            <w:noWrap w:val="false"/>
          </w:tcPr>
          <w:p>
            <w:pPr>
              <w:keepLines w:val="0"/>
              <w:keepNext w:val="0"/>
              <w:pageBreakBefore w:val="0"/>
              <w:spacing w:line="440" w:lineRule="exact"/>
              <w:widowControl w:val="off"/>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93" w:type="dxa"/>
            <w:vAlign w:val="center"/>
            <w:textDirection w:val="lrTb"/>
            <w:noWrap w:val="false"/>
          </w:tcPr>
          <w:p>
            <w:pPr>
              <w:keepLines w:val="0"/>
              <w:keepNext w:val="0"/>
              <w:pageBreakBefore w:val="0"/>
              <w:spacing w:line="440" w:lineRule="exact"/>
              <w:widowControl w:val="off"/>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268" w:type="dxa"/>
            <w:vAlign w:val="center"/>
            <w:textDirection w:val="lrTb"/>
            <w:noWrap w:val="false"/>
          </w:tcPr>
          <w:p>
            <w:pPr>
              <w:jc w:val="center"/>
              <w:keepLines w:val="0"/>
              <w:keepNext w:val="0"/>
              <w:pageBreakBefore w:val="0"/>
              <w:spacing w:line="44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7" w:type="dxa"/>
            <w:vAlign w:val="center"/>
            <w:textDirection w:val="lrTb"/>
            <w:noWrap w:val="false"/>
          </w:tcPr>
          <w:p>
            <w:pPr>
              <w:jc w:val="center"/>
              <w:keepLines w:val="0"/>
              <w:keepNext w:val="0"/>
              <w:pageBreakBefore w:val="0"/>
              <w:spacing w:line="44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rPr>
            </w:r>
            <w:r/>
          </w:p>
        </w:tc>
      </w:tr>
      <w:tr>
        <w:trPr>
          <w:jc w:val="center"/>
          <w:trHeight w:val="53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24" w:type="dxa"/>
            <w:vAlign w:val="center"/>
            <w:textDirection w:val="lrTb"/>
            <w:noWrap w:val="false"/>
          </w:tcPr>
          <w:p>
            <w:pPr>
              <w:jc w:val="center"/>
              <w:keepLines w:val="0"/>
              <w:keepNext w:val="0"/>
              <w:pageBreakBefore w:val="0"/>
              <w:spacing w:line="440" w:lineRule="exact"/>
              <w:widowControl w:val="off"/>
              <w:rPr>
                <w:rFonts w:hint="eastAsia" w:ascii="仿宋_GB2312" w:hAnsi="宋体" w:eastAsia="仿宋_GB2312"/>
                <w:color w:val="auto"/>
                <w:sz w:val="24"/>
                <w:highlight w:val="none"/>
                <w:lang w:val="en-US" w:eastAsia="zh-CN"/>
              </w:rPr>
            </w:pPr>
            <w:r>
              <w:rPr>
                <w:rFonts w:hint="eastAsia" w:ascii="仿宋_GB2312" w:hAnsi="宋体" w:eastAsia="仿宋_GB2312"/>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60" w:type="dxa"/>
            <w:vAlign w:val="center"/>
            <w:textDirection w:val="lrTb"/>
            <w:noWrap w:val="false"/>
          </w:tcPr>
          <w:p>
            <w:pPr>
              <w:keepLines w:val="0"/>
              <w:keepNext w:val="0"/>
              <w:pageBreakBefore w:val="0"/>
              <w:spacing w:line="440" w:lineRule="exact"/>
              <w:widowControl w:val="off"/>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93" w:type="dxa"/>
            <w:vAlign w:val="center"/>
            <w:textDirection w:val="lrTb"/>
            <w:noWrap w:val="false"/>
          </w:tcPr>
          <w:p>
            <w:pPr>
              <w:keepLines w:val="0"/>
              <w:keepNext w:val="0"/>
              <w:pageBreakBefore w:val="0"/>
              <w:spacing w:line="440" w:lineRule="exact"/>
              <w:widowControl w:val="off"/>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268" w:type="dxa"/>
            <w:vAlign w:val="center"/>
            <w:textDirection w:val="lrTb"/>
            <w:noWrap w:val="false"/>
          </w:tcPr>
          <w:p>
            <w:pPr>
              <w:jc w:val="center"/>
              <w:keepLines w:val="0"/>
              <w:keepNext w:val="0"/>
              <w:pageBreakBefore w:val="0"/>
              <w:spacing w:line="44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7" w:type="dxa"/>
            <w:vAlign w:val="center"/>
            <w:textDirection w:val="lrTb"/>
            <w:noWrap w:val="false"/>
          </w:tcPr>
          <w:p>
            <w:pPr>
              <w:jc w:val="center"/>
              <w:keepLines w:val="0"/>
              <w:keepNext w:val="0"/>
              <w:pageBreakBefore w:val="0"/>
              <w:spacing w:line="44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rPr>
            </w:r>
            <w:r/>
          </w:p>
        </w:tc>
      </w:tr>
      <w:tr>
        <w:trPr>
          <w:jc w:val="center"/>
          <w:trHeight w:val="53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24" w:type="dxa"/>
            <w:vAlign w:val="center"/>
            <w:textDirection w:val="lrTb"/>
            <w:noWrap w:val="false"/>
          </w:tcPr>
          <w:p>
            <w:pPr>
              <w:jc w:val="center"/>
              <w:keepLines w:val="0"/>
              <w:keepNext w:val="0"/>
              <w:pageBreakBefore w:val="0"/>
              <w:spacing w:line="440" w:lineRule="exact"/>
              <w:widowControl w:val="off"/>
              <w:rPr>
                <w:rFonts w:hint="eastAsia" w:ascii="仿宋_GB2312" w:hAnsi="宋体" w:eastAsia="仿宋_GB2312"/>
                <w:color w:val="auto"/>
                <w:sz w:val="24"/>
                <w:highlight w:val="none"/>
                <w:lang w:val="en-US" w:eastAsia="zh-CN"/>
              </w:rPr>
            </w:pPr>
            <w:r>
              <w:rPr>
                <w:rFonts w:hint="eastAsia" w:ascii="仿宋_GB2312" w:hAnsi="宋体" w:eastAsia="仿宋_GB2312"/>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60" w:type="dxa"/>
            <w:vAlign w:val="center"/>
            <w:textDirection w:val="lrTb"/>
            <w:noWrap w:val="false"/>
          </w:tcPr>
          <w:p>
            <w:pPr>
              <w:keepLines w:val="0"/>
              <w:keepNext w:val="0"/>
              <w:pageBreakBefore w:val="0"/>
              <w:spacing w:line="440" w:lineRule="exact"/>
              <w:widowControl w:val="off"/>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93" w:type="dxa"/>
            <w:vAlign w:val="center"/>
            <w:textDirection w:val="lrTb"/>
            <w:noWrap w:val="false"/>
          </w:tcPr>
          <w:p>
            <w:pPr>
              <w:keepLines w:val="0"/>
              <w:keepNext w:val="0"/>
              <w:pageBreakBefore w:val="0"/>
              <w:spacing w:line="440" w:lineRule="exact"/>
              <w:widowControl w:val="off"/>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268" w:type="dxa"/>
            <w:vAlign w:val="center"/>
            <w:textDirection w:val="lrTb"/>
            <w:noWrap w:val="false"/>
          </w:tcPr>
          <w:p>
            <w:pPr>
              <w:jc w:val="center"/>
              <w:keepLines w:val="0"/>
              <w:keepNext w:val="0"/>
              <w:pageBreakBefore w:val="0"/>
              <w:spacing w:line="44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7" w:type="dxa"/>
            <w:vAlign w:val="center"/>
            <w:textDirection w:val="lrTb"/>
            <w:noWrap w:val="false"/>
          </w:tcPr>
          <w:p>
            <w:pPr>
              <w:jc w:val="center"/>
              <w:keepLines w:val="0"/>
              <w:keepNext w:val="0"/>
              <w:pageBreakBefore w:val="0"/>
              <w:spacing w:line="44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rPr>
            </w:r>
            <w:r/>
          </w:p>
        </w:tc>
      </w:tr>
      <w:tr>
        <w:trPr>
          <w:jc w:val="center"/>
          <w:trHeight w:val="53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24" w:type="dxa"/>
            <w:vAlign w:val="center"/>
            <w:textDirection w:val="lrTb"/>
            <w:noWrap w:val="false"/>
          </w:tcPr>
          <w:p>
            <w:pPr>
              <w:jc w:val="center"/>
              <w:keepLines w:val="0"/>
              <w:keepNext w:val="0"/>
              <w:pageBreakBefore w:val="0"/>
              <w:spacing w:line="440" w:lineRule="exact"/>
              <w:widowControl w:val="off"/>
              <w:rPr>
                <w:rFonts w:hint="eastAsia" w:ascii="仿宋_GB2312" w:hAnsi="宋体" w:eastAsia="仿宋_GB2312"/>
                <w:color w:val="auto"/>
                <w:sz w:val="24"/>
                <w:highlight w:val="none"/>
                <w:lang w:val="en-US" w:eastAsia="zh-CN"/>
              </w:rPr>
            </w:pPr>
            <w:r>
              <w:rPr>
                <w:rFonts w:hint="eastAsia" w:ascii="仿宋_GB2312" w:hAnsi="宋体" w:eastAsia="仿宋_GB2312"/>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60" w:type="dxa"/>
            <w:vAlign w:val="center"/>
            <w:textDirection w:val="lrTb"/>
            <w:noWrap w:val="false"/>
          </w:tcPr>
          <w:p>
            <w:pPr>
              <w:keepLines w:val="0"/>
              <w:keepNext w:val="0"/>
              <w:pageBreakBefore w:val="0"/>
              <w:spacing w:line="440" w:lineRule="exact"/>
              <w:widowControl w:val="off"/>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93" w:type="dxa"/>
            <w:vAlign w:val="center"/>
            <w:textDirection w:val="lrTb"/>
            <w:noWrap w:val="false"/>
          </w:tcPr>
          <w:p>
            <w:pPr>
              <w:keepLines w:val="0"/>
              <w:keepNext w:val="0"/>
              <w:pageBreakBefore w:val="0"/>
              <w:spacing w:line="440" w:lineRule="exact"/>
              <w:widowControl w:val="off"/>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268" w:type="dxa"/>
            <w:vAlign w:val="center"/>
            <w:textDirection w:val="lrTb"/>
            <w:noWrap w:val="false"/>
          </w:tcPr>
          <w:p>
            <w:pPr>
              <w:jc w:val="center"/>
              <w:keepLines w:val="0"/>
              <w:keepNext w:val="0"/>
              <w:pageBreakBefore w:val="0"/>
              <w:spacing w:line="44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7" w:type="dxa"/>
            <w:vAlign w:val="center"/>
            <w:textDirection w:val="lrTb"/>
            <w:noWrap w:val="false"/>
          </w:tcPr>
          <w:p>
            <w:pPr>
              <w:jc w:val="center"/>
              <w:keepLines w:val="0"/>
              <w:keepNext w:val="0"/>
              <w:pageBreakBefore w:val="0"/>
              <w:spacing w:line="44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rPr>
            </w:r>
            <w:r/>
          </w:p>
        </w:tc>
      </w:tr>
      <w:tr>
        <w:trPr>
          <w:jc w:val="center"/>
          <w:trHeight w:val="53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24" w:type="dxa"/>
            <w:vAlign w:val="center"/>
            <w:textDirection w:val="lrTb"/>
            <w:noWrap w:val="false"/>
          </w:tcPr>
          <w:p>
            <w:pPr>
              <w:jc w:val="center"/>
              <w:keepLines w:val="0"/>
              <w:keepNext w:val="0"/>
              <w:pageBreakBefore w:val="0"/>
              <w:spacing w:line="440" w:lineRule="exact"/>
              <w:widowControl w:val="off"/>
              <w:rPr>
                <w:rFonts w:hint="eastAsia" w:ascii="仿宋_GB2312" w:hAnsi="宋体" w:eastAsia="仿宋_GB2312"/>
                <w:color w:val="auto"/>
                <w:sz w:val="24"/>
                <w:highlight w:val="none"/>
                <w:lang w:val="en-US" w:eastAsia="zh-CN"/>
              </w:rPr>
            </w:pPr>
            <w:r>
              <w:rPr>
                <w:rFonts w:hint="eastAsia" w:ascii="仿宋_GB2312" w:hAnsi="宋体" w:eastAsia="仿宋_GB2312"/>
                <w:color w:val="auto"/>
                <w:sz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60" w:type="dxa"/>
            <w:vAlign w:val="center"/>
            <w:textDirection w:val="lrTb"/>
            <w:noWrap w:val="false"/>
          </w:tcPr>
          <w:p>
            <w:pPr>
              <w:keepLines w:val="0"/>
              <w:keepNext w:val="0"/>
              <w:pageBreakBefore w:val="0"/>
              <w:spacing w:line="440" w:lineRule="exact"/>
              <w:widowControl w:val="off"/>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93" w:type="dxa"/>
            <w:vAlign w:val="center"/>
            <w:textDirection w:val="lrTb"/>
            <w:noWrap w:val="false"/>
          </w:tcPr>
          <w:p>
            <w:pPr>
              <w:keepLines w:val="0"/>
              <w:keepNext w:val="0"/>
              <w:pageBreakBefore w:val="0"/>
              <w:spacing w:line="440" w:lineRule="exact"/>
              <w:widowControl w:val="off"/>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268" w:type="dxa"/>
            <w:vAlign w:val="center"/>
            <w:textDirection w:val="lrTb"/>
            <w:noWrap w:val="false"/>
          </w:tcPr>
          <w:p>
            <w:pPr>
              <w:jc w:val="center"/>
              <w:keepLines w:val="0"/>
              <w:keepNext w:val="0"/>
              <w:pageBreakBefore w:val="0"/>
              <w:spacing w:line="44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7" w:type="dxa"/>
            <w:vAlign w:val="center"/>
            <w:textDirection w:val="lrTb"/>
            <w:noWrap w:val="false"/>
          </w:tcPr>
          <w:p>
            <w:pPr>
              <w:jc w:val="center"/>
              <w:keepLines w:val="0"/>
              <w:keepNext w:val="0"/>
              <w:pageBreakBefore w:val="0"/>
              <w:spacing w:line="44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rPr>
            </w:r>
            <w:r/>
          </w:p>
        </w:tc>
      </w:tr>
      <w:tr>
        <w:trPr>
          <w:jc w:val="center"/>
          <w:trHeight w:val="53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24" w:type="dxa"/>
            <w:vAlign w:val="center"/>
            <w:textDirection w:val="lrTb"/>
            <w:noWrap w:val="false"/>
          </w:tcPr>
          <w:p>
            <w:pPr>
              <w:jc w:val="center"/>
              <w:keepLines w:val="0"/>
              <w:keepNext w:val="0"/>
              <w:pageBreakBefore w:val="0"/>
              <w:spacing w:line="440" w:lineRule="exact"/>
              <w:widowControl w:val="off"/>
              <w:rPr>
                <w:rFonts w:hint="eastAsia" w:ascii="仿宋_GB2312" w:hAnsi="宋体" w:eastAsia="仿宋_GB2312"/>
                <w:color w:val="auto"/>
                <w:sz w:val="24"/>
                <w:highlight w:val="none"/>
                <w:lang w:eastAsia="zh-CN"/>
              </w:rPr>
            </w:pPr>
            <w:r>
              <w:rPr>
                <w:rFonts w:hint="eastAsia" w:ascii="仿宋_GB2312" w:hAnsi="宋体" w:eastAsia="仿宋_GB2312"/>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60" w:type="dxa"/>
            <w:vAlign w:val="center"/>
            <w:textDirection w:val="lrTb"/>
            <w:noWrap w:val="false"/>
          </w:tcPr>
          <w:p>
            <w:pPr>
              <w:keepLines w:val="0"/>
              <w:keepNext w:val="0"/>
              <w:pageBreakBefore w:val="0"/>
              <w:spacing w:line="440" w:lineRule="exact"/>
              <w:widowControl w:val="off"/>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93" w:type="dxa"/>
            <w:vAlign w:val="center"/>
            <w:textDirection w:val="lrTb"/>
            <w:noWrap w:val="false"/>
          </w:tcPr>
          <w:p>
            <w:pPr>
              <w:keepLines w:val="0"/>
              <w:keepNext w:val="0"/>
              <w:pageBreakBefore w:val="0"/>
              <w:spacing w:line="440" w:lineRule="exact"/>
              <w:widowControl w:val="off"/>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268" w:type="dxa"/>
            <w:vAlign w:val="center"/>
            <w:textDirection w:val="lrTb"/>
            <w:noWrap w:val="false"/>
          </w:tcPr>
          <w:p>
            <w:pPr>
              <w:jc w:val="center"/>
              <w:keepLines w:val="0"/>
              <w:keepNext w:val="0"/>
              <w:pageBreakBefore w:val="0"/>
              <w:spacing w:line="44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7" w:type="dxa"/>
            <w:vAlign w:val="center"/>
            <w:textDirection w:val="lrTb"/>
            <w:noWrap w:val="false"/>
          </w:tcPr>
          <w:p>
            <w:pPr>
              <w:jc w:val="center"/>
              <w:keepLines w:val="0"/>
              <w:keepNext w:val="0"/>
              <w:pageBreakBefore w:val="0"/>
              <w:spacing w:line="44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rPr>
            </w:r>
            <w:r/>
          </w:p>
        </w:tc>
      </w:tr>
    </w:tbl>
    <w:p>
      <w:pPr>
        <w:ind w:firstLine="420"/>
        <w:keepLines w:val="0"/>
        <w:keepNext w:val="0"/>
        <w:pageBreakBefore w:val="0"/>
        <w:spacing w:line="44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rPr>
      </w:r>
      <w:r/>
    </w:p>
    <w:p>
      <w:pPr>
        <w:ind w:firstLine="42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注：该表必须按照</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要求逐条如实填写，根据</w:t>
      </w:r>
      <w:r>
        <w:rPr>
          <w:rFonts w:hint="eastAsia" w:ascii="宋体" w:hAnsi="宋体" w:eastAsia="宋体" w:cs="宋体"/>
          <w:color w:val="auto"/>
          <w:sz w:val="24"/>
          <w:highlight w:val="none"/>
          <w:lang w:eastAsia="zh-CN"/>
        </w:rPr>
        <w:t xml:space="preserve">所供产品</w:t>
      </w:r>
      <w:r>
        <w:rPr>
          <w:rFonts w:hint="eastAsia" w:ascii="宋体" w:hAnsi="宋体" w:eastAsia="宋体" w:cs="宋体"/>
          <w:color w:val="auto"/>
          <w:sz w:val="24"/>
          <w:highlight w:val="none"/>
        </w:rPr>
        <w:t xml:space="preserve">情况在“偏离说明”项填写正偏离或负偏离及原因，完全符合的填写“无偏离”。</w:t>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法定代表人或</w:t>
      </w:r>
      <w:r>
        <w:rPr>
          <w:rFonts w:hint="eastAsia" w:asciiTheme="minorEastAsia" w:hAnsiTheme="minorEastAsia" w:eastAsiaTheme="minorEastAsia" w:cstheme="minorEastAsia"/>
          <w:color w:val="auto"/>
          <w:sz w:val="24"/>
          <w:highlight w:val="none"/>
          <w:lang w:val="en-US" w:eastAsia="zh-CN"/>
        </w:rPr>
        <w:t xml:space="preserve">被授权人</w:t>
      </w:r>
      <w:r>
        <w:rPr>
          <w:rFonts w:hint="eastAsia" w:asciiTheme="minorEastAsia" w:hAnsiTheme="minorEastAsia" w:eastAsiaTheme="minorEastAsia" w:cstheme="minorEastAsia"/>
          <w:color w:val="auto"/>
          <w:sz w:val="24"/>
          <w:highlight w:val="none"/>
        </w:rPr>
        <w:t xml:space="preserve">签字：</w:t>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宋体" w:hAnsi="宋体" w:eastAsia="宋体" w:cs="宋体"/>
          <w:color w:val="auto"/>
          <w:sz w:val="24"/>
          <w:szCs w:val="24"/>
          <w:highlight w:val="none"/>
        </w:rPr>
        <w:t xml:space="preserve">企业名称（加盖CA电子公章）</w:t>
      </w:r>
      <w:r>
        <w:rPr>
          <w:rFonts w:hint="eastAsia" w:asciiTheme="minorEastAsia" w:hAnsiTheme="minorEastAsia" w:eastAsiaTheme="minorEastAsia" w:cstheme="minorEastAsia"/>
          <w:color w:val="auto"/>
          <w:sz w:val="24"/>
          <w:highlight w:val="none"/>
        </w:rPr>
        <w:t xml:space="preserve">：</w:t>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p>
    <w:p>
      <w:pPr>
        <w:jc w:val="right"/>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年</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月</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日</w:t>
      </w:r>
      <w:r/>
    </w:p>
    <w:p>
      <w:pPr>
        <w:jc w:val="cente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br w:type="page" w:clear="all"/>
      </w:r>
      <w:r/>
    </w:p>
    <w:p>
      <w:pPr>
        <w:jc w:val="cente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t xml:space="preserve">9.服  务  承  诺</w:t>
      </w:r>
      <w:r/>
    </w:p>
    <w:p>
      <w:pPr>
        <w:rPr>
          <w:rFonts w:hint="eastAsia" w:ascii="仿宋_GB2312" w:eastAsia="仿宋_GB2312"/>
          <w:color w:val="auto"/>
          <w:sz w:val="24"/>
          <w:highlight w:val="none"/>
        </w:rPr>
      </w:pPr>
      <w:r>
        <w:rPr>
          <w:rFonts w:hint="eastAsia" w:ascii="仿宋_GB2312" w:eastAsia="仿宋_GB2312"/>
          <w:color w:val="auto"/>
          <w:sz w:val="24"/>
          <w:highlight w:val="none"/>
        </w:rPr>
      </w:r>
      <w:r/>
    </w:p>
    <w:p>
      <w:pPr>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如我方</w:t>
      </w:r>
      <w:r>
        <w:rPr>
          <w:rFonts w:hint="eastAsia" w:ascii="宋体" w:hAnsi="宋体" w:eastAsia="宋体" w:cs="宋体"/>
          <w:sz w:val="24"/>
          <w:lang w:eastAsia="zh-CN"/>
        </w:rPr>
        <w:t xml:space="preserve">中标</w:t>
      </w:r>
      <w:r>
        <w:rPr>
          <w:rFonts w:hint="eastAsia" w:ascii="宋体" w:hAnsi="宋体" w:eastAsia="宋体" w:cs="宋体"/>
          <w:sz w:val="24"/>
        </w:rPr>
        <w:t xml:space="preserve">，郑重承诺如下：</w:t>
      </w:r>
      <w:r/>
    </w:p>
    <w:p>
      <w:pPr>
        <w:ind w:firstLine="42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（1）按照</w:t>
      </w:r>
      <w:r>
        <w:rPr>
          <w:rFonts w:hint="eastAsia" w:ascii="宋体" w:hAnsi="宋体" w:eastAsia="宋体" w:cs="宋体"/>
          <w:sz w:val="24"/>
          <w:lang w:eastAsia="zh-CN"/>
        </w:rPr>
        <w:t xml:space="preserve">招标文件</w:t>
      </w:r>
      <w:r>
        <w:rPr>
          <w:rFonts w:hint="eastAsia" w:ascii="宋体" w:hAnsi="宋体" w:eastAsia="宋体" w:cs="宋体"/>
          <w:sz w:val="24"/>
        </w:rPr>
        <w:t xml:space="preserve">的要求，我方将</w:t>
      </w:r>
      <w:r>
        <w:rPr>
          <w:rFonts w:hint="eastAsia" w:ascii="宋体" w:hAnsi="宋体" w:eastAsia="宋体" w:cs="宋体"/>
          <w:sz w:val="24"/>
          <w:lang w:eastAsia="zh-CN"/>
        </w:rPr>
        <w:t xml:space="preserve">中标</w:t>
      </w:r>
      <w:r>
        <w:rPr>
          <w:rFonts w:hint="eastAsia" w:ascii="宋体" w:hAnsi="宋体" w:eastAsia="宋体" w:cs="宋体"/>
          <w:sz w:val="24"/>
        </w:rPr>
        <w:t xml:space="preserve">设备在合同签订后</w:t>
      </w:r>
      <w:r>
        <w:rPr>
          <w:rFonts w:hint="eastAsia" w:ascii="宋体" w:hAnsi="宋体" w:eastAsia="宋体" w:cs="宋体"/>
          <w:sz w:val="24"/>
          <w:u w:val="single"/>
        </w:rPr>
        <w:t xml:space="preserve">     </w:t>
      </w:r>
      <w:r>
        <w:rPr>
          <w:rFonts w:hint="eastAsia" w:ascii="宋体" w:hAnsi="宋体" w:eastAsia="宋体" w:cs="宋体"/>
          <w:sz w:val="24"/>
        </w:rPr>
        <w:t xml:space="preserve">日内全部送达采购人指定地点且安装调试完毕；</w:t>
      </w:r>
      <w:r/>
    </w:p>
    <w:p>
      <w:pPr>
        <w:ind w:firstLine="420"/>
        <w:keepLines w:val="0"/>
        <w:keepNext w:val="0"/>
        <w:pageBreakBefore w:val="0"/>
        <w:spacing w:line="480" w:lineRule="exact"/>
        <w:widowControl w:val="off"/>
        <w:rPr>
          <w:rFonts w:hint="eastAsia" w:ascii="宋体" w:hAnsi="宋体" w:eastAsia="宋体" w:cs="宋体"/>
          <w:sz w:val="24"/>
          <w:lang w:eastAsia="zh-CN"/>
        </w:rPr>
      </w:pPr>
      <w:r>
        <w:rPr>
          <w:rFonts w:hint="eastAsia" w:ascii="宋体" w:hAnsi="宋体" w:eastAsia="宋体" w:cs="宋体"/>
          <w:sz w:val="24"/>
        </w:rPr>
        <w:t xml:space="preserve">（2）投标产品的质量保证期不低于</w:t>
      </w:r>
      <w:r>
        <w:rPr>
          <w:rFonts w:hint="eastAsia" w:ascii="宋体" w:hAnsi="宋体" w:eastAsia="宋体" w:cs="宋体"/>
          <w:sz w:val="24"/>
          <w:u w:val="single"/>
        </w:rPr>
        <w:t xml:space="preserve">     </w:t>
      </w:r>
      <w:r>
        <w:rPr>
          <w:rFonts w:hint="eastAsia" w:ascii="宋体" w:hAnsi="宋体" w:eastAsia="宋体" w:cs="宋体"/>
          <w:sz w:val="24"/>
        </w:rPr>
        <w:t xml:space="preserve">年；</w:t>
      </w:r>
      <w:r/>
    </w:p>
    <w:p>
      <w:pPr>
        <w:ind w:firstLine="42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（3）在质量保证期内，用户遇到使用及技术问题，我方为用户提供技术援助电话。联系电话为：</w:t>
      </w:r>
      <w:r>
        <w:rPr>
          <w:rFonts w:hint="eastAsia" w:ascii="宋体" w:hAnsi="宋体" w:eastAsia="宋体" w:cs="宋体"/>
          <w:sz w:val="24"/>
          <w:u w:val="single"/>
        </w:rPr>
        <w:t xml:space="preserve">              </w:t>
      </w:r>
      <w:r>
        <w:rPr>
          <w:rFonts w:hint="eastAsia" w:ascii="宋体" w:hAnsi="宋体" w:eastAsia="宋体" w:cs="宋体"/>
          <w:sz w:val="24"/>
        </w:rPr>
        <w:t xml:space="preserve">。如电话咨询不能解决时，我方在</w:t>
      </w:r>
      <w:r>
        <w:rPr>
          <w:rFonts w:hint="eastAsia" w:ascii="宋体" w:hAnsi="宋体" w:eastAsia="宋体" w:cs="宋体"/>
          <w:sz w:val="24"/>
          <w:u w:val="single"/>
        </w:rPr>
        <w:t xml:space="preserve">    </w:t>
      </w:r>
      <w:r>
        <w:rPr>
          <w:rFonts w:hint="eastAsia" w:ascii="宋体" w:hAnsi="宋体" w:eastAsia="宋体" w:cs="宋体"/>
          <w:sz w:val="24"/>
        </w:rPr>
        <w:t xml:space="preserve">小时内采取相应措施，提供上门服务。仍无法解决时，我方在</w:t>
      </w:r>
      <w:r>
        <w:rPr>
          <w:rFonts w:hint="eastAsia" w:ascii="宋体" w:hAnsi="宋体" w:eastAsia="宋体" w:cs="宋体"/>
          <w:sz w:val="24"/>
          <w:u w:val="single"/>
        </w:rPr>
        <w:t xml:space="preserve">   </w:t>
      </w:r>
      <w:r>
        <w:rPr>
          <w:rFonts w:hint="eastAsia" w:ascii="宋体" w:hAnsi="宋体" w:eastAsia="宋体" w:cs="宋体"/>
          <w:sz w:val="24"/>
        </w:rPr>
        <w:t xml:space="preserve">小时内提供备用产品，确保用户能够正常使用（时间从接到用户报修电话时起算）；如我方不能在承诺时间内采取相应措施或提供备用产品，采购人自行处理，其费用在我方履约保证金中扣付；</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（4）质量保证期满后，我方同样提供免费电话咨询服务，并以优惠价格提供售后服务；</w:t>
      </w:r>
      <w:r/>
    </w:p>
    <w:p>
      <w:pPr>
        <w:ind w:firstLine="460"/>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rPr>
      </w:pPr>
      <w:r>
        <w:rPr>
          <w:rFonts w:hint="eastAsia" w:ascii="宋体" w:hAnsi="宋体" w:eastAsia="宋体" w:cs="宋体"/>
          <w:sz w:val="24"/>
        </w:rPr>
        <w:t xml:space="preserve">（5）满足招标文件的全部要求及我方投标文件承诺的的全部条款。</w:t>
      </w:r>
      <w:r/>
    </w:p>
    <w:p>
      <w:pPr>
        <w:ind w:firstLine="46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46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46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46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法定代表人或</w:t>
      </w:r>
      <w:r>
        <w:rPr>
          <w:rFonts w:hint="eastAsia" w:asciiTheme="minorEastAsia" w:hAnsiTheme="minorEastAsia" w:eastAsiaTheme="minorEastAsia" w:cstheme="minorEastAsia"/>
          <w:color w:val="auto"/>
          <w:sz w:val="24"/>
          <w:highlight w:val="none"/>
          <w:lang w:val="en-US" w:eastAsia="zh-CN"/>
        </w:rPr>
        <w:t xml:space="preserve">被授权人</w:t>
      </w:r>
      <w:r>
        <w:rPr>
          <w:rFonts w:hint="eastAsia" w:asciiTheme="minorEastAsia" w:hAnsiTheme="minorEastAsia" w:eastAsiaTheme="minorEastAsia" w:cstheme="minorEastAsia"/>
          <w:color w:val="auto"/>
          <w:sz w:val="24"/>
          <w:highlight w:val="none"/>
        </w:rPr>
        <w:t xml:space="preserve">签字：</w:t>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宋体" w:hAnsi="宋体" w:eastAsia="宋体" w:cs="宋体"/>
          <w:color w:val="auto"/>
          <w:sz w:val="24"/>
          <w:szCs w:val="24"/>
          <w:highlight w:val="none"/>
        </w:rPr>
        <w:t xml:space="preserve">企业名称（加盖CA电子公章）</w:t>
      </w:r>
      <w:r>
        <w:rPr>
          <w:rFonts w:hint="eastAsia" w:asciiTheme="minorEastAsia" w:hAnsiTheme="minorEastAsia" w:eastAsiaTheme="minorEastAsia" w:cstheme="minorEastAsia"/>
          <w:color w:val="auto"/>
          <w:sz w:val="24"/>
          <w:highlight w:val="none"/>
        </w:rPr>
        <w:t xml:space="preserve">：</w:t>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p>
    <w:p>
      <w:pPr>
        <w:jc w:val="right"/>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年</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月</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日</w:t>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jc w:val="center"/>
        <w:spacing w:line="4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460" w:lineRule="exact"/>
        <w:rPr>
          <w:rFonts w:hint="eastAsia" w:ascii="黑体" w:hAnsi="Times New Roman" w:eastAsia="黑体" w:cs="Times New Roman"/>
          <w:b/>
          <w:bCs/>
          <w:color w:val="auto"/>
          <w:sz w:val="32"/>
          <w:szCs w:val="32"/>
          <w:highlight w:val="none"/>
          <w:lang w:val="en-US" w:eastAsia="zh-CN"/>
        </w:rPr>
      </w:pPr>
      <w:r>
        <w:rPr>
          <w:rFonts w:hint="eastAsia" w:ascii="黑体" w:hAnsi="Calibri" w:eastAsia="黑体" w:cs="Times New Roman"/>
          <w:b/>
          <w:bCs/>
          <w:color w:val="auto"/>
          <w:sz w:val="32"/>
          <w:szCs w:val="32"/>
          <w:highlight w:val="none"/>
          <w:lang w:val="en-US" w:eastAsia="zh-CN"/>
        </w:rPr>
        <w:br w:type="page" w:clear="all"/>
      </w:r>
      <w:r>
        <w:rPr>
          <w:rFonts w:hint="eastAsia" w:ascii="黑体" w:hAnsi="Times New Roman" w:eastAsia="黑体" w:cs="Times New Roman"/>
          <w:b/>
          <w:bCs/>
          <w:color w:val="auto"/>
          <w:sz w:val="32"/>
          <w:szCs w:val="32"/>
          <w:highlight w:val="none"/>
          <w:lang w:val="en-US" w:eastAsia="zh-CN"/>
        </w:rPr>
        <w:t xml:space="preserve">10.</w:t>
      </w:r>
      <w:r>
        <w:rPr>
          <w:rFonts w:hint="eastAsia" w:ascii="黑体" w:hAnsi="宋体" w:eastAsia="黑体" w:cs="黑体"/>
          <w:b/>
          <w:color w:val="auto"/>
          <w:sz w:val="32"/>
          <w:szCs w:val="32"/>
          <w:highlight w:val="none"/>
        </w:rPr>
        <w:t xml:space="preserve">小微企业声明函（</w:t>
      </w:r>
      <w:r>
        <w:rPr>
          <w:rFonts w:hint="eastAsia" w:ascii="黑体" w:hAnsi="宋体" w:eastAsia="黑体" w:cs="黑体"/>
          <w:b/>
          <w:color w:val="auto"/>
          <w:sz w:val="32"/>
          <w:szCs w:val="32"/>
          <w:highlight w:val="none"/>
          <w:lang w:eastAsia="zh-CN"/>
        </w:rPr>
        <w:t xml:space="preserve">货物</w:t>
      </w:r>
      <w:r>
        <w:rPr>
          <w:rFonts w:hint="eastAsia" w:ascii="黑体" w:hAnsi="宋体" w:eastAsia="黑体" w:cs="黑体"/>
          <w:b/>
          <w:color w:val="auto"/>
          <w:sz w:val="32"/>
          <w:szCs w:val="32"/>
          <w:highlight w:val="none"/>
        </w:rPr>
        <w:t xml:space="preserve">）（分包号：**）</w:t>
      </w:r>
      <w:r/>
    </w:p>
    <w:p>
      <w:pPr>
        <w:ind w:left="0" w:firstLine="480"/>
        <w:keepLines w:val="0"/>
        <w:keepNext w:val="0"/>
        <w:pageBreakBefore w:val="0"/>
        <w:spacing w:line="480" w:lineRule="exact"/>
        <w:widowControl w:val="off"/>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组织的采购编号为</w:t>
      </w:r>
      <w:r>
        <w:rPr>
          <w:rFonts w:hint="eastAsia" w:ascii="宋体" w:hAnsi="宋体" w:eastAsia="宋体" w:cs="宋体"/>
          <w:color w:val="auto"/>
          <w:sz w:val="24"/>
          <w:szCs w:val="24"/>
          <w:highlight w:val="none"/>
          <w:u w:val="single"/>
        </w:rPr>
        <w:t xml:space="preserve">***，（项目名称）（分包号：**）</w:t>
      </w:r>
      <w:r>
        <w:rPr>
          <w:rFonts w:hint="eastAsia" w:ascii="宋体" w:hAnsi="宋体" w:eastAsia="宋体" w:cs="宋体"/>
          <w:color w:val="auto"/>
          <w:sz w:val="24"/>
          <w:szCs w:val="24"/>
          <w:highlight w:val="none"/>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行业；承接企业为（企业名称），从业人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（小型企业、微型企业）</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行业；承接企业为（企业名称），从业人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（小型企业、微型企业）</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55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firstLine="55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备注1：从业人员、营业收入、资产总额填报上一年度数据，无上一年度数据的新成立企业可不填报。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备注2：供应商如不提供此声明函，价格将不做相应扣除。</w:t>
      </w:r>
      <w:r/>
    </w:p>
    <w:p>
      <w:pPr>
        <w:jc w:val="center"/>
        <w:spacing w:line="560" w:lineRule="exact"/>
        <w:rPr>
          <w:rFonts w:hint="eastAsia" w:ascii="黑体" w:hAnsi="Times New Roman" w:eastAsia="黑体" w:cs="Times New Roman"/>
          <w:b/>
          <w:bCs/>
          <w:color w:val="auto"/>
          <w:sz w:val="32"/>
          <w:szCs w:val="32"/>
          <w:highlight w:val="none"/>
          <w:lang w:val="en-US" w:eastAsia="zh-CN"/>
        </w:rPr>
      </w:pPr>
      <w:r>
        <w:rPr>
          <w:rFonts w:hint="eastAsia" w:ascii="黑体" w:hAnsi="Calibri" w:eastAsia="黑体" w:cs="Times New Roman"/>
          <w:b/>
          <w:bCs/>
          <w:color w:val="auto"/>
          <w:sz w:val="32"/>
          <w:szCs w:val="32"/>
          <w:highlight w:val="none"/>
          <w:lang w:val="en-US" w:eastAsia="zh-CN"/>
        </w:rPr>
        <w:br w:type="page" w:clear="all"/>
      </w:r>
      <w:r>
        <w:rPr>
          <w:rFonts w:hint="eastAsia" w:ascii="黑体" w:hAnsi="Times New Roman" w:eastAsia="黑体" w:cs="Times New Roman"/>
          <w:b/>
          <w:bCs/>
          <w:color w:val="auto"/>
          <w:sz w:val="32"/>
          <w:szCs w:val="32"/>
          <w:highlight w:val="none"/>
          <w:lang w:val="en-US" w:eastAsia="zh-CN"/>
        </w:rPr>
        <w:t xml:space="preserve">11.残疾人福利性单位声明函（分包号：**）</w:t>
      </w:r>
      <w:r/>
    </w:p>
    <w:p>
      <w:pPr>
        <w:ind w:firstLine="480"/>
        <w:spacing w:line="588" w:lineRule="exact"/>
        <w:rPr>
          <w:rFonts w:hint="eastAsia" w:ascii="宋体" w:hAnsi="宋体"/>
          <w:color w:val="auto"/>
          <w:sz w:val="24"/>
          <w:szCs w:val="21"/>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项目（分包号：**）采购活动由本单位提供服务</w:t>
      </w:r>
      <w:r>
        <w:rPr>
          <w:rFonts w:hint="eastAsia" w:ascii="宋体" w:hAnsi="宋体"/>
          <w:color w:val="auto"/>
          <w:sz w:val="24"/>
          <w:highlight w:val="none"/>
          <w:lang w:eastAsia="zh-CN"/>
        </w:rPr>
        <w:t xml:space="preserve">。（</w:t>
      </w:r>
      <w:r>
        <w:rPr>
          <w:rFonts w:hint="eastAsia" w:ascii="宋体" w:hAnsi="宋体"/>
          <w:color w:val="auto"/>
          <w:sz w:val="24"/>
          <w:szCs w:val="21"/>
          <w:highlight w:val="none"/>
        </w:rPr>
        <w:t xml:space="preserve">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auto"/>
          <w:sz w:val="24"/>
          <w:highlight w:val="none"/>
        </w:rPr>
      </w:pPr>
      <w:r>
        <w:rPr>
          <w:rFonts w:hint="eastAsia" w:ascii="宋体" w:hAnsi="宋体"/>
          <w:color w:val="auto"/>
          <w:sz w:val="24"/>
          <w:highlight w:val="none"/>
        </w:rPr>
        <w:t xml:space="preserve">本单位对上述声明的真实性负责。如有虚假，将依法承担相应责任。</w:t>
      </w:r>
      <w:r/>
    </w:p>
    <w:p>
      <w:pPr>
        <w:ind w:firstLine="480"/>
        <w:spacing w:line="588"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588" w:lineRule="exact"/>
        <w:rPr>
          <w:rFonts w:ascii="宋体" w:hAnsi="宋体"/>
          <w:color w:val="auto"/>
          <w:sz w:val="24"/>
          <w:highlight w:val="none"/>
        </w:rPr>
      </w:pPr>
      <w:r>
        <w:rPr>
          <w:rFonts w:hint="eastAsia" w:ascii="宋体" w:hAnsi="宋体"/>
          <w:color w:val="auto"/>
          <w:sz w:val="24"/>
          <w:highlight w:val="none"/>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right="1560" w:firstLine="624"/>
        <w:jc w:val="center"/>
        <w:spacing w:line="588" w:lineRule="exact"/>
        <w:tabs>
          <w:tab w:val="left" w:pos="4860" w:leader="none"/>
        </w:tabs>
        <w:rPr>
          <w:rFonts w:ascii="宋体" w:hAnsi="宋体"/>
          <w:color w:val="auto"/>
          <w:sz w:val="24"/>
          <w:highlight w:val="none"/>
        </w:rPr>
      </w:pPr>
      <w:r>
        <w:rPr>
          <w:rFonts w:hint="eastAsia" w:ascii="仿宋_GB2312" w:eastAsia="仿宋_GB2312"/>
          <w:color w:val="auto"/>
          <w:spacing w:val="6"/>
          <w:sz w:val="30"/>
          <w:szCs w:val="30"/>
          <w:highlight w:val="none"/>
        </w:rPr>
        <w:t xml:space="preserve">             </w:t>
      </w:r>
      <w:r>
        <w:rPr>
          <w:rFonts w:hint="eastAsia" w:ascii="宋体" w:hAnsi="宋体"/>
          <w:color w:val="auto"/>
          <w:sz w:val="24"/>
          <w:highlight w:val="none"/>
        </w:rPr>
        <w:t xml:space="preserve">          供应商全称（加盖CA电子公章）：</w:t>
      </w:r>
      <w:r/>
    </w:p>
    <w:p>
      <w:pPr>
        <w:ind w:right="1560" w:firstLine="480"/>
        <w:jc w:val="center"/>
        <w:spacing w:line="588" w:lineRule="exact"/>
        <w:tabs>
          <w:tab w:val="left" w:pos="4860" w:leader="none"/>
        </w:tabs>
        <w:rPr>
          <w:rFonts w:ascii="宋体" w:hAnsi="宋体"/>
          <w:color w:val="auto"/>
          <w:sz w:val="24"/>
          <w:highlight w:val="none"/>
        </w:rPr>
      </w:pPr>
      <w:r>
        <w:rPr>
          <w:rFonts w:hint="eastAsia" w:ascii="宋体" w:hAnsi="宋体"/>
          <w:color w:val="auto"/>
          <w:sz w:val="24"/>
          <w:highlight w:val="none"/>
        </w:rPr>
        <w:t xml:space="preserve">        日  期：</w:t>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br w:type="page" w:clear="all"/>
      </w:r>
      <w:r/>
    </w:p>
    <w:p>
      <w:pPr>
        <w:jc w:val="cente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t xml:space="preserve">12.联合体协议（参考格式）（分包号：**）</w:t>
      </w:r>
      <w:r/>
    </w:p>
    <w:p>
      <w:pPr>
        <w:spacing w:line="560" w:lineRule="exact"/>
        <w:rPr>
          <w:rFonts w:ascii="宋体" w:hAnsi="宋体"/>
          <w:color w:val="auto"/>
          <w:sz w:val="24"/>
          <w:highlight w:val="none"/>
        </w:rPr>
      </w:pPr>
      <w:r>
        <w:rPr>
          <w:rFonts w:hint="eastAsia" w:ascii="宋体" w:hAnsi="宋体"/>
          <w:color w:val="auto"/>
          <w:sz w:val="24"/>
          <w:highlight w:val="none"/>
          <w:u w:val="single"/>
        </w:rPr>
        <w:t xml:space="preserve">（联合体中各供应商全称）</w:t>
      </w:r>
      <w:r>
        <w:rPr>
          <w:rFonts w:hint="eastAsia" w:ascii="宋体" w:hAnsi="宋体"/>
          <w:color w:val="auto"/>
          <w:sz w:val="24"/>
          <w:highlight w:val="none"/>
        </w:rPr>
        <w:t xml:space="preserve">在此达成以下协议：</w:t>
      </w:r>
      <w:r/>
    </w:p>
    <w:p>
      <w:pPr>
        <w:ind w:firstLine="645"/>
        <w:spacing w:line="560" w:lineRule="exact"/>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、我们自愿组成联合体，参加采购编号为</w:t>
      </w:r>
      <w:r>
        <w:rPr>
          <w:rFonts w:hint="eastAsia" w:ascii="宋体" w:hAnsi="宋体"/>
          <w:color w:val="auto"/>
          <w:sz w:val="24"/>
          <w:highlight w:val="none"/>
          <w:u w:val="single"/>
        </w:rPr>
        <w:t xml:space="preserve">（编号全称），（项目全称）</w:t>
      </w:r>
      <w:r>
        <w:rPr>
          <w:rFonts w:hint="eastAsia" w:ascii="宋体" w:hAnsi="宋体"/>
          <w:color w:val="auto"/>
          <w:sz w:val="24"/>
          <w:highlight w:val="none"/>
        </w:rPr>
        <w:t xml:space="preserve">项目（分包号：**）的政府采购活动，我联合体指定</w:t>
      </w:r>
      <w:r>
        <w:rPr>
          <w:rFonts w:hint="eastAsia" w:ascii="宋体" w:hAnsi="宋体"/>
          <w:color w:val="auto"/>
          <w:sz w:val="24"/>
          <w:highlight w:val="none"/>
          <w:u w:val="single"/>
        </w:rPr>
        <w:t xml:space="preserve">（供应商*）</w:t>
      </w:r>
      <w:r>
        <w:rPr>
          <w:rFonts w:hint="eastAsia" w:ascii="宋体" w:hAnsi="宋体"/>
          <w:color w:val="auto"/>
          <w:sz w:val="24"/>
          <w:highlight w:val="none"/>
        </w:rPr>
        <w:t xml:space="preserve">为牵头单位（牵头单位必须为联合体成员）。</w:t>
      </w:r>
      <w:r/>
    </w:p>
    <w:p>
      <w:pPr>
        <w:ind w:firstLine="645"/>
        <w:spacing w:line="560" w:lineRule="exact"/>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、若我们联合中标、成交，（供应商单位</w:t>
      </w:r>
      <w:r>
        <w:rPr>
          <w:rFonts w:ascii="宋体" w:hAnsi="宋体"/>
          <w:color w:val="auto"/>
          <w:sz w:val="24"/>
          <w:highlight w:val="none"/>
        </w:rPr>
        <w:t xml:space="preserve">1</w:t>
      </w:r>
      <w:r>
        <w:rPr>
          <w:rFonts w:hint="eastAsia" w:ascii="宋体" w:hAnsi="宋体"/>
          <w:color w:val="auto"/>
          <w:sz w:val="24"/>
          <w:highlight w:val="none"/>
        </w:rPr>
        <w:t xml:space="preserve">全称）实施项目中（工作内容）部分工作，并承担相应的责任。（供应商单位</w:t>
      </w:r>
      <w:r>
        <w:rPr>
          <w:rFonts w:ascii="宋体" w:hAnsi="宋体"/>
          <w:color w:val="auto"/>
          <w:sz w:val="24"/>
          <w:highlight w:val="none"/>
        </w:rPr>
        <w:t xml:space="preserve">2</w:t>
      </w:r>
      <w:r>
        <w:rPr>
          <w:rFonts w:hint="eastAsia" w:ascii="宋体" w:hAnsi="宋体"/>
          <w:color w:val="auto"/>
          <w:sz w:val="24"/>
          <w:highlight w:val="none"/>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、其中</w:t>
      </w:r>
      <w:r>
        <w:rPr>
          <w:rFonts w:ascii="宋体" w:hAnsi="宋体"/>
          <w:color w:val="auto"/>
          <w:sz w:val="24"/>
          <w:highlight w:val="none"/>
          <w:u w:val="single"/>
        </w:rPr>
        <w:t xml:space="preserve">      </w:t>
      </w:r>
      <w:r>
        <w:rPr>
          <w:rFonts w:hint="eastAsia" w:ascii="宋体" w:hAnsi="宋体"/>
          <w:color w:val="auto"/>
          <w:sz w:val="24"/>
          <w:highlight w:val="none"/>
        </w:rPr>
        <w:t xml:space="preserve">（小型、微型企业/残疾人福利性单位/监狱企业全称）为</w:t>
      </w:r>
      <w:r>
        <w:rPr>
          <w:rFonts w:ascii="宋体" w:hAnsi="宋体"/>
          <w:color w:val="auto"/>
          <w:sz w:val="24"/>
          <w:highlight w:val="none"/>
          <w:u w:val="single"/>
        </w:rPr>
        <w:t xml:space="preserve">    </w:t>
      </w:r>
      <w:r>
        <w:rPr>
          <w:rFonts w:hint="eastAsia" w:ascii="宋体" w:hAnsi="宋体"/>
          <w:color w:val="auto"/>
          <w:sz w:val="24"/>
          <w:highlight w:val="none"/>
        </w:rPr>
        <w:t xml:space="preserve">（小型、微型企业/残疾人福利性单位/监狱企业）企业，且我们约定该公司/单位所承担的合同金额将占本项目合同总金额的</w:t>
      </w:r>
      <w:r>
        <w:rPr>
          <w:rFonts w:ascii="宋体" w:hAnsi="宋体"/>
          <w:color w:val="auto"/>
          <w:sz w:val="24"/>
          <w:highlight w:val="none"/>
          <w:u w:val="singl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w:t>
      </w:r>
      <w:r/>
    </w:p>
    <w:p>
      <w:pPr>
        <w:ind w:firstLine="645"/>
        <w:spacing w:line="560" w:lineRule="exact"/>
        <w:rPr>
          <w:rFonts w:hint="eastAsia" w:ascii="宋体" w:hAnsi="宋体"/>
          <w:color w:val="auto"/>
          <w:sz w:val="24"/>
          <w:highlight w:val="none"/>
        </w:rPr>
      </w:pPr>
      <w:r>
        <w:rPr>
          <w:rFonts w:hint="eastAsia" w:ascii="宋体" w:hAnsi="宋体"/>
          <w:color w:val="auto"/>
          <w:sz w:val="24"/>
          <w:highlight w:val="none"/>
        </w:rPr>
      </w:r>
      <w:r/>
    </w:p>
    <w:p>
      <w:pPr>
        <w:ind w:firstLine="645"/>
        <w:spacing w:line="560" w:lineRule="exact"/>
        <w:rPr>
          <w:rFonts w:ascii="宋体" w:hAnsi="宋体"/>
          <w:color w:val="auto"/>
          <w:sz w:val="24"/>
          <w:highlight w:val="none"/>
        </w:rPr>
      </w:pPr>
      <w:r>
        <w:rPr>
          <w:rFonts w:hint="eastAsia" w:ascii="宋体" w:hAnsi="宋体"/>
          <w:color w:val="auto"/>
          <w:sz w:val="24"/>
          <w:highlight w:val="none"/>
        </w:rPr>
        <w:t xml:space="preserve">备注：本招标文件中要求加盖CA电子签章的地方，仅需加盖牵头单位的CA电子签章。</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384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联合体中各供应商全称（公章）： </w:t>
      </w:r>
      <w:r/>
    </w:p>
    <w:p>
      <w:pPr>
        <w:rPr>
          <w:rFonts w:hint="eastAsia"/>
          <w:color w:val="auto"/>
          <w:highlight w:val="none"/>
          <w:lang w:val="en-US" w:eastAsia="zh-CN"/>
        </w:rPr>
      </w:pPr>
      <w:r>
        <w:rPr>
          <w:rFonts w:hint="eastAsia"/>
          <w:color w:val="auto"/>
          <w:highlight w:val="none"/>
          <w:lang w:val="en-US" w:eastAsia="zh-CN"/>
        </w:rPr>
      </w:r>
      <w:r/>
    </w:p>
    <w:p>
      <w:pPr>
        <w:ind w:firstLine="3840"/>
        <w:keepLines w:val="0"/>
        <w:keepNext w:val="0"/>
        <w:pageBreakBefore w:val="0"/>
        <w:spacing w:line="480" w:lineRule="exact"/>
        <w:widowControl w:val="off"/>
        <w:rPr>
          <w:rFonts w:hint="eastAsia" w:ascii="仿宋_GB2312" w:eastAsia="仿宋_GB2312"/>
          <w:color w:val="auto"/>
          <w:sz w:val="24"/>
          <w:highlight w:val="none"/>
          <w:lang w:val="en-US" w:eastAsia="zh-CN"/>
        </w:rPr>
      </w:pPr>
      <w:r>
        <w:rPr>
          <w:rFonts w:hint="eastAsia" w:ascii="仿宋_GB2312" w:eastAsia="仿宋_GB2312"/>
          <w:color w:val="auto"/>
          <w:sz w:val="24"/>
          <w:highlight w:val="none"/>
          <w:lang w:val="en-US" w:eastAsia="zh-CN"/>
        </w:rPr>
      </w:r>
      <w:r/>
    </w:p>
    <w:p>
      <w:pPr>
        <w:ind w:firstLine="52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日期：</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pStyle w:val="674"/>
        <w:keepLines w:val="0"/>
        <w:keepNext w:val="0"/>
        <w:pageBreakBefore w:val="0"/>
        <w:spacing w:line="48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rPr>
      </w:r>
      <w:r/>
    </w:p>
    <w:p>
      <w:pPr>
        <w:ind w:right="-105" w:firstLine="480"/>
        <w:jc w:val="center"/>
        <w:keepLines w:val="0"/>
        <w:keepNext w:val="0"/>
        <w:pageBreakBefore w:val="0"/>
        <w:spacing w:line="480" w:lineRule="exact"/>
        <w:widowControl w:val="off"/>
        <w:rPr>
          <w:rFonts w:hint="eastAsia"/>
          <w:color w:val="auto"/>
          <w:sz w:val="24"/>
          <w:highlight w:val="none"/>
          <w:lang w:val="en-US" w:eastAsia="zh-CN"/>
        </w:rPr>
      </w:pPr>
      <w:r>
        <w:rPr>
          <w:rFonts w:hint="eastAsia"/>
          <w:color w:val="auto"/>
          <w:sz w:val="24"/>
          <w:highlight w:val="none"/>
          <w:lang w:val="en-US" w:eastAsia="zh-CN"/>
        </w:rPr>
      </w:r>
      <w:r/>
    </w:p>
    <w:p>
      <w:pPr>
        <w:jc w:val="center"/>
        <w:rPr>
          <w:rFonts w:hint="default" w:ascii="黑体" w:hAnsi="Times New Roman" w:eastAsia="黑体" w:cs="Times New Roman"/>
          <w:b/>
          <w:bCs/>
          <w:color w:val="auto"/>
          <w:sz w:val="32"/>
          <w:szCs w:val="32"/>
          <w:highlight w:val="none"/>
          <w:lang w:val="en-US" w:eastAsia="zh-CN"/>
        </w:rPr>
        <w:outlineLvl w:val="1"/>
      </w:pPr>
      <w:r>
        <w:rPr>
          <w:rFonts w:hint="eastAsia" w:ascii="黑体" w:hAnsi="Calibri" w:eastAsia="黑体" w:cs="Times New Roman"/>
          <w:b/>
          <w:bCs/>
          <w:color w:val="auto"/>
          <w:sz w:val="32"/>
          <w:szCs w:val="32"/>
          <w:highlight w:val="none"/>
          <w:lang w:val="en-US" w:eastAsia="zh-CN"/>
        </w:rPr>
        <w:br w:type="page" w:clear="all"/>
      </w:r>
      <w:r>
        <w:rPr>
          <w:rFonts w:hint="eastAsia" w:ascii="黑体" w:hAnsi="Times New Roman" w:eastAsia="黑体" w:cs="Times New Roman"/>
          <w:b/>
          <w:bCs/>
          <w:color w:val="auto"/>
          <w:sz w:val="32"/>
          <w:szCs w:val="32"/>
          <w:highlight w:val="none"/>
          <w:lang w:val="en-US" w:eastAsia="zh-CN"/>
        </w:rPr>
        <w:t xml:space="preserve">13.东台市政府采购事前信用承诺书</w:t>
      </w:r>
      <w:r/>
    </w:p>
    <w:p>
      <w:pPr>
        <w:ind w:firstLine="640"/>
        <w:jc w:val="left"/>
        <w:spacing w:line="499" w:lineRule="atLeast"/>
        <w:widowControl/>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为营造我市公开、公平、公正、诚实守信的政府采购交易环境，树立诚信守法的投标人形象，本人代表本单位作出以下承诺：</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（三）严格依照国家和省、市关于政府采购的法律、法规、规章、规范性文件，参加政府采购活动；积极履行社会责任，促进廉政建设； </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（四）严格遵守即时信息公示规定，及时维护和更新与本单位相关的信息；</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（六）自觉接受政府、行业组织、社会公众、新闻舆论的监督；</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（八）本人已认真阅读了上述承诺，并向本单位员工作了宣传教育。</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56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法定代表人签名：</w:t>
      </w:r>
      <w:r/>
    </w:p>
    <w:p>
      <w:pPr>
        <w:ind w:right="1560" w:firstLine="480"/>
        <w:jc w:val="center"/>
        <w:spacing w:line="588" w:lineRule="exact"/>
        <w:tabs>
          <w:tab w:val="left" w:pos="4860" w:leader="none"/>
        </w:tabs>
        <w:rPr>
          <w:rFonts w:ascii="宋体" w:hAnsi="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color w:val="auto"/>
          <w:sz w:val="24"/>
          <w:highlight w:val="none"/>
        </w:rPr>
        <w:t xml:space="preserve">供应商全称（加盖CA电子公章）：</w:t>
      </w:r>
      <w:r/>
    </w:p>
    <w:p>
      <w:pPr>
        <w:ind w:right="1560" w:firstLine="480"/>
        <w:jc w:val="center"/>
        <w:spacing w:line="588" w:lineRule="exact"/>
        <w:tabs>
          <w:tab w:val="left" w:pos="4860" w:leader="none"/>
        </w:tabs>
        <w:rPr>
          <w:rFonts w:ascii="宋体" w:hAnsi="宋体" w:eastAsia="宋体" w:cs="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日  期：</w:t>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4"/>
      <w:r/>
      <w:bookmarkEnd w:id="40"/>
      <w:r/>
      <w:bookmarkEnd w:id="41"/>
      <w:r/>
      <w:bookmarkEnd w:id="42"/>
      <w:r/>
      <w:bookmarkEnd w:id="43"/>
      <w:r/>
      <w:bookmarkEnd w:id="44"/>
      <w:r/>
      <w:bookmarkEnd w:id="45"/>
      <w:r/>
      <w:bookmarkEnd w:id="46"/>
      <w:r/>
      <w:bookmarkEnd w:id="47"/>
      <w:r/>
      <w:r/>
    </w:p>
    <w:p>
      <w:pPr>
        <w:pStyle w:val="667"/>
        <w:jc w:val="center"/>
        <w:spacing w:beforeAutospacing="0" w:afterAutospacing="0"/>
        <w:rPr>
          <w:color w:val="auto"/>
          <w:highlight w:val="none"/>
        </w:rPr>
      </w:pPr>
      <w:r>
        <w:rPr>
          <w:color w:val="auto"/>
          <w:highlight w:val="none"/>
        </w:rPr>
      </w:r>
      <w:r/>
    </w:p>
    <w:p>
      <w:pPr>
        <w:rPr>
          <w:color w:val="auto"/>
          <w:highlight w:val="none"/>
        </w:rPr>
      </w:pPr>
      <w:r>
        <w:rPr>
          <w:color w:val="auto"/>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667"/>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667"/>
        <w:jc w:val="both"/>
        <w:spacing w:before="290"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66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7"/>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7"/>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66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7"/>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66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66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667"/>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66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66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66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66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667"/>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66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66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66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66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66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667"/>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667"/>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667"/>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667"/>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67"/>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667"/>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667"/>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667"/>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67"/>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color w:val="auto"/>
          <w:highlight w:val="none"/>
        </w:rPr>
      </w:pPr>
      <w:r>
        <w:rPr>
          <w:color w:val="auto"/>
          <w:highlight w:val="none"/>
        </w:rPr>
      </w:r>
      <w:r/>
    </w:p>
    <w:sectPr>
      <w:footerReference w:type="default" r:id="rId9"/>
      <w:footnotePr/>
      <w:endnotePr/>
      <w:type w:val="nextPage"/>
      <w:pgSz w:w="11906" w:h="16838" w:orient="portrait"/>
      <w:pgMar w:top="1440" w:right="1077" w:bottom="1440" w:left="107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5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5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7"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38">
    <w:name w:val="Heading 2"/>
    <w:basedOn w:val="637"/>
    <w:next w:val="64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39">
    <w:name w:val="Heading 3"/>
    <w:basedOn w:val="637"/>
    <w:next w:val="637"/>
    <w:link w:val="677"/>
    <w:uiPriority w:val="9"/>
    <w:unhideWhenUsed/>
    <w:qFormat/>
    <w:pPr>
      <w:keepLines/>
      <w:keepNext/>
      <w:spacing w:before="320" w:after="200"/>
      <w:outlineLvl w:val="2"/>
    </w:pPr>
    <w:rPr>
      <w:rFonts w:ascii="Arial" w:hAnsi="Arial" w:eastAsia="Arial" w:cs="Arial"/>
      <w:sz w:val="30"/>
      <w:szCs w:val="30"/>
    </w:rPr>
  </w:style>
  <w:style w:type="paragraph" w:styleId="640">
    <w:name w:val="Heading 4"/>
    <w:basedOn w:val="637"/>
    <w:next w:val="648"/>
    <w:uiPriority w:val="0"/>
    <w:qFormat/>
    <w:pPr>
      <w:keepLines/>
      <w:keepNext/>
      <w:spacing w:before="280" w:after="290" w:line="376" w:lineRule="auto"/>
      <w:outlineLvl w:val="3"/>
    </w:pPr>
    <w:rPr>
      <w:rFonts w:ascii="Arial" w:hAnsi="Arial" w:eastAsia="黑体" w:cs="Arial"/>
      <w:b/>
      <w:bCs/>
      <w:sz w:val="28"/>
      <w:szCs w:val="28"/>
    </w:rPr>
  </w:style>
  <w:style w:type="paragraph" w:styleId="641">
    <w:name w:val="Heading 5"/>
    <w:basedOn w:val="637"/>
    <w:next w:val="637"/>
    <w:link w:val="679"/>
    <w:uiPriority w:val="9"/>
    <w:unhideWhenUsed/>
    <w:qFormat/>
    <w:pPr>
      <w:keepLines/>
      <w:keepNext/>
      <w:spacing w:before="320" w:after="200"/>
      <w:outlineLvl w:val="4"/>
    </w:pPr>
    <w:rPr>
      <w:rFonts w:ascii="Arial" w:hAnsi="Arial" w:eastAsia="Arial" w:cs="Arial"/>
      <w:b/>
      <w:bCs/>
      <w:sz w:val="24"/>
      <w:szCs w:val="24"/>
    </w:rPr>
  </w:style>
  <w:style w:type="paragraph" w:styleId="642">
    <w:name w:val="Heading 6"/>
    <w:basedOn w:val="637"/>
    <w:next w:val="637"/>
    <w:link w:val="680"/>
    <w:uiPriority w:val="9"/>
    <w:unhideWhenUsed/>
    <w:qFormat/>
    <w:pPr>
      <w:keepLines/>
      <w:keepNext/>
      <w:spacing w:before="320" w:after="200"/>
      <w:outlineLvl w:val="5"/>
    </w:pPr>
    <w:rPr>
      <w:rFonts w:ascii="Arial" w:hAnsi="Arial" w:eastAsia="Arial" w:cs="Arial"/>
      <w:b/>
      <w:bCs/>
      <w:sz w:val="22"/>
      <w:szCs w:val="22"/>
    </w:rPr>
  </w:style>
  <w:style w:type="paragraph" w:styleId="643">
    <w:name w:val="Heading 7"/>
    <w:basedOn w:val="637"/>
    <w:next w:val="637"/>
    <w:link w:val="681"/>
    <w:uiPriority w:val="9"/>
    <w:unhideWhenUsed/>
    <w:qFormat/>
    <w:pPr>
      <w:keepLines/>
      <w:keepNext/>
      <w:spacing w:before="320" w:after="200"/>
      <w:outlineLvl w:val="6"/>
    </w:pPr>
    <w:rPr>
      <w:rFonts w:ascii="Arial" w:hAnsi="Arial" w:eastAsia="Arial" w:cs="Arial"/>
      <w:b/>
      <w:bCs/>
      <w:i/>
      <w:iCs/>
      <w:sz w:val="22"/>
      <w:szCs w:val="22"/>
    </w:rPr>
  </w:style>
  <w:style w:type="paragraph" w:styleId="644">
    <w:name w:val="Heading 8"/>
    <w:basedOn w:val="637"/>
    <w:next w:val="637"/>
    <w:link w:val="682"/>
    <w:uiPriority w:val="9"/>
    <w:unhideWhenUsed/>
    <w:qFormat/>
    <w:pPr>
      <w:keepLines/>
      <w:keepNext/>
      <w:spacing w:before="320" w:after="200"/>
      <w:outlineLvl w:val="7"/>
    </w:pPr>
    <w:rPr>
      <w:rFonts w:ascii="Arial" w:hAnsi="Arial" w:eastAsia="Arial" w:cs="Arial"/>
      <w:i/>
      <w:iCs/>
      <w:sz w:val="22"/>
      <w:szCs w:val="22"/>
    </w:rPr>
  </w:style>
  <w:style w:type="paragraph" w:styleId="645">
    <w:name w:val="Heading 9"/>
    <w:basedOn w:val="637"/>
    <w:next w:val="637"/>
    <w:link w:val="683"/>
    <w:uiPriority w:val="9"/>
    <w:unhideWhenUsed/>
    <w:qFormat/>
    <w:pPr>
      <w:keepLines/>
      <w:keepNext/>
      <w:spacing w:before="320" w:after="200"/>
      <w:outlineLvl w:val="8"/>
    </w:pPr>
    <w:rPr>
      <w:rFonts w:ascii="Arial" w:hAnsi="Arial" w:eastAsia="Arial" w:cs="Arial"/>
      <w:i/>
      <w:iCs/>
      <w:sz w:val="21"/>
      <w:szCs w:val="21"/>
    </w:rPr>
  </w:style>
  <w:style w:type="character" w:styleId="646" w:default="1">
    <w:name w:val="Default Paragraph Font"/>
    <w:uiPriority w:val="1"/>
    <w:semiHidden/>
    <w:unhideWhenUsed/>
    <w:qFormat/>
  </w:style>
  <w:style w:type="table" w:styleId="647" w:default="1">
    <w:name w:val="Normal Table"/>
    <w:uiPriority w:val="99"/>
    <w:semiHidden/>
    <w:unhideWhenUsed/>
    <w:qFormat/>
    <w:tblPr>
      <w:tblCellMar>
        <w:left w:w="108" w:type="dxa"/>
        <w:top w:w="0" w:type="dxa"/>
        <w:right w:w="108" w:type="dxa"/>
        <w:bottom w:w="0" w:type="dxa"/>
      </w:tblCellMar>
    </w:tblPr>
  </w:style>
  <w:style w:type="paragraph" w:styleId="648">
    <w:name w:val="Normal Indent"/>
    <w:basedOn w:val="637"/>
    <w:uiPriority w:val="0"/>
    <w:qFormat/>
    <w:pPr>
      <w:ind w:firstLine="420"/>
    </w:pPr>
  </w:style>
  <w:style w:type="paragraph" w:styleId="649">
    <w:name w:val="toc 7"/>
    <w:basedOn w:val="637"/>
    <w:next w:val="637"/>
    <w:uiPriority w:val="39"/>
    <w:unhideWhenUsed/>
    <w:qFormat/>
    <w:pPr>
      <w:ind w:left="1701" w:right="0" w:firstLine="0"/>
      <w:spacing w:after="57"/>
    </w:pPr>
  </w:style>
  <w:style w:type="paragraph" w:styleId="650">
    <w:name w:val="Caption"/>
    <w:basedOn w:val="637"/>
    <w:next w:val="637"/>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51">
    <w:name w:val="Body Text"/>
    <w:basedOn w:val="637"/>
    <w:next w:val="637"/>
    <w:uiPriority w:val="0"/>
    <w:qFormat/>
    <w:rPr>
      <w:rFonts w:ascii="楷体_GB2312" w:hAnsi="Arial" w:eastAsia="楷体_GB2312"/>
      <w:sz w:val="28"/>
      <w:szCs w:val="20"/>
    </w:rPr>
  </w:style>
  <w:style w:type="paragraph" w:styleId="652">
    <w:name w:val="toc 5"/>
    <w:basedOn w:val="637"/>
    <w:next w:val="637"/>
    <w:uiPriority w:val="39"/>
    <w:unhideWhenUsed/>
    <w:qFormat/>
    <w:pPr>
      <w:ind w:left="1134" w:right="0" w:firstLine="0"/>
      <w:spacing w:after="57"/>
    </w:pPr>
  </w:style>
  <w:style w:type="paragraph" w:styleId="653">
    <w:name w:val="toc 3"/>
    <w:basedOn w:val="637"/>
    <w:next w:val="637"/>
    <w:uiPriority w:val="39"/>
    <w:unhideWhenUsed/>
    <w:qFormat/>
    <w:pPr>
      <w:ind w:left="567" w:right="0" w:firstLine="0"/>
      <w:spacing w:after="57"/>
    </w:pPr>
  </w:style>
  <w:style w:type="paragraph" w:styleId="654">
    <w:name w:val="toc 8"/>
    <w:basedOn w:val="637"/>
    <w:next w:val="637"/>
    <w:uiPriority w:val="39"/>
    <w:unhideWhenUsed/>
    <w:qFormat/>
    <w:pPr>
      <w:ind w:left="1984" w:right="0" w:firstLine="0"/>
      <w:spacing w:after="57"/>
    </w:pPr>
  </w:style>
  <w:style w:type="paragraph" w:styleId="655">
    <w:name w:val="endnote text"/>
    <w:basedOn w:val="637"/>
    <w:link w:val="821"/>
    <w:uiPriority w:val="99"/>
    <w:semiHidden/>
    <w:unhideWhenUsed/>
    <w:qFormat/>
    <w:pPr>
      <w:spacing w:after="0" w:line="240" w:lineRule="auto"/>
    </w:pPr>
    <w:rPr>
      <w:sz w:val="20"/>
    </w:rPr>
  </w:style>
  <w:style w:type="paragraph" w:styleId="656">
    <w:name w:val="Footer"/>
    <w:basedOn w:val="637"/>
    <w:link w:val="824"/>
    <w:uiPriority w:val="0"/>
    <w:qFormat/>
    <w:pPr>
      <w:jc w:val="left"/>
      <w:tabs>
        <w:tab w:val="center" w:pos="4153" w:leader="none"/>
        <w:tab w:val="right" w:pos="8306" w:leader="none"/>
      </w:tabs>
    </w:pPr>
    <w:rPr>
      <w:sz w:val="18"/>
      <w:szCs w:val="18"/>
    </w:rPr>
  </w:style>
  <w:style w:type="paragraph" w:styleId="657">
    <w:name w:val="Header"/>
    <w:basedOn w:val="637"/>
    <w:link w:val="823"/>
    <w:uiPriority w:val="0"/>
    <w:qFormat/>
    <w:pPr>
      <w:jc w:val="center"/>
      <w:tabs>
        <w:tab w:val="center" w:pos="4153" w:leader="none"/>
        <w:tab w:val="right" w:pos="8306" w:leader="none"/>
      </w:tabs>
      <w:pBdr>
        <w:bottom w:val="single" w:color="auto" w:sz="6" w:space="1"/>
      </w:pBdr>
    </w:pPr>
    <w:rPr>
      <w:sz w:val="18"/>
      <w:szCs w:val="18"/>
    </w:rPr>
  </w:style>
  <w:style w:type="paragraph" w:styleId="658">
    <w:name w:val="toc 1"/>
    <w:basedOn w:val="637"/>
    <w:next w:val="637"/>
    <w:uiPriority w:val="39"/>
    <w:unhideWhenUsed/>
    <w:qFormat/>
    <w:pPr>
      <w:ind w:left="0" w:right="0" w:firstLine="0"/>
      <w:spacing w:after="57"/>
    </w:pPr>
  </w:style>
  <w:style w:type="paragraph" w:styleId="659">
    <w:name w:val="toc 4"/>
    <w:basedOn w:val="637"/>
    <w:next w:val="637"/>
    <w:uiPriority w:val="39"/>
    <w:unhideWhenUsed/>
    <w:qFormat/>
    <w:pPr>
      <w:ind w:left="850" w:right="0" w:firstLine="0"/>
      <w:spacing w:after="57"/>
    </w:pPr>
  </w:style>
  <w:style w:type="paragraph" w:styleId="660">
    <w:name w:val="Subtitle"/>
    <w:basedOn w:val="637"/>
    <w:next w:val="637"/>
    <w:link w:val="687"/>
    <w:uiPriority w:val="11"/>
    <w:qFormat/>
    <w:pPr>
      <w:spacing w:before="200" w:after="200"/>
    </w:pPr>
    <w:rPr>
      <w:sz w:val="24"/>
      <w:szCs w:val="24"/>
    </w:rPr>
  </w:style>
  <w:style w:type="paragraph" w:styleId="661">
    <w:name w:val="footnote text"/>
    <w:basedOn w:val="637"/>
    <w:link w:val="820"/>
    <w:uiPriority w:val="99"/>
    <w:semiHidden/>
    <w:unhideWhenUsed/>
    <w:qFormat/>
    <w:pPr>
      <w:spacing w:after="40" w:line="240" w:lineRule="auto"/>
    </w:pPr>
    <w:rPr>
      <w:sz w:val="18"/>
    </w:rPr>
  </w:style>
  <w:style w:type="paragraph" w:styleId="662">
    <w:name w:val="toc 6"/>
    <w:basedOn w:val="637"/>
    <w:next w:val="637"/>
    <w:uiPriority w:val="39"/>
    <w:unhideWhenUsed/>
    <w:qFormat/>
    <w:pPr>
      <w:ind w:left="1417" w:right="0" w:firstLine="0"/>
      <w:spacing w:after="57"/>
    </w:pPr>
  </w:style>
  <w:style w:type="paragraph" w:styleId="663">
    <w:name w:val="index 9"/>
    <w:basedOn w:val="637"/>
    <w:next w:val="637"/>
    <w:uiPriority w:val="0"/>
    <w:qFormat/>
    <w:pPr>
      <w:ind w:left="1600"/>
    </w:pPr>
    <w:rPr>
      <w:rFonts w:ascii="Times New Roman" w:hAnsi="Times New Roman" w:eastAsia="宋体" w:cs="Times New Roman"/>
    </w:rPr>
  </w:style>
  <w:style w:type="paragraph" w:styleId="664">
    <w:name w:val="table of figures"/>
    <w:basedOn w:val="637"/>
    <w:next w:val="637"/>
    <w:uiPriority w:val="99"/>
    <w:unhideWhenUsed/>
    <w:qFormat/>
    <w:pPr>
      <w:spacing w:after="0" w:afterAutospacing="0"/>
    </w:pPr>
  </w:style>
  <w:style w:type="paragraph" w:styleId="665">
    <w:name w:val="toc 2"/>
    <w:basedOn w:val="637"/>
    <w:next w:val="637"/>
    <w:uiPriority w:val="39"/>
    <w:unhideWhenUsed/>
    <w:qFormat/>
    <w:pPr>
      <w:ind w:left="283" w:right="0" w:firstLine="0"/>
      <w:spacing w:after="57"/>
    </w:pPr>
  </w:style>
  <w:style w:type="paragraph" w:styleId="666">
    <w:name w:val="toc 9"/>
    <w:basedOn w:val="637"/>
    <w:next w:val="637"/>
    <w:uiPriority w:val="39"/>
    <w:unhideWhenUsed/>
    <w:qFormat/>
    <w:pPr>
      <w:ind w:left="2268" w:right="0" w:firstLine="0"/>
      <w:spacing w:after="57"/>
    </w:pPr>
  </w:style>
  <w:style w:type="paragraph" w:styleId="667">
    <w:name w:val="Normal (Web)"/>
    <w:basedOn w:val="637"/>
    <w:uiPriority w:val="0"/>
    <w:qFormat/>
    <w:pPr>
      <w:jc w:val="left"/>
      <w:spacing w:beforeAutospacing="1" w:afterAutospacing="1"/>
    </w:pPr>
    <w:rPr>
      <w:rFonts w:cs="Times New Roman"/>
      <w:sz w:val="24"/>
    </w:rPr>
  </w:style>
  <w:style w:type="paragraph" w:styleId="668">
    <w:name w:val="Title"/>
    <w:basedOn w:val="637"/>
    <w:next w:val="637"/>
    <w:link w:val="686"/>
    <w:uiPriority w:val="10"/>
    <w:qFormat/>
    <w:pPr>
      <w:contextualSpacing/>
      <w:spacing w:before="300" w:after="200"/>
    </w:pPr>
    <w:rPr>
      <w:sz w:val="48"/>
      <w:szCs w:val="48"/>
    </w:rPr>
  </w:style>
  <w:style w:type="table" w:styleId="669">
    <w:name w:val="Table Grid"/>
    <w:basedOn w:val="64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0">
    <w:name w:val="endnote reference"/>
    <w:basedOn w:val="646"/>
    <w:uiPriority w:val="99"/>
    <w:semiHidden/>
    <w:unhideWhenUsed/>
    <w:qFormat/>
    <w:rPr>
      <w:vertAlign w:val="superscript"/>
    </w:rPr>
  </w:style>
  <w:style w:type="character" w:styleId="671">
    <w:name w:val="page number"/>
    <w:uiPriority w:val="0"/>
    <w:qFormat/>
  </w:style>
  <w:style w:type="character" w:styleId="672">
    <w:name w:val="Hyperlink"/>
    <w:uiPriority w:val="99"/>
    <w:unhideWhenUsed/>
    <w:qFormat/>
    <w:rPr>
      <w:color w:val="0563c1" w:themeColor="hyperlink"/>
      <w:u w:val="single"/>
      <w14:textFill>
        <w14:solidFill>
          <w14:schemeClr w14:val="hlink"/>
        </w14:solidFill>
      </w14:textFill>
    </w:rPr>
  </w:style>
  <w:style w:type="character" w:styleId="673">
    <w:name w:val="footnote reference"/>
    <w:basedOn w:val="646"/>
    <w:uiPriority w:val="99"/>
    <w:unhideWhenUsed/>
    <w:qFormat/>
    <w:rPr>
      <w:vertAlign w:val="superscript"/>
    </w:rPr>
  </w:style>
  <w:style w:type="paragraph" w:styleId="674" w:customStyle="1">
    <w:name w:val="Default"/>
    <w:uiPriority w:val="99"/>
    <w:unhideWhenUsed/>
    <w:qFormat/>
    <w:pPr>
      <w:widowControl w:val="off"/>
    </w:pPr>
    <w:rPr>
      <w:rFonts w:hint="eastAsia" w:ascii="仿宋_GB2312" w:hAnsi="仿宋_GB2312" w:eastAsia="仿宋_GB2312" w:cs="Times New Roman"/>
      <w:color w:val="000000"/>
      <w:sz w:val="24"/>
      <w:lang w:val="en-US" w:eastAsia="zh-CN" w:bidi="ar-SA"/>
    </w:rPr>
  </w:style>
  <w:style w:type="character" w:styleId="675" w:customStyle="1">
    <w:name w:val="Heading 1 Char"/>
    <w:basedOn w:val="646"/>
    <w:uiPriority w:val="9"/>
    <w:qFormat/>
    <w:rPr>
      <w:rFonts w:ascii="Arial" w:hAnsi="Arial" w:eastAsia="Arial" w:cs="Arial"/>
      <w:sz w:val="40"/>
      <w:szCs w:val="40"/>
    </w:rPr>
  </w:style>
  <w:style w:type="character" w:styleId="676" w:customStyle="1">
    <w:name w:val="Heading 2 Char"/>
    <w:basedOn w:val="646"/>
    <w:uiPriority w:val="9"/>
    <w:qFormat/>
    <w:rPr>
      <w:rFonts w:ascii="Arial" w:hAnsi="Arial" w:eastAsia="Arial" w:cs="Arial"/>
      <w:sz w:val="34"/>
    </w:rPr>
  </w:style>
  <w:style w:type="character" w:styleId="677" w:customStyle="1">
    <w:name w:val="Heading 3 Char"/>
    <w:basedOn w:val="646"/>
    <w:link w:val="639"/>
    <w:uiPriority w:val="9"/>
    <w:qFormat/>
    <w:rPr>
      <w:rFonts w:ascii="Arial" w:hAnsi="Arial" w:eastAsia="Arial" w:cs="Arial"/>
      <w:sz w:val="30"/>
      <w:szCs w:val="30"/>
    </w:rPr>
  </w:style>
  <w:style w:type="character" w:styleId="678" w:customStyle="1">
    <w:name w:val="Heading 4 Char"/>
    <w:basedOn w:val="646"/>
    <w:uiPriority w:val="9"/>
    <w:qFormat/>
    <w:rPr>
      <w:rFonts w:ascii="Arial" w:hAnsi="Arial" w:eastAsia="Arial" w:cs="Arial"/>
      <w:b/>
      <w:bCs/>
      <w:sz w:val="26"/>
      <w:szCs w:val="26"/>
    </w:rPr>
  </w:style>
  <w:style w:type="character" w:styleId="679" w:customStyle="1">
    <w:name w:val="Heading 5 Char"/>
    <w:basedOn w:val="646"/>
    <w:link w:val="641"/>
    <w:uiPriority w:val="9"/>
    <w:qFormat/>
    <w:rPr>
      <w:rFonts w:ascii="Arial" w:hAnsi="Arial" w:eastAsia="Arial" w:cs="Arial"/>
      <w:b/>
      <w:bCs/>
      <w:sz w:val="24"/>
      <w:szCs w:val="24"/>
    </w:rPr>
  </w:style>
  <w:style w:type="character" w:styleId="680" w:customStyle="1">
    <w:name w:val="Heading 6 Char"/>
    <w:basedOn w:val="646"/>
    <w:link w:val="642"/>
    <w:uiPriority w:val="9"/>
    <w:qFormat/>
    <w:rPr>
      <w:rFonts w:ascii="Arial" w:hAnsi="Arial" w:eastAsia="Arial" w:cs="Arial"/>
      <w:b/>
      <w:bCs/>
      <w:sz w:val="22"/>
      <w:szCs w:val="22"/>
    </w:rPr>
  </w:style>
  <w:style w:type="character" w:styleId="681" w:customStyle="1">
    <w:name w:val="Heading 7 Char"/>
    <w:basedOn w:val="646"/>
    <w:link w:val="643"/>
    <w:uiPriority w:val="9"/>
    <w:qFormat/>
    <w:rPr>
      <w:rFonts w:ascii="Arial" w:hAnsi="Arial" w:eastAsia="Arial" w:cs="Arial"/>
      <w:b/>
      <w:bCs/>
      <w:i/>
      <w:iCs/>
      <w:sz w:val="22"/>
      <w:szCs w:val="22"/>
    </w:rPr>
  </w:style>
  <w:style w:type="character" w:styleId="682" w:customStyle="1">
    <w:name w:val="Heading 8 Char"/>
    <w:basedOn w:val="646"/>
    <w:link w:val="644"/>
    <w:uiPriority w:val="9"/>
    <w:qFormat/>
    <w:rPr>
      <w:rFonts w:ascii="Arial" w:hAnsi="Arial" w:eastAsia="Arial" w:cs="Arial"/>
      <w:i/>
      <w:iCs/>
      <w:sz w:val="22"/>
      <w:szCs w:val="22"/>
    </w:rPr>
  </w:style>
  <w:style w:type="character" w:styleId="683" w:customStyle="1">
    <w:name w:val="Heading 9 Char"/>
    <w:basedOn w:val="646"/>
    <w:link w:val="645"/>
    <w:uiPriority w:val="9"/>
    <w:qFormat/>
    <w:rPr>
      <w:rFonts w:ascii="Arial" w:hAnsi="Arial" w:eastAsia="Arial" w:cs="Arial"/>
      <w:i/>
      <w:iCs/>
      <w:sz w:val="21"/>
      <w:szCs w:val="21"/>
    </w:rPr>
  </w:style>
  <w:style w:type="paragraph" w:styleId="684">
    <w:name w:val="List Paragraph"/>
    <w:basedOn w:val="637"/>
    <w:uiPriority w:val="34"/>
    <w:qFormat/>
    <w:pPr>
      <w:contextualSpacing/>
      <w:ind w:left="720"/>
    </w:pPr>
  </w:style>
  <w:style w:type="paragraph" w:styleId="685">
    <w:name w:val="No Spacing"/>
    <w:uiPriority w:val="1"/>
    <w:qFormat/>
    <w:pPr>
      <w:spacing w:before="0" w:after="0" w:line="240" w:lineRule="auto"/>
    </w:pPr>
    <w:rPr>
      <w:rFonts w:hint="default" w:ascii="Times New Roman" w:hAnsi="Times New Roman" w:eastAsia="宋体" w:cs="Times New Roman"/>
    </w:rPr>
  </w:style>
  <w:style w:type="character" w:styleId="686" w:customStyle="1">
    <w:name w:val="Title Char"/>
    <w:basedOn w:val="646"/>
    <w:link w:val="668"/>
    <w:uiPriority w:val="10"/>
    <w:qFormat/>
    <w:rPr>
      <w:sz w:val="48"/>
      <w:szCs w:val="48"/>
    </w:rPr>
  </w:style>
  <w:style w:type="character" w:styleId="687" w:customStyle="1">
    <w:name w:val="Subtitle Char"/>
    <w:basedOn w:val="646"/>
    <w:link w:val="660"/>
    <w:uiPriority w:val="11"/>
    <w:qFormat/>
    <w:rPr>
      <w:sz w:val="24"/>
      <w:szCs w:val="24"/>
    </w:rPr>
  </w:style>
  <w:style w:type="paragraph" w:styleId="688">
    <w:name w:val="Quote"/>
    <w:basedOn w:val="637"/>
    <w:next w:val="637"/>
    <w:link w:val="689"/>
    <w:uiPriority w:val="29"/>
    <w:qFormat/>
    <w:pPr>
      <w:ind w:left="720" w:right="720"/>
    </w:pPr>
    <w:rPr>
      <w:i/>
    </w:rPr>
  </w:style>
  <w:style w:type="character" w:styleId="689" w:customStyle="1">
    <w:name w:val="Quote Char"/>
    <w:link w:val="688"/>
    <w:uiPriority w:val="29"/>
    <w:qFormat/>
    <w:rPr>
      <w:i/>
    </w:rPr>
  </w:style>
  <w:style w:type="paragraph" w:styleId="690">
    <w:name w:val="Intense Quote"/>
    <w:basedOn w:val="637"/>
    <w:next w:val="637"/>
    <w:link w:val="6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1" w:customStyle="1">
    <w:name w:val="Intense Quote Char"/>
    <w:link w:val="690"/>
    <w:uiPriority w:val="30"/>
    <w:qFormat/>
    <w:rPr>
      <w:i/>
    </w:rPr>
  </w:style>
  <w:style w:type="character" w:styleId="692" w:customStyle="1">
    <w:name w:val="Header Char"/>
    <w:basedOn w:val="646"/>
    <w:uiPriority w:val="99"/>
    <w:qFormat/>
  </w:style>
  <w:style w:type="character" w:styleId="693" w:customStyle="1">
    <w:name w:val="Footer Char"/>
    <w:basedOn w:val="646"/>
    <w:uiPriority w:val="99"/>
    <w:qFormat/>
  </w:style>
  <w:style w:type="character" w:styleId="694" w:customStyle="1">
    <w:name w:val="Caption Char"/>
    <w:uiPriority w:val="99"/>
    <w:qFormat/>
  </w:style>
  <w:style w:type="table" w:styleId="695" w:customStyle="1">
    <w:name w:val="Table Grid Light"/>
    <w:basedOn w:val="64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96" w:customStyle="1">
    <w:name w:val="Plain Table 1"/>
    <w:basedOn w:val="64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7" w:customStyle="1">
    <w:name w:val="Plain Table 2"/>
    <w:basedOn w:val="64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8" w:customStyle="1">
    <w:name w:val="Plain Table 3"/>
    <w:basedOn w:val="6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9" w:customStyle="1">
    <w:name w:val="Plain Table 4"/>
    <w:basedOn w:val="6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0" w:customStyle="1">
    <w:name w:val="Plain Table 5"/>
    <w:basedOn w:val="6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1" w:customStyle="1">
    <w:name w:val="Grid Table 1 Light"/>
    <w:basedOn w:val="64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2" w:customStyle="1">
    <w:name w:val="Grid Table 1 Light - Accent 1"/>
    <w:basedOn w:val="64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03" w:customStyle="1">
    <w:name w:val="Grid Table 1 Light - Accent 2"/>
    <w:basedOn w:val="64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04" w:customStyle="1">
    <w:name w:val="Grid Table 1 Light - Accent 3"/>
    <w:basedOn w:val="64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05" w:customStyle="1">
    <w:name w:val="Grid Table 1 Light - Accent 4"/>
    <w:basedOn w:val="64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06" w:customStyle="1">
    <w:name w:val="Grid Table 1 Light - Accent 5"/>
    <w:basedOn w:val="64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07" w:customStyle="1">
    <w:name w:val="Grid Table 1 Light - Accent 6"/>
    <w:basedOn w:val="64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08" w:customStyle="1">
    <w:name w:val="Grid Table 2"/>
    <w:basedOn w:val="6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09" w:customStyle="1">
    <w:name w:val="Grid Table 2 - Accent 1"/>
    <w:basedOn w:val="64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10" w:customStyle="1">
    <w:name w:val="Grid Table 2 - Accent 2"/>
    <w:basedOn w:val="64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11" w:customStyle="1">
    <w:name w:val="Grid Table 2 - Accent 3"/>
    <w:basedOn w:val="64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12" w:customStyle="1">
    <w:name w:val="Grid Table 2 - Accent 4"/>
    <w:basedOn w:val="64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13" w:customStyle="1">
    <w:name w:val="Grid Table 2 - Accent 5"/>
    <w:basedOn w:val="64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14" w:customStyle="1">
    <w:name w:val="Grid Table 2 - Accent 6"/>
    <w:basedOn w:val="64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15" w:customStyle="1">
    <w:name w:val="Grid Table 3"/>
    <w:basedOn w:val="6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6" w:customStyle="1">
    <w:name w:val="Grid Table 3 - Accent 1"/>
    <w:basedOn w:val="64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7" w:customStyle="1">
    <w:name w:val="Grid Table 3 - Accent 2"/>
    <w:basedOn w:val="64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8" w:customStyle="1">
    <w:name w:val="Grid Table 3 - Accent 3"/>
    <w:basedOn w:val="64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9" w:customStyle="1">
    <w:name w:val="Grid Table 3 - Accent 4"/>
    <w:basedOn w:val="64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0" w:customStyle="1">
    <w:name w:val="Grid Table 3 - Accent 5"/>
    <w:basedOn w:val="64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Grid Table 3 - Accent 6"/>
    <w:basedOn w:val="64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4"/>
    <w:basedOn w:val="64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3" w:customStyle="1">
    <w:name w:val="Grid Table 4 - Accent 1"/>
    <w:basedOn w:val="647"/>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24" w:customStyle="1">
    <w:name w:val="Grid Table 4 - Accent 2"/>
    <w:basedOn w:val="647"/>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25" w:customStyle="1">
    <w:name w:val="Grid Table 4 - Accent 3"/>
    <w:basedOn w:val="647"/>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26" w:customStyle="1">
    <w:name w:val="Grid Table 4 - Accent 4"/>
    <w:basedOn w:val="647"/>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27" w:customStyle="1">
    <w:name w:val="Grid Table 4 - Accent 5"/>
    <w:basedOn w:val="647"/>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28" w:customStyle="1">
    <w:name w:val="Grid Table 4 - Accent 6"/>
    <w:basedOn w:val="647"/>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29" w:customStyle="1">
    <w:name w:val="Grid Table 5 Dark"/>
    <w:basedOn w:val="6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0" w:customStyle="1">
    <w:name w:val="Grid Table 5 Dark- Accent 1"/>
    <w:basedOn w:val="6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31" w:customStyle="1">
    <w:name w:val="Grid Table 5 Dark - Accent 2"/>
    <w:basedOn w:val="6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32" w:customStyle="1">
    <w:name w:val="Grid Table 5 Dark - Accent 3"/>
    <w:basedOn w:val="6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33" w:customStyle="1">
    <w:name w:val="Grid Table 5 Dark- Accent 4"/>
    <w:basedOn w:val="6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34" w:customStyle="1">
    <w:name w:val="Grid Table 5 Dark - Accent 5"/>
    <w:basedOn w:val="6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35" w:customStyle="1">
    <w:name w:val="Grid Table 5 Dark - Accent 6"/>
    <w:basedOn w:val="6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36" w:customStyle="1">
    <w:name w:val="Grid Table 6 Colorful"/>
    <w:basedOn w:val="64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7" w:customStyle="1">
    <w:name w:val="Grid Table 6 Colorful - Accent 1"/>
    <w:basedOn w:val="647"/>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38" w:customStyle="1">
    <w:name w:val="Grid Table 6 Colorful - Accent 2"/>
    <w:basedOn w:val="64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39" w:customStyle="1">
    <w:name w:val="Grid Table 6 Colorful - Accent 3"/>
    <w:basedOn w:val="647"/>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40" w:customStyle="1">
    <w:name w:val="Grid Table 6 Colorful - Accent 4"/>
    <w:basedOn w:val="64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41" w:customStyle="1">
    <w:name w:val="Grid Table 6 Colorful - Accent 5"/>
    <w:basedOn w:val="647"/>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42" w:customStyle="1">
    <w:name w:val="Grid Table 6 Colorful - Accent 6"/>
    <w:basedOn w:val="647"/>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43" w:customStyle="1">
    <w:name w:val="Grid Table 7 Colorful"/>
    <w:basedOn w:val="64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4" w:customStyle="1">
    <w:name w:val="Grid Table 7 Colorful - Accent 1"/>
    <w:basedOn w:val="647"/>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45" w:customStyle="1">
    <w:name w:val="Grid Table 7 Colorful - Accent 2"/>
    <w:basedOn w:val="647"/>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46" w:customStyle="1">
    <w:name w:val="Grid Table 7 Colorful - Accent 3"/>
    <w:basedOn w:val="647"/>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47" w:customStyle="1">
    <w:name w:val="Grid Table 7 Colorful - Accent 4"/>
    <w:basedOn w:val="647"/>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48" w:customStyle="1">
    <w:name w:val="Grid Table 7 Colorful - Accent 5"/>
    <w:basedOn w:val="647"/>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49" w:customStyle="1">
    <w:name w:val="Grid Table 7 Colorful - Accent 6"/>
    <w:basedOn w:val="647"/>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50" w:customStyle="1">
    <w:name w:val="List Table 1 Light"/>
    <w:basedOn w:val="64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1" w:customStyle="1">
    <w:name w:val="List Table 1 Light - Accent 1"/>
    <w:basedOn w:val="647"/>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52" w:customStyle="1">
    <w:name w:val="List Table 1 Light - Accent 2"/>
    <w:basedOn w:val="647"/>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53" w:customStyle="1">
    <w:name w:val="List Table 1 Light - Accent 3"/>
    <w:basedOn w:val="647"/>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54" w:customStyle="1">
    <w:name w:val="List Table 1 Light - Accent 4"/>
    <w:basedOn w:val="647"/>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55" w:customStyle="1">
    <w:name w:val="List Table 1 Light - Accent 5"/>
    <w:basedOn w:val="647"/>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56" w:customStyle="1">
    <w:name w:val="List Table 1 Light - Accent 6"/>
    <w:basedOn w:val="647"/>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57" w:customStyle="1">
    <w:name w:val="List Table 2"/>
    <w:basedOn w:val="64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8" w:customStyle="1">
    <w:name w:val="List Table 2 - Accent 1"/>
    <w:basedOn w:val="647"/>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59" w:customStyle="1">
    <w:name w:val="List Table 2 - Accent 2"/>
    <w:basedOn w:val="647"/>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60" w:customStyle="1">
    <w:name w:val="List Table 2 - Accent 3"/>
    <w:basedOn w:val="647"/>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61" w:customStyle="1">
    <w:name w:val="List Table 2 - Accent 4"/>
    <w:basedOn w:val="647"/>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62" w:customStyle="1">
    <w:name w:val="List Table 2 - Accent 5"/>
    <w:basedOn w:val="647"/>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63" w:customStyle="1">
    <w:name w:val="List Table 2 - Accent 6"/>
    <w:basedOn w:val="647"/>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64" w:customStyle="1">
    <w:name w:val="List Table 3"/>
    <w:basedOn w:val="6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5" w:customStyle="1">
    <w:name w:val="List Table 3 - Accent 1"/>
    <w:basedOn w:val="647"/>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66" w:customStyle="1">
    <w:name w:val="List Table 3 - Accent 2"/>
    <w:basedOn w:val="64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67" w:customStyle="1">
    <w:name w:val="List Table 3 - Accent 3"/>
    <w:basedOn w:val="647"/>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68" w:customStyle="1">
    <w:name w:val="List Table 3 - Accent 4"/>
    <w:basedOn w:val="64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69" w:customStyle="1">
    <w:name w:val="List Table 3 - Accent 5"/>
    <w:basedOn w:val="647"/>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70" w:customStyle="1">
    <w:name w:val="List Table 3 - Accent 6"/>
    <w:basedOn w:val="647"/>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71" w:customStyle="1">
    <w:name w:val="List Table 4"/>
    <w:basedOn w:val="6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2" w:customStyle="1">
    <w:name w:val="List Table 4 - Accent 1"/>
    <w:basedOn w:val="647"/>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73" w:customStyle="1">
    <w:name w:val="List Table 4 - Accent 2"/>
    <w:basedOn w:val="647"/>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74" w:customStyle="1">
    <w:name w:val="List Table 4 - Accent 3"/>
    <w:basedOn w:val="647"/>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75" w:customStyle="1">
    <w:name w:val="List Table 4 - Accent 4"/>
    <w:basedOn w:val="647"/>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76" w:customStyle="1">
    <w:name w:val="List Table 4 - Accent 5"/>
    <w:basedOn w:val="647"/>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77" w:customStyle="1">
    <w:name w:val="List Table 4 - Accent 6"/>
    <w:basedOn w:val="647"/>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78" w:customStyle="1">
    <w:name w:val="List Table 5 Dark"/>
    <w:basedOn w:val="64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9" w:customStyle="1">
    <w:name w:val="List Table 5 Dark - Accent 1"/>
    <w:basedOn w:val="647"/>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0" w:customStyle="1">
    <w:name w:val="List Table 5 Dark - Accent 2"/>
    <w:basedOn w:val="647"/>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1" w:customStyle="1">
    <w:name w:val="List Table 5 Dark - Accent 3"/>
    <w:basedOn w:val="647"/>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2" w:customStyle="1">
    <w:name w:val="List Table 5 Dark - Accent 4"/>
    <w:basedOn w:val="647"/>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3" w:customStyle="1">
    <w:name w:val="List Table 5 Dark - Accent 5"/>
    <w:basedOn w:val="647"/>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List Table 5 Dark - Accent 6"/>
    <w:basedOn w:val="647"/>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6 Colorful"/>
    <w:basedOn w:val="64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6" w:customStyle="1">
    <w:name w:val="List Table 6 Colorful - Accent 1"/>
    <w:basedOn w:val="647"/>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787" w:customStyle="1">
    <w:name w:val="List Table 6 Colorful - Accent 2"/>
    <w:basedOn w:val="647"/>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788" w:customStyle="1">
    <w:name w:val="List Table 6 Colorful - Accent 3"/>
    <w:basedOn w:val="647"/>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789" w:customStyle="1">
    <w:name w:val="List Table 6 Colorful - Accent 4"/>
    <w:basedOn w:val="647"/>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790" w:customStyle="1">
    <w:name w:val="List Table 6 Colorful - Accent 5"/>
    <w:basedOn w:val="647"/>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791" w:customStyle="1">
    <w:name w:val="List Table 6 Colorful - Accent 6"/>
    <w:basedOn w:val="647"/>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792" w:customStyle="1">
    <w:name w:val="List Table 7 Colorful"/>
    <w:basedOn w:val="64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3" w:customStyle="1">
    <w:name w:val="List Table 7 Colorful - Accent 1"/>
    <w:basedOn w:val="647"/>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794" w:customStyle="1">
    <w:name w:val="List Table 7 Colorful - Accent 2"/>
    <w:basedOn w:val="647"/>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5" w:customStyle="1">
    <w:name w:val="List Table 7 Colorful - Accent 3"/>
    <w:basedOn w:val="647"/>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796" w:customStyle="1">
    <w:name w:val="List Table 7 Colorful - Accent 4"/>
    <w:basedOn w:val="647"/>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97" w:customStyle="1">
    <w:name w:val="List Table 7 Colorful - Accent 5"/>
    <w:basedOn w:val="647"/>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798" w:customStyle="1">
    <w:name w:val="List Table 7 Colorful - Accent 6"/>
    <w:basedOn w:val="647"/>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799" w:customStyle="1">
    <w:name w:val="Lined - Accent"/>
    <w:basedOn w:val="6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0" w:customStyle="1">
    <w:name w:val="Lined - Accent 1"/>
    <w:basedOn w:val="6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01" w:customStyle="1">
    <w:name w:val="Lined - Accent 2"/>
    <w:basedOn w:val="6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02" w:customStyle="1">
    <w:name w:val="Lined - Accent 3"/>
    <w:basedOn w:val="6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03" w:customStyle="1">
    <w:name w:val="Lined - Accent 4"/>
    <w:basedOn w:val="6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04" w:customStyle="1">
    <w:name w:val="Lined - Accent 5"/>
    <w:basedOn w:val="6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05" w:customStyle="1">
    <w:name w:val="Lined - Accent 6"/>
    <w:basedOn w:val="6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06" w:customStyle="1">
    <w:name w:val="Bordered &amp; Lined - Accent"/>
    <w:basedOn w:val="64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7" w:customStyle="1">
    <w:name w:val="Bordered &amp; Lined - Accent 1"/>
    <w:basedOn w:val="647"/>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08" w:customStyle="1">
    <w:name w:val="Bordered &amp; Lined - Accent 2"/>
    <w:basedOn w:val="647"/>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09" w:customStyle="1">
    <w:name w:val="Bordered &amp; Lined - Accent 3"/>
    <w:basedOn w:val="647"/>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10" w:customStyle="1">
    <w:name w:val="Bordered &amp; Lined - Accent 4"/>
    <w:basedOn w:val="647"/>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11" w:customStyle="1">
    <w:name w:val="Bordered &amp; Lined - Accent 5"/>
    <w:basedOn w:val="647"/>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12" w:customStyle="1">
    <w:name w:val="Bordered &amp; Lined - Accent 6"/>
    <w:basedOn w:val="647"/>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13" w:customStyle="1">
    <w:name w:val="Bordered"/>
    <w:basedOn w:val="64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14" w:customStyle="1">
    <w:name w:val="Bordered - Accent 1"/>
    <w:basedOn w:val="64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15" w:customStyle="1">
    <w:name w:val="Bordered - Accent 2"/>
    <w:basedOn w:val="64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16" w:customStyle="1">
    <w:name w:val="Bordered - Accent 3"/>
    <w:basedOn w:val="64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17" w:customStyle="1">
    <w:name w:val="Bordered - Accent 4"/>
    <w:basedOn w:val="64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18" w:customStyle="1">
    <w:name w:val="Bordered - Accent 5"/>
    <w:basedOn w:val="64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19" w:customStyle="1">
    <w:name w:val="Bordered - Accent 6"/>
    <w:basedOn w:val="64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20" w:customStyle="1">
    <w:name w:val="Footnote Text Char"/>
    <w:link w:val="661"/>
    <w:uiPriority w:val="99"/>
    <w:qFormat/>
    <w:rPr>
      <w:sz w:val="18"/>
    </w:rPr>
  </w:style>
  <w:style w:type="character" w:styleId="821" w:customStyle="1">
    <w:name w:val="Endnote Text Char"/>
    <w:link w:val="655"/>
    <w:uiPriority w:val="99"/>
    <w:qFormat/>
    <w:rPr>
      <w:sz w:val="20"/>
    </w:rPr>
  </w:style>
  <w:style w:type="paragraph" w:styleId="822" w:customStyle="1">
    <w:name w:val="TOC Heading"/>
    <w:uiPriority w:val="39"/>
    <w:unhideWhenUsed/>
    <w:qFormat/>
    <w:rPr>
      <w:rFonts w:hint="default" w:ascii="Times New Roman" w:hAnsi="Times New Roman" w:eastAsia="宋体" w:cs="Times New Roman"/>
    </w:rPr>
  </w:style>
  <w:style w:type="character" w:styleId="823" w:customStyle="1">
    <w:name w:val="页眉 Char"/>
    <w:basedOn w:val="646"/>
    <w:link w:val="657"/>
    <w:uiPriority w:val="0"/>
    <w:qFormat/>
    <w:rPr>
      <w:rFonts w:asciiTheme="minorHAnsi" w:hAnsiTheme="minorHAnsi" w:eastAsiaTheme="minorEastAsia" w:cstheme="minorBidi"/>
      <w:sz w:val="18"/>
      <w:szCs w:val="18"/>
    </w:rPr>
  </w:style>
  <w:style w:type="character" w:styleId="824" w:customStyle="1">
    <w:name w:val="页脚 Char"/>
    <w:basedOn w:val="646"/>
    <w:link w:val="656"/>
    <w:uiPriority w:val="0"/>
    <w:qFormat/>
    <w:rPr>
      <w:rFonts w:asciiTheme="minorHAnsi" w:hAnsiTheme="minorHAnsi" w:eastAsiaTheme="minorEastAsia" w:cstheme="minorBidi"/>
      <w:sz w:val="18"/>
      <w:szCs w:val="18"/>
    </w:rPr>
  </w:style>
  <w:style w:type="character" w:styleId="825" w:customStyle="1">
    <w:name w:val="NormalCharacter"/>
    <w:uiPriority w:val="0"/>
    <w:qFormat/>
  </w:style>
  <w:style w:type="paragraph" w:styleId="826" w:customStyle="1">
    <w:name w:val="Heading 1"/>
    <w:basedOn w:val="637"/>
    <w:next w:val="637"/>
    <w:uiPriority w:val="0"/>
    <w:qFormat/>
    <w:pPr>
      <w:jc w:val="center"/>
      <w:keepNext/>
    </w:pPr>
    <w:rPr>
      <w:rFonts w:ascii="楷体_GB2312" w:eastAsia="楷体_GB2312"/>
      <w:sz w:val="28"/>
      <w:szCs w:val="28"/>
    </w:rPr>
  </w:style>
  <w:style w:type="paragraph" w:styleId="827" w:customStyle="1">
    <w:name w:val="Heading 4"/>
    <w:basedOn w:val="637"/>
    <w:next w:val="637"/>
    <w:uiPriority w:val="0"/>
    <w:qFormat/>
    <w:pPr>
      <w:keepLines/>
      <w:keepNext/>
      <w:spacing w:before="280" w:after="290" w:line="376" w:lineRule="auto"/>
    </w:pPr>
    <w:rPr>
      <w:rFonts w:ascii="Arial" w:hAnsi="Arial" w:eastAsia="黑体" w:cs="Times New Roman"/>
      <w:b/>
      <w:bCs/>
      <w:sz w:val="28"/>
      <w:szCs w:val="28"/>
    </w:rPr>
  </w:style>
  <w:style w:type="paragraph" w:styleId="828" w:customStyle="1">
    <w:name w:val="Heading 2"/>
    <w:basedOn w:val="637"/>
    <w:next w:val="829"/>
    <w:uiPriority w:val="0"/>
    <w:qFormat/>
    <w:pPr>
      <w:jc w:val="center"/>
      <w:keepLines/>
      <w:keepNext/>
      <w:spacing w:before="260" w:after="260" w:line="416" w:lineRule="auto"/>
    </w:pPr>
    <w:rPr>
      <w:rFonts w:ascii="Arial" w:hAnsi="Arial" w:eastAsia="幼圆" w:cs="Times New Roman"/>
      <w:b/>
      <w:bCs/>
      <w:sz w:val="44"/>
      <w:szCs w:val="44"/>
    </w:rPr>
  </w:style>
  <w:style w:type="paragraph" w:styleId="829" w:customStyle="1">
    <w:name w:val="NormalIndent"/>
    <w:basedOn w:val="637"/>
    <w:uiPriority w:val="0"/>
    <w:qFormat/>
    <w:pPr>
      <w:ind w:firstLine="420"/>
    </w:pPr>
    <w:rPr>
      <w:szCs w:val="20"/>
    </w:rPr>
  </w:style>
  <w:style w:type="paragraph" w:styleId="830" w:customStyle="1">
    <w:name w:val="PlainText"/>
    <w:basedOn w:val="637"/>
    <w:uiPriority w:val="0"/>
    <w:qFormat/>
    <w:rPr>
      <w:rFonts w:ascii="宋体" w:hAnsi="Courier New"/>
    </w:rPr>
  </w:style>
  <w:style w:type="paragraph" w:styleId="831" w:customStyle="1">
    <w:name w:val="WPSOffice手动目录 1"/>
    <w:uiPriority w:val="0"/>
    <w:qFormat/>
    <w:rPr>
      <w:rFonts w:hint="default" w:ascii="Times New Roman" w:hAnsi="Times New Roman" w:eastAsia="宋体" w:cs="Times New Roman"/>
      <w:sz w:val="20"/>
      <w:szCs w:val="20"/>
    </w:rPr>
  </w:style>
  <w:style w:type="paragraph" w:styleId="832" w:customStyle="1">
    <w:name w:val="Char"/>
    <w:basedOn w:val="637"/>
    <w:uiPriority w:val="0"/>
    <w:qFormat/>
    <w:pPr>
      <w:ind w:firstLine="200"/>
      <w:tabs>
        <w:tab w:val="left" w:pos="360" w:leader="none"/>
      </w:tabs>
    </w:pPr>
    <w:rPr>
      <w:sz w:val="28"/>
      <w:szCs w:val="30"/>
    </w:rPr>
  </w:style>
  <w:style w:type="paragraph" w:styleId="833" w:customStyle="1">
    <w:name w:val="普通正文"/>
    <w:basedOn w:val="637"/>
    <w:uiPriority w:val="0"/>
    <w:qFormat/>
    <w:pPr>
      <w:ind w:firstLine="480"/>
      <w:jc w:val="left"/>
      <w:spacing w:before="120" w:after="120" w:line="360" w:lineRule="auto"/>
    </w:pPr>
    <w:rPr>
      <w:rFonts w:ascii="Arial" w:hAnsi="Arial"/>
      <w:sz w:val="24"/>
      <w:szCs w:val="24"/>
    </w:rPr>
  </w:style>
  <w:style w:type="character" w:styleId="834" w:customStyle="1">
    <w:name w:val="font91"/>
    <w:basedOn w:val="646"/>
    <w:uiPriority w:val="0"/>
    <w:qFormat/>
    <w:rPr>
      <w:rFonts w:hint="eastAsia" w:ascii="宋体" w:hAnsi="宋体" w:eastAsia="宋体" w:cs="宋体"/>
      <w:color w:val="000000"/>
      <w:sz w:val="20"/>
      <w:szCs w:val="20"/>
      <w:u w:val="none"/>
    </w:rPr>
  </w:style>
  <w:style w:type="character" w:styleId="835" w:customStyle="1">
    <w:name w:val="font31"/>
    <w:basedOn w:val="646"/>
    <w:uiPriority w:val="0"/>
    <w:qFormat/>
    <w:rPr>
      <w:rFonts w:hint="eastAsia" w:ascii="宋体" w:hAnsi="宋体" w:eastAsia="宋体" w:cs="宋体"/>
      <w:color w:val="000000"/>
      <w:sz w:val="16"/>
      <w:szCs w:val="16"/>
      <w:u w:val="none"/>
    </w:rPr>
  </w:style>
  <w:style w:type="numbering" w:styleId="148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张勇</cp:lastModifiedBy>
  <cp:revision>275</cp:revision>
  <dcterms:created xsi:type="dcterms:W3CDTF">2014-10-29T12:08:00Z</dcterms:created>
  <dcterms:modified xsi:type="dcterms:W3CDTF">2024-06-04T07:55:25Z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CC18E29733F941A0B05108FDC74D55DB_13</vt:lpwstr>
  </property>
</Properties>
</file>