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t xml:space="preserve">                                             </w:t>
      </w:r>
      <w:r/>
    </w:p>
    <w:p>
      <w:pPr>
        <w:jc w:val="center"/>
        <w:rPr>
          <w:rFonts w:hint="eastAsia" w:ascii="宋体" w:hAnsi="宋体" w:eastAsia="宋体" w:cs="宋体"/>
          <w:b/>
          <w:sz w:val="84"/>
          <w:szCs w:val="84"/>
        </w:rPr>
      </w:pPr>
      <w:r>
        <w:rPr>
          <w:rFonts w:hint="eastAsia" w:ascii="宋体" w:hAnsi="宋体" w:eastAsia="宋体" w:cs="宋体"/>
          <w:b/>
          <w:sz w:val="84"/>
          <w:szCs w:val="84"/>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南通市海门区政府采购</w:t>
      </w:r>
      <w:r/>
    </w:p>
    <w:p>
      <w:pPr>
        <w:jc w:val="center"/>
        <w:rPr>
          <w:rFonts w:hint="eastAsia" w:ascii="宋体" w:hAnsi="宋体" w:eastAsia="宋体" w:cs="宋体"/>
          <w:b/>
          <w:sz w:val="100"/>
          <w:szCs w:val="100"/>
        </w:rPr>
      </w:pPr>
      <w:r>
        <w:rPr>
          <w:rFonts w:hint="eastAsia" w:ascii="宋体" w:hAnsi="宋体" w:eastAsia="宋体" w:cs="宋体"/>
          <w:b/>
          <w:sz w:val="84"/>
          <w:szCs w:val="84"/>
        </w:rPr>
        <w:t xml:space="preserve">招标文件</w:t>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default" w:ascii="宋体" w:hAnsi="宋体" w:eastAsia="宋体" w:cs="Times New Roman"/>
          <w:b/>
          <w:sz w:val="30"/>
          <w:szCs w:val="20"/>
        </w:rPr>
      </w:pPr>
      <w:r>
        <w:rPr>
          <w:rFonts w:hint="default" w:ascii="宋体" w:hAnsi="宋体" w:eastAsia="宋体" w:cs="Times New Roman"/>
          <w:b/>
          <w:sz w:val="30"/>
          <w:szCs w:val="20"/>
        </w:rPr>
      </w:r>
      <w:r/>
    </w:p>
    <w:p>
      <w:pPr>
        <w:jc w:val="both"/>
        <w:spacing w:after="120"/>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ind w:left="1919" w:hanging="1600"/>
        <w:jc w:val="left"/>
        <w:spacing w:line="360" w:lineRule="auto"/>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项目名称</w:t>
      </w:r>
      <w:r>
        <w:rPr>
          <w:rFonts w:hint="eastAsia" w:ascii="宋体" w:hAnsi="宋体" w:eastAsia="宋体" w:cs="Times New Roman"/>
          <w:b/>
          <w:sz w:val="32"/>
          <w:szCs w:val="32"/>
        </w:rPr>
        <w:t xml:space="preserve">：</w:t>
      </w:r>
      <w:r>
        <w:rPr>
          <w:rFonts w:hint="eastAsia" w:ascii="宋体" w:hAnsi="宋体" w:eastAsia="宋体" w:cs="Times New Roman"/>
          <w:b/>
          <w:sz w:val="32"/>
          <w:szCs w:val="32"/>
          <w:u w:val="single"/>
          <w:lang w:val="en-US" w:eastAsia="zh-CN"/>
        </w:rPr>
        <w:t xml:space="preserve"> </w:t>
      </w:r>
      <w:r>
        <w:rPr>
          <w:rFonts w:hint="eastAsia" w:ascii="宋体" w:hAnsi="宋体" w:eastAsia="宋体" w:cs="Times New Roman"/>
          <w:bCs/>
          <w:sz w:val="32"/>
          <w:szCs w:val="32"/>
          <w:u w:val="single"/>
          <w:lang w:eastAsia="zh-CN"/>
        </w:rPr>
        <w:t xml:space="preserve">南通市海门区市场监督管理局采购2026年食品安全监督抽检服务项目</w:t>
      </w:r>
      <w:r>
        <w:rPr>
          <w:rFonts w:hint="eastAsia" w:ascii="宋体" w:hAnsi="宋体" w:eastAsia="宋体" w:cs="Times New Roman"/>
          <w:bCs/>
          <w:sz w:val="32"/>
          <w:szCs w:val="32"/>
          <w:u w:val="single"/>
          <w:lang w:val="en-US" w:eastAsia="zh-CN"/>
        </w:rPr>
        <w:t xml:space="preserve"> </w:t>
      </w:r>
      <w:r/>
    </w:p>
    <w:p>
      <w:pPr>
        <w:ind w:firstLine="320"/>
        <w:spacing w:line="360" w:lineRule="auto"/>
        <w:shd w:val="clear" w:color="auto" w:fill="ffffff"/>
        <w:rPr>
          <w:rFonts w:hint="eastAsia" w:ascii="宋体" w:hAnsi="宋体" w:eastAsia="宋体" w:cs="Times New Roman"/>
          <w:sz w:val="32"/>
          <w:szCs w:val="32"/>
          <w:u w:val="single"/>
        </w:rPr>
      </w:pPr>
      <w:r>
        <w:rPr>
          <w:rFonts w:hint="eastAsia" w:ascii="宋体" w:hAnsi="宋体" w:eastAsia="宋体" w:cs="Times New Roman"/>
          <w:sz w:val="32"/>
          <w:szCs w:val="32"/>
        </w:rPr>
        <w:t xml:space="preserve">项目编号：</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JSZC-320614-GDHC-G2026-0001       </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 </w:t>
      </w:r>
      <w:r/>
    </w:p>
    <w:p>
      <w:pPr>
        <w:ind w:firstLine="320"/>
        <w:jc w:val="left"/>
        <w:spacing w:line="360" w:lineRule="auto"/>
        <w:rPr>
          <w:rFonts w:hint="eastAsia" w:ascii="宋体" w:hAnsi="宋体" w:eastAsia="宋体" w:cs="Times New Roman"/>
          <w:sz w:val="32"/>
          <w:szCs w:val="32"/>
          <w:u w:val="single"/>
          <w:lang w:val="en-US" w:eastAsia="zh-CN"/>
        </w:rPr>
      </w:pPr>
      <w:r>
        <w:rPr>
          <w:rFonts w:hint="eastAsia" w:ascii="宋体" w:hAnsi="宋体" w:eastAsia="宋体" w:cs="Times New Roman"/>
          <w:sz w:val="32"/>
          <w:szCs w:val="32"/>
        </w:rPr>
        <w:t xml:space="preserve">采　购人：</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lang w:eastAsia="zh-CN"/>
        </w:rPr>
        <w:t xml:space="preserve">   南通市海门区市场监督管理局</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p>
    <w:p>
      <w:pPr>
        <w:ind w:firstLine="320"/>
        <w:jc w:val="left"/>
        <w:spacing w:line="360" w:lineRule="auto"/>
        <w:rPr>
          <w:rFonts w:hint="eastAsia" w:ascii="宋体" w:hAnsi="宋体" w:eastAsia="宋体" w:cs="Times New Roman"/>
          <w:sz w:val="32"/>
          <w:szCs w:val="32"/>
          <w:u w:val="single"/>
        </w:rPr>
      </w:pPr>
      <w:r>
        <w:rPr>
          <w:rFonts w:hint="eastAsia" w:ascii="宋体" w:hAnsi="宋体" w:eastAsia="宋体" w:cs="Times New Roman"/>
          <w:sz w:val="32"/>
          <w:szCs w:val="32"/>
        </w:rPr>
        <w:t xml:space="preserve">代理机构：</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国鼎和诚项目管理集团有限公司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t xml:space="preserve"> </w:t>
      </w:r>
      <w:r/>
    </w:p>
    <w:p>
      <w:pPr>
        <w:spacing w:line="360" w:lineRule="exact"/>
        <w:rPr>
          <w:rFonts w:hint="eastAsia" w:ascii="宋体" w:hAnsi="宋体" w:eastAsia="宋体" w:cs="Times New Roman"/>
          <w:sz w:val="30"/>
          <w:szCs w:val="20"/>
          <w:lang w:eastAsia="zh-CN"/>
        </w:rPr>
      </w:pPr>
      <w:r>
        <w:rPr>
          <w:rFonts w:hint="eastAsia" w:ascii="宋体" w:hAnsi="宋体" w:eastAsia="宋体" w:cs="Times New Roman"/>
          <w:sz w:val="30"/>
          <w:szCs w:val="20"/>
          <w:lang w:eastAsia="zh-CN"/>
        </w:rPr>
      </w:r>
      <w:r/>
    </w:p>
    <w:p>
      <w:pPr>
        <w:pStyle w:val="704"/>
        <w:rPr>
          <w:rFonts w:hint="eastAsia"/>
          <w:lang w:eastAsia="zh-CN"/>
        </w:rPr>
      </w:pPr>
      <w:r>
        <w:rPr>
          <w:rFonts w:hint="eastAsia"/>
          <w:lang w:eastAsia="zh-CN"/>
        </w:rPr>
      </w:r>
      <w:r/>
    </w:p>
    <w:p>
      <w:pPr>
        <w:ind w:left="0" w:firstLine="0"/>
        <w:jc w:val="both"/>
        <w:widowControl w:val="off"/>
        <w:rPr>
          <w:rFonts w:hint="eastAsia" w:ascii="宋体" w:hAnsi="宋体" w:eastAsia="宋体" w:cs="Times New Roman"/>
          <w:sz w:val="30"/>
          <w:lang w:val="en-US" w:eastAsia="zh-CN" w:bidi="ar-SA"/>
        </w:rPr>
      </w:pPr>
      <w:r>
        <w:rPr>
          <w:rFonts w:hint="eastAsia" w:ascii="宋体" w:hAnsi="宋体" w:eastAsia="宋体" w:cs="Times New Roman"/>
          <w:sz w:val="30"/>
          <w:lang w:val="en-US" w:eastAsia="zh-CN" w:bidi="ar-SA"/>
        </w:rPr>
      </w:r>
      <w:r/>
    </w:p>
    <w:p>
      <w:pPr>
        <w:ind w:right="2696"/>
        <w:jc w:val="center"/>
        <w:spacing w:line="360" w:lineRule="auto"/>
        <w:rPr>
          <w:rFonts w:hint="eastAsia" w:ascii="宋体" w:hAnsi="宋体" w:eastAsia="宋体" w:cs="Times New Roman"/>
          <w:b/>
          <w:bCs/>
          <w:spacing w:val="2"/>
          <w:sz w:val="32"/>
          <w:szCs w:val="20"/>
        </w:rPr>
      </w:pPr>
      <w:r>
        <w:rPr>
          <w:rFonts w:hint="eastAsia" w:ascii="宋体" w:hAnsi="宋体" w:eastAsia="宋体" w:cs="Times New Roman"/>
          <w:b/>
          <w:bCs/>
          <w:sz w:val="32"/>
          <w:szCs w:val="20"/>
          <w:u w:val="none"/>
          <w:lang w:val="en-US" w:eastAsia="zh-CN"/>
        </w:rPr>
        <w:t xml:space="preserve">            </w:t>
      </w:r>
      <w:r>
        <w:rPr>
          <w:rFonts w:hint="eastAsia" w:ascii="宋体" w:hAnsi="宋体" w:eastAsia="宋体" w:cs="Times New Roman"/>
          <w:b/>
          <w:bCs/>
          <w:sz w:val="32"/>
          <w:szCs w:val="20"/>
          <w:u w:val="single"/>
          <w:lang w:val="en-US" w:eastAsia="zh-CN"/>
        </w:rPr>
        <w:t xml:space="preserve"> </w:t>
      </w:r>
      <w:r>
        <w:rPr>
          <w:rFonts w:hint="eastAsia" w:ascii="宋体" w:hAnsi="宋体" w:eastAsia="宋体" w:cs="Times New Roman"/>
          <w:b/>
          <w:bCs/>
          <w:sz w:val="32"/>
          <w:szCs w:val="20"/>
          <w:u w:val="single"/>
        </w:rPr>
        <w:t xml:space="preserve">二○二</w:t>
      </w:r>
      <w:r>
        <w:rPr>
          <w:rFonts w:hint="eastAsia" w:ascii="宋体" w:hAnsi="宋体" w:eastAsia="宋体" w:cs="Times New Roman"/>
          <w:b/>
          <w:bCs/>
          <w:sz w:val="32"/>
          <w:szCs w:val="20"/>
          <w:u w:val="single"/>
          <w:lang w:val="en-US" w:eastAsia="zh-CN"/>
        </w:rPr>
        <w:t xml:space="preserve">六 </w:t>
      </w:r>
      <w:r>
        <w:rPr>
          <w:rFonts w:hint="eastAsia" w:ascii="宋体" w:hAnsi="宋体" w:eastAsia="宋体" w:cs="Times New Roman"/>
          <w:b/>
          <w:bCs/>
          <w:sz w:val="32"/>
          <w:szCs w:val="20"/>
        </w:rPr>
        <w:t xml:space="preserve">年</w:t>
      </w:r>
      <w:r>
        <w:rPr>
          <w:rFonts w:hint="eastAsia" w:ascii="宋体" w:hAnsi="宋体" w:eastAsia="宋体" w:cs="Times New Roman"/>
          <w:b/>
          <w:bCs/>
          <w:sz w:val="32"/>
          <w:szCs w:val="20"/>
          <w:u w:val="single"/>
        </w:rPr>
        <w:t xml:space="preserve"> </w:t>
      </w:r>
      <w:r>
        <w:rPr>
          <w:rFonts w:hint="eastAsia" w:ascii="宋体" w:hAnsi="宋体" w:eastAsia="宋体" w:cs="Times New Roman"/>
          <w:b/>
          <w:bCs/>
          <w:sz w:val="32"/>
          <w:szCs w:val="20"/>
          <w:u w:val="single"/>
          <w:lang w:val="en-US" w:eastAsia="zh-CN"/>
        </w:rPr>
        <w:t xml:space="preserve">一 </w:t>
      </w:r>
      <w:r>
        <w:rPr>
          <w:rFonts w:hint="eastAsia" w:ascii="宋体" w:hAnsi="宋体" w:eastAsia="宋体" w:cs="Times New Roman"/>
          <w:b/>
          <w:bCs/>
          <w:sz w:val="32"/>
          <w:szCs w:val="20"/>
        </w:rPr>
        <w:t xml:space="preserve">月</w:t>
      </w:r>
      <w:r/>
    </w:p>
    <w:p>
      <w:pPr>
        <w:ind w:left="4018" w:hanging="4176"/>
        <w:rPr>
          <w:rFonts w:hint="eastAsia" w:ascii="宋体" w:hAnsi="宋体" w:eastAsia="宋体" w:cs="Times New Roman"/>
          <w:b/>
          <w:sz w:val="26"/>
          <w:szCs w:val="28"/>
          <w:u w:val="single"/>
        </w:rPr>
      </w:pPr>
      <w:r>
        <w:rPr>
          <w:rFonts w:hint="eastAsia" w:ascii="宋体" w:hAnsi="宋体" w:eastAsia="宋体" w:cs="Times New Roman"/>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rPr>
      </w:pPr>
      <w:r>
        <w:rPr>
          <w:rFonts w:hint="eastAsia" w:ascii="宋体" w:hAnsi="宋体" w:eastAsia="宋体" w:cs="Times New Roman"/>
          <w:b/>
          <w:color w:val="auto"/>
          <w:sz w:val="24"/>
          <w:szCs w:val="28"/>
        </w:rPr>
        <w:t xml:space="preserve">江苏政府采购网：</w:t>
      </w:r>
      <w:r>
        <w:rPr>
          <w:rFonts w:hint="eastAsia" w:ascii="宋体" w:hAnsi="宋体" w:eastAsia="宋体" w:cs="Times New Roman"/>
          <w:b/>
          <w:color w:val="auto"/>
          <w:sz w:val="24"/>
          <w:szCs w:val="28"/>
        </w:rPr>
        <w:fldChar w:fldCharType="begin"/>
      </w:r>
      <w:r>
        <w:rPr>
          <w:rFonts w:hint="eastAsia" w:ascii="宋体" w:hAnsi="宋体" w:eastAsia="宋体" w:cs="Times New Roman"/>
          <w:b/>
          <w:color w:val="auto"/>
          <w:sz w:val="24"/>
          <w:szCs w:val="28"/>
        </w:rPr>
        <w:instrText xml:space="preserve"> HYPERLINK "http://www.ccgp-jiangsu.gov.cn/" </w:instrText>
      </w:r>
      <w:r>
        <w:rPr>
          <w:rFonts w:hint="eastAsia" w:ascii="宋体" w:hAnsi="宋体" w:eastAsia="宋体" w:cs="Times New Roman"/>
          <w:b/>
          <w:color w:val="auto"/>
          <w:sz w:val="24"/>
          <w:szCs w:val="28"/>
        </w:rPr>
        <w:fldChar w:fldCharType="separate"/>
      </w:r>
      <w:r>
        <w:rPr>
          <w:rFonts w:hint="eastAsia" w:ascii="宋体" w:hAnsi="宋体" w:eastAsia="宋体" w:cs="Times New Roman"/>
          <w:b/>
          <w:color w:val="auto"/>
          <w:sz w:val="24"/>
          <w:szCs w:val="28"/>
          <w:u w:val="single"/>
        </w:rPr>
        <w:t xml:space="preserve">http://www.ccgp-jiangsu.gov.cn/</w:t>
      </w:r>
      <w:r>
        <w:rPr>
          <w:rFonts w:hint="eastAsia" w:ascii="宋体" w:hAnsi="宋体" w:eastAsia="宋体" w:cs="Times New Roman"/>
          <w:b/>
          <w:color w:val="auto"/>
          <w:sz w:val="24"/>
          <w:szCs w:val="28"/>
        </w:rPr>
        <w:fldChar w:fldCharType="end"/>
      </w:r>
      <w:r/>
    </w:p>
    <w:p>
      <w:pPr>
        <w:numPr>
          <w:ilvl w:val="0"/>
          <w:numId w:val="1"/>
        </w:numPr>
        <w:jc w:val="center"/>
        <w:spacing w:line="360" w:lineRule="auto"/>
        <w:rPr>
          <w:rFonts w:hint="eastAsia" w:ascii="宋体" w:hAnsi="宋体" w:eastAsia="宋体" w:cs="宋体"/>
          <w:b/>
          <w:bCs/>
          <w:sz w:val="36"/>
          <w:szCs w:val="36"/>
        </w:rPr>
      </w:pPr>
      <w:r/>
      <w:bookmarkStart w:id="1" w:name="_Toc20144954"/>
      <w:r/>
      <w:bookmarkStart w:id="2" w:name="_Toc20564500"/>
      <w:r/>
      <w:bookmarkStart w:id="3" w:name="_Toc5578647"/>
      <w:r/>
      <w:bookmarkStart w:id="4" w:name="_Toc20564588"/>
      <w:r/>
      <w:bookmarkStart w:id="5" w:name="_Toc20571334"/>
      <w:r/>
      <w:bookmarkStart w:id="6" w:name="_Toc5575584"/>
      <w:r/>
      <w:bookmarkStart w:id="7" w:name="OLE_LINK2"/>
      <w:r>
        <w:rPr>
          <w:rFonts w:hint="eastAsia" w:ascii="宋体" w:hAnsi="宋体" w:eastAsia="宋体" w:cs="宋体"/>
          <w:b/>
          <w:bCs/>
          <w:sz w:val="36"/>
          <w:szCs w:val="36"/>
          <w:lang w:val="en-US" w:eastAsia="zh-CN"/>
        </w:rPr>
        <w:t xml:space="preserve"> </w:t>
      </w:r>
      <w:bookmarkEnd w:id="1"/>
      <w:r/>
      <w:bookmarkEnd w:id="2"/>
      <w:r/>
      <w:bookmarkEnd w:id="3"/>
      <w:r/>
      <w:bookmarkEnd w:id="4"/>
      <w:r/>
      <w:bookmarkEnd w:id="5"/>
      <w:r/>
      <w:bookmarkEnd w:id="6"/>
      <w:r>
        <w:rPr>
          <w:rFonts w:hint="eastAsia" w:ascii="宋体" w:hAnsi="宋体" w:eastAsia="宋体" w:cs="宋体"/>
          <w:b/>
          <w:bCs/>
          <w:sz w:val="36"/>
          <w:szCs w:val="36"/>
          <w:lang w:val="en-US" w:eastAsia="zh-CN"/>
        </w:rPr>
        <w:t xml:space="preserve"> 公开招标公告</w:t>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ascii="Times New Roman" w:hAnsi="Times New Roman" w:eastAsia="宋体" w:cs="Times New Roman"/>
          <w:szCs w:val="20"/>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南通市海门区市场监督管理局采购2026年食品安全监督抽检服务项目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eastAsia="宋体" w:cs="宋体"/>
          <w:sz w:val="28"/>
          <w:szCs w:val="28"/>
          <w:highlight w:val="yellow"/>
          <w:u w:val="single"/>
          <w:lang w:val="en-US" w:eastAsia="zh-CN"/>
        </w:rPr>
        <w:t xml:space="preserve">2026</w:t>
      </w:r>
      <w:r>
        <w:rPr>
          <w:rFonts w:hint="eastAsia" w:ascii="宋体" w:hAnsi="宋体" w:eastAsia="宋体" w:cs="宋体"/>
          <w:sz w:val="28"/>
          <w:szCs w:val="28"/>
          <w:highlight w:val="yellow"/>
          <w:u w:val="single"/>
        </w:rPr>
        <w:t xml:space="preserve">年</w:t>
      </w:r>
      <w:r>
        <w:rPr>
          <w:rFonts w:hint="eastAsia" w:ascii="宋体" w:hAnsi="宋体" w:eastAsia="宋体" w:cs="宋体"/>
          <w:sz w:val="28"/>
          <w:szCs w:val="28"/>
          <w:highlight w:val="yellow"/>
          <w:u w:val="single"/>
          <w:lang w:val="en-US" w:eastAsia="zh-CN"/>
        </w:rPr>
        <w:t xml:space="preserve">01月28日</w:t>
      </w:r>
      <w:r>
        <w:rPr>
          <w:rFonts w:hint="eastAsia" w:ascii="宋体" w:hAnsi="宋体" w:eastAsia="宋体" w:cs="宋体"/>
          <w:bCs/>
          <w:sz w:val="28"/>
          <w:szCs w:val="28"/>
          <w:highlight w:val="yellow"/>
          <w:u w:val="single"/>
          <w:lang w:val="en-US" w:eastAsia="zh-CN"/>
        </w:rPr>
        <w:t xml:space="preserve">09</w:t>
      </w:r>
      <w:r>
        <w:rPr>
          <w:rFonts w:hint="eastAsia" w:ascii="宋体" w:hAnsi="宋体" w:eastAsia="宋体" w:cs="宋体"/>
          <w:bCs/>
          <w:sz w:val="28"/>
          <w:szCs w:val="28"/>
          <w:highlight w:val="yellow"/>
          <w:u w:val="single"/>
        </w:rPr>
        <w:t xml:space="preserve">点</w:t>
      </w:r>
      <w:r>
        <w:rPr>
          <w:rFonts w:hint="eastAsia" w:ascii="宋体" w:hAnsi="宋体" w:eastAsia="宋体" w:cs="宋体"/>
          <w:bCs/>
          <w:sz w:val="28"/>
          <w:szCs w:val="28"/>
          <w:highlight w:val="yellow"/>
          <w:u w:val="single"/>
          <w:lang w:val="en-US" w:eastAsia="zh-CN"/>
        </w:rPr>
        <w:t xml:space="preserve">00</w:t>
      </w:r>
      <w:r>
        <w:rPr>
          <w:rFonts w:hint="eastAsia" w:ascii="宋体" w:hAnsi="宋体" w:eastAsia="宋体" w:cs="宋体"/>
          <w:bCs/>
          <w:sz w:val="28"/>
          <w:szCs w:val="28"/>
          <w:highlight w:val="yellow"/>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1、项目编号：</w:t>
      </w:r>
      <w:r>
        <w:rPr>
          <w:rFonts w:hint="eastAsia" w:ascii="宋体" w:hAnsi="宋体" w:eastAsia="宋体" w:cs="宋体"/>
          <w:sz w:val="28"/>
          <w:szCs w:val="28"/>
          <w:lang w:val="en-US" w:eastAsia="zh-CN"/>
        </w:rPr>
        <w:t xml:space="preserve">JSZC-320614-GDHC-G2026-0001</w:t>
      </w:r>
      <w:r/>
    </w:p>
    <w:p>
      <w:pPr>
        <w:ind w:firstLine="56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eastAsia="宋体" w:cs="宋体"/>
          <w:sz w:val="28"/>
          <w:szCs w:val="28"/>
          <w:lang w:eastAsia="zh-CN"/>
        </w:rPr>
        <w:t xml:space="preserve">南通市海门区市场监督管理局采购2026年食品安全监督抽检服务项目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3、项目采购方式：公开招标</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5、项目所属行业：</w:t>
      </w:r>
      <w:r>
        <w:rPr>
          <w:rFonts w:hint="eastAsia" w:ascii="宋体" w:hAnsi="宋体" w:eastAsia="宋体" w:cs="宋体"/>
          <w:sz w:val="28"/>
          <w:szCs w:val="28"/>
          <w:lang w:val="en-US" w:eastAsia="zh-CN"/>
        </w:rPr>
        <w:t xml:space="preserve">其他未列明行业</w:t>
      </w:r>
      <w:r/>
    </w:p>
    <w:p>
      <w:pPr>
        <w:ind w:left="0" w:firstLine="560"/>
        <w:jc w:val="both"/>
        <w:spacing w:line="360" w:lineRule="auto"/>
        <w:widowControl w:val="off"/>
        <w:rPr>
          <w:rFonts w:hint="eastAsia" w:ascii="宋体" w:hAnsi="宋体" w:eastAsia="宋体" w:cs="宋体"/>
          <w:sz w:val="28"/>
          <w:szCs w:val="20"/>
          <w:lang w:val="en-US" w:eastAsia="zh-CN" w:bidi="ar-SA"/>
        </w:rPr>
      </w:pPr>
      <w:r>
        <w:rPr>
          <w:rFonts w:hint="eastAsia" w:ascii="宋体" w:hAnsi="宋体" w:eastAsia="宋体" w:cs="宋体"/>
          <w:sz w:val="28"/>
          <w:szCs w:val="28"/>
          <w:lang w:val="en-US" w:eastAsia="zh-CN" w:bidi="ar-SA"/>
        </w:rPr>
        <w:t xml:space="preserve">6、项目预算：239.85 万元</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7、最高限价</w:t>
      </w:r>
      <w:r>
        <w:rPr>
          <w:rFonts w:hint="eastAsia" w:ascii="宋体" w:hAnsi="宋体" w:eastAsia="宋体" w:cs="宋体"/>
          <w:sz w:val="28"/>
          <w:szCs w:val="28"/>
          <w:lang w:eastAsia="zh-CN"/>
        </w:rPr>
        <w:t xml:space="preserve">：239.85 </w:t>
      </w:r>
      <w:r>
        <w:rPr>
          <w:rFonts w:hint="eastAsia" w:ascii="宋体" w:hAnsi="宋体" w:eastAsia="宋体" w:cs="宋体"/>
          <w:sz w:val="28"/>
          <w:szCs w:val="28"/>
        </w:rPr>
        <w:t xml:space="preserve">万元，投标报价超过最高限价的为无效投标。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28359090"/>
      <w:r/>
      <w:bookmarkStart w:id="9" w:name="_Toc35393799"/>
      <w:r/>
      <w:bookmarkStart w:id="10" w:name="_Toc35393630"/>
      <w:r/>
      <w:bookmarkStart w:id="11" w:name="_Toc28359013"/>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pStyle w:val="880"/>
        <w:ind w:firstLine="560"/>
        <w:spacing w:before="0" w:beforeAutospacing="0" w:after="0" w:afterAutospacing="0" w:line="360" w:lineRule="auto"/>
        <w:rPr>
          <w:rFonts w:hint="eastAsia" w:cs="宋体"/>
          <w:color w:val="000000"/>
          <w:sz w:val="28"/>
          <w:szCs w:val="28"/>
          <w:u w:val="single"/>
        </w:rPr>
      </w:pPr>
      <w:r/>
      <w:bookmarkStart w:id="12" w:name="_Toc28359014"/>
      <w:r/>
      <w:bookmarkStart w:id="13" w:name="_Toc28359091"/>
      <w:r>
        <w:rPr>
          <w:rFonts w:hint="eastAsia" w:ascii="宋体" w:hAnsi="宋体" w:eastAsia="宋体" w:cs="宋体"/>
          <w:color w:val="auto"/>
          <w:sz w:val="28"/>
          <w:szCs w:val="28"/>
          <w:highlight w:val="white"/>
        </w:rPr>
        <w:t xml:space="preserve">2、落实政府采购政策需满足的资格要求：</w:t>
      </w:r>
      <w:r>
        <w:rPr>
          <w:rFonts w:hint="eastAsia" w:cs="宋体"/>
          <w:color w:val="000000"/>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880"/>
        <w:ind w:firstLine="560"/>
        <w:spacing w:before="0" w:beforeAutospacing="0" w:after="0" w:afterAutospacing="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bookmarkStart w:id="14" w:name="_Toc35393631"/>
      <w:r/>
      <w:bookmarkStart w:id="15" w:name="_Toc35393800"/>
      <w:r>
        <w:rPr>
          <w:rFonts w:hint="eastAsia" w:cs="宋体"/>
          <w:color w:val="000000"/>
          <w:sz w:val="28"/>
          <w:szCs w:val="28"/>
        </w:rPr>
        <w:t xml:space="preserve">投标供应商必须具有食品和食用农产品的检验资质认定（CMA）证书，且在有效期内，须提供资质认定（CMA）证书及附表等相应证明材料。</w:t>
      </w:r>
      <w:r/>
    </w:p>
    <w:p>
      <w:pPr>
        <w:jc w:val="left"/>
        <w:spacing w:line="360" w:lineRule="auto"/>
        <w:widowControl/>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eastAsia="宋体" w:cs="宋体"/>
          <w:color w:val="auto"/>
          <w:sz w:val="28"/>
          <w:szCs w:val="28"/>
          <w:highlight w:val="yellow"/>
        </w:rPr>
      </w:pPr>
      <w:r/>
      <w:bookmarkStart w:id="16" w:name="_Toc28359092"/>
      <w:r/>
      <w:bookmarkStart w:id="17" w:name="_Toc35393801"/>
      <w:r/>
      <w:bookmarkStart w:id="18" w:name="_Toc28359015"/>
      <w:r/>
      <w:bookmarkStart w:id="19" w:name="_Toc35393632"/>
      <w:r>
        <w:rPr>
          <w:rFonts w:hint="eastAsia" w:ascii="宋体" w:hAnsi="宋体" w:eastAsia="宋体" w:cs="宋体"/>
          <w:color w:val="000000"/>
          <w:sz w:val="28"/>
          <w:szCs w:val="28"/>
        </w:rPr>
        <w:t xml:space="preserve">1.时间：</w:t>
      </w:r>
      <w:r>
        <w:rPr>
          <w:rFonts w:hint="eastAsia" w:ascii="宋体" w:hAnsi="宋体" w:eastAsia="宋体" w:cs="宋体"/>
          <w:color w:val="auto"/>
          <w:sz w:val="28"/>
          <w:szCs w:val="28"/>
          <w:highlight w:val="yellow"/>
        </w:rPr>
        <w:t xml:space="preserve">20</w:t>
      </w:r>
      <w:r>
        <w:rPr>
          <w:rFonts w:hint="eastAsia" w:ascii="宋体" w:hAnsi="宋体" w:eastAsia="宋体" w:cs="宋体"/>
          <w:color w:val="auto"/>
          <w:sz w:val="28"/>
          <w:szCs w:val="28"/>
          <w:highlight w:val="yellow"/>
          <w:lang w:val="en-US" w:eastAsia="zh-CN"/>
        </w:rPr>
        <w:t xml:space="preserve">26</w:t>
      </w:r>
      <w:r>
        <w:rPr>
          <w:rFonts w:hint="eastAsia" w:ascii="宋体" w:hAnsi="宋体" w:eastAsia="宋体" w:cs="宋体"/>
          <w:color w:val="auto"/>
          <w:sz w:val="28"/>
          <w:szCs w:val="28"/>
          <w:highlight w:val="yellow"/>
        </w:rPr>
        <w:t xml:space="preserve">年</w:t>
      </w:r>
      <w:r>
        <w:rPr>
          <w:rFonts w:hint="eastAsia" w:ascii="宋体" w:hAnsi="宋体" w:eastAsia="宋体" w:cs="宋体"/>
          <w:color w:val="auto"/>
          <w:sz w:val="28"/>
          <w:szCs w:val="28"/>
          <w:highlight w:val="yellow"/>
          <w:lang w:val="en-US" w:eastAsia="zh-CN"/>
        </w:rPr>
        <w:t xml:space="preserve">01</w:t>
      </w:r>
      <w:r>
        <w:rPr>
          <w:rFonts w:hint="eastAsia" w:ascii="宋体" w:hAnsi="宋体" w:eastAsia="宋体" w:cs="宋体"/>
          <w:color w:val="auto"/>
          <w:sz w:val="28"/>
          <w:szCs w:val="28"/>
          <w:highlight w:val="yellow"/>
        </w:rPr>
        <w:t xml:space="preserve">月</w:t>
      </w:r>
      <w:r>
        <w:rPr>
          <w:rFonts w:hint="eastAsia" w:ascii="宋体" w:hAnsi="宋体" w:eastAsia="宋体" w:cs="宋体"/>
          <w:color w:val="auto"/>
          <w:sz w:val="28"/>
          <w:szCs w:val="28"/>
          <w:highlight w:val="yellow"/>
          <w:lang w:val="en-US" w:eastAsia="zh-CN"/>
        </w:rPr>
        <w:t xml:space="preserve">08</w:t>
      </w:r>
      <w:r>
        <w:rPr>
          <w:rFonts w:hint="eastAsia" w:ascii="宋体" w:hAnsi="宋体" w:eastAsia="宋体" w:cs="宋体"/>
          <w:color w:val="auto"/>
          <w:sz w:val="28"/>
          <w:szCs w:val="28"/>
          <w:highlight w:val="yellow"/>
        </w:rPr>
        <w:t xml:space="preserve">日至202</w:t>
      </w:r>
      <w:r>
        <w:rPr>
          <w:rFonts w:hint="eastAsia" w:ascii="宋体" w:hAnsi="宋体" w:eastAsia="宋体" w:cs="宋体"/>
          <w:color w:val="auto"/>
          <w:sz w:val="28"/>
          <w:szCs w:val="28"/>
          <w:highlight w:val="yellow"/>
          <w:lang w:val="en-US" w:eastAsia="zh-CN"/>
        </w:rPr>
        <w:t xml:space="preserve">6</w:t>
      </w:r>
      <w:r>
        <w:rPr>
          <w:rFonts w:hint="eastAsia" w:ascii="宋体" w:hAnsi="宋体" w:eastAsia="宋体" w:cs="宋体"/>
          <w:color w:val="auto"/>
          <w:sz w:val="28"/>
          <w:szCs w:val="28"/>
          <w:highlight w:val="yellow"/>
        </w:rPr>
        <w:t xml:space="preserve">年</w:t>
      </w:r>
      <w:r>
        <w:rPr>
          <w:rFonts w:hint="eastAsia" w:ascii="宋体" w:hAnsi="宋体" w:eastAsia="宋体" w:cs="宋体"/>
          <w:color w:val="auto"/>
          <w:sz w:val="28"/>
          <w:szCs w:val="28"/>
          <w:highlight w:val="yellow"/>
          <w:lang w:val="en-US" w:eastAsia="zh-CN"/>
        </w:rPr>
        <w:t xml:space="preserve">01</w:t>
      </w:r>
      <w:r>
        <w:rPr>
          <w:rFonts w:hint="eastAsia" w:ascii="宋体" w:hAnsi="宋体" w:eastAsia="宋体" w:cs="宋体"/>
          <w:color w:val="auto"/>
          <w:sz w:val="28"/>
          <w:szCs w:val="28"/>
          <w:highlight w:val="yellow"/>
        </w:rPr>
        <w:t xml:space="preserve">月</w:t>
      </w:r>
      <w:r>
        <w:rPr>
          <w:rFonts w:hint="eastAsia" w:ascii="宋体" w:hAnsi="宋体" w:eastAsia="宋体" w:cs="宋体"/>
          <w:color w:val="auto"/>
          <w:sz w:val="28"/>
          <w:szCs w:val="28"/>
          <w:highlight w:val="yellow"/>
          <w:lang w:val="en-US" w:eastAsia="zh-CN"/>
        </w:rPr>
        <w:t xml:space="preserve">14</w:t>
      </w:r>
      <w:r>
        <w:rPr>
          <w:rFonts w:hint="eastAsia" w:ascii="宋体" w:hAnsi="宋体" w:eastAsia="宋体" w:cs="宋体"/>
          <w:color w:val="auto"/>
          <w:sz w:val="28"/>
          <w:szCs w:val="28"/>
          <w:highlight w:val="yellow"/>
        </w:rPr>
        <w:t xml:space="preserve">日</w:t>
      </w:r>
      <w:r>
        <w:rPr>
          <w:rFonts w:hint="eastAsia" w:ascii="宋体" w:hAnsi="宋体" w:eastAsia="宋体" w:cs="宋体"/>
          <w:color w:val="auto"/>
          <w:sz w:val="28"/>
          <w:szCs w:val="28"/>
          <w:highlight w:val="yellow"/>
          <w:lang w:val="en-US" w:eastAsia="zh-CN"/>
        </w:rPr>
        <w:t xml:space="preserve">23</w:t>
      </w:r>
      <w:r>
        <w:rPr>
          <w:rFonts w:hint="eastAsia" w:ascii="宋体" w:hAnsi="宋体" w:eastAsia="宋体" w:cs="宋体"/>
          <w:color w:val="auto"/>
          <w:sz w:val="28"/>
          <w:szCs w:val="28"/>
          <w:highlight w:val="yellow"/>
        </w:rPr>
        <w:t xml:space="preserve">点</w:t>
      </w:r>
      <w:r>
        <w:rPr>
          <w:rFonts w:hint="eastAsia" w:ascii="宋体" w:hAnsi="宋体" w:eastAsia="宋体" w:cs="宋体"/>
          <w:color w:val="auto"/>
          <w:sz w:val="28"/>
          <w:szCs w:val="28"/>
          <w:highlight w:val="yellow"/>
          <w:lang w:val="en-US" w:eastAsia="zh-CN"/>
        </w:rPr>
        <w:t xml:space="preserve">59</w:t>
      </w:r>
      <w:r>
        <w:rPr>
          <w:rFonts w:hint="eastAsia" w:ascii="宋体" w:hAnsi="宋体" w:eastAsia="宋体" w:cs="宋体"/>
          <w:color w:val="auto"/>
          <w:sz w:val="28"/>
          <w:szCs w:val="28"/>
          <w:highlight w:val="yellow"/>
        </w:rPr>
        <w:t xml:space="preserve">分（北京时间）</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2.地点：网上注册登记成功后系统内免费下载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eastAsia="宋体" w:cs="宋体"/>
          <w:b/>
          <w:color w:val="000000"/>
          <w:sz w:val="28"/>
          <w:szCs w:val="28"/>
        </w:rPr>
        <w:t xml:space="preserve">提交响应文件截止时间、</w:t>
      </w:r>
      <w:r>
        <w:rPr>
          <w:rFonts w:hint="eastAsia" w:ascii="宋体" w:hAnsi="宋体" w:eastAsia="宋体" w:cs="宋体"/>
          <w:b/>
          <w:color w:val="000000"/>
          <w:sz w:val="28"/>
          <w:szCs w:val="28"/>
          <w:lang w:val="en-US" w:eastAsia="zh-CN"/>
        </w:rPr>
        <w:t xml:space="preserve">开标</w:t>
      </w:r>
      <w:r>
        <w:rPr>
          <w:rFonts w:hint="eastAsia" w:ascii="宋体" w:hAnsi="宋体" w:eastAsia="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eastAsia="宋体" w:cs="宋体"/>
          <w:color w:val="000000"/>
          <w:sz w:val="28"/>
          <w:szCs w:val="28"/>
        </w:rPr>
      </w:pPr>
      <w:r/>
      <w:bookmarkStart w:id="20" w:name="_Toc35393803"/>
      <w:r/>
      <w:bookmarkStart w:id="21" w:name="_Toc28359017"/>
      <w:r/>
      <w:bookmarkStart w:id="22" w:name="_Toc35393634"/>
      <w:r/>
      <w:bookmarkStart w:id="23" w:name="_Toc28359094"/>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highlight w:val="yellow"/>
        </w:rPr>
        <w:t xml:space="preserve">202</w:t>
      </w:r>
      <w:r>
        <w:rPr>
          <w:rFonts w:hint="eastAsia" w:ascii="宋体" w:hAnsi="宋体" w:eastAsia="宋体" w:cs="宋体"/>
          <w:color w:val="000000"/>
          <w:sz w:val="28"/>
          <w:szCs w:val="28"/>
          <w:highlight w:val="yellow"/>
          <w:lang w:val="en-US" w:eastAsia="zh-CN"/>
        </w:rPr>
        <w:t xml:space="preserve">6</w:t>
      </w:r>
      <w:r>
        <w:rPr>
          <w:rFonts w:hint="eastAsia" w:ascii="宋体" w:hAnsi="宋体" w:eastAsia="宋体" w:cs="宋体"/>
          <w:color w:val="000000"/>
          <w:sz w:val="28"/>
          <w:szCs w:val="28"/>
          <w:highlight w:val="yellow"/>
        </w:rPr>
        <w:t xml:space="preserve">年</w:t>
      </w:r>
      <w:r>
        <w:rPr>
          <w:rFonts w:hint="eastAsia" w:ascii="宋体" w:hAnsi="宋体" w:eastAsia="宋体" w:cs="宋体"/>
          <w:color w:val="000000"/>
          <w:sz w:val="28"/>
          <w:szCs w:val="28"/>
          <w:highlight w:val="yellow"/>
          <w:lang w:val="en-US" w:eastAsia="zh-CN"/>
        </w:rPr>
        <w:t xml:space="preserve">01月28日0</w:t>
      </w:r>
      <w:r>
        <w:rPr>
          <w:rFonts w:hint="eastAsia" w:ascii="宋体" w:hAnsi="宋体" w:eastAsia="宋体" w:cs="宋体"/>
          <w:color w:val="000000"/>
          <w:sz w:val="28"/>
          <w:szCs w:val="28"/>
          <w:highlight w:val="yellow"/>
        </w:rPr>
        <w:t xml:space="preserve">9点00分</w:t>
      </w:r>
      <w:r>
        <w:rPr>
          <w:rFonts w:hint="eastAsia" w:ascii="宋体" w:hAnsi="宋体" w:eastAsia="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eastAsia="宋体" w:cs="宋体"/>
          <w:i/>
          <w:color w:val="000000"/>
          <w:sz w:val="28"/>
          <w:szCs w:val="28"/>
        </w:rPr>
      </w:pPr>
      <w:r>
        <w:rPr>
          <w:rFonts w:hint="eastAsia" w:ascii="宋体" w:hAnsi="宋体" w:eastAsia="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sz w:val="28"/>
          <w:szCs w:val="28"/>
        </w:rPr>
        <w:t xml:space="preserve">投标供应商解密限定在开标后30分钟之内完成</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635"/>
      <w:r/>
      <w:bookmarkStart w:id="25" w:name="_Toc35393804"/>
      <w:r>
        <w:rPr>
          <w:rFonts w:hint="eastAsia" w:ascii="宋体" w:hAnsi="宋体" w:eastAsia="宋体" w:cs="宋体"/>
          <w:sz w:val="28"/>
          <w:szCs w:val="28"/>
        </w:rPr>
        <w:t xml:space="preserve">自本公告发布之日起</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eastAsia="宋体" w:cs="宋体"/>
          <w:sz w:val="28"/>
          <w:szCs w:val="28"/>
        </w:rPr>
      </w:pPr>
      <w:r/>
      <w:bookmarkStart w:id="26" w:name="_Toc35393805"/>
      <w:r/>
      <w:bookmarkStart w:id="27" w:name="_Toc28359095"/>
      <w:r/>
      <w:bookmarkStart w:id="28" w:name="_Toc28359018"/>
      <w:r/>
      <w:bookmarkStart w:id="29" w:name="_Toc35393636"/>
      <w:r>
        <w:rPr>
          <w:rFonts w:hint="eastAsia" w:ascii="宋体" w:hAnsi="宋体" w:eastAsia="宋体" w:cs="宋体"/>
          <w:sz w:val="28"/>
          <w:szCs w:val="28"/>
        </w:rPr>
        <w:t xml:space="preserve">1、投标保证金：免收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2、项目开标模式：不见面远程开标模式，投标人在各自地点通过苏采云系统参加投标活动。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0"/>
      <w:r/>
      <w:bookmarkEnd w:id="7"/>
      <w:r/>
      <w:bookmarkEnd w:id="26"/>
      <w:r/>
      <w:bookmarkEnd w:id="27"/>
      <w:r/>
      <w:bookmarkEnd w:id="28"/>
      <w:r/>
      <w:bookmarkEnd w:id="29"/>
      <w:r/>
      <w:bookmarkStart w:id="30" w:name="_Toc35393637"/>
      <w:r/>
      <w:bookmarkEnd w:id="30"/>
      <w:r/>
      <w:bookmarkStart w:id="31" w:name="_Toc28359096"/>
      <w:r/>
      <w:bookmarkEnd w:id="31"/>
      <w:r/>
      <w:bookmarkStart w:id="32" w:name="_Toc35393806"/>
      <w:r/>
      <w:bookmarkEnd w:id="32"/>
      <w:r/>
      <w:bookmarkStart w:id="33" w:name="_Toc28359019"/>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南通市海门区市场监督管理局</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1129" w:hanging="350"/>
        <w:jc w:val="left"/>
        <w:spacing w:line="360" w:lineRule="auto"/>
        <w:rPr>
          <w:rFonts w:hint="default"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南通市海门区南京中路259号</w:t>
      </w:r>
      <w:r>
        <w:rPr>
          <w:rFonts w:hint="eastAsia" w:ascii="宋体" w:hAnsi="宋体" w:eastAsia="宋体" w:cs="宋体"/>
          <w:sz w:val="28"/>
          <w:szCs w:val="28"/>
          <w:u w:val="single"/>
          <w:lang w:val="en-US" w:eastAsia="zh-CN"/>
        </w:rPr>
        <w:t xml:space="preserve">    </w:t>
      </w:r>
      <w:r/>
    </w:p>
    <w:p>
      <w:pPr>
        <w:ind w:firstLine="840"/>
        <w:jc w:val="left"/>
        <w:spacing w:line="360" w:lineRule="auto"/>
        <w:shd w:val="solid" w:color="ffffff" w:fill="auto"/>
        <w:widowControl/>
        <w:rPr>
          <w:rFonts w:hint="default" w:ascii="宋体" w:hAnsi="宋体" w:eastAsia="宋体" w:cs="宋体"/>
          <w:sz w:val="28"/>
          <w:szCs w:val="28"/>
          <w:u w:val="single"/>
          <w:lang w:val="en-US" w:eastAsia="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bookmarkStart w:id="34" w:name="_Toc35393638"/>
      <w:r/>
      <w:bookmarkStart w:id="35" w:name="_Toc35393807"/>
      <w:r/>
      <w:bookmarkStart w:id="36" w:name="_Toc28359097"/>
      <w:r/>
      <w:bookmarkStart w:id="37" w:name="_Toc28359020"/>
      <w:r>
        <w:rPr>
          <w:rFonts w:hint="eastAsia" w:ascii="宋体" w:hAnsi="宋体" w:eastAsia="宋体" w:cs="宋体"/>
          <w:sz w:val="28"/>
          <w:szCs w:val="28"/>
          <w:u w:val="single"/>
          <w:lang w:val="en-US" w:eastAsia="zh-CN"/>
        </w:rPr>
        <w:t xml:space="preserve"> 朱女士      18036183939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国鼎和诚项目管理集团有限公司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黄女士　　15190932701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br w:type="page" w:clear="all"/>
      </w:r>
      <w:r/>
    </w:p>
    <w:p>
      <w:pPr>
        <w:jc w:val="center"/>
        <w:spacing w:line="500" w:lineRule="exact"/>
        <w:rPr>
          <w:rFonts w:hint="eastAsia" w:ascii="宋体" w:hAnsi="宋体" w:eastAsia="宋体" w:cs="宋体"/>
          <w:b/>
          <w:bCs/>
          <w:sz w:val="36"/>
          <w:szCs w:val="36"/>
        </w:rPr>
      </w:pPr>
      <w:r>
        <w:rPr>
          <w:rFonts w:hint="eastAsia" w:ascii="宋体" w:hAnsi="宋体" w:eastAsia="宋体" w:cs="宋体"/>
          <w:b/>
          <w:bCs/>
          <w:sz w:val="36"/>
          <w:szCs w:val="36"/>
          <w:lang w:val="zh-CN"/>
        </w:rPr>
        <w:t xml:space="preserve">第二部分 </w:t>
      </w:r>
      <w:r>
        <w:rPr>
          <w:rFonts w:hint="eastAsia" w:ascii="宋体" w:hAnsi="宋体" w:eastAsia="宋体" w:cs="宋体"/>
          <w:b/>
          <w:bCs/>
          <w:sz w:val="36"/>
          <w:szCs w:val="36"/>
        </w:rPr>
        <w:t xml:space="preserve">投标人</w:t>
      </w:r>
      <w:r>
        <w:rPr>
          <w:rFonts w:hint="eastAsia" w:ascii="宋体" w:hAnsi="宋体" w:eastAsia="宋体" w:cs="宋体"/>
          <w:b/>
          <w:bCs/>
          <w:sz w:val="36"/>
          <w:szCs w:val="36"/>
          <w:lang w:val="zh-CN"/>
        </w:rPr>
        <w:t xml:space="preserve">须知</w:t>
      </w:r>
      <w:r/>
    </w:p>
    <w:p>
      <w:pPr>
        <w:contextualSpacing/>
        <w:spacing w:line="360" w:lineRule="auto"/>
        <w:rPr>
          <w:rFonts w:hint="default" w:ascii="仿宋" w:hAnsi="仿宋" w:eastAsia="仿宋" w:cs="Times New Roman"/>
          <w:b/>
          <w:bCs/>
          <w:sz w:val="28"/>
          <w:szCs w:val="28"/>
        </w:rPr>
      </w:pPr>
      <w:r>
        <w:rPr>
          <w:rFonts w:hint="default" w:ascii="仿宋" w:hAnsi="仿宋" w:eastAsia="仿宋" w:cs="Times New Roman"/>
          <w:b/>
          <w:bCs/>
          <w:sz w:val="28"/>
          <w:szCs w:val="28"/>
        </w:rPr>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2.合格的投标人</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2.1满足招标公告中投标人的资格要求的规定。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4.投标费用</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 本次招标采购代理和采购人不收取标书工本费。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5.招标文件的约束力</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6.招标文件的解释</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（二）招标文件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1.招标文件构成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招标文件由以下部分组成：</w:t>
      </w:r>
      <w:r/>
    </w:p>
    <w:p>
      <w:pPr>
        <w:ind w:firstLine="420"/>
        <w:spacing w:line="360" w:lineRule="auto"/>
        <w:rPr>
          <w:rFonts w:hint="default" w:ascii="宋体" w:hAnsi="宋体" w:eastAsia="宋体" w:cs="宋体"/>
          <w:sz w:val="28"/>
          <w:szCs w:val="28"/>
        </w:rPr>
      </w:pPr>
      <w:r>
        <w:rPr>
          <w:rFonts w:hint="eastAsia" w:ascii="宋体" w:hAnsi="宋体" w:eastAsia="宋体" w:cs="宋体"/>
          <w:sz w:val="28"/>
          <w:szCs w:val="28"/>
        </w:rPr>
        <w:t xml:space="preserve">（1）招标</w:t>
      </w:r>
      <w:r>
        <w:rPr>
          <w:rFonts w:hint="eastAsia" w:ascii="宋体" w:hAnsi="宋体" w:eastAsia="宋体" w:cs="宋体"/>
          <w:bCs/>
          <w:sz w:val="28"/>
          <w:szCs w:val="28"/>
        </w:rPr>
        <w:t xml:space="preserve">公告</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（2）投标人须知</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（5）投标文件组成</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2.招标文件的澄清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2.2采购人视情组织答疑会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3.招标文件的修改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在投标文件提交截止时间前，采购代理可以对招标文件进行修改。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3.2 采购代理有权按照法定的要求推迟投标文件提交截止日期和投标日期。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eastAsia="宋体" w:cs="宋体"/>
          <w:b/>
          <w:bCs/>
          <w:sz w:val="28"/>
          <w:szCs w:val="28"/>
        </w:rPr>
        <w:outlineLvl w:val="0"/>
      </w:pPr>
      <w:r>
        <w:rPr>
          <w:rFonts w:hint="eastAsia" w:ascii="宋体" w:hAnsi="宋体" w:eastAsia="宋体" w:cs="宋体"/>
          <w:sz w:val="28"/>
          <w:szCs w:val="28"/>
        </w:rPr>
        <w:t xml:space="preserve">4.</w:t>
      </w:r>
      <w:r>
        <w:rPr>
          <w:rFonts w:hint="eastAsia" w:ascii="宋体" w:hAnsi="宋体" w:eastAsia="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（三）投标文件的编制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1.投标文件的语言及度量衡单位</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1.1</w:t>
      </w:r>
      <w:r>
        <w:rPr>
          <w:rFonts w:hint="default" w:ascii="宋体" w:hAnsi="宋体" w:eastAsia="宋体" w:cs="Times New Roman"/>
          <w:sz w:val="28"/>
          <w:szCs w:val="28"/>
        </w:rPr>
        <w:t xml:space="preserve">投标人提交的投标文件以及投标人与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就有关投标的所有来往通知、函件和文件均应使用</w:t>
      </w:r>
      <w:r>
        <w:rPr>
          <w:rFonts w:hint="default" w:ascii="宋体" w:hAnsi="宋体" w:eastAsia="宋体" w:cs="Times New Roman"/>
          <w:bCs/>
          <w:sz w:val="28"/>
          <w:szCs w:val="28"/>
        </w:rPr>
        <w:t xml:space="preserve">简体中文</w:t>
      </w:r>
      <w:r>
        <w:rPr>
          <w:rFonts w:hint="default" w:ascii="宋体" w:hAnsi="宋体" w:eastAsia="宋体" w:cs="Times New Roman"/>
          <w:sz w:val="28"/>
          <w:szCs w:val="28"/>
        </w:rPr>
        <w:t xml:space="preserve">。</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除技术性能另有规定外，投标文件所使用的度量衡单位，均须采用国家法定计量单位。</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2.投标文件构成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3.投标有效期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3.1投标有效期为采购中心规定的开标之日后</w:t>
      </w:r>
      <w:r>
        <w:rPr>
          <w:rFonts w:hint="eastAsia" w:ascii="宋体" w:hAnsi="宋体" w:eastAsia="宋体" w:cs="宋体"/>
          <w:b/>
          <w:bCs/>
          <w:sz w:val="28"/>
          <w:szCs w:val="28"/>
          <w:u w:val="single"/>
        </w:rPr>
        <w:t xml:space="preserve">六十（60）天</w:t>
      </w:r>
      <w:r>
        <w:rPr>
          <w:rFonts w:hint="eastAsia" w:ascii="宋体" w:hAnsi="宋体" w:eastAsia="宋体" w:cs="宋体"/>
          <w:sz w:val="28"/>
          <w:szCs w:val="28"/>
        </w:rPr>
        <w:t xml:space="preserve">。投标有效期比规定短的将被视为未实质性响应招标文件而予以拒绝。</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 投标有效期的延长</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5.电子投标文件其他要求</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5.3投标人应当对采购文件提出的实质性要求和条件作出实质性响应，并在电子投标系统逐条应答。</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w:t>
      </w:r>
      <w:r>
        <w:rPr>
          <w:rFonts w:hint="eastAsia" w:ascii="宋体" w:hAnsi="宋体" w:eastAsia="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（四）投标文件的提交</w:t>
      </w:r>
      <w:r/>
    </w:p>
    <w:p>
      <w:pPr>
        <w:ind w:firstLine="560"/>
        <w:keepNext/>
        <w:spacing w:line="360" w:lineRule="auto"/>
        <w:rPr>
          <w:rFonts w:hint="eastAsia" w:ascii="宋体" w:hAnsi="宋体" w:eastAsia="宋体" w:cs="宋体"/>
          <w:b/>
          <w:bCs/>
          <w:sz w:val="28"/>
          <w:szCs w:val="28"/>
        </w:rPr>
        <w:outlineLvl w:val="3"/>
      </w:pPr>
      <w:r>
        <w:rPr>
          <w:rFonts w:hint="eastAsia" w:ascii="宋体" w:hAnsi="宋体" w:eastAsia="宋体" w:cs="宋体"/>
          <w:sz w:val="28"/>
          <w:szCs w:val="28"/>
        </w:rPr>
        <w:t xml:space="preserve">1.投标文件的提交</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2.投标文件截止日期</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 投标人上传电子投标文件的时间不得迟于招标公告中规定的投标文件提交截止时间。</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3.投标文件的密封（加密）要求：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3.3投标人未按规定加密的投标文件，“苏采云”系统应当拒收并提示。</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4.投标文件的拒收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5.投标文件的撤回和修改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 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 电子投标文件的撤回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5.1.2 投标人撤回电子投标文件，则认为其不再参与</w:t>
      </w:r>
      <w:r>
        <w:rPr>
          <w:rFonts w:hint="default" w:ascii="宋体" w:hAnsi="宋体" w:eastAsia="宋体" w:cs="Times New Roman"/>
          <w:sz w:val="28"/>
          <w:szCs w:val="28"/>
        </w:rPr>
        <w:t xml:space="preserve">本项目投标活动</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 投标文件的修改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投标人可在投标文件提交截止时间前，对其电子投标文件进行修改。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5.3 在投标文件提交截止时间之后，投标人不得对其电子投标文件作任何修改。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5.4 </w:t>
      </w:r>
      <w:r>
        <w:rPr>
          <w:rFonts w:hint="default" w:ascii="宋体" w:hAnsi="宋体" w:eastAsia="宋体" w:cs="Times New Roman"/>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（五）开标与评标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1.开标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将在招标公告中规定的时间和地点组织公开开标。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eastAsia="宋体" w:cs="宋体"/>
          <w:b/>
          <w:bCs/>
          <w:color w:val="000000"/>
          <w:sz w:val="28"/>
          <w:szCs w:val="28"/>
        </w:rPr>
        <w:t xml:space="preserve">投标投标人在开标室按规定时间自行实施远程解密，投标投标人解密限定在开标后30分钟之内完成</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1.2 </w:t>
      </w:r>
      <w:r>
        <w:rPr>
          <w:rFonts w:hint="default" w:ascii="宋体" w:hAnsi="宋体" w:eastAsia="宋体" w:cs="Times New Roman"/>
          <w:bCs/>
          <w:sz w:val="28"/>
          <w:szCs w:val="28"/>
        </w:rPr>
        <w:t xml:space="preserve">开标仪</w:t>
      </w:r>
      <w:r>
        <w:rPr>
          <w:rFonts w:hint="default" w:ascii="宋体" w:hAnsi="宋体" w:eastAsia="宋体" w:cs="Times New Roman"/>
          <w:sz w:val="28"/>
          <w:szCs w:val="28"/>
        </w:rPr>
        <w:t xml:space="preserve">式由</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组织，在不见面交易系统中进行开标，并公布各投标人的《开标一览表》。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2.评标委员会</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2.1</w:t>
      </w:r>
      <w:r>
        <w:rPr>
          <w:rFonts w:hint="default" w:ascii="宋体" w:hAnsi="宋体" w:eastAsia="宋体" w:cs="Times New Roman"/>
          <w:sz w:val="28"/>
          <w:szCs w:val="28"/>
        </w:rPr>
        <w:t xml:space="preserve">开标后，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将立即组织评标委员会（以下简称评委会）进行评标。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2.3评委会独立工作，负责评审所有投标文件并确定中标侯选人。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 评审过程的保密与公正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3.1</w:t>
      </w:r>
      <w:r>
        <w:rPr>
          <w:rFonts w:hint="default" w:ascii="宋体" w:hAnsi="宋体" w:eastAsia="宋体" w:cs="Times New Roman"/>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sz w:val="28"/>
          <w:szCs w:val="28"/>
        </w:rPr>
        <w:t xml:space="preserve">采购代理机构</w:t>
      </w:r>
      <w:r>
        <w:rPr>
          <w:rFonts w:hint="default" w:ascii="宋体" w:hAnsi="宋体" w:eastAsia="宋体" w:cs="Times New Roman"/>
          <w:bCs/>
          <w:sz w:val="28"/>
          <w:szCs w:val="28"/>
        </w:rPr>
        <w:t xml:space="preserve">均不得向投标人或与评标无关的其他人员透露。</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3.2在评审过程中，投标人不得以任何行为影响评审过程，否则其投标文件将被作为无效投标文件。</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3.3</w:t>
      </w:r>
      <w:r>
        <w:rPr>
          <w:rFonts w:hint="default" w:ascii="宋体" w:hAnsi="宋体" w:eastAsia="宋体" w:cs="Times New Roman"/>
          <w:sz w:val="28"/>
          <w:szCs w:val="28"/>
        </w:rPr>
        <w:t xml:space="preserve">在评标期间，</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将设专门人员与投标人联系。</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3.4</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3.5</w:t>
      </w:r>
      <w:r>
        <w:rPr>
          <w:rFonts w:hint="default" w:ascii="宋体" w:hAnsi="宋体" w:eastAsia="宋体" w:cs="Times New Roman"/>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4、投标文件的澄清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eastAsia="宋体" w:cs="宋体"/>
          <w:bCs/>
          <w:sz w:val="28"/>
          <w:szCs w:val="28"/>
        </w:rPr>
      </w:pPr>
      <w:r>
        <w:rPr>
          <w:rFonts w:hint="eastAsia" w:ascii="宋体" w:hAnsi="宋体" w:eastAsia="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5.对投标文件的初审</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5.1投标文件初审分为资格性审查和符合性审查。</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5.1.2</w:t>
      </w:r>
      <w:r>
        <w:rPr>
          <w:rFonts w:hint="default" w:ascii="宋体" w:hAnsi="宋体" w:eastAsia="宋体" w:cs="Times New Roman"/>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宋体" w:hAnsi="宋体" w:eastAsia="宋体" w:cs="Times New Roman"/>
          <w:bCs/>
          <w:sz w:val="28"/>
          <w:szCs w:val="28"/>
        </w:rPr>
        <w:t xml:space="preserve">评委决定投标文件的响应性只根据投标文件本身的内容，而不寻求外部的证据。</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5.3</w:t>
      </w:r>
      <w:r>
        <w:rPr>
          <w:rFonts w:hint="default" w:ascii="宋体" w:hAnsi="宋体" w:eastAsia="宋体" w:cs="Times New Roman"/>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5.4</w:t>
      </w:r>
      <w:r>
        <w:rPr>
          <w:rFonts w:hint="default" w:ascii="宋体" w:hAnsi="宋体" w:eastAsia="宋体" w:cs="Times New Roman"/>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（1）投标文件中开标一览表内容与投标文件中相应内容不一致的，以开标一览表为准。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（2）大写金额和小写金额不一致的，以大写金额为准。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（3）单价金额小数点或者百分比有明显错位的，以开标一览表的总价为准，并修改单价。</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（4）总价金额与按单价汇总金额不一致的，以单价金额计算结果为准。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同时出现两种以上错误的，按照前款规定的顺序修正。</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hint="default" w:ascii="宋体" w:hAnsi="宋体" w:eastAsia="宋体" w:cs="Times New Roman"/>
          <w:sz w:val="28"/>
          <w:szCs w:val="28"/>
        </w:rPr>
      </w:pPr>
      <w:r>
        <w:rPr>
          <w:rFonts w:hint="eastAsia" w:ascii="宋体" w:hAnsi="宋体" w:eastAsia="宋体" w:cs="宋体"/>
          <w:bCs/>
          <w:sz w:val="28"/>
          <w:szCs w:val="28"/>
        </w:rPr>
        <w:t xml:space="preserve">5.8</w:t>
      </w:r>
      <w:r>
        <w:rPr>
          <w:rFonts w:hint="default" w:ascii="宋体" w:hAnsi="宋体" w:eastAsia="宋体" w:cs="Times New Roman"/>
          <w:sz w:val="28"/>
          <w:szCs w:val="28"/>
        </w:rPr>
        <w:t xml:space="preserve">投标人在开、评标全过程中应保持通讯畅通，并安排专人与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default" w:ascii="宋体" w:hAnsi="宋体" w:eastAsia="宋体" w:cs="Times New Roman"/>
          <w:sz w:val="28"/>
          <w:szCs w:val="28"/>
        </w:rPr>
        <w:t xml:space="preserve">无效投标条款和废标条款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6.1无效投标条款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6.1.1 投标人在规定的时间内未成功解密电子投标文件的。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6.1.2 投标人未按照招标文件要求上传电子投标文件的。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6.1.3同一投标人提交两个（含两个）以上不同的投标报价的。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6.1.4投标人不具备招标文件中规定资格要求的。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6.1.5投标人的报价超过了采购预算或最高限价的。</w:t>
      </w:r>
      <w:r/>
    </w:p>
    <w:p>
      <w:pPr>
        <w:ind w:firstLine="56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6.1.6未通过符合性检查的。</w:t>
      </w:r>
      <w:r/>
    </w:p>
    <w:p>
      <w:pPr>
        <w:ind w:firstLine="42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 6.1.7不符合招标文件中规定的其他实质性要求和条件的。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6.1.9 投标文件含有采购人不能接受的附加条件的。</w:t>
      </w:r>
      <w:r/>
    </w:p>
    <w:p>
      <w:pPr>
        <w:ind w:firstLine="560"/>
        <w:spacing w:line="499" w:lineRule="atLeast"/>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8"/>
        </w:rPr>
        <w:t xml:space="preserve">6.1.10异常低价投标（响应）审查的情形和具体要求：</w:t>
      </w:r>
      <w:r/>
    </w:p>
    <w:p>
      <w:pPr>
        <w:numPr>
          <w:ilvl w:val="0"/>
          <w:numId w:val="2"/>
        </w:numPr>
        <w:ind w:firstLine="560"/>
        <w:spacing w:line="499" w:lineRule="atLeast"/>
        <w:rPr>
          <w:rFonts w:hint="default" w:ascii="宋体" w:hAnsi="宋体" w:eastAsia="宋体" w:cs="宋体"/>
          <w:b/>
          <w:bCs/>
          <w:color w:val="000000"/>
          <w:sz w:val="28"/>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8"/>
        </w:rPr>
        <w:t xml:space="preserve">评审过程中出现下列情形之一的，评标委员会应当启动异常低价投标（响应）审查程序：</w:t>
      </w:r>
      <w:r/>
    </w:p>
    <w:p>
      <w:pPr>
        <w:numPr>
          <w:ilvl w:val="0"/>
          <w:numId w:val="3"/>
        </w:numPr>
        <w:ind w:firstLine="560"/>
        <w:spacing w:line="499" w:lineRule="atLeast"/>
        <w:rPr>
          <w:rFonts w:hint="default" w:ascii="宋体" w:hAnsi="宋体" w:eastAsia="宋体" w:cs="宋体"/>
          <w:b/>
          <w:bCs/>
          <w:color w:val="000000"/>
          <w:sz w:val="28"/>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8"/>
        </w:rPr>
        <w:t xml:space="preserve">投标（响应）报价低于采购项目预算50% 的，即投标（响应）报价＜采购项目预算×50% ；</w:t>
      </w:r>
      <w:r/>
    </w:p>
    <w:p>
      <w:pPr>
        <w:numPr>
          <w:ilvl w:val="0"/>
          <w:numId w:val="3"/>
        </w:numPr>
        <w:ind w:left="0" w:firstLine="560"/>
        <w:spacing w:line="499" w:lineRule="atLeast"/>
        <w:rPr>
          <w:rFonts w:hint="default" w:ascii="宋体" w:hAnsi="宋体" w:eastAsia="宋体" w:cs="宋体"/>
          <w:b/>
          <w:bCs/>
          <w:color w:val="000000"/>
          <w:sz w:val="28"/>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8"/>
        </w:rPr>
        <w:t xml:space="preserve">投标（响应）报价低于采购项目最高限价45% 的，即投标（响应）报价＜采购项目最高限价×45% ；</w:t>
      </w:r>
      <w:r/>
    </w:p>
    <w:p>
      <w:pPr>
        <w:numPr>
          <w:ilvl w:val="0"/>
          <w:numId w:val="0"/>
        </w:numPr>
        <w:ind w:firstLine="560"/>
        <w:spacing w:line="499" w:lineRule="atLeast"/>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8"/>
        </w:rPr>
        <w:t xml:space="preserve">3．评标委员会认定的供应商报价过低、有可能影响产品质量或者不能诚信履约的其他情形。</w:t>
      </w:r>
      <w:r/>
    </w:p>
    <w:p>
      <w:pPr>
        <w:ind w:firstLine="560"/>
        <w:spacing w:line="499" w:lineRule="atLeast"/>
        <w:rPr>
          <w:rFonts w:hint="default" w:ascii="Times New Roman" w:hAnsi="Times New Roman" w:eastAsia="宋体" w:cs="Times New Roman"/>
          <w:b/>
          <w:bCs/>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8"/>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6.1.12投标文件未按照采购文件要求加盖电子签章。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6.1.13不同的投标人投标文件制作机器码、文件创建标识码一致的。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6.1.15其他法律、法规及本招标文件规定的属无效响应的情形。</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6.2 </w:t>
      </w:r>
      <w:r>
        <w:rPr>
          <w:rFonts w:hint="eastAsia" w:ascii="宋体" w:hAnsi="宋体" w:eastAsia="宋体" w:cs="宋体"/>
          <w:bCs/>
          <w:sz w:val="28"/>
          <w:szCs w:val="28"/>
        </w:rPr>
        <w:t xml:space="preserve">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6.2.1符合专业条件的供应商或者对招标文件作实质响应的供应商不足三家的。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6.2.2出现影响采购公正的违法、违规行为的。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6.2.3因重大变故，采购任务取消的。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6.2.4评标委员会认定招标文件存在歧义、重大缺陷导致评审工作无法进行。</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6.2.5 因系统故障原因造成开标不成功的。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 投标截止时间结束后参加投标的供应商不足三家的处理：</w:t>
      </w:r>
      <w:r/>
    </w:p>
    <w:p>
      <w:pPr>
        <w:ind w:firstLine="562"/>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7.投标文件线上格式要求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7.2 通过“苏采云”系统提交政府采购客户端工具导出加密的投标文件（后缀名为zip）。</w:t>
      </w:r>
      <w:r>
        <w:rPr>
          <w:rFonts w:hint="eastAsia" w:ascii="宋体" w:hAnsi="宋体" w:eastAsia="宋体" w:cs="宋体"/>
          <w:b/>
          <w:sz w:val="28"/>
          <w:szCs w:val="28"/>
        </w:rPr>
        <w:t xml:space="preserve">投标文件不得超过150M！</w:t>
      </w:r>
      <w:r/>
    </w:p>
    <w:p>
      <w:pPr>
        <w:ind w:firstLine="560"/>
        <w:spacing w:line="360" w:lineRule="auto"/>
        <w:rPr>
          <w:rFonts w:hint="eastAsia" w:ascii="宋体" w:hAnsi="宋体" w:eastAsia="宋体" w:cs="宋体"/>
          <w:b/>
          <w:sz w:val="28"/>
          <w:szCs w:val="28"/>
        </w:rPr>
      </w:pPr>
      <w:r>
        <w:rPr>
          <w:rFonts w:hint="eastAsia" w:ascii="宋体" w:hAnsi="宋体" w:eastAsia="宋体" w:cs="宋体"/>
          <w:bCs/>
          <w:sz w:val="28"/>
          <w:szCs w:val="28"/>
        </w:rPr>
        <w:t xml:space="preserve">7.3 本项目采用线上投标，即投标人投标文件从政府采购客户端工具制作通过“苏采云”系统提交，</w:t>
      </w:r>
      <w:r>
        <w:rPr>
          <w:rFonts w:hint="eastAsia" w:ascii="宋体" w:hAnsi="宋体" w:eastAsia="宋体" w:cs="宋体"/>
          <w:b/>
          <w:sz w:val="28"/>
          <w:szCs w:val="28"/>
        </w:rPr>
        <w:t xml:space="preserve">未提供线上投标文件的，投标无效。</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（六）</w:t>
      </w:r>
      <w:r>
        <w:rPr>
          <w:rFonts w:hint="eastAsia" w:ascii="宋体" w:hAnsi="宋体" w:eastAsia="宋体" w:cs="宋体"/>
          <w:b/>
          <w:bCs/>
          <w:sz w:val="28"/>
          <w:szCs w:val="28"/>
          <w:lang w:val="en-US" w:eastAsia="zh-CN"/>
        </w:rPr>
        <w:t xml:space="preserve">中标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1.1中标候选人的选取原则和数量见招标文件第四部分规定。 </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1.2采购人应根据</w:t>
      </w:r>
      <w:r>
        <w:rPr>
          <w:rFonts w:hint="eastAsia" w:ascii="宋体" w:hAnsi="宋体" w:eastAsia="宋体" w:cs="Times New Roman"/>
          <w:bCs/>
          <w:sz w:val="28"/>
          <w:szCs w:val="28"/>
        </w:rPr>
        <w:t xml:space="preserve">评标委员会</w:t>
      </w:r>
      <w:r>
        <w:rPr>
          <w:rFonts w:hint="default" w:ascii="宋体" w:hAnsi="宋体" w:eastAsia="宋体" w:cs="Times New Roman"/>
          <w:bCs/>
          <w:sz w:val="28"/>
          <w:szCs w:val="28"/>
        </w:rPr>
        <w:t xml:space="preserve">推荐的</w:t>
      </w:r>
      <w:r>
        <w:rPr>
          <w:rFonts w:hint="eastAsia" w:ascii="宋体" w:hAnsi="宋体" w:eastAsia="宋体" w:cs="Times New Roman"/>
          <w:bCs/>
          <w:sz w:val="28"/>
          <w:szCs w:val="28"/>
        </w:rPr>
        <w:t xml:space="preserve">中标</w:t>
      </w:r>
      <w:r>
        <w:rPr>
          <w:rFonts w:hint="default" w:ascii="宋体" w:hAnsi="宋体" w:eastAsia="宋体" w:cs="Times New Roman"/>
          <w:bCs/>
          <w:sz w:val="28"/>
          <w:szCs w:val="28"/>
        </w:rPr>
        <w:t xml:space="preserve">候选供应商确定</w:t>
      </w:r>
      <w:r>
        <w:rPr>
          <w:rFonts w:hint="eastAsia" w:ascii="宋体" w:hAnsi="宋体" w:eastAsia="宋体" w:cs="Times New Roman"/>
          <w:bCs/>
          <w:sz w:val="28"/>
          <w:szCs w:val="28"/>
          <w:lang w:val="en-US" w:eastAsia="zh-CN"/>
        </w:rPr>
        <w:t xml:space="preserve">中标</w:t>
      </w:r>
      <w:r>
        <w:rPr>
          <w:rFonts w:hint="default" w:ascii="宋体" w:hAnsi="宋体" w:eastAsia="宋体" w:cs="Times New Roman"/>
          <w:bCs/>
          <w:sz w:val="28"/>
          <w:szCs w:val="28"/>
        </w:rPr>
        <w:t xml:space="preserve">供应商。</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bCs/>
          <w:sz w:val="28"/>
          <w:szCs w:val="28"/>
        </w:rPr>
        <w:t xml:space="preserve">1.3 </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”发布中标公告，公告期限为1个工作日。</w:t>
      </w:r>
      <w:r/>
    </w:p>
    <w:p>
      <w:pPr>
        <w:ind w:firstLine="56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投标人出现下列情况之一的，一经查实，将被取消</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资格：</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1.4.1提供虚假材料谋取中标的。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1.4.2</w:t>
      </w:r>
      <w:r>
        <w:rPr>
          <w:rFonts w:hint="eastAsia" w:ascii="宋体" w:hAnsi="宋体" w:eastAsia="宋体" w:cs="Times New Roman"/>
          <w:sz w:val="28"/>
          <w:szCs w:val="28"/>
        </w:rPr>
        <w:t xml:space="preserve">向采购人或采购代理机构行贿或者评审专家提供其他不正当利益的</w:t>
      </w:r>
      <w:r>
        <w:rPr>
          <w:rFonts w:hint="default" w:ascii="宋体" w:hAnsi="宋体" w:eastAsia="宋体" w:cs="Times New Roman"/>
          <w:sz w:val="28"/>
          <w:szCs w:val="28"/>
        </w:rPr>
        <w:t xml:space="preserve">。</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1.4.3恶意竞争，投标总报价明显低于其自身合理成本且又无法提供证明的。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1.4.4属于本文件规定的无效条件，但在评标过程中又未被评委会发现的。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1.4.5与采购人或者其他供应商恶意串通的。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1.4.6采取不正当手段诋毁、排挤其他供应商的。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1.5有下列情形之一的，视为投标人串通投标，投标无效：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1.5.1不同投标人的投标文件由同一单位或者个人编制；</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1.5.2不同投标人委托同一单位或者个人办理投标事宜；</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1.5.3不同投标人的投标文件载明的项目管理成员或者联系人员为同一人；</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1.5.4不同投标人的投标文件异常一致或者投标报价呈规律性差异；</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1.5.5不同投标人的投标文件相互混装；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2.质疑处理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或采购人提出质疑。上述应知其权益受到损害之日，是指：</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2.2.1对可以质疑的招标文件提出质疑的，为收到招标文件之日或者招标文件公告期限届满之日；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结果提出质疑的，为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结果公告期限届满之日。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提出，由</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负责答复。</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2.5.3 未参加投标活动的供应商或在投标活动中自身权益未受到损害的供应商所提出的质疑。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3.l </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结果确定后，</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将向</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投标人发出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通知书将是合同的一个组成部分。对采购人和</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投标人均具有法律效力。</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结果的，或者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投标人放弃投标项目的，应当依法承担法律责任。</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（七）授予合同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1.签订合同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1.l</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投标人应当在</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通知书发出之日起三十日内，按照招标文件确定的事项与采购人签订政府采购合同。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1.2招标文件、</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投标人的投标文件及招标过程中有关澄清、承诺文件均应作为合同附件。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1.3签订合同后，</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投标人不得将货物及其他相关服务进行转包。未经采购人同意，</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投标人也不得采用分包的形式履行合同，否则采购人有权终止合同。政府采购合同分包履行的，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投标人就采购项目和分包项目向采购人负责，分包投标人就分包项目承担责任。转包或分包造成采购人损失的，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投标人应承担相应赔偿责任。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投标人协商签订补充合同，但所有补充合同的采购金额不超过原合同金额10%。</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 政府采购履约保证资金、合同信用融资扶持政策</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3.2根据</w:t>
      </w:r>
      <w:r>
        <w:rPr>
          <w:rFonts w:hint="eastAsia" w:ascii="宋体" w:hAnsi="宋体" w:eastAsia="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1"/>
        <w:jc w:val="both"/>
        <w:keepLines w:val="0"/>
        <w:keepNext w:val="0"/>
        <w:pageBreakBefore w:val="0"/>
        <w:spacing w:line="360" w:lineRule="auto"/>
        <w:widowControl w:val="off"/>
        <w:rPr>
          <w:rFonts w:hint="eastAsia" w:ascii="宋体" w:hAnsi="宋体" w:eastAsia="宋体" w:cs="宋体"/>
          <w:b/>
          <w:bCs/>
          <w:sz w:val="36"/>
          <w:szCs w:val="36"/>
        </w:rPr>
      </w:pPr>
      <w:r>
        <w:rPr>
          <w:rFonts w:hint="eastAsia" w:ascii="宋体" w:hAnsi="宋体" w:eastAsia="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pStyle w:val="722"/>
        <w:ind w:left="0" w:firstLine="0"/>
        <w:rPr>
          <w:rFonts w:hint="eastAsia" w:ascii="宋体" w:hAnsi="宋体" w:eastAsia="宋体" w:cs="宋体"/>
          <w:b/>
          <w:bCs/>
          <w:sz w:val="36"/>
          <w:szCs w:val="36"/>
        </w:rPr>
      </w:pPr>
      <w:r>
        <w:rPr>
          <w:rFonts w:hint="eastAsia" w:ascii="宋体" w:hAnsi="宋体" w:eastAsia="宋体" w:cs="宋体"/>
          <w:b/>
          <w:bCs/>
          <w:sz w:val="36"/>
          <w:szCs w:val="36"/>
        </w:rPr>
      </w:r>
      <w:r>
        <w:rPr>
          <w:rFonts w:hint="eastAsia" w:ascii="宋体" w:hAnsi="宋体" w:eastAsia="宋体" w:cs="宋体"/>
          <w:b/>
          <w:bCs/>
          <w:sz w:val="36"/>
          <w:szCs w:val="36"/>
        </w:rPr>
      </w:r>
      <w:r/>
    </w:p>
    <w:p>
      <w:pPr>
        <w:pStyle w:val="722"/>
        <w:ind w:left="0" w:firstLine="0"/>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b/>
          <w:bCs/>
          <w:sz w:val="36"/>
          <w:szCs w:val="36"/>
          <w:highlight w:val="none"/>
        </w:rPr>
      </w:pPr>
      <w:r/>
      <w:bookmarkStart w:id="38" w:name="_Toc52352447"/>
      <w:r>
        <w:rPr>
          <w:rFonts w:hint="eastAsia" w:ascii="宋体" w:hAnsi="宋体" w:eastAsia="宋体" w:cs="宋体"/>
          <w:b/>
          <w:bCs/>
          <w:sz w:val="36"/>
          <w:szCs w:val="36"/>
          <w:lang w:val="en-US" w:eastAsia="zh-CN"/>
        </w:rPr>
        <w:t xml:space="preserve">第三</w:t>
      </w:r>
      <w:r>
        <w:rPr>
          <w:rFonts w:hint="eastAsia" w:ascii="宋体" w:hAnsi="宋体" w:eastAsia="宋体" w:cs="宋体"/>
          <w:b/>
          <w:bCs/>
          <w:sz w:val="36"/>
          <w:szCs w:val="36"/>
        </w:rPr>
        <w:t xml:space="preserve">部分 采购项目需求</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采购项目内容与技术需求</w:t>
      </w:r>
      <w:r/>
    </w:p>
    <w:p>
      <w:pPr>
        <w:spacing w:line="360" w:lineRule="auto"/>
        <w:rPr>
          <w:rFonts w:hint="eastAsia" w:ascii="宋体" w:hAnsi="宋体" w:eastAsia="宋体" w:cs="Arial"/>
          <w:b/>
          <w:bCs/>
          <w:sz w:val="24"/>
        </w:rPr>
      </w:pPr>
      <w:r>
        <w:rPr>
          <w:rFonts w:hint="eastAsia" w:ascii="宋体" w:hAnsi="宋体" w:eastAsia="宋体" w:cs="Arial"/>
          <w:b/>
          <w:bCs/>
          <w:sz w:val="24"/>
        </w:rPr>
        <w:t xml:space="preserve">一、项目需求：</w:t>
      </w:r>
      <w:r/>
    </w:p>
    <w:tbl>
      <w:tblPr>
        <w:tblStyle w:val="699"/>
        <w:tblW w:w="5194" w:type="pct"/>
        <w:jc w:val="center"/>
        <w:tblLayout w:type="autofit"/>
        <w:tblCellMar>
          <w:left w:w="108" w:type="dxa"/>
          <w:top w:w="0" w:type="dxa"/>
          <w:right w:w="108" w:type="dxa"/>
          <w:bottom w:w="0" w:type="dxa"/>
        </w:tblCellMar>
        <w:tblLook w:val="04A0" w:firstRow="1" w:lastRow="0" w:firstColumn="1" w:lastColumn="0" w:noHBand="0" w:noVBand="1"/>
      </w:tblPr>
      <w:tblGrid>
        <w:gridCol w:w="838"/>
        <w:gridCol w:w="3407"/>
        <w:gridCol w:w="5991"/>
      </w:tblGrid>
      <w:tr>
        <w:trPr>
          <w:jc w:val="center"/>
          <w:trHeight w:val="621"/>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lang w:bidi="ar"/>
              </w:rPr>
              <w:t xml:space="preserve">食品大类（一级）</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val="false"/>
          </w:tcPr>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lang w:bidi="ar"/>
              </w:rPr>
              <w:t xml:space="preserve">总任务批次</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粮食加工品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110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3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调味品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190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4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肉制品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90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5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乳制品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6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饮料</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7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方便食品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30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8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饼干</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40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9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罐头</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10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冷冻饮品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40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11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速冻食品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薯类和膨化食品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13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糖果制品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35</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14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茶叶及相关制品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15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酒类</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210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16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蔬菜制品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90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17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水果制品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80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18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100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19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蛋制品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20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可可及焙烤咖啡产品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5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21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食糖</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70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22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水产制品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80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23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淀粉及淀粉制品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70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24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糕点</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120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25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豆制品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130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26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蜂产品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40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27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保健食品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20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28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餐饮食品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ascii="宋体" w:hAnsi="宋体" w:eastAsia="宋体" w:cs="宋体"/>
                <w:sz w:val="24"/>
              </w:rPr>
            </w:pPr>
            <w:r>
              <w:rPr>
                <w:rFonts w:hint="eastAsia" w:ascii="宋体" w:hAnsi="宋体" w:eastAsia="宋体" w:cs="宋体"/>
                <w:sz w:val="24"/>
                <w:lang w:bidi="ar"/>
              </w:rPr>
              <w:t xml:space="preserve">350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29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食品添加剂</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10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30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食用农产品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bidi="ar"/>
              </w:rPr>
              <w:t xml:space="preserve">900</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31 </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机动批次（包括食用农产品）</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bidi="ar"/>
              </w:rPr>
              <w:t xml:space="preserve">2350</w:t>
            </w:r>
            <w:r/>
          </w:p>
        </w:tc>
      </w:tr>
      <w:tr>
        <w:trPr>
          <w:jc w:val="center"/>
          <w:trHeight w:val="621"/>
        </w:trPr>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3409" w:type="dxa"/>
            <w:vAlign w:val="center"/>
            <w:textDirection w:val="lrTb"/>
            <w:noWrap w:val="false"/>
          </w:tcPr>
          <w:p>
            <w:pPr>
              <w:jc w:val="center"/>
              <w:spacing w:line="360" w:lineRule="auto"/>
              <w:widowControl/>
              <w:rPr>
                <w:rFonts w:hint="eastAsia" w:ascii="宋体" w:hAnsi="宋体" w:eastAsia="宋体" w:cs="宋体"/>
                <w:sz w:val="24"/>
              </w:rPr>
            </w:pPr>
            <w:r>
              <w:rPr>
                <w:rFonts w:hint="eastAsia" w:ascii="宋体" w:hAnsi="宋体" w:eastAsia="宋体" w:cs="宋体"/>
                <w:sz w:val="24"/>
                <w:lang w:bidi="ar"/>
              </w:rPr>
              <w:t xml:space="preserve">/</w:t>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tcPr>
          <w:p>
            <w:pPr>
              <w:jc w:val="center"/>
              <w:spacing w:line="360"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bidi="ar"/>
              </w:rPr>
              <w:t xml:space="preserve">5850</w:t>
            </w:r>
            <w:r/>
          </w:p>
        </w:tc>
      </w:tr>
      <w:tr>
        <w:trPr>
          <w:jc w:val="center"/>
          <w:trHeight w:val="1321"/>
        </w:trPr>
        <w:tc>
          <w:tcPr>
            <w:gridSpan w:val="3"/>
            <w:tcBorders>
              <w:top w:val="single" w:color="000000" w:sz="4" w:space="0"/>
              <w:left w:val="single" w:color="000000" w:sz="4" w:space="0"/>
              <w:bottom w:val="single" w:color="000000" w:sz="4" w:space="0"/>
              <w:right w:val="single" w:color="000000" w:sz="4" w:space="0"/>
            </w:tcBorders>
            <w:tcW w:w="10238" w:type="dxa"/>
            <w:vAlign w:val="center"/>
            <w:textDirection w:val="lrTb"/>
            <w:noWrap w:val="false"/>
          </w:tcPr>
          <w:p>
            <w:pPr>
              <w:jc w:val="left"/>
              <w:spacing w:line="360" w:lineRule="auto"/>
              <w:widowControl/>
              <w:rPr>
                <w:rFonts w:hint="eastAsia" w:ascii="宋体" w:hAnsi="宋体" w:eastAsia="宋体" w:cs="宋体"/>
                <w:sz w:val="24"/>
              </w:rPr>
            </w:pPr>
            <w:r>
              <w:rPr>
                <w:rStyle w:val="883"/>
                <w:rFonts w:hint="eastAsia" w:ascii="宋体" w:hAnsi="宋体" w:eastAsia="宋体" w:cs="宋体"/>
                <w:color w:val="000000"/>
                <w:sz w:val="24"/>
                <w:u w:val="none"/>
                <w:lang w:bidi="ar"/>
              </w:rPr>
              <w:t xml:space="preserve">备</w:t>
            </w:r>
            <w:r>
              <w:rPr>
                <w:rStyle w:val="883"/>
                <w:rFonts w:hint="eastAsia" w:ascii="宋体" w:hAnsi="宋体" w:eastAsia="宋体" w:cs="宋体"/>
                <w:color w:val="000000"/>
                <w:sz w:val="24"/>
                <w:highlight w:val="none"/>
                <w:u w:val="none"/>
                <w:lang w:bidi="ar"/>
              </w:rPr>
              <w:t xml:space="preserve">注：检测项目依据《国家食品安全监督抽检实施细则（2025年版）》和上级要求进行设置，部分食品和食用农产品检测项目可以根据历年问题发现情况及相关要求对检测项目进行适当调整，具体品种批次可根据上级要求、专项整治、实际抽样情况等进行适当调整，但</w:t>
            </w:r>
            <w:r>
              <w:rPr>
                <w:rStyle w:val="883"/>
                <w:rFonts w:hint="eastAsia" w:ascii="宋体" w:hAnsi="宋体" w:eastAsia="宋体" w:cs="宋体"/>
                <w:color w:val="000000"/>
                <w:sz w:val="24"/>
                <w:u w:val="none"/>
                <w:lang w:bidi="ar"/>
              </w:rPr>
              <w:t xml:space="preserve">实际完成抽检批次数量不得少于项目需求的总批次数。</w:t>
            </w:r>
            <w:r/>
          </w:p>
        </w:tc>
      </w:tr>
    </w:tbl>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二、相关技术需求：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1、基本要求：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（1）监督抽检抽样要加大对高风险品种的抽检频次，抽样时注重结合区域性、季节性、时令性特点，坚持问题导向的原则。</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（2）中标供应商要充分利用国家食品安全抽样检验信息系统平台，及时将抽样信息和检验结果按照采购人要求录入平台数据库并做好数据统计分析工作。</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（3）中标供应商要高度重视监督抽检工作，明确项目负责人和其他人员的责任分工，项目负责人负责组织实施抽样检测和数据汇总工作，应</w:t>
      </w:r>
      <w:r>
        <w:rPr>
          <w:rFonts w:hint="eastAsia" w:ascii="宋体" w:hAnsi="宋体" w:eastAsia="宋体" w:cs="宋体"/>
          <w:sz w:val="28"/>
          <w:szCs w:val="28"/>
          <w:lang w:val="zh-CN"/>
        </w:rPr>
        <w:t xml:space="preserve">具有食品、化学、生物等与食品检测相关专业的</w:t>
      </w:r>
      <w:r>
        <w:rPr>
          <w:rFonts w:hint="eastAsia" w:ascii="宋体" w:hAnsi="宋体" w:eastAsia="宋体" w:cs="宋体"/>
          <w:sz w:val="28"/>
          <w:szCs w:val="28"/>
        </w:rPr>
        <w:t xml:space="preserve">从业经历。</w:t>
      </w:r>
      <w:r/>
    </w:p>
    <w:p>
      <w:pPr>
        <w:ind w:firstLine="560"/>
        <w:spacing w:line="360" w:lineRule="auto"/>
        <w:rPr>
          <w:rFonts w:ascii="Times New Roman" w:hAnsi="Times New Roman" w:eastAsia="宋体" w:cs="Times New Roman"/>
        </w:rPr>
      </w:pPr>
      <w:r>
        <w:rPr>
          <w:rFonts w:hint="eastAsia" w:ascii="宋体" w:hAnsi="宋体" w:eastAsia="宋体" w:cs="宋体"/>
          <w:sz w:val="28"/>
          <w:szCs w:val="28"/>
        </w:rPr>
        <w:t xml:space="preserve">（4）中标供应商检测时应依据食品安全国家</w:t>
      </w:r>
      <w:r>
        <w:rPr>
          <w:rFonts w:hint="eastAsia" w:ascii="宋体" w:hAnsi="宋体" w:eastAsia="宋体" w:cs="宋体"/>
          <w:sz w:val="28"/>
          <w:szCs w:val="28"/>
        </w:rPr>
        <w:t xml:space="preserve">标准、国家市场监督管理总局当年度公布的《食品安全监督抽检实施细则》以及相关执行标准等，检测标准和检测方法如有更新，以最新依据为准。产品明示执行标准为企业标准的，应当采用依法备案的企业标准作为对该企业食品抽检的判定依据；对目前暂未有判定依据的项目应出具检测数值、检测方法介绍、结果分析和处理建议。原则上，中标供应商必须具备所分配任务的所有检测项目法定资质，如有缺项，须在任务实施前提出，经采购方同意，可在规定时间内取得资质后检测，或委托其他有资质机构检测。                             </w:t>
      </w:r>
      <w:r/>
    </w:p>
    <w:p>
      <w:pPr>
        <w:ind w:firstLine="560"/>
        <w:spacing w:line="360" w:lineRule="auto"/>
        <w:rPr>
          <w:rFonts w:ascii="Times New Roman" w:hAnsi="Times New Roman" w:eastAsia="宋体" w:cs="Times New Roman"/>
        </w:rPr>
      </w:pPr>
      <w:r>
        <w:rPr>
          <w:rFonts w:hint="eastAsia" w:ascii="宋体" w:hAnsi="宋体" w:eastAsia="宋体" w:cs="宋体"/>
          <w:sz w:val="28"/>
          <w:szCs w:val="28"/>
        </w:rPr>
        <w:t xml:space="preserve">（5）人员配置：中标供应商应当</w:t>
      </w:r>
      <w:r>
        <w:rPr>
          <w:rFonts w:hint="eastAsia" w:ascii="宋体" w:hAnsi="宋体" w:eastAsia="宋体" w:cs="宋体"/>
          <w:sz w:val="28"/>
          <w:szCs w:val="28"/>
          <w:lang w:val="en-US" w:eastAsia="zh-CN"/>
        </w:rPr>
        <w:t xml:space="preserve">配备项目负责人具有食品、化学、生物等与食品检测相关专业的中级及以上职称，</w:t>
      </w:r>
      <w:r>
        <w:rPr>
          <w:rFonts w:hint="eastAsia" w:ascii="宋体" w:hAnsi="宋体" w:eastAsia="宋体" w:cs="宋体"/>
          <w:sz w:val="28"/>
          <w:szCs w:val="28"/>
        </w:rPr>
        <w:t xml:space="preserve">具有与抽样工作相匹配的专职抽样人员不少于4名；应具有与检测工作相匹配的专职检测人员不少于12名，确保监督抽检工作的序时进度。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（6）设备配置：中标供应商应当具有满足食品安全检测的设施及仪器设备，其中具有气相色谱仪1 台、液相色谱质谱联用仪1台、液相色谱仪1台、</w:t>
      </w:r>
      <w:bookmarkStart w:id="39" w:name="OLE_LINK14"/>
      <w:r>
        <w:rPr>
          <w:rFonts w:hint="eastAsia" w:ascii="宋体" w:hAnsi="宋体" w:eastAsia="宋体" w:cs="宋体"/>
          <w:sz w:val="28"/>
          <w:szCs w:val="28"/>
        </w:rPr>
        <w:t xml:space="preserve">气相色谱串联质谱仪1台</w:t>
      </w:r>
      <w:bookmarkEnd w:id="39"/>
      <w:r>
        <w:rPr>
          <w:rFonts w:hint="eastAsia" w:ascii="宋体" w:hAnsi="宋体" w:eastAsia="宋体" w:cs="宋体"/>
          <w:sz w:val="28"/>
          <w:szCs w:val="28"/>
        </w:rPr>
        <w:t xml:space="preserve">、</w:t>
      </w:r>
      <w:bookmarkStart w:id="40" w:name="OLE_LINK13"/>
      <w:r>
        <w:rPr>
          <w:rFonts w:hint="eastAsia" w:ascii="宋体" w:hAnsi="宋体" w:eastAsia="宋体" w:cs="宋体"/>
          <w:sz w:val="28"/>
          <w:szCs w:val="28"/>
        </w:rPr>
        <w:t xml:space="preserve">电感耦合等离子体质谱仪</w:t>
      </w:r>
      <w:bookmarkEnd w:id="40"/>
      <w:r>
        <w:rPr>
          <w:rFonts w:hint="eastAsia" w:ascii="宋体" w:hAnsi="宋体" w:eastAsia="宋体" w:cs="宋体"/>
          <w:sz w:val="28"/>
          <w:szCs w:val="28"/>
        </w:rPr>
        <w:t xml:space="preserve">1台、原子荧光光度计1台、原子吸收光谱仪1台、形态分析仪1台、离子色谱仪1台。</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（7）样品运输：应当具备用于食品采样的普通车辆不少于2台、用于食品采样的冷藏车不少于1台，由中标人负责，并确保样品贮存、运输符合国家相关规定和包装标示的要求，不发生影响检验结论的变化。</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（8）样品保存：应当具备用于食品保存的专用冷藏设备或冷库，检测样品和备份样品的保存要符合贮存条件、方式和保存期限等相关规定和要求。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2．工作要求：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（1）中标供应商应当积极配合抽检工作，应按照品种特点制定抽样计划，确保监督抽检工作的序时进度。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中标供应商应根据检验项目及监督抽检细则中规定的采样方法及采样数量抽取样品，严格执行采样操作规范，规范实验室质量控制，备存原始记录待查。对样品抽样送检时间有规定的从其规定。散装食品、餐饮类食品（包括餐具）、农产品抽样时要求拍摄视频备查，其余样品至少须拍摄照片备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（3）抽样人员可以从食品经营者的经营场所、仓库以及食品生产者的成品库待销产品中随机抽取样品，不得由食品生产经营者自行提供。</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（4）中标供应商对其抽取的样品负责，检验结果反映送检样品的真实状况。</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（5）中标供应商必须自觉接受采购方的考核、检查、验收、比对。</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（6）中标供应商在开展监督抽检过程中弄虚作假或不配合采购方开展工作的，取消其承检资格，终止服务项目，相关款项一律不予支付。</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7）中标供应商有保密义务，不得向除采购方外的任何单位与个人透露与抽检相关的信息，否则取消其承检资格，终止服务项目，相关款项一律不予支付；如造成经济损失及不良影响的，依法追究其经济赔偿责任和法律责任。</w:t>
      </w:r>
      <w:r/>
    </w:p>
    <w:p>
      <w:pPr>
        <w:ind w:firstLine="560"/>
        <w:spacing w:line="360" w:lineRule="auto"/>
        <w:rPr>
          <w:rFonts w:ascii="宋体" w:hAnsi="宋体" w:eastAsia="宋体" w:cs="宋体"/>
          <w:sz w:val="28"/>
          <w:szCs w:val="28"/>
        </w:rPr>
      </w:pPr>
      <w:r>
        <w:rPr>
          <w:rFonts w:hint="eastAsia" w:ascii="宋体" w:hAnsi="宋体" w:eastAsia="宋体" w:cs="宋体"/>
          <w:sz w:val="28"/>
          <w:szCs w:val="28"/>
        </w:rPr>
        <w:t xml:space="preserve">（8）检测结果（报告）提交。 按照规定的时限完成检验检测任务，并汇总样品抽样和检验结果信息，出具检验报告。一般食品自样品收到之日起20个工作日内，蔬菜水果类农产品在15个工作日内，检测结果不合格的应至少缩短2个工作日；应急处置的抽样检测应在样品送达后立即实施检测，并在48小时内出具检测结果，检测周期时间长的指标按照实际检测时间尽快出具检测结果。</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3．检验结果的处理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中标供应商必须保证出具的检验数据和结论客观公正，不得出具虚假检验报告，对出具的检测报告负责。检验结论必须对检验结果是否合格进行判定，对暂未有判定依据的项目应出具检测数值、检测方法、结果分析和处理建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检验报告的提供：每批样品检验工作完成后，承检方应在出具检验报告后2个工作日内同时将合格样品抽样工作单和检验报告原件（不少于二份）寄（送）采购方，不合格样品抽样工作单和检验报告（需有样品照片）原件（不少于三份）应在出具后24小时内寄（送）采购方。同时将检验结果和签章的电子报告在5个工作日内（不合格报告在24小时内）录入指定管理系统，在经营环节抽取的不合格样品，须在系统中同时通报样品标注的生产者所在地监管部门。不合格样品同时须提交检测机构不合格项目资质和检测人员资格证书等依法处置所需证明材料。</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4．检验任务工作情况报送：</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（1）中标供应商须按照采购方要求报送各阶段抽检情况。</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中标供应商每季度末次月10日前报送该季度检测分析报告，对不合格项目进行原因及危害性分析评估，提出下阶段监督抽检工作意见和建议。检测任务全部完成后，要在项目验收时提交年度检测分析报告，并提出下一年度检测意见和建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5．对样本异议的处理：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（1）采购方接受被抽检人关于对抽样程序、检验判定依据等有异议的《异议申请书》后依法组织调查，检测机构应按采购方要求在5日内提交书面答复。</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（2）被抽检人提出复检申请后，检测机构应配合采购方依法对复检申请及复检样品进行审查，并协助配合样品的调取送达工作。复检结果与初检结果不一致的，复检费用由检验机构承担。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6．其他要求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中标供应商承检的检验任务必须由其投标文件中载明的实验室负责检验，中标供应商未征得采购人同意，不得将检验任务外包或分包给其他检测机构检验，一经发现，取消承检机构资格，终止服务项目，相关款项不予支付。</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本项目的检测品种、批次等，原则上按照当年度《食品安全监督抽检实施细则》要求执行，具体实施监督抽检时，采购方可根据上级要求、检测情况、风险程度及本地实际等对检测项目、品种、数量等进行调整，中标供应商必须服从调整，并不得因此另行收取任何费用。</w:t>
      </w:r>
      <w:r/>
    </w:p>
    <w:p>
      <w:pPr>
        <w:ind w:firstLine="560"/>
        <w:spacing w:line="360" w:lineRule="auto"/>
        <w:rPr>
          <w:rFonts w:hint="eastAsia" w:ascii="宋体" w:hAnsi="宋体" w:eastAsia="宋体" w:cs="宋体"/>
          <w:b/>
          <w:sz w:val="28"/>
          <w:szCs w:val="28"/>
          <w:lang w:val="en-US" w:eastAsia="zh-CN"/>
        </w:rPr>
      </w:pPr>
      <w:r>
        <w:rPr>
          <w:rFonts w:hint="eastAsia" w:ascii="宋体" w:hAnsi="宋体" w:eastAsia="宋体" w:cs="宋体"/>
          <w:sz w:val="28"/>
          <w:szCs w:val="28"/>
        </w:rPr>
        <w:t xml:space="preserve">（3）本招标文件中未列明，但在上级相关食品安全抽检工作文件中有要求的，中标供应商须承诺符合规定要求。</w:t>
      </w:r>
      <w:r/>
    </w:p>
    <w:p>
      <w:pPr>
        <w:pStyle w:val="727"/>
        <w:numPr>
          <w:ilvl w:val="0"/>
          <w:numId w:val="0"/>
        </w:numPr>
        <w:jc w:val="center"/>
        <w:rPr>
          <w:rFonts w:hint="eastAsia"/>
        </w:rPr>
      </w:pPr>
      <w:r>
        <w:rPr>
          <w:rFonts w:hint="eastAsia" w:ascii="宋体" w:hAnsi="宋体" w:eastAsia="宋体" w:cs="宋体"/>
          <w:b/>
          <w:sz w:val="28"/>
          <w:szCs w:val="28"/>
          <w:lang w:val="en-US" w:eastAsia="zh-CN"/>
        </w:rPr>
        <w:t xml:space="preserve">第二章 </w:t>
      </w:r>
      <w:r>
        <w:rPr>
          <w:rFonts w:hint="eastAsia" w:ascii="宋体" w:hAnsi="宋体" w:eastAsia="宋体" w:cs="宋体"/>
          <w:b/>
          <w:sz w:val="28"/>
          <w:szCs w:val="28"/>
        </w:rPr>
        <w:t xml:space="preserve">采购项目商务要求</w:t>
      </w:r>
      <w:r/>
    </w:p>
    <w:p>
      <w:pPr>
        <w:contextualSpacing/>
        <w:ind w:firstLine="576"/>
        <w:spacing w:line="360" w:lineRule="auto"/>
        <w:rPr>
          <w:rFonts w:hint="eastAsia" w:ascii="宋体" w:hAnsi="宋体" w:eastAsia="宋体" w:cs="宋体"/>
          <w:sz w:val="28"/>
          <w:szCs w:val="28"/>
        </w:rPr>
      </w:pPr>
      <w:r>
        <w:rPr>
          <w:rFonts w:hint="eastAsia" w:ascii="宋体" w:hAnsi="宋体" w:eastAsia="宋体" w:cs="宋体"/>
          <w:sz w:val="28"/>
          <w:szCs w:val="28"/>
        </w:rPr>
        <w:t xml:space="preserve">1、服务期限：自合同签订之日起至202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年12月10日。（在服务期限内，检测服务考核达标的，在招标人预算资金落实、合同内容和合同金额不变的情况下，经双方协商，可续签下一年服务合同）</w:t>
      </w:r>
      <w:r/>
    </w:p>
    <w:p>
      <w:pPr>
        <w:contextualSpacing/>
        <w:ind w:firstLine="576"/>
        <w:spacing w:line="360" w:lineRule="auto"/>
        <w:rPr>
          <w:rFonts w:hint="eastAsia" w:ascii="宋体" w:hAnsi="宋体" w:eastAsia="宋体" w:cs="宋体"/>
          <w:sz w:val="28"/>
          <w:szCs w:val="28"/>
        </w:rPr>
      </w:pPr>
      <w:r>
        <w:rPr>
          <w:rFonts w:hint="eastAsia" w:ascii="宋体" w:hAnsi="宋体" w:eastAsia="宋体" w:cs="宋体"/>
          <w:sz w:val="28"/>
          <w:szCs w:val="28"/>
        </w:rPr>
        <w:t xml:space="preserve">2、质量要求：合格。</w:t>
      </w:r>
      <w:r/>
    </w:p>
    <w:p>
      <w:pPr>
        <w:ind w:left="0" w:right="0" w:firstLine="579"/>
        <w:jc w:val="both"/>
        <w:spacing w:before="0" w:after="0"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b/>
          <w:bCs/>
          <w:sz w:val="28"/>
          <w:szCs w:val="28"/>
        </w:rPr>
        <w:t xml:space="preserve">3、付款方式：</w:t>
      </w:r>
      <w:r>
        <w:rPr>
          <w:rFonts w:ascii="SimSun" w:hAnsi="SimSun" w:eastAsia="SimSun" w:cs="SimSun"/>
          <w:color w:val="000000"/>
          <w:sz w:val="28"/>
        </w:rPr>
        <w:t xml:space="preserve">合同服务期满半年后，检测机构出具该阶段合法有效的检测报告后支付合同总金额的50%，待所有检测任务结束检测机构出具合法有效的检测报告后，项目验收合格并经结算审核完成后付清余款。</w:t>
      </w:r>
      <w:r/>
    </w:p>
    <w:p>
      <w:pPr>
        <w:ind w:left="0" w:right="0" w:firstLine="579"/>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以上款项由中标单位按国家有关财税规定开具发票给采购人，款项由采购人按相关财务支付规定办理支付手续。</w:t>
      </w:r>
      <w:r>
        <w:rPr>
          <w:sz w:val="21"/>
        </w:rPr>
      </w:r>
      <w:r/>
    </w:p>
    <w:p>
      <w:pPr>
        <w:contextualSpacing/>
        <w:ind w:firstLine="482"/>
        <w:jc w:val="both"/>
        <w:spacing w:line="360" w:lineRule="auto"/>
        <w:widowControl w:val="off"/>
        <w:rPr>
          <w:rFonts w:hint="eastAsia" w:ascii="宋体" w:hAnsi="宋体" w:eastAsia="宋体" w:cs="宋体"/>
          <w:b/>
          <w:bCs/>
          <w:sz w:val="28"/>
          <w:szCs w:val="28"/>
          <w:lang w:val="zh-CN" w:eastAsia="zh-CN" w:bidi="ar-SA"/>
        </w:rPr>
      </w:pPr>
      <w:r>
        <w:rPr>
          <w:rFonts w:hint="eastAsia" w:ascii="宋体" w:hAnsi="宋体" w:eastAsia="宋体" w:cs="宋体"/>
          <w:b/>
          <w:bCs/>
          <w:sz w:val="28"/>
          <w:szCs w:val="28"/>
          <w:lang w:val="en-US" w:eastAsia="zh-CN" w:bidi="ar-SA"/>
        </w:rPr>
        <w:t xml:space="preserve">4、</w:t>
      </w:r>
      <w:r>
        <w:rPr>
          <w:rFonts w:hint="eastAsia" w:ascii="宋体" w:hAnsi="宋体" w:eastAsia="宋体" w:cs="宋体"/>
          <w:b/>
          <w:bCs/>
          <w:sz w:val="28"/>
          <w:szCs w:val="28"/>
          <w:lang w:val="zh-CN" w:eastAsia="zh-CN" w:bidi="ar-SA"/>
        </w:rPr>
        <w:t xml:space="preserve">其它相关说明：</w:t>
      </w:r>
      <w:r/>
    </w:p>
    <w:p>
      <w:pPr>
        <w:contextualSpacing/>
        <w:ind w:firstLine="480"/>
        <w:jc w:val="both"/>
        <w:spacing w:line="360" w:lineRule="auto"/>
        <w:widowControl w:val="off"/>
        <w:rPr>
          <w:rFonts w:hint="eastAsia" w:ascii="宋体" w:hAnsi="宋体" w:eastAsia="宋体" w:cs="宋体"/>
          <w:sz w:val="28"/>
          <w:szCs w:val="28"/>
          <w:lang w:val="zh-CN" w:eastAsia="zh-CN" w:bidi="ar-SA"/>
        </w:rPr>
      </w:pPr>
      <w:r>
        <w:rPr>
          <w:rFonts w:hint="eastAsia" w:ascii="宋体" w:hAnsi="宋体" w:eastAsia="宋体" w:cs="宋体"/>
          <w:sz w:val="28"/>
          <w:szCs w:val="28"/>
          <w:lang w:val="zh-CN" w:eastAsia="zh-CN" w:bidi="ar-SA"/>
        </w:rPr>
        <w:t xml:space="preserve">（</w:t>
      </w: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lang w:val="zh-CN" w:eastAsia="zh-CN" w:bidi="ar-SA"/>
        </w:rPr>
        <w:t xml:space="preserve">）</w:t>
      </w:r>
      <w:r>
        <w:rPr>
          <w:rFonts w:hint="eastAsia" w:ascii="宋体" w:hAnsi="宋体" w:eastAsia="宋体" w:cs="宋体"/>
          <w:sz w:val="28"/>
          <w:szCs w:val="28"/>
          <w:lang w:val="en-US" w:eastAsia="zh-CN" w:bidi="ar-SA"/>
        </w:rPr>
        <w:t xml:space="preserve">本项目投标有效期为开标后60天。</w:t>
      </w:r>
      <w:r/>
    </w:p>
    <w:p>
      <w:pPr>
        <w:contextualSpacing/>
        <w:ind w:firstLine="480"/>
        <w:jc w:val="both"/>
        <w:spacing w:line="360" w:lineRule="auto"/>
        <w:widowControl w:val="off"/>
        <w:rPr>
          <w:rFonts w:hint="eastAsia" w:ascii="宋体" w:hAnsi="宋体" w:eastAsia="宋体" w:cs="宋体"/>
          <w:sz w:val="28"/>
          <w:szCs w:val="28"/>
          <w:lang w:val="zh-CN" w:eastAsia="zh-CN" w:bidi="ar-SA"/>
        </w:rPr>
      </w:pPr>
      <w:r>
        <w:rPr>
          <w:rFonts w:hint="eastAsia" w:ascii="宋体" w:hAnsi="宋体" w:eastAsia="宋体" w:cs="宋体"/>
          <w:sz w:val="28"/>
          <w:szCs w:val="28"/>
          <w:lang w:val="zh-CN" w:eastAsia="zh-CN" w:bidi="ar-SA"/>
        </w:rPr>
        <w:t xml:space="preserve">（</w:t>
      </w:r>
      <w:r>
        <w:rPr>
          <w:rFonts w:hint="eastAsia" w:ascii="宋体" w:hAnsi="宋体" w:eastAsia="宋体" w:cs="宋体"/>
          <w:sz w:val="28"/>
          <w:szCs w:val="28"/>
          <w:lang w:val="en-US" w:eastAsia="zh-CN" w:bidi="ar-SA"/>
        </w:rPr>
        <w:t xml:space="preserve">2</w:t>
      </w:r>
      <w:r>
        <w:rPr>
          <w:rFonts w:hint="eastAsia" w:ascii="宋体" w:hAnsi="宋体" w:eastAsia="宋体" w:cs="宋体"/>
          <w:sz w:val="28"/>
          <w:szCs w:val="28"/>
          <w:lang w:val="zh-CN" w:eastAsia="zh-CN" w:bidi="ar-SA"/>
        </w:rPr>
        <w:t xml:space="preserve">）无论投标结果如何，投标人自行承担与投标相应有关的全部费用，采购单位不收取任何费用。</w:t>
      </w:r>
      <w:bookmarkEnd w:id="38"/>
      <w:r/>
      <w:r/>
    </w:p>
    <w:p>
      <w:pPr>
        <w:ind w:firstLine="480"/>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zh-CN"/>
        </w:rPr>
        <w:t xml:space="preserve">）</w:t>
      </w:r>
      <w:r>
        <w:rPr>
          <w:rFonts w:hint="eastAsia" w:ascii="宋体" w:eastAsia="宋体" w:cs="宋体"/>
          <w:sz w:val="28"/>
          <w:lang w:val="zh-CN"/>
        </w:rPr>
        <w:t xml:space="preserve">履约保证金：</w:t>
      </w:r>
      <w:r>
        <w:rPr>
          <w:rFonts w:hint="eastAsia" w:ascii="宋体" w:eastAsia="宋体" w:cs="宋体"/>
          <w:sz w:val="28"/>
          <w:lang w:val="en-US" w:eastAsia="zh-CN"/>
        </w:rPr>
        <w:t xml:space="preserve">不要求提供</w:t>
      </w:r>
      <w:r>
        <w:rPr>
          <w:rFonts w:hint="eastAsia" w:ascii="宋体" w:eastAsia="宋体" w:cs="宋体"/>
          <w:sz w:val="28"/>
          <w:lang w:val="zh-CN"/>
        </w:rPr>
        <w:t xml:space="preserve">。</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lang w:val="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eastAsia="宋体" w:cs="宋体"/>
          <w:sz w:val="28"/>
          <w:szCs w:val="28"/>
          <w:lang w:val="en-US" w:eastAsia="zh-CN"/>
        </w:rPr>
        <w:t xml:space="preserve">80%</w:t>
      </w:r>
      <w:r>
        <w:rPr>
          <w:rFonts w:hint="eastAsia" w:ascii="宋体" w:hAnsi="宋体" w:eastAsia="宋体" w:cs="宋体"/>
          <w:sz w:val="28"/>
          <w:szCs w:val="28"/>
        </w:rPr>
        <w:t xml:space="preserve">计取。</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lang w:val="zh-CN"/>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若供应商中标后无故弃标，采购人将其移交政府采购监管部门，按政府采购相关法律法</w:t>
      </w:r>
      <w:r>
        <w:rPr>
          <w:rFonts w:hint="eastAsia" w:ascii="宋体" w:hAnsi="宋体" w:eastAsia="宋体" w:cs="宋体"/>
          <w:bCs/>
          <w:sz w:val="28"/>
          <w:szCs w:val="28"/>
        </w:rPr>
        <w:t xml:space="preserve">规处理。</w:t>
      </w:r>
      <w:r>
        <w:rPr>
          <w:rFonts w:hint="eastAsia" w:ascii="宋体" w:hAnsi="宋体" w:eastAsia="宋体" w:cs="宋体"/>
          <w:b/>
          <w:bCs w:val="0"/>
          <w:color w:val="000000"/>
          <w:sz w:val="28"/>
          <w:szCs w:val="28"/>
          <w:highlight w:val="none"/>
        </w:rPr>
      </w:r>
      <w:r/>
    </w:p>
    <w:p>
      <w:pPr>
        <w:ind w:firstLine="480"/>
        <w:spacing w:line="360" w:lineRule="auto"/>
        <w:rPr>
          <w:rFonts w:hint="eastAsia" w:ascii="宋体" w:hAnsi="宋体" w:eastAsia="宋体" w:cs="宋体"/>
          <w:b/>
          <w:bCs/>
          <w:color w:val="000000"/>
          <w:sz w:val="28"/>
          <w:szCs w:val="28"/>
          <w:highlight w:val="none"/>
        </w:rPr>
      </w:pPr>
      <w:r>
        <w:rPr>
          <w:rFonts w:hint="eastAsia" w:ascii="宋体" w:hAnsi="宋体" w:eastAsia="宋体" w:cs="宋体"/>
          <w:bCs/>
          <w:sz w:val="28"/>
          <w:szCs w:val="28"/>
          <w:highlight w:val="none"/>
        </w:rPr>
      </w:r>
      <w:r>
        <w:rPr>
          <w:rFonts w:hint="eastAsia" w:ascii="宋体" w:hAnsi="宋体" w:eastAsia="宋体" w:cs="宋体"/>
          <w:bCs/>
          <w:sz w:val="28"/>
          <w:szCs w:val="28"/>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t xml:space="preserve">第</w:t>
      </w:r>
      <w:r>
        <w:rPr>
          <w:rFonts w:hint="eastAsia" w:ascii="宋体" w:hAnsi="宋体" w:eastAsia="宋体" w:cs="Times New Roman"/>
          <w:b/>
          <w:bCs w:val="0"/>
          <w:color w:val="000000"/>
          <w:sz w:val="36"/>
          <w:szCs w:val="36"/>
          <w:highlight w:val="none"/>
          <w:lang w:val="en-US" w:eastAsia="zh-CN"/>
        </w:rPr>
        <w:t xml:space="preserve">四</w:t>
      </w:r>
      <w:r>
        <w:rPr>
          <w:rFonts w:hint="eastAsia" w:ascii="宋体" w:hAnsi="宋体" w:eastAsia="宋体" w:cs="Times New Roman"/>
          <w:b/>
          <w:bCs w:val="0"/>
          <w:color w:val="000000"/>
          <w:sz w:val="36"/>
          <w:szCs w:val="36"/>
          <w:highlight w:val="none"/>
        </w:rPr>
        <w:t xml:space="preserve">部分  </w:t>
      </w:r>
      <w:r>
        <w:rPr>
          <w:rFonts w:hint="eastAsia" w:ascii="宋体" w:hAnsi="宋体" w:eastAsia="宋体" w:cs="Times New Roman"/>
          <w:b/>
          <w:bCs w:val="0"/>
          <w:color w:val="000000"/>
          <w:sz w:val="36"/>
          <w:szCs w:val="36"/>
          <w:highlight w:val="none"/>
          <w:lang w:val="zh-CN"/>
        </w:rPr>
        <w:t xml:space="preserve">评审方法和评审标准</w:t>
      </w:r>
      <w:r/>
    </w:p>
    <w:p>
      <w:pPr>
        <w:ind w:firstLine="643"/>
        <w:jc w:val="left"/>
        <w:spacing w:line="480" w:lineRule="exact"/>
        <w:rPr>
          <w:rFonts w:hint="eastAsia" w:ascii="宋体" w:hAnsi="宋体" w:eastAsia="宋体" w:cs="宋体"/>
          <w:b/>
          <w:sz w:val="28"/>
          <w:szCs w:val="28"/>
        </w:rPr>
      </w:pPr>
      <w:r/>
      <w:bookmarkStart w:id="41" w:name="_Toc25401332"/>
      <w:r/>
      <w:bookmarkStart w:id="42" w:name="_Toc26261456"/>
      <w:r/>
      <w:bookmarkStart w:id="43" w:name="_Toc25726409"/>
      <w:r/>
      <w:bookmarkStart w:id="44" w:name="_Toc52352454"/>
      <w:r/>
      <w:bookmarkStart w:id="45" w:name="_Toc25574120"/>
      <w:r/>
      <w:bookmarkStart w:id="46" w:name="_Toc25400536"/>
      <w:r/>
      <w:bookmarkStart w:id="47" w:name="_Toc52352456"/>
      <w:r>
        <w:rPr>
          <w:rFonts w:hint="eastAsia" w:ascii="宋体" w:hAnsi="宋体" w:eastAsia="宋体" w:cs="宋体"/>
          <w:b/>
          <w:sz w:val="28"/>
          <w:szCs w:val="28"/>
        </w:rPr>
        <w:t xml:space="preserve">一、开标</w:t>
      </w:r>
      <w:r/>
    </w:p>
    <w:p>
      <w:pPr>
        <w:ind w:firstLine="643"/>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不见面远程开标模式：投标人在各自地点通过“苏采云”不见面交易系统参加开标会。</w:t>
      </w:r>
      <w:r/>
    </w:p>
    <w:p>
      <w:pPr>
        <w:ind w:firstLine="643"/>
        <w:jc w:val="left"/>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二、评标流程和评标标准</w:t>
      </w:r>
      <w:r/>
    </w:p>
    <w:p>
      <w:pPr>
        <w:ind w:firstLine="555"/>
        <w:spacing w:line="500" w:lineRule="exact"/>
        <w:rPr>
          <w:rFonts w:hint="default" w:ascii="宋体" w:hAnsi="宋体" w:eastAsia="宋体" w:cs="宋体"/>
          <w:bCs/>
          <w:sz w:val="28"/>
          <w:szCs w:val="28"/>
        </w:rPr>
      </w:pPr>
      <w:r>
        <w:rPr>
          <w:rFonts w:hint="eastAsia" w:ascii="宋体" w:hAnsi="宋体" w:eastAsia="宋体" w:cs="宋体"/>
          <w:bCs/>
          <w:sz w:val="28"/>
          <w:szCs w:val="28"/>
        </w:rPr>
        <w:t xml:space="preserve">1.评审方法：</w:t>
      </w:r>
      <w:r>
        <w:rPr>
          <w:rFonts w:hint="eastAsia" w:ascii="宋体" w:hAnsi="宋体" w:eastAsia="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w:t>
      </w:r>
      <w:r>
        <w:rPr>
          <w:rFonts w:hint="default" w:ascii="宋体" w:hAnsi="宋体" w:eastAsia="宋体" w:cs="宋体"/>
          <w:sz w:val="28"/>
          <w:szCs w:val="28"/>
        </w:rPr>
        <w:t xml:space="preserve">单并按顺序确定中标人。得分相同的，按投标报价由低到高顺序排列，得分且投标报价相同的并列</w:t>
      </w:r>
      <w:r>
        <w:rPr>
          <w:rFonts w:hint="eastAsia" w:ascii="宋体" w:hAnsi="宋体" w:eastAsia="宋体" w:cs="宋体"/>
          <w:sz w:val="28"/>
          <w:szCs w:val="28"/>
        </w:rPr>
        <w:t xml:space="preserve">。</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投标人资格不合格的，其投标文件判定为无效投标文件。</w:t>
      </w:r>
      <w:r/>
    </w:p>
    <w:p>
      <w:pPr>
        <w:ind w:firstLine="577"/>
        <w:jc w:val="both"/>
        <w:spacing w:line="5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（二）评标委员会对符合资格投标人的投标文件进行符合性审查。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未通过符合性审查的投标文件，将被判为不满足招标文件实质性要求</w:t>
      </w:r>
      <w:r/>
    </w:p>
    <w:p>
      <w:pPr>
        <w:numPr>
          <w:ilvl w:val="0"/>
          <w:numId w:val="4"/>
        </w:numPr>
        <w:ind w:firstLine="562"/>
        <w:jc w:val="left"/>
        <w:spacing w:line="500" w:lineRule="exact"/>
        <w:rPr>
          <w:rFonts w:hint="eastAsia" w:ascii="宋体" w:hAnsi="宋体" w:eastAsia="宋体" w:cs="宋体"/>
          <w:color w:val="000000"/>
          <w:sz w:val="28"/>
          <w:szCs w:val="28"/>
          <w:lang w:val="zh-CN"/>
        </w:rPr>
      </w:pP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70</w:t>
      </w:r>
      <w:r>
        <w:rPr>
          <w:rFonts w:hint="eastAsia" w:ascii="宋体" w:hAnsi="宋体" w:eastAsia="宋体" w:cs="宋体"/>
          <w:color w:val="000000"/>
          <w:sz w:val="28"/>
          <w:szCs w:val="28"/>
          <w:lang w:val="zh-CN"/>
        </w:rPr>
        <w:t xml:space="preserve">分</w:t>
      </w:r>
      <w:r/>
    </w:p>
    <w:tbl>
      <w:tblPr>
        <w:tblStyle w:val="699"/>
        <w:tblW w:w="10597"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1569"/>
        <w:gridCol w:w="905"/>
        <w:gridCol w:w="7526"/>
      </w:tblGrid>
      <w:tr>
        <w:trPr>
          <w:trHeight w:val="312"/>
        </w:trPr>
        <w:tc>
          <w:tcPr>
            <w:tcW w:w="597"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tcW w:w="1569"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评分点名称</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分值</w:t>
            </w:r>
            <w:r/>
          </w:p>
        </w:tc>
        <w:tc>
          <w:tcPr>
            <w:tcW w:w="7526"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评审标准</w:t>
            </w:r>
            <w:r/>
          </w:p>
        </w:tc>
      </w:tr>
      <w:tr>
        <w:trPr>
          <w:trHeight w:val="260"/>
        </w:trPr>
        <w:tc>
          <w:tcPr>
            <w:tcW w:w="597" w:type="dxa"/>
            <w:vAlign w:val="center"/>
            <w:vMerge w:val="restart"/>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1</w:t>
            </w:r>
            <w:r/>
          </w:p>
        </w:tc>
        <w:tc>
          <w:tcPr>
            <w:tcW w:w="1569" w:type="dxa"/>
            <w:vAlign w:val="center"/>
            <w:vMerge w:val="restart"/>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实验室场地</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3分</w:t>
            </w:r>
            <w:r/>
          </w:p>
        </w:tc>
        <w:tc>
          <w:tcPr>
            <w:tcW w:w="7526" w:type="dxa"/>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宋体"/>
                <w:sz w:val="24"/>
                <w:szCs w:val="24"/>
                <w:lang w:bidi="ar"/>
              </w:rPr>
              <w:t xml:space="preserve">根据投标人具备的与食品检测工作相适应的实验场所建筑面积、具体布局等情况进行评分。</w:t>
            </w:r>
            <w:r>
              <w:rPr>
                <w:rFonts w:ascii="宋体" w:hAnsi="宋体" w:eastAsia="宋体" w:cs="仿宋"/>
                <w:sz w:val="24"/>
                <w:szCs w:val="24"/>
              </w:rPr>
              <w:t xml:space="preserve">根据供应商具备的与食品检测工作相适应的实验场所建筑面积、具体布局等进行评价。食品检测实验室建筑面积（不含办公室）</w:t>
            </w:r>
            <w:r>
              <w:rPr>
                <w:rFonts w:ascii="宋体" w:hAnsi="宋体" w:eastAsia="宋体" w:cs="Times New Roman"/>
                <w:sz w:val="24"/>
                <w:szCs w:val="24"/>
                <w:lang w:bidi="zh-CN"/>
              </w:rPr>
              <w:t xml:space="preserve">面积≥</w:t>
            </w:r>
            <w:r>
              <w:rPr>
                <w:rFonts w:ascii="宋体" w:hAnsi="宋体" w:eastAsia="宋体" w:cs="Times New Roman"/>
                <w:sz w:val="24"/>
                <w:szCs w:val="24"/>
              </w:rPr>
              <w:t xml:space="preserve">3</w:t>
            </w:r>
            <w:r>
              <w:rPr>
                <w:rFonts w:ascii="宋体" w:hAnsi="宋体" w:eastAsia="宋体" w:cs="Times New Roman"/>
                <w:sz w:val="24"/>
                <w:szCs w:val="24"/>
                <w:lang w:bidi="zh-CN"/>
              </w:rPr>
              <w:t xml:space="preserve">000 </w:t>
            </w:r>
            <w:r>
              <w:rPr>
                <w:rFonts w:ascii="宋体" w:hAnsi="宋体" w:eastAsia="宋体" w:cs="Times New Roman"/>
                <w:sz w:val="24"/>
                <w:szCs w:val="24"/>
              </w:rPr>
              <w:t xml:space="preserve">m</w:t>
            </w:r>
            <w:r>
              <w:rPr>
                <w:rFonts w:ascii="宋体" w:hAnsi="宋体" w:eastAsia="宋体" w:cs="Times New Roman"/>
                <w:sz w:val="24"/>
                <w:szCs w:val="24"/>
                <w:vertAlign w:val="superscript"/>
              </w:rPr>
              <w:t xml:space="preserve">2</w:t>
            </w:r>
            <w:r>
              <w:rPr>
                <w:rFonts w:ascii="宋体" w:hAnsi="宋体" w:eastAsia="宋体" w:cs="Times New Roman"/>
                <w:sz w:val="24"/>
                <w:szCs w:val="24"/>
                <w:lang w:bidi="zh-CN"/>
              </w:rPr>
              <w:t xml:space="preserve">，得 </w:t>
            </w:r>
            <w:r>
              <w:rPr>
                <w:rFonts w:ascii="宋体" w:hAnsi="宋体" w:eastAsia="宋体" w:cs="Times New Roman"/>
                <w:sz w:val="24"/>
                <w:szCs w:val="24"/>
              </w:rPr>
              <w:t xml:space="preserve">3</w:t>
            </w:r>
            <w:r>
              <w:rPr>
                <w:rFonts w:ascii="宋体" w:hAnsi="宋体" w:eastAsia="宋体" w:cs="Times New Roman"/>
                <w:sz w:val="24"/>
                <w:szCs w:val="24"/>
                <w:lang w:bidi="zh-CN"/>
              </w:rPr>
              <w:t xml:space="preserve"> 分</w:t>
            </w:r>
            <w:r>
              <w:rPr>
                <w:rFonts w:hint="eastAsia" w:ascii="宋体" w:hAnsi="宋体" w:eastAsia="宋体" w:cs="Times New Roman"/>
                <w:sz w:val="24"/>
                <w:szCs w:val="24"/>
                <w:lang w:bidi="zh-CN"/>
              </w:rPr>
              <w:t xml:space="preserve">；</w:t>
            </w:r>
            <w:r>
              <w:rPr>
                <w:rFonts w:ascii="宋体" w:hAnsi="宋体" w:eastAsia="宋体" w:cs="Times New Roman"/>
                <w:sz w:val="24"/>
                <w:szCs w:val="24"/>
              </w:rPr>
              <w:t xml:space="preserve">2</w:t>
            </w:r>
            <w:r>
              <w:rPr>
                <w:rFonts w:ascii="宋体" w:hAnsi="宋体" w:eastAsia="宋体" w:cs="Times New Roman"/>
                <w:sz w:val="24"/>
                <w:szCs w:val="24"/>
                <w:lang w:bidi="zh-CN"/>
              </w:rPr>
              <w:t xml:space="preserve">000 </w:t>
            </w:r>
            <w:r>
              <w:rPr>
                <w:rFonts w:ascii="宋体" w:hAnsi="宋体" w:eastAsia="宋体" w:cs="Times New Roman"/>
                <w:sz w:val="24"/>
                <w:szCs w:val="24"/>
              </w:rPr>
              <w:t xml:space="preserve">m</w:t>
            </w:r>
            <w:r>
              <w:rPr>
                <w:rFonts w:ascii="宋体" w:hAnsi="宋体" w:eastAsia="宋体" w:cs="Times New Roman"/>
                <w:sz w:val="24"/>
                <w:szCs w:val="24"/>
                <w:vertAlign w:val="superscript"/>
              </w:rPr>
              <w:t xml:space="preserve">2</w:t>
            </w:r>
            <w:r>
              <w:rPr>
                <w:rFonts w:ascii="宋体" w:hAnsi="宋体" w:eastAsia="宋体" w:cs="Times New Roman"/>
                <w:sz w:val="24"/>
                <w:szCs w:val="24"/>
                <w:lang w:bidi="zh-CN"/>
              </w:rPr>
              <w:t xml:space="preserve">≤面积＜</w:t>
            </w:r>
            <w:r>
              <w:rPr>
                <w:rFonts w:ascii="宋体" w:hAnsi="宋体" w:eastAsia="宋体" w:cs="Times New Roman"/>
                <w:sz w:val="24"/>
                <w:szCs w:val="24"/>
              </w:rPr>
              <w:t xml:space="preserve">3</w:t>
            </w:r>
            <w:r>
              <w:rPr>
                <w:rFonts w:ascii="宋体" w:hAnsi="宋体" w:eastAsia="宋体" w:cs="Times New Roman"/>
                <w:sz w:val="24"/>
                <w:szCs w:val="24"/>
                <w:lang w:bidi="zh-CN"/>
              </w:rPr>
              <w:t xml:space="preserve">000 </w:t>
            </w:r>
            <w:r>
              <w:rPr>
                <w:rFonts w:ascii="宋体" w:hAnsi="宋体" w:eastAsia="宋体" w:cs="Times New Roman"/>
                <w:sz w:val="24"/>
                <w:szCs w:val="24"/>
              </w:rPr>
              <w:t xml:space="preserve">m</w:t>
            </w:r>
            <w:r>
              <w:rPr>
                <w:rFonts w:ascii="宋体" w:hAnsi="宋体" w:eastAsia="宋体" w:cs="Times New Roman"/>
                <w:sz w:val="24"/>
                <w:szCs w:val="24"/>
                <w:vertAlign w:val="superscript"/>
              </w:rPr>
              <w:t xml:space="preserve">2</w:t>
            </w:r>
            <w:r>
              <w:rPr>
                <w:rFonts w:ascii="宋体" w:hAnsi="宋体" w:eastAsia="宋体" w:cs="Times New Roman"/>
                <w:sz w:val="24"/>
                <w:szCs w:val="24"/>
                <w:lang w:bidi="zh-CN"/>
              </w:rPr>
              <w:t xml:space="preserve">，得 </w:t>
            </w:r>
            <w:r>
              <w:rPr>
                <w:rFonts w:ascii="宋体" w:hAnsi="宋体" w:eastAsia="宋体" w:cs="Times New Roman"/>
                <w:sz w:val="24"/>
                <w:szCs w:val="24"/>
              </w:rPr>
              <w:t xml:space="preserve">2</w:t>
            </w:r>
            <w:r>
              <w:rPr>
                <w:rFonts w:ascii="宋体" w:hAnsi="宋体" w:eastAsia="宋体" w:cs="Times New Roman"/>
                <w:sz w:val="24"/>
                <w:szCs w:val="24"/>
                <w:lang w:bidi="zh-CN"/>
              </w:rPr>
              <w:t xml:space="preserve"> 分；</w:t>
            </w:r>
            <w:r>
              <w:rPr>
                <w:rFonts w:ascii="宋体" w:hAnsi="宋体" w:eastAsia="宋体" w:cs="Times New Roman"/>
                <w:sz w:val="24"/>
                <w:szCs w:val="24"/>
              </w:rPr>
              <w:t xml:space="preserve">1</w:t>
            </w:r>
            <w:r>
              <w:rPr>
                <w:rFonts w:ascii="宋体" w:hAnsi="宋体" w:eastAsia="宋体" w:cs="Times New Roman"/>
                <w:sz w:val="24"/>
                <w:szCs w:val="24"/>
                <w:lang w:bidi="zh-CN"/>
              </w:rPr>
              <w:t xml:space="preserve">000 </w:t>
            </w:r>
            <w:r>
              <w:rPr>
                <w:rFonts w:ascii="宋体" w:hAnsi="宋体" w:eastAsia="宋体" w:cs="Times New Roman"/>
                <w:sz w:val="24"/>
                <w:szCs w:val="24"/>
              </w:rPr>
              <w:t xml:space="preserve">m</w:t>
            </w:r>
            <w:r>
              <w:rPr>
                <w:rFonts w:ascii="宋体" w:hAnsi="宋体" w:eastAsia="宋体" w:cs="Times New Roman"/>
                <w:sz w:val="24"/>
                <w:szCs w:val="24"/>
                <w:vertAlign w:val="superscript"/>
              </w:rPr>
              <w:t xml:space="preserve">2</w:t>
            </w:r>
            <w:r>
              <w:rPr>
                <w:rFonts w:ascii="宋体" w:hAnsi="宋体" w:eastAsia="宋体" w:cs="Times New Roman"/>
                <w:sz w:val="24"/>
                <w:szCs w:val="24"/>
                <w:lang w:bidi="zh-CN"/>
              </w:rPr>
              <w:t xml:space="preserve">≤面积＜</w:t>
            </w:r>
            <w:r>
              <w:rPr>
                <w:rFonts w:ascii="宋体" w:hAnsi="宋体" w:eastAsia="宋体" w:cs="Times New Roman"/>
                <w:sz w:val="24"/>
                <w:szCs w:val="24"/>
              </w:rPr>
              <w:t xml:space="preserve">2</w:t>
            </w:r>
            <w:r>
              <w:rPr>
                <w:rFonts w:ascii="宋体" w:hAnsi="宋体" w:eastAsia="宋体" w:cs="Times New Roman"/>
                <w:sz w:val="24"/>
                <w:szCs w:val="24"/>
                <w:lang w:bidi="zh-CN"/>
              </w:rPr>
              <w:t xml:space="preserve">000 </w:t>
            </w:r>
            <w:r>
              <w:rPr>
                <w:rFonts w:ascii="宋体" w:hAnsi="宋体" w:eastAsia="宋体" w:cs="Times New Roman"/>
                <w:sz w:val="24"/>
                <w:szCs w:val="24"/>
              </w:rPr>
              <w:t xml:space="preserve">m</w:t>
            </w:r>
            <w:r>
              <w:rPr>
                <w:rFonts w:ascii="宋体" w:hAnsi="宋体" w:eastAsia="宋体" w:cs="Times New Roman"/>
                <w:sz w:val="24"/>
                <w:szCs w:val="24"/>
                <w:vertAlign w:val="superscript"/>
              </w:rPr>
              <w:t xml:space="preserve">2</w:t>
            </w:r>
            <w:r>
              <w:rPr>
                <w:rFonts w:ascii="宋体" w:hAnsi="宋体" w:eastAsia="宋体" w:cs="Times New Roman"/>
                <w:sz w:val="24"/>
                <w:szCs w:val="24"/>
                <w:lang w:bidi="zh-CN"/>
              </w:rPr>
              <w:t xml:space="preserve">，得 </w:t>
            </w:r>
            <w:r>
              <w:rPr>
                <w:rFonts w:ascii="宋体" w:hAnsi="宋体" w:eastAsia="宋体" w:cs="Times New Roman"/>
                <w:sz w:val="24"/>
                <w:szCs w:val="24"/>
              </w:rPr>
              <w:t xml:space="preserve">1</w:t>
            </w:r>
            <w:r>
              <w:rPr>
                <w:rFonts w:ascii="宋体" w:hAnsi="宋体" w:eastAsia="宋体" w:cs="Times New Roman"/>
                <w:sz w:val="24"/>
                <w:szCs w:val="24"/>
                <w:lang w:bidi="zh-CN"/>
              </w:rPr>
              <w:t xml:space="preserve"> 分；面积＜1000 </w:t>
            </w:r>
            <w:r>
              <w:rPr>
                <w:rFonts w:ascii="宋体" w:hAnsi="宋体" w:eastAsia="宋体" w:cs="Times New Roman"/>
                <w:sz w:val="24"/>
                <w:szCs w:val="24"/>
              </w:rPr>
              <w:t xml:space="preserve">m</w:t>
            </w:r>
            <w:r>
              <w:rPr>
                <w:rFonts w:ascii="宋体" w:hAnsi="宋体" w:eastAsia="宋体" w:cs="Times New Roman"/>
                <w:sz w:val="24"/>
                <w:szCs w:val="24"/>
                <w:vertAlign w:val="superscript"/>
              </w:rPr>
              <w:t xml:space="preserve">2</w:t>
            </w:r>
            <w:r>
              <w:rPr>
                <w:rFonts w:ascii="宋体" w:hAnsi="宋体" w:eastAsia="宋体" w:cs="Times New Roman"/>
                <w:sz w:val="24"/>
                <w:szCs w:val="24"/>
                <w:lang w:bidi="zh-CN"/>
              </w:rPr>
              <w:t xml:space="preserve">，不得分。</w:t>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（提供食品实验室平面布局图并须标出食品检测实验室区域位置及面积、产权证明或租赁协议、佐证照片扫描件并加盖公章）</w:t>
            </w:r>
            <w:r/>
          </w:p>
        </w:tc>
      </w:tr>
      <w:tr>
        <w:trPr>
          <w:trHeight w:val="945"/>
        </w:trPr>
        <w:tc>
          <w:tcPr>
            <w:tcW w:w="597" w:type="dxa"/>
            <w:vAlign w:val="center"/>
            <w:vMerge w:val="continue"/>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W w:w="1569" w:type="dxa"/>
            <w:vAlign w:val="center"/>
            <w:vMerge w:val="continue"/>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2分</w:t>
            </w:r>
            <w:r/>
          </w:p>
        </w:tc>
        <w:tc>
          <w:tcPr>
            <w:tcW w:w="7526" w:type="dxa"/>
            <w:vAlign w:val="center"/>
            <w:textDirection w:val="lrTb"/>
            <w:noWrap w:val="false"/>
          </w:tcPr>
          <w:p>
            <w:pPr>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具备用于食品保存的专用冷库，容积100立方米得1分，每增加10立方米得0.2分，</w:t>
            </w:r>
            <w:r>
              <w:rPr>
                <w:rFonts w:hint="eastAsia" w:ascii="Times New Roman" w:hAnsi="Times New Roman" w:eastAsia="宋体" w:cs="Times New Roman"/>
                <w:sz w:val="24"/>
                <w:szCs w:val="24"/>
              </w:rPr>
              <w:t xml:space="preserve">本项最高得</w:t>
            </w:r>
            <w:r>
              <w:rPr>
                <w:rFonts w:hint="eastAsia" w:ascii="宋体" w:hAnsi="宋体" w:eastAsia="宋体" w:cs="宋体"/>
                <w:sz w:val="24"/>
                <w:szCs w:val="24"/>
                <w:lang w:bidi="ar"/>
              </w:rPr>
              <w:t xml:space="preserve">2分（容积取整数）。</w:t>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（提供冷库区域位置、购置发票及相关证明材料，另须提供冷库温度等参数校准证书）</w:t>
            </w:r>
            <w:r/>
          </w:p>
        </w:tc>
      </w:tr>
      <w:tr>
        <w:trPr>
          <w:trHeight w:val="1690"/>
        </w:trPr>
        <w:tc>
          <w:tcPr>
            <w:tcW w:w="597" w:type="dxa"/>
            <w:vAlign w:val="center"/>
            <w:vMerge w:val="continue"/>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W w:w="1569" w:type="dxa"/>
            <w:vAlign w:val="center"/>
            <w:vMerge w:val="continue"/>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2分</w:t>
            </w:r>
            <w:r/>
          </w:p>
        </w:tc>
        <w:tc>
          <w:tcPr>
            <w:tcW w:w="7526" w:type="dxa"/>
            <w:vAlign w:val="center"/>
            <w:textDirection w:val="lrTb"/>
            <w:noWrap w:val="false"/>
          </w:tcPr>
          <w:p>
            <w:pPr>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微生物洁净实验室情况:微生物实验室洁净等级为万级(符合《GB 50073-2013洁净厂房设计规范》的要求) ,6平方米及以上得1分；微生物实验室洁净等级为百级(符合《GB 50073-2013洁净厂房设计规范》的要求) 6平方米及以上得2分。本项最高为得2分，没有或不能提供检测报告的不得分。</w:t>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（提供微生物洁净实验室所在区域位置及相关证明材料、万级和百级洁净实验室检测报告扫描件并加盖公章）</w:t>
            </w:r>
            <w:r/>
          </w:p>
        </w:tc>
      </w:tr>
      <w:tr>
        <w:trPr>
          <w:trHeight w:val="1603"/>
        </w:trPr>
        <w:tc>
          <w:tcPr>
            <w:tcW w:w="597"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2</w:t>
            </w:r>
            <w:r/>
          </w:p>
        </w:tc>
        <w:tc>
          <w:tcPr>
            <w:tcW w:w="1569"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实验室设备</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6分</w:t>
            </w:r>
            <w:r/>
          </w:p>
        </w:tc>
        <w:tc>
          <w:tcPr>
            <w:tcW w:w="7526" w:type="dxa"/>
            <w:vAlign w:val="center"/>
            <w:textDirection w:val="lrTb"/>
            <w:noWrap w:val="false"/>
          </w:tcPr>
          <w:p>
            <w:pPr>
              <w:numPr>
                <w:ilvl w:val="0"/>
                <w:numId w:val="0"/>
              </w:numPr>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食品抽检</w:t>
            </w:r>
            <w:r>
              <w:rPr>
                <w:rFonts w:hint="eastAsia" w:ascii="宋体" w:hAnsi="宋体" w:eastAsia="宋体" w:cs="宋体"/>
                <w:sz w:val="24"/>
                <w:szCs w:val="24"/>
                <w:highlight w:val="none"/>
                <w:lang w:val="en-US" w:eastAsia="zh-CN"/>
              </w:rPr>
              <w:t xml:space="preserve">检测的设施及仪器设备</w:t>
            </w:r>
            <w:r>
              <w:rPr>
                <w:rFonts w:hint="eastAsia" w:ascii="宋体" w:hAnsi="宋体" w:eastAsia="宋体" w:cs="宋体"/>
                <w:sz w:val="24"/>
                <w:szCs w:val="24"/>
                <w:highlight w:val="none"/>
              </w:rPr>
              <w:t xml:space="preserve">，在满足设备基本要求的同时，每增加1台得1分。</w:t>
            </w:r>
            <w:r>
              <w:rPr>
                <w:rFonts w:hint="eastAsia" w:ascii="宋体" w:hAnsi="宋体" w:eastAsia="宋体" w:cs="宋体"/>
                <w:sz w:val="24"/>
                <w:szCs w:val="24"/>
                <w:highlight w:val="none"/>
                <w:lang w:bidi="ar"/>
              </w:rPr>
              <w:t xml:space="preserve">本项最高为6分</w:t>
            </w:r>
            <w:r/>
          </w:p>
          <w:p>
            <w:pPr>
              <w:numPr>
                <w:ilvl w:val="0"/>
                <w:numId w:val="0"/>
              </w:numPr>
              <w:jc w:val="left"/>
              <w:spacing w:line="360" w:lineRule="auto"/>
              <w:rPr>
                <w:rFonts w:hint="eastAsia" w:ascii="Times New Roman" w:hAnsi="Times New Roman" w:eastAsia="宋体" w:cs="Times New Roman"/>
                <w:sz w:val="24"/>
                <w:szCs w:val="24"/>
                <w:highlight w:val="none"/>
              </w:rPr>
            </w:pPr>
            <w:r>
              <w:rPr>
                <w:rFonts w:hint="eastAsia" w:ascii="宋体" w:hAnsi="宋体" w:eastAsia="宋体" w:cs="宋体"/>
                <w:b/>
                <w:bCs/>
                <w:sz w:val="24"/>
                <w:szCs w:val="24"/>
                <w:highlight w:val="none"/>
                <w:lang w:val="en-US" w:eastAsia="zh-CN" w:bidi="ar"/>
              </w:rPr>
              <w:t xml:space="preserve">注：</w:t>
            </w:r>
            <w:r>
              <w:rPr>
                <w:rFonts w:hint="eastAsia" w:ascii="宋体" w:hAnsi="宋体" w:eastAsia="宋体" w:cs="宋体"/>
                <w:b/>
                <w:bCs/>
                <w:sz w:val="24"/>
                <w:szCs w:val="24"/>
                <w:highlight w:val="none"/>
                <w:lang w:bidi="ar"/>
              </w:rPr>
              <w:t xml:space="preserve">同时提供①设备清单②设备所在位置照片③设备购买发票④有效期的设备检定或校准证书扫描件并加盖公章。</w:t>
            </w:r>
            <w:r/>
          </w:p>
        </w:tc>
      </w:tr>
      <w:tr>
        <w:trPr>
          <w:trHeight w:val="1080"/>
        </w:trPr>
        <w:tc>
          <w:tcPr>
            <w:tcW w:w="597"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3</w:t>
            </w:r>
            <w:r/>
          </w:p>
        </w:tc>
        <w:tc>
          <w:tcPr>
            <w:tcW w:w="1569"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人员配备</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5分</w:t>
            </w:r>
            <w:r/>
          </w:p>
        </w:tc>
        <w:tc>
          <w:tcPr>
            <w:tcW w:w="7526" w:type="dxa"/>
            <w:vAlign w:val="center"/>
            <w:textDirection w:val="lrTb"/>
            <w:noWrap w:val="false"/>
          </w:tcPr>
          <w:p>
            <w:pPr>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1.供应商拟派项目负责人</w:t>
            </w:r>
            <w:r>
              <w:rPr>
                <w:rFonts w:ascii="宋体" w:hAnsi="宋体" w:eastAsia="宋体" w:cs="Times New Roman"/>
                <w:sz w:val="24"/>
                <w:szCs w:val="24"/>
                <w:lang w:val="zh-CN"/>
              </w:rPr>
              <w:t xml:space="preserve">具有食品、化学、生物等与食品检测相关专业的正高级职称</w:t>
            </w:r>
            <w:r>
              <w:rPr>
                <w:rFonts w:hint="eastAsia" w:ascii="宋体" w:hAnsi="宋体" w:eastAsia="宋体" w:cs="宋体"/>
                <w:sz w:val="24"/>
                <w:szCs w:val="24"/>
                <w:lang w:bidi="ar"/>
              </w:rPr>
              <w:t xml:space="preserve">、从事食品抽检工作年限5年以上得2分；</w:t>
            </w:r>
            <w:r>
              <w:rPr>
                <w:rFonts w:ascii="宋体" w:hAnsi="宋体" w:eastAsia="宋体" w:cs="Times New Roman"/>
                <w:sz w:val="24"/>
                <w:szCs w:val="24"/>
                <w:lang w:val="zh-CN"/>
              </w:rPr>
              <w:t xml:space="preserve">具有食品、化学、生物等与食品检测相关专业的高级职称</w:t>
            </w:r>
            <w:r>
              <w:rPr>
                <w:rFonts w:hint="eastAsia" w:ascii="宋体" w:hAnsi="宋体" w:eastAsia="宋体" w:cs="宋体"/>
                <w:sz w:val="24"/>
                <w:szCs w:val="24"/>
                <w:lang w:bidi="ar"/>
              </w:rPr>
              <w:t xml:space="preserve">、从事食品抽检工作年限3年以上得1分。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w:t>
            </w:r>
            <w:r>
              <w:rPr>
                <w:rFonts w:ascii="宋体" w:hAnsi="宋体" w:eastAsia="宋体" w:cs="仿宋"/>
                <w:sz w:val="24"/>
                <w:szCs w:val="24"/>
              </w:rPr>
              <w:t xml:space="preserve">供应商拟投入本项目的承担食品抽检工作的专职抽样人员，数量</w:t>
            </w:r>
            <w:r>
              <w:rPr>
                <w:rFonts w:hint="eastAsia" w:ascii="宋体" w:hAnsi="宋体" w:eastAsia="宋体" w:cs="仿宋"/>
                <w:sz w:val="24"/>
                <w:szCs w:val="24"/>
              </w:rPr>
              <w:t xml:space="preserve">满</w:t>
            </w:r>
            <w:r>
              <w:rPr>
                <w:rFonts w:ascii="宋体" w:hAnsi="宋体" w:eastAsia="宋体" w:cs="仿宋"/>
                <w:sz w:val="24"/>
                <w:szCs w:val="24"/>
              </w:rPr>
              <w:t xml:space="preserve">6人得</w:t>
            </w:r>
            <w:r>
              <w:rPr>
                <w:rFonts w:hint="eastAsia" w:ascii="宋体" w:hAnsi="宋体" w:eastAsia="宋体" w:cs="仿宋"/>
                <w:sz w:val="24"/>
                <w:szCs w:val="24"/>
              </w:rPr>
              <w:t xml:space="preserve">0.5</w:t>
            </w:r>
            <w:r>
              <w:rPr>
                <w:rFonts w:ascii="宋体" w:hAnsi="宋体" w:eastAsia="宋体" w:cs="仿宋"/>
                <w:sz w:val="24"/>
                <w:szCs w:val="24"/>
              </w:rPr>
              <w:t xml:space="preserve">分；</w:t>
            </w:r>
            <w:r>
              <w:rPr>
                <w:rFonts w:hint="eastAsia" w:ascii="宋体" w:hAnsi="宋体" w:eastAsia="宋体" w:cs="仿宋"/>
                <w:sz w:val="24"/>
                <w:szCs w:val="24"/>
              </w:rPr>
              <w:t xml:space="preserve">8人（含8人)以上得1分</w:t>
            </w:r>
            <w:r>
              <w:rPr>
                <w:rFonts w:ascii="宋体" w:hAnsi="宋体" w:eastAsia="宋体" w:cs="仿宋"/>
                <w:sz w:val="24"/>
                <w:szCs w:val="24"/>
              </w:rPr>
              <w:t xml:space="preserve">。6人以下的不得分。</w:t>
            </w:r>
            <w:r/>
          </w:p>
          <w:p>
            <w:pPr>
              <w:jc w:val="left"/>
              <w:spacing w:line="360" w:lineRule="auto"/>
              <w:widowControl/>
              <w:rPr>
                <w:rFonts w:ascii="宋体" w:hAnsi="宋体" w:eastAsia="宋体" w:cs="仿宋"/>
                <w:sz w:val="24"/>
                <w:szCs w:val="24"/>
              </w:rPr>
            </w:pPr>
            <w:r>
              <w:rPr>
                <w:rFonts w:hint="eastAsia" w:ascii="宋体" w:hAnsi="宋体" w:eastAsia="宋体" w:cs="仿宋"/>
                <w:sz w:val="24"/>
                <w:szCs w:val="24"/>
                <w:lang w:val="en-US" w:eastAsia="zh-CN"/>
              </w:rPr>
              <w:t xml:space="preserve">3</w:t>
            </w:r>
            <w:r>
              <w:rPr>
                <w:rFonts w:hint="eastAsia" w:ascii="宋体" w:hAnsi="宋体" w:eastAsia="宋体" w:cs="仿宋"/>
                <w:sz w:val="24"/>
                <w:szCs w:val="24"/>
              </w:rPr>
              <w:t xml:space="preserve">.</w:t>
            </w:r>
            <w:r>
              <w:rPr>
                <w:rFonts w:ascii="宋体" w:hAnsi="宋体" w:eastAsia="宋体" w:cs="仿宋"/>
                <w:sz w:val="24"/>
                <w:szCs w:val="24"/>
              </w:rPr>
              <w:t xml:space="preserve">供应商拟投入本项目的专职食品检验人员，25</w:t>
            </w:r>
            <w:r>
              <w:rPr>
                <w:rFonts w:ascii="宋体" w:hAnsi="宋体" w:eastAsia="宋体" w:cs="Times New Roman"/>
                <w:sz w:val="24"/>
                <w:szCs w:val="24"/>
                <w:lang w:bidi="zh-CN"/>
              </w:rPr>
              <w:t xml:space="preserve">≤</w:t>
            </w:r>
            <w:r>
              <w:rPr>
                <w:rFonts w:hint="eastAsia" w:ascii="宋体" w:hAnsi="宋体" w:eastAsia="宋体" w:cs="Times New Roman"/>
                <w:sz w:val="24"/>
                <w:szCs w:val="24"/>
                <w:lang w:bidi="zh-CN"/>
              </w:rPr>
              <w:t xml:space="preserve">人数</w:t>
            </w:r>
            <w:r>
              <w:rPr>
                <w:rFonts w:ascii="宋体" w:hAnsi="宋体" w:eastAsia="宋体" w:cs="Times New Roman"/>
                <w:sz w:val="24"/>
                <w:szCs w:val="24"/>
                <w:lang w:bidi="zh-CN"/>
              </w:rPr>
              <w:t xml:space="preserve">＜</w:t>
            </w:r>
            <w:r>
              <w:rPr>
                <w:rFonts w:hint="eastAsia" w:ascii="宋体" w:hAnsi="宋体" w:eastAsia="宋体" w:cs="Times New Roman"/>
                <w:sz w:val="24"/>
                <w:szCs w:val="24"/>
                <w:lang w:bidi="zh-CN"/>
              </w:rPr>
              <w:t xml:space="preserve">30</w:t>
            </w:r>
            <w:r>
              <w:rPr>
                <w:rFonts w:ascii="宋体" w:hAnsi="宋体" w:eastAsia="宋体" w:cs="仿宋"/>
                <w:sz w:val="24"/>
                <w:szCs w:val="24"/>
              </w:rPr>
              <w:t xml:space="preserve">人得1分；30</w:t>
            </w:r>
            <w:r>
              <w:rPr>
                <w:rFonts w:ascii="宋体" w:hAnsi="宋体" w:eastAsia="宋体" w:cs="Times New Roman"/>
                <w:sz w:val="24"/>
                <w:szCs w:val="24"/>
                <w:lang w:bidi="zh-CN"/>
              </w:rPr>
              <w:t xml:space="preserve">≤</w:t>
            </w:r>
            <w:r>
              <w:rPr>
                <w:rFonts w:hint="eastAsia" w:ascii="宋体" w:hAnsi="宋体" w:eastAsia="宋体" w:cs="Times New Roman"/>
                <w:sz w:val="24"/>
                <w:szCs w:val="24"/>
                <w:lang w:bidi="zh-CN"/>
              </w:rPr>
              <w:t xml:space="preserve">人数</w:t>
            </w:r>
            <w:r>
              <w:rPr>
                <w:rFonts w:ascii="宋体" w:hAnsi="宋体" w:eastAsia="宋体" w:cs="Times New Roman"/>
                <w:sz w:val="24"/>
                <w:szCs w:val="24"/>
                <w:lang w:bidi="zh-CN"/>
              </w:rPr>
              <w:t xml:space="preserve">＜</w:t>
            </w:r>
            <w:r>
              <w:rPr>
                <w:rFonts w:hint="eastAsia" w:ascii="宋体" w:hAnsi="宋体" w:eastAsia="宋体" w:cs="Times New Roman"/>
                <w:sz w:val="24"/>
                <w:szCs w:val="24"/>
                <w:lang w:bidi="zh-CN"/>
              </w:rPr>
              <w:t xml:space="preserve">35</w:t>
            </w:r>
            <w:r>
              <w:rPr>
                <w:rFonts w:ascii="宋体" w:hAnsi="宋体" w:eastAsia="宋体" w:cs="仿宋"/>
                <w:sz w:val="24"/>
                <w:szCs w:val="24"/>
              </w:rPr>
              <w:t xml:space="preserve">得1.5分；35人</w:t>
            </w:r>
            <w:r>
              <w:rPr>
                <w:rFonts w:hint="eastAsia" w:ascii="宋体" w:hAnsi="宋体" w:eastAsia="宋体" w:cs="仿宋"/>
                <w:sz w:val="24"/>
                <w:szCs w:val="24"/>
              </w:rPr>
              <w:t xml:space="preserve">（含35人）以上得</w:t>
            </w:r>
            <w:r>
              <w:rPr>
                <w:rFonts w:ascii="宋体" w:hAnsi="宋体" w:eastAsia="宋体" w:cs="仿宋"/>
                <w:sz w:val="24"/>
                <w:szCs w:val="24"/>
              </w:rPr>
              <w:t xml:space="preserve">2分。25人以下的不得分。</w:t>
            </w:r>
            <w:r/>
          </w:p>
          <w:p>
            <w:pPr>
              <w:jc w:val="left"/>
              <w:spacing w:line="360" w:lineRule="auto"/>
              <w:widowControl/>
              <w:rPr>
                <w:rFonts w:ascii="宋体" w:hAnsi="宋体" w:eastAsia="宋体" w:cs="仿宋"/>
                <w:b/>
                <w:spacing w:val="-3"/>
                <w:sz w:val="24"/>
                <w:szCs w:val="24"/>
              </w:rPr>
            </w:pPr>
            <w:r>
              <w:rPr>
                <w:rFonts w:ascii="宋体" w:hAnsi="宋体" w:eastAsia="宋体" w:cs="仿宋"/>
                <w:b/>
                <w:spacing w:val="-3"/>
                <w:sz w:val="24"/>
                <w:szCs w:val="24"/>
              </w:rPr>
              <w:t xml:space="preserve">（1）投标文件中人员配备表须明确相关信息（姓名、岗位、职称、从事抽检工作年限等），否则不得分；</w:t>
            </w:r>
            <w:r/>
          </w:p>
          <w:p>
            <w:pPr>
              <w:jc w:val="left"/>
              <w:spacing w:line="360" w:lineRule="auto"/>
              <w:widowControl/>
              <w:rPr>
                <w:rFonts w:ascii="宋体" w:hAnsi="宋体" w:eastAsia="宋体" w:cs="仿宋"/>
                <w:b/>
                <w:spacing w:val="-3"/>
                <w:sz w:val="24"/>
                <w:szCs w:val="24"/>
              </w:rPr>
            </w:pPr>
            <w:r>
              <w:rPr>
                <w:rFonts w:ascii="宋体" w:hAnsi="宋体" w:eastAsia="宋体" w:cs="仿宋"/>
                <w:b/>
                <w:spacing w:val="-3"/>
                <w:sz w:val="24"/>
                <w:szCs w:val="24"/>
              </w:rPr>
              <w:t xml:space="preserve">（2）抽样人员与检验人员不得重复，重复的不计分；</w:t>
            </w:r>
            <w:r/>
          </w:p>
          <w:p>
            <w:pPr>
              <w:jc w:val="left"/>
              <w:spacing w:line="360" w:lineRule="auto"/>
              <w:widowControl/>
              <w:rPr>
                <w:rFonts w:hint="eastAsia" w:ascii="宋体" w:hAnsi="宋体" w:eastAsia="宋体" w:cs="宋体"/>
                <w:sz w:val="24"/>
                <w:szCs w:val="24"/>
              </w:rPr>
            </w:pPr>
            <w:r>
              <w:rPr>
                <w:rFonts w:ascii="宋体" w:hAnsi="宋体" w:eastAsia="宋体" w:cs="仿宋"/>
                <w:b/>
                <w:spacing w:val="-3"/>
                <w:sz w:val="24"/>
                <w:szCs w:val="24"/>
              </w:rPr>
              <w:t xml:space="preserve">（3）须提供供应商为项目人员缴纳的</w:t>
            </w:r>
            <w:r>
              <w:rPr>
                <w:rFonts w:hint="eastAsia" w:ascii="宋体" w:hAnsi="宋体" w:eastAsia="宋体" w:cs="仿宋"/>
                <w:b/>
                <w:spacing w:val="-3"/>
                <w:sz w:val="24"/>
                <w:szCs w:val="24"/>
                <w:lang w:val="en-US" w:eastAsia="zh-CN"/>
              </w:rPr>
              <w:t xml:space="preserve">2025年10月-12月中任意一个月的基本养老保险</w:t>
            </w:r>
            <w:r>
              <w:rPr>
                <w:rFonts w:ascii="宋体" w:hAnsi="宋体" w:eastAsia="宋体" w:cs="仿宋"/>
                <w:b/>
                <w:spacing w:val="-3"/>
                <w:sz w:val="24"/>
                <w:szCs w:val="24"/>
              </w:rPr>
              <w:t xml:space="preserve">证明材料，劳务派遣人员</w:t>
            </w:r>
            <w:r>
              <w:rPr>
                <w:rFonts w:hint="eastAsia" w:ascii="宋体" w:hAnsi="宋体" w:eastAsia="宋体" w:cs="仿宋"/>
                <w:b/>
                <w:spacing w:val="-3"/>
                <w:sz w:val="24"/>
                <w:szCs w:val="24"/>
              </w:rPr>
              <w:t xml:space="preserve">须</w:t>
            </w:r>
            <w:r>
              <w:rPr>
                <w:rFonts w:ascii="宋体" w:hAnsi="宋体" w:eastAsia="宋体" w:cs="仿宋"/>
                <w:b/>
                <w:spacing w:val="-3"/>
                <w:sz w:val="24"/>
                <w:szCs w:val="24"/>
              </w:rPr>
              <w:t xml:space="preserve">提供用工合同。（不包括返聘人员）</w:t>
            </w:r>
            <w:r/>
          </w:p>
        </w:tc>
      </w:tr>
      <w:tr>
        <w:trPr>
          <w:trHeight w:val="1040"/>
        </w:trPr>
        <w:tc>
          <w:tcPr>
            <w:tcW w:w="597" w:type="dxa"/>
            <w:vAlign w:val="center"/>
            <w:vMerge w:val="restart"/>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4</w:t>
            </w:r>
            <w:r/>
          </w:p>
        </w:tc>
        <w:tc>
          <w:tcPr>
            <w:tcW w:w="1569" w:type="dxa"/>
            <w:vAlign w:val="center"/>
            <w:vMerge w:val="restart"/>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运输能力</w:t>
            </w:r>
            <w:r/>
          </w:p>
        </w:tc>
        <w:tc>
          <w:tcPr>
            <w:tcW w:w="905" w:type="dxa"/>
            <w:vAlign w:val="center"/>
            <w:vMerge w:val="restart"/>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2分</w:t>
            </w:r>
            <w:r/>
          </w:p>
        </w:tc>
        <w:tc>
          <w:tcPr>
            <w:tcW w:w="7526"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投标人具备满足食品抽检工作要求的抽样工具、车辆及特殊贮存条件要求的运输设备情况。</w:t>
            </w:r>
            <w:r>
              <w:rPr>
                <w:rFonts w:hint="eastAsia" w:ascii="宋体" w:hAnsi="宋体" w:eastAsia="宋体" w:cs="宋体"/>
                <w:sz w:val="24"/>
                <w:szCs w:val="24"/>
                <w:lang w:bidi="ar"/>
              </w:rPr>
              <w:br w:type="textWrapping" w:clear="all"/>
            </w:r>
            <w:r>
              <w:rPr>
                <w:rFonts w:hint="eastAsia" w:ascii="宋体" w:hAnsi="宋体" w:eastAsia="宋体" w:cs="宋体"/>
                <w:sz w:val="24"/>
                <w:szCs w:val="24"/>
                <w:lang w:bidi="ar"/>
              </w:rPr>
              <w:t xml:space="preserve">（1）用于食品采样的车辆，不少于2台，每增加1台得0.25分，</w:t>
            </w:r>
            <w:r>
              <w:rPr>
                <w:rFonts w:hint="eastAsia" w:ascii="Times New Roman" w:hAnsi="Times New Roman" w:eastAsia="宋体" w:cs="Times New Roman"/>
                <w:sz w:val="24"/>
                <w:szCs w:val="24"/>
              </w:rPr>
              <w:t xml:space="preserve">本项最高得</w:t>
            </w:r>
            <w:r>
              <w:rPr>
                <w:rFonts w:hint="eastAsia" w:ascii="宋体" w:hAnsi="宋体" w:eastAsia="宋体" w:cs="宋体"/>
                <w:sz w:val="24"/>
                <w:szCs w:val="24"/>
                <w:lang w:bidi="ar"/>
              </w:rPr>
              <w:t xml:space="preserve">1分；</w:t>
            </w:r>
            <w:r>
              <w:rPr>
                <w:rFonts w:hint="eastAsia" w:ascii="宋体" w:hAnsi="宋体" w:eastAsia="宋体" w:cs="宋体"/>
                <w:sz w:val="24"/>
                <w:szCs w:val="24"/>
                <w:lang w:bidi="ar"/>
              </w:rPr>
              <w:br w:type="textWrapping" w:clear="all"/>
            </w:r>
            <w:r>
              <w:rPr>
                <w:rFonts w:hint="eastAsia" w:ascii="宋体" w:hAnsi="宋体" w:eastAsia="宋体" w:cs="宋体"/>
                <w:sz w:val="24"/>
                <w:szCs w:val="24"/>
                <w:lang w:bidi="ar"/>
              </w:rPr>
              <w:t xml:space="preserve">（2）具有用于食品采样的冷藏车不少于1台，每增加1台得0.5分，</w:t>
            </w:r>
            <w:r>
              <w:rPr>
                <w:rFonts w:hint="eastAsia" w:ascii="Times New Roman" w:hAnsi="Times New Roman" w:eastAsia="宋体" w:cs="Times New Roman"/>
                <w:sz w:val="24"/>
                <w:szCs w:val="24"/>
              </w:rPr>
              <w:t xml:space="preserve">本项最高得</w:t>
            </w:r>
            <w:r>
              <w:rPr>
                <w:rFonts w:hint="eastAsia" w:ascii="宋体" w:hAnsi="宋体" w:eastAsia="宋体" w:cs="宋体"/>
                <w:sz w:val="24"/>
                <w:szCs w:val="24"/>
                <w:lang w:bidi="ar"/>
              </w:rPr>
              <w:t xml:space="preserve">1分；</w:t>
            </w:r>
            <w:r>
              <w:rPr>
                <w:rFonts w:hint="eastAsia" w:ascii="宋体" w:hAnsi="宋体" w:eastAsia="宋体" w:cs="宋体"/>
                <w:sz w:val="24"/>
                <w:szCs w:val="24"/>
                <w:lang w:bidi="ar"/>
              </w:rPr>
              <w:br w:type="textWrapping" w:clear="all"/>
            </w:r>
            <w:r>
              <w:rPr>
                <w:rFonts w:hint="eastAsia" w:ascii="宋体" w:hAnsi="宋体" w:eastAsia="宋体" w:cs="宋体"/>
                <w:b/>
                <w:bCs/>
                <w:sz w:val="24"/>
                <w:szCs w:val="24"/>
                <w:lang w:bidi="ar"/>
              </w:rPr>
              <w:t xml:space="preserve">注：</w:t>
            </w:r>
            <w:r>
              <w:rPr>
                <w:rFonts w:hint="eastAsia" w:ascii="Times New Roman" w:hAnsi="Times New Roman" w:eastAsia="宋体" w:cs="Times New Roman"/>
                <w:b/>
                <w:bCs/>
                <w:sz w:val="24"/>
                <w:szCs w:val="24"/>
              </w:rPr>
              <w:t xml:space="preserve">本项最高得2分，</w:t>
            </w:r>
            <w:r>
              <w:rPr>
                <w:rFonts w:hint="eastAsia" w:ascii="宋体" w:hAnsi="宋体" w:eastAsia="宋体" w:cs="宋体"/>
                <w:b/>
                <w:bCs/>
                <w:sz w:val="24"/>
                <w:szCs w:val="24"/>
                <w:lang w:bidi="ar"/>
              </w:rPr>
              <w:t xml:space="preserve">需提供以上车辆行驶证或车辆租赁协议及相关证明材料扫描件并加盖公章，车辆为自有或租赁，自有车辆需提供购置发票，租赁车辆需提供有效租赁合同（租赁合同的期限要覆盖本项目服务周期）。</w:t>
            </w:r>
            <w:r/>
          </w:p>
        </w:tc>
      </w:tr>
      <w:tr>
        <w:trPr>
          <w:trHeight w:val="2058"/>
        </w:trPr>
        <w:tc>
          <w:tcPr>
            <w:tcW w:w="597"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W w:w="1569"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实验室能力</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7分</w:t>
            </w:r>
            <w:r/>
          </w:p>
        </w:tc>
        <w:tc>
          <w:tcPr>
            <w:tcW w:w="7526" w:type="dxa"/>
            <w:vAlign w:val="center"/>
            <w:textDirection w:val="lrTb"/>
            <w:noWrap w:val="false"/>
          </w:tcPr>
          <w:p>
            <w:pPr>
              <w:jc w:val="left"/>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（1）投标人通过CNAS认证的得2分；</w:t>
            </w:r>
            <w:r/>
          </w:p>
          <w:p>
            <w:pPr>
              <w:jc w:val="left"/>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（2）投标人具备食品类省级以上检测中心或重点实验室资质，得2分；</w:t>
            </w:r>
            <w:r/>
          </w:p>
          <w:p>
            <w:pPr>
              <w:jc w:val="left"/>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（3）投标人通过 CATL 考核的得2分；                         </w:t>
            </w:r>
            <w:r/>
          </w:p>
          <w:p>
            <w:pPr>
              <w:jc w:val="left"/>
              <w:spacing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（4）自2023年1月1日以来，投标人参加过国际、国内相关机构组织的食品检测项目的实验室能力验证或省级及以上市场监管部门组织的盲样考核，并获得满意结果的，每次得0.25分，本项最高得1分；</w:t>
            </w:r>
            <w:r/>
          </w:p>
          <w:p>
            <w:pPr>
              <w:jc w:val="left"/>
              <w:spacing w:line="360" w:lineRule="auto"/>
              <w:widowControl/>
              <w:rPr>
                <w:rFonts w:ascii="Times New Roman" w:hAnsi="Times New Roman" w:eastAsia="宋体" w:cs="Times New Roman"/>
                <w:sz w:val="24"/>
                <w:szCs w:val="24"/>
              </w:rPr>
            </w:pPr>
            <w:r>
              <w:rPr>
                <w:rFonts w:hint="eastAsia" w:ascii="Times New Roman" w:hAnsi="Times New Roman" w:eastAsia="宋体" w:cs="Times New Roman"/>
                <w:b/>
                <w:bCs/>
                <w:sz w:val="24"/>
                <w:szCs w:val="24"/>
                <w:lang w:val="en-US" w:eastAsia="zh-CN"/>
              </w:rPr>
              <w:t xml:space="preserve">注：须提供证书复印件及相关机构或部门文件等证明材料，获得不满意结果的或未提供有效证明文件的不得分。</w:t>
            </w:r>
            <w:r/>
          </w:p>
        </w:tc>
      </w:tr>
      <w:tr>
        <w:trPr>
          <w:trHeight w:val="330"/>
        </w:trPr>
        <w:tc>
          <w:tcPr>
            <w:tcW w:w="597"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tcW w:w="1569" w:type="dxa"/>
            <w:vAlign w:val="center"/>
            <w:textDirection w:val="lrTb"/>
            <w:noWrap w:val="false"/>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lang w:bidi="ar"/>
              </w:rPr>
              <w:t xml:space="preserve">检测能力</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8分</w:t>
            </w:r>
            <w:r/>
          </w:p>
        </w:tc>
        <w:tc>
          <w:tcPr>
            <w:tcW w:w="7526" w:type="dxa"/>
            <w:vAlign w:val="center"/>
            <w:textDirection w:val="lrTb"/>
            <w:noWrap w:val="false"/>
          </w:tcPr>
          <w:p>
            <w:pPr>
              <w:jc w:val="left"/>
              <w:spacing w:line="360" w:lineRule="auto"/>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投标人自2023年1月1日以来，承担过省级食品安全抽样、检验及应急或专项抽检任务得6分，承担过地市级食品安全抽样、检验及应急或专项抽检任务的得4分，承担过区县级食品安全抽样、检验及应急或专项抽检任务的得2分。</w:t>
            </w:r>
            <w:r/>
          </w:p>
          <w:p>
            <w:pPr>
              <w:jc w:val="left"/>
              <w:spacing w:line="360" w:lineRule="auto"/>
              <w:widowControl/>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注：</w:t>
            </w:r>
            <w:r>
              <w:rPr>
                <w:rFonts w:hint="eastAsia" w:ascii="Times New Roman" w:hAnsi="Times New Roman" w:eastAsia="宋体" w:cs="Times New Roman"/>
                <w:b/>
                <w:bCs/>
                <w:sz w:val="24"/>
                <w:szCs w:val="24"/>
              </w:rPr>
              <w:t xml:space="preserve">按抽检任务最高等级情况打分，得分不作累加；投标人须提供任务委托书或抽检合同扫描件加盖供应商公章。</w:t>
            </w:r>
            <w:r/>
          </w:p>
          <w:p>
            <w:pPr>
              <w:jc w:val="left"/>
              <w:spacing w:line="360" w:lineRule="auto"/>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2023年1月1日以来为政府部门举办的重大活动提供食品安全保障的，参与全国性活动保障的，得2分，参与省级活动保障的，得1分，该项不累加计分。</w:t>
            </w:r>
            <w:r/>
          </w:p>
          <w:p>
            <w:pPr>
              <w:jc w:val="left"/>
              <w:spacing w:line="360" w:lineRule="auto"/>
              <w:widowControl/>
              <w:rPr>
                <w:rFonts w:hint="eastAsia" w:ascii="Times New Roman" w:hAnsi="Times New Roman" w:eastAsia="宋体" w:cs="Times New Roman"/>
                <w:sz w:val="24"/>
                <w:szCs w:val="24"/>
              </w:rPr>
            </w:pPr>
            <w:r>
              <w:rPr>
                <w:rFonts w:hint="eastAsia" w:ascii="Times New Roman" w:hAnsi="Times New Roman" w:eastAsia="宋体" w:cs="Times New Roman"/>
                <w:b/>
                <w:bCs/>
                <w:sz w:val="24"/>
                <w:szCs w:val="24"/>
                <w:lang w:val="en-US" w:eastAsia="zh-CN"/>
              </w:rPr>
              <w:t xml:space="preserve">注：</w:t>
            </w:r>
            <w:r>
              <w:rPr>
                <w:rFonts w:hint="eastAsia" w:ascii="Times New Roman" w:hAnsi="Times New Roman" w:eastAsia="宋体" w:cs="Times New Roman"/>
                <w:b/>
                <w:bCs/>
                <w:sz w:val="24"/>
                <w:szCs w:val="24"/>
              </w:rPr>
              <w:t xml:space="preserve">须提供相关证明材料扫描件加盖采购方公章。</w:t>
            </w:r>
            <w:r/>
          </w:p>
        </w:tc>
      </w:tr>
      <w:tr>
        <w:trPr>
          <w:trHeight w:val="1047"/>
        </w:trPr>
        <w:tc>
          <w:tcPr>
            <w:tcW w:w="597"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tcW w:w="1569" w:type="dxa"/>
            <w:vAlign w:val="center"/>
            <w:textDirection w:val="lrTb"/>
            <w:noWrap w:val="false"/>
          </w:tcPr>
          <w:p>
            <w:pPr>
              <w:jc w:val="center"/>
              <w:spacing w:line="36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抽检绩效</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1分</w:t>
            </w:r>
            <w:r/>
          </w:p>
        </w:tc>
        <w:tc>
          <w:tcPr>
            <w:tcW w:w="7526" w:type="dxa"/>
            <w:vAlign w:val="center"/>
            <w:textDirection w:val="lrTb"/>
            <w:noWrap w:val="false"/>
          </w:tcPr>
          <w:p>
            <w:pPr>
              <w:jc w:val="left"/>
              <w:spacing w:line="360" w:lineRule="auto"/>
              <w:tabs>
                <w:tab w:val="left" w:pos="1246"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在2023年1月1日以来承担县区级及以上市场监管部门委托的食品安全监督抽检工作，提供可以证明监督抽检任务总批次（需在同一委托单位一年内任务总批次大于500批次，餐饮类、特殊食品、农产品专项抽检除外）的材料和抽检不合格汇总表，将（不合格批次数÷抽检任务总批次数）×100%，计算不合格率。投标人提供的不合格率为2.5%以上（含2.5%）的得基本分1分。低于2.5%不得分，本项最高得1分（百分比数取小数点后1位，不四舍五入）。</w:t>
            </w:r>
            <w:r/>
          </w:p>
          <w:p>
            <w:pPr>
              <w:jc w:val="left"/>
              <w:spacing w:line="360" w:lineRule="auto"/>
              <w:tabs>
                <w:tab w:val="left" w:pos="1246" w:leader="none"/>
              </w:tabs>
              <w:rPr>
                <w:rFonts w:hint="eastAsia" w:ascii="Times New Roman" w:hAnsi="Times New Roman" w:eastAsia="宋体" w:cs="Times New Roman"/>
                <w:sz w:val="24"/>
                <w:szCs w:val="24"/>
              </w:rPr>
            </w:pPr>
            <w:r>
              <w:rPr>
                <w:rFonts w:hint="eastAsia" w:ascii="Times New Roman" w:hAnsi="Times New Roman" w:eastAsia="宋体" w:cs="Times New Roman"/>
                <w:b/>
                <w:bCs/>
                <w:sz w:val="24"/>
                <w:szCs w:val="24"/>
                <w:lang w:val="en-US" w:eastAsia="zh-CN"/>
              </w:rPr>
              <w:t xml:space="preserve">注：</w:t>
            </w:r>
            <w:r>
              <w:rPr>
                <w:rFonts w:hint="eastAsia" w:ascii="Times New Roman" w:hAnsi="Times New Roman" w:eastAsia="宋体" w:cs="Times New Roman"/>
                <w:b/>
                <w:bCs/>
                <w:sz w:val="24"/>
                <w:szCs w:val="24"/>
              </w:rPr>
              <w:t xml:space="preserve">提供完整的证明材料扫描件并加盖公章：（1）合同或任务委托文件（能够确定本次抽检总批次数）；（2）合格率证明文件，必须由委托单位盖章确认。</w:t>
            </w:r>
            <w:r/>
          </w:p>
        </w:tc>
      </w:tr>
      <w:tr>
        <w:trPr>
          <w:trHeight w:val="1090"/>
        </w:trPr>
        <w:tc>
          <w:tcPr>
            <w:tcW w:w="597"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tcW w:w="1569" w:type="dxa"/>
            <w:vAlign w:val="center"/>
            <w:textDirection w:val="lrTb"/>
            <w:noWrap w:val="false"/>
          </w:tcPr>
          <w:p>
            <w:pPr>
              <w:jc w:val="center"/>
              <w:spacing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数据质量</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2分</w:t>
            </w:r>
            <w:r/>
          </w:p>
        </w:tc>
        <w:tc>
          <w:tcPr>
            <w:tcW w:w="7526" w:type="dxa"/>
            <w:vAlign w:val="center"/>
            <w:textDirection w:val="lrTb"/>
            <w:noWrap w:val="false"/>
          </w:tcPr>
          <w:p>
            <w:pPr>
              <w:jc w:val="left"/>
              <w:spacing w:line="360" w:lineRule="auto"/>
              <w:tabs>
                <w:tab w:val="left" w:pos="1246" w:leader="none"/>
              </w:tabs>
              <w:rPr>
                <w:rFonts w:hint="eastAsia" w:ascii="Times New Roman" w:hAnsi="Times New Roman" w:eastAsia="宋体" w:cs="Times New Roman"/>
                <w:sz w:val="24"/>
                <w:szCs w:val="24"/>
              </w:rPr>
            </w:pPr>
            <w:r/>
            <w:bookmarkStart w:id="58" w:name="_GoBack"/>
            <w:r>
              <w:rPr>
                <w:rFonts w:hint="eastAsia" w:ascii="Times New Roman" w:hAnsi="Times New Roman" w:eastAsia="宋体" w:cs="Times New Roman"/>
                <w:sz w:val="24"/>
                <w:szCs w:val="24"/>
              </w:rPr>
              <w:t xml:space="preserve">2023年</w:t>
            </w:r>
            <w:r>
              <w:rPr>
                <w:rFonts w:ascii="Times New Roman" w:hAnsi="Times New Roman" w:eastAsia="宋体" w:cs="Times New Roman"/>
                <w:sz w:val="24"/>
                <w:szCs w:val="24"/>
              </w:rPr>
              <w:t xml:space="preserve">1月1日</w:t>
            </w:r>
            <w:r>
              <w:rPr>
                <w:rFonts w:hint="eastAsia" w:ascii="Times New Roman" w:hAnsi="Times New Roman" w:eastAsia="宋体" w:cs="Times New Roman"/>
                <w:sz w:val="24"/>
                <w:szCs w:val="24"/>
              </w:rPr>
              <w:t xml:space="preserve">以来，投标人在设区市级以上市场监管部门</w:t>
            </w:r>
            <w:r>
              <w:rPr>
                <w:rFonts w:hint="eastAsia" w:ascii="宋体" w:hAnsi="宋体" w:eastAsia="宋体" w:cs="仿宋"/>
                <w:spacing w:val="-3"/>
                <w:sz w:val="24"/>
                <w:szCs w:val="24"/>
              </w:rPr>
              <w:t xml:space="preserve">连续一年</w:t>
            </w:r>
            <w:r>
              <w:rPr>
                <w:rFonts w:ascii="宋体" w:hAnsi="宋体" w:eastAsia="宋体" w:cs="仿宋"/>
                <w:spacing w:val="-3"/>
                <w:sz w:val="24"/>
                <w:szCs w:val="24"/>
              </w:rPr>
              <w:t xml:space="preserve">数据质量抽查中准确率98%以上</w:t>
            </w:r>
            <w:r>
              <w:rPr>
                <w:rFonts w:hint="eastAsia" w:ascii="Times New Roman" w:hAnsi="Times New Roman" w:eastAsia="宋体" w:cs="Times New Roman"/>
                <w:sz w:val="24"/>
                <w:szCs w:val="24"/>
              </w:rPr>
              <w:t xml:space="preserve">（含98%）</w:t>
            </w:r>
            <w:r>
              <w:rPr>
                <w:rFonts w:ascii="宋体" w:hAnsi="宋体" w:eastAsia="宋体" w:cs="仿宋"/>
                <w:spacing w:val="-3"/>
                <w:sz w:val="24"/>
                <w:szCs w:val="24"/>
              </w:rPr>
              <w:t xml:space="preserve">得1分</w:t>
            </w:r>
            <w:r>
              <w:rPr>
                <w:rFonts w:hint="eastAsia" w:ascii="Times New Roman" w:hAnsi="Times New Roman" w:eastAsia="宋体" w:cs="Times New Roman"/>
                <w:sz w:val="24"/>
                <w:szCs w:val="24"/>
              </w:rPr>
              <w:t xml:space="preserve">，每增加0.5%加0.25分，低于98%的不得分，本项最高得2分（百分比数取小数点后1位，不四舍五入）。</w:t>
            </w:r>
            <w:r/>
          </w:p>
          <w:p>
            <w:pPr>
              <w:jc w:val="left"/>
              <w:spacing w:line="360" w:lineRule="auto"/>
              <w:tabs>
                <w:tab w:val="left" w:pos="1246" w:leader="none"/>
              </w:tabs>
              <w:rPr>
                <w:rFonts w:hint="eastAsia" w:ascii="宋体" w:hAnsi="宋体" w:eastAsia="宋体" w:cs="宋体"/>
                <w:sz w:val="24"/>
                <w:szCs w:val="24"/>
                <w:lang w:bidi="ar"/>
              </w:rPr>
            </w:pPr>
            <w:r>
              <w:rPr>
                <w:rFonts w:hint="eastAsia" w:ascii="Times New Roman" w:hAnsi="Times New Roman" w:eastAsia="宋体" w:cs="Times New Roman"/>
                <w:b/>
                <w:bCs/>
                <w:sz w:val="24"/>
                <w:szCs w:val="24"/>
                <w:lang w:val="en-US" w:eastAsia="zh-CN"/>
              </w:rPr>
              <w:t xml:space="preserve">注：</w:t>
            </w:r>
            <w:r>
              <w:rPr>
                <w:rFonts w:hint="eastAsia" w:ascii="Times New Roman" w:hAnsi="Times New Roman" w:eastAsia="宋体" w:cs="Times New Roman"/>
                <w:b/>
                <w:bCs/>
                <w:sz w:val="24"/>
                <w:szCs w:val="24"/>
              </w:rPr>
              <w:t xml:space="preserve">须提供设区市以上市场监管局的数据通报等证明文件。</w:t>
            </w:r>
            <w:bookmarkEnd w:id="58"/>
            <w:r/>
            <w:r/>
          </w:p>
        </w:tc>
      </w:tr>
      <w:tr>
        <w:trPr>
          <w:trHeight w:val="1081"/>
        </w:trPr>
        <w:tc>
          <w:tcPr>
            <w:tcW w:w="597"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9</w:t>
            </w:r>
            <w:r/>
          </w:p>
        </w:tc>
        <w:tc>
          <w:tcPr>
            <w:tcW w:w="1569"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检测服务实施方案</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9分</w:t>
            </w:r>
            <w:r/>
          </w:p>
        </w:tc>
        <w:tc>
          <w:tcPr>
            <w:tcW w:w="75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投标人针对本项目食品监督抽检工作，制定的实施方案，包括服务内容、服务承诺、增值服务等方面内容。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提供的方案完整、合理、可操作性强的得9分；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提供的方案较完整、较合理、较可操作性强的得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提供的方案完整性、合理性、可操作性一般的得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未提供或完全不满足的不得分。</w:t>
            </w:r>
            <w:r/>
          </w:p>
        </w:tc>
      </w:tr>
      <w:tr>
        <w:trPr>
          <w:trHeight w:val="90"/>
        </w:trPr>
        <w:tc>
          <w:tcPr>
            <w:tcW w:w="597" w:type="dxa"/>
            <w:vAlign w:val="center"/>
            <w:textDirection w:val="lrTb"/>
            <w:noWrap w:val="false"/>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lang w:bidi="ar"/>
              </w:rPr>
              <w:t xml:space="preserve">10</w:t>
            </w:r>
            <w:r/>
          </w:p>
        </w:tc>
        <w:tc>
          <w:tcPr>
            <w:tcW w:w="1569"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风险控制方案</w:t>
            </w:r>
            <w:r/>
          </w:p>
        </w:tc>
        <w:tc>
          <w:tcPr>
            <w:tcW w:w="90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tcW w:w="752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提供风险控制方案，评委会从检测结果准确性风险控制，具有完善的检测结果准确性质量控制体系，能有效降低检测质量风险，根据方案的合理性、先进性和完善性等方面综合比较，方案合理、先进、完善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分，方案较合理、较完善的</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分，方案合理性及先进性一般的得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分，未作说明的不得分。</w:t>
            </w:r>
            <w:r/>
          </w:p>
        </w:tc>
      </w:tr>
      <w:tr>
        <w:trPr>
          <w:trHeight w:val="785"/>
        </w:trPr>
        <w:tc>
          <w:tcPr>
            <w:tcW w:w="597" w:type="dxa"/>
            <w:vAlign w:val="center"/>
            <w:textDirection w:val="lrTb"/>
            <w:noWrap w:val="false"/>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lang w:bidi="ar"/>
              </w:rPr>
              <w:t xml:space="preserve">11</w:t>
            </w:r>
            <w:r/>
          </w:p>
        </w:tc>
        <w:tc>
          <w:tcPr>
            <w:tcW w:w="1569"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应急响应方案</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9分</w:t>
            </w:r>
            <w:r/>
          </w:p>
        </w:tc>
        <w:tc>
          <w:tcPr>
            <w:tcW w:w="7526"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供应商需具备配合采购人在本项目区域内应急处置突发事件的能力。供应商须提供突发事件应急响应和处置的操作方案，明确采集应急样品送达CMA注册实验室地址的响应时间，进行处置操作措施，根据应急响应处置时间的快捷性、便利性，操作处置措施的可行性、合理性，评估效果的先进性、完善性进行评分，处置时间迅速、方案合理、先进、完善的，得9分，处置时间较迅速、方案较合理、较先进、较完善的6分，处置时间较慢、方案合理性、先进性、完善性一般的得3分，处置时间迟缓、方案合理性、先进性、完善性程度相对较差的不得分。</w:t>
            </w:r>
            <w:r/>
          </w:p>
        </w:tc>
      </w:tr>
      <w:tr>
        <w:trPr>
          <w:trHeight w:val="785"/>
        </w:trPr>
        <w:tc>
          <w:tcPr>
            <w:tcW w:w="597" w:type="dxa"/>
            <w:vAlign w:val="center"/>
            <w:textDirection w:val="lrTb"/>
            <w:noWrap w:val="false"/>
          </w:tcPr>
          <w:p>
            <w:pPr>
              <w:jc w:val="center"/>
              <w:spacing w:line="36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12</w:t>
            </w:r>
            <w:r/>
          </w:p>
        </w:tc>
        <w:tc>
          <w:tcPr>
            <w:tcW w:w="1569" w:type="dxa"/>
            <w:vAlign w:val="center"/>
            <w:textDirection w:val="lrTb"/>
            <w:noWrap w:val="false"/>
          </w:tcPr>
          <w:p>
            <w:pPr>
              <w:jc w:val="center"/>
              <w:spacing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售后服务方案</w:t>
            </w:r>
            <w:r/>
          </w:p>
        </w:tc>
        <w:tc>
          <w:tcPr>
            <w:tcW w:w="905" w:type="dxa"/>
            <w:vAlign w:val="center"/>
            <w:textDirection w:val="lrTb"/>
            <w:noWrap w:val="false"/>
          </w:tcPr>
          <w:p>
            <w:pPr>
              <w:jc w:val="center"/>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tcW w:w="752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提供售后服务方案内容、措施及承诺，从检测试剂的保障能力、仪器设备的维护能力、检测团队的管理能力、售后服务的响应能力等方面综合比较，根据方案的合理性、先进性和完善性等方面综合比较，方案合理、先进、完善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分，方案较合理、较完善的</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分，方案合理性及先进性一般的得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分，未作说明的不得分。</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color w:val="000000"/>
          <w:sz w:val="28"/>
          <w:szCs w:val="28"/>
          <w:lang w:val="zh-CN"/>
        </w:rPr>
        <w:t xml:space="preserve">价格分：</w:t>
      </w:r>
      <w:r>
        <w:rPr>
          <w:rFonts w:hint="eastAsia" w:ascii="宋体" w:hAnsi="宋体" w:eastAsia="宋体" w:cs="宋体"/>
          <w:b/>
          <w:color w:val="000000"/>
          <w:sz w:val="28"/>
          <w:szCs w:val="28"/>
          <w:lang w:val="en-US" w:eastAsia="zh-CN"/>
        </w:rPr>
        <w:t xml:space="preserve">30</w:t>
      </w:r>
      <w:r>
        <w:rPr>
          <w:rFonts w:hint="eastAsia" w:ascii="宋体" w:hAnsi="宋体" w:eastAsia="宋体" w:cs="宋体"/>
          <w:b/>
          <w:color w:val="000000"/>
          <w:sz w:val="28"/>
          <w:szCs w:val="28"/>
          <w:lang w:val="zh-CN"/>
        </w:rPr>
        <w:t xml:space="preserve">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bookmarkEnd w:id="41"/>
      <w:r/>
      <w:bookmarkEnd w:id="42"/>
      <w:r/>
      <w:bookmarkEnd w:id="43"/>
      <w:r/>
      <w:bookmarkEnd w:id="44"/>
      <w:r/>
      <w:bookmarkEnd w:id="45"/>
      <w:r/>
      <w:bookmarkEnd w:id="46"/>
      <w:r/>
      <w:bookmarkEnd w:id="47"/>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）中标投标人的确定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六</w:t>
      </w:r>
      <w:r>
        <w:rPr>
          <w:rFonts w:hint="eastAsia" w:ascii="宋体" w:hAnsi="宋体" w:eastAsia="宋体" w:cs="宋体"/>
          <w:b/>
          <w:sz w:val="28"/>
          <w:szCs w:val="28"/>
        </w:rPr>
        <w:t xml:space="preserve">）采购人代表宣布评审结果。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七</w:t>
      </w:r>
      <w:r>
        <w:rPr>
          <w:rFonts w:hint="eastAsia" w:ascii="宋体" w:hAnsi="宋体" w:eastAsia="宋体" w:cs="宋体"/>
          <w:b/>
          <w:sz w:val="28"/>
          <w:szCs w:val="28"/>
        </w:rPr>
        <w:t xml:space="preserve">）公告</w:t>
      </w:r>
      <w:r>
        <w:rPr>
          <w:rFonts w:hint="eastAsia" w:ascii="宋体" w:hAnsi="宋体" w:eastAsia="宋体" w:cs="宋体"/>
          <w:b/>
          <w:sz w:val="28"/>
          <w:szCs w:val="28"/>
          <w:lang w:val="en-US" w:eastAsia="zh-CN"/>
        </w:rPr>
        <w:t xml:space="preserve">中标</w:t>
      </w:r>
      <w:r>
        <w:rPr>
          <w:rFonts w:hint="eastAsia" w:ascii="宋体" w:hAnsi="宋体" w:eastAsia="宋体" w:cs="宋体"/>
          <w:b/>
          <w:sz w:val="28"/>
          <w:szCs w:val="28"/>
        </w:rPr>
        <w:t xml:space="preserve">结果</w:t>
      </w:r>
      <w:r/>
    </w:p>
    <w:p>
      <w:pPr>
        <w:ind w:firstLine="570"/>
        <w:spacing w:line="500" w:lineRule="exact"/>
        <w:rPr>
          <w:rFonts w:hint="default" w:ascii="宋体" w:hAnsi="宋体" w:eastAsia="宋体" w:cs="Times New Roman"/>
          <w:sz w:val="28"/>
          <w:szCs w:val="28"/>
        </w:rPr>
      </w:pPr>
      <w:r>
        <w:rPr>
          <w:rFonts w:hint="default" w:ascii="宋体" w:hAnsi="宋体" w:eastAsia="宋体" w:cs="Times New Roman"/>
          <w:sz w:val="28"/>
          <w:szCs w:val="28"/>
        </w:rPr>
        <w:t xml:space="preserve">自确定中标人之日起2个工作日内，在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八</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通知书</w:t>
      </w:r>
      <w:r/>
    </w:p>
    <w:p>
      <w:pPr>
        <w:ind w:firstLine="560"/>
        <w:spacing w:line="500" w:lineRule="exact"/>
        <w:rPr>
          <w:rFonts w:hint="eastAsia" w:ascii="宋体" w:hAnsi="宋体" w:eastAsia="宋体" w:cs="Times New Roman"/>
          <w:bCs/>
          <w:sz w:val="28"/>
          <w:szCs w:val="28"/>
        </w:rPr>
      </w:pPr>
      <w:r>
        <w:rPr>
          <w:rFonts w:hint="default" w:ascii="宋体" w:hAnsi="宋体" w:eastAsia="宋体" w:cs="Times New Roman"/>
          <w:sz w:val="28"/>
          <w:szCs w:val="28"/>
        </w:rPr>
        <w:t xml:space="preserve">公告中标结果的同时，</w:t>
      </w:r>
      <w:r>
        <w:rPr>
          <w:rFonts w:hint="eastAsia" w:ascii="宋体" w:hAnsi="宋体" w:eastAsia="宋体" w:cs="Times New Roman"/>
          <w:bCs/>
          <w:sz w:val="28"/>
          <w:szCs w:val="28"/>
        </w:rPr>
        <w:t xml:space="preserve">采购人或采购代理机构</w:t>
      </w:r>
      <w:r>
        <w:rPr>
          <w:rFonts w:hint="default" w:ascii="宋体" w:hAnsi="宋体" w:eastAsia="宋体" w:cs="Times New Roman"/>
          <w:bCs/>
          <w:sz w:val="28"/>
          <w:szCs w:val="28"/>
        </w:rPr>
        <w:t xml:space="preserve">向中标</w:t>
      </w:r>
      <w:r>
        <w:rPr>
          <w:rFonts w:hint="eastAsia" w:ascii="宋体" w:hAnsi="宋体" w:eastAsia="宋体" w:cs="Times New Roman"/>
          <w:bCs/>
          <w:sz w:val="28"/>
          <w:szCs w:val="28"/>
        </w:rPr>
        <w:t xml:space="preserve">投标人</w:t>
      </w:r>
      <w:r>
        <w:rPr>
          <w:rFonts w:hint="default" w:ascii="宋体" w:hAnsi="宋体" w:eastAsia="宋体" w:cs="Times New Roman"/>
          <w:bCs/>
          <w:sz w:val="28"/>
          <w:szCs w:val="28"/>
        </w:rPr>
        <w:t xml:space="preserve">发放中标通知书</w:t>
      </w:r>
      <w:r>
        <w:rPr>
          <w:rFonts w:hint="eastAsia" w:ascii="宋体" w:hAnsi="宋体" w:eastAsia="宋体" w:cs="Times New Roman"/>
          <w:bCs/>
          <w:sz w:val="28"/>
          <w:szCs w:val="28"/>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通知书发出后，采购人不得违法改变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投标人无正当理由不得放弃</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w:t>
      </w:r>
      <w:r/>
    </w:p>
    <w:p>
      <w:pPr>
        <w:ind w:firstLine="570"/>
        <w:spacing w:line="500" w:lineRule="exact"/>
        <w:rPr>
          <w:rFonts w:hint="eastAsia" w:ascii="宋体" w:hAnsi="宋体" w:eastAsia="宋体" w:cs="Times New Roman"/>
          <w:b/>
          <w:sz w:val="36"/>
          <w:szCs w:val="36"/>
        </w:rPr>
      </w:pPr>
      <w:r>
        <w:rPr>
          <w:rFonts w:hint="eastAsia" w:ascii="宋体" w:hAnsi="宋体" w:eastAsia="宋体" w:cs="宋体"/>
          <w:b/>
          <w:bCs/>
          <w:sz w:val="28"/>
          <w:szCs w:val="28"/>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w:t>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widowControl w:val="off"/>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Times New Roman"/>
          <w:b/>
          <w:bCs/>
          <w:color w:val="000000"/>
          <w:sz w:val="36"/>
          <w:szCs w:val="36"/>
          <w:highlight w:val="none"/>
          <w:lang w:val="en-US" w:eastAsia="zh-CN" w:bidi="ar-SA"/>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22"/>
        <w:rPr>
          <w:rFonts w:hint="eastAsia"/>
          <w:lang w:val="en-US" w:eastAsia="zh-CN"/>
        </w:rPr>
      </w:pPr>
      <w:r>
        <w:rPr>
          <w:rFonts w:hint="eastAsia"/>
          <w:lang w:val="en-US" w:eastAsia="zh-CN"/>
        </w:rPr>
      </w:r>
      <w:r/>
    </w:p>
    <w:p>
      <w:pPr>
        <w:ind w:left="0" w:firstLine="0"/>
        <w:jc w:val="both"/>
        <w:spacing w:line="360" w:lineRule="auto"/>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700"/>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700"/>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700"/>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700"/>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ind w:left="0" w:firstLine="0"/>
        <w:jc w:val="both"/>
        <w:spacing w:line="360" w:lineRule="auto"/>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numPr>
          <w:ilvl w:val="0"/>
          <w:numId w:val="5"/>
        </w:numPr>
        <w:jc w:val="center"/>
        <w:spacing w:line="420" w:lineRule="exact"/>
        <w:rPr>
          <w:rFonts w:hint="eastAsia" w:ascii="宋体" w:hAnsi="宋体" w:eastAsia="宋体" w:cs="Times New Roman"/>
          <w:b/>
          <w:sz w:val="36"/>
          <w:szCs w:val="36"/>
        </w:rPr>
      </w:pPr>
      <w:r>
        <w:rPr>
          <w:rFonts w:hint="eastAsia" w:ascii="宋体" w:hAnsi="宋体" w:eastAsia="宋体" w:cs="Times New Roman"/>
          <w:b/>
          <w:sz w:val="36"/>
          <w:szCs w:val="36"/>
        </w:rPr>
        <w:t xml:space="preserve">合同签订与验收付款</w:t>
      </w:r>
      <w:r/>
    </w:p>
    <w:p>
      <w:pPr>
        <w:numPr>
          <w:ilvl w:val="0"/>
          <w:numId w:val="0"/>
        </w:num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rPr>
        <w:t xml:space="preserve">一</w:t>
      </w:r>
      <w:r>
        <w:rPr>
          <w:rFonts w:hint="eastAsia" w:ascii="宋体" w:hAnsi="宋体" w:eastAsia="宋体" w:cs="Times New Roman"/>
          <w:sz w:val="28"/>
          <w:szCs w:val="28"/>
          <w:lang w:val="en-GB"/>
        </w:rPr>
        <w:t xml:space="preserve">、中标</w:t>
      </w:r>
      <w:r>
        <w:rPr>
          <w:rFonts w:hint="eastAsia" w:ascii="宋体" w:hAnsi="宋体" w:eastAsia="宋体" w:cs="Times New Roman"/>
          <w:sz w:val="28"/>
          <w:szCs w:val="28"/>
        </w:rPr>
        <w:t xml:space="preserve">公告发出之日起3日内</w:t>
      </w:r>
      <w:r>
        <w:rPr>
          <w:rFonts w:hint="eastAsia" w:ascii="宋体" w:hAnsi="宋体" w:eastAsia="宋体" w:cs="Times New Roman"/>
          <w:sz w:val="28"/>
          <w:szCs w:val="28"/>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sz w:val="28"/>
          <w:szCs w:val="28"/>
        </w:rPr>
        <w:t xml:space="preserve">三份</w:t>
      </w:r>
      <w:r>
        <w:rPr>
          <w:rFonts w:hint="eastAsia" w:ascii="宋体" w:hAnsi="宋体" w:eastAsia="宋体" w:cs="Times New Roman"/>
          <w:sz w:val="28"/>
          <w:szCs w:val="28"/>
          <w:lang w:val="en-GB"/>
        </w:rPr>
        <w:t xml:space="preserve">、供应商</w:t>
      </w:r>
      <w:r>
        <w:rPr>
          <w:rFonts w:hint="eastAsia" w:ascii="宋体" w:hAnsi="宋体" w:eastAsia="宋体" w:cs="Times New Roman"/>
          <w:sz w:val="28"/>
          <w:szCs w:val="28"/>
        </w:rPr>
        <w:t xml:space="preserve">一份</w:t>
      </w:r>
      <w:r>
        <w:rPr>
          <w:rFonts w:hint="eastAsia" w:ascii="宋体" w:hAnsi="宋体" w:eastAsia="宋体" w:cs="Times New Roman"/>
          <w:sz w:val="28"/>
          <w:szCs w:val="28"/>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8"/>
          <w:szCs w:val="28"/>
          <w:lang w:val="en-GB" w:eastAsia="zh-CN"/>
        </w:rPr>
        <w:t xml:space="preserve">中标</w:t>
      </w:r>
      <w:r>
        <w:rPr>
          <w:rFonts w:hint="eastAsia" w:ascii="宋体" w:hAnsi="宋体" w:eastAsia="宋体" w:cs="Times New Roman"/>
          <w:sz w:val="28"/>
          <w:szCs w:val="28"/>
          <w:lang w:val="en-GB"/>
        </w:rPr>
        <w:t xml:space="preserve">供应商还应承担赔偿责任。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w:t>
      </w:r>
      <w:r>
        <w:rPr>
          <w:rFonts w:hint="eastAsia" w:ascii="宋体" w:hAnsi="宋体" w:eastAsia="宋体" w:cs="Times New Roman"/>
          <w:sz w:val="28"/>
          <w:szCs w:val="28"/>
          <w:lang w:val="en-US" w:eastAsia="zh-CN"/>
        </w:rPr>
        <w:t xml:space="preserve">按合同约定</w:t>
      </w:r>
      <w:r>
        <w:rPr>
          <w:rFonts w:hint="eastAsia" w:ascii="宋体" w:hAnsi="宋体" w:eastAsia="宋体" w:cs="Times New Roman"/>
          <w:sz w:val="28"/>
          <w:szCs w:val="28"/>
          <w:lang w:val="en-GB"/>
        </w:rPr>
        <w:t xml:space="preserve">支付相应款项。</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spacing w:line="360" w:lineRule="auto"/>
        <w:rPr>
          <w:rFonts w:hint="eastAsia" w:ascii="宋体" w:hAnsi="宋体" w:eastAsia="宋体" w:cs="宋体"/>
          <w:b/>
          <w:bCs/>
          <w:color w:val="000000"/>
          <w:sz w:val="36"/>
          <w:szCs w:val="36"/>
          <w:lang w:eastAsia="zh-CN"/>
        </w:rPr>
      </w:pPr>
      <w:r>
        <w:rPr>
          <w:rFonts w:hint="eastAsia" w:ascii="宋体" w:hAnsi="宋体" w:eastAsia="宋体" w:cs="Times New Roman"/>
          <w:sz w:val="28"/>
          <w:szCs w:val="28"/>
          <w:highlight w:val="yellow"/>
          <w:lang w:val="en-GB"/>
        </w:rPr>
        <w:t xml:space="preserve">拟签订的合同文本：</w:t>
      </w:r>
      <w:r/>
    </w:p>
    <w:p>
      <w:pPr>
        <w:jc w:val="center"/>
        <w:spacing w:line="460" w:lineRule="exact"/>
        <w:widowControl w:val="off"/>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r>
      <w:r/>
    </w:p>
    <w:p>
      <w:pPr>
        <w:jc w:val="center"/>
        <w:spacing w:line="460" w:lineRule="exact"/>
        <w:widowControl w:val="off"/>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r>
      <w:r/>
    </w:p>
    <w:p>
      <w:pPr>
        <w:jc w:val="center"/>
        <w:spacing w:line="460" w:lineRule="exact"/>
        <w:widowControl w:val="off"/>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r>
      <w:r/>
    </w:p>
    <w:p>
      <w:pPr>
        <w:pStyle w:val="884"/>
        <w:contextualSpacing/>
        <w:ind w:firstLine="494"/>
        <w:jc w:val="center"/>
        <w:spacing w:line="360" w:lineRule="auto"/>
        <w:rPr>
          <w:rFonts w:hint="default" w:ascii="宋体" w:eastAsia="宋体" w:cs="宋体"/>
          <w:b/>
          <w:bCs/>
          <w:sz w:val="36"/>
          <w:szCs w:val="36"/>
          <w:lang w:val="en-US" w:eastAsia="zh-CN"/>
        </w:rPr>
      </w:pPr>
      <w:r>
        <w:rPr>
          <w:rFonts w:hint="eastAsia" w:ascii="宋体" w:eastAsia="宋体" w:cs="宋体"/>
          <w:b/>
          <w:bCs/>
          <w:sz w:val="36"/>
          <w:szCs w:val="36"/>
          <w:lang w:val="en-US" w:eastAsia="zh-CN"/>
        </w:rPr>
        <w:t xml:space="preserve">南通市海门区市场监督管理局采购2026年食品安全监督抽检服务项目政府采购合同</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甲方： 南通市海门区市场监督管理局     乙方：                              </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签订时间：   年  月   日            签订地点： 南通市</w:t>
      </w:r>
      <w:r>
        <w:rPr>
          <w:rFonts w:hint="eastAsia" w:ascii="宋体" w:eastAsia="宋体" w:cs="宋体"/>
          <w:sz w:val="24"/>
          <w:szCs w:val="24"/>
          <w:lang w:val="en-US" w:eastAsia="en-US"/>
        </w:rPr>
        <w:t xml:space="preserve">海门</w:t>
      </w:r>
      <w:r>
        <w:rPr>
          <w:rFonts w:hint="eastAsia" w:ascii="宋体" w:eastAsia="宋体" w:cs="宋体"/>
          <w:sz w:val="24"/>
          <w:szCs w:val="24"/>
          <w:lang w:val="en-US" w:eastAsia="zh-CN"/>
        </w:rPr>
        <w:t xml:space="preserve">区市场监督管理局 </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根据《政府采购法》、《经济合同法》及</w:t>
      </w:r>
      <w:r>
        <w:rPr>
          <w:rFonts w:hint="eastAsia" w:ascii="宋体" w:eastAsia="宋体" w:cs="宋体"/>
          <w:sz w:val="24"/>
          <w:szCs w:val="24"/>
          <w:u w:val="single"/>
          <w:lang w:val="en-US" w:eastAsia="zh-CN"/>
        </w:rPr>
        <w:t xml:space="preserve">     </w:t>
      </w:r>
      <w:r>
        <w:rPr>
          <w:rFonts w:hint="eastAsia" w:ascii="宋体" w:eastAsia="宋体" w:cs="宋体"/>
          <w:sz w:val="24"/>
          <w:szCs w:val="24"/>
          <w:lang w:val="en-US" w:eastAsia="zh-CN"/>
        </w:rPr>
        <w:t xml:space="preserve">年</w:t>
      </w:r>
      <w:r>
        <w:rPr>
          <w:rFonts w:hint="eastAsia" w:ascii="宋体" w:eastAsia="宋体" w:cs="宋体"/>
          <w:sz w:val="24"/>
          <w:szCs w:val="24"/>
          <w:u w:val="single"/>
          <w:lang w:val="en-US" w:eastAsia="zh-CN"/>
        </w:rPr>
        <w:t xml:space="preserve">   </w:t>
      </w:r>
      <w:r>
        <w:rPr>
          <w:rFonts w:hint="eastAsia" w:ascii="宋体" w:eastAsia="宋体" w:cs="宋体"/>
          <w:sz w:val="24"/>
          <w:szCs w:val="24"/>
          <w:lang w:val="en-US" w:eastAsia="zh-CN"/>
        </w:rPr>
        <w:t xml:space="preserve">月</w:t>
      </w:r>
      <w:r>
        <w:rPr>
          <w:rFonts w:hint="eastAsia" w:ascii="宋体" w:eastAsia="宋体" w:cs="宋体"/>
          <w:sz w:val="24"/>
          <w:szCs w:val="24"/>
          <w:u w:val="single"/>
          <w:lang w:val="en-US" w:eastAsia="zh-CN"/>
        </w:rPr>
        <w:t xml:space="preserve">   </w:t>
      </w:r>
      <w:r>
        <w:rPr>
          <w:rFonts w:hint="eastAsia" w:ascii="宋体" w:eastAsia="宋体" w:cs="宋体"/>
          <w:sz w:val="24"/>
          <w:szCs w:val="24"/>
          <w:lang w:val="en-US" w:eastAsia="zh-CN"/>
        </w:rPr>
        <w:t xml:space="preserve">日就</w:t>
      </w:r>
      <w:r>
        <w:rPr>
          <w:rFonts w:hint="eastAsia" w:ascii="宋体" w:eastAsia="宋体" w:cs="宋体"/>
          <w:sz w:val="24"/>
          <w:szCs w:val="24"/>
          <w:u w:val="single"/>
          <w:lang w:val="en-US" w:eastAsia="zh-CN"/>
        </w:rPr>
        <w:t xml:space="preserve">南通市海门区市场监督管理局采购2026年食品安全监督抽检服务项目</w:t>
      </w:r>
      <w:r>
        <w:rPr>
          <w:rFonts w:hint="eastAsia" w:ascii="宋体" w:eastAsia="宋体" w:cs="宋体"/>
          <w:sz w:val="24"/>
          <w:szCs w:val="24"/>
          <w:lang w:val="en-US" w:eastAsia="zh-CN"/>
        </w:rPr>
        <w:t xml:space="preserve">的采购结果、采购文件及投标文件，经双方协商一致，签订本合同。</w:t>
      </w:r>
      <w:bookmarkStart w:id="48" w:name="_Toc81879411"/>
      <w:r/>
      <w:r/>
    </w:p>
    <w:p>
      <w:pPr>
        <w:pStyle w:val="884"/>
        <w:contextualSpacing/>
        <w:ind w:firstLine="494"/>
        <w:spacing w:line="360" w:lineRule="auto"/>
        <w:rPr>
          <w:rFonts w:ascii="宋体" w:eastAsia="宋体" w:cs="宋体"/>
          <w:sz w:val="24"/>
          <w:szCs w:val="24"/>
          <w:lang w:val="en-US" w:eastAsia="zh-CN"/>
        </w:rPr>
      </w:pPr>
      <w:r>
        <w:rPr>
          <w:rFonts w:hint="eastAsia" w:ascii="宋体" w:eastAsia="宋体" w:cs="宋体"/>
          <w:b/>
          <w:bCs/>
          <w:sz w:val="24"/>
          <w:szCs w:val="24"/>
          <w:lang w:val="en-US" w:eastAsia="en-US"/>
        </w:rPr>
        <w:t xml:space="preserve">合同金额：人民币</w:t>
      </w:r>
      <w:r>
        <w:rPr>
          <w:rFonts w:hint="eastAsia" w:ascii="宋体" w:eastAsia="宋体" w:cs="宋体"/>
          <w:b/>
          <w:bCs/>
          <w:sz w:val="24"/>
          <w:szCs w:val="24"/>
          <w:lang w:val="en-US" w:eastAsia="zh-CN"/>
        </w:rPr>
        <w:t xml:space="preserve">（小写）：</w:t>
      </w:r>
      <w:r>
        <w:rPr>
          <w:rFonts w:hint="eastAsia" w:ascii="宋体" w:eastAsia="宋体" w:cs="宋体"/>
          <w:b/>
          <w:bCs/>
          <w:sz w:val="24"/>
          <w:szCs w:val="24"/>
          <w:u w:val="single"/>
          <w:lang w:val="en-US" w:eastAsia="zh-CN"/>
        </w:rPr>
        <w:t xml:space="preserve">              </w:t>
      </w:r>
      <w:r>
        <w:rPr>
          <w:rFonts w:hint="eastAsia" w:ascii="宋体" w:eastAsia="宋体" w:cs="宋体"/>
          <w:b/>
          <w:bCs/>
          <w:sz w:val="24"/>
          <w:szCs w:val="24"/>
          <w:lang w:val="en-US" w:eastAsia="zh-CN"/>
        </w:rPr>
        <w:t xml:space="preserve">；人民币（大写）：</w:t>
      </w:r>
      <w:r>
        <w:rPr>
          <w:rFonts w:hint="eastAsia" w:ascii="宋体" w:eastAsia="宋体" w:cs="宋体"/>
          <w:b/>
          <w:bCs/>
          <w:sz w:val="24"/>
          <w:szCs w:val="24"/>
          <w:u w:val="single"/>
          <w:lang w:val="en-US" w:eastAsia="zh-CN"/>
        </w:rPr>
        <w:t xml:space="preserve">              </w:t>
      </w:r>
      <w:r>
        <w:rPr>
          <w:rFonts w:hint="eastAsia" w:ascii="宋体" w:eastAsia="宋体" w:cs="宋体"/>
          <w:b/>
          <w:bCs/>
          <w:sz w:val="24"/>
          <w:szCs w:val="24"/>
          <w:lang w:val="en-US" w:eastAsia="zh-CN"/>
        </w:rPr>
        <w:t xml:space="preserve">     </w:t>
      </w:r>
      <w:r>
        <w:rPr>
          <w:rFonts w:hint="eastAsia" w:ascii="宋体" w:eastAsia="宋体" w:cs="宋体"/>
          <w:sz w:val="24"/>
          <w:szCs w:val="24"/>
          <w:lang w:val="en-US" w:eastAsia="zh-CN"/>
        </w:rPr>
        <w:t xml:space="preserve">         </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 合同的标的物</w:t>
      </w:r>
      <w:bookmarkEnd w:id="48"/>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1.1乙方向甲方提供以下服务：</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负责对甲方根据上级部署任务和实际工作需要而确定的委托项目进行抽检工作。</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1.2乙方按其投标文件提供的服务必须满足采购文件的各项要求及投标文件承诺的标准。</w:t>
      </w:r>
      <w:bookmarkStart w:id="49" w:name="_Toc81879412"/>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1.3乙方对提供的标的物应当拥有完整的物权，并且负有保证第三人不得向甲方主张任何权利（包括知识产权）的义务。</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2.合同价格</w:t>
      </w:r>
      <w:bookmarkEnd w:id="49"/>
      <w:r>
        <w:rPr>
          <w:rFonts w:hint="eastAsia" w:ascii="宋体" w:eastAsia="宋体" w:cs="宋体"/>
          <w:sz w:val="24"/>
          <w:szCs w:val="24"/>
          <w:lang w:val="en-US" w:eastAsia="zh-CN"/>
        </w:rPr>
        <w:t xml:space="preserve">及支付</w:t>
      </w:r>
      <w:r/>
    </w:p>
    <w:p>
      <w:pPr>
        <w:pStyle w:val="884"/>
        <w:contextualSpacing/>
        <w:ind w:firstLine="494"/>
        <w:spacing w:line="360" w:lineRule="auto"/>
      </w:pPr>
      <w:r>
        <w:rPr>
          <w:rFonts w:hint="eastAsia" w:ascii="宋体" w:eastAsia="宋体" w:cs="宋体"/>
          <w:sz w:val="24"/>
          <w:szCs w:val="24"/>
          <w:lang w:val="en-US" w:eastAsia="zh-CN"/>
        </w:rPr>
        <w:t xml:space="preserve">2.1付款方式：</w:t>
      </w:r>
      <w:r>
        <w:rPr>
          <w:rFonts w:hint="eastAsia" w:ascii="宋体" w:eastAsia="宋体" w:cs="宋体"/>
          <w:sz w:val="24"/>
          <w:szCs w:val="24"/>
          <w:lang w:val="en-US" w:eastAsia="zh-CN"/>
        </w:rPr>
        <w:t xml:space="preserve">合同服务期满半年后，检测机构出具该阶段合法有效的检测报告后支付合同总金额的50%，待所有检测任务结束检测机构出具合法有效的检测报告后，项目验收合格并经结算审核完成后付清余款。</w:t>
      </w:r>
      <w:r>
        <w:rPr>
          <w:rFonts w:hint="eastAsia" w:ascii="宋体" w:eastAsia="宋体" w:cs="宋体"/>
          <w:sz w:val="24"/>
          <w:szCs w:val="24"/>
          <w:lang w:val="en-US" w:eastAsia="zh-CN"/>
        </w:rPr>
        <w:t xml:space="preserve">以上款项由中标单位按国家有关财税规定开具发票给采购人，款项由采购人按相关财务支付规定办理支付手续。</w:t>
      </w:r>
      <w:r>
        <w:rPr>
          <w:rFonts w:hint="eastAsia" w:ascii="宋体" w:eastAsia="宋体" w:cs="宋体"/>
          <w:sz w:val="24"/>
          <w:szCs w:val="24"/>
          <w:lang w:val="en-US" w:eastAsia="zh-CN"/>
        </w:rPr>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2.2中标金额为最终结算费用：包含履约委托抽检任务完成所需的全部工作量和服务，即包括响应及完成委托抽检任务工作所需的一切费用。其中包含但不限于如样品采集购买、人工、专用设备及其备品、备件、易耗品耗材、通讯和专用工具费用、税费、运输、保险、技术支持与培训、售后服务及相关劳务支出等工作所发生的全部费用以及投标供应商企业利润、税金和政策性文件规定及合同包含的所有风险、责任，即响应委托抽检项目任务的各项应有费用。</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2.3乙方按期履行服务后向甲方结算款项时须提供下列单据：正式税务发票、抽检费用清单（加盖公章）、抽样检验信息汇总表（加盖公章）。</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2.4根据现行税法对甲方征收的与项目委托服务合同有关的一切税费均由甲方承担；根据现行税法对乙方征收的与项目委托服务合同有关的一切税费均由乙方承担。</w:t>
      </w:r>
      <w:bookmarkStart w:id="50" w:name="_Toc81879416"/>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3.合同履行要求</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.1</w:t>
      </w:r>
      <w:r>
        <w:rPr>
          <w:rFonts w:hint="eastAsia" w:ascii="宋体" w:eastAsia="宋体" w:cs="宋体"/>
          <w:sz w:val="24"/>
          <w:szCs w:val="24"/>
          <w:lang w:val="en-US" w:eastAsia="zh-CN"/>
        </w:rPr>
        <w:t xml:space="preserve">乙方应当具有与抽样工作相匹配的专职抽样人员、抽样工具、设备等条件，积极配合抽检工作。应按照品种特点制定抽样计划，每次抽检安排2名以上工作人员现场抽样，承诺配备能同时出动2组（每组不少于2人）或以上专业抽样人员，确保监督抽检工作的序时进度。</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.2</w:t>
      </w:r>
      <w:r>
        <w:rPr>
          <w:rFonts w:hint="eastAsia" w:ascii="宋体" w:eastAsia="宋体" w:cs="宋体"/>
          <w:sz w:val="24"/>
          <w:szCs w:val="24"/>
          <w:lang w:val="en-US" w:eastAsia="zh-CN"/>
        </w:rPr>
        <w:t xml:space="preserve">乙方应根据检验项目及监督抽检细则中规定的采样方法及采样数量抽取样品，严格执行采样操作规范，规范实验室质量控制，备存原始记录待查。对样品抽样送检时间有规定的从其规定。散装食品、餐饮类食品（包括餐具）、农产品抽样时要求拍摄视频备查，其余样品至少须拍摄照片备查。</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.3</w:t>
      </w:r>
      <w:r>
        <w:rPr>
          <w:rFonts w:hint="eastAsia" w:ascii="宋体" w:eastAsia="宋体" w:cs="宋体"/>
          <w:sz w:val="24"/>
          <w:szCs w:val="24"/>
          <w:lang w:val="en-US" w:eastAsia="zh-CN"/>
        </w:rPr>
        <w:t xml:space="preserve">抽样人员可以从食品经营者的经营场所、仓库以及食品生产者的成品库待销产品中随机抽取样品，不得由食品生产经营者自行提供。</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.4</w:t>
      </w:r>
      <w:r>
        <w:rPr>
          <w:rFonts w:hint="eastAsia" w:ascii="宋体" w:eastAsia="宋体" w:cs="宋体"/>
          <w:sz w:val="24"/>
          <w:szCs w:val="24"/>
          <w:lang w:val="en-US" w:eastAsia="zh-CN"/>
        </w:rPr>
        <w:t xml:space="preserve">乙方对其抽取的样品负责，检验结果反映送检样品的真实状况。</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.5</w:t>
      </w:r>
      <w:r>
        <w:rPr>
          <w:rFonts w:hint="eastAsia" w:ascii="宋体" w:eastAsia="宋体" w:cs="宋体"/>
          <w:sz w:val="24"/>
          <w:szCs w:val="24"/>
          <w:lang w:val="en-US" w:eastAsia="zh-CN"/>
        </w:rPr>
        <w:t xml:space="preserve">乙方必须自觉接受采购方的考核、检查、验收、比对。</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.6</w:t>
      </w:r>
      <w:r>
        <w:rPr>
          <w:rFonts w:hint="eastAsia" w:ascii="宋体" w:eastAsia="宋体" w:cs="宋体"/>
          <w:sz w:val="24"/>
          <w:szCs w:val="24"/>
          <w:lang w:val="en-US" w:eastAsia="zh-CN"/>
        </w:rPr>
        <w:t xml:space="preserve">乙方在开展监督抽检过程中弄虚作假或不配合采购方开展工作被查实的，甲方有权取消其承检资格并追究乙方违约责任。</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.7</w:t>
      </w:r>
      <w:r>
        <w:rPr>
          <w:rFonts w:hint="eastAsia" w:ascii="宋体" w:eastAsia="宋体" w:cs="宋体"/>
          <w:sz w:val="24"/>
          <w:szCs w:val="24"/>
          <w:lang w:val="en-US" w:eastAsia="zh-CN"/>
        </w:rPr>
        <w:t xml:space="preserve">乙方有保密义务，不得向除采购方外的任何单位与个人透露与抽检相关的信息，否则取消其承检资格并追究违约责任；如造成经济损失及不良影响的，依法追究其经济赔偿责任和法律责任。</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rPr>
          <w:rFonts w:hint="eastAsia" w:ascii="宋体" w:eastAsia="宋体" w:cs="宋体"/>
          <w:sz w:val="24"/>
          <w:szCs w:val="24"/>
          <w:lang w:val="en-US" w:eastAsia="en-US"/>
        </w:rPr>
        <w:t xml:space="preserve">.8</w:t>
      </w:r>
      <w:r>
        <w:rPr>
          <w:rFonts w:hint="eastAsia" w:ascii="宋体" w:eastAsia="宋体" w:cs="宋体"/>
          <w:sz w:val="24"/>
          <w:szCs w:val="24"/>
          <w:lang w:val="en-US" w:eastAsia="zh-CN"/>
        </w:rPr>
        <w:t xml:space="preserve">检测结果（报告）提交。 按照规定的时限完成检验检测任务，并汇总样品抽样和检验结果信息，出具检验报告。一般食品自样品收到之日起20个工作日内，蔬菜水果类农产品在15个工作日内，检测结果不合格的应至少缩短2个工作日；应急处置的抽样检测应在样品送达后立即实施检测，并在48小时内出具检测结果。</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3.9 乙方应按照市级以上政府或市场监督管理部门对抽样检测工作的考核要求，配合甲方确保高质量完成抽样检测数据质量、问题发现率、检测任务完成进度等考核指标。</w:t>
      </w:r>
      <w:r/>
    </w:p>
    <w:p>
      <w:pPr>
        <w:pStyle w:val="884"/>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zh-CN"/>
        </w:rPr>
        <w:t xml:space="preserve">3.10经上级部门、本级部门通报的错误，每发现一条扣50元，年底结账时一并扣除。</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4.抽样及检测完成时间</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4.1按照</w:t>
      </w:r>
      <w:r>
        <w:rPr>
          <w:rFonts w:hint="eastAsia" w:ascii="宋体" w:eastAsia="宋体" w:cs="宋体"/>
          <w:sz w:val="24"/>
          <w:szCs w:val="24"/>
          <w:lang w:val="en-US" w:eastAsia="en-US"/>
        </w:rPr>
        <w:t xml:space="preserve">甲方</w:t>
      </w:r>
      <w:r>
        <w:rPr>
          <w:rFonts w:hint="eastAsia" w:ascii="宋体" w:eastAsia="宋体" w:cs="宋体"/>
          <w:sz w:val="24"/>
          <w:szCs w:val="24"/>
          <w:lang w:val="en-US" w:eastAsia="zh-CN"/>
        </w:rPr>
        <w:t xml:space="preserve">实际需求确定抽样时间。</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4.2 所有检测任务的检测报告在当年度12月5日前完成，在12月10日前全部录入平台数据库，并及时做好数据统计分析工作。</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5.违约责任</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合同一方不履行合同义务或者履行合同义务不符合约定的，应当承担继续履行、采取补救措施或赔偿损失等违约责任。</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 甲方违约责任</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5.1.1 甲方逾期支付服务费用的应按照逾期付款金额的每天1000元支付逾期付款违约金。</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5.1.2 甲方违反合同规定，拒绝接收乙方交付的合格标的物，应当承担乙方由此造成的损失。</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 乙方违约责任</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5.2.1 乙方不能达到甲方服务要求或服务质量不良从而影响甲方在市级以上政府或市场监督管理部门考核结果的，或出现本合同3.6、3.7规定情形的</w:t>
      </w:r>
      <w:bookmarkStart w:id="51" w:name="OLE_LINK9"/>
      <w:r>
        <w:rPr>
          <w:rFonts w:hint="eastAsia" w:ascii="宋体" w:eastAsia="宋体" w:cs="宋体"/>
          <w:sz w:val="24"/>
          <w:szCs w:val="24"/>
          <w:lang w:val="en-US" w:eastAsia="zh-CN"/>
        </w:rPr>
        <w:t xml:space="preserve">，</w:t>
      </w:r>
      <w:bookmarkEnd w:id="51"/>
      <w:r>
        <w:rPr>
          <w:rFonts w:hint="eastAsia" w:ascii="宋体" w:eastAsia="宋体" w:cs="宋体"/>
          <w:sz w:val="24"/>
          <w:szCs w:val="24"/>
          <w:lang w:val="en-US" w:eastAsia="zh-CN"/>
        </w:rPr>
        <w:t xml:space="preserve">应向甲方偿付本抽检项目费用5%的违约金，违约金不足以补偿损失的，甲方有权要求乙方补足。</w:t>
      </w:r>
      <w:r/>
    </w:p>
    <w:p>
      <w:pPr>
        <w:pStyle w:val="884"/>
        <w:contextualSpacing/>
        <w:ind w:firstLine="494"/>
        <w:spacing w:line="360" w:lineRule="auto"/>
        <w:rPr>
          <w:rFonts w:ascii="宋体" w:eastAsia="宋体" w:cs="宋体"/>
          <w:sz w:val="24"/>
          <w:szCs w:val="24"/>
          <w:lang w:val="en-US" w:eastAsia="zh-CN"/>
        </w:rPr>
      </w:pPr>
      <w:r>
        <w:rPr>
          <w:rFonts w:hint="eastAsia" w:ascii="宋体" w:eastAsia="宋体" w:cs="宋体"/>
          <w:sz w:val="24"/>
          <w:szCs w:val="24"/>
          <w:lang w:val="en-US" w:eastAsia="zh-CN"/>
        </w:rPr>
        <w:t xml:space="preserve">5.2.2 乙方未履行应急处置抽样在48小时内出具检测结果的承诺，已发生的款项一律不予支付。</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5.2.3 乙方逾期完成甲方检验任务的，按照逾期完成的部分每天1000 元支付逾期违约金，同时承担甲方因此遭致的损失费用。</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6.不可抗力</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6.1 因不可抗力不能履行合同的，根据不可抗力的影响，部分或者全部免除责任。但合同一方延迟履行后发生不可抗力的，不能免除责任。</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6.2 合同一方因不可抗力不能履行合同的，应当及时通知对方，以减轻可能给对方造成的损失，并应当在合理期限内提供证明。</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7.索赔</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7.1因乙方过错或失误造成甲方损失的，甲方有权根据产品质量检验机构或其他有权部门出具的检验证书向乙方提出索赔。</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7.2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8.合同的解除和转让</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8.1 甲方和乙方协商一致，可以解除合同。</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 有下列情形之一，合同一方可以解除合同：</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8.2.1 因不可抗力致使不能实现合同目的，未受不可抗力影响的一方有权解除合同；</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8.2.2 因合同一方违约导致合同不能履行，另一方有权解除合同；</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8.2.3 有权解除合同的一方，应当在违约事实或不可抗力发生之后三十天内书面通知对方以主张解除合同，合同在书面通知到达对方时解除。</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8.3 合同的部分和全部都不得转让。</w:t>
      </w:r>
      <w:bookmarkEnd w:id="50"/>
      <w:r/>
      <w:r/>
    </w:p>
    <w:p>
      <w:pPr>
        <w:pStyle w:val="884"/>
        <w:contextualSpacing/>
        <w:ind w:firstLine="494"/>
        <w:spacing w:line="360" w:lineRule="auto"/>
        <w:rPr>
          <w:rFonts w:hint="eastAsia" w:ascii="宋体" w:eastAsia="宋体" w:cs="宋体"/>
          <w:sz w:val="24"/>
          <w:szCs w:val="24"/>
          <w:lang w:val="en-US" w:eastAsia="zh-CN"/>
        </w:rPr>
      </w:pPr>
      <w:r/>
      <w:bookmarkStart w:id="52" w:name="_Toc81879421"/>
      <w:r>
        <w:rPr>
          <w:rFonts w:hint="eastAsia" w:ascii="宋体" w:eastAsia="宋体" w:cs="宋体"/>
          <w:sz w:val="24"/>
          <w:szCs w:val="24"/>
          <w:lang w:val="en-US" w:eastAsia="zh-CN"/>
        </w:rPr>
        <w:t xml:space="preserve">9.争议解决</w:t>
      </w:r>
      <w:bookmarkEnd w:id="52"/>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9.1本合同发生争议，由双方协商或调解解决，协商或调解不成时可通过南通仲裁委员会申请仲裁。</w:t>
      </w:r>
      <w:bookmarkStart w:id="53" w:name="_Toc81879422"/>
      <w:r/>
      <w:bookmarkEnd w:id="53"/>
      <w:r/>
      <w:r/>
    </w:p>
    <w:p>
      <w:pPr>
        <w:pStyle w:val="884"/>
        <w:contextualSpacing/>
        <w:ind w:firstLine="494"/>
        <w:spacing w:line="360" w:lineRule="auto"/>
        <w:rPr>
          <w:rFonts w:hint="eastAsia" w:ascii="宋体" w:eastAsia="宋体" w:cs="宋体"/>
          <w:sz w:val="24"/>
          <w:szCs w:val="24"/>
          <w:lang w:val="en-US" w:eastAsia="zh-CN"/>
        </w:rPr>
      </w:pPr>
      <w:r/>
      <w:bookmarkStart w:id="54" w:name="_Toc81879423"/>
      <w:r>
        <w:rPr>
          <w:rFonts w:hint="eastAsia" w:ascii="宋体" w:eastAsia="宋体" w:cs="宋体"/>
          <w:sz w:val="24"/>
          <w:szCs w:val="24"/>
          <w:lang w:val="en-US" w:eastAsia="zh-CN"/>
        </w:rPr>
        <w:t xml:space="preserve">10.合同期限及数量</w:t>
      </w:r>
      <w:bookmarkEnd w:id="54"/>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10.1本合同期限：自合同签订之日开始至2026年12月10日止。（在服务期限内，检测服务考核达标的，在招标人预算资金落实、合同内容和合同金额不变的情况下，经双方协商，可续签下一年服务合同）</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10.2本合同一式</w:t>
      </w:r>
      <w:r>
        <w:rPr>
          <w:rFonts w:hint="eastAsia" w:ascii="宋体" w:eastAsia="宋体" w:cs="宋体"/>
          <w:sz w:val="24"/>
          <w:szCs w:val="24"/>
          <w:lang w:val="en-US" w:eastAsia="en-US"/>
        </w:rPr>
        <w:t xml:space="preserve">陆</w:t>
      </w:r>
      <w:r>
        <w:rPr>
          <w:rFonts w:hint="eastAsia" w:ascii="宋体" w:eastAsia="宋体" w:cs="宋体"/>
          <w:sz w:val="24"/>
          <w:szCs w:val="24"/>
          <w:lang w:val="en-US" w:eastAsia="zh-CN"/>
        </w:rPr>
        <w:t xml:space="preserve">份，具有同等法律效力，甲</w:t>
      </w:r>
      <w:r>
        <w:rPr>
          <w:rFonts w:hint="eastAsia" w:ascii="宋体" w:eastAsia="宋体" w:cs="宋体"/>
          <w:sz w:val="24"/>
          <w:szCs w:val="24"/>
          <w:lang w:val="en-US" w:eastAsia="en-US"/>
        </w:rPr>
        <w:t xml:space="preserve">乙双方各执</w:t>
      </w:r>
      <w:r>
        <w:rPr>
          <w:rFonts w:hint="eastAsia" w:ascii="宋体" w:eastAsia="宋体" w:cs="宋体"/>
          <w:sz w:val="24"/>
          <w:szCs w:val="24"/>
          <w:lang w:val="en-US" w:eastAsia="zh-CN"/>
        </w:rPr>
        <w:t xml:space="preserve">三份。</w:t>
      </w:r>
      <w:bookmarkStart w:id="55" w:name="_Toc81879424"/>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11.合同未尽事宜</w:t>
      </w:r>
      <w:bookmarkEnd w:id="55"/>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11.1合同中未尽事宜，甲乙双方应友好协商，按国家有关法律、法规执行。</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甲方：                                乙方： </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法定代表人：                         法定代表人：                                 </w:t>
      </w:r>
      <w:r/>
    </w:p>
    <w:p>
      <w:pPr>
        <w:pStyle w:val="884"/>
        <w:contextualSpacing/>
        <w:ind w:firstLine="494"/>
        <w:spacing w:line="360" w:lineRule="auto"/>
        <w:rPr>
          <w:rFonts w:hint="eastAsia" w:ascii="宋体" w:eastAsia="宋体" w:cs="宋体"/>
          <w:sz w:val="24"/>
          <w:szCs w:val="24"/>
          <w:lang w:val="en-US" w:eastAsia="zh-CN"/>
        </w:rPr>
      </w:pPr>
      <w:r>
        <w:rPr>
          <w:rFonts w:hint="eastAsia" w:ascii="宋体" w:eastAsia="宋体" w:cs="宋体"/>
          <w:sz w:val="24"/>
          <w:szCs w:val="24"/>
          <w:lang w:val="en-US" w:eastAsia="zh-CN"/>
        </w:rPr>
        <w:t xml:space="preserve">委托代理人：                         委托代理人：</w:t>
      </w:r>
      <w:r/>
    </w:p>
    <w:p>
      <w:pPr>
        <w:ind w:firstLine="0"/>
        <w:jc w:val="center"/>
        <w:spacing w:before="0" w:line="360" w:lineRule="auto"/>
        <w:rPr>
          <w:rFonts w:hint="eastAsia" w:ascii="宋体" w:hAnsi="宋体" w:eastAsia="宋体" w:cs="宋体"/>
        </w:rPr>
      </w:pPr>
      <w:r>
        <w:rPr>
          <w:rFonts w:hint="eastAsia" w:ascii="宋体" w:hAnsi="宋体" w:eastAsia="宋体" w:cs="宋体"/>
        </w:rPr>
      </w:r>
      <w:r/>
    </w:p>
    <w:p>
      <w:pPr>
        <w:ind w:firstLine="0"/>
        <w:jc w:val="center"/>
        <w:spacing w:before="0"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ind w:firstLine="0"/>
        <w:jc w:val="center"/>
        <w:spacing w:before="0"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ind w:firstLine="0"/>
        <w:jc w:val="center"/>
        <w:spacing w:before="0"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ind w:firstLine="0"/>
        <w:jc w:val="center"/>
        <w:spacing w:before="0"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rPr>
          <w:rFonts w:hint="eastAsia" w:ascii="宋体" w:hAnsi="宋体" w:eastAsia="宋体" w:cs="Times New Roman"/>
          <w:b/>
          <w:bCs/>
          <w:color w:val="000000"/>
          <w:sz w:val="36"/>
          <w:szCs w:val="36"/>
          <w:highlight w:val="none"/>
          <w:lang w:val="en-US" w:eastAsia="zh-CN"/>
        </w:rPr>
      </w:r>
      <w:r/>
    </w:p>
    <w:p>
      <w:pPr>
        <w:ind w:firstLine="0"/>
        <w:jc w:val="center"/>
        <w:spacing w:before="0"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0"/>
        <w:ind w:left="0" w:firstLine="0"/>
        <w:rPr>
          <w:rFonts w:hint="eastAsia"/>
          <w:lang w:val="en-US" w:eastAsia="zh-CN"/>
        </w:rPr>
      </w:pPr>
      <w:r>
        <w:rPr>
          <w:rFonts w:hint="eastAsia"/>
          <w:lang w:val="en-US" w:eastAsia="zh-CN"/>
        </w:rPr>
      </w:r>
      <w:r/>
    </w:p>
    <w:p>
      <w:pPr>
        <w:ind w:firstLine="0"/>
        <w:jc w:val="center"/>
        <w:spacing w:before="0"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eastAsia="宋体" w:cs="宋体"/>
          <w:bCs/>
          <w:szCs w:val="21"/>
        </w:rPr>
      </w:pPr>
      <w:r>
        <w:rPr>
          <w:rFonts w:hint="eastAsia" w:ascii="宋体" w:hAnsi="宋体" w:eastAsia="宋体" w:cs="宋体"/>
          <w:bCs/>
          <w:szCs w:val="21"/>
        </w:rPr>
        <w:t xml:space="preserve">一、质疑供应商基本信息</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联系人：联系电话：</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授权代表：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联系电话：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二、质疑项目基本情况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质疑项目的编号：包号：</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采购人名称：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采购文件获取日期：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三、质疑事项具体内容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质疑事项1：</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事实依据：</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法律依据：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质疑事项2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四、与质疑事项相关的质疑请求</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请求：</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签字</w:t>
      </w:r>
      <w:r>
        <w:rPr>
          <w:rFonts w:hint="eastAsia" w:ascii="宋体" w:hAnsi="宋体" w:eastAsia="宋体" w:cs="宋体"/>
          <w:szCs w:val="21"/>
          <w:lang w:eastAsia="zh-CN"/>
        </w:rPr>
        <w:t xml:space="preserve">（</w:t>
      </w:r>
      <w:r>
        <w:rPr>
          <w:rFonts w:hint="eastAsia" w:ascii="宋体" w:hAnsi="宋体" w:eastAsia="宋体" w:cs="宋体"/>
          <w:szCs w:val="21"/>
        </w:rPr>
        <w:t xml:space="preserve">签章</w:t>
      </w:r>
      <w:r>
        <w:rPr>
          <w:rFonts w:hint="eastAsia" w:ascii="宋体" w:hAnsi="宋体" w:eastAsia="宋体" w:cs="宋体"/>
          <w:szCs w:val="21"/>
          <w:lang w:eastAsia="zh-CN"/>
        </w:rPr>
        <w:t xml:space="preserve">）</w:t>
      </w:r>
      <w:r>
        <w:rPr>
          <w:rFonts w:hint="eastAsia" w:ascii="宋体" w:hAnsi="宋体" w:eastAsia="宋体" w:cs="宋体"/>
          <w:szCs w:val="21"/>
        </w:rPr>
        <w:t xml:space="preserve">：                   公章：                      日期：   </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质疑函制作说明：</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1.供应商提出质疑时，应提交质疑函和必要的证明材料。</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eastAsia="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jc w:val="center"/>
        <w:spacing w:line="480" w:lineRule="auto"/>
        <w:rPr>
          <w:rFonts w:hint="eastAsia" w:ascii="宋体" w:hAnsi="宋体" w:eastAsia="宋体" w:cs="宋体"/>
          <w:b/>
          <w:sz w:val="28"/>
          <w:szCs w:val="28"/>
        </w:rPr>
      </w:pPr>
      <w:r>
        <w:rPr>
          <w:rFonts w:hint="default"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hint="default"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8"/>
          <w:szCs w:val="28"/>
        </w:rPr>
      </w:pPr>
      <w:r/>
      <w:bookmarkStart w:id="56" w:name="_一、法定代表人授权书"/>
      <w:r/>
      <w:bookmarkStart w:id="57" w:name="_Toc3779"/>
      <w:r>
        <w:rPr>
          <w:rFonts w:hint="eastAsia" w:ascii="宋体" w:hAnsi="宋体" w:eastAsia="宋体" w:cs="宋体"/>
          <w:b/>
          <w:color w:val="000000"/>
          <w:sz w:val="28"/>
          <w:szCs w:val="28"/>
        </w:rPr>
        <w:t xml:space="preserve">响应文件由资格审查证明材料、</w:t>
      </w:r>
      <w:r>
        <w:rPr>
          <w:rFonts w:hint="eastAsia" w:ascii="宋体" w:hAnsi="宋体" w:eastAsia="宋体" w:cs="宋体"/>
          <w:b/>
          <w:color w:val="000000"/>
          <w:sz w:val="28"/>
          <w:szCs w:val="28"/>
          <w:lang w:val="en-US" w:eastAsia="zh-CN"/>
        </w:rPr>
        <w:t xml:space="preserve">符合性证明材料、</w:t>
      </w:r>
      <w:r>
        <w:rPr>
          <w:rFonts w:hint="eastAsia" w:ascii="宋体" w:hAnsi="宋体" w:eastAsia="宋体" w:cs="宋体"/>
          <w:b/>
          <w:color w:val="000000"/>
          <w:sz w:val="28"/>
          <w:szCs w:val="28"/>
        </w:rPr>
        <w:t xml:space="preserve">商务技术文件、价格文件</w:t>
      </w:r>
      <w:r>
        <w:rPr>
          <w:rFonts w:hint="eastAsia" w:ascii="宋体" w:hAnsi="宋体" w:eastAsia="宋体" w:cs="宋体"/>
          <w:b/>
          <w:color w:val="000000"/>
          <w:sz w:val="28"/>
          <w:szCs w:val="28"/>
          <w:lang w:val="en-US" w:eastAsia="zh-CN"/>
        </w:rPr>
        <w:t xml:space="preserve">四</w:t>
      </w:r>
      <w:r>
        <w:rPr>
          <w:rFonts w:hint="eastAsia" w:ascii="宋体" w:hAnsi="宋体" w:eastAsia="宋体" w:cs="宋体"/>
          <w:b/>
          <w:color w:val="000000"/>
          <w:sz w:val="28"/>
          <w:szCs w:val="28"/>
        </w:rPr>
        <w:t xml:space="preserve">部分组成。请供应商根据本</w:t>
      </w:r>
      <w:r>
        <w:rPr>
          <w:rFonts w:hint="eastAsia" w:ascii="宋体" w:hAnsi="宋体" w:eastAsia="宋体" w:cs="宋体"/>
          <w:b/>
          <w:color w:val="000000"/>
          <w:sz w:val="28"/>
          <w:szCs w:val="28"/>
          <w:lang w:val="en-US" w:eastAsia="zh-CN"/>
        </w:rPr>
        <w:t xml:space="preserve">招标</w:t>
      </w:r>
      <w:r>
        <w:rPr>
          <w:rFonts w:hint="eastAsia" w:ascii="宋体" w:hAnsi="宋体" w:eastAsia="宋体" w:cs="宋体"/>
          <w:b/>
          <w:color w:val="000000"/>
          <w:sz w:val="28"/>
          <w:szCs w:val="28"/>
        </w:rPr>
        <w:t xml:space="preserve">文件的要求在以上</w:t>
      </w:r>
      <w:r>
        <w:rPr>
          <w:rFonts w:hint="eastAsia" w:ascii="宋体" w:hAnsi="宋体" w:eastAsia="宋体" w:cs="宋体"/>
          <w:b/>
          <w:color w:val="000000"/>
          <w:sz w:val="28"/>
          <w:szCs w:val="28"/>
          <w:lang w:val="en-US" w:eastAsia="zh-CN"/>
        </w:rPr>
        <w:t xml:space="preserve">四</w:t>
      </w:r>
      <w:r>
        <w:rPr>
          <w:rFonts w:hint="eastAsia" w:ascii="宋体" w:hAnsi="宋体" w:eastAsia="宋体" w:cs="宋体"/>
          <w:b/>
          <w:color w:val="000000"/>
          <w:sz w:val="28"/>
          <w:szCs w:val="28"/>
        </w:rPr>
        <w:t xml:space="preserve">部分中分别上传响应的材料。</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一、资格审查证明材料</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2.法定代表人身份证明书（格式见附件2）自然人的身份证明；</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3.法定代表人授权委托书原件（格式见附件3，法定代表人参加的无需提供授权委托书），投标代表人身份证复印件；</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val="en-US" w:eastAsia="zh-CN"/>
        </w:rPr>
        <w:t xml:space="preserve">4</w:t>
      </w:r>
      <w:r>
        <w:rPr>
          <w:rFonts w:hint="eastAsia" w:ascii="宋体" w:hAnsi="宋体" w:eastAsia="宋体" w:cs="宋体"/>
          <w:b w:val="0"/>
          <w:bCs/>
          <w:color w:val="000000"/>
          <w:sz w:val="28"/>
          <w:szCs w:val="28"/>
        </w:rPr>
        <w:t xml:space="preserve">.供应商信用承诺书（格式见附件4）；</w:t>
      </w:r>
      <w:r/>
    </w:p>
    <w:p>
      <w:pPr>
        <w:jc w:val="both"/>
        <w:spacing w:line="360" w:lineRule="auto"/>
        <w:rPr>
          <w:rFonts w:hint="default"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5.落实政府采购政策需满足的资格要求：并按照招标公告要求提供《中小企业声明函》（格式见附件7）或《残疾人福利性单位声明函》（格式见附件8）或监狱和戒毒企业证明材料（格式见附件9）； </w:t>
      </w:r>
      <w:r/>
    </w:p>
    <w:p>
      <w:pPr>
        <w:jc w:val="both"/>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6.本项目的特定资格要求：投标供应商必须具有食品和食用农产品的检验资质认定（CMA）证书，且在有效期内，须提供资质认定（CMA）证书及附表等相应证明材料；</w:t>
      </w:r>
      <w:r/>
    </w:p>
    <w:p>
      <w:pPr>
        <w:jc w:val="both"/>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color w:val="000000"/>
          <w:sz w:val="28"/>
          <w:szCs w:val="28"/>
          <w:lang w:val="en-US" w:eastAsia="zh-CN"/>
        </w:rPr>
        <w:t xml:space="preserve">7</w:t>
      </w:r>
      <w:r>
        <w:rPr>
          <w:rFonts w:hint="eastAsia" w:ascii="宋体" w:hAnsi="宋体" w:eastAsia="宋体" w:cs="宋体"/>
          <w:b w:val="0"/>
          <w:bCs/>
          <w:color w:val="000000"/>
          <w:sz w:val="28"/>
          <w:szCs w:val="28"/>
        </w:rPr>
        <w:t xml:space="preserve">.其它需要提交的资格审查证明材料。</w:t>
      </w:r>
      <w:r/>
    </w:p>
    <w:p>
      <w:pPr>
        <w:spacing w:line="360" w:lineRule="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 xml:space="preserve">二、符合性证明材料</w:t>
      </w:r>
      <w:r/>
    </w:p>
    <w:p>
      <w:pPr>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1.报价承诺函（格式见附件5）</w:t>
      </w:r>
      <w:r>
        <w:rPr>
          <w:rFonts w:hint="eastAsia" w:ascii="宋体" w:hAnsi="宋体" w:eastAsia="宋体" w:cs="宋体"/>
          <w:bCs/>
          <w:color w:val="000000"/>
          <w:sz w:val="28"/>
          <w:szCs w:val="28"/>
        </w:rPr>
        <w:t xml:space="preserve">；</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、商务技术文件</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1.商务技术评分标准中须提供的相关得分佐证材料；</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.投标人认为需要提交的其他商务技术材料。</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、价格文件</w:t>
      </w:r>
      <w:r/>
    </w:p>
    <w:p>
      <w:pPr>
        <w:jc w:val="both"/>
        <w:spacing w:line="360" w:lineRule="auto"/>
        <w:rPr>
          <w:rFonts w:hint="default" w:ascii="宋体" w:hAnsi="宋体" w:eastAsia="宋体" w:cs="宋体"/>
          <w:b w:val="0"/>
          <w:bCs w:val="0"/>
          <w:color w:val="auto"/>
          <w:sz w:val="28"/>
          <w:szCs w:val="28"/>
          <w:lang w:val="en-US" w:eastAsia="zh-CN"/>
        </w:rPr>
      </w:pPr>
      <w:r>
        <w:rPr>
          <w:rFonts w:hint="eastAsia" w:ascii="宋体" w:hAnsi="宋体" w:eastAsia="宋体" w:cs="宋体"/>
          <w:b w:val="0"/>
          <w:bCs/>
          <w:color w:val="auto"/>
          <w:sz w:val="28"/>
          <w:szCs w:val="28"/>
        </w:rPr>
        <w:t xml:space="preserve">1.报价</w:t>
      </w:r>
      <w:r>
        <w:rPr>
          <w:rFonts w:hint="eastAsia" w:ascii="宋体" w:hAnsi="宋体" w:eastAsia="宋体" w:cs="宋体"/>
          <w:b w:val="0"/>
          <w:bCs/>
          <w:color w:val="auto"/>
          <w:sz w:val="28"/>
          <w:szCs w:val="28"/>
          <w:lang w:val="en-US" w:eastAsia="zh-CN"/>
        </w:rPr>
        <w:t xml:space="preserve">一览表</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z w:val="24"/>
          <w:szCs w:val="20"/>
        </w:rPr>
      </w:pPr>
      <w:r>
        <w:rPr>
          <w:rFonts w:hint="eastAsia" w:ascii="宋体" w:hAnsi="宋体" w:eastAsia="宋体" w:cs="宋体"/>
          <w:b/>
          <w:spacing w:val="20"/>
          <w:sz w:val="24"/>
          <w:szCs w:val="20"/>
        </w:rPr>
        <w:t xml:space="preserve">响应文件</w:t>
      </w:r>
      <w:r>
        <w:rPr>
          <w:rFonts w:hint="eastAsia" w:ascii="宋体" w:hAnsi="宋体" w:eastAsia="宋体" w:cs="宋体"/>
          <w:b/>
          <w:sz w:val="24"/>
          <w:szCs w:val="20"/>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szCs w:val="20"/>
          <w:u w:val="single"/>
          <w:lang w:val="en-US" w:eastAsia="zh-CN"/>
        </w:rPr>
      </w:pPr>
      <w:r>
        <w:rPr>
          <w:rFonts w:hint="eastAsia" w:ascii="宋体" w:hAnsi="宋体" w:eastAsia="宋体" w:cs="宋体"/>
          <w:b/>
          <w:sz w:val="36"/>
          <w:szCs w:val="20"/>
        </w:rPr>
        <w:t xml:space="preserve">项 目 名 称：</w:t>
      </w:r>
      <w:r>
        <w:rPr>
          <w:rFonts w:hint="eastAsia" w:ascii="宋体" w:hAnsi="宋体" w:eastAsia="宋体" w:cs="宋体"/>
          <w:b/>
          <w:sz w:val="36"/>
          <w:szCs w:val="20"/>
          <w:u w:val="single"/>
          <w:lang w:val="en-US" w:eastAsia="zh-CN"/>
        </w:rPr>
        <w:t xml:space="preserve">                   </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项 目 编 号：</w:t>
      </w:r>
      <w:r>
        <w:rPr>
          <w:rFonts w:hint="eastAsia" w:ascii="宋体" w:hAnsi="宋体" w:eastAsia="宋体" w:cs="宋体"/>
          <w:b/>
          <w:sz w:val="36"/>
          <w:szCs w:val="20"/>
          <w:u w:val="single"/>
          <w:lang w:val="en-US" w:eastAsia="zh-CN"/>
        </w:rPr>
        <w:t xml:space="preserve">                   </w:t>
      </w:r>
      <w:r/>
    </w:p>
    <w:p>
      <w:pPr>
        <w:rPr>
          <w:rFonts w:hint="default" w:ascii="宋体" w:hAnsi="宋体" w:eastAsia="宋体" w:cs="宋体"/>
          <w:b/>
          <w:sz w:val="36"/>
          <w:szCs w:val="20"/>
          <w:u w:val="single"/>
          <w:lang w:val="en-US" w:eastAsia="zh-CN"/>
        </w:rPr>
      </w:pPr>
      <w:r>
        <w:rPr>
          <w:rFonts w:hint="eastAsia" w:ascii="宋体" w:hAnsi="宋体" w:eastAsia="宋体" w:cs="宋体"/>
          <w:b/>
          <w:sz w:val="36"/>
          <w:szCs w:val="20"/>
        </w:rPr>
        <w:t xml:space="preserve">      供应商名称 ：</w:t>
      </w:r>
      <w:r>
        <w:rPr>
          <w:rFonts w:hint="eastAsia" w:ascii="宋体" w:hAnsi="宋体" w:eastAsia="宋体" w:cs="宋体"/>
          <w:b/>
          <w:sz w:val="36"/>
          <w:szCs w:val="20"/>
          <w:u w:val="single"/>
          <w:lang w:eastAsia="zh-CN"/>
        </w:rPr>
        <w:t xml:space="preserve">（</w:t>
      </w:r>
      <w:r>
        <w:rPr>
          <w:rFonts w:hint="eastAsia" w:ascii="宋体" w:hAnsi="宋体" w:eastAsia="宋体" w:cs="宋体"/>
          <w:b/>
          <w:sz w:val="36"/>
          <w:szCs w:val="20"/>
          <w:u w:val="single"/>
          <w:lang w:val="en-US" w:eastAsia="zh-CN"/>
        </w:rPr>
        <w:t xml:space="preserve">加盖CA电子公章</w:t>
      </w:r>
      <w:r>
        <w:rPr>
          <w:rFonts w:hint="eastAsia" w:ascii="宋体" w:hAnsi="宋体" w:eastAsia="宋体" w:cs="宋体"/>
          <w:b/>
          <w:sz w:val="36"/>
          <w:szCs w:val="20"/>
          <w:u w:val="single"/>
          <w:lang w:eastAsia="zh-CN"/>
        </w:rPr>
        <w:t xml:space="preserve">）</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日      期 ：</w:t>
      </w:r>
      <w:r>
        <w:rPr>
          <w:rFonts w:hint="eastAsia" w:ascii="宋体" w:hAnsi="宋体" w:eastAsia="宋体" w:cs="宋体"/>
          <w:b/>
          <w:sz w:val="36"/>
          <w:szCs w:val="20"/>
          <w:u w:val="single"/>
          <w:lang w:val="en-US" w:eastAsia="zh-CN"/>
        </w:rPr>
        <w:t xml:space="preserve">                   </w:t>
      </w:r>
      <w:r/>
    </w:p>
    <w:p>
      <w:pPr>
        <w:rPr>
          <w:rFonts w:hint="eastAsia" w:ascii="宋体" w:hAnsi="宋体" w:eastAsia="宋体" w:cs="宋体"/>
          <w:b/>
          <w:sz w:val="36"/>
          <w:szCs w:val="20"/>
        </w:rPr>
      </w:pPr>
      <w:r>
        <w:rPr>
          <w:rFonts w:hint="eastAsia" w:ascii="宋体" w:hAnsi="宋体" w:eastAsia="宋体" w:cs="宋体"/>
          <w:b/>
          <w:sz w:val="36"/>
          <w:szCs w:val="2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hint="default" w:ascii="宋体" w:hAnsi="宋体" w:eastAsia="宋体" w:cs="宋体"/>
          <w:b w:val="0"/>
          <w:bCs w:val="0"/>
          <w:color w:val="000000"/>
          <w:sz w:val="24"/>
          <w:szCs w:val="24"/>
          <w:lang w:val="en-US" w:eastAsia="zh-CN"/>
        </w:rPr>
      </w:pPr>
      <w:r>
        <w:rPr>
          <w:rFonts w:hint="default" w:ascii="宋体" w:hAnsi="宋体" w:eastAsia="宋体" w:cs="宋体"/>
          <w:b w:val="0"/>
          <w:bCs w:val="0"/>
          <w:color w:val="000000"/>
          <w:sz w:val="24"/>
          <w:szCs w:val="24"/>
          <w:lang w:val="en-US" w:eastAsia="zh-CN"/>
        </w:rPr>
      </w:r>
      <w:r/>
    </w:p>
    <w:p>
      <w:pPr>
        <w:pStyle w:val="727"/>
        <w:rPr>
          <w:rFonts w:hint="eastAsia"/>
          <w:lang w:val="en-US" w:eastAsia="zh-CN"/>
        </w:rPr>
      </w:pPr>
      <w:r>
        <w:rPr>
          <w:rFonts w:hint="eastAsia"/>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bCs/>
          <w:color w:val="000000"/>
          <w:sz w:val="28"/>
          <w:szCs w:val="28"/>
          <w:u w:val="single"/>
          <w:lang w:eastAsia="zh-CN"/>
        </w:rPr>
        <w:t xml:space="preserve">南通市海门区市场监督管理局采购2026年食品安全监督抽检服务项目</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：JSZC-320614-GDHC-G2026-0001</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ind w:firstLine="0"/>
        <w:jc w:val="both"/>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jc w:val="center"/>
        <w:spacing w:before="0" w:beforeAutospacing="0" w:after="0" w:afterAutospacing="0" w:line="560" w:lineRule="exact"/>
        <w:widowControl w:val="off"/>
        <w:rPr>
          <w:rFonts w:hint="eastAsia" w:ascii="宋体" w:hAnsi="宋体" w:eastAsia="宋体" w:cs="宋体"/>
          <w:b/>
          <w:bCs/>
          <w:sz w:val="32"/>
          <w:szCs w:val="32"/>
          <w:highlight w:val="none"/>
          <w:lang w:val="en-US" w:eastAsia="zh-CN" w:bidi="ar"/>
        </w:rPr>
      </w:pPr>
      <w:r>
        <w:rPr>
          <w:rFonts w:hint="eastAsia" w:ascii="宋体" w:hAnsi="宋体" w:eastAsia="宋体" w:cs="宋体"/>
          <w:b/>
          <w:sz w:val="32"/>
          <w:szCs w:val="32"/>
          <w:lang w:val="en-US" w:eastAsia="zh-CN" w:bidi="ar"/>
        </w:rPr>
        <w:t xml:space="preserve">法定代表人身份证明</w:t>
      </w:r>
      <w:r/>
    </w:p>
    <w:p>
      <w:pPr>
        <w:spacing w:line="480" w:lineRule="exact"/>
        <w:rPr>
          <w:rFonts w:hint="eastAsia" w:ascii="宋体" w:hAnsi="宋体" w:eastAsia="宋体" w:cs="宋体"/>
          <w:sz w:val="24"/>
          <w:szCs w:val="20"/>
        </w:rPr>
      </w:pPr>
      <w:r>
        <w:rPr>
          <w:rFonts w:hint="eastAsia" w:ascii="宋体" w:hAnsi="宋体" w:eastAsia="宋体" w:cs="宋体"/>
          <w:sz w:val="24"/>
          <w:szCs w:val="20"/>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both"/>
        <w:spacing w:line="600" w:lineRule="exact"/>
        <w:widowControl/>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注：提供法定代表人的身份证复印件盖公章</w:t>
      </w:r>
      <w:bookmarkEnd w:id="56"/>
      <w:r/>
      <w:bookmarkEnd w:id="57"/>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eastAsia="宋体" w:cs="宋体"/>
          <w:sz w:val="28"/>
          <w:szCs w:val="28"/>
          <w:u w:val="single"/>
          <w:lang w:eastAsia="zh-CN"/>
        </w:rPr>
        <w:t xml:space="preserve">南通市海门区市场监督管理局</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eastAsia="宋体" w:cs="宋体"/>
          <w:sz w:val="28"/>
          <w:szCs w:val="28"/>
          <w:u w:val="single"/>
          <w:lang w:eastAsia="zh-CN"/>
        </w:rPr>
        <w:t xml:space="preserve">南通市海门区市场监督管理局采购2026年食品安全监督抽检服务项目</w:t>
      </w:r>
      <w:r>
        <w:rPr>
          <w:rFonts w:hint="eastAsia" w:ascii="宋体" w:hAnsi="宋体" w:eastAsia="宋体" w:cs="宋体"/>
          <w:sz w:val="28"/>
          <w:szCs w:val="28"/>
          <w:u w:val="none"/>
          <w:lang w:val="en-US" w:eastAsia="zh-CN"/>
        </w:rPr>
        <w:t xml:space="preserve">（项目编号：JSZC-320614-GDHC-G2026-0001）</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0"/>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i w:val="0"/>
          <w:iCs/>
          <w:sz w:val="32"/>
          <w:szCs w:val="20"/>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321"/>
        <w:jc w:val="center"/>
        <w:spacing w:line="56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六、承诺本单位在信用中国（江苏）网站中无违法违规、较重或严重失信记录。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七、承诺本单位提出政府采购质疑和投诉坚持依法依规、诚实信用原则。</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八、根据政府采购相关法律法规的规定需要作出的其他承诺。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0"/>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0"/>
        </w:rPr>
        <w:t xml:space="preserve">） 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日期：_____年______月______日</w:t>
      </w:r>
      <w:r/>
    </w:p>
    <w:p>
      <w:pPr>
        <w:jc w:val="both"/>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keepLines w:val="0"/>
        <w:keepNext w:val="0"/>
        <w:pageBreakBefore w:val="0"/>
        <w:spacing w:line="240" w:lineRule="auto"/>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附件5：</w:t>
      </w:r>
      <w:r/>
    </w:p>
    <w:p>
      <w:pPr>
        <w:jc w:val="center"/>
        <w:keepLines w:val="0"/>
        <w:keepNext w:val="0"/>
        <w:pageBreakBefore w:val="0"/>
        <w:spacing w:line="240" w:lineRule="auto"/>
        <w:widowControl/>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keepLines w:val="0"/>
        <w:keepNext w:val="0"/>
        <w:pageBreakBefore w:val="0"/>
        <w:spacing w:line="360" w:lineRule="auto"/>
        <w:widowControl/>
        <w:rPr>
          <w:rFonts w:hint="eastAsia" w:ascii="宋体" w:hAnsi="宋体" w:eastAsia="宋体" w:cs="宋体"/>
          <w:b/>
          <w:bCs w:val="0"/>
          <w:sz w:val="3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t xml:space="preserve">南通市海门区市场监督管理局采购2026年食品安全监督抽检服务项目</w:t>
      </w:r>
      <w:r>
        <w:rPr>
          <w:rFonts w:hint="eastAsia" w:ascii="宋体" w:hAnsi="宋体" w:eastAsia="宋体" w:cs="宋体"/>
          <w:b/>
          <w:bCs w:val="0"/>
          <w:sz w:val="32"/>
          <w:szCs w:val="20"/>
          <w:lang w:val="en-US" w:eastAsia="zh-CN"/>
        </w:rPr>
        <w:t xml:space="preserve">报价承诺函</w:t>
      </w:r>
      <w:r/>
    </w:p>
    <w:p>
      <w:pPr>
        <w:keepLines w:val="0"/>
        <w:keepNext w:val="0"/>
        <w:pageBreakBefore w:val="0"/>
        <w:spacing w:line="360" w:lineRule="auto"/>
        <w:widowControl w:val="off"/>
        <w:rPr>
          <w:rFonts w:hint="eastAsia" w:ascii="方正仿宋_GBK" w:hAnsi="Times New Roman" w:eastAsia="宋体" w:cs="Times New Roman"/>
          <w:color w:val="auto"/>
          <w:sz w:val="28"/>
          <w:szCs w:val="28"/>
          <w:highlight w:val="none"/>
        </w:rPr>
      </w:pPr>
      <w:r>
        <w:rPr>
          <w:rFonts w:hint="eastAsia" w:ascii="方正仿宋_GBK" w:hAnsi="Times New Roman" w:eastAsia="宋体" w:cs="Times New Roman"/>
          <w:color w:val="auto"/>
          <w:sz w:val="28"/>
          <w:szCs w:val="28"/>
          <w:highlight w:val="none"/>
          <w:u w:val="single"/>
          <w:lang w:eastAsia="zh-CN"/>
        </w:rPr>
        <w:t xml:space="preserve">南通市海门区市场监督管理局</w:t>
      </w:r>
      <w:r>
        <w:rPr>
          <w:rFonts w:hint="eastAsia" w:ascii="方正仿宋_GBK" w:hAnsi="Times New Roman" w:eastAsia="宋体" w:cs="Times New Roman"/>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 xml:space="preserve">我单位郑重</w:t>
      </w:r>
      <w:r>
        <w:rPr>
          <w:rFonts w:hint="eastAsia" w:ascii="方正仿宋_GBK" w:hAnsi="Times New Roman" w:eastAsia="宋体" w:cs="Times New Roman"/>
          <w:color w:val="auto"/>
          <w:sz w:val="28"/>
          <w:szCs w:val="28"/>
          <w:highlight w:val="none"/>
          <w:lang w:val="en-US" w:eastAsia="zh-CN"/>
        </w:rPr>
        <w:t xml:space="preserve">承诺</w:t>
      </w:r>
      <w:r>
        <w:rPr>
          <w:rFonts w:hint="eastAsia" w:ascii="方正仿宋_GBK" w:hAnsi="Times New Roman" w:eastAsia="宋体" w:cs="Times New Roman"/>
          <w:color w:val="auto"/>
          <w:sz w:val="28"/>
          <w:szCs w:val="28"/>
          <w:highlight w:val="none"/>
        </w:rPr>
        <w:t xml:space="preserve">我单位报价</w:t>
      </w:r>
      <w:r>
        <w:rPr>
          <w:rFonts w:hint="eastAsia" w:ascii="方正仿宋_GBK" w:hAnsi="Times New Roman" w:eastAsia="宋体" w:cs="Times New Roman"/>
          <w:color w:val="auto"/>
          <w:sz w:val="28"/>
          <w:szCs w:val="28"/>
          <w:highlight w:val="none"/>
          <w:lang w:val="en-US" w:eastAsia="zh-CN"/>
        </w:rPr>
        <w:t xml:space="preserve">未</w:t>
      </w:r>
      <w:r>
        <w:rPr>
          <w:rFonts w:hint="eastAsia" w:ascii="方正仿宋_GBK" w:hAnsi="Times New Roman" w:eastAsia="宋体" w:cs="Times New Roman"/>
          <w:color w:val="auto"/>
          <w:sz w:val="28"/>
          <w:szCs w:val="28"/>
          <w:highlight w:val="none"/>
        </w:rPr>
        <w:t xml:space="preserve">超过最高限价。我单位报价</w:t>
      </w:r>
      <w:r>
        <w:rPr>
          <w:rFonts w:hint="eastAsia" w:ascii="宋体" w:hAnsi="宋体" w:eastAsia="宋体" w:cs="宋体"/>
          <w:color w:val="auto"/>
          <w:sz w:val="28"/>
          <w:szCs w:val="28"/>
          <w:highlight w:val="none"/>
        </w:rPr>
        <w:t xml:space="preserve">包括但不限于完成本项目所必须的</w:t>
      </w:r>
      <w:r>
        <w:rPr>
          <w:rFonts w:hint="eastAsia" w:ascii="宋体" w:hAnsi="宋体" w:eastAsia="宋体" w:cs="宋体"/>
          <w:color w:val="auto"/>
          <w:sz w:val="28"/>
          <w:szCs w:val="28"/>
          <w:highlight w:val="none"/>
          <w:lang w:val="en-US" w:eastAsia="zh-CN"/>
        </w:rPr>
        <w:t xml:space="preserve">所有工作及</w:t>
      </w:r>
      <w:r>
        <w:rPr>
          <w:rFonts w:hint="eastAsia" w:ascii="宋体" w:hAnsi="宋体" w:eastAsia="宋体" w:cs="宋体"/>
          <w:color w:val="auto"/>
          <w:sz w:val="28"/>
          <w:szCs w:val="28"/>
          <w:highlight w:val="none"/>
        </w:rPr>
        <w:t xml:space="preserve">其他辅助工作的相关费用及响应</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文件要求的所有费用</w:t>
      </w:r>
      <w:r>
        <w:rPr>
          <w:rFonts w:hint="eastAsia" w:ascii="宋体" w:hAnsi="宋体" w:eastAsia="宋体" w:cs="宋体"/>
          <w:color w:val="auto"/>
          <w:sz w:val="28"/>
          <w:szCs w:val="28"/>
          <w:highlight w:val="none"/>
          <w:lang w:eastAsia="zh-CN"/>
        </w:rPr>
        <w:t xml:space="preserve">。</w:t>
      </w:r>
      <w:r/>
    </w:p>
    <w:p>
      <w:pPr>
        <w:jc w:val="both"/>
        <w:spacing w:after="120"/>
        <w:widowControl w:val="off"/>
        <w:rPr>
          <w:rFonts w:hint="eastAsia"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r>
      <w:r/>
    </w:p>
    <w:p>
      <w:pPr>
        <w:ind w:firstLine="492"/>
        <w:jc w:val="right"/>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r/>
    </w:p>
    <w:p>
      <w:pPr>
        <w:ind w:firstLine="420"/>
        <w:jc w:val="center"/>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日</w:t>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附件6：</w:t>
      </w:r>
      <w:r/>
    </w:p>
    <w:p>
      <w:pPr>
        <w:jc w:val="center"/>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t xml:space="preserve">南通市海门区市场监督管理局采购2026年食品安全监督抽检服务项目</w:t>
      </w:r>
      <w:r/>
    </w:p>
    <w:p>
      <w:pPr>
        <w:jc w:val="center"/>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JSZC-320614-GDHC-G2026-0001</w:t>
      </w:r>
      <w:r/>
    </w:p>
    <w:tbl>
      <w:tblPr>
        <w:tblStyle w:val="877"/>
        <w:tblW w:w="1007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683"/>
        <w:gridCol w:w="2638"/>
        <w:gridCol w:w="2453"/>
        <w:gridCol w:w="1303"/>
      </w:tblGrid>
      <w:tr>
        <w:trPr>
          <w:jc w:val="center"/>
          <w:trHeight w:val="901"/>
        </w:trPr>
        <w:tc>
          <w:tcPr>
            <w:tcMar>
              <w:left w:w="15" w:type="dxa"/>
              <w:top w:w="15" w:type="dxa"/>
              <w:right w:w="15" w:type="dxa"/>
              <w:bottom w:w="15" w:type="dxa"/>
            </w:tcMar>
            <w:tcW w:w="368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63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w:t>
            </w:r>
            <w:r/>
          </w:p>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（万元）</w:t>
            </w:r>
            <w:r/>
          </w:p>
        </w:tc>
        <w:tc>
          <w:tcPr>
            <w:tcMar>
              <w:left w:w="15" w:type="dxa"/>
              <w:top w:w="15" w:type="dxa"/>
              <w:right w:w="15" w:type="dxa"/>
              <w:bottom w:w="15" w:type="dxa"/>
            </w:tcMar>
            <w:tcW w:w="245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投标限价</w:t>
            </w:r>
            <w:r/>
          </w:p>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（万元）</w:t>
            </w:r>
            <w:r/>
          </w:p>
        </w:tc>
        <w:tc>
          <w:tcPr>
            <w:tcMar>
              <w:left w:w="15" w:type="dxa"/>
              <w:top w:w="15" w:type="dxa"/>
              <w:right w:w="15" w:type="dxa"/>
              <w:bottom w:w="15" w:type="dxa"/>
            </w:tcMar>
            <w:tcW w:w="130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883"/>
        </w:trPr>
        <w:tc>
          <w:tcPr>
            <w:tcMar>
              <w:left w:w="15" w:type="dxa"/>
              <w:top w:w="15" w:type="dxa"/>
              <w:right w:w="15" w:type="dxa"/>
              <w:bottom w:w="15" w:type="dxa"/>
            </w:tcMar>
            <w:tcW w:w="368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南通市海门区市场监督管理局采购2026年食品安全监督抽检服务项目</w:t>
            </w:r>
            <w:r/>
          </w:p>
        </w:tc>
        <w:tc>
          <w:tcPr>
            <w:tcMar>
              <w:left w:w="15" w:type="dxa"/>
              <w:top w:w="15" w:type="dxa"/>
              <w:right w:w="15" w:type="dxa"/>
              <w:bottom w:w="15" w:type="dxa"/>
            </w:tcMar>
            <w:tcW w:w="26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t xml:space="preserve">239.85 </w:t>
            </w:r>
            <w:r/>
          </w:p>
        </w:tc>
        <w:tc>
          <w:tcPr>
            <w:tcMar>
              <w:left w:w="15" w:type="dxa"/>
              <w:top w:w="15" w:type="dxa"/>
              <w:right w:w="15" w:type="dxa"/>
              <w:bottom w:w="15" w:type="dxa"/>
            </w:tcMar>
            <w:tcW w:w="245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30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b/>
          <w:sz w:val="32"/>
          <w:szCs w:val="20"/>
        </w:rPr>
      </w:pPr>
      <w:r>
        <w:rPr>
          <w:rFonts w:hint="eastAsia" w:ascii="宋体" w:hAnsi="宋体" w:eastAsia="宋体" w:cs="宋体"/>
          <w:b/>
          <w:sz w:val="32"/>
          <w:szCs w:val="20"/>
        </w:rPr>
      </w:r>
      <w:r/>
    </w:p>
    <w:p>
      <w:pPr>
        <w:jc w:val="center"/>
        <w:keepNext/>
        <w:widowControl w:val="off"/>
        <w:rPr>
          <w:rFonts w:hint="eastAsia" w:ascii="宋体" w:hAnsi="宋体" w:eastAsia="宋体" w:cs="宋体"/>
          <w:b/>
          <w:sz w:val="32"/>
          <w:szCs w:val="21"/>
          <w:lang w:val="en-US" w:eastAsia="zh-CN" w:bidi="ar-SA"/>
        </w:rPr>
        <w:outlineLvl w:val="3"/>
      </w:pPr>
      <w:r>
        <w:rPr>
          <w:rFonts w:hint="eastAsia" w:ascii="宋体" w:hAnsi="宋体" w:eastAsia="宋体" w:cs="宋体"/>
          <w:b/>
          <w:sz w:val="32"/>
          <w:szCs w:val="21"/>
          <w:lang w:val="en-US" w:eastAsia="zh-CN" w:bidi="ar-SA"/>
        </w:rPr>
      </w:r>
      <w:r/>
    </w:p>
    <w:p>
      <w:pPr>
        <w:rPr>
          <w:rFonts w:hint="eastAsia" w:ascii="宋体" w:hAnsi="宋体" w:eastAsia="宋体" w:cs="宋体"/>
          <w:b/>
          <w:sz w:val="32"/>
          <w:szCs w:val="20"/>
        </w:rPr>
      </w:pPr>
      <w:r>
        <w:rPr>
          <w:rFonts w:hint="eastAsia" w:ascii="宋体" w:hAnsi="宋体" w:eastAsia="宋体" w:cs="宋体"/>
          <w:b/>
          <w:sz w:val="32"/>
          <w:szCs w:val="20"/>
        </w:rPr>
      </w:r>
      <w:r/>
    </w:p>
    <w:p>
      <w:pPr>
        <w:jc w:val="center"/>
        <w:keepNext/>
        <w:widowControl w:val="off"/>
        <w:rPr>
          <w:rFonts w:hint="eastAsia" w:ascii="宋体" w:hAnsi="宋体" w:eastAsia="宋体" w:cs="宋体"/>
          <w:b/>
          <w:sz w:val="32"/>
          <w:szCs w:val="21"/>
          <w:lang w:val="en-US" w:eastAsia="zh-CN" w:bidi="ar-SA"/>
        </w:rPr>
        <w:outlineLvl w:val="3"/>
      </w:pPr>
      <w:r>
        <w:rPr>
          <w:rFonts w:hint="eastAsia" w:ascii="宋体" w:hAnsi="宋体" w:eastAsia="宋体" w:cs="宋体"/>
          <w:b/>
          <w:sz w:val="32"/>
          <w:szCs w:val="21"/>
          <w:lang w:val="en-US" w:eastAsia="zh-CN" w:bidi="ar-SA"/>
        </w:rPr>
      </w:r>
      <w:r/>
    </w:p>
    <w:p>
      <w:pPr>
        <w:rPr>
          <w:rFonts w:hint="eastAsia" w:ascii="宋体" w:hAnsi="宋体" w:eastAsia="宋体" w:cs="宋体"/>
          <w:b/>
          <w:sz w:val="32"/>
          <w:szCs w:val="20"/>
        </w:rPr>
      </w:pPr>
      <w:r>
        <w:rPr>
          <w:rFonts w:hint="eastAsia" w:ascii="宋体" w:hAnsi="宋体" w:eastAsia="宋体" w:cs="宋体"/>
          <w:b/>
          <w:sz w:val="32"/>
          <w:szCs w:val="20"/>
        </w:rPr>
      </w:r>
      <w:r/>
    </w:p>
    <w:p>
      <w:pPr>
        <w:jc w:val="center"/>
        <w:keepNext/>
        <w:widowControl w:val="off"/>
        <w:rPr>
          <w:rFonts w:hint="eastAsia" w:ascii="宋体" w:hAnsi="宋体" w:eastAsia="宋体" w:cs="宋体"/>
          <w:b/>
          <w:sz w:val="32"/>
          <w:szCs w:val="21"/>
          <w:lang w:val="en-US" w:eastAsia="zh-CN" w:bidi="ar-SA"/>
        </w:rPr>
        <w:outlineLvl w:val="3"/>
      </w:pPr>
      <w:r>
        <w:rPr>
          <w:rFonts w:hint="eastAsia" w:ascii="宋体" w:hAnsi="宋体" w:eastAsia="宋体" w:cs="宋体"/>
          <w:b/>
          <w:sz w:val="32"/>
          <w:szCs w:val="21"/>
          <w:lang w:val="en-US" w:eastAsia="zh-CN" w:bidi="ar-SA"/>
        </w:rPr>
      </w:r>
      <w:r/>
    </w:p>
    <w:p>
      <w:pPr>
        <w:rPr>
          <w:rFonts w:hint="eastAsia" w:ascii="宋体" w:hAnsi="宋体" w:eastAsia="宋体" w:cs="宋体"/>
          <w:b/>
          <w:sz w:val="32"/>
          <w:szCs w:val="20"/>
        </w:rPr>
      </w:pPr>
      <w:r>
        <w:rPr>
          <w:rFonts w:hint="eastAsia" w:ascii="宋体" w:hAnsi="宋体" w:eastAsia="宋体" w:cs="宋体"/>
          <w:b/>
          <w:sz w:val="32"/>
          <w:szCs w:val="20"/>
        </w:rPr>
      </w:r>
      <w:r/>
    </w:p>
    <w:p>
      <w:pPr>
        <w:jc w:val="center"/>
        <w:keepNext/>
        <w:widowControl w:val="off"/>
        <w:rPr>
          <w:rFonts w:hint="eastAsia" w:ascii="宋体" w:hAnsi="宋体" w:eastAsia="宋体" w:cs="宋体"/>
          <w:b/>
          <w:sz w:val="32"/>
          <w:szCs w:val="21"/>
          <w:lang w:val="en-US" w:eastAsia="zh-CN" w:bidi="ar-SA"/>
        </w:rPr>
        <w:outlineLvl w:val="3"/>
      </w:pPr>
      <w:r>
        <w:rPr>
          <w:rFonts w:hint="eastAsia" w:ascii="宋体" w:hAnsi="宋体" w:eastAsia="宋体" w:cs="宋体"/>
          <w:b/>
          <w:sz w:val="32"/>
          <w:szCs w:val="21"/>
          <w:lang w:val="en-US" w:eastAsia="zh-CN" w:bidi="ar-SA"/>
        </w:rPr>
      </w:r>
      <w:r/>
    </w:p>
    <w:p>
      <w:pPr>
        <w:rPr>
          <w:rFonts w:hint="eastAsia" w:ascii="宋体" w:hAnsi="宋体" w:eastAsia="宋体" w:cs="宋体"/>
          <w:b/>
          <w:sz w:val="32"/>
          <w:szCs w:val="20"/>
        </w:rPr>
      </w:pPr>
      <w:r>
        <w:rPr>
          <w:rFonts w:hint="eastAsia" w:ascii="宋体" w:hAnsi="宋体" w:eastAsia="宋体" w:cs="宋体"/>
          <w:b/>
          <w:sz w:val="32"/>
          <w:szCs w:val="20"/>
        </w:rPr>
      </w:r>
      <w:r/>
    </w:p>
    <w:p>
      <w:pPr>
        <w:jc w:val="center"/>
        <w:keepNext/>
        <w:widowControl w:val="off"/>
        <w:rPr>
          <w:rFonts w:hint="eastAsia" w:ascii="宋体" w:hAnsi="宋体" w:eastAsia="宋体" w:cs="宋体"/>
          <w:b/>
          <w:sz w:val="32"/>
          <w:szCs w:val="21"/>
          <w:lang w:val="en-US" w:eastAsia="zh-CN" w:bidi="ar-SA"/>
        </w:rPr>
        <w:outlineLvl w:val="3"/>
      </w:pPr>
      <w:r>
        <w:rPr>
          <w:rFonts w:hint="eastAsia" w:ascii="宋体" w:hAnsi="宋体" w:eastAsia="宋体" w:cs="宋体"/>
          <w:b/>
          <w:sz w:val="32"/>
          <w:szCs w:val="21"/>
          <w:lang w:val="en-US" w:eastAsia="zh-CN" w:bidi="ar-SA"/>
        </w:rPr>
      </w:r>
      <w:r/>
    </w:p>
    <w:p>
      <w:pPr>
        <w:rPr>
          <w:rFonts w:hint="eastAsia" w:ascii="宋体" w:hAnsi="宋体" w:eastAsia="宋体" w:cs="宋体"/>
          <w:b/>
          <w:sz w:val="32"/>
          <w:szCs w:val="20"/>
        </w:rPr>
      </w:pPr>
      <w:r>
        <w:rPr>
          <w:rFonts w:hint="eastAsia" w:ascii="宋体" w:hAnsi="宋体" w:eastAsia="宋体" w:cs="宋体"/>
          <w:b/>
          <w:sz w:val="32"/>
          <w:szCs w:val="20"/>
        </w:rPr>
      </w:r>
      <w:r/>
    </w:p>
    <w:p>
      <w:pPr>
        <w:pStyle w:val="722"/>
        <w:rPr>
          <w:rFonts w:hint="eastAsia"/>
        </w:rPr>
      </w:pPr>
      <w:r>
        <w:rPr>
          <w:rFonts w:hint="eastAsia"/>
        </w:rPr>
      </w:r>
      <w:r/>
    </w:p>
    <w:p>
      <w:pP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rPr>
          <w:rFonts w:hint="eastAsia" w:ascii="Times New Roman" w:hAnsi="Times New Roman" w:eastAsia="宋体" w:cs="Times New Roman"/>
          <w:szCs w:val="20"/>
        </w:rPr>
      </w:pPr>
      <w:r>
        <w:rPr>
          <w:rFonts w:hint="eastAsia" w:ascii="宋体" w:hAnsi="宋体" w:eastAsia="宋体" w:cs="宋体"/>
          <w:b w:val="0"/>
          <w:bCs/>
          <w:color w:val="000000"/>
          <w:sz w:val="24"/>
          <w:szCs w:val="24"/>
          <w:lang w:val="en-US" w:eastAsia="zh-CN"/>
        </w:rPr>
        <w:t xml:space="preserve">附件7：</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服务</w:t>
      </w:r>
      <w:r>
        <w:rPr>
          <w:rFonts w:hint="eastAsia" w:ascii="宋体" w:hAnsi="宋体" w:eastAsia="宋体" w:cs="宋体"/>
          <w:b/>
          <w:color w:val="000000"/>
          <w:sz w:val="32"/>
          <w:szCs w:val="32"/>
          <w:highlight w:val="none"/>
        </w:rPr>
        <w:t xml:space="preserve">）</w:t>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ind w:firstLine="560"/>
        <w:jc w:val="left"/>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本公司郑重声明，根据《政府采购促进中小企业发展管理办法》（财库﹝2020﹞46 号）的规定，本公司参加</w:t>
      </w:r>
      <w:r>
        <w:rPr>
          <w:rFonts w:hint="eastAsia" w:ascii="宋体" w:hAnsi="宋体" w:eastAsia="宋体" w:cs="宋体"/>
          <w:color w:val="000000"/>
          <w:sz w:val="28"/>
          <w:szCs w:val="28"/>
          <w:highlight w:val="none"/>
          <w:u w:val="single"/>
          <w:lang w:eastAsia="zh-CN" w:bidi="zh-CN"/>
        </w:rPr>
        <w:t xml:space="preserve">南通市海门区市场监督管理局</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eastAsia="zh-CN" w:bidi="zh-CN"/>
        </w:rPr>
        <w:t xml:space="preserve">南通市海门区市场监督管理局采购2026年食品安全监督抽检服务项目</w:t>
      </w:r>
      <w:r>
        <w:rPr>
          <w:rFonts w:hint="eastAsia" w:ascii="宋体" w:hAnsi="宋体" w:eastAsia="宋体" w:cs="宋体"/>
          <w:color w:val="000000"/>
          <w:sz w:val="28"/>
          <w:szCs w:val="28"/>
          <w:highlight w:val="none"/>
          <w:lang w:bidi="zh-CN"/>
        </w:rPr>
        <w:t xml:space="preserve">采购活动，服务全部由符合政策要求的中小企业承接，相关企业的具体情况如下： </w:t>
      </w:r>
      <w:r/>
    </w:p>
    <w:p>
      <w:pPr>
        <w:ind w:firstLine="560"/>
        <w:jc w:val="left"/>
        <w:spacing w:line="360" w:lineRule="auto"/>
        <w:widowControl/>
        <w:rPr>
          <w:rFonts w:hint="eastAsia" w:ascii="宋体" w:hAnsi="宋体" w:eastAsia="宋体" w:cs="宋体"/>
          <w:i w:val="0"/>
          <w:iCs/>
          <w:sz w:val="28"/>
          <w:szCs w:val="28"/>
          <w:lang w:bidi="ar"/>
        </w:rPr>
      </w:pPr>
      <w:r>
        <w:rPr>
          <w:rFonts w:hint="eastAsia" w:ascii="宋体" w:hAnsi="宋体" w:eastAsia="宋体" w:cs="宋体"/>
          <w:color w:val="000000"/>
          <w:sz w:val="28"/>
          <w:szCs w:val="28"/>
          <w:highlight w:val="none"/>
          <w:u w:val="single"/>
          <w:lang w:eastAsia="zh-CN" w:bidi="zh-CN"/>
        </w:rPr>
        <w:t xml:space="preserve">食品安全监督抽检服务</w:t>
      </w:r>
      <w:r>
        <w:rPr>
          <w:rFonts w:hint="eastAsia" w:ascii="宋体" w:hAnsi="宋体" w:eastAsia="宋体" w:cs="宋体"/>
          <w:i w:val="0"/>
          <w:iCs/>
          <w:sz w:val="28"/>
          <w:szCs w:val="28"/>
          <w:u w:val="single"/>
          <w:lang w:bidi="ar"/>
        </w:rPr>
        <w:t xml:space="preserve"> </w:t>
      </w:r>
      <w:r>
        <w:rPr>
          <w:rFonts w:hint="eastAsia" w:ascii="宋体" w:hAnsi="宋体" w:eastAsia="宋体" w:cs="宋体"/>
          <w:i w:val="0"/>
          <w:iCs/>
          <w:sz w:val="28"/>
          <w:szCs w:val="28"/>
          <w:lang w:bidi="ar"/>
        </w:rPr>
        <w:t xml:space="preserve">，属于</w:t>
      </w:r>
      <w:r>
        <w:rPr>
          <w:rFonts w:hint="eastAsia" w:ascii="宋体" w:hAnsi="宋体" w:eastAsia="宋体" w:cs="宋体"/>
          <w:i w:val="0"/>
          <w:iCs/>
          <w:sz w:val="28"/>
          <w:szCs w:val="28"/>
          <w:u w:val="single"/>
          <w:lang w:bidi="ar"/>
        </w:rPr>
        <w:t xml:space="preserve">其他未列明行业</w:t>
      </w:r>
      <w:r>
        <w:rPr>
          <w:rFonts w:hint="eastAsia" w:ascii="宋体" w:hAnsi="宋体" w:eastAsia="宋体" w:cs="宋体"/>
          <w:i w:val="0"/>
          <w:iCs/>
          <w:sz w:val="28"/>
          <w:szCs w:val="28"/>
          <w:lang w:bidi="ar"/>
        </w:rPr>
        <w:t xml:space="preserve">；承建（承接）企业为</w:t>
      </w:r>
      <w:r>
        <w:rPr>
          <w:rFonts w:hint="eastAsia" w:ascii="宋体" w:hAnsi="宋体" w:eastAsia="宋体" w:cs="宋体"/>
          <w:i w:val="0"/>
          <w:iCs/>
          <w:sz w:val="28"/>
          <w:szCs w:val="28"/>
          <w:u w:val="single"/>
          <w:lang w:bidi="ar"/>
        </w:rPr>
        <w:t xml:space="preserve">（企业名称）</w:t>
      </w:r>
      <w:r>
        <w:rPr>
          <w:rFonts w:hint="eastAsia" w:ascii="宋体" w:hAnsi="宋体" w:eastAsia="宋体" w:cs="宋体"/>
          <w:i w:val="0"/>
          <w:iCs/>
          <w:sz w:val="28"/>
          <w:szCs w:val="28"/>
          <w:lang w:bidi="ar"/>
        </w:rPr>
        <w:t xml:space="preserve">，从业人员</w:t>
      </w:r>
      <w:r>
        <w:rPr>
          <w:rFonts w:hint="eastAsia" w:ascii="宋体" w:hAnsi="宋体" w:eastAsia="宋体" w:cs="宋体"/>
          <w:i w:val="0"/>
          <w:iCs/>
          <w:sz w:val="28"/>
          <w:szCs w:val="28"/>
          <w:u w:val="single"/>
          <w:lang w:bidi="ar"/>
        </w:rPr>
        <w:t xml:space="preserve">   </w:t>
      </w:r>
      <w:r>
        <w:rPr>
          <w:rFonts w:hint="eastAsia" w:ascii="宋体" w:hAnsi="宋体" w:eastAsia="宋体" w:cs="宋体"/>
          <w:i w:val="0"/>
          <w:iCs/>
          <w:sz w:val="28"/>
          <w:szCs w:val="28"/>
          <w:lang w:bidi="ar"/>
        </w:rPr>
        <w:t xml:space="preserve">人，属于</w:t>
      </w:r>
      <w:r>
        <w:rPr>
          <w:rFonts w:hint="eastAsia" w:ascii="宋体" w:hAnsi="宋体" w:eastAsia="宋体" w:cs="宋体"/>
          <w:i w:val="0"/>
          <w:iCs/>
          <w:sz w:val="28"/>
          <w:szCs w:val="28"/>
          <w:u w:val="single"/>
          <w:lang w:bidi="ar"/>
        </w:rPr>
        <w:t xml:space="preserve">（中型企业、小型企业、微型企业）</w:t>
      </w:r>
      <w:r>
        <w:rPr>
          <w:rFonts w:hint="eastAsia" w:ascii="宋体" w:hAnsi="宋体" w:eastAsia="宋体" w:cs="宋体"/>
          <w:i w:val="0"/>
          <w:iCs/>
          <w:sz w:val="28"/>
          <w:szCs w:val="28"/>
          <w:lang w:bidi="ar"/>
        </w:rPr>
        <w:t xml:space="preserve">；</w:t>
      </w:r>
      <w:r/>
    </w:p>
    <w:p>
      <w:pPr>
        <w:ind w:firstLine="56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rPr>
        <w:t xml:space="preserve">本企业对上述声明内容的真实性负责。如有虚假，将依法承担相应责任。 </w:t>
      </w:r>
      <w:r/>
    </w:p>
    <w:p>
      <w:pPr>
        <w:ind w:firstLine="4900"/>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企业名称（盖章）：</w:t>
      </w:r>
      <w:r/>
    </w:p>
    <w:p>
      <w:pPr>
        <w:ind w:firstLine="4900"/>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日期：</w:t>
      </w:r>
      <w:r/>
    </w:p>
    <w:p>
      <w:pPr>
        <w:contextualSpacing/>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ind w:firstLine="480"/>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ind w:firstLine="480"/>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ind w:firstLine="480"/>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ind w:firstLine="480"/>
        <w:spacing w:after="120" w:line="360" w:lineRule="auto"/>
        <w:rPr>
          <w:rFonts w:hint="default" w:ascii="宋体" w:hAnsi="宋体" w:eastAsia="宋体" w:cs="宋体"/>
          <w:b/>
          <w:sz w:val="24"/>
          <w:szCs w:val="24"/>
          <w:lang w:bidi="zh-CN"/>
        </w:rPr>
      </w:pPr>
      <w:r>
        <w:rPr>
          <w:rFonts w:hint="eastAsia" w:ascii="宋体" w:hAnsi="宋体" w:eastAsia="宋体" w:cs="宋体"/>
          <w:b/>
          <w:sz w:val="24"/>
          <w:szCs w:val="24"/>
          <w:lang w:bidi="zh-CN"/>
        </w:rPr>
        <w:t xml:space="preserve">注：</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供应商为中小企业的，此声明函将随</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hint="default"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contextualSpacing/>
        <w:ind w:firstLine="482"/>
        <w:spacing w:after="120" w:line="360" w:lineRule="auto"/>
        <w:rPr>
          <w:rFonts w:hint="default" w:ascii="宋体" w:hAnsi="宋体" w:eastAsia="宋体" w:cs="宋体"/>
          <w:b/>
          <w:sz w:val="24"/>
          <w:szCs w:val="24"/>
          <w:highlight w:val="yellow"/>
          <w:lang w:val="en-US" w:eastAsia="zh-CN" w:bidi="zh-CN"/>
        </w:rPr>
      </w:pPr>
      <w:r>
        <w:rPr>
          <w:rFonts w:hint="eastAsia" w:ascii="宋体" w:hAnsi="宋体" w:eastAsia="宋体" w:cs="宋体"/>
          <w:b/>
          <w:sz w:val="24"/>
          <w:szCs w:val="24"/>
          <w:lang w:val="en-US" w:eastAsia="zh-CN" w:bidi="zh-CN"/>
        </w:rPr>
        <w:t xml:space="preserve">其他未列明行业。</w:t>
      </w:r>
      <w:r>
        <w:rPr>
          <w:rFonts w:hint="eastAsia" w:ascii="宋体" w:hAnsi="宋体" w:eastAsia="宋体" w:cs="宋体"/>
          <w:b/>
          <w:sz w:val="24"/>
          <w:szCs w:val="24"/>
          <w:highlight w:val="yellow"/>
          <w:lang w:val="en-US" w:eastAsia="zh-CN" w:bidi="zh-CN"/>
        </w:rPr>
        <w:t xml:space="preserve">从业人员 300 人以下的为中小微型企业。其中，从业人员 100 人及以上的为中型企业;从业人员 10 人及以上的为小型企业;从业人员 10 人以下的为微型企业。</w:t>
      </w:r>
      <w:r>
        <w:rPr>
          <w:rFonts w:hint="default" w:ascii="宋体" w:hAnsi="宋体" w:eastAsia="宋体" w:cs="宋体"/>
          <w:b/>
          <w:sz w:val="24"/>
          <w:szCs w:val="24"/>
          <w:highlight w:val="yellow"/>
          <w:lang w:val="en-US" w:eastAsia="zh-CN" w:bidi="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附件8：</w:t>
      </w:r>
      <w:r/>
    </w:p>
    <w:p>
      <w:pPr>
        <w:jc w:val="both"/>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8"/>
          <w:szCs w:val="28"/>
          <w:highlight w:val="none"/>
          <w:u w:val="single"/>
          <w:lang w:eastAsia="zh-CN" w:bidi="zh-CN"/>
        </w:rPr>
        <w:t xml:space="preserve">南通市海门区市场监督管理局</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u w:val="single"/>
          <w:lang w:eastAsia="zh-CN" w:bidi="zh-CN"/>
        </w:rPr>
        <w:t xml:space="preserve">南通市海门区市场监督管理局采购2026年食品安全监督抽检服务项目</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项目编号：JSZC-320614-GDHC-G2026-0001</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jc w:val="both"/>
        <w:rPr>
          <w:rFonts w:hint="eastAsia" w:ascii="宋体" w:hAnsi="宋体" w:eastAsia="宋体" w:cs="宋体"/>
          <w:color w:val="ff0000"/>
          <w:sz w:val="32"/>
          <w:szCs w:val="32"/>
          <w:highlight w:val="none"/>
        </w:rPr>
      </w:pPr>
      <w:r>
        <w:rPr>
          <w:rFonts w:hint="eastAsia" w:ascii="宋体" w:hAnsi="宋体" w:eastAsia="宋体" w:cs="宋体"/>
          <w:color w:val="ff0000"/>
          <w:sz w:val="32"/>
          <w:szCs w:val="32"/>
          <w:highlight w:val="none"/>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附件9：</w:t>
      </w:r>
      <w:r/>
    </w:p>
    <w:p>
      <w:pPr>
        <w:jc w:val="center"/>
        <w:spacing w:line="30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监狱和戒毒企业证明材料</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98"/>
        <w:jc w:val="center"/>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ind w:left="0" w:firstLine="0"/>
        <w:jc w:val="center"/>
        <w:widowControl w:val="off"/>
        <w:rPr>
          <w:rFonts w:hint="eastAsia" w:ascii="Times New Roman" w:hAnsi="Times New Roman" w:eastAsia="宋体" w:cs="Times New Roman"/>
          <w:color w:val="ff0000"/>
          <w:sz w:val="32"/>
          <w:szCs w:val="32"/>
          <w:highlight w:val="yellow"/>
          <w:lang w:val="en-US" w:eastAsia="zh-CN" w:bidi="ar-SA"/>
        </w:rPr>
      </w:pPr>
      <w:r>
        <w:rPr>
          <w:rFonts w:hint="eastAsia" w:ascii="Times New Roman" w:hAnsi="Times New Roman" w:eastAsia="宋体" w:cs="Times New Roman"/>
          <w:color w:val="ff0000"/>
          <w:sz w:val="32"/>
          <w:szCs w:val="32"/>
          <w:highlight w:val="yellow"/>
          <w:lang w:val="en-US" w:eastAsia="zh-CN" w:bidi="ar-SA"/>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center"/>
        <w:spacing w:line="46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ind w:firstLine="420"/>
        <w:jc w:val="both"/>
        <w:widowControl w:val="off"/>
      </w:pPr>
      <w:r/>
      <w:r/>
    </w:p>
    <w:sectPr>
      <w:headerReference w:type="default" r:id="rId9"/>
      <w:footerReference w:type="default" r:id="rId10"/>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楷体_GB2312">
    <w:panose1 w:val="02010609060101010101"/>
  </w:font>
  <w:font w:name="Symbol">
    <w:panose1 w:val="05050102010706020507"/>
  </w:font>
  <w:font w:name="Wingdings">
    <w:panose1 w:val="05000000000000000000"/>
  </w:font>
  <w:font w:name="Courier New">
    <w:panose1 w:val="02070309020205020404"/>
  </w:font>
  <w:font w:name="方正仿宋_GBK">
    <w:panose1 w:val="020B0503020202020204"/>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88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9">
    <w:name w:val="Heading 1"/>
    <w:basedOn w:val="688"/>
    <w:next w:val="688"/>
    <w:link w:val="72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9"/>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30"/>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31"/>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2"/>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3"/>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5"/>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6"/>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0"/>
    <w:semiHidden/>
    <w:qFormat/>
  </w:style>
  <w:style w:type="table" w:styleId="699" w:default="1">
    <w:name w:val="Normal Table"/>
    <w:uiPriority w:val="0"/>
    <w:semiHidden/>
    <w:qFormat/>
    <w:tblPr>
      <w:tblCellMar>
        <w:left w:w="108" w:type="dxa"/>
        <w:top w:w="0" w:type="dxa"/>
        <w:right w:w="108" w:type="dxa"/>
        <w:bottom w:w="0" w:type="dxa"/>
      </w:tblCellMar>
    </w:tblPr>
  </w:style>
  <w:style w:type="paragraph" w:styleId="700" w:customStyle="1">
    <w:name w:val="正文首行缩进 21"/>
    <w:next w:val="688"/>
    <w:uiPriority w:val="0"/>
    <w:unhideWhenUsed/>
    <w:qFormat/>
    <w:pPr>
      <w:ind w:left="765" w:firstLine="420"/>
      <w:jc w:val="both"/>
      <w:widowControl w:val="off"/>
    </w:pPr>
    <w:rPr>
      <w:rFonts w:hint="default" w:ascii="仿宋_GB2312" w:hAnsi="Times New Roman" w:eastAsia="仿宋_GB2312" w:cs="Times New Roman"/>
      <w:sz w:val="28"/>
      <w:szCs w:val="20"/>
      <w:lang w:val="en-US" w:eastAsia="zh-CN" w:bidi="ar-SA"/>
    </w:rPr>
  </w:style>
  <w:style w:type="paragraph" w:styleId="701">
    <w:name w:val="toc 7"/>
    <w:basedOn w:val="688"/>
    <w:next w:val="688"/>
    <w:uiPriority w:val="39"/>
    <w:unhideWhenUsed/>
    <w:qFormat/>
    <w:pPr>
      <w:ind w:left="1701" w:right="0" w:firstLine="0"/>
      <w:spacing w:after="57"/>
    </w:pPr>
  </w:style>
  <w:style w:type="paragraph" w:styleId="702">
    <w:name w:val="Normal Indent"/>
    <w:next w:val="688"/>
    <w:uiPriority w:val="0"/>
    <w:qFormat/>
    <w:pPr>
      <w:ind w:firstLine="420"/>
      <w:jc w:val="both"/>
      <w:widowControl w:val="off"/>
    </w:pPr>
    <w:rPr>
      <w:rFonts w:hint="default" w:ascii="Times New Roman" w:hAnsi="Times New Roman" w:eastAsia="宋体" w:cs="Times New Roman"/>
      <w:sz w:val="21"/>
      <w:lang w:val="en-US" w:eastAsia="zh-CN" w:bidi="ar-SA"/>
    </w:rPr>
  </w:style>
  <w:style w:type="paragraph" w:styleId="703">
    <w:name w:val="Caption"/>
    <w:basedOn w:val="688"/>
    <w:next w:val="68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4">
    <w:name w:val="Body Text"/>
    <w:basedOn w:val="688"/>
    <w:next w:val="705"/>
    <w:uiPriority w:val="0"/>
    <w:qFormat/>
    <w:pPr>
      <w:jc w:val="both"/>
      <w:widowControl w:val="off"/>
    </w:pPr>
    <w:rPr>
      <w:rFonts w:hint="default" w:ascii="仿宋_GB2312" w:hAnsi="Times New Roman" w:eastAsia="仿宋_GB2312" w:cs="Times New Roman"/>
      <w:sz w:val="24"/>
      <w:szCs w:val="20"/>
      <w:lang w:val="en-US" w:eastAsia="zh-CN" w:bidi="ar-SA"/>
    </w:rPr>
  </w:style>
  <w:style w:type="paragraph" w:styleId="705">
    <w:name w:val="toc 8"/>
    <w:basedOn w:val="688"/>
    <w:next w:val="688"/>
    <w:uiPriority w:val="39"/>
    <w:unhideWhenUsed/>
    <w:qFormat/>
    <w:pPr>
      <w:ind w:left="1984" w:right="0" w:firstLine="0"/>
      <w:spacing w:after="57"/>
    </w:pPr>
  </w:style>
  <w:style w:type="paragraph" w:styleId="706">
    <w:name w:val="Body Text Indent"/>
    <w:next w:val="707"/>
    <w:uiPriority w:val="0"/>
    <w:qFormat/>
    <w:pPr>
      <w:ind w:left="0" w:right="0" w:firstLine="616"/>
      <w:jc w:val="both"/>
      <w:keepLines w:val="0"/>
      <w:keepNext w:val="0"/>
      <w:spacing w:before="0" w:beforeAutospacing="0" w:after="0" w:afterAutospacing="0" w:line="570" w:lineRule="exact"/>
      <w:widowControl w:val="off"/>
      <w:suppressLineNumbers w:val="0"/>
    </w:pPr>
    <w:rPr>
      <w:rFonts w:hint="default" w:ascii="Calibri" w:hAnsi="Calibri" w:eastAsia="方正仿宋_GBK" w:cs="Times New Roman"/>
      <w:spacing w:val="-6"/>
      <w:sz w:val="32"/>
      <w:szCs w:val="32"/>
      <w:lang w:val="en-US" w:eastAsia="zh-CN" w:bidi="ar"/>
    </w:rPr>
  </w:style>
  <w:style w:type="paragraph" w:styleId="707">
    <w:name w:val="envelope return"/>
    <w:uiPriority w:val="99"/>
    <w:qFormat/>
    <w:pPr>
      <w:ind w:firstLine="200"/>
      <w:jc w:val="both"/>
      <w:widowControl w:val="off"/>
    </w:pPr>
    <w:rPr>
      <w:rFonts w:hint="default" w:ascii="Arial" w:hAnsi="Arial" w:eastAsia="宋体" w:cs="Times New Roman"/>
      <w:sz w:val="21"/>
      <w:lang w:val="en-US" w:eastAsia="zh-CN" w:bidi="ar-SA"/>
    </w:rPr>
  </w:style>
  <w:style w:type="paragraph" w:styleId="708">
    <w:name w:val="toc 5"/>
    <w:basedOn w:val="688"/>
    <w:next w:val="688"/>
    <w:uiPriority w:val="39"/>
    <w:unhideWhenUsed/>
    <w:qFormat/>
    <w:pPr>
      <w:ind w:left="1134" w:right="0" w:firstLine="0"/>
      <w:spacing w:after="57"/>
    </w:pPr>
  </w:style>
  <w:style w:type="paragraph" w:styleId="709">
    <w:name w:val="toc 3"/>
    <w:basedOn w:val="688"/>
    <w:next w:val="688"/>
    <w:uiPriority w:val="39"/>
    <w:unhideWhenUsed/>
    <w:qFormat/>
    <w:pPr>
      <w:ind w:left="567" w:right="0" w:firstLine="0"/>
      <w:spacing w:after="57"/>
    </w:pPr>
  </w:style>
  <w:style w:type="paragraph" w:styleId="710">
    <w:name w:val="endnote text"/>
    <w:basedOn w:val="688"/>
    <w:link w:val="874"/>
    <w:uiPriority w:val="99"/>
    <w:semiHidden/>
    <w:unhideWhenUsed/>
    <w:qFormat/>
    <w:pPr>
      <w:spacing w:after="0" w:line="240" w:lineRule="auto"/>
    </w:pPr>
    <w:rPr>
      <w:sz w:val="20"/>
    </w:rPr>
  </w:style>
  <w:style w:type="paragraph" w:styleId="711">
    <w:name w:val="Footer"/>
    <w:basedOn w:val="688"/>
    <w:link w:val="747"/>
    <w:uiPriority w:val="99"/>
    <w:unhideWhenUsed/>
    <w:qFormat/>
    <w:pPr>
      <w:spacing w:after="0" w:line="240" w:lineRule="auto"/>
      <w:tabs>
        <w:tab w:val="center" w:pos="7143" w:leader="none"/>
        <w:tab w:val="right" w:pos="14287" w:leader="none"/>
      </w:tabs>
    </w:pPr>
  </w:style>
  <w:style w:type="paragraph" w:styleId="712">
    <w:name w:val="Header"/>
    <w:basedOn w:val="688"/>
    <w:link w:val="745"/>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ind w:left="0" w:right="0" w:firstLine="0"/>
      <w:spacing w:after="57"/>
    </w:pPr>
  </w:style>
  <w:style w:type="paragraph" w:styleId="714">
    <w:name w:val="toc 4"/>
    <w:basedOn w:val="688"/>
    <w:next w:val="688"/>
    <w:uiPriority w:val="39"/>
    <w:unhideWhenUsed/>
    <w:qFormat/>
    <w:pPr>
      <w:ind w:left="850" w:right="0" w:firstLine="0"/>
      <w:spacing w:after="57"/>
    </w:pPr>
  </w:style>
  <w:style w:type="paragraph" w:styleId="715">
    <w:name w:val="Subtitle"/>
    <w:basedOn w:val="688"/>
    <w:next w:val="688"/>
    <w:link w:val="740"/>
    <w:uiPriority w:val="11"/>
    <w:qFormat/>
    <w:pPr>
      <w:spacing w:before="200" w:after="200"/>
    </w:pPr>
    <w:rPr>
      <w:sz w:val="24"/>
      <w:szCs w:val="24"/>
    </w:rPr>
  </w:style>
  <w:style w:type="paragraph" w:styleId="716">
    <w:name w:val="footnote text"/>
    <w:basedOn w:val="688"/>
    <w:link w:val="873"/>
    <w:uiPriority w:val="99"/>
    <w:semiHidden/>
    <w:unhideWhenUsed/>
    <w:qFormat/>
    <w:pPr>
      <w:spacing w:after="40" w:line="240" w:lineRule="auto"/>
    </w:pPr>
    <w:rPr>
      <w:sz w:val="18"/>
    </w:rPr>
  </w:style>
  <w:style w:type="paragraph" w:styleId="717">
    <w:name w:val="toc 6"/>
    <w:basedOn w:val="688"/>
    <w:next w:val="688"/>
    <w:uiPriority w:val="39"/>
    <w:unhideWhenUsed/>
    <w:qFormat/>
    <w:pPr>
      <w:ind w:left="1417" w:right="0" w:firstLine="0"/>
      <w:spacing w:after="57"/>
    </w:pPr>
  </w:style>
  <w:style w:type="paragraph" w:styleId="718">
    <w:name w:val="table of figures"/>
    <w:basedOn w:val="688"/>
    <w:next w:val="688"/>
    <w:uiPriority w:val="99"/>
    <w:unhideWhenUsed/>
    <w:qFormat/>
    <w:pPr>
      <w:spacing w:after="0" w:afterAutospacing="0"/>
    </w:pPr>
  </w:style>
  <w:style w:type="paragraph" w:styleId="719">
    <w:name w:val="toc 2"/>
    <w:basedOn w:val="688"/>
    <w:next w:val="688"/>
    <w:uiPriority w:val="39"/>
    <w:unhideWhenUsed/>
    <w:qFormat/>
    <w:pPr>
      <w:ind w:left="283" w:right="0" w:firstLine="0"/>
      <w:spacing w:after="57"/>
    </w:pPr>
  </w:style>
  <w:style w:type="paragraph" w:styleId="720">
    <w:name w:val="toc 9"/>
    <w:basedOn w:val="688"/>
    <w:next w:val="688"/>
    <w:uiPriority w:val="39"/>
    <w:unhideWhenUsed/>
    <w:qFormat/>
    <w:pPr>
      <w:ind w:left="2268" w:right="0" w:firstLine="0"/>
      <w:spacing w:after="57"/>
    </w:pPr>
  </w:style>
  <w:style w:type="paragraph" w:styleId="721">
    <w:name w:val="Title"/>
    <w:basedOn w:val="688"/>
    <w:next w:val="688"/>
    <w:link w:val="739"/>
    <w:uiPriority w:val="10"/>
    <w:qFormat/>
    <w:pPr>
      <w:contextualSpacing/>
      <w:spacing w:before="300" w:after="200"/>
    </w:pPr>
    <w:rPr>
      <w:sz w:val="48"/>
      <w:szCs w:val="48"/>
    </w:rPr>
  </w:style>
  <w:style w:type="paragraph" w:styleId="722">
    <w:name w:val="Body Text First Indent 2"/>
    <w:uiPriority w:val="0"/>
    <w:qFormat/>
    <w:pPr>
      <w:ind w:left="765" w:firstLine="420"/>
      <w:jc w:val="both"/>
      <w:widowControl w:val="off"/>
    </w:pPr>
    <w:rPr>
      <w:rFonts w:hint="default" w:ascii="仿宋_GB2312" w:hAnsi="Times New Roman" w:eastAsia="仿宋_GB2312" w:cs="Times New Roman"/>
      <w:sz w:val="28"/>
      <w:szCs w:val="20"/>
      <w:lang w:val="en-US" w:eastAsia="zh-CN" w:bidi="ar-SA"/>
    </w:rPr>
  </w:style>
  <w:style w:type="table" w:styleId="723">
    <w:name w:val="Table Grid"/>
    <w:basedOn w:val="69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basedOn w:val="698"/>
    <w:uiPriority w:val="99"/>
    <w:semiHidden/>
    <w:unhideWhenUsed/>
    <w:qFormat/>
    <w:rPr>
      <w:vertAlign w:val="superscript"/>
    </w:rPr>
  </w:style>
  <w:style w:type="character" w:styleId="725">
    <w:name w:val="Hyperlink"/>
    <w:uiPriority w:val="99"/>
    <w:unhideWhenUsed/>
    <w:qFormat/>
    <w:rPr>
      <w:color w:val="0026e5" w:themeColor="hyperlink"/>
      <w:u w:val="single"/>
      <w14:textFill>
        <w14:solidFill>
          <w14:schemeClr w14:val="hlink"/>
        </w14:solidFill>
      </w14:textFill>
    </w:rPr>
  </w:style>
  <w:style w:type="character" w:styleId="726">
    <w:name w:val="footnote reference"/>
    <w:basedOn w:val="698"/>
    <w:uiPriority w:val="99"/>
    <w:unhideWhenUsed/>
    <w:qFormat/>
    <w:rPr>
      <w:vertAlign w:val="superscript"/>
    </w:rPr>
  </w:style>
  <w:style w:type="paragraph" w:styleId="727" w:customStyle="1">
    <w:name w:val="Heading 4"/>
    <w:next w:val="688"/>
    <w:uiPriority w:val="0"/>
    <w:qFormat/>
    <w:pPr>
      <w:jc w:val="both"/>
      <w:keepLines/>
      <w:keepNext/>
      <w:spacing w:before="120" w:after="120" w:line="293" w:lineRule="auto"/>
      <w:widowControl w:val="off"/>
    </w:pPr>
    <w:rPr>
      <w:rFonts w:hint="default" w:ascii="Arial" w:hAnsi="Arial" w:eastAsia="黑体" w:cs="Times New Roman"/>
      <w:b/>
      <w:sz w:val="20"/>
      <w:szCs w:val="20"/>
      <w:lang w:val="en-US" w:eastAsia="zh-CN" w:bidi="ar-SA"/>
    </w:rPr>
  </w:style>
  <w:style w:type="character" w:styleId="728" w:customStyle="1">
    <w:name w:val="Heading 1 Char"/>
    <w:basedOn w:val="698"/>
    <w:link w:val="689"/>
    <w:uiPriority w:val="9"/>
    <w:qFormat/>
    <w:rPr>
      <w:rFonts w:ascii="Arial" w:hAnsi="Arial" w:eastAsia="Arial" w:cs="Arial"/>
      <w:sz w:val="40"/>
      <w:szCs w:val="40"/>
    </w:rPr>
  </w:style>
  <w:style w:type="character" w:styleId="729" w:customStyle="1">
    <w:name w:val="Heading 2 Char"/>
    <w:basedOn w:val="698"/>
    <w:link w:val="690"/>
    <w:uiPriority w:val="9"/>
    <w:qFormat/>
    <w:rPr>
      <w:rFonts w:ascii="Arial" w:hAnsi="Arial" w:eastAsia="Arial" w:cs="Arial"/>
      <w:sz w:val="34"/>
    </w:rPr>
  </w:style>
  <w:style w:type="character" w:styleId="730" w:customStyle="1">
    <w:name w:val="Heading 3 Char"/>
    <w:basedOn w:val="698"/>
    <w:link w:val="691"/>
    <w:uiPriority w:val="9"/>
    <w:qFormat/>
    <w:rPr>
      <w:rFonts w:ascii="Arial" w:hAnsi="Arial" w:eastAsia="Arial" w:cs="Arial"/>
      <w:sz w:val="30"/>
      <w:szCs w:val="30"/>
    </w:rPr>
  </w:style>
  <w:style w:type="character" w:styleId="731" w:customStyle="1">
    <w:name w:val="Heading 4 Char"/>
    <w:basedOn w:val="698"/>
    <w:link w:val="692"/>
    <w:uiPriority w:val="9"/>
    <w:qFormat/>
    <w:rPr>
      <w:rFonts w:ascii="Arial" w:hAnsi="Arial" w:eastAsia="Arial" w:cs="Arial"/>
      <w:b/>
      <w:bCs/>
      <w:sz w:val="26"/>
      <w:szCs w:val="26"/>
    </w:rPr>
  </w:style>
  <w:style w:type="character" w:styleId="732" w:customStyle="1">
    <w:name w:val="Heading 5 Char"/>
    <w:basedOn w:val="698"/>
    <w:link w:val="693"/>
    <w:uiPriority w:val="9"/>
    <w:qFormat/>
    <w:rPr>
      <w:rFonts w:ascii="Arial" w:hAnsi="Arial" w:eastAsia="Arial" w:cs="Arial"/>
      <w:b/>
      <w:bCs/>
      <w:sz w:val="24"/>
      <w:szCs w:val="24"/>
    </w:rPr>
  </w:style>
  <w:style w:type="character" w:styleId="733" w:customStyle="1">
    <w:name w:val="Heading 6 Char"/>
    <w:basedOn w:val="698"/>
    <w:link w:val="694"/>
    <w:uiPriority w:val="9"/>
    <w:qFormat/>
    <w:rPr>
      <w:rFonts w:ascii="Arial" w:hAnsi="Arial" w:eastAsia="Arial" w:cs="Arial"/>
      <w:b/>
      <w:bCs/>
      <w:sz w:val="22"/>
      <w:szCs w:val="22"/>
    </w:rPr>
  </w:style>
  <w:style w:type="character" w:styleId="734" w:customStyle="1">
    <w:name w:val="Heading 7 Char"/>
    <w:basedOn w:val="698"/>
    <w:link w:val="695"/>
    <w:uiPriority w:val="9"/>
    <w:qFormat/>
    <w:rPr>
      <w:rFonts w:ascii="Arial" w:hAnsi="Arial" w:eastAsia="Arial" w:cs="Arial"/>
      <w:b/>
      <w:bCs/>
      <w:i/>
      <w:iCs/>
      <w:sz w:val="22"/>
      <w:szCs w:val="22"/>
    </w:rPr>
  </w:style>
  <w:style w:type="character" w:styleId="735" w:customStyle="1">
    <w:name w:val="Heading 8 Char"/>
    <w:basedOn w:val="698"/>
    <w:link w:val="696"/>
    <w:uiPriority w:val="9"/>
    <w:qFormat/>
    <w:rPr>
      <w:rFonts w:ascii="Arial" w:hAnsi="Arial" w:eastAsia="Arial" w:cs="Arial"/>
      <w:i/>
      <w:iCs/>
      <w:sz w:val="22"/>
      <w:szCs w:val="22"/>
    </w:rPr>
  </w:style>
  <w:style w:type="character" w:styleId="736" w:customStyle="1">
    <w:name w:val="Heading 9 Char"/>
    <w:basedOn w:val="698"/>
    <w:link w:val="697"/>
    <w:uiPriority w:val="9"/>
    <w:qFormat/>
    <w:rPr>
      <w:rFonts w:ascii="Arial" w:hAnsi="Arial" w:eastAsia="Arial" w:cs="Arial"/>
      <w:i/>
      <w:iCs/>
      <w:sz w:val="21"/>
      <w:szCs w:val="21"/>
    </w:rPr>
  </w:style>
  <w:style w:type="paragraph" w:styleId="737">
    <w:name w:val="List Paragraph"/>
    <w:basedOn w:val="688"/>
    <w:uiPriority w:val="34"/>
    <w:qFormat/>
    <w:pPr>
      <w:contextualSpacing/>
      <w:ind w:left="720"/>
    </w:pPr>
  </w:style>
  <w:style w:type="paragraph" w:styleId="738">
    <w:name w:val="No Spacing"/>
    <w:uiPriority w:val="1"/>
    <w:qFormat/>
    <w:pPr>
      <w:spacing w:before="0" w:after="0" w:line="240" w:lineRule="auto"/>
    </w:pPr>
    <w:rPr>
      <w:rFonts w:hint="default" w:asciiTheme="minorHAnsi" w:hAnsiTheme="minorHAnsi" w:eastAsiaTheme="minorEastAsia" w:cstheme="minorBidi"/>
    </w:rPr>
  </w:style>
  <w:style w:type="character" w:styleId="739" w:customStyle="1">
    <w:name w:val="Title Char"/>
    <w:basedOn w:val="698"/>
    <w:link w:val="721"/>
    <w:uiPriority w:val="10"/>
    <w:qFormat/>
    <w:rPr>
      <w:sz w:val="48"/>
      <w:szCs w:val="48"/>
    </w:rPr>
  </w:style>
  <w:style w:type="character" w:styleId="740" w:customStyle="1">
    <w:name w:val="Subtitle Char"/>
    <w:basedOn w:val="698"/>
    <w:link w:val="715"/>
    <w:uiPriority w:val="11"/>
    <w:qFormat/>
    <w:rPr>
      <w:sz w:val="24"/>
      <w:szCs w:val="24"/>
    </w:rPr>
  </w:style>
  <w:style w:type="paragraph" w:styleId="741">
    <w:name w:val="Quote"/>
    <w:basedOn w:val="688"/>
    <w:next w:val="688"/>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8"/>
    <w:next w:val="688"/>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8"/>
    <w:link w:val="712"/>
    <w:uiPriority w:val="99"/>
    <w:qFormat/>
  </w:style>
  <w:style w:type="character" w:styleId="746" w:customStyle="1">
    <w:name w:val="Footer Char"/>
    <w:basedOn w:val="698"/>
    <w:link w:val="711"/>
    <w:uiPriority w:val="99"/>
    <w:qFormat/>
  </w:style>
  <w:style w:type="character" w:styleId="747" w:customStyle="1">
    <w:name w:val="Caption Char"/>
    <w:link w:val="711"/>
    <w:uiPriority w:val="99"/>
    <w:qFormat/>
  </w:style>
  <w:style w:type="table" w:styleId="748"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8"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7" w:customStyle="1">
    <w:name w:val="Grid Table 4 - Accent 2"/>
    <w:basedOn w:val="69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8" w:customStyle="1">
    <w:name w:val="Grid Table 4 - Accent 3"/>
    <w:basedOn w:val="69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9" w:customStyle="1">
    <w:name w:val="Grid Table 4 - Accent 4"/>
    <w:basedOn w:val="69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0" w:customStyle="1">
    <w:name w:val="Grid Table 4 - Accent 5"/>
    <w:basedOn w:val="69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1" w:customStyle="1">
    <w:name w:val="Grid Table 4 - Accent 6"/>
    <w:basedOn w:val="69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2"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4"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5"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6"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7"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8"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9"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5" w:customStyle="1">
    <w:name w:val="Grid Table 6 Colorful - Accent 6"/>
    <w:basedOn w:val="69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6"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0"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2" w:customStyle="1">
    <w:name w:val="List Table 2 - Accent 2"/>
    <w:basedOn w:val="69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3" w:customStyle="1">
    <w:name w:val="List Table 2 - Accent 3"/>
    <w:basedOn w:val="69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4" w:customStyle="1">
    <w:name w:val="List Table 2 - Accent 4"/>
    <w:basedOn w:val="69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5" w:customStyle="1">
    <w:name w:val="List Table 2 - Accent 5"/>
    <w:basedOn w:val="69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6" w:customStyle="1">
    <w:name w:val="List Table 2 - Accent 6"/>
    <w:basedOn w:val="69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7"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9" w:customStyle="1">
    <w:name w:val="List Table 3 - Accent 2"/>
    <w:basedOn w:val="6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4"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6" w:customStyle="1">
    <w:name w:val="List Table 4 - Accent 2"/>
    <w:basedOn w:val="69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7" w:customStyle="1">
    <w:name w:val="List Table 4 - Accent 3"/>
    <w:basedOn w:val="69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8" w:customStyle="1">
    <w:name w:val="List Table 4 - Accent 4"/>
    <w:basedOn w:val="69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9" w:customStyle="1">
    <w:name w:val="List Table 4 - Accent 5"/>
    <w:basedOn w:val="69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0" w:customStyle="1">
    <w:name w:val="List Table 4 - Accent 6"/>
    <w:basedOn w:val="69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1"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0" w:customStyle="1">
    <w:name w:val="List Table 6 Colorful - Accent 2"/>
    <w:basedOn w:val="69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1" w:customStyle="1">
    <w:name w:val="List Table 6 Colorful - Accent 3"/>
    <w:basedOn w:val="69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2" w:customStyle="1">
    <w:name w:val="List Table 6 Colorful - Accent 4"/>
    <w:basedOn w:val="69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3" w:customStyle="1">
    <w:name w:val="List Table 6 Colorful - Accent 5"/>
    <w:basedOn w:val="69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4" w:customStyle="1">
    <w:name w:val="List Table 6 Colorful - Accent 6"/>
    <w:basedOn w:val="69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5"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4"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5"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6"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7"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8"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9"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1" w:customStyle="1">
    <w:name w:val="Bordered &amp; Lined - Accent 2"/>
    <w:basedOn w:val="69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2" w:customStyle="1">
    <w:name w:val="Bordered &amp; Lined - Accent 3"/>
    <w:basedOn w:val="69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3" w:customStyle="1">
    <w:name w:val="Bordered &amp; Lined - Accent 4"/>
    <w:basedOn w:val="69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4" w:customStyle="1">
    <w:name w:val="Bordered &amp; Lined - Accent 5"/>
    <w:basedOn w:val="69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5" w:customStyle="1">
    <w:name w:val="Bordered &amp; Lined - Accent 6"/>
    <w:basedOn w:val="69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6"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8" w:customStyle="1">
    <w:name w:val="Bordered - Accent 2"/>
    <w:basedOn w:val="6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9" w:customStyle="1">
    <w:name w:val="Bordered - Accent 3"/>
    <w:basedOn w:val="6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0" w:customStyle="1">
    <w:name w:val="Bordered - Accent 4"/>
    <w:basedOn w:val="6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1" w:customStyle="1">
    <w:name w:val="Bordered - Accent 5"/>
    <w:basedOn w:val="6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2" w:customStyle="1">
    <w:name w:val="Bordered - Accent 6"/>
    <w:basedOn w:val="6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3" w:customStyle="1">
    <w:name w:val="Footnote Text Char"/>
    <w:link w:val="716"/>
    <w:uiPriority w:val="99"/>
    <w:qFormat/>
    <w:rPr>
      <w:sz w:val="18"/>
    </w:rPr>
  </w:style>
  <w:style w:type="character" w:styleId="874" w:customStyle="1">
    <w:name w:val="Endnote Text Char"/>
    <w:link w:val="710"/>
    <w:uiPriority w:val="99"/>
    <w:qFormat/>
    <w:rPr>
      <w:sz w:val="20"/>
    </w:rPr>
  </w:style>
  <w:style w:type="paragraph" w:styleId="875" w:customStyle="1">
    <w:name w:val="TOC Heading"/>
    <w:uiPriority w:val="39"/>
    <w:unhideWhenUsed/>
    <w:qFormat/>
    <w:rPr>
      <w:rFonts w:hint="default" w:asciiTheme="minorHAnsi" w:hAnsiTheme="minorHAnsi" w:eastAsiaTheme="minorEastAsia" w:cstheme="minorBidi"/>
    </w:rPr>
  </w:style>
  <w:style w:type="table" w:styleId="876" w:customStyle="1">
    <w:name w:val="Table Normal"/>
    <w:uiPriority w:val="0"/>
    <w:semiHidden/>
    <w:unhideWhenUsed/>
    <w:qFormat/>
    <w:tblPr>
      <w:tblCellMar>
        <w:left w:w="0" w:type="dxa"/>
        <w:top w:w="0" w:type="dxa"/>
        <w:right w:w="0" w:type="dxa"/>
        <w:bottom w:w="0" w:type="dxa"/>
      </w:tblCellMar>
    </w:tblPr>
  </w:style>
  <w:style w:type="table" w:styleId="877" w:customStyle="1">
    <w:name w:val="网格型1"/>
    <w:uiPriority w:val="99"/>
    <w:unhideWhenUsed/>
    <w:qFormat/>
    <w:pPr>
      <w:jc w:val="both"/>
      <w:widowControl w:val="off"/>
    </w:pPr>
    <w:tblPr/>
  </w:style>
  <w:style w:type="table" w:styleId="878" w:customStyle="1">
    <w:name w:val="普通表格1"/>
    <w:uiPriority w:val="0"/>
    <w:semiHidden/>
    <w:qFormat/>
    <w:tblPr/>
  </w:style>
  <w:style w:type="paragraph" w:styleId="879" w:customStyle="1">
    <w:name w:val="Table Text"/>
    <w:uiPriority w:val="0"/>
    <w:semiHidden/>
    <w:qFormat/>
    <w:pPr>
      <w:jc w:val="both"/>
      <w:widowControl w:val="off"/>
    </w:pPr>
    <w:rPr>
      <w:rFonts w:hint="default" w:ascii="宋体" w:hAnsi="宋体" w:eastAsia="宋体" w:cs="宋体"/>
      <w:sz w:val="24"/>
      <w:szCs w:val="24"/>
      <w:lang w:val="en-US" w:eastAsia="en-US" w:bidi="ar-SA"/>
    </w:rPr>
  </w:style>
  <w:style w:type="paragraph" w:styleId="880" w:customStyle="1">
    <w:name w:val="普通(网站)1"/>
    <w:uiPriority w:val="0"/>
    <w:qFormat/>
    <w:pPr>
      <w:jc w:val="left"/>
      <w:spacing w:before="100" w:beforeAutospacing="1" w:after="100" w:afterAutospacing="1"/>
      <w:widowControl/>
    </w:pPr>
    <w:rPr>
      <w:rFonts w:hint="default" w:ascii="宋体" w:hAnsi="宋体" w:eastAsia="宋体" w:cs="Times New Roman"/>
      <w:color w:val="000000"/>
      <w:sz w:val="24"/>
      <w:szCs w:val="24"/>
      <w:lang w:val="en-US" w:eastAsia="zh-CN" w:bidi="ar-SA"/>
    </w:rPr>
  </w:style>
  <w:style w:type="paragraph" w:styleId="881" w:customStyle="1">
    <w:name w:val="正文文本缩进1"/>
    <w:next w:val="882"/>
    <w:uiPriority w:val="0"/>
    <w:qFormat/>
    <w:pPr>
      <w:ind w:left="765"/>
      <w:jc w:val="both"/>
      <w:widowControl w:val="off"/>
    </w:pPr>
    <w:rPr>
      <w:rFonts w:hint="default" w:ascii="仿宋_GB2312" w:hAnsi="Times New Roman" w:eastAsia="仿宋_GB2312" w:cs="Times New Roman"/>
      <w:sz w:val="28"/>
      <w:szCs w:val="20"/>
      <w:lang w:val="en-US" w:eastAsia="zh-CN" w:bidi="ar-SA"/>
    </w:rPr>
  </w:style>
  <w:style w:type="paragraph" w:styleId="882" w:customStyle="1">
    <w:name w:val="寄信人地址1"/>
    <w:uiPriority w:val="99"/>
    <w:unhideWhenUsed/>
    <w:qFormat/>
    <w:pPr>
      <w:jc w:val="both"/>
      <w:widowControl w:val="off"/>
    </w:pPr>
    <w:rPr>
      <w:rFonts w:hint="default" w:ascii="Arial" w:hAnsi="Arial" w:eastAsia="宋体" w:cs="Times New Roman"/>
      <w:sz w:val="21"/>
      <w:szCs w:val="24"/>
      <w:lang w:val="en-US" w:eastAsia="zh-CN" w:bidi="ar-SA"/>
    </w:rPr>
  </w:style>
  <w:style w:type="character" w:styleId="883" w:customStyle="1">
    <w:name w:val="font51"/>
    <w:link w:val="688"/>
    <w:uiPriority w:val="0"/>
    <w:qFormat/>
    <w:rPr>
      <w:rFonts w:hint="default" w:asciiTheme="minorHAnsi" w:hAnsiTheme="minorHAnsi" w:eastAsiaTheme="minorEastAsia" w:cstheme="minorBidi"/>
      <w:sz w:val="21"/>
      <w:szCs w:val="24"/>
      <w:lang w:val="en-US" w:eastAsia="zh-CN" w:bidi="ar-SA"/>
    </w:rPr>
  </w:style>
  <w:style w:type="paragraph" w:styleId="884" w:customStyle="1">
    <w:name w:val="正文缩进2格"/>
    <w:uiPriority w:val="0"/>
    <w:qFormat/>
    <w:pPr>
      <w:ind w:firstLine="639"/>
      <w:jc w:val="both"/>
      <w:spacing w:line="600" w:lineRule="exact"/>
      <w:widowControl w:val="off"/>
    </w:pPr>
    <w:rPr>
      <w:rFonts w:hint="default" w:ascii="仿宋_GB2312" w:hAnsi="宋体" w:eastAsia="仿宋_GB2312" w:cs="Times New Roman"/>
      <w:sz w:val="31"/>
      <w:szCs w:val="28"/>
      <w:lang w:val="en-US" w:eastAsia="zh-CN" w:bidi="ar-SA"/>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WPS_1694424414</dc:creator>
  <cp:lastModifiedBy>黄钰</cp:lastModifiedBy>
  <cp:revision>17</cp:revision>
  <dcterms:created xsi:type="dcterms:W3CDTF">2025-05-20T09:59:00Z</dcterms:created>
  <dcterms:modified xsi:type="dcterms:W3CDTF">2026-01-06T03:29:37Z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4458E07B03A54AABAE750361F1C9B3D6_13</vt:lpwstr>
  </property>
  <property fmtid="{D5CDD505-2E9C-101B-9397-08002B2CF9AE}" pid="4" name="KSOTemplateDocerSaveRecord">
    <vt:lpwstr>eyJoZGlkIjoiNTNmZTRmYTgyNGM3ODY0Y2YzNjVmNzMwNWVmZTZkYjUiLCJ1c2VySWQiOiIxNTMwNTYxMzg2In0=</vt:lpwstr>
  </property>
</Properties>
</file>