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pacing w:line="360" w:lineRule="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lang w:eastAsia="zh-CN"/>
        </w:rPr>
        <w:t xml:space="preserve">盐城市中医院移动式C型臂X光机设备采购项目</w:t>
      </w:r>
      <w:r/>
    </w:p>
    <w:p>
      <w:pPr>
        <w:jc w:val="both"/>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line="360" w:lineRule="auto"/>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 xml:space="preserve">项目编号：JSZC-320900-JSHY-G2025-0499</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代理机构编号：</w:t>
      </w:r>
      <w:r>
        <w:rPr>
          <w:rFonts w:hint="eastAsia" w:ascii="黑体" w:hAnsi="黑体" w:eastAsia="黑体" w:cs="黑体"/>
          <w:b/>
          <w:bCs/>
          <w:color w:val="auto"/>
          <w:sz w:val="32"/>
          <w:szCs w:val="32"/>
          <w:highlight w:val="none"/>
          <w:lang w:val="en-US" w:eastAsia="zh-CN"/>
        </w:rPr>
        <w:t xml:space="preserve">1009-2541HOLLY78D</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both"/>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黑体" w:eastAsia="黑体"/>
          <w:color w:val="auto"/>
          <w:sz w:val="82"/>
          <w:szCs w:val="72"/>
          <w:highlight w:val="none"/>
        </w:rPr>
      </w:pPr>
      <w:r>
        <w:rPr>
          <w:rFonts w:hint="eastAsia" w:ascii="黑体" w:eastAsia="黑体"/>
          <w:color w:val="auto"/>
          <w:sz w:val="82"/>
          <w:szCs w:val="72"/>
          <w:highlight w:val="none"/>
        </w:rPr>
        <w:t xml:space="preserve">招  标  文  件</w:t>
      </w:r>
      <w:r/>
    </w:p>
    <w:p>
      <w:pPr>
        <w:jc w:val="left"/>
        <w:spacing w:line="360" w:lineRule="auto"/>
        <w:rPr>
          <w:rFonts w:hint="eastAsia" w:ascii="华文楷体" w:eastAsia="华文楷体"/>
          <w:color w:val="auto"/>
          <w:sz w:val="36"/>
          <w:szCs w:val="36"/>
          <w:highlight w:val="none"/>
        </w:rPr>
      </w:pPr>
      <w:r>
        <w:rPr>
          <w:rFonts w:hint="eastAsia" w:ascii="华文楷体" w:eastAsia="华文楷体"/>
          <w:color w:val="auto"/>
          <w:sz w:val="36"/>
          <w:szCs w:val="36"/>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tbl>
      <w:tblPr>
        <w:tblStyle w:val="671"/>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盐城市中医院</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购代理机构：</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5</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12</w:t>
            </w:r>
            <w:r>
              <w:rPr>
                <w:rFonts w:hint="eastAsia" w:ascii="黑体" w:hAnsi="黑体" w:eastAsia="黑体" w:cs="黑体"/>
                <w:b/>
                <w:bCs/>
                <w:color w:val="auto"/>
                <w:sz w:val="32"/>
                <w:szCs w:val="32"/>
                <w:highlight w:val="none"/>
              </w:rPr>
              <w:t xml:space="preserve">月</w:t>
            </w:r>
            <w:bookmarkEnd w:id="0"/>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844"/>
        <w:spacing w:line="360" w:lineRule="auto"/>
        <w:tabs>
          <w:tab w:val="left" w:pos="6527" w:leader="none"/>
        </w:tabs>
        <w:rPr>
          <w:rFonts w:hint="eastAsia"/>
          <w:color w:val="auto"/>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pacing w:line="360" w:lineRule="auto"/>
        <w:rPr>
          <w:rFonts w:hint="eastAsia" w:eastAsia="仿宋_GB2312"/>
          <w:color w:val="auto"/>
          <w:sz w:val="22"/>
          <w:szCs w:val="24"/>
          <w:highlight w:val="none"/>
        </w:rPr>
      </w:pPr>
      <w:r>
        <w:rPr>
          <w:rFonts w:ascii="宋体" w:hAnsi="宋体"/>
          <w:b/>
          <w:bCs/>
          <w:color w:val="auto"/>
          <w:sz w:val="28"/>
          <w:szCs w:val="32"/>
          <w:highlight w:val="none"/>
        </w:rPr>
        <w:t xml:space="preserve">目</w:t>
      </w:r>
      <w:r>
        <w:rPr>
          <w:rFonts w:hint="eastAsia" w:ascii="宋体" w:hAnsi="宋体"/>
          <w:b/>
          <w:bCs/>
          <w:color w:val="auto"/>
          <w:sz w:val="28"/>
          <w:szCs w:val="32"/>
          <w:highlight w:val="none"/>
        </w:rPr>
        <w:t xml:space="preserve"> </w:t>
      </w:r>
      <w:r>
        <w:rPr>
          <w:rFonts w:hint="eastAsia" w:ascii="宋体" w:hAnsi="宋体"/>
          <w:b/>
          <w:bCs/>
          <w:color w:val="auto"/>
          <w:sz w:val="28"/>
          <w:szCs w:val="32"/>
          <w:highlight w:val="none"/>
          <w:lang w:val="en-US" w:eastAsia="zh-CN"/>
        </w:rPr>
        <w:t xml:space="preserve"> </w:t>
      </w:r>
      <w:r>
        <w:rPr>
          <w:rFonts w:hint="eastAsia" w:ascii="宋体" w:hAnsi="宋体"/>
          <w:b/>
          <w:bCs/>
          <w:color w:val="auto"/>
          <w:sz w:val="28"/>
          <w:szCs w:val="32"/>
          <w:highlight w:val="none"/>
        </w:rPr>
        <w:t xml:space="preserve"> </w:t>
      </w:r>
      <w:r>
        <w:rPr>
          <w:rFonts w:ascii="宋体" w:hAnsi="宋体"/>
          <w:b/>
          <w:bCs/>
          <w:color w:val="auto"/>
          <w:sz w:val="28"/>
          <w:szCs w:val="32"/>
          <w:highlight w:val="none"/>
        </w:rPr>
        <w:t xml:space="preserve">录</w:t>
      </w:r>
      <w:r/>
    </w:p>
    <w:p>
      <w:pPr>
        <w:pStyle w:val="845"/>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_Toc14268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第一部分  招标公告</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PAGEREF _Toc14268 \h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3</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rPr>
        <w:fldChar w:fldCharType="end"/>
      </w:r>
      <w:r/>
    </w:p>
    <w:p>
      <w:pPr>
        <w:pStyle w:val="845"/>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_Toc1881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第二部分  投标人须知</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7</w:t>
      </w:r>
      <w:r/>
    </w:p>
    <w:p>
      <w:pPr>
        <w:pStyle w:val="845"/>
        <w:jc w:val="center"/>
        <w:spacing w:line="360" w:lineRule="auto"/>
        <w:tabs>
          <w:tab w:val="right" w:pos="8844" w:leader="dot"/>
        </w:tabs>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_Toc22015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第三部分  评标方法和标准</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w:t>
      </w:r>
      <w:r/>
    </w:p>
    <w:p>
      <w:pPr>
        <w:pStyle w:val="845"/>
        <w:jc w:val="center"/>
        <w:spacing w:line="360" w:lineRule="auto"/>
        <w:tabs>
          <w:tab w:val="right" w:pos="8844" w:leader="dot"/>
        </w:tabs>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_Toc1505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第四部分  采购需求</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29</w:t>
      </w:r>
      <w:r/>
    </w:p>
    <w:p>
      <w:pPr>
        <w:pStyle w:val="845"/>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_Toc9306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第五部分  合同格式及条款</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35</w:t>
      </w:r>
      <w:r/>
    </w:p>
    <w:p>
      <w:pPr>
        <w:pStyle w:val="845"/>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_Toc12366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第六部分  投标文件格式</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39</w:t>
      </w:r>
      <w:r/>
    </w:p>
    <w:p>
      <w:pPr>
        <w:pStyle w:val="846"/>
        <w:ind w:left="420"/>
        <w:spacing w:line="360" w:lineRule="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tab/>
      </w:r>
      <w:r/>
    </w:p>
    <w:p>
      <w:pPr>
        <w:rPr>
          <w:rFonts w:hint="eastAsia"/>
          <w:color w:val="auto"/>
          <w:highlight w:val="none"/>
        </w:rPr>
      </w:pPr>
      <w:r>
        <w:rPr>
          <w:rFonts w:hint="eastAsia"/>
          <w:color w:val="auto"/>
          <w:highlight w:val="none"/>
        </w:rPr>
        <w:br w:type="page" w:clear="all"/>
      </w:r>
      <w:r/>
    </w:p>
    <w:p>
      <w:pPr>
        <w:jc w:val="left"/>
        <w:spacing w:line="360" w:lineRule="auto"/>
        <w:tabs>
          <w:tab w:val="left" w:pos="5655" w:leader="none"/>
        </w:tabs>
        <w:rPr>
          <w:rFonts w:hint="eastAsia"/>
          <w:color w:val="auto"/>
          <w:highlight w:val="none"/>
        </w:rPr>
      </w:pPr>
      <w:r>
        <w:rPr>
          <w:rFonts w:hint="eastAsia"/>
          <w:color w:val="auto"/>
          <w:highlight w:val="none"/>
        </w:rPr>
      </w:r>
      <w:r/>
    </w:p>
    <w:p>
      <w:pPr>
        <w:jc w:val="center"/>
        <w:keepLines/>
        <w:keepNext/>
        <w:pageBreakBefore w:val="0"/>
        <w:spacing w:line="360" w:lineRule="auto"/>
        <w:rPr>
          <w:b/>
          <w:color w:val="auto"/>
          <w:sz w:val="32"/>
          <w:highlight w:val="none"/>
        </w:rPr>
        <w:outlineLvl w:val="0"/>
      </w:pPr>
      <w:r>
        <w:rPr>
          <w:rFonts w:hint="eastAsia" w:ascii="宋体" w:hAnsi="宋体" w:cs="宋体"/>
          <w:b/>
          <w:color w:val="auto"/>
          <w:sz w:val="24"/>
          <w:szCs w:val="24"/>
          <w:highlight w:val="none"/>
        </w:rPr>
        <w:fldChar w:fldCharType="end"/>
      </w:r>
      <w:bookmarkStart w:id="2" w:name="_Toc514054470"/>
      <w:r/>
      <w:bookmarkStart w:id="3" w:name="_Toc14268"/>
      <w:r>
        <w:rPr>
          <w:rFonts w:hint="eastAsia"/>
          <w:b/>
          <w:color w:val="auto"/>
          <w:sz w:val="44"/>
          <w:szCs w:val="44"/>
          <w:highlight w:val="none"/>
        </w:rPr>
        <w:t xml:space="preserve">第一部分  招标公告</w:t>
      </w:r>
      <w:bookmarkEnd w:id="2"/>
      <w:r/>
      <w:bookmarkEnd w:id="3"/>
      <w:r/>
      <w:r/>
    </w:p>
    <w:tbl>
      <w:tblPr>
        <w:tblStyle w:val="671"/>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盐城市中医院移动式C型臂X光机设备采购项目</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的潜在投标人应在“苏采云”系统内免费下载（投标人必须在苏采云系统中获取采购文件，方能参与政府采购项目）获取招标文件，并于202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分（北京时间）前递交投标文件。</w:t>
            </w:r>
            <w:r/>
          </w:p>
        </w:tc>
      </w:tr>
    </w:tbl>
    <w:p>
      <w:pPr>
        <w:pStyle w:val="847"/>
        <w:ind w:firstLine="482"/>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rPr>
          <w:rFonts w:hint="eastAsia" w:ascii="宋体" w:hAnsi="宋体" w:cs="宋体"/>
          <w:b/>
          <w:bCs/>
          <w:color w:val="auto"/>
          <w:sz w:val="24"/>
          <w:szCs w:val="24"/>
          <w:highlight w:val="none"/>
        </w:rPr>
        <w:t xml:space="preserve">一、项目基本情况</w:t>
      </w:r>
      <w:bookmarkEnd w:id="4"/>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847"/>
        <w:ind w:firstLine="720"/>
        <w:spacing w:line="360"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项目编号：JSZC-320900-JSHY-G2025-0499</w:t>
      </w:r>
      <w:r/>
    </w:p>
    <w:p>
      <w:pPr>
        <w:pStyle w:val="84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盐城市中医院移动式C型臂X光机设备采购项目</w:t>
      </w:r>
      <w:r/>
    </w:p>
    <w:p>
      <w:pPr>
        <w:pStyle w:val="847"/>
        <w:ind w:firstLine="72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p>
    <w:p>
      <w:pPr>
        <w:pStyle w:val="84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（本项目共一个标段）</w:t>
      </w:r>
      <w:r/>
    </w:p>
    <w:tbl>
      <w:tblPr>
        <w:tblStyle w:val="671"/>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6"/>
        <w:gridCol w:w="2508"/>
        <w:gridCol w:w="948"/>
        <w:gridCol w:w="1520"/>
        <w:gridCol w:w="1524"/>
        <w:gridCol w:w="1404"/>
      </w:tblGrid>
      <w:tr>
        <w:trPr>
          <w:jc w:val="center"/>
          <w:trHeight w:val="0"/>
        </w:trPr>
        <w:tc>
          <w:tcPr>
            <w:shd w:val="clear" w:color="auto" w:fill="auto"/>
            <w:tcW w:w="89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W w:w="250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W w:w="94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W w:w="152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预算金额</w:t>
            </w:r>
            <w:r/>
          </w:p>
        </w:tc>
        <w:tc>
          <w:tcPr>
            <w:shd w:val="clear" w:color="auto" w:fill="auto"/>
            <w:tcW w:w="152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最高限价</w:t>
            </w:r>
            <w:r/>
          </w:p>
        </w:tc>
        <w:tc>
          <w:tcPr>
            <w:shd w:val="clear" w:color="auto" w:fill="auto"/>
            <w:tcW w:w="140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是否接受进口产品</w:t>
            </w:r>
            <w:r/>
          </w:p>
        </w:tc>
      </w:tr>
      <w:tr>
        <w:trPr>
          <w:jc w:val="center"/>
          <w:trHeight w:val="573"/>
        </w:trPr>
        <w:tc>
          <w:tcPr>
            <w:shd w:val="clear" w:color="auto" w:fill="auto"/>
            <w:tcW w:w="896" w:type="dxa"/>
            <w:vAlign w:val="center"/>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250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移动式C型臂X光机</w:t>
            </w:r>
            <w:r/>
          </w:p>
        </w:tc>
        <w:tc>
          <w:tcPr>
            <w:shd w:val="clear" w:color="auto" w:fill="auto"/>
            <w:tcW w:w="948" w:type="dxa"/>
            <w:vAlign w:val="center"/>
            <w:textDirection w:val="lrTb"/>
            <w:noWrap/>
          </w:tcPr>
          <w:p>
            <w:pPr>
              <w:jc w:val="center"/>
              <w:rPr>
                <w:rFonts w:hint="eastAsia" w:ascii="宋体" w:hAnsi="宋体" w:cs="宋体"/>
                <w:color w:val="auto"/>
                <w:sz w:val="24"/>
                <w:szCs w:val="24"/>
                <w:highlight w:val="none"/>
                <w:vertAlign w:val="baseline"/>
                <w:lang w:val="en-US" w:eastAsia="zh-CN" w:bidi="ar"/>
              </w:rPr>
            </w:pPr>
            <w:r>
              <w:rPr>
                <w:rFonts w:hint="eastAsia" w:ascii="宋体" w:hAnsi="宋体" w:cs="宋体"/>
                <w:color w:val="auto"/>
                <w:sz w:val="24"/>
                <w:szCs w:val="24"/>
                <w:highlight w:val="none"/>
                <w:vertAlign w:val="baseline"/>
                <w:lang w:val="en-US" w:eastAsia="zh-CN" w:bidi="ar"/>
              </w:rPr>
              <w:t xml:space="preserve">1套</w:t>
            </w:r>
            <w:r/>
          </w:p>
        </w:tc>
        <w:tc>
          <w:tcPr>
            <w:shd w:val="clear" w:color="auto" w:fill="auto"/>
            <w:tcW w:w="1520" w:type="dxa"/>
            <w:vAlign w:val="center"/>
            <w:textDirection w:val="lrTb"/>
            <w:noWrap/>
          </w:tcPr>
          <w:p>
            <w:pPr>
              <w:jc w:val="center"/>
              <w:spacing w:line="240" w:lineRule="auto"/>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100万元</w:t>
            </w:r>
            <w:r/>
          </w:p>
        </w:tc>
        <w:tc>
          <w:tcPr>
            <w:shd w:val="clear" w:color="auto" w:fill="auto"/>
            <w:tcW w:w="1524" w:type="dxa"/>
            <w:vAlign w:val="center"/>
            <w:textDirection w:val="lrTb"/>
            <w:noWrap/>
          </w:tcPr>
          <w:p>
            <w:pPr>
              <w:jc w:val="center"/>
              <w:spacing w:line="240" w:lineRule="auto"/>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100万元</w:t>
            </w:r>
            <w:r/>
          </w:p>
        </w:tc>
        <w:tc>
          <w:tcPr>
            <w:shd w:val="clear" w:color="auto" w:fill="auto"/>
            <w:tcW w:w="1404" w:type="dxa"/>
            <w:vAlign w:val="center"/>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否</w:t>
            </w:r>
            <w:r/>
          </w:p>
        </w:tc>
      </w:tr>
    </w:tbl>
    <w:p>
      <w:pPr>
        <w:pStyle w:val="847"/>
        <w:ind w:left="0" w:firstLine="390"/>
        <w:spacing w:line="360" w:lineRule="auto"/>
        <w:tabs>
          <w:tab w:val="left" w:pos="1134" w:leader="none"/>
        </w:tabs>
        <w:rPr>
          <w:rFonts w:hint="eastAsia" w:ascii="宋体" w:hAnsi="宋体" w:cs="宋体"/>
          <w:color w:val="auto"/>
          <w:sz w:val="13"/>
          <w:szCs w:val="13"/>
          <w:highlight w:val="none"/>
        </w:rPr>
      </w:pPr>
      <w:r>
        <w:rPr>
          <w:rFonts w:hint="eastAsia" w:ascii="宋体" w:hAnsi="宋体" w:cs="宋体"/>
          <w:color w:val="auto"/>
          <w:sz w:val="13"/>
          <w:szCs w:val="13"/>
          <w:highlight w:val="none"/>
        </w:rPr>
      </w:r>
      <w:r/>
    </w:p>
    <w:p>
      <w:pPr>
        <w:pStyle w:val="847"/>
        <w:ind w:left="0"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采购需求:详见采购文件</w:t>
      </w:r>
      <w:r/>
    </w:p>
    <w:p>
      <w:pPr>
        <w:pStyle w:val="84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合同履行期限：详见采购文件</w:t>
      </w:r>
      <w:r/>
    </w:p>
    <w:p>
      <w:pPr>
        <w:pStyle w:val="847"/>
        <w:ind w:firstLine="720"/>
        <w:spacing w:line="360" w:lineRule="auto"/>
        <w:tabs>
          <w:tab w:val="left" w:pos="1134" w:leader="none"/>
        </w:tabs>
        <w:rPr>
          <w:rFonts w:hint="eastAsia" w:ascii="宋体" w:hAnsi="宋体" w:cs="宋体"/>
          <w:color w:val="auto"/>
          <w:sz w:val="24"/>
          <w:szCs w:val="24"/>
          <w:highlight w:val="none"/>
        </w:rPr>
      </w:pPr>
      <w:r/>
      <w:bookmarkStart w:id="5" w:name="_Toc3038"/>
      <w:r>
        <w:rPr>
          <w:rFonts w:hint="eastAsia" w:ascii="宋体" w:hAnsi="宋体" w:cs="宋体"/>
          <w:color w:val="auto"/>
          <w:sz w:val="24"/>
          <w:szCs w:val="24"/>
          <w:highlight w:val="none"/>
        </w:rPr>
        <w:t xml:space="preserve">本项目（是/否）接受联合体投标：不接受联合体</w:t>
      </w:r>
      <w:r/>
    </w:p>
    <w:p>
      <w:pPr>
        <w:pStyle w:val="847"/>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5"/>
      <w:r/>
      <w:r/>
    </w:p>
    <w:p>
      <w:pPr>
        <w:pStyle w:val="848"/>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2）具有良好的商业信誉和健全的财务会计制度（提供2023年度</w:t>
      </w:r>
      <w:r>
        <w:rPr>
          <w:rFonts w:hint="eastAsia" w:ascii="宋体" w:hAnsi="宋体" w:cs="宋体"/>
          <w:color w:val="auto"/>
          <w:sz w:val="24"/>
          <w:szCs w:val="24"/>
          <w:highlight w:val="none"/>
          <w:lang w:val="en-US" w:eastAsia="zh-CN"/>
        </w:rPr>
        <w:t xml:space="preserve">或2024年度</w:t>
      </w:r>
      <w:r>
        <w:rPr>
          <w:rFonts w:hint="eastAsia" w:ascii="宋体" w:hAnsi="宋体" w:cs="宋体"/>
          <w:color w:val="auto"/>
          <w:sz w:val="24"/>
          <w:szCs w:val="24"/>
          <w:highlight w:val="none"/>
        </w:rPr>
        <w:t xml:space="preserve">财务报告，至少包含资产负债表、利润表，或投标截止时间前六个月内银行出具的资信证明，成立不满一年的无须提供）。</w:t>
      </w:r>
      <w:r/>
    </w:p>
    <w:p>
      <w:pPr>
        <w:ind w:left="11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3）具有履行合同所必需的设备和专业技术能力（供应商根据履行采购项目合同需要，提供履行合同所必需的设备和专业技术能力的声明函或证明材料）。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rFonts w:hint="eastAsia" w:ascii="宋体" w:hAnsi="宋体" w:cs="宋体"/>
          <w:color w:val="auto"/>
          <w:sz w:val="24"/>
          <w:szCs w:val="24"/>
          <w:highlight w:val="none"/>
          <w:lang w:eastAsia="zh-CN"/>
        </w:rPr>
        <w:t xml:space="preserve">提供2024年8月至今</w:t>
      </w:r>
      <w:r>
        <w:rPr>
          <w:rFonts w:hint="eastAsia" w:ascii="宋体" w:hAnsi="宋体" w:cs="宋体"/>
          <w:color w:val="auto"/>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w:t>
      </w:r>
      <w:r/>
    </w:p>
    <w:p>
      <w:pPr>
        <w:pStyle w:val="844"/>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844"/>
        <w:ind w:left="718" w:right="474"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提供《中小企业声明函》。</w:t>
      </w:r>
      <w:r/>
    </w:p>
    <w:p>
      <w:pPr>
        <w:pStyle w:val="848"/>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848"/>
        <w:ind w:firstLine="1060"/>
        <w:spacing w:line="360" w:lineRule="auto"/>
        <w:rPr>
          <w:rFonts w:hint="eastAsia" w:ascii="宋体" w:hAnsi="宋体" w:cs="宋体"/>
          <w:b w:val="0"/>
          <w:bCs w:val="0"/>
          <w:color w:val="auto"/>
          <w:sz w:val="24"/>
          <w:szCs w:val="24"/>
          <w:highlight w:val="none"/>
        </w:rPr>
        <w:outlineLvl w:val="2"/>
      </w:pPr>
      <w:r/>
      <w:bookmarkStart w:id="6" w:name="_Toc26697"/>
      <w:r>
        <w:rPr>
          <w:rFonts w:hint="eastAsia" w:ascii="宋体" w:hAnsi="宋体" w:cs="宋体"/>
          <w:b w:val="0"/>
          <w:bCs w:val="0"/>
          <w:color w:val="auto"/>
          <w:sz w:val="24"/>
          <w:szCs w:val="24"/>
          <w:highlight w:val="none"/>
        </w:rPr>
        <w:t xml:space="preserve">1）投标人具有所投产品医疗器械生产许可（或备案）证或经营许可（或备案）证。</w:t>
      </w:r>
      <w:r/>
    </w:p>
    <w:p>
      <w:pPr>
        <w:pStyle w:val="848"/>
        <w:ind w:firstLine="1060"/>
        <w:spacing w:line="360" w:lineRule="auto"/>
        <w:rPr>
          <w:rFonts w:hint="default" w:ascii="宋体" w:hAnsi="宋体" w:eastAsia="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rPr>
        <w:t xml:space="preserve">2）提供所投产品有效的医疗器械注册证</w:t>
      </w:r>
      <w:r>
        <w:rPr>
          <w:rFonts w:hint="eastAsia" w:ascii="宋体" w:hAnsi="宋体" w:eastAsia="宋体" w:cs="宋体"/>
          <w:b w:val="0"/>
          <w:bCs w:val="0"/>
          <w:color w:val="auto"/>
          <w:sz w:val="24"/>
          <w:szCs w:val="24"/>
          <w:highlight w:val="none"/>
          <w:lang w:eastAsia="zh-CN"/>
        </w:rPr>
        <w:t xml:space="preserve">。</w:t>
      </w:r>
      <w:r/>
    </w:p>
    <w:p>
      <w:pPr>
        <w:pStyle w:val="848"/>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6"/>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1.采购文件获取截止时间：自公告发布之日起5个工作日</w:t>
      </w:r>
      <w:r/>
    </w:p>
    <w:p>
      <w:pPr>
        <w:pStyle w:val="849"/>
        <w:ind w:left="2157" w:hanging="96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3.方式：本项目采用网上注册登记方式</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4.文件售价：免费。 </w:t>
      </w:r>
      <w:r/>
    </w:p>
    <w:p>
      <w:pPr>
        <w:pStyle w:val="849"/>
        <w:spacing w:line="360" w:lineRule="auto"/>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四、线上提交投标文件截止时间、线上开标时间和线上开标地点</w:t>
      </w:r>
      <w:r>
        <w:rPr>
          <w:rFonts w:hint="eastAsia" w:ascii="宋体" w:hAnsi="宋体" w:cs="宋体"/>
          <w:color w:val="auto"/>
          <w:sz w:val="24"/>
          <w:szCs w:val="24"/>
          <w:highlight w:val="none"/>
        </w:rPr>
        <w:t xml:space="preserve"> </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1.线上提交投标文件截止时间：202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（北京时间）</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2.线上开标时间：202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（北京时间） </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3.线上开标地点：“苏采云”政府采购交易系统网上开标大厅 </w:t>
      </w:r>
      <w:r/>
    </w:p>
    <w:p>
      <w:pPr>
        <w:pStyle w:val="849"/>
        <w:spacing w:line="360" w:lineRule="auto"/>
        <w:tabs>
          <w:tab w:val="left" w:pos="103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五、公告期限 </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自本公告发布之日起 5 个工作日。 </w:t>
      </w:r>
      <w:r/>
    </w:p>
    <w:p>
      <w:pPr>
        <w:pStyle w:val="849"/>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849"/>
        <w:numPr>
          <w:ilvl w:val="0"/>
          <w:numId w:val="1"/>
        </w:num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其他补充事宜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bookmarkStart w:id="7" w:name="_Toc10479"/>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2、潜在供应商访问电子招标响应交易平台的网络地址和方法：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2.2 潜在投标人访问“苏采云”系统方法：江苏省政府采购网首页-“苏采云”链接。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2.3 采购文件（后缀名为“.kedt”）、供应商操作手册及政府采购客户端 工具可通过“苏采云”系统相应链接进行下载。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2.4 采购代理机构将数据电文形式的采购文件加载至“苏采云”系统，供潜在供应商下载或者查阅。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2.5 请潜在投标单位提前安装相应的控件（详见《“苏采云”系统供应商操作手册》）并使用谷歌浏览器登录“苏采云”系统参与不见面开评标。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如潜在投标人未按上述要求操作，将自行承担所产生的风险。</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、投标人不得提供虚假材料谋取中标成交的或采取不正当手段诋毁、排挤其他投标人。</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、因投标人的系统环境、操作等原因导致项目参与、开评标过程中出现问题由投标人自行承担负责。</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、本次招标不收取投标保证金。</w:t>
      </w:r>
      <w:r/>
    </w:p>
    <w:p>
      <w:pPr>
        <w:pStyle w:val="847"/>
        <w:ind w:left="0" w:firstLine="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847"/>
        <w:ind w:left="420" w:firstLine="0"/>
        <w:spacing w:line="360" w:lineRule="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7"/>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1.采购人信息</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盐城市中医院</w:t>
      </w:r>
      <w:r>
        <w:rPr>
          <w:rFonts w:hint="eastAsia" w:hAnsi="宋体" w:cs="宋体"/>
          <w:color w:val="auto"/>
          <w:szCs w:val="24"/>
          <w:highlight w:val="none"/>
        </w:rPr>
        <w:t xml:space="preserve">        </w:t>
      </w:r>
      <w:r/>
    </w:p>
    <w:p>
      <w:pPr>
        <w:pStyle w:val="850"/>
        <w:ind w:firstLine="1200"/>
        <w:spacing w:before="0" w:beforeAutospacing="0" w:after="0" w:afterAutospacing="0" w:line="360" w:lineRule="auto"/>
        <w:shd w:val="clear" w:color="auto" w:fill="auto"/>
        <w:rPr>
          <w:rFonts w:hint="eastAsia" w:hAnsi="宋体" w:cs="宋体"/>
          <w:color w:val="auto"/>
          <w:szCs w:val="24"/>
          <w:highlight w:val="none"/>
        </w:rPr>
        <w:outlineLvl w:val="1"/>
      </w:pPr>
      <w:r>
        <w:rPr>
          <w:rFonts w:hint="eastAsia" w:hAnsi="宋体" w:cs="宋体"/>
          <w:color w:val="auto"/>
          <w:szCs w:val="24"/>
          <w:highlight w:val="none"/>
        </w:rPr>
        <w:t xml:space="preserve">采购人地址：盐城市人民北路53号 </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w:t>
      </w:r>
      <w:r>
        <w:rPr>
          <w:rFonts w:hint="eastAsia" w:hAnsi="宋体" w:cs="宋体"/>
          <w:color w:val="auto"/>
          <w:szCs w:val="24"/>
          <w:highlight w:val="none"/>
          <w:lang w:val="en-US" w:eastAsia="zh-CN"/>
        </w:rPr>
        <w:t xml:space="preserve">王</w:t>
      </w:r>
      <w:r>
        <w:rPr>
          <w:rFonts w:hint="eastAsia" w:hAnsi="宋体" w:cs="宋体"/>
          <w:color w:val="auto"/>
          <w:szCs w:val="24"/>
          <w:highlight w:val="none"/>
        </w:rPr>
        <w:t xml:space="preserve">老师</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w:t>
      </w:r>
      <w:r>
        <w:rPr>
          <w:rFonts w:hint="eastAsia" w:ascii="宋体" w:hAnsi="宋体" w:eastAsia="宋体" w:cs="宋体"/>
          <w:bCs/>
          <w:color w:val="auto"/>
          <w:sz w:val="24"/>
          <w:szCs w:val="24"/>
          <w:highlight w:val="none"/>
        </w:rPr>
        <w:t xml:space="preserve">0515-88166336</w:t>
      </w:r>
      <w:r>
        <w:rPr>
          <w:rFonts w:hint="eastAsia" w:ascii="宋体" w:hAnsi="宋体" w:eastAsia="宋体"/>
          <w:color w:val="auto"/>
          <w:sz w:val="24"/>
          <w:highlight w:val="none"/>
        </w:rPr>
        <w:t xml:space="preserve"> </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名称：江苏弘业国际技术工程有限公司</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地址：南京市中华路50号弘业大厦10楼1008室</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联系方式：025-52278761</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传  真： 025-52278761</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项目联系人：徐老师（项目负责人）   刘女士（商务）    </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电话： 15189217050                        </w:t>
      </w:r>
      <w:bookmarkStart w:id="8" w:name="_Toc25617"/>
      <w:r/>
      <w:bookmarkEnd w:id="8"/>
      <w:r/>
      <w:r/>
    </w:p>
    <w:p>
      <w:pPr>
        <w:jc w:val="center"/>
        <w:spacing w:line="360" w:lineRule="auto"/>
        <w:rPr>
          <w:rFonts w:hint="eastAsia"/>
          <w:b/>
          <w:color w:val="auto"/>
          <w:sz w:val="44"/>
          <w:szCs w:val="44"/>
          <w:highlight w:val="none"/>
        </w:rPr>
        <w:outlineLvl w:val="0"/>
      </w:pPr>
      <w:r/>
      <w:bookmarkStart w:id="9" w:name="_Toc1881"/>
      <w:r>
        <w:rPr>
          <w:rFonts w:hint="eastAsia"/>
          <w:b/>
          <w:color w:val="auto"/>
          <w:sz w:val="44"/>
          <w:szCs w:val="44"/>
          <w:highlight w:val="none"/>
        </w:rPr>
        <w:br w:type="page" w:clear="all"/>
      </w:r>
      <w:r>
        <w:rPr>
          <w:rFonts w:hint="eastAsia"/>
          <w:b/>
          <w:color w:val="auto"/>
          <w:sz w:val="44"/>
          <w:szCs w:val="44"/>
          <w:highlight w:val="none"/>
        </w:rPr>
        <w:t xml:space="preserve">第二部分  投标人须知</w:t>
      </w:r>
      <w:bookmarkEnd w:id="9"/>
      <w:r/>
      <w:r/>
    </w:p>
    <w:p>
      <w:pPr>
        <w:pStyle w:val="851"/>
        <w:jc w:val="center"/>
        <w:keepLines w:val="0"/>
        <w:keepNext w:val="0"/>
        <w:spacing w:before="0" w:after="0" w:line="360" w:lineRule="auto"/>
        <w:rPr>
          <w:rFonts w:hint="eastAsia"/>
          <w:color w:val="auto"/>
          <w:highlight w:val="none"/>
        </w:rPr>
      </w:pPr>
      <w:r/>
      <w:bookmarkStart w:id="10" w:name="_Toc17705"/>
      <w:r/>
      <w:bookmarkStart w:id="11" w:name="_Toc514054471"/>
      <w:r>
        <w:rPr>
          <w:rFonts w:hint="eastAsia"/>
          <w:color w:val="auto"/>
          <w:highlight w:val="none"/>
        </w:rPr>
        <w:t xml:space="preserve">投标人须知前附表</w:t>
      </w:r>
      <w:bookmarkEnd w:id="10"/>
      <w:r/>
      <w:bookmarkEnd w:id="11"/>
      <w:r/>
      <w:r/>
    </w:p>
    <w:tbl>
      <w:tblPr>
        <w:tblStyle w:val="671"/>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pacing w:line="360" w:lineRule="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12" w:name="EBd40b5fb42f2944a3b45e579ce3941f02"/>
            <w:r>
              <w:rPr>
                <w:rFonts w:hint="eastAsia" w:ascii="宋体" w:hAnsi="宋体" w:cs="宋体"/>
                <w:color w:val="auto"/>
                <w:sz w:val="24"/>
                <w:szCs w:val="24"/>
                <w:highlight w:val="none"/>
              </w:rPr>
              <w:t xml:space="preserve">90</w:t>
            </w:r>
            <w:bookmarkEnd w:id="12"/>
            <w:r>
              <w:rPr>
                <w:rFonts w:hint="eastAsia" w:ascii="宋体" w:hAnsi="宋体" w:cs="宋体"/>
                <w:color w:val="auto"/>
                <w:sz w:val="24"/>
                <w:szCs w:val="24"/>
                <w:highlight w:val="none"/>
              </w:rPr>
              <w:t xml:space="preserve">日（从提交投标文件截止之日起算）</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最低收费金额:5000元</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50万元以内（含50万）：费率为1.6%</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50-400万元(含400万元)：费率为1.5%</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400-1000万元(含1000万元)：费率为1.1%</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pacing w:line="360" w:lineRule="auto"/>
              <w:widowControl/>
              <w:rPr>
                <w:rFonts w:hint="eastAsia"/>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jc w:val="center"/>
          <w:trHeight w:val="405"/>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pacing w:line="360" w:lineRule="auto"/>
              <w:rPr>
                <w:rFonts w:hint="eastAsia"/>
                <w:color w:val="auto"/>
                <w:highlight w:val="none"/>
              </w:rPr>
            </w:pPr>
            <w:r>
              <w:rPr>
                <w:rFonts w:hint="eastAsia" w:ascii="宋体" w:hAnsi="宋体" w:cs="宋体"/>
                <w:color w:val="auto"/>
                <w:sz w:val="24"/>
                <w:szCs w:val="24"/>
                <w:highlight w:val="none"/>
              </w:rPr>
              <w:t xml:space="preserve">本项目</w:t>
            </w:r>
            <w:r>
              <w:rPr>
                <w:rFonts w:hint="eastAsia" w:ascii="宋体" w:hAnsi="宋体" w:eastAsia="宋体" w:cs="宋体"/>
                <w:color w:val="auto"/>
                <w:sz w:val="24"/>
                <w:szCs w:val="24"/>
                <w:highlight w:val="none"/>
              </w:rPr>
              <w:t xml:space="preserve">不收取履约保证金</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b w:val="0"/>
                <w:bCs/>
                <w:color w:val="auto"/>
                <w:sz w:val="24"/>
                <w:highlight w:val="none"/>
              </w:rPr>
              <w:t xml:space="preserve">预付款制度</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本项目落实预付款制度，合同签订后，采购人自收到发票后10个工作日内，支付合同金额的30%作为预付款。</w:t>
            </w: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spacing w:line="360" w:lineRule="auto"/>
        <w:rPr>
          <w:rFonts w:hint="eastAsia"/>
          <w:color w:val="auto"/>
          <w:highlight w:val="none"/>
        </w:rPr>
      </w:pPr>
      <w:r>
        <w:rPr>
          <w:rFonts w:hint="eastAsia"/>
          <w:color w:val="auto"/>
          <w:highlight w:val="none"/>
        </w:rPr>
      </w:r>
      <w:r/>
    </w:p>
    <w:p>
      <w:pPr>
        <w:pStyle w:val="852"/>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8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852"/>
        <w:spacing w:line="360" w:lineRule="auto"/>
        <w:rPr>
          <w:rFonts w:hint="eastAsia" w:ascii="宋体" w:hAnsi="宋体" w:eastAsia="宋体" w:cs="宋体"/>
          <w:color w:val="auto"/>
          <w:highlight w:val="none"/>
        </w:rPr>
        <w:outlineLvl w:val="1"/>
      </w:pPr>
      <w:r/>
      <w:bookmarkStart w:id="13" w:name="_Toc21335"/>
      <w:r/>
      <w:bookmarkStart w:id="14" w:name="_Toc514054473"/>
      <w:r>
        <w:rPr>
          <w:rFonts w:hint="eastAsia" w:ascii="宋体" w:hAnsi="宋体" w:eastAsia="宋体" w:cs="宋体"/>
          <w:color w:val="auto"/>
          <w:highlight w:val="none"/>
        </w:rPr>
        <w:t xml:space="preserve">二、招标文件</w:t>
      </w:r>
      <w:bookmarkEnd w:id="13"/>
      <w:r/>
      <w:bookmarkEnd w:id="1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5" w:name="EB453bde7f4ddc418fae2aad9fbcd82554"/>
      <w:r>
        <w:rPr>
          <w:rFonts w:hint="eastAsia" w:ascii="宋体" w:hAnsi="宋体" w:cs="宋体"/>
          <w:color w:val="auto"/>
          <w:sz w:val="20"/>
          <w:highlight w:val="none"/>
        </w:rPr>
        <w:t xml:space="preserve"> </w:t>
      </w:r>
      <w:bookmarkEnd w:id="15"/>
      <w:r/>
      <w:bookmarkStart w:id="16" w:name="EBec71fc1696a240c4b620fe1e00b2ce58"/>
      <w:r>
        <w:rPr>
          <w:rFonts w:hint="eastAsia" w:ascii="宋体" w:hAnsi="宋体" w:cs="宋体"/>
          <w:color w:val="auto"/>
          <w:sz w:val="20"/>
          <w:highlight w:val="none"/>
        </w:rPr>
        <w:t xml:space="preserve"> </w:t>
      </w:r>
      <w:bookmarkEnd w:id="16"/>
      <w:r/>
      <w:r/>
    </w:p>
    <w:p>
      <w:pPr>
        <w:pStyle w:val="852"/>
        <w:spacing w:line="360" w:lineRule="auto"/>
        <w:rPr>
          <w:rFonts w:hint="eastAsia" w:ascii="宋体" w:hAnsi="宋体" w:eastAsia="宋体" w:cs="宋体"/>
          <w:color w:val="auto"/>
          <w:highlight w:val="none"/>
        </w:rPr>
        <w:outlineLvl w:val="1"/>
      </w:pPr>
      <w:r/>
      <w:bookmarkStart w:id="17" w:name="_Toc26908"/>
      <w:r/>
      <w:bookmarkStart w:id="18" w:name="_Toc514054474"/>
      <w:r>
        <w:rPr>
          <w:rFonts w:hint="eastAsia" w:ascii="宋体" w:hAnsi="宋体" w:eastAsia="宋体" w:cs="宋体"/>
          <w:color w:val="auto"/>
          <w:highlight w:val="none"/>
        </w:rPr>
        <w:t xml:space="preserve">三、投标文件的编制</w:t>
      </w:r>
      <w:bookmarkEnd w:id="17"/>
      <w:r/>
      <w:bookmarkEnd w:id="1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w:t>
      </w:r>
      <w:r>
        <w:rPr>
          <w:rFonts w:hint="eastAsia" w:ascii="宋体" w:hAnsi="宋体" w:cs="宋体"/>
          <w:color w:val="auto"/>
          <w:sz w:val="24"/>
          <w:szCs w:val="22"/>
          <w:highlight w:val="none"/>
        </w:rPr>
        <w:t xml:space="preserve">2023年度</w:t>
      </w:r>
      <w:r>
        <w:rPr>
          <w:rFonts w:hint="eastAsia" w:ascii="宋体" w:hAnsi="宋体" w:cs="宋体"/>
          <w:color w:val="auto"/>
          <w:sz w:val="24"/>
          <w:szCs w:val="22"/>
          <w:highlight w:val="none"/>
          <w:lang w:val="en-US" w:eastAsia="zh-CN"/>
        </w:rPr>
        <w:t xml:space="preserve">或2024年度</w:t>
      </w:r>
      <w:r>
        <w:rPr>
          <w:rFonts w:hint="eastAsia" w:ascii="宋体" w:hAnsi="宋体" w:cs="宋体"/>
          <w:color w:val="auto"/>
          <w:sz w:val="24"/>
          <w:highlight w:val="none"/>
        </w:rPr>
        <w:t xml:space="preserve">财务报告，至少包含资产负债表、利润表，或投标截止时间前六个月内银行出具的资信证明，成立不满一年的无须提供）；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提供2024年8月至今</w:t>
      </w:r>
      <w:r>
        <w:rPr>
          <w:rFonts w:hint="eastAsia" w:ascii="宋体" w:hAnsi="宋体" w:cs="宋体"/>
          <w:color w:val="auto"/>
          <w:sz w:val="24"/>
          <w:szCs w:val="22"/>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11.1.7</w:t>
      </w:r>
      <w:bookmarkStart w:id="19" w:name="OLE_LINK73"/>
      <w:r>
        <w:rPr>
          <w:rFonts w:hint="eastAsia" w:ascii="宋体" w:hAnsi="宋体" w:cs="宋体"/>
          <w:color w:val="auto"/>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11.1.9投标人具有所投产品医疗器械生产许可（或备案）证或经营许可（或备案）证。</w:t>
      </w:r>
      <w:r/>
    </w:p>
    <w:p>
      <w:pPr>
        <w:ind w:firstLine="480"/>
        <w:spacing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提供所投产品有效的医疗器械注册证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2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spacing w:line="360" w:lineRule="auto"/>
        <w:rPr>
          <w:rFonts w:hint="eastAsia" w:ascii="宋体" w:hAnsi="宋体" w:cs="宋体"/>
          <w:color w:val="auto"/>
          <w:sz w:val="24"/>
          <w:highlight w:val="none"/>
        </w:rPr>
      </w:pPr>
      <w:r/>
      <w:bookmarkStart w:id="21" w:name="EBdc2c24f6358343e896cd43bd6621a619"/>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.其他证明文件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bookmarkEnd w:id="21"/>
      <w:r/>
      <w:r/>
    </w:p>
    <w:p>
      <w:pPr>
        <w:numPr>
          <w:ilvl w:val="0"/>
          <w:numId w:val="2"/>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22"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2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最低收费金额:5000元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50万元以内（含50万）：费率为1.6%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50-400万元(含400万元)：费率为1.5%</w:t>
      </w:r>
      <w:r/>
    </w:p>
    <w:p>
      <w:pPr>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400-1000万元(含1000万元)：费率为1.1%</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3" w:name="EB12ed6b870f334fa092f7ed1f9a9dbab8"/>
      <w:r>
        <w:rPr>
          <w:rFonts w:hint="eastAsia" w:ascii="宋体" w:hAnsi="宋体" w:cs="宋体"/>
          <w:color w:val="auto"/>
          <w:sz w:val="20"/>
          <w:highlight w:val="none"/>
        </w:rPr>
        <w:t xml:space="preserve"> </w:t>
      </w:r>
      <w:bookmarkEnd w:id="23"/>
      <w:r/>
      <w:bookmarkStart w:id="24" w:name="EB5d36e8077cc64e309c0c0f0cd8a6f496"/>
      <w:r>
        <w:rPr>
          <w:rFonts w:hint="eastAsia" w:ascii="宋体" w:hAnsi="宋体" w:cs="宋体"/>
          <w:color w:val="auto"/>
          <w:sz w:val="20"/>
          <w:highlight w:val="none"/>
        </w:rPr>
        <w:t xml:space="preserve"> </w:t>
      </w:r>
      <w:bookmarkEnd w:id="24"/>
      <w:r/>
      <w:r/>
    </w:p>
    <w:p>
      <w:pPr>
        <w:pStyle w:val="852"/>
        <w:spacing w:line="360" w:lineRule="auto"/>
        <w:rPr>
          <w:rFonts w:hint="eastAsia" w:ascii="宋体" w:hAnsi="宋体" w:eastAsia="宋体" w:cs="宋体"/>
          <w:color w:val="auto"/>
          <w:highlight w:val="none"/>
        </w:rPr>
        <w:outlineLvl w:val="1"/>
      </w:pPr>
      <w:r/>
      <w:bookmarkStart w:id="25" w:name="_Toc514054475"/>
      <w:r/>
      <w:bookmarkStart w:id="26" w:name="_Toc26211"/>
      <w:r>
        <w:rPr>
          <w:rFonts w:hint="eastAsia" w:ascii="宋体" w:hAnsi="宋体" w:eastAsia="宋体" w:cs="宋体"/>
          <w:color w:val="auto"/>
          <w:highlight w:val="none"/>
        </w:rPr>
        <w:t xml:space="preserve">四、投标文件的提交</w:t>
      </w:r>
      <w:bookmarkEnd w:id="25"/>
      <w:r/>
      <w:bookmarkEnd w:id="26"/>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27" w:name="_Toc20823298"/>
      <w:r/>
      <w:bookmarkEnd w:id="27"/>
      <w:r/>
      <w:bookmarkStart w:id="28" w:name="_Toc16938542"/>
      <w:r/>
      <w:bookmarkEnd w:id="2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29"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29"/>
      <w:r/>
      <w:r/>
    </w:p>
    <w:p>
      <w:pPr>
        <w:ind w:firstLine="480"/>
        <w:spacing w:line="360" w:lineRule="auto"/>
        <w:rPr>
          <w:rFonts w:hint="eastAsia" w:ascii="宋体" w:hAnsi="宋体"/>
          <w:b/>
          <w:bCs/>
          <w:color w:val="auto"/>
          <w:sz w:val="24"/>
          <w:highlight w:val="none"/>
        </w:rPr>
        <w:outlineLvl w:val="2"/>
      </w:pPr>
      <w:r/>
      <w:bookmarkStart w:id="30" w:name="_Toc16938544"/>
      <w:r/>
      <w:bookmarkStart w:id="31" w:name="_Toc20823300"/>
      <w:r/>
      <w:bookmarkStart w:id="32" w:name="_Toc513029228"/>
      <w:r>
        <w:rPr>
          <w:rFonts w:hint="eastAsia" w:ascii="宋体" w:hAnsi="宋体"/>
          <w:b/>
          <w:bCs/>
          <w:color w:val="auto"/>
          <w:sz w:val="24"/>
          <w:highlight w:val="none"/>
        </w:rPr>
        <w:t xml:space="preserve">17.4、投标文件的撤回和修改</w:t>
      </w:r>
      <w:bookmarkEnd w:id="30"/>
      <w:r/>
      <w:bookmarkEnd w:id="31"/>
      <w:r/>
      <w:bookmarkEnd w:id="3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852"/>
        <w:spacing w:line="360" w:lineRule="auto"/>
        <w:rPr>
          <w:rFonts w:hint="eastAsia" w:ascii="宋体" w:hAnsi="宋体" w:eastAsia="宋体" w:cs="宋体"/>
          <w:color w:val="auto"/>
          <w:highlight w:val="none"/>
        </w:rPr>
        <w:outlineLvl w:val="1"/>
      </w:pPr>
      <w:r/>
      <w:bookmarkStart w:id="33" w:name="_Toc11452"/>
      <w:r/>
      <w:bookmarkStart w:id="34" w:name="_Toc514054476"/>
      <w:r>
        <w:rPr>
          <w:rFonts w:hint="eastAsia" w:ascii="宋体" w:hAnsi="宋体" w:eastAsia="宋体" w:cs="宋体"/>
          <w:color w:val="auto"/>
          <w:highlight w:val="none"/>
        </w:rPr>
        <w:t xml:space="preserve">五、无效标、</w:t>
      </w:r>
      <w:r>
        <w:rPr>
          <w:rFonts w:hint="eastAsia" w:ascii="宋体" w:hAnsi="宋体" w:eastAsia="宋体" w:cs="宋体"/>
          <w:color w:val="auto"/>
          <w:highlight w:val="none"/>
          <w:lang w:eastAsia="zh-CN"/>
        </w:rPr>
        <w:t xml:space="preserve">投标被拒绝</w:t>
      </w:r>
      <w:r>
        <w:rPr>
          <w:rFonts w:hint="eastAsia" w:ascii="宋体" w:hAnsi="宋体" w:eastAsia="宋体" w:cs="宋体"/>
          <w:color w:val="auto"/>
          <w:highlight w:val="none"/>
        </w:rPr>
        <w:t xml:space="preserve">、串通投标认定条款</w:t>
      </w:r>
      <w:bookmarkEnd w:id="33"/>
      <w:r/>
      <w:bookmarkEnd w:id="3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35" w:name="EB94942e5430df4fb8a077f3cf7667f21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18.1.7不符合招标文件中规定的实质性要求和条件的</w:t>
      </w:r>
      <w:r>
        <w:rPr>
          <w:rFonts w:hint="eastAsia" w:ascii="宋体" w:hAnsi="宋体"/>
          <w:b/>
          <w:bCs/>
          <w:i/>
          <w:iCs/>
          <w:color w:val="auto"/>
          <w:sz w:val="24"/>
          <w:highlight w:val="none"/>
          <w:u w:val="single"/>
        </w:rPr>
        <w:t xml:space="preserve">（本招标文件中斜体且有下划线部分为实质性要求和条件）</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auto"/>
          <w:sz w:val="24"/>
          <w:highlight w:val="none"/>
          <w:lang w:eastAsia="zh-CN"/>
        </w:rPr>
        <w:t xml:space="preserve">，节能产品、环境标志产品品目清单以递交响应文件截止时已正式公布的最近一期信息为准</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3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852"/>
        <w:spacing w:line="360" w:lineRule="auto"/>
        <w:rPr>
          <w:rFonts w:hint="eastAsia" w:ascii="宋体" w:hAnsi="宋体" w:eastAsia="宋体" w:cs="宋体"/>
          <w:color w:val="auto"/>
          <w:highlight w:val="none"/>
        </w:rPr>
        <w:outlineLvl w:val="1"/>
      </w:pPr>
      <w:r/>
      <w:bookmarkStart w:id="36" w:name="_Toc514054477"/>
      <w:r/>
      <w:bookmarkStart w:id="37" w:name="_Toc29013"/>
      <w:r>
        <w:rPr>
          <w:rFonts w:hint="eastAsia" w:ascii="宋体" w:hAnsi="宋体" w:eastAsia="宋体" w:cs="宋体"/>
          <w:color w:val="auto"/>
          <w:highlight w:val="none"/>
        </w:rPr>
        <w:t xml:space="preserve">六、开标、资格审查、评标程序</w:t>
      </w:r>
      <w:bookmarkEnd w:id="36"/>
      <w:r/>
      <w:bookmarkEnd w:id="3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38"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3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9"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39"/>
      <w:r>
        <w:rPr>
          <w:rFonts w:hint="eastAsia" w:ascii="宋体" w:hAnsi="宋体" w:cs="宋体"/>
          <w:color w:val="auto"/>
          <w:sz w:val="24"/>
          <w:highlight w:val="none"/>
        </w:rPr>
        <w:t xml:space="preserve">重大偏离的认定须经评标委员会三分之二以上同意。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40" w:name="EB66024636071342209da8bda483232040"/>
      <w:r>
        <w:rPr>
          <w:rFonts w:hint="eastAsia" w:ascii="宋体" w:hAnsi="宋体" w:cs="宋体"/>
          <w:color w:val="auto"/>
          <w:sz w:val="24"/>
          <w:highlight w:val="none"/>
        </w:rPr>
        <w:t xml:space="preserve"> </w:t>
      </w:r>
      <w:bookmarkEnd w:id="40"/>
      <w:r/>
      <w:r/>
    </w:p>
    <w:p>
      <w:pPr>
        <w:numPr>
          <w:ilvl w:val="0"/>
          <w:numId w:val="3"/>
        </w:numPr>
        <w:ind w:firstLine="482"/>
        <w:spacing w:line="360" w:lineRule="auto"/>
        <w:rPr>
          <w:rFonts w:hint="eastAsia" w:ascii="宋体" w:hAnsi="宋体" w:cs="宋体"/>
          <w:b/>
          <w:bCs/>
          <w:color w:val="auto"/>
          <w:sz w:val="24"/>
          <w:highlight w:val="none"/>
        </w:rPr>
      </w:pPr>
      <w:r/>
      <w:bookmarkStart w:id="41"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widowControl/>
        <w:rPr>
          <w:rFonts w:hint="eastAsia" w:ascii="宋体" w:hAnsi="宋体" w:eastAsia="宋体" w:cs="宋体"/>
          <w:color w:val="auto"/>
          <w:sz w:val="24"/>
          <w:szCs w:val="20"/>
          <w:highlight w:val="none"/>
        </w:rPr>
      </w:pPr>
      <w:r/>
      <w:bookmarkStart w:id="42" w:name="EBd9bc59d5f2ed4fb8a64ee2e373d8cc72"/>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.1政府采购线上合同信用融资政策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.2进口产品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.3中小企业、监狱企业及残疾人福利性单位</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.3.1中小企业定义：</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中小企业是</w:t>
      </w:r>
      <w:r>
        <w:rPr>
          <w:rFonts w:hint="eastAsia" w:ascii="宋体" w:hAnsi="宋体" w:eastAsia="宋体"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.3.2供应商提供的货物、工程或者服务符合下列情形的，享受中小企业扶持政策：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.3.2.1在货物采购项目中，货物由中小企业制造，即货物由中小企业生产且使用该中小企业商号或者注册商标；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.3.2.2在工程采购项目中，工程由中小企业承建，即工程施工单位为中小企业；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.3.6残疾人福利单位定义：享受政府采购支持政策的残疾人福利性单位应当同时满足以下条件：</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.3.6.1安置的残疾人占本单位在职职工人数的比例不低于25%（含25%），并且安置的残疾人人数不少于10 人（含10 人）；</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.3.6.2依法与安置的每位残疾人签订了一年以上（含一年）的劳动合同或服务协议；</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.3.7本项目是否专门面向中小企业预留采购份额见第一章《招标公告》。</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.3.8采购标的对应的中小企业划分标准所属行业见第四章《采购需求》。</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.3.9小微企业价格评审优惠的政策：见第</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章《评标方法和标准》。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.4政府采购节能产品、环境标志产品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29.5绿色包装</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29.6政府采购创新产品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29.7绿色数据中心政策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绿色低碳管理目标和服务要求：在物业、合同能源管理等服务类采购项目需求中，要强化绿色低碳管理目标和服务要求，促进绿色产品和服务推广应用。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低挥发性有机化合物产品：</w:t>
      </w:r>
      <w:r>
        <w:rPr>
          <w:rFonts w:hint="eastAsia" w:ascii="宋体" w:hAnsi="宋体" w:cs="宋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 xml:space="preserve">予以评审优惠。</w:t>
      </w:r>
      <w:r>
        <w:rPr>
          <w:rFonts w:hint="eastAsia" w:ascii="宋体" w:hAnsi="宋体" w:cs="宋体"/>
          <w:color w:val="auto"/>
          <w:sz w:val="24"/>
          <w:highlight w:val="none"/>
          <w:lang w:val="zh-CN"/>
        </w:rPr>
        <w:t xml:space="preserve">在通用类货物、家具、印刷、公务车辆维修等采购项目中，供应商</w:t>
      </w:r>
      <w:r>
        <w:rPr>
          <w:rFonts w:hint="eastAsia" w:ascii="宋体" w:hAnsi="宋体" w:cs="宋体"/>
          <w:color w:val="auto"/>
          <w:sz w:val="24"/>
          <w:highlight w:val="none"/>
        </w:rPr>
        <w:t xml:space="preserve">应</w:t>
      </w:r>
      <w:r>
        <w:rPr>
          <w:rFonts w:hint="eastAsia" w:ascii="宋体" w:hAnsi="宋体" w:cs="宋体"/>
          <w:color w:val="auto"/>
          <w:sz w:val="24"/>
          <w:highlight w:val="none"/>
          <w:lang w:val="zh-CN"/>
        </w:rPr>
        <w:t xml:space="preserve">优先使用低挥发性原辅材料</w:t>
      </w:r>
      <w:r>
        <w:rPr>
          <w:rFonts w:hint="eastAsia" w:ascii="宋体" w:hAnsi="宋体" w:cs="宋体"/>
          <w:color w:val="auto"/>
          <w:sz w:val="24"/>
          <w:highlight w:val="none"/>
        </w:rPr>
        <w:t xml:space="preserve">，将使用低</w:t>
      </w:r>
      <w:r>
        <w:rPr>
          <w:rFonts w:hint="eastAsia" w:ascii="宋体" w:hAnsi="宋体" w:cs="宋体"/>
          <w:color w:val="auto"/>
          <w:sz w:val="24"/>
          <w:highlight w:val="none"/>
          <w:lang w:val="zh-CN"/>
        </w:rPr>
        <w:t xml:space="preserve">VOCs含量的</w:t>
      </w:r>
      <w:r>
        <w:rPr>
          <w:rFonts w:hint="eastAsia" w:ascii="宋体" w:hAnsi="宋体" w:cs="宋体"/>
          <w:color w:val="auto"/>
          <w:sz w:val="24"/>
          <w:highlight w:val="none"/>
        </w:rPr>
        <w:t xml:space="preserve">涂料、</w:t>
      </w:r>
      <w:r>
        <w:rPr>
          <w:rFonts w:hint="eastAsia" w:ascii="宋体" w:hAnsi="宋体" w:cs="宋体"/>
          <w:color w:val="auto"/>
          <w:sz w:val="24"/>
          <w:highlight w:val="none"/>
          <w:lang w:val="zh-CN"/>
        </w:rPr>
        <w:t xml:space="preserve">胶黏剂</w:t>
      </w:r>
      <w:r>
        <w:rPr>
          <w:rFonts w:hint="eastAsia" w:ascii="宋体" w:hAnsi="宋体" w:cs="宋体"/>
          <w:color w:val="auto"/>
          <w:sz w:val="24"/>
          <w:highlight w:val="none"/>
        </w:rPr>
        <w:t xml:space="preserve">等纳入合同条款。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未按要求提供相关材料的，不享受相关政策。</w:t>
      </w:r>
      <w:r/>
    </w:p>
    <w:p>
      <w:pPr>
        <w:pStyle w:val="852"/>
        <w:spacing w:line="360" w:lineRule="auto"/>
        <w:rPr>
          <w:rFonts w:hint="eastAsia" w:ascii="宋体" w:hAnsi="宋体" w:eastAsia="宋体" w:cs="宋体"/>
          <w:color w:val="auto"/>
          <w:highlight w:val="none"/>
        </w:rPr>
        <w:outlineLvl w:val="1"/>
      </w:pPr>
      <w:r/>
      <w:bookmarkStart w:id="43" w:name="_Toc81493168"/>
      <w:r/>
      <w:bookmarkStart w:id="44" w:name="_Toc9744"/>
      <w:r/>
      <w:bookmarkStart w:id="45" w:name="_Toc514054478"/>
      <w:r>
        <w:rPr>
          <w:rFonts w:hint="eastAsia" w:ascii="宋体" w:hAnsi="宋体" w:eastAsia="宋体" w:cs="宋体"/>
          <w:color w:val="auto"/>
          <w:highlight w:val="none"/>
        </w:rPr>
        <w:t xml:space="preserve">七、中标及合同签订</w:t>
      </w:r>
      <w:bookmarkEnd w:id="43"/>
      <w:r/>
      <w:bookmarkEnd w:id="44"/>
      <w:r/>
      <w:bookmarkEnd w:id="4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4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6"/>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47" w:name="EB3094b551b51c42ca93e0255d679fb06f"/>
      <w:r>
        <w:rPr>
          <w:rFonts w:hint="eastAsia" w:ascii="宋体" w:hAnsi="宋体" w:cs="宋体"/>
          <w:color w:val="auto"/>
          <w:sz w:val="24"/>
          <w:szCs w:val="24"/>
          <w:highlight w:val="none"/>
        </w:rPr>
        <w:t xml:space="preserve">见前附表。 </w:t>
      </w:r>
      <w:bookmarkEnd w:id="47"/>
      <w:r/>
      <w:bookmarkStart w:id="48" w:name="EB0d6067c6e00d44b1ad5603550c455e87"/>
      <w:r>
        <w:rPr>
          <w:rFonts w:hint="eastAsia" w:ascii="宋体" w:hAnsi="宋体" w:cs="宋体"/>
          <w:color w:val="auto"/>
          <w:sz w:val="24"/>
          <w:szCs w:val="24"/>
          <w:highlight w:val="none"/>
        </w:rPr>
        <w:t xml:space="preserve"> </w:t>
      </w:r>
      <w:bookmarkEnd w:id="48"/>
      <w:r/>
      <w:r/>
    </w:p>
    <w:p>
      <w:pPr>
        <w:pStyle w:val="852"/>
        <w:spacing w:line="360" w:lineRule="auto"/>
        <w:rPr>
          <w:rFonts w:hint="eastAsia" w:ascii="宋体" w:hAnsi="宋体" w:eastAsia="宋体" w:cs="宋体"/>
          <w:color w:val="auto"/>
          <w:highlight w:val="none"/>
        </w:rPr>
        <w:outlineLvl w:val="1"/>
      </w:pPr>
      <w:r/>
      <w:bookmarkStart w:id="49" w:name="_Toc514054479"/>
      <w:r/>
      <w:bookmarkStart w:id="50" w:name="_Toc81493169"/>
      <w:r/>
      <w:bookmarkStart w:id="51" w:name="_Toc25599"/>
      <w:r>
        <w:rPr>
          <w:rFonts w:hint="eastAsia" w:ascii="宋体" w:hAnsi="宋体" w:eastAsia="宋体" w:cs="宋体"/>
          <w:color w:val="auto"/>
          <w:highlight w:val="none"/>
        </w:rPr>
        <w:t xml:space="preserve">八、验收及付款</w:t>
      </w:r>
      <w:bookmarkEnd w:id="49"/>
      <w:r/>
      <w:bookmarkEnd w:id="50"/>
      <w:r/>
      <w:bookmarkEnd w:id="51"/>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52" w:name="EBbbb2492ed6b84c9193a6bb6f72a512f3"/>
      <w:r>
        <w:rPr>
          <w:rFonts w:hint="eastAsia" w:ascii="宋体" w:hAnsi="宋体" w:cs="宋体"/>
          <w:color w:val="auto"/>
          <w:sz w:val="24"/>
          <w:highlight w:val="none"/>
        </w:rPr>
        <w:t xml:space="preserve">35.1由采购人组织验收，中标人配合。</w:t>
      </w:r>
      <w:bookmarkEnd w:id="5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36、预付款制度</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36.1</w:t>
      </w:r>
      <w:r>
        <w:rPr>
          <w:rFonts w:hint="eastAsia" w:ascii="宋体" w:hAnsi="宋体" w:cs="宋体"/>
          <w:color w:val="auto"/>
          <w:sz w:val="24"/>
          <w:highlight w:val="none"/>
        </w:rPr>
        <w:t xml:space="preserve">本项目落实预付款制度，合同签订后，采购人自收到发票后10个工作日内，支付合同金额的</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0%作为预付款。</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、付款</w:t>
      </w:r>
      <w:r/>
    </w:p>
    <w:p>
      <w:pPr>
        <w:ind w:firstLine="480"/>
        <w:spacing w:line="360" w:lineRule="auto"/>
        <w:rPr>
          <w:rFonts w:hint="eastAsia" w:ascii="宋体" w:hAnsi="宋体" w:cs="宋体"/>
          <w:color w:val="auto"/>
          <w:sz w:val="24"/>
          <w:highlight w:val="none"/>
        </w:rPr>
      </w:pPr>
      <w:r/>
      <w:bookmarkStart w:id="53" w:name="EBf0da31fab3a04ad0893de83144a87b34"/>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w:t>
      </w:r>
      <w:bookmarkEnd w:id="53"/>
      <w:r>
        <w:rPr>
          <w:rFonts w:hint="eastAsia" w:ascii="宋体" w:hAnsi="宋体" w:cs="宋体"/>
          <w:color w:val="auto"/>
          <w:sz w:val="24"/>
          <w:highlight w:val="none"/>
        </w:rPr>
        <w:t xml:space="preserve"> 采购人按招标文件要求办理采购款支付手续。</w:t>
      </w:r>
      <w:r/>
    </w:p>
    <w:p>
      <w:pPr>
        <w:pStyle w:val="852"/>
        <w:spacing w:line="360" w:lineRule="auto"/>
        <w:rPr>
          <w:rFonts w:hint="eastAsia" w:ascii="宋体" w:hAnsi="宋体" w:eastAsia="宋体" w:cs="宋体"/>
          <w:color w:val="auto"/>
          <w:highlight w:val="none"/>
        </w:rPr>
        <w:outlineLvl w:val="1"/>
      </w:pPr>
      <w:r/>
      <w:bookmarkStart w:id="54" w:name="_Toc10945"/>
      <w:r/>
      <w:bookmarkStart w:id="55" w:name="_Toc514054480"/>
      <w:r/>
      <w:bookmarkStart w:id="56" w:name="_Toc81493170"/>
      <w:r>
        <w:rPr>
          <w:rFonts w:hint="eastAsia" w:ascii="宋体" w:hAnsi="宋体" w:eastAsia="宋体" w:cs="宋体"/>
          <w:color w:val="auto"/>
          <w:highlight w:val="none"/>
        </w:rPr>
        <w:t xml:space="preserve">九、质疑与投诉</w:t>
      </w:r>
      <w:bookmarkEnd w:id="54"/>
      <w:r/>
      <w:bookmarkEnd w:id="55"/>
      <w:r/>
      <w:bookmarkEnd w:id="56"/>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jc w:val="center"/>
        <w:spacing w:line="360" w:lineRule="auto"/>
        <w:rPr>
          <w:rFonts w:hint="eastAsia"/>
          <w:b/>
          <w:color w:val="auto"/>
          <w:sz w:val="44"/>
          <w:szCs w:val="4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1"/>
      <w:r>
        <w:rPr>
          <w:rFonts w:hint="eastAsia"/>
          <w:b/>
          <w:color w:val="auto"/>
          <w:sz w:val="44"/>
          <w:szCs w:val="44"/>
          <w:highlight w:val="none"/>
        </w:rPr>
        <w:br w:type="page" w:clear="all"/>
      </w:r>
      <w:bookmarkStart w:id="57" w:name="EB4d341233595e4bf8ad7006b4bd78d974"/>
      <w:r/>
      <w:bookmarkEnd w:id="57"/>
      <w:r/>
      <w:bookmarkStart w:id="58" w:name="_Toc22015"/>
      <w:r>
        <w:rPr>
          <w:rFonts w:hint="eastAsia"/>
          <w:b/>
          <w:color w:val="auto"/>
          <w:sz w:val="44"/>
          <w:szCs w:val="44"/>
          <w:highlight w:val="none"/>
        </w:rPr>
        <w:t xml:space="preserve">第三部分  </w:t>
      </w:r>
      <w:bookmarkEnd w:id="58"/>
      <w:r>
        <w:rPr>
          <w:rFonts w:hint="eastAsia"/>
          <w:b/>
          <w:color w:val="auto"/>
          <w:sz w:val="44"/>
          <w:szCs w:val="44"/>
          <w:highlight w:val="none"/>
        </w:rPr>
        <w:t xml:space="preserve">评标方法和标准</w:t>
      </w:r>
      <w:r/>
    </w:p>
    <w:p>
      <w:pPr>
        <w:ind w:firstLine="643"/>
        <w:spacing w:before="156" w:after="156" w:line="360" w:lineRule="auto"/>
        <w:rPr>
          <w:b/>
          <w:color w:val="auto"/>
          <w:sz w:val="32"/>
          <w:szCs w:val="32"/>
          <w:highlight w:val="none"/>
        </w:rPr>
        <w:outlineLvl w:val="1"/>
      </w:pPr>
      <w:r/>
      <w:bookmarkStart w:id="59" w:name="_Toc24217_WPSOffice_Level2"/>
      <w:r/>
      <w:bookmarkStart w:id="60" w:name="_Toc4647"/>
      <w:r>
        <w:rPr>
          <w:rFonts w:hint="eastAsia"/>
          <w:b/>
          <w:color w:val="auto"/>
          <w:sz w:val="32"/>
          <w:szCs w:val="32"/>
          <w:highlight w:val="none"/>
        </w:rPr>
        <w:t xml:space="preserve">一、资格审查</w:t>
      </w:r>
      <w:bookmarkEnd w:id="59"/>
      <w:r/>
      <w:bookmarkEnd w:id="60"/>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采购人按照下列指标对各投标人的资格进行审查，未通过审查的为无效标，不参与评标。</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00"/>
        <w:gridCol w:w="4263"/>
      </w:tblGrid>
      <w:tr>
        <w:trPr>
          <w:jc w:val="center"/>
        </w:trPr>
        <w:tc>
          <w:tcPr>
            <w:tcW w:w="49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26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288"/>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具有独立承担民事责任的能力</w:t>
            </w:r>
            <w:r/>
          </w:p>
        </w:tc>
        <w:tc>
          <w:tcPr>
            <w:tcW w:w="426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符合招标文件第11条“投标文件构成”的要求</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具有良好的商业信誉和健全的财务会计制度</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具有履行合同所必需的设备和专业技术能力</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有依法缴纳税收和社会保障资金的良好记录</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投标人的关联性要求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未提供进口产品（不允许采购进口产品时适用）</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特定资格要求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line="360" w:lineRule="auto"/>
        <w:rPr>
          <w:rFonts w:hint="eastAsia"/>
          <w:b/>
          <w:color w:val="auto"/>
          <w:sz w:val="32"/>
          <w:szCs w:val="32"/>
          <w:highlight w:val="none"/>
        </w:rPr>
        <w:outlineLvl w:val="1"/>
      </w:pPr>
      <w:r>
        <w:rPr>
          <w:rFonts w:hint="eastAsia"/>
          <w:b/>
          <w:color w:val="auto"/>
          <w:sz w:val="32"/>
          <w:szCs w:val="32"/>
          <w:highlight w:val="none"/>
        </w:rPr>
        <w:t xml:space="preserve">二、符合性审查</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未通过审查的为无效标，不再参与评审。</w:t>
      </w:r>
      <w:r/>
    </w:p>
    <w:tbl>
      <w:tblPr>
        <w:tblStyle w:val="671"/>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4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90"/>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报价格式、填写符合要求 </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pacing w:line="360" w:lineRule="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1"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 xml:space="preserve">三、评分办法—综合评分法</w:t>
      </w:r>
      <w:bookmarkEnd w:id="61"/>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评标结果。评标委员会按照本办法规定推荐中标候选人，并形成评标报告。</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0"/>
        </w:numPr>
        <w:ind w:firstLine="281"/>
        <w:keepLines w:val="0"/>
        <w:keepNext w:val="0"/>
        <w:pageBreakBefore w:val="0"/>
        <w:spacing w:line="360" w:lineRule="auto"/>
        <w:widowControl w:val="off"/>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eastAsia="zh-CN"/>
        </w:rPr>
        <w:t xml:space="preserve">评分</w:t>
      </w:r>
      <w:r>
        <w:rPr>
          <w:rFonts w:hint="eastAsia" w:ascii="宋体" w:hAnsi="宋体" w:cs="宋体"/>
          <w:b/>
          <w:bCs w:val="0"/>
          <w:color w:val="auto"/>
          <w:sz w:val="28"/>
          <w:szCs w:val="28"/>
          <w:highlight w:val="none"/>
          <w:lang w:val="en-US" w:eastAsia="zh-CN"/>
        </w:rPr>
        <w:t xml:space="preserve">标准：</w:t>
      </w:r>
      <w:r/>
    </w:p>
    <w:p>
      <w:pPr>
        <w:ind w:right="-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bl>
      <w:tblPr>
        <w:tblStyle w:val="67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4"/>
        <w:gridCol w:w="7880"/>
        <w:gridCol w:w="70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 （30分）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1.评标总价是指通过“投标文件初审”的投标人的经商务性评审（修正小微企业、节能产品和环保产品扣除等）后的总价。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2.评标基准价=评标总价中的最低总价。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3.当投标人的评标总价等于评标基准价的得30分，其他投标人的价格分按照下列公式计算：评标总价得分=（评标基准价/评标总价）×30分（计算结果保留2位小数，第三位四舍五入）。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rPr>
                <w:rFonts w:hint="eastAsia" w:ascii="宋体" w:hAnsi="宋体" w:cs="宋体"/>
                <w:i w:val="0"/>
                <w:iCs w:val="0"/>
                <w:color w:val="auto"/>
                <w:sz w:val="24"/>
                <w:szCs w:val="24"/>
                <w:highlight w:val="none"/>
                <w:u w:val="none"/>
                <w:lang w:val="en-US" w:eastAsia="zh-CN" w:bidi="ar"/>
              </w:rPr>
              <w:t xml:space="preserve">45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投标人所投设备完全响应招标文件第四章第</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技术参数要求</w:t>
            </w:r>
            <w:r>
              <w:rPr>
                <w:rFonts w:hint="eastAsia" w:ascii="宋体" w:hAnsi="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eastAsia="zh-CN"/>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项），响应招标文件</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cs="宋体"/>
                <w:color w:val="auto"/>
                <w:sz w:val="24"/>
                <w:szCs w:val="24"/>
                <w:highlight w:val="none"/>
                <w:lang w:val="en-US" w:eastAsia="zh-CN"/>
              </w:rPr>
              <w:t xml:space="preserve">加2</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最高得8分；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w:t>
            </w:r>
            <w:r>
              <w:rPr>
                <w:rFonts w:hint="eastAsia" w:ascii="宋体" w:hAnsi="宋体" w:cs="宋体"/>
                <w:color w:val="auto"/>
                <w:sz w:val="24"/>
                <w:szCs w:val="24"/>
                <w:highlight w:val="none"/>
                <w:lang w:val="en-US" w:eastAsia="zh-CN"/>
              </w:rPr>
              <w:t xml:space="preserve">技术参数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4.6. </w:t>
            </w:r>
            <w:r>
              <w:rPr>
                <w:rFonts w:hint="eastAsia" w:ascii="宋体" w:hAnsi="宋体" w:eastAsia="宋体" w:cs="宋体"/>
                <w:color w:val="auto"/>
                <w:sz w:val="24"/>
                <w:szCs w:val="24"/>
                <w:highlight w:val="none"/>
                <w:lang w:val="en-US" w:eastAsia="zh-CN"/>
              </w:rPr>
              <w:t xml:space="preserve">最终呈现图像质量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w:t>
            </w:r>
            <w:r>
              <w:rPr>
                <w:rFonts w:hint="eastAsia" w:ascii="宋体" w:hAnsi="宋体" w:eastAsia="宋体" w:cs="宋体"/>
                <w:color w:val="auto"/>
                <w:sz w:val="24"/>
                <w:szCs w:val="24"/>
                <w:highlight w:val="none"/>
                <w:lang w:val="en-US" w:eastAsia="zh-CN"/>
              </w:rPr>
              <w:t xml:space="preserve">空间</w:t>
            </w:r>
            <w:r>
              <w:rPr>
                <w:rFonts w:hint="eastAsia" w:ascii="宋体" w:hAnsi="宋体" w:eastAsia="宋体" w:cs="宋体"/>
                <w:color w:val="auto"/>
                <w:sz w:val="24"/>
                <w:szCs w:val="24"/>
                <w:highlight w:val="none"/>
              </w:rPr>
              <w:t xml:space="preserve">分辨率</w:t>
            </w:r>
            <w:r>
              <w:rPr>
                <w:rFonts w:hint="eastAsia" w:ascii="宋体" w:hAnsi="宋体" w:cs="宋体"/>
                <w:color w:val="auto"/>
                <w:sz w:val="24"/>
                <w:szCs w:val="24"/>
                <w:highlight w:val="none"/>
                <w:lang w:val="en-US" w:eastAsia="zh-CN"/>
              </w:rPr>
              <w:t xml:space="preserve">等于</w:t>
            </w:r>
            <w:r>
              <w:rPr>
                <w:rFonts w:hint="eastAsia" w:ascii="宋体" w:hAnsi="宋体" w:eastAsia="宋体" w:cs="宋体"/>
                <w:color w:val="auto"/>
                <w:sz w:val="24"/>
                <w:szCs w:val="24"/>
                <w:highlight w:val="none"/>
                <w:lang w:val="en-US" w:eastAsia="zh-CN"/>
              </w:rPr>
              <w:t xml:space="preserve">3.0</w:t>
            </w:r>
            <w:r>
              <w:rPr>
                <w:rFonts w:hint="eastAsia" w:ascii="宋体" w:hAnsi="宋体" w:cs="宋体"/>
                <w:color w:val="auto"/>
                <w:sz w:val="24"/>
                <w:szCs w:val="24"/>
                <w:highlight w:val="none"/>
                <w:lang w:val="en-US" w:eastAsia="zh-CN"/>
              </w:rPr>
              <w:t xml:space="preserve">L</w:t>
            </w:r>
            <w:r>
              <w:rPr>
                <w:rFonts w:hint="eastAsia" w:ascii="宋体" w:hAnsi="宋体" w:eastAsia="宋体" w:cs="宋体"/>
                <w:color w:val="auto"/>
                <w:sz w:val="24"/>
                <w:szCs w:val="24"/>
                <w:highlight w:val="none"/>
              </w:rPr>
              <w:t xml:space="preserve">p/mm</w:t>
            </w:r>
            <w:r>
              <w:rPr>
                <w:rFonts w:hint="eastAsia" w:ascii="宋体" w:hAnsi="宋体" w:cs="宋体"/>
                <w:color w:val="auto"/>
                <w:sz w:val="24"/>
                <w:szCs w:val="24"/>
                <w:highlight w:val="none"/>
                <w:lang w:val="en-US" w:eastAsia="zh-CN"/>
              </w:rPr>
              <w:t xml:space="preserve">的不得分，在3.0Lp/mm基础上每增加0.1Lp/mm ，加1分，最高得5分，其它不得分； 技术参数“</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像素尺寸</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rPr>
              <w:t xml:space="preserve">像素尺寸</w:t>
            </w:r>
            <w:r>
              <w:rPr>
                <w:rFonts w:hint="eastAsia" w:ascii="宋体" w:hAnsi="宋体" w:cs="宋体"/>
                <w:color w:val="auto"/>
                <w:sz w:val="24"/>
                <w:szCs w:val="24"/>
                <w:highlight w:val="none"/>
                <w:lang w:val="en-US" w:eastAsia="zh-CN"/>
              </w:rPr>
              <w:t xml:space="preserve">≤160的得1分，140＜</w:t>
            </w:r>
            <w:r>
              <w:rPr>
                <w:rFonts w:hint="eastAsia" w:ascii="宋体" w:hAnsi="宋体" w:eastAsia="宋体" w:cs="宋体"/>
                <w:color w:val="auto"/>
                <w:sz w:val="24"/>
                <w:szCs w:val="24"/>
                <w:highlight w:val="none"/>
              </w:rPr>
              <w:t xml:space="preserve">像素尺寸</w:t>
            </w:r>
            <w:r>
              <w:rPr>
                <w:rFonts w:hint="eastAsia" w:ascii="宋体" w:hAnsi="宋体" w:cs="宋体"/>
                <w:color w:val="auto"/>
                <w:sz w:val="24"/>
                <w:szCs w:val="24"/>
                <w:highlight w:val="none"/>
                <w:lang w:val="en-US" w:eastAsia="zh-CN"/>
              </w:rPr>
              <w:t xml:space="preserve">≤150的得2分，130＜</w:t>
            </w:r>
            <w:r>
              <w:rPr>
                <w:rFonts w:hint="eastAsia" w:ascii="宋体" w:hAnsi="宋体" w:eastAsia="宋体" w:cs="宋体"/>
                <w:color w:val="auto"/>
                <w:sz w:val="24"/>
                <w:szCs w:val="24"/>
                <w:highlight w:val="none"/>
              </w:rPr>
              <w:t xml:space="preserve">像素尺寸</w:t>
            </w:r>
            <w:r>
              <w:rPr>
                <w:rFonts w:hint="eastAsia" w:ascii="宋体" w:hAnsi="宋体" w:cs="宋体"/>
                <w:color w:val="auto"/>
                <w:sz w:val="24"/>
                <w:szCs w:val="24"/>
                <w:highlight w:val="none"/>
                <w:lang w:val="en-US" w:eastAsia="zh-CN"/>
              </w:rPr>
              <w:t xml:space="preserve">≤140的得3分，最高得3分，其它不得分。</w:t>
            </w:r>
            <w:r/>
          </w:p>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非▲号</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58</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cs="宋体"/>
                <w:color w:val="auto"/>
                <w:sz w:val="24"/>
                <w:szCs w:val="24"/>
                <w:highlight w:val="none"/>
                <w:lang w:val="en-US" w:eastAsia="zh-CN"/>
              </w:rPr>
              <w:t xml:space="preserve">加0.5</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最高得29分；</w:t>
            </w:r>
            <w:r/>
          </w:p>
          <w:p>
            <w:pPr>
              <w:numPr>
                <w:ilvl w:val="0"/>
                <w:numId w:val="0"/>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45</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投标人（或代理商、厂商） 提供自2022年1月1日（含）（以合同签订时间为准）以</w:t>
            </w:r>
            <w:r>
              <w:rPr>
                <w:rFonts w:hint="eastAsia" w:ascii="宋体" w:hAnsi="宋体" w:eastAsia="宋体" w:cs="宋体"/>
                <w:i w:val="0"/>
                <w:iCs w:val="0"/>
                <w:color w:val="000000" w:themeColor="text1"/>
                <w:sz w:val="24"/>
                <w:szCs w:val="24"/>
                <w:highlight w:val="none"/>
                <w:u w:val="none"/>
                <w:lang w:val="en-US" w:eastAsia="zh-CN" w:bidi="ar"/>
              </w:rPr>
              <w:t xml:space="preserve">来</w:t>
            </w:r>
            <w:r>
              <w:rPr>
                <w:rFonts w:hint="eastAsia" w:ascii="宋体" w:hAnsi="宋体" w:eastAsia="宋体" w:cs="宋体"/>
                <w:i w:val="0"/>
                <w:iCs w:val="0"/>
                <w:color w:val="000000" w:themeColor="text1"/>
                <w:sz w:val="24"/>
                <w:szCs w:val="24"/>
                <w:highlight w:val="none"/>
                <w:u w:val="none"/>
                <w:lang w:val="en-US" w:eastAsia="zh-CN" w:bidi="ar"/>
              </w:rPr>
              <w:t xml:space="preserve">类似项目的业绩合同复印件，</w:t>
            </w:r>
            <w:r>
              <w:rPr>
                <w:rFonts w:hint="eastAsia" w:ascii="宋体" w:hAnsi="宋体" w:eastAsia="宋体" w:cs="宋体"/>
                <w:i w:val="0"/>
                <w:iCs w:val="0"/>
                <w:color w:val="auto"/>
                <w:sz w:val="24"/>
                <w:szCs w:val="24"/>
                <w:highlight w:val="none"/>
                <w:u w:val="none"/>
                <w:lang w:val="en-US" w:eastAsia="zh-CN" w:bidi="ar"/>
              </w:rPr>
              <w:t xml:space="preserve">并加盖投标人公章，有1项得1分，本项最高得3分。（投标时须提供合同复印件加盖公章，合同要素至少包含合同双方名称、货物名称、品牌型号及合同签订时间（2022年1月1日起，含），合同要素不完整或者内容不清晰无法辨认或提供不全的不得分）。如未按要求提供，不得分。</w:t>
            </w:r>
            <w:bookmarkStart w:id="140" w:name="_GoBack"/>
            <w:r/>
            <w:bookmarkEnd w:id="140"/>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免费质量保修期（</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在项目需求最低质量保修期</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年基础上，每增加1年免费质量保修期的加</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分。免费质量保修期间产生的所有保修相关费用（</w:t>
            </w:r>
            <w:r>
              <w:rPr>
                <w:rFonts w:hint="eastAsia" w:ascii="宋体" w:hAnsi="宋体" w:cs="宋体"/>
                <w:i w:val="0"/>
                <w:iCs w:val="0"/>
                <w:color w:val="auto"/>
                <w:sz w:val="24"/>
                <w:szCs w:val="24"/>
                <w:highlight w:val="none"/>
                <w:u w:val="none"/>
                <w:lang w:val="en-US" w:eastAsia="zh-CN" w:bidi="ar"/>
              </w:rPr>
              <w:t xml:space="preserve">包含</w:t>
            </w:r>
            <w:r>
              <w:rPr>
                <w:rFonts w:hint="eastAsia" w:ascii="宋体" w:hAnsi="宋体" w:eastAsia="宋体" w:cs="宋体"/>
                <w:i w:val="0"/>
                <w:iCs w:val="0"/>
                <w:color w:val="auto"/>
                <w:sz w:val="24"/>
                <w:szCs w:val="24"/>
                <w:highlight w:val="none"/>
                <w:u w:val="none"/>
                <w:lang w:val="en-US" w:eastAsia="zh-CN" w:bidi="ar"/>
              </w:rPr>
              <w:t xml:space="preserve">人工费、备品备件、耗材、服务费、税金以及保修期间涉及到的其他一切费用</w:t>
            </w:r>
            <w:r>
              <w:rPr>
                <w:rFonts w:hint="eastAsia" w:ascii="宋体" w:hAnsi="宋体" w:cs="宋体"/>
                <w:i w:val="0"/>
                <w:iCs w:val="0"/>
                <w:color w:val="auto"/>
                <w:sz w:val="24"/>
                <w:szCs w:val="24"/>
                <w:highlight w:val="none"/>
                <w:u w:val="none"/>
                <w:lang w:val="en-US" w:eastAsia="zh-CN" w:bidi="ar"/>
              </w:rPr>
              <w:t xml:space="preserve">等</w:t>
            </w:r>
            <w:r>
              <w:rPr>
                <w:rFonts w:hint="eastAsia" w:ascii="宋体" w:hAnsi="宋体" w:eastAsia="宋体" w:cs="宋体"/>
                <w:i w:val="0"/>
                <w:iCs w:val="0"/>
                <w:color w:val="auto"/>
                <w:sz w:val="24"/>
                <w:szCs w:val="24"/>
                <w:highlight w:val="none"/>
                <w:u w:val="none"/>
                <w:lang w:val="en-US" w:eastAsia="zh-CN" w:bidi="ar"/>
              </w:rPr>
              <w:t xml:space="preserve">）全部由投标人承担。（以投标人投标时提供的承诺函（格式自拟）为准，未提供的不得分）。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投标人根据本项目第四部分中“六、人员配备”要求，配备丰富的管理及专业实施人员</w:t>
            </w:r>
            <w:r>
              <w:rPr>
                <w:rFonts w:hint="eastAsia" w:ascii="宋体" w:hAnsi="宋体" w:cs="宋体"/>
                <w:i w:val="0"/>
                <w:iCs w:val="0"/>
                <w:color w:val="auto"/>
                <w:sz w:val="24"/>
                <w:szCs w:val="24"/>
                <w:highlight w:val="none"/>
                <w:u w:val="none"/>
                <w:lang w:val="en-US" w:eastAsia="zh-CN" w:bidi="ar"/>
              </w:rPr>
              <w:t xml:space="preserve">团队，至少包括</w:t>
            </w:r>
            <w:r>
              <w:rPr>
                <w:rFonts w:hint="eastAsia" w:ascii="宋体" w:hAnsi="宋体" w:eastAsia="宋体" w:cs="宋体"/>
                <w:i w:val="0"/>
                <w:iCs w:val="0"/>
                <w:color w:val="auto"/>
                <w:sz w:val="24"/>
                <w:szCs w:val="24"/>
                <w:highlight w:val="none"/>
                <w:u w:val="none"/>
                <w:lang w:val="en-US" w:eastAsia="zh-CN" w:bidi="ar"/>
              </w:rPr>
              <w:t xml:space="preserve">管理人员投入、技术人员投入、安装调试人员投入，管理及专业实施人员配备优于本项目需求的得</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分，管理及专业实施人员配备满足本项目需求的得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分，管理及专业实施人员配备不满足或不提供不得分。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w:t>
            </w:r>
            <w:r>
              <w:rPr>
                <w:rFonts w:hint="eastAsia" w:ascii="宋体" w:hAnsi="宋体" w:cs="宋体"/>
                <w:i w:val="0"/>
                <w:iCs w:val="0"/>
                <w:color w:val="auto"/>
                <w:sz w:val="24"/>
                <w:szCs w:val="24"/>
                <w:highlight w:val="none"/>
                <w:u w:val="none"/>
                <w:lang w:val="en-US" w:eastAsia="zh-CN" w:bidi="ar"/>
              </w:rPr>
              <w:t xml:space="preserve">配备团队</w:t>
            </w:r>
            <w:r>
              <w:rPr>
                <w:rFonts w:hint="eastAsia" w:ascii="宋体" w:hAnsi="宋体" w:cs="宋体"/>
                <w:color w:val="auto"/>
                <w:sz w:val="24"/>
                <w:szCs w:val="24"/>
                <w:highlight w:val="none"/>
              </w:rPr>
              <w:t xml:space="preserve">能全部响应要求，提出更为</w:t>
            </w:r>
            <w:r>
              <w:rPr>
                <w:rFonts w:hint="eastAsia" w:ascii="宋体" w:hAnsi="宋体" w:cs="宋体"/>
                <w:color w:val="auto"/>
                <w:sz w:val="24"/>
                <w:szCs w:val="24"/>
                <w:highlight w:val="none"/>
                <w:lang w:val="en-US" w:eastAsia="zh-CN"/>
              </w:rPr>
              <w:t xml:space="preserve">全面</w:t>
            </w:r>
            <w:r>
              <w:rPr>
                <w:rFonts w:hint="eastAsia" w:ascii="宋体" w:hAnsi="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w:t>
            </w:r>
            <w:r>
              <w:rPr>
                <w:rFonts w:hint="eastAsia" w:ascii="宋体" w:hAnsi="宋体" w:cs="宋体"/>
                <w:i w:val="0"/>
                <w:iCs w:val="0"/>
                <w:color w:val="auto"/>
                <w:sz w:val="24"/>
                <w:szCs w:val="24"/>
                <w:highlight w:val="none"/>
                <w:u w:val="none"/>
                <w:lang w:val="en-US" w:eastAsia="zh-CN" w:bidi="ar"/>
              </w:rPr>
              <w:t xml:space="preserve">配备团队</w:t>
            </w:r>
            <w:r>
              <w:rPr>
                <w:rFonts w:hint="eastAsia" w:ascii="宋体" w:hAnsi="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w:t>
            </w:r>
            <w:r>
              <w:rPr>
                <w:rFonts w:hint="eastAsia" w:ascii="宋体" w:hAnsi="宋体" w:cs="宋体"/>
                <w:i w:val="0"/>
                <w:iCs w:val="0"/>
                <w:color w:val="auto"/>
                <w:sz w:val="24"/>
                <w:szCs w:val="24"/>
                <w:highlight w:val="none"/>
                <w:u w:val="none"/>
                <w:lang w:val="en-US" w:eastAsia="zh-CN" w:bidi="ar"/>
              </w:rPr>
              <w:t xml:space="preserve">配备团队</w:t>
            </w:r>
            <w:r>
              <w:rPr>
                <w:rFonts w:hint="eastAsia" w:ascii="宋体" w:hAnsi="宋体" w:cs="宋体"/>
                <w:color w:val="auto"/>
                <w:sz w:val="24"/>
                <w:szCs w:val="24"/>
                <w:highlight w:val="none"/>
              </w:rPr>
              <w:t xml:space="preserve">对于要求的响应不完全或者偏离要求的，视为不符合。具体由评审委员会评审。</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448"/>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投标人根据本项目第四部分中“7.1.项目实施方案”要求，提供科学合理的项目实施方案，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：①进度保障措施；②</w:t>
            </w:r>
            <w:r>
              <w:rPr>
                <w:rFonts w:hint="eastAsia" w:ascii="宋体" w:hAnsi="宋体" w:eastAsia="宋体" w:cs="宋体"/>
                <w:color w:val="auto"/>
                <w:sz w:val="24"/>
                <w:szCs w:val="24"/>
                <w:highlight w:val="none"/>
                <w:lang w:val="en-US" w:eastAsia="zh-CN"/>
              </w:rPr>
              <w:t xml:space="preserve">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设备验收</w:t>
            </w:r>
            <w:r>
              <w:rPr>
                <w:rFonts w:hint="eastAsia" w:ascii="宋体" w:hAnsi="宋体" w:eastAsia="宋体" w:cs="宋体"/>
                <w:color w:val="auto"/>
                <w:sz w:val="24"/>
                <w:szCs w:val="24"/>
                <w:highlight w:val="none"/>
              </w:rPr>
              <w:t xml:space="preserve">方案等方面内容</w:t>
            </w:r>
            <w:r>
              <w:rPr>
                <w:rFonts w:hint="eastAsia" w:ascii="宋体" w:hAnsi="宋体" w:eastAsia="宋体" w:cs="宋体"/>
                <w:color w:val="auto"/>
                <w:sz w:val="24"/>
                <w:szCs w:val="24"/>
                <w:highlight w:val="none"/>
                <w:lang w:eastAsia="zh-CN"/>
              </w:rPr>
              <w:t xml:space="preserve">。</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分，每有一处内容存在缺陷或不满足要求的扣1分，扣完为止。（缺陷或不满足指：与实际需求不符、套用其他项目方案、有规范性或常识性错误、存在无关的事项等任意一种情形）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2396"/>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投标人根据本项目第四部分中“7.2.售后服务方案”要求，提供科学合理的售后服务方案，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售后服务体系</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退换货与更换服务</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回访巡检方案</w:t>
            </w:r>
            <w:r>
              <w:rPr>
                <w:rFonts w:hint="eastAsia" w:ascii="宋体" w:hAnsi="宋体" w:cs="宋体"/>
                <w:color w:val="auto"/>
                <w:sz w:val="24"/>
                <w:szCs w:val="24"/>
                <w:highlight w:val="none"/>
                <w:lang w:val="en-US" w:eastAsia="zh-CN"/>
              </w:rPr>
              <w:t xml:space="preserve">等方面内容。</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分，每有一项内容缺失的扣2分，每有一处内容存在缺陷或不满足要求的扣1分，扣完为止。（缺陷或不满足指：与实际需求不符、套用其他项目方案、有规范性或常识性错误、存在无关的事项等任意一种情形）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95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节能产品</w:t>
            </w:r>
            <w:r>
              <w:rPr>
                <w:rFonts w:hint="eastAsia" w:ascii="宋体" w:hAnsi="宋体" w:cs="宋体"/>
                <w:i w:val="0"/>
                <w:iCs w:val="0"/>
                <w:color w:val="auto"/>
                <w:sz w:val="24"/>
                <w:szCs w:val="24"/>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特别说明：本项目采购产品未被财政部、国家发改委等列入“节能产品品目清单”强制采购范围。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1分</w:t>
            </w:r>
            <w:r/>
          </w:p>
        </w:tc>
      </w:tr>
      <w:tr>
        <w:trPr>
          <w:jc w:val="center"/>
          <w:trHeight w:val="1852"/>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环境标志产品</w:t>
            </w:r>
            <w:r>
              <w:rPr>
                <w:rFonts w:hint="eastAsia" w:ascii="宋体" w:hAnsi="宋体" w:cs="宋体"/>
                <w:i w:val="0"/>
                <w:iCs w:val="0"/>
                <w:color w:val="auto"/>
                <w:sz w:val="24"/>
                <w:szCs w:val="24"/>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特别说明：本项目采购产品未被财政部、生态环境部等列入 “环境标志产品品目清单”强制采购范围。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1分</w:t>
            </w:r>
            <w:r/>
          </w:p>
        </w:tc>
      </w:tr>
    </w:tbl>
    <w:p>
      <w:pPr>
        <w:ind w:right="-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54"/>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本项目对符合规定的小型和微型企业报价给予20%的扣除价格，用扣除后的价格参与评审。</w:t>
      </w:r>
      <w:r/>
    </w:p>
    <w:p>
      <w:pPr>
        <w:pStyle w:val="854"/>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供应商需按照采购文件的要求提供相应的《中小企业声明函》。</w:t>
      </w:r>
      <w:r/>
    </w:p>
    <w:p>
      <w:pPr>
        <w:pStyle w:val="854"/>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企业标准请参照《关于印发中小企业划型标准规定的通知》（工信部联企业〔2011〕300号）文件规定自行填写。</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（1）本项目对残疾人福利性单位视同小型、微型企业，给予20%的价格扣除。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（1）本项目对监狱和戒毒企业（简称监狱企业）视同小型、微型企业，给予20%的价格扣除。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.强化政府采购异常低价审查</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采购人应在采购文件中明确评审委员会启动异常低价投标（响应）审查的情形和具体要求，包括：</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（一）评审过程中出现下列情形之一的，评审委员会应当启动异常低价投标（响应）审查程序：</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1.投标（响应）报价低于采购项目预算50%的，即投标（响应）报价 &lt; 采购项目预算×50%；</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2.投标（响应）报价低于采购项目最高限价45%的，即投标（响应）报价 &lt; 采购项目最高限价×45%；</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3.评审委员会认定的供应商报价过低、有可能影响产品质量或者不能诚信履约的其他情形。</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numPr>
          <w:ilvl w:val="0"/>
          <w:numId w:val="0"/>
        </w:numPr>
        <w:jc w:val="center"/>
        <w:spacing w:line="360" w:lineRule="auto"/>
        <w:rPr>
          <w:rFonts w:hint="eastAsia" w:ascii="宋体" w:hAnsi="宋体" w:eastAsia="宋体" w:cs="宋体"/>
          <w:b/>
          <w:bCs/>
          <w:color w:val="auto"/>
          <w:spacing w:val="-1"/>
          <w:sz w:val="24"/>
          <w:szCs w:val="24"/>
          <w:highlight w:val="none"/>
        </w:rPr>
        <w:outlineLvl w:val="0"/>
      </w:pPr>
      <w:r/>
      <w:bookmarkStart w:id="62" w:name="EBae7807b0bcbc478ea1f502c8f1955356"/>
      <w:r/>
      <w:bookmarkEnd w:id="62"/>
      <w:r/>
      <w:bookmarkStart w:id="63" w:name="_Toc514054481"/>
      <w:r>
        <w:rPr>
          <w:rFonts w:hint="eastAsia"/>
          <w:b/>
          <w:color w:val="auto"/>
          <w:sz w:val="44"/>
          <w:szCs w:val="44"/>
          <w:highlight w:val="none"/>
        </w:rPr>
        <w:br w:type="page" w:clear="all"/>
      </w:r>
      <w:bookmarkStart w:id="64" w:name="_Toc1505"/>
      <w:r>
        <w:rPr>
          <w:rFonts w:hint="eastAsia"/>
          <w:b/>
          <w:color w:val="auto"/>
          <w:sz w:val="44"/>
          <w:szCs w:val="44"/>
          <w:highlight w:val="none"/>
        </w:rPr>
        <w:t xml:space="preserve">第</w:t>
      </w:r>
      <w:r>
        <w:rPr>
          <w:rFonts w:hint="eastAsia"/>
          <w:b/>
          <w:color w:val="auto"/>
          <w:sz w:val="44"/>
          <w:szCs w:val="44"/>
          <w:highlight w:val="none"/>
          <w:lang w:val="en-US" w:eastAsia="zh-CN"/>
        </w:rPr>
        <w:t xml:space="preserve">四</w:t>
      </w:r>
      <w:r>
        <w:rPr>
          <w:rFonts w:hint="eastAsia"/>
          <w:b/>
          <w:color w:val="auto"/>
          <w:sz w:val="44"/>
          <w:szCs w:val="44"/>
          <w:highlight w:val="none"/>
        </w:rPr>
        <w:t xml:space="preserve">部分</w:t>
      </w:r>
      <w:r>
        <w:rPr>
          <w:b/>
          <w:color w:val="auto"/>
          <w:sz w:val="44"/>
          <w:szCs w:val="44"/>
          <w:highlight w:val="none"/>
        </w:rPr>
        <w:t xml:space="preserve"> </w:t>
      </w:r>
      <w:r>
        <w:rPr>
          <w:rFonts w:hint="eastAsia"/>
          <w:b/>
          <w:color w:val="auto"/>
          <w:sz w:val="44"/>
          <w:szCs w:val="44"/>
          <w:highlight w:val="none"/>
        </w:rPr>
        <w:t xml:space="preserve">采购需求</w:t>
      </w:r>
      <w:bookmarkEnd w:id="63"/>
      <w:r/>
      <w:bookmarkEnd w:id="64"/>
      <w:r/>
      <w:r/>
    </w:p>
    <w:p>
      <w:pPr>
        <w:pStyle w:val="675"/>
        <w:spacing w:before="103"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pacing w:val="-1"/>
          <w:sz w:val="28"/>
          <w:szCs w:val="28"/>
          <w:highlight w:val="none"/>
        </w:rPr>
        <w:t xml:space="preserve">一、</w:t>
      </w:r>
      <w:r>
        <w:rPr>
          <w:rFonts w:hint="eastAsia" w:ascii="宋体" w:hAnsi="宋体" w:eastAsia="宋体" w:cs="宋体"/>
          <w:b/>
          <w:bCs/>
          <w:color w:val="auto"/>
          <w:spacing w:val="-1"/>
          <w:sz w:val="28"/>
          <w:szCs w:val="28"/>
          <w:highlight w:val="none"/>
          <w:lang w:val="en-US" w:eastAsia="zh-CN"/>
        </w:rPr>
        <w:t xml:space="preserve">需求一览表</w:t>
      </w:r>
      <w:r/>
    </w:p>
    <w:tbl>
      <w:tblPr>
        <w:tblStyle w:val="671"/>
        <w:tblW w:w="9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6"/>
        <w:gridCol w:w="2748"/>
        <w:gridCol w:w="1068"/>
        <w:gridCol w:w="2612"/>
        <w:gridCol w:w="1980"/>
      </w:tblGrid>
      <w:tr>
        <w:trPr>
          <w:jc w:val="center"/>
          <w:trHeight w:val="590"/>
        </w:trPr>
        <w:tc>
          <w:tcPr>
            <w:shd w:val="clear" w:color="auto" w:fill="auto"/>
            <w:tcBorders>
              <w:top w:val="single" w:color="000000" w:sz="4" w:space="0"/>
              <w:left w:val="single" w:color="000000" w:sz="4" w:space="0"/>
              <w:bottom w:val="single" w:color="auto" w:sz="4" w:space="0"/>
              <w:right w:val="single" w:color="000000" w:sz="4" w:space="0"/>
            </w:tcBorders>
            <w:tcW w:w="77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bookmarkStart w:id="65" w:name="_Toc514054482"/>
            <w:r/>
            <w:bookmarkStart w:id="66" w:name="_Toc9306"/>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274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auto" w:sz="4" w:space="0"/>
              <w:right w:val="single" w:color="000000" w:sz="4" w:space="0"/>
            </w:tcBorders>
            <w:tcW w:w="106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auto" w:sz="4" w:space="0"/>
              <w:right w:val="single" w:color="000000" w:sz="4" w:space="0"/>
            </w:tcBorders>
            <w:tcW w:w="261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交货期</w:t>
            </w:r>
            <w:r/>
          </w:p>
        </w:tc>
        <w:tc>
          <w:tcPr>
            <w:shd w:val="clear" w:color="auto" w:fill="auto"/>
            <w:tcBorders>
              <w:top w:val="single" w:color="000000" w:sz="4" w:space="0"/>
              <w:left w:val="single" w:color="000000" w:sz="4" w:space="0"/>
              <w:bottom w:val="single" w:color="auto" w:sz="4" w:space="0"/>
              <w:right w:val="single" w:color="000000" w:sz="4" w:space="0"/>
            </w:tcBorders>
            <w:tcW w:w="19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交货地点</w:t>
            </w:r>
            <w:r/>
          </w:p>
        </w:tc>
      </w:tr>
      <w:tr>
        <w:trPr>
          <w:jc w:val="center"/>
          <w:trHeight w:val="547"/>
        </w:trPr>
        <w:tc>
          <w:tcPr>
            <w:shd w:val="clear" w:color="auto" w:fill="auto"/>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keepLines w:val="0"/>
              <w:keepNext w:val="0"/>
              <w:spacing w:line="240" w:lineRule="auto"/>
              <w:widowControl/>
              <w:rPr>
                <w:rFonts w:hint="eastAsia"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748" w:type="dxa"/>
            <w:vAlign w:val="center"/>
            <w:textDirection w:val="lrTb"/>
            <w:noWrap w:val="false"/>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移动式C型臂X光机</w:t>
            </w:r>
            <w:r/>
          </w:p>
        </w:tc>
        <w:tc>
          <w:tcPr>
            <w:shd w:val="clear" w:color="auto" w:fill="auto"/>
            <w:tcBorders>
              <w:top w:val="single" w:color="auto" w:sz="4" w:space="0"/>
              <w:left w:val="single" w:color="auto" w:sz="4" w:space="0"/>
              <w:bottom w:val="single" w:color="auto" w:sz="4" w:space="0"/>
              <w:right w:val="single" w:color="auto" w:sz="4" w:space="0"/>
            </w:tcBorders>
            <w:tcW w:w="1068" w:type="dxa"/>
            <w:vAlign w:val="center"/>
            <w:textDirection w:val="lrTb"/>
            <w:noWrap/>
          </w:tcPr>
          <w:p>
            <w:pPr>
              <w:jc w:val="center"/>
              <w:rPr>
                <w:rFonts w:hint="eastAsia" w:ascii="宋体" w:hAnsi="宋体" w:cs="宋体"/>
                <w:color w:val="auto"/>
                <w:sz w:val="24"/>
                <w:szCs w:val="24"/>
                <w:highlight w:val="none"/>
                <w:vertAlign w:val="baseline"/>
                <w:lang w:val="en-US" w:eastAsia="zh-CN"/>
              </w:rPr>
            </w:pPr>
            <w:r>
              <w:rPr>
                <w:rFonts w:hint="eastAsia" w:ascii="宋体" w:hAnsi="宋体" w:cs="宋体"/>
                <w:color w:val="auto"/>
                <w:spacing w:val="0"/>
                <w:sz w:val="24"/>
                <w:szCs w:val="24"/>
                <w:highlight w:val="none"/>
              </w:rPr>
              <w:t xml:space="preserve">1套</w:t>
            </w:r>
            <w:r/>
          </w:p>
        </w:tc>
        <w:tc>
          <w:tcPr>
            <w:shd w:val="clear" w:color="auto" w:fill="auto"/>
            <w:tcBorders>
              <w:top w:val="single" w:color="auto" w:sz="4" w:space="0"/>
              <w:left w:val="single" w:color="auto" w:sz="4" w:space="0"/>
              <w:bottom w:val="single" w:color="auto" w:sz="4" w:space="0"/>
              <w:right w:val="single" w:color="auto" w:sz="4" w:space="0"/>
            </w:tcBorders>
            <w:tcW w:w="2612" w:type="dxa"/>
            <w:vAlign w:val="center"/>
            <w:textDirection w:val="lrTb"/>
            <w:noWrap/>
          </w:tcPr>
          <w:p>
            <w:pPr>
              <w:jc w:val="center"/>
              <w:spacing w:line="240" w:lineRule="auto"/>
              <w:rPr>
                <w:rFonts w:hint="eastAsia" w:ascii="宋体" w:hAnsi="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rPr>
              <w:t xml:space="preserve">合同签订后</w:t>
            </w:r>
            <w:r>
              <w:rPr>
                <w:rFonts w:hint="eastAsia" w:ascii="宋体" w:hAnsi="宋体" w:eastAsia="宋体" w:cs="宋体"/>
                <w:i w:val="0"/>
                <w:iCs w:val="0"/>
                <w:color w:val="auto"/>
                <w:sz w:val="24"/>
                <w:szCs w:val="24"/>
                <w:highlight w:val="none"/>
                <w:u w:val="none"/>
                <w:lang w:val="en-US" w:eastAsia="zh-CN"/>
              </w:rPr>
              <w:t xml:space="preserve">60日</w:t>
            </w:r>
            <w:r>
              <w:rPr>
                <w:rFonts w:hint="eastAsia" w:ascii="宋体" w:hAnsi="宋体" w:eastAsia="宋体" w:cs="宋体"/>
                <w:i w:val="0"/>
                <w:iCs w:val="0"/>
                <w:color w:val="auto"/>
                <w:sz w:val="24"/>
                <w:szCs w:val="24"/>
                <w:highlight w:val="none"/>
                <w:u w:val="none"/>
              </w:rPr>
              <w:t xml:space="preserve">内</w:t>
            </w: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tcPr>
          <w:p>
            <w:pPr>
              <w:jc w:val="center"/>
              <w:spacing w:line="240" w:lineRule="auto"/>
              <w:rPr>
                <w:rFonts w:hint="eastAsia" w:ascii="宋体" w:hAnsi="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rPr>
              <w:t xml:space="preserve">采购人</w:t>
            </w:r>
            <w:r>
              <w:rPr>
                <w:rFonts w:hint="eastAsia" w:ascii="宋体" w:hAnsi="宋体" w:eastAsia="宋体" w:cs="宋体"/>
                <w:i w:val="0"/>
                <w:iCs w:val="0"/>
                <w:color w:val="auto"/>
                <w:sz w:val="24"/>
                <w:szCs w:val="24"/>
                <w:highlight w:val="none"/>
                <w:u w:val="none"/>
              </w:rPr>
              <w:t xml:space="preserve">指定地点</w:t>
            </w:r>
            <w:r/>
          </w:p>
        </w:tc>
      </w:tr>
    </w:tbl>
    <w:p>
      <w:pPr>
        <w:pStyle w:val="675"/>
        <w:spacing w:before="183" w:line="360" w:lineRule="auto"/>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pacing w:val="-2"/>
          <w:sz w:val="28"/>
          <w:szCs w:val="28"/>
          <w:highlight w:val="none"/>
        </w:rPr>
      </w:r>
      <w:r/>
    </w:p>
    <w:p>
      <w:pPr>
        <w:pStyle w:val="675"/>
        <w:spacing w:before="183" w:line="360" w:lineRule="auto"/>
        <w:rPr>
          <w:rFonts w:hint="eastAsia" w:ascii="宋体" w:hAnsi="宋体"/>
          <w:b/>
          <w:color w:val="auto"/>
          <w:sz w:val="32"/>
          <w:szCs w:val="32"/>
          <w:highlight w:val="none"/>
        </w:rPr>
      </w:pPr>
      <w:r>
        <w:rPr>
          <w:rFonts w:hint="eastAsia" w:ascii="宋体" w:hAnsi="宋体" w:eastAsia="宋体" w:cs="宋体"/>
          <w:b/>
          <w:bCs/>
          <w:color w:val="auto"/>
          <w:spacing w:val="-2"/>
          <w:sz w:val="28"/>
          <w:szCs w:val="28"/>
          <w:highlight w:val="none"/>
        </w:rPr>
        <w:t xml:space="preserve">二、</w:t>
      </w:r>
      <w:r>
        <w:rPr>
          <w:rFonts w:hint="eastAsia" w:ascii="宋体" w:hAnsi="宋体" w:eastAsia="宋体" w:cs="宋体"/>
          <w:b/>
          <w:bCs/>
          <w:color w:val="auto"/>
          <w:spacing w:val="-2"/>
          <w:sz w:val="28"/>
          <w:szCs w:val="28"/>
          <w:highlight w:val="none"/>
          <w:lang w:val="en-US" w:eastAsia="zh-CN"/>
        </w:rPr>
        <w:t xml:space="preserve">技术参数要求</w:t>
      </w:r>
      <w:r>
        <w:rPr>
          <w:rFonts w:hint="eastAsia" w:ascii="宋体" w:hAnsi="宋体" w:eastAsia="宋体" w:cs="宋体"/>
          <w:b/>
          <w:bCs/>
          <w:color w:val="auto"/>
          <w:spacing w:val="-2"/>
          <w:sz w:val="28"/>
          <w:szCs w:val="28"/>
          <w:highlight w:val="none"/>
        </w:rPr>
        <w:t xml:space="preserve">：</w:t>
      </w:r>
      <w:r/>
    </w:p>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总体要求：</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工作站与C臂高度集成，整机一体式设计，节约手术室空间。</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内置UPS不间断电源系统</w:t>
      </w:r>
      <w:r/>
    </w:p>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高压发生器：</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最大输出功率： ≥2.5kW</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发生器工作频率（谐振频率）： ≥40kHz</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透视最大KV值： ≥110kV</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透视最小KV值： ≤40kV</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透视最大mA值： ≥25mA</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数字点片最大mA值： ≥20mA</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lang w:val="en-US" w:eastAsia="zh-CN"/>
        </w:rPr>
        <w:t xml:space="preserve">低</w:t>
      </w:r>
      <w:r>
        <w:rPr>
          <w:rFonts w:hint="eastAsia" w:ascii="宋体" w:hAnsi="宋体" w:eastAsia="宋体" w:cs="宋体"/>
          <w:color w:val="auto"/>
          <w:sz w:val="24"/>
          <w:szCs w:val="24"/>
          <w:highlight w:val="none"/>
        </w:rPr>
        <w:t xml:space="preserve">剂量透视模式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支持≤50%标准透视剂量</w:t>
      </w:r>
      <w:r>
        <w:rPr>
          <w:rFonts w:hint="eastAsia" w:ascii="宋体" w:hAnsi="宋体" w:eastAsia="宋体" w:cs="宋体"/>
          <w:color w:val="auto"/>
          <w:sz w:val="24"/>
          <w:szCs w:val="24"/>
          <w:highlight w:val="none"/>
          <w:lang w:eastAsia="zh-CN"/>
        </w:rPr>
        <w:t xml:space="preserve">）</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具备</w:t>
      </w:r>
      <w:r>
        <w:rPr>
          <w:rFonts w:hint="eastAsia" w:ascii="宋体" w:hAnsi="宋体" w:eastAsia="宋体" w:cs="宋体"/>
          <w:color w:val="auto"/>
          <w:sz w:val="24"/>
          <w:szCs w:val="24"/>
          <w:highlight w:val="none"/>
          <w:lang w:val="en-US" w:eastAsia="zh-CN"/>
        </w:rPr>
        <w:t xml:space="preserve">低</w:t>
      </w:r>
      <w:r>
        <w:rPr>
          <w:rFonts w:hint="eastAsia" w:ascii="宋体" w:hAnsi="宋体" w:eastAsia="宋体" w:cs="宋体"/>
          <w:color w:val="auto"/>
          <w:sz w:val="24"/>
          <w:szCs w:val="24"/>
          <w:highlight w:val="none"/>
        </w:rPr>
        <w:t xml:space="preserve">剂量脉冲透视模式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支持≤50%标准透视剂量</w:t>
      </w:r>
      <w:r>
        <w:rPr>
          <w:rFonts w:hint="eastAsia" w:ascii="宋体" w:hAnsi="宋体" w:eastAsia="宋体" w:cs="宋体"/>
          <w:color w:val="auto"/>
          <w:sz w:val="24"/>
          <w:szCs w:val="24"/>
          <w:highlight w:val="none"/>
          <w:lang w:eastAsia="zh-CN"/>
        </w:rPr>
        <w:t xml:space="preserve">）</w:t>
      </w:r>
      <w:r/>
    </w:p>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球管系统：</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固定阳极或旋转阳极，具备双焦点设计。</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焦点：小焦点≤0.6mm；大焦点</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管套散热率： ≥1</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KHU/min</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3.4.</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阳极热容量： ≥75KHU</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阳极散热率： ≥35KHU/min</w:t>
      </w:r>
      <w:r/>
    </w:p>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平板探测器：</w:t>
      </w:r>
      <w:r/>
    </w:p>
    <w:p>
      <w:pPr>
        <w:ind w:firstLine="240"/>
        <w:keepLines w:val="0"/>
        <w:keepNext w:val="0"/>
        <w:pageBreakBefore w:val="0"/>
        <w:spacing w:line="360" w:lineRule="auto"/>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4.1. </w:t>
      </w:r>
      <w:r>
        <w:rPr>
          <w:rFonts w:hint="eastAsia" w:ascii="宋体" w:hAnsi="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平板探测器材质：CMOS晶体硅</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探测器尺寸： ≥21cm*21cm</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图像采集最大像素矩阵： ≥1.5k*1.5k</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后处理灰阶： ≥32bit</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4.5.</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可选视野尺寸≥3种</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4.6.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最终呈现图像质量：设备</w:t>
      </w:r>
      <w:r>
        <w:rPr>
          <w:rFonts w:hint="eastAsia" w:ascii="宋体" w:hAnsi="宋体" w:eastAsia="宋体" w:cs="宋体"/>
          <w:color w:val="auto"/>
          <w:sz w:val="24"/>
          <w:szCs w:val="24"/>
          <w:highlight w:val="none"/>
        </w:rPr>
        <w:t xml:space="preserve">对组织部位的细节表现力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w:t>
      </w:r>
      <w:r>
        <w:rPr>
          <w:rFonts w:hint="eastAsia" w:ascii="宋体" w:hAnsi="宋体" w:eastAsia="宋体" w:cs="宋体"/>
          <w:color w:val="auto"/>
          <w:sz w:val="24"/>
          <w:szCs w:val="24"/>
          <w:highlight w:val="none"/>
          <w:lang w:val="en-US" w:eastAsia="zh-CN"/>
        </w:rPr>
        <w:t xml:space="preserve">空间</w:t>
      </w:r>
      <w:r>
        <w:rPr>
          <w:rFonts w:hint="eastAsia" w:ascii="宋体" w:hAnsi="宋体" w:eastAsia="宋体" w:cs="宋体"/>
          <w:color w:val="auto"/>
          <w:sz w:val="24"/>
          <w:szCs w:val="24"/>
          <w:highlight w:val="none"/>
        </w:rPr>
        <w:t xml:space="preserve">分辨率</w:t>
      </w:r>
      <w:r>
        <w:rPr>
          <w:rFonts w:hint="eastAsia" w:ascii="宋体" w:hAnsi="宋体" w:eastAsia="宋体" w:cs="宋体"/>
          <w:color w:val="auto"/>
          <w:sz w:val="24"/>
          <w:szCs w:val="24"/>
          <w:highlight w:val="none"/>
          <w:lang w:val="en-US" w:eastAsia="zh-CN"/>
        </w:rPr>
        <w:t xml:space="preserve">应≥3.0</w:t>
      </w:r>
      <w:r>
        <w:rPr>
          <w:rFonts w:hint="eastAsia" w:ascii="宋体" w:hAnsi="宋体" w:cs="宋体"/>
          <w:color w:val="auto"/>
          <w:sz w:val="24"/>
          <w:szCs w:val="24"/>
          <w:highlight w:val="none"/>
          <w:lang w:val="en-US" w:eastAsia="zh-CN"/>
        </w:rPr>
        <w:t xml:space="preserve">L</w:t>
      </w:r>
      <w:r>
        <w:rPr>
          <w:rFonts w:hint="eastAsia" w:ascii="宋体" w:hAnsi="宋体" w:eastAsia="宋体" w:cs="宋体"/>
          <w:color w:val="auto"/>
          <w:sz w:val="24"/>
          <w:szCs w:val="24"/>
          <w:highlight w:val="none"/>
        </w:rPr>
        <w:t xml:space="preserve">p/mm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ab/>
      </w:r>
      <w:r/>
    </w:p>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像素尺寸： ≤1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0um</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提供产品说明书、或注册证明文件、或生产企业盖章确认的技术白皮书、或生产厂家公开发行的宣传彩页</w:t>
      </w:r>
      <w:r>
        <w:rPr>
          <w:rFonts w:hint="eastAsia" w:ascii="宋体" w:hAnsi="宋体" w:eastAsia="宋体" w:cs="宋体"/>
          <w:color w:val="auto"/>
          <w:sz w:val="24"/>
          <w:szCs w:val="24"/>
          <w:highlight w:val="none"/>
          <w:lang w:eastAsia="zh-CN"/>
        </w:rPr>
        <w:t xml:space="preserve">）</w:t>
      </w:r>
      <w:r/>
    </w:p>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限束器：</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双叶限束器：具备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虹膜限束器：具备</w:t>
      </w:r>
      <w:r/>
    </w:p>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监视器：</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医用平板显示器： ≥27英寸</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显示器最高分辨率： ≥3840*2160</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显示器灰阶： ≥10 bit</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显示器具备≥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轴万向臂设计，实现多角度影像观察</w:t>
      </w:r>
      <w:r/>
    </w:p>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系统控制：</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中文系统控制界面</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Linux或windows操作系统</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手闸，脚闸曝光控制</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控制界面要求液晶触摸屏</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支持多点触控操作</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具备不插电待机转场功能： ≥5分钟</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7.7.</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控制界面大小： ≥10英寸</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控制界面最高分辨率： ≥1280×800</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控制界面可旋转摆动： ≥270度</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脚踏曝光开关线缆： ≥10米</w:t>
      </w:r>
      <w:r/>
    </w:p>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C形臂：</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球管焦点到影像接收面的距离（SID）： ≥100cm</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 口： ≥7</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cm</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弧深： ≥65cm</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水平移动： ≥20cm</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8.5.</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垂直升降： 电动， ≥45cm</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左右摆角： ≥±12 °</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C臂旋转角度： ≥±205 °</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C臂轨道内运动角度： ≥150 °</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8.9.</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C臂轨道内过伸角度： ≥55 °</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C臂最低水平位投照高度： ≤10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cm</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C臂与工作站为一体设计无线缆连接：具备</w:t>
      </w:r>
      <w:r/>
    </w:p>
    <w:p>
      <w:pPr>
        <w:ind w:firstLine="241"/>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rPr>
        <w:tab/>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图像处理功能：</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患者信息编辑：具备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图像存储： ≥150,000幅</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曝光模式： ≥8种</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rPr>
        <w:t xml:space="preserve">实时显示</w:t>
      </w:r>
      <w:r>
        <w:rPr>
          <w:rFonts w:hint="eastAsia" w:ascii="宋体" w:hAnsi="宋体" w:eastAsia="宋体" w:cs="宋体"/>
          <w:color w:val="auto"/>
          <w:sz w:val="24"/>
          <w:szCs w:val="24"/>
          <w:highlight w:val="none"/>
          <w:lang w:val="en-US" w:eastAsia="zh-CN"/>
        </w:rPr>
        <w:t xml:space="preserve">并自动保存当前</w:t>
      </w:r>
      <w:r>
        <w:rPr>
          <w:rFonts w:hint="eastAsia" w:ascii="宋体" w:hAnsi="宋体" w:eastAsia="宋体" w:cs="宋体"/>
          <w:color w:val="auto"/>
          <w:sz w:val="24"/>
          <w:szCs w:val="24"/>
          <w:highlight w:val="none"/>
        </w:rPr>
        <w:t xml:space="preserve">剂量</w:t>
      </w:r>
      <w:r>
        <w:rPr>
          <w:rFonts w:hint="eastAsia" w:ascii="宋体" w:hAnsi="宋体" w:eastAsia="宋体" w:cs="宋体"/>
          <w:color w:val="auto"/>
          <w:sz w:val="24"/>
          <w:szCs w:val="24"/>
          <w:highlight w:val="none"/>
          <w:lang w:val="en-US" w:eastAsia="zh-CN"/>
        </w:rPr>
        <w:t xml:space="preserve">信息，</w:t>
      </w:r>
      <w:r>
        <w:rPr>
          <w:rFonts w:hint="eastAsia" w:ascii="宋体" w:hAnsi="宋体" w:eastAsia="宋体" w:cs="宋体"/>
          <w:color w:val="auto"/>
          <w:sz w:val="24"/>
          <w:szCs w:val="24"/>
          <w:highlight w:val="none"/>
        </w:rPr>
        <w:t xml:space="preserve">具备剂量统计报告功能</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电影放大功能：具备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9.6.</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智能图像控制</w:t>
      </w:r>
      <w:r>
        <w:rPr>
          <w:rFonts w:hint="eastAsia" w:ascii="宋体" w:hAnsi="宋体" w:eastAsia="宋体" w:cs="宋体"/>
          <w:color w:val="auto"/>
          <w:sz w:val="24"/>
          <w:szCs w:val="24"/>
          <w:highlight w:val="none"/>
          <w:lang w:val="en-US" w:eastAsia="zh-CN"/>
        </w:rPr>
        <w:t xml:space="preserve">功能，根据实时曝光亮度值，在极短时间内自动调节kV/mA参数，确保图像亮度和对比度稳定。通过自动化调整曝光参数来优化图像质量，减少操作人员的技术依赖。</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9.7.</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目标位置追踪功能：具备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9.8.</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自动亮度对比度调整：具备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9.9.</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去除运动噪点与伪影功能：具备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金属修正功能：具备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窗口设定功能：具备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图像均衡优化功能：具备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图像放大及游走： ≥400%</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实时图像边缘增强技术：具备</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具备USB导出BMP,JPEG,DICOM,MP4格式图像</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9.16.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信息化要求：负责对接医院信息管理系统，包含与医院现有信息系统的接口费用，保证互联互通</w:t>
      </w:r>
      <w:r>
        <w:rPr>
          <w:rFonts w:hint="eastAsia" w:ascii="宋体" w:hAnsi="宋体" w:cs="宋体"/>
          <w:color w:val="auto"/>
          <w:sz w:val="24"/>
          <w:szCs w:val="24"/>
          <w:highlight w:val="none"/>
          <w:lang w:eastAsia="zh-CN"/>
        </w:rPr>
        <w:t xml:space="preserve">。</w:t>
      </w:r>
      <w:r/>
    </w:p>
    <w:p>
      <w:pPr>
        <w:pStyle w:val="855"/>
        <w:ind w:firstLine="0"/>
        <w:keepLines w:val="0"/>
        <w:keepNext w:val="0"/>
        <w:pageBreakBefore w:val="0"/>
        <w:spacing w:line="360" w:lineRule="auto"/>
        <w:widowControl w:val="off"/>
        <w:rPr>
          <w:rFonts w:hint="eastAsia" w:ascii="宋体" w:hAnsi="宋体" w:cs="宋体"/>
          <w:i/>
          <w:color w:val="auto"/>
          <w:sz w:val="24"/>
          <w:highlight w:val="none"/>
          <w:u w:val="single"/>
          <w:lang w:eastAsia="zh-CN"/>
        </w:rPr>
        <w:outlineLvl w:val="1"/>
      </w:pPr>
      <w:r>
        <w:rPr>
          <w:rFonts w:hint="eastAsia" w:ascii="宋体" w:hAnsi="宋体" w:eastAsia="宋体" w:cs="宋体"/>
          <w:b/>
          <w:bCs w:val="0"/>
          <w:i/>
          <w:iCs/>
          <w:color w:val="auto"/>
          <w:sz w:val="24"/>
          <w:highlight w:val="none"/>
          <w:u w:val="single"/>
        </w:rPr>
        <w:t xml:space="preserve">特别说明：</w:t>
      </w:r>
      <w:r>
        <w:rPr>
          <w:rFonts w:hint="eastAsia" w:ascii="宋体" w:hAnsi="宋体" w:cs="宋体"/>
          <w:i/>
          <w:color w:val="auto"/>
          <w:sz w:val="24"/>
          <w:highlight w:val="none"/>
          <w:u w:val="single"/>
        </w:rPr>
        <w:t xml:space="preserve">技术参数中</w:t>
      </w:r>
      <w:r>
        <w:rPr>
          <w:rFonts w:ascii="宋体" w:hAnsi="宋体" w:cs="宋体"/>
          <w:i/>
          <w:color w:val="auto"/>
          <w:sz w:val="24"/>
          <w:highlight w:val="none"/>
          <w:u w:val="single"/>
        </w:rPr>
        <w:t xml:space="preserve">斜体且有下划线部分为实质性要求和条件</w:t>
      </w:r>
      <w:r>
        <w:rPr>
          <w:rFonts w:hint="eastAsia" w:ascii="宋体" w:hAnsi="宋体" w:cs="宋体"/>
          <w:i/>
          <w:color w:val="auto"/>
          <w:sz w:val="24"/>
          <w:highlight w:val="none"/>
          <w:u w:val="single"/>
        </w:rPr>
        <w:t xml:space="preserve">，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rPr>
          <w:rFonts w:hint="eastAsia" w:ascii="宋体" w:hAnsi="宋体" w:cs="宋体"/>
          <w:i/>
          <w:color w:val="auto"/>
          <w:sz w:val="24"/>
          <w:highlight w:val="none"/>
          <w:u w:val="single"/>
          <w:lang w:eastAsia="zh-CN"/>
        </w:rPr>
        <w:t xml:space="preserve">。</w:t>
      </w:r>
      <w:r/>
    </w:p>
    <w:p>
      <w:pP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、商务要求</w:t>
      </w:r>
      <w:r/>
    </w:p>
    <w:p>
      <w:pPr>
        <w:ind w:firstLine="482"/>
        <w:keepLines w:val="0"/>
        <w:keepNext w:val="0"/>
        <w:pageBreakBefore w:val="0"/>
        <w:spacing w:line="360" w:lineRule="auto"/>
        <w:widowControl w:val="off"/>
        <w:rPr>
          <w:rStyle w:val="856"/>
          <w:rFonts w:hint="eastAsia" w:ascii="宋体" w:hAnsi="宋体" w:eastAsia="宋体" w:cs="宋体"/>
          <w:bCs/>
          <w:i/>
          <w:iCs/>
          <w:color w:val="auto"/>
          <w:sz w:val="24"/>
          <w:szCs w:val="24"/>
          <w:highlight w:val="none"/>
          <w:u w:val="single"/>
        </w:rPr>
      </w:pPr>
      <w:r>
        <w:rPr>
          <w:rStyle w:val="856"/>
          <w:rFonts w:hint="eastAsia" w:ascii="宋体" w:hAnsi="宋体" w:eastAsia="宋体" w:cs="宋体"/>
          <w:b/>
          <w:i/>
          <w:iCs/>
          <w:color w:val="auto"/>
          <w:sz w:val="24"/>
          <w:szCs w:val="24"/>
          <w:highlight w:val="none"/>
          <w:u w:val="single"/>
        </w:rPr>
        <w:t xml:space="preserve">1、</w:t>
      </w:r>
      <w:r>
        <w:rPr>
          <w:rStyle w:val="856"/>
          <w:rFonts w:hint="eastAsia" w:ascii="宋体" w:hAnsi="宋体" w:eastAsia="宋体" w:cs="宋体"/>
          <w:b/>
          <w:i/>
          <w:iCs/>
          <w:color w:val="auto"/>
          <w:sz w:val="24"/>
          <w:szCs w:val="24"/>
          <w:highlight w:val="none"/>
          <w:u w:val="single"/>
          <w:lang w:val="zh-CN"/>
        </w:rPr>
        <w:t xml:space="preserve">交货期：</w:t>
      </w:r>
      <w:r>
        <w:rPr>
          <w:rStyle w:val="856"/>
          <w:rFonts w:hint="eastAsia" w:ascii="宋体" w:hAnsi="宋体" w:eastAsia="宋体" w:cs="宋体"/>
          <w:bCs/>
          <w:i/>
          <w:iCs/>
          <w:color w:val="auto"/>
          <w:sz w:val="24"/>
          <w:szCs w:val="24"/>
          <w:highlight w:val="none"/>
          <w:u w:val="single"/>
        </w:rPr>
        <w:t xml:space="preserve">必须在合同签订后</w:t>
      </w:r>
      <w:r>
        <w:rPr>
          <w:rStyle w:val="856"/>
          <w:rFonts w:hint="eastAsia" w:ascii="宋体" w:hAnsi="宋体" w:cs="宋体"/>
          <w:bCs/>
          <w:i/>
          <w:iCs/>
          <w:color w:val="auto"/>
          <w:sz w:val="24"/>
          <w:szCs w:val="24"/>
          <w:highlight w:val="none"/>
          <w:u w:val="single"/>
          <w:lang w:val="en-US" w:eastAsia="zh-CN"/>
        </w:rPr>
        <w:t xml:space="preserve">60日</w:t>
      </w:r>
      <w:r>
        <w:rPr>
          <w:rStyle w:val="856"/>
          <w:rFonts w:hint="eastAsia" w:ascii="宋体" w:hAnsi="宋体" w:eastAsia="宋体" w:cs="宋体"/>
          <w:bCs/>
          <w:i/>
          <w:iCs/>
          <w:color w:val="auto"/>
          <w:sz w:val="24"/>
          <w:szCs w:val="24"/>
          <w:highlight w:val="none"/>
          <w:u w:val="single"/>
        </w:rPr>
        <w:t xml:space="preserve">内完成到货、安装、调试工作并交付使用，中标价包括安装调试过程中产生的一切费用。</w:t>
      </w:r>
      <w:r/>
    </w:p>
    <w:p>
      <w:pPr>
        <w:ind w:firstLine="482"/>
        <w:keepLines w:val="0"/>
        <w:keepNext w:val="0"/>
        <w:pageBreakBefore w:val="0"/>
        <w:spacing w:line="360" w:lineRule="auto"/>
        <w:widowControl w:val="off"/>
        <w:rPr>
          <w:rStyle w:val="856"/>
          <w:rFonts w:hint="eastAsia" w:ascii="宋体" w:hAnsi="宋体" w:eastAsia="宋体" w:cs="宋体"/>
          <w:b/>
          <w:i/>
          <w:iCs/>
          <w:color w:val="auto"/>
          <w:sz w:val="24"/>
          <w:szCs w:val="24"/>
          <w:highlight w:val="none"/>
          <w:u w:val="single"/>
          <w:lang w:val="zh-CN"/>
        </w:rPr>
      </w:pPr>
      <w:r>
        <w:rPr>
          <w:rStyle w:val="856"/>
          <w:rFonts w:hint="eastAsia" w:ascii="宋体" w:hAnsi="宋体" w:eastAsia="宋体" w:cs="宋体"/>
          <w:b/>
          <w:i/>
          <w:iCs/>
          <w:color w:val="auto"/>
          <w:sz w:val="24"/>
          <w:szCs w:val="24"/>
          <w:highlight w:val="none"/>
          <w:u w:val="single"/>
        </w:rPr>
        <w:t xml:space="preserve">2、</w:t>
      </w:r>
      <w:r>
        <w:rPr>
          <w:rStyle w:val="856"/>
          <w:rFonts w:hint="eastAsia" w:ascii="宋体" w:hAnsi="宋体" w:eastAsia="宋体" w:cs="宋体"/>
          <w:b/>
          <w:i/>
          <w:iCs/>
          <w:color w:val="auto"/>
          <w:sz w:val="24"/>
          <w:szCs w:val="24"/>
          <w:highlight w:val="none"/>
          <w:u w:val="single"/>
          <w:lang w:val="zh-CN"/>
        </w:rPr>
        <w:t xml:space="preserve">交货方式：</w:t>
      </w:r>
      <w:r>
        <w:rPr>
          <w:rStyle w:val="856"/>
          <w:rFonts w:hint="eastAsia" w:ascii="宋体" w:hAnsi="宋体" w:eastAsia="宋体" w:cs="宋体"/>
          <w:bCs/>
          <w:i/>
          <w:iCs/>
          <w:color w:val="auto"/>
          <w:sz w:val="24"/>
          <w:szCs w:val="24"/>
          <w:highlight w:val="none"/>
          <w:u w:val="single"/>
        </w:rPr>
        <w:t xml:space="preserve">送货到</w:t>
      </w:r>
      <w:r>
        <w:rPr>
          <w:rStyle w:val="856"/>
          <w:rFonts w:hint="eastAsia" w:ascii="宋体" w:hAnsi="宋体" w:cs="宋体"/>
          <w:bCs/>
          <w:i/>
          <w:iCs/>
          <w:color w:val="auto"/>
          <w:sz w:val="24"/>
          <w:szCs w:val="24"/>
          <w:highlight w:val="none"/>
          <w:u w:val="single"/>
          <w:lang w:val="en-US"/>
        </w:rPr>
        <w:t xml:space="preserve">采购人</w:t>
      </w:r>
      <w:r>
        <w:rPr>
          <w:rStyle w:val="856"/>
          <w:rFonts w:hint="eastAsia" w:ascii="宋体" w:hAnsi="宋体" w:eastAsia="宋体" w:cs="宋体"/>
          <w:bCs/>
          <w:i/>
          <w:iCs/>
          <w:color w:val="auto"/>
          <w:sz w:val="24"/>
          <w:szCs w:val="24"/>
          <w:highlight w:val="none"/>
          <w:u w:val="single"/>
        </w:rPr>
        <w:t xml:space="preserve">指定地点并安装调试</w:t>
      </w:r>
      <w:r>
        <w:rPr>
          <w:rStyle w:val="856"/>
          <w:rFonts w:hint="eastAsia" w:ascii="宋体" w:hAnsi="宋体" w:eastAsia="宋体" w:cs="宋体"/>
          <w:bCs/>
          <w:i/>
          <w:iCs/>
          <w:color w:val="auto"/>
          <w:sz w:val="24"/>
          <w:szCs w:val="24"/>
          <w:highlight w:val="none"/>
          <w:u w:val="single"/>
          <w:lang w:val="zh-CN"/>
        </w:rPr>
        <w:t xml:space="preserve">。</w:t>
      </w:r>
      <w:r/>
    </w:p>
    <w:p>
      <w:pPr>
        <w:ind w:firstLine="482"/>
        <w:keepLines w:val="0"/>
        <w:keepNext w:val="0"/>
        <w:pageBreakBefore w:val="0"/>
        <w:spacing w:line="360" w:lineRule="auto"/>
        <w:widowControl w:val="off"/>
        <w:rPr>
          <w:rStyle w:val="856"/>
          <w:rFonts w:hint="eastAsia" w:ascii="宋体" w:hAnsi="宋体" w:eastAsia="宋体" w:cs="宋体"/>
          <w:i/>
          <w:iCs/>
          <w:color w:val="auto"/>
          <w:sz w:val="24"/>
          <w:szCs w:val="24"/>
          <w:highlight w:val="none"/>
          <w:u w:val="single"/>
        </w:rPr>
      </w:pPr>
      <w:r>
        <w:rPr>
          <w:rStyle w:val="856"/>
          <w:rFonts w:hint="eastAsia" w:ascii="宋体" w:hAnsi="宋体" w:eastAsia="宋体" w:cs="宋体"/>
          <w:b/>
          <w:i/>
          <w:iCs/>
          <w:color w:val="auto"/>
          <w:sz w:val="24"/>
          <w:szCs w:val="24"/>
          <w:highlight w:val="none"/>
          <w:u w:val="single"/>
        </w:rPr>
        <w:t xml:space="preserve">3、</w:t>
      </w:r>
      <w:r>
        <w:rPr>
          <w:rStyle w:val="856"/>
          <w:rFonts w:hint="eastAsia" w:ascii="宋体" w:hAnsi="宋体" w:eastAsia="宋体" w:cs="宋体"/>
          <w:b/>
          <w:i/>
          <w:iCs/>
          <w:color w:val="auto"/>
          <w:sz w:val="24"/>
          <w:szCs w:val="24"/>
          <w:highlight w:val="none"/>
          <w:u w:val="single"/>
          <w:lang w:val="zh-CN"/>
        </w:rPr>
        <w:t xml:space="preserve">交货地点：</w:t>
      </w:r>
      <w:r>
        <w:rPr>
          <w:rStyle w:val="856"/>
          <w:rFonts w:hint="eastAsia" w:ascii="宋体" w:hAnsi="宋体" w:cs="宋体"/>
          <w:i/>
          <w:iCs/>
          <w:color w:val="auto"/>
          <w:sz w:val="24"/>
          <w:szCs w:val="24"/>
          <w:highlight w:val="none"/>
          <w:u w:val="single"/>
          <w:lang w:val="en-US"/>
        </w:rPr>
        <w:t xml:space="preserve">采购人</w:t>
      </w:r>
      <w:r>
        <w:rPr>
          <w:rStyle w:val="856"/>
          <w:rFonts w:hint="eastAsia" w:ascii="宋体" w:hAnsi="宋体" w:eastAsia="宋体" w:cs="宋体"/>
          <w:i/>
          <w:iCs/>
          <w:color w:val="auto"/>
          <w:sz w:val="24"/>
          <w:szCs w:val="24"/>
          <w:highlight w:val="none"/>
          <w:u w:val="single"/>
        </w:rPr>
        <w:t xml:space="preserve">指定地点。</w:t>
      </w:r>
      <w:r/>
    </w:p>
    <w:p>
      <w:pPr>
        <w:ind w:firstLine="482"/>
        <w:keepLines w:val="0"/>
        <w:keepNext w:val="0"/>
        <w:pageBreakBefore w:val="0"/>
        <w:spacing w:line="360" w:lineRule="auto"/>
        <w:widowControl w:val="off"/>
        <w:rPr>
          <w:rStyle w:val="856"/>
          <w:rFonts w:hint="eastAsia" w:ascii="宋体" w:hAnsi="宋体" w:eastAsia="宋体" w:cs="宋体"/>
          <w:b w:val="0"/>
          <w:bCs/>
          <w:i/>
          <w:iCs/>
          <w:color w:val="auto"/>
          <w:sz w:val="24"/>
          <w:szCs w:val="24"/>
          <w:highlight w:val="none"/>
          <w:u w:val="single"/>
          <w:lang w:val="en-US" w:eastAsia="zh-CN"/>
        </w:rPr>
      </w:pPr>
      <w:r>
        <w:rPr>
          <w:rStyle w:val="856"/>
          <w:rFonts w:hint="eastAsia" w:ascii="宋体" w:hAnsi="宋体" w:eastAsia="宋体" w:cs="宋体"/>
          <w:b/>
          <w:i/>
          <w:iCs/>
          <w:color w:val="auto"/>
          <w:sz w:val="24"/>
          <w:szCs w:val="24"/>
          <w:highlight w:val="none"/>
          <w:u w:val="single"/>
          <w:lang w:val="en-US" w:eastAsia="zh-CN"/>
        </w:rPr>
        <w:t xml:space="preserve">4、付款方式：</w:t>
      </w:r>
      <w:r>
        <w:rPr>
          <w:rStyle w:val="856"/>
          <w:rFonts w:hint="eastAsia" w:ascii="宋体" w:hAnsi="宋体" w:eastAsia="宋体" w:cs="宋体"/>
          <w:b w:val="0"/>
          <w:bCs/>
          <w:i/>
          <w:iCs/>
          <w:color w:val="auto"/>
          <w:sz w:val="24"/>
          <w:szCs w:val="24"/>
          <w:highlight w:val="none"/>
          <w:u w:val="single"/>
          <w:lang w:val="en-US" w:eastAsia="zh-CN"/>
        </w:rPr>
        <w:t xml:space="preserve">合同签订后，采购人自收到发票后10个工作日内，支付合同金额的</w:t>
      </w:r>
      <w:r>
        <w:rPr>
          <w:rStyle w:val="856"/>
          <w:rFonts w:hint="eastAsia" w:ascii="宋体" w:hAnsi="宋体" w:cs="宋体"/>
          <w:b w:val="0"/>
          <w:bCs/>
          <w:i/>
          <w:iCs/>
          <w:color w:val="auto"/>
          <w:sz w:val="24"/>
          <w:szCs w:val="24"/>
          <w:highlight w:val="none"/>
          <w:u w:val="single"/>
          <w:lang w:val="en-US" w:eastAsia="zh-CN"/>
        </w:rPr>
        <w:t xml:space="preserve">3</w:t>
      </w:r>
      <w:r>
        <w:rPr>
          <w:rStyle w:val="856"/>
          <w:rFonts w:hint="eastAsia" w:ascii="宋体" w:hAnsi="宋体" w:eastAsia="宋体" w:cs="宋体"/>
          <w:b w:val="0"/>
          <w:bCs/>
          <w:i/>
          <w:iCs/>
          <w:color w:val="auto"/>
          <w:sz w:val="24"/>
          <w:szCs w:val="24"/>
          <w:highlight w:val="none"/>
          <w:u w:val="single"/>
          <w:lang w:val="en-US" w:eastAsia="zh-CN"/>
        </w:rPr>
        <w:t xml:space="preserve">0%作为预付款，设备经安装调试验收合格后支付合同金额的</w:t>
      </w:r>
      <w:r>
        <w:rPr>
          <w:rStyle w:val="856"/>
          <w:rFonts w:hint="eastAsia" w:ascii="宋体" w:hAnsi="宋体" w:cs="宋体"/>
          <w:b w:val="0"/>
          <w:bCs/>
          <w:i/>
          <w:iCs/>
          <w:color w:val="auto"/>
          <w:sz w:val="24"/>
          <w:szCs w:val="24"/>
          <w:highlight w:val="none"/>
          <w:u w:val="single"/>
          <w:lang w:val="en-US" w:eastAsia="zh-CN"/>
        </w:rPr>
        <w:t xml:space="preserve">6</w:t>
      </w:r>
      <w:r>
        <w:rPr>
          <w:rStyle w:val="856"/>
          <w:rFonts w:hint="eastAsia" w:ascii="宋体" w:hAnsi="宋体" w:eastAsia="宋体" w:cs="宋体"/>
          <w:b w:val="0"/>
          <w:bCs/>
          <w:i/>
          <w:iCs/>
          <w:color w:val="auto"/>
          <w:sz w:val="24"/>
          <w:szCs w:val="24"/>
          <w:highlight w:val="none"/>
          <w:u w:val="single"/>
          <w:lang w:val="en-US" w:eastAsia="zh-CN"/>
        </w:rPr>
        <w:t xml:space="preserve">0%，余款合同金额的10%在设备验收合格后十二个月付清。</w:t>
      </w:r>
      <w:r/>
    </w:p>
    <w:p>
      <w:pPr>
        <w:ind w:firstLine="482"/>
        <w:keepLines w:val="0"/>
        <w:keepNext w:val="0"/>
        <w:pageBreakBefore w:val="0"/>
        <w:spacing w:line="360" w:lineRule="auto"/>
        <w:widowControl w:val="off"/>
        <w:rPr>
          <w:rStyle w:val="856"/>
          <w:rFonts w:hint="eastAsia" w:ascii="宋体" w:hAnsi="宋体" w:cs="宋体"/>
          <w:b w:val="0"/>
          <w:bCs/>
          <w:i/>
          <w:iCs/>
          <w:color w:val="auto"/>
          <w:sz w:val="24"/>
          <w:szCs w:val="24"/>
          <w:highlight w:val="none"/>
          <w:u w:val="single"/>
          <w:lang w:val="en-US" w:eastAsia="zh-CN"/>
        </w:rPr>
      </w:pPr>
      <w:r>
        <w:rPr>
          <w:rStyle w:val="856"/>
          <w:rFonts w:hint="eastAsia" w:ascii="宋体" w:hAnsi="宋体" w:eastAsia="宋体" w:cs="宋体"/>
          <w:b/>
          <w:i/>
          <w:iCs/>
          <w:color w:val="auto"/>
          <w:sz w:val="24"/>
          <w:szCs w:val="24"/>
          <w:highlight w:val="none"/>
          <w:u w:val="single"/>
          <w:lang w:val="en-US" w:eastAsia="zh-CN"/>
        </w:rPr>
        <w:t xml:space="preserve">5、</w:t>
      </w:r>
      <w:r>
        <w:rPr>
          <w:rStyle w:val="856"/>
          <w:rFonts w:hint="eastAsia" w:ascii="宋体" w:hAnsi="宋体" w:cs="宋体"/>
          <w:b/>
          <w:i/>
          <w:iCs/>
          <w:color w:val="auto"/>
          <w:sz w:val="24"/>
          <w:szCs w:val="24"/>
          <w:highlight w:val="none"/>
          <w:u w:val="single"/>
          <w:lang w:val="en-US" w:eastAsia="zh-CN"/>
        </w:rPr>
        <w:t xml:space="preserve">免费质保期</w:t>
      </w:r>
      <w:r>
        <w:rPr>
          <w:rStyle w:val="856"/>
          <w:rFonts w:hint="eastAsia" w:ascii="宋体" w:hAnsi="宋体" w:eastAsia="宋体" w:cs="宋体"/>
          <w:b/>
          <w:i/>
          <w:iCs/>
          <w:color w:val="auto"/>
          <w:sz w:val="24"/>
          <w:szCs w:val="24"/>
          <w:highlight w:val="none"/>
          <w:u w:val="single"/>
          <w:lang w:val="en-US" w:eastAsia="zh-CN"/>
        </w:rPr>
        <w:t xml:space="preserve">：</w:t>
      </w:r>
      <w:r>
        <w:rPr>
          <w:rStyle w:val="856"/>
          <w:rFonts w:hint="eastAsia" w:ascii="宋体" w:hAnsi="宋体" w:eastAsia="宋体" w:cs="宋体"/>
          <w:b w:val="0"/>
          <w:bCs/>
          <w:i/>
          <w:iCs/>
          <w:color w:val="auto"/>
          <w:sz w:val="24"/>
          <w:szCs w:val="24"/>
          <w:highlight w:val="none"/>
          <w:u w:val="single"/>
          <w:lang w:val="en-US" w:eastAsia="zh-CN"/>
        </w:rPr>
        <w:t xml:space="preserve">原厂质保 </w:t>
      </w:r>
      <w:r>
        <w:rPr>
          <w:rStyle w:val="856"/>
          <w:rFonts w:hint="eastAsia" w:ascii="宋体" w:hAnsi="宋体" w:cs="宋体"/>
          <w:b w:val="0"/>
          <w:bCs/>
          <w:i/>
          <w:iCs/>
          <w:color w:val="auto"/>
          <w:sz w:val="24"/>
          <w:szCs w:val="24"/>
          <w:highlight w:val="none"/>
          <w:u w:val="single"/>
          <w:lang w:val="en-US" w:eastAsia="zh-CN"/>
        </w:rPr>
        <w:t xml:space="preserve">≥1</w:t>
      </w:r>
      <w:r>
        <w:rPr>
          <w:rStyle w:val="856"/>
          <w:rFonts w:hint="eastAsia" w:ascii="宋体" w:hAnsi="宋体" w:eastAsia="宋体" w:cs="宋体"/>
          <w:b w:val="0"/>
          <w:bCs/>
          <w:i/>
          <w:iCs/>
          <w:color w:val="auto"/>
          <w:sz w:val="24"/>
          <w:szCs w:val="24"/>
          <w:highlight w:val="none"/>
          <w:u w:val="single"/>
          <w:lang w:val="en-US" w:eastAsia="zh-CN"/>
        </w:rPr>
        <w:t xml:space="preserve">年</w:t>
      </w:r>
      <w:r>
        <w:rPr>
          <w:rStyle w:val="856"/>
          <w:rFonts w:hint="eastAsia" w:ascii="宋体" w:hAnsi="宋体" w:cs="宋体"/>
          <w:b w:val="0"/>
          <w:bCs/>
          <w:i/>
          <w:iCs/>
          <w:color w:val="auto"/>
          <w:sz w:val="24"/>
          <w:szCs w:val="24"/>
          <w:highlight w:val="none"/>
          <w:u w:val="single"/>
          <w:lang w:val="en-US" w:eastAsia="zh-CN"/>
        </w:rPr>
        <w:t xml:space="preserve">。（提供承诺函，格式自拟）</w:t>
      </w:r>
      <w:r/>
    </w:p>
    <w:p>
      <w:pPr>
        <w:ind w:firstLine="482"/>
        <w:keepLines w:val="0"/>
        <w:keepNext w:val="0"/>
        <w:pageBreakBefore w:val="0"/>
        <w:spacing w:line="360" w:lineRule="auto"/>
        <w:widowControl w:val="off"/>
        <w:rPr>
          <w:rStyle w:val="856"/>
          <w:rFonts w:hint="default" w:ascii="宋体" w:hAnsi="宋体" w:cs="宋体"/>
          <w:b w:val="0"/>
          <w:bCs/>
          <w:i/>
          <w:iCs/>
          <w:color w:val="auto"/>
          <w:sz w:val="24"/>
          <w:szCs w:val="24"/>
          <w:highlight w:val="none"/>
          <w:u w:val="single"/>
          <w:lang w:val="en-US" w:eastAsia="zh-CN"/>
        </w:rPr>
      </w:pPr>
      <w:r>
        <w:rPr>
          <w:rFonts w:hint="eastAsia" w:ascii="宋体" w:hAnsi="宋体" w:cs="宋体"/>
          <w:b/>
          <w:bCs w:val="0"/>
          <w:i/>
          <w:iCs/>
          <w:color w:val="auto"/>
          <w:sz w:val="24"/>
          <w:szCs w:val="24"/>
          <w:highlight w:val="none"/>
          <w:u w:val="single"/>
          <w:lang w:val="en-US" w:eastAsia="zh-CN"/>
        </w:rPr>
        <w:t xml:space="preserve">6、交付产品：</w:t>
      </w:r>
      <w:r>
        <w:rPr>
          <w:rFonts w:hint="eastAsia" w:ascii="宋体" w:hAnsi="宋体" w:cs="宋体"/>
          <w:b w:val="0"/>
          <w:bCs/>
          <w:i/>
          <w:iCs/>
          <w:color w:val="auto"/>
          <w:sz w:val="24"/>
          <w:szCs w:val="24"/>
          <w:highlight w:val="none"/>
          <w:u w:val="single"/>
          <w:lang w:val="en-US" w:eastAsia="zh-CN"/>
        </w:rPr>
        <w:t xml:space="preserve">实际交付产品应为交货日期前6个月内生产的全新机器，不接受库存机。</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履约能力</w:t>
      </w:r>
      <w:r/>
    </w:p>
    <w:p>
      <w:pPr>
        <w:pStyle w:val="854"/>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为了确保项目的顺利实施，投标人需具备丰富的所投产品设备承接经验，确保本项目的顺利实施，投标人（或代理商、厂商）提供自2022年1月1日（含）以来具有类似项目业绩的优先。</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五、免费质量保修期</w:t>
      </w:r>
      <w:r/>
    </w:p>
    <w:p>
      <w:pPr>
        <w:pStyle w:val="854"/>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投标人在满足项目需求最低质量保修期</w:t>
      </w:r>
      <w:r>
        <w:rPr>
          <w:rFonts w:hint="eastAsia"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年基础上，增加免费质量保修期的优先。免费质量保修期间产生的所有保修相关费用（</w:t>
      </w:r>
      <w:r>
        <w:rPr>
          <w:rFonts w:hint="eastAsia" w:hAnsi="宋体" w:cs="宋体"/>
          <w:bCs/>
          <w:color w:val="auto"/>
          <w:sz w:val="24"/>
          <w:szCs w:val="24"/>
          <w:highlight w:val="none"/>
          <w:lang w:val="en-US" w:eastAsia="zh-CN"/>
        </w:rPr>
        <w:t xml:space="preserve">包含</w:t>
      </w:r>
      <w:r>
        <w:rPr>
          <w:rFonts w:hint="eastAsia" w:ascii="宋体" w:hAnsi="宋体" w:eastAsia="宋体" w:cs="宋体"/>
          <w:bCs/>
          <w:color w:val="auto"/>
          <w:sz w:val="24"/>
          <w:szCs w:val="24"/>
          <w:highlight w:val="none"/>
          <w:lang w:val="en-US" w:eastAsia="zh-CN"/>
        </w:rPr>
        <w:t xml:space="preserve">人工费、备品备件、耗材、服务费、税金以及保修期间涉及到的其他一切费用）应全部由投标人承担。</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六、人员配备</w:t>
      </w:r>
      <w:r/>
    </w:p>
    <w:p>
      <w:pPr>
        <w:ind w:firstLine="480"/>
        <w:keepLines w:val="0"/>
        <w:keepNext w:val="0"/>
        <w:pageBreakBefore w:val="0"/>
        <w:spacing w:line="360"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ascii="宋体" w:hAnsi="宋体" w:eastAsia="宋体" w:cs="宋体"/>
          <w:color w:val="auto"/>
          <w:sz w:val="24"/>
          <w:szCs w:val="24"/>
          <w:highlight w:val="none"/>
        </w:rPr>
        <w:t xml:space="preserve">在项目实施过程中，</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高度重视专业人员的配备工作，确保各个环节都有相应的专业人才进行精准对接和高效执行。</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为本项目配备丰富</w:t>
      </w:r>
      <w:r>
        <w:rPr>
          <w:rFonts w:hint="eastAsia" w:ascii="宋体" w:hAnsi="宋体" w:eastAsia="宋体" w:cs="宋体"/>
          <w:bCs/>
          <w:color w:val="auto"/>
          <w:sz w:val="24"/>
          <w:szCs w:val="24"/>
          <w:highlight w:val="none"/>
        </w:rPr>
        <w:t xml:space="preserve">的管理人员、技术人员、安装调试人员等</w:t>
      </w:r>
      <w:r>
        <w:rPr>
          <w:rFonts w:hint="eastAsia" w:ascii="宋体" w:hAnsi="宋体" w:eastAsia="宋体" w:cs="宋体"/>
          <w:bCs/>
          <w:color w:val="auto"/>
          <w:sz w:val="24"/>
          <w:szCs w:val="24"/>
          <w:highlight w:val="none"/>
          <w:lang w:val="en-US" w:eastAsia="zh-CN"/>
        </w:rPr>
        <w:t xml:space="preserve">服务团队，至少包含：管理人员2名，负责本项目的整体协调、进度控制及质量管理；技术人员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名，负责技术支持、临床培训及系统操作指导；安装调试人员</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名，负责本项目设备的安装、管线施工及设备精准调试。</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七、技术方案</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投标人应根据采购需求和本项目实际，制订相应的方案：</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7.1.项目实施方案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投标人应根据采购需求和本项目实际，制订相应的项目实施方案至少包含以下内容：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①进度保障措施：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投标单位需制定详细的项目实施时间表，进度计划分解到各阶段时间点，明确各阶段工作内容及时间节点。项目整体周期不超过</w:t>
      </w:r>
      <w:r>
        <w:rPr>
          <w:rFonts w:hint="eastAsia" w:ascii="宋体" w:hAnsi="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lang w:val="en-US" w:eastAsia="zh-CN"/>
        </w:rPr>
        <w:t xml:space="preserve">，从合同签订之日起计算。</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p>
    <w:p>
      <w:pPr>
        <w:pStyle w:val="674"/>
        <w:ind w:firstLine="482"/>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在发货前 3 天，通知采购人，明确该</w:t>
      </w:r>
      <w:r>
        <w:rPr>
          <w:rFonts w:hint="eastAsia" w:ascii="宋体" w:hAnsi="宋体" w:eastAsia="宋体" w:cs="宋体"/>
          <w:color w:val="auto"/>
          <w:sz w:val="24"/>
          <w:szCs w:val="24"/>
          <w:highlight w:val="none"/>
          <w:shd w:val="clear" w:color="auto" w:fill="ffffff"/>
          <w:lang w:val="en-US" w:eastAsia="zh-CN"/>
        </w:rPr>
        <w:t xml:space="preserve">设备品牌、型号</w:t>
      </w:r>
      <w:r>
        <w:rPr>
          <w:rFonts w:hint="eastAsia" w:ascii="宋体" w:hAnsi="宋体" w:eastAsia="宋体" w:cs="宋体"/>
          <w:color w:val="auto"/>
          <w:sz w:val="24"/>
          <w:szCs w:val="24"/>
          <w:highlight w:val="none"/>
          <w:shd w:val="clear" w:color="auto" w:fill="ffffff"/>
        </w:rPr>
        <w:t xml:space="preserve">、数量、预计到货时间、运输车辆信息（车牌号、司机联系方式）</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同时</w:t>
      </w:r>
      <w:r>
        <w:rPr>
          <w:rFonts w:hint="eastAsia" w:ascii="宋体" w:hAnsi="宋体" w:eastAsia="宋体" w:cs="宋体"/>
          <w:color w:val="auto"/>
          <w:sz w:val="24"/>
          <w:szCs w:val="24"/>
          <w:highlight w:val="none"/>
          <w:shd w:val="clear" w:color="auto" w:fill="ffffff"/>
          <w:lang w:val="en-US" w:eastAsia="zh-CN"/>
        </w:rPr>
        <w:t xml:space="preserve">提供</w:t>
      </w:r>
      <w:r>
        <w:rPr>
          <w:rFonts w:hint="eastAsia" w:ascii="宋体" w:hAnsi="宋体" w:eastAsia="宋体" w:cs="宋体"/>
          <w:color w:val="auto"/>
          <w:sz w:val="24"/>
          <w:szCs w:val="24"/>
          <w:highlight w:val="none"/>
          <w:shd w:val="clear" w:color="auto" w:fill="ffffff"/>
        </w:rPr>
        <w:t xml:space="preserve">交付</w:t>
      </w:r>
      <w:r>
        <w:rPr>
          <w:rFonts w:hint="eastAsia" w:ascii="宋体" w:hAnsi="宋体" w:eastAsia="宋体" w:cs="宋体"/>
          <w:color w:val="auto"/>
          <w:sz w:val="24"/>
          <w:szCs w:val="24"/>
          <w:highlight w:val="none"/>
          <w:shd w:val="clear" w:color="auto" w:fill="ffffff"/>
          <w:lang w:val="en-US" w:eastAsia="zh-CN"/>
        </w:rPr>
        <w:t xml:space="preserve">核对</w:t>
      </w:r>
      <w:r>
        <w:rPr>
          <w:rFonts w:hint="eastAsia" w:ascii="宋体" w:hAnsi="宋体" w:eastAsia="宋体" w:cs="宋体"/>
          <w:color w:val="auto"/>
          <w:sz w:val="24"/>
          <w:szCs w:val="24"/>
          <w:highlight w:val="none"/>
          <w:shd w:val="clear" w:color="auto" w:fill="ffffff"/>
        </w:rPr>
        <w:t xml:space="preserve">清单</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格式自拟</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包含</w:t>
      </w:r>
      <w:r>
        <w:rPr>
          <w:rFonts w:hint="eastAsia" w:ascii="宋体" w:hAnsi="宋体" w:eastAsia="宋体" w:cs="宋体"/>
          <w:color w:val="auto"/>
          <w:sz w:val="24"/>
          <w:szCs w:val="24"/>
          <w:highlight w:val="none"/>
          <w:shd w:val="clear" w:color="auto" w:fill="ffffff"/>
          <w:lang w:val="en-US" w:eastAsia="zh-CN"/>
        </w:rPr>
        <w:t xml:space="preserve">设备</w:t>
      </w:r>
      <w:r>
        <w:rPr>
          <w:rFonts w:hint="eastAsia" w:ascii="宋体" w:hAnsi="宋体" w:eastAsia="宋体" w:cs="宋体"/>
          <w:color w:val="auto"/>
          <w:sz w:val="24"/>
          <w:szCs w:val="24"/>
          <w:highlight w:val="none"/>
          <w:shd w:val="clear" w:color="auto" w:fill="ffffff"/>
        </w:rPr>
        <w:t xml:space="preserve">名称、规格型号、参考图片、数量等，与招标文件采购</w:t>
      </w:r>
      <w:r>
        <w:rPr>
          <w:rFonts w:hint="eastAsia" w:ascii="宋体" w:hAnsi="宋体" w:eastAsia="宋体" w:cs="宋体"/>
          <w:color w:val="auto"/>
          <w:sz w:val="24"/>
          <w:szCs w:val="24"/>
          <w:highlight w:val="none"/>
          <w:shd w:val="clear" w:color="auto" w:fill="ffffff"/>
          <w:lang w:val="en-US" w:eastAsia="zh-CN"/>
        </w:rPr>
        <w:t xml:space="preserve">需求</w:t>
      </w:r>
      <w:r>
        <w:rPr>
          <w:rFonts w:hint="eastAsia" w:ascii="宋体" w:hAnsi="宋体" w:eastAsia="宋体" w:cs="宋体"/>
          <w:color w:val="auto"/>
          <w:sz w:val="24"/>
          <w:szCs w:val="24"/>
          <w:highlight w:val="none"/>
          <w:shd w:val="clear" w:color="auto" w:fill="ffffff"/>
        </w:rPr>
        <w:t xml:space="preserve">一致，协助采购人提前协调场地（如卸货区、</w:t>
      </w:r>
      <w:r>
        <w:rPr>
          <w:rFonts w:hint="eastAsia" w:ascii="宋体" w:hAnsi="宋体" w:eastAsia="宋体" w:cs="宋体"/>
          <w:color w:val="auto"/>
          <w:sz w:val="24"/>
          <w:szCs w:val="24"/>
          <w:highlight w:val="none"/>
          <w:shd w:val="clear" w:color="auto" w:fill="ffffff"/>
          <w:lang w:val="en-US" w:eastAsia="zh-CN"/>
        </w:rPr>
        <w:t xml:space="preserve">临时</w:t>
      </w:r>
      <w:r>
        <w:rPr>
          <w:rFonts w:hint="eastAsia" w:ascii="宋体" w:hAnsi="宋体" w:eastAsia="宋体" w:cs="宋体"/>
          <w:color w:val="auto"/>
          <w:sz w:val="24"/>
          <w:szCs w:val="24"/>
          <w:highlight w:val="none"/>
          <w:shd w:val="clear" w:color="auto" w:fill="ffffff"/>
        </w:rPr>
        <w:t xml:space="preserve">仓储区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安装区</w:t>
      </w:r>
      <w:r>
        <w:rPr>
          <w:rFonts w:hint="eastAsia" w:ascii="宋体" w:hAnsi="宋体" w:eastAsia="宋体" w:cs="宋体"/>
          <w:color w:val="auto"/>
          <w:sz w:val="24"/>
          <w:szCs w:val="24"/>
          <w:highlight w:val="none"/>
          <w:shd w:val="clear" w:color="auto" w:fill="ffffff"/>
        </w:rPr>
        <w:t xml:space="preserve">）及接货人员。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③设备验收：</w:t>
      </w:r>
      <w:r/>
    </w:p>
    <w:p>
      <w:pPr>
        <w:pStyle w:val="674"/>
        <w:ind w:firstLine="480"/>
        <w:keepLines w:val="0"/>
        <w:keepNext w:val="0"/>
        <w:pageBreakBefore w:val="0"/>
        <w:spacing w:before="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协助采购人核对“</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品牌、型号、规格、</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数量、外观”，对不符项立即记录并提出整改方案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免费提供全套资料，含</w:t>
      </w:r>
      <w:r>
        <w:rPr>
          <w:rFonts w:hint="eastAsia" w:ascii="宋体" w:hAnsi="宋体" w:eastAsia="宋体" w:cs="宋体"/>
          <w:color w:val="auto"/>
          <w:sz w:val="24"/>
          <w:szCs w:val="24"/>
          <w:highlight w:val="none"/>
          <w:lang w:val="en-US" w:eastAsia="zh-CN"/>
        </w:rPr>
        <w:t xml:space="preserve">纸质版和电子版各一份，内容</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包括以下方面：设计资料，操作手册，维护手册（包括维修卡），安装手册，主要部件清单，报警及连锁清单，备件手册或备件清单，外购件技术资料，记录和控制卡（装箱单，产品合格证，软件备份，计量仪表鉴定证明，关键部件材质证明，工艺管道的焊接、检测的相关记录和资质，试验记录，试车记录，售后服务联系地址）</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0"/>
        <w:keepLines w:val="0"/>
        <w:keepNext w:val="0"/>
        <w:pageBreakBefore w:val="0"/>
        <w:spacing w:line="360" w:lineRule="auto"/>
        <w:widowControl w:val="off"/>
        <w:rPr>
          <w:rFonts w:hint="eastAsia" w:ascii="宋体" w:hAnsi="宋体" w:eastAsia="宋体" w:cs="宋体"/>
          <w:b w:val="0"/>
          <w:bCs w:val="0"/>
          <w:color w:val="auto"/>
          <w:sz w:val="8"/>
          <w:szCs w:val="8"/>
          <w:highlight w:val="none"/>
          <w:lang w:val="en-US" w:eastAsia="zh-CN"/>
        </w:rPr>
      </w:pPr>
      <w:r>
        <w:rPr>
          <w:rFonts w:hint="eastAsia" w:ascii="宋体" w:hAnsi="宋体" w:eastAsia="宋体" w:cs="宋体"/>
          <w:b w:val="0"/>
          <w:bCs w:val="0"/>
          <w:color w:val="auto"/>
          <w:sz w:val="8"/>
          <w:szCs w:val="8"/>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7.2.售后服务方案</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投标人应根据采购需求和本项目实际，制订相应的售后服务方案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b w:val="0"/>
          <w:bCs w:val="0"/>
          <w:color w:val="auto"/>
          <w:sz w:val="24"/>
          <w:szCs w:val="24"/>
          <w:highlight w:val="none"/>
        </w:rPr>
        <w:t xml:space="preserve">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①售后服务体系：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需明确售后服务的组织架构、人员配置及服务渠道</w:t>
      </w:r>
      <w:r>
        <w:rPr>
          <w:rFonts w:hint="eastAsia" w:ascii="宋体" w:hAnsi="宋体" w:eastAsia="宋体" w:cs="宋体"/>
          <w:color w:val="auto"/>
          <w:sz w:val="24"/>
          <w:szCs w:val="24"/>
          <w:highlight w:val="none"/>
          <w:lang w:val="en-US" w:eastAsia="zh-CN"/>
        </w:rPr>
        <w:t xml:space="preserve">，在设备出现故障或问题时，售后服务团队能够迅速行动，提供远程诊断或现场服务，</w:t>
      </w:r>
      <w:r>
        <w:rPr>
          <w:rFonts w:hint="eastAsia" w:ascii="宋体" w:hAnsi="宋体" w:eastAsia="宋体" w:cs="宋体"/>
          <w:color w:val="auto"/>
          <w:sz w:val="24"/>
          <w:szCs w:val="24"/>
          <w:highlight w:val="none"/>
        </w:rPr>
        <w:t xml:space="preserve">确保采购人能快速对接、高效解决问题。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②退换货与更换服务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针对“设备验收不合格”，根据产品质量问题的严重程度，需明确退换货/更换的条件、流程及时效，</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赔偿因此造成的损失。</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③回访巡检方案：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需在设备安装验收后3日内</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进行</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次回访，之后需每季度</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回访1次，有问题做到及时处理；每半年</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到现场做一次设备运行状况安全检查，对设备进行全面巡检，包括设备运行状态检查、性能参数校准、安全隐患排查等，重点关注设备核心部件损耗情况</w:t>
      </w:r>
      <w:r>
        <w:rPr>
          <w:rFonts w:hint="eastAsia" w:ascii="宋体" w:hAnsi="宋体" w:eastAsia="宋体" w:cs="宋体"/>
          <w:color w:val="auto"/>
          <w:sz w:val="24"/>
          <w:szCs w:val="24"/>
          <w:highlight w:val="none"/>
        </w:rPr>
        <w:t xml:space="preserve">。</w:t>
      </w:r>
      <w:r/>
    </w:p>
    <w:p>
      <w:pPr>
        <w:numPr>
          <w:ilvl w:val="-1"/>
          <w:numId w:val="0"/>
        </w:numPr>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投标产品为节能产品的优先。</w:t>
      </w:r>
      <w:r/>
    </w:p>
    <w:p>
      <w:pPr>
        <w:numPr>
          <w:ilvl w:val="-1"/>
          <w:numId w:val="0"/>
        </w:numPr>
        <w:ind w:firstLine="0"/>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投标产品为环境标志产品的优先。</w:t>
      </w:r>
      <w:r/>
    </w:p>
    <w:p>
      <w:pPr>
        <w:ind w:firstLine="0"/>
        <w:jc w:val="both"/>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0"/>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lang w:val="en-US" w:eastAsia="zh-CN"/>
        </w:rPr>
        <w:t xml:space="preserve">、采购标的对应的中小企业划分标准所属行业一览表</w:t>
      </w:r>
      <w:r/>
    </w:p>
    <w:p>
      <w:pPr>
        <w:ind w:firstLine="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tbl>
      <w:tblPr>
        <w:tblStyle w:val="671"/>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5388"/>
        <w:gridCol w:w="3752"/>
      </w:tblGrid>
      <w:tr>
        <w:trPr>
          <w:jc w:val="center"/>
          <w:trHeight w:val="635"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706"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采购标的</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对应中小企业划分标准所属行业</w:t>
            </w:r>
            <w:r/>
          </w:p>
        </w:tc>
      </w:tr>
      <w:tr>
        <w:trPr>
          <w:jc w:val="center"/>
          <w:trHeight w:val="755" w:hRule="exact"/>
        </w:trPr>
        <w:tc>
          <w:tcPr>
            <w:tcBorders>
              <w:left w:val="single" w:color="000000" w:sz="8" w:space="0"/>
              <w:bottom w:val="single" w:color="000000" w:sz="8" w:space="0"/>
              <w:right w:val="single" w:color="000000" w:sz="8" w:space="0"/>
            </w:tcBorders>
            <w:tcMar>
              <w:left w:w="108" w:type="dxa"/>
              <w:top w:w="0" w:type="dxa"/>
              <w:right w:w="108" w:type="dxa"/>
              <w:bottom w:w="0" w:type="dxa"/>
            </w:tcMar>
            <w:tcW w:w="41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1</w:t>
            </w:r>
            <w:r/>
          </w:p>
        </w:tc>
        <w:tc>
          <w:tcPr>
            <w:tcBorders>
              <w:bottom w:val="single" w:color="000000" w:sz="8" w:space="0"/>
              <w:right w:val="single" w:color="000000" w:sz="8" w:space="0"/>
            </w:tcBorders>
            <w:tcMar>
              <w:left w:w="108" w:type="dxa"/>
              <w:top w:w="0" w:type="dxa"/>
              <w:right w:w="108" w:type="dxa"/>
              <w:bottom w:w="0" w:type="dxa"/>
            </w:tcMar>
            <w:tcW w:w="2706"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移动式C型臂X光机</w:t>
            </w:r>
            <w:r/>
          </w:p>
        </w:tc>
        <w:tc>
          <w:tcPr>
            <w:tcBorders>
              <w:bottom w:val="single" w:color="000000" w:sz="8" w:space="0"/>
              <w:right w:val="single" w:color="000000" w:sz="8"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工业</w:t>
            </w:r>
            <w:r/>
          </w:p>
        </w:tc>
      </w:tr>
    </w:tbl>
    <w:p>
      <w:pPr>
        <w:ind w:firstLine="0"/>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黑体" w:eastAsia="黑体"/>
          <w:b/>
          <w:color w:val="auto"/>
          <w:sz w:val="44"/>
          <w:highlight w:val="none"/>
        </w:rPr>
        <w:outlineLvl w:val="0"/>
      </w:pPr>
      <w:r>
        <w:rPr>
          <w:rFonts w:hint="eastAsia" w:ascii="Calibri"/>
          <w:b/>
          <w:color w:val="auto"/>
          <w:sz w:val="44"/>
          <w:szCs w:val="44"/>
          <w:highlight w:val="none"/>
        </w:rPr>
        <w:t xml:space="preserve">第五部分  合同格式及条款</w:t>
      </w:r>
      <w:bookmarkEnd w:id="65"/>
      <w:r/>
      <w:bookmarkEnd w:id="66"/>
      <w:r/>
      <w:bookmarkStart w:id="67" w:name="_Toc9956_WPSOffice_Level2"/>
      <w:r/>
      <w:bookmarkEnd w:id="67"/>
      <w:r/>
      <w:bookmarkStart w:id="68" w:name="_Toc8249"/>
      <w:r/>
      <w:bookmarkEnd w:id="68"/>
      <w:r/>
      <w:bookmarkStart w:id="69" w:name="_Toc1883"/>
      <w:r/>
      <w:bookmarkEnd w:id="69"/>
      <w:r/>
      <w:bookmarkStart w:id="70" w:name="EB92fb24a891e34ea29920d90c75406592"/>
      <w:r/>
      <w:r/>
    </w:p>
    <w:p>
      <w:pPr>
        <w:ind w:firstLine="480"/>
        <w:jc w:val="center"/>
        <w:keepLines w:val="0"/>
        <w:keepNext w:val="0"/>
        <w:pageBreakBefore w:val="0"/>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jc w:val="center"/>
        <w:keepLines w:val="0"/>
        <w:keepNext w:val="0"/>
        <w:pageBreakBefore w:val="0"/>
        <w:spacing w:before="100" w:beforeAutospacing="1" w:after="100" w:afterAutospacing="1" w:line="360" w:lineRule="auto"/>
        <w:widowControl/>
        <w:rPr>
          <w:rFonts w:hint="eastAsia" w:ascii="宋体" w:hAnsi="宋体" w:eastAsia="宋体" w:cs="宋体"/>
          <w:b/>
          <w:bCs/>
          <w:color w:val="auto"/>
          <w:sz w:val="24"/>
          <w:szCs w:val="24"/>
          <w:highlight w:val="none"/>
          <w:u w:val="single"/>
        </w:rPr>
        <w:outlineLvl w:val="1"/>
      </w:pPr>
      <w:r>
        <w:rPr>
          <w:rFonts w:hint="eastAsia" w:ascii="宋体" w:hAnsi="宋体" w:eastAsia="宋体" w:cs="宋体"/>
          <w:b/>
          <w:bCs/>
          <w:color w:val="auto"/>
          <w:sz w:val="24"/>
          <w:szCs w:val="24"/>
          <w:highlight w:val="none"/>
        </w:rPr>
        <w:t xml:space="preserve">购  销  合  同</w:t>
      </w:r>
      <w:r/>
    </w:p>
    <w:p>
      <w:pPr>
        <w:ind w:firstLine="540"/>
        <w:keepLines w:val="0"/>
        <w:keepNext w:val="0"/>
        <w:pageBreakBefore w:val="0"/>
        <w:spacing w:before="100" w:beforeAutospacing="1" w:after="100" w:afterAutospacing="1"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签订地点：</w:t>
      </w:r>
      <w:r>
        <w:rPr>
          <w:rFonts w:hint="eastAsia" w:ascii="宋体" w:hAnsi="宋体" w:eastAsia="宋体" w:cs="宋体"/>
          <w:b/>
          <w:color w:val="auto"/>
          <w:sz w:val="24"/>
          <w:szCs w:val="24"/>
          <w:highlight w:val="none"/>
          <w:u w:val="single"/>
        </w:rPr>
        <w:t xml:space="preserve">      盐    城           　</w:t>
      </w:r>
      <w:r>
        <w:rPr>
          <w:rFonts w:hint="eastAsia" w:ascii="宋体" w:hAnsi="宋体" w:eastAsia="宋体" w:cs="宋体"/>
          <w:b/>
          <w:color w:val="auto"/>
          <w:sz w:val="24"/>
          <w:szCs w:val="24"/>
          <w:highlight w:val="none"/>
        </w:rPr>
        <w:t xml:space="preserve">　合同编号：</w:t>
      </w:r>
      <w:r>
        <w:rPr>
          <w:rFonts w:hint="eastAsia" w:ascii="宋体" w:hAnsi="宋体" w:eastAsia="宋体" w:cs="宋体"/>
          <w:b/>
          <w:color w:val="auto"/>
          <w:sz w:val="24"/>
          <w:szCs w:val="24"/>
          <w:highlight w:val="none"/>
          <w:u w:val="single"/>
        </w:rPr>
        <w:t xml:space="preserve">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购货单位</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（以下简称甲方）（盖章）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（以下简称乙方）（盖章）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根据《中华人民共和国民法典》，经双方协商，本着平等互利、协商一致的原则，签订本同： </w:t>
      </w:r>
      <w:r/>
    </w:p>
    <w:p>
      <w:pPr>
        <w:ind w:firstLine="420"/>
        <w:keepLines w:val="0"/>
        <w:keepNext w:val="0"/>
        <w:pageBreakBefore w:val="0"/>
        <w:spacing w:line="360" w:lineRule="auto"/>
        <w:rPr>
          <w:rStyle w:val="857"/>
          <w:rFonts w:hint="eastAsia" w:ascii="宋体" w:hAnsi="宋体" w:eastAsia="宋体" w:cs="宋体"/>
          <w:b/>
          <w:color w:val="auto"/>
          <w:sz w:val="24"/>
          <w:szCs w:val="24"/>
          <w:highlight w:val="none"/>
        </w:rPr>
        <w:outlineLvl w:val="1"/>
      </w:pPr>
      <w:r>
        <w:rPr>
          <w:rStyle w:val="857"/>
          <w:rFonts w:hint="eastAsia" w:ascii="宋体" w:hAnsi="宋体" w:eastAsia="宋体" w:cs="宋体"/>
          <w:b/>
          <w:color w:val="auto"/>
          <w:sz w:val="24"/>
          <w:szCs w:val="24"/>
          <w:highlight w:val="none"/>
        </w:rPr>
        <w:t xml:space="preserve">第一条 商品的名称、种类、规格、数量及价款</w:t>
      </w:r>
      <w:r/>
    </w:p>
    <w:tbl>
      <w:tblPr>
        <w:tblStyle w:val="671"/>
        <w:tblW w:w="9530" w:type="dxa"/>
        <w:jc w:val="center"/>
        <w:tblCellSpacing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jc w:val="center"/>
          <w:tblCellSpacing w:w="0" w:type="dxa"/>
          <w:trHeight w:val="701" w:hRule="exact"/>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Style w:val="857"/>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szCs w:val="24"/>
                <w:highlight w:val="none"/>
              </w:rPr>
              <w:t xml:space="preserve">名称</w:t>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jc w:val="center"/>
          <w:tblCellSpacing w:w="0" w:type="dxa"/>
          <w:trHeight w:val="579"/>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blCellSpacing w:w="0" w:type="dxa"/>
          <w:trHeight w:val="584"/>
        </w:trPr>
        <w:tc>
          <w:tcPr>
            <w:gridSpan w:val="7"/>
            <w:tcW w:w="9530" w:type="dxa"/>
            <w:vAlign w:val="center"/>
            <w:textDirection w:val="lrTb"/>
            <w:noWrap w:val="false"/>
          </w:tcPr>
          <w:p>
            <w:pPr>
              <w:ind w:left="480" w:hanging="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合计人民币金额：￥   元                   （大写）： </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备注：详见配置清单</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第二条 交货方式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1、交货时间：</w:t>
      </w:r>
      <w:bookmarkStart w:id="71" w:name="OLE_LINK3"/>
      <w:r>
        <w:rPr>
          <w:rFonts w:hint="eastAsia" w:ascii="宋体" w:hAnsi="宋体" w:eastAsia="宋体" w:cs="宋体"/>
          <w:color w:val="auto"/>
          <w:sz w:val="24"/>
          <w:szCs w:val="24"/>
          <w:highlight w:val="none"/>
        </w:rPr>
        <w:t xml:space="preserve">自甲方通知之日起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w:t>
      </w:r>
      <w:bookmarkEnd w:id="71"/>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第三条 售后质量保证、安全和服务承诺</w:t>
      </w:r>
      <w:r/>
    </w:p>
    <w:p>
      <w:pPr>
        <w:ind w:firstLine="480"/>
        <w:keepLines w:val="0"/>
        <w:keepNext w:val="0"/>
        <w:pageBreakBefore w:val="0"/>
        <w:spacing w:line="360" w:lineRule="auto"/>
        <w:rPr>
          <w:rStyle w:val="85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w:t>
      </w:r>
      <w:r>
        <w:rPr>
          <w:rStyle w:val="858"/>
          <w:rFonts w:hint="eastAsia" w:ascii="宋体" w:hAnsi="宋体" w:eastAsia="宋体" w:cs="宋体"/>
          <w:color w:val="auto"/>
          <w:sz w:val="24"/>
          <w:szCs w:val="24"/>
          <w:highlight w:val="none"/>
        </w:rPr>
        <w:t xml:space="preserve">保证所售出货物符合国家规定的质量、包装等要求。</w:t>
      </w:r>
      <w:r/>
    </w:p>
    <w:p>
      <w:pPr>
        <w:ind w:firstLine="480"/>
        <w:keepLines w:val="0"/>
        <w:keepNext w:val="0"/>
        <w:pageBreakBefore w:val="0"/>
        <w:spacing w:line="360" w:lineRule="auto"/>
        <w:rPr>
          <w:rStyle w:val="858"/>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2、除另有约定外，合同范围的商品，应由乙方直接供应，不得转让他人供应。</w:t>
      </w:r>
      <w:r/>
    </w:p>
    <w:p>
      <w:pPr>
        <w:ind w:firstLine="480"/>
        <w:keepLines w:val="0"/>
        <w:keepNext w:val="0"/>
        <w:pageBreakBefore w:val="0"/>
        <w:spacing w:line="360" w:lineRule="auto"/>
        <w:rPr>
          <w:rStyle w:val="858"/>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3、产品的保修期</w:t>
      </w:r>
      <w:r>
        <w:rPr>
          <w:rFonts w:hint="eastAsia" w:ascii="宋体" w:hAnsi="宋体" w:eastAsia="宋体" w:cs="宋体"/>
          <w:color w:val="auto"/>
          <w:sz w:val="24"/>
          <w:szCs w:val="24"/>
          <w:highlight w:val="none"/>
        </w:rPr>
        <w:t xml:space="preserve">（以验收合格日算起）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年，保修期内免费维修。保修期满后，维修只收取维修配</w:t>
      </w:r>
      <w:r>
        <w:rPr>
          <w:rStyle w:val="858"/>
          <w:rFonts w:hint="eastAsia" w:ascii="宋体" w:hAnsi="宋体" w:eastAsia="宋体" w:cs="宋体"/>
          <w:color w:val="auto"/>
          <w:sz w:val="24"/>
          <w:szCs w:val="24"/>
          <w:highlight w:val="none"/>
        </w:rPr>
        <w:t xml:space="preserve">件的成本费。</w:t>
      </w:r>
      <w:r/>
    </w:p>
    <w:p>
      <w:pPr>
        <w:ind w:firstLine="437"/>
        <w:keepLines w:val="0"/>
        <w:keepNext w:val="0"/>
        <w:pageBreakBefore w:val="0"/>
        <w:spacing w:line="360" w:lineRule="auto"/>
        <w:rPr>
          <w:rStyle w:val="858"/>
          <w:rFonts w:hint="eastAsia" w:ascii="宋体" w:hAnsi="宋体" w:eastAsia="宋体" w:cs="宋体"/>
          <w:color w:val="auto"/>
          <w:sz w:val="24"/>
          <w:szCs w:val="24"/>
          <w:highlight w:val="none"/>
          <w:u w:val="single"/>
        </w:rPr>
      </w:pPr>
      <w:r>
        <w:rPr>
          <w:rStyle w:val="858"/>
          <w:rFonts w:hint="eastAsia" w:ascii="宋体" w:hAnsi="宋体" w:eastAsia="宋体" w:cs="宋体"/>
          <w:color w:val="auto"/>
          <w:sz w:val="24"/>
          <w:szCs w:val="24"/>
          <w:highlight w:val="none"/>
        </w:rPr>
        <w:t xml:space="preserve">4、售后服务响应时间：</w:t>
      </w:r>
      <w:r>
        <w:rPr>
          <w:rStyle w:val="858"/>
          <w:rFonts w:hint="eastAsia" w:ascii="宋体" w:hAnsi="宋体" w:eastAsia="宋体" w:cs="宋体"/>
          <w:color w:val="auto"/>
          <w:sz w:val="24"/>
          <w:szCs w:val="24"/>
          <w:highlight w:val="none"/>
          <w:u w:val="single"/>
        </w:rPr>
        <w:t xml:space="preserve">   24小时   </w:t>
      </w:r>
      <w:r/>
    </w:p>
    <w:p>
      <w:pPr>
        <w:ind w:firstLine="437"/>
        <w:keepLines w:val="0"/>
        <w:keepNext w:val="0"/>
        <w:pageBreakBefore w:val="0"/>
        <w:spacing w:line="360" w:lineRule="auto"/>
        <w:rPr>
          <w:rStyle w:val="858"/>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5、其 他  承 诺：</w:t>
      </w:r>
      <w:r>
        <w:rPr>
          <w:rStyle w:val="858"/>
          <w:rFonts w:hint="eastAsia" w:ascii="宋体" w:hAnsi="宋体" w:eastAsia="宋体" w:cs="宋体"/>
          <w:color w:val="auto"/>
          <w:sz w:val="24"/>
          <w:szCs w:val="24"/>
          <w:highlight w:val="none"/>
          <w:u w:val="single"/>
        </w:rPr>
        <w:t xml:space="preserve">      /      </w:t>
      </w:r>
      <w:r>
        <w:rPr>
          <w:rStyle w:val="858"/>
          <w:rFonts w:hint="eastAsia" w:ascii="宋体" w:hAnsi="宋体" w:eastAsia="宋体" w:cs="宋体"/>
          <w:color w:val="auto"/>
          <w:sz w:val="24"/>
          <w:szCs w:val="24"/>
          <w:highlight w:val="none"/>
        </w:rPr>
        <w:t xml:space="preserve">  </w:t>
      </w:r>
      <w:r/>
    </w:p>
    <w:p>
      <w:pPr>
        <w:ind w:firstLine="482"/>
        <w:jc w:val="left"/>
        <w:keepLines w:val="0"/>
        <w:keepNext w:val="0"/>
        <w:pageBreakBefore w:val="0"/>
        <w:spacing w:line="360" w:lineRule="auto"/>
        <w:widowControl/>
        <w:rPr>
          <w:rStyle w:val="857"/>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第四条 </w:t>
      </w:r>
      <w:r>
        <w:rPr>
          <w:rStyle w:val="857"/>
          <w:rFonts w:hint="eastAsia" w:ascii="宋体" w:hAnsi="宋体" w:eastAsia="宋体" w:cs="宋体"/>
          <w:b/>
          <w:color w:val="auto"/>
          <w:sz w:val="24"/>
          <w:szCs w:val="24"/>
          <w:highlight w:val="none"/>
        </w:rPr>
        <w:t xml:space="preserve">验收与安装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第五条 货款的结算</w:t>
      </w:r>
      <w:r/>
    </w:p>
    <w:p>
      <w:pPr>
        <w:numPr>
          <w:ilvl w:val="0"/>
          <w:numId w:val="0"/>
        </w:num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第六条 对产品提出异议的时间和办法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sz w:val="24"/>
          <w:szCs w:val="24"/>
          <w:highlight w:val="none"/>
          <w:u w:val="single"/>
        </w:rPr>
        <w:t xml:space="preserve">30日</w:t>
      </w:r>
      <w:r>
        <w:rPr>
          <w:rFonts w:hint="eastAsia" w:ascii="宋体" w:hAnsi="宋体" w:eastAsia="宋体" w:cs="宋体"/>
          <w:color w:val="auto"/>
          <w:sz w:val="24"/>
          <w:szCs w:val="24"/>
          <w:highlight w:val="none"/>
        </w:rPr>
        <w:t xml:space="preserve">内，必须安装临床使用后才能发现内在质量缺陷的产品，从临床使用之日起</w:t>
      </w:r>
      <w:r>
        <w:rPr>
          <w:rFonts w:hint="eastAsia" w:ascii="宋体" w:hAnsi="宋体" w:eastAsia="宋体" w:cs="宋体"/>
          <w:color w:val="auto"/>
          <w:sz w:val="24"/>
          <w:szCs w:val="24"/>
          <w:highlight w:val="none"/>
          <w:u w:val="single"/>
        </w:rPr>
        <w:t xml:space="preserve">6个月</w:t>
      </w:r>
      <w:r>
        <w:rPr>
          <w:rFonts w:hint="eastAsia" w:ascii="宋体" w:hAnsi="宋体" w:eastAsia="宋体" w:cs="宋体"/>
          <w:color w:val="auto"/>
          <w:sz w:val="24"/>
          <w:szCs w:val="24"/>
          <w:highlight w:val="none"/>
        </w:rPr>
        <w:t xml:space="preserve">内向乙方提出书面异议。政府主管部门另有规定的从其规定。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2、乙方在接到甲方书面异议后，应在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z w:val="24"/>
          <w:szCs w:val="24"/>
          <w:highlight w:val="none"/>
        </w:rPr>
        <w:t xml:space="preserve">内（另有规定或当事人另行商定期限者除外）负责处理，否则，即视为默认甲方提出的异议和处理意见。</w:t>
      </w:r>
      <w:r/>
    </w:p>
    <w:p>
      <w:pPr>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第七条 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sz w:val="24"/>
          <w:szCs w:val="24"/>
          <w:highlight w:val="none"/>
          <w:u w:val="single"/>
        </w:rPr>
        <w:t xml:space="preserve">3天</w:t>
      </w:r>
      <w:r>
        <w:rPr>
          <w:rFonts w:hint="eastAsia" w:ascii="宋体" w:hAnsi="宋体" w:eastAsia="宋体" w:cs="宋体"/>
          <w:color w:val="auto"/>
          <w:sz w:val="24"/>
          <w:szCs w:val="24"/>
          <w:highlight w:val="none"/>
        </w:rPr>
        <w:t xml:space="preserve">，乙方不能纠正时，甲方可以终止全部或部分合同，终止部分不予支付货款。同时，乙方应向甲方按总货款的</w:t>
      </w:r>
      <w:r>
        <w:rPr>
          <w:rFonts w:hint="eastAsia" w:ascii="宋体" w:hAnsi="宋体" w:eastAsia="宋体" w:cs="宋体"/>
          <w:color w:val="auto"/>
          <w:sz w:val="24"/>
          <w:szCs w:val="24"/>
          <w:highlight w:val="none"/>
          <w:u w:val="single"/>
        </w:rPr>
        <w:t xml:space="preserve"> 20%  </w:t>
      </w:r>
      <w:r>
        <w:rPr>
          <w:rFonts w:hint="eastAsia" w:ascii="宋体" w:hAnsi="宋体" w:eastAsia="宋体" w:cs="宋体"/>
          <w:color w:val="auto"/>
          <w:sz w:val="24"/>
          <w:szCs w:val="24"/>
          <w:highlight w:val="none"/>
        </w:rPr>
        <w:t xml:space="preserve">支付违约金，并赔偿因此造成的损失。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2、乙方所交产品品种、型号、规格、花色质量不符合合同规定的，甲方有权拒绝付款，因此所发生的一切费用损失，由乙方负责。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3、乙方逾期交货或只交付部分货物的，乙方应按合同总额每日千分之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向甲方支付违约金，由甲方从待付货款中扣除。逾期超过约定日期7个工作日不能交货的，甲方有权解除本合同，乙方不得以任何理由推迟出场。已交货物如甲方决定保留，按照乙方投标文件明细报价表注明价格执行。同时乙方应向甲方支付合同总值20%的违约金，如造成甲方损失超过违约金的，超出部分由乙方继续承担赔偿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4、甲方未按合同规定的时间和要求提供相应的技术资料等，交货日期得以顺延。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第八条 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1、是否需要缴纳履约保证金：</w:t>
      </w:r>
      <w:bookmarkStart w:id="72" w:name="OLE_LINK1"/>
      <w:r>
        <w:rPr>
          <w:rFonts w:hint="eastAsia" w:ascii="宋体" w:hAnsi="宋体" w:eastAsia="宋体" w:cs="宋体"/>
          <w:color w:val="auto"/>
          <w:sz w:val="24"/>
          <w:szCs w:val="24"/>
          <w:highlight w:val="none"/>
          <w:u w:val="single"/>
        </w:rPr>
        <w:t xml:space="preserve"> 否 </w:t>
      </w:r>
      <w:bookmarkEnd w:id="72"/>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2、如需缴纳履约保证金的，按下列条款执行：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2.1乙方交纳人民币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元作为本合同的履约保证金。待设备安装验收合格后，无息退还履约保证金。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2.2乙方自主选择以支票、汇票、本票或者金融机构、担保机构出具的保函、电子履约保函（保险）等非现金形式提交履约保证金。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2.4履约保证金的退还：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2.4.1方式：无息退还至投标人缴纳履约保证金的账户。如为保函，在到期时自行失效。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2.4.2时间：验收合格且采购人收到发票后30日内。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2.4.3条件：按合同要求全部履约完成并经采购人验收合格，且采购人收到中标人出具的发票。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2.4.4不予退还情形：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（2）乙方不履行与采购人订立的合同的；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（3）乙方所供货物或服务不符合招标文件规定要求的；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2.5逾期退还的违约责任：甲方逾期无故未退还履约保证金的，按中国人民银行同期贷款基准利率上浮20%后的利率支付超期资金占用费，但因供应商自身原因导致无法及时退还的除外。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第九条 其他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1、当事人一方因不可抗力的原因不能履行合同时，应当及时通知对方，并在合理期限内提供有关机构出具的证明，可以全部或部分免除该方当事人的违约责任。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3、本合同自双方签字盖章之日起生效。本合同未尽事宜，须经双方共同协商，作出补充规定，其补充规定与本合同有同等法律效力。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4、本合同一式四份，甲方三份，乙方一份。</w:t>
      </w:r>
      <w:r/>
    </w:p>
    <w:p>
      <w:pPr>
        <w:ind w:firstLine="480"/>
        <w:jc w:val="left"/>
        <w:keepLines w:val="0"/>
        <w:keepNext w:val="0"/>
        <w:pageBreakBefore w:val="0"/>
        <w:spacing w:after="12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购货单位：</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供货单位：</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（盖章）</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统一信用代码：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统一信用代码： </w:t>
      </w:r>
      <w:r/>
    </w:p>
    <w:p>
      <w:pPr>
        <w:ind w:left="900" w:hanging="48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帐     号：</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left"/>
        <w:keepLines w:val="0"/>
        <w:keepNext w:val="0"/>
        <w:pageBreakBefore w:val="0"/>
        <w:spacing w:line="360" w:lineRule="auto"/>
        <w:rPr>
          <w:rFonts w:hint="eastAsia"/>
          <w:color w:val="auto"/>
          <w:highlight w:val="none"/>
        </w:rPr>
      </w:pPr>
      <w:r>
        <w:rPr>
          <w:rFonts w:hint="eastAsia" w:ascii="宋体" w:hAnsi="宋体" w:eastAsia="宋体" w:cs="宋体"/>
          <w:color w:val="auto"/>
          <w:sz w:val="24"/>
          <w:szCs w:val="24"/>
          <w:highlight w:val="none"/>
        </w:rPr>
        <w:t xml:space="preserve">日    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 </w:t>
      </w:r>
      <w:bookmarkEnd w:id="70"/>
      <w:r/>
      <w:r/>
    </w:p>
    <w:p>
      <w:pPr>
        <w:pStyle w:val="859"/>
        <w:ind w:firstLine="200"/>
        <w:spacing w:line="360" w:lineRule="auto"/>
        <w:rPr>
          <w:rFonts w:hint="eastAsia" w:hAnsi="宋体"/>
          <w:color w:val="auto"/>
          <w:sz w:val="24"/>
          <w:szCs w:val="24"/>
          <w:highlight w:val="none"/>
        </w:rPr>
      </w:pPr>
      <w:r>
        <w:rPr>
          <w:rFonts w:hint="eastAsia" w:hAnsi="宋体"/>
          <w:color w:val="auto"/>
          <w:sz w:val="24"/>
          <w:szCs w:val="24"/>
          <w:highlight w:val="none"/>
        </w:rPr>
      </w:r>
      <w:r/>
    </w:p>
    <w:p>
      <w:pPr>
        <w:jc w:val="both"/>
        <w:keepLines/>
        <w:keepNext/>
        <w:pageBreakBefore w:val="0"/>
        <w:spacing w:line="360" w:lineRule="auto"/>
        <w:rPr>
          <w:rFonts w:hint="eastAsia"/>
          <w:b/>
          <w:color w:val="auto"/>
          <w:sz w:val="44"/>
          <w:szCs w:val="44"/>
          <w:highlight w:val="none"/>
        </w:rPr>
        <w:outlineLvl w:val="0"/>
      </w:pPr>
      <w:r/>
      <w:bookmarkStart w:id="73" w:name="_Toc12366"/>
      <w:r/>
      <w:bookmarkStart w:id="74" w:name="_Toc514054483"/>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t xml:space="preserve">第六部分  投标文件格式</w:t>
      </w:r>
      <w:bookmarkEnd w:id="73"/>
      <w:r/>
      <w:bookmarkEnd w:id="74"/>
      <w:r/>
      <w:r/>
    </w:p>
    <w:p>
      <w:pPr>
        <w:spacing w:line="360" w:lineRule="auto"/>
        <w:rPr>
          <w:color w:val="auto"/>
          <w:highlight w:val="none"/>
        </w:rPr>
      </w:pPr>
      <w:r>
        <w:rPr>
          <w:color w:val="auto"/>
          <w:highlight w:val="none"/>
        </w:rPr>
      </w:r>
      <w:r/>
    </w:p>
    <w:p>
      <w:pPr>
        <w:pStyle w:val="860"/>
        <w:ind w:firstLine="321"/>
        <w:jc w:val="center"/>
        <w:spacing w:line="360" w:lineRule="auto"/>
        <w:rPr>
          <w:color w:val="auto"/>
          <w:highlight w:val="none"/>
        </w:rPr>
        <w:outlineLvl w:val="1"/>
      </w:pPr>
      <w:r/>
      <w:bookmarkStart w:id="75" w:name="_Toc26779"/>
      <w:r/>
      <w:bookmarkStart w:id="76" w:name="_Toc514054484"/>
      <w:r>
        <w:rPr>
          <w:color w:val="auto"/>
          <w:highlight w:val="none"/>
        </w:rPr>
        <w:t xml:space="preserve">封面</w:t>
      </w:r>
      <w:bookmarkEnd w:id="75"/>
      <w:r/>
      <w:bookmarkEnd w:id="76"/>
      <w:r/>
      <w:r/>
    </w:p>
    <w:p>
      <w:pPr>
        <w:pStyle w:val="861"/>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1"/>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1"/>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1"/>
        <w:jc w:val="center"/>
        <w:spacing w:line="360" w:lineRule="auto"/>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861"/>
        <w:jc w:val="center"/>
        <w:spacing w:line="360" w:lineRule="auto"/>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861"/>
        <w:jc w:val="center"/>
        <w:spacing w:line="360" w:lineRule="auto"/>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center"/>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ind w:firstLine="2520"/>
        <w:spacing w:line="360" w:lineRule="auto"/>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861"/>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hint="eastAsia" w:ascii="黑体" w:eastAsia="黑体" w:cs="黑体"/>
          <w:color w:val="auto"/>
          <w:sz w:val="28"/>
          <w:szCs w:val="28"/>
          <w:highlight w:val="none"/>
          <w:lang w:val="en-US" w:eastAsia="zh-CN"/>
        </w:rPr>
        <w:t xml:space="preserve">或签章</w:t>
      </w:r>
      <w:r>
        <w:rPr>
          <w:rFonts w:hint="eastAsia" w:ascii="黑体" w:eastAsia="黑体" w:cs="黑体"/>
          <w:color w:val="auto"/>
          <w:sz w:val="28"/>
          <w:szCs w:val="28"/>
          <w:highlight w:val="none"/>
        </w:rPr>
        <w:t xml:space="preserve">）</w:t>
      </w:r>
      <w:r>
        <w:rPr>
          <w:rFonts w:ascii="黑体" w:eastAsia="黑体" w:cs="黑体"/>
          <w:color w:val="auto"/>
          <w:sz w:val="28"/>
          <w:szCs w:val="28"/>
          <w:highlight w:val="none"/>
        </w:rPr>
        <w:t xml:space="preserve"> </w:t>
      </w:r>
      <w:r/>
    </w:p>
    <w:p>
      <w:pPr>
        <w:pStyle w:val="861"/>
        <w:ind w:firstLine="308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p>
    <w:p>
      <w:pPr>
        <w:spacing w:line="360" w:lineRule="auto"/>
        <w:rPr>
          <w:color w:val="auto"/>
          <w:highlight w:val="none"/>
        </w:rPr>
      </w:pPr>
      <w:r>
        <w:rPr>
          <w:color w:val="auto"/>
          <w:highlight w:val="none"/>
        </w:rPr>
      </w:r>
      <w:r/>
    </w:p>
    <w:p>
      <w:pPr>
        <w:pStyle w:val="862"/>
        <w:jc w:val="center"/>
        <w:spacing w:line="360" w:lineRule="auto"/>
        <w:rPr>
          <w:color w:val="auto"/>
          <w:highlight w:val="none"/>
        </w:rPr>
        <w:outlineLvl w:val="1"/>
      </w:pPr>
      <w:r>
        <w:rPr>
          <w:color w:val="auto"/>
          <w:highlight w:val="none"/>
        </w:rPr>
        <w:br w:type="page" w:clear="all"/>
      </w:r>
      <w:bookmarkStart w:id="77" w:name="_Toc514054485"/>
      <w:r/>
      <w:bookmarkStart w:id="78" w:name="_Toc11482"/>
      <w:r/>
      <w:r/>
    </w:p>
    <w:p>
      <w:pPr>
        <w:pStyle w:val="862"/>
        <w:jc w:val="center"/>
        <w:spacing w:line="360" w:lineRule="auto"/>
        <w:rPr>
          <w:color w:val="auto"/>
          <w:highlight w:val="none"/>
        </w:rPr>
        <w:outlineLvl w:val="1"/>
      </w:pPr>
      <w:r>
        <w:rPr>
          <w:color w:val="auto"/>
          <w:highlight w:val="none"/>
        </w:rPr>
      </w:r>
      <w:r/>
    </w:p>
    <w:p>
      <w:pPr>
        <w:pStyle w:val="862"/>
        <w:jc w:val="center"/>
        <w:spacing w:line="360" w:lineRule="auto"/>
        <w:rPr>
          <w:color w:val="auto"/>
          <w:highlight w:val="none"/>
        </w:rPr>
        <w:outlineLvl w:val="1"/>
      </w:pPr>
      <w:r>
        <w:rPr>
          <w:color w:val="auto"/>
          <w:highlight w:val="none"/>
        </w:rPr>
        <w:t xml:space="preserve">目录</w:t>
      </w:r>
      <w:bookmarkEnd w:id="77"/>
      <w:r/>
      <w:bookmarkEnd w:id="78"/>
      <w:r/>
      <w:r/>
    </w:p>
    <w:p>
      <w:pPr>
        <w:pStyle w:val="863"/>
        <w:spacing w:after="100" w:afterAutospacing="1" w:line="360" w:lineRule="auto"/>
        <w:rPr>
          <w:color w:val="auto"/>
          <w:highlight w:val="none"/>
        </w:rPr>
      </w:pPr>
      <w:r>
        <w:rPr>
          <w:rFonts w:ascii="宋体" w:hAnsi="宋体" w:eastAsia="宋体" w:cs="宋体"/>
          <w:color w:val="auto"/>
          <w:highlight w:val="none"/>
        </w:rPr>
        <w:t xml:space="preserve">一、投标人基本情况</w:t>
      </w:r>
      <w:r/>
    </w:p>
    <w:p>
      <w:pPr>
        <w:pStyle w:val="863"/>
        <w:spacing w:after="100" w:afterAutospacing="1" w:line="360" w:lineRule="auto"/>
        <w:rPr>
          <w:color w:val="auto"/>
          <w:highlight w:val="none"/>
        </w:rPr>
      </w:pPr>
      <w:r>
        <w:rPr>
          <w:rFonts w:ascii="宋体" w:hAnsi="宋体" w:eastAsia="宋体" w:cs="宋体"/>
          <w:color w:val="auto"/>
          <w:highlight w:val="none"/>
        </w:rPr>
        <w:t xml:space="preserve">二、投标人资质</w:t>
      </w:r>
      <w:r/>
    </w:p>
    <w:p>
      <w:pPr>
        <w:pStyle w:val="863"/>
        <w:spacing w:after="100" w:afterAutospacing="1" w:line="360" w:lineRule="auto"/>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863"/>
        <w:spacing w:after="100" w:afterAutospacing="1" w:line="360" w:lineRule="auto"/>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863"/>
        <w:spacing w:after="100" w:afterAutospacing="1" w:line="360" w:lineRule="auto"/>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863"/>
        <w:spacing w:after="100" w:afterAutospacing="1" w:line="360" w:lineRule="auto"/>
        <w:rPr>
          <w:color w:val="auto"/>
          <w:highlight w:val="none"/>
        </w:rPr>
      </w:pPr>
      <w:r>
        <w:rPr>
          <w:rFonts w:ascii="宋体" w:hAnsi="宋体" w:eastAsia="宋体" w:cs="宋体"/>
          <w:color w:val="auto"/>
          <w:highlight w:val="none"/>
        </w:rPr>
        <w:t xml:space="preserve">六、无重大违法行为声明</w:t>
      </w:r>
      <w:r/>
    </w:p>
    <w:p>
      <w:pPr>
        <w:pStyle w:val="863"/>
        <w:spacing w:after="100" w:afterAutospacing="1" w:line="360" w:lineRule="auto"/>
        <w:rPr>
          <w:color w:val="auto"/>
          <w:highlight w:val="none"/>
        </w:rPr>
      </w:pPr>
      <w:r>
        <w:rPr>
          <w:rFonts w:ascii="宋体" w:hAnsi="宋体" w:eastAsia="宋体" w:cs="宋体"/>
          <w:color w:val="auto"/>
          <w:highlight w:val="none"/>
        </w:rPr>
        <w:t xml:space="preserve">七、投标函</w:t>
      </w:r>
      <w:r/>
    </w:p>
    <w:p>
      <w:pPr>
        <w:pStyle w:val="863"/>
        <w:spacing w:after="100" w:afterAutospacing="1" w:line="360" w:lineRule="auto"/>
        <w:rPr>
          <w:color w:val="auto"/>
          <w:highlight w:val="none"/>
        </w:rPr>
      </w:pPr>
      <w:r>
        <w:rPr>
          <w:rFonts w:ascii="宋体" w:hAnsi="宋体" w:eastAsia="宋体" w:cs="宋体"/>
          <w:color w:val="auto"/>
          <w:highlight w:val="none"/>
        </w:rPr>
        <w:t xml:space="preserve">八、法定代表人身份证明或授权委托书</w:t>
      </w:r>
      <w:r/>
    </w:p>
    <w:p>
      <w:pPr>
        <w:pStyle w:val="863"/>
        <w:spacing w:after="100" w:afterAutospacing="1" w:line="360" w:lineRule="auto"/>
        <w:rPr>
          <w:color w:val="auto"/>
          <w:highlight w:val="none"/>
        </w:rPr>
      </w:pPr>
      <w:r>
        <w:rPr>
          <w:rFonts w:ascii="宋体" w:hAnsi="宋体" w:eastAsia="宋体" w:cs="宋体"/>
          <w:color w:val="auto"/>
          <w:highlight w:val="none"/>
        </w:rPr>
        <w:t xml:space="preserve">九、开标一览表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十、明细报价表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十一、中小企业声明函</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十二、响应偏差表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十三、所投产品技术资料或样本等</w:t>
      </w:r>
      <w:r/>
    </w:p>
    <w:p>
      <w:pPr>
        <w:pStyle w:val="863"/>
        <w:spacing w:after="100" w:afterAutospacing="1" w:line="360" w:lineRule="auto"/>
        <w:rPr>
          <w:color w:val="auto"/>
          <w:highlight w:val="none"/>
        </w:rPr>
      </w:pPr>
      <w:r>
        <w:rPr>
          <w:rFonts w:ascii="宋体" w:hAnsi="宋体" w:eastAsia="宋体" w:cs="宋体"/>
          <w:color w:val="auto"/>
          <w:highlight w:val="none"/>
        </w:rPr>
        <w:t xml:space="preserve">十四、主要部件、辅材明细表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十五、</w:t>
      </w:r>
      <w:bookmarkStart w:id="79"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79"/>
      <w:r/>
      <w:r/>
    </w:p>
    <w:p>
      <w:pPr>
        <w:pStyle w:val="863"/>
        <w:spacing w:after="100" w:afterAutospacing="1" w:line="360" w:lineRule="auto"/>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、项目业绩一览表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、投标所需其他材料</w:t>
      </w:r>
      <w:r/>
    </w:p>
    <w:p>
      <w:pPr>
        <w:pStyle w:val="864"/>
        <w:spacing w:line="360" w:lineRule="auto"/>
        <w:rPr>
          <w:color w:val="auto"/>
          <w:highlight w:val="none"/>
        </w:rPr>
        <w:outlineLvl w:val="1"/>
      </w:pPr>
      <w:r>
        <w:rPr>
          <w:color w:val="auto"/>
          <w:highlight w:val="none"/>
        </w:rPr>
        <w:br w:type="page" w:clear="all"/>
      </w:r>
      <w:bookmarkStart w:id="80" w:name="_Toc514054486"/>
      <w:r/>
      <w:bookmarkStart w:id="81" w:name="_Toc23205_WPSOffice_Level2"/>
      <w:r/>
      <w:bookmarkStart w:id="82" w:name="_Toc21292"/>
      <w:r>
        <w:rPr>
          <w:color w:val="auto"/>
          <w:highlight w:val="none"/>
        </w:rPr>
        <w:t xml:space="preserve">一、投标人基本情况</w:t>
      </w:r>
      <w:bookmarkEnd w:id="80"/>
      <w:r/>
      <w:bookmarkEnd w:id="81"/>
      <w:r/>
      <w:bookmarkEnd w:id="82"/>
      <w:r/>
      <w:r/>
    </w:p>
    <w:p>
      <w:pPr>
        <w:pStyle w:val="865"/>
        <w:jc w:val="center"/>
        <w:spacing w:line="360" w:lineRule="auto"/>
        <w:rPr>
          <w:rFonts w:hint="eastAsia"/>
          <w:color w:val="auto"/>
          <w:sz w:val="44"/>
          <w:szCs w:val="44"/>
          <w:highlight w:val="none"/>
        </w:rPr>
      </w:pPr>
      <w:r>
        <w:rPr>
          <w:rFonts w:hint="eastAsia"/>
          <w:color w:val="auto"/>
          <w:sz w:val="44"/>
          <w:szCs w:val="44"/>
          <w:highlight w:val="none"/>
        </w:rPr>
        <w:t xml:space="preserve">投标人基本情况表</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vAlign w:val="top"/>
            <w:textDirection w:val="lrTb"/>
            <w:noWrap w:val="false"/>
          </w:tcPr>
          <w:p>
            <w:pPr>
              <w:pStyle w:val="865"/>
              <w:ind w:firstLine="1432"/>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bl>
    <w:p>
      <w:pPr>
        <w:pStyle w:val="865"/>
        <w:jc w:val="center"/>
        <w:spacing w:line="360" w:lineRule="auto"/>
        <w:rPr>
          <w:rFonts w:hint="eastAsia" w:ascii="方正大标宋简体" w:eastAsia="方正大标宋简体"/>
          <w:bCs/>
          <w:color w:val="auto"/>
          <w:sz w:val="32"/>
          <w:szCs w:val="32"/>
          <w:highlight w:val="none"/>
        </w:rPr>
      </w:pPr>
      <w:r>
        <w:rPr>
          <w:rFonts w:hint="eastAsia" w:ascii="方正大标宋简体" w:eastAsia="方正大标宋简体"/>
          <w:bCs/>
          <w:color w:val="auto"/>
          <w:sz w:val="32"/>
          <w:szCs w:val="32"/>
          <w:highlight w:val="none"/>
        </w:rPr>
      </w:r>
      <w:r/>
    </w:p>
    <w:p>
      <w:pPr>
        <w:pStyle w:val="866"/>
        <w:spacing w:line="360" w:lineRule="auto"/>
        <w:rPr>
          <w:rFonts w:hint="eastAsia"/>
          <w:color w:val="auto"/>
          <w:highlight w:val="none"/>
        </w:rPr>
        <w:outlineLvl w:val="1"/>
      </w:pPr>
      <w:r>
        <w:rPr>
          <w:color w:val="auto"/>
          <w:highlight w:val="none"/>
        </w:rPr>
        <w:br w:type="page" w:clear="all"/>
      </w:r>
      <w:bookmarkStart w:id="83" w:name="_Toc30260_WPSOffice_Level2"/>
      <w:r/>
      <w:bookmarkStart w:id="84" w:name="_Toc514054487"/>
      <w:r/>
      <w:bookmarkStart w:id="85" w:name="_Toc15353"/>
      <w:r>
        <w:rPr>
          <w:color w:val="auto"/>
          <w:highlight w:val="none"/>
        </w:rPr>
        <w:t xml:space="preserve">二、</w:t>
      </w:r>
      <w:r>
        <w:rPr>
          <w:rFonts w:hint="eastAsia"/>
          <w:color w:val="auto"/>
          <w:highlight w:val="none"/>
          <w:lang w:val="en-US" w:eastAsia="zh-CN"/>
        </w:rPr>
        <w:t xml:space="preserve">投标</w:t>
      </w:r>
      <w:r>
        <w:rPr>
          <w:color w:val="auto"/>
          <w:highlight w:val="none"/>
        </w:rPr>
        <w:t xml:space="preserve">人资质</w:t>
      </w:r>
      <w:bookmarkEnd w:id="83"/>
      <w:r/>
      <w:bookmarkEnd w:id="84"/>
      <w:r>
        <w:rPr>
          <w:rFonts w:hint="eastAsia"/>
          <w:color w:val="auto"/>
          <w:highlight w:val="none"/>
          <w:lang w:eastAsia="zh-CN"/>
        </w:rPr>
        <w:t xml:space="preserve">（</w:t>
      </w:r>
      <w:r>
        <w:rPr>
          <w:rFonts w:hint="eastAsia"/>
          <w:color w:val="auto"/>
          <w:highlight w:val="none"/>
          <w:lang w:val="en-US" w:eastAsia="zh-CN"/>
        </w:rPr>
        <w:t xml:space="preserve">按资格要求提供</w:t>
      </w:r>
      <w:r>
        <w:rPr>
          <w:rFonts w:hint="eastAsia"/>
          <w:color w:val="auto"/>
          <w:highlight w:val="none"/>
          <w:lang w:eastAsia="zh-CN"/>
        </w:rPr>
        <w:t xml:space="preserve">）</w:t>
      </w:r>
      <w:bookmarkEnd w:id="85"/>
      <w:r/>
      <w:r/>
    </w:p>
    <w:p>
      <w:pPr>
        <w:pStyle w:val="867"/>
        <w:spacing w:line="360" w:lineRule="auto"/>
        <w:rPr>
          <w:rFonts w:hint="eastAsia"/>
          <w:color w:val="auto"/>
          <w:highlight w:val="none"/>
        </w:rPr>
      </w:pPr>
      <w:r>
        <w:rPr>
          <w:rFonts w:hint="eastAsia"/>
          <w:color w:val="auto"/>
          <w:highlight w:val="none"/>
        </w:rPr>
        <w:t xml:space="preserve">    </w:t>
      </w:r>
      <w:bookmarkStart w:id="86" w:name="_Toc21452_WPSOffice_Level2"/>
      <w:r/>
      <w:bookmarkStart w:id="87" w:name="_Toc514054488"/>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color w:val="auto"/>
          <w:highlight w:val="none"/>
        </w:rPr>
        <w:outlineLvl w:val="1"/>
      </w:pPr>
      <w:r/>
      <w:bookmarkStart w:id="88" w:name="_Toc18935"/>
      <w:r>
        <w:rPr>
          <w:color w:val="auto"/>
          <w:highlight w:val="none"/>
        </w:rPr>
        <w:t xml:space="preserve">三、投标人</w:t>
      </w:r>
      <w:bookmarkEnd w:id="86"/>
      <w:r/>
      <w:bookmarkEnd w:id="87"/>
      <w:r/>
      <w:bookmarkEnd w:id="88"/>
      <w:r>
        <w:rPr>
          <w:rFonts w:hint="eastAsia" w:ascii="宋体" w:hAnsi="宋体" w:cs="Arial"/>
          <w:bCs/>
          <w:color w:val="auto"/>
          <w:highlight w:val="none"/>
        </w:rPr>
        <w:t xml:space="preserve">具有良好的商业信誉和健全的财务会计制度</w:t>
      </w:r>
      <w:r/>
    </w:p>
    <w:p>
      <w:pPr>
        <w:pStyle w:val="868"/>
        <w:spacing w:line="360" w:lineRule="auto"/>
        <w:rPr>
          <w:color w:val="auto"/>
          <w:highlight w:val="none"/>
        </w:rPr>
      </w:pPr>
      <w:r>
        <w:rPr>
          <w:rFonts w:hint="eastAsia" w:ascii="宋体"/>
          <w:bCs/>
          <w:color w:val="auto"/>
          <w:szCs w:val="32"/>
          <w:highlight w:val="none"/>
        </w:rPr>
        <w:t xml:space="preserve">提供符合招标文件要求的资料</w:t>
      </w:r>
      <w:r/>
    </w:p>
    <w:p>
      <w:pPr>
        <w:pStyle w:val="869"/>
        <w:spacing w:line="360" w:lineRule="auto"/>
        <w:rPr>
          <w:color w:val="auto"/>
          <w:highlight w:val="none"/>
        </w:rPr>
        <w:outlineLvl w:val="1"/>
      </w:pPr>
      <w:r>
        <w:rPr>
          <w:color w:val="auto"/>
          <w:highlight w:val="none"/>
        </w:rPr>
        <w:br w:type="page" w:clear="all"/>
      </w:r>
      <w:bookmarkStart w:id="89" w:name="_Toc29626"/>
      <w:r/>
      <w:bookmarkStart w:id="90" w:name="_Toc11562_WPSOffice_Level2"/>
      <w:r/>
      <w:bookmarkStart w:id="91" w:name="_Toc514054489"/>
      <w:r>
        <w:rPr>
          <w:color w:val="auto"/>
          <w:highlight w:val="none"/>
        </w:rPr>
        <w:t xml:space="preserve">四、</w:t>
      </w:r>
      <w:bookmarkEnd w:id="89"/>
      <w:r/>
      <w:bookmarkEnd w:id="90"/>
      <w:r/>
      <w:bookmarkEnd w:id="91"/>
      <w:r>
        <w:rPr>
          <w:rFonts w:hint="eastAsia" w:ascii="宋体" w:hAnsi="宋体" w:cs="Arial"/>
          <w:bCs/>
          <w:color w:val="auto"/>
          <w:highlight w:val="none"/>
        </w:rPr>
        <w:t xml:space="preserve">具有履行合同所必需的设备和专业技术能力</w:t>
      </w:r>
      <w:r/>
    </w:p>
    <w:p>
      <w:pPr>
        <w:pStyle w:val="870"/>
        <w:jc w:val="center"/>
        <w:spacing w:line="360" w:lineRule="auto"/>
        <w:rPr>
          <w:rFonts w:hint="eastAsia" w:ascii="宋体" w:hAnsi="宋体"/>
          <w:b/>
          <w:color w:val="auto"/>
          <w:sz w:val="32"/>
          <w:szCs w:val="24"/>
          <w:highlight w:val="none"/>
        </w:rPr>
      </w:pPr>
      <w:r/>
      <w:bookmarkStart w:id="92" w:name="_Toc31740_WPSOffice_Level2"/>
      <w:r/>
      <w:r/>
    </w:p>
    <w:p>
      <w:pPr>
        <w:pStyle w:val="870"/>
        <w:jc w:val="center"/>
        <w:spacing w:line="360" w:lineRule="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92"/>
      <w:r/>
      <w:r/>
    </w:p>
    <w:p>
      <w:pPr>
        <w:pStyle w:val="87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7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87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870"/>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0"/>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0"/>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2"/>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63"/>
        <w:spacing w:after="100" w:afterAutospacing="1" w:line="360" w:lineRule="auto"/>
        <w:rPr>
          <w:rFonts w:hint="eastAsia" w:ascii="宋体" w:hAnsi="宋体" w:cs="Arial"/>
          <w:bCs/>
          <w:color w:val="auto"/>
          <w:highlight w:val="none"/>
        </w:rPr>
      </w:pPr>
      <w:r>
        <w:rPr>
          <w:color w:val="auto"/>
          <w:highlight w:val="none"/>
        </w:rPr>
        <w:br w:type="page" w:clear="all"/>
      </w:r>
      <w:bookmarkStart w:id="93" w:name="_Toc467_WPSOffice_Level2"/>
      <w:r/>
      <w:bookmarkStart w:id="94" w:name="_Toc13419"/>
      <w:r/>
      <w:bookmarkStart w:id="95" w:name="_Toc514054490"/>
      <w:r>
        <w:rPr>
          <w:rFonts w:hint="eastAsia" w:ascii="宋体" w:hAnsi="宋体" w:eastAsia="黑体" w:cs="Arial"/>
          <w:b/>
          <w:bCs/>
          <w:color w:val="auto"/>
          <w:sz w:val="32"/>
          <w:highlight w:val="none"/>
        </w:rPr>
        <w:t xml:space="preserve">五、</w:t>
      </w:r>
      <w:bookmarkEnd w:id="93"/>
      <w:r/>
      <w:bookmarkEnd w:id="94"/>
      <w:r/>
      <w:bookmarkEnd w:id="95"/>
      <w:r>
        <w:rPr>
          <w:rFonts w:hint="eastAsia" w:ascii="宋体" w:hAnsi="宋体" w:eastAsia="黑体" w:cs="Arial"/>
          <w:b/>
          <w:bCs/>
          <w:color w:val="auto"/>
          <w:sz w:val="32"/>
          <w:highlight w:val="none"/>
        </w:rPr>
        <w:t xml:space="preserve">有依法缴纳税收和社会保障资金的良好记录</w:t>
      </w:r>
      <w:r/>
    </w:p>
    <w:p>
      <w:pPr>
        <w:pStyle w:val="868"/>
        <w:spacing w:line="360" w:lineRule="auto"/>
        <w:rPr>
          <w:color w:val="auto"/>
          <w:highlight w:val="none"/>
        </w:rPr>
      </w:pPr>
      <w:r>
        <w:rPr>
          <w:rFonts w:hint="eastAsia" w:ascii="宋体"/>
          <w:bCs/>
          <w:color w:val="auto"/>
          <w:szCs w:val="32"/>
          <w:highlight w:val="none"/>
        </w:rPr>
        <w:t xml:space="preserve">提供符合招标文件要求的资料</w:t>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bookmarkStart w:id="96" w:name="_Toc19673"/>
      <w:r/>
      <w:bookmarkStart w:id="97" w:name="_Toc5571_WPSOffice_Level2"/>
      <w:r/>
      <w:bookmarkStart w:id="98" w:name="_Toc514054491"/>
      <w:r>
        <w:rPr>
          <w:color w:val="auto"/>
          <w:highlight w:val="none"/>
        </w:rPr>
        <w:t xml:space="preserve">六、无重大违法行为声明</w:t>
      </w:r>
      <w:bookmarkEnd w:id="96"/>
      <w:r/>
      <w:bookmarkEnd w:id="97"/>
      <w:r/>
      <w:bookmarkEnd w:id="98"/>
      <w:r/>
      <w:r/>
    </w:p>
    <w:p>
      <w:pPr>
        <w:pStyle w:val="875"/>
        <w:jc w:val="center"/>
        <w:spacing w:line="360" w:lineRule="auto"/>
        <w:tabs>
          <w:tab w:val="left" w:pos="1498" w:leader="none"/>
        </w:tabs>
        <w:rPr>
          <w:rFonts w:hint="eastAsia"/>
          <w:b/>
          <w:color w:val="auto"/>
          <w:sz w:val="32"/>
          <w:szCs w:val="32"/>
          <w:highlight w:val="none"/>
        </w:rPr>
      </w:pPr>
      <w:r/>
      <w:bookmarkStart w:id="99" w:name="_Toc7575_WPSOffice_Level2"/>
      <w:r>
        <w:rPr>
          <w:rFonts w:hint="eastAsia"/>
          <w:b/>
          <w:color w:val="auto"/>
          <w:sz w:val="32"/>
          <w:szCs w:val="32"/>
          <w:highlight w:val="none"/>
        </w:rPr>
        <w:t xml:space="preserve">无重大违法行为声明</w:t>
      </w:r>
      <w:bookmarkEnd w:id="99"/>
      <w:r/>
      <w:r/>
    </w:p>
    <w:p>
      <w:pPr>
        <w:pStyle w:val="875"/>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6"/>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77"/>
        <w:spacing w:line="360" w:lineRule="auto"/>
        <w:rPr>
          <w:color w:val="auto"/>
          <w:highlight w:val="none"/>
        </w:rPr>
        <w:outlineLvl w:val="1"/>
      </w:pPr>
      <w:r>
        <w:rPr>
          <w:color w:val="auto"/>
          <w:highlight w:val="none"/>
        </w:rPr>
        <w:br w:type="page" w:clear="all"/>
      </w:r>
      <w:bookmarkStart w:id="100" w:name="_Toc30396"/>
      <w:r/>
      <w:bookmarkStart w:id="101" w:name="_Toc514054492"/>
      <w:r/>
      <w:bookmarkStart w:id="102" w:name="_Toc31956_WPSOffice_Level2"/>
      <w:r/>
      <w:r/>
    </w:p>
    <w:p>
      <w:pPr>
        <w:pStyle w:val="877"/>
        <w:spacing w:line="360" w:lineRule="auto"/>
        <w:rPr>
          <w:color w:val="auto"/>
          <w:highlight w:val="none"/>
        </w:rPr>
        <w:outlineLvl w:val="1"/>
      </w:pPr>
      <w:r>
        <w:rPr>
          <w:color w:val="auto"/>
          <w:highlight w:val="none"/>
        </w:rPr>
        <w:t xml:space="preserve">七、投标函</w:t>
      </w:r>
      <w:bookmarkEnd w:id="100"/>
      <w:r/>
      <w:bookmarkEnd w:id="101"/>
      <w:r/>
      <w:bookmarkEnd w:id="102"/>
      <w:r/>
      <w:r/>
    </w:p>
    <w:p>
      <w:pPr>
        <w:pStyle w:val="878"/>
        <w:spacing w:line="360" w:lineRule="auto"/>
        <w:tabs>
          <w:tab w:val="left" w:pos="1498" w:leader="none"/>
        </w:tabs>
        <w:rPr>
          <w:rFonts w:hint="eastAsia" w:ascii="仿宋_GB2312" w:eastAsia="仿宋_GB2312"/>
          <w:color w:val="auto"/>
          <w:sz w:val="24"/>
          <w:szCs w:val="22"/>
          <w:highlight w:val="none"/>
        </w:rPr>
      </w:pPr>
      <w:r/>
      <w:bookmarkStart w:id="103" w:name="_Toc514054493"/>
      <w:r/>
      <w:bookmarkStart w:id="104"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878"/>
        <w:numPr>
          <w:ilvl w:val="0"/>
          <w:numId w:val="5"/>
        </w:numPr>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二、我方没有为本采购项目提供整体设计、规范编制，以及项目管理、监理、检测等服务。 </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三、我方与参与本次采购活动的其他投标人的法定代表人或委托代理人无夫妻、直系血亲关系； </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四、我方与参与本次采购活动的其他投标人的负责人不是同一人，也不存在直接控股、管理关系。 </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879"/>
        <w:ind w:firstLine="480"/>
        <w:spacing w:line="360" w:lineRule="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879"/>
        <w:ind w:firstLine="480"/>
        <w:spacing w:line="360" w:lineRule="auto"/>
        <w:tabs>
          <w:tab w:val="left" w:pos="1498" w:leader="none"/>
        </w:tabs>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880"/>
        <w:spacing w:line="360" w:lineRule="auto"/>
        <w:rPr>
          <w:color w:val="auto"/>
          <w:highlight w:val="none"/>
        </w:rPr>
        <w:outlineLvl w:val="1"/>
      </w:pPr>
      <w:r>
        <w:rPr>
          <w:rFonts w:hint="eastAsia" w:ascii="仿宋_GB2312" w:hAnsi="Times New Roman" w:eastAsia="仿宋_GB2312"/>
          <w:color w:val="auto"/>
          <w:sz w:val="24"/>
          <w:highlight w:val="none"/>
          <w:lang w:val="en-US" w:eastAsia="zh-CN"/>
        </w:rPr>
        <w:br w:type="page" w:clear="all"/>
      </w:r>
      <w:r>
        <w:rPr>
          <w:color w:val="auto"/>
          <w:highlight w:val="none"/>
        </w:rPr>
        <w:t xml:space="preserve">八、法定代表人身份证明或授权委托书</w:t>
      </w:r>
      <w:bookmarkEnd w:id="103"/>
      <w:r/>
      <w:bookmarkEnd w:id="104"/>
      <w:r/>
      <w:r/>
    </w:p>
    <w:p>
      <w:pPr>
        <w:pStyle w:val="881"/>
        <w:jc w:val="center"/>
        <w:spacing w:line="360" w:lineRule="auto"/>
        <w:rPr>
          <w:rFonts w:ascii="宋体"/>
          <w:b/>
          <w:bCs/>
          <w:color w:val="auto"/>
          <w:sz w:val="32"/>
          <w:szCs w:val="32"/>
          <w:highlight w:val="none"/>
        </w:rPr>
      </w:pPr>
      <w:r/>
      <w:bookmarkStart w:id="105" w:name="_Toc22626_WPSOffice_Level2"/>
      <w:r/>
      <w:r/>
    </w:p>
    <w:p>
      <w:pPr>
        <w:pStyle w:val="881"/>
        <w:jc w:val="center"/>
        <w:spacing w:line="360" w:lineRule="auto"/>
        <w:rPr>
          <w:rFonts w:ascii="宋体"/>
          <w:b/>
          <w:bCs/>
          <w:color w:val="auto"/>
          <w:sz w:val="32"/>
          <w:szCs w:val="32"/>
          <w:highlight w:val="none"/>
        </w:rPr>
      </w:pPr>
      <w:r>
        <w:rPr>
          <w:rFonts w:ascii="宋体"/>
          <w:b/>
          <w:bCs/>
          <w:color w:val="auto"/>
          <w:sz w:val="32"/>
          <w:szCs w:val="32"/>
          <w:highlight w:val="none"/>
        </w:rPr>
        <w:t xml:space="preserve">法定代表人身份证明</w:t>
      </w:r>
      <w:bookmarkEnd w:id="105"/>
      <w:r/>
      <w:r/>
    </w:p>
    <w:p>
      <w:pPr>
        <w:pStyle w:val="882"/>
        <w:spacing w:line="360" w:lineRule="auto"/>
        <w:rPr>
          <w:rFonts w:eastAsia="仿宋_GB2312"/>
          <w:color w:val="auto"/>
          <w:sz w:val="24"/>
          <w:highlight w:val="none"/>
        </w:rPr>
      </w:pPr>
      <w:r>
        <w:rPr>
          <w:rFonts w:eastAsia="仿宋_GB2312"/>
          <w:color w:val="auto"/>
          <w:sz w:val="24"/>
          <w:highlight w:val="none"/>
        </w:rPr>
      </w:r>
      <w:r/>
    </w:p>
    <w:p>
      <w:pPr>
        <w:pStyle w:val="882"/>
        <w:spacing w:line="360" w:lineRule="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2"/>
        <w:spacing w:line="360" w:lineRule="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2"/>
        <w:spacing w:line="360" w:lineRule="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882"/>
        <w:spacing w:line="360" w:lineRule="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882"/>
        <w:spacing w:line="360" w:lineRule="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882"/>
        <w:spacing w:line="360" w:lineRule="auto"/>
        <w:rPr>
          <w:rFonts w:hint="eastAsia"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882"/>
        <w:spacing w:line="360" w:lineRule="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882"/>
        <w:ind w:firstLine="480"/>
        <w:spacing w:line="360" w:lineRule="auto"/>
        <w:rPr>
          <w:rFonts w:hint="eastAsia" w:eastAsia="仿宋_GB2312"/>
          <w:color w:val="auto"/>
          <w:sz w:val="24"/>
          <w:highlight w:val="none"/>
        </w:rPr>
      </w:pPr>
      <w:r>
        <w:rPr>
          <w:rFonts w:eastAsia="仿宋_GB2312"/>
          <w:color w:val="auto"/>
          <w:sz w:val="24"/>
          <w:highlight w:val="none"/>
        </w:rPr>
        <w:t xml:space="preserve">特此证明。</w:t>
      </w:r>
      <w:r/>
    </w:p>
    <w:p>
      <w:pPr>
        <w:pStyle w:val="883"/>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882"/>
        <w:ind w:firstLine="480"/>
        <w:spacing w:line="360" w:lineRule="auto"/>
        <w:rPr>
          <w:rFonts w:eastAsia="仿宋_GB2312"/>
          <w:color w:val="auto"/>
          <w:sz w:val="24"/>
          <w:highlight w:val="none"/>
        </w:rPr>
      </w:pPr>
      <w:r>
        <w:rPr>
          <w:rFonts w:eastAsia="仿宋_GB2312"/>
          <w:color w:val="auto"/>
          <w:sz w:val="24"/>
          <w:highlight w:val="none"/>
        </w:rPr>
      </w:r>
      <w:r/>
    </w:p>
    <w:p>
      <w:pPr>
        <w:pStyle w:val="882"/>
        <w:jc w:val="right"/>
        <w:spacing w:line="360" w:lineRule="auto"/>
        <w:rPr>
          <w:rFonts w:eastAsia="仿宋_GB2312"/>
          <w:color w:val="auto"/>
          <w:sz w:val="24"/>
          <w:highlight w:val="none"/>
        </w:rPr>
      </w:pPr>
      <w:r>
        <w:rPr>
          <w:rFonts w:eastAsia="仿宋_GB2312"/>
          <w:color w:val="auto"/>
          <w:sz w:val="24"/>
          <w:highlight w:val="none"/>
        </w:rPr>
        <w:t xml:space="preserve">                       </w:t>
      </w:r>
      <w:r/>
    </w:p>
    <w:p>
      <w:pPr>
        <w:pStyle w:val="882"/>
        <w:jc w:val="right"/>
        <w:spacing w:line="360" w:lineRule="auto"/>
        <w:rPr>
          <w:rFonts w:eastAsia="仿宋_GB2312"/>
          <w:color w:val="auto"/>
          <w:sz w:val="24"/>
          <w:highlight w:val="none"/>
        </w:rPr>
      </w:pPr>
      <w:r>
        <w:rPr>
          <w:rFonts w:eastAsia="仿宋_GB2312"/>
          <w:color w:val="auto"/>
          <w:sz w:val="24"/>
          <w:highlight w:val="none"/>
        </w:rPr>
      </w:r>
      <w:r/>
    </w:p>
    <w:p>
      <w:pPr>
        <w:pStyle w:val="882"/>
        <w:jc w:val="right"/>
        <w:spacing w:line="360" w:lineRule="auto"/>
        <w:rPr>
          <w:rFonts w:eastAsia="仿宋_GB2312"/>
          <w:color w:val="auto"/>
          <w:sz w:val="24"/>
          <w:highlight w:val="none"/>
        </w:rPr>
      </w:pPr>
      <w:r>
        <w:rPr>
          <w:rFonts w:eastAsia="仿宋_GB2312"/>
          <w:color w:val="auto"/>
          <w:sz w:val="24"/>
          <w:highlight w:val="none"/>
        </w:rPr>
      </w:r>
      <w:r/>
    </w:p>
    <w:p>
      <w:pPr>
        <w:pStyle w:val="883"/>
        <w:ind w:firstLine="445"/>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1"/>
        <w:ind w:firstLine="424"/>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4"/>
        <w:ind w:firstLine="988"/>
        <w:jc w:val="right"/>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1"/>
        <w:jc w:val="center"/>
        <w:spacing w:line="360" w:lineRule="auto"/>
        <w:rPr>
          <w:rFonts w:ascii="仿宋_GB2312" w:eastAsia="仿宋_GB2312"/>
          <w:color w:val="auto"/>
          <w:sz w:val="24"/>
          <w:highlight w:val="none"/>
        </w:rPr>
      </w:pPr>
      <w:r>
        <w:rPr>
          <w:rFonts w:ascii="仿宋_GB2312" w:eastAsia="仿宋_GB2312"/>
          <w:color w:val="auto"/>
          <w:sz w:val="24"/>
          <w:highlight w:val="none"/>
        </w:rPr>
        <w:br w:type="page" w:clear="all"/>
      </w:r>
      <w:bookmarkStart w:id="106" w:name="_Toc406_WPSOffice_Level2"/>
      <w:r/>
      <w:r/>
    </w:p>
    <w:p>
      <w:pPr>
        <w:pStyle w:val="881"/>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p>
      <w:pPr>
        <w:pStyle w:val="881"/>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t xml:space="preserve">法定代表人授权委托书</w:t>
      </w:r>
      <w:bookmarkEnd w:id="106"/>
      <w:r/>
      <w:r/>
    </w:p>
    <w:p>
      <w:pPr>
        <w:pStyle w:val="881"/>
        <w:spacing w:line="360" w:lineRule="auto"/>
        <w:rPr>
          <w:rFonts w:hint="eastAsia" w:ascii="方正大标宋简体" w:eastAsia="方正大标宋简体"/>
          <w:color w:val="auto"/>
          <w:sz w:val="32"/>
          <w:highlight w:val="none"/>
        </w:rPr>
      </w:pPr>
      <w:r>
        <w:rPr>
          <w:rFonts w:hint="eastAsia" w:ascii="方正大标宋简体" w:eastAsia="方正大标宋简体"/>
          <w:color w:val="auto"/>
          <w:sz w:val="32"/>
          <w:highlight w:val="none"/>
        </w:rPr>
      </w:r>
      <w:r/>
    </w:p>
    <w:p>
      <w:pPr>
        <w:pStyle w:val="882"/>
        <w:spacing w:line="360" w:lineRule="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881"/>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881"/>
        <w:ind w:firstLine="63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881"/>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85"/>
        <w:ind w:firstLine="482"/>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p>
    <w:p>
      <w:pPr>
        <w:pStyle w:val="885"/>
        <w:ind w:firstLine="63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r>
      <w:r/>
    </w:p>
    <w:p>
      <w:pPr>
        <w:pStyle w:val="881"/>
        <w:ind w:firstLine="62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1"/>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1"/>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6"/>
        <w:ind w:firstLine="720"/>
        <w:jc w:val="right"/>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7"/>
        <w:spacing w:line="360" w:lineRule="auto"/>
        <w:rPr>
          <w:rFonts w:hint="eastAsia" w:eastAsia="黑体"/>
          <w:color w:val="auto"/>
          <w:highlight w:val="none"/>
          <w:lang w:eastAsia="zh-CN"/>
        </w:rPr>
        <w:outlineLvl w:val="1"/>
      </w:pPr>
      <w:r>
        <w:rPr>
          <w:color w:val="auto"/>
          <w:highlight w:val="none"/>
        </w:rPr>
        <w:br w:type="page" w:clear="all"/>
      </w:r>
      <w:bookmarkStart w:id="107" w:name="_Toc12853"/>
      <w:r/>
      <w:bookmarkStart w:id="108" w:name="_Toc514054494"/>
      <w:r>
        <w:rPr>
          <w:color w:val="auto"/>
          <w:highlight w:val="none"/>
        </w:rPr>
        <w:t xml:space="preserve">九、开标一览表</w:t>
      </w:r>
      <w:bookmarkEnd w:id="107"/>
      <w:r/>
      <w:bookmarkEnd w:id="108"/>
      <w:r>
        <w:rPr>
          <w:rFonts w:hint="eastAsia"/>
          <w:color w:val="auto"/>
          <w:highlight w:val="none"/>
          <w:lang w:eastAsia="zh-CN"/>
        </w:rPr>
        <w:t xml:space="preserve">（</w:t>
      </w:r>
      <w:r>
        <w:rPr>
          <w:rFonts w:hint="eastAsia"/>
          <w:color w:val="auto"/>
          <w:highlight w:val="none"/>
          <w:lang w:val="en-US" w:eastAsia="zh-CN"/>
        </w:rPr>
        <w:t xml:space="preserve">总价</w:t>
      </w:r>
      <w:r>
        <w:rPr>
          <w:rFonts w:hint="eastAsia"/>
          <w:color w:val="auto"/>
          <w:highlight w:val="none"/>
          <w:lang w:eastAsia="zh-CN"/>
        </w:rPr>
        <w:t xml:space="preserve">）</w:t>
      </w:r>
      <w:r/>
    </w:p>
    <w:p>
      <w:pPr>
        <w:pStyle w:val="887"/>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r>
      <w:r/>
    </w:p>
    <w:p>
      <w:pPr>
        <w:pStyle w:val="887"/>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项目编号：</w:t>
      </w:r>
      <w:r>
        <w:rPr>
          <w:rFonts w:hint="eastAsia" w:ascii="宋体" w:hAnsi="宋体" w:eastAsia="宋体" w:cs="宋体"/>
          <w:b w:val="0"/>
          <w:bCs w:val="0"/>
          <w:color w:val="auto"/>
          <w:sz w:val="24"/>
          <w:szCs w:val="24"/>
          <w:highlight w:val="none"/>
          <w:shd w:val="clear" w:color="auto" w:fill="ffffff" w:themeFill="background1"/>
          <w:lang w:val="en-US" w:eastAsia="zh-CN"/>
        </w:rPr>
        <w:t xml:space="preserve">JSZC-320900-JSHY-G2025-0499</w:t>
      </w:r>
      <w:r/>
    </w:p>
    <w:p>
      <w:pPr>
        <w:pStyle w:val="887"/>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货币单位：人民币元                       </w:t>
      </w:r>
      <w:r/>
    </w:p>
    <w:tbl>
      <w:tblPr>
        <w:tblStyle w:val="6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8"/>
        <w:gridCol w:w="2172"/>
        <w:gridCol w:w="2466"/>
      </w:tblGrid>
      <w:tr>
        <w:trPr/>
        <w:tc>
          <w:tcPr>
            <w:tcW w:w="3658"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bookmarkStart w:id="109" w:name="OLE_LINK35"/>
            <w:r>
              <w:rPr>
                <w:rFonts w:hint="eastAsia" w:ascii="宋体" w:hAnsi="宋体" w:eastAsia="宋体" w:cs="宋体"/>
                <w:b w:val="0"/>
                <w:bCs/>
                <w:color w:val="auto"/>
                <w:sz w:val="24"/>
                <w:highlight w:val="none"/>
                <w:shd w:val="clear" w:color="auto" w:fill="ffffff" w:themeFill="background1"/>
              </w:rPr>
              <w:t xml:space="preserve">项目名称</w:t>
            </w:r>
            <w:bookmarkEnd w:id="109"/>
            <w:r/>
            <w:r/>
          </w:p>
        </w:tc>
        <w:tc>
          <w:tcPr>
            <w:tcW w:w="2172"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项目内容</w:t>
            </w:r>
            <w:r/>
          </w:p>
        </w:tc>
        <w:tc>
          <w:tcPr>
            <w:tcW w:w="2466"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总价（小写）</w:t>
            </w:r>
            <w:r/>
          </w:p>
        </w:tc>
      </w:tr>
      <w:tr>
        <w:trPr>
          <w:trHeight w:val="840"/>
        </w:trPr>
        <w:tc>
          <w:tcPr>
            <w:tcW w:w="3658"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lang w:eastAsia="zh-CN"/>
              </w:rPr>
              <w:t xml:space="preserve"> 盐城市中医院移动式C型臂X光机设备采购项目</w:t>
            </w:r>
            <w:r/>
          </w:p>
        </w:tc>
        <w:tc>
          <w:tcPr>
            <w:tcW w:w="2172"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详见投标文件</w:t>
            </w:r>
            <w:r/>
          </w:p>
        </w:tc>
        <w:tc>
          <w:tcPr>
            <w:tcW w:w="2466"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_______________元</w:t>
            </w:r>
            <w:r/>
          </w:p>
        </w:tc>
      </w:tr>
      <w:tr>
        <w:trPr/>
        <w:tc>
          <w:tcPr>
            <w:tcW w:w="3658"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总价（大写）：</w:t>
            </w:r>
            <w:r/>
          </w:p>
        </w:tc>
        <w:tc>
          <w:tcPr>
            <w:gridSpan w:val="2"/>
            <w:tcW w:w="4638" w:type="dxa"/>
            <w:vAlign w:val="center"/>
            <w:textDirection w:val="lrTb"/>
            <w:noWrap w:val="false"/>
          </w:tcPr>
          <w:p>
            <w:pPr>
              <w:pStyle w:val="887"/>
              <w:jc w:val="both"/>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金额大写</w:t>
            </w:r>
            <w:r/>
          </w:p>
        </w:tc>
      </w:tr>
    </w:tbl>
    <w:p>
      <w:pPr>
        <w:pStyle w:val="690"/>
        <w:jc w:val="right"/>
        <w:spacing w:line="360" w:lineRule="auto"/>
        <w:rPr>
          <w:color w:val="auto"/>
          <w:highlight w:val="none"/>
          <w:shd w:val="clear" w:color="auto" w:fill="ffffff" w:themeFill="background1"/>
        </w:rPr>
      </w:pPr>
      <w:r>
        <w:rPr>
          <w:color w:val="auto"/>
          <w:highlight w:val="none"/>
          <w:shd w:val="clear" w:color="auto" w:fill="ffffff" w:themeFill="background1"/>
        </w:rPr>
        <w:t xml:space="preserve"> </w:t>
      </w:r>
      <w:r/>
    </w:p>
    <w:p>
      <w:pPr>
        <w:jc w:val="right"/>
        <w:spacing w:line="360" w:lineRule="auto"/>
        <w:rPr>
          <w:color w:val="auto"/>
          <w:sz w:val="24"/>
          <w:highlight w:val="none"/>
        </w:rPr>
      </w:pPr>
      <w:r>
        <w:rPr>
          <w:rFonts w:hint="eastAsia"/>
          <w:color w:val="auto"/>
          <w:sz w:val="24"/>
          <w:highlight w:val="none"/>
        </w:rPr>
        <w:t xml:space="preserve">投标人公章：（电子签章）                                 </w:t>
      </w:r>
      <w:r/>
    </w:p>
    <w:p>
      <w:pPr>
        <w:jc w:val="right"/>
        <w:spacing w:line="360" w:lineRule="auto"/>
        <w:rPr>
          <w:color w:val="auto"/>
          <w:sz w:val="24"/>
          <w:highlight w:val="none"/>
        </w:rPr>
      </w:pPr>
      <w:r>
        <w:rPr>
          <w:color w:val="auto"/>
          <w:sz w:val="24"/>
          <w:highlight w:val="none"/>
        </w:rPr>
      </w:r>
      <w:r/>
    </w:p>
    <w:p>
      <w:pPr>
        <w:jc w:val="right"/>
        <w:spacing w:line="360" w:lineRule="auto"/>
        <w:rPr>
          <w:color w:val="auto"/>
          <w:sz w:val="24"/>
          <w:highlight w:val="none"/>
        </w:rPr>
      </w:pPr>
      <w:r>
        <w:rPr>
          <w:color w:val="auto"/>
          <w:sz w:val="24"/>
          <w:highlight w:val="none"/>
        </w:rPr>
      </w:r>
      <w:r/>
    </w:p>
    <w:p>
      <w:pPr>
        <w:jc w:val="center"/>
        <w:spacing w:line="360" w:lineRule="auto"/>
        <w:rPr>
          <w:color w:val="auto"/>
          <w:sz w:val="24"/>
          <w:highlight w:val="none"/>
        </w:rPr>
      </w:pPr>
      <w:r>
        <w:rPr>
          <w:rFonts w:hint="eastAsia"/>
          <w:color w:val="auto"/>
          <w:sz w:val="24"/>
          <w:highlight w:val="none"/>
          <w:lang w:val="en-US" w:eastAsia="zh-CN"/>
        </w:rPr>
        <w:t xml:space="preserve">                                           </w:t>
      </w:r>
      <w:r>
        <w:rPr>
          <w:rFonts w:hint="eastAsia"/>
          <w:color w:val="auto"/>
          <w:sz w:val="24"/>
          <w:highlight w:val="none"/>
        </w:rPr>
        <w:t xml:space="preserve">日期：       年      月      日</w:t>
      </w:r>
      <w:r/>
    </w:p>
    <w:p>
      <w:pPr>
        <w:pStyle w:val="888"/>
        <w:spacing w:line="360" w:lineRule="auto"/>
        <w:rPr>
          <w:color w:val="auto"/>
          <w:highlight w:val="none"/>
        </w:rPr>
        <w:outlineLvl w:val="1"/>
      </w:pPr>
      <w:r>
        <w:rPr>
          <w:color w:val="auto"/>
          <w:highlight w:val="none"/>
        </w:rPr>
      </w:r>
      <w:r/>
    </w:p>
    <w:p>
      <w:pPr>
        <w:pStyle w:val="888"/>
        <w:spacing w:line="360" w:lineRule="auto"/>
        <w:rPr>
          <w:color w:val="auto"/>
          <w:highlight w:val="none"/>
        </w:rPr>
        <w:outlineLvl w:val="1"/>
      </w:pPr>
      <w:r>
        <w:rPr>
          <w:color w:val="auto"/>
          <w:highlight w:val="none"/>
        </w:rPr>
      </w:r>
      <w:r/>
    </w:p>
    <w:p>
      <w:pPr>
        <w:pStyle w:val="888"/>
        <w:spacing w:line="360" w:lineRule="auto"/>
        <w:rPr>
          <w:color w:val="auto"/>
          <w:highlight w:val="none"/>
        </w:rPr>
        <w:outlineLvl w:val="1"/>
      </w:pPr>
      <w:r>
        <w:rPr>
          <w:color w:val="auto"/>
          <w:highlight w:val="none"/>
        </w:rPr>
        <w:br w:type="page" w:clear="all"/>
      </w:r>
      <w:bookmarkStart w:id="110" w:name="_Toc514054495"/>
      <w:r/>
      <w:bookmarkStart w:id="111" w:name="_Toc8851"/>
      <w:r/>
      <w:r/>
    </w:p>
    <w:p>
      <w:pPr>
        <w:pStyle w:val="888"/>
        <w:spacing w:line="360" w:lineRule="auto"/>
        <w:rPr>
          <w:color w:val="auto"/>
          <w:highlight w:val="none"/>
        </w:rPr>
        <w:outlineLvl w:val="1"/>
      </w:pPr>
      <w:r>
        <w:rPr>
          <w:color w:val="auto"/>
          <w:highlight w:val="none"/>
        </w:rPr>
        <w:t xml:space="preserve">十、明细报价表</w:t>
      </w:r>
      <w:bookmarkEnd w:id="110"/>
      <w:r/>
      <w:bookmarkEnd w:id="111"/>
      <w:r/>
      <w:r/>
    </w:p>
    <w:tbl>
      <w:tblPr>
        <w:tblStyle w:val="671"/>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560"/>
        <w:gridCol w:w="1812"/>
        <w:gridCol w:w="1944"/>
        <w:gridCol w:w="1128"/>
        <w:gridCol w:w="1200"/>
        <w:gridCol w:w="1424"/>
      </w:tblGrid>
      <w:tr>
        <w:trPr>
          <w:cantSplit/>
          <w:jc w:val="center"/>
          <w:trHeight w:val="632"/>
        </w:trPr>
        <w:tc>
          <w:tcPr>
            <w:tcW w:w="656"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560"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1812"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w:t>
            </w:r>
            <w:r/>
          </w:p>
        </w:tc>
        <w:tc>
          <w:tcPr>
            <w:tcW w:w="1944"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制造商/产地</w:t>
            </w:r>
            <w:r/>
          </w:p>
        </w:tc>
        <w:tc>
          <w:tcPr>
            <w:tcW w:w="1128"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200"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424"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合价</w:t>
            </w:r>
            <w:r/>
          </w:p>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r>
      <w:tr>
        <w:trPr>
          <w:cantSplit/>
          <w:jc w:val="center"/>
          <w:trHeight w:val="482"/>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308"/>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t xml:space="preserve">安装调试费</w:t>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889"/>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560" w:type="dxa"/>
            <w:vAlign w:val="center"/>
            <w:textDirection w:val="lrTb"/>
            <w:noWrap w:val="false"/>
          </w:tcPr>
          <w:p>
            <w:pPr>
              <w:pStyle w:val="889"/>
              <w:jc w:val="center"/>
              <w:spacing w:line="360" w:lineRule="auto"/>
              <w:rPr>
                <w:rFonts w:hint="eastAsia" w:ascii="仿宋_GB2312" w:eastAsia="仿宋_GB2312"/>
                <w:iCs/>
                <w:color w:val="auto"/>
                <w:sz w:val="24"/>
                <w:highlight w:val="none"/>
              </w:rPr>
            </w:pPr>
            <w:r>
              <w:rPr>
                <w:rFonts w:hint="eastAsia" w:ascii="仿宋_GB2312" w:eastAsia="仿宋_GB2312"/>
                <w:iCs/>
                <w:color w:val="auto"/>
                <w:sz w:val="24"/>
                <w:highlight w:val="none"/>
              </w:rPr>
              <w:t xml:space="preserve">税金</w:t>
            </w:r>
            <w:r/>
          </w:p>
        </w:tc>
        <w:tc>
          <w:tcPr>
            <w:tcW w:w="1812" w:type="dxa"/>
            <w:vAlign w:val="center"/>
            <w:textDirection w:val="lrTb"/>
            <w:noWrap w:val="false"/>
          </w:tcPr>
          <w:p>
            <w:pPr>
              <w:pStyle w:val="889"/>
              <w:jc w:val="center"/>
              <w:spacing w:line="360" w:lineRule="auto"/>
              <w:rPr>
                <w:rFonts w:hint="eastAsia" w:ascii="仿宋_GB2312" w:eastAsia="仿宋_GB2312"/>
                <w:i/>
                <w:iCs/>
                <w:color w:val="auto"/>
                <w:sz w:val="24"/>
                <w:highlight w:val="none"/>
              </w:rPr>
            </w:pPr>
            <w:r>
              <w:rPr>
                <w:rFonts w:hint="eastAsia" w:ascii="仿宋_GB2312" w:eastAsia="仿宋_GB2312"/>
                <w:i/>
                <w:iCs/>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889"/>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r>
            <w:r/>
          </w:p>
        </w:tc>
        <w:tc>
          <w:tcPr>
            <w:gridSpan w:val="4"/>
            <w:tcW w:w="64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470"/>
        </w:trPr>
        <w:tc>
          <w:tcPr>
            <w:gridSpan w:val="2"/>
            <w:tcW w:w="2216" w:type="dxa"/>
            <w:vAlign w:val="center"/>
            <w:textDirection w:val="lrTb"/>
            <w:noWrap w:val="false"/>
          </w:tcPr>
          <w:p>
            <w:pPr>
              <w:pStyle w:val="889"/>
              <w:jc w:val="center"/>
              <w:spacing w:line="360" w:lineRule="auto"/>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w:t>
            </w:r>
            <w:r/>
          </w:p>
          <w:p>
            <w:pPr>
              <w:pStyle w:val="889"/>
              <w:jc w:val="center"/>
              <w:spacing w:line="360" w:lineRule="auto"/>
              <w:rPr>
                <w:rFonts w:hint="eastAsia" w:ascii="仿宋_GB2312" w:eastAsia="仿宋_GB2312"/>
                <w:b/>
                <w:bCs/>
                <w:color w:val="auto"/>
                <w:sz w:val="24"/>
                <w:highlight w:val="none"/>
              </w:rPr>
            </w:pPr>
            <w:r>
              <w:rPr>
                <w:rFonts w:hint="eastAsia" w:ascii="仿宋_GB2312" w:eastAsia="仿宋_GB2312"/>
                <w:b/>
                <w:bCs/>
                <w:color w:val="auto"/>
                <w:sz w:val="28"/>
                <w:szCs w:val="28"/>
                <w:highlight w:val="none"/>
              </w:rPr>
              <w:t xml:space="preserve">报价总计</w:t>
            </w:r>
            <w:r/>
          </w:p>
        </w:tc>
        <w:tc>
          <w:tcPr>
            <w:gridSpan w:val="5"/>
            <w:tcW w:w="7508" w:type="dxa"/>
            <w:vAlign w:val="center"/>
            <w:textDirection w:val="lrTb"/>
            <w:noWrap w:val="false"/>
          </w:tcPr>
          <w:p>
            <w:pPr>
              <w:pStyle w:val="889"/>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889"/>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889"/>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bl>
    <w:p>
      <w:pPr>
        <w:pStyle w:val="871"/>
        <w:ind w:firstLine="629"/>
        <w:spacing w:line="360" w:lineRule="auto"/>
        <w:rPr>
          <w:rFonts w:hint="eastAsia" w:ascii="仿宋_GB2312" w:eastAsia="仿宋_GB2312"/>
          <w:color w:val="auto"/>
          <w:sz w:val="24"/>
          <w:highlight w:val="none"/>
        </w:rPr>
      </w:pPr>
      <w:r/>
      <w:bookmarkStart w:id="112" w:name="_Toc514054496"/>
      <w:r>
        <w:rPr>
          <w:rFonts w:hint="eastAsia" w:ascii="仿宋_GB2312" w:eastAsia="仿宋_GB2312"/>
          <w:color w:val="auto"/>
          <w:sz w:val="24"/>
          <w:highlight w:val="non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 xml:space="preserve">表中投标报价总计应与对应报价一览表中投标总价一致。</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0"/>
        <w:spacing w:line="360" w:lineRule="auto"/>
        <w:rPr>
          <w:color w:val="auto"/>
          <w:highlight w:val="none"/>
        </w:rPr>
        <w:outlineLvl w:val="1"/>
      </w:pPr>
      <w:r>
        <w:rPr>
          <w:color w:val="auto"/>
          <w:highlight w:val="none"/>
        </w:rPr>
      </w:r>
      <w:r/>
    </w:p>
    <w:p>
      <w:pPr>
        <w:pStyle w:val="890"/>
        <w:ind w:firstLine="0"/>
        <w:spacing w:line="360" w:lineRule="auto"/>
        <w:rPr>
          <w:color w:val="auto"/>
          <w:highlight w:val="none"/>
        </w:rPr>
        <w:outlineLvl w:val="1"/>
      </w:pPr>
      <w:r>
        <w:rPr>
          <w:color w:val="auto"/>
          <w:highlight w:val="none"/>
        </w:rPr>
        <w:br w:type="page" w:clear="all"/>
      </w:r>
      <w:bookmarkStart w:id="113" w:name="_Toc10632"/>
      <w:r>
        <w:rPr>
          <w:color w:val="auto"/>
          <w:highlight w:val="none"/>
        </w:rPr>
        <w:t xml:space="preserve">十一、中小企业声明函</w:t>
      </w:r>
      <w:bookmarkEnd w:id="112"/>
      <w:r/>
      <w:bookmarkEnd w:id="113"/>
      <w:r/>
      <w:r/>
    </w:p>
    <w:p>
      <w:pPr>
        <w:jc w:val="center"/>
        <w:spacing w:line="360" w:lineRule="auto"/>
        <w:rPr>
          <w:rStyle w:val="891"/>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Style w:val="891"/>
          <w:rFonts w:hint="eastAsia" w:ascii="楷体" w:hAnsi="楷体" w:eastAsia="楷体" w:cs="楷体"/>
          <w:color w:val="auto"/>
          <w:sz w:val="32"/>
          <w:szCs w:val="32"/>
          <w:highlight w:val="none"/>
        </w:rPr>
      </w:pPr>
      <w:r>
        <w:rPr>
          <w:rStyle w:val="891"/>
          <w:rFonts w:hint="eastAsia" w:ascii="楷体" w:hAnsi="楷体" w:eastAsia="楷体" w:cs="楷体"/>
          <w:color w:val="auto"/>
          <w:sz w:val="32"/>
          <w:szCs w:val="32"/>
          <w:highlight w:val="none"/>
          <w:lang w:bidi="ar"/>
        </w:rPr>
        <w:t xml:space="preserve">中小企业声明函（货物）</w:t>
      </w:r>
      <w:r/>
    </w:p>
    <w:p>
      <w:pPr>
        <w:ind w:firstLine="480"/>
        <w:jc w:val="left"/>
        <w:spacing w:before="100" w:beforeAutospacing="1" w:after="100" w:afterAutospacing="1" w:line="360" w:lineRule="auto"/>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pStyle w:val="690"/>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以上企业，不属于大企业的分支机构，不存在控股股东为大企业的情形，也不存在与大企业的负责人为同一人的情形。</w:t>
      </w:r>
      <w:r/>
    </w:p>
    <w:p>
      <w:pPr>
        <w:pStyle w:val="690"/>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本企业对上述声明内容的真实性负责。如有虚假，将依法承担相应责任</w:t>
      </w:r>
      <w:r/>
    </w:p>
    <w:p>
      <w:pPr>
        <w:pStyle w:val="690"/>
        <w:ind w:right="72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690"/>
        <w:ind w:right="180" w:firstLine="360"/>
        <w:jc w:val="center"/>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企业名称（加盖CA电子公章）：</w:t>
      </w:r>
      <w:r/>
    </w:p>
    <w:p>
      <w:pPr>
        <w:pStyle w:val="690"/>
        <w:ind w:right="480" w:firstLine="540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  期：</w:t>
      </w:r>
      <w:r/>
    </w:p>
    <w:p>
      <w:pPr>
        <w:pStyle w:val="690"/>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690"/>
        <w:ind w:firstLine="48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备注1：从业人员、营业收入、资产总额填报上一年度数据，无上一年度数据的新成立企业可不填报。</w:t>
      </w:r>
      <w:r/>
    </w:p>
    <w:p>
      <w:pPr>
        <w:pStyle w:val="892"/>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备注2：供应商如不提供此声明函，价格将不做相应扣除</w:t>
      </w:r>
      <w:r>
        <w:rPr>
          <w:rFonts w:hint="eastAsia" w:ascii="仿宋" w:hAnsi="仿宋" w:eastAsia="仿宋" w:cs="仿宋"/>
          <w:b w:val="0"/>
          <w:bCs/>
          <w:color w:val="auto"/>
          <w:sz w:val="24"/>
          <w:szCs w:val="24"/>
          <w:highlight w:val="none"/>
          <w:lang w:eastAsia="zh-CN"/>
        </w:rPr>
        <w:t xml:space="preserve">（如项目全面面向中小企业，则资格审查不通过）</w:t>
      </w:r>
      <w:r>
        <w:rPr>
          <w:rFonts w:hint="eastAsia" w:ascii="仿宋" w:hAnsi="仿宋" w:eastAsia="仿宋" w:cs="仿宋"/>
          <w:b w:val="0"/>
          <w:bCs/>
          <w:color w:val="auto"/>
          <w:sz w:val="24"/>
          <w:szCs w:val="24"/>
          <w:highlight w:val="none"/>
        </w:rPr>
        <w:t xml:space="preserve">。</w:t>
      </w:r>
      <w:r/>
    </w:p>
    <w:p>
      <w:pPr>
        <w:pStyle w:val="893"/>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3"/>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3"/>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894"/>
        <w:spacing w:line="360" w:lineRule="auto"/>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pStyle w:val="893"/>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893"/>
        <w:ind w:firstLine="480"/>
        <w:spacing w:line="360" w:lineRule="auto"/>
        <w:rPr>
          <w:rFonts w:hint="eastAsia"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894"/>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94"/>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5"/>
        <w:ind w:firstLine="72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95"/>
        <w:ind w:firstLine="43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96"/>
        <w:spacing w:line="360" w:lineRule="auto"/>
        <w:rPr>
          <w:color w:val="auto"/>
          <w:highlight w:val="none"/>
        </w:rPr>
      </w:pPr>
      <w:r>
        <w:rPr>
          <w:color w:val="auto"/>
          <w:highlight w:val="none"/>
        </w:rPr>
      </w:r>
      <w:r/>
    </w:p>
    <w:p>
      <w:pPr>
        <w:pStyle w:val="893"/>
        <w:spacing w:line="360" w:lineRule="auto"/>
        <w:rPr>
          <w:rFonts w:hint="eastAsia"/>
          <w:color w:val="auto"/>
          <w:highlight w:val="none"/>
        </w:rPr>
      </w:pPr>
      <w:r>
        <w:rPr>
          <w:rFonts w:hint="eastAsia"/>
          <w:color w:val="auto"/>
          <w:highlight w:val="none"/>
        </w:rPr>
        <w:t xml:space="preserve">注：1、残疾人福利性单位应完整填写此函并提供相关证明材料；</w:t>
      </w:r>
      <w:r/>
    </w:p>
    <w:p>
      <w:pPr>
        <w:pStyle w:val="893"/>
        <w:ind w:firstLine="420"/>
        <w:spacing w:line="360" w:lineRule="auto"/>
        <w:rPr>
          <w:rFonts w:hint="eastAsia"/>
          <w:color w:val="auto"/>
          <w:highlight w:val="none"/>
        </w:rPr>
      </w:pPr>
      <w:r>
        <w:rPr>
          <w:rFonts w:hint="eastAsia"/>
          <w:color w:val="auto"/>
          <w:highlight w:val="none"/>
        </w:rPr>
        <w:t xml:space="preserve">2、非残疾人福利性单位不需提供此声明函</w:t>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4" w:name="_Toc5876"/>
      <w:r/>
      <w:bookmarkEnd w:id="114"/>
      <w:r>
        <w:rPr>
          <w:rFonts w:hint="eastAsia" w:ascii="宋体" w:hAnsi="宋体"/>
          <w:b/>
          <w:bCs/>
          <w:color w:val="auto"/>
          <w:sz w:val="28"/>
          <w:szCs w:val="28"/>
          <w:highlight w:val="none"/>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5" w:name="_Toc16386"/>
      <w:r/>
      <w:bookmarkEnd w:id="115"/>
      <w:r>
        <w:rPr>
          <w:rFonts w:hint="eastAsia" w:ascii="宋体" w:hAnsi="宋体"/>
          <w:b/>
          <w:bCs/>
          <w:color w:val="auto"/>
          <w:sz w:val="28"/>
          <w:szCs w:val="28"/>
          <w:highlight w:val="none"/>
        </w:rPr>
        <w:t xml:space="preserve">环境标志产品认证证书</w:t>
      </w:r>
      <w:r/>
    </w:p>
    <w:p>
      <w:pPr>
        <w:spacing w:line="360" w:lineRule="auto"/>
        <w:rPr>
          <w:rFonts w:hint="eastAsia"/>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sz w:val="28"/>
          <w:szCs w:val="28"/>
          <w:highlight w:val="none"/>
        </w:rPr>
        <w:outlineLvl w:val="0"/>
      </w:pPr>
      <w:r/>
      <w:bookmarkStart w:id="116" w:name="_Toc1060"/>
      <w:r/>
      <w:bookmarkEnd w:id="116"/>
      <w:r>
        <w:rPr>
          <w:rFonts w:hint="eastAsia" w:ascii="宋体" w:hAnsi="宋体"/>
          <w:b/>
          <w:bCs/>
          <w:color w:val="auto"/>
          <w:sz w:val="28"/>
          <w:szCs w:val="28"/>
          <w:highlight w:val="none"/>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bookmarkStart w:id="117" w:name="_Toc16234"/>
      <w:r/>
      <w:bookmarkStart w:id="118" w:name="_Toc514054497"/>
      <w:r>
        <w:rPr>
          <w:color w:val="auto"/>
          <w:highlight w:val="none"/>
        </w:rPr>
        <w:t xml:space="preserve">十二、响应偏差表</w:t>
      </w:r>
      <w:bookmarkEnd w:id="117"/>
      <w:r/>
      <w:bookmarkEnd w:id="118"/>
      <w:r/>
      <w:r/>
    </w:p>
    <w:p>
      <w:pPr>
        <w:pStyle w:val="897"/>
        <w:jc w:val="center"/>
        <w:spacing w:line="360" w:lineRule="auto"/>
        <w:rPr>
          <w:rFonts w:hint="eastAsia"/>
          <w:color w:val="auto"/>
          <w:sz w:val="32"/>
          <w:szCs w:val="32"/>
          <w:highlight w:val="none"/>
        </w:rPr>
      </w:pPr>
      <w:r/>
      <w:bookmarkStart w:id="119" w:name="_Toc29509_WPSOffice_Level2"/>
      <w:r>
        <w:rPr>
          <w:rFonts w:hint="eastAsia"/>
          <w:color w:val="auto"/>
          <w:sz w:val="32"/>
          <w:szCs w:val="32"/>
          <w:highlight w:val="none"/>
        </w:rPr>
        <w:t xml:space="preserve">（一）投标技术响应偏差表</w:t>
      </w:r>
      <w:bookmarkEnd w:id="119"/>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351"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1"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5"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8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897"/>
        <w:jc w:val="center"/>
        <w:spacing w:line="360" w:lineRule="auto"/>
        <w:rPr>
          <w:rFonts w:hint="eastAsia"/>
          <w:color w:val="auto"/>
          <w:sz w:val="22"/>
          <w:highlight w:val="none"/>
        </w:rPr>
      </w:pPr>
      <w:r>
        <w:rPr>
          <w:rFonts w:hint="eastAsia"/>
          <w:color w:val="auto"/>
          <w:sz w:val="22"/>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8"/>
        <w:ind w:firstLine="482"/>
        <w:spacing w:line="360" w:lineRule="auto"/>
        <w:rPr>
          <w:rFonts w:hint="eastAsia" w:hAnsi="宋体"/>
          <w:b/>
          <w:bCs/>
          <w:color w:val="auto"/>
          <w:sz w:val="24"/>
          <w:szCs w:val="28"/>
          <w:highlight w:val="none"/>
        </w:rPr>
      </w:pPr>
      <w:r>
        <w:rPr>
          <w:rFonts w:hint="eastAsia" w:hAnsi="宋体"/>
          <w:b/>
          <w:bCs/>
          <w:color w:val="auto"/>
          <w:sz w:val="24"/>
          <w:szCs w:val="28"/>
          <w:highlight w:val="none"/>
        </w:rPr>
      </w:r>
      <w:r/>
    </w:p>
    <w:p>
      <w:pPr>
        <w:pStyle w:val="898"/>
        <w:spacing w:line="360" w:lineRule="auto"/>
        <w:rPr>
          <w:rFonts w:hint="eastAsia"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1、凡投标文件中所投货物或服务与招标文件有偏差的（包括正偏差，负偏差），均应在此表中详细列出并说明理由。第四部分技术</w:t>
      </w:r>
      <w:r>
        <w:rPr>
          <w:rFonts w:hint="eastAsia" w:hAnsi="宋体"/>
          <w:b/>
          <w:bCs/>
          <w:color w:val="auto"/>
          <w:sz w:val="24"/>
          <w:szCs w:val="28"/>
          <w:highlight w:val="none"/>
          <w:lang w:val="en-US" w:eastAsia="zh-CN"/>
        </w:rPr>
        <w:t xml:space="preserve">参数</w:t>
      </w:r>
      <w:r>
        <w:rPr>
          <w:rFonts w:hint="eastAsia" w:hAnsi="宋体"/>
          <w:b/>
          <w:bCs/>
          <w:color w:val="auto"/>
          <w:sz w:val="24"/>
          <w:szCs w:val="28"/>
          <w:highlight w:val="none"/>
        </w:rPr>
        <w:t xml:space="preserve">要求须逐条应答。</w:t>
      </w:r>
      <w:r/>
    </w:p>
    <w:p>
      <w:pPr>
        <w:pStyle w:val="897"/>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2、投标人所投产品如与招标文件要求的规格及配置不一致，则须在上表偏离说明中详细注明。</w:t>
      </w:r>
      <w:r/>
    </w:p>
    <w:p>
      <w:pPr>
        <w:pStyle w:val="899"/>
        <w:spacing w:line="360" w:lineRule="auto"/>
        <w:rPr>
          <w:rFonts w:hint="eastAsia"/>
          <w:color w:val="auto"/>
          <w:highlight w:val="none"/>
        </w:rPr>
      </w:pPr>
      <w:r>
        <w:rPr>
          <w:rFonts w:hint="eastAsia" w:ascii="宋体" w:hAnsi="宋体"/>
          <w:b/>
          <w:bCs/>
          <w:color w:val="auto"/>
          <w:sz w:val="24"/>
          <w:szCs w:val="28"/>
          <w:highlight w:val="none"/>
        </w:rPr>
        <w:t xml:space="preserve">3、响应部分可后附详细说明及技术资料。</w:t>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outlineLvl w:val="1"/>
      </w:pPr>
      <w:r/>
      <w:bookmarkStart w:id="120" w:name="_Toc3171_WPSOffice_Level2"/>
      <w:r/>
      <w:bookmarkStart w:id="121" w:name="_Toc514054498"/>
      <w:r/>
      <w:bookmarkStart w:id="122" w:name="_Toc9396"/>
      <w:r>
        <w:rPr>
          <w:rFonts w:hint="eastAsia"/>
          <w:color w:val="auto"/>
          <w:highlight w:val="none"/>
          <w:lang w:eastAsia="zh-CN"/>
        </w:rPr>
        <w:t xml:space="preserve">（二）投标商务偏离表</w:t>
      </w:r>
      <w:bookmarkEnd w:id="120"/>
      <w:r/>
      <w:bookmarkEnd w:id="121"/>
      <w:r/>
      <w:bookmarkEnd w:id="122"/>
      <w:r/>
      <w:r/>
    </w:p>
    <w:tbl>
      <w:tblPr>
        <w:tblStyle w:val="671"/>
        <w:tblW w:w="8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2078"/>
        <w:gridCol w:w="2146"/>
        <w:gridCol w:w="2760"/>
      </w:tblGrid>
      <w:tr>
        <w:trPr>
          <w:jc w:val="center"/>
          <w:trHeight w:val="672"/>
        </w:trPr>
        <w:tc>
          <w:tcPr>
            <w:tcW w:w="1449"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078"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146"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0"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97"/>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1、投标人商务</w:t>
      </w:r>
      <w:r>
        <w:rPr>
          <w:rFonts w:hint="eastAsia" w:ascii="宋体" w:hAnsi="宋体"/>
          <w:b/>
          <w:bCs/>
          <w:color w:val="auto"/>
          <w:sz w:val="24"/>
          <w:szCs w:val="28"/>
          <w:highlight w:val="none"/>
          <w:lang w:val="en-US" w:eastAsia="zh-CN"/>
        </w:rPr>
        <w:t xml:space="preserve">要求</w:t>
      </w:r>
      <w:r>
        <w:rPr>
          <w:rFonts w:hint="eastAsia" w:ascii="宋体" w:hAnsi="宋体"/>
          <w:b/>
          <w:bCs/>
          <w:color w:val="auto"/>
          <w:sz w:val="24"/>
          <w:szCs w:val="28"/>
          <w:highlight w:val="none"/>
        </w:rPr>
        <w:t xml:space="preserve">如与招标文件要求的不一致，则须在上表偏离说明中详细注明。</w:t>
      </w:r>
      <w:r/>
    </w:p>
    <w:p>
      <w:pPr>
        <w:pStyle w:val="900"/>
        <w:spacing w:line="360" w:lineRule="auto"/>
        <w:rPr>
          <w:color w:val="auto"/>
          <w:highlight w:val="none"/>
        </w:rPr>
        <w:outlineLvl w:val="1"/>
      </w:pPr>
      <w:r/>
      <w:bookmarkStart w:id="123" w:name="_Toc514054500"/>
      <w:r>
        <w:rPr>
          <w:color w:val="auto"/>
          <w:highlight w:val="none"/>
        </w:rPr>
        <w:br w:type="page" w:clear="all"/>
      </w:r>
      <w:bookmarkStart w:id="124" w:name="_Toc14591"/>
      <w:r>
        <w:rPr>
          <w:color w:val="auto"/>
          <w:highlight w:val="none"/>
        </w:rPr>
        <w:t xml:space="preserve">十三、所投产品技术资料或样本等</w:t>
      </w:r>
      <w:bookmarkEnd w:id="123"/>
      <w:r/>
      <w:bookmarkEnd w:id="124"/>
      <w:r/>
      <w:r/>
    </w:p>
    <w:p>
      <w:pPr>
        <w:pStyle w:val="901"/>
        <w:spacing w:line="360" w:lineRule="auto"/>
        <w:rPr>
          <w:rFonts w:hint="eastAsia"/>
          <w:color w:val="auto"/>
          <w:szCs w:val="21"/>
          <w:highlight w:val="none"/>
        </w:rPr>
      </w:pPr>
      <w:r>
        <w:rPr>
          <w:rFonts w:hint="eastAsia" w:ascii="宋体"/>
          <w:bCs/>
          <w:color w:val="auto"/>
          <w:szCs w:val="21"/>
          <w:highlight w:val="none"/>
        </w:rPr>
        <w:t xml:space="preserve">格式自拟，可附相关产品技术彩页</w:t>
      </w:r>
      <w:r/>
    </w:p>
    <w:p>
      <w:pPr>
        <w:pStyle w:val="902"/>
        <w:spacing w:line="360" w:lineRule="auto"/>
        <w:rPr>
          <w:color w:val="auto"/>
          <w:highlight w:val="none"/>
        </w:rPr>
        <w:outlineLvl w:val="1"/>
      </w:pPr>
      <w:r>
        <w:rPr>
          <w:color w:val="auto"/>
          <w:highlight w:val="none"/>
        </w:rPr>
        <w:br w:type="page" w:clear="all"/>
      </w:r>
      <w:bookmarkStart w:id="125" w:name="_Toc23522_WPSOffice_Level2"/>
      <w:r/>
      <w:bookmarkStart w:id="126" w:name="_Toc514054501"/>
      <w:r/>
      <w:bookmarkStart w:id="127" w:name="_Toc27623"/>
      <w:r>
        <w:rPr>
          <w:color w:val="auto"/>
          <w:highlight w:val="none"/>
        </w:rPr>
        <w:t xml:space="preserve">十四、主要部件、辅材明细表</w:t>
      </w:r>
      <w:bookmarkEnd w:id="125"/>
      <w:r/>
      <w:bookmarkEnd w:id="126"/>
      <w:r/>
      <w:bookmarkEnd w:id="127"/>
      <w:r/>
      <w:r/>
    </w:p>
    <w:p>
      <w:pPr>
        <w:pStyle w:val="903"/>
        <w:spacing w:line="360" w:lineRule="auto"/>
        <w:rPr>
          <w:rFonts w:hint="eastAsia"/>
          <w:color w:val="auto"/>
          <w:highlight w:val="none"/>
        </w:rPr>
      </w:pPr>
      <w:r>
        <w:rPr>
          <w:rFonts w:hint="eastAsia"/>
          <w:color w:val="auto"/>
          <w:highlight w:val="none"/>
        </w:rPr>
      </w:r>
      <w:r/>
    </w:p>
    <w:tbl>
      <w:tblPr>
        <w:tblStyle w:val="671"/>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spacing w:before="100" w:beforeAutospacing="1" w:line="360" w:lineRule="auto"/>
        <w:widowControl/>
        <w:rPr>
          <w:rFonts w:hint="eastAsia"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904"/>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904"/>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05"/>
        <w:spacing w:line="360" w:lineRule="auto"/>
        <w:rPr>
          <w:color w:val="auto"/>
          <w:highlight w:val="none"/>
        </w:rPr>
        <w:outlineLvl w:val="1"/>
      </w:pPr>
      <w:r>
        <w:rPr>
          <w:color w:val="auto"/>
          <w:highlight w:val="none"/>
        </w:rPr>
        <w:br w:type="page" w:clear="all"/>
      </w:r>
      <w:bookmarkStart w:id="128" w:name="_Toc25001_WPSOffice_Level2"/>
      <w:r/>
      <w:bookmarkStart w:id="129" w:name="_Toc15828"/>
      <w:r/>
      <w:bookmarkStart w:id="130" w:name="_Toc514054502"/>
      <w:r>
        <w:rPr>
          <w:color w:val="auto"/>
          <w:highlight w:val="none"/>
        </w:rPr>
        <w:t xml:space="preserve">十五、</w:t>
      </w:r>
      <w:r>
        <w:rPr>
          <w:rFonts w:hint="eastAsia"/>
          <w:color w:val="auto"/>
          <w:highlight w:val="none"/>
          <w:lang w:val="en-US" w:eastAsia="zh-CN"/>
        </w:rPr>
        <w:t xml:space="preserve">服务</w:t>
      </w:r>
      <w:r>
        <w:rPr>
          <w:color w:val="auto"/>
          <w:highlight w:val="none"/>
        </w:rPr>
        <w:t xml:space="preserve">方案</w:t>
      </w:r>
      <w:bookmarkEnd w:id="128"/>
      <w:r/>
      <w:bookmarkEnd w:id="129"/>
      <w:r/>
      <w:bookmarkEnd w:id="130"/>
      <w:r/>
      <w:r/>
    </w:p>
    <w:p>
      <w:pPr>
        <w:pStyle w:val="906"/>
        <w:jc w:val="center"/>
        <w:spacing w:line="360" w:lineRule="auto"/>
        <w:rPr>
          <w:rFonts w:hint="eastAsia" w:ascii="宋体"/>
          <w:b/>
          <w:bCs/>
          <w:color w:val="auto"/>
          <w:sz w:val="32"/>
          <w:szCs w:val="32"/>
          <w:highlight w:val="none"/>
        </w:rPr>
      </w:pPr>
      <w:r/>
      <w:bookmarkStart w:id="131" w:name="_Toc2882_WPSOffice_Level2"/>
      <w:r>
        <w:rPr>
          <w:rFonts w:hint="eastAsia" w:ascii="宋体"/>
          <w:b/>
          <w:bCs/>
          <w:color w:val="auto"/>
          <w:sz w:val="32"/>
          <w:szCs w:val="32"/>
          <w:highlight w:val="none"/>
        </w:rPr>
        <w:t xml:space="preserve">按照招标文件要求，格式自拟</w:t>
      </w:r>
      <w:bookmarkEnd w:id="131"/>
      <w:r/>
      <w:r/>
    </w:p>
    <w:p>
      <w:pPr>
        <w:pStyle w:val="907"/>
        <w:spacing w:line="360" w:lineRule="auto"/>
        <w:rPr>
          <w:color w:val="auto"/>
          <w:highlight w:val="none"/>
        </w:rPr>
        <w:outlineLvl w:val="1"/>
      </w:pPr>
      <w:r>
        <w:rPr>
          <w:color w:val="auto"/>
          <w:highlight w:val="none"/>
        </w:rPr>
        <w:br w:type="page" w:clear="all"/>
      </w:r>
      <w:bookmarkStart w:id="132" w:name="_Toc30208_WPSOffice_Level2"/>
      <w:r/>
      <w:bookmarkStart w:id="133" w:name="_Toc5519"/>
      <w:r/>
      <w:bookmarkStart w:id="134" w:name="_Toc514054504"/>
      <w:r>
        <w:rPr>
          <w:color w:val="auto"/>
          <w:highlight w:val="none"/>
        </w:rPr>
        <w:t xml:space="preserve">十</w:t>
      </w:r>
      <w:r>
        <w:rPr>
          <w:rFonts w:hint="eastAsia"/>
          <w:color w:val="auto"/>
          <w:highlight w:val="none"/>
          <w:lang w:val="en-US" w:eastAsia="zh-CN"/>
        </w:rPr>
        <w:t xml:space="preserve">六</w:t>
      </w:r>
      <w:r>
        <w:rPr>
          <w:color w:val="auto"/>
          <w:highlight w:val="none"/>
        </w:rPr>
        <w:t xml:space="preserve">、投标人项目业绩一览表</w:t>
      </w:r>
      <w:bookmarkEnd w:id="132"/>
      <w:r/>
      <w:bookmarkEnd w:id="133"/>
      <w:r/>
      <w:bookmarkEnd w:id="134"/>
      <w:r/>
      <w:r/>
    </w:p>
    <w:p>
      <w:pPr>
        <w:pStyle w:val="908"/>
        <w:jc w:val="center"/>
        <w:spacing w:line="360" w:lineRule="auto"/>
        <w:rPr>
          <w:b/>
          <w:color w:val="auto"/>
          <w:sz w:val="32"/>
          <w:szCs w:val="32"/>
          <w:highlight w:val="none"/>
        </w:rPr>
      </w:pPr>
      <w:r/>
      <w:bookmarkStart w:id="135" w:name="_Toc10294_WPSOffice_Level2"/>
      <w:r>
        <w:rPr>
          <w:rFonts w:hint="eastAsia"/>
          <w:b/>
          <w:color w:val="auto"/>
          <w:sz w:val="32"/>
          <w:szCs w:val="32"/>
          <w:highlight w:val="none"/>
        </w:rPr>
        <w:t xml:space="preserve">项目业绩一览表</w:t>
      </w:r>
      <w:bookmarkEnd w:id="135"/>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bl>
    <w:p>
      <w:pPr>
        <w:pStyle w:val="910"/>
        <w:spacing w:line="360" w:lineRule="auto"/>
        <w:rPr>
          <w:color w:val="auto"/>
          <w:highlight w:val="none"/>
        </w:rPr>
        <w:outlineLvl w:val="1"/>
      </w:pPr>
      <w:r>
        <w:rPr>
          <w:color w:val="auto"/>
          <w:highlight w:val="none"/>
        </w:rPr>
        <w:br w:type="page" w:clear="all"/>
      </w:r>
      <w:bookmarkStart w:id="136" w:name="_Toc15753"/>
      <w:r/>
      <w:bookmarkStart w:id="137" w:name="_Toc514054505"/>
      <w:r/>
      <w:bookmarkStart w:id="138" w:name="_Toc502821163"/>
      <w:r/>
      <w:bookmarkStart w:id="139" w:name="_Toc30836_WPSOffice_Level2"/>
      <w:r>
        <w:rPr>
          <w:color w:val="auto"/>
          <w:highlight w:val="none"/>
        </w:rPr>
        <w:t xml:space="preserve">十</w:t>
      </w:r>
      <w:r>
        <w:rPr>
          <w:rFonts w:hint="eastAsia"/>
          <w:color w:val="auto"/>
          <w:highlight w:val="none"/>
          <w:lang w:val="en-US" w:eastAsia="zh-CN"/>
        </w:rPr>
        <w:t xml:space="preserve">七</w:t>
      </w:r>
      <w:r>
        <w:rPr>
          <w:color w:val="auto"/>
          <w:highlight w:val="none"/>
        </w:rPr>
        <w:t xml:space="preserve">、投标所需其他材料</w:t>
      </w:r>
      <w:bookmarkEnd w:id="136"/>
      <w:r/>
      <w:bookmarkEnd w:id="137"/>
      <w:r/>
      <w:bookmarkEnd w:id="138"/>
      <w:r/>
      <w:bookmarkEnd w:id="139"/>
      <w:r/>
      <w:r/>
    </w:p>
    <w:p>
      <w:pPr>
        <w:pStyle w:val="911"/>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360" w:lineRule="auto"/>
        <w:rPr>
          <w:rFonts w:hint="eastAsia"/>
          <w:color w:val="auto"/>
          <w:sz w:val="20"/>
          <w:highlight w:val="none"/>
        </w:rPr>
      </w:pPr>
      <w:r>
        <w:rPr>
          <w:rFonts w:hint="eastAsia"/>
          <w:color w:val="auto"/>
          <w:sz w:val="20"/>
          <w:highlight w:val="none"/>
        </w:rPr>
        <w:t xml:space="preserve"> </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pStyle w:val="910"/>
        <w:spacing w:line="360" w:lineRule="auto"/>
        <w:rPr>
          <w:color w:val="auto"/>
          <w:highlight w:val="none"/>
        </w:rPr>
        <w:outlineLvl w:val="1"/>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color w:val="auto"/>
          <w:highlight w:val="none"/>
        </w:rPr>
      </w:pPr>
      <w:r>
        <w:rPr>
          <w:color w:val="auto"/>
          <w:highlight w:val="none"/>
        </w:rPr>
      </w: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大标宋简体">
    <w:panose1 w:val="020B0503020202020204"/>
  </w:font>
  <w:font w:name="楷体">
    <w:panose1 w:val="02010609060101010101"/>
  </w:font>
  <w:font w:name="Symbol">
    <w:panose1 w:val="05050102010706020507"/>
  </w:font>
  <w:font w:name="Courier New">
    <w:panose1 w:val="02070309020205020404"/>
  </w:font>
  <w:font w:name="华文楷体">
    <w:panose1 w:val="02010600040101010101"/>
  </w:font>
  <w:font w:name="Wingdings">
    <w:panose1 w:val="05000000000000000000"/>
  </w:font>
  <w:font w:name="_x000B__x000C_">
    <w:panose1 w:val="020B0503020202020204"/>
  </w:font>
  <w:font w:name="Calibri">
    <w:panose1 w:val="020F0502020204030204"/>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pPr>
      <w:pStyle w:val="9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8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1">
    <w:name w:val="Heading 1"/>
    <w:basedOn w:val="660"/>
    <w:next w:val="660"/>
    <w:link w:val="696"/>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7"/>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698"/>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699"/>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0"/>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1"/>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3"/>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4"/>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0"/>
    <w:semiHidden/>
    <w:qFormat/>
  </w:style>
  <w:style w:type="table" w:styleId="671" w:default="1">
    <w:name w:val="Normal Table"/>
    <w:uiPriority w:val="0"/>
    <w:semiHidden/>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Caption"/>
    <w:basedOn w:val="660"/>
    <w:next w:val="6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4">
    <w:name w:val="toa heading"/>
    <w:basedOn w:val="660"/>
    <w:next w:val="660"/>
    <w:uiPriority w:val="99"/>
    <w:unhideWhenUsed/>
    <w:qFormat/>
    <w:pPr>
      <w:spacing w:before="120"/>
    </w:pPr>
    <w:rPr>
      <w:rFonts w:ascii="Cambria" w:hAnsi="Cambria" w:eastAsia="宋体" w:cs="Times New Roman"/>
      <w:sz w:val="24"/>
      <w:szCs w:val="21"/>
    </w:rPr>
  </w:style>
  <w:style w:type="paragraph" w:styleId="675">
    <w:name w:val="Body Text"/>
    <w:basedOn w:val="660"/>
    <w:uiPriority w:val="0"/>
    <w:qFormat/>
    <w:pPr>
      <w:spacing w:line="60" w:lineRule="auto"/>
    </w:pPr>
    <w:rPr>
      <w:rFonts w:ascii="仿宋_GB2312" w:eastAsia="仿宋_GB2312"/>
      <w:sz w:val="32"/>
    </w:rPr>
  </w:style>
  <w:style w:type="paragraph" w:styleId="676">
    <w:name w:val="toc 5"/>
    <w:basedOn w:val="660"/>
    <w:next w:val="660"/>
    <w:uiPriority w:val="39"/>
    <w:unhideWhenUsed/>
    <w:qFormat/>
    <w:pPr>
      <w:ind w:left="1134" w:right="0" w:firstLine="0"/>
      <w:spacing w:after="57"/>
    </w:pPr>
  </w:style>
  <w:style w:type="paragraph" w:styleId="677">
    <w:name w:val="toc 3"/>
    <w:basedOn w:val="660"/>
    <w:next w:val="660"/>
    <w:uiPriority w:val="39"/>
    <w:unhideWhenUsed/>
    <w:qFormat/>
    <w:pPr>
      <w:ind w:left="567" w:right="0" w:firstLine="0"/>
      <w:spacing w:after="57"/>
    </w:pPr>
  </w:style>
  <w:style w:type="paragraph" w:styleId="678">
    <w:name w:val="toc 8"/>
    <w:basedOn w:val="660"/>
    <w:next w:val="660"/>
    <w:uiPriority w:val="39"/>
    <w:unhideWhenUsed/>
    <w:qFormat/>
    <w:pPr>
      <w:ind w:left="1984" w:right="0" w:firstLine="0"/>
      <w:spacing w:after="57"/>
    </w:pPr>
  </w:style>
  <w:style w:type="paragraph" w:styleId="679">
    <w:name w:val="endnote text"/>
    <w:basedOn w:val="660"/>
    <w:link w:val="842"/>
    <w:uiPriority w:val="99"/>
    <w:semiHidden/>
    <w:unhideWhenUsed/>
    <w:qFormat/>
    <w:pPr>
      <w:spacing w:after="0" w:line="240" w:lineRule="auto"/>
    </w:pPr>
    <w:rPr>
      <w:sz w:val="20"/>
    </w:rPr>
  </w:style>
  <w:style w:type="paragraph" w:styleId="680">
    <w:name w:val="Footer"/>
    <w:basedOn w:val="660"/>
    <w:link w:val="715"/>
    <w:uiPriority w:val="99"/>
    <w:unhideWhenUsed/>
    <w:qFormat/>
    <w:pPr>
      <w:spacing w:after="0" w:line="240" w:lineRule="auto"/>
      <w:tabs>
        <w:tab w:val="center" w:pos="7143" w:leader="none"/>
        <w:tab w:val="right" w:pos="14287" w:leader="none"/>
      </w:tabs>
    </w:pPr>
  </w:style>
  <w:style w:type="paragraph" w:styleId="681">
    <w:name w:val="Header"/>
    <w:basedOn w:val="660"/>
    <w:link w:val="713"/>
    <w:uiPriority w:val="99"/>
    <w:unhideWhenUsed/>
    <w:qFormat/>
    <w:pPr>
      <w:spacing w:after="0" w:line="240" w:lineRule="auto"/>
      <w:tabs>
        <w:tab w:val="center" w:pos="7143" w:leader="none"/>
        <w:tab w:val="right" w:pos="14287" w:leader="none"/>
      </w:tabs>
    </w:pPr>
  </w:style>
  <w:style w:type="paragraph" w:styleId="682">
    <w:name w:val="toc 1"/>
    <w:basedOn w:val="660"/>
    <w:next w:val="660"/>
    <w:uiPriority w:val="39"/>
    <w:unhideWhenUsed/>
    <w:qFormat/>
    <w:pPr>
      <w:ind w:left="0" w:right="0" w:firstLine="0"/>
      <w:spacing w:after="57"/>
    </w:pPr>
  </w:style>
  <w:style w:type="paragraph" w:styleId="683">
    <w:name w:val="toc 4"/>
    <w:basedOn w:val="660"/>
    <w:next w:val="660"/>
    <w:uiPriority w:val="39"/>
    <w:unhideWhenUsed/>
    <w:qFormat/>
    <w:pPr>
      <w:ind w:left="850" w:right="0" w:firstLine="0"/>
      <w:spacing w:after="57"/>
    </w:pPr>
  </w:style>
  <w:style w:type="paragraph" w:styleId="684">
    <w:name w:val="Subtitle"/>
    <w:basedOn w:val="660"/>
    <w:next w:val="660"/>
    <w:link w:val="708"/>
    <w:uiPriority w:val="11"/>
    <w:qFormat/>
    <w:pPr>
      <w:spacing w:before="200" w:after="200"/>
    </w:pPr>
    <w:rPr>
      <w:sz w:val="24"/>
      <w:szCs w:val="24"/>
    </w:rPr>
  </w:style>
  <w:style w:type="paragraph" w:styleId="685">
    <w:name w:val="footnote text"/>
    <w:basedOn w:val="660"/>
    <w:link w:val="841"/>
    <w:uiPriority w:val="99"/>
    <w:semiHidden/>
    <w:unhideWhenUsed/>
    <w:qFormat/>
    <w:pPr>
      <w:spacing w:after="40" w:line="240" w:lineRule="auto"/>
    </w:pPr>
    <w:rPr>
      <w:sz w:val="18"/>
    </w:rPr>
  </w:style>
  <w:style w:type="paragraph" w:styleId="686">
    <w:name w:val="toc 6"/>
    <w:basedOn w:val="660"/>
    <w:next w:val="660"/>
    <w:uiPriority w:val="39"/>
    <w:unhideWhenUsed/>
    <w:qFormat/>
    <w:pPr>
      <w:ind w:left="1417" w:right="0" w:firstLine="0"/>
      <w:spacing w:after="57"/>
    </w:pPr>
  </w:style>
  <w:style w:type="paragraph" w:styleId="687">
    <w:name w:val="table of figures"/>
    <w:basedOn w:val="660"/>
    <w:next w:val="660"/>
    <w:uiPriority w:val="99"/>
    <w:unhideWhenUsed/>
    <w:qFormat/>
    <w:pPr>
      <w:spacing w:after="0" w:afterAutospacing="0"/>
    </w:pPr>
  </w:style>
  <w:style w:type="paragraph" w:styleId="688">
    <w:name w:val="toc 2"/>
    <w:basedOn w:val="660"/>
    <w:next w:val="660"/>
    <w:uiPriority w:val="39"/>
    <w:unhideWhenUsed/>
    <w:qFormat/>
    <w:pPr>
      <w:ind w:left="283" w:right="0" w:firstLine="0"/>
      <w:spacing w:after="57"/>
    </w:pPr>
  </w:style>
  <w:style w:type="paragraph" w:styleId="689">
    <w:name w:val="toc 9"/>
    <w:basedOn w:val="660"/>
    <w:next w:val="660"/>
    <w:uiPriority w:val="39"/>
    <w:unhideWhenUsed/>
    <w:qFormat/>
    <w:pPr>
      <w:ind w:left="2268" w:right="0" w:firstLine="0"/>
      <w:spacing w:after="57"/>
    </w:pPr>
  </w:style>
  <w:style w:type="paragraph" w:styleId="690">
    <w:name w:val="Normal (Web)"/>
    <w:basedOn w:val="660"/>
    <w:uiPriority w:val="0"/>
    <w:qFormat/>
    <w:pPr>
      <w:ind w:firstLine="562"/>
      <w:spacing w:beforeAutospacing="1" w:afterAutospacing="1"/>
    </w:pPr>
    <w:rPr>
      <w:b/>
      <w:sz w:val="28"/>
    </w:rPr>
  </w:style>
  <w:style w:type="paragraph" w:styleId="691">
    <w:name w:val="Title"/>
    <w:basedOn w:val="660"/>
    <w:next w:val="660"/>
    <w:link w:val="707"/>
    <w:uiPriority w:val="10"/>
    <w:qFormat/>
    <w:pPr>
      <w:contextualSpacing/>
      <w:spacing w:before="300" w:after="200"/>
    </w:pPr>
    <w:rPr>
      <w:sz w:val="48"/>
      <w:szCs w:val="48"/>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basedOn w:val="670"/>
    <w:uiPriority w:val="99"/>
    <w:semiHidden/>
    <w:unhideWhenUsed/>
    <w:qFormat/>
    <w:rPr>
      <w:vertAlign w:val="superscript"/>
    </w:rPr>
  </w:style>
  <w:style w:type="character" w:styleId="694">
    <w:name w:val="Hyperlink"/>
    <w:uiPriority w:val="99"/>
    <w:unhideWhenUsed/>
    <w:qFormat/>
    <w:rPr>
      <w:color w:val="0026e5" w:themeColor="hyperlink"/>
      <w:u w:val="single"/>
      <w14:textFill>
        <w14:solidFill>
          <w14:schemeClr w14:val="hlink"/>
        </w14:solidFill>
      </w14:textFill>
    </w:rPr>
  </w:style>
  <w:style w:type="character" w:styleId="695">
    <w:name w:val="footnote reference"/>
    <w:basedOn w:val="670"/>
    <w:uiPriority w:val="99"/>
    <w:unhideWhenUsed/>
    <w:qFormat/>
    <w:rPr>
      <w:vertAlign w:val="superscript"/>
    </w:rPr>
  </w:style>
  <w:style w:type="character" w:styleId="696" w:customStyle="1">
    <w:name w:val="Heading 1 Char"/>
    <w:basedOn w:val="670"/>
    <w:link w:val="661"/>
    <w:uiPriority w:val="9"/>
    <w:qFormat/>
    <w:rPr>
      <w:rFonts w:ascii="Arial" w:hAnsi="Arial" w:eastAsia="Arial" w:cs="Arial"/>
      <w:sz w:val="40"/>
      <w:szCs w:val="40"/>
    </w:rPr>
  </w:style>
  <w:style w:type="character" w:styleId="697" w:customStyle="1">
    <w:name w:val="Heading 2 Char"/>
    <w:basedOn w:val="670"/>
    <w:link w:val="662"/>
    <w:uiPriority w:val="9"/>
    <w:qFormat/>
    <w:rPr>
      <w:rFonts w:ascii="Arial" w:hAnsi="Arial" w:eastAsia="Arial" w:cs="Arial"/>
      <w:sz w:val="34"/>
    </w:rPr>
  </w:style>
  <w:style w:type="character" w:styleId="698" w:customStyle="1">
    <w:name w:val="Heading 3 Char"/>
    <w:basedOn w:val="670"/>
    <w:link w:val="663"/>
    <w:uiPriority w:val="9"/>
    <w:qFormat/>
    <w:rPr>
      <w:rFonts w:ascii="Arial" w:hAnsi="Arial" w:eastAsia="Arial" w:cs="Arial"/>
      <w:sz w:val="30"/>
      <w:szCs w:val="30"/>
    </w:rPr>
  </w:style>
  <w:style w:type="character" w:styleId="699" w:customStyle="1">
    <w:name w:val="Heading 4 Char"/>
    <w:basedOn w:val="670"/>
    <w:link w:val="664"/>
    <w:uiPriority w:val="9"/>
    <w:qFormat/>
    <w:rPr>
      <w:rFonts w:ascii="Arial" w:hAnsi="Arial" w:eastAsia="Arial" w:cs="Arial"/>
      <w:b/>
      <w:bCs/>
      <w:sz w:val="26"/>
      <w:szCs w:val="26"/>
    </w:rPr>
  </w:style>
  <w:style w:type="character" w:styleId="700" w:customStyle="1">
    <w:name w:val="Heading 5 Char"/>
    <w:basedOn w:val="670"/>
    <w:link w:val="665"/>
    <w:uiPriority w:val="9"/>
    <w:qFormat/>
    <w:rPr>
      <w:rFonts w:ascii="Arial" w:hAnsi="Arial" w:eastAsia="Arial" w:cs="Arial"/>
      <w:b/>
      <w:bCs/>
      <w:sz w:val="24"/>
      <w:szCs w:val="24"/>
    </w:rPr>
  </w:style>
  <w:style w:type="character" w:styleId="701" w:customStyle="1">
    <w:name w:val="Heading 6 Char"/>
    <w:basedOn w:val="670"/>
    <w:link w:val="666"/>
    <w:uiPriority w:val="9"/>
    <w:qFormat/>
    <w:rPr>
      <w:rFonts w:ascii="Arial" w:hAnsi="Arial" w:eastAsia="Arial" w:cs="Arial"/>
      <w:b/>
      <w:bCs/>
      <w:sz w:val="22"/>
      <w:szCs w:val="22"/>
    </w:rPr>
  </w:style>
  <w:style w:type="character" w:styleId="702" w:customStyle="1">
    <w:name w:val="Heading 7 Char"/>
    <w:basedOn w:val="670"/>
    <w:link w:val="667"/>
    <w:uiPriority w:val="9"/>
    <w:qFormat/>
    <w:rPr>
      <w:rFonts w:ascii="Arial" w:hAnsi="Arial" w:eastAsia="Arial" w:cs="Arial"/>
      <w:b/>
      <w:bCs/>
      <w:i/>
      <w:iCs/>
      <w:sz w:val="22"/>
      <w:szCs w:val="22"/>
    </w:rPr>
  </w:style>
  <w:style w:type="character" w:styleId="703" w:customStyle="1">
    <w:name w:val="Heading 8 Char"/>
    <w:basedOn w:val="670"/>
    <w:link w:val="668"/>
    <w:uiPriority w:val="9"/>
    <w:qFormat/>
    <w:rPr>
      <w:rFonts w:ascii="Arial" w:hAnsi="Arial" w:eastAsia="Arial" w:cs="Arial"/>
      <w:i/>
      <w:iCs/>
      <w:sz w:val="22"/>
      <w:szCs w:val="22"/>
    </w:rPr>
  </w:style>
  <w:style w:type="character" w:styleId="704" w:customStyle="1">
    <w:name w:val="Heading 9 Char"/>
    <w:basedOn w:val="670"/>
    <w:link w:val="669"/>
    <w:uiPriority w:val="9"/>
    <w:qFormat/>
    <w:rPr>
      <w:rFonts w:ascii="Arial" w:hAnsi="Arial" w:eastAsia="Arial" w:cs="Arial"/>
      <w:i/>
      <w:iCs/>
      <w:sz w:val="21"/>
      <w:szCs w:val="21"/>
    </w:rPr>
  </w:style>
  <w:style w:type="paragraph" w:styleId="705">
    <w:name w:val="List Paragraph"/>
    <w:basedOn w:val="660"/>
    <w:uiPriority w:val="34"/>
    <w:qFormat/>
    <w:pPr>
      <w:contextualSpacing/>
      <w:ind w:left="720"/>
    </w:p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basedOn w:val="670"/>
    <w:link w:val="691"/>
    <w:uiPriority w:val="10"/>
    <w:qFormat/>
    <w:rPr>
      <w:sz w:val="48"/>
      <w:szCs w:val="48"/>
    </w:rPr>
  </w:style>
  <w:style w:type="character" w:styleId="708" w:customStyle="1">
    <w:name w:val="Subtitle Char"/>
    <w:basedOn w:val="670"/>
    <w:link w:val="684"/>
    <w:uiPriority w:val="11"/>
    <w:qFormat/>
    <w:rPr>
      <w:sz w:val="24"/>
      <w:szCs w:val="24"/>
    </w:rPr>
  </w:style>
  <w:style w:type="paragraph" w:styleId="709">
    <w:name w:val="Quote"/>
    <w:basedOn w:val="660"/>
    <w:next w:val="660"/>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60"/>
    <w:next w:val="660"/>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basedOn w:val="670"/>
    <w:link w:val="681"/>
    <w:uiPriority w:val="99"/>
    <w:qFormat/>
  </w:style>
  <w:style w:type="character" w:styleId="714" w:customStyle="1">
    <w:name w:val="Footer Char"/>
    <w:basedOn w:val="670"/>
    <w:link w:val="680"/>
    <w:uiPriority w:val="99"/>
    <w:qFormat/>
  </w:style>
  <w:style w:type="character" w:styleId="715" w:customStyle="1">
    <w:name w:val="Caption Char"/>
    <w:link w:val="680"/>
    <w:uiPriority w:val="99"/>
    <w:qFormat/>
  </w:style>
  <w:style w:type="table" w:styleId="716"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5" w:customStyle="1">
    <w:name w:val="Grid Table 2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6"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basedOn w:val="6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5" w:customStyle="1">
    <w:name w:val="Grid Table 4 - Accent 2"/>
    <w:basedOn w:val="6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6" w:customStyle="1">
    <w:name w:val="Grid Table 4 - Accent 3"/>
    <w:basedOn w:val="6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7" w:customStyle="1">
    <w:name w:val="Grid Table 4 - Accent 4"/>
    <w:basedOn w:val="6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8" w:customStyle="1">
    <w:name w:val="Grid Table 4 - Accent 5"/>
    <w:basedOn w:val="6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49" w:customStyle="1">
    <w:name w:val="Grid Table 4 - Accent 6"/>
    <w:basedOn w:val="6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0"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2"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3"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4"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5"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6"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7"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basedOn w:val="6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59" w:customStyle="1">
    <w:name w:val="Grid Table 6 Colorful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0" w:customStyle="1">
    <w:name w:val="Grid Table 6 Colorful - Accent 3"/>
    <w:basedOn w:val="6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1" w:customStyle="1">
    <w:name w:val="Grid Table 6 Colorful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2" w:customStyle="1">
    <w:name w:val="Grid Table 6 Colorful - Accent 5"/>
    <w:basedOn w:val="6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3" w:customStyle="1">
    <w:name w:val="Grid Table 6 Colorful - Accent 6"/>
    <w:basedOn w:val="6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4"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basedOn w:val="6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basedOn w:val="6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basedOn w:val="6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basedOn w:val="6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basedOn w:val="6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basedOn w:val="6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basedOn w:val="6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3" w:customStyle="1">
    <w:name w:val="List Table 1 Light - Accent 2"/>
    <w:basedOn w:val="6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4" w:customStyle="1">
    <w:name w:val="List Table 1 Light - Accent 3"/>
    <w:basedOn w:val="6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5" w:customStyle="1">
    <w:name w:val="List Table 1 Light - Accent 4"/>
    <w:basedOn w:val="6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basedOn w:val="6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7" w:customStyle="1">
    <w:name w:val="List Table 1 Light - Accent 6"/>
    <w:basedOn w:val="6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8"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basedOn w:val="6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0" w:customStyle="1">
    <w:name w:val="List Table 2 - Accent 2"/>
    <w:basedOn w:val="6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1" w:customStyle="1">
    <w:name w:val="List Table 2 - Accent 3"/>
    <w:basedOn w:val="6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2" w:customStyle="1">
    <w:name w:val="List Table 2 - Accent 4"/>
    <w:basedOn w:val="6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3" w:customStyle="1">
    <w:name w:val="List Table 2 - Accent 5"/>
    <w:basedOn w:val="6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4" w:customStyle="1">
    <w:name w:val="List Table 2 - Accent 6"/>
    <w:basedOn w:val="6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5"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basedOn w:val="6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7" w:customStyle="1">
    <w:name w:val="List Table 3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8" w:customStyle="1">
    <w:name w:val="List Table 3 - Accent 3"/>
    <w:basedOn w:val="6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89" w:customStyle="1">
    <w:name w:val="List Table 3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0" w:customStyle="1">
    <w:name w:val="List Table 3 - Accent 5"/>
    <w:basedOn w:val="6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1" w:customStyle="1">
    <w:name w:val="List Table 3 - Accent 6"/>
    <w:basedOn w:val="6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2"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basedOn w:val="6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4" w:customStyle="1">
    <w:name w:val="List Table 4 - Accent 2"/>
    <w:basedOn w:val="6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5" w:customStyle="1">
    <w:name w:val="List Table 4 - Accent 3"/>
    <w:basedOn w:val="6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6" w:customStyle="1">
    <w:name w:val="List Table 4 - Accent 4"/>
    <w:basedOn w:val="6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7" w:customStyle="1">
    <w:name w:val="List Table 4 - Accent 5"/>
    <w:basedOn w:val="6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8" w:customStyle="1">
    <w:name w:val="List Table 4 - Accent 6"/>
    <w:basedOn w:val="6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99"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basedOn w:val="6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basedOn w:val="6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basedOn w:val="6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basedOn w:val="6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basedOn w:val="6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basedOn w:val="6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basedOn w:val="6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8" w:customStyle="1">
    <w:name w:val="List Table 6 Colorful - Accent 2"/>
    <w:basedOn w:val="67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09" w:customStyle="1">
    <w:name w:val="List Table 6 Colorful - Accent 3"/>
    <w:basedOn w:val="6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0" w:customStyle="1">
    <w:name w:val="List Table 6 Colorful - Accent 4"/>
    <w:basedOn w:val="6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1" w:customStyle="1">
    <w:name w:val="List Table 6 Colorful - Accent 5"/>
    <w:basedOn w:val="6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2" w:customStyle="1">
    <w:name w:val="List Table 6 Colorful - Accent 6"/>
    <w:basedOn w:val="6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3"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basedOn w:val="6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basedOn w:val="6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basedOn w:val="6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basedOn w:val="6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basedOn w:val="6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basedOn w:val="6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0"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2"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3"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4"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5"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6"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7"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basedOn w:val="6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9" w:customStyle="1">
    <w:name w:val="Bordered &amp; Lined - Accent 2"/>
    <w:basedOn w:val="6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0" w:customStyle="1">
    <w:name w:val="Bordered &amp; Lined - Accent 3"/>
    <w:basedOn w:val="6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1" w:customStyle="1">
    <w:name w:val="Bordered &amp; Lined - Accent 4"/>
    <w:basedOn w:val="6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2" w:customStyle="1">
    <w:name w:val="Bordered &amp; Lined - Accent 5"/>
    <w:basedOn w:val="6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3" w:customStyle="1">
    <w:name w:val="Bordered &amp; Lined - Accent 6"/>
    <w:basedOn w:val="6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4"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6" w:customStyle="1">
    <w:name w:val="Bordered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7" w:customStyle="1">
    <w:name w:val="Bordered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8" w:customStyle="1">
    <w:name w:val="Bordered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39" w:customStyle="1">
    <w:name w:val="Bordered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0" w:customStyle="1">
    <w:name w:val="Bordered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1" w:customStyle="1">
    <w:name w:val="Footnote Text Char"/>
    <w:link w:val="685"/>
    <w:uiPriority w:val="99"/>
    <w:qFormat/>
    <w:rPr>
      <w:sz w:val="18"/>
    </w:rPr>
  </w:style>
  <w:style w:type="character" w:styleId="842" w:customStyle="1">
    <w:name w:val="Endnote Text Char"/>
    <w:link w:val="679"/>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正文文本1"/>
    <w:basedOn w:val="660"/>
    <w:uiPriority w:val="0"/>
    <w:qFormat/>
    <w:pPr>
      <w:spacing w:line="60" w:lineRule="auto"/>
    </w:pPr>
    <w:rPr>
      <w:rFonts w:ascii="仿宋_GB2312" w:eastAsia="仿宋_GB2312"/>
      <w:sz w:val="32"/>
    </w:rPr>
  </w:style>
  <w:style w:type="paragraph" w:styleId="845" w:customStyle="1">
    <w:name w:val="WPSOffice手动目录 1"/>
    <w:uiPriority w:val="0"/>
    <w:qFormat/>
    <w:rPr>
      <w:rFonts w:hint="default" w:ascii="Times New Roman" w:hAnsi="Times New Roman" w:eastAsia="宋体" w:cs="Times New Roman"/>
      <w:lang w:val="en-US" w:eastAsia="zh-CN" w:bidi="ar-SA"/>
    </w:rPr>
  </w:style>
  <w:style w:type="paragraph" w:styleId="846" w:customStyle="1">
    <w:name w:val="WPSOffice手动目录 2"/>
    <w:uiPriority w:val="0"/>
    <w:qFormat/>
    <w:rPr>
      <w:rFonts w:hint="default" w:ascii="Times New Roman" w:hAnsi="Times New Roman" w:eastAsia="宋体" w:cs="Times New Roman"/>
      <w:lang w:val="en-US" w:eastAsia="zh-CN" w:bidi="ar-SA"/>
    </w:rPr>
  </w:style>
  <w:style w:type="paragraph" w:styleId="847" w:customStyle="1">
    <w:name w:val="列出段落1"/>
    <w:basedOn w:val="660"/>
    <w:uiPriority w:val="99"/>
    <w:qFormat/>
    <w:pPr>
      <w:ind w:firstLine="200"/>
    </w:pPr>
    <w:rPr>
      <w:rFonts w:ascii="Calibri" w:hAnsi="Calibri"/>
      <w:szCs w:val="22"/>
    </w:rPr>
  </w:style>
  <w:style w:type="paragraph" w:styleId="848" w:customStyle="1">
    <w:name w:val="列出段落"/>
    <w:basedOn w:val="660"/>
    <w:uiPriority w:val="34"/>
    <w:qFormat/>
    <w:pPr>
      <w:ind w:firstLine="420"/>
    </w:pPr>
  </w:style>
  <w:style w:type="paragraph" w:styleId="849" w:customStyle="1">
    <w:name w:val="列出段落2"/>
    <w:basedOn w:val="660"/>
    <w:uiPriority w:val="0"/>
    <w:qFormat/>
    <w:pPr>
      <w:ind w:firstLine="420"/>
    </w:pPr>
    <w:rPr>
      <w:rFonts w:ascii="Times New Roman" w:hAnsi="Times New Roman" w:eastAsia="宋体" w:cs="Times New Roman"/>
    </w:rPr>
  </w:style>
  <w:style w:type="paragraph" w:styleId="850" w:customStyle="1">
    <w:name w:val="普通(网站)1"/>
    <w:basedOn w:val="660"/>
    <w:uiPriority w:val="0"/>
    <w:qFormat/>
    <w:pPr>
      <w:jc w:val="left"/>
      <w:spacing w:before="100" w:beforeAutospacing="1" w:after="100" w:afterAutospacing="1"/>
      <w:widowControl/>
    </w:pPr>
    <w:rPr>
      <w:rFonts w:ascii="宋体"/>
      <w:sz w:val="24"/>
      <w:szCs w:val="20"/>
    </w:rPr>
  </w:style>
  <w:style w:type="paragraph" w:styleId="851" w:customStyle="1">
    <w:name w:val="标题 21"/>
    <w:basedOn w:val="660"/>
    <w:next w:val="660"/>
    <w:uiPriority w:val="0"/>
    <w:qFormat/>
    <w:pPr>
      <w:keepLines/>
      <w:keepNext/>
      <w:spacing w:before="260" w:after="260" w:line="413" w:lineRule="auto"/>
      <w:outlineLvl w:val="1"/>
    </w:pPr>
    <w:rPr>
      <w:rFonts w:ascii="Arial" w:hAnsi="Arial" w:eastAsia="黑体"/>
      <w:b/>
      <w:sz w:val="32"/>
      <w:szCs w:val="20"/>
    </w:rPr>
  </w:style>
  <w:style w:type="paragraph" w:styleId="852" w:customStyle="1">
    <w:name w:val="Normal_0"/>
    <w:uiPriority w:val="0"/>
    <w:qFormat/>
    <w:rPr>
      <w:rFonts w:hint="default" w:ascii="黑体" w:hAnsi="黑体" w:eastAsia="黑体" w:cs="Times New Roman"/>
      <w:b/>
      <w:sz w:val="32"/>
      <w:szCs w:val="24"/>
      <w:lang w:bidi="ar-SA"/>
    </w:rPr>
  </w:style>
  <w:style w:type="paragraph" w:styleId="853" w:customStyle="1">
    <w:name w:val="正文文本缩进11"/>
    <w:basedOn w:val="660"/>
    <w:uiPriority w:val="0"/>
    <w:qFormat/>
    <w:pPr>
      <w:ind w:firstLine="225"/>
    </w:pPr>
    <w:rPr>
      <w:rFonts w:ascii="仿宋_GB2312" w:eastAsia="仿宋_GB2312"/>
      <w:sz w:val="32"/>
    </w:rPr>
  </w:style>
  <w:style w:type="paragraph" w:styleId="854" w:customStyle="1">
    <w:name w:val="普通正文"/>
    <w:basedOn w:val="660"/>
    <w:uiPriority w:val="0"/>
    <w:qFormat/>
    <w:pPr>
      <w:ind w:firstLine="425"/>
      <w:jc w:val="left"/>
    </w:pPr>
    <w:rPr>
      <w:rFonts w:ascii="宋体"/>
      <w:sz w:val="20"/>
      <w:szCs w:val="20"/>
    </w:rPr>
  </w:style>
  <w:style w:type="paragraph" w:styleId="855" w:customStyle="1">
    <w:name w:val="列出段落3"/>
    <w:basedOn w:val="660"/>
    <w:uiPriority w:val="0"/>
    <w:qFormat/>
    <w:pPr>
      <w:ind w:firstLine="420"/>
    </w:pPr>
    <w:rPr>
      <w:rFonts w:ascii="Times New Roman" w:hAnsi="Times New Roman" w:eastAsia="宋体" w:cs="Times New Roman"/>
      <w:szCs w:val="20"/>
    </w:rPr>
  </w:style>
  <w:style w:type="character" w:styleId="856" w:customStyle="1">
    <w:name w:val="NormalCharacter1"/>
    <w:link w:val="660"/>
    <w:uiPriority w:val="0"/>
    <w:semiHidden/>
    <w:qFormat/>
    <w:rPr>
      <w:rFonts w:hint="default" w:ascii="Times New Roman" w:hAnsi="Times New Roman" w:eastAsia="宋体" w:cs="Times New Roman"/>
      <w:sz w:val="21"/>
      <w:szCs w:val="22"/>
      <w:lang w:val="en-US" w:eastAsia="zh-CN" w:bidi="ar-SA"/>
    </w:rPr>
  </w:style>
  <w:style w:type="character" w:styleId="857" w:customStyle="1">
    <w:name w:val="wyg1"/>
    <w:link w:val="660"/>
    <w:uiPriority w:val="0"/>
    <w:qFormat/>
    <w:rPr>
      <w:color w:val="000000"/>
      <w:sz w:val="20"/>
      <w:szCs w:val="20"/>
      <w:u w:val="none"/>
    </w:rPr>
  </w:style>
  <w:style w:type="character" w:styleId="858" w:customStyle="1">
    <w:name w:val="s141"/>
    <w:link w:val="660"/>
    <w:uiPriority w:val="0"/>
    <w:qFormat/>
    <w:rPr>
      <w:rFonts w:ascii="_x000B__x000C_" w:hAnsi="_x000B__x000C_"/>
      <w:sz w:val="21"/>
      <w:szCs w:val="21"/>
    </w:rPr>
  </w:style>
  <w:style w:type="paragraph" w:styleId="859" w:customStyle="1">
    <w:name w:val="纯文本11"/>
    <w:basedOn w:val="660"/>
    <w:uiPriority w:val="0"/>
    <w:qFormat/>
    <w:rPr>
      <w:rFonts w:ascii="宋体"/>
      <w:szCs w:val="21"/>
    </w:rPr>
  </w:style>
  <w:style w:type="paragraph" w:styleId="860" w:customStyle="1">
    <w:name w:val="Normal_0_3"/>
    <w:uiPriority w:val="0"/>
    <w:qFormat/>
    <w:rPr>
      <w:rFonts w:hint="default" w:ascii="黑体" w:hAnsi="黑体" w:eastAsia="黑体" w:cs="Times New Roman"/>
      <w:b/>
      <w:sz w:val="32"/>
      <w:szCs w:val="24"/>
      <w:lang w:bidi="ar-SA"/>
    </w:rPr>
  </w:style>
  <w:style w:type="paragraph" w:styleId="86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2" w:customStyle="1">
    <w:name w:val="Normal_0_2"/>
    <w:uiPriority w:val="0"/>
    <w:qFormat/>
    <w:rPr>
      <w:rFonts w:hint="default" w:ascii="黑体" w:hAnsi="黑体" w:eastAsia="黑体" w:cs="Times New Roman"/>
      <w:b/>
      <w:sz w:val="32"/>
      <w:szCs w:val="24"/>
      <w:lang w:bidi="ar-SA"/>
    </w:rPr>
  </w:style>
  <w:style w:type="paragraph" w:styleId="863" w:customStyle="1">
    <w:name w:val="Normal_1_2"/>
    <w:uiPriority w:val="0"/>
    <w:qFormat/>
    <w:rPr>
      <w:rFonts w:hint="default" w:ascii="Times New Roman" w:hAnsi="Times New Roman" w:eastAsia="Times New Roman" w:cs="Times New Roman"/>
      <w:sz w:val="24"/>
      <w:szCs w:val="24"/>
      <w:lang w:bidi="ar-SA"/>
    </w:rPr>
  </w:style>
  <w:style w:type="paragraph" w:styleId="864" w:customStyle="1">
    <w:name w:val="Normal_0_1"/>
    <w:uiPriority w:val="0"/>
    <w:qFormat/>
    <w:rPr>
      <w:rFonts w:hint="default" w:ascii="黑体" w:hAnsi="黑体" w:eastAsia="黑体" w:cs="Times New Roman"/>
      <w:b/>
      <w:sz w:val="32"/>
      <w:szCs w:val="24"/>
      <w:lang w:bidi="ar-SA"/>
    </w:rPr>
  </w:style>
  <w:style w:type="paragraph" w:styleId="86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6" w:customStyle="1">
    <w:name w:val="Normal_1_1"/>
    <w:uiPriority w:val="0"/>
    <w:qFormat/>
    <w:rPr>
      <w:rFonts w:hint="default" w:ascii="黑体" w:hAnsi="黑体" w:eastAsia="黑体" w:cs="Times New Roman"/>
      <w:b/>
      <w:sz w:val="32"/>
      <w:szCs w:val="24"/>
      <w:lang w:bidi="ar-SA"/>
    </w:rPr>
  </w:style>
  <w:style w:type="paragraph" w:styleId="867" w:customStyle="1">
    <w:name w:val="Normal_2_0"/>
    <w:uiPriority w:val="0"/>
    <w:qFormat/>
    <w:rPr>
      <w:rFonts w:hint="default" w:ascii="黑体" w:hAnsi="黑体" w:eastAsia="黑体" w:cs="Times New Roman"/>
      <w:b/>
      <w:sz w:val="32"/>
      <w:szCs w:val="24"/>
      <w:lang w:bidi="ar-SA"/>
    </w:rPr>
  </w:style>
  <w:style w:type="paragraph" w:styleId="868"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9" w:customStyle="1">
    <w:name w:val="Normal_3_0"/>
    <w:uiPriority w:val="0"/>
    <w:qFormat/>
    <w:rPr>
      <w:rFonts w:hint="default" w:ascii="黑体" w:hAnsi="黑体" w:eastAsia="黑体" w:cs="Times New Roman"/>
      <w:b/>
      <w:sz w:val="32"/>
      <w:szCs w:val="24"/>
      <w:lang w:bidi="ar-SA"/>
    </w:rPr>
  </w:style>
  <w:style w:type="paragraph" w:styleId="870"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1"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872"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3" w:customStyle="1">
    <w:name w:val="Normal_4_0"/>
    <w:uiPriority w:val="0"/>
    <w:qFormat/>
    <w:rPr>
      <w:rFonts w:hint="default" w:ascii="黑体" w:hAnsi="黑体" w:eastAsia="黑体" w:cs="Times New Roman"/>
      <w:b/>
      <w:sz w:val="32"/>
      <w:szCs w:val="24"/>
      <w:lang w:bidi="ar-SA"/>
    </w:rPr>
  </w:style>
  <w:style w:type="paragraph" w:styleId="874" w:customStyle="1">
    <w:name w:val="Normal_5_0"/>
    <w:uiPriority w:val="0"/>
    <w:qFormat/>
    <w:rPr>
      <w:rFonts w:hint="default" w:ascii="黑体" w:hAnsi="黑体" w:eastAsia="黑体" w:cs="Times New Roman"/>
      <w:b/>
      <w:sz w:val="32"/>
      <w:szCs w:val="24"/>
      <w:lang w:bidi="ar-SA"/>
    </w:rPr>
  </w:style>
  <w:style w:type="paragraph" w:styleId="875"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876"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7" w:customStyle="1">
    <w:name w:val="Normal_6_0"/>
    <w:uiPriority w:val="0"/>
    <w:qFormat/>
    <w:rPr>
      <w:rFonts w:hint="default" w:ascii="黑体" w:hAnsi="黑体" w:eastAsia="黑体" w:cs="Times New Roman"/>
      <w:b/>
      <w:sz w:val="32"/>
      <w:szCs w:val="24"/>
      <w:lang w:bidi="ar-SA"/>
    </w:rPr>
  </w:style>
  <w:style w:type="paragraph" w:styleId="878"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Normal_7_0"/>
    <w:uiPriority w:val="0"/>
    <w:qFormat/>
    <w:rPr>
      <w:rFonts w:hint="default" w:ascii="黑体" w:hAnsi="黑体" w:eastAsia="黑体" w:cs="Times New Roman"/>
      <w:b/>
      <w:sz w:val="32"/>
      <w:szCs w:val="24"/>
      <w:lang w:bidi="ar-SA"/>
    </w:rPr>
  </w:style>
  <w:style w:type="paragraph" w:styleId="88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88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886"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7" w:customStyle="1">
    <w:name w:val="Normal_8_0"/>
    <w:uiPriority w:val="0"/>
    <w:qFormat/>
    <w:rPr>
      <w:rFonts w:hint="default" w:ascii="黑体" w:hAnsi="黑体" w:eastAsia="黑体" w:cs="Times New Roman"/>
      <w:b/>
      <w:sz w:val="32"/>
      <w:szCs w:val="24"/>
      <w:lang w:bidi="ar-SA"/>
    </w:rPr>
  </w:style>
  <w:style w:type="paragraph" w:styleId="888" w:customStyle="1">
    <w:name w:val="Normal_10_0"/>
    <w:uiPriority w:val="0"/>
    <w:qFormat/>
    <w:rPr>
      <w:rFonts w:hint="default" w:ascii="黑体" w:hAnsi="黑体" w:eastAsia="黑体" w:cs="Times New Roman"/>
      <w:b/>
      <w:sz w:val="32"/>
      <w:szCs w:val="24"/>
      <w:lang w:bidi="ar-SA"/>
    </w:rPr>
  </w:style>
  <w:style w:type="paragraph" w:styleId="889"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0" w:customStyle="1">
    <w:name w:val="Normal_11_0"/>
    <w:uiPriority w:val="0"/>
    <w:qFormat/>
    <w:rPr>
      <w:rFonts w:hint="default" w:ascii="黑体" w:hAnsi="黑体" w:eastAsia="黑体" w:cs="Times New Roman"/>
      <w:b/>
      <w:sz w:val="32"/>
      <w:szCs w:val="24"/>
      <w:lang w:bidi="ar-SA"/>
    </w:rPr>
  </w:style>
  <w:style w:type="character" w:styleId="891" w:customStyle="1">
    <w:name w:val="要点1"/>
    <w:link w:val="660"/>
    <w:uiPriority w:val="0"/>
    <w:qFormat/>
    <w:rPr>
      <w:b/>
    </w:rPr>
  </w:style>
  <w:style w:type="paragraph" w:styleId="892" w:customStyle="1">
    <w:name w:val="标题 41"/>
    <w:basedOn w:val="660"/>
    <w:next w:val="66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3"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4"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5"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6" w:customStyle="1">
    <w:name w:val="Normal_12_0"/>
    <w:uiPriority w:val="0"/>
    <w:qFormat/>
    <w:rPr>
      <w:rFonts w:hint="default" w:ascii="黑体" w:hAnsi="黑体" w:eastAsia="黑体" w:cs="Times New Roman"/>
      <w:b/>
      <w:sz w:val="32"/>
      <w:szCs w:val="24"/>
      <w:lang w:bidi="ar-SA"/>
    </w:rPr>
  </w:style>
  <w:style w:type="paragraph" w:styleId="89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8" w:customStyle="1">
    <w:name w:val="纯文本_0_0"/>
    <w:basedOn w:val="897"/>
    <w:uiPriority w:val="0"/>
    <w:unhideWhenUsed/>
    <w:qFormat/>
    <w:rPr>
      <w:rFonts w:ascii="宋体" w:hAnsi="Courier New"/>
      <w:szCs w:val="21"/>
    </w:rPr>
  </w:style>
  <w:style w:type="paragraph" w:styleId="899"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0" w:customStyle="1">
    <w:name w:val="Normal_13_0"/>
    <w:uiPriority w:val="0"/>
    <w:qFormat/>
    <w:rPr>
      <w:rFonts w:hint="default" w:ascii="黑体" w:hAnsi="黑体" w:eastAsia="黑体" w:cs="Times New Roman"/>
      <w:b/>
      <w:sz w:val="32"/>
      <w:szCs w:val="24"/>
      <w:lang w:bidi="ar-SA"/>
    </w:rPr>
  </w:style>
  <w:style w:type="paragraph" w:styleId="901"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2" w:customStyle="1">
    <w:name w:val="Normal_14_0"/>
    <w:uiPriority w:val="0"/>
    <w:qFormat/>
    <w:rPr>
      <w:rFonts w:hint="default" w:ascii="黑体" w:hAnsi="黑体" w:eastAsia="黑体" w:cs="Times New Roman"/>
      <w:b/>
      <w:sz w:val="32"/>
      <w:szCs w:val="24"/>
      <w:lang w:bidi="ar-SA"/>
    </w:rPr>
  </w:style>
  <w:style w:type="paragraph" w:styleId="903"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Normal_15_0"/>
    <w:uiPriority w:val="0"/>
    <w:qFormat/>
    <w:rPr>
      <w:rFonts w:hint="default" w:ascii="黑体" w:hAnsi="黑体" w:eastAsia="黑体" w:cs="Times New Roman"/>
      <w:b/>
      <w:sz w:val="32"/>
      <w:szCs w:val="24"/>
      <w:lang w:bidi="ar-SA"/>
    </w:rPr>
  </w:style>
  <w:style w:type="paragraph" w:styleId="90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Normal_17_0"/>
    <w:uiPriority w:val="0"/>
    <w:qFormat/>
    <w:rPr>
      <w:rFonts w:hint="default" w:ascii="黑体" w:hAnsi="黑体" w:eastAsia="黑体" w:cs="Times New Roman"/>
      <w:b/>
      <w:sz w:val="32"/>
      <w:szCs w:val="24"/>
      <w:lang w:bidi="ar-SA"/>
    </w:rPr>
  </w:style>
  <w:style w:type="paragraph" w:styleId="908"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Normal_18_0"/>
    <w:uiPriority w:val="0"/>
    <w:qFormat/>
    <w:rPr>
      <w:rFonts w:hint="default" w:ascii="黑体" w:hAnsi="黑体" w:eastAsia="黑体" w:cs="Times New Roman"/>
      <w:b/>
      <w:sz w:val="32"/>
      <w:szCs w:val="24"/>
      <w:lang w:bidi="ar-SA"/>
    </w:rPr>
  </w:style>
  <w:style w:type="paragraph" w:styleId="911"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2" w:customStyle="1">
    <w:name w:val="页脚11"/>
    <w:basedOn w:val="660"/>
    <w:uiPriority w:val="99"/>
    <w:qFormat/>
    <w:pPr>
      <w:jc w:val="left"/>
      <w:tabs>
        <w:tab w:val="center" w:pos="4153" w:leader="none"/>
        <w:tab w:val="right" w:pos="8306" w:leader="none"/>
      </w:tabs>
    </w:pPr>
    <w:rPr>
      <w:rFonts w:ascii="Calibri" w:hAnsi="Calibri"/>
      <w:sz w:val="18"/>
      <w:szCs w:val="18"/>
    </w:rPr>
  </w:style>
  <w:style w:type="numbering" w:styleId="10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lp202</dc:creator>
  <cp:lastModifiedBy>盐城锁</cp:lastModifiedBy>
  <cp:revision>3</cp:revision>
  <dcterms:created xsi:type="dcterms:W3CDTF">2025-11-26T13:31:00Z</dcterms:created>
  <dcterms:modified xsi:type="dcterms:W3CDTF">2026-01-07T05:51:03Z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eyJoZGlkIjoiMzEwNTM5NzYwMDRjMzkwZTVkZjY2ODkwMGIxNGU0OTUiLCJ1c2VySWQiOiIzMjcwMDg0NDkifQ==</vt:lpwstr>
  </property>
  <property fmtid="{D5CDD505-2E9C-101B-9397-08002B2CF9AE}" pid="4" name="ICV">
    <vt:lpwstr>5B48FAD950BC44E9A3C36703575F071C_13</vt:lpwstr>
  </property>
</Properties>
</file>