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eastAsia="黑体"/>
          <w:b/>
          <w:bCs/>
          <w:sz w:val="84"/>
          <w:highlight w:val="none"/>
        </w:rPr>
      </w:pPr>
      <w:r>
        <w:rPr>
          <w:rFonts w:eastAsia="黑体"/>
          <w:b/>
          <w:bCs/>
          <w:sz w:val="84"/>
          <w:highlight w:val="none"/>
        </w:rPr>
      </w:r>
      <w:r/>
    </w:p>
    <w:p>
      <w:pPr>
        <w:pStyle w:val="971"/>
        <w:ind w:firstLine="0"/>
        <w:jc w:val="center"/>
        <w:rPr>
          <w:rFonts w:eastAsia="黑体"/>
          <w:b/>
          <w:bCs/>
          <w:sz w:val="84"/>
          <w:highlight w:val="none"/>
        </w:rPr>
      </w:pPr>
      <w:r>
        <w:rPr>
          <w:rFonts w:hint="eastAsia" w:eastAsia="黑体"/>
          <w:b/>
          <w:bCs/>
          <w:sz w:val="84"/>
          <w:highlight w:val="none"/>
        </w:rPr>
        <w:t xml:space="preserve">招标文件</w:t>
      </w:r>
      <w:r/>
    </w:p>
    <w:p>
      <w:pPr>
        <w:pStyle w:val="971"/>
        <w:ind w:firstLine="2249"/>
        <w:rPr>
          <w:b/>
          <w:bCs/>
          <w:sz w:val="32"/>
          <w:highlight w:val="none"/>
        </w:rPr>
      </w:pPr>
      <w:r>
        <w:rPr>
          <w:b/>
          <w:bCs/>
          <w:sz w:val="32"/>
          <w:highlight w:val="none"/>
        </w:rPr>
      </w:r>
      <w:r/>
    </w:p>
    <w:p>
      <w:pPr>
        <w:pStyle w:val="971"/>
        <w:ind w:firstLine="2249"/>
        <w:rPr>
          <w:b/>
          <w:bCs/>
          <w:spacing w:val="-20"/>
          <w:sz w:val="32"/>
          <w:highlight w:val="none"/>
        </w:rPr>
      </w:pPr>
      <w:r>
        <w:rPr>
          <w:b/>
          <w:bCs/>
          <w:spacing w:val="-20"/>
          <w:sz w:val="32"/>
          <w:highlight w:val="none"/>
        </w:rPr>
      </w:r>
      <w:r/>
    </w:p>
    <w:p>
      <w:pPr>
        <w:pStyle w:val="971"/>
        <w:ind w:firstLine="643"/>
        <w:jc w:val="both"/>
        <w:rPr>
          <w:b/>
          <w:bCs/>
          <w:sz w:val="32"/>
          <w:highlight w:val="none"/>
        </w:rPr>
      </w:pPr>
      <w:r>
        <w:rPr>
          <w:rFonts w:hint="eastAsia"/>
          <w:b/>
          <w:bCs/>
          <w:sz w:val="32"/>
          <w:highlight w:val="none"/>
        </w:rPr>
        <w:t xml:space="preserve">项目名称：</w:t>
      </w:r>
      <w:r>
        <w:rPr>
          <w:rFonts w:hint="eastAsia"/>
          <w:b/>
          <w:bCs/>
          <w:sz w:val="32"/>
          <w:highlight w:val="none"/>
          <w:lang w:eastAsia="zh-CN"/>
        </w:rPr>
        <w:t xml:space="preserve">宝应县人民医院院前急救信息平台</w:t>
      </w:r>
      <w:r>
        <w:rPr>
          <w:rFonts w:hint="eastAsia"/>
          <w:b/>
          <w:bCs/>
          <w:sz w:val="32"/>
          <w:highlight w:val="none"/>
        </w:rPr>
        <w:t xml:space="preserve">采购项目</w:t>
      </w:r>
      <w:r/>
    </w:p>
    <w:p>
      <w:pPr>
        <w:ind w:firstLine="643"/>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JSZC-321023-SHGK-G2025-0163</w:t>
      </w:r>
      <w:r/>
    </w:p>
    <w:p>
      <w:pPr>
        <w:pStyle w:val="678"/>
        <w:rPr>
          <w:color w:val="auto"/>
          <w:highlight w:val="none"/>
        </w:rPr>
      </w:pPr>
      <w:r>
        <w:rPr>
          <w:color w:val="auto"/>
          <w:highlight w:val="none"/>
        </w:rPr>
      </w:r>
      <w:r/>
    </w:p>
    <w:p>
      <w:pPr>
        <w:pStyle w:val="971"/>
        <w:ind w:firstLine="643"/>
        <w:rPr>
          <w:rFonts w:hint="eastAsia" w:eastAsia="宋体"/>
          <w:b/>
          <w:bCs/>
          <w:sz w:val="32"/>
          <w:highlight w:val="none"/>
          <w:lang w:eastAsia="zh-CN"/>
        </w:rPr>
      </w:pPr>
      <w:r>
        <w:rPr>
          <w:rFonts w:hint="eastAsia"/>
          <w:b/>
          <w:bCs/>
          <w:sz w:val="32"/>
          <w:highlight w:val="none"/>
        </w:rPr>
        <w:t xml:space="preserve">代理机构编号：</w:t>
      </w:r>
      <w:r>
        <w:rPr>
          <w:rFonts w:hint="eastAsia" w:ascii="宋体" w:hAnsi="宋体"/>
          <w:b/>
          <w:bCs/>
          <w:sz w:val="32"/>
          <w:highlight w:val="none"/>
          <w:lang w:eastAsia="zh-CN"/>
        </w:rPr>
        <w:t xml:space="preserve">1214-254111530WDX</w:t>
      </w:r>
      <w:r/>
    </w:p>
    <w:p>
      <w:pPr>
        <w:pStyle w:val="971"/>
        <w:ind w:firstLine="643"/>
        <w:rPr>
          <w:b/>
          <w:bCs/>
          <w:sz w:val="32"/>
          <w:highlight w:val="none"/>
        </w:rPr>
      </w:pPr>
      <w:r>
        <w:rPr>
          <w:b/>
          <w:bCs/>
          <w:sz w:val="32"/>
          <w:highlight w:val="none"/>
        </w:rPr>
      </w:r>
      <w:r/>
    </w:p>
    <w:p>
      <w:pPr>
        <w:pStyle w:val="971"/>
        <w:ind w:firstLine="0"/>
        <w:spacing w:before="0" w:after="0"/>
        <w:rPr>
          <w:rFonts w:ascii="宋体" w:hAnsi="宋体"/>
          <w:highlight w:val="none"/>
        </w:rPr>
      </w:pPr>
      <w:r>
        <w:rPr>
          <w:rFonts w:ascii="宋体" w:hAnsi="宋体"/>
          <w:highlight w:val="none"/>
        </w:rPr>
      </w:r>
      <w:r/>
    </w:p>
    <w:p>
      <w:pPr>
        <w:pStyle w:val="971"/>
        <w:ind w:firstLine="0"/>
        <w:spacing w:before="0" w:after="0"/>
        <w:rPr>
          <w:rFonts w:ascii="宋体" w:hAnsi="宋体"/>
          <w:highlight w:val="none"/>
        </w:rPr>
      </w:pPr>
      <w:r>
        <w:rPr>
          <w:rFonts w:ascii="宋体" w:hAnsi="宋体"/>
          <w:highlight w:val="none"/>
        </w:rPr>
      </w:r>
      <w:r/>
    </w:p>
    <w:p>
      <w:pPr>
        <w:pStyle w:val="971"/>
        <w:ind w:firstLine="0"/>
        <w:spacing w:before="0" w:after="0"/>
        <w:rPr>
          <w:rFonts w:ascii="宋体" w:hAnsi="宋体"/>
          <w:highlight w:val="none"/>
        </w:rPr>
      </w:pPr>
      <w:r>
        <w:rPr>
          <w:rFonts w:ascii="宋体" w:hAnsi="宋体"/>
          <w:highlight w:val="none"/>
        </w:rPr>
      </w:r>
      <w:r/>
    </w:p>
    <w:p>
      <w:pPr>
        <w:pStyle w:val="971"/>
        <w:ind w:firstLine="0"/>
        <w:spacing w:before="0" w:after="0"/>
        <w:rPr>
          <w:rFonts w:ascii="宋体" w:hAnsi="宋体"/>
          <w:highlight w:val="none"/>
        </w:rPr>
      </w:pPr>
      <w:r>
        <w:rPr>
          <w:rFonts w:ascii="宋体" w:hAnsi="宋体"/>
          <w:highlight w:val="none"/>
        </w:rPr>
      </w:r>
      <w:r/>
    </w:p>
    <w:p>
      <w:pPr>
        <w:jc w:val="center"/>
        <w:spacing w:before="120" w:after="120" w:line="360" w:lineRule="auto"/>
        <w:rPr>
          <w:rFonts w:ascii="宋体" w:hAnsi="宋体" w:cs="宋体"/>
          <w:b/>
          <w:bCs/>
          <w:sz w:val="32"/>
          <w:szCs w:val="24"/>
          <w:highlight w:val="none"/>
        </w:rPr>
      </w:pPr>
      <w:r>
        <w:rPr>
          <w:rFonts w:hint="eastAsia" w:ascii="宋体" w:hAnsi="宋体" w:cs="宋体"/>
          <w:b/>
          <w:bCs/>
          <w:sz w:val="32"/>
          <w:szCs w:val="24"/>
          <w:highlight w:val="none"/>
        </w:rPr>
        <w:t xml:space="preserve">江苏苏豪创新科技集团高科有限公司</w:t>
      </w:r>
      <w:r/>
    </w:p>
    <w:p>
      <w:pPr>
        <w:pStyle w:val="971"/>
        <w:ind w:firstLine="0"/>
        <w:jc w:val="center"/>
        <w:rPr>
          <w:b/>
          <w:bCs/>
          <w:sz w:val="32"/>
          <w:highlight w:val="none"/>
        </w:rPr>
      </w:pPr>
      <w:r>
        <w:rPr>
          <w:rFonts w:hint="eastAsia" w:ascii="宋体" w:hAnsi="宋体" w:cs="宋体"/>
          <w:b/>
          <w:bCs/>
          <w:sz w:val="32"/>
          <w:highlight w:val="none"/>
        </w:rPr>
        <w:t xml:space="preserve">2025年</w:t>
      </w:r>
      <w:r>
        <w:rPr>
          <w:rFonts w:hint="eastAsia" w:ascii="宋体" w:hAnsi="宋体" w:cs="宋体"/>
          <w:b/>
          <w:bCs/>
          <w:sz w:val="32"/>
          <w:highlight w:val="none"/>
          <w:lang w:val="en-US" w:eastAsia="zh-CN"/>
        </w:rPr>
        <w:t xml:space="preserve">12</w:t>
      </w:r>
      <w:r>
        <w:rPr>
          <w:rFonts w:hint="eastAsia" w:ascii="宋体" w:hAnsi="宋体" w:cs="宋体"/>
          <w:b/>
          <w:bCs/>
          <w:sz w:val="32"/>
          <w:highlight w:val="none"/>
        </w:rPr>
        <w:t xml:space="preserve">月</w:t>
      </w:r>
      <w:r/>
    </w:p>
    <w:p>
      <w:pPr>
        <w:pStyle w:val="971"/>
        <w:ind w:firstLine="0"/>
        <w:rPr>
          <w:highlight w:val="none"/>
          <w:u w:val="single"/>
        </w:rPr>
      </w:pPr>
      <w:r>
        <w:rPr>
          <w:rFonts w:hint="eastAsia"/>
          <w:highlight w:val="none"/>
        </w:rPr>
        <w:t xml:space="preserve">                        </w:t>
      </w:r>
      <w:r/>
    </w:p>
    <w:p>
      <w:pPr>
        <w:pStyle w:val="971"/>
        <w:ind w:firstLine="0"/>
        <w:jc w:val="center"/>
        <w:rPr>
          <w:highlight w:val="none"/>
        </w:rPr>
      </w:pPr>
      <w:r>
        <w:rPr>
          <w:highlight w:val="none"/>
        </w:rPr>
      </w:r>
      <w:r/>
    </w:p>
    <w:p>
      <w:pPr>
        <w:jc w:val="center"/>
        <w:spacing w:line="480" w:lineRule="auto"/>
        <w:rPr>
          <w:rFonts w:ascii="黑体" w:hAnsi="Arial" w:eastAsia="黑体"/>
          <w:b/>
          <w:sz w:val="44"/>
          <w:highlight w:val="none"/>
        </w:rPr>
        <w:outlineLvl w:val="0"/>
      </w:pPr>
      <w:r>
        <w:rPr>
          <w:highlight w:val="none"/>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ascii="仿宋_GB2312" w:hAnsi="Arial" w:eastAsia="仿宋_GB2312"/>
          <w:b/>
          <w:sz w:val="28"/>
          <w:highlight w:val="none"/>
        </w:rPr>
      </w:pPr>
      <w:r>
        <w:rPr>
          <w:rFonts w:ascii="仿宋_GB2312" w:hAnsi="Arial" w:eastAsia="仿宋_GB2312"/>
          <w:b/>
          <w:sz w:val="28"/>
          <w:highlight w:val="none"/>
        </w:rPr>
      </w:r>
      <w:r/>
    </w:p>
    <w:p>
      <w:pPr>
        <w:numPr>
          <w:ilvl w:val="0"/>
          <w:numId w:val="6"/>
        </w:numPr>
        <w:spacing w:line="480" w:lineRule="auto"/>
        <w:rPr>
          <w:rFonts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 </w:t>
      </w:r>
      <w:r>
        <w:rPr>
          <w:rFonts w:ascii="黑体" w:hAnsi="Showcard Gothic" w:eastAsia="黑体"/>
          <w:sz w:val="36"/>
          <w:highlight w:val="none"/>
        </w:rPr>
        <w:t xml:space="preserve">3</w:t>
      </w:r>
      <w:r/>
    </w:p>
    <w:p>
      <w:pPr>
        <w:numPr>
          <w:ilvl w:val="0"/>
          <w:numId w:val="6"/>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 </w:t>
      </w:r>
      <w:r>
        <w:rPr>
          <w:rFonts w:ascii="黑体" w:hAnsi="Showcard Gothic" w:eastAsia="黑体"/>
          <w:sz w:val="36"/>
          <w:highlight w:val="none"/>
        </w:rPr>
        <w:t xml:space="preserve">6</w:t>
      </w:r>
      <w:r/>
    </w:p>
    <w:p>
      <w:pPr>
        <w:numPr>
          <w:ilvl w:val="0"/>
          <w:numId w:val="6"/>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rFonts w:ascii="黑体" w:hAnsi="Showcard Gothic" w:eastAsia="黑体"/>
          <w:sz w:val="36"/>
          <w:highlight w:val="none"/>
        </w:rPr>
        <w:t xml:space="preserve"> </w:t>
      </w:r>
      <w:r>
        <w:rPr>
          <w:rFonts w:hint="eastAsia" w:ascii="黑体" w:hAnsi="Showcard Gothic" w:eastAsia="黑体"/>
          <w:sz w:val="36"/>
          <w:highlight w:val="none"/>
        </w:rPr>
        <w:t xml:space="preserve">1</w:t>
      </w:r>
      <w:r>
        <w:rPr>
          <w:rFonts w:ascii="黑体" w:hAnsi="Showcard Gothic" w:eastAsia="黑体"/>
          <w:sz w:val="36"/>
          <w:highlight w:val="none"/>
        </w:rPr>
        <w:t xml:space="preserve">6</w:t>
      </w:r>
      <w:r/>
    </w:p>
    <w:p>
      <w:pPr>
        <w:numPr>
          <w:ilvl w:val="0"/>
          <w:numId w:val="6"/>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 2</w:t>
      </w:r>
      <w:r>
        <w:rPr>
          <w:rFonts w:ascii="黑体" w:hAnsi="Showcard Gothic" w:eastAsia="黑体"/>
          <w:sz w:val="36"/>
          <w:highlight w:val="none"/>
        </w:rPr>
        <w:t xml:space="preserve">1</w:t>
      </w:r>
      <w:r/>
    </w:p>
    <w:p>
      <w:pPr>
        <w:numPr>
          <w:ilvl w:val="0"/>
          <w:numId w:val="6"/>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 </w:t>
      </w:r>
      <w:r>
        <w:rPr>
          <w:rFonts w:ascii="黑体" w:hAnsi="Showcard Gothic" w:eastAsia="黑体"/>
          <w:sz w:val="36"/>
          <w:highlight w:val="none"/>
        </w:rPr>
        <w:t xml:space="preserve">29</w:t>
      </w:r>
      <w:r/>
    </w:p>
    <w:p>
      <w:pPr>
        <w:numPr>
          <w:ilvl w:val="0"/>
          <w:numId w:val="6"/>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 </w:t>
      </w:r>
      <w:r>
        <w:rPr>
          <w:rFonts w:ascii="黑体" w:hAnsi="Showcard Gothic" w:eastAsia="黑体"/>
          <w:sz w:val="36"/>
          <w:highlight w:val="none"/>
        </w:rPr>
        <w:t xml:space="preserve">38</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10"/>
        <w:rPr>
          <w:rFonts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rPr>
          <w:rFonts w:ascii="宋体" w:hAnsi="宋体"/>
          <w:sz w:val="24"/>
          <w:szCs w:val="24"/>
          <w:highlight w:val="none"/>
        </w:rPr>
      </w:pPr>
      <w:r>
        <w:rPr>
          <w:rFonts w:hint="eastAsia" w:ascii="宋体" w:hAnsi="宋体"/>
          <w:sz w:val="24"/>
          <w:szCs w:val="24"/>
          <w:highlight w:val="none"/>
        </w:rPr>
        <w:t xml:space="preserve">受[宝应县人民医院]的委托，江苏苏豪创新科技集团高科有限公司就[</w:t>
      </w:r>
      <w:bookmarkStart w:id="6" w:name="OLE_LINK4"/>
      <w:r>
        <w:rPr>
          <w:rFonts w:hint="eastAsia" w:ascii="宋体" w:hAnsi="宋体"/>
          <w:sz w:val="24"/>
          <w:szCs w:val="24"/>
          <w:highlight w:val="none"/>
          <w:lang w:eastAsia="zh-CN"/>
        </w:rPr>
        <w:t xml:space="preserve">宝应县人民医院院前急救信息平台</w:t>
      </w:r>
      <w:r>
        <w:rPr>
          <w:rFonts w:hint="eastAsia" w:ascii="宋体" w:hAnsi="宋体"/>
          <w:sz w:val="24"/>
          <w:szCs w:val="24"/>
          <w:highlight w:val="none"/>
        </w:rPr>
        <w:t xml:space="preserve">采购项目</w:t>
      </w:r>
      <w:bookmarkEnd w:id="6"/>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JSZC-321023-SHGK-G2025-0163</w:t>
      </w:r>
      <w:r>
        <w:rPr>
          <w:rFonts w:hint="eastAsia" w:ascii="宋体" w:hAnsi="宋体"/>
          <w:sz w:val="24"/>
          <w:szCs w:val="24"/>
          <w:highlight w:val="none"/>
        </w:rPr>
        <w:t xml:space="preserve">)项目进行公开招标采购，欢迎符合条件的供应商投标。</w:t>
      </w:r>
      <w:r/>
    </w:p>
    <w:p>
      <w:pPr>
        <w:ind w:firstLine="480"/>
        <w:rPr>
          <w:rFonts w:ascii="宋体" w:hAnsi="宋体"/>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sz w:val="24"/>
          <w:szCs w:val="24"/>
          <w:highlight w:val="none"/>
        </w:rPr>
        <w:t xml:space="preserve">(</w:t>
      </w:r>
      <w:r>
        <w:rPr>
          <w:rFonts w:hint="eastAsia" w:ascii="宋体" w:hAnsi="宋体"/>
          <w:sz w:val="24"/>
          <w:szCs w:val="24"/>
          <w:highlight w:val="none"/>
          <w:lang w:eastAsia="zh-CN"/>
        </w:rPr>
        <w:t xml:space="preserve">宝应县人民医院院前急救信息平台</w:t>
      </w:r>
      <w:r>
        <w:rPr>
          <w:rFonts w:hint="eastAsia" w:ascii="宋体" w:hAnsi="宋体"/>
          <w:sz w:val="24"/>
          <w:szCs w:val="24"/>
          <w:highlight w:val="none"/>
        </w:rPr>
        <w:t xml:space="preserve">采购项目</w:t>
      </w:r>
      <w:r>
        <w:rPr>
          <w:rFonts w:ascii="宋体" w:hAnsi="宋体"/>
          <w:sz w:val="24"/>
          <w:szCs w:val="24"/>
          <w:highlight w:val="none"/>
        </w:rPr>
        <w:t xml:space="preserve">)</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“江苏政府采购网、扬州市政府采购网”自行免费下载</w:t>
      </w:r>
      <w:r>
        <w:rPr>
          <w:rFonts w:hint="eastAsia" w:ascii="宋体" w:hAnsi="宋体"/>
          <w:sz w:val="24"/>
          <w:szCs w:val="24"/>
          <w:highlight w:val="none"/>
        </w:rPr>
        <w:t xml:space="preserve">招标文件，并于</w:t>
      </w:r>
      <w:bookmarkStart w:id="85" w:name="_GoBack"/>
      <w:r>
        <w:rPr>
          <w:highlight w:val="none"/>
        </w:rPr>
      </w:r>
      <w:bookmarkEnd w:id="85"/>
      <w:r>
        <w:rPr>
          <w:rFonts w:hint="eastAsia" w:ascii="宋体" w:hAnsi="宋体" w:cs="宋体"/>
          <w:sz w:val="24"/>
          <w:szCs w:val="24"/>
          <w:highlight w:val="none"/>
          <w:u w:val="single"/>
          <w:lang w:eastAsia="zh-CN"/>
        </w:rPr>
        <w:t xml:space="preserve">2026年1月12日14时整</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78"/>
        <w:ind w:firstLine="498"/>
        <w:spacing w:before="145" w:after="145" w:line="360" w:lineRule="auto"/>
        <w:rPr>
          <w:highlight w:val="none"/>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highlight w:val="none"/>
        </w:rPr>
        <w:t xml:space="preserve">一、项目基本情况</w:t>
      </w:r>
      <w:bookmarkEnd w:id="7"/>
      <w:r/>
      <w:bookmarkEnd w:id="8"/>
      <w:r/>
      <w:bookmarkEnd w:id="9"/>
      <w:r/>
      <w:bookmarkEnd w:id="10"/>
      <w:r/>
      <w:bookmarkEnd w:id="11"/>
      <w:r/>
      <w:r/>
    </w:p>
    <w:p>
      <w:pPr>
        <w:ind w:firstLine="480"/>
        <w:rPr>
          <w:rFonts w:ascii="宋体" w:hAnsi="宋体"/>
          <w:sz w:val="24"/>
          <w:szCs w:val="24"/>
          <w:highlight w:val="none"/>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JSZC-321023-SHGK-G2025-0163</w:t>
      </w:r>
      <w:r/>
    </w:p>
    <w:p>
      <w:pPr>
        <w:ind w:firstLine="480"/>
        <w:rPr>
          <w:rFonts w:ascii="宋体" w:hAnsi="宋体"/>
          <w:sz w:val="24"/>
          <w:szCs w:val="24"/>
          <w:highlight w:val="none"/>
        </w:rPr>
      </w:pPr>
      <w:r>
        <w:rPr>
          <w:rFonts w:hint="eastAsia" w:ascii="宋体" w:hAnsi="宋体"/>
          <w:sz w:val="24"/>
          <w:szCs w:val="24"/>
          <w:highlight w:val="none"/>
        </w:rPr>
        <w:t xml:space="preserve">2.项目名称：</w:t>
      </w:r>
      <w:bookmarkEnd w:id="12"/>
      <w:r>
        <w:rPr>
          <w:rFonts w:hint="eastAsia" w:ascii="宋体" w:hAnsi="宋体"/>
          <w:sz w:val="24"/>
          <w:szCs w:val="24"/>
          <w:highlight w:val="none"/>
          <w:lang w:eastAsia="zh-CN"/>
        </w:rPr>
        <w:t xml:space="preserve">宝应县人民医院院前急救信息平台</w:t>
      </w:r>
      <w:r>
        <w:rPr>
          <w:rFonts w:hint="eastAsia" w:ascii="宋体" w:hAnsi="宋体"/>
          <w:sz w:val="24"/>
          <w:szCs w:val="24"/>
          <w:highlight w:val="none"/>
        </w:rPr>
        <w:t xml:space="preserve">采购项目</w:t>
      </w:r>
      <w:r/>
    </w:p>
    <w:p>
      <w:pPr>
        <w:ind w:firstLine="480"/>
        <w:rPr>
          <w:rFonts w:ascii="宋体" w:hAnsi="宋体"/>
          <w:sz w:val="24"/>
          <w:szCs w:val="24"/>
          <w:highlight w:val="none"/>
        </w:rPr>
      </w:pPr>
      <w:r>
        <w:rPr>
          <w:rFonts w:hint="eastAsia" w:ascii="宋体" w:hAnsi="宋体"/>
          <w:sz w:val="24"/>
          <w:szCs w:val="24"/>
          <w:highlight w:val="none"/>
        </w:rPr>
        <w:t xml:space="preserve">3.预算金额：</w:t>
      </w:r>
      <w:r>
        <w:rPr>
          <w:rFonts w:ascii="宋体" w:hAnsi="宋体" w:cs="宋体"/>
          <w:sz w:val="24"/>
          <w:szCs w:val="24"/>
          <w:highlight w:val="none"/>
        </w:rPr>
        <w:t xml:space="preserve">260</w:t>
      </w:r>
      <w:r>
        <w:rPr>
          <w:rFonts w:hint="eastAsia" w:ascii="宋体" w:hAnsi="宋体" w:cs="宋体"/>
          <w:sz w:val="24"/>
          <w:szCs w:val="24"/>
          <w:highlight w:val="none"/>
        </w:rPr>
        <w:t xml:space="preserve">万元</w:t>
      </w:r>
      <w:r/>
    </w:p>
    <w:p>
      <w:pPr>
        <w:ind w:firstLine="480"/>
        <w:rPr>
          <w:rFonts w:ascii="宋体" w:hAnsi="宋体" w:cs="宋体"/>
          <w:sz w:val="24"/>
          <w:szCs w:val="24"/>
          <w:highlight w:val="none"/>
        </w:rPr>
      </w:pPr>
      <w:r>
        <w:rPr>
          <w:rFonts w:hint="eastAsia" w:ascii="宋体" w:hAnsi="宋体"/>
          <w:sz w:val="24"/>
          <w:szCs w:val="24"/>
          <w:highlight w:val="none"/>
        </w:rPr>
        <w:t xml:space="preserve">4.本项目设定最高限价，最高限价为</w:t>
      </w:r>
      <w:r>
        <w:rPr>
          <w:rFonts w:ascii="宋体" w:hAnsi="宋体" w:cs="宋体"/>
          <w:sz w:val="24"/>
          <w:szCs w:val="24"/>
          <w:highlight w:val="none"/>
        </w:rPr>
        <w:t xml:space="preserve">26</w:t>
      </w:r>
      <w:r>
        <w:rPr>
          <w:rFonts w:hint="eastAsia" w:ascii="宋体" w:hAnsi="宋体" w:cs="宋体"/>
          <w:sz w:val="24"/>
          <w:szCs w:val="24"/>
          <w:highlight w:val="none"/>
        </w:rPr>
        <w:t xml:space="preserve">0万元</w:t>
      </w:r>
      <w:r/>
    </w:p>
    <w:p>
      <w:pPr>
        <w:ind w:firstLine="480"/>
        <w:rPr>
          <w:rFonts w:ascii="宋体" w:hAnsi="宋体"/>
          <w:sz w:val="24"/>
          <w:szCs w:val="24"/>
          <w:highlight w:val="none"/>
        </w:rPr>
      </w:pPr>
      <w:r>
        <w:rPr>
          <w:rFonts w:hint="eastAsia" w:ascii="宋体" w:hAnsi="宋体"/>
          <w:sz w:val="24"/>
          <w:szCs w:val="24"/>
          <w:highlight w:val="none"/>
        </w:rPr>
        <w:t xml:space="preserve">5.采购需求（简介）：</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3376"/>
        <w:gridCol w:w="1121"/>
        <w:gridCol w:w="1997"/>
        <w:gridCol w:w="1571"/>
      </w:tblGrid>
      <w:tr>
        <w:trPr>
          <w:jc w:val="center"/>
          <w:trHeight w:val="321"/>
        </w:trPr>
        <w:tc>
          <w:tcPr>
            <w:tcW w:w="872" w:type="dxa"/>
            <w:vAlign w:val="center"/>
            <w:textDirection w:val="lrTb"/>
            <w:noWrap w:val="false"/>
          </w:tcPr>
          <w:p>
            <w:pPr>
              <w:jc w:val="center"/>
              <w:rPr>
                <w:rFonts w:ascii="宋体" w:hAnsi="宋体" w:cs="宋体"/>
                <w:b/>
                <w:sz w:val="24"/>
                <w:szCs w:val="24"/>
                <w:highlight w:val="none"/>
              </w:rPr>
            </w:pPr>
            <w:r/>
            <w:bookmarkStart w:id="13" w:name="OLE_LINK1"/>
            <w:r/>
            <w:bookmarkStart w:id="14" w:name="OLE_LINK2"/>
            <w:r>
              <w:rPr>
                <w:rFonts w:hint="eastAsia" w:ascii="宋体" w:hAnsi="宋体" w:cs="宋体"/>
                <w:b/>
                <w:sz w:val="24"/>
                <w:szCs w:val="24"/>
                <w:highlight w:val="none"/>
              </w:rPr>
              <w:t xml:space="preserve">序号</w:t>
            </w:r>
            <w:r/>
          </w:p>
        </w:tc>
        <w:tc>
          <w:tcPr>
            <w:tcW w:w="3376"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lang w:val="en-US" w:eastAsia="zh-CN"/>
              </w:rPr>
              <w:t xml:space="preserve">货物</w:t>
            </w:r>
            <w:r>
              <w:rPr>
                <w:rFonts w:hint="eastAsia" w:ascii="宋体" w:hAnsi="宋体" w:cs="宋体"/>
                <w:b/>
                <w:sz w:val="24"/>
                <w:szCs w:val="24"/>
                <w:highlight w:val="none"/>
              </w:rPr>
              <w:t xml:space="preserve">名称</w:t>
            </w:r>
            <w:r/>
          </w:p>
        </w:tc>
        <w:tc>
          <w:tcPr>
            <w:tcW w:w="1121"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数量</w:t>
            </w:r>
            <w:r/>
          </w:p>
        </w:tc>
        <w:tc>
          <w:tcPr>
            <w:tcW w:w="1997"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采购预算</w:t>
            </w:r>
            <w:r/>
          </w:p>
          <w:p>
            <w:pPr>
              <w:jc w:val="center"/>
              <w:rPr>
                <w:rFonts w:ascii="宋体" w:hAnsi="宋体" w:cs="宋体"/>
                <w:b/>
                <w:sz w:val="24"/>
                <w:szCs w:val="24"/>
                <w:highlight w:val="none"/>
              </w:rPr>
            </w:pPr>
            <w:r>
              <w:rPr>
                <w:rFonts w:hint="eastAsia" w:ascii="宋体" w:hAnsi="宋体" w:cs="宋体"/>
                <w:b/>
                <w:sz w:val="24"/>
                <w:szCs w:val="24"/>
                <w:highlight w:val="none"/>
              </w:rPr>
              <w:t xml:space="preserve">（万元人民币）</w:t>
            </w:r>
            <w:r/>
          </w:p>
        </w:tc>
        <w:tc>
          <w:tcPr>
            <w:tcW w:w="1571"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是否接受进口产品投标</w:t>
            </w:r>
            <w:r/>
          </w:p>
        </w:tc>
      </w:tr>
      <w:tr>
        <w:trPr>
          <w:jc w:val="center"/>
          <w:trHeight w:val="270"/>
        </w:trPr>
        <w:tc>
          <w:tcPr>
            <w:tcW w:w="87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3376"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sz w:val="24"/>
                <w:szCs w:val="24"/>
                <w:highlight w:val="none"/>
              </w:rPr>
              <w:t xml:space="preserve">院前急救信息</w:t>
            </w:r>
            <w:r>
              <w:rPr>
                <w:rFonts w:hint="eastAsia" w:ascii="宋体" w:hAnsi="宋体"/>
                <w:sz w:val="24"/>
                <w:szCs w:val="24"/>
                <w:highlight w:val="none"/>
                <w:lang w:val="en-US" w:eastAsia="zh-CN"/>
              </w:rPr>
              <w:t xml:space="preserve">平台</w:t>
            </w:r>
            <w:r/>
          </w:p>
        </w:tc>
        <w:tc>
          <w:tcPr>
            <w:tcW w:w="1121" w:type="dxa"/>
            <w:vAlign w:val="center"/>
            <w:textDirection w:val="lrTb"/>
            <w:noWrap w:val="false"/>
          </w:tcPr>
          <w:p>
            <w:pPr>
              <w:jc w:val="center"/>
              <w:rPr>
                <w:rFonts w:ascii="宋体" w:hAnsi="宋体" w:cs="宋体"/>
                <w:sz w:val="24"/>
                <w:szCs w:val="24"/>
                <w:highlight w:val="none"/>
              </w:rPr>
            </w:pPr>
            <w:r>
              <w:rPr>
                <w:rFonts w:hint="eastAsia"/>
                <w:spacing w:val="-5"/>
                <w:sz w:val="24"/>
                <w:highlight w:val="none"/>
              </w:rPr>
              <w:t xml:space="preserve">1套</w:t>
            </w:r>
            <w:r/>
          </w:p>
        </w:tc>
        <w:tc>
          <w:tcPr>
            <w:tcW w:w="1997"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260</w:t>
            </w:r>
            <w:r/>
          </w:p>
        </w:tc>
        <w:tc>
          <w:tcPr>
            <w:tcW w:w="157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不接受</w:t>
            </w:r>
            <w:bookmarkEnd w:id="13"/>
            <w:bookmarkEnd w:id="14"/>
            <w:r/>
          </w:p>
        </w:tc>
      </w:tr>
    </w:tbl>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hint="eastAsia" w:ascii="宋体" w:hAnsi="宋体"/>
          <w:sz w:val="24"/>
          <w:szCs w:val="24"/>
          <w:highlight w:val="none"/>
        </w:rPr>
        <w:t xml:space="preserve">6.合同履行期限：以签订合同为准</w:t>
      </w:r>
      <w:r/>
    </w:p>
    <w:p>
      <w:pPr>
        <w:pStyle w:val="878"/>
        <w:ind w:firstLine="498"/>
        <w:spacing w:before="145" w:after="145" w:line="360" w:lineRule="auto"/>
        <w:rPr>
          <w:highlight w:val="none"/>
        </w:rPr>
      </w:pPr>
      <w:r/>
      <w:bookmarkStart w:id="15" w:name="_Toc28359080"/>
      <w:r/>
      <w:bookmarkStart w:id="16" w:name="_Toc35393791"/>
      <w:r/>
      <w:bookmarkStart w:id="17" w:name="_Toc38985264"/>
      <w:r/>
      <w:bookmarkStart w:id="18" w:name="_Toc28359003"/>
      <w:r/>
      <w:bookmarkStart w:id="19" w:name="_Toc35393622"/>
      <w:r>
        <w:rPr>
          <w:rFonts w:hint="eastAsia"/>
          <w:highlight w:val="none"/>
        </w:rPr>
        <w:t xml:space="preserve">二、申请人的资格要求：</w:t>
      </w:r>
      <w:bookmarkEnd w:id="15"/>
      <w:r/>
      <w:bookmarkEnd w:id="16"/>
      <w:r/>
      <w:bookmarkEnd w:id="17"/>
      <w:r/>
      <w:bookmarkEnd w:id="18"/>
      <w:r/>
      <w:bookmarkEnd w:id="19"/>
      <w:r/>
      <w:r/>
    </w:p>
    <w:p>
      <w:pPr>
        <w:ind w:firstLine="480"/>
        <w:spacing w:line="360" w:lineRule="auto"/>
        <w:rPr>
          <w:rFonts w:ascii="宋体" w:hAnsi="宋体"/>
          <w:sz w:val="24"/>
          <w:szCs w:val="24"/>
          <w:highlight w:val="none"/>
        </w:rPr>
      </w:pPr>
      <w:r/>
      <w:bookmarkStart w:id="20" w:name="_Toc28359081"/>
      <w:r/>
      <w:bookmarkStart w:id="21" w:name="_Toc35393792"/>
      <w:r/>
      <w:bookmarkStart w:id="22" w:name="_Toc35393623"/>
      <w:r/>
      <w:bookmarkStart w:id="23" w:name="_Toc38985265"/>
      <w:r/>
      <w:bookmarkStart w:id="24"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360" w:lineRule="auto"/>
        <w:rPr>
          <w:rFonts w:ascii="宋体" w:hAnsi="宋体"/>
          <w:i/>
          <w:sz w:val="24"/>
          <w:szCs w:val="24"/>
          <w:highlight w:val="none"/>
          <w:u w:val="single"/>
        </w:rPr>
      </w:pPr>
      <w:r>
        <w:rPr>
          <w:rFonts w:hint="eastAsia" w:ascii="宋体" w:hAnsi="宋体"/>
          <w:i/>
          <w:sz w:val="24"/>
          <w:szCs w:val="24"/>
          <w:highlight w:val="none"/>
          <w:u w:val="single"/>
        </w:rPr>
        <w:t xml:space="preserve">1.满足《中华人民共和国政府采购法》第二十二条规定，并提供下列材料：</w:t>
      </w:r>
      <w:r/>
    </w:p>
    <w:p>
      <w:pPr>
        <w:ind w:firstLine="480"/>
        <w:spacing w:line="360" w:lineRule="auto"/>
        <w:rPr>
          <w:rFonts w:ascii="宋体" w:hAnsi="宋体"/>
          <w:i/>
          <w:sz w:val="24"/>
          <w:szCs w:val="24"/>
          <w:highlight w:val="none"/>
          <w:u w:val="single"/>
        </w:rPr>
      </w:pPr>
      <w:r>
        <w:rPr>
          <w:rFonts w:hint="eastAsia" w:ascii="宋体" w:hAnsi="宋体"/>
          <w:i/>
          <w:sz w:val="24"/>
          <w:szCs w:val="24"/>
          <w:highlight w:val="none"/>
          <w:u w:val="single"/>
        </w:rPr>
        <w:t xml:space="preserve">1.1 法人或者其他组织的营业执照等证明文件，自然人的身份证明；</w:t>
      </w:r>
      <w:r/>
    </w:p>
    <w:p>
      <w:pPr>
        <w:ind w:firstLine="480"/>
        <w:spacing w:line="360" w:lineRule="auto"/>
        <w:rPr>
          <w:rFonts w:ascii="宋体" w:hAnsi="宋体"/>
          <w:i/>
          <w:sz w:val="24"/>
          <w:szCs w:val="24"/>
          <w:highlight w:val="none"/>
          <w:u w:val="single"/>
        </w:rPr>
      </w:pPr>
      <w:r>
        <w:rPr>
          <w:rFonts w:hint="eastAsia" w:ascii="宋体" w:hAnsi="宋体"/>
          <w:i/>
          <w:sz w:val="24"/>
          <w:szCs w:val="24"/>
          <w:highlight w:val="none"/>
          <w:u w:val="single"/>
        </w:rPr>
        <w:t xml:space="preserve">1.2上一年度的财务状况报告（成立不满一年无需提供）；</w:t>
      </w:r>
      <w:r/>
    </w:p>
    <w:p>
      <w:pPr>
        <w:ind w:firstLine="480"/>
        <w:spacing w:line="360" w:lineRule="auto"/>
        <w:rPr>
          <w:rFonts w:ascii="宋体" w:hAnsi="宋体"/>
          <w:i/>
          <w:sz w:val="24"/>
          <w:szCs w:val="24"/>
          <w:highlight w:val="none"/>
          <w:u w:val="single"/>
        </w:rPr>
      </w:pPr>
      <w:r>
        <w:rPr>
          <w:rFonts w:hint="eastAsia" w:ascii="宋体" w:hAnsi="宋体"/>
          <w:i/>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i/>
          <w:sz w:val="24"/>
          <w:szCs w:val="24"/>
          <w:highlight w:val="none"/>
          <w:u w:val="single"/>
        </w:rPr>
      </w:pPr>
      <w:r>
        <w:rPr>
          <w:rFonts w:hint="eastAsia" w:ascii="宋体" w:hAnsi="宋体"/>
          <w:i/>
          <w:sz w:val="24"/>
          <w:szCs w:val="24"/>
          <w:highlight w:val="none"/>
          <w:u w:val="single"/>
        </w:rPr>
        <w:t xml:space="preserve">1.4具备履行合同所必需的设备和专业技术能力的书面声明；</w:t>
      </w:r>
      <w:r/>
    </w:p>
    <w:p>
      <w:pPr>
        <w:ind w:firstLine="480"/>
        <w:spacing w:line="360" w:lineRule="auto"/>
        <w:rPr>
          <w:rFonts w:ascii="宋体" w:hAnsi="宋体"/>
          <w:i/>
          <w:sz w:val="24"/>
          <w:szCs w:val="24"/>
          <w:highlight w:val="none"/>
          <w:u w:val="single"/>
        </w:rPr>
      </w:pPr>
      <w:r>
        <w:rPr>
          <w:rFonts w:hint="eastAsia" w:ascii="宋体" w:hAnsi="宋体"/>
          <w:i/>
          <w:sz w:val="24"/>
          <w:szCs w:val="24"/>
          <w:highlight w:val="none"/>
          <w:u w:val="single"/>
        </w:rPr>
        <w:t xml:space="preserve">1.5参加政府采购活动前3年内在经营活动中没有重大违法记录的书面声明；</w:t>
      </w:r>
      <w:r/>
    </w:p>
    <w:p>
      <w:pPr>
        <w:ind w:firstLine="480"/>
        <w:spacing w:line="439"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.落实政府采购政策需满足的资格要求：</w:t>
      </w:r>
      <w:r>
        <w:rPr>
          <w:rFonts w:hint="eastAsia" w:ascii="宋体" w:hAnsi="宋体" w:cs="宋体"/>
          <w:sz w:val="24"/>
          <w:highlight w:val="none"/>
        </w:rPr>
        <w:t xml:space="preserve">本项目非预留份额的采购项目或采购包，执行价格扣除优惠政策，给予小微型企业、监狱企业或残疾人福利性单位报价</w:t>
      </w:r>
      <w:r>
        <w:rPr>
          <w:rFonts w:hint="eastAsia" w:ascii="宋体" w:hAnsi="宋体" w:cs="宋体"/>
          <w:b/>
          <w:sz w:val="24"/>
          <w:highlight w:val="none"/>
          <w:u w:val="single"/>
        </w:rPr>
        <w:t xml:space="preserve">20%</w:t>
      </w:r>
      <w:r>
        <w:rPr>
          <w:rFonts w:hint="eastAsia" w:ascii="宋体" w:hAnsi="宋体" w:cs="宋体"/>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p>
    <w:p>
      <w:pPr>
        <w:ind w:firstLine="480"/>
        <w:spacing w:line="439" w:lineRule="atLeast"/>
        <w:rPr>
          <w:rFonts w:hint="eastAsia" w:ascii="宋体" w:hAnsi="宋体"/>
          <w:i/>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w:t>
      </w:r>
      <w:r>
        <w:rPr>
          <w:rFonts w:hint="eastAsia" w:ascii="宋体" w:hAnsi="宋体"/>
          <w:i/>
          <w:sz w:val="24"/>
          <w:szCs w:val="24"/>
          <w:highlight w:val="none"/>
          <w:u w:val="single"/>
        </w:rPr>
        <w:t xml:space="preserve">在 “信用中国”网站（www.creditchina.gov.cn）未被列入失信被执行人或重大税收违法案件当事人名单，在“中国政府采购网"(</w:t>
      </w:r>
      <w:r>
        <w:rPr>
          <w:highlight w:val="none"/>
        </w:rPr>
        <w:fldChar w:fldCharType="begin"/>
      </w:r>
      <w:r>
        <w:rPr>
          <w:highlight w:val="none"/>
        </w:rPr>
        <w:instrText xml:space="preserve"> HYPERLINK "http://www.ccgp.gov.cn" </w:instrText>
      </w:r>
      <w:r>
        <w:rPr>
          <w:highlight w:val="none"/>
        </w:rPr>
        <w:fldChar w:fldCharType="separate"/>
      </w:r>
      <w:r>
        <w:rPr>
          <w:rStyle w:val="706"/>
          <w:rFonts w:hint="eastAsia" w:ascii="宋体" w:hAnsi="宋体"/>
          <w:i/>
          <w:sz w:val="24"/>
          <w:szCs w:val="24"/>
          <w:highlight w:val="none"/>
        </w:rPr>
        <w:t xml:space="preserve">www.ccgp.gov.cn</w:t>
      </w:r>
      <w:r>
        <w:rPr>
          <w:rStyle w:val="706"/>
          <w:rFonts w:hint="eastAsia" w:ascii="宋体" w:hAnsi="宋体"/>
          <w:i/>
          <w:sz w:val="24"/>
          <w:szCs w:val="24"/>
          <w:highlight w:val="none"/>
        </w:rPr>
        <w:fldChar w:fldCharType="end"/>
      </w:r>
      <w:r>
        <w:rPr>
          <w:rFonts w:hint="eastAsia" w:ascii="宋体" w:hAnsi="宋体"/>
          <w:i/>
          <w:sz w:val="24"/>
          <w:szCs w:val="24"/>
          <w:highlight w:val="none"/>
          <w:u w:val="single"/>
        </w:rPr>
        <w:t xml:space="preserve">)未被列入政府采购严重失信行为记录名单，及其他不符合《中华人民共和国政府采购法》第二十二条规定条件的信用记录。（投标文件中无需提供证明材料）</w:t>
      </w:r>
      <w:r/>
    </w:p>
    <w:p>
      <w:pPr>
        <w:pStyle w:val="679"/>
        <w:rPr>
          <w:rFonts w:hint="default" w:eastAsia="宋体"/>
          <w:highlight w:val="none"/>
          <w:lang w:val="en-US" w:eastAsia="zh-CN"/>
        </w:rPr>
      </w:pPr>
      <w:r>
        <w:rPr>
          <w:rFonts w:hint="eastAsia" w:ascii="宋体" w:hAnsi="宋体"/>
          <w:i w:val="0"/>
          <w:iCs/>
          <w:sz w:val="24"/>
          <w:szCs w:val="24"/>
          <w:highlight w:val="none"/>
          <w:u w:val="none"/>
          <w:lang w:val="en-US" w:eastAsia="zh-CN"/>
        </w:rPr>
        <w:t xml:space="preserve">4.</w:t>
      </w:r>
      <w:r>
        <w:rPr>
          <w:rFonts w:hint="eastAsia" w:ascii="宋体" w:hAnsi="宋体"/>
          <w:i/>
          <w:sz w:val="24"/>
          <w:szCs w:val="24"/>
          <w:highlight w:val="none"/>
          <w:u w:val="single"/>
          <w:lang w:val="en-US" w:eastAsia="zh-CN"/>
        </w:rPr>
        <w:t xml:space="preserve">本项目不接受联合体投标</w:t>
      </w:r>
      <w:r/>
    </w:p>
    <w:p>
      <w:pPr>
        <w:ind w:firstLine="48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p>
      <w:pPr>
        <w:pStyle w:val="878"/>
        <w:ind w:firstLine="498"/>
        <w:spacing w:before="145" w:after="145" w:line="360" w:lineRule="auto"/>
        <w:rPr>
          <w:highlight w:val="none"/>
        </w:rPr>
      </w:pPr>
      <w:r>
        <w:rPr>
          <w:rFonts w:hint="eastAsia"/>
          <w:highlight w:val="none"/>
        </w:rPr>
        <w:t xml:space="preserve">三、获取招标文件</w:t>
      </w:r>
      <w:bookmarkEnd w:id="20"/>
      <w:r/>
      <w:bookmarkEnd w:id="21"/>
      <w:r/>
      <w:bookmarkEnd w:id="22"/>
      <w:r/>
      <w:bookmarkEnd w:id="23"/>
      <w:r/>
      <w:bookmarkEnd w:id="24"/>
      <w:r/>
      <w:r/>
    </w:p>
    <w:p>
      <w:pPr>
        <w:ind w:firstLine="540"/>
        <w:spacing w:line="360" w:lineRule="auto"/>
        <w:rPr>
          <w:rFonts w:ascii="宋体" w:hAnsi="宋体" w:cs="宋体"/>
          <w:sz w:val="24"/>
          <w:szCs w:val="24"/>
          <w:highlight w:val="none"/>
        </w:rPr>
      </w:pPr>
      <w:r/>
      <w:bookmarkStart w:id="25" w:name="_Toc28359082"/>
      <w:r/>
      <w:bookmarkStart w:id="26" w:name="_Toc28359005"/>
      <w:r/>
      <w:bookmarkStart w:id="27" w:name="_Toc35393624"/>
      <w:r/>
      <w:bookmarkStart w:id="28" w:name="_Toc38985266"/>
      <w:r/>
      <w:bookmarkStart w:id="29" w:name="_Toc35393793"/>
      <w:r>
        <w:rPr>
          <w:rFonts w:hint="eastAsia" w:ascii="宋体" w:hAnsi="宋体" w:cs="宋体"/>
          <w:sz w:val="24"/>
          <w:szCs w:val="24"/>
          <w:highlight w:val="none"/>
        </w:rPr>
        <w:t xml:space="preserve">1.时间：自招标文件公告发布之日起5个工作日。</w:t>
      </w:r>
      <w:r/>
    </w:p>
    <w:p>
      <w:pPr>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2.方式：在“江苏政府采购网、扬州市政府采购网”自行免费下载招标文件。</w:t>
      </w:r>
      <w:r/>
    </w:p>
    <w:p>
      <w:pPr>
        <w:pStyle w:val="878"/>
        <w:ind w:firstLine="498"/>
        <w:spacing w:before="145" w:after="145" w:line="360" w:lineRule="auto"/>
        <w:rPr>
          <w:highlight w:val="none"/>
        </w:rPr>
      </w:pPr>
      <w:r>
        <w:rPr>
          <w:rFonts w:hint="eastAsia"/>
          <w:highlight w:val="none"/>
        </w:rPr>
        <w:t xml:space="preserve">四、提交投标文件</w:t>
      </w:r>
      <w:bookmarkEnd w:id="25"/>
      <w:r/>
      <w:bookmarkEnd w:id="26"/>
      <w:r>
        <w:rPr>
          <w:rFonts w:hint="eastAsia"/>
          <w:highlight w:val="none"/>
        </w:rPr>
        <w:t xml:space="preserve">截止时间、开标时间和地点</w:t>
      </w:r>
      <w:bookmarkEnd w:id="27"/>
      <w:r/>
      <w:bookmarkEnd w:id="28"/>
      <w:r/>
      <w:bookmarkEnd w:id="29"/>
      <w:r/>
      <w:r/>
    </w:p>
    <w:p>
      <w:pPr>
        <w:ind w:firstLine="480"/>
        <w:rPr>
          <w:rFonts w:ascii="宋体" w:hAnsi="宋体"/>
          <w:bCs/>
          <w:sz w:val="24"/>
          <w:szCs w:val="24"/>
          <w:highlight w:val="none"/>
        </w:rPr>
      </w:pPr>
      <w:r>
        <w:rPr>
          <w:rFonts w:hint="eastAsia" w:ascii="宋体" w:hAnsi="宋体"/>
          <w:bCs/>
          <w:sz w:val="24"/>
          <w:szCs w:val="24"/>
          <w:highlight w:val="none"/>
          <w:u w:val="singl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2026年1月12日14时整</w:t>
      </w:r>
      <w:r>
        <w:rPr>
          <w:rFonts w:hint="eastAsia" w:ascii="宋体" w:hAnsi="宋体"/>
          <w:bCs/>
          <w:sz w:val="24"/>
          <w:szCs w:val="24"/>
          <w:highlight w:val="none"/>
        </w:rPr>
        <w:t xml:space="preserve">（北京时间）</w:t>
      </w:r>
      <w:r/>
    </w:p>
    <w:p>
      <w:pPr>
        <w:ind w:firstLine="480"/>
        <w:rPr>
          <w:rFonts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p>
    <w:p>
      <w:pPr>
        <w:pStyle w:val="878"/>
        <w:ind w:firstLine="498"/>
        <w:spacing w:before="145" w:after="145" w:line="360" w:lineRule="auto"/>
        <w:rPr>
          <w:highlight w:val="none"/>
        </w:rPr>
      </w:pPr>
      <w:r/>
      <w:bookmarkStart w:id="30" w:name="_Toc38985267"/>
      <w:r/>
      <w:bookmarkStart w:id="31" w:name="_Toc35393625"/>
      <w:r/>
      <w:bookmarkStart w:id="32" w:name="_Toc28359007"/>
      <w:r/>
      <w:bookmarkStart w:id="33" w:name="_Toc28359084"/>
      <w:r/>
      <w:bookmarkStart w:id="34" w:name="_Toc35393794"/>
      <w:r>
        <w:rPr>
          <w:rFonts w:hint="eastAsia"/>
          <w:highlight w:val="none"/>
        </w:rPr>
        <w:t xml:space="preserve">五、公告期限</w:t>
      </w:r>
      <w:bookmarkEnd w:id="30"/>
      <w:r/>
      <w:bookmarkEnd w:id="31"/>
      <w:r/>
      <w:bookmarkEnd w:id="32"/>
      <w:r/>
      <w:bookmarkEnd w:id="33"/>
      <w:r/>
      <w:bookmarkEnd w:id="34"/>
      <w:r/>
      <w:r/>
    </w:p>
    <w:p>
      <w:pPr>
        <w:ind w:firstLine="480"/>
        <w:rPr>
          <w:rFonts w:ascii="宋体" w:hAnsi="宋体" w:cs="宋体"/>
          <w:sz w:val="24"/>
          <w:szCs w:val="24"/>
          <w:highlight w:val="none"/>
        </w:rPr>
      </w:pPr>
      <w:r/>
      <w:bookmarkStart w:id="35" w:name="_Toc38985268"/>
      <w:r/>
      <w:bookmarkStart w:id="36" w:name="_Toc35393626"/>
      <w:r/>
      <w:bookmarkStart w:id="37" w:name="_Toc35393795"/>
      <w:r>
        <w:rPr>
          <w:rFonts w:hint="eastAsia" w:ascii="宋体" w:hAnsi="宋体" w:cs="宋体"/>
          <w:sz w:val="24"/>
          <w:szCs w:val="24"/>
          <w:highlight w:val="none"/>
        </w:rPr>
        <w:t xml:space="preserve">招标公告及招标文件公告期限为自本公告发布之日起5个工作日。</w:t>
      </w:r>
      <w:r/>
    </w:p>
    <w:p>
      <w:pPr>
        <w:pStyle w:val="878"/>
        <w:ind w:firstLine="498"/>
        <w:spacing w:before="145" w:after="145" w:line="360" w:lineRule="auto"/>
        <w:rPr>
          <w:highlight w:val="none"/>
        </w:rPr>
      </w:pPr>
      <w:r>
        <w:rPr>
          <w:rFonts w:hint="eastAsia"/>
          <w:highlight w:val="none"/>
        </w:rPr>
        <w:t xml:space="preserve">六、其他补充事宜</w:t>
      </w:r>
      <w:bookmarkEnd w:id="35"/>
      <w:r/>
      <w:bookmarkEnd w:id="36"/>
      <w:r/>
      <w:bookmarkEnd w:id="37"/>
      <w:r/>
      <w:r/>
    </w:p>
    <w:p>
      <w:pPr>
        <w:pStyle w:val="878"/>
        <w:ind w:firstLine="482"/>
        <w:spacing w:before="145" w:after="145" w:line="360" w:lineRule="auto"/>
        <w:rPr>
          <w:highlight w:val="none"/>
        </w:rPr>
      </w:pPr>
      <w:r/>
      <w:bookmarkStart w:id="38" w:name="_Toc35393627"/>
      <w:r/>
      <w:bookmarkStart w:id="39" w:name="_Toc28359085"/>
      <w:r/>
      <w:bookmarkStart w:id="40" w:name="_Toc38985269"/>
      <w:r/>
      <w:bookmarkStart w:id="41" w:name="_Toc35393796"/>
      <w:r/>
      <w:bookmarkStart w:id="42" w:name="_Toc28359008"/>
      <w:r>
        <w:rPr>
          <w:rFonts w:ascii="宋体" w:hAnsi="宋体" w:cs="宋体"/>
          <w:sz w:val="24"/>
          <w:highlight w:val="none"/>
        </w:rPr>
        <w:t xml:space="preserve">1. 根据省财政厅《关于更换全省政府采购交易系统CA数字证书和电</w:t>
      </w:r>
      <w:r>
        <w:rPr>
          <w:rFonts w:ascii="宋体" w:hAnsi="宋体" w:cs="宋体"/>
          <w:sz w:val="24"/>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rPr>
          <w:rFonts w:ascii="宋体" w:hAnsi="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2. 有关本次招标的事项若存在变动或修改，敬请及时关注江苏苏豪创新科技集团高科有限公司在“江苏政府采购网”、“扬州市政府采购网”发布的更正公告。</w:t>
      </w:r>
      <w:r/>
    </w:p>
    <w:p>
      <w:pPr>
        <w:ind w:firstLine="480"/>
        <w:spacing w:line="5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3. 本次招标不收取投标保证金。</w:t>
      </w:r>
      <w:r/>
    </w:p>
    <w:p>
      <w:pPr>
        <w:pStyle w:val="878"/>
        <w:ind w:firstLine="498"/>
        <w:spacing w:before="145" w:after="145" w:line="360" w:lineRule="auto"/>
        <w:rPr>
          <w:highlight w:val="none"/>
        </w:rPr>
      </w:pPr>
      <w:r>
        <w:rPr>
          <w:rFonts w:hint="eastAsia"/>
          <w:highlight w:val="none"/>
        </w:rPr>
        <w:t xml:space="preserve">七、本次招标联系方式</w:t>
      </w:r>
      <w:bookmarkEnd w:id="38"/>
      <w:r/>
      <w:bookmarkEnd w:id="39"/>
      <w:r/>
      <w:bookmarkEnd w:id="40"/>
      <w:r/>
      <w:bookmarkEnd w:id="41"/>
      <w:r/>
      <w:bookmarkEnd w:id="42"/>
      <w:r/>
      <w:r/>
    </w:p>
    <w:p>
      <w:pPr>
        <w:ind w:firstLine="360"/>
        <w:jc w:val="left"/>
        <w:widowControl/>
        <w:rPr>
          <w:rFonts w:ascii="宋体" w:hAnsi="宋体" w:cs="宋体"/>
          <w:sz w:val="24"/>
          <w:szCs w:val="24"/>
          <w:highlight w:val="none"/>
        </w:rPr>
      </w:pPr>
      <w:r>
        <w:rPr>
          <w:rFonts w:hint="eastAsia" w:ascii="宋体" w:hAnsi="宋体" w:cs="宋体"/>
          <w:sz w:val="24"/>
          <w:szCs w:val="24"/>
          <w:highlight w:val="none"/>
        </w:rPr>
        <w:t xml:space="preserve">1.采 购 人：宝应县人民医院</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联系地址：宝应县安宜东路3号</w:t>
      </w:r>
      <w:r/>
    </w:p>
    <w:p>
      <w:pPr>
        <w:ind w:firstLine="480"/>
        <w:jc w:val="lef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 系 人：</w:t>
      </w:r>
      <w:r>
        <w:rPr>
          <w:rFonts w:hint="eastAsia" w:ascii="宋体" w:hAnsi="宋体" w:cs="宋体"/>
          <w:sz w:val="24"/>
          <w:szCs w:val="24"/>
          <w:highlight w:val="none"/>
          <w:lang w:val="en-US" w:eastAsia="zh-CN"/>
        </w:rPr>
        <w:t xml:space="preserve">闵科长</w:t>
      </w:r>
      <w:r/>
    </w:p>
    <w:p>
      <w:pPr>
        <w:ind w:firstLine="480"/>
        <w:jc w:val="lef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0514-88200272</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2.采购代理机构：江苏苏豪创新科技集团高科有限公司</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联系地址：南京市雨花台区软件大道21号苏豪国际广场北园（原舜天集团）C座110室</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 系 人：黄琳霖、朱笑青</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联系电话：</w:t>
      </w:r>
      <w:r>
        <w:rPr>
          <w:rFonts w:ascii="宋体" w:hAnsi="宋体" w:cs="宋体"/>
          <w:sz w:val="24"/>
          <w:szCs w:val="24"/>
          <w:highlight w:val="none"/>
        </w:rPr>
        <w:t xml:space="preserve">025-52875968</w:t>
      </w:r>
      <w:r>
        <w:rPr>
          <w:rFonts w:hint="eastAsia" w:ascii="宋体" w:hAnsi="宋体" w:cs="宋体"/>
          <w:sz w:val="24"/>
          <w:szCs w:val="24"/>
          <w:highlight w:val="none"/>
        </w:rPr>
        <w:t xml:space="preserve">、0</w:t>
      </w:r>
      <w:r>
        <w:rPr>
          <w:rFonts w:ascii="宋体" w:hAnsi="宋体" w:cs="宋体"/>
          <w:sz w:val="24"/>
          <w:szCs w:val="24"/>
          <w:highlight w:val="none"/>
        </w:rPr>
        <w:t xml:space="preserve">25-52875975</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项目联系人：吴冬晓、魏欣倩</w:t>
      </w:r>
      <w:r/>
    </w:p>
    <w:p>
      <w:pPr>
        <w:ind w:firstLine="480"/>
        <w:jc w:val="left"/>
        <w:widowControl/>
        <w:rPr>
          <w:rFonts w:ascii="宋体" w:hAnsi="宋体"/>
          <w:sz w:val="24"/>
          <w:szCs w:val="24"/>
          <w:highlight w:val="none"/>
        </w:rPr>
      </w:pPr>
      <w:r>
        <w:rPr>
          <w:rFonts w:hint="eastAsia" w:ascii="宋体" w:hAnsi="宋体" w:cs="宋体"/>
          <w:sz w:val="24"/>
          <w:szCs w:val="24"/>
          <w:highlight w:val="none"/>
        </w:rPr>
        <w:t xml:space="preserve">电话：025-52874082、025-5287</w:t>
      </w:r>
      <w:r>
        <w:rPr>
          <w:rFonts w:ascii="宋体" w:hAnsi="宋体" w:cs="宋体"/>
          <w:sz w:val="24"/>
          <w:szCs w:val="24"/>
          <w:highlight w:val="none"/>
        </w:rPr>
        <w:t xml:space="preserve">5946</w:t>
      </w:r>
      <w:r/>
    </w:p>
    <w:p>
      <w:pPr>
        <w:ind w:right="840"/>
        <w:rPr>
          <w:rFonts w:ascii="宋体" w:hAnsi="宋体"/>
          <w:sz w:val="24"/>
          <w:szCs w:val="24"/>
          <w:highlight w:val="none"/>
        </w:rPr>
      </w:pPr>
      <w:r>
        <w:rPr>
          <w:rFonts w:ascii="宋体" w:hAnsi="宋体"/>
          <w:sz w:val="24"/>
          <w:szCs w:val="24"/>
          <w:highlight w:val="none"/>
        </w:rPr>
        <w:br w:type="page" w:clear="all"/>
      </w:r>
      <w:r/>
    </w:p>
    <w:p>
      <w:pPr>
        <w:pStyle w:val="877"/>
        <w:ind w:firstLine="2429"/>
        <w:jc w:val="both"/>
        <w:rPr>
          <w:rFonts w:ascii="黑体" w:eastAsia="黑体"/>
          <w:b w:val="0"/>
          <w:bCs w:val="0"/>
          <w:highlight w:val="none"/>
        </w:rPr>
      </w:pPr>
      <w:r/>
      <w:bookmarkStart w:id="43" w:name="_Toc120614211"/>
      <w:r>
        <w:rPr>
          <w:rFonts w:hint="eastAsia" w:ascii="黑体" w:eastAsia="黑体"/>
          <w:highlight w:val="none"/>
        </w:rPr>
        <w:t xml:space="preserve">第二章  </w:t>
      </w:r>
      <w:bookmarkEnd w:id="1"/>
      <w:r/>
      <w:bookmarkEnd w:id="2"/>
      <w:r/>
      <w:bookmarkEnd w:id="3"/>
      <w:r/>
      <w:bookmarkEnd w:id="4"/>
      <w:r/>
      <w:bookmarkEnd w:id="5"/>
      <w:r/>
      <w:bookmarkEnd w:id="43"/>
      <w:r/>
      <w:bookmarkStart w:id="44" w:name="_Toc20823274"/>
      <w:r/>
      <w:bookmarkStart w:id="45" w:name="_Toc16938518"/>
      <w:r/>
      <w:bookmarkStart w:id="46" w:name="_Toc513029202"/>
      <w:r/>
      <w:bookmarkStart w:id="47" w:name="_Toc120614213"/>
      <w:r>
        <w:rPr>
          <w:rFonts w:hint="eastAsia" w:ascii="黑体" w:eastAsia="黑体"/>
          <w:highlight w:val="none"/>
        </w:rPr>
        <w:t xml:space="preserve">投标人须知</w:t>
      </w:r>
      <w:bookmarkEnd w:id="44"/>
      <w:r/>
      <w:bookmarkEnd w:id="45"/>
      <w:r/>
      <w:bookmarkEnd w:id="46"/>
      <w:r/>
      <w:bookmarkEnd w:id="47"/>
      <w:r/>
      <w:r/>
    </w:p>
    <w:p>
      <w:pPr>
        <w:pStyle w:val="878"/>
        <w:ind w:firstLine="498"/>
        <w:spacing w:before="145" w:after="145" w:line="360" w:lineRule="auto"/>
        <w:rPr>
          <w:highlight w:val="none"/>
        </w:rPr>
      </w:pPr>
      <w:r/>
      <w:bookmarkStart w:id="48" w:name="_Toc20823314"/>
      <w:r/>
      <w:bookmarkStart w:id="49" w:name="_Toc479757207"/>
      <w:r/>
      <w:bookmarkStart w:id="50" w:name="_Toc120614221"/>
      <w:r/>
      <w:bookmarkStart w:id="51" w:name="_Toc16938558"/>
      <w:r/>
      <w:bookmarkStart w:id="52" w:name="_Toc513029242"/>
      <w:r>
        <w:rPr>
          <w:rFonts w:hint="eastAsia"/>
          <w:highlight w:val="none"/>
        </w:rPr>
        <w:t xml:space="preserve">一、总则</w:t>
      </w:r>
      <w:r/>
    </w:p>
    <w:p>
      <w:pPr>
        <w:pStyle w:val="879"/>
        <w:ind w:firstLine="420"/>
        <w:spacing w:before="0" w:after="0" w:line="240" w:lineRule="auto"/>
        <w:rPr>
          <w:b w:val="0"/>
          <w:bCs w:val="0"/>
          <w:highlight w:val="none"/>
        </w:rPr>
      </w:pPr>
      <w:r>
        <w:rPr>
          <w:rFonts w:hint="eastAsia"/>
          <w:b w:val="0"/>
          <w:bCs w:val="0"/>
          <w:highlight w:val="none"/>
        </w:rPr>
        <w:t xml:space="preserve">1、招标方式</w:t>
      </w:r>
      <w:r/>
    </w:p>
    <w:p>
      <w:pPr>
        <w:ind w:firstLine="480"/>
        <w:spacing w:line="500" w:lineRule="exact"/>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879"/>
        <w:ind w:firstLine="420"/>
        <w:spacing w:before="0" w:after="0" w:line="240" w:lineRule="auto"/>
        <w:rPr>
          <w:b w:val="0"/>
          <w:bCs w:val="0"/>
          <w:highlight w:val="none"/>
        </w:rPr>
      </w:pPr>
      <w:r>
        <w:rPr>
          <w:rFonts w:hint="eastAsia"/>
          <w:b w:val="0"/>
          <w:bCs w:val="0"/>
          <w:highlight w:val="none"/>
        </w:rPr>
        <w:t xml:space="preserve">2、合格的投标人</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879"/>
        <w:ind w:firstLine="420"/>
        <w:spacing w:before="0" w:after="0" w:line="240" w:lineRule="auto"/>
        <w:rPr>
          <w:b w:val="0"/>
          <w:bCs w:val="0"/>
          <w:highlight w:val="none"/>
        </w:rPr>
      </w:pPr>
      <w:r>
        <w:rPr>
          <w:rFonts w:hint="eastAsia"/>
          <w:b w:val="0"/>
          <w:bCs w:val="0"/>
          <w:highlight w:val="none"/>
        </w:rPr>
        <w:t xml:space="preserve">3、适用法律</w:t>
      </w:r>
      <w:r/>
    </w:p>
    <w:p>
      <w:pPr>
        <w:ind w:firstLine="420"/>
        <w:spacing w:line="40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879"/>
        <w:ind w:firstLine="420"/>
        <w:spacing w:before="0" w:after="0" w:line="240" w:lineRule="auto"/>
        <w:rPr>
          <w:b w:val="0"/>
          <w:bCs w:val="0"/>
          <w:highlight w:val="none"/>
        </w:rPr>
      </w:pPr>
      <w:r>
        <w:rPr>
          <w:rFonts w:hint="eastAsia"/>
          <w:b w:val="0"/>
          <w:bCs w:val="0"/>
          <w:highlight w:val="none"/>
        </w:rPr>
        <w:t xml:space="preserve">4、投标费用</w:t>
      </w:r>
      <w:r/>
    </w:p>
    <w:p>
      <w:pPr>
        <w:ind w:firstLine="480"/>
        <w:spacing w:line="500" w:lineRule="exact"/>
        <w:rPr>
          <w:rFonts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投标人应自行承担所有与参加投标有关的费用，无论投标过程中的做法和结果如何，江苏苏豪创新科技集团高科有限公司（以下简称招标代理机构）在任何情况下均无义务和责任承担这些费用。</w:t>
      </w:r>
      <w:r/>
    </w:p>
    <w:p>
      <w:pPr>
        <w:ind w:firstLine="480"/>
        <w:spacing w:line="500" w:lineRule="exact"/>
        <w:rPr>
          <w:rFonts w:ascii="宋体" w:hAnsi="宋体"/>
          <w:sz w:val="24"/>
          <w:highlight w:val="none"/>
        </w:rPr>
      </w:pPr>
      <w:r>
        <w:rPr>
          <w:rFonts w:hint="eastAsia" w:ascii="宋体" w:hAnsi="宋体"/>
          <w:sz w:val="24"/>
          <w:highlight w:val="none"/>
        </w:rPr>
        <w:t xml:space="preserve">4.2本次招标招标代理机构不收取标书工本费。</w:t>
      </w:r>
      <w:r/>
    </w:p>
    <w:p>
      <w:pPr>
        <w:ind w:firstLine="480"/>
        <w:spacing w:line="500" w:lineRule="exact"/>
        <w:rPr>
          <w:rFonts w:ascii="宋体" w:hAnsi="宋体"/>
          <w:sz w:val="24"/>
          <w:highlight w:val="none"/>
        </w:rPr>
      </w:pPr>
      <w:r>
        <w:rPr>
          <w:rFonts w:hint="eastAsia" w:ascii="宋体" w:hAnsi="宋体"/>
          <w:sz w:val="24"/>
          <w:highlight w:val="none"/>
        </w:rPr>
        <w:t xml:space="preserve">4.3代理费收费标准：本项目采购代理服务费参照江苏省政府采购代理服务收费指导意见[苏政采协［2024］20号]文收取，应在领取中标通知书前缴纳。专家评审费按扬财购【2020】40号文《关于进一步规范扬州市政府采购专家评审费标准的通知》执行。服务费应在领取中标通知书前缴纳。</w:t>
      </w:r>
      <w:r/>
    </w:p>
    <w:p>
      <w:pPr>
        <w:ind w:firstLine="480"/>
        <w:spacing w:line="500" w:lineRule="exact"/>
        <w:rPr>
          <w:rFonts w:ascii="宋体" w:hAnsi="宋体"/>
          <w:sz w:val="24"/>
          <w:highlight w:val="none"/>
        </w:rPr>
      </w:pPr>
      <w:r>
        <w:rPr>
          <w:rFonts w:hint="eastAsia" w:ascii="宋体" w:hAnsi="宋体"/>
          <w:sz w:val="24"/>
          <w:highlight w:val="none"/>
        </w:rPr>
        <w:t xml:space="preserve">账户信息：</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户    名：江苏苏豪创新科技集团高科有限公司</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开户银行：工商银行江苏省南京市白下支行  </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账    号：4301013119100888895</w:t>
      </w:r>
      <w:r/>
    </w:p>
    <w:p>
      <w:pPr>
        <w:pStyle w:val="678"/>
        <w:rPr>
          <w:highlight w:val="none"/>
        </w:rPr>
      </w:pPr>
      <w:r>
        <w:rPr>
          <w:highlight w:val="none"/>
        </w:rPr>
      </w:r>
      <w:r/>
    </w:p>
    <w:p>
      <w:pPr>
        <w:pStyle w:val="879"/>
        <w:ind w:firstLine="602"/>
        <w:spacing w:before="0" w:after="0" w:line="480" w:lineRule="exact"/>
        <w:rPr>
          <w:rFonts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878"/>
        <w:ind w:firstLine="321"/>
        <w:spacing w:before="145" w:after="145" w:line="360" w:lineRule="auto"/>
        <w:rPr>
          <w:highlight w:val="none"/>
        </w:rPr>
      </w:pPr>
      <w:r>
        <w:rPr>
          <w:rFonts w:hint="eastAsia"/>
          <w:highlight w:val="none"/>
        </w:rPr>
        <w:t xml:space="preserve">二、招标文件</w:t>
      </w:r>
      <w:r/>
    </w:p>
    <w:p>
      <w:pPr>
        <w:pStyle w:val="879"/>
        <w:ind w:firstLine="420"/>
        <w:spacing w:before="0" w:after="0" w:line="240" w:lineRule="auto"/>
        <w:rPr>
          <w:b w:val="0"/>
          <w:bCs w:val="0"/>
          <w:highlight w:val="none"/>
        </w:rPr>
      </w:pPr>
      <w:r>
        <w:rPr>
          <w:rFonts w:hint="eastAsia"/>
          <w:b w:val="0"/>
          <w:bCs w:val="0"/>
          <w:highlight w:val="none"/>
        </w:rPr>
        <w:t xml:space="preserve">6、招标文件构成</w:t>
      </w:r>
      <w:r/>
    </w:p>
    <w:p>
      <w:pPr>
        <w:ind w:firstLine="480"/>
        <w:spacing w:line="500" w:lineRule="exact"/>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（2）投标人须知</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（4）采购需求</w:t>
      </w:r>
      <w:r/>
    </w:p>
    <w:p>
      <w:pPr>
        <w:ind w:firstLine="360"/>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（6）投标文件格式</w:t>
      </w:r>
      <w:r/>
    </w:p>
    <w:p>
      <w:pPr>
        <w:ind w:firstLine="480"/>
        <w:spacing w:line="500" w:lineRule="exact"/>
        <w:rPr>
          <w:rFonts w:ascii="宋体" w:hAnsi="宋体"/>
          <w:sz w:val="24"/>
          <w:highlight w:val="none"/>
        </w:rPr>
      </w:pPr>
      <w:r>
        <w:rPr>
          <w:rFonts w:hint="eastAsia" w:ascii="宋体" w:hAnsi="宋体"/>
          <w:sz w:val="24"/>
          <w:highlight w:val="none"/>
        </w:rPr>
        <w:t xml:space="preserve">请仔细检查招标文件是否齐全，如有缺漏请立即与招标代理机构联系解决。</w:t>
      </w:r>
      <w:r/>
    </w:p>
    <w:p>
      <w:pPr>
        <w:ind w:firstLine="480"/>
        <w:spacing w:line="500" w:lineRule="exact"/>
        <w:rPr>
          <w:rFonts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firstLine="560"/>
        <w:spacing w:before="0" w:after="0" w:line="240" w:lineRule="auto"/>
        <w:rPr>
          <w:b w:val="0"/>
          <w:bCs w:val="0"/>
          <w:highlight w:val="none"/>
        </w:rPr>
      </w:pPr>
      <w:r>
        <w:rPr>
          <w:rFonts w:hint="eastAsia"/>
          <w:b w:val="0"/>
          <w:bCs w:val="0"/>
          <w:highlight w:val="none"/>
        </w:rPr>
        <w:t xml:space="preserve">7、招标文件的澄清</w:t>
      </w:r>
      <w:r/>
    </w:p>
    <w:p>
      <w:pPr>
        <w:ind w:firstLine="480"/>
        <w:spacing w:line="480" w:lineRule="exact"/>
        <w:rPr>
          <w:rFonts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highlight w:val="none"/>
        </w:rPr>
        <w:t xml:space="preserve">按招标公告中的通讯地址，以书面形式通知招标代理机构。</w:t>
      </w:r>
      <w:r/>
    </w:p>
    <w:p>
      <w:pPr>
        <w:pStyle w:val="879"/>
        <w:ind w:firstLine="560"/>
        <w:spacing w:before="0" w:after="0" w:line="240" w:lineRule="auto"/>
        <w:rPr>
          <w:b w:val="0"/>
          <w:bCs w:val="0"/>
          <w:highlight w:val="none"/>
        </w:rPr>
      </w:pPr>
      <w:r>
        <w:rPr>
          <w:rFonts w:hint="eastAsia"/>
          <w:b w:val="0"/>
          <w:bCs w:val="0"/>
          <w:highlight w:val="none"/>
        </w:rPr>
        <w:t xml:space="preserve">8、招标文件的修改</w:t>
      </w:r>
      <w:r/>
    </w:p>
    <w:p>
      <w:pPr>
        <w:ind w:firstLine="480"/>
        <w:spacing w:line="500" w:lineRule="exact"/>
        <w:rPr>
          <w:rFonts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，招标代理机构可以对招标文件进行修改。</w:t>
      </w:r>
      <w:r/>
    </w:p>
    <w:p>
      <w:pPr>
        <w:ind w:firstLine="480"/>
        <w:spacing w:line="500" w:lineRule="exact"/>
        <w:rPr>
          <w:rFonts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招标代理机构</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p>
    <w:p>
      <w:pPr>
        <w:ind w:firstLine="480"/>
        <w:spacing w:line="500" w:lineRule="exact"/>
        <w:rPr>
          <w:rFonts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招标文件的修改将在江苏政府采购网、扬州市政府采购网公布，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p>
    <w:p>
      <w:pPr>
        <w:pStyle w:val="878"/>
        <w:ind w:firstLine="482"/>
        <w:spacing w:before="145" w:after="145" w:line="360" w:lineRule="auto"/>
        <w:rPr>
          <w:highlight w:val="none"/>
        </w:rPr>
      </w:pPr>
      <w:r>
        <w:rPr>
          <w:rFonts w:hint="eastAsia"/>
          <w:highlight w:val="none"/>
        </w:rPr>
        <w:t xml:space="preserve">三、投标文件的编制</w:t>
      </w:r>
      <w:r/>
    </w:p>
    <w:p>
      <w:pPr>
        <w:pStyle w:val="879"/>
        <w:ind w:firstLine="560"/>
        <w:spacing w:before="0" w:after="0" w:line="240" w:lineRule="auto"/>
        <w:rPr>
          <w:bCs w:val="0"/>
          <w:highlight w:val="none"/>
        </w:rPr>
      </w:pPr>
      <w:r>
        <w:rPr>
          <w:rFonts w:hint="eastAsia"/>
          <w:b w:val="0"/>
          <w:bCs w:val="0"/>
          <w:highlight w:val="none"/>
        </w:rPr>
        <w:t xml:space="preserve">9、投标文件的语言及度量衡单位</w:t>
      </w:r>
      <w:r/>
    </w:p>
    <w:p>
      <w:pPr>
        <w:ind w:firstLine="480"/>
        <w:spacing w:line="500" w:lineRule="exact"/>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投标人提交的投标文件以及投标人与招标代理机构就有关投标的所有来往通知、函件和文件均应使用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500" w:lineRule="exact"/>
        <w:rPr>
          <w:rFonts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p>
    <w:p>
      <w:pPr>
        <w:pStyle w:val="879"/>
        <w:ind w:firstLine="420"/>
        <w:spacing w:before="0" w:after="0" w:line="240" w:lineRule="auto"/>
        <w:rPr>
          <w:b w:val="0"/>
          <w:bCs w:val="0"/>
          <w:highlight w:val="none"/>
        </w:rPr>
      </w:pPr>
      <w:r>
        <w:rPr>
          <w:rFonts w:hint="eastAsia"/>
          <w:b w:val="0"/>
          <w:bCs w:val="0"/>
          <w:highlight w:val="none"/>
        </w:rPr>
        <w:t xml:space="preserve">10、投标文件构成</w:t>
      </w:r>
      <w:r/>
    </w:p>
    <w:p>
      <w:pPr>
        <w:ind w:firstLine="480"/>
        <w:spacing w:line="440" w:lineRule="exact"/>
        <w:rPr>
          <w:rFonts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投标人编写的投标文件应包括资格证明文件、符合性证明文件、投标分项报价表、技术要求响应及偏离表、商务合同响应及偏离表、其他证明文件、投标函、开标一览表等部分。</w:t>
      </w:r>
      <w:r/>
    </w:p>
    <w:p>
      <w:pPr>
        <w:ind w:firstLine="480"/>
        <w:spacing w:line="440" w:lineRule="exact"/>
        <w:rPr>
          <w:rFonts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p>
    <w:p>
      <w:pPr>
        <w:pStyle w:val="879"/>
        <w:ind w:firstLine="420"/>
        <w:spacing w:before="0" w:after="0" w:line="240" w:lineRule="auto"/>
        <w:rPr>
          <w:b w:val="0"/>
          <w:bCs w:val="0"/>
          <w:highlight w:val="none"/>
        </w:rPr>
      </w:pPr>
      <w:r>
        <w:rPr>
          <w:rFonts w:hint="eastAsia"/>
          <w:b w:val="0"/>
          <w:bCs w:val="0"/>
          <w:highlight w:val="none"/>
        </w:rPr>
        <w:t xml:space="preserve">11、证明投标人及投标标的符合招标文件规定的文件</w:t>
      </w:r>
      <w:r/>
    </w:p>
    <w:p>
      <w:pPr>
        <w:spacing w:line="480" w:lineRule="exact"/>
        <w:rPr>
          <w:rFonts w:ascii="宋体" w:hAnsi="宋体"/>
          <w:sz w:val="24"/>
          <w:szCs w:val="24"/>
          <w:highlight w:val="none"/>
        </w:rPr>
      </w:pPr>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879"/>
        <w:ind w:firstLine="420"/>
        <w:spacing w:before="0" w:after="0" w:line="240" w:lineRule="auto"/>
        <w:rPr>
          <w:b w:val="0"/>
          <w:bCs w:val="0"/>
          <w:highlight w:val="none"/>
        </w:rPr>
      </w:pPr>
      <w:r>
        <w:rPr>
          <w:rFonts w:hint="eastAsia"/>
          <w:b w:val="0"/>
          <w:bCs w:val="0"/>
          <w:highlight w:val="none"/>
        </w:rPr>
        <w:t xml:space="preserve">12、投标分项报价表</w:t>
      </w:r>
      <w:r/>
    </w:p>
    <w:p>
      <w:pPr>
        <w:ind w:firstLine="480"/>
        <w:spacing w:line="500" w:lineRule="exact"/>
        <w:rPr>
          <w:rFonts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投标人应按照招标文件规定格式填报投标分项报价表。</w:t>
      </w:r>
      <w:r/>
    </w:p>
    <w:p>
      <w:pPr>
        <w:ind w:firstLine="480"/>
        <w:spacing w:line="500" w:lineRule="exact"/>
        <w:rPr>
          <w:rFonts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879"/>
        <w:ind w:firstLine="420"/>
        <w:spacing w:before="0" w:after="0" w:line="240" w:lineRule="auto"/>
        <w:rPr>
          <w:b w:val="0"/>
          <w:bCs w:val="0"/>
          <w:highlight w:val="none"/>
        </w:rPr>
      </w:pPr>
      <w:r>
        <w:rPr>
          <w:rFonts w:hint="eastAsia"/>
          <w:b w:val="0"/>
          <w:bCs w:val="0"/>
          <w:highlight w:val="none"/>
        </w:rPr>
        <w:t xml:space="preserve">13、技术要求响应及偏离表、商务合同响应及偏离表</w:t>
      </w:r>
      <w:r/>
    </w:p>
    <w:p>
      <w:pPr>
        <w:ind w:firstLine="480"/>
        <w:spacing w:line="500" w:lineRule="exact"/>
        <w:rPr>
          <w:rFonts w:ascii="宋体" w:hAnsi="Arial" w:cs="宋体"/>
          <w:sz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14.1 </w:t>
      </w:r>
      <w:r>
        <w:rPr>
          <w:rFonts w:hint="eastAsia" w:ascii="宋体" w:hAnsi="宋体"/>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14.2 投标人需根据招标文件要求提供培训计划。</w:t>
      </w:r>
      <w:r/>
    </w:p>
    <w:p>
      <w:pPr>
        <w:ind w:firstLine="480"/>
        <w:spacing w:line="480" w:lineRule="exact"/>
        <w:rPr>
          <w:highlight w:val="none"/>
        </w:rPr>
      </w:pPr>
      <w:r>
        <w:rPr>
          <w:rFonts w:hint="eastAsia" w:ascii="宋体" w:hAnsi="宋体"/>
          <w:sz w:val="24"/>
          <w:szCs w:val="24"/>
          <w:highlight w:val="none"/>
        </w:rPr>
        <w:t xml:space="preserve">14.3  投标人需根据招标文件要求提供</w:t>
      </w:r>
      <w:r>
        <w:rPr>
          <w:rFonts w:hint="eastAsia" w:ascii="宋体" w:hAnsi="Arial" w:cs="宋体"/>
          <w:sz w:val="24"/>
          <w:highlight w:val="none"/>
          <w:lang w:val="zh-CN"/>
        </w:rPr>
        <w:t xml:space="preserve">所投标的的主要组成部分、功能设计、实现思路及关键技术等。</w:t>
      </w:r>
      <w:r/>
    </w:p>
    <w:p>
      <w:pPr>
        <w:pStyle w:val="879"/>
        <w:ind w:firstLine="420"/>
        <w:spacing w:before="0" w:after="0" w:line="240" w:lineRule="auto"/>
        <w:rPr>
          <w:b w:val="0"/>
          <w:bCs w:val="0"/>
          <w:highlight w:val="none"/>
        </w:rPr>
      </w:pPr>
      <w:r>
        <w:rPr>
          <w:rFonts w:hint="eastAsia"/>
          <w:b w:val="0"/>
          <w:bCs w:val="0"/>
          <w:highlight w:val="none"/>
        </w:rPr>
        <w:t xml:space="preserve">15、投标函和开标一览表</w:t>
      </w:r>
      <w:r/>
    </w:p>
    <w:p>
      <w:pPr>
        <w:ind w:firstLine="480"/>
        <w:spacing w:line="500" w:lineRule="exact"/>
        <w:rPr>
          <w:rFonts w:ascii="宋体" w:hAnsi="宋体"/>
          <w:sz w:val="24"/>
          <w:highlight w:val="none"/>
        </w:rPr>
      </w:pPr>
      <w:r>
        <w:rPr>
          <w:rFonts w:hint="eastAsia" w:ascii="宋体" w:hAnsi="宋体"/>
          <w:bCs/>
          <w:sz w:val="24"/>
          <w:highlight w:val="none"/>
        </w:rPr>
        <w:t xml:space="preserve">15.1</w:t>
      </w:r>
      <w:r>
        <w:rPr>
          <w:rFonts w:hint="eastAsia" w:ascii="宋体" w:hAnsi="宋体"/>
          <w:sz w:val="24"/>
          <w:highlight w:val="none"/>
        </w:rPr>
        <w:t xml:space="preserve"> 投标人应按照招标文件中提供的格式完整、正确填写投标函、开标一览表。</w:t>
      </w:r>
      <w:r/>
    </w:p>
    <w:p>
      <w:pPr>
        <w:ind w:firstLine="480"/>
        <w:spacing w:line="500" w:lineRule="exact"/>
        <w:rPr>
          <w:rFonts w:ascii="宋体" w:hAnsi="宋体"/>
          <w:sz w:val="24"/>
          <w:highlight w:val="none"/>
        </w:rPr>
      </w:pPr>
      <w:r>
        <w:rPr>
          <w:rFonts w:hint="eastAsia" w:ascii="宋体" w:hAnsi="宋体"/>
          <w:bCs/>
          <w:sz w:val="24"/>
          <w:highlight w:val="none"/>
        </w:rPr>
        <w:t xml:space="preserve">15.2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p>
    <w:p>
      <w:pPr>
        <w:pStyle w:val="879"/>
        <w:ind w:firstLine="420"/>
        <w:spacing w:before="0" w:after="0" w:line="240" w:lineRule="auto"/>
        <w:rPr>
          <w:b w:val="0"/>
          <w:bCs w:val="0"/>
          <w:highlight w:val="none"/>
        </w:rPr>
      </w:pPr>
      <w:r>
        <w:rPr>
          <w:rFonts w:hint="eastAsia"/>
          <w:b w:val="0"/>
          <w:bCs w:val="0"/>
          <w:highlight w:val="none"/>
        </w:rPr>
        <w:t xml:space="preserve">16、投标有效期</w:t>
      </w:r>
      <w:r/>
    </w:p>
    <w:p>
      <w:pPr>
        <w:ind w:firstLine="480"/>
        <w:spacing w:line="500" w:lineRule="exact"/>
        <w:rPr>
          <w:rFonts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投标有效期为招标代理机构规定的开标之日后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879"/>
        <w:ind w:firstLine="420"/>
        <w:spacing w:before="0" w:after="0" w:line="240" w:lineRule="auto"/>
        <w:rPr>
          <w:b w:val="0"/>
          <w:bCs w:val="0"/>
          <w:highlight w:val="none"/>
        </w:rPr>
      </w:pPr>
      <w:r>
        <w:rPr>
          <w:rFonts w:hint="eastAsia"/>
          <w:b w:val="0"/>
          <w:bCs w:val="0"/>
          <w:highlight w:val="none"/>
        </w:rPr>
        <w:t xml:space="preserve">17、投标有效期的延长</w:t>
      </w:r>
      <w:r/>
    </w:p>
    <w:p>
      <w:pPr>
        <w:ind w:firstLine="480"/>
        <w:spacing w:line="500" w:lineRule="exact"/>
        <w:rPr>
          <w:rFonts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在特殊情况下，招标代理机构于原投标有效期满之前，可向投标人提出延长投标有效期的要求。这种要求与答复均应采用书面形式。投标人可以拒绝招标代理机构的这一要求而放弃投标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878"/>
        <w:ind w:firstLine="482"/>
        <w:spacing w:before="145" w:after="145" w:line="360" w:lineRule="auto"/>
        <w:rPr>
          <w:highlight w:val="none"/>
        </w:rPr>
      </w:pPr>
      <w:r>
        <w:rPr>
          <w:rFonts w:hint="eastAsia"/>
          <w:highlight w:val="none"/>
        </w:rPr>
        <w:t xml:space="preserve">四、投标文件的递交</w:t>
      </w:r>
      <w:r/>
    </w:p>
    <w:p>
      <w:pPr>
        <w:pStyle w:val="879"/>
        <w:ind w:firstLine="560"/>
        <w:spacing w:before="0" w:after="0" w:line="240" w:lineRule="auto"/>
        <w:rPr>
          <w:rFonts w:ascii="黑体"/>
          <w:b w:val="0"/>
          <w:bCs w:val="0"/>
          <w:highlight w:val="none"/>
        </w:rPr>
      </w:pPr>
      <w:r>
        <w:rPr>
          <w:rFonts w:hint="eastAsia"/>
          <w:b w:val="0"/>
          <w:bCs w:val="0"/>
          <w:highlight w:val="none"/>
        </w:rPr>
        <w:t xml:space="preserve">18、</w:t>
      </w:r>
      <w:r>
        <w:rPr>
          <w:rFonts w:hint="eastAsia" w:ascii="黑体"/>
          <w:b w:val="0"/>
          <w:bCs w:val="0"/>
          <w:highlight w:val="none"/>
        </w:rPr>
        <w:t xml:space="preserve">投标文件的递交</w:t>
      </w:r>
      <w:r/>
    </w:p>
    <w:p>
      <w:pPr>
        <w:ind w:firstLine="480"/>
        <w:spacing w:line="500" w:lineRule="exact"/>
        <w:rPr>
          <w:rFonts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 电子投标文件的递交</w:t>
      </w:r>
      <w:r/>
    </w:p>
    <w:p>
      <w:pPr>
        <w:pStyle w:val="946"/>
        <w:ind w:left="525"/>
        <w:rPr>
          <w:rFonts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r/>
    </w:p>
    <w:p>
      <w:pPr>
        <w:pStyle w:val="879"/>
        <w:ind w:firstLine="420"/>
        <w:rPr>
          <w:b w:val="0"/>
          <w:highlight w:val="none"/>
        </w:rPr>
      </w:pPr>
      <w:r>
        <w:rPr>
          <w:rFonts w:hint="eastAsia"/>
          <w:b w:val="0"/>
          <w:highlight w:val="none"/>
        </w:rPr>
        <w:t xml:space="preserve">19、投标截止时间</w:t>
      </w:r>
      <w:r/>
    </w:p>
    <w:p>
      <w:pPr>
        <w:ind w:firstLine="480"/>
        <w:spacing w:line="500" w:lineRule="exact"/>
        <w:rPr>
          <w:rFonts w:ascii="宋体" w:hAnsi="宋体"/>
          <w:bCs/>
          <w:i/>
          <w:sz w:val="24"/>
          <w:highlight w:val="none"/>
          <w:u w:val="single"/>
        </w:rPr>
      </w:pPr>
      <w:r>
        <w:rPr>
          <w:rFonts w:hint="eastAsia" w:ascii="宋体" w:hAnsi="宋体"/>
          <w:i/>
          <w:sz w:val="24"/>
          <w:highlight w:val="none"/>
          <w:u w:val="single"/>
        </w:rPr>
        <w:t xml:space="preserve">19.1</w:t>
      </w:r>
      <w:r>
        <w:rPr>
          <w:rFonts w:hint="eastAsia" w:ascii="宋体" w:hAnsi="宋体"/>
          <w:bCs/>
          <w:i/>
          <w:sz w:val="24"/>
          <w:highlight w:val="none"/>
          <w:u w:val="single"/>
        </w:rPr>
        <w:t xml:space="preserve"> 投标人上传电子投标文件的时间不得迟于招标公告中规定的投标截止时间。</w:t>
      </w:r>
      <w:r/>
    </w:p>
    <w:p>
      <w:pPr>
        <w:ind w:firstLine="480"/>
        <w:spacing w:line="500" w:lineRule="exact"/>
        <w:rPr>
          <w:rFonts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highlight w:val="none"/>
        </w:rPr>
      </w:pPr>
      <w:r>
        <w:rPr>
          <w:rFonts w:hint="eastAsia" w:ascii="宋体" w:hAnsi="宋体"/>
          <w:sz w:val="24"/>
          <w:highlight w:val="none"/>
        </w:rPr>
        <w:t xml:space="preserve">19.2</w:t>
      </w:r>
      <w:r>
        <w:rPr>
          <w:rFonts w:hint="eastAsia" w:ascii="宋体" w:hAnsi="宋体"/>
          <w:bCs/>
          <w:sz w:val="24"/>
          <w:highlight w:val="none"/>
        </w:rPr>
        <w:t xml:space="preserve"> 招标代理机构可以按照规定，通过修改招标文件酌情延长投标截止时间，在此情况下，投标人的所有权利和义务以及投标人受制的截止时间均应以延长后新的截止时间为准。</w:t>
      </w:r>
      <w:r/>
    </w:p>
    <w:p>
      <w:pPr>
        <w:pStyle w:val="879"/>
        <w:ind w:firstLine="420"/>
        <w:spacing w:before="0" w:after="0" w:line="240" w:lineRule="auto"/>
        <w:rPr>
          <w:b w:val="0"/>
          <w:bCs w:val="0"/>
          <w:highlight w:val="none"/>
        </w:rPr>
      </w:pPr>
      <w:r>
        <w:rPr>
          <w:rFonts w:hint="eastAsia"/>
          <w:b w:val="0"/>
          <w:bCs w:val="0"/>
          <w:highlight w:val="none"/>
        </w:rPr>
        <w:t xml:space="preserve">20、投标文件的拒收</w:t>
      </w:r>
      <w:r/>
    </w:p>
    <w:p>
      <w:pPr>
        <w:ind w:firstLine="480"/>
        <w:spacing w:line="500" w:lineRule="exact"/>
        <w:rPr>
          <w:rFonts w:ascii="宋体" w:hAnsi="宋体"/>
          <w:bCs/>
          <w:sz w:val="24"/>
          <w:highlight w:val="none"/>
        </w:rPr>
      </w:pPr>
      <w:r>
        <w:rPr>
          <w:rFonts w:hint="eastAsia" w:ascii="宋体" w:hAnsi="宋体"/>
          <w:sz w:val="24"/>
          <w:highlight w:val="none"/>
        </w:rPr>
        <w:t xml:space="preserve">20.1</w:t>
      </w:r>
      <w:r>
        <w:rPr>
          <w:rFonts w:hint="eastAsia" w:ascii="宋体" w:hAnsi="宋体"/>
          <w:bCs/>
          <w:sz w:val="24"/>
          <w:highlight w:val="none"/>
        </w:rPr>
        <w:t xml:space="preserve">招标代理机构拒绝接收在其规定的投标截止时间后上传的任何投标文件。</w:t>
      </w:r>
      <w:r/>
    </w:p>
    <w:p>
      <w:pPr>
        <w:pStyle w:val="879"/>
        <w:ind w:firstLine="420"/>
        <w:spacing w:before="0" w:after="0" w:line="240" w:lineRule="auto"/>
        <w:rPr>
          <w:b w:val="0"/>
          <w:bCs w:val="0"/>
          <w:highlight w:val="none"/>
        </w:rPr>
      </w:pPr>
      <w:r>
        <w:rPr>
          <w:rFonts w:hint="eastAsia"/>
          <w:b w:val="0"/>
          <w:bCs w:val="0"/>
          <w:highlight w:val="none"/>
        </w:rPr>
        <w:t xml:space="preserve">21、投标文件的撤回和修改</w:t>
      </w:r>
      <w:r/>
    </w:p>
    <w:p>
      <w:pPr>
        <w:ind w:firstLine="480"/>
        <w:spacing w:line="480" w:lineRule="exact"/>
        <w:rPr>
          <w:rFonts w:ascii="宋体" w:hAnsi="宋体"/>
          <w:sz w:val="24"/>
          <w:highlight w:val="none"/>
        </w:rPr>
      </w:pPr>
      <w:r>
        <w:rPr>
          <w:rFonts w:hint="eastAsia" w:ascii="宋体" w:hAnsi="宋体"/>
          <w:sz w:val="24"/>
          <w:highlight w:val="none"/>
        </w:rPr>
        <w:t xml:space="preserve">21.1 投标文件的撤回</w:t>
      </w:r>
      <w:r/>
    </w:p>
    <w:p>
      <w:pPr>
        <w:ind w:firstLine="480"/>
        <w:spacing w:line="480" w:lineRule="exact"/>
        <w:rPr>
          <w:rFonts w:ascii="宋体" w:hAnsi="宋体"/>
          <w:sz w:val="24"/>
          <w:highlight w:val="none"/>
        </w:rPr>
      </w:pPr>
      <w:r>
        <w:rPr>
          <w:rFonts w:hint="eastAsia" w:ascii="宋体" w:hAnsi="宋体"/>
          <w:sz w:val="24"/>
          <w:highlight w:val="none"/>
        </w:rPr>
        <w:t xml:space="preserve">21.1.1 电子投标文件的撤回</w:t>
      </w:r>
      <w:r/>
    </w:p>
    <w:p>
      <w:pPr>
        <w:ind w:firstLine="480"/>
        <w:spacing w:line="480" w:lineRule="exact"/>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21.2 投标文件的修改</w:t>
      </w:r>
      <w:r/>
    </w:p>
    <w:p>
      <w:pPr>
        <w:ind w:firstLine="480"/>
        <w:spacing w:line="480" w:lineRule="exact"/>
        <w:rPr>
          <w:rFonts w:ascii="宋体" w:hAnsi="宋体"/>
          <w:sz w:val="24"/>
          <w:highlight w:val="none"/>
        </w:rPr>
      </w:pPr>
      <w:r>
        <w:rPr>
          <w:rFonts w:hint="eastAsia" w:ascii="宋体" w:hAnsi="宋体"/>
          <w:sz w:val="24"/>
          <w:highlight w:val="none"/>
        </w:rPr>
        <w:t xml:space="preserve">21.2.1投标人可在投标截止时间前，对其电子投标文件进行修改，具体操作方法见《操作手册》。</w:t>
      </w:r>
      <w:r/>
    </w:p>
    <w:p>
      <w:pPr>
        <w:ind w:firstLine="480"/>
        <w:spacing w:line="500" w:lineRule="exact"/>
        <w:rPr>
          <w:rFonts w:ascii="宋体" w:hAnsi="宋体"/>
          <w:bCs/>
          <w:sz w:val="24"/>
          <w:highlight w:val="none"/>
        </w:rPr>
      </w:pPr>
      <w:r>
        <w:rPr>
          <w:rFonts w:hint="eastAsia" w:ascii="宋体" w:hAnsi="宋体"/>
          <w:sz w:val="24"/>
          <w:highlight w:val="none"/>
        </w:rPr>
        <w:t xml:space="preserve">21.2.2</w:t>
      </w:r>
      <w:r>
        <w:rPr>
          <w:rFonts w:hint="eastAsia" w:ascii="宋体" w:hAnsi="宋体"/>
          <w:bCs/>
          <w:sz w:val="24"/>
          <w:highlight w:val="none"/>
        </w:rPr>
        <w:t xml:space="preserve"> 在投标截止时间之后，投标人不得对其电子投标文件作任何修改。</w:t>
      </w:r>
      <w:r/>
    </w:p>
    <w:p>
      <w:pPr>
        <w:ind w:firstLine="480"/>
        <w:spacing w:line="500" w:lineRule="exact"/>
        <w:rPr>
          <w:rFonts w:ascii="宋体" w:hAnsi="宋体"/>
          <w:bCs/>
          <w:sz w:val="24"/>
          <w:highlight w:val="none"/>
        </w:rPr>
      </w:pPr>
      <w:r>
        <w:rPr>
          <w:rFonts w:hint="eastAsia" w:ascii="宋体" w:hAnsi="宋体"/>
          <w:sz w:val="24"/>
          <w:highlight w:val="none"/>
        </w:rPr>
        <w:t xml:space="preserve">21.3</w:t>
      </w:r>
      <w:r>
        <w:rPr>
          <w:rFonts w:hint="eastAsia" w:ascii="宋体" w:hAnsi="宋体"/>
          <w:bCs/>
          <w:sz w:val="24"/>
          <w:highlight w:val="none"/>
        </w:rPr>
        <w:t xml:space="preserve"> 在投标截止时间至招标文件中规定的投标有效期满之间的这段时间内，投标人不得撤回其投标。</w:t>
      </w:r>
      <w:r/>
    </w:p>
    <w:p>
      <w:pPr>
        <w:pStyle w:val="878"/>
        <w:ind w:firstLine="482"/>
        <w:spacing w:before="145" w:after="145" w:line="360" w:lineRule="auto"/>
        <w:rPr>
          <w:highlight w:val="none"/>
        </w:rPr>
      </w:pPr>
      <w:r>
        <w:rPr>
          <w:rFonts w:hint="eastAsia"/>
          <w:highlight w:val="none"/>
        </w:rPr>
        <w:t xml:space="preserve">五、开标与评标</w:t>
      </w:r>
      <w:r/>
    </w:p>
    <w:p>
      <w:pPr>
        <w:pStyle w:val="879"/>
        <w:ind w:firstLine="420"/>
        <w:spacing w:before="0" w:after="0" w:line="240" w:lineRule="auto"/>
        <w:rPr>
          <w:b w:val="0"/>
          <w:bCs w:val="0"/>
          <w:highlight w:val="none"/>
        </w:rPr>
      </w:pPr>
      <w:r>
        <w:rPr>
          <w:rFonts w:hint="eastAsia"/>
          <w:b w:val="0"/>
          <w:bCs w:val="0"/>
          <w:highlight w:val="none"/>
        </w:rPr>
        <w:t xml:space="preserve">22、开标</w:t>
      </w:r>
      <w:r/>
    </w:p>
    <w:p>
      <w:pPr>
        <w:ind w:firstLine="360"/>
        <w:rPr>
          <w:highlight w:val="none"/>
        </w:rPr>
      </w:pPr>
      <w:r>
        <w:rPr>
          <w:rFonts w:hint="eastAsia" w:ascii="宋体" w:hAnsi="宋体"/>
          <w:sz w:val="24"/>
          <w:highlight w:val="none"/>
        </w:rPr>
        <w:t xml:space="preserve">22.1</w:t>
      </w:r>
      <w:r>
        <w:rPr>
          <w:rFonts w:hint="eastAsia" w:ascii="宋体" w:hAnsi="宋体"/>
          <w:bCs/>
          <w:sz w:val="24"/>
          <w:highlight w:val="none"/>
        </w:rPr>
        <w:t xml:space="preserve"> 招标代理机构将在招标公告中规定的时间和地点组织公开开标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22.2</w:t>
      </w:r>
      <w:r>
        <w:rPr>
          <w:rFonts w:hint="eastAsia" w:ascii="宋体" w:hAnsi="宋体"/>
          <w:sz w:val="24"/>
          <w:szCs w:val="24"/>
          <w:highlight w:val="none"/>
        </w:rPr>
        <w:t xml:space="preserve">开标仪式由招标代理机构组织。苏采云系统将自动对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500" w:lineRule="exact"/>
        <w:rPr>
          <w:rFonts w:ascii="宋体" w:hAnsi="宋体"/>
          <w:sz w:val="24"/>
          <w:szCs w:val="24"/>
          <w:highlight w:val="none"/>
        </w:rPr>
      </w:pPr>
      <w:r>
        <w:rPr>
          <w:rFonts w:hint="eastAsia" w:ascii="宋体" w:hAnsi="宋体"/>
          <w:bCs/>
          <w:sz w:val="24"/>
          <w:highlight w:val="none"/>
        </w:rPr>
        <w:t xml:space="preserve">22.3投标人在开标过程中涉及到的投标文件解密、开标结果确认等工作，应按照《操作手册》规定执行。</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79"/>
        <w:ind w:firstLine="420"/>
        <w:spacing w:before="0" w:after="0" w:line="240" w:lineRule="auto"/>
        <w:rPr>
          <w:b w:val="0"/>
          <w:bCs w:val="0"/>
          <w:highlight w:val="none"/>
        </w:rPr>
      </w:pPr>
      <w:r>
        <w:rPr>
          <w:rFonts w:hint="eastAsia"/>
          <w:b w:val="0"/>
          <w:bCs w:val="0"/>
          <w:highlight w:val="none"/>
        </w:rPr>
        <w:t xml:space="preserve">23、评标委员会</w:t>
      </w:r>
      <w:r/>
    </w:p>
    <w:p>
      <w:pPr>
        <w:spacing w:line="48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23.1</w:t>
      </w:r>
      <w:r>
        <w:rPr>
          <w:rFonts w:hint="eastAsia" w:ascii="宋体" w:hAnsi="宋体"/>
          <w:b/>
          <w:sz w:val="24"/>
          <w:szCs w:val="24"/>
          <w:highlight w:val="none"/>
        </w:rPr>
        <w:t xml:space="preserve"> </w:t>
      </w:r>
      <w:r>
        <w:rPr>
          <w:rFonts w:hint="eastAsia" w:ascii="宋体" w:hAnsi="宋体"/>
          <w:sz w:val="24"/>
          <w:szCs w:val="24"/>
          <w:highlight w:val="none"/>
        </w:rPr>
        <w:t xml:space="preserve">开标后，招标代理机构将立即组织评标委员会（以下简称评委会）进行评标。</w:t>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23.2 评委会由采购人代表和有关技术、经济等方面的专家组成，且人员构成符合政府采购有关规定。</w:t>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23.3评委会独立工作，负责评审所有投标文件并确定中标侯选人。</w:t>
      </w:r>
      <w:r/>
    </w:p>
    <w:p>
      <w:pPr>
        <w:pStyle w:val="879"/>
        <w:ind w:firstLine="420"/>
        <w:spacing w:before="0" w:after="0" w:line="240" w:lineRule="auto"/>
        <w:rPr>
          <w:rFonts w:ascii="黑体"/>
          <w:b w:val="0"/>
          <w:bCs w:val="0"/>
          <w:highlight w:val="none"/>
        </w:rPr>
      </w:pPr>
      <w:r>
        <w:rPr>
          <w:rFonts w:hint="eastAsia" w:ascii="黑体"/>
          <w:b w:val="0"/>
          <w:bCs w:val="0"/>
          <w:highlight w:val="none"/>
        </w:rPr>
        <w:t xml:space="preserve">24、评标过程的保密与公正</w:t>
      </w:r>
      <w:r/>
    </w:p>
    <w:p>
      <w:pPr>
        <w:ind w:firstLine="480"/>
        <w:spacing w:line="500" w:lineRule="exact"/>
        <w:rPr>
          <w:rFonts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凡是与审查、澄清、评价和比较投标的有关资料以及授标建议等，采购人、评委、招标代理机构均不得向投标人或与评标无关的其他人员透露。</w:t>
      </w:r>
      <w:r/>
    </w:p>
    <w:p>
      <w:pPr>
        <w:ind w:firstLine="480"/>
        <w:spacing w:line="480" w:lineRule="exact"/>
        <w:rPr>
          <w:rFonts w:ascii="宋体" w:hAnsi="宋体"/>
          <w:sz w:val="24"/>
          <w:szCs w:val="24"/>
          <w:highlight w:val="none"/>
        </w:rPr>
      </w:pPr>
      <w:r>
        <w:rPr>
          <w:rFonts w:hint="eastAsia" w:ascii="宋体" w:hAnsi="宋体"/>
          <w:sz w:val="24"/>
          <w:highlight w:val="none"/>
        </w:rPr>
        <w:t xml:space="preserve">24.2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24.</w:t>
      </w:r>
      <w:r>
        <w:rPr>
          <w:rFonts w:ascii="宋体" w:hAnsi="宋体"/>
          <w:sz w:val="24"/>
          <w:szCs w:val="24"/>
          <w:highlight w:val="none"/>
        </w:rPr>
        <w:t xml:space="preserve">3</w:t>
      </w:r>
      <w:r>
        <w:rPr>
          <w:rFonts w:hint="eastAsia" w:ascii="宋体" w:hAnsi="宋体"/>
          <w:sz w:val="24"/>
          <w:szCs w:val="24"/>
          <w:highlight w:val="none"/>
        </w:rPr>
        <w:t xml:space="preserve"> 招标代理机构和评标委员会不向未中标的投标人解释未中标原因，也不公布评标过程中的相关细节。</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24.4 采用综合评分法的项目，未中标的投标人可于中标结果公告期限届满之日起通过苏采云系统查看自己的评审得分及排序情况。</w:t>
      </w:r>
      <w:r/>
    </w:p>
    <w:p>
      <w:pPr>
        <w:pStyle w:val="879"/>
        <w:ind w:firstLine="420"/>
        <w:spacing w:before="0" w:after="0" w:line="240" w:lineRule="auto"/>
        <w:rPr>
          <w:b w:val="0"/>
          <w:bCs w:val="0"/>
          <w:highlight w:val="none"/>
        </w:rPr>
      </w:pPr>
      <w:r>
        <w:rPr>
          <w:rFonts w:hint="eastAsia"/>
          <w:b w:val="0"/>
          <w:bCs w:val="0"/>
          <w:highlight w:val="none"/>
        </w:rPr>
        <w:t xml:space="preserve">25、投标文件的澄清</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highlight w:val="none"/>
        </w:rPr>
      </w:pPr>
      <w:r>
        <w:rPr>
          <w:rFonts w:hint="eastAsia" w:ascii="宋体" w:hAnsi="宋体"/>
          <w:sz w:val="24"/>
          <w:szCs w:val="24"/>
          <w:highlight w:val="none"/>
        </w:rPr>
        <w:t xml:space="preserve">    25.3 接到评委会澄清、说明和补正要求的投标人如未按规定做出澄清、说明和补正，其风险由投标人自行承担。</w:t>
      </w:r>
      <w:r/>
    </w:p>
    <w:p>
      <w:pPr>
        <w:pStyle w:val="879"/>
        <w:ind w:firstLine="420"/>
        <w:spacing w:before="0" w:after="0" w:line="240" w:lineRule="auto"/>
        <w:rPr>
          <w:b w:val="0"/>
          <w:bCs w:val="0"/>
          <w:highlight w:val="none"/>
        </w:rPr>
      </w:pPr>
      <w:r>
        <w:rPr>
          <w:rFonts w:hint="eastAsia"/>
          <w:b w:val="0"/>
          <w:bCs w:val="0"/>
          <w:highlight w:val="none"/>
        </w:rPr>
        <w:t xml:space="preserve">26、对投标文件的初审</w:t>
      </w:r>
      <w:r/>
    </w:p>
    <w:p>
      <w:pPr>
        <w:ind w:firstLine="480"/>
        <w:spacing w:line="460" w:lineRule="exact"/>
        <w:rPr>
          <w:rFonts w:ascii="宋体" w:hAnsi="宋体"/>
          <w:bCs/>
          <w:sz w:val="24"/>
          <w:highlight w:val="none"/>
        </w:rPr>
      </w:pPr>
      <w:r>
        <w:rPr>
          <w:rFonts w:hint="eastAsia" w:ascii="宋体" w:hAnsi="宋体"/>
          <w:sz w:val="24"/>
          <w:highlight w:val="none"/>
        </w:rPr>
        <w:t xml:space="preserve">26.1</w:t>
      </w:r>
      <w:r>
        <w:rPr>
          <w:rFonts w:hint="eastAsia" w:ascii="宋体" w:hAnsi="宋体"/>
          <w:bCs/>
          <w:sz w:val="24"/>
          <w:highlight w:val="none"/>
        </w:rPr>
        <w:t xml:space="preserve">投标文件初审分为资格审查和符合性审查。</w:t>
      </w:r>
      <w:r/>
    </w:p>
    <w:p>
      <w:pPr>
        <w:ind w:firstLine="480"/>
        <w:spacing w:line="460" w:lineRule="exact"/>
        <w:rPr>
          <w:rFonts w:ascii="宋体" w:hAnsi="宋体"/>
          <w:bCs/>
          <w:sz w:val="24"/>
          <w:highlight w:val="none"/>
        </w:rPr>
      </w:pPr>
      <w:r>
        <w:rPr>
          <w:rFonts w:hint="eastAsia" w:ascii="宋体" w:hAnsi="宋体"/>
          <w:bCs/>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highlight w:val="none"/>
        </w:rPr>
      </w:pPr>
      <w:r>
        <w:rPr>
          <w:rFonts w:hint="eastAsia" w:ascii="宋体" w:hAnsi="宋体"/>
          <w:bCs/>
          <w:sz w:val="24"/>
          <w:highlight w:val="none"/>
        </w:rPr>
        <w:t xml:space="preserve">采购人在进行资格性审查的同时，将在“信用中国”网站（www.creditchina.gov.cn）和</w:t>
      </w:r>
      <w:r>
        <w:rPr>
          <w:rFonts w:hint="eastAsia" w:ascii="宋体" w:hAnsi="宋体"/>
          <w:sz w:val="24"/>
          <w:szCs w:val="24"/>
          <w:highlight w:val="none"/>
        </w:rPr>
        <w:t xml:space="preserve">“中国政府采购网"(www.ccgp.gov.cn)</w:t>
      </w:r>
      <w:r>
        <w:rPr>
          <w:rFonts w:hint="eastAsia" w:ascii="宋体" w:hAnsi="宋体"/>
          <w:bCs/>
          <w:sz w:val="24"/>
          <w:highlight w:val="none"/>
        </w:rPr>
        <w:t xml:space="preserve">查询投标人的信用记录，以确定投标人是否具备投标资格。</w:t>
      </w:r>
      <w:r/>
    </w:p>
    <w:p>
      <w:pPr>
        <w:ind w:firstLine="480"/>
        <w:spacing w:line="460" w:lineRule="exact"/>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highlight w:val="none"/>
        </w:rPr>
      </w:pPr>
      <w:r>
        <w:rPr>
          <w:rFonts w:hint="eastAsia" w:ascii="宋体" w:hAnsi="宋体"/>
          <w:bCs/>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highlight w:val="none"/>
        </w:rPr>
      </w:pPr>
      <w:r>
        <w:rPr>
          <w:rFonts w:hint="eastAsia" w:ascii="宋体" w:hAnsi="宋体"/>
          <w:bCs/>
          <w:sz w:val="24"/>
          <w:highlight w:val="none"/>
        </w:rPr>
        <w:t xml:space="preserve">26.</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未通过资格审查或符合性审查的投标人，招标代理机构将在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招标代理机构</w:t>
      </w:r>
      <w:r>
        <w:rPr>
          <w:rFonts w:ascii="宋体" w:hAnsi="宋体"/>
          <w:bCs/>
          <w:sz w:val="24"/>
          <w:highlight w:val="none"/>
        </w:rPr>
        <w:t xml:space="preserve">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460" w:lineRule="exact"/>
        <w:rPr>
          <w:rFonts w:ascii="宋体" w:hAnsi="宋体"/>
          <w:sz w:val="24"/>
          <w:highlight w:val="none"/>
        </w:rPr>
      </w:pPr>
      <w:r>
        <w:rPr>
          <w:rFonts w:hint="eastAsia" w:ascii="宋体" w:hAnsi="宋体"/>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highlight w:val="none"/>
        </w:rPr>
      </w:pPr>
      <w:r>
        <w:rPr>
          <w:rFonts w:hint="eastAsia" w:ascii="宋体" w:hAnsi="宋体"/>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highlight w:val="none"/>
        </w:rPr>
      </w:pPr>
      <w:r>
        <w:rPr>
          <w:rFonts w:hint="eastAsia" w:ascii="宋体" w:hAnsi="宋体"/>
          <w:sz w:val="24"/>
          <w:highlight w:val="none"/>
        </w:rPr>
        <w:t xml:space="preserve">26.</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460" w:lineRule="exact"/>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460" w:lineRule="exact"/>
        <w:rPr>
          <w:rFonts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460" w:lineRule="exact"/>
        <w:rPr>
          <w:rFonts w:ascii="宋体" w:hAnsi="宋体"/>
          <w:bCs/>
          <w:sz w:val="24"/>
          <w:highlight w:val="none"/>
        </w:rPr>
      </w:pPr>
      <w:r>
        <w:rPr>
          <w:rFonts w:hint="eastAsia" w:ascii="宋体" w:hAnsi="宋体"/>
          <w:sz w:val="24"/>
          <w:highlight w:val="none"/>
        </w:rPr>
        <w:t xml:space="preserve">26.</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p>
    <w:p>
      <w:pPr>
        <w:ind w:firstLine="420"/>
        <w:spacing w:line="460" w:lineRule="exact"/>
        <w:rPr>
          <w:rFonts w:ascii="宋体" w:hAnsi="宋体"/>
          <w:sz w:val="24"/>
          <w:highlight w:val="none"/>
        </w:rPr>
      </w:pPr>
      <w:r>
        <w:rPr>
          <w:rFonts w:hint="eastAsia" w:ascii="宋体" w:hAnsi="宋体"/>
          <w:sz w:val="24"/>
          <w:highlight w:val="none"/>
        </w:rPr>
        <w:t xml:space="preserve">26.6投标人在开、评标全过程中应保持通讯畅通，及时登录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并安排专人与招标代理机构及评标委员会联系。</w:t>
      </w:r>
      <w:r/>
    </w:p>
    <w:p>
      <w:pPr>
        <w:pStyle w:val="879"/>
        <w:ind w:firstLine="420"/>
        <w:spacing w:before="0" w:after="0" w:line="240" w:lineRule="auto"/>
        <w:rPr>
          <w:b w:val="0"/>
          <w:bCs w:val="0"/>
          <w:highlight w:val="none"/>
        </w:rPr>
      </w:pPr>
      <w:r>
        <w:rPr>
          <w:rFonts w:hint="eastAsia"/>
          <w:b w:val="0"/>
          <w:bCs w:val="0"/>
          <w:highlight w:val="none"/>
        </w:rPr>
        <w:t xml:space="preserve">27、无效投标条款和废标条款</w:t>
      </w:r>
      <w:r/>
    </w:p>
    <w:p>
      <w:pPr>
        <w:ind w:left="479"/>
        <w:spacing w:line="440" w:lineRule="exact"/>
        <w:rPr>
          <w:rFonts w:ascii="宋体" w:hAnsi="宋体"/>
          <w:bCs/>
          <w:sz w:val="24"/>
          <w:highlight w:val="none"/>
        </w:rPr>
      </w:pPr>
      <w:r>
        <w:rPr>
          <w:rFonts w:hint="eastAsia" w:ascii="宋体" w:hAnsi="宋体"/>
          <w:bCs/>
          <w:sz w:val="24"/>
          <w:highlight w:val="none"/>
        </w:rPr>
        <w:t xml:space="preserve">27.1无效投标条款</w:t>
      </w:r>
      <w:r/>
    </w:p>
    <w:p>
      <w:pPr>
        <w:ind w:firstLine="480"/>
        <w:spacing w:line="440" w:lineRule="exact"/>
        <w:rPr>
          <w:rFonts w:ascii="宋体" w:hAnsi="宋体"/>
          <w:bCs/>
          <w:sz w:val="24"/>
          <w:szCs w:val="24"/>
          <w:highlight w:val="none"/>
        </w:rPr>
      </w:pPr>
      <w:r>
        <w:rPr>
          <w:rFonts w:hint="eastAsia" w:ascii="宋体" w:hAnsi="宋体"/>
          <w:bCs/>
          <w:sz w:val="24"/>
          <w:highlight w:val="none"/>
        </w:rPr>
        <w:t xml:space="preserve">27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440" w:lineRule="exact"/>
        <w:rPr>
          <w:rFonts w:ascii="宋体" w:hAnsi="宋体"/>
          <w:bCs/>
          <w:sz w:val="24"/>
          <w:highlight w:val="none"/>
        </w:rPr>
      </w:pPr>
      <w:r>
        <w:rPr>
          <w:rFonts w:hint="eastAsia" w:ascii="宋体" w:hAnsi="宋体"/>
          <w:bCs/>
          <w:sz w:val="24"/>
          <w:highlight w:val="none"/>
        </w:rPr>
        <w:t xml:space="preserve">27.1.2 投标人未按照招标文件要求上传电子投标文件的。</w:t>
      </w:r>
      <w:r/>
    </w:p>
    <w:p>
      <w:pPr>
        <w:ind w:left="479"/>
        <w:spacing w:line="440" w:lineRule="exact"/>
        <w:rPr>
          <w:rFonts w:ascii="宋体" w:hAnsi="宋体"/>
          <w:bCs/>
          <w:sz w:val="24"/>
          <w:highlight w:val="none"/>
        </w:rPr>
      </w:pPr>
      <w:r>
        <w:rPr>
          <w:rFonts w:hint="eastAsia" w:ascii="宋体" w:hAnsi="宋体"/>
          <w:bCs/>
          <w:sz w:val="24"/>
          <w:highlight w:val="none"/>
        </w:rPr>
        <w:t xml:space="preserve">27.1.3同一投标人提交两个（含两个）以上不同的投标报价的。</w:t>
      </w:r>
      <w:r/>
    </w:p>
    <w:p>
      <w:pPr>
        <w:ind w:left="479"/>
        <w:spacing w:line="440" w:lineRule="exact"/>
        <w:rPr>
          <w:rFonts w:ascii="宋体" w:hAnsi="宋体"/>
          <w:bCs/>
          <w:sz w:val="24"/>
          <w:highlight w:val="none"/>
        </w:rPr>
      </w:pPr>
      <w:r>
        <w:rPr>
          <w:rFonts w:hint="eastAsia" w:ascii="宋体" w:hAnsi="宋体"/>
          <w:bCs/>
          <w:sz w:val="24"/>
          <w:highlight w:val="none"/>
        </w:rPr>
        <w:t xml:space="preserve">27.1.4投标人不具备招标文件中规定资格要求的。</w:t>
      </w:r>
      <w:r/>
    </w:p>
    <w:p>
      <w:pPr>
        <w:ind w:firstLine="480"/>
        <w:spacing w:line="440" w:lineRule="exact"/>
        <w:rPr>
          <w:rFonts w:ascii="宋体" w:hAnsi="宋体"/>
          <w:bCs/>
          <w:sz w:val="24"/>
          <w:highlight w:val="none"/>
        </w:rPr>
      </w:pPr>
      <w:r>
        <w:rPr>
          <w:rFonts w:hint="eastAsia" w:ascii="宋体" w:hAnsi="宋体"/>
          <w:bCs/>
          <w:sz w:val="24"/>
          <w:highlight w:val="none"/>
        </w:rPr>
        <w:t xml:space="preserve">27.1.5投标人的报价超过了采购预算或最高限价的。</w:t>
      </w:r>
      <w:r/>
    </w:p>
    <w:p>
      <w:pPr>
        <w:ind w:firstLine="480"/>
        <w:spacing w:line="440" w:lineRule="exact"/>
        <w:rPr>
          <w:rFonts w:ascii="宋体" w:hAnsi="宋体"/>
          <w:bCs/>
          <w:sz w:val="24"/>
          <w:highlight w:val="none"/>
        </w:rPr>
      </w:pPr>
      <w:r>
        <w:rPr>
          <w:rFonts w:hint="eastAsia" w:ascii="宋体" w:hAnsi="宋体"/>
          <w:bCs/>
          <w:sz w:val="24"/>
          <w:highlight w:val="none"/>
        </w:rPr>
        <w:t xml:space="preserve">27.1.6未通过符合性审查的。</w:t>
      </w:r>
      <w:r/>
    </w:p>
    <w:p>
      <w:pPr>
        <w:ind w:firstLine="360"/>
        <w:spacing w:line="440" w:lineRule="exact"/>
        <w:rPr>
          <w:rFonts w:ascii="宋体" w:hAnsi="宋体"/>
          <w:bCs/>
          <w:sz w:val="24"/>
          <w:highlight w:val="none"/>
        </w:rPr>
      </w:pPr>
      <w:r>
        <w:rPr>
          <w:rFonts w:hint="eastAsia" w:ascii="宋体" w:hAnsi="宋体"/>
          <w:bCs/>
          <w:sz w:val="24"/>
          <w:highlight w:val="none"/>
        </w:rPr>
        <w:t xml:space="preserve"> 27.1.7不符合招标文件中规定的实质性要求和条件的（</w:t>
      </w:r>
      <w:r>
        <w:rPr>
          <w:rFonts w:hint="eastAsia" w:ascii="宋体" w:hAnsi="宋体"/>
          <w:bCs/>
          <w:i/>
          <w:iCs/>
          <w:sz w:val="24"/>
          <w:highlight w:val="none"/>
          <w:u w:val="single"/>
        </w:rPr>
        <w:t xml:space="preserve">本招标文件中斜体且有下划线部分为实质性要求和条件</w:t>
      </w:r>
      <w:r>
        <w:rPr>
          <w:rFonts w:hint="eastAsia" w:ascii="宋体" w:hAnsi="宋体"/>
          <w:bCs/>
          <w:sz w:val="24"/>
          <w:highlight w:val="none"/>
        </w:rPr>
        <w:t xml:space="preserve">）。</w:t>
      </w:r>
      <w:r/>
    </w:p>
    <w:p>
      <w:pPr>
        <w:ind w:firstLine="480"/>
        <w:spacing w:line="440" w:lineRule="exact"/>
        <w:rPr>
          <w:rFonts w:ascii="宋体" w:hAnsi="宋体"/>
          <w:bCs/>
          <w:sz w:val="24"/>
          <w:highlight w:val="none"/>
        </w:rPr>
      </w:pPr>
      <w:r>
        <w:rPr>
          <w:rFonts w:hint="eastAsia" w:ascii="宋体" w:hAnsi="宋体"/>
          <w:bCs/>
          <w:sz w:val="24"/>
          <w:highlight w:val="none"/>
        </w:rPr>
        <w:t xml:space="preserve">27.1.8 投标人被 “信用中国”网站（www.creditchina.gov.cn）列入失信被执行人或重大税收违法案件当事人名单，被</w:t>
      </w:r>
      <w:r>
        <w:rPr>
          <w:rFonts w:hint="eastAsia" w:ascii="宋体" w:hAnsi="宋体"/>
          <w:sz w:val="24"/>
          <w:szCs w:val="24"/>
          <w:highlight w:val="none"/>
        </w:rPr>
        <w:t xml:space="preserve">“中国政府采购网"(www.ccgp.gov.cn)列入政府采购严重失信行为记录名单，</w:t>
      </w:r>
      <w:r>
        <w:rPr>
          <w:rFonts w:hint="eastAsia" w:ascii="宋体" w:hAnsi="宋体"/>
          <w:bCs/>
          <w:sz w:val="24"/>
          <w:highlight w:val="none"/>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highlight w:val="none"/>
        </w:rPr>
      </w:pPr>
      <w:r>
        <w:rPr>
          <w:rFonts w:hint="eastAsia" w:ascii="宋体" w:hAnsi="宋体"/>
          <w:bCs/>
          <w:sz w:val="24"/>
          <w:highlight w:val="none"/>
        </w:rPr>
        <w:t xml:space="preserve">27.1.9 投标文件含有采购人不能接受的附加条件的。</w:t>
      </w:r>
      <w:r/>
    </w:p>
    <w:p>
      <w:pPr>
        <w:ind w:firstLine="480"/>
        <w:spacing w:line="440" w:lineRule="exact"/>
        <w:rPr>
          <w:rFonts w:ascii="宋体" w:hAnsi="宋体"/>
          <w:bCs/>
          <w:sz w:val="24"/>
          <w:highlight w:val="none"/>
        </w:rPr>
      </w:pPr>
      <w:r>
        <w:rPr>
          <w:rFonts w:hint="eastAsia" w:ascii="宋体" w:hAnsi="宋体"/>
          <w:bCs/>
          <w:sz w:val="24"/>
          <w:highlight w:val="none"/>
        </w:rPr>
        <w:t xml:space="preserve">27.1.10评标委员会认为投标人的报价明显低于其他通过符合性审查投标人的报价，有可能影响产品质量或者不能诚信履约的，将通过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highlight w:val="none"/>
        </w:rPr>
      </w:pPr>
      <w:r>
        <w:rPr>
          <w:rFonts w:hint="eastAsia" w:ascii="宋体" w:hAnsi="宋体"/>
          <w:bCs/>
          <w:sz w:val="24"/>
          <w:highlight w:val="none"/>
        </w:rPr>
        <w:t xml:space="preserve">27.1.11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p>
    <w:p>
      <w:pPr>
        <w:ind w:firstLine="480"/>
        <w:spacing w:line="440" w:lineRule="exact"/>
        <w:rPr>
          <w:rFonts w:ascii="宋体" w:hAnsi="宋体"/>
          <w:bCs/>
          <w:sz w:val="24"/>
          <w:highlight w:val="none"/>
        </w:rPr>
      </w:pPr>
      <w:r>
        <w:rPr>
          <w:rFonts w:hint="eastAsia" w:ascii="宋体" w:hAnsi="宋体"/>
          <w:bCs/>
          <w:sz w:val="24"/>
          <w:highlight w:val="none"/>
        </w:rPr>
        <w:t xml:space="preserve">27.1.12其他法律、法规及本招标文件规定的属无效投标的情形。</w:t>
      </w:r>
      <w:r/>
    </w:p>
    <w:p>
      <w:pPr>
        <w:ind w:left="479"/>
        <w:spacing w:line="440" w:lineRule="exact"/>
        <w:rPr>
          <w:rFonts w:ascii="宋体" w:hAnsi="宋体"/>
          <w:bCs/>
          <w:sz w:val="24"/>
          <w:highlight w:val="none"/>
        </w:rPr>
      </w:pPr>
      <w:r>
        <w:rPr>
          <w:rFonts w:hint="eastAsia" w:ascii="宋体" w:hAnsi="宋体"/>
          <w:bCs/>
          <w:sz w:val="24"/>
          <w:highlight w:val="none"/>
        </w:rPr>
        <w:t xml:space="preserve">27.2废标条款</w:t>
      </w:r>
      <w:r/>
    </w:p>
    <w:p>
      <w:pPr>
        <w:ind w:left="479"/>
        <w:spacing w:line="440" w:lineRule="exact"/>
        <w:rPr>
          <w:rFonts w:ascii="宋体" w:hAnsi="宋体"/>
          <w:bCs/>
          <w:sz w:val="24"/>
          <w:highlight w:val="none"/>
        </w:rPr>
      </w:pPr>
      <w:r>
        <w:rPr>
          <w:rFonts w:hint="eastAsia" w:ascii="宋体" w:hAnsi="宋体"/>
          <w:bCs/>
          <w:sz w:val="24"/>
          <w:highlight w:val="none"/>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highlight w:val="none"/>
        </w:rPr>
      </w:pPr>
      <w:r>
        <w:rPr>
          <w:rFonts w:hint="eastAsia" w:ascii="宋体" w:hAnsi="宋体"/>
          <w:bCs/>
          <w:sz w:val="24"/>
          <w:highlight w:val="none"/>
        </w:rPr>
        <w:t xml:space="preserve">27.2.3因重大变故，采购任务取消的。</w:t>
      </w:r>
      <w:r/>
    </w:p>
    <w:p>
      <w:pPr>
        <w:ind w:left="479"/>
        <w:spacing w:line="440" w:lineRule="exact"/>
        <w:rPr>
          <w:rFonts w:ascii="宋体" w:hAnsi="宋体"/>
          <w:bCs/>
          <w:sz w:val="24"/>
          <w:highlight w:val="none"/>
        </w:rPr>
      </w:pPr>
      <w:r>
        <w:rPr>
          <w:rFonts w:hint="eastAsia" w:ascii="宋体" w:hAnsi="宋体"/>
          <w:bCs/>
          <w:sz w:val="24"/>
          <w:highlight w:val="none"/>
        </w:rPr>
        <w:t xml:space="preserve">27.2.4评标委员会认定招标文件存在歧义、重大缺陷导致评审工作无法进行。</w:t>
      </w:r>
      <w:r/>
    </w:p>
    <w:p>
      <w:pPr>
        <w:ind w:left="479"/>
        <w:spacing w:line="440" w:lineRule="exact"/>
        <w:rPr>
          <w:rFonts w:ascii="宋体" w:hAnsi="宋体"/>
          <w:bCs/>
          <w:sz w:val="24"/>
          <w:highlight w:val="none"/>
        </w:rPr>
      </w:pPr>
      <w:r>
        <w:rPr>
          <w:rFonts w:hint="eastAsia" w:ascii="宋体" w:hAnsi="宋体"/>
          <w:bCs/>
          <w:sz w:val="24"/>
          <w:highlight w:val="none"/>
        </w:rPr>
        <w:t xml:space="preserve">27.2.5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left="479"/>
        <w:spacing w:line="440" w:lineRule="exact"/>
        <w:rPr>
          <w:rFonts w:ascii="宋体" w:hAnsi="宋体"/>
          <w:bCs/>
          <w:sz w:val="24"/>
          <w:highlight w:val="none"/>
        </w:rPr>
      </w:pPr>
      <w:r>
        <w:rPr>
          <w:rFonts w:hint="eastAsia" w:ascii="宋体" w:hAnsi="宋体"/>
          <w:bCs/>
          <w:sz w:val="24"/>
          <w:highlight w:val="none"/>
        </w:rPr>
        <w:t xml:space="preserve">27.3 投标截止时间结束后参加投标的供应商不足三家的处理：</w:t>
      </w:r>
      <w:r/>
    </w:p>
    <w:p>
      <w:pPr>
        <w:ind w:firstLine="480"/>
        <w:spacing w:line="440" w:lineRule="exact"/>
        <w:rPr>
          <w:rFonts w:ascii="宋体" w:hAnsi="宋体"/>
          <w:bCs/>
          <w:sz w:val="24"/>
          <w:highlight w:val="none"/>
        </w:rPr>
      </w:pPr>
      <w:r>
        <w:rPr>
          <w:rFonts w:hint="eastAsia" w:ascii="宋体" w:hAnsi="宋体"/>
          <w:bCs/>
          <w:sz w:val="24"/>
          <w:highlight w:val="none"/>
        </w:rPr>
        <w:t xml:space="preserve">27.3.1如出现投标截止时间结束后参加投标的供应商或者在评标期间对招标文件做出实质响应的供应商不足三家情况，按政府采购相关规定执行。</w:t>
      </w:r>
      <w:r/>
    </w:p>
    <w:p>
      <w:pPr>
        <w:pStyle w:val="878"/>
        <w:ind w:firstLine="482"/>
        <w:spacing w:before="145" w:after="145" w:line="360" w:lineRule="auto"/>
        <w:rPr>
          <w:highlight w:val="none"/>
        </w:rPr>
      </w:pPr>
      <w:r>
        <w:rPr>
          <w:rFonts w:hint="eastAsia"/>
          <w:highlight w:val="none"/>
        </w:rPr>
        <w:t xml:space="preserve">六、定标</w:t>
      </w:r>
      <w:r/>
    </w:p>
    <w:p>
      <w:pPr>
        <w:pStyle w:val="879"/>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28、确定中标单位</w:t>
      </w:r>
      <w:r/>
    </w:p>
    <w:p>
      <w:pPr>
        <w:ind w:firstLine="480"/>
        <w:spacing w:line="440" w:lineRule="exact"/>
        <w:rPr>
          <w:rFonts w:ascii="宋体" w:hAnsi="宋体"/>
          <w:bCs/>
          <w:sz w:val="24"/>
          <w:highlight w:val="none"/>
        </w:rPr>
      </w:pPr>
      <w:r>
        <w:rPr>
          <w:rFonts w:hint="eastAsia" w:ascii="宋体" w:hAnsi="宋体"/>
          <w:bCs/>
          <w:sz w:val="24"/>
          <w:highlight w:val="none"/>
        </w:rPr>
        <w:t xml:space="preserve">28.1中标候选人的选取原则和数量见招标文件第五章规定。 </w:t>
      </w:r>
      <w:r/>
    </w:p>
    <w:p>
      <w:pPr>
        <w:ind w:firstLine="480"/>
        <w:spacing w:line="440" w:lineRule="exact"/>
        <w:rPr>
          <w:rFonts w:ascii="宋体" w:hAnsi="宋体"/>
          <w:bCs/>
          <w:sz w:val="24"/>
          <w:highlight w:val="none"/>
        </w:rPr>
      </w:pPr>
      <w:r>
        <w:rPr>
          <w:rFonts w:hint="eastAsia" w:ascii="宋体" w:hAnsi="宋体"/>
          <w:bCs/>
          <w:sz w:val="24"/>
          <w:highlight w:val="none"/>
        </w:rPr>
        <w:t xml:space="preserve">28.2 采购人应根据评委会推荐的中标候选人确定中标人。</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28.3 </w:t>
      </w:r>
      <w:r>
        <w:rPr>
          <w:rFonts w:hint="eastAsia" w:ascii="宋体" w:hAnsi="宋体"/>
          <w:sz w:val="24"/>
          <w:szCs w:val="24"/>
          <w:highlight w:val="none"/>
        </w:rPr>
        <w:t xml:space="preserve">招标代理机构将在“江苏政府采购网”、“扬州市政府采购网”发布中标公告，公告期限为1个工作日。</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  若有充分证据证明，中标人出现下列情况之一的，一经查实，将被取消中标资格：</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28.4.1提供虚假材料谋取中标的。</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28.4.2向采购人、招标代理机构行贿或者提供其他不正当利益的。</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28.4.3属于本文件规定的无效条件，但在评标过程中又未被评委会发现的。</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28.4.4与采购人或者其他供应商恶意串通的。</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28.4.5采取不正当手段诋毁、排挤其他供应商的。</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28.5.1不同投标人的投标文件由同一单位或者个人编制。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28.5.2不同投标人委托同一单位或者个人办理投标事宜。</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28.5.3 不同投标人的投标文件载明的项目管理成员或者联系人员为同一人。</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28.5.4不同投标人的投标文件异常一致或者投标报价呈规律性差异。</w:t>
      </w:r>
      <w:r/>
    </w:p>
    <w:p>
      <w:pPr>
        <w:pStyle w:val="879"/>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29、质疑处理</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29.2供应商认为采购文件、采购过程和采购结果使自己的权益受到损害的，可以在知道或应知其权益受到损害之日起七个工作日内，以书面形式根据下述2</w:t>
      </w:r>
      <w:r>
        <w:rPr>
          <w:rFonts w:ascii="宋体" w:hAnsi="宋体"/>
          <w:sz w:val="24"/>
          <w:szCs w:val="24"/>
          <w:highlight w:val="none"/>
        </w:rPr>
        <w:t xml:space="preserve">9</w:t>
      </w:r>
      <w:r>
        <w:rPr>
          <w:rFonts w:hint="eastAsia" w:ascii="宋体" w:hAnsi="宋体"/>
          <w:sz w:val="24"/>
          <w:szCs w:val="24"/>
          <w:highlight w:val="none"/>
        </w:rPr>
        <w:t xml:space="preserve">.4条款的规定向招标代理机构或采购人提出质疑。上述应知其权益受到损害之日，是指：</w:t>
      </w:r>
      <w:r/>
    </w:p>
    <w:p>
      <w:pPr>
        <w:ind w:firstLine="480"/>
        <w:spacing w:line="480" w:lineRule="exact"/>
        <w:rPr>
          <w:rFonts w:hAnsi="宋体" w:cs="宋体"/>
          <w:sz w:val="24"/>
          <w:szCs w:val="24"/>
          <w:highlight w:val="none"/>
        </w:rPr>
      </w:pPr>
      <w:r>
        <w:rPr>
          <w:rFonts w:hint="eastAsia" w:ascii="宋体" w:hAnsi="宋体"/>
          <w:sz w:val="24"/>
          <w:szCs w:val="24"/>
          <w:highlight w:val="none"/>
        </w:rPr>
        <w:t xml:space="preserve">29.2.1</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480" w:lineRule="exact"/>
        <w:rPr>
          <w:rFonts w:hAnsi="宋体" w:cs="宋体"/>
          <w:sz w:val="24"/>
          <w:szCs w:val="24"/>
          <w:highlight w:val="none"/>
        </w:rPr>
      </w:pPr>
      <w:r>
        <w:rPr>
          <w:rFonts w:hint="eastAsia" w:ascii="宋体" w:hAnsi="宋体"/>
          <w:sz w:val="24"/>
          <w:szCs w:val="24"/>
          <w:highlight w:val="none"/>
        </w:rPr>
        <w:t xml:space="preserve">29.2.2</w:t>
      </w:r>
      <w:r>
        <w:rPr>
          <w:rFonts w:hAnsi="宋体" w:cs="宋体"/>
          <w:sz w:val="24"/>
          <w:szCs w:val="24"/>
          <w:highlight w:val="none"/>
        </w:rPr>
        <w:t xml:space="preserve">对采购过程提出质疑的，为各采购程序环节结束之日；</w:t>
      </w:r>
      <w:r/>
    </w:p>
    <w:p>
      <w:pPr>
        <w:ind w:firstLine="480"/>
        <w:spacing w:line="480" w:lineRule="exact"/>
        <w:rPr>
          <w:rFonts w:hAnsi="宋体" w:cs="宋体"/>
          <w:sz w:val="24"/>
          <w:szCs w:val="24"/>
          <w:highlight w:val="none"/>
        </w:rPr>
      </w:pPr>
      <w:r>
        <w:rPr>
          <w:rFonts w:hint="eastAsia" w:ascii="宋体" w:hAnsi="宋体"/>
          <w:sz w:val="24"/>
          <w:szCs w:val="24"/>
          <w:highlight w:val="none"/>
        </w:rPr>
        <w:t xml:space="preserve">29.2.3</w:t>
      </w:r>
      <w:r>
        <w:rPr>
          <w:rFonts w:hAnsi="宋体" w:cs="宋体"/>
          <w:sz w:val="24"/>
          <w:szCs w:val="24"/>
          <w:highlight w:val="none"/>
        </w:rPr>
        <w:t xml:space="preserve">对中标或者成交结果提出质疑的，为中标或者成交结果公告期限届满之日。</w:t>
      </w:r>
      <w:r/>
    </w:p>
    <w:p>
      <w:pPr>
        <w:ind w:firstLine="480"/>
        <w:spacing w:line="480" w:lineRule="exact"/>
        <w:rPr>
          <w:rFonts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供应商应当在法定质疑期内一次性提出针对同一采购程序环节的质疑。供应商如在法定期限内对同一采购程序环节提出多次质疑的，招标代理机构、</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采购人及招标代理机构只接收以纸质原件形式送达的质疑,建议供应商尽量通过邮寄方式提交质疑（采购人和招标代理机构不接受未填写快递运单的快件）。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招标代理机构质疑接受人及联系方式详见招标文件第一章。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 以下情形的质疑不予受理</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29.5.1 内容不符合《政府采购质疑和投诉办法》第十二条规定的质疑。</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29.5.2 超出政府采购法定期限的质疑。</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29.5.3 以传真、电子邮件等方式递交的非原件形式的质疑。</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29.5.4 未参加投标活动的供应商或在投标活动中自身权益未受到损害的供应商所提出的质疑。</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29.5.5供应商组成联合体参加投标，联合体中任何一方或多方未按要求签字、盖章、加盖公章的质疑。</w:t>
      </w:r>
      <w:r/>
    </w:p>
    <w:p>
      <w:pPr>
        <w:ind w:firstLine="468"/>
        <w:spacing w:line="480" w:lineRule="exact"/>
        <w:rPr>
          <w:rFonts w:ascii="宋体" w:hAnsi="宋体"/>
          <w:sz w:val="24"/>
          <w:szCs w:val="24"/>
          <w:highlight w:val="none"/>
        </w:rPr>
      </w:pPr>
      <w:r>
        <w:rPr>
          <w:rFonts w:hint="eastAsia" w:ascii="宋体" w:hAnsi="宋体"/>
          <w:sz w:val="24"/>
          <w:szCs w:val="24"/>
          <w:highlight w:val="none"/>
        </w:rPr>
        <w:t xml:space="preserve">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879"/>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30、中标通知书</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30.l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30.</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78"/>
        <w:spacing w:before="145" w:after="145" w:line="360" w:lineRule="auto"/>
        <w:rPr>
          <w:highlight w:val="none"/>
        </w:rPr>
      </w:pPr>
      <w:r>
        <w:rPr>
          <w:rFonts w:hint="eastAsia"/>
          <w:highlight w:val="none"/>
        </w:rPr>
        <w:t xml:space="preserve">七、授予合同</w:t>
      </w:r>
      <w:r/>
    </w:p>
    <w:p>
      <w:pPr>
        <w:pStyle w:val="879"/>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31. 签订合同</w:t>
      </w:r>
      <w:r/>
    </w:p>
    <w:p>
      <w:pPr>
        <w:ind w:firstLine="600"/>
        <w:spacing w:line="480" w:lineRule="exact"/>
        <w:rPr>
          <w:rFonts w:ascii="宋体" w:hAnsi="宋体"/>
          <w:sz w:val="24"/>
          <w:szCs w:val="24"/>
          <w:highlight w:val="none"/>
        </w:rPr>
      </w:pPr>
      <w:r>
        <w:rPr>
          <w:rFonts w:hint="eastAsia" w:ascii="宋体" w:hAnsi="宋体"/>
          <w:bCs/>
          <w:sz w:val="24"/>
          <w:szCs w:val="24"/>
          <w:highlight w:val="none"/>
        </w:rPr>
        <w:t xml:space="preserve">31</w:t>
      </w:r>
      <w:r>
        <w:rPr>
          <w:rFonts w:hint="eastAsia" w:ascii="宋体" w:hAnsi="宋体"/>
          <w:sz w:val="24"/>
          <w:szCs w:val="24"/>
          <w:highlight w:val="none"/>
        </w:rPr>
        <w:t xml:space="preserve">.l中标人应当在中标通知书发出之日起十五日内，按照招标文件确定的事项与采购人签订政府采购合同。</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31.2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31.3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rPr>
          <w:rFonts w:hint="eastAsia" w:ascii="宋体" w:hAnsi="宋体"/>
          <w:sz w:val="24"/>
          <w:szCs w:val="24"/>
          <w:highlight w:val="none"/>
        </w:rPr>
      </w:pPr>
      <w:r>
        <w:rPr>
          <w:rFonts w:hint="eastAsia" w:ascii="宋体" w:hAnsi="宋体"/>
          <w:sz w:val="24"/>
          <w:szCs w:val="24"/>
          <w:highlight w:val="none"/>
        </w:rPr>
        <w:br w:type="page" w:clear="all"/>
      </w:r>
      <w:r/>
    </w:p>
    <w:p>
      <w:pPr>
        <w:pStyle w:val="710"/>
        <w:ind w:firstLine="2640"/>
        <w:jc w:val="both"/>
        <w:rPr>
          <w:rFonts w:ascii="黑体" w:eastAsia="黑体"/>
          <w:bCs/>
          <w:sz w:val="44"/>
          <w:highlight w:val="none"/>
        </w:rPr>
      </w:pPr>
      <w:r>
        <w:rPr>
          <w:rFonts w:hint="eastAsia" w:ascii="黑体" w:eastAsia="黑体"/>
          <w:bCs/>
          <w:sz w:val="44"/>
          <w:highlight w:val="none"/>
        </w:rPr>
        <w:t xml:space="preserve">第三章  合同文本</w:t>
      </w:r>
      <w:r/>
    </w:p>
    <w:p>
      <w:pPr>
        <w:ind w:firstLine="480"/>
        <w:spacing w:line="500" w:lineRule="exact"/>
        <w:rPr>
          <w:rFonts w:ascii="宋体" w:hAnsi="宋体"/>
          <w:bCs/>
          <w:sz w:val="24"/>
          <w:szCs w:val="22"/>
          <w:highlight w:val="none"/>
        </w:rPr>
      </w:pPr>
      <w:r>
        <w:rPr>
          <w:rFonts w:hint="eastAsia" w:ascii="宋体" w:hAnsi="宋体"/>
          <w:bCs/>
          <w:sz w:val="24"/>
          <w:szCs w:val="22"/>
          <w:highlight w:val="none"/>
        </w:rPr>
        <w:t xml:space="preserve">以下为中标后签定本项目合同的通用条款，中标人不得提出实质性的修改，关于专用条款将由采购人与中标人结合本项目具体情况协商后签订。</w:t>
      </w:r>
      <w:r/>
    </w:p>
    <w:p>
      <w:pPr>
        <w:jc w:val="center"/>
        <w:spacing w:before="145" w:after="145"/>
        <w:rPr>
          <w:rFonts w:ascii="宋体" w:hAnsi="宋体"/>
          <w:b/>
          <w:bCs/>
          <w:sz w:val="30"/>
          <w:szCs w:val="20"/>
          <w:highlight w:val="none"/>
        </w:rPr>
        <w:outlineLvl w:val="0"/>
      </w:pPr>
      <w:r>
        <w:rPr>
          <w:rFonts w:hint="eastAsia" w:ascii="宋体" w:hAnsi="宋体"/>
          <w:b/>
          <w:sz w:val="30"/>
          <w:szCs w:val="22"/>
          <w:highlight w:val="none"/>
        </w:rPr>
        <w:t xml:space="preserve">江苏省政府采购合同（货物）（合同编号）</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项目名称：</w:t>
      </w:r>
      <w:r>
        <w:rPr>
          <w:rFonts w:eastAsia="Times New Roman"/>
          <w:color w:val="000000"/>
          <w:sz w:val="24"/>
          <w:szCs w:val="22"/>
          <w:highlight w:val="none"/>
        </w:rPr>
        <w:t xml:space="preserve">_____</w:t>
      </w:r>
      <w:r>
        <w:rPr>
          <w:rFonts w:eastAsia="Times New Roman"/>
          <w:color w:val="000000"/>
          <w:sz w:val="24"/>
          <w:szCs w:val="22"/>
          <w:highlight w:val="none"/>
          <w:u w:val="single"/>
        </w:rPr>
        <w:t xml:space="preserve">   </w:t>
      </w:r>
      <w:r>
        <w:rPr>
          <w:rFonts w:eastAsia="Times New Roman"/>
          <w:color w:val="000000"/>
          <w:sz w:val="24"/>
          <w:szCs w:val="22"/>
          <w:highlight w:val="none"/>
        </w:rPr>
        <w:t xml:space="preserve">_                                       </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项目编号：</w:t>
      </w:r>
      <w:r>
        <w:rPr>
          <w:rFonts w:eastAsia="Times New Roman"/>
          <w:color w:val="000000"/>
          <w:sz w:val="24"/>
          <w:szCs w:val="22"/>
          <w:highlight w:val="none"/>
        </w:rPr>
        <w:t xml:space="preserve">_____</w:t>
      </w:r>
      <w:r>
        <w:rPr>
          <w:rFonts w:eastAsia="Times New Roman"/>
          <w:color w:val="000000"/>
          <w:sz w:val="24"/>
          <w:szCs w:val="22"/>
          <w:highlight w:val="none"/>
          <w:u w:val="single"/>
        </w:rPr>
        <w:t xml:space="preserve">   </w:t>
      </w:r>
      <w:r>
        <w:rPr>
          <w:rFonts w:eastAsia="Times New Roman"/>
          <w:color w:val="000000"/>
          <w:sz w:val="24"/>
          <w:szCs w:val="22"/>
          <w:highlight w:val="none"/>
        </w:rPr>
        <w:t xml:space="preserve">_</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甲方：（买方）</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乙方：（卖方）</w:t>
      </w:r>
      <w:r>
        <w:rPr>
          <w:rFonts w:eastAsia="Times New Roman"/>
          <w:color w:val="000000"/>
          <w:sz w:val="24"/>
          <w:szCs w:val="22"/>
          <w:highlight w:val="none"/>
        </w:rPr>
        <w:t xml:space="preserve">_________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甲、乙双方根据</w:t>
      </w:r>
      <w:r>
        <w:rPr>
          <w:rFonts w:hint="eastAsia" w:ascii="宋体" w:hAnsi="宋体"/>
          <w:sz w:val="24"/>
          <w:szCs w:val="24"/>
          <w:highlight w:val="none"/>
          <w:u w:val="single"/>
        </w:rPr>
        <w:t xml:space="preserve">（项目名称）</w:t>
      </w:r>
      <w:r>
        <w:rPr>
          <w:rFonts w:ascii="宋体" w:hAnsi="宋体" w:cs="宋体"/>
          <w:color w:val="000000"/>
          <w:sz w:val="24"/>
          <w:szCs w:val="22"/>
          <w:highlight w:val="none"/>
        </w:rPr>
        <w:t xml:space="preserve">公开招标的结果，签署本合同。</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一、合同内容</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1.1 </w:t>
      </w:r>
      <w:r>
        <w:rPr>
          <w:rFonts w:ascii="宋体" w:hAnsi="宋体" w:cs="宋体"/>
          <w:color w:val="000000"/>
          <w:sz w:val="24"/>
          <w:szCs w:val="22"/>
          <w:highlight w:val="none"/>
        </w:rPr>
        <w:t xml:space="preserve">标的名称：</w:t>
      </w:r>
      <w:r>
        <w:rPr>
          <w:rFonts w:eastAsia="Times New Roman"/>
          <w:color w:val="000000"/>
          <w:sz w:val="24"/>
          <w:szCs w:val="22"/>
          <w:highlight w:val="none"/>
        </w:rPr>
        <w:t xml:space="preserve">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 </w:t>
      </w:r>
      <w:r>
        <w:rPr>
          <w:rFonts w:ascii="宋体" w:hAnsi="宋体" w:cs="宋体"/>
          <w:color w:val="000000"/>
          <w:sz w:val="24"/>
          <w:szCs w:val="22"/>
          <w:highlight w:val="none"/>
        </w:rPr>
        <w:t xml:space="preserve">标的质量：</w:t>
      </w:r>
      <w:r>
        <w:rPr>
          <w:rFonts w:eastAsia="Times New Roman"/>
          <w:color w:val="000000"/>
          <w:sz w:val="24"/>
          <w:szCs w:val="22"/>
          <w:highlight w:val="none"/>
        </w:rPr>
        <w:t xml:space="preserve">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1.3 </w:t>
      </w:r>
      <w:r>
        <w:rPr>
          <w:rFonts w:ascii="宋体" w:hAnsi="宋体" w:cs="宋体"/>
          <w:color w:val="000000"/>
          <w:sz w:val="24"/>
          <w:szCs w:val="22"/>
          <w:highlight w:val="none"/>
        </w:rPr>
        <w:t xml:space="preserve">标的数量（规模）：</w:t>
      </w:r>
      <w:r>
        <w:rPr>
          <w:rFonts w:eastAsia="Times New Roman"/>
          <w:color w:val="000000"/>
          <w:sz w:val="24"/>
          <w:szCs w:val="22"/>
          <w:highlight w:val="none"/>
        </w:rPr>
        <w:t xml:space="preserve">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1.4 </w:t>
      </w:r>
      <w:r>
        <w:rPr>
          <w:rFonts w:ascii="宋体" w:hAnsi="宋体" w:cs="宋体"/>
          <w:color w:val="000000"/>
          <w:sz w:val="24"/>
          <w:szCs w:val="22"/>
          <w:highlight w:val="none"/>
        </w:rPr>
        <w:t xml:space="preserve">履行时间（期限）：</w:t>
      </w:r>
      <w:r>
        <w:rPr>
          <w:rFonts w:eastAsia="Times New Roman"/>
          <w:color w:val="000000"/>
          <w:sz w:val="24"/>
          <w:szCs w:val="22"/>
          <w:highlight w:val="none"/>
        </w:rPr>
        <w:t xml:space="preserve">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1.5 </w:t>
      </w:r>
      <w:r>
        <w:rPr>
          <w:rFonts w:ascii="宋体" w:hAnsi="宋体" w:cs="宋体"/>
          <w:color w:val="000000"/>
          <w:sz w:val="24"/>
          <w:szCs w:val="22"/>
          <w:highlight w:val="none"/>
        </w:rPr>
        <w:t xml:space="preserve">履行地点：</w:t>
      </w:r>
      <w:r>
        <w:rPr>
          <w:rFonts w:eastAsia="Times New Roman"/>
          <w:color w:val="000000"/>
          <w:sz w:val="24"/>
          <w:szCs w:val="22"/>
          <w:highlight w:val="none"/>
        </w:rPr>
        <w:t xml:space="preserve">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1.6 </w:t>
      </w:r>
      <w:r>
        <w:rPr>
          <w:rFonts w:ascii="宋体" w:hAnsi="宋体" w:cs="宋体"/>
          <w:color w:val="000000"/>
          <w:sz w:val="24"/>
          <w:szCs w:val="22"/>
          <w:highlight w:val="none"/>
        </w:rPr>
        <w:t xml:space="preserve">履行方式：</w:t>
      </w:r>
      <w:r>
        <w:rPr>
          <w:rFonts w:eastAsia="Times New Roman"/>
          <w:color w:val="000000"/>
          <w:sz w:val="24"/>
          <w:szCs w:val="22"/>
          <w:highlight w:val="none"/>
        </w:rPr>
        <w:t xml:space="preserve">______</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1.7 </w:t>
      </w:r>
      <w:r>
        <w:rPr>
          <w:rFonts w:ascii="宋体" w:hAnsi="宋体" w:cs="宋体"/>
          <w:color w:val="000000"/>
          <w:sz w:val="24"/>
          <w:szCs w:val="22"/>
          <w:highlight w:val="none"/>
        </w:rPr>
        <w:t xml:space="preserve">包装方式：</w:t>
      </w:r>
      <w:r>
        <w:rPr>
          <w:rFonts w:eastAsia="Times New Roman"/>
          <w:color w:val="000000"/>
          <w:sz w:val="24"/>
          <w:szCs w:val="22"/>
          <w:highlight w:val="none"/>
        </w:rPr>
        <w:t xml:space="preserve">______</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二、合同金额</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2.1 </w:t>
      </w:r>
      <w:r>
        <w:rPr>
          <w:rFonts w:ascii="宋体" w:hAnsi="宋体" w:cs="宋体"/>
          <w:color w:val="000000"/>
          <w:sz w:val="24"/>
          <w:szCs w:val="22"/>
          <w:highlight w:val="none"/>
        </w:rPr>
        <w:t xml:space="preserve">本合同金额为（大写）：</w:t>
      </w:r>
      <w:r>
        <w:rPr>
          <w:rFonts w:eastAsia="Times New Roman"/>
          <w:color w:val="000000"/>
          <w:sz w:val="24"/>
          <w:szCs w:val="22"/>
          <w:highlight w:val="none"/>
        </w:rPr>
        <w:t xml:space="preserve">_______</w:t>
      </w:r>
      <w:r>
        <w:rPr>
          <w:rFonts w:ascii="宋体" w:hAnsi="宋体" w:cs="宋体"/>
          <w:color w:val="000000"/>
          <w:sz w:val="24"/>
          <w:szCs w:val="22"/>
          <w:highlight w:val="none"/>
        </w:rPr>
        <w:t xml:space="preserve">圆（</w:t>
      </w:r>
      <w:r>
        <w:rPr>
          <w:rFonts w:eastAsia="Times New Roman"/>
          <w:color w:val="000000"/>
          <w:sz w:val="24"/>
          <w:szCs w:val="22"/>
          <w:highlight w:val="none"/>
        </w:rPr>
        <w:t xml:space="preserve">___</w:t>
      </w:r>
      <w:r>
        <w:rPr>
          <w:rFonts w:ascii="宋体" w:hAnsi="宋体" w:cs="宋体"/>
          <w:color w:val="000000"/>
          <w:sz w:val="24"/>
          <w:szCs w:val="22"/>
          <w:highlight w:val="none"/>
        </w:rPr>
        <w:t xml:space="preserve">元）人民币或其他币种。</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三、技术资料</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3.1</w:t>
      </w:r>
      <w:r>
        <w:rPr>
          <w:rFonts w:ascii="宋体" w:hAnsi="宋体" w:cs="宋体"/>
          <w:color w:val="000000"/>
          <w:sz w:val="24"/>
          <w:szCs w:val="22"/>
          <w:highlight w:val="none"/>
        </w:rPr>
        <w:t xml:space="preserve">乙方应按招标文件规定的时间向甲方提供使用货物</w:t>
      </w:r>
      <w:r>
        <w:rPr>
          <w:rFonts w:eastAsia="Times New Roman"/>
          <w:color w:val="000000"/>
          <w:sz w:val="24"/>
          <w:szCs w:val="22"/>
          <w:highlight w:val="none"/>
        </w:rPr>
        <w:t xml:space="preserve">(</w:t>
      </w:r>
      <w:r>
        <w:rPr>
          <w:rFonts w:ascii="宋体" w:hAnsi="宋体" w:cs="宋体"/>
          <w:color w:val="000000"/>
          <w:sz w:val="24"/>
          <w:szCs w:val="22"/>
          <w:highlight w:val="none"/>
        </w:rPr>
        <w:t xml:space="preserve">包含与货物相关的服务</w:t>
      </w:r>
      <w:r>
        <w:rPr>
          <w:rFonts w:eastAsia="Times New Roman"/>
          <w:color w:val="000000"/>
          <w:sz w:val="24"/>
          <w:szCs w:val="22"/>
          <w:highlight w:val="none"/>
        </w:rPr>
        <w:t xml:space="preserve">)</w:t>
      </w:r>
      <w:r>
        <w:rPr>
          <w:rFonts w:ascii="宋体" w:hAnsi="宋体" w:cs="宋体"/>
          <w:color w:val="000000"/>
          <w:sz w:val="24"/>
          <w:szCs w:val="22"/>
          <w:highlight w:val="none"/>
        </w:rPr>
        <w:t xml:space="preserve">的有关技术资料。</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3.2 </w:t>
      </w:r>
      <w:r>
        <w:rPr>
          <w:rFonts w:ascii="宋体" w:hAnsi="宋体" w:cs="宋体"/>
          <w:color w:val="000000"/>
          <w:sz w:val="24"/>
          <w:szCs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四、知识产权</w:t>
      </w:r>
      <w:r/>
    </w:p>
    <w:p>
      <w:pPr>
        <w:ind w:firstLine="480"/>
        <w:spacing w:before="120" w:after="120" w:line="85" w:lineRule="atLeast"/>
        <w:rPr>
          <w:rFonts w:eastAsia="Times New Roman"/>
          <w:color w:val="000000"/>
          <w:sz w:val="24"/>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4.1</w:t>
      </w:r>
      <w:r>
        <w:rPr>
          <w:rFonts w:ascii="宋体" w:hAnsi="宋体" w:cs="宋体"/>
          <w:color w:val="000000"/>
          <w:sz w:val="24"/>
          <w:szCs w:val="22"/>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highlight w:val="none"/>
        </w:rPr>
        <w:t xml:space="preserve">     </w:t>
      </w:r>
      <w:r/>
    </w:p>
    <w:p>
      <w:pPr>
        <w:ind w:firstLine="24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   </w:t>
      </w:r>
      <w:r>
        <w:rPr>
          <w:rFonts w:ascii="宋体" w:hAnsi="宋体" w:cs="宋体"/>
          <w:b/>
          <w:color w:val="000000"/>
          <w:sz w:val="24"/>
          <w:szCs w:val="22"/>
          <w:highlight w:val="none"/>
        </w:rPr>
        <w:t xml:space="preserve">五、产权担保</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5.1 </w:t>
      </w:r>
      <w:r>
        <w:rPr>
          <w:rFonts w:ascii="宋体" w:hAnsi="宋体" w:cs="宋体"/>
          <w:color w:val="000000"/>
          <w:sz w:val="24"/>
          <w:szCs w:val="22"/>
          <w:highlight w:val="none"/>
        </w:rPr>
        <w:t xml:space="preserve">乙方保证所交付的货物（包含与货物相关的服务）的所有权完全属于乙方且无任何抵押、查封等产权瑕疵。</w:t>
      </w:r>
      <w:r/>
    </w:p>
    <w:p>
      <w:pPr>
        <w:ind w:firstLine="482"/>
        <w:spacing w:before="120" w:after="120" w:line="85" w:lineRule="atLeast"/>
        <w:rPr>
          <w:rFonts w:ascii="宋体" w:hAnsi="宋体" w:cs="宋体"/>
          <w:b/>
          <w:color w:val="000000"/>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六、履约保证金</w:t>
      </w:r>
      <w:r/>
    </w:p>
    <w:p>
      <w:pPr>
        <w:ind w:firstLine="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元作为本合同的履约保证金。</w:t>
      </w:r>
      <w:r/>
    </w:p>
    <w:p>
      <w:pPr>
        <w:ind w:firstLine="480"/>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p>
    <w:p>
      <w:pPr>
        <w:ind w:firstLine="480"/>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p>
    <w:p>
      <w:pPr>
        <w:ind w:firstLine="480"/>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p>
    <w:p>
      <w:pPr>
        <w:ind w:firstLine="480"/>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p>
    <w:p>
      <w:pPr>
        <w:ind w:firstLine="480"/>
        <w:spacing w:before="120" w:after="120"/>
        <w:rPr>
          <w:highlight w:val="none"/>
        </w:rPr>
      </w:pPr>
      <w:r>
        <w:rPr>
          <w:rFonts w:hint="eastAsia" w:ascii="宋体" w:hAnsi="宋体" w:cs="Courier New"/>
          <w:color w:val="000000"/>
          <w:sz w:val="24"/>
          <w:szCs w:val="24"/>
          <w:highlight w:val="none"/>
        </w:rPr>
        <w:t xml:space="preserve">6.2.4履约保证金不予退还的情形：</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备注：若收取履约保证金：双方签订合同后5日内，乙方可以自主选择支票、汇票、本票、保函等非现金形式缴纳中标金额的  作为本合同的履约保证金。（不得超过10%）</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6.1合同履行结束后，甲方应及时退还缴纳的履约保证金。</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6.2履约保证金退还方式：按照乙方缴纳的方式进行退还。</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6.3履约保证金退还时间：项目验收合格后15日内。</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6.4履约保证金退还条件：乙方在履约期间未给甲方造成损失或造成的损失经扣除后存有结余的。</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6.5履约保证金不予退还的情形：履约保证金额不足以弥补乙方违约造成甲方损失的。</w:t>
      </w:r>
      <w:r/>
    </w:p>
    <w:p>
      <w:pPr>
        <w:ind w:firstLine="480"/>
        <w:spacing w:before="145" w:after="145"/>
        <w:rPr>
          <w:rFonts w:ascii="Calibri" w:hAnsi="宋体"/>
          <w:sz w:val="24"/>
          <w:szCs w:val="24"/>
          <w:highlight w:val="none"/>
        </w:rPr>
      </w:pPr>
      <w:r>
        <w:rPr>
          <w:rFonts w:hint="eastAsia" w:ascii="Calibri" w:hAnsi="宋体"/>
          <w:sz w:val="24"/>
          <w:szCs w:val="24"/>
          <w:highlight w:val="none"/>
        </w:rPr>
        <w:t xml:space="preserve">6.6履约保证金逾期退还的违约责任：按中国人民银行同期贷款基准利率上浮20%后的利率支付超期资金占用费，但因乙方自身原因导致无法及时退还的除外。不收取该段删除）</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七、质保期</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质保期</w:t>
      </w:r>
      <w:r>
        <w:rPr>
          <w:rFonts w:eastAsia="Times New Roman"/>
          <w:color w:val="000000"/>
          <w:sz w:val="24"/>
          <w:szCs w:val="22"/>
          <w:highlight w:val="none"/>
          <w:u w:val="single"/>
        </w:rPr>
        <w:t xml:space="preserve">      </w:t>
      </w:r>
      <w:r>
        <w:rPr>
          <w:rFonts w:ascii="宋体" w:hAnsi="宋体" w:cs="宋体"/>
          <w:color w:val="000000"/>
          <w:sz w:val="24"/>
          <w:szCs w:val="22"/>
          <w:highlight w:val="none"/>
        </w:rPr>
        <w:t xml:space="preserve">年。（自交货验收合格之日起计）</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八、合同转包或分包</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8.1</w:t>
      </w:r>
      <w:r>
        <w:rPr>
          <w:rFonts w:ascii="宋体" w:hAnsi="宋体" w:cs="宋体"/>
          <w:color w:val="000000"/>
          <w:sz w:val="24"/>
          <w:szCs w:val="22"/>
          <w:highlight w:val="none"/>
        </w:rPr>
        <w:t xml:space="preserve">乙方不得将合同标的转包给他人履行。</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8.2</w:t>
      </w:r>
      <w:r>
        <w:rPr>
          <w:rFonts w:ascii="宋体" w:hAnsi="宋体" w:cs="宋体"/>
          <w:color w:val="000000"/>
          <w:sz w:val="24"/>
          <w:szCs w:val="22"/>
          <w:highlight w:val="none"/>
        </w:rPr>
        <w:t xml:space="preserve">乙方不得将合同标的分包给他人履行。</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8.3</w:t>
      </w:r>
      <w:r>
        <w:rPr>
          <w:rFonts w:ascii="宋体" w:hAnsi="宋体" w:cs="宋体"/>
          <w:color w:val="000000"/>
          <w:sz w:val="24"/>
          <w:szCs w:val="22"/>
          <w:highlight w:val="none"/>
        </w:rPr>
        <w:t xml:space="preserve">乙方如有转包或未经甲方同意的分包行为，甲方有权给予终止合同。</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九、合同款项支付</w:t>
      </w:r>
      <w:r/>
    </w:p>
    <w:p>
      <w:pPr>
        <w:ind w:firstLine="482"/>
        <w:spacing w:before="120" w:after="120" w:line="85"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合同签订后且乙方向甲方出具发票后，甲方</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个工作日内支付合同款的30%，项目验收合格后，</w:t>
      </w:r>
      <w:r>
        <w:rPr>
          <w:rFonts w:hint="eastAsia" w:ascii="宋体" w:hAnsi="宋体" w:cs="宋体"/>
          <w:sz w:val="24"/>
          <w:szCs w:val="24"/>
          <w:highlight w:val="none"/>
          <w:lang w:val="en-US" w:eastAsia="zh-CN"/>
        </w:rPr>
        <w:t xml:space="preserve">且甲方收到乙方开具的等额发票10个工作日内，</w:t>
      </w:r>
      <w:r>
        <w:rPr>
          <w:rFonts w:hint="eastAsia" w:ascii="宋体" w:hAnsi="宋体" w:cs="宋体"/>
          <w:sz w:val="24"/>
          <w:szCs w:val="24"/>
          <w:highlight w:val="none"/>
        </w:rPr>
        <w:t xml:space="preserve">甲方</w:t>
      </w:r>
      <w:r>
        <w:rPr>
          <w:rFonts w:hint="eastAsia" w:ascii="宋体" w:hAnsi="宋体" w:cs="宋体"/>
          <w:sz w:val="24"/>
          <w:szCs w:val="24"/>
          <w:highlight w:val="none"/>
          <w:lang w:val="en-US" w:eastAsia="zh-CN"/>
        </w:rPr>
        <w:t xml:space="preserve">一次性</w:t>
      </w:r>
      <w:r>
        <w:rPr>
          <w:rFonts w:hint="eastAsia" w:ascii="宋体" w:hAnsi="宋体" w:cs="宋体"/>
          <w:sz w:val="24"/>
          <w:szCs w:val="24"/>
          <w:highlight w:val="none"/>
        </w:rPr>
        <w:t xml:space="preserve">支付合同款的</w:t>
      </w:r>
      <w:r>
        <w:rPr>
          <w:rFonts w:hint="eastAsia" w:ascii="宋体" w:hAnsi="宋体" w:cs="宋体"/>
          <w:sz w:val="24"/>
          <w:szCs w:val="24"/>
          <w:highlight w:val="none"/>
          <w:lang w:val="en-US" w:eastAsia="zh-CN"/>
        </w:rPr>
        <w:t xml:space="preserve">70%。</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十、税费</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10.1</w:t>
      </w:r>
      <w:r>
        <w:rPr>
          <w:rFonts w:ascii="宋体" w:hAnsi="宋体" w:cs="宋体"/>
          <w:color w:val="000000"/>
          <w:sz w:val="24"/>
          <w:szCs w:val="22"/>
          <w:highlight w:val="none"/>
        </w:rPr>
        <w:t xml:space="preserve">本合同执行中相关的一切税费均由乙方负担。</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十一、质量保修范围和保修期及售后服务</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11.1 </w:t>
      </w:r>
      <w:r>
        <w:rPr>
          <w:rFonts w:ascii="宋体" w:hAnsi="宋体" w:cs="宋体"/>
          <w:color w:val="000000"/>
          <w:sz w:val="24"/>
          <w:szCs w:val="22"/>
          <w:highlight w:val="none"/>
        </w:rPr>
        <w:t xml:space="preserve">乙方应按招标文件规定的货物性能、技术要求、质量标准向甲方提供未经使用的全新产品。</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11.2 </w:t>
      </w:r>
      <w:r>
        <w:rPr>
          <w:rFonts w:ascii="宋体" w:hAnsi="宋体" w:cs="宋体"/>
          <w:color w:val="000000"/>
          <w:sz w:val="24"/>
          <w:szCs w:val="22"/>
          <w:highlight w:val="none"/>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⑴更换：由乙方承担所发生的全部费用。</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⑵贬值处理：由甲乙双方合议定价。</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⑶退货处理：乙方应退还甲方支付的合同款，同时应承担该货物的直接费用（运输、保险、检验、货款利息及银行手续费等）。</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11.3 </w:t>
      </w:r>
      <w:r>
        <w:rPr>
          <w:rFonts w:ascii="宋体" w:hAnsi="宋体" w:cs="宋体"/>
          <w:color w:val="000000"/>
          <w:sz w:val="24"/>
          <w:szCs w:val="22"/>
          <w:highlight w:val="none"/>
        </w:rPr>
        <w:t xml:space="preserve">如在使用过程中发生质量问题，乙方在接到甲方通知后在</w:t>
      </w:r>
      <w:r>
        <w:rPr>
          <w:rFonts w:eastAsia="Times New Roman"/>
          <w:color w:val="000000"/>
          <w:sz w:val="24"/>
          <w:szCs w:val="22"/>
          <w:highlight w:val="none"/>
        </w:rPr>
        <w:t xml:space="preserve">_________</w:t>
      </w:r>
      <w:r>
        <w:rPr>
          <w:rFonts w:ascii="宋体" w:hAnsi="宋体" w:cs="宋体"/>
          <w:color w:val="000000"/>
          <w:sz w:val="24"/>
          <w:szCs w:val="22"/>
          <w:highlight w:val="none"/>
        </w:rPr>
        <w:t xml:space="preserve">小时内到达甲方现场。</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11.4 </w:t>
      </w:r>
      <w:r>
        <w:rPr>
          <w:rFonts w:ascii="宋体" w:hAnsi="宋体" w:cs="宋体"/>
          <w:color w:val="000000"/>
          <w:sz w:val="24"/>
          <w:szCs w:val="22"/>
          <w:highlight w:val="none"/>
        </w:rPr>
        <w:t xml:space="preserve">在质保期内，乙方应对货物出现的质量及安全问题负责处理解决并承担一切费用。</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11.5</w:t>
      </w:r>
      <w:r>
        <w:rPr>
          <w:rFonts w:ascii="宋体" w:hAnsi="宋体" w:cs="宋体"/>
          <w:color w:val="000000"/>
          <w:sz w:val="24"/>
          <w:szCs w:val="22"/>
          <w:highlight w:val="none"/>
        </w:rPr>
        <w:t xml:space="preserve">上述的货物免费保修期为</w:t>
      </w:r>
      <w:r>
        <w:rPr>
          <w:rFonts w:eastAsia="Times New Roman"/>
          <w:color w:val="000000"/>
          <w:sz w:val="24"/>
          <w:szCs w:val="22"/>
          <w:highlight w:val="none"/>
          <w:u w:val="single"/>
        </w:rPr>
        <w:t xml:space="preserve">     </w:t>
      </w:r>
      <w:r>
        <w:rPr>
          <w:rFonts w:ascii="宋体" w:hAnsi="宋体" w:cs="宋体"/>
          <w:color w:val="000000"/>
          <w:sz w:val="24"/>
          <w:szCs w:val="22"/>
          <w:highlight w:val="none"/>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十二、项目验收</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12.1 </w:t>
      </w:r>
      <w:r>
        <w:rPr>
          <w:rFonts w:ascii="宋体" w:hAnsi="宋体" w:cs="宋体"/>
          <w:color w:val="000000"/>
          <w:sz w:val="24"/>
          <w:szCs w:val="22"/>
          <w:highlight w:val="none"/>
        </w:rPr>
        <w:t xml:space="preserve">甲方依法组织履约验收工作。</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12.2 </w:t>
      </w:r>
      <w:r>
        <w:rPr>
          <w:rFonts w:ascii="宋体" w:hAnsi="宋体" w:cs="宋体"/>
          <w:color w:val="000000"/>
          <w:sz w:val="24"/>
          <w:szCs w:val="22"/>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12.3 </w:t>
      </w:r>
      <w:r>
        <w:rPr>
          <w:rFonts w:ascii="宋体" w:hAnsi="宋体" w:cs="宋体"/>
          <w:color w:val="000000"/>
          <w:sz w:val="24"/>
          <w:szCs w:val="22"/>
          <w:highlight w:val="none"/>
        </w:rPr>
        <w:t xml:space="preserve">对于实际使用人和甲方分离的项目，甲方邀请实际使用人参与验收。</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12.4 </w:t>
      </w:r>
      <w:r>
        <w:rPr>
          <w:rFonts w:ascii="宋体" w:hAnsi="宋体" w:cs="宋体"/>
          <w:color w:val="000000"/>
          <w:sz w:val="24"/>
          <w:szCs w:val="22"/>
          <w:highlight w:val="none"/>
        </w:rPr>
        <w:t xml:space="preserve">如有必要，甲方邀请参加本项目的其他供应商或第三方专业机构及专家参与验收，相关意见将作为验收书的参考资料。</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12.5 </w:t>
      </w:r>
      <w:r>
        <w:rPr>
          <w:rFonts w:ascii="宋体" w:hAnsi="宋体" w:cs="宋体"/>
          <w:color w:val="000000"/>
          <w:sz w:val="24"/>
          <w:szCs w:val="22"/>
          <w:highlight w:val="none"/>
        </w:rPr>
        <w:t xml:space="preserve">甲方成立验收小组，按照采购合同的约定对乙方的履约情况进行验收。验收时间、验收标准见招标文件验收内容。验收时</w:t>
      </w:r>
      <w:r>
        <w:rPr>
          <w:rFonts w:eastAsia="Times New Roman"/>
          <w:color w:val="000000"/>
          <w:sz w:val="24"/>
          <w:szCs w:val="22"/>
          <w:highlight w:val="none"/>
        </w:rPr>
        <w:t xml:space="preserve">,</w:t>
      </w:r>
      <w:r>
        <w:rPr>
          <w:rFonts w:ascii="宋体" w:hAnsi="宋体" w:cs="宋体"/>
          <w:color w:val="000000"/>
          <w:sz w:val="24"/>
          <w:szCs w:val="22"/>
          <w:highlight w:val="none"/>
        </w:rPr>
        <w:t xml:space="preserve">甲方按照采购合同的约定对每一项技术、商务要求的履约情况进行确认。验收结束后</w:t>
      </w:r>
      <w:r>
        <w:rPr>
          <w:rFonts w:eastAsia="Times New Roman"/>
          <w:color w:val="000000"/>
          <w:sz w:val="24"/>
          <w:szCs w:val="22"/>
          <w:highlight w:val="none"/>
        </w:rPr>
        <w:t xml:space="preserve">,</w:t>
      </w:r>
      <w:r>
        <w:rPr>
          <w:rFonts w:ascii="宋体" w:hAnsi="宋体" w:cs="宋体"/>
          <w:color w:val="000000"/>
          <w:sz w:val="24"/>
          <w:szCs w:val="22"/>
          <w:highlight w:val="none"/>
        </w:rPr>
        <w:t xml:space="preserve">验收小组出具验收书</w:t>
      </w:r>
      <w:r>
        <w:rPr>
          <w:rFonts w:eastAsia="Times New Roman"/>
          <w:color w:val="000000"/>
          <w:sz w:val="24"/>
          <w:szCs w:val="22"/>
          <w:highlight w:val="none"/>
        </w:rPr>
        <w:t xml:space="preserve">,</w:t>
      </w:r>
      <w:r>
        <w:rPr>
          <w:rFonts w:ascii="宋体" w:hAnsi="宋体" w:cs="宋体"/>
          <w:color w:val="000000"/>
          <w:sz w:val="24"/>
          <w:szCs w:val="22"/>
          <w:highlight w:val="none"/>
        </w:rPr>
        <w:t xml:space="preserve">列明各项标准的验收情况及项目总体评价</w:t>
      </w:r>
      <w:r>
        <w:rPr>
          <w:rFonts w:eastAsia="Times New Roman"/>
          <w:color w:val="000000"/>
          <w:sz w:val="24"/>
          <w:szCs w:val="22"/>
          <w:highlight w:val="none"/>
        </w:rPr>
        <w:t xml:space="preserve">,</w:t>
      </w:r>
      <w:r>
        <w:rPr>
          <w:rFonts w:ascii="宋体" w:hAnsi="宋体" w:cs="宋体"/>
          <w:color w:val="000000"/>
          <w:sz w:val="24"/>
          <w:szCs w:val="22"/>
          <w:highlight w:val="none"/>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12.6 </w:t>
      </w:r>
      <w:r>
        <w:rPr>
          <w:rFonts w:ascii="宋体" w:hAnsi="宋体" w:cs="宋体"/>
          <w:color w:val="000000"/>
          <w:sz w:val="24"/>
          <w:szCs w:val="22"/>
          <w:highlight w:val="none"/>
        </w:rPr>
        <w:t xml:space="preserve">验收合格的项目</w:t>
      </w:r>
      <w:r>
        <w:rPr>
          <w:rFonts w:eastAsia="Times New Roman"/>
          <w:color w:val="000000"/>
          <w:sz w:val="24"/>
          <w:szCs w:val="22"/>
          <w:highlight w:val="none"/>
        </w:rPr>
        <w:t xml:space="preserve">,</w:t>
      </w:r>
      <w:r>
        <w:rPr>
          <w:rFonts w:ascii="宋体" w:hAnsi="宋体" w:cs="宋体"/>
          <w:color w:val="000000"/>
          <w:sz w:val="24"/>
          <w:szCs w:val="22"/>
          <w:highlight w:val="none"/>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highlight w:val="none"/>
        </w:rPr>
        <w:t xml:space="preserve">,</w:t>
      </w:r>
      <w:r>
        <w:rPr>
          <w:rFonts w:ascii="宋体" w:hAnsi="宋体" w:cs="宋体"/>
          <w:color w:val="000000"/>
          <w:sz w:val="24"/>
          <w:szCs w:val="22"/>
          <w:highlight w:val="none"/>
        </w:rPr>
        <w:t xml:space="preserve">甲方将及时报告本级财政部门。</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十三、货物的包装、发运及运输</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13.1 </w:t>
      </w:r>
      <w:r>
        <w:rPr>
          <w:rFonts w:ascii="宋体" w:hAnsi="宋体" w:cs="宋体"/>
          <w:color w:val="000000"/>
          <w:sz w:val="24"/>
          <w:szCs w:val="22"/>
          <w:highlight w:val="none"/>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13.2 </w:t>
      </w:r>
      <w:r>
        <w:rPr>
          <w:rFonts w:ascii="宋体" w:hAnsi="宋体" w:cs="宋体"/>
          <w:color w:val="000000"/>
          <w:sz w:val="24"/>
          <w:szCs w:val="22"/>
          <w:highlight w:val="none"/>
        </w:rPr>
        <w:t xml:space="preserve">使用说明书、质量检验证明书、随配附件和工具以及清单一并附于货物内。</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13.3 </w:t>
      </w:r>
      <w:r>
        <w:rPr>
          <w:rFonts w:ascii="宋体" w:hAnsi="宋体" w:cs="宋体"/>
          <w:color w:val="000000"/>
          <w:sz w:val="24"/>
          <w:szCs w:val="22"/>
          <w:highlight w:val="none"/>
        </w:rPr>
        <w:t xml:space="preserve">乙方在货物发运手续办理完毕后</w:t>
      </w:r>
      <w:r>
        <w:rPr>
          <w:rFonts w:eastAsia="Times New Roman"/>
          <w:color w:val="000000"/>
          <w:sz w:val="24"/>
          <w:szCs w:val="22"/>
          <w:highlight w:val="none"/>
        </w:rPr>
        <w:t xml:space="preserve">24</w:t>
      </w:r>
      <w:r>
        <w:rPr>
          <w:rFonts w:ascii="宋体" w:hAnsi="宋体" w:cs="宋体"/>
          <w:color w:val="000000"/>
          <w:sz w:val="24"/>
          <w:szCs w:val="22"/>
          <w:highlight w:val="none"/>
        </w:rPr>
        <w:t xml:space="preserve">小时内或货到甲方</w:t>
      </w:r>
      <w:r>
        <w:rPr>
          <w:rFonts w:eastAsia="Times New Roman"/>
          <w:color w:val="000000"/>
          <w:sz w:val="24"/>
          <w:szCs w:val="22"/>
          <w:highlight w:val="none"/>
        </w:rPr>
        <w:t xml:space="preserve">48</w:t>
      </w:r>
      <w:r>
        <w:rPr>
          <w:rFonts w:ascii="宋体" w:hAnsi="宋体" w:cs="宋体"/>
          <w:color w:val="000000"/>
          <w:sz w:val="24"/>
          <w:szCs w:val="22"/>
          <w:highlight w:val="none"/>
        </w:rPr>
        <w:t xml:space="preserve">小时前通知甲方，以准备接货。</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13.4 </w:t>
      </w:r>
      <w:r>
        <w:rPr>
          <w:rFonts w:ascii="宋体" w:hAnsi="宋体" w:cs="宋体"/>
          <w:color w:val="000000"/>
          <w:sz w:val="24"/>
          <w:szCs w:val="22"/>
          <w:highlight w:val="none"/>
        </w:rPr>
        <w:t xml:space="preserve">货物在交付甲方前发生的风险均由乙方负责。</w:t>
      </w:r>
      <w:r/>
    </w:p>
    <w:p>
      <w:pPr>
        <w:ind w:firstLine="480"/>
        <w:spacing w:before="156" w:after="156"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13.5 </w:t>
      </w:r>
      <w:r>
        <w:rPr>
          <w:rFonts w:ascii="宋体" w:hAnsi="宋体" w:cs="宋体"/>
          <w:color w:val="000000"/>
          <w:sz w:val="24"/>
          <w:szCs w:val="22"/>
          <w:highlight w:val="none"/>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十四、违约责任</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14.1 </w:t>
      </w:r>
      <w:r>
        <w:rPr>
          <w:rFonts w:ascii="宋体" w:hAnsi="宋体" w:cs="宋体"/>
          <w:color w:val="000000"/>
          <w:sz w:val="24"/>
          <w:szCs w:val="22"/>
          <w:highlight w:val="none"/>
        </w:rPr>
        <w:t xml:space="preserve">甲方无正当理由拒收货物的，甲方向乙方偿付拒收货款总值</w:t>
      </w:r>
      <w:r>
        <w:rPr>
          <w:rFonts w:eastAsia="Times New Roman"/>
          <w:color w:val="000000"/>
          <w:sz w:val="24"/>
          <w:szCs w:val="22"/>
          <w:highlight w:val="none"/>
          <w:u w:val="single"/>
        </w:rPr>
        <w:t xml:space="preserve">     </w:t>
      </w:r>
      <w:r>
        <w:rPr>
          <w:rFonts w:ascii="宋体" w:hAnsi="宋体" w:cs="宋体"/>
          <w:color w:val="000000"/>
          <w:sz w:val="24"/>
          <w:szCs w:val="22"/>
          <w:highlight w:val="none"/>
        </w:rPr>
        <w:t xml:space="preserve">的违约金。</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14.2 </w:t>
      </w:r>
      <w:r>
        <w:rPr>
          <w:rFonts w:ascii="宋体" w:hAnsi="宋体" w:cs="宋体"/>
          <w:color w:val="000000"/>
          <w:sz w:val="24"/>
          <w:szCs w:val="22"/>
          <w:highlight w:val="none"/>
        </w:rPr>
        <w:t xml:space="preserve">甲方无故逾期验收和办理货款支付手续的</w:t>
      </w:r>
      <w:r>
        <w:rPr>
          <w:rFonts w:eastAsia="Times New Roman"/>
          <w:color w:val="000000"/>
          <w:sz w:val="24"/>
          <w:szCs w:val="22"/>
          <w:highlight w:val="none"/>
        </w:rPr>
        <w:t xml:space="preserve">,</w:t>
      </w:r>
      <w:r>
        <w:rPr>
          <w:rFonts w:ascii="宋体" w:hAnsi="宋体" w:cs="宋体"/>
          <w:color w:val="000000"/>
          <w:sz w:val="24"/>
          <w:szCs w:val="22"/>
          <w:highlight w:val="none"/>
        </w:rPr>
        <w:t xml:space="preserve">甲方应按逾期付款总额每日</w:t>
      </w:r>
      <w:r>
        <w:rPr>
          <w:rFonts w:eastAsia="Times New Roman"/>
          <w:color w:val="000000"/>
          <w:sz w:val="24"/>
          <w:szCs w:val="22"/>
          <w:highlight w:val="none"/>
        </w:rPr>
        <w:t xml:space="preserve">       </w:t>
      </w:r>
      <w:r>
        <w:rPr>
          <w:rFonts w:ascii="宋体" w:hAnsi="宋体" w:cs="宋体"/>
          <w:color w:val="000000"/>
          <w:sz w:val="24"/>
          <w:szCs w:val="22"/>
          <w:highlight w:val="none"/>
        </w:rPr>
        <w:t xml:space="preserve">向乙方支付违约金。</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14.3 </w:t>
      </w:r>
      <w:r>
        <w:rPr>
          <w:rFonts w:ascii="宋体" w:hAnsi="宋体" w:cs="宋体"/>
          <w:color w:val="000000"/>
          <w:sz w:val="24"/>
          <w:szCs w:val="22"/>
          <w:highlight w:val="none"/>
        </w:rPr>
        <w:t xml:space="preserve">乙方逾期交付货物的，乙方应按逾期交货总额每日</w:t>
      </w:r>
      <w:r>
        <w:rPr>
          <w:rFonts w:eastAsia="Times New Roman"/>
          <w:color w:val="000000"/>
          <w:sz w:val="24"/>
          <w:szCs w:val="22"/>
          <w:highlight w:val="none"/>
          <w:u w:val="single"/>
        </w:rPr>
        <w:t xml:space="preserve">     </w:t>
      </w:r>
      <w:r>
        <w:rPr>
          <w:rFonts w:hint="eastAsia"/>
          <w:color w:val="000000"/>
          <w:sz w:val="24"/>
          <w:szCs w:val="22"/>
          <w:highlight w:val="none"/>
          <w:u w:val="single"/>
        </w:rPr>
        <w:t xml:space="preserve"> </w:t>
      </w:r>
      <w:r>
        <w:rPr>
          <w:rFonts w:ascii="宋体" w:hAnsi="宋体" w:cs="宋体"/>
          <w:color w:val="000000"/>
          <w:sz w:val="24"/>
          <w:szCs w:val="22"/>
          <w:highlight w:val="none"/>
        </w:rPr>
        <w:t xml:space="preserve">向甲方支付违约金，由甲方从待付货款中扣除。逾期超过约定日期</w:t>
      </w:r>
      <w:r>
        <w:rPr>
          <w:rFonts w:eastAsia="Times New Roman"/>
          <w:color w:val="000000"/>
          <w:sz w:val="24"/>
          <w:szCs w:val="22"/>
          <w:highlight w:val="none"/>
        </w:rPr>
        <w:t xml:space="preserve">10</w:t>
      </w:r>
      <w:r>
        <w:rPr>
          <w:rFonts w:ascii="宋体" w:hAnsi="宋体" w:cs="宋体"/>
          <w:color w:val="000000"/>
          <w:sz w:val="24"/>
          <w:szCs w:val="22"/>
          <w:highlight w:val="none"/>
        </w:rPr>
        <w:t xml:space="preserve">个工作日不能交货的，甲方可解除本合同。乙方因逾期交货或因其他违约行为导致甲方解除合同的，乙方应向甲方支付合同总值</w:t>
      </w:r>
      <w:r>
        <w:rPr>
          <w:rFonts w:eastAsia="Times New Roman"/>
          <w:color w:val="000000"/>
          <w:sz w:val="24"/>
          <w:szCs w:val="22"/>
          <w:highlight w:val="none"/>
          <w:u w:val="single"/>
        </w:rPr>
        <w:t xml:space="preserve">    </w:t>
      </w:r>
      <w:r>
        <w:rPr>
          <w:rFonts w:ascii="宋体" w:hAnsi="宋体" w:cs="宋体"/>
          <w:color w:val="000000"/>
          <w:sz w:val="24"/>
          <w:szCs w:val="22"/>
          <w:highlight w:val="none"/>
        </w:rPr>
        <w:t xml:space="preserve">的违约金，如造成甲方损失超过违约金的，超出部分由乙方继续承担赔偿责任。</w:t>
      </w:r>
      <w:r>
        <w:rPr>
          <w:rFonts w:eastAsia="Times New Roman"/>
          <w:color w:val="000000"/>
          <w:sz w:val="24"/>
          <w:szCs w:val="22"/>
          <w:highlight w:val="none"/>
        </w:rPr>
        <w:t xml:space="preserve"> </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14.4 </w:t>
      </w:r>
      <w:r>
        <w:rPr>
          <w:rFonts w:ascii="宋体" w:hAnsi="宋体" w:cs="宋体"/>
          <w:color w:val="000000"/>
          <w:sz w:val="24"/>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十五、不可抗力事件处理</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15.1 </w:t>
      </w:r>
      <w:r>
        <w:rPr>
          <w:rFonts w:ascii="宋体" w:hAnsi="宋体" w:cs="宋体"/>
          <w:color w:val="000000"/>
          <w:sz w:val="24"/>
          <w:szCs w:val="22"/>
          <w:highlight w:val="none"/>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15.2 </w:t>
      </w:r>
      <w:r>
        <w:rPr>
          <w:rFonts w:ascii="宋体" w:hAnsi="宋体" w:cs="宋体"/>
          <w:color w:val="000000"/>
          <w:sz w:val="24"/>
          <w:szCs w:val="22"/>
          <w:highlight w:val="none"/>
        </w:rPr>
        <w:t xml:space="preserve">不可抗力事件发生后，应立即通知对方，并寄送有关权威机构出具的证明。</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15.3 </w:t>
      </w:r>
      <w:r>
        <w:rPr>
          <w:rFonts w:ascii="宋体" w:hAnsi="宋体" w:cs="宋体"/>
          <w:color w:val="000000"/>
          <w:sz w:val="24"/>
          <w:szCs w:val="22"/>
          <w:highlight w:val="none"/>
        </w:rPr>
        <w:t xml:space="preserve">不可抗力事件延续</w:t>
      </w:r>
      <w:r>
        <w:rPr>
          <w:rFonts w:eastAsia="Times New Roman"/>
          <w:color w:val="000000"/>
          <w:sz w:val="24"/>
          <w:szCs w:val="22"/>
          <w:highlight w:val="none"/>
        </w:rPr>
        <w:t xml:space="preserve">120</w:t>
      </w:r>
      <w:r>
        <w:rPr>
          <w:rFonts w:ascii="宋体" w:hAnsi="宋体" w:cs="宋体"/>
          <w:color w:val="000000"/>
          <w:sz w:val="24"/>
          <w:szCs w:val="22"/>
          <w:highlight w:val="none"/>
        </w:rPr>
        <w:t xml:space="preserve">天以上，双方应通过友好协商，确定是否继续履行合同。</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十六、解决争议的方法</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16.1</w:t>
      </w:r>
      <w:r>
        <w:rPr>
          <w:rFonts w:ascii="宋体" w:hAnsi="宋体" w:cs="宋体"/>
          <w:color w:val="000000"/>
          <w:sz w:val="24"/>
          <w:szCs w:val="22"/>
          <w:highlight w:val="none"/>
        </w:rPr>
        <w:t xml:space="preserve">甲乙双方因合同签订、履行而发生的一切争议，应通过友好协商解决。如协商不成由甲方住所地人民法院管辖。</w:t>
      </w:r>
      <w:r/>
    </w:p>
    <w:p>
      <w:pPr>
        <w:ind w:firstLine="482"/>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十七、合同生效及其它</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17.1 </w:t>
      </w:r>
      <w:r>
        <w:rPr>
          <w:rFonts w:ascii="宋体" w:hAnsi="宋体" w:cs="宋体"/>
          <w:color w:val="000000"/>
          <w:sz w:val="24"/>
          <w:szCs w:val="22"/>
          <w:highlight w:val="none"/>
        </w:rPr>
        <w:t xml:space="preserve">合同经双方法定代表人或授权委托代表人签字并加盖单位公章后生效。</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17.2</w:t>
      </w:r>
      <w:r>
        <w:rPr>
          <w:rFonts w:ascii="宋体" w:hAnsi="宋体" w:cs="宋体"/>
          <w:color w:val="000000"/>
          <w:sz w:val="24"/>
          <w:szCs w:val="22"/>
          <w:highlight w:val="none"/>
        </w:rPr>
        <w:t xml:space="preserve">本合同未尽事宜，遵照《中华人民共和国民法典》《中华人民共和国政府采购法》有关条文执行。</w:t>
      </w:r>
      <w:r/>
    </w:p>
    <w:p>
      <w:pPr>
        <w:ind w:firstLine="480"/>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2"/>
          <w:highlight w:val="none"/>
        </w:rPr>
        <w:t xml:space="preserve">17.3 </w:t>
      </w:r>
      <w:r>
        <w:rPr>
          <w:rFonts w:ascii="宋体" w:hAnsi="宋体" w:cs="宋体"/>
          <w:color w:val="000000"/>
          <w:sz w:val="24"/>
          <w:szCs w:val="22"/>
          <w:highlight w:val="none"/>
        </w:rPr>
        <w:t xml:space="preserve">本合同正本一式</w:t>
      </w:r>
      <w:r>
        <w:rPr>
          <w:rFonts w:eastAsia="Times New Roman"/>
          <w:color w:val="000000"/>
          <w:sz w:val="24"/>
          <w:szCs w:val="22"/>
          <w:highlight w:val="none"/>
        </w:rPr>
        <w:t xml:space="preserve">___</w:t>
      </w:r>
      <w:r>
        <w:rPr>
          <w:rFonts w:ascii="宋体" w:hAnsi="宋体" w:cs="宋体"/>
          <w:color w:val="000000"/>
          <w:sz w:val="24"/>
          <w:szCs w:val="22"/>
          <w:highlight w:val="none"/>
        </w:rPr>
        <w:t xml:space="preserve">份，具有同等法律效力，甲方、乙方及财政监管部门各执一份。</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甲方（盖章）：</w:t>
      </w:r>
      <w:r>
        <w:rPr>
          <w:rFonts w:hint="eastAsia" w:ascii="宋体" w:hAnsi="宋体" w:cs="宋体"/>
          <w:color w:val="000000"/>
          <w:sz w:val="24"/>
          <w:szCs w:val="22"/>
          <w:highlight w:val="none"/>
        </w:rPr>
        <w:t xml:space="preserve">         </w:t>
      </w:r>
      <w:r>
        <w:rPr>
          <w:rFonts w:eastAsia="Times New Roman"/>
          <w:color w:val="000000"/>
          <w:sz w:val="24"/>
          <w:szCs w:val="22"/>
          <w:highlight w:val="none"/>
        </w:rPr>
        <w:t xml:space="preserve">            </w:t>
      </w:r>
      <w:r>
        <w:rPr>
          <w:rFonts w:hint="eastAsia"/>
          <w:color w:val="000000"/>
          <w:sz w:val="24"/>
          <w:szCs w:val="22"/>
          <w:highlight w:val="none"/>
        </w:rPr>
        <w:t xml:space="preserve"> </w:t>
      </w:r>
      <w:r>
        <w:rPr>
          <w:rFonts w:eastAsia="Times New Roman"/>
          <w:color w:val="000000"/>
          <w:sz w:val="24"/>
          <w:szCs w:val="22"/>
          <w:highlight w:val="none"/>
        </w:rPr>
        <w:t xml:space="preserve"> </w:t>
      </w:r>
      <w:r>
        <w:rPr>
          <w:rFonts w:ascii="宋体" w:hAnsi="宋体" w:cs="宋体"/>
          <w:color w:val="000000"/>
          <w:sz w:val="24"/>
          <w:szCs w:val="22"/>
          <w:highlight w:val="none"/>
        </w:rPr>
        <w:t xml:space="preserve">乙方（盖章）：</w:t>
      </w:r>
      <w:r>
        <w:rPr>
          <w:rFonts w:eastAsia="Times New Roman"/>
          <w:color w:val="000000"/>
          <w:sz w:val="24"/>
          <w:szCs w:val="22"/>
          <w:highlight w:val="none"/>
        </w:rPr>
        <w:t xml:space="preserve"> </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地址：</w:t>
      </w:r>
      <w:r>
        <w:rPr>
          <w:rFonts w:hint="eastAsia" w:ascii="宋体" w:hAnsi="宋体" w:cs="宋体"/>
          <w:color w:val="000000"/>
          <w:sz w:val="24"/>
          <w:szCs w:val="22"/>
          <w:highlight w:val="none"/>
        </w:rPr>
        <w:t xml:space="preserve">                       </w:t>
      </w:r>
      <w:r>
        <w:rPr>
          <w:rFonts w:eastAsia="Times New Roman"/>
          <w:color w:val="000000"/>
          <w:sz w:val="24"/>
          <w:szCs w:val="22"/>
          <w:highlight w:val="none"/>
        </w:rPr>
        <w:t xml:space="preserve"> </w:t>
      </w:r>
      <w:r>
        <w:rPr>
          <w:rFonts w:hint="eastAsia"/>
          <w:color w:val="000000"/>
          <w:sz w:val="24"/>
          <w:szCs w:val="22"/>
          <w:highlight w:val="none"/>
        </w:rPr>
        <w:t xml:space="preserve"> </w:t>
      </w:r>
      <w:r>
        <w:rPr>
          <w:rFonts w:ascii="宋体" w:hAnsi="宋体" w:cs="宋体"/>
          <w:color w:val="000000"/>
          <w:sz w:val="24"/>
          <w:szCs w:val="22"/>
          <w:highlight w:val="none"/>
        </w:rPr>
        <w:t xml:space="preserve">地址：</w:t>
      </w:r>
      <w:r>
        <w:rPr>
          <w:rFonts w:eastAsia="Times New Roman"/>
          <w:color w:val="000000"/>
          <w:sz w:val="24"/>
          <w:szCs w:val="22"/>
          <w:highlight w:val="none"/>
        </w:rPr>
        <w:t xml:space="preserve"> </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法定代表人或授权代表：</w:t>
      </w:r>
      <w:r>
        <w:rPr>
          <w:rFonts w:eastAsia="Times New Roman"/>
          <w:color w:val="000000"/>
          <w:sz w:val="24"/>
          <w:szCs w:val="22"/>
          <w:highlight w:val="none"/>
        </w:rPr>
        <w:t xml:space="preserve">                  </w:t>
      </w:r>
      <w:r>
        <w:rPr>
          <w:rFonts w:ascii="宋体" w:hAnsi="宋体" w:cs="宋体"/>
          <w:color w:val="000000"/>
          <w:sz w:val="24"/>
          <w:szCs w:val="22"/>
          <w:highlight w:val="none"/>
        </w:rPr>
        <w:t xml:space="preserve">法定代表人或授权代表：</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经办人：</w:t>
      </w:r>
      <w:r>
        <w:rPr>
          <w:rFonts w:eastAsia="Times New Roman"/>
          <w:color w:val="000000"/>
          <w:sz w:val="24"/>
          <w:szCs w:val="22"/>
          <w:highlight w:val="none"/>
        </w:rPr>
        <w:t xml:space="preserve">                                </w:t>
      </w:r>
      <w:r>
        <w:rPr>
          <w:rFonts w:hint="eastAsia"/>
          <w:color w:val="000000"/>
          <w:sz w:val="24"/>
          <w:szCs w:val="22"/>
          <w:highlight w:val="none"/>
        </w:rPr>
        <w:t xml:space="preserve">       </w:t>
      </w:r>
      <w:r>
        <w:rPr>
          <w:rFonts w:ascii="宋体" w:hAnsi="宋体" w:cs="宋体"/>
          <w:color w:val="000000"/>
          <w:sz w:val="24"/>
          <w:szCs w:val="22"/>
          <w:highlight w:val="none"/>
        </w:rPr>
        <w:t xml:space="preserve">经办人：</w:t>
      </w:r>
      <w:r/>
    </w:p>
    <w:p>
      <w:pPr>
        <w:spacing w:before="120" w:after="120" w:line="85" w:lineRule="atLeast"/>
        <w:rPr>
          <w:rFonts w:ascii="Calibri" w:hAnsi="Calibri"/>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联系电话：</w:t>
      </w:r>
      <w:r>
        <w:rPr>
          <w:rFonts w:eastAsia="Times New Roman"/>
          <w:color w:val="000000"/>
          <w:sz w:val="24"/>
          <w:szCs w:val="22"/>
          <w:highlight w:val="none"/>
        </w:rPr>
        <w:t xml:space="preserve">                          </w:t>
      </w:r>
      <w:r>
        <w:rPr>
          <w:rFonts w:hint="eastAsia"/>
          <w:color w:val="000000"/>
          <w:sz w:val="24"/>
          <w:szCs w:val="22"/>
          <w:highlight w:val="none"/>
        </w:rPr>
        <w:t xml:space="preserve">      </w:t>
      </w:r>
      <w:r>
        <w:rPr>
          <w:rFonts w:eastAsia="Times New Roman"/>
          <w:color w:val="000000"/>
          <w:sz w:val="24"/>
          <w:szCs w:val="22"/>
          <w:highlight w:val="none"/>
        </w:rPr>
        <w:t xml:space="preserve">    </w:t>
      </w:r>
      <w:r>
        <w:rPr>
          <w:rFonts w:ascii="宋体" w:hAnsi="宋体" w:cs="宋体"/>
          <w:color w:val="000000"/>
          <w:sz w:val="24"/>
          <w:szCs w:val="22"/>
          <w:highlight w:val="none"/>
        </w:rPr>
        <w:t xml:space="preserve">联系电话：</w:t>
      </w:r>
      <w:r>
        <w:rPr>
          <w:rFonts w:eastAsia="Times New Roman"/>
          <w:color w:val="000000"/>
          <w:sz w:val="24"/>
          <w:szCs w:val="22"/>
          <w:highlight w:val="none"/>
        </w:rPr>
        <w:t xml:space="preserve">          </w:t>
      </w:r>
      <w:r/>
    </w:p>
    <w:p>
      <w:pPr>
        <w:ind w:firstLine="600"/>
        <w:spacing w:line="480" w:lineRule="exact"/>
        <w:rPr>
          <w:rFonts w:hint="eastAsia" w:ascii="宋体" w:hAnsi="宋体"/>
          <w:sz w:val="24"/>
          <w:szCs w:val="24"/>
          <w:highlight w:val="none"/>
        </w:rPr>
      </w:pPr>
      <w:r>
        <w:rPr>
          <w:rFonts w:eastAsia="Times New Roman"/>
          <w:color w:val="000000"/>
          <w:sz w:val="24"/>
          <w:szCs w:val="22"/>
          <w:highlight w:val="none"/>
        </w:rPr>
        <w:t xml:space="preserve">                                      </w:t>
      </w:r>
      <w:r>
        <w:rPr>
          <w:rFonts w:hint="eastAsia"/>
          <w:color w:val="000000"/>
          <w:sz w:val="24"/>
          <w:szCs w:val="22"/>
          <w:highlight w:val="none"/>
        </w:rPr>
        <w:t xml:space="preserve">  </w:t>
      </w:r>
      <w:r>
        <w:rPr>
          <w:rFonts w:ascii="宋体" w:hAnsi="宋体" w:cs="宋体"/>
          <w:color w:val="000000"/>
          <w:sz w:val="24"/>
          <w:szCs w:val="22"/>
          <w:highlight w:val="none"/>
        </w:rPr>
        <w:t xml:space="preserve">签订日期：</w:t>
      </w:r>
      <w:r>
        <w:rPr>
          <w:rFonts w:eastAsia="Times New Roman"/>
          <w:color w:val="000000"/>
          <w:sz w:val="24"/>
          <w:szCs w:val="22"/>
          <w:highlight w:val="none"/>
        </w:rPr>
        <w:t xml:space="preserve">      </w:t>
      </w:r>
      <w:r>
        <w:rPr>
          <w:rFonts w:ascii="宋体" w:hAnsi="宋体" w:cs="宋体"/>
          <w:color w:val="000000"/>
          <w:sz w:val="24"/>
          <w:szCs w:val="22"/>
          <w:highlight w:val="none"/>
        </w:rPr>
        <w:t xml:space="preserve">年</w:t>
      </w:r>
      <w:r>
        <w:rPr>
          <w:rFonts w:eastAsia="Times New Roman"/>
          <w:color w:val="000000"/>
          <w:sz w:val="24"/>
          <w:szCs w:val="22"/>
          <w:highlight w:val="none"/>
        </w:rPr>
        <w:t xml:space="preserve">    </w:t>
      </w:r>
      <w:r>
        <w:rPr>
          <w:rFonts w:ascii="宋体" w:hAnsi="宋体" w:cs="宋体"/>
          <w:color w:val="000000"/>
          <w:sz w:val="24"/>
          <w:szCs w:val="22"/>
          <w:highlight w:val="none"/>
        </w:rPr>
        <w:t xml:space="preserve">月</w:t>
      </w:r>
      <w:r>
        <w:rPr>
          <w:rFonts w:eastAsia="Times New Roman"/>
          <w:color w:val="000000"/>
          <w:sz w:val="24"/>
          <w:szCs w:val="22"/>
          <w:highlight w:val="none"/>
        </w:rPr>
        <w:t xml:space="preserve">   </w:t>
      </w:r>
      <w:r>
        <w:rPr>
          <w:rFonts w:ascii="宋体" w:hAnsi="宋体" w:cs="宋体"/>
          <w:color w:val="000000"/>
          <w:sz w:val="24"/>
          <w:szCs w:val="22"/>
          <w:highlight w:val="none"/>
        </w:rPr>
        <w:t xml:space="preserve">日</w:t>
      </w:r>
      <w:r/>
    </w:p>
    <w:p>
      <w:pPr>
        <w:pStyle w:val="710"/>
        <w:rPr>
          <w:rFonts w:ascii="黑体" w:eastAsia="黑体"/>
          <w:bCs/>
          <w:sz w:val="44"/>
          <w:highlight w:val="none"/>
        </w:rPr>
      </w:pPr>
      <w:r>
        <w:rPr>
          <w:rFonts w:hint="eastAsia" w:ascii="黑体" w:eastAsia="黑体"/>
          <w:bCs/>
          <w:sz w:val="44"/>
          <w:highlight w:val="none"/>
        </w:rPr>
        <w:t xml:space="preserve">第四章 采购需求</w:t>
      </w:r>
      <w:r/>
    </w:p>
    <w:p>
      <w:pPr>
        <w:rPr>
          <w:b/>
          <w:bCs/>
          <w:sz w:val="28"/>
          <w:szCs w:val="28"/>
          <w:highlight w:val="none"/>
        </w:rPr>
      </w:pPr>
      <w:r/>
      <w:bookmarkStart w:id="53" w:name="_Toc47940211"/>
      <w:r/>
      <w:bookmarkStart w:id="54" w:name="_Toc136347705"/>
      <w:r>
        <w:rPr>
          <w:rFonts w:hint="eastAsia"/>
          <w:b/>
          <w:bCs/>
          <w:sz w:val="28"/>
          <w:szCs w:val="28"/>
          <w:highlight w:val="none"/>
        </w:rPr>
        <w:t xml:space="preserve">项目概述：</w:t>
      </w:r>
      <w:r/>
    </w:p>
    <w:p>
      <w:pPr>
        <w:ind w:firstLine="480"/>
        <w:jc w:val="left"/>
        <w:rPr>
          <w:rFonts w:ascii="宋体" w:hAnsi="宋体"/>
          <w:bCs/>
          <w:szCs w:val="24"/>
          <w:highlight w:val="none"/>
          <w:lang w:val="zh-CN"/>
        </w:rPr>
      </w:pPr>
      <w:r>
        <w:rPr>
          <w:rFonts w:hint="eastAsia" w:ascii="宋体" w:hAnsi="宋体"/>
          <w:bCs/>
          <w:sz w:val="24"/>
          <w:szCs w:val="24"/>
          <w:highlight w:val="none"/>
        </w:rPr>
        <w:t xml:space="preserve">宝应县</w:t>
      </w:r>
      <w:r>
        <w:rPr>
          <w:rFonts w:hint="eastAsia" w:ascii="宋体" w:hAnsi="宋体"/>
          <w:bCs/>
          <w:sz w:val="24"/>
          <w:szCs w:val="24"/>
          <w:highlight w:val="none"/>
          <w:lang w:val="zh-CN"/>
        </w:rPr>
        <w:t xml:space="preserve">调度系统已建设运行近十年。应用平台系统包括：计算机网络平台（设备严重老化）、语音通讯平台、受理调度平台（系统已极不稳定）、信息管理平台（基本瘫痪）、车载信息平台（严重老化、设备基本损坏无法维修）、市县联网平台（与市中心已无法联网）等。随着我</w:t>
      </w:r>
      <w:r>
        <w:rPr>
          <w:rFonts w:hint="eastAsia" w:ascii="宋体" w:hAnsi="宋体"/>
          <w:bCs/>
          <w:sz w:val="24"/>
          <w:szCs w:val="24"/>
          <w:highlight w:val="none"/>
        </w:rPr>
        <w:t xml:space="preserve">县</w:t>
      </w:r>
      <w:r>
        <w:rPr>
          <w:rFonts w:hint="eastAsia" w:ascii="宋体" w:hAnsi="宋体"/>
          <w:bCs/>
          <w:sz w:val="24"/>
          <w:szCs w:val="24"/>
          <w:highlight w:val="none"/>
          <w:lang w:val="zh-CN"/>
        </w:rPr>
        <w:t xml:space="preserve">经济和社会的快速发展，院前急救量每年以很高的速度在增长，人民群众对急救服务、技术、设施等方面的需求越来越高，当前的急救指挥调度系统已经无法满足和支撑业务需求，设备基本老化。</w:t>
      </w:r>
      <w:r/>
    </w:p>
    <w:p>
      <w:pPr>
        <w:ind w:firstLine="480"/>
        <w:jc w:val="left"/>
        <w:rPr>
          <w:rFonts w:ascii="宋体" w:hAnsi="宋体"/>
          <w:bCs/>
          <w:szCs w:val="24"/>
          <w:highlight w:val="none"/>
        </w:rPr>
      </w:pPr>
      <w:r>
        <w:rPr>
          <w:rFonts w:hint="eastAsia" w:ascii="宋体" w:hAnsi="宋体"/>
          <w:bCs/>
          <w:sz w:val="24"/>
          <w:szCs w:val="24"/>
          <w:highlight w:val="none"/>
        </w:rPr>
        <w:t xml:space="preserve">本次项目建设将</w:t>
      </w:r>
      <w:r>
        <w:rPr>
          <w:rFonts w:hint="eastAsia" w:ascii="宋体" w:hAnsi="宋体"/>
          <w:bCs/>
          <w:sz w:val="24"/>
          <w:szCs w:val="24"/>
          <w:highlight w:val="none"/>
          <w:lang w:val="zh-CN"/>
        </w:rPr>
        <w:t xml:space="preserve">通过</w:t>
      </w:r>
      <w:r>
        <w:rPr>
          <w:rFonts w:hint="eastAsia" w:ascii="宋体" w:hAnsi="宋体"/>
          <w:bCs/>
          <w:sz w:val="24"/>
          <w:szCs w:val="24"/>
          <w:highlight w:val="none"/>
        </w:rPr>
        <w:t xml:space="preserve">建设本地调度中心接入扬州市区域急救服务平台</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实现</w:t>
      </w:r>
      <w:r>
        <w:rPr>
          <w:rFonts w:hint="eastAsia" w:ascii="宋体" w:hAnsi="宋体"/>
          <w:bCs/>
          <w:sz w:val="24"/>
          <w:szCs w:val="24"/>
          <w:highlight w:val="none"/>
          <w:lang w:val="zh-CN"/>
        </w:rPr>
        <w:t xml:space="preserve">急救网络体系纵向连通。</w:t>
      </w:r>
      <w:r>
        <w:rPr>
          <w:rFonts w:hint="eastAsia" w:ascii="宋体" w:hAnsi="宋体"/>
          <w:bCs/>
          <w:sz w:val="24"/>
          <w:szCs w:val="24"/>
          <w:highlight w:val="none"/>
        </w:rPr>
        <w:t xml:space="preserve">以市级</w:t>
      </w:r>
      <w:r>
        <w:rPr>
          <w:rFonts w:hint="eastAsia" w:ascii="宋体" w:hAnsi="宋体"/>
          <w:bCs/>
          <w:sz w:val="24"/>
          <w:szCs w:val="24"/>
          <w:highlight w:val="none"/>
          <w:lang w:val="zh-CN"/>
        </w:rPr>
        <w:t xml:space="preserve">“统筹规划、节约集约、互联互通、共享开放、安全可靠”</w:t>
      </w:r>
      <w:r>
        <w:rPr>
          <w:rFonts w:hint="eastAsia" w:ascii="宋体" w:hAnsi="宋体"/>
          <w:bCs/>
          <w:sz w:val="24"/>
          <w:szCs w:val="24"/>
          <w:highlight w:val="none"/>
        </w:rPr>
        <w:t xml:space="preserve">为原则</w:t>
      </w:r>
      <w:r>
        <w:rPr>
          <w:rFonts w:hint="eastAsia" w:ascii="宋体" w:hAnsi="宋体"/>
          <w:bCs/>
          <w:sz w:val="24"/>
          <w:szCs w:val="24"/>
          <w:highlight w:val="none"/>
          <w:lang w:val="zh-CN"/>
        </w:rPr>
        <w:t xml:space="preserve">实现</w:t>
      </w:r>
      <w:r>
        <w:rPr>
          <w:rFonts w:hint="eastAsia" w:ascii="宋体" w:hAnsi="宋体"/>
          <w:bCs/>
          <w:sz w:val="24"/>
          <w:szCs w:val="24"/>
          <w:highlight w:val="none"/>
        </w:rPr>
        <w:t xml:space="preserve">市级平台软件功能复用。</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日常情况下，系统工作采取属地管理原则，</w:t>
      </w:r>
      <w:r>
        <w:rPr>
          <w:rFonts w:hint="eastAsia" w:ascii="宋体" w:hAnsi="宋体"/>
          <w:bCs/>
          <w:sz w:val="24"/>
          <w:szCs w:val="24"/>
          <w:highlight w:val="none"/>
        </w:rPr>
        <w:t xml:space="preserve">宝应县</w:t>
      </w:r>
      <w:r>
        <w:rPr>
          <w:rFonts w:hint="eastAsia" w:ascii="宋体" w:hAnsi="宋体"/>
          <w:bCs/>
          <w:sz w:val="24"/>
          <w:szCs w:val="24"/>
          <w:highlight w:val="none"/>
          <w:lang w:val="zh-CN"/>
        </w:rPr>
        <w:t xml:space="preserve">急救</w:t>
      </w:r>
      <w:r>
        <w:rPr>
          <w:rFonts w:hint="eastAsia" w:ascii="宋体" w:hAnsi="宋体"/>
          <w:bCs/>
          <w:sz w:val="24"/>
          <w:szCs w:val="24"/>
          <w:highlight w:val="none"/>
        </w:rPr>
        <w:t xml:space="preserve">站</w:t>
      </w:r>
      <w:r>
        <w:rPr>
          <w:rFonts w:hint="eastAsia" w:ascii="宋体" w:hAnsi="宋体"/>
          <w:bCs/>
          <w:sz w:val="24"/>
          <w:szCs w:val="24"/>
          <w:highlight w:val="none"/>
          <w:lang w:val="zh-CN"/>
        </w:rPr>
        <w:t xml:space="preserve">负责辖区内老百姓日常急救呼救的受理、指挥、调度。若需市中心或临近区县急救力量增援，可向市急救中心或临近区县发送请求，由市中心统一调度。以市急救中心平台为中心的急救网络体系如下图所示：</w:t>
      </w:r>
      <w:r/>
    </w:p>
    <w:p>
      <w:pPr>
        <w:ind w:firstLine="420"/>
        <w:jc w:val="left"/>
        <w:spacing w:line="360" w:lineRule="auto"/>
        <w:rPr>
          <w:rFonts w:ascii="宋体" w:hAnsi="宋体"/>
          <w:bCs/>
          <w:szCs w:val="24"/>
          <w:highlight w:val="none"/>
          <w:lang w:val="zh-CN"/>
        </w:rPr>
      </w:pPr>
      <w:r>
        <w:rPr>
          <w:rFonts w:hint="eastAsia" w:ascii="宋体" w:hAnsi="宋体"/>
          <w:bCs/>
          <w:szCs w:val="24"/>
          <w:highlight w:val="none"/>
        </w:rPr>
        <mc:AlternateContent>
          <mc:Choice Requires="wpg">
            <w:drawing>
              <wp:inline xmlns:wp="http://schemas.openxmlformats.org/drawingml/2006/wordprocessingDrawing" distT="0" distB="0" distL="0" distR="0">
                <wp:extent cx="5270500" cy="3059430"/>
                <wp:effectExtent l="0" t="0" r="6350" b="762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5270500" cy="305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0pt;height:240.9pt;mso-wrap-distance-left:0.0pt;mso-wrap-distance-top:0.0pt;mso-wrap-distance-right:0.0pt;mso-wrap-distance-bottom:0.0pt;" stroked="f">
                <v:path textboxrect="0,0,0,0"/>
                <v:imagedata r:id="rId14" o:title=""/>
              </v:shape>
            </w:pict>
          </mc:Fallback>
        </mc:AlternateContent>
      </w:r>
      <w:r/>
    </w:p>
    <w:p>
      <w:pPr>
        <w:rPr>
          <w:rFonts w:hint="eastAsia"/>
          <w:b/>
          <w:bCs/>
          <w:sz w:val="28"/>
          <w:szCs w:val="28"/>
          <w:highlight w:val="none"/>
        </w:rPr>
      </w:pPr>
      <w:r>
        <w:rPr>
          <w:rFonts w:hint="eastAsia"/>
          <w:b/>
          <w:bCs/>
          <w:sz w:val="28"/>
          <w:szCs w:val="28"/>
          <w:highlight w:val="none"/>
        </w:rPr>
        <w:t xml:space="preserve">项目技术原则：</w:t>
      </w:r>
      <w:r/>
    </w:p>
    <w:p>
      <w:pPr>
        <w:ind w:firstLine="480"/>
        <w:jc w:val="left"/>
        <w:rPr>
          <w:rFonts w:ascii="宋体" w:hAnsi="宋体"/>
          <w:bCs/>
          <w:szCs w:val="24"/>
          <w:highlight w:val="none"/>
        </w:rPr>
      </w:pPr>
      <w:r>
        <w:rPr>
          <w:rFonts w:hint="eastAsia" w:ascii="宋体" w:hAnsi="宋体"/>
          <w:bCs/>
          <w:sz w:val="24"/>
          <w:szCs w:val="24"/>
          <w:highlight w:val="none"/>
        </w:rPr>
        <w:t xml:space="preserve">项目建设遵循“统筹规划、节约集约、互联互通、共享开放、安全可靠”的原则，依托全民健康信息平台，拓展应用，做到一个系统纵贯到底、市县共用，严格按照“一部门一系统” 要求，加强单位内部系统清理整合，不得无序建设、重复投入、粗放管理。统一接入云平台，实现统一指挥平台建设，支持应急指挥统一联动能力。</w:t>
      </w:r>
      <w:r/>
    </w:p>
    <w:p>
      <w:pPr>
        <w:rPr>
          <w:b/>
          <w:bCs/>
          <w:sz w:val="28"/>
          <w:szCs w:val="28"/>
          <w:highlight w:val="none"/>
        </w:rPr>
      </w:pPr>
      <w:r>
        <w:rPr>
          <w:rFonts w:hint="eastAsia"/>
          <w:b/>
          <w:bCs/>
          <w:sz w:val="28"/>
          <w:szCs w:val="28"/>
          <w:highlight w:val="none"/>
        </w:rPr>
        <w:t xml:space="preserve">项目需遵循的有关标准和规范：</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1、WS 365-2011 《城乡居民健康档案基本数据集》</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2、WS370-376《卫生信息基本数据集编制规范》等23项强制标准</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3、WS445《电子病历基本数据集》</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4、《江苏省卫生信息平台共享数据集》</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5、WST 451-2014 《院前医疗急救指挥信息系统基本功能规范》</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6、《急救医疗调度指挥信息系统基本功能规范》</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7、WS/T 《292-2008 救护车》</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8、《江苏省病历书写规范》</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9、《需要紧急救治的急危重伤病标准及诊疗规范》</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10、《道路交通事故受伤人员临床诊疗指南》</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11、《江苏省信息化支撑县域医共体业务协同与资源共享中心建设基本业务规范（2版）》（苏卫基层[2024]8号）</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12、《江苏省健康信息平台共享数据集和编码标准》（公卫部分）（苏卫办基层〔2024〕4号）</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13、《江苏省县域医共体信息化建设技术指南(征求意见稿)》</w:t>
      </w:r>
      <w:r/>
    </w:p>
    <w:p>
      <w:pPr>
        <w:ind w:firstLine="480"/>
        <w:jc w:val="left"/>
        <w:rPr>
          <w:rFonts w:ascii="宋体" w:hAnsi="宋体"/>
          <w:bCs/>
          <w:szCs w:val="24"/>
          <w:highlight w:val="none"/>
          <w:lang w:val="zh-CN"/>
        </w:rPr>
      </w:pPr>
      <w:r>
        <w:rPr>
          <w:rFonts w:hint="eastAsia" w:ascii="宋体" w:hAnsi="宋体"/>
          <w:bCs/>
          <w:sz w:val="24"/>
          <w:szCs w:val="24"/>
          <w:highlight w:val="none"/>
          <w:lang w:val="zh-CN"/>
        </w:rPr>
        <w:t xml:space="preserve">14、《江苏省县域医共体信息化共享数据标准(征求意见稿)》</w:t>
      </w:r>
      <w:r/>
    </w:p>
    <w:p>
      <w:pPr>
        <w:rPr>
          <w:b/>
          <w:bCs/>
          <w:sz w:val="28"/>
          <w:szCs w:val="28"/>
          <w:highlight w:val="none"/>
        </w:rPr>
      </w:pPr>
      <w:r>
        <w:rPr>
          <w:b/>
          <w:bCs/>
          <w:sz w:val="28"/>
          <w:szCs w:val="28"/>
          <w:highlight w:val="none"/>
        </w:rPr>
      </w:r>
      <w:r/>
    </w:p>
    <w:p>
      <w:pPr>
        <w:rPr>
          <w:b/>
          <w:bCs/>
          <w:sz w:val="28"/>
          <w:szCs w:val="28"/>
          <w:highlight w:val="none"/>
        </w:rPr>
      </w:pPr>
      <w:r>
        <w:rPr>
          <w:b/>
          <w:bCs/>
          <w:sz w:val="28"/>
          <w:szCs w:val="28"/>
          <w:highlight w:val="none"/>
        </w:rPr>
      </w:r>
      <w:bookmarkEnd w:id="53"/>
      <w:bookmarkEnd w:id="54"/>
      <w:r/>
    </w:p>
    <w:p>
      <w:pPr>
        <w:pStyle w:val="678"/>
        <w:rPr>
          <w:highlight w:val="none"/>
        </w:rPr>
      </w:pPr>
      <w:r>
        <w:rPr>
          <w:highlight w:val="none"/>
        </w:rPr>
      </w:r>
      <w:r/>
    </w:p>
    <w:p>
      <w:pPr>
        <w:keepLines/>
        <w:keepNext/>
        <w:spacing w:before="120" w:after="120"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一、采购需求：</w:t>
      </w:r>
      <w:r/>
    </w:p>
    <w:p>
      <w:pPr>
        <w:rPr>
          <w:rFonts w:ascii="宋体" w:cs="宋体"/>
          <w:b/>
          <w:color w:val="000000"/>
          <w:sz w:val="24"/>
          <w:szCs w:val="24"/>
          <w:highlight w:val="none"/>
        </w:rPr>
      </w:pPr>
      <w:r>
        <w:rPr>
          <w:rFonts w:hint="eastAsia" w:ascii="宋体" w:cs="宋体"/>
          <w:b/>
          <w:color w:val="000000"/>
          <w:sz w:val="24"/>
          <w:szCs w:val="24"/>
          <w:highlight w:val="none"/>
        </w:rPr>
        <w:t xml:space="preserve">1</w:t>
      </w:r>
      <w:r>
        <w:rPr>
          <w:rFonts w:ascii="宋体" w:cs="宋体"/>
          <w:b/>
          <w:color w:val="000000"/>
          <w:sz w:val="24"/>
          <w:szCs w:val="24"/>
          <w:highlight w:val="none"/>
        </w:rPr>
        <w:t xml:space="preserve">.1</w:t>
      </w:r>
      <w:r>
        <w:rPr>
          <w:rFonts w:hint="eastAsia" w:ascii="宋体" w:cs="宋体"/>
          <w:b/>
          <w:color w:val="000000"/>
          <w:sz w:val="24"/>
          <w:szCs w:val="24"/>
          <w:highlight w:val="none"/>
        </w:rPr>
        <w:t xml:space="preserve">采购清单</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3376"/>
        <w:gridCol w:w="1121"/>
        <w:gridCol w:w="1997"/>
        <w:gridCol w:w="1571"/>
      </w:tblGrid>
      <w:tr>
        <w:trPr>
          <w:jc w:val="center"/>
          <w:trHeight w:val="321"/>
        </w:trPr>
        <w:tc>
          <w:tcPr>
            <w:tcW w:w="872"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序号</w:t>
            </w:r>
            <w:r/>
          </w:p>
        </w:tc>
        <w:tc>
          <w:tcPr>
            <w:tcW w:w="3376"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lang w:val="en-US" w:eastAsia="zh-CN"/>
              </w:rPr>
              <w:t xml:space="preserve">货物</w:t>
            </w:r>
            <w:r>
              <w:rPr>
                <w:rFonts w:hint="eastAsia" w:ascii="宋体" w:hAnsi="宋体" w:cs="宋体"/>
                <w:b/>
                <w:sz w:val="24"/>
                <w:szCs w:val="24"/>
                <w:highlight w:val="none"/>
              </w:rPr>
              <w:t xml:space="preserve">名称</w:t>
            </w:r>
            <w:r/>
          </w:p>
        </w:tc>
        <w:tc>
          <w:tcPr>
            <w:tcW w:w="1121"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数量</w:t>
            </w:r>
            <w:r/>
          </w:p>
        </w:tc>
        <w:tc>
          <w:tcPr>
            <w:tcW w:w="1997"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采购预算</w:t>
            </w:r>
            <w:r/>
          </w:p>
          <w:p>
            <w:pPr>
              <w:jc w:val="center"/>
              <w:rPr>
                <w:rFonts w:ascii="宋体" w:hAnsi="宋体" w:cs="宋体"/>
                <w:b/>
                <w:sz w:val="24"/>
                <w:szCs w:val="24"/>
                <w:highlight w:val="none"/>
              </w:rPr>
            </w:pPr>
            <w:r>
              <w:rPr>
                <w:rFonts w:hint="eastAsia" w:ascii="宋体" w:hAnsi="宋体" w:cs="宋体"/>
                <w:b/>
                <w:sz w:val="24"/>
                <w:szCs w:val="24"/>
                <w:highlight w:val="none"/>
              </w:rPr>
              <w:t xml:space="preserve">（万元人民币）</w:t>
            </w:r>
            <w:r/>
          </w:p>
        </w:tc>
        <w:tc>
          <w:tcPr>
            <w:tcW w:w="1571" w:type="dxa"/>
            <w:vAlign w:val="center"/>
            <w:textDirection w:val="lrTb"/>
            <w:noWrap w:val="false"/>
          </w:tcPr>
          <w:p>
            <w:pPr>
              <w:jc w:val="center"/>
              <w:rPr>
                <w:rFonts w:ascii="宋体" w:hAnsi="宋体" w:cs="宋体"/>
                <w:b/>
                <w:sz w:val="24"/>
                <w:szCs w:val="24"/>
                <w:highlight w:val="none"/>
              </w:rPr>
            </w:pPr>
            <w:r>
              <w:rPr>
                <w:rFonts w:hint="eastAsia" w:ascii="宋体" w:hAnsi="宋体" w:cs="宋体"/>
                <w:b/>
                <w:sz w:val="24"/>
                <w:szCs w:val="24"/>
                <w:highlight w:val="none"/>
              </w:rPr>
              <w:t xml:space="preserve">是否接受进口产品投标</w:t>
            </w:r>
            <w:r/>
          </w:p>
        </w:tc>
      </w:tr>
      <w:tr>
        <w:trPr>
          <w:jc w:val="center"/>
          <w:trHeight w:val="270"/>
        </w:trPr>
        <w:tc>
          <w:tcPr>
            <w:tcW w:w="87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3376" w:type="dxa"/>
            <w:vAlign w:val="center"/>
            <w:textDirection w:val="lrTb"/>
            <w:noWrap w:val="false"/>
          </w:tcPr>
          <w:p>
            <w:pPr>
              <w:jc w:val="center"/>
              <w:rPr>
                <w:rFonts w:ascii="宋体" w:hAnsi="宋体" w:cs="宋体"/>
                <w:sz w:val="24"/>
                <w:szCs w:val="24"/>
                <w:highlight w:val="none"/>
              </w:rPr>
            </w:pPr>
            <w:r>
              <w:rPr>
                <w:rFonts w:hint="eastAsia" w:ascii="宋体" w:hAnsi="宋体"/>
                <w:sz w:val="24"/>
                <w:szCs w:val="24"/>
                <w:highlight w:val="none"/>
              </w:rPr>
              <w:t xml:space="preserve">院前急救信息系统</w:t>
            </w:r>
            <w:r/>
          </w:p>
        </w:tc>
        <w:tc>
          <w:tcPr>
            <w:tcW w:w="1121" w:type="dxa"/>
            <w:vAlign w:val="center"/>
            <w:textDirection w:val="lrTb"/>
            <w:noWrap w:val="false"/>
          </w:tcPr>
          <w:p>
            <w:pPr>
              <w:jc w:val="center"/>
              <w:rPr>
                <w:rFonts w:ascii="宋体" w:hAnsi="宋体" w:cs="宋体"/>
                <w:sz w:val="24"/>
                <w:szCs w:val="24"/>
                <w:highlight w:val="none"/>
              </w:rPr>
            </w:pPr>
            <w:r>
              <w:rPr>
                <w:rFonts w:hint="eastAsia"/>
                <w:spacing w:val="-5"/>
                <w:sz w:val="24"/>
                <w:highlight w:val="none"/>
              </w:rPr>
              <w:t xml:space="preserve">1套</w:t>
            </w:r>
            <w:r/>
          </w:p>
        </w:tc>
        <w:tc>
          <w:tcPr>
            <w:tcW w:w="1997"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260</w:t>
            </w:r>
            <w:r/>
          </w:p>
        </w:tc>
        <w:tc>
          <w:tcPr>
            <w:tcW w:w="157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不接受</w:t>
            </w:r>
            <w:r/>
          </w:p>
        </w:tc>
      </w:tr>
    </w:tbl>
    <w:p>
      <w:pPr>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t xml:space="preserve">1.2</w:t>
      </w:r>
      <w:r/>
    </w:p>
    <w:p>
      <w:pPr>
        <w:pStyle w:val="678"/>
        <w:rPr>
          <w:rFonts w:hint="eastAsia"/>
          <w:highlight w:val="none"/>
        </w:rPr>
      </w:pPr>
      <w:r>
        <w:rPr>
          <w:rFonts w:hint="eastAsia"/>
          <w:highlight w:val="none"/>
        </w:rPr>
        <w:t xml:space="preserve">（1）</w:t>
      </w:r>
      <w:r>
        <w:rPr>
          <w:rFonts w:hint="eastAsia" w:ascii="宋体" w:hAnsi="宋体" w:cs="宋体"/>
          <w:sz w:val="24"/>
          <w:highlight w:val="none"/>
        </w:rPr>
        <w:t xml:space="preserve">★</w:t>
      </w:r>
      <w:r>
        <w:rPr>
          <w:rFonts w:hint="eastAsia"/>
          <w:highlight w:val="none"/>
        </w:rPr>
        <w:t xml:space="preserve">维保期内，免费提供后续急救车辆及分站系统软件接入服务，硬件价格不高于本次采购价。</w:t>
      </w:r>
      <w:r/>
    </w:p>
    <w:p>
      <w:pPr>
        <w:pStyle w:val="678"/>
        <w:rPr>
          <w:rFonts w:hint="eastAsia"/>
          <w:highlight w:val="none"/>
        </w:rPr>
      </w:pPr>
      <w:r>
        <w:rPr>
          <w:rFonts w:hint="eastAsia"/>
          <w:highlight w:val="none"/>
        </w:rPr>
        <w:t xml:space="preserve">（2）</w:t>
      </w:r>
      <w:r>
        <w:rPr>
          <w:rFonts w:hint="eastAsia" w:ascii="宋体" w:hAnsi="宋体" w:cs="宋体"/>
          <w:sz w:val="24"/>
          <w:highlight w:val="none"/>
        </w:rPr>
        <w:t xml:space="preserve">★</w:t>
      </w:r>
      <w:r>
        <w:rPr>
          <w:rFonts w:hint="eastAsia"/>
          <w:highlight w:val="none"/>
        </w:rPr>
        <w:t xml:space="preserve">本次项目全面基于扬州市区域急救平台建设，宝应本地不再提供任何服务器资源。</w:t>
      </w:r>
      <w:r/>
    </w:p>
    <w:p>
      <w:pPr>
        <w:pStyle w:val="678"/>
        <w:rPr>
          <w:rFonts w:hint="eastAsia"/>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w:t>
      </w:r>
      <w:r>
        <w:rPr>
          <w:rFonts w:hint="eastAsia" w:ascii="宋体" w:hAnsi="宋体" w:cs="宋体"/>
          <w:sz w:val="24"/>
          <w:highlight w:val="none"/>
        </w:rPr>
        <w:t xml:space="preserve">★</w:t>
      </w:r>
      <w:r>
        <w:rPr>
          <w:rFonts w:hint="eastAsia"/>
          <w:highlight w:val="none"/>
        </w:rPr>
        <w:t xml:space="preserve">本次项目全面接入扬州市区域急救平台，要求实现平时独立调度，战时统筹调度的能力，须承诺战时最高权限可在市级统筹下直接调度宝应县所有急救车辆。</w:t>
      </w:r>
      <w:r/>
    </w:p>
    <w:p>
      <w:pPr>
        <w:pStyle w:val="678"/>
        <w:rPr>
          <w:b/>
          <w:highlight w:val="none"/>
        </w:rPr>
      </w:pPr>
      <w:r>
        <w:rPr>
          <w:rFonts w:hint="eastAsia"/>
          <w:b/>
          <w:highlight w:val="none"/>
        </w:rPr>
        <w:t xml:space="preserve">投标人须对上述要求逐一响应并提供承诺函（格式自理，未提供将作无效响应）。</w:t>
      </w:r>
      <w:r/>
    </w:p>
    <w:p>
      <w:pPr>
        <w:pStyle w:val="678"/>
        <w:rPr>
          <w:b/>
          <w:highlight w:val="none"/>
        </w:rPr>
      </w:pPr>
      <w:r>
        <w:rPr>
          <w:b/>
          <w:highlight w:val="none"/>
        </w:rPr>
      </w:r>
      <w:r/>
    </w:p>
    <w:p>
      <w:pPr>
        <w:pStyle w:val="678"/>
        <w:rPr>
          <w:highlight w:val="none"/>
        </w:rPr>
      </w:pPr>
      <w:r>
        <w:rPr>
          <w:highlight w:val="none"/>
        </w:rPr>
      </w:r>
      <w:r/>
    </w:p>
    <w:p>
      <w:pPr>
        <w:rPr>
          <w:rFonts w:hint="eastAsia"/>
          <w:highlight w:val="none"/>
        </w:rPr>
      </w:pPr>
      <w:r>
        <w:rPr>
          <w:rFonts w:hint="eastAsia"/>
          <w:highlight w:val="none"/>
        </w:rPr>
      </w:r>
      <w:r/>
    </w:p>
    <w:p>
      <w:pPr>
        <w:keepLines/>
        <w:keepNext/>
        <w:spacing w:before="120" w:after="120"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二、软件建设技术要求</w:t>
      </w:r>
      <w:r/>
    </w:p>
    <w:p>
      <w:pPr>
        <w:pStyle w:val="678"/>
        <w:rPr>
          <w:rFonts w:hint="eastAsia"/>
          <w:b/>
          <w:bCs/>
          <w:highlight w:val="none"/>
        </w:rPr>
      </w:pPr>
      <w:r>
        <w:rPr>
          <w:b/>
          <w:bCs/>
          <w:highlight w:val="none"/>
        </w:rPr>
        <w:t xml:space="preserve">2.</w:t>
      </w:r>
      <w:r>
        <w:rPr>
          <w:rFonts w:hint="eastAsia"/>
          <w:b/>
          <w:bCs/>
          <w:highlight w:val="none"/>
        </w:rPr>
        <w:t xml:space="preserve">1调度台软件功能要求</w:t>
      </w:r>
      <w:r/>
    </w:p>
    <w:p>
      <w:pPr>
        <w:pStyle w:val="678"/>
        <w:rPr>
          <w:rFonts w:hint="eastAsia" w:ascii="Segoe UI" w:hAnsi="Segoe UI" w:eastAsia="宋体" w:cs="Segoe UI"/>
          <w:i w:val="0"/>
          <w:iCs w:val="0"/>
          <w:caps w:val="0"/>
          <w:spacing w:val="0"/>
          <w:sz w:val="24"/>
          <w:szCs w:val="24"/>
          <w:highlight w:val="none"/>
          <w:shd w:val="clear" w:color="auto" w:fill="ffffff"/>
          <w:lang w:eastAsia="zh-CN"/>
        </w:rPr>
      </w:pPr>
      <w:r>
        <w:rPr>
          <w:rFonts w:hint="eastAsia" w:ascii="Segoe UI" w:hAnsi="Segoe UI" w:eastAsia="宋体" w:cs="Segoe UI"/>
          <w:i w:val="0"/>
          <w:iCs w:val="0"/>
          <w:caps w:val="0"/>
          <w:spacing w:val="0"/>
          <w:sz w:val="24"/>
          <w:szCs w:val="24"/>
          <w:highlight w:val="none"/>
          <w:shd w:val="clear" w:color="auto" w:fill="ffffff"/>
          <w:lang w:val="en-US" w:eastAsia="zh-CN"/>
        </w:rPr>
        <w:t xml:space="preserve">具备多</w:t>
      </w:r>
      <w:r>
        <w:rPr>
          <w:rFonts w:ascii="Segoe UI" w:hAnsi="Segoe UI" w:eastAsia="Segoe UI" w:cs="Segoe UI"/>
          <w:i w:val="0"/>
          <w:iCs w:val="0"/>
          <w:caps w:val="0"/>
          <w:spacing w:val="0"/>
          <w:sz w:val="24"/>
          <w:szCs w:val="24"/>
          <w:highlight w:val="none"/>
          <w:shd w:val="clear" w:color="auto" w:fill="ffffff"/>
        </w:rPr>
        <w:t xml:space="preserve">维度核心操作与管理模块：坐席登录需选择用户名、填写密码、选定台类型（受理调度台可受理电话及派车，调度台功能与之一致，班长台新增 “监控信息”）及班次（早班、中班、晚班，未选则无法登录），以明确责任主体并为统计分析和工作质量评价提供依据；界面分为主屏（受理调度屏，展示排队电话、车辆信息等，来电时显示详情</w:t>
      </w:r>
      <w:r>
        <w:rPr>
          <w:rFonts w:ascii="Segoe UI" w:hAnsi="Segoe UI" w:eastAsia="Segoe UI" w:cs="Segoe UI"/>
          <w:i w:val="0"/>
          <w:iCs w:val="0"/>
          <w:caps w:val="0"/>
          <w:spacing w:val="0"/>
          <w:sz w:val="24"/>
          <w:szCs w:val="24"/>
          <w:highlight w:val="none"/>
          <w:shd w:val="clear" w:color="auto" w:fill="ffffff"/>
        </w:rPr>
        <w:t xml:space="preserve">）、左屏（地理信息屏，默认接入高德或百度地图）、右屏（信息管理屏，包含事件信息、电话簿等多项内容）；系统监控可实时追踪排队电话、落单事件、出车及受理超时情况，对应事件发生时会通过颜色变化和声音发出提醒，且受理超时的告警与超时时间可按中心规定设置；班台信息及状态展示所有当班台状态，实时显示受理中坐席的现场地址，避免重复派车；车辆管理支持以列表形式展示含 DBD 状态、分站名称等多字段的车辆信息，不同状态车辆以不同颜色区分，可进行通话、轨迹回放、视频查看等操作，支持车辆与事件关联、状态过滤、多条件查询、按固定顺</w:t>
      </w:r>
      <w:r>
        <w:rPr>
          <w:rFonts w:ascii="Segoe UI" w:hAnsi="Segoe UI" w:eastAsia="Segoe UI" w:cs="Segoe UI"/>
          <w:i w:val="0"/>
          <w:iCs w:val="0"/>
          <w:caps w:val="0"/>
          <w:spacing w:val="0"/>
          <w:sz w:val="24"/>
          <w:szCs w:val="24"/>
          <w:highlight w:val="none"/>
          <w:shd w:val="clear" w:color="auto" w:fill="ffffff"/>
        </w:rPr>
        <w:t xml:space="preserve">序更改状态，以及中止任务、暂停 / 恢复调用、上下班操作、更改车辆分站等功能；电话呼入时系统自动显示来电信息（姓名、号码、上次来电时间等）和呼入信息详情（仅历史来电号码会弹出），并提供 F4、F5 快捷键用于摘机、挂机；电话呼入后可分类处理非要车电话（含恶意电话、医疗咨询等类型），对应有继续接听、退出接听、暂停接听三种操作及不同状态切换；突发事件相关功能支持生成事件、填报患者流向、自动生成并发送上报短信，且支持突发事件与普通事件的多事件关联合并；电话簿提供快速检索、联系相关人员的功能，包含分类查找、检索等；</w:t>
      </w:r>
      <w:r>
        <w:rPr>
          <w:rFonts w:ascii="Segoe UI" w:hAnsi="Segoe UI" w:eastAsia="Segoe UI" w:cs="Segoe UI"/>
          <w:i w:val="0"/>
          <w:iCs w:val="0"/>
          <w:caps w:val="0"/>
          <w:spacing w:val="0"/>
          <w:sz w:val="24"/>
          <w:szCs w:val="24"/>
          <w:highlight w:val="none"/>
          <w:shd w:val="clear" w:color="auto" w:fill="ffffff"/>
        </w:rPr>
        <w:t xml:space="preserve">电话流水可查询指定时间段内各类电话记录，支持听录音、回拨功能；交班日志支持新增、修改、删除个人及班组交接日志（班组日志可通知所有调度台）；报停记录为系统自动生成，支持条件查询；通知单功能涵盖发送及查看历史；事件管理以列表形式展示近期事件，支持状态过滤及唤醒待派、改派等多项操作；班长坐席除具备受理调度席全部功能外，还可监控急救任务与受理调度过程、监听强插通话、监控坐席及设备运行状态，通过监控信息分类查看坐席工作状态，在警情通传中查看事件详情并执行监听、接管等操作，且当非任务车辆超出设定城市范围时会收到围栏提醒</w:t>
      </w:r>
      <w:r>
        <w:rPr>
          <w:rFonts w:hint="eastAsia" w:ascii="Segoe UI" w:hAnsi="Segoe UI" w:eastAsia="宋体" w:cs="Segoe UI"/>
          <w:i w:val="0"/>
          <w:iCs w:val="0"/>
          <w:caps w:val="0"/>
          <w:spacing w:val="0"/>
          <w:sz w:val="24"/>
          <w:szCs w:val="24"/>
          <w:highlight w:val="none"/>
          <w:shd w:val="clear" w:color="auto" w:fill="ffffff"/>
          <w:lang w:eastAsia="zh-CN"/>
        </w:rPr>
        <w:t xml:space="preserve">。</w:t>
      </w:r>
      <w:r/>
    </w:p>
    <w:p>
      <w:pPr>
        <w:rPr>
          <w:rFonts w:hint="eastAsia"/>
          <w:highlight w:val="none"/>
          <w:lang w:eastAsia="zh-CN"/>
        </w:rPr>
      </w:pPr>
      <w:r>
        <w:rPr>
          <w:rFonts w:hint="eastAsia"/>
          <w:highlight w:val="none"/>
          <w:lang w:eastAsia="zh-CN"/>
        </w:rPr>
      </w:r>
      <w:r/>
    </w:p>
    <w:p>
      <w:pPr>
        <w:pStyle w:val="678"/>
        <w:rPr>
          <w:rFonts w:hint="eastAsia"/>
          <w:b/>
          <w:bCs/>
          <w:highlight w:val="none"/>
        </w:rPr>
      </w:pPr>
      <w:r>
        <w:rPr>
          <w:b/>
          <w:bCs/>
          <w:highlight w:val="none"/>
        </w:rPr>
        <w:t xml:space="preserve">2.</w:t>
      </w:r>
      <w:r>
        <w:rPr>
          <w:rFonts w:hint="eastAsia"/>
          <w:b/>
          <w:bCs/>
          <w:highlight w:val="none"/>
        </w:rPr>
        <w:t xml:space="preserve">2地图程序</w:t>
      </w:r>
      <w:r/>
    </w:p>
    <w:p>
      <w:pPr>
        <w:pStyle w:val="678"/>
        <w:rPr>
          <w:rFonts w:hint="eastAsia"/>
          <w:highlight w:val="none"/>
        </w:rPr>
      </w:pPr>
      <w:r>
        <w:rPr>
          <w:rFonts w:hint="eastAsia"/>
          <w:highlight w:val="none"/>
        </w:rPr>
        <w:t xml:space="preserve">系统支持接入国内主流网络地图，并支持基于网络地图的地址查询、路径规划、车辆监控、电话定位、现场地址定位、车载北斗位置显示、地图直接拨打电话、电子围栏、急救资源标记等功能。另外，系统同样支持接入本地地图，如果网络地图无法使用，则可以使用本地地图。</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3呼叫定位软件</w:t>
      </w:r>
      <w:r/>
    </w:p>
    <w:p>
      <w:pPr>
        <w:pStyle w:val="678"/>
        <w:rPr>
          <w:rFonts w:ascii="Segoe UI" w:hAnsi="Segoe UI" w:eastAsia="Segoe UI" w:cs="Segoe UI"/>
          <w:i w:val="0"/>
          <w:iCs w:val="0"/>
          <w:caps w:val="0"/>
          <w:spacing w:val="0"/>
          <w:sz w:val="24"/>
          <w:szCs w:val="24"/>
          <w:highlight w:val="none"/>
          <w:shd w:val="clear" w:color="auto" w:fill="ffffff"/>
        </w:rPr>
      </w:pPr>
      <w:r>
        <w:rPr>
          <w:rFonts w:ascii="Segoe UI" w:hAnsi="Segoe UI" w:eastAsia="Segoe UI" w:cs="Segoe UI"/>
          <w:i w:val="0"/>
          <w:iCs w:val="0"/>
          <w:caps w:val="0"/>
          <w:spacing w:val="0"/>
          <w:sz w:val="24"/>
          <w:szCs w:val="24"/>
          <w:highlight w:val="none"/>
          <w:shd w:val="clear" w:color="auto" w:fill="ffffff"/>
        </w:rPr>
        <w:t xml:space="preserve">需在急救指挥中心通信机房配置由信令采集器与扬州</w:t>
      </w:r>
      <w:r>
        <w:rPr>
          <w:rFonts w:ascii="Segoe UI" w:hAnsi="Segoe UI" w:eastAsia="Segoe UI" w:cs="Segoe UI"/>
          <w:i w:val="0"/>
          <w:iCs w:val="0"/>
          <w:caps w:val="0"/>
          <w:spacing w:val="0"/>
          <w:sz w:val="24"/>
          <w:szCs w:val="24"/>
          <w:highlight w:val="none"/>
          <w:shd w:val="clear" w:color="auto" w:fill="ffffff"/>
        </w:rPr>
        <w:t xml:space="preserve">市区域呼叫定位平台软件组成的信令采集终端，通过中心网络出口与运营商定位网关通信，向该定位平台软件送出电话信令及定位请求数据，再由运营商定位网关将鉴权结果及定位结果反推至宝应县调度台；定位平台与 120 调度系统通过数据接口通信，定位平台输出的定位数据经调度平台接口后，会展示在一机三屏的电子地图中供调度员参考，同时需满足接入国内主流运营商集团定位网关及具备呼叫核查功能的数据服务要求、涵盖系统运行状态监控、采集器在线状态监控、定位成功率监控等的运维服务要求，以及包含国内主流运营商基站定位三年授权的定位授权要求。</w:t>
      </w:r>
      <w:r/>
    </w:p>
    <w:p>
      <w:pPr>
        <w:pStyle w:val="678"/>
        <w:rPr>
          <w:rFonts w:hint="eastAsia"/>
          <w:highlight w:val="none"/>
        </w:rPr>
      </w:pPr>
      <w:r>
        <w:rPr>
          <w:rFonts w:hint="eastAsia"/>
          <w:highlight w:val="none"/>
        </w:rPr>
      </w:r>
      <w:r/>
    </w:p>
    <w:p>
      <w:pPr>
        <w:pStyle w:val="678"/>
        <w:rPr>
          <w:rFonts w:hint="eastAsia"/>
          <w:b/>
          <w:bCs/>
          <w:highlight w:val="none"/>
        </w:rPr>
      </w:pPr>
      <w:r>
        <w:rPr>
          <w:rFonts w:hint="eastAsia"/>
          <w:b/>
          <w:bCs/>
          <w:highlight w:val="none"/>
        </w:rPr>
        <w:t xml:space="preserve">2</w:t>
      </w:r>
      <w:r>
        <w:rPr>
          <w:b/>
          <w:bCs/>
          <w:highlight w:val="none"/>
        </w:rPr>
        <w:t xml:space="preserve">.</w:t>
      </w:r>
      <w:r>
        <w:rPr>
          <w:rFonts w:hint="eastAsia"/>
          <w:b/>
          <w:bCs/>
          <w:highlight w:val="none"/>
        </w:rPr>
        <w:t xml:space="preserve">4分站管理软件授权</w:t>
      </w:r>
      <w:r/>
    </w:p>
    <w:p>
      <w:pPr>
        <w:pStyle w:val="678"/>
        <w:rPr>
          <w:rFonts w:hint="eastAsia"/>
          <w:highlight w:val="none"/>
        </w:rPr>
      </w:pPr>
      <w:r>
        <w:rPr>
          <w:rFonts w:hint="eastAsia"/>
          <w:highlight w:val="none"/>
        </w:rPr>
        <w:t xml:space="preserve">提供分站管理软件授权。支持市县一体化调度，且调度台软件需具备以下功能：（1）实时任务模块</w:t>
      </w:r>
      <w:r>
        <w:rPr>
          <w:rFonts w:hint="eastAsia"/>
          <w:highlight w:val="none"/>
          <w:lang w:eastAsia="zh-CN"/>
        </w:rPr>
        <w:t xml:space="preserve">：</w:t>
      </w:r>
      <w:r>
        <w:rPr>
          <w:rFonts w:hint="eastAsia"/>
          <w:highlight w:val="none"/>
        </w:rPr>
        <w:t xml:space="preserve">实时任务模块主要用于实时接收指挥中心的调派命令（与救护车接收同步），调派任务的单类型包括命令单、补发单和通知单等，一个急救任务可能对应1个命令单和多个补发单，具体可以根据任务号进行对应关联。（2）历史查询模块</w:t>
      </w:r>
      <w:r/>
    </w:p>
    <w:p>
      <w:pPr>
        <w:pStyle w:val="678"/>
        <w:rPr>
          <w:rFonts w:hint="eastAsia"/>
          <w:highlight w:val="none"/>
        </w:rPr>
      </w:pPr>
      <w:r>
        <w:rPr>
          <w:rFonts w:hint="eastAsia"/>
          <w:highlight w:val="none"/>
          <w:lang w:eastAsia="zh-CN"/>
        </w:rPr>
        <w:t xml:space="preserve">，</w:t>
      </w:r>
      <w:r>
        <w:rPr>
          <w:rFonts w:hint="eastAsia"/>
          <w:highlight w:val="none"/>
        </w:rPr>
        <w:t xml:space="preserve">主要用于查询一定时间内不同单类型的命令单情况。（3）分站地图模块</w:t>
      </w:r>
      <w:r>
        <w:rPr>
          <w:rFonts w:hint="eastAsia"/>
          <w:highlight w:val="none"/>
          <w:lang w:eastAsia="zh-CN"/>
        </w:rPr>
        <w:t xml:space="preserve">，</w:t>
      </w:r>
      <w:r>
        <w:rPr>
          <w:rFonts w:hint="eastAsia"/>
          <w:highlight w:val="none"/>
        </w:rPr>
        <w:t xml:space="preserve">主要用于展示分站车辆的状态和位置分布。（4）车辆管理模块</w:t>
      </w:r>
      <w:r>
        <w:rPr>
          <w:rFonts w:hint="eastAsia"/>
          <w:highlight w:val="none"/>
          <w:lang w:eastAsia="zh-CN"/>
        </w:rPr>
        <w:t xml:space="preserve">，</w:t>
      </w:r>
      <w:r>
        <w:rPr>
          <w:rFonts w:hint="eastAsia"/>
          <w:highlight w:val="none"/>
        </w:rPr>
        <w:t xml:space="preserve">主要用于：车辆管理模块主要用于展示分站车辆的当前状态和任务地址等，并且可以通过配置赋予分站人员修改车辆状态的权限，同时，支持帮随车人员上下班。（5）菜单设置模块</w:t>
      </w:r>
      <w:r>
        <w:rPr>
          <w:rFonts w:hint="eastAsia"/>
          <w:highlight w:val="none"/>
          <w:lang w:eastAsia="zh-CN"/>
        </w:rPr>
        <w:t xml:space="preserve">，</w:t>
      </w:r>
      <w:r>
        <w:rPr>
          <w:rFonts w:hint="eastAsia"/>
          <w:highlight w:val="none"/>
        </w:rPr>
        <w:t xml:space="preserve">主要用于：菜单设置模块主要用于设置分站车辆分组、任务预警和接收的相关指数配置、报表模板的更新、使用手册的查阅以及最小化等</w:t>
      </w:r>
      <w:r>
        <w:rPr>
          <w:rFonts w:hint="eastAsia"/>
          <w:highlight w:val="none"/>
          <w:lang w:eastAsia="zh-CN"/>
        </w:rPr>
        <w:t xml:space="preserve">；</w:t>
      </w:r>
      <w:r>
        <w:rPr>
          <w:rFonts w:hint="eastAsia"/>
          <w:highlight w:val="none"/>
        </w:rPr>
        <w:t xml:space="preserve">（6）分站监控模块</w:t>
      </w:r>
      <w:r>
        <w:rPr>
          <w:rFonts w:hint="eastAsia"/>
          <w:highlight w:val="none"/>
          <w:lang w:eastAsia="zh-CN"/>
        </w:rPr>
        <w:t xml:space="preserve">，</w:t>
      </w:r>
      <w:r>
        <w:rPr>
          <w:rFonts w:hint="eastAsia"/>
          <w:highlight w:val="none"/>
        </w:rPr>
        <w:t xml:space="preserve">主要用于：分站监控及归属于分站的车辆监控查询、下载。</w:t>
      </w:r>
      <w:r/>
    </w:p>
    <w:p>
      <w:pPr>
        <w:pStyle w:val="678"/>
        <w:rPr>
          <w:highlight w:val="none"/>
        </w:rPr>
      </w:pPr>
      <w:r>
        <w:rPr>
          <w:highlight w:val="none"/>
        </w:rPr>
      </w:r>
      <w:r/>
    </w:p>
    <w:p>
      <w:pPr>
        <w:pStyle w:val="678"/>
        <w:rPr>
          <w:rFonts w:hint="eastAsia"/>
          <w:highlight w:val="none"/>
        </w:rPr>
      </w:pPr>
      <w:r>
        <w:rPr>
          <w:b/>
          <w:bCs/>
          <w:highlight w:val="none"/>
        </w:rPr>
        <w:t xml:space="preserve">2.</w:t>
      </w:r>
      <w:r>
        <w:rPr>
          <w:rFonts w:hint="eastAsia"/>
          <w:b/>
          <w:bCs/>
          <w:highlight w:val="none"/>
        </w:rPr>
        <w:t xml:space="preserve">5医院急诊预告知接收端软件</w:t>
      </w:r>
      <w:r/>
    </w:p>
    <w:p>
      <w:pPr>
        <w:pStyle w:val="678"/>
        <w:rPr>
          <w:rFonts w:hint="eastAsia"/>
          <w:highlight w:val="none"/>
        </w:rPr>
      </w:pPr>
      <w:r>
        <w:rPr>
          <w:rFonts w:hint="eastAsia"/>
          <w:highlight w:val="none"/>
          <w:lang w:val="en-US" w:eastAsia="zh-CN"/>
        </w:rPr>
        <w:t xml:space="preserve">须具备</w:t>
      </w:r>
      <w:r>
        <w:rPr>
          <w:rFonts w:hint="eastAsia"/>
          <w:highlight w:val="none"/>
        </w:rPr>
        <w:t xml:space="preserve">区域事件接收能力</w:t>
      </w:r>
      <w:r>
        <w:rPr>
          <w:rFonts w:hint="eastAsia"/>
          <w:highlight w:val="none"/>
          <w:lang w:eastAsia="zh-CN"/>
        </w:rPr>
        <w:t xml:space="preserve">：</w:t>
      </w:r>
      <w:r>
        <w:rPr>
          <w:rFonts w:hint="eastAsia"/>
          <w:highlight w:val="none"/>
        </w:rPr>
        <w:t xml:space="preserve">要求可接收基于扬州市区域平台下发任务时间数据展示能力，实现区域一体化能力</w:t>
      </w:r>
      <w:r>
        <w:rPr>
          <w:rFonts w:hint="eastAsia"/>
          <w:highlight w:val="none"/>
          <w:lang w:eastAsia="zh-CN"/>
        </w:rPr>
        <w:t xml:space="preserve">；</w:t>
      </w:r>
      <w:r>
        <w:rPr>
          <w:rFonts w:hint="eastAsia"/>
          <w:highlight w:val="none"/>
        </w:rPr>
        <w:t xml:space="preserve">医院端告知信息显示设计</w:t>
      </w:r>
      <w:r>
        <w:rPr>
          <w:rFonts w:hint="eastAsia"/>
          <w:highlight w:val="none"/>
          <w:lang w:eastAsia="zh-CN"/>
        </w:rPr>
        <w:t xml:space="preserve">：</w:t>
      </w:r>
      <w:r>
        <w:rPr>
          <w:rFonts w:hint="eastAsia"/>
          <w:highlight w:val="none"/>
        </w:rPr>
        <w:t xml:space="preserve">将院前救护车上传来的救护车位置信息、病人基本信息、伤情分级、伤情描述等显示在急症抢救室的大屏幕上，具体需要显示的内容包括：车牌号、随车电话、距离和预计到达时间、现场地址、患者性别和年龄、预警信息、伤情描述</w:t>
      </w:r>
      <w:r>
        <w:rPr>
          <w:rFonts w:hint="eastAsia"/>
          <w:highlight w:val="none"/>
          <w:lang w:eastAsia="zh-CN"/>
        </w:rPr>
        <w:t xml:space="preserve">；</w:t>
      </w:r>
      <w:r>
        <w:rPr>
          <w:rFonts w:hint="eastAsia"/>
          <w:highlight w:val="none"/>
        </w:rPr>
        <w:t xml:space="preserve">病人抢救记录填写功能：要求软件可对患者的抢救记录填写，并回传至120指挥中心。</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6远程视频会诊要求</w:t>
      </w:r>
      <w:r/>
    </w:p>
    <w:p>
      <w:pPr>
        <w:pStyle w:val="678"/>
        <w:rPr>
          <w:rFonts w:hint="eastAsia"/>
          <w:highlight w:val="none"/>
        </w:rPr>
      </w:pPr>
      <w:r>
        <w:rPr>
          <w:rFonts w:hint="eastAsia"/>
          <w:highlight w:val="none"/>
        </w:rPr>
        <w:t xml:space="preserve">基于扬州市区域远程视频会诊平台，要求增加5路视频会诊授权、5路视频会诊录制授权及10路会诊并发。远程会诊视频通讯平台主要用于搭建急救医生、120督导专家、院内专科医生等建立多方视频通话，实现患者病情的远程诊断和救治前移。比如，当随车医生发现自身经验难以应对患者救治时，可以通过远程会诊视频通讯平台请求院内医生的协助，也可以接受来自中心或院内的远程会诊请求</w:t>
      </w:r>
      <w:r>
        <w:rPr>
          <w:rFonts w:hint="eastAsia"/>
          <w:highlight w:val="none"/>
          <w:lang w:eastAsia="zh-CN"/>
        </w:rPr>
        <w:t xml:space="preserve">：</w:t>
      </w:r>
      <w:r>
        <w:rPr>
          <w:rFonts w:hint="eastAsia"/>
          <w:highlight w:val="none"/>
        </w:rPr>
        <w:t xml:space="preserve">①提供医院、救护车、指挥调度中心各业务点实时在线的视频用户列表； ②支持向在线视频用户发起远程会诊通话请求，对方接听或对方自动应答后系统自动建立双方视频会话； ③支持挂断正在进行的音视频会话； ④支持调整音视频会话音量高低功能； ⑤因网络丢包、信号不好等原因导致系统音视频通话中断时，如果在30秒以内系统网络得到恢复，系统需要支持立即自动恢复音视频会话功能。</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7院内系统对接</w:t>
      </w:r>
      <w:r/>
    </w:p>
    <w:p>
      <w:pPr>
        <w:pStyle w:val="678"/>
        <w:rPr>
          <w:rFonts w:hint="eastAsia"/>
          <w:highlight w:val="none"/>
        </w:rPr>
      </w:pPr>
      <w:r>
        <w:rPr>
          <w:rFonts w:hint="eastAsia"/>
          <w:highlight w:val="none"/>
        </w:rPr>
        <w:t xml:space="preserve">符合扬州市区域“上车即入院”数据对接标准，依据扬州市区域“上车即入院”统一要求，制定数据对接及业务对接标准，实现全面数据互联互通</w:t>
      </w:r>
      <w:r>
        <w:rPr>
          <w:rFonts w:hint="eastAsia"/>
          <w:highlight w:val="none"/>
          <w:lang w:eastAsia="zh-CN"/>
        </w:rPr>
        <w:t xml:space="preserve">；</w:t>
      </w:r>
      <w:r>
        <w:rPr>
          <w:rFonts w:hint="eastAsia"/>
          <w:highlight w:val="none"/>
        </w:rPr>
        <w:t xml:space="preserve">急救调度指挥系统与各医院HS系统或急诊分诊系统对接，实现信息互联互通，构建高效的数据共享机制，推动院前与院内救治无缝衔接，为提前启动院内救治流程提供支撑</w:t>
      </w:r>
      <w:r>
        <w:rPr>
          <w:rFonts w:hint="eastAsia"/>
          <w:highlight w:val="none"/>
          <w:lang w:eastAsia="zh-CN"/>
        </w:rPr>
        <w:t xml:space="preserve">；</w:t>
      </w:r>
      <w:r>
        <w:rPr>
          <w:rFonts w:hint="eastAsia"/>
          <w:highlight w:val="none"/>
        </w:rPr>
        <w:t xml:space="preserve">利用5G技术实现急救车与医疗机构的互联互通，打通院前院内信息平台接口，实现信息平台之间的数据传输，实现车内救治信息及患者生命体征信息实时传输、院前急救病人转归查询的目标。</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8督导端软件</w:t>
      </w:r>
      <w:r/>
    </w:p>
    <w:p>
      <w:pPr>
        <w:pStyle w:val="678"/>
        <w:rPr>
          <w:rFonts w:hint="eastAsia"/>
          <w:highlight w:val="none"/>
        </w:rPr>
      </w:pPr>
      <w:r>
        <w:rPr>
          <w:rFonts w:hint="eastAsia"/>
          <w:highlight w:val="none"/>
        </w:rPr>
        <w:t xml:space="preserve">可实时掌握急救事件进展、状态、关键时间节点、动态医疗信息、关键提示信息、救护车</w:t>
      </w:r>
      <w:r>
        <w:rPr>
          <w:rFonts w:hint="eastAsia"/>
          <w:highlight w:val="none"/>
        </w:rPr>
        <w:t xml:space="preserve">位置及救护舱视频信息，必要时能对急危重症患者开展远程指导，有效解决院前急救医生面临的救治难题 —— 当医生遇到无法处理的情况或患者病情危急时，可通过终端的即时通讯、远程会诊功能与中心人员沟通请求协助，或由中心协调联系医院医生，同时终端支持将患者信息推送至目标医院，助力医院提前做好救治准备；在功能应用上，终端可通过任务列表展示当前全部执行中的急救任务并支持按事件等级查询，通过任务详情查看 GPG 上传时间、车辆当前状态、随车人员等信息及定位车辆位置，通过心电监控查看救护车上医疗设备采集的患者心电图等生命体征数</w:t>
      </w:r>
      <w:r>
        <w:rPr>
          <w:rFonts w:hint="eastAsia"/>
          <w:highlight w:val="none"/>
        </w:rPr>
        <w:t xml:space="preserve">据，通过任务地图在地图上标记车辆和事件坐标并查看相关车辆信息；可实时跟踪定位救护车位置、查看急救任务状态，估算患者病发地点到送达医院的行驶距离和时间，完整记录救护车从收到任务指令、驶向现场、到达现场到驶向医院等全流程各状态的时间，监控所有车辆的实时位置和行驶状态，通过车载摄像头、话筒采集救护舱内音视频，结合医疗设备采集的患者生命体征数据，直观掌握病患救治情况及生命状态；在远程急救指导方面，终端支持信息交互与视频会议两种形式，随车医生可发起协助请求，督导端专家也可主动发送督导意见，双方还能上传发送图片、视频以</w:t>
      </w:r>
      <w:r>
        <w:rPr>
          <w:rFonts w:hint="eastAsia"/>
          <w:highlight w:val="none"/>
        </w:rPr>
        <w:t xml:space="preserve">便更直观了解情况，督导端可响应或自动发起与随车医生的视频通话，也可邀请院内医生参与三方视频会诊；在患者信息推送与督导记录方面，督导端可填写详细患者信息，从列表展示的所有医院中选择目标医院发送，同时会完整记录督导相关信息，包括督导对象（如市民、医生、护士等）、督导时机（如呼叫 120、驶向现场等）、督导情境（如问诊、体格检查等）、指导事项（如安抚情绪、提醒注意事项等，需结合具体情境记录细节，如器械检查需注明使用的器械，提醒注意事项需列明携带医保卡、病历本等）及具体指导与督导内容，为事后质控及纠纷追溯提供依据。</w:t>
      </w:r>
      <w:r/>
    </w:p>
    <w:p>
      <w:pPr>
        <w:pStyle w:val="678"/>
        <w:rPr>
          <w:highlight w:val="none"/>
        </w:rPr>
      </w:pPr>
      <w:r>
        <w:rPr>
          <w:highlight w:val="none"/>
        </w:rPr>
      </w:r>
      <w:r/>
    </w:p>
    <w:p>
      <w:pPr>
        <w:pStyle w:val="678"/>
        <w:rPr>
          <w:rFonts w:hint="eastAsia"/>
          <w:b/>
          <w:bCs/>
          <w:highlight w:val="none"/>
        </w:rPr>
      </w:pPr>
      <w:r>
        <w:rPr>
          <w:b/>
          <w:bCs/>
          <w:highlight w:val="none"/>
        </w:rPr>
        <w:t xml:space="preserve">2.9</w:t>
      </w:r>
      <w:r>
        <w:rPr>
          <w:rFonts w:hint="eastAsia"/>
          <w:b/>
          <w:bCs/>
          <w:highlight w:val="none"/>
        </w:rPr>
        <w:t xml:space="preserve">医学录像通用系统基础信创平台</w:t>
      </w:r>
      <w:r/>
    </w:p>
    <w:p>
      <w:pPr>
        <w:pStyle w:val="678"/>
        <w:rPr>
          <w:rFonts w:hint="eastAsia"/>
          <w:highlight w:val="none"/>
        </w:rPr>
      </w:pPr>
      <w:r>
        <w:rPr>
          <w:rFonts w:hint="eastAsia"/>
          <w:highlight w:val="none"/>
        </w:rPr>
        <w:t xml:space="preserve">系统基础包：提供业务应用依赖的基础资源信息及基础服务能力，包括系统基础信息管理、地图应用服务、事件联动应用服务</w:t>
      </w:r>
      <w:r>
        <w:rPr>
          <w:rFonts w:hint="eastAsia"/>
          <w:highlight w:val="none"/>
          <w:lang w:eastAsia="zh-CN"/>
        </w:rPr>
        <w:t xml:space="preserve">；</w:t>
      </w:r>
      <w:r>
        <w:rPr>
          <w:rFonts w:hint="eastAsia"/>
          <w:highlight w:val="none"/>
        </w:rPr>
        <w:t xml:space="preserve">系统基础信息管理：系统基础信息管理提供了系统业务应用依赖的基础资源，包括用户管理、基础数据管理、区域管理、系统配置、物联设备管理，统一管理了组织、区域、人员、车辆和物联设备等资源，并提供人车、人设备的关联关系配置能力。</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10医学录像通用系统与调度系统对接</w:t>
      </w:r>
      <w:r/>
    </w:p>
    <w:p>
      <w:pPr>
        <w:pStyle w:val="678"/>
        <w:rPr>
          <w:rFonts w:hint="eastAsia"/>
          <w:highlight w:val="none"/>
        </w:rPr>
      </w:pPr>
      <w:r>
        <w:rPr>
          <w:rFonts w:hint="eastAsia"/>
          <w:highlight w:val="none"/>
        </w:rPr>
        <w:t xml:space="preserve">移动摄录终端具备上下班功能后，推送设备登录人员及设备编码信息给调度系统，调度系统匹配车辆，确认设备与车辆绑定；车载更改状态时将任务号与开始时间推送至设备，供设备后台自动标记任务下视频开始时间；车载更改状态为任务结束时推送结束时间至设备后台，供设备后台自动标记任务下视频结束时间</w:t>
      </w:r>
      <w:r>
        <w:rPr>
          <w:rFonts w:hint="eastAsia"/>
          <w:highlight w:val="none"/>
          <w:lang w:eastAsia="zh-CN"/>
        </w:rPr>
        <w:t xml:space="preserve">；</w:t>
      </w:r>
      <w:r>
        <w:rPr>
          <w:rFonts w:hint="eastAsia"/>
          <w:highlight w:val="none"/>
        </w:rPr>
        <w:t xml:space="preserve">要求可实现在急救管理平台下通过任务查阅调度事件视频的功能，包括实时视频查看和过往视频查看调阅。</w:t>
      </w:r>
      <w:r/>
    </w:p>
    <w:p>
      <w:pPr>
        <w:pStyle w:val="678"/>
        <w:rPr>
          <w:b/>
          <w:bCs/>
          <w:highlight w:val="none"/>
        </w:rPr>
      </w:pPr>
      <w:r>
        <w:rPr>
          <w:b/>
          <w:bCs/>
          <w:highlight w:val="none"/>
        </w:rPr>
      </w:r>
      <w:r/>
    </w:p>
    <w:p>
      <w:pPr>
        <w:pStyle w:val="678"/>
        <w:rPr>
          <w:rFonts w:hint="eastAsia"/>
          <w:b/>
          <w:bCs/>
          <w:highlight w:val="none"/>
          <w:lang w:eastAsia="zh-CN"/>
        </w:rPr>
      </w:pPr>
      <w:r>
        <w:rPr>
          <w:b/>
          <w:bCs/>
          <w:highlight w:val="none"/>
        </w:rPr>
        <w:t xml:space="preserve">2.</w:t>
      </w:r>
      <w:r>
        <w:rPr>
          <w:rFonts w:hint="eastAsia"/>
          <w:b/>
          <w:bCs/>
          <w:highlight w:val="none"/>
        </w:rPr>
        <w:t xml:space="preserve">11▲多媒体报警软件（投标人所投多媒体报警软件平台需具备软件著作权证书，提供扫描件并加盖投标人公章。）</w:t>
      </w:r>
      <w:r/>
    </w:p>
    <w:p>
      <w:pPr>
        <w:pStyle w:val="678"/>
        <w:rPr>
          <w:rFonts w:hint="eastAsia"/>
          <w:highlight w:val="none"/>
        </w:rPr>
      </w:pPr>
      <w:r>
        <w:rPr>
          <w:rFonts w:hint="eastAsia"/>
          <w:highlight w:val="none"/>
        </w:rPr>
        <w:t xml:space="preserve">微信小程序听障人士报警功能</w:t>
      </w:r>
      <w:r>
        <w:rPr>
          <w:rFonts w:hint="eastAsia"/>
          <w:highlight w:val="none"/>
          <w:lang w:eastAsia="zh-CN"/>
        </w:rPr>
        <w:t xml:space="preserve">：</w:t>
      </w:r>
      <w:r>
        <w:rPr>
          <w:rFonts w:hint="eastAsia"/>
          <w:highlight w:val="none"/>
        </w:rPr>
        <w:t xml:space="preserve">文字与语音互转功能，实现听障人士与调度员无障碍沟通</w:t>
      </w:r>
      <w:r>
        <w:rPr>
          <w:rFonts w:hint="eastAsia"/>
          <w:highlight w:val="none"/>
          <w:lang w:eastAsia="zh-CN"/>
        </w:rPr>
        <w:t xml:space="preserve">；</w:t>
      </w:r>
      <w:r>
        <w:rPr>
          <w:rFonts w:hint="eastAsia"/>
          <w:highlight w:val="none"/>
        </w:rPr>
        <w:t xml:space="preserve">当听障人士通过微信小程序进行报警时，自动采集当前报警人位置等信息</w:t>
      </w:r>
      <w:r>
        <w:rPr>
          <w:rFonts w:hint="eastAsia"/>
          <w:highlight w:val="none"/>
          <w:lang w:eastAsia="zh-CN"/>
        </w:rPr>
        <w:t xml:space="preserve">；</w:t>
      </w:r>
      <w:r>
        <w:rPr>
          <w:rFonts w:hint="eastAsia"/>
          <w:highlight w:val="none"/>
        </w:rPr>
        <w:t xml:space="preserve">当听障人士报警时，在调度台上使用声音、图片、文字等信息提示调度人员，此呼救为听障人士</w:t>
      </w:r>
      <w:r>
        <w:rPr>
          <w:rFonts w:hint="eastAsia"/>
          <w:highlight w:val="none"/>
          <w:lang w:eastAsia="zh-CN"/>
        </w:rPr>
        <w:t xml:space="preserve">；</w:t>
      </w:r>
      <w:r>
        <w:rPr>
          <w:rFonts w:hint="eastAsia"/>
          <w:highlight w:val="none"/>
        </w:rPr>
        <w:t xml:space="preserve">调度员通过听障人士受理模块实现报警信息登记、语音文字转换等</w:t>
      </w:r>
      <w:r>
        <w:rPr>
          <w:rFonts w:hint="eastAsia"/>
          <w:highlight w:val="none"/>
          <w:lang w:eastAsia="zh-CN"/>
        </w:rPr>
        <w:t xml:space="preserve">；</w:t>
      </w:r>
      <w:r>
        <w:rPr>
          <w:rFonts w:hint="eastAsia"/>
          <w:highlight w:val="none"/>
        </w:rPr>
        <w:t xml:space="preserve">事件信息中使用特殊图标、文字标注此呼救信息为听障人士，以便提醒相关人员后续事件跟踪处理</w:t>
      </w:r>
      <w:r>
        <w:rPr>
          <w:rFonts w:hint="eastAsia"/>
          <w:highlight w:val="none"/>
          <w:lang w:eastAsia="zh-CN"/>
        </w:rPr>
        <w:t xml:space="preserve">；</w:t>
      </w:r>
      <w:r>
        <w:rPr>
          <w:rFonts w:hint="eastAsia"/>
          <w:highlight w:val="none"/>
        </w:rPr>
        <w:t xml:space="preserve">任务信息中使用特殊图标、文字标注此呼救信息为听障人士，以便提醒出车人员通过短信与听障人士沟通</w:t>
      </w:r>
      <w:r>
        <w:rPr>
          <w:rFonts w:hint="eastAsia"/>
          <w:highlight w:val="none"/>
          <w:lang w:eastAsia="zh-CN"/>
        </w:rPr>
        <w:t xml:space="preserve">；</w:t>
      </w:r>
      <w:r>
        <w:rPr>
          <w:rFonts w:hint="eastAsia"/>
          <w:highlight w:val="none"/>
        </w:rPr>
        <w:t xml:space="preserve">听障人士相关数据流水报表、统计报表</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12可视化呼叫</w:t>
      </w:r>
      <w:r/>
    </w:p>
    <w:p>
      <w:pPr>
        <w:pStyle w:val="678"/>
        <w:rPr>
          <w:rFonts w:hint="eastAsia"/>
          <w:highlight w:val="none"/>
        </w:rPr>
      </w:pPr>
      <w:r>
        <w:rPr>
          <w:rFonts w:hint="eastAsia"/>
          <w:highlight w:val="none"/>
        </w:rPr>
        <w:t xml:space="preserve">呼救者利用微信小程序进入急救视屏呼救界面，点击视屏呼救，可直接通过视屏通话方式与急救中心进行通话，获得急救服务</w:t>
      </w:r>
      <w:r>
        <w:rPr>
          <w:rFonts w:hint="eastAsia"/>
          <w:highlight w:val="none"/>
          <w:lang w:eastAsia="zh-CN"/>
        </w:rPr>
        <w:t xml:space="preserve">；</w:t>
      </w:r>
      <w:r>
        <w:rPr>
          <w:rFonts w:hint="eastAsia"/>
          <w:highlight w:val="none"/>
        </w:rPr>
        <w:t xml:space="preserve">在呼救120过程中，由于无法具体描述病情或其它重要信息，调度台可主动推送一条包含视屏呼救连接的短信至呼救者手机上，待呼救者点开连接后便可直接建立视屏呼救通道，使得120调度人员可以与现场呼救人员视屏通话，以此更好的为呼救者提供急救支撑服务。</w:t>
      </w:r>
      <w:r/>
    </w:p>
    <w:p>
      <w:pPr>
        <w:pStyle w:val="678"/>
        <w:rPr>
          <w:b/>
          <w:bCs/>
          <w:highlight w:val="none"/>
        </w:rPr>
      </w:pPr>
      <w:r>
        <w:rPr>
          <w:b/>
          <w:bCs/>
          <w:highlight w:val="none"/>
        </w:rPr>
      </w:r>
      <w:r/>
    </w:p>
    <w:p>
      <w:pPr>
        <w:pStyle w:val="678"/>
        <w:rPr>
          <w:rFonts w:hint="eastAsia"/>
          <w:b/>
          <w:bCs/>
          <w:highlight w:val="none"/>
          <w:lang w:eastAsia="zh-CN"/>
        </w:rPr>
      </w:pPr>
      <w:r>
        <w:rPr>
          <w:b/>
          <w:bCs/>
          <w:highlight w:val="none"/>
        </w:rPr>
        <w:t xml:space="preserve">2.</w:t>
      </w:r>
      <w:r>
        <w:rPr>
          <w:rFonts w:hint="eastAsia"/>
          <w:b/>
          <w:bCs/>
          <w:highlight w:val="none"/>
        </w:rPr>
        <w:t xml:space="preserve">13▲急救集中监控告警软件（投标人所投急救集中监控告警软件需具备软件著作权证书，提供扫描件并加盖投标人公章。）</w:t>
      </w:r>
      <w:r/>
    </w:p>
    <w:p>
      <w:pPr>
        <w:pStyle w:val="678"/>
        <w:rPr>
          <w:rFonts w:hint="eastAsia" w:eastAsia="宋体"/>
          <w:highlight w:val="none"/>
          <w:lang w:eastAsia="zh-CN"/>
        </w:rPr>
      </w:pPr>
      <w:r>
        <w:rPr>
          <w:rFonts w:hint="eastAsia"/>
          <w:highlight w:val="none"/>
        </w:rPr>
        <w:t xml:space="preserve">急救记录监督软件，要求可直观地监控各个子系统以及相关服务的运行状态。系统可将监控的服务程序或者系统的状态一一展示出来，使得用户一目了然地了解当前系统运行情况，同时显示历史状态信息以及操作告警记录信息，以便跟踪各个服务程序或系统状态的时间节点，以及快速定位异常信息。另外，系统可查电话流水记录及播放电话录音，页面可嵌入到其它系统，也可以为分配不同权限来控制不同角色所能访问的页面</w:t>
      </w:r>
      <w:r>
        <w:rPr>
          <w:rFonts w:hint="eastAsia"/>
          <w:highlight w:val="none"/>
          <w:lang w:eastAsia="zh-CN"/>
        </w:rPr>
        <w:t xml:space="preserve">；</w:t>
      </w:r>
      <w:r>
        <w:rPr>
          <w:rFonts w:hint="eastAsia"/>
          <w:highlight w:val="none"/>
        </w:rPr>
        <w:t xml:space="preserve">监控统计模块</w:t>
      </w:r>
      <w:r>
        <w:rPr>
          <w:rFonts w:hint="eastAsia"/>
          <w:highlight w:val="none"/>
          <w:lang w:eastAsia="zh-CN"/>
        </w:rPr>
        <w:t xml:space="preserve">：</w:t>
      </w:r>
      <w:r>
        <w:rPr>
          <w:rFonts w:hint="eastAsia"/>
          <w:highlight w:val="none"/>
        </w:rPr>
        <w:t xml:space="preserve">首页主要展示各个监控模块的实时状态和统计数据，包括服务监控统计、系统监控统计、网络监控统计、资源监控统计、业务监控统计、日志汇总统计及汇总统计数据等。监控模块</w:t>
      </w:r>
      <w:r>
        <w:rPr>
          <w:rFonts w:hint="eastAsia"/>
          <w:highlight w:val="none"/>
          <w:lang w:eastAsia="zh-CN"/>
        </w:rPr>
        <w:t xml:space="preserve">：</w:t>
      </w:r>
      <w:r>
        <w:rPr>
          <w:rFonts w:hint="eastAsia"/>
          <w:highlight w:val="none"/>
        </w:rPr>
        <w:t xml:space="preserve">①业务监控</w:t>
      </w:r>
      <w:r>
        <w:rPr>
          <w:rFonts w:hint="eastAsia"/>
          <w:highlight w:val="none"/>
          <w:lang w:eastAsia="zh-CN"/>
        </w:rPr>
        <w:t xml:space="preserve">：</w:t>
      </w:r>
      <w:r>
        <w:rPr>
          <w:rFonts w:hint="eastAsia"/>
          <w:highlight w:val="none"/>
        </w:rPr>
        <w:t xml:space="preserve">系统主要提供对调度受理派车业务的相关监控，包括出车监控、出车超时监控、任务超时监控、突发事件超时未上报监控以及车载DBD长时间断传监控等。②服务监控</w:t>
      </w:r>
      <w:r>
        <w:rPr>
          <w:rFonts w:hint="eastAsia"/>
          <w:highlight w:val="none"/>
          <w:lang w:eastAsia="zh-CN"/>
        </w:rPr>
        <w:t xml:space="preserve">：</w:t>
      </w:r>
      <w:r>
        <w:rPr>
          <w:rFonts w:hint="eastAsia"/>
          <w:highlight w:val="none"/>
        </w:rPr>
        <w:t xml:space="preserve">针对业务系统相关服务程序（包括应用、通服、地图、消息服务等）进行监控，主要监控服务是否正常开启、是否正常运行、是否正常关闭或异常退出等。③系统监控</w:t>
      </w:r>
      <w:r>
        <w:rPr>
          <w:rFonts w:hint="eastAsia"/>
          <w:highlight w:val="none"/>
          <w:lang w:eastAsia="zh-CN"/>
        </w:rPr>
        <w:t xml:space="preserve">：</w:t>
      </w:r>
      <w:r>
        <w:rPr>
          <w:rFonts w:hint="eastAsia"/>
          <w:highlight w:val="none"/>
        </w:rPr>
        <w:t xml:space="preserve">主要包括对数据库、中间件等系统服务的监控，比如监控服务是否正常运行，定时去连接服务，如果不能连接可判断服务异常。④资源监控</w:t>
      </w:r>
      <w:r>
        <w:rPr>
          <w:rFonts w:hint="eastAsia"/>
          <w:highlight w:val="none"/>
          <w:lang w:eastAsia="zh-CN"/>
        </w:rPr>
        <w:t xml:space="preserve">：</w:t>
      </w:r>
      <w:r>
        <w:rPr>
          <w:rFonts w:hint="eastAsia"/>
          <w:highlight w:val="none"/>
        </w:rPr>
        <w:t xml:space="preserve">主要监控服务器或者主机的cpu、内存、磁盘空间等硬件的使用情况，判断是否异常或超出设定的阈值等。⑤网络监控</w:t>
      </w:r>
      <w:r>
        <w:rPr>
          <w:rFonts w:hint="eastAsia"/>
          <w:highlight w:val="none"/>
          <w:lang w:eastAsia="zh-CN"/>
        </w:rPr>
        <w:t xml:space="preserve">：</w:t>
      </w:r>
      <w:r>
        <w:rPr>
          <w:rFonts w:hint="eastAsia"/>
          <w:highlight w:val="none"/>
        </w:rPr>
        <w:t xml:space="preserve">主要监控服务器的网络是否异常或者中断等，定时去ping服务器，如果长时间不通可判定异常</w:t>
      </w:r>
      <w:r>
        <w:rPr>
          <w:rFonts w:hint="eastAsia"/>
          <w:highlight w:val="none"/>
          <w:lang w:eastAsia="zh-CN"/>
        </w:rPr>
        <w:t xml:space="preserve">；</w:t>
      </w:r>
      <w:r>
        <w:rPr>
          <w:rFonts w:hint="eastAsia"/>
          <w:highlight w:val="none"/>
        </w:rPr>
        <w:t xml:space="preserve">日志模块</w:t>
      </w:r>
      <w:r>
        <w:rPr>
          <w:rFonts w:hint="eastAsia"/>
          <w:highlight w:val="none"/>
          <w:lang w:eastAsia="zh-CN"/>
        </w:rPr>
        <w:t xml:space="preserve">：</w:t>
      </w:r>
      <w:r/>
    </w:p>
    <w:p>
      <w:pPr>
        <w:pStyle w:val="678"/>
        <w:rPr>
          <w:rFonts w:hint="eastAsia"/>
          <w:highlight w:val="none"/>
        </w:rPr>
      </w:pPr>
      <w:r>
        <w:rPr>
          <w:rFonts w:hint="eastAsia"/>
          <w:highlight w:val="none"/>
        </w:rPr>
        <w:t xml:space="preserve">监听读取各个业务系统的日志，根据日志的等级来判定程序是否异常，同时提供日志的下载功能</w:t>
      </w:r>
      <w:r>
        <w:rPr>
          <w:rFonts w:hint="eastAsia"/>
          <w:highlight w:val="none"/>
          <w:lang w:eastAsia="zh-CN"/>
        </w:rPr>
        <w:t xml:space="preserve">；</w:t>
      </w:r>
      <w:r>
        <w:rPr>
          <w:rFonts w:hint="eastAsia"/>
          <w:highlight w:val="none"/>
        </w:rPr>
        <w:t xml:space="preserve">告警模块</w:t>
      </w:r>
      <w:r>
        <w:rPr>
          <w:rFonts w:hint="eastAsia"/>
          <w:highlight w:val="none"/>
          <w:lang w:eastAsia="zh-CN"/>
        </w:rPr>
        <w:t xml:space="preserve">：</w:t>
      </w:r>
      <w:r>
        <w:rPr>
          <w:rFonts w:hint="eastAsia"/>
          <w:highlight w:val="none"/>
        </w:rPr>
        <w:t xml:space="preserve">系统监控到相关异常后，需要做出相应的告警处理，目前告警方式主要有短信通知、语音电话通知、调度台通知等。告警通知方式可同时配置一个或者多个，各个监控模块也能单独配置对应的告警通知方式</w:t>
      </w:r>
      <w:r>
        <w:rPr>
          <w:rFonts w:hint="eastAsia"/>
          <w:highlight w:val="none"/>
          <w:lang w:eastAsia="zh-CN"/>
        </w:rPr>
        <w:t xml:space="preserve">：</w:t>
      </w:r>
      <w:r>
        <w:rPr>
          <w:rFonts w:hint="eastAsia"/>
          <w:highlight w:val="none"/>
        </w:rPr>
        <w:t xml:space="preserve">短信通知：根据监控的模块，在对应模块的通知方式中配置对应的电话号码，当触发告警时即可发送告警短信通知对应人员</w:t>
      </w:r>
      <w:r>
        <w:rPr>
          <w:rFonts w:hint="eastAsia"/>
          <w:highlight w:val="none"/>
          <w:lang w:eastAsia="zh-CN"/>
        </w:rPr>
        <w:t xml:space="preserve">；</w:t>
      </w:r>
      <w:r>
        <w:rPr>
          <w:rFonts w:hint="eastAsia"/>
          <w:highlight w:val="none"/>
        </w:rPr>
        <w:t xml:space="preserve">语音通知：根据监控的模块，在对应模块的通知方式中配置对应的电话号码，当触发告警时即可拨打语音电话给对应人员</w:t>
      </w:r>
      <w:r>
        <w:rPr>
          <w:rFonts w:hint="eastAsia"/>
          <w:highlight w:val="none"/>
          <w:lang w:eastAsia="zh-CN"/>
        </w:rPr>
        <w:t xml:space="preserve">；</w:t>
      </w:r>
      <w:r>
        <w:rPr>
          <w:rFonts w:hint="eastAsia"/>
          <w:highlight w:val="none"/>
        </w:rPr>
        <w:t xml:space="preserve">调度台通知：根据监控的模块，在对应模块的通知方式中配置对应的调度台，当触发告警时即可发送告警通知到对应调度台上</w:t>
      </w:r>
      <w:r>
        <w:rPr>
          <w:rFonts w:hint="eastAsia"/>
          <w:highlight w:val="none"/>
          <w:lang w:eastAsia="zh-CN"/>
        </w:rPr>
        <w:t xml:space="preserve">；</w:t>
      </w:r>
      <w:r>
        <w:rPr>
          <w:rFonts w:hint="eastAsia"/>
          <w:highlight w:val="none"/>
        </w:rPr>
        <w:t xml:space="preserve">告警操作记录：显示告警操作记录，主要包括记录时间、告警类型、事件名称、告警内容等，开启定时器后时间节点在当天内可自动刷新最新记录信息</w:t>
      </w:r>
      <w:r>
        <w:rPr>
          <w:rFonts w:hint="eastAsia"/>
          <w:highlight w:val="none"/>
          <w:lang w:eastAsia="zh-CN"/>
        </w:rPr>
        <w:t xml:space="preserve">；</w:t>
      </w:r>
      <w:r>
        <w:rPr>
          <w:rFonts w:hint="eastAsia"/>
          <w:highlight w:val="none"/>
        </w:rPr>
        <w:t xml:space="preserve">告警流水模块</w:t>
      </w:r>
      <w:r>
        <w:rPr>
          <w:rFonts w:hint="eastAsia"/>
          <w:highlight w:val="none"/>
          <w:lang w:eastAsia="zh-CN"/>
        </w:rPr>
        <w:t xml:space="preserve">：</w:t>
      </w:r>
      <w:r>
        <w:rPr>
          <w:rFonts w:hint="eastAsia"/>
          <w:highlight w:val="none"/>
        </w:rPr>
        <w:t xml:space="preserve">电话流水：显示电话流水记录，内容主要包括电话号码、通话结果、任务编码、车辆编码、通话的各个时间节点、录音播放等</w:t>
      </w:r>
      <w:r>
        <w:rPr>
          <w:rFonts w:hint="eastAsia"/>
          <w:highlight w:val="none"/>
          <w:lang w:eastAsia="zh-CN"/>
        </w:rPr>
        <w:t xml:space="preserve">；</w:t>
      </w:r>
      <w:r>
        <w:rPr>
          <w:rFonts w:hint="eastAsia"/>
          <w:highlight w:val="none"/>
        </w:rPr>
        <w:t xml:space="preserve">短信流水：当服务程序或系统发生异常时，会发送短信通知用户，主要显示服务ID、发送内容、手机号码等信息</w:t>
      </w:r>
      <w:r>
        <w:rPr>
          <w:rFonts w:hint="eastAsia"/>
          <w:highlight w:val="none"/>
          <w:lang w:eastAsia="zh-CN"/>
        </w:rPr>
        <w:t xml:space="preserve">；</w:t>
      </w:r>
      <w:r>
        <w:rPr>
          <w:rFonts w:hint="eastAsia"/>
          <w:highlight w:val="none"/>
        </w:rPr>
        <w:t xml:space="preserve">告警配置模块</w:t>
      </w:r>
      <w:r>
        <w:rPr>
          <w:rFonts w:hint="eastAsia"/>
          <w:highlight w:val="none"/>
          <w:lang w:eastAsia="zh-CN"/>
        </w:rPr>
        <w:t xml:space="preserve">：</w:t>
      </w:r>
      <w:r>
        <w:rPr>
          <w:rFonts w:hint="eastAsia"/>
          <w:highlight w:val="none"/>
        </w:rPr>
        <w:t xml:space="preserve">基础配置：告警类型说明以及告警字段默认值设置，如超时未完成预警的预警时间、出车数预警值、敏感词预警值、突发事件未上报预警时间等</w:t>
      </w:r>
      <w:r>
        <w:rPr>
          <w:rFonts w:hint="eastAsia"/>
          <w:highlight w:val="none"/>
          <w:lang w:eastAsia="zh-CN"/>
        </w:rPr>
        <w:t xml:space="preserve">；</w:t>
      </w:r>
      <w:r>
        <w:rPr>
          <w:rFonts w:hint="eastAsia"/>
          <w:highlight w:val="none"/>
        </w:rPr>
        <w:t xml:space="preserve">个性化配置：支持中心根据实际需求进行个性化预警配置，如检测到调度台有派车自动预警、语音告警电话拨打次数和拨打方式（循环/统一拨打）设置、是否给领导发送告警通知等</w:t>
      </w:r>
      <w:r>
        <w:rPr>
          <w:rFonts w:hint="eastAsia"/>
          <w:highlight w:val="none"/>
          <w:lang w:eastAsia="zh-CN"/>
        </w:rPr>
        <w:t xml:space="preserve">；</w:t>
      </w:r>
      <w:r>
        <w:rPr>
          <w:rFonts w:hint="eastAsia"/>
          <w:highlight w:val="none"/>
        </w:rPr>
        <w:t xml:space="preserve">维护管理模块①权限管理：配合角色使用，将权限赋予角色，可为人员分配角色，从而实现不同人员浏览相对应权限的页面。②人员管理：支持增删改查人员信息，也可同步调度库的人员信息。③角色管理：维护人员角色，支持增删改查角色信息并为角色分配相应权限。</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14领导指挥终端软件（安卓版）</w:t>
      </w:r>
      <w:r/>
    </w:p>
    <w:p>
      <w:pPr>
        <w:pStyle w:val="678"/>
        <w:rPr>
          <w:rFonts w:hint="eastAsia"/>
          <w:highlight w:val="none"/>
        </w:rPr>
      </w:pPr>
      <w:r>
        <w:rPr>
          <w:rFonts w:hint="eastAsia"/>
          <w:highlight w:val="none"/>
        </w:rPr>
        <w:t xml:space="preserve">具备统计、查询及信息展示功能，整体统计以直观图形展示电话总量、接警总量等核心数据，默认展示当日数据且支持查询；车辆统计首页展示总数并可导航至明细页，按任务中（红色）、待命中（绿色）、不能调用（灰色）等状态分组展示且支持地图定位；分站统计首页展示总数，可导航至列表查看明细、跳转地图查看位置及查看所属人员与车辆列表；坐席统计首页展示总数，导航至列表可查看详细信息且已登录与未登录坐席有颜色区分；通讯录首页展示总数，导航至列表按组织机构树状展示，支持按所属机构、人员名称等条件搜索并可维护</w:t>
      </w:r>
      <w:r>
        <w:rPr>
          <w:rFonts w:hint="eastAsia"/>
          <w:highlight w:val="none"/>
        </w:rPr>
        <w:t xml:space="preserve">一人多角色及多个电话；事件统计以环状图展示普通急救、大型事件等类型数据及占比，任务统计以柱状图展示病人数、无车数等数值，电话统计以环状图展示事件相关与无关电话数及占比，突发事件统计以进度条展示公共卫生事故、事故灾难等各类突发事件数；同时支持接收调度台发送的重大事故单并回复已查收，可按时间段、事件类型等单个或多个条件组合查询事件，查看包含事件详细、受理数据详细及任务详细的事件详情，以列表形式分类展示全部分站、车辆、医院信息并在地图界面扎点定位，在地图的车辆列表中可按车辆标识等条件查询车辆且能查看车辆行驶轨迹。</w:t>
      </w:r>
      <w:r/>
    </w:p>
    <w:p>
      <w:pPr>
        <w:pStyle w:val="678"/>
        <w:rPr>
          <w:highlight w:val="none"/>
        </w:rPr>
      </w:pPr>
      <w:r>
        <w:rPr>
          <w:highlight w:val="none"/>
        </w:rPr>
      </w:r>
      <w:r/>
    </w:p>
    <w:p>
      <w:pPr>
        <w:pStyle w:val="678"/>
        <w:rPr>
          <w:rFonts w:hint="eastAsia"/>
          <w:b/>
          <w:bCs/>
          <w:highlight w:val="none"/>
        </w:rPr>
      </w:pPr>
      <w:r>
        <w:rPr>
          <w:b/>
          <w:bCs/>
          <w:highlight w:val="none"/>
        </w:rPr>
        <w:t xml:space="preserve">2.</w:t>
      </w:r>
      <w:r>
        <w:rPr>
          <w:rFonts w:hint="eastAsia"/>
          <w:b/>
          <w:bCs/>
          <w:highlight w:val="none"/>
        </w:rPr>
        <w:t xml:space="preserve">15领导指挥终端软件（PC版）</w:t>
      </w:r>
      <w:r/>
    </w:p>
    <w:p>
      <w:pPr>
        <w:keepLines/>
        <w:keepNext/>
        <w:pageBreakBefore w:val="0"/>
        <w:spacing w:before="120" w:after="120" w:line="240" w:lineRule="auto"/>
        <w:widowControl w:val="off"/>
        <w:rPr>
          <w:rFonts w:hint="eastAsia" w:ascii="宋体" w:hAnsi="Times New Roman" w:eastAsia="宋体" w:cs="宋体"/>
          <w:color w:val="000000"/>
          <w:sz w:val="24"/>
          <w:szCs w:val="24"/>
          <w:highlight w:val="none"/>
          <w:lang w:val="en-US" w:eastAsia="zh-CN" w:bidi="ar-SA"/>
        </w:rPr>
        <w:outlineLvl w:val="2"/>
      </w:pPr>
      <w:r>
        <w:rPr>
          <w:rFonts w:hint="eastAsia" w:ascii="宋体" w:hAnsi="Times New Roman" w:eastAsia="宋体" w:cs="宋体"/>
          <w:color w:val="000000"/>
          <w:sz w:val="24"/>
          <w:szCs w:val="24"/>
          <w:highlight w:val="none"/>
          <w:lang w:val="en-US" w:eastAsia="zh-CN" w:bidi="ar-SA"/>
        </w:rPr>
        <w:t xml:space="preserve">涵盖多维度统计、查询、信息展示及交互功能：电话统计通过饼状图或数据展示调度台受理电话中事件相关（红色）与事件无关（蓝色）的占比；事件统计以列表或环状图呈现普通事件、大型事件等各类事件的数量及占比；平</w:t>
      </w:r>
      <w:r>
        <w:rPr>
          <w:rFonts w:hint="eastAsia" w:ascii="宋体" w:hAnsi="Times New Roman" w:eastAsia="宋体" w:cs="宋体"/>
          <w:color w:val="000000"/>
          <w:sz w:val="24"/>
          <w:szCs w:val="24"/>
          <w:highlight w:val="none"/>
          <w:lang w:val="en-US" w:eastAsia="zh-CN" w:bidi="ar-SA"/>
        </w:rPr>
        <w:t xml:space="preserve">均时间统计用仪表盘展示平均受理、出车、派车时间，且通过红（效率低）、绿（效率一般）、蓝（效率高）三色提示服务质量；突发事件统计以列表或面积图统计公共卫生事件、事故灾难等类别事件的数量；综合统计与数据总览均展示电话总量、事件总数等核心数据；车组数据统计呈现全部车辆数、任务中车辆数等信息，分站数据统计展示分站总数、人员及车辆情况，分站出车数统计以列表展示分站名称、任务量、出车量；车辆状态以列表滚动展示所属分站、车牌号、车辆状态，支持按状态（分配任务、到达现场等）、实际标识查询，可分组查看不同状态车辆，还能点击查</w:t>
      </w:r>
      <w:r>
        <w:rPr>
          <w:rFonts w:hint="eastAsia" w:ascii="宋体" w:hAnsi="Times New Roman" w:eastAsia="宋体" w:cs="宋体"/>
          <w:color w:val="000000"/>
          <w:sz w:val="24"/>
          <w:szCs w:val="24"/>
          <w:highlight w:val="none"/>
          <w:lang w:val="en-US" w:eastAsia="zh-CN" w:bidi="ar-SA"/>
        </w:rPr>
        <w:t xml:space="preserve">看车辆位置及轨迹回放；事件查询支持按起止时间筛选普通事件与突发事件，可查看事件具体位置及包含受理次数、调度员等信息的详情；地图上以列表形式展示全部分站、医院的位置分布，支持按名称查询及查看详细信息与位置，点击分站可查看其下调度员、司机等各类人员信息；调度坐席模块在调度在线时展示台号、姓名等多维度信息，离线时仅展示台号及离线状态；支持按电话分类名称、电话所属名称查询相关数据；还可查看司机、医生、分站、车辆、中心的工作统计，涵盖平均救治时间、出车次数等多项指标，同时能接收调度台发送的重大事故单并点击回复已查收。</w:t>
      </w:r>
      <w:r/>
    </w:p>
    <w:p>
      <w:pPr>
        <w:keepLines/>
        <w:keepNext/>
        <w:spacing w:before="120" w:after="120"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三、配套设备技术要求</w:t>
      </w:r>
      <w:r/>
    </w:p>
    <w:p>
      <w:pPr>
        <w:pStyle w:val="678"/>
        <w:rPr>
          <w:b/>
          <w:bCs/>
          <w:i w:val="0"/>
          <w:iCs w:val="0"/>
          <w:highlight w:val="none"/>
          <w:u w:val="none"/>
        </w:rPr>
      </w:pPr>
      <w:r>
        <w:rPr>
          <w:rFonts w:hint="eastAsia"/>
          <w:b/>
          <w:bCs/>
          <w:i w:val="0"/>
          <w:iCs w:val="0"/>
          <w:highlight w:val="none"/>
          <w:u w:val="none"/>
        </w:rPr>
        <w:t xml:space="preserve">3</w:t>
      </w:r>
      <w:r>
        <w:rPr>
          <w:b/>
          <w:bCs/>
          <w:i w:val="0"/>
          <w:iCs w:val="0"/>
          <w:highlight w:val="none"/>
          <w:u w:val="none"/>
        </w:rPr>
        <w:t xml:space="preserve">.1</w:t>
      </w:r>
      <w:r>
        <w:rPr>
          <w:rFonts w:hint="eastAsia"/>
          <w:b/>
          <w:bCs/>
          <w:i w:val="0"/>
          <w:iCs w:val="0"/>
          <w:highlight w:val="none"/>
          <w:u w:val="none"/>
        </w:rPr>
        <w:t xml:space="preserve">调度专用一机三屏调度终端2套</w:t>
      </w:r>
      <w:r/>
    </w:p>
    <w:p>
      <w:pPr>
        <w:pStyle w:val="678"/>
        <w:rPr>
          <w:highlight w:val="none"/>
        </w:rPr>
      </w:pPr>
      <w:r>
        <w:rPr>
          <w:rFonts w:hint="eastAsia"/>
          <w:highlight w:val="none"/>
        </w:rPr>
        <w:t xml:space="preserve">处理器需采用板载设计</w:t>
      </w:r>
      <w:r>
        <w:rPr>
          <w:rFonts w:hint="eastAsia"/>
          <w:highlight w:val="none"/>
          <w:lang w:eastAsia="zh-CN"/>
        </w:rPr>
        <w:t xml:space="preserve">；</w:t>
      </w:r>
      <w:r>
        <w:rPr>
          <w:rFonts w:hint="eastAsia"/>
          <w:highlight w:val="none"/>
        </w:rPr>
        <w:t xml:space="preserve">配置不少于1颗国产C86架构CPU，每颗CPU物理核心数≥8核，每颗CPU主频≥3.0GHz，每颗CPU三级缓存≥16MB，支持超线程技术，线程数量≥16，TDP≤65W，内存≥16G</w:t>
      </w:r>
      <w:r>
        <w:rPr>
          <w:rFonts w:hint="eastAsia"/>
          <w:highlight w:val="none"/>
          <w:lang w:eastAsia="zh-CN"/>
        </w:rPr>
        <w:t xml:space="preserve">；</w:t>
      </w:r>
      <w:r>
        <w:rPr>
          <w:highlight w:val="none"/>
        </w:rPr>
        <w:t xml:space="preserve">固态硬盘≥1TB；千兆网卡</w:t>
      </w:r>
      <w:r>
        <w:rPr>
          <w:rFonts w:hint="eastAsia"/>
          <w:highlight w:val="none"/>
          <w:lang w:eastAsia="zh-CN"/>
        </w:rPr>
        <w:t xml:space="preserve">；</w:t>
      </w:r>
      <w:r>
        <w:rPr>
          <w:highlight w:val="none"/>
        </w:rPr>
        <w:t xml:space="preserve">定制适配独立显示接口≥3个</w:t>
      </w:r>
      <w:r>
        <w:rPr>
          <w:rFonts w:hint="eastAsia"/>
          <w:highlight w:val="none"/>
          <w:lang w:eastAsia="zh-CN"/>
        </w:rPr>
        <w:t xml:space="preserve">；</w:t>
      </w:r>
      <w:r>
        <w:rPr>
          <w:highlight w:val="none"/>
        </w:rPr>
        <w:t xml:space="preserve">须预装正版国产桌面操作系统(永久授权，原厂3年技术支持服务)</w:t>
      </w:r>
      <w:r>
        <w:rPr>
          <w:rFonts w:hint="eastAsia"/>
          <w:highlight w:val="none"/>
          <w:lang w:eastAsia="zh-CN"/>
        </w:rPr>
        <w:t xml:space="preserve">；</w:t>
      </w:r>
      <w:r>
        <w:rPr>
          <w:highlight w:val="none"/>
        </w:rPr>
        <w:t xml:space="preserve">高性能≥23寸以上曲面液晶显示器3台</w:t>
      </w:r>
      <w:r>
        <w:rPr>
          <w:rFonts w:hint="eastAsia"/>
          <w:highlight w:val="none"/>
          <w:lang w:eastAsia="zh-CN"/>
        </w:rPr>
        <w:t xml:space="preserve">、</w:t>
      </w:r>
      <w:r>
        <w:rPr>
          <w:highlight w:val="none"/>
        </w:rPr>
        <w:t xml:space="preserve">音箱。</w:t>
      </w:r>
      <w:r/>
    </w:p>
    <w:p>
      <w:pPr>
        <w:pStyle w:val="678"/>
        <w:rPr>
          <w:b/>
          <w:bCs/>
          <w:i w:val="0"/>
          <w:iCs w:val="0"/>
          <w:highlight w:val="none"/>
          <w:u w:val="none"/>
        </w:rPr>
      </w:pPr>
      <w:r>
        <w:rPr>
          <w:b/>
          <w:bCs/>
          <w:i w:val="0"/>
          <w:iCs w:val="0"/>
          <w:highlight w:val="none"/>
          <w:u w:val="none"/>
        </w:rPr>
      </w:r>
      <w:r/>
    </w:p>
    <w:p>
      <w:pPr>
        <w:pStyle w:val="678"/>
        <w:rPr>
          <w:b/>
          <w:bCs/>
          <w:i w:val="0"/>
          <w:iCs w:val="0"/>
          <w:highlight w:val="none"/>
          <w:u w:val="none"/>
        </w:rPr>
      </w:pPr>
      <w:r>
        <w:rPr>
          <w:b/>
          <w:bCs/>
          <w:i w:val="0"/>
          <w:iCs w:val="0"/>
          <w:highlight w:val="none"/>
          <w:u w:val="none"/>
        </w:rPr>
        <w:t xml:space="preserve">3.2</w:t>
      </w:r>
      <w:r>
        <w:rPr>
          <w:rFonts w:hint="eastAsia"/>
          <w:b/>
          <w:bCs/>
          <w:i w:val="0"/>
          <w:iCs w:val="0"/>
          <w:highlight w:val="none"/>
          <w:u w:val="none"/>
        </w:rPr>
        <w:t xml:space="preserve">专用调度配套桌椅2套</w:t>
      </w:r>
      <w:r/>
    </w:p>
    <w:p>
      <w:pPr>
        <w:pStyle w:val="678"/>
        <w:rPr>
          <w:highlight w:val="none"/>
        </w:rPr>
      </w:pPr>
      <w:r>
        <w:rPr>
          <w:rFonts w:hint="eastAsia"/>
          <w:highlight w:val="none"/>
        </w:rPr>
        <w:t xml:space="preserve">专用调度桌</w:t>
      </w:r>
      <w:r/>
    </w:p>
    <w:p>
      <w:pPr>
        <w:pStyle w:val="678"/>
        <w:rPr>
          <w:highlight w:val="none"/>
        </w:rPr>
      </w:pPr>
      <w:r>
        <w:rPr>
          <w:rFonts w:hint="eastAsia"/>
          <w:highlight w:val="none"/>
        </w:rPr>
        <w:t xml:space="preserve">应急调度指挥坐席台直排形，可根据现场情定制各种款式。调度台长1800mm,深900mm,台面距地面高750mm,桌面围挡高180mm,亚克力板固定在围挡上，内含遥控氛围多彩灯带</w:t>
      </w:r>
      <w:r>
        <w:rPr>
          <w:rFonts w:hint="eastAsia"/>
          <w:highlight w:val="none"/>
          <w:lang w:eastAsia="zh-CN"/>
        </w:rPr>
        <w:t xml:space="preserve">；</w:t>
      </w:r>
      <w:r>
        <w:rPr>
          <w:rFonts w:hint="eastAsia"/>
          <w:highlight w:val="none"/>
        </w:rPr>
        <w:t xml:space="preserve">主体框架结构立柱承重采用不小于2.3mm厚冷轧钢板加工，一般受力配件采用不小于1.5mm厚优质冷轧钢板钣金加工。主体框架结构为360框架，由冲压成形的冷轧钢构件通过上下水平横梁及左右侧柜组成一个坚固的矩形框架结构，用标准件螺栓连接成型，确保强度及方正性，控制台可提供足够的腿部空间。主体框架下部采用可调整水平的固定脚支撑，其支撑脚采用高强度专用螺栓调整</w:t>
      </w:r>
      <w:r>
        <w:rPr>
          <w:rFonts w:hint="eastAsia"/>
          <w:highlight w:val="none"/>
          <w:lang w:eastAsia="zh-CN"/>
        </w:rPr>
        <w:t xml:space="preserve">；</w:t>
      </w:r>
      <w:r>
        <w:rPr>
          <w:rFonts w:hint="eastAsia"/>
          <w:highlight w:val="none"/>
        </w:rPr>
        <w:t xml:space="preserve">主体框架结构采用模块化结构，具备灵活性，在变化角度位置时，钻孔及加工的情况下重新配置。所有钣金配件经过酸洗、磷化、防锈、防腐处理静电喷涂工艺，整体结构合理</w:t>
      </w:r>
      <w:r>
        <w:rPr>
          <w:rFonts w:hint="eastAsia"/>
          <w:highlight w:val="none"/>
          <w:lang w:eastAsia="zh-CN"/>
        </w:rPr>
        <w:t xml:space="preserve">；</w:t>
      </w:r>
      <w:r>
        <w:rPr>
          <w:rFonts w:hint="eastAsia"/>
          <w:highlight w:val="none"/>
        </w:rPr>
        <w:t xml:space="preserve">台面上围挡分为整体、支撑部件和安装锁紧部件组成；采用高强度精密合金铝型材1800mm*150mm*30mm，截面壁厚为1.5mm挤压成型，表面阳极氧化处理，两端安装时封闭；围挡上端添加亚克力和LED灯光，实现装饰效果。</w:t>
      </w:r>
      <w:r/>
    </w:p>
    <w:p>
      <w:pPr>
        <w:pStyle w:val="678"/>
        <w:rPr>
          <w:highlight w:val="none"/>
        </w:rPr>
      </w:pPr>
      <w:r>
        <w:rPr>
          <w:rFonts w:hint="eastAsia"/>
          <w:highlight w:val="none"/>
        </w:rPr>
        <w:t xml:space="preserve">配套调度专用工学椅</w:t>
      </w:r>
      <w:r/>
    </w:p>
    <w:p>
      <w:pPr>
        <w:pStyle w:val="678"/>
        <w:rPr>
          <w:highlight w:val="none"/>
        </w:rPr>
      </w:pPr>
      <w:r>
        <w:rPr>
          <w:rFonts w:hint="eastAsia"/>
          <w:highlight w:val="none"/>
        </w:rPr>
        <w:t xml:space="preserve">头枕、背垫、腰枕及座垫网布</w:t>
      </w:r>
      <w:r>
        <w:rPr>
          <w:rFonts w:hint="eastAsia"/>
          <w:highlight w:val="none"/>
          <w:lang w:eastAsia="zh-CN"/>
        </w:rPr>
        <w:t xml:space="preserve">；</w:t>
      </w:r>
      <w:r>
        <w:rPr>
          <w:rFonts w:hint="eastAsia"/>
          <w:highlight w:val="none"/>
        </w:rPr>
        <w:t xml:space="preserve">黑色塑胶框架，PU扶手垫</w:t>
      </w:r>
      <w:r>
        <w:rPr>
          <w:rFonts w:hint="eastAsia"/>
          <w:highlight w:val="none"/>
          <w:lang w:eastAsia="zh-CN"/>
        </w:rPr>
        <w:t xml:space="preserve">；</w:t>
      </w:r>
      <w:r>
        <w:rPr>
          <w:rFonts w:hint="eastAsia"/>
          <w:highlight w:val="none"/>
        </w:rPr>
        <w:t xml:space="preserve">塑胶头枕插条、头枕横把手</w:t>
      </w:r>
      <w:r>
        <w:rPr>
          <w:rFonts w:hint="eastAsia"/>
          <w:highlight w:val="none"/>
          <w:lang w:eastAsia="zh-CN"/>
        </w:rPr>
        <w:t xml:space="preserve">；</w:t>
      </w:r>
      <w:r>
        <w:rPr>
          <w:rFonts w:hint="eastAsia"/>
          <w:highlight w:val="none"/>
        </w:rPr>
        <w:t xml:space="preserve">背支撑架、底盘支撑架均为铝合金精抛光。</w:t>
      </w:r>
      <w:r/>
    </w:p>
    <w:p>
      <w:pPr>
        <w:pStyle w:val="678"/>
        <w:rPr>
          <w:rFonts w:hint="eastAsia"/>
          <w:b/>
          <w:bCs/>
          <w:i w:val="0"/>
          <w:iCs w:val="0"/>
          <w:highlight w:val="none"/>
          <w:u w:val="none"/>
        </w:rPr>
      </w:pPr>
      <w:r>
        <w:rPr>
          <w:rFonts w:hint="eastAsia"/>
          <w:b/>
          <w:bCs/>
          <w:i w:val="0"/>
          <w:iCs w:val="0"/>
          <w:highlight w:val="none"/>
          <w:u w:val="none"/>
        </w:rPr>
      </w:r>
      <w:r/>
    </w:p>
    <w:p>
      <w:pPr>
        <w:pStyle w:val="678"/>
        <w:rPr>
          <w:rFonts w:hint="eastAsia"/>
          <w:b/>
          <w:bCs/>
          <w:i w:val="0"/>
          <w:iCs w:val="0"/>
          <w:highlight w:val="none"/>
          <w:u w:val="none"/>
        </w:rPr>
      </w:pPr>
      <w:r>
        <w:rPr>
          <w:rFonts w:hint="eastAsia"/>
          <w:b/>
          <w:bCs/>
          <w:i w:val="0"/>
          <w:iCs w:val="0"/>
          <w:highlight w:val="none"/>
          <w:u w:val="none"/>
        </w:rPr>
        <w:t xml:space="preserve">3</w:t>
      </w:r>
      <w:r>
        <w:rPr>
          <w:b/>
          <w:bCs/>
          <w:i w:val="0"/>
          <w:iCs w:val="0"/>
          <w:highlight w:val="none"/>
          <w:u w:val="none"/>
        </w:rPr>
        <w:t xml:space="preserve">.3</w:t>
      </w:r>
      <w:r>
        <w:rPr>
          <w:rFonts w:hint="eastAsia"/>
          <w:b/>
          <w:bCs/>
          <w:i w:val="0"/>
          <w:iCs w:val="0"/>
          <w:highlight w:val="none"/>
          <w:u w:val="none"/>
        </w:rPr>
        <w:t xml:space="preserve"> IP程控交换机2套</w:t>
      </w:r>
      <w:r/>
    </w:p>
    <w:p>
      <w:pPr>
        <w:pStyle w:val="678"/>
        <w:rPr>
          <w:highlight w:val="none"/>
        </w:rPr>
      </w:pPr>
      <w:r>
        <w:rPr>
          <w:rFonts w:hint="eastAsia"/>
          <w:highlight w:val="none"/>
        </w:rPr>
        <w:t xml:space="preserve">≥19英寸机架式服务器主机</w:t>
      </w:r>
      <w:r>
        <w:rPr>
          <w:rFonts w:hint="eastAsia"/>
          <w:highlight w:val="none"/>
          <w:lang w:eastAsia="zh-CN"/>
        </w:rPr>
        <w:t xml:space="preserve">；</w:t>
      </w:r>
      <w:r>
        <w:rPr>
          <w:rFonts w:hint="eastAsia"/>
          <w:highlight w:val="none"/>
        </w:rPr>
        <w:t xml:space="preserve">含信创操作系统、支持信创国产化部署，具备信创兼容认证</w:t>
      </w:r>
      <w:r>
        <w:rPr>
          <w:rFonts w:hint="eastAsia"/>
          <w:highlight w:val="none"/>
          <w:lang w:eastAsia="zh-CN"/>
        </w:rPr>
        <w:t xml:space="preserve">；</w:t>
      </w:r>
      <w:r>
        <w:rPr>
          <w:rFonts w:hint="eastAsia"/>
          <w:highlight w:val="none"/>
        </w:rPr>
        <w:t xml:space="preserve">IP软硬一体语音网关，支持E1转IMS、E1转FXO、E1转FXS、E1转E1</w:t>
      </w:r>
      <w:r>
        <w:rPr>
          <w:rFonts w:hint="eastAsia"/>
          <w:highlight w:val="none"/>
          <w:lang w:eastAsia="zh-CN"/>
        </w:rPr>
        <w:t xml:space="preserve">；</w:t>
      </w:r>
      <w:r>
        <w:rPr>
          <w:rFonts w:hint="eastAsia"/>
          <w:highlight w:val="none"/>
        </w:rPr>
        <w:t xml:space="preserve">内置ISDN30B+D、7号信令2M及SIP中继接口，本次配置2块30B+D接口板</w:t>
      </w:r>
      <w:r>
        <w:rPr>
          <w:rFonts w:hint="eastAsia"/>
          <w:highlight w:val="none"/>
          <w:lang w:eastAsia="zh-CN"/>
        </w:rPr>
        <w:t xml:space="preserve">；</w:t>
      </w:r>
      <w:r>
        <w:rPr>
          <w:rFonts w:hint="eastAsia"/>
          <w:highlight w:val="none"/>
        </w:rPr>
        <w:t xml:space="preserve">中继数量：支持≥500路SIP中继</w:t>
      </w:r>
      <w:r>
        <w:rPr>
          <w:rFonts w:hint="eastAsia"/>
          <w:highlight w:val="none"/>
          <w:lang w:eastAsia="zh-CN"/>
        </w:rPr>
        <w:t xml:space="preserve">；</w:t>
      </w:r>
      <w:r>
        <w:rPr>
          <w:rFonts w:hint="eastAsia"/>
          <w:highlight w:val="none"/>
        </w:rPr>
        <w:t xml:space="preserve">通话并发：≥60方通话并发，支持扩展至120并发</w:t>
      </w:r>
      <w:r>
        <w:rPr>
          <w:rFonts w:hint="eastAsia"/>
          <w:highlight w:val="none"/>
          <w:lang w:eastAsia="zh-CN"/>
        </w:rPr>
        <w:t xml:space="preserve">；</w:t>
      </w:r>
      <w:r>
        <w:rPr>
          <w:rFonts w:hint="eastAsia"/>
          <w:highlight w:val="none"/>
        </w:rPr>
        <w:t xml:space="preserve">语音编码：支持G.711A / G.711U / iLBC / G722 / G726 / G729A / GSM / SPEEX / ADPCM</w:t>
      </w:r>
      <w:r>
        <w:rPr>
          <w:rFonts w:hint="eastAsia"/>
          <w:highlight w:val="none"/>
          <w:lang w:eastAsia="zh-CN"/>
        </w:rPr>
        <w:t xml:space="preserve">；</w:t>
      </w:r>
      <w:r>
        <w:rPr>
          <w:rFonts w:hint="eastAsia"/>
          <w:highlight w:val="none"/>
        </w:rPr>
        <w:t xml:space="preserve">支持T2非平衡变换组件 RJ45/同轴接口</w:t>
      </w:r>
      <w:r>
        <w:rPr>
          <w:rFonts w:hint="eastAsia"/>
          <w:highlight w:val="none"/>
          <w:lang w:eastAsia="zh-CN"/>
        </w:rPr>
        <w:t xml:space="preserve">；</w:t>
      </w:r>
      <w:r>
        <w:rPr>
          <w:rFonts w:hint="eastAsia"/>
          <w:highlight w:val="none"/>
        </w:rPr>
        <w:t xml:space="preserve">支持自动录音（支持内置5年录音）</w:t>
      </w:r>
      <w:r>
        <w:rPr>
          <w:rFonts w:hint="eastAsia"/>
          <w:highlight w:val="none"/>
          <w:lang w:eastAsia="zh-CN"/>
        </w:rPr>
        <w:t xml:space="preserve">；</w:t>
      </w:r>
      <w:r>
        <w:rPr>
          <w:rFonts w:hint="eastAsia"/>
          <w:highlight w:val="none"/>
        </w:rPr>
        <w:t xml:space="preserve">网络支持：静态IP, DHCP, VPN, 防火墙, VLAN, DDNS, PPPoE, QoS, 静态NAT, STUN</w:t>
      </w:r>
      <w:r>
        <w:rPr>
          <w:rFonts w:hint="eastAsia"/>
          <w:highlight w:val="none"/>
        </w:rPr>
        <w:br/>
      </w:r>
      <w:r>
        <w:rPr>
          <w:rFonts w:hint="eastAsia"/>
          <w:highlight w:val="none"/>
          <w:lang w:eastAsia="zh-CN"/>
        </w:rPr>
        <w:t xml:space="preserve">；</w:t>
      </w:r>
      <w:r>
        <w:rPr>
          <w:rFonts w:hint="eastAsia"/>
          <w:highlight w:val="none"/>
        </w:rPr>
        <w:t xml:space="preserve">内置多语言语音提示功能</w:t>
      </w:r>
      <w:r>
        <w:rPr>
          <w:rFonts w:hint="eastAsia"/>
          <w:highlight w:val="none"/>
          <w:lang w:eastAsia="zh-CN"/>
        </w:rPr>
        <w:t xml:space="preserve">；</w:t>
      </w:r>
      <w:r>
        <w:rPr>
          <w:rFonts w:hint="eastAsia"/>
          <w:highlight w:val="none"/>
        </w:rPr>
        <w:t xml:space="preserve">可视化用户配置界面</w:t>
      </w:r>
      <w:r>
        <w:rPr>
          <w:rFonts w:hint="eastAsia"/>
          <w:highlight w:val="none"/>
          <w:lang w:eastAsia="zh-CN"/>
        </w:rPr>
        <w:t xml:space="preserve">；</w:t>
      </w:r>
      <w:r>
        <w:rPr>
          <w:rFonts w:hint="eastAsia"/>
          <w:highlight w:val="none"/>
        </w:rPr>
        <w:t xml:space="preserve">CSTA 服务器软件授权</w:t>
      </w:r>
      <w:r>
        <w:rPr>
          <w:rFonts w:hint="eastAsia"/>
          <w:highlight w:val="none"/>
          <w:lang w:eastAsia="zh-CN"/>
        </w:rPr>
        <w:t xml:space="preserve">；</w:t>
      </w:r>
      <w:r>
        <w:rPr>
          <w:rFonts w:hint="eastAsia"/>
          <w:highlight w:val="none"/>
        </w:rPr>
        <w:t xml:space="preserve">支持双机热备</w:t>
      </w:r>
      <w:r>
        <w:rPr>
          <w:rFonts w:hint="eastAsia"/>
          <w:highlight w:val="none"/>
          <w:lang w:eastAsia="zh-CN"/>
        </w:rPr>
        <w:t xml:space="preserve">；</w:t>
      </w:r>
      <w:r>
        <w:rPr>
          <w:rFonts w:hint="eastAsia"/>
          <w:highlight w:val="none"/>
        </w:rPr>
        <w:t xml:space="preserve">支持数字中继双机热备模式；在双机热备模式下，系统支持数字中继热备接入，提供数字中继冗余可靠性保障</w:t>
      </w:r>
      <w:r>
        <w:rPr>
          <w:rFonts w:hint="eastAsia"/>
          <w:highlight w:val="none"/>
          <w:lang w:eastAsia="zh-CN"/>
        </w:rPr>
        <w:t xml:space="preserve">；</w:t>
      </w:r>
      <w:r>
        <w:rPr>
          <w:rFonts w:hint="eastAsia"/>
          <w:highlight w:val="none"/>
        </w:rPr>
        <w:t xml:space="preserve">系统支持内置通话计费功能</w:t>
      </w:r>
      <w:r>
        <w:rPr>
          <w:rFonts w:hint="eastAsia"/>
          <w:highlight w:val="none"/>
          <w:lang w:eastAsia="zh-CN"/>
        </w:rPr>
        <w:t xml:space="preserve">；</w:t>
      </w:r>
      <w:r>
        <w:rPr>
          <w:rFonts w:hint="eastAsia"/>
          <w:highlight w:val="none"/>
        </w:rPr>
        <w:t xml:space="preserve">监听：系统管理员可以设置分机用户的监听权限</w:t>
      </w:r>
      <w:r>
        <w:rPr>
          <w:rFonts w:hint="eastAsia"/>
          <w:highlight w:val="none"/>
          <w:lang w:eastAsia="zh-CN"/>
        </w:rPr>
        <w:t xml:space="preserve">；</w:t>
      </w:r>
      <w:r>
        <w:rPr>
          <w:rFonts w:hint="eastAsia"/>
          <w:highlight w:val="none"/>
        </w:rPr>
        <w:t xml:space="preserve">强插：系统支持内置强插功能</w:t>
      </w:r>
      <w:r>
        <w:rPr>
          <w:rFonts w:hint="eastAsia"/>
          <w:highlight w:val="none"/>
          <w:lang w:eastAsia="zh-CN"/>
        </w:rPr>
        <w:t xml:space="preserve">；</w:t>
      </w:r>
      <w:r>
        <w:rPr>
          <w:rFonts w:hint="eastAsia"/>
          <w:highlight w:val="none"/>
        </w:rPr>
        <w:t xml:space="preserve">强拆：系统支持内置强拆功能</w:t>
      </w:r>
      <w:r>
        <w:rPr>
          <w:rFonts w:hint="eastAsia"/>
          <w:highlight w:val="none"/>
          <w:lang w:eastAsia="zh-CN"/>
        </w:rPr>
        <w:t xml:space="preserve">；</w:t>
      </w:r>
      <w:r>
        <w:rPr>
          <w:rFonts w:hint="eastAsia"/>
          <w:highlight w:val="none"/>
        </w:rPr>
        <w:t xml:space="preserve">网页端软电话：系统支持内置</w:t>
      </w:r>
      <w:r>
        <w:rPr>
          <w:rFonts w:hint="eastAsia"/>
          <w:highlight w:val="none"/>
          <w:lang w:eastAsia="zh-CN"/>
        </w:rPr>
        <w:t xml:space="preserve">；</w:t>
      </w:r>
      <w:r>
        <w:rPr>
          <w:rFonts w:hint="eastAsia"/>
          <w:highlight w:val="none"/>
        </w:rPr>
        <w:t xml:space="preserve">录音配件2套</w:t>
      </w:r>
      <w:r>
        <w:rPr>
          <w:rFonts w:hint="eastAsia"/>
          <w:highlight w:val="none"/>
          <w:lang w:eastAsia="zh-CN"/>
        </w:rPr>
        <w:t xml:space="preserve">；</w:t>
      </w:r>
      <w:r>
        <w:rPr>
          <w:rFonts w:hint="eastAsia"/>
          <w:highlight w:val="none"/>
        </w:rPr>
        <w:t xml:space="preserve">专用耳机2套</w:t>
      </w:r>
      <w:r>
        <w:rPr>
          <w:rFonts w:hint="eastAsia"/>
          <w:highlight w:val="none"/>
          <w:lang w:eastAsia="zh-CN"/>
        </w:rPr>
        <w:t xml:space="preserve">；</w:t>
      </w:r>
      <w:r>
        <w:rPr>
          <w:rFonts w:hint="eastAsia"/>
          <w:highlight w:val="none"/>
        </w:rPr>
        <w:t xml:space="preserve">话机电源2套。</w:t>
      </w:r>
      <w:r/>
    </w:p>
    <w:p>
      <w:pPr>
        <w:pStyle w:val="678"/>
        <w:rPr>
          <w:rFonts w:hint="eastAsia"/>
          <w:b/>
          <w:bCs/>
          <w:i w:val="0"/>
          <w:iCs w:val="0"/>
          <w:highlight w:val="none"/>
          <w:u w:val="none"/>
        </w:rPr>
      </w:pPr>
      <w:r>
        <w:rPr>
          <w:rFonts w:hint="eastAsia"/>
          <w:b/>
          <w:bCs/>
          <w:i w:val="0"/>
          <w:iCs w:val="0"/>
          <w:highlight w:val="none"/>
          <w:u w:val="none"/>
        </w:rPr>
      </w:r>
      <w:r/>
    </w:p>
    <w:p>
      <w:pPr>
        <w:pStyle w:val="678"/>
        <w:rPr>
          <w:b/>
          <w:bCs/>
          <w:i w:val="0"/>
          <w:iCs w:val="0"/>
          <w:highlight w:val="none"/>
          <w:u w:val="none"/>
        </w:rPr>
      </w:pPr>
      <w:r>
        <w:rPr>
          <w:rFonts w:hint="eastAsia"/>
          <w:b/>
          <w:bCs/>
          <w:i w:val="0"/>
          <w:iCs w:val="0"/>
          <w:highlight w:val="none"/>
          <w:u w:val="none"/>
        </w:rPr>
        <w:t xml:space="preserve">3</w:t>
      </w:r>
      <w:r>
        <w:rPr>
          <w:b/>
          <w:bCs/>
          <w:i w:val="0"/>
          <w:iCs w:val="0"/>
          <w:highlight w:val="none"/>
          <w:u w:val="none"/>
        </w:rPr>
        <w:t xml:space="preserve">.4</w:t>
      </w:r>
      <w:r>
        <w:rPr>
          <w:rFonts w:hint="eastAsia"/>
          <w:b/>
          <w:bCs/>
          <w:i w:val="0"/>
          <w:iCs w:val="0"/>
          <w:highlight w:val="none"/>
          <w:u w:val="none"/>
        </w:rPr>
        <w:t xml:space="preserve">调度室静电地板1项</w:t>
      </w:r>
      <w:r/>
    </w:p>
    <w:p>
      <w:pPr>
        <w:pStyle w:val="678"/>
        <w:rPr>
          <w:highlight w:val="none"/>
        </w:rPr>
      </w:pPr>
      <w:r>
        <w:rPr>
          <w:rFonts w:hint="eastAsia"/>
          <w:highlight w:val="none"/>
        </w:rPr>
        <w:t xml:space="preserve">机房调度室地面找平、钢架铺设，陶瓷面防静电地板安装，并在机房及调度室之间开槽预留线槽，完成施工后恢复</w:t>
      </w:r>
      <w:r>
        <w:rPr>
          <w:rFonts w:hint="eastAsia"/>
          <w:highlight w:val="none"/>
          <w:lang w:eastAsia="zh-CN"/>
        </w:rPr>
        <w:t xml:space="preserve">；</w:t>
      </w:r>
      <w:r>
        <w:rPr>
          <w:rFonts w:hint="eastAsia"/>
          <w:highlight w:val="none"/>
        </w:rPr>
        <w:t xml:space="preserve">实木或不锈钢踢脚线</w:t>
      </w:r>
      <w:r>
        <w:rPr>
          <w:rFonts w:hint="eastAsia"/>
          <w:highlight w:val="none"/>
          <w:lang w:eastAsia="zh-CN"/>
        </w:rPr>
        <w:t xml:space="preserve">；</w:t>
      </w:r>
      <w:r>
        <w:rPr>
          <w:rFonts w:hint="eastAsia"/>
          <w:highlight w:val="none"/>
        </w:rPr>
        <w:t xml:space="preserve">原房间做接地处理</w:t>
      </w:r>
      <w:r>
        <w:rPr>
          <w:rFonts w:hint="eastAsia"/>
          <w:highlight w:val="none"/>
          <w:lang w:eastAsia="zh-CN"/>
        </w:rPr>
        <w:t xml:space="preserve">；</w:t>
      </w:r>
      <w:r>
        <w:rPr>
          <w:rFonts w:hint="eastAsia"/>
          <w:highlight w:val="none"/>
        </w:rPr>
        <w:t xml:space="preserve">原有强弱电拆除，新增符合调度系统、机房的专用国标强电线及六类专用网线</w:t>
      </w:r>
      <w:r>
        <w:rPr>
          <w:rFonts w:hint="eastAsia"/>
          <w:highlight w:val="none"/>
          <w:lang w:eastAsia="zh-CN"/>
        </w:rPr>
        <w:t xml:space="preserve">；</w:t>
      </w:r>
      <w:r>
        <w:rPr>
          <w:rFonts w:hint="eastAsia"/>
          <w:highlight w:val="none"/>
        </w:rPr>
        <w:t xml:space="preserve">电箱改造适配ups系统。</w:t>
      </w:r>
      <w:r/>
    </w:p>
    <w:p>
      <w:pPr>
        <w:pStyle w:val="678"/>
        <w:rPr>
          <w:rFonts w:hint="eastAsia"/>
          <w:b/>
          <w:bCs/>
          <w:i w:val="0"/>
          <w:iCs w:val="0"/>
          <w:highlight w:val="none"/>
          <w:u w:val="none"/>
        </w:rPr>
      </w:pPr>
      <w:r>
        <w:rPr>
          <w:rFonts w:hint="eastAsia"/>
          <w:b/>
          <w:bCs/>
          <w:i w:val="0"/>
          <w:iCs w:val="0"/>
          <w:highlight w:val="none"/>
          <w:u w:val="none"/>
        </w:rPr>
      </w:r>
      <w:r/>
    </w:p>
    <w:p>
      <w:pPr>
        <w:pStyle w:val="678"/>
        <w:rPr>
          <w:b/>
          <w:bCs/>
          <w:i w:val="0"/>
          <w:iCs w:val="0"/>
          <w:highlight w:val="none"/>
          <w:u w:val="none"/>
        </w:rPr>
      </w:pPr>
      <w:r>
        <w:rPr>
          <w:rFonts w:hint="eastAsia"/>
          <w:b/>
          <w:bCs/>
          <w:i w:val="0"/>
          <w:iCs w:val="0"/>
          <w:highlight w:val="none"/>
          <w:u w:val="none"/>
        </w:rPr>
        <w:t xml:space="preserve">3</w:t>
      </w:r>
      <w:r>
        <w:rPr>
          <w:b/>
          <w:bCs/>
          <w:i w:val="0"/>
          <w:iCs w:val="0"/>
          <w:highlight w:val="none"/>
          <w:u w:val="none"/>
        </w:rPr>
        <w:t xml:space="preserve">.5</w:t>
      </w:r>
      <w:r>
        <w:rPr>
          <w:rFonts w:hint="eastAsia"/>
          <w:b/>
          <w:bCs/>
          <w:i w:val="0"/>
          <w:iCs w:val="0"/>
          <w:highlight w:val="none"/>
          <w:u w:val="none"/>
        </w:rPr>
        <w:t xml:space="preserve">网络机柜1个</w:t>
      </w:r>
      <w:r/>
    </w:p>
    <w:p>
      <w:pPr>
        <w:pStyle w:val="678"/>
        <w:rPr>
          <w:highlight w:val="none"/>
        </w:rPr>
      </w:pPr>
      <w:r>
        <w:rPr>
          <w:highlight w:val="none"/>
        </w:rPr>
        <w:t xml:space="preserve">2</w:t>
      </w:r>
      <w:r>
        <w:rPr>
          <w:rFonts w:hint="eastAsia"/>
          <w:highlight w:val="none"/>
        </w:rPr>
        <w:t xml:space="preserve">米高标准网络机柜，</w:t>
      </w:r>
      <w:r>
        <w:rPr>
          <w:highlight w:val="none"/>
        </w:rPr>
        <w:t xml:space="preserve">1.1</w:t>
      </w:r>
      <w:r>
        <w:rPr>
          <w:rFonts w:hint="eastAsia"/>
          <w:highlight w:val="none"/>
        </w:rPr>
        <w:t xml:space="preserve">米深。</w:t>
      </w:r>
      <w:r/>
    </w:p>
    <w:p>
      <w:pPr>
        <w:pStyle w:val="678"/>
        <w:rPr>
          <w:rFonts w:hint="eastAsia"/>
          <w:b/>
          <w:bCs/>
          <w:i w:val="0"/>
          <w:iCs w:val="0"/>
          <w:highlight w:val="none"/>
          <w:u w:val="none"/>
        </w:rPr>
      </w:pPr>
      <w:r>
        <w:rPr>
          <w:rFonts w:hint="eastAsia"/>
          <w:b/>
          <w:bCs/>
          <w:i w:val="0"/>
          <w:iCs w:val="0"/>
          <w:highlight w:val="none"/>
          <w:u w:val="none"/>
        </w:rPr>
      </w:r>
      <w:r/>
    </w:p>
    <w:p>
      <w:pPr>
        <w:pStyle w:val="678"/>
        <w:rPr>
          <w:rFonts w:hint="eastAsia"/>
          <w:b/>
          <w:bCs/>
          <w:i w:val="0"/>
          <w:iCs w:val="0"/>
          <w:highlight w:val="none"/>
          <w:u w:val="none"/>
        </w:rPr>
      </w:pPr>
      <w:r>
        <w:rPr>
          <w:rFonts w:hint="eastAsia"/>
          <w:b/>
          <w:bCs/>
          <w:i w:val="0"/>
          <w:iCs w:val="0"/>
          <w:highlight w:val="none"/>
          <w:u w:val="none"/>
        </w:rPr>
        <w:t xml:space="preserve">3</w:t>
      </w:r>
      <w:r>
        <w:rPr>
          <w:b/>
          <w:bCs/>
          <w:i w:val="0"/>
          <w:iCs w:val="0"/>
          <w:highlight w:val="none"/>
          <w:u w:val="none"/>
        </w:rPr>
        <w:t xml:space="preserve">.6 </w:t>
      </w:r>
      <w:r>
        <w:rPr>
          <w:rFonts w:hint="eastAsia"/>
          <w:b/>
          <w:bCs/>
          <w:i w:val="0"/>
          <w:iCs w:val="0"/>
          <w:highlight w:val="none"/>
          <w:u w:val="none"/>
        </w:rPr>
        <w:t xml:space="preserve">UPS</w:t>
      </w:r>
      <w:r>
        <w:rPr>
          <w:b/>
          <w:bCs/>
          <w:i w:val="0"/>
          <w:iCs w:val="0"/>
          <w:highlight w:val="none"/>
          <w:u w:val="none"/>
        </w:rPr>
        <w:t xml:space="preserve"> 1</w:t>
      </w:r>
      <w:r>
        <w:rPr>
          <w:rFonts w:hint="eastAsia"/>
          <w:b/>
          <w:bCs/>
          <w:i w:val="0"/>
          <w:iCs w:val="0"/>
          <w:highlight w:val="none"/>
          <w:u w:val="none"/>
        </w:rPr>
        <w:t xml:space="preserve">项</w:t>
      </w:r>
      <w:r/>
    </w:p>
    <w:p>
      <w:pPr>
        <w:pStyle w:val="678"/>
        <w:rPr>
          <w:highlight w:val="none"/>
        </w:rPr>
      </w:pPr>
      <w:r>
        <w:rPr>
          <w:rFonts w:hint="eastAsia"/>
          <w:highlight w:val="none"/>
        </w:rPr>
        <w:t xml:space="preserve">≥32节电池、1个UPS机头、保障中心核心设备≥6个小时供电，包含设备安装。</w:t>
      </w:r>
      <w:r/>
    </w:p>
    <w:p>
      <w:pPr>
        <w:pStyle w:val="678"/>
        <w:rPr>
          <w:rFonts w:hint="eastAsia"/>
          <w:b/>
          <w:bCs/>
          <w:i w:val="0"/>
          <w:iCs w:val="0"/>
          <w:highlight w:val="none"/>
          <w:u w:val="none"/>
        </w:rPr>
      </w:pPr>
      <w:r>
        <w:rPr>
          <w:rFonts w:hint="eastAsia"/>
          <w:b/>
          <w:bCs/>
          <w:i w:val="0"/>
          <w:iCs w:val="0"/>
          <w:highlight w:val="none"/>
          <w:u w:val="none"/>
        </w:rPr>
      </w:r>
      <w:r/>
    </w:p>
    <w:p>
      <w:pPr>
        <w:pStyle w:val="678"/>
        <w:rPr>
          <w:rFonts w:hint="eastAsia"/>
          <w:b/>
          <w:bCs/>
          <w:i w:val="0"/>
          <w:iCs w:val="0"/>
          <w:highlight w:val="none"/>
          <w:u w:val="none"/>
        </w:rPr>
      </w:pPr>
      <w:r>
        <w:rPr>
          <w:rFonts w:hint="eastAsia"/>
          <w:b/>
          <w:bCs/>
          <w:i w:val="0"/>
          <w:iCs w:val="0"/>
          <w:highlight w:val="none"/>
          <w:u w:val="none"/>
        </w:rPr>
        <w:t xml:space="preserve">3</w:t>
      </w:r>
      <w:r>
        <w:rPr>
          <w:b/>
          <w:bCs/>
          <w:i w:val="0"/>
          <w:iCs w:val="0"/>
          <w:highlight w:val="none"/>
          <w:u w:val="none"/>
        </w:rPr>
        <w:t xml:space="preserve">.7</w:t>
      </w:r>
      <w:r>
        <w:rPr>
          <w:rFonts w:hint="eastAsia"/>
          <w:b/>
          <w:bCs/>
          <w:i w:val="0"/>
          <w:iCs w:val="0"/>
          <w:highlight w:val="none"/>
          <w:u w:val="none"/>
        </w:rPr>
        <w:t xml:space="preserve">交换机2台</w:t>
      </w:r>
      <w:r/>
    </w:p>
    <w:p>
      <w:pPr>
        <w:pStyle w:val="678"/>
        <w:rPr>
          <w:highlight w:val="none"/>
        </w:rPr>
      </w:pPr>
      <w:r>
        <w:rPr>
          <w:rFonts w:hint="eastAsia"/>
          <w:highlight w:val="none"/>
        </w:rPr>
        <w:t xml:space="preserve">24口三层交换机</w:t>
      </w:r>
      <w:r>
        <w:rPr>
          <w:rFonts w:hint="eastAsia"/>
          <w:highlight w:val="none"/>
          <w:lang w:eastAsia="zh-CN"/>
        </w:rPr>
        <w:t xml:space="preserve">；</w:t>
      </w:r>
      <w:r>
        <w:rPr>
          <w:rFonts w:hint="eastAsia"/>
          <w:highlight w:val="none"/>
        </w:rPr>
        <w:t xml:space="preserve">交换容量：≥598Gbp</w:t>
      </w:r>
      <w:r>
        <w:rPr>
          <w:rFonts w:hint="eastAsia"/>
          <w:highlight w:val="none"/>
          <w:lang w:eastAsia="zh-CN"/>
        </w:rPr>
        <w:t xml:space="preserve">；</w:t>
      </w:r>
      <w:r>
        <w:rPr>
          <w:rFonts w:hint="eastAsia"/>
          <w:highlight w:val="none"/>
        </w:rPr>
        <w:t xml:space="preserve">转发性能：≥216Mpps</w:t>
      </w:r>
      <w:r>
        <w:rPr>
          <w:rFonts w:hint="eastAsia"/>
          <w:highlight w:val="none"/>
          <w:lang w:eastAsia="zh-CN"/>
        </w:rPr>
        <w:t xml:space="preserve">；</w:t>
      </w:r>
      <w:r>
        <w:rPr>
          <w:rFonts w:hint="eastAsia"/>
          <w:highlight w:val="none"/>
        </w:rPr>
        <w:t xml:space="preserve">接口类型：千兆电口≥24，千兆复用光口≥8个，万兆光口≥4个，扩展槽≥1个</w:t>
      </w:r>
      <w:r>
        <w:rPr>
          <w:rFonts w:hint="eastAsia"/>
          <w:highlight w:val="none"/>
          <w:lang w:eastAsia="zh-CN"/>
        </w:rPr>
        <w:t xml:space="preserve">；</w:t>
      </w:r>
      <w:r>
        <w:rPr>
          <w:rFonts w:hint="eastAsia"/>
          <w:highlight w:val="none"/>
        </w:rPr>
        <w:t xml:space="preserve">VxLAN：支持二层VxLAN、支持三层VxLAN、支持EVPN</w:t>
      </w:r>
      <w:r>
        <w:rPr>
          <w:rFonts w:hint="eastAsia"/>
          <w:highlight w:val="none"/>
          <w:lang w:eastAsia="zh-CN"/>
        </w:rPr>
        <w:t xml:space="preserve">；</w:t>
      </w:r>
      <w:r>
        <w:rPr>
          <w:rFonts w:hint="eastAsia"/>
          <w:highlight w:val="none"/>
        </w:rPr>
        <w:t xml:space="preserve">智能管理中心：内置及图形化管理界面，可以解决大量分散的边缘接入设备的集中管理问题，实现对网络的统一运维及管理</w:t>
      </w:r>
      <w:r>
        <w:rPr>
          <w:rFonts w:hint="eastAsia"/>
          <w:highlight w:val="none"/>
          <w:lang w:eastAsia="zh-CN"/>
        </w:rPr>
        <w:t xml:space="preserve">；</w:t>
      </w:r>
      <w:r>
        <w:rPr>
          <w:rFonts w:hint="eastAsia"/>
          <w:highlight w:val="none"/>
        </w:rPr>
        <w:t xml:space="preserve">安全板卡扩展：支持集成包括FW，IPS、负载均衡等高性能OAP模块插卡。</w:t>
      </w:r>
      <w:r/>
    </w:p>
    <w:p>
      <w:pPr>
        <w:pStyle w:val="678"/>
        <w:rPr>
          <w:b/>
          <w:bCs/>
          <w:i w:val="0"/>
          <w:iCs w:val="0"/>
          <w:highlight w:val="none"/>
          <w:u w:val="none"/>
        </w:rPr>
      </w:pPr>
      <w:r>
        <w:rPr>
          <w:b/>
          <w:bCs/>
          <w:i w:val="0"/>
          <w:iCs w:val="0"/>
          <w:highlight w:val="none"/>
          <w:u w:val="none"/>
        </w:rPr>
      </w:r>
      <w:r/>
    </w:p>
    <w:p>
      <w:pPr>
        <w:pStyle w:val="678"/>
        <w:rPr>
          <w:b/>
          <w:bCs/>
          <w:i w:val="0"/>
          <w:iCs w:val="0"/>
          <w:highlight w:val="none"/>
          <w:u w:val="none"/>
        </w:rPr>
      </w:pPr>
      <w:r>
        <w:rPr>
          <w:b/>
          <w:bCs/>
          <w:i w:val="0"/>
          <w:iCs w:val="0"/>
          <w:highlight w:val="none"/>
          <w:u w:val="none"/>
        </w:rPr>
        <w:t xml:space="preserve">3.8</w:t>
      </w:r>
      <w:r>
        <w:rPr>
          <w:rFonts w:hint="eastAsia"/>
          <w:b/>
          <w:bCs/>
          <w:i w:val="0"/>
          <w:iCs w:val="0"/>
          <w:highlight w:val="none"/>
          <w:u w:val="none"/>
        </w:rPr>
        <w:t xml:space="preserve">防火墙2台</w:t>
      </w:r>
      <w:r/>
    </w:p>
    <w:p>
      <w:pPr>
        <w:pStyle w:val="678"/>
        <w:rPr>
          <w:rFonts w:hint="eastAsia"/>
          <w:highlight w:val="none"/>
          <w:lang w:eastAsia="zh-CN"/>
        </w:rPr>
      </w:pPr>
      <w:r>
        <w:rPr>
          <w:rFonts w:hint="eastAsia"/>
          <w:highlight w:val="none"/>
          <w:lang w:val="en-US" w:eastAsia="zh-CN"/>
        </w:rPr>
        <w:t xml:space="preserve">3.8.1</w:t>
      </w:r>
      <w:r>
        <w:rPr>
          <w:rFonts w:hint="eastAsia"/>
          <w:highlight w:val="none"/>
        </w:rPr>
        <w:t xml:space="preserve">产品架构:采用国产芯片，国产操作系统</w:t>
      </w:r>
      <w:r>
        <w:rPr>
          <w:rFonts w:hint="eastAsia"/>
          <w:highlight w:val="none"/>
          <w:lang w:eastAsia="zh-CN"/>
        </w:rPr>
        <w:t xml:space="preserve">；</w:t>
      </w:r>
      <w:r>
        <w:rPr>
          <w:rFonts w:hint="eastAsia"/>
          <w:highlight w:val="none"/>
        </w:rPr>
        <w:t xml:space="preserve">性能要求: 吞吐率(bps)≥2G，最大并发连接数≥480万，每秒新建连接数≥7万，提供IPSec VPN隧道数≥2000条，并发零信任授权数≥8个。并发SSL VPN 用户许可≥8个，最大可扩展至500个</w:t>
      </w:r>
      <w:r>
        <w:rPr>
          <w:rFonts w:hint="eastAsia"/>
          <w:highlight w:val="none"/>
          <w:lang w:eastAsia="zh-CN"/>
        </w:rPr>
        <w:t xml:space="preserve">；</w:t>
      </w:r>
      <w:r>
        <w:rPr>
          <w:rFonts w:hint="eastAsia"/>
          <w:highlight w:val="none"/>
        </w:rPr>
        <w:t xml:space="preserve">硬件要求:标准机架，≥1个CON 口，≥2个USB口，1个MGT口，≥10 个10/100/1000MBase-T电口，≥4个Combo口，2个通用扩展槽</w:t>
      </w:r>
      <w:r>
        <w:rPr>
          <w:rFonts w:hint="eastAsia"/>
          <w:highlight w:val="none"/>
          <w:lang w:eastAsia="zh-CN"/>
        </w:rPr>
        <w:t xml:space="preserve">；</w:t>
      </w:r>
      <w:r>
        <w:rPr>
          <w:rFonts w:hint="eastAsia"/>
          <w:highlight w:val="none"/>
        </w:rPr>
        <w:t xml:space="preserve">基本功能：支持口令认证、短信认证、口令+短信方式的Web认证，短信认证支持阿里云和ACC CEP2.0协议的电信等4种短信服务网关，支持WebAuth认证页面定制</w:t>
      </w:r>
      <w:r>
        <w:rPr>
          <w:rFonts w:hint="eastAsia"/>
          <w:highlight w:val="none"/>
          <w:lang w:eastAsia="zh-CN"/>
        </w:rPr>
        <w:t xml:space="preserve">。</w:t>
      </w:r>
      <w:r/>
    </w:p>
    <w:p>
      <w:pPr>
        <w:pStyle w:val="678"/>
        <w:rPr>
          <w:rFonts w:hint="eastAsia"/>
          <w:highlight w:val="none"/>
        </w:rPr>
      </w:pPr>
      <w:r>
        <w:rPr>
          <w:rFonts w:hint="eastAsia"/>
          <w:highlight w:val="none"/>
          <w:lang w:val="en-US" w:eastAsia="zh-CN"/>
        </w:rPr>
        <w:t xml:space="preserve">3.8.2</w:t>
      </w:r>
      <w:r>
        <w:rPr>
          <w:rFonts w:hint="eastAsia"/>
          <w:highlight w:val="none"/>
        </w:rPr>
        <w:t xml:space="preserve">▲SNAT/DNAT支持冗余检测分析，帮助管理员梳理冗余NAT规则。(提供承诺函，承诺提供的设备能够满足招标文件要求)。</w:t>
      </w:r>
      <w:r/>
    </w:p>
    <w:p>
      <w:pPr>
        <w:pStyle w:val="678"/>
        <w:rPr>
          <w:rFonts w:hint="eastAsia"/>
          <w:highlight w:val="none"/>
        </w:rPr>
      </w:pPr>
      <w:r>
        <w:rPr>
          <w:rFonts w:hint="eastAsia"/>
          <w:highlight w:val="none"/>
          <w:lang w:val="en-US" w:eastAsia="zh-CN"/>
        </w:rPr>
        <w:t xml:space="preserve">3.8.3</w:t>
      </w:r>
      <w:r>
        <w:rPr>
          <w:rFonts w:hint="eastAsia"/>
          <w:highlight w:val="none"/>
        </w:rPr>
        <w:t xml:space="preserve">▲支持按设备对象放行iot终端流量，对非指定设备阻断其流量。(提供承诺函，承诺提供的设备能够满足招标文件要求)。</w:t>
      </w:r>
      <w:r/>
    </w:p>
    <w:p>
      <w:pPr>
        <w:pStyle w:val="678"/>
        <w:rPr>
          <w:rFonts w:hint="eastAsia"/>
          <w:highlight w:val="none"/>
        </w:rPr>
      </w:pPr>
      <w:r>
        <w:rPr>
          <w:rFonts w:hint="eastAsia"/>
          <w:highlight w:val="none"/>
          <w:lang w:val="en-US" w:eastAsia="zh-CN"/>
        </w:rPr>
        <w:t xml:space="preserve">3.8.4</w:t>
      </w:r>
      <w:r>
        <w:rPr>
          <w:rFonts w:hint="eastAsia"/>
          <w:highlight w:val="none"/>
        </w:rPr>
        <w:t xml:space="preserve">▲支持Docker管理功能，通过该功能，用户可以在系统中创建Docker，为Docker分配系统资源，导入Docker镜像文件，并基于Docker运行容器应用；(提供承诺函，承诺提供的设备能够满足招标文件要求)。</w:t>
      </w:r>
      <w:r/>
    </w:p>
    <w:p>
      <w:pPr>
        <w:pStyle w:val="678"/>
        <w:rPr>
          <w:highlight w:val="none"/>
        </w:rPr>
      </w:pPr>
      <w:r>
        <w:rPr>
          <w:rFonts w:hint="eastAsia"/>
          <w:highlight w:val="none"/>
          <w:lang w:val="en-US" w:eastAsia="zh-CN"/>
        </w:rPr>
        <w:t xml:space="preserve">3.8.5</w:t>
      </w:r>
      <w:r>
        <w:rPr>
          <w:rFonts w:hint="eastAsia"/>
          <w:highlight w:val="none"/>
        </w:rPr>
        <w:t xml:space="preserve">运维与监控：提供手机APP，实时监控展现设备CPU利用率、内存利用率、并发连接数、流量等状态，提供防火墙威胁分析服务，包括攻击级别展示、攻击类型分析、攻击者和受害者信息统计分析。</w:t>
      </w:r>
      <w:r/>
    </w:p>
    <w:p>
      <w:pPr>
        <w:pStyle w:val="678"/>
        <w:rPr>
          <w:rFonts w:hint="eastAsia"/>
          <w:b/>
          <w:bCs/>
          <w:i w:val="0"/>
          <w:iCs w:val="0"/>
          <w:color w:val="auto"/>
          <w:highlight w:val="none"/>
          <w:u w:val="none"/>
        </w:rPr>
      </w:pPr>
      <w:r>
        <w:rPr>
          <w:rFonts w:hint="eastAsia"/>
          <w:b/>
          <w:bCs/>
          <w:i w:val="0"/>
          <w:iCs w:val="0"/>
          <w:color w:val="auto"/>
          <w:highlight w:val="none"/>
          <w:u w:val="none"/>
        </w:rPr>
      </w:r>
      <w:r/>
    </w:p>
    <w:p>
      <w:pPr>
        <w:pStyle w:val="678"/>
        <w:rPr>
          <w:b/>
          <w:bCs/>
          <w:i w:val="0"/>
          <w:iCs w:val="0"/>
          <w:color w:val="auto"/>
          <w:highlight w:val="none"/>
          <w:u w:val="none"/>
        </w:rPr>
      </w:pPr>
      <w:r>
        <w:rPr>
          <w:rFonts w:hint="eastAsia"/>
          <w:b/>
          <w:bCs/>
          <w:i w:val="0"/>
          <w:iCs w:val="0"/>
          <w:color w:val="auto"/>
          <w:highlight w:val="none"/>
          <w:u w:val="none"/>
        </w:rPr>
        <w:t xml:space="preserve">3</w:t>
      </w:r>
      <w:r>
        <w:rPr>
          <w:b/>
          <w:bCs/>
          <w:i w:val="0"/>
          <w:iCs w:val="0"/>
          <w:color w:val="auto"/>
          <w:highlight w:val="none"/>
          <w:u w:val="none"/>
        </w:rPr>
        <w:t xml:space="preserve">.9</w:t>
      </w:r>
      <w:r>
        <w:rPr>
          <w:rFonts w:hint="eastAsia"/>
          <w:b/>
          <w:bCs/>
          <w:i w:val="0"/>
          <w:iCs w:val="0"/>
          <w:color w:val="auto"/>
          <w:highlight w:val="none"/>
          <w:u w:val="none"/>
        </w:rPr>
        <w:t xml:space="preserve">心电图/监护仪数据采集终端1</w:t>
      </w:r>
      <w:r>
        <w:rPr>
          <w:b/>
          <w:bCs/>
          <w:i w:val="0"/>
          <w:iCs w:val="0"/>
          <w:color w:val="auto"/>
          <w:highlight w:val="none"/>
          <w:u w:val="none"/>
        </w:rPr>
        <w:t xml:space="preserve">0</w:t>
      </w:r>
      <w:r>
        <w:rPr>
          <w:rFonts w:hint="eastAsia"/>
          <w:b/>
          <w:bCs/>
          <w:i w:val="0"/>
          <w:iCs w:val="0"/>
          <w:color w:val="auto"/>
          <w:highlight w:val="none"/>
          <w:u w:val="none"/>
        </w:rPr>
        <w:t xml:space="preserve">台</w:t>
      </w:r>
      <w:r/>
    </w:p>
    <w:p>
      <w:pPr>
        <w:pStyle w:val="678"/>
        <w:rPr>
          <w:rFonts w:hint="eastAsia" w:ascii="宋体" w:hAnsi="Times New Roman" w:eastAsia="宋体" w:cs="宋体"/>
          <w:color w:val="auto"/>
          <w:highlight w:val="none"/>
        </w:rPr>
      </w:pPr>
      <w:r>
        <w:rPr>
          <w:rFonts w:hint="eastAsia" w:ascii="宋体" w:hAnsi="Times New Roman" w:eastAsia="宋体" w:cs="宋体"/>
          <w:color w:val="auto"/>
          <w:highlight w:val="none"/>
        </w:rPr>
        <w:t xml:space="preserve">一体化设计：采用车规级芯片与设计，可在-40℃—+85℃工作，防尘防潮防雷击，可靠性远高于民用CPE类产品。可直接使用车辆点烟器电源供电，方便快捷，内置LGA封装无铅焊接通讯模块，避免M2/PCIE接口的通讯模块在长期使用不抗震、易氧化、易松动等问题</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高度集成，将医疗设备生命体征数据/波形传输、电子病历、车载CPE、车载网关等功能集于一体，便于安装实施，无需改动车辆原有线路。开机后即可传输车载医疗设备数据及波形</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车载医疗设备连接：</w:t>
      </w:r>
      <w:r>
        <w:rPr>
          <w:rFonts w:hint="eastAsia" w:ascii="宋体" w:hAnsi="Times New Roman" w:eastAsia="宋体" w:cs="宋体"/>
          <w:color w:val="auto"/>
          <w:highlight w:val="none"/>
          <w:lang w:eastAsia="zh-CN"/>
        </w:rPr>
        <w:t xml:space="preserve">可同时</w:t>
      </w:r>
      <w:r>
        <w:rPr>
          <w:rFonts w:hint="eastAsia" w:ascii="宋体" w:hAnsi="Times New Roman" w:eastAsia="宋体" w:cs="宋体"/>
          <w:color w:val="auto"/>
          <w:highlight w:val="none"/>
        </w:rPr>
        <w:t xml:space="preserve">连接多参数监护仪、除颤监护仪、心电图机、呼吸机等车载设备，各项功能可以按需开通，即开即用</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具备VPN/APN配置功能：所有数据从医疗设备进入一体化网关后，全部进行128位加密、压缩处理，并且采用SSL安全连接发送到服务器，确保数据安全</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数据传输丢包率小于1%，出现网络中断时，暂存不小于30分钟的数据并可在网络恢复后自动重连并补传发送</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保证采集多台医疗设备时数据时间戳一致，误差小于1秒。自动解析设备协议填写每条数据采集时间（无需不同设备逐个修改时间），确保发送到服务器的数据采集时间真实有效</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具备以太网、WIFI、MAX232/485、串口等多协议接口，根据需要可接入多种医疗设备</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具有车辆定位/管理功能：可以实时记录车辆实时位置、运行轨迹回放等详细数据</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有远程生命体征传输接口：连接车载监护仪，将心电波形、心率、呼吸、体温、无创血压、血氧饱和度等生命体征参数实时无线传输至急救中心或接诊医院，让急救医生提前了解状况，为提前制定急救方案及远程指导救治提供必要依据，并且能够长期存储，随时可以进行调阅、下载、打印</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具有车载除颤监护仪接口：通过网络接口直接连接现有车载除颤监护仪，无需提供相关无线模块，能够实时传输各项除颤监护仪监测数据及除颤能量，具有实时报表、时间列表、趋势图表、趋势列表等功能</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具有车载急救呼吸机接口：连接主流品牌呼吸机，实现呼吸波形及数据等参数的实时远程传输，便于发现异常及时处理，满足讯息万变的呼吸状况救治需要</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具有十二导心电图机远程传输系统接口：患者十二导心电图报告可实时传送至接诊医院及胸痛中心，便于对胸痛疾病患者提前发现心电异常，进行专家指导干预，数据共享交流，远程查询/会诊</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所有车载医疗设备开机后自动进行传输，无需任何人工操作</w:t>
      </w:r>
      <w:r>
        <w:rPr>
          <w:rFonts w:hint="eastAsia" w:cs="宋体"/>
          <w:color w:val="auto"/>
          <w:highlight w:val="none"/>
          <w:lang w:eastAsia="zh-CN"/>
        </w:rPr>
        <w:t xml:space="preserve">；</w:t>
      </w:r>
      <w:r>
        <w:rPr>
          <w:rFonts w:hint="eastAsia" w:ascii="宋体" w:hAnsi="Times New Roman" w:eastAsia="宋体" w:cs="宋体"/>
          <w:color w:val="auto"/>
          <w:highlight w:val="none"/>
        </w:rPr>
        <w:t xml:space="preserve">所有车载医疗设备波形及数据、电子病历、车辆位置信息、数据列表回顾等功能均和救护车车牌号绑定，只需要点击车牌后以上信息同步切换，无须单独选择。</w:t>
      </w:r>
      <w:r/>
    </w:p>
    <w:p>
      <w:pPr>
        <w:pStyle w:val="678"/>
        <w:rPr>
          <w:rFonts w:hint="eastAsia"/>
          <w:b/>
          <w:bCs/>
          <w:i w:val="0"/>
          <w:iCs w:val="0"/>
          <w:color w:val="auto"/>
          <w:highlight w:val="none"/>
          <w:u w:val="none"/>
        </w:rPr>
      </w:pPr>
      <w:r>
        <w:rPr>
          <w:rFonts w:hint="eastAsia"/>
          <w:b/>
          <w:bCs/>
          <w:i w:val="0"/>
          <w:iCs w:val="0"/>
          <w:color w:val="auto"/>
          <w:highlight w:val="none"/>
          <w:u w:val="none"/>
        </w:rPr>
      </w:r>
      <w:r/>
    </w:p>
    <w:p>
      <w:pPr>
        <w:pStyle w:val="678"/>
        <w:rPr>
          <w:rFonts w:hint="eastAsia"/>
          <w:b/>
          <w:bCs/>
          <w:i w:val="0"/>
          <w:iCs w:val="0"/>
          <w:color w:val="auto"/>
          <w:highlight w:val="none"/>
          <w:u w:val="none"/>
        </w:rPr>
      </w:pPr>
      <w:r>
        <w:rPr>
          <w:rFonts w:hint="eastAsia"/>
          <w:b/>
          <w:bCs/>
          <w:i w:val="0"/>
          <w:iCs w:val="0"/>
          <w:color w:val="auto"/>
          <w:highlight w:val="none"/>
          <w:u w:val="none"/>
        </w:rPr>
        <w:t xml:space="preserve">3.10单北斗急救车载信息终端10套</w:t>
      </w:r>
      <w:r/>
    </w:p>
    <w:p>
      <w:pPr>
        <w:rPr>
          <w:rFonts w:hint="eastAsia"/>
          <w:sz w:val="24"/>
          <w:szCs w:val="24"/>
          <w:highlight w:val="none"/>
        </w:rPr>
      </w:pPr>
      <w:r>
        <w:rPr>
          <w:rFonts w:hint="eastAsia"/>
          <w:sz w:val="24"/>
          <w:szCs w:val="24"/>
          <w:highlight w:val="none"/>
          <w:lang w:val="en-US" w:eastAsia="zh-CN"/>
        </w:rPr>
        <w:t xml:space="preserve">3.10.1</w:t>
      </w:r>
      <w:r>
        <w:rPr>
          <w:rFonts w:hint="eastAsia"/>
          <w:sz w:val="24"/>
          <w:szCs w:val="24"/>
          <w:highlight w:val="none"/>
        </w:rPr>
        <w:t xml:space="preserve">一体式工业结构设计：适合台面安装，不可拆卸使用；（提供现场安装彩色图片）。</w:t>
      </w:r>
      <w:r/>
    </w:p>
    <w:p>
      <w:pPr>
        <w:rPr>
          <w:rFonts w:hint="eastAsia"/>
          <w:sz w:val="24"/>
          <w:szCs w:val="24"/>
          <w:highlight w:val="none"/>
          <w:lang w:eastAsia="zh-CN"/>
        </w:rPr>
      </w:pPr>
      <w:r>
        <w:rPr>
          <w:rFonts w:hint="eastAsia"/>
          <w:sz w:val="24"/>
          <w:szCs w:val="24"/>
          <w:highlight w:val="none"/>
          <w:lang w:val="en-US" w:eastAsia="zh-CN"/>
        </w:rPr>
        <w:t xml:space="preserve">3.10.2</w:t>
      </w:r>
      <w:r>
        <w:rPr>
          <w:rFonts w:hint="eastAsia"/>
          <w:sz w:val="24"/>
          <w:szCs w:val="24"/>
          <w:highlight w:val="none"/>
        </w:rPr>
        <w:t xml:space="preserve">触摸显示屏≥7寸；显示屏分辨率≥1024*600</w:t>
      </w:r>
      <w:r>
        <w:rPr>
          <w:rFonts w:hint="eastAsia"/>
          <w:sz w:val="24"/>
          <w:szCs w:val="24"/>
          <w:highlight w:val="none"/>
          <w:lang w:eastAsia="zh-CN"/>
        </w:rPr>
        <w:t xml:space="preserve">；</w:t>
      </w:r>
      <w:r>
        <w:rPr>
          <w:rFonts w:hint="eastAsia"/>
          <w:sz w:val="24"/>
          <w:szCs w:val="24"/>
          <w:highlight w:val="none"/>
        </w:rPr>
        <w:t xml:space="preserve">支持RFID、IC卡司机信息卡</w:t>
      </w:r>
      <w:r>
        <w:rPr>
          <w:rFonts w:hint="eastAsia"/>
          <w:sz w:val="24"/>
          <w:szCs w:val="24"/>
          <w:highlight w:val="none"/>
          <w:lang w:eastAsia="zh-CN"/>
        </w:rPr>
        <w:t xml:space="preserve">；</w:t>
      </w:r>
      <w:r>
        <w:rPr>
          <w:rFonts w:hint="eastAsia"/>
          <w:sz w:val="24"/>
          <w:szCs w:val="24"/>
          <w:highlight w:val="none"/>
        </w:rPr>
        <w:t xml:space="preserve">无线通信：支持4G全网通</w:t>
      </w:r>
      <w:r>
        <w:rPr>
          <w:rFonts w:hint="eastAsia"/>
          <w:sz w:val="24"/>
          <w:szCs w:val="24"/>
          <w:highlight w:val="none"/>
          <w:lang w:eastAsia="zh-CN"/>
        </w:rPr>
        <w:t xml:space="preserve">；</w:t>
      </w:r>
      <w:r/>
    </w:p>
    <w:p>
      <w:pPr>
        <w:rPr>
          <w:rFonts w:hint="eastAsia"/>
          <w:sz w:val="24"/>
          <w:szCs w:val="24"/>
          <w:highlight w:val="none"/>
        </w:rPr>
      </w:pPr>
      <w:r>
        <w:rPr>
          <w:rFonts w:hint="eastAsia"/>
          <w:sz w:val="24"/>
          <w:szCs w:val="24"/>
          <w:highlight w:val="none"/>
          <w:lang w:val="en-US" w:eastAsia="zh-CN"/>
        </w:rPr>
        <w:t xml:space="preserve">3.10.3</w:t>
      </w:r>
      <w:r>
        <w:rPr>
          <w:rFonts w:hint="eastAsia"/>
          <w:sz w:val="24"/>
          <w:szCs w:val="24"/>
          <w:highlight w:val="none"/>
        </w:rPr>
        <w:t xml:space="preserve">定位：支持BDS单模板，不得支持其他定位方式。</w:t>
      </w:r>
      <w:r/>
    </w:p>
    <w:p>
      <w:pPr>
        <w:rPr>
          <w:rFonts w:hint="eastAsia"/>
          <w:sz w:val="24"/>
          <w:szCs w:val="24"/>
          <w:highlight w:val="none"/>
        </w:rPr>
      </w:pPr>
      <w:r>
        <w:rPr>
          <w:rFonts w:hint="eastAsia"/>
          <w:sz w:val="24"/>
          <w:szCs w:val="24"/>
          <w:highlight w:val="none"/>
          <w:lang w:val="en-US" w:eastAsia="zh-CN"/>
        </w:rPr>
        <w:t xml:space="preserve">3.10.4</w:t>
      </w:r>
      <w:r>
        <w:rPr>
          <w:rFonts w:hint="eastAsia"/>
          <w:sz w:val="24"/>
          <w:szCs w:val="24"/>
          <w:highlight w:val="none"/>
        </w:rPr>
        <w:t xml:space="preserve">支持VOIP语音通话</w:t>
      </w:r>
      <w:r>
        <w:rPr>
          <w:rFonts w:hint="eastAsia"/>
          <w:sz w:val="24"/>
          <w:szCs w:val="24"/>
          <w:highlight w:val="none"/>
          <w:lang w:eastAsia="zh-CN"/>
        </w:rPr>
        <w:t xml:space="preserve">；</w:t>
      </w:r>
      <w:r>
        <w:rPr>
          <w:rFonts w:hint="eastAsia"/>
          <w:sz w:val="24"/>
          <w:szCs w:val="24"/>
          <w:highlight w:val="none"/>
        </w:rPr>
        <w:t xml:space="preserve">支持安装第三方应用程序，扩展终端行业应用功能</w:t>
      </w:r>
      <w:r>
        <w:rPr>
          <w:rFonts w:hint="eastAsia"/>
          <w:sz w:val="24"/>
          <w:szCs w:val="24"/>
          <w:highlight w:val="none"/>
          <w:lang w:eastAsia="zh-CN"/>
        </w:rPr>
        <w:t xml:space="preserve">；</w:t>
      </w:r>
      <w:r>
        <w:rPr>
          <w:rFonts w:hint="eastAsia"/>
          <w:sz w:val="24"/>
          <w:szCs w:val="24"/>
          <w:highlight w:val="none"/>
        </w:rPr>
        <w:t xml:space="preserve">具备电瓶过放电保护功能；具备过压保护，超过极限电压，立即切断外部电路保护终端。</w:t>
      </w:r>
      <w:r/>
    </w:p>
    <w:p>
      <w:pPr>
        <w:rPr>
          <w:rFonts w:hint="eastAsia"/>
          <w:sz w:val="24"/>
          <w:szCs w:val="24"/>
          <w:highlight w:val="none"/>
        </w:rPr>
      </w:pPr>
      <w:r>
        <w:rPr>
          <w:rFonts w:hint="eastAsia"/>
          <w:sz w:val="24"/>
          <w:szCs w:val="24"/>
          <w:highlight w:val="none"/>
          <w:lang w:val="en-US" w:eastAsia="zh-CN"/>
        </w:rPr>
        <w:t xml:space="preserve">3.10.5</w:t>
      </w:r>
      <w:r>
        <w:rPr>
          <w:rFonts w:hint="eastAsia"/>
          <w:sz w:val="24"/>
          <w:szCs w:val="24"/>
          <w:highlight w:val="none"/>
        </w:rPr>
        <w:t xml:space="preserve">▲具有车辆启动点火检测功能，当车辆熄火后，设备向监控中心发送休眠信号并进入休眠状态，并在下次车辆启动后自动退出休眠状态。休眠状态数据上传频率可由监控中心远程设置或者按照初始化时设置的参数自动持续降低数据上传频率;关闭除无线通信模块外其它不必要设备，卫星定位模块在需要上传时自动唤醒；（提供具有CMA标识的第三方检测机构检测报告，扫描上传）。</w:t>
      </w:r>
      <w:r/>
    </w:p>
    <w:p>
      <w:pPr>
        <w:rPr>
          <w:rFonts w:hint="eastAsia"/>
          <w:sz w:val="24"/>
          <w:szCs w:val="24"/>
          <w:highlight w:val="none"/>
        </w:rPr>
      </w:pPr>
      <w:r>
        <w:rPr>
          <w:rFonts w:hint="eastAsia"/>
          <w:sz w:val="24"/>
          <w:szCs w:val="24"/>
          <w:highlight w:val="none"/>
          <w:lang w:val="en-US" w:eastAsia="zh-CN"/>
        </w:rPr>
        <w:t xml:space="preserve">3.10.6</w:t>
      </w:r>
      <w:r>
        <w:rPr>
          <w:rFonts w:hint="eastAsia"/>
          <w:sz w:val="24"/>
          <w:szCs w:val="24"/>
          <w:highlight w:val="none"/>
        </w:rPr>
        <w:t xml:space="preserve">▲具备电气性能（含电源电压适应性、耐电源极性反接、耐电源过电压性、断电保护性能、低压保护性能等）合格检测报告；（提供具有CMA标识的第三方检测机构检测报告，扫描件上传）。</w:t>
      </w:r>
      <w:r/>
    </w:p>
    <w:p>
      <w:pPr>
        <w:rPr>
          <w:sz w:val="24"/>
          <w:szCs w:val="24"/>
          <w:highlight w:val="none"/>
        </w:rPr>
      </w:pPr>
      <w:r>
        <w:rPr>
          <w:rFonts w:hint="eastAsia"/>
          <w:sz w:val="24"/>
          <w:szCs w:val="24"/>
          <w:highlight w:val="none"/>
          <w:lang w:val="en-US" w:eastAsia="zh-CN"/>
        </w:rPr>
        <w:t xml:space="preserve">3.10.7</w:t>
      </w:r>
      <w:r>
        <w:rPr>
          <w:rFonts w:hint="eastAsia"/>
          <w:sz w:val="24"/>
          <w:szCs w:val="24"/>
          <w:highlight w:val="none"/>
        </w:rPr>
        <w:t xml:space="preserve">原设备损坏后，设备上APP及授权可转移到其他设备上使用。</w:t>
      </w:r>
      <w:r/>
    </w:p>
    <w:p>
      <w:pPr>
        <w:pStyle w:val="678"/>
        <w:rPr>
          <w:rFonts w:hAnsi="宋体"/>
          <w:b/>
          <w:bCs/>
          <w:i w:val="0"/>
          <w:iCs w:val="0"/>
          <w:highlight w:val="none"/>
          <w:u w:val="none"/>
        </w:rPr>
      </w:pPr>
      <w:r>
        <w:rPr>
          <w:rFonts w:hAnsi="宋体"/>
          <w:b/>
          <w:bCs/>
          <w:i w:val="0"/>
          <w:iCs w:val="0"/>
          <w:highlight w:val="none"/>
          <w:u w:val="none"/>
        </w:rPr>
      </w:r>
      <w:r/>
    </w:p>
    <w:p>
      <w:pPr>
        <w:pStyle w:val="678"/>
        <w:rPr>
          <w:rFonts w:hAnsi="宋体"/>
          <w:b/>
          <w:bCs/>
          <w:i w:val="0"/>
          <w:iCs w:val="0"/>
          <w:highlight w:val="none"/>
          <w:u w:val="none"/>
        </w:rPr>
      </w:pPr>
      <w:r>
        <w:rPr>
          <w:rFonts w:hAnsi="宋体"/>
          <w:b/>
          <w:bCs/>
          <w:i w:val="0"/>
          <w:iCs w:val="0"/>
          <w:highlight w:val="none"/>
          <w:u w:val="none"/>
        </w:rPr>
        <w:t xml:space="preserve">3.11</w:t>
      </w:r>
      <w:r>
        <w:rPr>
          <w:rFonts w:hint="eastAsia" w:hAnsi="宋体"/>
          <w:b/>
          <w:bCs/>
          <w:i w:val="0"/>
          <w:iCs w:val="0"/>
          <w:highlight w:val="none"/>
          <w:u w:val="none"/>
          <w:lang w:bidi="ar"/>
        </w:rPr>
        <w:t xml:space="preserve">急救车载监控1</w:t>
      </w:r>
      <w:r>
        <w:rPr>
          <w:rFonts w:hAnsi="宋体"/>
          <w:b/>
          <w:bCs/>
          <w:i w:val="0"/>
          <w:iCs w:val="0"/>
          <w:highlight w:val="none"/>
          <w:u w:val="none"/>
          <w:lang w:bidi="ar"/>
        </w:rPr>
        <w:t xml:space="preserve">0</w:t>
      </w:r>
      <w:r>
        <w:rPr>
          <w:rFonts w:hint="eastAsia" w:hAnsi="宋体"/>
          <w:b/>
          <w:bCs/>
          <w:i w:val="0"/>
          <w:iCs w:val="0"/>
          <w:highlight w:val="none"/>
          <w:u w:val="none"/>
          <w:lang w:bidi="ar"/>
        </w:rPr>
        <w:t xml:space="preserve">套</w:t>
      </w:r>
      <w:r/>
    </w:p>
    <w:p>
      <w:pPr>
        <w:rPr>
          <w:rFonts w:ascii="宋体" w:hAnsi="宋体"/>
          <w:sz w:val="24"/>
          <w:szCs w:val="24"/>
          <w:highlight w:val="none"/>
        </w:rPr>
      </w:pPr>
      <w:r>
        <w:rPr>
          <w:rFonts w:hint="eastAsia" w:ascii="宋体" w:hAnsi="宋体"/>
          <w:sz w:val="24"/>
          <w:szCs w:val="24"/>
          <w:highlight w:val="none"/>
        </w:rPr>
        <w:t xml:space="preserve">设备内置的硬盘盒上带有风扇模块和加热模块；硬盘盒可插拔</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可支持2盘位硬盘(2.5寸),最大可支持4TB,可显示硬盘健康状态</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设备内置硬盘盒支持录像导出,导出平均速度可达50MB/秒以上</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可外接车载键盘,并可用车载键盘对接入的云台进行转动、抓图、录像、变倍、聚焦、亮度、照明等控制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SD卡最大可支持256G,具有在超出存储总容量时记录自动覆盖功能;SD卡可用作备份或存储</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可设置智能编码功能开启或关闭；支持接入H,265、H.264、H,264H、H.264B、MPEG4编码格式的网络视频；支持录像回放,回放最高分辨率为800W (3840× 2160)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配置3个摄像头，2*2T硬盘。</w:t>
      </w:r>
      <w:r/>
    </w:p>
    <w:p>
      <w:pPr>
        <w:rPr>
          <w:rFonts w:hint="eastAsia" w:ascii="宋体" w:hAnsi="宋体"/>
          <w:b/>
          <w:bCs/>
          <w:i w:val="0"/>
          <w:iCs w:val="0"/>
          <w:sz w:val="24"/>
          <w:szCs w:val="24"/>
          <w:highlight w:val="none"/>
          <w:u w:val="none"/>
        </w:rPr>
      </w:pPr>
      <w:r>
        <w:rPr>
          <w:rFonts w:hint="eastAsia"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hint="eastAsia" w:ascii="宋体" w:hAnsi="宋体"/>
          <w:b/>
          <w:bCs/>
          <w:i w:val="0"/>
          <w:iCs w:val="0"/>
          <w:sz w:val="24"/>
          <w:szCs w:val="24"/>
          <w:highlight w:val="none"/>
          <w:u w:val="none"/>
        </w:rPr>
        <w:t xml:space="preserve">3</w:t>
      </w:r>
      <w:r>
        <w:rPr>
          <w:rFonts w:ascii="宋体" w:hAnsi="宋体"/>
          <w:b/>
          <w:bCs/>
          <w:i w:val="0"/>
          <w:iCs w:val="0"/>
          <w:sz w:val="24"/>
          <w:szCs w:val="24"/>
          <w:highlight w:val="none"/>
          <w:u w:val="none"/>
        </w:rPr>
        <w:t xml:space="preserve">.12</w:t>
      </w:r>
      <w:r>
        <w:rPr>
          <w:rFonts w:hint="eastAsia" w:ascii="宋体" w:hAnsi="宋体"/>
          <w:b/>
          <w:bCs/>
          <w:i w:val="0"/>
          <w:iCs w:val="0"/>
          <w:sz w:val="24"/>
          <w:szCs w:val="24"/>
          <w:highlight w:val="none"/>
          <w:u w:val="none"/>
        </w:rPr>
        <w:t xml:space="preserve">电子病历终端1</w:t>
      </w:r>
      <w:r>
        <w:rPr>
          <w:rFonts w:ascii="宋体" w:hAnsi="宋体"/>
          <w:b/>
          <w:bCs/>
          <w:i w:val="0"/>
          <w:iCs w:val="0"/>
          <w:sz w:val="24"/>
          <w:szCs w:val="24"/>
          <w:highlight w:val="none"/>
          <w:u w:val="none"/>
        </w:rPr>
        <w:t xml:space="preserve">0</w:t>
      </w:r>
      <w:r>
        <w:rPr>
          <w:rFonts w:hint="eastAsia" w:ascii="宋体" w:hAnsi="宋体"/>
          <w:b/>
          <w:bCs/>
          <w:i w:val="0"/>
          <w:iCs w:val="0"/>
          <w:sz w:val="24"/>
          <w:szCs w:val="24"/>
          <w:highlight w:val="none"/>
          <w:u w:val="none"/>
        </w:rPr>
        <w:t xml:space="preserve">套</w:t>
      </w:r>
      <w:r/>
    </w:p>
    <w:p>
      <w:pPr>
        <w:jc w:val="left"/>
        <w:rPr>
          <w:rFonts w:hint="eastAsia" w:ascii="宋体" w:hAnsi="宋体"/>
          <w:sz w:val="24"/>
          <w:szCs w:val="24"/>
          <w:highlight w:val="none"/>
        </w:rPr>
      </w:pPr>
      <w:r>
        <w:rPr>
          <w:rFonts w:hint="eastAsia" w:ascii="宋体" w:hAnsi="宋体"/>
          <w:sz w:val="24"/>
          <w:szCs w:val="24"/>
          <w:highlight w:val="none"/>
        </w:rPr>
        <w:t xml:space="preserve">硬件配置：屏幕采用2K直屏，充电67W快充，电池容量5500mAh，运行内存12GB；存储：256GB</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电子病历APP及授权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符合院前急救病历书写规范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需与中心现行调度系统的调度任务关联</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需与中心在用电子病历服务端配套使用</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需与分站电子病历平台互通，无论在两者任何一处填输均可实现自动同步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APP自带中心服务端账号授权。</w:t>
      </w:r>
      <w:r/>
    </w:p>
    <w:p>
      <w:pPr>
        <w:rPr>
          <w:rFonts w:hint="eastAsia" w:ascii="宋体" w:hAnsi="宋体"/>
          <w:b/>
          <w:bCs/>
          <w:i w:val="0"/>
          <w:iCs w:val="0"/>
          <w:sz w:val="24"/>
          <w:szCs w:val="24"/>
          <w:highlight w:val="none"/>
          <w:u w:val="none"/>
        </w:rPr>
      </w:pPr>
      <w:r>
        <w:rPr>
          <w:rFonts w:hint="eastAsia"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hint="eastAsia" w:ascii="宋体" w:hAnsi="宋体"/>
          <w:b/>
          <w:bCs/>
          <w:i w:val="0"/>
          <w:iCs w:val="0"/>
          <w:sz w:val="24"/>
          <w:szCs w:val="24"/>
          <w:highlight w:val="none"/>
          <w:u w:val="none"/>
        </w:rPr>
        <w:t xml:space="preserve">3</w:t>
      </w:r>
      <w:r>
        <w:rPr>
          <w:rFonts w:ascii="宋体" w:hAnsi="宋体"/>
          <w:b/>
          <w:bCs/>
          <w:i w:val="0"/>
          <w:iCs w:val="0"/>
          <w:sz w:val="24"/>
          <w:szCs w:val="24"/>
          <w:highlight w:val="none"/>
          <w:u w:val="none"/>
        </w:rPr>
        <w:t xml:space="preserve">.13</w:t>
      </w:r>
      <w:r>
        <w:rPr>
          <w:rFonts w:hint="eastAsia" w:ascii="宋体" w:hAnsi="宋体"/>
          <w:b/>
          <w:bCs/>
          <w:i w:val="0"/>
          <w:iCs w:val="0"/>
          <w:sz w:val="24"/>
          <w:szCs w:val="24"/>
          <w:highlight w:val="none"/>
          <w:u w:val="none"/>
        </w:rPr>
        <w:t xml:space="preserve">急救联网调度监控1套</w:t>
      </w:r>
      <w:r/>
    </w:p>
    <w:p>
      <w:pPr>
        <w:rPr>
          <w:rFonts w:hint="eastAsia" w:ascii="宋体" w:hAnsi="宋体"/>
          <w:sz w:val="24"/>
          <w:szCs w:val="24"/>
          <w:highlight w:val="none"/>
        </w:rPr>
      </w:pPr>
      <w:r>
        <w:rPr>
          <w:rFonts w:hint="eastAsia" w:ascii="宋体" w:hAnsi="宋体"/>
          <w:sz w:val="24"/>
          <w:szCs w:val="24"/>
          <w:highlight w:val="none"/>
        </w:rPr>
        <w:t xml:space="preserve">图像传感器总像素：</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248万数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最低照度： 彩色：0.05Lux/F1.4 黑白：0.005Lux/F1.4   0Lux（红外灯开启）</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白平衡：自动/手动/跟踪/室外/室内/室外自动/钠灯自动/钠灯</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主码流分辨率及帧率：50Hz:25fps(1920×1080)、50fps(1280×720)、25fps(704×576)、60Hz:30fps(1920×1080)、60fps(1280×720)、30fps(704×480)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子码流分辨率及帧率：50Hz:25fps(704×576)、25fps(352×288)、60Hz:30fps(704×480)、30fps(352×240)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网络协议：IPv4/IPv6,HTTP,HTTPS,802.1x,Qos,FTP,SMTP,UPnP,SNMP,DNS,DDNS,NTP,RTSP,RTP,TCP,UDP,IGMP,ICMP,DHCP,PPPoE。</w:t>
      </w:r>
      <w:r/>
    </w:p>
    <w:p>
      <w:pPr>
        <w:rPr>
          <w:rFonts w:ascii="宋体" w:hAnsi="宋体"/>
          <w:b/>
          <w:bCs/>
          <w:i w:val="0"/>
          <w:iCs w:val="0"/>
          <w:sz w:val="24"/>
          <w:szCs w:val="24"/>
          <w:highlight w:val="none"/>
          <w:u w:val="none"/>
        </w:rPr>
      </w:pPr>
      <w:r>
        <w:rPr>
          <w:rFonts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ascii="宋体" w:hAnsi="宋体"/>
          <w:b/>
          <w:bCs/>
          <w:i w:val="0"/>
          <w:iCs w:val="0"/>
          <w:sz w:val="24"/>
          <w:szCs w:val="24"/>
          <w:highlight w:val="none"/>
          <w:u w:val="none"/>
        </w:rPr>
        <w:t xml:space="preserve">3.14</w:t>
      </w:r>
      <w:r>
        <w:rPr>
          <w:rFonts w:hint="eastAsia" w:ascii="宋体" w:hAnsi="宋体"/>
          <w:b/>
          <w:bCs/>
          <w:i w:val="0"/>
          <w:iCs w:val="0"/>
          <w:sz w:val="24"/>
          <w:szCs w:val="24"/>
          <w:highlight w:val="none"/>
          <w:u w:val="none"/>
        </w:rPr>
        <w:t xml:space="preserve">急救调度打印机1套</w:t>
      </w:r>
      <w:r/>
    </w:p>
    <w:p>
      <w:pPr>
        <w:rPr>
          <w:rFonts w:ascii="宋体" w:hAnsi="宋体"/>
          <w:sz w:val="24"/>
          <w:szCs w:val="24"/>
          <w:highlight w:val="none"/>
        </w:rPr>
      </w:pPr>
      <w:r>
        <w:rPr>
          <w:rFonts w:hint="eastAsia" w:ascii="宋体" w:hAnsi="宋体"/>
          <w:sz w:val="24"/>
          <w:szCs w:val="24"/>
          <w:highlight w:val="none"/>
        </w:rPr>
        <w:t xml:space="preserve">A4幅面、黑白激光、USB接口，网络打印，输出精度≥600dpi。</w:t>
      </w:r>
      <w:r/>
    </w:p>
    <w:p>
      <w:pPr>
        <w:rPr>
          <w:rFonts w:hint="eastAsia" w:ascii="宋体" w:hAnsi="宋体"/>
          <w:b/>
          <w:bCs/>
          <w:i w:val="0"/>
          <w:iCs w:val="0"/>
          <w:sz w:val="24"/>
          <w:szCs w:val="24"/>
          <w:highlight w:val="none"/>
          <w:u w:val="none"/>
        </w:rPr>
      </w:pPr>
      <w:r>
        <w:rPr>
          <w:rFonts w:hint="eastAsia"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hint="eastAsia" w:ascii="宋体" w:hAnsi="宋体"/>
          <w:b/>
          <w:bCs/>
          <w:i w:val="0"/>
          <w:iCs w:val="0"/>
          <w:sz w:val="24"/>
          <w:szCs w:val="24"/>
          <w:highlight w:val="none"/>
          <w:u w:val="none"/>
        </w:rPr>
        <w:t xml:space="preserve">3</w:t>
      </w:r>
      <w:r>
        <w:rPr>
          <w:rFonts w:ascii="宋体" w:hAnsi="宋体"/>
          <w:b/>
          <w:bCs/>
          <w:i w:val="0"/>
          <w:iCs w:val="0"/>
          <w:sz w:val="24"/>
          <w:szCs w:val="24"/>
          <w:highlight w:val="none"/>
          <w:u w:val="none"/>
        </w:rPr>
        <w:t xml:space="preserve">.15</w:t>
      </w:r>
      <w:r>
        <w:rPr>
          <w:rFonts w:hint="eastAsia" w:ascii="宋体" w:hAnsi="宋体"/>
          <w:b/>
          <w:bCs/>
          <w:i w:val="0"/>
          <w:iCs w:val="0"/>
          <w:sz w:val="24"/>
          <w:szCs w:val="24"/>
          <w:highlight w:val="none"/>
          <w:u w:val="none"/>
        </w:rPr>
        <w:t xml:space="preserve">急救调度任务接收终端</w:t>
      </w:r>
      <w:r>
        <w:rPr>
          <w:rFonts w:ascii="宋体" w:hAnsi="宋体"/>
          <w:b/>
          <w:bCs/>
          <w:i w:val="0"/>
          <w:iCs w:val="0"/>
          <w:sz w:val="24"/>
          <w:szCs w:val="24"/>
          <w:highlight w:val="none"/>
          <w:u w:val="none"/>
        </w:rPr>
        <w:t xml:space="preserve">1</w:t>
      </w:r>
      <w:r>
        <w:rPr>
          <w:rFonts w:hint="eastAsia" w:ascii="宋体" w:hAnsi="宋体"/>
          <w:b/>
          <w:bCs/>
          <w:i w:val="0"/>
          <w:iCs w:val="0"/>
          <w:sz w:val="24"/>
          <w:szCs w:val="24"/>
          <w:highlight w:val="none"/>
          <w:u w:val="none"/>
        </w:rPr>
        <w:t xml:space="preserve">套</w:t>
      </w:r>
      <w:r/>
    </w:p>
    <w:p>
      <w:pPr>
        <w:rPr>
          <w:rFonts w:ascii="宋体" w:hAnsi="宋体"/>
          <w:sz w:val="24"/>
          <w:szCs w:val="24"/>
          <w:highlight w:val="none"/>
        </w:rPr>
      </w:pPr>
      <w:r>
        <w:rPr>
          <w:rFonts w:hint="eastAsia" w:ascii="宋体" w:hAnsi="宋体"/>
          <w:sz w:val="24"/>
          <w:szCs w:val="24"/>
          <w:highlight w:val="none"/>
        </w:rPr>
        <w:t xml:space="preserve">处理器需采用板载设计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配置不少于1颗国产C86架构CPU，每颗CPU物理核心数≥8核，每颗CPU主频≥3.0GHz，每颗CPU三级缓存≥16MB，支持超线程技术，线程数量≥16，TDP≤65W，内存≥16G</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固态硬盘≥500GB；千兆网卡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须预装正版国产桌面操作系统(永久授权，原厂3年技术支持服务)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高性能≥23寸以上曲面液晶显示器1台，音箱。</w:t>
      </w:r>
      <w:r/>
    </w:p>
    <w:p>
      <w:pPr>
        <w:pStyle w:val="678"/>
        <w:rPr>
          <w:rFonts w:hint="eastAsia" w:hAnsi="宋体"/>
          <w:b/>
          <w:bCs/>
          <w:i w:val="0"/>
          <w:iCs w:val="0"/>
          <w:highlight w:val="none"/>
          <w:u w:val="none"/>
        </w:rPr>
      </w:pPr>
      <w:r>
        <w:rPr>
          <w:rFonts w:hint="eastAsia" w:hAnsi="宋体"/>
          <w:b/>
          <w:bCs/>
          <w:i w:val="0"/>
          <w:iCs w:val="0"/>
          <w:highlight w:val="none"/>
          <w:u w:val="none"/>
        </w:rPr>
      </w:r>
      <w:r/>
    </w:p>
    <w:p>
      <w:pPr>
        <w:pStyle w:val="678"/>
        <w:rPr>
          <w:rFonts w:hAnsi="宋体"/>
          <w:b/>
          <w:bCs/>
          <w:i w:val="0"/>
          <w:iCs w:val="0"/>
          <w:highlight w:val="none"/>
          <w:u w:val="none"/>
        </w:rPr>
      </w:pPr>
      <w:r>
        <w:rPr>
          <w:rFonts w:hint="eastAsia" w:hAnsi="宋体"/>
          <w:b/>
          <w:bCs/>
          <w:i w:val="0"/>
          <w:iCs w:val="0"/>
          <w:highlight w:val="none"/>
          <w:u w:val="none"/>
        </w:rPr>
        <w:t xml:space="preserve">3</w:t>
      </w:r>
      <w:r>
        <w:rPr>
          <w:rFonts w:hAnsi="宋体"/>
          <w:b/>
          <w:bCs/>
          <w:i w:val="0"/>
          <w:iCs w:val="0"/>
          <w:highlight w:val="none"/>
          <w:u w:val="none"/>
        </w:rPr>
        <w:t xml:space="preserve">.16</w:t>
      </w:r>
      <w:r>
        <w:rPr>
          <w:rFonts w:hint="eastAsia" w:hAnsi="宋体"/>
          <w:b/>
          <w:bCs/>
          <w:i w:val="0"/>
          <w:iCs w:val="0"/>
          <w:highlight w:val="none"/>
          <w:u w:val="none"/>
          <w:lang w:bidi="ar"/>
        </w:rPr>
        <w:t xml:space="preserve">医院急诊预告知联网专用终端1套</w:t>
      </w:r>
      <w:r/>
    </w:p>
    <w:p>
      <w:pPr>
        <w:rPr>
          <w:rFonts w:ascii="宋体" w:hAnsi="宋体"/>
          <w:sz w:val="24"/>
          <w:szCs w:val="24"/>
          <w:highlight w:val="none"/>
        </w:rPr>
      </w:pPr>
      <w:r>
        <w:rPr>
          <w:rFonts w:hint="eastAsia" w:ascii="宋体" w:hAnsi="宋体"/>
          <w:sz w:val="24"/>
          <w:szCs w:val="24"/>
          <w:highlight w:val="none"/>
        </w:rPr>
        <w:t xml:space="preserve">≥75寸触控一体机，预装正版操作系统</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工业工控主板</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内存：≥8G</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硬盘：≥500G固态硬盘。</w:t>
      </w:r>
      <w:r/>
    </w:p>
    <w:p>
      <w:pPr>
        <w:pStyle w:val="678"/>
        <w:rPr>
          <w:rFonts w:hint="eastAsia" w:hAnsi="宋体"/>
          <w:b/>
          <w:bCs/>
          <w:i w:val="0"/>
          <w:iCs w:val="0"/>
          <w:highlight w:val="none"/>
          <w:u w:val="none"/>
        </w:rPr>
      </w:pPr>
      <w:r>
        <w:rPr>
          <w:rFonts w:hint="eastAsia" w:hAnsi="宋体"/>
          <w:b/>
          <w:bCs/>
          <w:i w:val="0"/>
          <w:iCs w:val="0"/>
          <w:highlight w:val="none"/>
          <w:u w:val="none"/>
        </w:rPr>
      </w:r>
      <w:r/>
    </w:p>
    <w:p>
      <w:pPr>
        <w:pStyle w:val="678"/>
        <w:rPr>
          <w:rFonts w:hAnsi="宋体"/>
          <w:b/>
          <w:bCs/>
          <w:i w:val="0"/>
          <w:iCs w:val="0"/>
          <w:highlight w:val="none"/>
          <w:u w:val="none"/>
        </w:rPr>
      </w:pPr>
      <w:r>
        <w:rPr>
          <w:rFonts w:hint="eastAsia" w:hAnsi="宋体"/>
          <w:b/>
          <w:bCs/>
          <w:i w:val="0"/>
          <w:iCs w:val="0"/>
          <w:highlight w:val="none"/>
          <w:u w:val="none"/>
        </w:rPr>
        <w:t xml:space="preserve">3</w:t>
      </w:r>
      <w:r>
        <w:rPr>
          <w:rFonts w:hAnsi="宋体"/>
          <w:b/>
          <w:bCs/>
          <w:i w:val="0"/>
          <w:iCs w:val="0"/>
          <w:highlight w:val="none"/>
          <w:u w:val="none"/>
        </w:rPr>
        <w:t xml:space="preserve">.17</w:t>
      </w:r>
      <w:r>
        <w:rPr>
          <w:rFonts w:hint="eastAsia" w:hAnsi="宋体"/>
          <w:b/>
          <w:bCs/>
          <w:i w:val="0"/>
          <w:iCs w:val="0"/>
          <w:highlight w:val="none"/>
          <w:u w:val="none"/>
          <w:lang w:bidi="ar"/>
        </w:rPr>
        <w:t xml:space="preserve">医用单兵设备1</w:t>
      </w:r>
      <w:r>
        <w:rPr>
          <w:rFonts w:hAnsi="宋体"/>
          <w:b/>
          <w:bCs/>
          <w:i w:val="0"/>
          <w:iCs w:val="0"/>
          <w:highlight w:val="none"/>
          <w:u w:val="none"/>
          <w:lang w:bidi="ar"/>
        </w:rPr>
        <w:t xml:space="preserve">0</w:t>
      </w:r>
      <w:r>
        <w:rPr>
          <w:rFonts w:hint="eastAsia" w:hAnsi="宋体"/>
          <w:b/>
          <w:bCs/>
          <w:i w:val="0"/>
          <w:iCs w:val="0"/>
          <w:highlight w:val="none"/>
          <w:u w:val="none"/>
          <w:lang w:bidi="ar"/>
        </w:rPr>
        <w:t xml:space="preserve">台</w:t>
      </w:r>
      <w:r/>
    </w:p>
    <w:p>
      <w:pPr>
        <w:rPr>
          <w:rFonts w:hint="eastAsia" w:ascii="宋体" w:hAnsi="宋体"/>
          <w:sz w:val="24"/>
          <w:szCs w:val="24"/>
          <w:highlight w:val="none"/>
        </w:rPr>
      </w:pPr>
      <w:r>
        <w:rPr>
          <w:rFonts w:hint="eastAsia" w:ascii="宋体" w:hAnsi="宋体"/>
          <w:sz w:val="24"/>
          <w:szCs w:val="24"/>
          <w:highlight w:val="none"/>
          <w:lang w:val="en-US" w:eastAsia="zh-CN"/>
        </w:rPr>
        <w:t xml:space="preserve">3.17.1</w:t>
      </w:r>
      <w:r>
        <w:rPr>
          <w:rFonts w:hint="eastAsia" w:ascii="宋体" w:hAnsi="宋体"/>
          <w:sz w:val="24"/>
          <w:szCs w:val="24"/>
          <w:highlight w:val="none"/>
        </w:rPr>
        <w:t xml:space="preserve">Android11以上操作系统；≥4G+64G运行内存；支持WIFI和蓝牙</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≥2.4寸IPS全视角高清高亮触摸显示屏。</w:t>
      </w:r>
      <w:r/>
    </w:p>
    <w:p>
      <w:pPr>
        <w:rPr>
          <w:rFonts w:hint="eastAsia" w:ascii="宋体" w:hAnsi="宋体"/>
          <w:sz w:val="24"/>
          <w:szCs w:val="24"/>
          <w:highlight w:val="none"/>
        </w:rPr>
      </w:pPr>
      <w:r>
        <w:rPr>
          <w:rFonts w:hint="eastAsia" w:ascii="宋体" w:hAnsi="宋体"/>
          <w:sz w:val="24"/>
          <w:szCs w:val="24"/>
          <w:highlight w:val="none"/>
          <w:lang w:val="en-US" w:eastAsia="zh-CN"/>
        </w:rPr>
        <w:t xml:space="preserve">3.17.2</w:t>
      </w:r>
      <w:r>
        <w:rPr>
          <w:rFonts w:hint="eastAsia" w:ascii="宋体" w:hAnsi="宋体"/>
          <w:sz w:val="24"/>
          <w:szCs w:val="24"/>
          <w:highlight w:val="none"/>
        </w:rPr>
        <w:t xml:space="preserve">▲摄像头：设备具备≥3个摄像头，至少具有一个微云台防抖摄像头和一个红外摄像头。（提供承诺函，承诺提供的设备能够满足招标文件要求）。</w:t>
      </w:r>
      <w:r/>
    </w:p>
    <w:p>
      <w:pPr>
        <w:rPr>
          <w:rFonts w:hint="eastAsia" w:ascii="宋体" w:hAnsi="宋体"/>
          <w:sz w:val="24"/>
          <w:szCs w:val="24"/>
          <w:highlight w:val="none"/>
        </w:rPr>
      </w:pPr>
      <w:r>
        <w:rPr>
          <w:rFonts w:hint="eastAsia" w:ascii="宋体" w:hAnsi="宋体"/>
          <w:sz w:val="24"/>
          <w:szCs w:val="24"/>
          <w:highlight w:val="none"/>
          <w:lang w:val="en-US" w:eastAsia="zh-CN"/>
        </w:rPr>
        <w:t xml:space="preserve">3.17.3</w:t>
      </w:r>
      <w:r>
        <w:rPr>
          <w:rFonts w:hint="eastAsia" w:ascii="宋体" w:hAnsi="宋体"/>
          <w:sz w:val="24"/>
          <w:szCs w:val="24"/>
          <w:highlight w:val="none"/>
        </w:rPr>
        <w:t xml:space="preserve">▲防抖功能：设备同时支持微云台机械防抖功能和 EIS 电子防抖功能，且设备在1Hz振动频率、振动幅度 ≥6°条件下，同一位置点在视音频信息中的最大振动像素差应≤10 像素。（提供承诺函，承诺提供的设备能够满足招标文件要求）。</w:t>
      </w:r>
      <w:r/>
    </w:p>
    <w:p>
      <w:pPr>
        <w:rPr>
          <w:rFonts w:ascii="宋体" w:hAnsi="宋体"/>
          <w:sz w:val="24"/>
          <w:szCs w:val="24"/>
          <w:highlight w:val="none"/>
        </w:rPr>
      </w:pPr>
      <w:r>
        <w:rPr>
          <w:rFonts w:hint="eastAsia" w:ascii="宋体" w:hAnsi="宋体"/>
          <w:sz w:val="24"/>
          <w:szCs w:val="24"/>
          <w:highlight w:val="none"/>
          <w:lang w:val="en-US" w:eastAsia="zh-CN"/>
        </w:rPr>
        <w:t xml:space="preserve">3.17.4</w:t>
      </w:r>
      <w:r>
        <w:rPr>
          <w:rFonts w:hint="eastAsia" w:ascii="宋体" w:hAnsi="宋体"/>
          <w:sz w:val="24"/>
          <w:szCs w:val="24"/>
          <w:highlight w:val="none"/>
        </w:rPr>
        <w:t xml:space="preserve">▲防抖摄录功能：设备支持在预览界面和打开录像状态下，自动开启微云台防抖功能，在微云台作用下摄像头向不同方向运动并保持平衡。（提供承诺函，承诺提供的设备能够满足招标文件要求）。</w:t>
      </w:r>
      <w:r/>
    </w:p>
    <w:p>
      <w:pPr>
        <w:rPr>
          <w:rFonts w:hint="eastAsia" w:ascii="宋体" w:hAnsi="宋体"/>
          <w:b/>
          <w:bCs/>
          <w:i w:val="0"/>
          <w:iCs w:val="0"/>
          <w:sz w:val="24"/>
          <w:szCs w:val="24"/>
          <w:highlight w:val="none"/>
          <w:u w:val="none"/>
        </w:rPr>
      </w:pPr>
      <w:r>
        <w:rPr>
          <w:rFonts w:hint="eastAsia"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hint="eastAsia" w:ascii="宋体" w:hAnsi="宋体"/>
          <w:b/>
          <w:bCs/>
          <w:i w:val="0"/>
          <w:iCs w:val="0"/>
          <w:sz w:val="24"/>
          <w:szCs w:val="24"/>
          <w:highlight w:val="none"/>
          <w:u w:val="none"/>
        </w:rPr>
        <w:t xml:space="preserve">3</w:t>
      </w:r>
      <w:r>
        <w:rPr>
          <w:rFonts w:ascii="宋体" w:hAnsi="宋体"/>
          <w:b/>
          <w:bCs/>
          <w:i w:val="0"/>
          <w:iCs w:val="0"/>
          <w:sz w:val="24"/>
          <w:szCs w:val="24"/>
          <w:highlight w:val="none"/>
          <w:u w:val="none"/>
        </w:rPr>
        <w:t xml:space="preserve">.18</w:t>
      </w:r>
      <w:r>
        <w:rPr>
          <w:rFonts w:hint="eastAsia" w:ascii="宋体" w:hAnsi="宋体"/>
          <w:b/>
          <w:bCs/>
          <w:i w:val="0"/>
          <w:iCs w:val="0"/>
          <w:sz w:val="24"/>
          <w:szCs w:val="24"/>
          <w:highlight w:val="none"/>
          <w:u w:val="none"/>
        </w:rPr>
        <w:t xml:space="preserve">采集站1套</w:t>
      </w:r>
      <w:r/>
    </w:p>
    <w:p>
      <w:pPr>
        <w:rPr>
          <w:rFonts w:ascii="宋体" w:hAnsi="宋体"/>
          <w:sz w:val="24"/>
          <w:szCs w:val="24"/>
          <w:highlight w:val="none"/>
        </w:rPr>
      </w:pPr>
      <w:r>
        <w:rPr>
          <w:rFonts w:hint="eastAsia" w:ascii="宋体" w:hAnsi="宋体"/>
          <w:sz w:val="24"/>
          <w:szCs w:val="24"/>
          <w:highlight w:val="none"/>
        </w:rPr>
        <w:t xml:space="preserve">采集站，高清触摸液晶屏≥10.1英寸，硬盘位≥2个，支持Mini/Micro/typeC- USB *≥10口高速采集</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含≥4T存储</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与急救音视频平台配套使用，支持执法记录仪音视频数据采集，查询、播放、下载等。</w:t>
      </w:r>
      <w:r/>
    </w:p>
    <w:p>
      <w:pPr>
        <w:rPr>
          <w:rFonts w:hint="eastAsia" w:ascii="宋体" w:hAnsi="宋体"/>
          <w:b/>
          <w:bCs/>
          <w:i w:val="0"/>
          <w:iCs w:val="0"/>
          <w:sz w:val="24"/>
          <w:szCs w:val="24"/>
          <w:highlight w:val="none"/>
          <w:u w:val="none"/>
        </w:rPr>
      </w:pPr>
      <w:r>
        <w:rPr>
          <w:rFonts w:hint="eastAsia"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hint="eastAsia" w:ascii="宋体" w:hAnsi="宋体"/>
          <w:b/>
          <w:bCs/>
          <w:i w:val="0"/>
          <w:iCs w:val="0"/>
          <w:sz w:val="24"/>
          <w:szCs w:val="24"/>
          <w:highlight w:val="none"/>
          <w:u w:val="none"/>
        </w:rPr>
        <w:t xml:space="preserve">3</w:t>
      </w:r>
      <w:r>
        <w:rPr>
          <w:rFonts w:ascii="宋体" w:hAnsi="宋体"/>
          <w:b/>
          <w:bCs/>
          <w:i w:val="0"/>
          <w:iCs w:val="0"/>
          <w:sz w:val="24"/>
          <w:szCs w:val="24"/>
          <w:highlight w:val="none"/>
          <w:u w:val="none"/>
        </w:rPr>
        <w:t xml:space="preserve">.19</w:t>
      </w:r>
      <w:r>
        <w:rPr>
          <w:rFonts w:hint="eastAsia" w:ascii="宋体" w:hAnsi="宋体"/>
          <w:b/>
          <w:bCs/>
          <w:i w:val="0"/>
          <w:iCs w:val="0"/>
          <w:sz w:val="24"/>
          <w:szCs w:val="24"/>
          <w:highlight w:val="none"/>
          <w:u w:val="none"/>
        </w:rPr>
        <w:t xml:space="preserve">领导指挥终端PAD</w:t>
      </w:r>
      <w:r>
        <w:rPr>
          <w:rFonts w:ascii="宋体" w:hAnsi="宋体"/>
          <w:b/>
          <w:bCs/>
          <w:i w:val="0"/>
          <w:iCs w:val="0"/>
          <w:sz w:val="24"/>
          <w:szCs w:val="24"/>
          <w:highlight w:val="none"/>
          <w:u w:val="none"/>
        </w:rPr>
        <w:t xml:space="preserve">1</w:t>
      </w:r>
      <w:r>
        <w:rPr>
          <w:rFonts w:hint="eastAsia" w:ascii="宋体" w:hAnsi="宋体"/>
          <w:b/>
          <w:bCs/>
          <w:i w:val="0"/>
          <w:iCs w:val="0"/>
          <w:sz w:val="24"/>
          <w:szCs w:val="24"/>
          <w:highlight w:val="none"/>
          <w:u w:val="none"/>
        </w:rPr>
        <w:t xml:space="preserve">套</w:t>
      </w:r>
      <w:r/>
    </w:p>
    <w:p>
      <w:pPr>
        <w:rPr>
          <w:rFonts w:ascii="宋体" w:hAnsi="宋体"/>
          <w:sz w:val="24"/>
          <w:szCs w:val="24"/>
          <w:highlight w:val="none"/>
        </w:rPr>
      </w:pPr>
      <w:r>
        <w:rPr>
          <w:rFonts w:hint="eastAsia" w:ascii="宋体" w:hAnsi="宋体"/>
          <w:sz w:val="24"/>
          <w:szCs w:val="24"/>
          <w:highlight w:val="none"/>
        </w:rPr>
        <w:t xml:space="preserve">5G全网通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处理器不低于2.2HZ</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运行内存8G</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存储内存256G</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电池≥7000mAh</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工作温度：-20℃~+60℃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含定制保护壳。</w:t>
      </w:r>
      <w:r/>
    </w:p>
    <w:p>
      <w:pPr>
        <w:rPr>
          <w:rFonts w:hint="eastAsia" w:ascii="宋体" w:hAnsi="宋体"/>
          <w:b/>
          <w:bCs/>
          <w:i w:val="0"/>
          <w:iCs w:val="0"/>
          <w:sz w:val="24"/>
          <w:szCs w:val="24"/>
          <w:highlight w:val="none"/>
          <w:u w:val="none"/>
        </w:rPr>
      </w:pPr>
      <w:r>
        <w:rPr>
          <w:rFonts w:hint="eastAsia" w:ascii="宋体" w:hAnsi="宋体"/>
          <w:b/>
          <w:bCs/>
          <w:i w:val="0"/>
          <w:iCs w:val="0"/>
          <w:sz w:val="24"/>
          <w:szCs w:val="24"/>
          <w:highlight w:val="none"/>
          <w:u w:val="none"/>
        </w:rPr>
      </w:r>
      <w:r/>
    </w:p>
    <w:p>
      <w:pPr>
        <w:rPr>
          <w:rFonts w:ascii="宋体" w:hAnsi="宋体"/>
          <w:b/>
          <w:bCs/>
          <w:i w:val="0"/>
          <w:iCs w:val="0"/>
          <w:sz w:val="24"/>
          <w:szCs w:val="24"/>
          <w:highlight w:val="none"/>
          <w:u w:val="none"/>
        </w:rPr>
      </w:pPr>
      <w:r>
        <w:rPr>
          <w:rFonts w:hint="eastAsia" w:ascii="宋体" w:hAnsi="宋体"/>
          <w:b/>
          <w:bCs/>
          <w:i w:val="0"/>
          <w:iCs w:val="0"/>
          <w:sz w:val="24"/>
          <w:szCs w:val="24"/>
          <w:highlight w:val="none"/>
          <w:u w:val="none"/>
        </w:rPr>
        <w:t xml:space="preserve">3</w:t>
      </w:r>
      <w:r>
        <w:rPr>
          <w:rFonts w:ascii="宋体" w:hAnsi="宋体"/>
          <w:b/>
          <w:bCs/>
          <w:i w:val="0"/>
          <w:iCs w:val="0"/>
          <w:sz w:val="24"/>
          <w:szCs w:val="24"/>
          <w:highlight w:val="none"/>
          <w:u w:val="none"/>
        </w:rPr>
        <w:t xml:space="preserve">.20</w:t>
      </w:r>
      <w:r>
        <w:rPr>
          <w:rFonts w:hint="eastAsia" w:ascii="宋体" w:hAnsi="宋体"/>
          <w:b/>
          <w:bCs/>
          <w:i w:val="0"/>
          <w:iCs w:val="0"/>
          <w:sz w:val="24"/>
          <w:szCs w:val="24"/>
          <w:highlight w:val="none"/>
          <w:u w:val="none"/>
        </w:rPr>
        <w:t xml:space="preserve">领导指挥终端1套</w:t>
      </w:r>
      <w:r/>
    </w:p>
    <w:p>
      <w:pPr>
        <w:rPr>
          <w:rFonts w:ascii="宋体" w:hAnsi="宋体"/>
          <w:sz w:val="24"/>
          <w:szCs w:val="24"/>
          <w:highlight w:val="none"/>
        </w:rPr>
      </w:pPr>
      <w:r>
        <w:rPr>
          <w:rFonts w:hint="eastAsia" w:ascii="宋体" w:hAnsi="宋体"/>
          <w:sz w:val="24"/>
          <w:szCs w:val="24"/>
          <w:highlight w:val="none"/>
        </w:rPr>
        <w:t xml:space="preserve">CPU主频≥2.6GHz</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最高睿频≥ 5GHz运行流畅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核心/线程数 ≥十二线程多任务运行强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三级缓存≥12MB</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内存容量≥16GB运行流畅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硬盘容量≥256GB</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硬盘描述 SSD固态硬盘</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屏幕类型 IPS</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屏幕尺寸≥15.6英寸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显示比例 16:9</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屏幕分辨率≥1920x1080全高清屏</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屏幕刷新率≥60Hz</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内置扬声器</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内置麦克风</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无线网卡 WiFi6，支持802.11ax无线协议，支持双频（2.4GHz+5GHz）</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支持蓝牙。</w:t>
      </w:r>
      <w:r/>
    </w:p>
    <w:p>
      <w:pPr>
        <w:rPr>
          <w:highlight w:val="none"/>
        </w:rPr>
      </w:pPr>
      <w:r>
        <w:rPr>
          <w:highlight w:val="none"/>
        </w:rPr>
      </w:r>
      <w:r/>
    </w:p>
    <w:p>
      <w:pPr>
        <w:pStyle w:val="678"/>
        <w:rPr>
          <w:highlight w:val="none"/>
        </w:rPr>
      </w:pPr>
      <w:r>
        <w:rPr>
          <w:highlight w:val="none"/>
        </w:rPr>
      </w:r>
      <w:r/>
    </w:p>
    <w:p>
      <w:pPr>
        <w:rPr>
          <w:rFonts w:hint="eastAsia"/>
          <w:sz w:val="24"/>
          <w:szCs w:val="24"/>
          <w:highlight w:val="none"/>
        </w:rPr>
      </w:pPr>
      <w:r>
        <w:rPr>
          <w:rFonts w:hint="eastAsia"/>
          <w:sz w:val="24"/>
          <w:szCs w:val="24"/>
          <w:highlight w:val="none"/>
        </w:rPr>
      </w:r>
      <w:r/>
    </w:p>
    <w:p>
      <w:pPr>
        <w:keepLines/>
        <w:keepNext/>
        <w:spacing w:before="120" w:after="120"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四、商务要求</w:t>
      </w:r>
      <w:r/>
    </w:p>
    <w:p>
      <w:pPr>
        <w:pStyle w:val="678"/>
        <w:rPr>
          <w:highlight w:val="none"/>
        </w:rPr>
      </w:pPr>
      <w:r>
        <w:rPr>
          <w:rFonts w:hint="eastAsia"/>
          <w:highlight w:val="none"/>
        </w:rPr>
        <w:t xml:space="preserve">下列条款中甲方为：宝应县人民医院，乙方为：本项目的中标投标人</w:t>
      </w:r>
      <w:r/>
    </w:p>
    <w:p>
      <w:pPr>
        <w:pStyle w:val="678"/>
        <w:rPr>
          <w:color w:val="auto"/>
          <w:highlight w:val="none"/>
        </w:rPr>
      </w:pPr>
      <w:r>
        <w:rPr>
          <w:color w:val="auto"/>
          <w:highlight w:val="none"/>
        </w:rPr>
        <w:t xml:space="preserve">4</w:t>
      </w:r>
      <w:r>
        <w:rPr>
          <w:rFonts w:hint="eastAsia"/>
          <w:color w:val="auto"/>
          <w:highlight w:val="none"/>
        </w:rPr>
        <w:t xml:space="preserve">.1★交货期：自合同签订之日起3个月内完成开发调试进入试运行阶段，并稳定运行1个月；验收时间：系统试运行满30天</w:t>
      </w:r>
      <w:r>
        <w:rPr>
          <w:color w:val="auto"/>
          <w:highlight w:val="none"/>
        </w:rPr>
        <w:t xml:space="preserve">；</w:t>
      </w:r>
      <w:r>
        <w:rPr>
          <w:rFonts w:hint="eastAsia"/>
          <w:color w:val="auto"/>
          <w:highlight w:val="none"/>
        </w:rPr>
        <w:t xml:space="preserve">验收标准：符合招标文件及合同要求</w:t>
      </w:r>
      <w:r>
        <w:rPr>
          <w:color w:val="auto"/>
          <w:highlight w:val="none"/>
        </w:rPr>
        <w:t xml:space="preserve">。</w:t>
      </w:r>
      <w:r/>
    </w:p>
    <w:p>
      <w:pPr>
        <w:pStyle w:val="678"/>
        <w:rPr>
          <w:highlight w:val="none"/>
        </w:rPr>
      </w:pPr>
      <w:r>
        <w:rPr>
          <w:highlight w:val="none"/>
        </w:rPr>
        <w:t xml:space="preserve">4</w:t>
      </w:r>
      <w:r>
        <w:rPr>
          <w:rFonts w:hint="eastAsia"/>
          <w:highlight w:val="none"/>
        </w:rPr>
        <w:t xml:space="preserve">.2</w:t>
      </w:r>
      <w:r>
        <w:rPr>
          <w:rFonts w:hint="eastAsia"/>
          <w:color w:val="auto"/>
          <w:highlight w:val="none"/>
        </w:rPr>
        <w:t xml:space="preserve">★</w:t>
      </w:r>
      <w:r>
        <w:rPr>
          <w:rFonts w:hint="eastAsia"/>
          <w:highlight w:val="none"/>
        </w:rPr>
        <w:t xml:space="preserve">交货地点：</w:t>
      </w:r>
      <w:r>
        <w:rPr>
          <w:rFonts w:hint="eastAsia" w:hAnsi="宋体"/>
          <w:highlight w:val="none"/>
        </w:rPr>
        <w:t xml:space="preserve">宝应县人民医院</w:t>
      </w:r>
      <w:r/>
    </w:p>
    <w:p>
      <w:pPr>
        <w:pStyle w:val="678"/>
        <w:rPr>
          <w:rFonts w:hint="eastAsia"/>
          <w:color w:val="auto"/>
          <w:highlight w:val="none"/>
        </w:rPr>
      </w:pPr>
      <w:r>
        <w:rPr>
          <w:color w:val="auto"/>
          <w:highlight w:val="none"/>
        </w:rPr>
        <w:t xml:space="preserve">4</w:t>
      </w:r>
      <w:r>
        <w:rPr>
          <w:rFonts w:hint="eastAsia"/>
          <w:color w:val="auto"/>
          <w:highlight w:val="none"/>
        </w:rPr>
        <w:t xml:space="preserve">.3★付款条件：</w:t>
      </w:r>
      <w:r>
        <w:rPr>
          <w:rFonts w:hint="eastAsia" w:ascii="宋体" w:hAnsi="宋体" w:cs="宋体"/>
          <w:sz w:val="24"/>
          <w:szCs w:val="24"/>
          <w:highlight w:val="none"/>
        </w:rPr>
        <w:t xml:space="preserve">合同签订后且乙方向甲方出具发票后，甲方</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个工作日内支付合同款的30%，项目验收合格后，</w:t>
      </w:r>
      <w:r>
        <w:rPr>
          <w:rFonts w:hint="eastAsia" w:ascii="宋体" w:hAnsi="宋体" w:cs="宋体"/>
          <w:sz w:val="24"/>
          <w:szCs w:val="24"/>
          <w:highlight w:val="none"/>
          <w:lang w:val="en-US" w:eastAsia="zh-CN"/>
        </w:rPr>
        <w:t xml:space="preserve">且甲方收到乙方开具的等额发票</w:t>
      </w:r>
      <w:r>
        <w:rPr>
          <w:rFonts w:hint="eastAsia" w:hAnsi="宋体" w:cs="宋体"/>
          <w:sz w:val="24"/>
          <w:szCs w:val="24"/>
          <w:highlight w:val="none"/>
          <w:lang w:val="en-US" w:eastAsia="zh-CN"/>
        </w:rPr>
        <w:t xml:space="preserve">10</w:t>
      </w:r>
      <w:r>
        <w:rPr>
          <w:rFonts w:hint="eastAsia" w:ascii="宋体" w:hAnsi="宋体" w:cs="宋体"/>
          <w:sz w:val="24"/>
          <w:szCs w:val="24"/>
          <w:highlight w:val="none"/>
          <w:lang w:val="en-US" w:eastAsia="zh-CN"/>
        </w:rPr>
        <w:t xml:space="preserve">个工作日内，</w:t>
      </w:r>
      <w:r>
        <w:rPr>
          <w:rFonts w:hint="eastAsia" w:ascii="宋体" w:hAnsi="宋体" w:cs="宋体"/>
          <w:sz w:val="24"/>
          <w:szCs w:val="24"/>
          <w:highlight w:val="none"/>
        </w:rPr>
        <w:t xml:space="preserve">甲方</w:t>
      </w:r>
      <w:r>
        <w:rPr>
          <w:rFonts w:hint="eastAsia" w:ascii="宋体" w:hAnsi="宋体" w:cs="宋体"/>
          <w:sz w:val="24"/>
          <w:szCs w:val="24"/>
          <w:highlight w:val="none"/>
          <w:lang w:val="en-US" w:eastAsia="zh-CN"/>
        </w:rPr>
        <w:t xml:space="preserve">一次性</w:t>
      </w:r>
      <w:r>
        <w:rPr>
          <w:rFonts w:hint="eastAsia" w:ascii="宋体" w:hAnsi="宋体" w:cs="宋体"/>
          <w:sz w:val="24"/>
          <w:szCs w:val="24"/>
          <w:highlight w:val="none"/>
        </w:rPr>
        <w:t xml:space="preserve">支付合同款的</w:t>
      </w:r>
      <w:r>
        <w:rPr>
          <w:rFonts w:hint="eastAsia" w:ascii="宋体" w:hAnsi="宋体" w:cs="宋体"/>
          <w:sz w:val="24"/>
          <w:szCs w:val="24"/>
          <w:highlight w:val="none"/>
          <w:lang w:val="en-US" w:eastAsia="zh-CN"/>
        </w:rPr>
        <w:t xml:space="preserve">70%</w:t>
      </w:r>
      <w:r>
        <w:rPr>
          <w:rFonts w:hint="eastAsia"/>
          <w:color w:val="auto"/>
          <w:highlight w:val="none"/>
        </w:rPr>
        <w:t xml:space="preserve">。</w:t>
      </w:r>
      <w:r/>
    </w:p>
    <w:p>
      <w:pPr>
        <w:pStyle w:val="678"/>
        <w:rPr>
          <w:highlight w:val="none"/>
        </w:rPr>
      </w:pPr>
      <w:r>
        <w:rPr>
          <w:highlight w:val="none"/>
        </w:rPr>
        <w:t xml:space="preserve">4</w:t>
      </w:r>
      <w:r>
        <w:rPr>
          <w:rFonts w:hint="eastAsia"/>
          <w:highlight w:val="none"/>
        </w:rPr>
        <w:t xml:space="preserve">.4包装和运输：</w:t>
      </w:r>
      <w:r/>
    </w:p>
    <w:p>
      <w:pPr>
        <w:pStyle w:val="678"/>
        <w:rPr>
          <w:highlight w:val="none"/>
        </w:rPr>
      </w:pPr>
      <w:r>
        <w:rPr>
          <w:rFonts w:hint="eastAsia"/>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highlight w:val="none"/>
          <w:lang w:eastAsia="zh-CN"/>
        </w:rPr>
        <w:t xml:space="preserve">；</w:t>
      </w:r>
      <w:r>
        <w:rPr>
          <w:rFonts w:hint="eastAsia"/>
          <w:highlight w:val="none"/>
        </w:rPr>
        <w:t xml:space="preserve">使用说明书、质量检验证明书、随配附件和工具以及清单一并附于货物内</w:t>
      </w:r>
      <w:r>
        <w:rPr>
          <w:rFonts w:hint="eastAsia"/>
          <w:highlight w:val="none"/>
          <w:lang w:eastAsia="zh-CN"/>
        </w:rPr>
        <w:t xml:space="preserve">；</w:t>
      </w:r>
      <w:r>
        <w:rPr>
          <w:rFonts w:hint="eastAsia"/>
          <w:highlight w:val="none"/>
        </w:rPr>
        <w:t xml:space="preserve">乙方在货物发运手续办理完毕后24小时内或货到甲方48小时前通知甲方，以准备接货</w:t>
      </w:r>
      <w:r>
        <w:rPr>
          <w:rFonts w:hint="eastAsia"/>
          <w:highlight w:val="none"/>
          <w:lang w:eastAsia="zh-CN"/>
        </w:rPr>
        <w:t xml:space="preserve">；</w:t>
      </w:r>
      <w:r>
        <w:rPr>
          <w:rFonts w:hint="eastAsia"/>
          <w:highlight w:val="none"/>
        </w:rPr>
        <w:t xml:space="preserve">货物在交付甲方前发生的风险均由乙方负责。</w:t>
      </w:r>
      <w:r/>
    </w:p>
    <w:p>
      <w:pPr>
        <w:pStyle w:val="678"/>
        <w:rPr>
          <w:highlight w:val="none"/>
        </w:rPr>
      </w:pPr>
      <w:r>
        <w:rPr>
          <w:highlight w:val="none"/>
        </w:rPr>
        <w:t xml:space="preserve">4</w:t>
      </w:r>
      <w:r>
        <w:rPr>
          <w:rFonts w:hint="eastAsia"/>
          <w:highlight w:val="none"/>
        </w:rPr>
        <w:t xml:space="preserve">.5售后服务：</w:t>
      </w:r>
      <w:r/>
    </w:p>
    <w:p>
      <w:pPr>
        <w:pStyle w:val="678"/>
        <w:rPr>
          <w:highlight w:val="none"/>
        </w:rPr>
      </w:pPr>
      <w:r>
        <w:rPr>
          <w:rFonts w:hint="eastAsia"/>
          <w:highlight w:val="none"/>
          <w:lang w:val="en-US" w:eastAsia="zh-CN"/>
        </w:rPr>
        <w:t xml:space="preserve">4.5.1</w:t>
      </w:r>
      <w:r>
        <w:rPr>
          <w:rFonts w:hint="eastAsia"/>
          <w:highlight w:val="none"/>
        </w:rPr>
        <w:t xml:space="preserve">乙方应按招标文件规定的货物性能、技术要求、质量标准向甲方提供未经使用的全新产品</w:t>
      </w:r>
      <w:r>
        <w:rPr>
          <w:rFonts w:hint="eastAsia"/>
          <w:highlight w:val="none"/>
          <w:lang w:eastAsia="zh-CN"/>
        </w:rPr>
        <w:t xml:space="preserve">；</w:t>
      </w:r>
      <w:r>
        <w:rPr>
          <w:rFonts w:hint="eastAsia"/>
          <w:highlight w:val="none"/>
        </w:rPr>
        <w:t xml:space="preserve">乙方提供的货物在质量期内因货物本身的质量问题发生故障，乙方应负责免费更换。对达不到技术要求者，根据实际情况，经双方协商，可按以下办法处理</w:t>
      </w:r>
      <w:r>
        <w:rPr>
          <w:rFonts w:hint="eastAsia"/>
          <w:highlight w:val="none"/>
          <w:lang w:eastAsia="zh-CN"/>
        </w:rPr>
        <w:t xml:space="preserve">；</w:t>
      </w:r>
      <w:r>
        <w:rPr>
          <w:rFonts w:hint="eastAsia"/>
          <w:highlight w:val="none"/>
        </w:rPr>
        <w:t xml:space="preserve">更换：由乙方承担所发生的全部费用</w:t>
      </w:r>
      <w:r>
        <w:rPr>
          <w:rFonts w:hint="eastAsia"/>
          <w:highlight w:val="none"/>
          <w:lang w:eastAsia="zh-CN"/>
        </w:rPr>
        <w:t xml:space="preserve">；</w:t>
      </w:r>
      <w:r>
        <w:rPr>
          <w:rFonts w:hint="eastAsia"/>
          <w:highlight w:val="none"/>
        </w:rPr>
        <w:t xml:space="preserve">贬值处理：由甲乙双方合议定价。</w:t>
      </w:r>
      <w:r/>
    </w:p>
    <w:p>
      <w:pPr>
        <w:pStyle w:val="678"/>
        <w:rPr>
          <w:highlight w:val="none"/>
        </w:rPr>
      </w:pPr>
      <w:r>
        <w:rPr>
          <w:rFonts w:hint="eastAsia"/>
          <w:highlight w:val="none"/>
        </w:rPr>
        <w:t xml:space="preserve">⑶退货处理：乙方应退还甲方支付的合同款，同时应承担该货物的直接费用（运输、保险、检验、货款利息及银行手续费等）</w:t>
      </w:r>
      <w:r>
        <w:rPr>
          <w:rFonts w:hint="eastAsia"/>
          <w:highlight w:val="none"/>
          <w:lang w:eastAsia="zh-CN"/>
        </w:rPr>
        <w:t xml:space="preserve">；</w:t>
      </w:r>
      <w:r>
        <w:rPr>
          <w:rFonts w:hint="eastAsia"/>
          <w:highlight w:val="none"/>
        </w:rPr>
        <w:t xml:space="preserve">如在使用过程中发生质量问题，乙方在接到甲方通知后在</w:t>
      </w:r>
      <w:r>
        <w:rPr>
          <w:highlight w:val="none"/>
        </w:rPr>
        <w:t xml:space="preserve">48</w:t>
      </w:r>
      <w:r>
        <w:rPr>
          <w:rFonts w:hint="eastAsia"/>
          <w:highlight w:val="none"/>
        </w:rPr>
        <w:t xml:space="preserve">小时内到达甲方现场</w:t>
      </w:r>
      <w:r>
        <w:rPr>
          <w:rFonts w:hint="eastAsia"/>
          <w:highlight w:val="none"/>
          <w:lang w:eastAsia="zh-CN"/>
        </w:rPr>
        <w:t xml:space="preserve">。</w:t>
      </w:r>
      <w:r>
        <w:rPr>
          <w:rFonts w:hint="eastAsia"/>
          <w:highlight w:val="none"/>
        </w:rPr>
        <w:t xml:space="preserve">在质保期内，乙方应对货物出现的质量及安全问题负责处理解决并承担一切费用。</w:t>
      </w:r>
      <w:r/>
    </w:p>
    <w:p>
      <w:pPr>
        <w:pStyle w:val="678"/>
        <w:rPr>
          <w:rFonts w:hint="default" w:eastAsia="宋体"/>
          <w:highlight w:val="none"/>
          <w:lang w:val="en-US" w:eastAsia="zh-CN"/>
        </w:rPr>
      </w:pPr>
      <w:r>
        <w:rPr>
          <w:rFonts w:hint="eastAsia"/>
          <w:highlight w:val="none"/>
        </w:rPr>
        <w:t xml:space="preserve">4.5.</w:t>
      </w:r>
      <w:r>
        <w:rPr>
          <w:rFonts w:hint="eastAsia"/>
          <w:highlight w:val="none"/>
          <w:lang w:val="en-US" w:eastAsia="zh-CN"/>
        </w:rPr>
        <w:t xml:space="preserve">2</w:t>
      </w:r>
      <w:r>
        <w:rPr>
          <w:rFonts w:hint="eastAsia"/>
          <w:highlight w:val="none"/>
        </w:rPr>
        <w:t xml:space="preserve">★</w:t>
      </w:r>
      <w:r>
        <w:rPr>
          <w:rFonts w:hint="eastAsia"/>
          <w:highlight w:val="none"/>
          <w:lang w:val="en-US" w:eastAsia="zh-CN"/>
        </w:rPr>
        <w:t xml:space="preserve">供应商所投</w:t>
      </w:r>
      <w:r>
        <w:rPr>
          <w:rFonts w:hint="eastAsia"/>
          <w:highlight w:val="none"/>
        </w:rPr>
        <w:t xml:space="preserve">货物</w:t>
      </w:r>
      <w:r>
        <w:rPr>
          <w:rFonts w:hint="eastAsia"/>
          <w:highlight w:val="none"/>
          <w:lang w:val="en-US" w:eastAsia="zh-CN"/>
        </w:rPr>
        <w:t xml:space="preserve">提供</w:t>
      </w:r>
      <w:r>
        <w:rPr>
          <w:rFonts w:hint="eastAsia"/>
          <w:highlight w:val="none"/>
        </w:rPr>
        <w:t xml:space="preserve">整</w:t>
      </w:r>
      <w:r>
        <w:rPr>
          <w:rFonts w:hint="eastAsia"/>
          <w:highlight w:val="none"/>
          <w:lang w:val="en-US" w:eastAsia="zh-CN"/>
        </w:rPr>
        <w:t xml:space="preserve">体</w:t>
      </w:r>
      <w:r>
        <w:rPr>
          <w:rFonts w:hint="eastAsia"/>
          <w:highlight w:val="none"/>
        </w:rPr>
        <w:t xml:space="preserve">质保期（可以</w:t>
      </w:r>
      <w:r>
        <w:rPr>
          <w:highlight w:val="none"/>
        </w:rPr>
        <w:t xml:space="preserve">优于但不能低于</w:t>
      </w:r>
      <w:r>
        <w:rPr>
          <w:rFonts w:hint="eastAsia"/>
          <w:highlight w:val="none"/>
        </w:rPr>
        <w:t xml:space="preserve">）≥</w:t>
      </w:r>
      <w:r>
        <w:rPr>
          <w:highlight w:val="none"/>
        </w:rPr>
        <w:t xml:space="preserve">3</w:t>
      </w:r>
      <w:r>
        <w:rPr>
          <w:rFonts w:hint="eastAsia"/>
          <w:highlight w:val="none"/>
        </w:rPr>
        <w:t xml:space="preserve">年，</w:t>
      </w:r>
      <w:r>
        <w:rPr>
          <w:rFonts w:hint="eastAsia"/>
          <w:highlight w:val="none"/>
          <w:lang w:val="en-US" w:eastAsia="zh-CN"/>
        </w:rPr>
        <w:t xml:space="preserve">并提交</w:t>
      </w:r>
      <w:r>
        <w:rPr>
          <w:rFonts w:hint="eastAsia"/>
          <w:highlight w:val="none"/>
        </w:rPr>
        <w:t xml:space="preserve">服务承诺</w:t>
      </w:r>
      <w:r>
        <w:rPr>
          <w:rFonts w:hint="eastAsia"/>
          <w:highlight w:val="none"/>
          <w:lang w:val="en-US" w:eastAsia="zh-CN"/>
        </w:rPr>
        <w:t xml:space="preserve">函</w:t>
      </w:r>
      <w:r>
        <w:rPr>
          <w:rFonts w:hint="eastAsia"/>
          <w:highlight w:val="none"/>
        </w:rPr>
        <w:t xml:space="preserve">（自交货验收合格之日起计），因人为因素出现的故障不在免费保修范围内。超过保修期的机器设备，终生维修，维修时只收部件成本费。</w:t>
      </w:r>
      <w:r>
        <w:rPr>
          <w:rFonts w:hint="eastAsia"/>
          <w:highlight w:val="none"/>
          <w:lang w:val="en-US" w:eastAsia="zh-CN"/>
        </w:rPr>
        <w:t xml:space="preserve">如质保期内甲方增加采购本项目供货清单中的货物，乙方供货价不得高于本项目单价（以分项报价表为准）</w:t>
      </w:r>
      <w:r/>
    </w:p>
    <w:p>
      <w:pPr>
        <w:pStyle w:val="678"/>
        <w:rPr>
          <w:highlight w:val="none"/>
        </w:rPr>
      </w:pPr>
      <w:r>
        <w:rPr>
          <w:highlight w:val="none"/>
        </w:rPr>
        <w:t xml:space="preserve">4</w:t>
      </w:r>
      <w:r>
        <w:rPr>
          <w:rFonts w:hint="eastAsia"/>
          <w:highlight w:val="none"/>
        </w:rPr>
        <w:t xml:space="preserve">.6技术培训</w:t>
      </w:r>
      <w:r/>
    </w:p>
    <w:p>
      <w:pPr>
        <w:pStyle w:val="678"/>
        <w:rPr>
          <w:highlight w:val="none"/>
        </w:rPr>
      </w:pPr>
      <w:r>
        <w:rPr>
          <w:rFonts w:hint="eastAsia"/>
          <w:highlight w:val="none"/>
        </w:rPr>
        <w:t xml:space="preserve">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pStyle w:val="678"/>
        <w:rPr>
          <w:highlight w:val="none"/>
        </w:rPr>
      </w:pPr>
      <w:r>
        <w:rPr>
          <w:rFonts w:hint="eastAsia"/>
          <w:highlight w:val="none"/>
        </w:rPr>
        <w:t xml:space="preserve">4</w:t>
      </w:r>
      <w:r>
        <w:rPr>
          <w:highlight w:val="none"/>
        </w:rPr>
        <w:t xml:space="preserve">.7</w:t>
      </w:r>
      <w:r>
        <w:rPr>
          <w:rFonts w:hint="eastAsia"/>
          <w:highlight w:val="none"/>
        </w:rPr>
        <w:t xml:space="preserve">违约金</w:t>
      </w:r>
      <w:r/>
    </w:p>
    <w:p>
      <w:pPr>
        <w:pStyle w:val="678"/>
        <w:rPr>
          <w:highlight w:val="none"/>
        </w:rPr>
      </w:pPr>
      <w:r>
        <w:rPr>
          <w:highlight w:val="none"/>
        </w:rPr>
        <w:t xml:space="preserve">4.7.1</w:t>
      </w:r>
      <w:r>
        <w:rPr>
          <w:rFonts w:hint="eastAsia"/>
          <w:highlight w:val="none"/>
        </w:rPr>
        <w:t xml:space="preserve">除不可抗力外，如果乙方没有按照本合同约定的期限、地点和方式履行，那么甲方可要求乙方支付违约金，违约金按每迟延履行一日的应提供而未提供服务价格的  1%计算，最高限额为本合同总价的10%；迟延履行的违约金计算数额达到前述最高限额之日起，甲方有权在要求乙方支付违约金的同时，书面通知乙方解除本合同。</w:t>
      </w:r>
      <w:r/>
    </w:p>
    <w:p>
      <w:pPr>
        <w:pStyle w:val="678"/>
        <w:rPr>
          <w:highlight w:val="none"/>
        </w:rPr>
      </w:pPr>
      <w:r>
        <w:rPr>
          <w:highlight w:val="none"/>
        </w:rPr>
        <w:t xml:space="preserve">4.7.2</w:t>
      </w:r>
      <w:r>
        <w:rPr>
          <w:rFonts w:hint="eastAsia"/>
          <w:highlight w:val="none"/>
        </w:rPr>
        <w:t xml:space="preserve">除不可抗力外，如果甲方没有按照本合同约定的付款方式付款，那么乙方可要求甲方支付违约金，违约金按每迟延付款一日的应付而未付款的1%计算，最高限额为本合同总价的10%；迟延付款的违约金计算数额达到前述最高限额之日起，乙方有权在要求甲方支付违约金的同时，书面通知甲方解除本合同。</w:t>
      </w:r>
      <w:r/>
    </w:p>
    <w:p>
      <w:pPr>
        <w:pStyle w:val="678"/>
        <w:rPr>
          <w:rFonts w:hint="eastAsia"/>
          <w:highlight w:val="none"/>
        </w:rPr>
      </w:pPr>
      <w:r>
        <w:rPr>
          <w:rFonts w:hint="eastAsia"/>
          <w:highlight w:val="none"/>
        </w:rPr>
        <w:t xml:space="preserve">4</w:t>
      </w:r>
      <w:r>
        <w:rPr>
          <w:highlight w:val="none"/>
        </w:rPr>
        <w:t xml:space="preserve">.8</w:t>
      </w:r>
      <w:r>
        <w:rPr>
          <w:rFonts w:hint="eastAsia"/>
          <w:highlight w:val="none"/>
        </w:rPr>
        <w:t xml:space="preserve">人员配置要求：需要根据项目建设内容和进度需要，派驻具有一定资质能力水平的成员组成项目小组对急救信息系统进行实施及服务，要求项目建设期团队人员不少于2人,其中驻场专职人员不少于2人（其中项目负责人1人，技术负责人1人）。人员名单均需报采购方备案。</w:t>
      </w:r>
      <w:r/>
    </w:p>
    <w:p>
      <w:pPr>
        <w:pStyle w:val="678"/>
        <w:rPr>
          <w:color w:val="auto"/>
          <w:highlight w:val="none"/>
        </w:rPr>
      </w:pPr>
      <w:r>
        <w:rPr>
          <w:rFonts w:hint="eastAsia"/>
          <w:highlight w:val="none"/>
          <w:lang w:val="en-US" w:eastAsia="zh-CN"/>
        </w:rPr>
        <w:t xml:space="preserve">4.9</w:t>
      </w:r>
      <w:r>
        <w:rPr>
          <w:rFonts w:hint="eastAsia"/>
          <w:color w:val="auto"/>
          <w:highlight w:val="none"/>
        </w:rPr>
        <w:t xml:space="preserve">★</w:t>
      </w:r>
      <w:r>
        <w:rPr>
          <w:rFonts w:hint="eastAsia"/>
          <w:color w:val="auto"/>
          <w:highlight w:val="none"/>
          <w:lang w:val="en-US" w:eastAsia="zh-CN"/>
        </w:rPr>
        <w:t xml:space="preserve">乙方</w:t>
      </w:r>
      <w:r>
        <w:rPr>
          <w:rFonts w:hint="eastAsia"/>
          <w:color w:val="auto"/>
          <w:highlight w:val="none"/>
        </w:rPr>
        <w:t xml:space="preserve">须承诺质保期满后，整体项目的售后服务费用不超过合同金额的</w:t>
      </w:r>
      <w:r>
        <w:rPr>
          <w:rFonts w:hint="eastAsia"/>
          <w:color w:val="auto"/>
          <w:highlight w:val="none"/>
          <w:lang w:val="en-US" w:eastAsia="zh-CN"/>
        </w:rPr>
        <w:t xml:space="preserve">8</w:t>
      </w:r>
      <w:r>
        <w:rPr>
          <w:rFonts w:hint="eastAsia"/>
          <w:color w:val="auto"/>
          <w:highlight w:val="none"/>
        </w:rPr>
        <w:t xml:space="preserve">%</w:t>
      </w:r>
      <w:r>
        <w:rPr>
          <w:rFonts w:hint="eastAsia"/>
          <w:color w:val="auto"/>
          <w:highlight w:val="none"/>
          <w:lang w:val="en-US" w:eastAsia="zh-CN"/>
        </w:rPr>
        <w:t xml:space="preserve">/年</w:t>
      </w:r>
      <w:r>
        <w:rPr>
          <w:rFonts w:hint="eastAsia"/>
          <w:color w:val="auto"/>
          <w:highlight w:val="none"/>
        </w:rPr>
        <w:t xml:space="preserve">。</w:t>
      </w:r>
      <w:r/>
    </w:p>
    <w:p>
      <w:pPr>
        <w:rPr>
          <w:rFonts w:hint="default" w:eastAsia="宋体"/>
          <w:lang w:val="en-US" w:eastAsia="zh-CN"/>
        </w:rPr>
      </w:pPr>
      <w:r>
        <w:rPr>
          <w:rFonts w:hint="default" w:eastAsia="宋体"/>
          <w:lang w:val="en-US" w:eastAsia="zh-CN"/>
        </w:rPr>
      </w:r>
      <w:r/>
    </w:p>
    <w:p>
      <w:pPr>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r>
      <w:r/>
    </w:p>
    <w:p>
      <w:pPr>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r>
      <w:r/>
    </w:p>
    <w:p>
      <w:pPr>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r>
      <w:r/>
    </w:p>
    <w:p>
      <w:pPr>
        <w:rPr>
          <w:rFonts w:ascii="宋体" w:hAnsi="宋体" w:cs="宋体"/>
          <w:b/>
          <w:bCs/>
          <w:sz w:val="32"/>
          <w:szCs w:val="32"/>
          <w:highlight w:val="none"/>
        </w:rPr>
      </w:pPr>
      <w:r>
        <w:rPr>
          <w:rFonts w:hint="eastAsia" w:ascii="宋体" w:hAnsi="宋体" w:cs="宋体"/>
          <w:b/>
          <w:bCs/>
          <w:sz w:val="32"/>
          <w:szCs w:val="32"/>
          <w:highlight w:val="none"/>
        </w:rPr>
        <w:t xml:space="preserve">五、其他说明：</w:t>
      </w:r>
      <w:r/>
    </w:p>
    <w:p>
      <w:pPr>
        <w:spacing w:line="360" w:lineRule="auto"/>
        <w:tabs>
          <w:tab w:val="left" w:pos="851" w:leader="none"/>
          <w:tab w:val="left" w:pos="1276" w:leader="none"/>
          <w:tab w:val="left" w:pos="1418" w:leader="none"/>
        </w:tabs>
        <w:rPr>
          <w:rFonts w:hint="default" w:ascii="宋体" w:hAnsi="宋体" w:eastAsia="宋体" w:cs="宋体"/>
          <w:sz w:val="24"/>
          <w:highlight w:val="none"/>
          <w:lang w:val="en-US" w:eastAsia="zh-CN"/>
        </w:rPr>
      </w:pPr>
      <w:r>
        <w:rPr>
          <w:rFonts w:hint="eastAsia" w:ascii="宋体" w:hAnsi="宋体" w:cs="宋体"/>
          <w:sz w:val="24"/>
          <w:highlight w:val="none"/>
        </w:rPr>
        <w:t xml:space="preserve">4.1上述加注“★”符号的关键条款指标，不允许负偏离，否则投标无效；加注“▲”符号的</w:t>
      </w:r>
      <w:r>
        <w:rPr>
          <w:rFonts w:hint="eastAsia" w:ascii="宋体" w:hAnsi="宋体" w:cs="宋体"/>
          <w:sz w:val="24"/>
          <w:highlight w:val="none"/>
          <w:lang w:val="en-US" w:eastAsia="zh-CN"/>
        </w:rPr>
        <w:t xml:space="preserve">为需要提供佐证资料条款</w:t>
      </w:r>
      <w:r>
        <w:rPr>
          <w:rFonts w:hint="eastAsia" w:ascii="宋体" w:hAnsi="宋体" w:cs="宋体"/>
          <w:sz w:val="24"/>
          <w:highlight w:val="none"/>
        </w:rPr>
        <w:t xml:space="preserve">；其他为一般条款指标。</w:t>
      </w:r>
      <w:r>
        <w:rPr>
          <w:rFonts w:hint="eastAsia" w:ascii="宋体" w:hAnsi="宋体" w:cs="宋体"/>
          <w:i/>
          <w:iCs/>
          <w:sz w:val="24"/>
          <w:highlight w:val="none"/>
          <w:u w:val="single"/>
          <w:lang w:val="en-US" w:eastAsia="zh-CN"/>
        </w:rPr>
        <w:t xml:space="preserve">本招标文件中第四章《采购需求》所有加粗黑体字子项不允许缺漏，否则投标无效。</w:t>
      </w:r>
      <w:r/>
    </w:p>
    <w:p>
      <w:pPr>
        <w:spacing w:line="360"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4.2</w:t>
      </w:r>
      <w:r>
        <w:rPr>
          <w:rFonts w:hint="eastAsia" w:ascii="宋体" w:hAnsi="宋体" w:cs="宋体"/>
          <w:bCs/>
          <w:i/>
          <w:sz w:val="24"/>
          <w:highlight w:val="none"/>
          <w:u w:val="single"/>
        </w:rPr>
        <w:t xml:space="preserve">本招标文件中斜体且有下划线部分为实质性要求和条件，</w:t>
      </w:r>
      <w:r>
        <w:rPr>
          <w:rFonts w:hint="eastAsia" w:ascii="宋体" w:hAnsi="宋体" w:cs="宋体"/>
          <w:sz w:val="24"/>
          <w:highlight w:val="none"/>
        </w:rPr>
        <w:t xml:space="preserve">不允许负偏离，否则投标无效。</w:t>
      </w:r>
      <w:r/>
    </w:p>
    <w:p>
      <w:pPr>
        <w:spacing w:line="360"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3</w:t>
      </w:r>
      <w:r>
        <w:rPr>
          <w:rFonts w:hint="eastAsia" w:ascii="宋体" w:hAnsi="宋体" w:cs="宋体"/>
          <w:sz w:val="24"/>
          <w:highlight w:val="none"/>
        </w:rPr>
        <w:t xml:space="preserve">关键技术指标及重要技术指标均需提供佐证材料。</w:t>
      </w:r>
      <w:r/>
    </w:p>
    <w:p>
      <w:pPr>
        <w:pStyle w:val="710"/>
        <w:rPr>
          <w:rFonts w:ascii="黑体" w:eastAsia="黑体"/>
          <w:bCs/>
          <w:sz w:val="52"/>
          <w:highlight w:val="none"/>
        </w:rPr>
      </w:pPr>
      <w:r>
        <w:rPr>
          <w:rFonts w:ascii="黑体" w:eastAsia="黑体"/>
          <w:bCs/>
          <w:sz w:val="52"/>
          <w:highlight w:val="none"/>
        </w:rPr>
      </w:r>
      <w:r/>
    </w:p>
    <w:p>
      <w:pPr>
        <w:rPr>
          <w:highlight w:val="none"/>
        </w:rPr>
      </w:pPr>
      <w:r>
        <w:rPr>
          <w:highlight w:val="none"/>
        </w:rPr>
      </w:r>
      <w:r/>
    </w:p>
    <w:p>
      <w:pPr>
        <w:rPr>
          <w:highlight w:val="none"/>
        </w:rPr>
      </w:pPr>
      <w:r>
        <w:rPr>
          <w:highlight w:val="none"/>
        </w:rPr>
      </w:r>
      <w:r/>
    </w:p>
    <w:p>
      <w:pPr>
        <w:pStyle w:val="678"/>
        <w:rPr>
          <w:color w:val="auto"/>
          <w:highlight w:val="none"/>
        </w:rPr>
      </w:pPr>
      <w:r>
        <w:rPr>
          <w:color w:val="auto"/>
          <w:highlight w:val="none"/>
        </w:rPr>
      </w:r>
      <w:bookmarkEnd w:id="48"/>
      <w:bookmarkEnd w:id="49"/>
      <w:bookmarkEnd w:id="50"/>
      <w:bookmarkEnd w:id="51"/>
      <w:bookmarkEnd w:id="52"/>
      <w:r/>
    </w:p>
    <w:p>
      <w:pPr>
        <w:rPr>
          <w:highlight w:val="none"/>
        </w:rPr>
      </w:pPr>
      <w:r/>
      <w:bookmarkStart w:id="55" w:name="_Toc16938590"/>
      <w:r/>
      <w:bookmarkStart w:id="56" w:name="_Toc20823346"/>
      <w:r/>
      <w:bookmarkStart w:id="57" w:name="_Toc120614244"/>
      <w:r/>
      <w:bookmarkStart w:id="58" w:name="_Hlt16619350"/>
      <w:r/>
      <w:bookmarkStart w:id="59" w:name="_Toc479757211"/>
      <w:r/>
      <w:bookmarkStart w:id="60" w:name="_Toc462564139"/>
      <w:r/>
      <w:r/>
    </w:p>
    <w:p>
      <w:pPr>
        <w:rPr>
          <w:rFonts w:ascii="黑体" w:eastAsia="黑体"/>
          <w:bCs/>
          <w:sz w:val="44"/>
          <w:highlight w:val="none"/>
        </w:rPr>
      </w:pPr>
      <w:r>
        <w:rPr>
          <w:rFonts w:hint="eastAsia" w:ascii="黑体" w:eastAsia="黑体"/>
          <w:bCs/>
          <w:sz w:val="44"/>
          <w:highlight w:val="none"/>
        </w:rPr>
        <w:br w:type="page" w:clear="all"/>
      </w:r>
      <w:r/>
    </w:p>
    <w:p>
      <w:pPr>
        <w:rPr>
          <w:rFonts w:ascii="黑体" w:eastAsia="黑体"/>
          <w:bCs/>
          <w:sz w:val="44"/>
          <w:highlight w:val="none"/>
        </w:rPr>
        <w:pBdr>
          <w:top w:val="none" w:color="000000" w:sz="0" w:space="0"/>
          <w:left w:val="none" w:color="000000" w:sz="0" w:space="0"/>
          <w:bottom w:val="none" w:color="000000" w:sz="0" w:space="0"/>
          <w:right w:val="none" w:color="000000" w:sz="0" w:space="0"/>
        </w:pBdr>
      </w:pPr>
      <w:r>
        <w:rPr>
          <w:rFonts w:ascii="黑体" w:eastAsia="黑体"/>
          <w:bCs/>
          <w:sz w:val="44"/>
          <w:highlight w:val="none"/>
        </w:rPr>
      </w:r>
      <w:bookmarkEnd w:id="55"/>
      <w:bookmarkEnd w:id="56"/>
      <w:bookmarkEnd w:id="57"/>
      <w:bookmarkEnd w:id="58"/>
      <w:r/>
    </w:p>
    <w:p>
      <w:pPr>
        <w:pStyle w:val="710"/>
        <w:rPr>
          <w:rFonts w:ascii="黑体" w:eastAsia="黑体"/>
          <w:bCs/>
          <w:sz w:val="44"/>
          <w:highlight w:val="none"/>
        </w:rPr>
      </w:pPr>
      <w:r/>
      <w:bookmarkStart w:id="61" w:name="_Toc26554093"/>
      <w:r/>
      <w:bookmarkStart w:id="62" w:name="_Toc120614281"/>
      <w:r/>
      <w:bookmarkStart w:id="63" w:name="_Toc49090575"/>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pPr>
        <w:rPr>
          <w:sz w:val="24"/>
          <w:szCs w:val="24"/>
          <w:highlight w:val="none"/>
        </w:rPr>
      </w:pPr>
      <w:r>
        <w:rPr>
          <w:sz w:val="24"/>
          <w:szCs w:val="24"/>
          <w:highlight w:val="none"/>
        </w:rPr>
      </w:r>
      <w:r/>
    </w:p>
    <w:p>
      <w:pPr>
        <w:ind w:firstLine="439"/>
        <w:jc w:val="left"/>
        <w:spacing w:before="120" w:after="120" w:line="360" w:lineRule="auto"/>
        <w:rPr>
          <w:rFonts w:ascii="宋体" w:hAnsi="宋体"/>
          <w:sz w:val="24"/>
          <w:szCs w:val="24"/>
          <w:highlight w:val="none"/>
        </w:rPr>
      </w:pPr>
      <w:r>
        <w:rPr>
          <w:rFonts w:hint="eastAsia" w:ascii="宋体" w:hAnsi="宋体"/>
          <w:sz w:val="24"/>
          <w:szCs w:val="24"/>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评标委员会按照得分由高到低的顺序推荐3名中标候选人</w:t>
      </w:r>
      <w:r>
        <w:rPr>
          <w:rFonts w:hint="eastAsia" w:ascii="Arial" w:hAnsi="Arial" w:cs="Arial"/>
          <w:sz w:val="24"/>
          <w:szCs w:val="24"/>
          <w:highlight w:val="none"/>
        </w:rPr>
        <w:t xml:space="preserve">。</w:t>
      </w:r>
      <w:r/>
    </w:p>
    <w:p>
      <w:pPr>
        <w:pStyle w:val="971"/>
        <w:rPr>
          <w:rFonts w:ascii="宋体" w:hAnsi="宋体"/>
          <w:b/>
          <w:highlight w:val="none"/>
        </w:rPr>
      </w:pPr>
      <w:r>
        <w:rPr>
          <w:rFonts w:hint="eastAsia" w:ascii="宋体" w:hAnsi="宋体"/>
          <w:b/>
          <w:highlight w:val="none"/>
        </w:rPr>
        <w:t xml:space="preserve">政府采购政策功能落实</w:t>
      </w:r>
      <w:r/>
    </w:p>
    <w:p>
      <w:pPr>
        <w:pStyle w:val="971"/>
        <w:spacing w:line="0" w:lineRule="atLeast"/>
        <w:rPr>
          <w:rFonts w:ascii="宋体" w:hAnsi="宋体"/>
          <w:highlight w:val="none"/>
        </w:rPr>
      </w:pPr>
      <w:r>
        <w:rPr>
          <w:rFonts w:hint="eastAsia" w:ascii="宋体" w:hAnsi="宋体"/>
          <w:highlight w:val="none"/>
        </w:rPr>
        <w:t xml:space="preserve">1、小微型企业价格扣除</w:t>
      </w:r>
      <w:r/>
    </w:p>
    <w:p>
      <w:pPr>
        <w:pStyle w:val="971"/>
        <w:ind w:firstLine="360"/>
        <w:spacing w:line="0" w:lineRule="atLeast"/>
        <w:rPr>
          <w:rFonts w:ascii="宋体" w:hAnsi="宋体"/>
          <w:highlight w:val="none"/>
        </w:rPr>
      </w:pPr>
      <w:r>
        <w:rPr>
          <w:rFonts w:hint="eastAsia" w:ascii="宋体" w:hAnsi="宋体"/>
          <w:highlight w:val="none"/>
        </w:rPr>
        <w:t xml:space="preserve">（1）对小型和微型企业提供的服务给予</w:t>
      </w:r>
      <w:r>
        <w:rPr>
          <w:rFonts w:hint="eastAsia" w:ascii="宋体" w:hAnsi="宋体"/>
          <w:highlight w:val="none"/>
          <w:u w:val="single"/>
        </w:rPr>
        <w:t xml:space="preserve">20%</w:t>
      </w:r>
      <w:r>
        <w:rPr>
          <w:rFonts w:hint="eastAsia" w:ascii="宋体" w:hAnsi="宋体"/>
          <w:highlight w:val="none"/>
        </w:rPr>
        <w:t xml:space="preserve">的扣除价格，用扣除后的价格参与评审。</w:t>
      </w:r>
      <w:r/>
    </w:p>
    <w:p>
      <w:pPr>
        <w:pStyle w:val="971"/>
        <w:ind w:firstLine="360"/>
        <w:spacing w:line="0" w:lineRule="atLeast"/>
        <w:rPr>
          <w:rFonts w:ascii="宋体" w:hAnsi="宋体"/>
          <w:highlight w:val="none"/>
        </w:rPr>
      </w:pPr>
      <w:r>
        <w:rPr>
          <w:rFonts w:hint="eastAsia" w:ascii="宋体" w:hAnsi="宋体"/>
          <w:highlight w:val="none"/>
        </w:rPr>
        <w:t xml:space="preserve">（2）供应商需按照采购文件的要求提供相应的《小微企业声明函》。</w:t>
      </w:r>
      <w:r/>
    </w:p>
    <w:p>
      <w:pPr>
        <w:pStyle w:val="971"/>
        <w:ind w:firstLine="360"/>
        <w:spacing w:line="0" w:lineRule="atLeast"/>
        <w:rPr>
          <w:rFonts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p>
    <w:p>
      <w:pPr>
        <w:pStyle w:val="971"/>
        <w:spacing w:line="0" w:lineRule="atLeast"/>
        <w:rPr>
          <w:rFonts w:ascii="宋体" w:hAnsi="宋体"/>
          <w:highlight w:val="none"/>
        </w:rPr>
      </w:pPr>
      <w:r>
        <w:rPr>
          <w:rFonts w:hint="eastAsia" w:ascii="宋体" w:hAnsi="宋体"/>
          <w:highlight w:val="none"/>
        </w:rPr>
        <w:t xml:space="preserve">2、残疾人福利单位价格扣除</w:t>
      </w:r>
      <w:r/>
    </w:p>
    <w:p>
      <w:pPr>
        <w:pStyle w:val="971"/>
        <w:ind w:left="120" w:firstLine="360"/>
        <w:spacing w:line="0" w:lineRule="atLeast"/>
        <w:rPr>
          <w:rFonts w:ascii="宋体" w:hAnsi="宋体"/>
          <w:highlight w:val="none"/>
        </w:rPr>
      </w:pPr>
      <w:r>
        <w:rPr>
          <w:rFonts w:hint="eastAsia" w:ascii="宋体" w:hAnsi="宋体"/>
          <w:highlight w:val="none"/>
        </w:rPr>
        <w:t xml:space="preserve">（1）对残疾人福利性单位视同小型、微型企业，给予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p>
    <w:p>
      <w:pPr>
        <w:pStyle w:val="971"/>
        <w:ind w:left="120" w:firstLine="360"/>
        <w:spacing w:line="0" w:lineRule="atLeast"/>
        <w:rPr>
          <w:rFonts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971"/>
        <w:ind w:left="120" w:firstLine="360"/>
        <w:spacing w:line="0" w:lineRule="atLeast"/>
        <w:rPr>
          <w:rFonts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971"/>
        <w:spacing w:line="0" w:lineRule="atLeast"/>
        <w:rPr>
          <w:rFonts w:ascii="宋体" w:hAnsi="宋体"/>
          <w:highlight w:val="none"/>
        </w:rPr>
      </w:pPr>
      <w:r>
        <w:rPr>
          <w:rFonts w:hint="eastAsia" w:ascii="宋体" w:hAnsi="宋体"/>
          <w:highlight w:val="none"/>
        </w:rPr>
        <w:t xml:space="preserve">3、监狱和戒毒企业价格扣除</w:t>
      </w:r>
      <w:r/>
    </w:p>
    <w:p>
      <w:pPr>
        <w:pStyle w:val="971"/>
        <w:spacing w:line="0" w:lineRule="atLeast"/>
        <w:rPr>
          <w:rFonts w:ascii="宋体" w:hAnsi="宋体"/>
          <w:highlight w:val="none"/>
        </w:rPr>
      </w:pPr>
      <w:r>
        <w:rPr>
          <w:rFonts w:hint="eastAsia" w:ascii="宋体" w:hAnsi="宋体"/>
          <w:highlight w:val="none"/>
        </w:rPr>
        <w:t xml:space="preserve">（1）对监狱和戒毒企业（简称监狱企业）视同小型、微型企业，给予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p>
    <w:p>
      <w:pPr>
        <w:pStyle w:val="971"/>
        <w:spacing w:line="0" w:lineRule="atLeast"/>
        <w:rPr>
          <w:rFonts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1"/>
        <w:spacing w:line="0" w:lineRule="atLeast"/>
        <w:rPr>
          <w:rFonts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971"/>
        <w:spacing w:line="400" w:lineRule="exact"/>
        <w:rPr>
          <w:rFonts w:ascii="宋体" w:hAnsi="宋体"/>
          <w:highlight w:val="none"/>
        </w:rPr>
      </w:pPr>
      <w:r>
        <w:rPr>
          <w:rFonts w:hint="eastAsia" w:ascii="宋体" w:hAnsi="宋体"/>
          <w:highlight w:val="none"/>
        </w:rPr>
        <w:t xml:space="preserve">4、残疾人福利单位、监狱企业属于小型、微型企业的，不重复享受政策。</w:t>
      </w:r>
      <w:r/>
    </w:p>
    <w:p>
      <w:pPr>
        <w:pStyle w:val="971"/>
        <w:spacing w:line="400" w:lineRule="exact"/>
        <w:rPr>
          <w:rFonts w:ascii="宋体" w:hAnsi="宋体"/>
          <w:highlight w:val="none"/>
        </w:rPr>
      </w:pPr>
      <w:r>
        <w:rPr>
          <w:rFonts w:hint="eastAsia" w:ascii="宋体" w:hAnsi="宋体"/>
          <w:highlight w:val="none"/>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rPr>
        <w:t xml:space="preserve">6%</w:t>
      </w:r>
      <w:r>
        <w:rPr>
          <w:rFonts w:hint="eastAsia" w:ascii="宋体" w:hAnsi="宋体"/>
          <w:highlight w:val="none"/>
        </w:rPr>
        <w:t xml:space="preserve">的价格扣除，用扣除后的价格参与评审。</w:t>
      </w:r>
      <w:r/>
    </w:p>
    <w:p>
      <w:pPr>
        <w:pStyle w:val="971"/>
        <w:spacing w:line="400" w:lineRule="exact"/>
        <w:rPr>
          <w:rFonts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20%</w:t>
      </w:r>
      <w:r>
        <w:rPr>
          <w:rFonts w:hint="eastAsia" w:ascii="宋体" w:hAnsi="宋体"/>
          <w:highlight w:val="none"/>
        </w:rPr>
        <w:t xml:space="preserve">价格扣除，用扣除后的价格参与评审。</w:t>
      </w:r>
      <w:r/>
    </w:p>
    <w:p>
      <w:pPr>
        <w:pStyle w:val="971"/>
        <w:spacing w:line="400" w:lineRule="exact"/>
        <w:rPr>
          <w:rFonts w:ascii="宋体" w:hAnsi="宋体"/>
          <w:highlight w:val="none"/>
        </w:rPr>
      </w:pPr>
      <w:r>
        <w:rPr>
          <w:rFonts w:ascii="宋体" w:hAnsi="宋体"/>
          <w:highlight w:val="none"/>
        </w:rPr>
      </w:r>
      <w:r/>
    </w:p>
    <w:p>
      <w:pPr>
        <w:jc w:val="center"/>
        <w:keepLines/>
        <w:keepNext/>
        <w:spacing w:before="260" w:after="260" w:line="360" w:lineRule="auto"/>
        <w:rPr>
          <w:rFonts w:ascii="宋体" w:hAnsi="宋体" w:cs="宋体"/>
          <w:bCs/>
          <w:sz w:val="32"/>
          <w:szCs w:val="32"/>
          <w:highlight w:val="none"/>
        </w:rPr>
        <w:outlineLvl w:val="1"/>
      </w:pPr>
      <w:r>
        <w:rPr>
          <w:rFonts w:hint="eastAsia" w:ascii="宋体" w:hAnsi="宋体" w:cs="宋体"/>
          <w:b/>
          <w:bCs/>
          <w:sz w:val="32"/>
          <w:szCs w:val="44"/>
          <w:highlight w:val="none"/>
        </w:rPr>
        <w:t xml:space="preserve"> （一）资格审查要求</w:t>
      </w:r>
      <w:r/>
    </w:p>
    <w:p>
      <w:pPr>
        <w:rPr>
          <w:rFonts w:ascii="宋体" w:hAnsi="宋体" w:cs="宋体"/>
          <w:szCs w:val="22"/>
          <w:highlight w:val="none"/>
        </w:rPr>
      </w:pPr>
      <w:r>
        <w:rPr>
          <w:rFonts w:hint="eastAsia" w:ascii="宋体" w:hAnsi="宋体" w:cs="宋体"/>
          <w:szCs w:val="22"/>
          <w:highlight w:val="none"/>
        </w:rPr>
        <w:t xml:space="preserve">按照招标文件《第一章 投标邀请》申请人的资格要求进行资格审查。</w:t>
      </w:r>
      <w:r/>
    </w:p>
    <w:p>
      <w:pPr>
        <w:jc w:val="center"/>
        <w:keepLines/>
        <w:keepNext/>
        <w:spacing w:before="260" w:after="260" w:line="360" w:lineRule="auto"/>
        <w:rPr>
          <w:rFonts w:ascii="宋体" w:hAnsi="宋体" w:cs="宋体"/>
          <w:b/>
          <w:bCs/>
          <w:sz w:val="32"/>
          <w:szCs w:val="44"/>
          <w:highlight w:val="none"/>
        </w:rPr>
        <w:outlineLvl w:val="1"/>
      </w:pPr>
      <w:r>
        <w:rPr>
          <w:rFonts w:hint="eastAsia" w:ascii="宋体" w:hAnsi="宋体" w:cs="宋体"/>
          <w:b/>
          <w:bCs/>
          <w:sz w:val="32"/>
          <w:szCs w:val="44"/>
          <w:highlight w:val="none"/>
        </w:rPr>
        <w:t xml:space="preserve">（二）符合性审查要求</w:t>
      </w:r>
      <w:r/>
    </w:p>
    <w:tbl>
      <w:tblPr>
        <w:tblStyle w:val="677"/>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536"/>
        <w:gridCol w:w="2447"/>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center"/>
              <w:rPr>
                <w:sz w:val="24"/>
                <w:szCs w:val="24"/>
                <w:highlight w:val="none"/>
              </w:rPr>
            </w:pPr>
            <w:r>
              <w:rPr>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rPr>
                <w:sz w:val="24"/>
                <w:szCs w:val="24"/>
                <w:highlight w:val="none"/>
              </w:rPr>
            </w:pPr>
            <w:r>
              <w:rPr>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sz w:val="24"/>
                <w:szCs w:val="24"/>
                <w:highlight w:val="none"/>
              </w:rPr>
              <w:t xml:space="preserve">《</w:t>
            </w:r>
            <w:r>
              <w:rPr>
                <w:sz w:val="24"/>
                <w:szCs w:val="24"/>
                <w:highlight w:val="none"/>
              </w:rPr>
              <w:t xml:space="preserve">开标一览表</w:t>
            </w:r>
            <w:r>
              <w:rPr>
                <w:rFonts w:hint="eastAsia"/>
                <w:sz w:val="24"/>
                <w:szCs w:val="24"/>
                <w:highlight w:val="none"/>
              </w:rPr>
              <w:t xml:space="preserve">》的投标总报价没有超过最高限价的</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rFonts w:hint="eastAsia"/>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sz w:val="24"/>
                <w:szCs w:val="24"/>
                <w:highlight w:val="none"/>
              </w:rPr>
              <w:t xml:space="preserve">《投标分项报价表》的设备名称、交付期（交货期）、数量和招标文件要求一致，且按照招标文件要求填写的</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sz w:val="24"/>
                <w:szCs w:val="24"/>
                <w:highlight w:val="none"/>
              </w:rPr>
              <w:t xml:space="preserve">《技术要求响应及偏离表》按照要求填写的</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rFonts w:hint="eastAsia"/>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sz w:val="24"/>
                <w:szCs w:val="24"/>
                <w:highlight w:val="none"/>
              </w:rPr>
              <w:t xml:space="preserve">《商务合同响应及偏离表》没有任何负偏离或缺漏的</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sz w:val="24"/>
                <w:szCs w:val="24"/>
                <w:highlight w:val="none"/>
              </w:rPr>
              <w:t xml:space="preserve">《第六章  投标文件格式》没有实质性缺漏的（即加斜体下划线内容）</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ascii="宋体" w:hAnsi="宋体" w:cs="宋体"/>
                <w:sz w:val="24"/>
                <w:szCs w:val="24"/>
                <w:highlight w:val="none"/>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jc w:val="left"/>
              <w:rPr>
                <w:sz w:val="24"/>
                <w:szCs w:val="24"/>
                <w:highlight w:val="none"/>
              </w:rPr>
            </w:pPr>
            <w:r>
              <w:rPr>
                <w:rFonts w:hint="eastAsia"/>
                <w:sz w:val="24"/>
                <w:szCs w:val="24"/>
                <w:highlight w:val="none"/>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left"/>
              <w:rPr>
                <w:sz w:val="24"/>
                <w:szCs w:val="24"/>
                <w:highlight w:val="none"/>
              </w:rPr>
            </w:pPr>
            <w:r>
              <w:rPr>
                <w:sz w:val="24"/>
                <w:szCs w:val="24"/>
                <w:highlight w:val="none"/>
              </w:rPr>
              <w:t xml:space="preserve">符合招标文件要求</w:t>
            </w:r>
            <w:r/>
          </w:p>
        </w:tc>
      </w:tr>
    </w:tbl>
    <w:p>
      <w:pPr>
        <w:jc w:val="center"/>
        <w:keepLines/>
        <w:keepNext/>
        <w:spacing w:before="260" w:after="260" w:line="360" w:lineRule="auto"/>
        <w:rPr>
          <w:rFonts w:ascii="宋体" w:hAnsi="宋体" w:cs="宋体"/>
          <w:b/>
          <w:bCs/>
          <w:sz w:val="32"/>
          <w:szCs w:val="44"/>
          <w:highlight w:val="none"/>
        </w:rPr>
        <w:outlineLvl w:val="1"/>
      </w:pPr>
      <w:r>
        <w:rPr>
          <w:rFonts w:hint="eastAsia" w:ascii="宋体" w:hAnsi="宋体" w:cs="宋体"/>
          <w:b/>
          <w:bCs/>
          <w:sz w:val="32"/>
          <w:szCs w:val="44"/>
          <w:highlight w:val="none"/>
        </w:rPr>
        <w:t xml:space="preserve">（三）评标方法与评标标准</w:t>
      </w:r>
      <w:r/>
    </w:p>
    <w:tbl>
      <w:tblPr>
        <w:tblStyle w:val="677"/>
        <w:tblW w:w="4990"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218"/>
        <w:gridCol w:w="5715"/>
        <w:gridCol w:w="872"/>
      </w:tblGrid>
      <w:tr>
        <w:trPr>
          <w:trHeight w:val="509"/>
        </w:trPr>
        <w:tc>
          <w:tcPr>
            <w:tcW w:w="1346" w:type="dxa"/>
            <w:vAlign w:val="center"/>
            <w:textDirection w:val="lrTb"/>
            <w:noWrap w:val="false"/>
          </w:tcPr>
          <w:p>
            <w:pPr>
              <w:pStyle w:val="1003"/>
              <w:rPr>
                <w:highlight w:val="none"/>
              </w:rPr>
            </w:pPr>
            <w:r>
              <w:rPr>
                <w:rFonts w:hint="eastAsia"/>
                <w:highlight w:val="none"/>
              </w:rPr>
              <w:t xml:space="preserve">评分因数</w:t>
            </w:r>
            <w:r/>
          </w:p>
        </w:tc>
        <w:tc>
          <w:tcPr>
            <w:tcW w:w="1218" w:type="dxa"/>
            <w:vAlign w:val="center"/>
            <w:textDirection w:val="lrTb"/>
            <w:noWrap w:val="false"/>
          </w:tcPr>
          <w:p>
            <w:pPr>
              <w:pStyle w:val="1003"/>
              <w:jc w:val="center"/>
              <w:rPr>
                <w:highlight w:val="none"/>
              </w:rPr>
            </w:pPr>
            <w:r>
              <w:rPr>
                <w:rFonts w:hint="eastAsia"/>
                <w:highlight w:val="none"/>
              </w:rPr>
              <w:t xml:space="preserve">评分项</w:t>
            </w:r>
            <w:r/>
          </w:p>
        </w:tc>
        <w:tc>
          <w:tcPr>
            <w:tcW w:w="5716" w:type="dxa"/>
            <w:vAlign w:val="center"/>
            <w:textDirection w:val="lrTb"/>
            <w:noWrap w:val="false"/>
          </w:tcPr>
          <w:p>
            <w:pPr>
              <w:pStyle w:val="1003"/>
              <w:rPr>
                <w:highlight w:val="none"/>
              </w:rPr>
            </w:pPr>
            <w:r>
              <w:rPr>
                <w:rFonts w:hint="eastAsia"/>
                <w:highlight w:val="none"/>
              </w:rPr>
              <w:t xml:space="preserve">评分说明</w:t>
            </w:r>
            <w:r/>
          </w:p>
        </w:tc>
        <w:tc>
          <w:tcPr>
            <w:tcW w:w="872" w:type="dxa"/>
            <w:vAlign w:val="center"/>
            <w:textDirection w:val="lrTb"/>
            <w:noWrap w:val="false"/>
          </w:tcPr>
          <w:p>
            <w:pPr>
              <w:pStyle w:val="1003"/>
              <w:rPr>
                <w:highlight w:val="none"/>
              </w:rPr>
            </w:pPr>
            <w:r>
              <w:rPr>
                <w:rFonts w:hint="eastAsia"/>
                <w:highlight w:val="none"/>
              </w:rPr>
              <w:t xml:space="preserve">分值</w:t>
            </w:r>
            <w:r/>
          </w:p>
        </w:tc>
      </w:tr>
      <w:tr>
        <w:trPr/>
        <w:tc>
          <w:tcPr>
            <w:tcW w:w="1346" w:type="dxa"/>
            <w:vAlign w:val="center"/>
            <w:textDirection w:val="lrTb"/>
            <w:noWrap w:val="false"/>
          </w:tcPr>
          <w:p>
            <w:pPr>
              <w:pStyle w:val="1003"/>
              <w:rPr>
                <w:highlight w:val="none"/>
              </w:rPr>
            </w:pPr>
            <w:r>
              <w:rPr>
                <w:rFonts w:hint="eastAsia"/>
                <w:highlight w:val="none"/>
              </w:rPr>
              <w:t xml:space="preserve">报价部分</w:t>
            </w:r>
            <w:r/>
          </w:p>
          <w:p>
            <w:pPr>
              <w:pStyle w:val="1003"/>
              <w:rPr>
                <w:highlight w:val="none"/>
              </w:rPr>
            </w:pPr>
            <w:r>
              <w:rPr>
                <w:rFonts w:hint="eastAsia"/>
                <w:highlight w:val="none"/>
              </w:rPr>
              <w:t xml:space="preserve">（</w:t>
            </w:r>
            <w:r>
              <w:rPr>
                <w:highlight w:val="none"/>
              </w:rPr>
              <w:t xml:space="preserve">30</w:t>
            </w:r>
            <w:r>
              <w:rPr>
                <w:rFonts w:hint="eastAsia"/>
                <w:highlight w:val="none"/>
              </w:rPr>
              <w:t xml:space="preserve">分）</w:t>
            </w:r>
            <w:r/>
          </w:p>
        </w:tc>
        <w:tc>
          <w:tcPr>
            <w:tcW w:w="1218" w:type="dxa"/>
            <w:vAlign w:val="center"/>
            <w:textDirection w:val="lrTb"/>
            <w:noWrap w:val="false"/>
          </w:tcPr>
          <w:p>
            <w:pPr>
              <w:pStyle w:val="1003"/>
              <w:jc w:val="center"/>
              <w:rPr>
                <w:highlight w:val="none"/>
              </w:rPr>
            </w:pPr>
            <w:r>
              <w:rPr>
                <w:rFonts w:hint="eastAsia"/>
                <w:highlight w:val="none"/>
              </w:rPr>
              <w:t xml:space="preserve">报价</w:t>
            </w:r>
            <w:r/>
          </w:p>
        </w:tc>
        <w:tc>
          <w:tcPr>
            <w:tcW w:w="5716" w:type="dxa"/>
            <w:vAlign w:val="center"/>
            <w:textDirection w:val="lrTb"/>
            <w:noWrap w:val="false"/>
          </w:tcPr>
          <w:p>
            <w:pPr>
              <w:pStyle w:val="1003"/>
              <w:rPr>
                <w:highlight w:val="none"/>
              </w:rPr>
            </w:pPr>
            <w:r>
              <w:rPr>
                <w:rFonts w:hint="eastAsia"/>
                <w:highlight w:val="none"/>
              </w:rPr>
              <w:t xml:space="preserve">评标委员会只对资格和符合性审查合格的响应文件进行价格评价，报价分采用低价优先法计算，即满足招标文件要求且投标价格最低的投标报价（因落实政府采购政策进行价格调整的，以调整后的价格计算评标基准价和投标报价）为评标基准价，其价格分为满分。其他供应商的价格分按照下列公报价式计算：投标报价得分=（评标基准价／投标报价）×价格分。</w:t>
            </w:r>
            <w:r/>
          </w:p>
        </w:tc>
        <w:tc>
          <w:tcPr>
            <w:tcW w:w="872" w:type="dxa"/>
            <w:vAlign w:val="center"/>
            <w:textDirection w:val="lrTb"/>
            <w:noWrap w:val="false"/>
          </w:tcPr>
          <w:p>
            <w:pPr>
              <w:pStyle w:val="1003"/>
              <w:rPr>
                <w:highlight w:val="none"/>
              </w:rPr>
            </w:pPr>
            <w:r>
              <w:rPr>
                <w:highlight w:val="none"/>
              </w:rPr>
              <w:t xml:space="preserve">30</w:t>
            </w:r>
            <w:r/>
          </w:p>
        </w:tc>
      </w:tr>
      <w:tr>
        <w:trPr/>
        <w:tc>
          <w:tcPr>
            <w:tcW w:w="1346" w:type="dxa"/>
            <w:vAlign w:val="center"/>
            <w:textDirection w:val="lrTb"/>
            <w:noWrap w:val="false"/>
          </w:tcPr>
          <w:p>
            <w:pPr>
              <w:pStyle w:val="1003"/>
              <w:rPr>
                <w:highlight w:val="none"/>
              </w:rPr>
            </w:pPr>
            <w:r>
              <w:rPr>
                <w:rFonts w:hint="eastAsia"/>
                <w:highlight w:val="none"/>
              </w:rPr>
              <w:t xml:space="preserve">技术部分</w:t>
            </w:r>
            <w:r/>
          </w:p>
          <w:p>
            <w:pPr>
              <w:pStyle w:val="1003"/>
              <w:rPr>
                <w:highlight w:val="none"/>
              </w:rPr>
            </w:pPr>
            <w:r>
              <w:rPr>
                <w:rFonts w:hint="eastAsia"/>
                <w:highlight w:val="none"/>
              </w:rPr>
              <w:t xml:space="preserve">（</w:t>
            </w:r>
            <w:r>
              <w:rPr>
                <w:rFonts w:hint="eastAsia"/>
                <w:highlight w:val="none"/>
                <w:lang w:val="en-US" w:eastAsia="zh-CN"/>
              </w:rPr>
              <w:t xml:space="preserve">40</w:t>
            </w:r>
            <w:r>
              <w:rPr>
                <w:rFonts w:hint="eastAsia"/>
                <w:highlight w:val="none"/>
              </w:rPr>
              <w:t xml:space="preserve">分）</w:t>
            </w:r>
            <w:r/>
          </w:p>
        </w:tc>
        <w:tc>
          <w:tcPr>
            <w:tcW w:w="1218" w:type="dxa"/>
            <w:vAlign w:val="center"/>
            <w:textDirection w:val="lrTb"/>
            <w:noWrap w:val="false"/>
          </w:tcPr>
          <w:p>
            <w:pPr>
              <w:pStyle w:val="1003"/>
              <w:jc w:val="center"/>
              <w:rPr>
                <w:highlight w:val="none"/>
              </w:rPr>
            </w:pPr>
            <w:r>
              <w:rPr>
                <w:rFonts w:hint="eastAsia"/>
                <w:highlight w:val="none"/>
              </w:rPr>
              <w:t xml:space="preserve">技术</w:t>
            </w:r>
            <w:r/>
          </w:p>
          <w:p>
            <w:pPr>
              <w:pStyle w:val="1003"/>
              <w:jc w:val="center"/>
              <w:rPr>
                <w:highlight w:val="none"/>
              </w:rPr>
            </w:pPr>
            <w:r>
              <w:rPr>
                <w:rFonts w:hint="eastAsia"/>
                <w:highlight w:val="none"/>
              </w:rPr>
              <w:t xml:space="preserve">响应</w:t>
            </w:r>
            <w:r/>
          </w:p>
        </w:tc>
        <w:tc>
          <w:tcPr>
            <w:tcW w:w="5716" w:type="dxa"/>
            <w:vAlign w:val="center"/>
            <w:textDirection w:val="lrTb"/>
            <w:noWrap w:val="false"/>
          </w:tcPr>
          <w:p>
            <w:pPr>
              <w:rPr>
                <w:rFonts w:hint="eastAsia" w:ascii="宋体" w:hAnsi="宋体" w:eastAsia="宋体" w:cstheme="minorBidi"/>
                <w:iCs/>
                <w:sz w:val="24"/>
                <w:szCs w:val="22"/>
                <w:highlight w:val="none"/>
                <w:shd w:val="clear" w:color="auto" w:fill="ffffff" w:themeFill="background1"/>
                <w:lang w:val="zh-CN" w:eastAsia="zh-CN" w:bidi="ar-SA"/>
              </w:rPr>
            </w:pPr>
            <w:r>
              <w:rPr>
                <w:rFonts w:hint="eastAsia" w:ascii="宋体" w:hAnsi="宋体" w:eastAsia="宋体" w:cstheme="minorBidi"/>
                <w:iCs/>
                <w:sz w:val="24"/>
                <w:szCs w:val="22"/>
                <w:highlight w:val="none"/>
                <w:shd w:val="clear" w:color="auto" w:fill="ffffff" w:themeFill="background1"/>
                <w:lang w:val="zh-CN" w:eastAsia="zh-CN" w:bidi="ar-SA"/>
              </w:rPr>
              <w:t xml:space="preserve">评委根据投标文件中《技术要求响应及偏离表》之款二技术规格及款三商务服务条款，结合投标文件提供的佐证材料等进行评审：</w:t>
            </w:r>
            <w:r/>
          </w:p>
          <w:p>
            <w:pPr>
              <w:rPr>
                <w:rFonts w:cs="宋体"/>
                <w:color w:val="000000" w:themeColor="text1"/>
                <w:sz w:val="24"/>
                <w:szCs w:val="24"/>
                <w:highlight w:val="none"/>
                <w14:textFill>
                  <w14:solidFill>
                    <w14:schemeClr w14:val="tx1"/>
                  </w14:solidFill>
                </w14:textFill>
              </w:rPr>
            </w:pPr>
            <w:r>
              <w:rPr>
                <w:rFonts w:hint="eastAsia" w:ascii="宋体" w:hAnsi="宋体" w:eastAsia="宋体" w:cstheme="minorBidi"/>
                <w:iCs/>
                <w:sz w:val="24"/>
                <w:szCs w:val="22"/>
                <w:highlight w:val="none"/>
                <w:shd w:val="clear" w:color="auto" w:fill="ffffff" w:themeFill="background1"/>
                <w:lang w:val="zh-CN" w:eastAsia="zh-CN" w:bidi="ar-SA"/>
              </w:rPr>
              <w:t xml:space="preserve">完全满足招标文件要求的得</w:t>
            </w:r>
            <w:r>
              <w:rPr>
                <w:rFonts w:hint="eastAsia" w:ascii="宋体" w:hAnsi="宋体" w:cstheme="minorBidi"/>
                <w:iCs/>
                <w:sz w:val="24"/>
                <w:szCs w:val="22"/>
                <w:highlight w:val="none"/>
                <w:shd w:val="clear" w:color="auto" w:fill="ffffff" w:themeFill="background1"/>
                <w:lang w:val="en-US" w:eastAsia="zh-CN" w:bidi="ar-SA"/>
              </w:rPr>
              <w:t xml:space="preserve">40</w:t>
            </w:r>
            <w:r>
              <w:rPr>
                <w:rFonts w:hint="eastAsia" w:ascii="宋体" w:hAnsi="宋体" w:eastAsia="宋体" w:cstheme="minorBidi"/>
                <w:iCs/>
                <w:sz w:val="24"/>
                <w:szCs w:val="22"/>
                <w:highlight w:val="none"/>
                <w:shd w:val="clear" w:color="auto" w:fill="ffffff" w:themeFill="background1"/>
                <w:lang w:val="zh-CN" w:eastAsia="zh-CN" w:bidi="ar-SA"/>
              </w:rPr>
              <w:t xml:space="preserve">分（“▲”符号的为重要指标共有</w:t>
            </w:r>
            <w:r>
              <w:rPr>
                <w:rFonts w:hint="eastAsia" w:ascii="宋体" w:hAnsi="宋体" w:cstheme="minorBidi"/>
                <w:iCs/>
                <w:sz w:val="24"/>
                <w:szCs w:val="22"/>
                <w:highlight w:val="none"/>
                <w:shd w:val="clear" w:color="auto" w:fill="ffffff" w:themeFill="background1"/>
                <w:lang w:val="en-US" w:eastAsia="zh-CN" w:bidi="ar-SA"/>
              </w:rPr>
              <w:t xml:space="preserve">10</w:t>
            </w:r>
            <w:r>
              <w:rPr>
                <w:rFonts w:hint="eastAsia" w:ascii="宋体" w:hAnsi="宋体" w:eastAsia="宋体" w:cstheme="minorBidi"/>
                <w:iCs/>
                <w:sz w:val="24"/>
                <w:szCs w:val="22"/>
                <w:highlight w:val="none"/>
                <w:shd w:val="clear" w:color="auto" w:fill="ffffff" w:themeFill="background1"/>
                <w:lang w:val="zh-CN" w:eastAsia="zh-CN" w:bidi="ar-SA"/>
              </w:rPr>
              <w:t xml:space="preserve">项总分</w:t>
            </w:r>
            <w:r>
              <w:rPr>
                <w:rFonts w:hint="eastAsia" w:ascii="宋体" w:hAnsi="宋体" w:cstheme="minorBidi"/>
                <w:iCs/>
                <w:sz w:val="24"/>
                <w:szCs w:val="22"/>
                <w:highlight w:val="none"/>
                <w:shd w:val="clear" w:color="auto" w:fill="ffffff" w:themeFill="background1"/>
                <w:lang w:val="en-US" w:eastAsia="zh-CN" w:bidi="ar-SA"/>
              </w:rPr>
              <w:t xml:space="preserve">20</w:t>
            </w:r>
            <w:r>
              <w:rPr>
                <w:rFonts w:hint="eastAsia" w:ascii="宋体" w:hAnsi="宋体" w:eastAsia="宋体" w:cstheme="minorBidi"/>
                <w:iCs/>
                <w:sz w:val="24"/>
                <w:szCs w:val="22"/>
                <w:highlight w:val="none"/>
                <w:shd w:val="clear" w:color="auto" w:fill="ffffff" w:themeFill="background1"/>
                <w:lang w:val="zh-CN" w:eastAsia="zh-CN" w:bidi="ar-SA"/>
              </w:rPr>
              <w:t xml:space="preserve">分，其他为一般指标计</w:t>
            </w:r>
            <w:r>
              <w:rPr>
                <w:rFonts w:hint="eastAsia" w:ascii="宋体" w:hAnsi="宋体" w:cstheme="minorBidi"/>
                <w:iCs/>
                <w:sz w:val="24"/>
                <w:szCs w:val="22"/>
                <w:highlight w:val="none"/>
                <w:shd w:val="clear" w:color="auto" w:fill="ffffff" w:themeFill="background1"/>
                <w:lang w:val="en-US" w:eastAsia="zh-CN" w:bidi="ar-SA"/>
              </w:rPr>
              <w:t xml:space="preserve">40</w:t>
            </w:r>
            <w:r>
              <w:rPr>
                <w:rFonts w:hint="eastAsia" w:ascii="宋体" w:hAnsi="宋体" w:eastAsia="宋体" w:cstheme="minorBidi"/>
                <w:iCs/>
                <w:sz w:val="24"/>
                <w:szCs w:val="22"/>
                <w:highlight w:val="none"/>
                <w:shd w:val="clear" w:color="auto" w:fill="ffffff" w:themeFill="background1"/>
                <w:lang w:val="zh-CN" w:eastAsia="zh-CN" w:bidi="ar-SA"/>
              </w:rPr>
              <w:t xml:space="preserve">项总分</w:t>
            </w:r>
            <w:r>
              <w:rPr>
                <w:rFonts w:hint="eastAsia" w:ascii="宋体" w:hAnsi="宋体" w:cstheme="minorBidi"/>
                <w:iCs/>
                <w:sz w:val="24"/>
                <w:szCs w:val="22"/>
                <w:highlight w:val="none"/>
                <w:shd w:val="clear" w:color="auto" w:fill="ffffff" w:themeFill="background1"/>
                <w:lang w:val="en-US" w:eastAsia="zh-CN" w:bidi="ar-SA"/>
              </w:rPr>
              <w:t xml:space="preserve">20</w:t>
            </w:r>
            <w:r>
              <w:rPr>
                <w:rFonts w:hint="eastAsia" w:ascii="宋体" w:hAnsi="宋体" w:eastAsia="宋体" w:cstheme="minorBidi"/>
                <w:iCs/>
                <w:sz w:val="24"/>
                <w:szCs w:val="22"/>
                <w:highlight w:val="none"/>
                <w:shd w:val="clear" w:color="auto" w:fill="ffffff" w:themeFill="background1"/>
                <w:lang w:val="zh-CN" w:eastAsia="zh-CN" w:bidi="ar-SA"/>
              </w:rPr>
              <w:t xml:space="preserve">分）；正偏离不加分，重要指标每负偏离一项扣</w:t>
            </w:r>
            <w:r>
              <w:rPr>
                <w:rFonts w:hint="eastAsia" w:ascii="宋体" w:hAnsi="宋体" w:cstheme="minorBidi"/>
                <w:iCs/>
                <w:sz w:val="24"/>
                <w:szCs w:val="22"/>
                <w:highlight w:val="none"/>
                <w:shd w:val="clear" w:color="auto" w:fill="ffffff" w:themeFill="background1"/>
                <w:lang w:val="en-US" w:eastAsia="zh-CN" w:bidi="ar-SA"/>
              </w:rPr>
              <w:t xml:space="preserve">2</w:t>
            </w:r>
            <w:r>
              <w:rPr>
                <w:rFonts w:hint="eastAsia" w:ascii="宋体" w:hAnsi="宋体" w:eastAsia="宋体" w:cstheme="minorBidi"/>
                <w:iCs/>
                <w:sz w:val="24"/>
                <w:szCs w:val="22"/>
                <w:highlight w:val="none"/>
                <w:shd w:val="clear" w:color="auto" w:fill="ffffff" w:themeFill="background1"/>
                <w:lang w:val="zh-CN" w:eastAsia="zh-CN" w:bidi="ar-SA"/>
              </w:rPr>
              <w:t xml:space="preserve">分，一般指标每条</w:t>
            </w:r>
            <w:r>
              <w:rPr>
                <w:rFonts w:hint="eastAsia" w:ascii="宋体" w:hAnsi="宋体" w:cstheme="minorBidi"/>
                <w:iCs/>
                <w:sz w:val="24"/>
                <w:szCs w:val="22"/>
                <w:highlight w:val="none"/>
                <w:shd w:val="clear" w:color="auto" w:fill="ffffff" w:themeFill="background1"/>
                <w:lang w:val="en-US" w:eastAsia="zh-CN" w:bidi="ar-SA"/>
              </w:rPr>
              <w:t xml:space="preserve">0.5</w:t>
            </w:r>
            <w:r>
              <w:rPr>
                <w:rFonts w:hint="eastAsia" w:ascii="宋体" w:hAnsi="宋体" w:eastAsia="宋体" w:cstheme="minorBidi"/>
                <w:iCs/>
                <w:sz w:val="24"/>
                <w:szCs w:val="22"/>
                <w:highlight w:val="none"/>
                <w:shd w:val="clear" w:color="auto" w:fill="ffffff" w:themeFill="background1"/>
                <w:lang w:val="zh-CN" w:eastAsia="zh-CN" w:bidi="ar-SA"/>
              </w:rPr>
              <w:t xml:space="preserve">分，直至扣完为止；</w:t>
            </w:r>
            <w:r>
              <w:rPr>
                <w:rFonts w:hint="eastAsia" w:ascii="宋体" w:hAnsi="宋体" w:cs="宋体"/>
                <w:b/>
                <w:bCs/>
                <w:sz w:val="22"/>
                <w:szCs w:val="22"/>
                <w:highlight w:val="none"/>
              </w:rPr>
              <w:t xml:space="preserve">（注：带“</w:t>
            </w:r>
            <w:r>
              <w:rPr>
                <w:rFonts w:hint="eastAsia"/>
                <w:sz w:val="24"/>
                <w:szCs w:val="24"/>
                <w:highlight w:val="none"/>
              </w:rPr>
              <w:t xml:space="preserve">▲</w:t>
            </w:r>
            <w:r>
              <w:rPr>
                <w:rFonts w:hint="eastAsia" w:ascii="宋体" w:hAnsi="宋体" w:cs="宋体"/>
                <w:b/>
                <w:bCs/>
                <w:sz w:val="22"/>
                <w:szCs w:val="22"/>
                <w:highlight w:val="none"/>
              </w:rPr>
              <w:t xml:space="preserve">”项重要技术参数须根据“项目技术要求”中的要求在投标文件中提供相关证明材料作为佐证，如未提供或不符合要求的则视为</w:t>
            </w:r>
            <w:r>
              <w:rPr>
                <w:rFonts w:hint="eastAsia" w:ascii="宋体" w:hAnsi="宋体" w:cs="宋体"/>
                <w:b/>
                <w:bCs/>
                <w:sz w:val="22"/>
                <w:szCs w:val="22"/>
                <w:highlight w:val="none"/>
                <w:lang w:val="en-US" w:eastAsia="zh-CN"/>
              </w:rPr>
              <w:t xml:space="preserve">该项</w:t>
            </w:r>
            <w:r>
              <w:rPr>
                <w:rFonts w:hint="eastAsia" w:ascii="宋体" w:hAnsi="宋体" w:cs="宋体"/>
                <w:b/>
                <w:bCs/>
                <w:sz w:val="22"/>
                <w:szCs w:val="22"/>
                <w:highlight w:val="none"/>
              </w:rPr>
              <w:t xml:space="preserve">负偏离。</w:t>
            </w:r>
            <w:r>
              <w:rPr>
                <w:rFonts w:hint="eastAsia" w:ascii="宋体" w:hAnsi="宋体" w:cs="宋体"/>
                <w:b/>
                <w:bCs/>
                <w:sz w:val="22"/>
                <w:szCs w:val="22"/>
                <w:highlight w:val="none"/>
                <w:lang w:eastAsia="en-US"/>
              </w:rPr>
              <w:t xml:space="preserve">）</w:t>
            </w:r>
            <w:r/>
          </w:p>
        </w:tc>
        <w:tc>
          <w:tcPr>
            <w:tcW w:w="872" w:type="dxa"/>
            <w:vAlign w:val="center"/>
            <w:textDirection w:val="lrTb"/>
            <w:noWrap w:val="false"/>
          </w:tcPr>
          <w:p>
            <w:pPr>
              <w:pStyle w:val="1003"/>
              <w:rPr>
                <w:rFonts w:hint="default" w:eastAsia="宋体"/>
                <w:highlight w:val="none"/>
                <w:lang w:val="en-US" w:eastAsia="zh-CN"/>
              </w:rPr>
            </w:pPr>
            <w:r>
              <w:rPr>
                <w:rFonts w:hint="eastAsia"/>
                <w:highlight w:val="none"/>
                <w:lang w:val="en-US" w:eastAsia="zh-CN"/>
              </w:rPr>
              <w:t xml:space="preserve">40</w:t>
            </w:r>
            <w:r/>
          </w:p>
        </w:tc>
      </w:tr>
      <w:tr>
        <w:trPr/>
        <w:tc>
          <w:tcPr>
            <w:tcW w:w="1346" w:type="dxa"/>
            <w:vAlign w:val="center"/>
            <w:vMerge w:val="restart"/>
            <w:textDirection w:val="lrTb"/>
            <w:noWrap w:val="false"/>
          </w:tcPr>
          <w:p>
            <w:pPr>
              <w:pStyle w:val="1003"/>
              <w:rPr>
                <w:highlight w:val="none"/>
              </w:rPr>
            </w:pPr>
            <w:r>
              <w:rPr>
                <w:highlight w:val="none"/>
              </w:rPr>
            </w:r>
            <w:r/>
          </w:p>
          <w:p>
            <w:pPr>
              <w:pStyle w:val="1003"/>
              <w:rPr>
                <w:highlight w:val="none"/>
              </w:rPr>
            </w:pPr>
            <w:r>
              <w:rPr>
                <w:rFonts w:hint="eastAsia"/>
                <w:highlight w:val="none"/>
              </w:rPr>
              <w:t xml:space="preserve">商务部分</w:t>
            </w:r>
            <w:r/>
          </w:p>
          <w:p>
            <w:pPr>
              <w:pStyle w:val="1003"/>
              <w:rPr>
                <w:highlight w:val="none"/>
              </w:rPr>
            </w:pPr>
            <w:r>
              <w:rPr>
                <w:rFonts w:hint="eastAsia"/>
                <w:highlight w:val="none"/>
              </w:rPr>
              <w:t xml:space="preserve">（</w:t>
            </w:r>
            <w:r>
              <w:rPr>
                <w:rFonts w:hint="eastAsia"/>
                <w:highlight w:val="none"/>
                <w:lang w:val="en-US" w:eastAsia="zh-CN"/>
              </w:rPr>
              <w:t xml:space="preserve">30</w:t>
            </w:r>
            <w:r>
              <w:rPr>
                <w:rFonts w:hint="eastAsia"/>
                <w:highlight w:val="none"/>
              </w:rPr>
              <w:t xml:space="preserve">分）</w:t>
            </w:r>
            <w:r/>
          </w:p>
        </w:tc>
        <w:tc>
          <w:tcPr>
            <w:tcW w:w="1218" w:type="dxa"/>
            <w:vAlign w:val="center"/>
            <w:textDirection w:val="lrTb"/>
            <w:noWrap w:val="false"/>
          </w:tcPr>
          <w:p>
            <w:pPr>
              <w:pStyle w:val="1003"/>
              <w:jc w:val="center"/>
              <w:rPr>
                <w:rFonts w:hint="eastAsia"/>
                <w:strike w:val="0"/>
                <w:color w:val="auto"/>
                <w:highlight w:val="none"/>
                <w:lang w:val="en-US" w:eastAsia="zh-CN"/>
              </w:rPr>
            </w:pPr>
            <w:r>
              <w:rPr>
                <w:rFonts w:hint="eastAsia"/>
                <w:strike w:val="0"/>
                <w:color w:val="auto"/>
                <w:highlight w:val="none"/>
                <w:lang w:val="en-US" w:eastAsia="zh-CN"/>
              </w:rPr>
              <w:t xml:space="preserve">整体</w:t>
            </w:r>
            <w:r/>
          </w:p>
          <w:p>
            <w:pPr>
              <w:pStyle w:val="1003"/>
              <w:jc w:val="center"/>
              <w:rPr>
                <w:rFonts w:hint="default" w:eastAsia="宋体"/>
                <w:strike w:val="0"/>
                <w:color w:val="auto"/>
                <w:highlight w:val="none"/>
                <w:lang w:val="en-US" w:eastAsia="zh-CN"/>
              </w:rPr>
            </w:pPr>
            <w:r>
              <w:rPr>
                <w:rFonts w:hint="eastAsia"/>
                <w:strike w:val="0"/>
                <w:color w:val="auto"/>
                <w:highlight w:val="none"/>
                <w:lang w:val="en-US" w:eastAsia="zh-CN"/>
              </w:rPr>
              <w:t xml:space="preserve">规划</w:t>
            </w:r>
            <w:r/>
          </w:p>
        </w:tc>
        <w:tc>
          <w:tcPr>
            <w:tcW w:w="5716" w:type="dxa"/>
            <w:vAlign w:val="center"/>
            <w:textDirection w:val="lrTb"/>
            <w:noWrap w:val="false"/>
          </w:tcPr>
          <w:p>
            <w:pPr>
              <w:rPr>
                <w:strike w:val="0"/>
                <w:color w:val="auto"/>
                <w:sz w:val="24"/>
                <w:szCs w:val="24"/>
                <w:highlight w:val="none"/>
              </w:rPr>
            </w:pPr>
            <w:r>
              <w:rPr>
                <w:rFonts w:hint="eastAsia"/>
                <w:strike w:val="0"/>
                <w:color w:val="auto"/>
                <w:sz w:val="24"/>
                <w:szCs w:val="24"/>
                <w:highlight w:val="none"/>
              </w:rPr>
              <w:t xml:space="preserve">根据投标人提供针对本项目的</w:t>
            </w:r>
            <w:r>
              <w:rPr>
                <w:rFonts w:hint="eastAsia"/>
                <w:b/>
                <w:strike w:val="0"/>
                <w:color w:val="auto"/>
                <w:sz w:val="24"/>
                <w:szCs w:val="24"/>
                <w:highlight w:val="none"/>
                <w:u w:val="single"/>
                <w:lang w:val="en-US" w:eastAsia="zh-CN"/>
              </w:rPr>
              <w:t xml:space="preserve">整体规划</w:t>
            </w:r>
            <w:r>
              <w:rPr>
                <w:rFonts w:hint="eastAsia"/>
                <w:strike w:val="0"/>
                <w:color w:val="auto"/>
                <w:sz w:val="24"/>
                <w:szCs w:val="24"/>
                <w:highlight w:val="none"/>
              </w:rPr>
              <w:t xml:space="preserve">进行打分，内容包括但不限于：</w:t>
            </w:r>
            <w:r>
              <w:rPr>
                <w:rFonts w:hint="eastAsia"/>
                <w:b/>
                <w:strike w:val="0"/>
                <w:color w:val="auto"/>
                <w:sz w:val="24"/>
                <w:szCs w:val="24"/>
                <w:highlight w:val="none"/>
              </w:rPr>
              <w:t xml:space="preserve">系统建设背景、建设要求</w:t>
            </w:r>
            <w:r>
              <w:rPr>
                <w:rFonts w:hint="eastAsia"/>
                <w:b/>
                <w:strike w:val="0"/>
                <w:color w:val="auto"/>
                <w:sz w:val="24"/>
                <w:szCs w:val="24"/>
                <w:highlight w:val="none"/>
                <w:lang w:eastAsia="zh-CN"/>
              </w:rPr>
              <w:t xml:space="preserve">、</w:t>
            </w:r>
            <w:r>
              <w:rPr>
                <w:rFonts w:hint="eastAsia"/>
                <w:b/>
                <w:strike w:val="0"/>
                <w:color w:val="auto"/>
                <w:sz w:val="24"/>
                <w:szCs w:val="24"/>
                <w:highlight w:val="none"/>
                <w:lang w:val="en-US" w:eastAsia="zh-CN"/>
              </w:rPr>
              <w:t xml:space="preserve">数据安全、执行规范</w:t>
            </w:r>
            <w:r>
              <w:rPr>
                <w:rFonts w:hint="eastAsia"/>
                <w:b/>
                <w:strike w:val="0"/>
                <w:color w:val="auto"/>
                <w:sz w:val="24"/>
                <w:szCs w:val="24"/>
                <w:highlight w:val="none"/>
              </w:rPr>
              <w:t xml:space="preserve">、总体思路和对120指挥调度系统业务关联配套使用的要求</w:t>
            </w:r>
            <w:r>
              <w:rPr>
                <w:rFonts w:hint="eastAsia"/>
                <w:strike w:val="0"/>
                <w:color w:val="auto"/>
                <w:sz w:val="24"/>
                <w:szCs w:val="24"/>
                <w:highlight w:val="none"/>
              </w:rPr>
              <w:t xml:space="preserve">。</w:t>
            </w:r>
            <w:r/>
          </w:p>
          <w:p>
            <w:pPr>
              <w:rPr>
                <w:strike w:val="0"/>
                <w:color w:val="auto"/>
                <w:sz w:val="24"/>
                <w:szCs w:val="24"/>
                <w:highlight w:val="none"/>
              </w:rPr>
            </w:pPr>
            <w:r/>
            <w:bookmarkStart w:id="64" w:name="OLE_LINK3"/>
            <w:r>
              <w:rPr>
                <w:rFonts w:hint="eastAsia"/>
                <w:strike w:val="0"/>
                <w:color w:val="auto"/>
                <w:sz w:val="24"/>
                <w:szCs w:val="24"/>
                <w:highlight w:val="none"/>
              </w:rPr>
              <w:t xml:space="preserve">以上相关内容每有一项内容完整详细，条理清晰且符合采购实际需求的得</w:t>
            </w:r>
            <w:r>
              <w:rPr>
                <w:rFonts w:hint="eastAsia"/>
                <w:strike w:val="0"/>
                <w:color w:val="auto"/>
                <w:sz w:val="24"/>
                <w:szCs w:val="24"/>
                <w:highlight w:val="none"/>
                <w:lang w:val="en-US" w:eastAsia="zh-CN"/>
              </w:rPr>
              <w:t xml:space="preserve">0.5</w:t>
            </w:r>
            <w:r>
              <w:rPr>
                <w:rFonts w:hint="eastAsia"/>
                <w:strike w:val="0"/>
                <w:color w:val="auto"/>
                <w:sz w:val="24"/>
                <w:szCs w:val="24"/>
                <w:highlight w:val="none"/>
              </w:rPr>
              <w:t xml:space="preserve">分，满分</w:t>
            </w:r>
            <w:r>
              <w:rPr>
                <w:rFonts w:hint="eastAsia"/>
                <w:strike w:val="0"/>
                <w:color w:val="auto"/>
                <w:sz w:val="24"/>
                <w:szCs w:val="24"/>
                <w:highlight w:val="none"/>
                <w:lang w:val="en-US" w:eastAsia="zh-CN"/>
              </w:rPr>
              <w:t xml:space="preserve">3</w:t>
            </w:r>
            <w:r>
              <w:rPr>
                <w:rFonts w:hint="eastAsia"/>
                <w:strike w:val="0"/>
                <w:color w:val="auto"/>
                <w:sz w:val="24"/>
                <w:szCs w:val="24"/>
                <w:highlight w:val="none"/>
              </w:rPr>
              <w:t xml:space="preserve">分。</w:t>
            </w:r>
            <w:r/>
          </w:p>
          <w:p>
            <w:pPr>
              <w:rPr>
                <w:strike w:val="0"/>
                <w:color w:val="auto"/>
                <w:sz w:val="24"/>
                <w:szCs w:val="24"/>
                <w:highlight w:val="none"/>
              </w:rPr>
            </w:pPr>
            <w:r>
              <w:rPr>
                <w:rFonts w:hint="eastAsia"/>
                <w:strike w:val="0"/>
                <w:color w:val="auto"/>
                <w:sz w:val="24"/>
                <w:szCs w:val="24"/>
                <w:highlight w:val="none"/>
              </w:rPr>
              <w:t xml:space="preserve">每一项内容出现一处存在缺陷的扣0.5分，缺项不得分。(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bookmarkEnd w:id="64"/>
            <w:r/>
            <w:r/>
          </w:p>
        </w:tc>
        <w:tc>
          <w:tcPr>
            <w:tcW w:w="872" w:type="dxa"/>
            <w:vAlign w:val="center"/>
            <w:textDirection w:val="lrTb"/>
            <w:noWrap w:val="false"/>
          </w:tcPr>
          <w:p>
            <w:pPr>
              <w:pStyle w:val="1003"/>
              <w:rPr>
                <w:rFonts w:hint="eastAsia" w:eastAsia="宋体"/>
                <w:strike/>
                <w:highlight w:val="none"/>
                <w:lang w:eastAsia="zh-CN"/>
              </w:rPr>
            </w:pPr>
            <w:r>
              <w:rPr>
                <w:rFonts w:hint="eastAsia"/>
                <w:strike w:val="0"/>
                <w:color w:val="auto"/>
                <w:highlight w:val="none"/>
                <w:lang w:val="en-US" w:eastAsia="zh-CN"/>
              </w:rPr>
              <w:t xml:space="preserve">3</w:t>
            </w:r>
            <w:r/>
          </w:p>
        </w:tc>
      </w:tr>
      <w:tr>
        <w:trPr/>
        <w:tc>
          <w:tcPr>
            <w:tcW w:w="1346" w:type="dxa"/>
            <w:vAlign w:val="center"/>
            <w:vMerge w:val="continue"/>
            <w:textDirection w:val="lrTb"/>
            <w:noWrap w:val="false"/>
          </w:tcPr>
          <w:p>
            <w:pPr>
              <w:pStyle w:val="1003"/>
              <w:rPr>
                <w:highlight w:val="none"/>
              </w:rPr>
            </w:pPr>
            <w:r>
              <w:rPr>
                <w:highlight w:val="none"/>
              </w:rPr>
            </w:r>
            <w:r/>
          </w:p>
        </w:tc>
        <w:tc>
          <w:tcPr>
            <w:tcW w:w="1218" w:type="dxa"/>
            <w:vAlign w:val="center"/>
            <w:textDirection w:val="lrTb"/>
            <w:noWrap w:val="false"/>
          </w:tcPr>
          <w:p>
            <w:pPr>
              <w:pStyle w:val="1003"/>
              <w:jc w:val="center"/>
              <w:rPr>
                <w:strike w:val="0"/>
                <w:color w:val="auto"/>
                <w:highlight w:val="none"/>
              </w:rPr>
            </w:pPr>
            <w:r>
              <w:rPr>
                <w:rFonts w:hint="eastAsia"/>
                <w:strike w:val="0"/>
                <w:color w:val="auto"/>
                <w:highlight w:val="none"/>
              </w:rPr>
              <w:t xml:space="preserve">售后</w:t>
            </w:r>
            <w:r/>
          </w:p>
          <w:p>
            <w:pPr>
              <w:pStyle w:val="1003"/>
              <w:jc w:val="center"/>
              <w:rPr>
                <w:strike w:val="0"/>
                <w:color w:val="auto"/>
                <w:highlight w:val="none"/>
              </w:rPr>
            </w:pPr>
            <w:r>
              <w:rPr>
                <w:rFonts w:hint="eastAsia"/>
                <w:strike w:val="0"/>
                <w:color w:val="auto"/>
                <w:highlight w:val="none"/>
              </w:rPr>
              <w:t xml:space="preserve">服务</w:t>
            </w:r>
            <w:r/>
          </w:p>
        </w:tc>
        <w:tc>
          <w:tcPr>
            <w:tcW w:w="5716" w:type="dxa"/>
            <w:vAlign w:val="center"/>
            <w:textDirection w:val="lrTb"/>
            <w:noWrap w:val="false"/>
          </w:tcPr>
          <w:p>
            <w:pPr>
              <w:rPr>
                <w:strike w:val="0"/>
                <w:color w:val="auto"/>
                <w:sz w:val="24"/>
                <w:szCs w:val="24"/>
                <w:highlight w:val="none"/>
              </w:rPr>
            </w:pPr>
            <w:r>
              <w:rPr>
                <w:rFonts w:hint="eastAsia"/>
                <w:strike w:val="0"/>
                <w:color w:val="auto"/>
                <w:sz w:val="24"/>
                <w:szCs w:val="24"/>
                <w:highlight w:val="none"/>
              </w:rPr>
              <w:t xml:space="preserve">根据投标人提供针对本项目的</w:t>
            </w:r>
            <w:r>
              <w:rPr>
                <w:rFonts w:hint="eastAsia"/>
                <w:b/>
                <w:strike w:val="0"/>
                <w:color w:val="auto"/>
                <w:sz w:val="24"/>
                <w:szCs w:val="24"/>
                <w:highlight w:val="none"/>
                <w:u w:val="single"/>
              </w:rPr>
              <w:t xml:space="preserve">售后服务</w:t>
            </w:r>
            <w:r>
              <w:rPr>
                <w:rFonts w:hint="eastAsia"/>
                <w:strike w:val="0"/>
                <w:color w:val="auto"/>
                <w:sz w:val="24"/>
                <w:szCs w:val="24"/>
                <w:highlight w:val="none"/>
              </w:rPr>
              <w:t xml:space="preserve">进行打分，内容需包括但不限于：</w:t>
            </w:r>
            <w:r>
              <w:rPr>
                <w:rFonts w:hint="eastAsia"/>
                <w:b/>
                <w:strike w:val="0"/>
                <w:color w:val="auto"/>
                <w:sz w:val="24"/>
                <w:szCs w:val="24"/>
                <w:highlight w:val="none"/>
              </w:rPr>
              <w:t xml:space="preserve">售后服务承诺和保证、售后服务保证体系、</w:t>
            </w:r>
            <w:r>
              <w:rPr>
                <w:rFonts w:hint="eastAsia"/>
                <w:b/>
                <w:strike w:val="0"/>
                <w:color w:val="auto"/>
                <w:sz w:val="24"/>
                <w:szCs w:val="24"/>
                <w:highlight w:val="none"/>
                <w:lang w:val="en-US" w:eastAsia="zh-CN"/>
              </w:rPr>
              <w:t xml:space="preserve">售后服务网点配置和响应时间、</w:t>
            </w:r>
            <w:r>
              <w:rPr>
                <w:rFonts w:hint="eastAsia"/>
                <w:b/>
                <w:strike w:val="0"/>
                <w:color w:val="auto"/>
                <w:sz w:val="24"/>
                <w:szCs w:val="24"/>
                <w:highlight w:val="none"/>
              </w:rPr>
              <w:t xml:space="preserve">遇重大技术问题中标人可提供现场技术支持、零配件优惠供应承诺。</w:t>
            </w:r>
            <w:r>
              <w:rPr>
                <w:rFonts w:hint="eastAsia"/>
                <w:strike w:val="0"/>
                <w:color w:val="auto"/>
                <w:sz w:val="24"/>
                <w:szCs w:val="24"/>
                <w:highlight w:val="none"/>
              </w:rPr>
              <w:t xml:space="preserve">满分</w:t>
            </w:r>
            <w:r>
              <w:rPr>
                <w:rFonts w:hint="eastAsia"/>
                <w:strike w:val="0"/>
                <w:color w:val="auto"/>
                <w:sz w:val="24"/>
                <w:szCs w:val="24"/>
                <w:highlight w:val="none"/>
                <w:lang w:val="en-US" w:eastAsia="zh-CN"/>
              </w:rPr>
              <w:t xml:space="preserve">3</w:t>
            </w:r>
            <w:r>
              <w:rPr>
                <w:rFonts w:hint="eastAsia"/>
                <w:strike w:val="0"/>
                <w:color w:val="auto"/>
                <w:sz w:val="24"/>
                <w:szCs w:val="24"/>
                <w:highlight w:val="none"/>
              </w:rPr>
              <w:t xml:space="preserve">分：</w:t>
            </w:r>
            <w:r/>
          </w:p>
          <w:p>
            <w:pPr>
              <w:rPr>
                <w:strike w:val="0"/>
                <w:color w:val="auto"/>
                <w:sz w:val="24"/>
                <w:szCs w:val="24"/>
                <w:highlight w:val="none"/>
              </w:rPr>
            </w:pPr>
            <w:r>
              <w:rPr>
                <w:rFonts w:hint="eastAsia"/>
                <w:strike w:val="0"/>
                <w:color w:val="auto"/>
                <w:sz w:val="24"/>
                <w:szCs w:val="24"/>
                <w:highlight w:val="none"/>
              </w:rPr>
              <w:t xml:space="preserve">以上相关内容每有一项内容完整详细，条理清晰且符合采购实际需求的得</w:t>
            </w:r>
            <w:r>
              <w:rPr>
                <w:rFonts w:hint="eastAsia"/>
                <w:strike w:val="0"/>
                <w:color w:val="auto"/>
                <w:sz w:val="24"/>
                <w:szCs w:val="24"/>
                <w:highlight w:val="none"/>
                <w:lang w:val="en-US" w:eastAsia="zh-CN"/>
              </w:rPr>
              <w:t xml:space="preserve">0.5</w:t>
            </w:r>
            <w:r>
              <w:rPr>
                <w:rFonts w:hint="eastAsia"/>
                <w:strike w:val="0"/>
                <w:color w:val="auto"/>
                <w:sz w:val="24"/>
                <w:szCs w:val="24"/>
                <w:highlight w:val="none"/>
              </w:rPr>
              <w:t xml:space="preserve">分，满分</w:t>
            </w:r>
            <w:r>
              <w:rPr>
                <w:rFonts w:hint="eastAsia"/>
                <w:strike w:val="0"/>
                <w:color w:val="auto"/>
                <w:sz w:val="24"/>
                <w:szCs w:val="24"/>
                <w:highlight w:val="none"/>
                <w:lang w:val="en-US" w:eastAsia="zh-CN"/>
              </w:rPr>
              <w:t xml:space="preserve">3</w:t>
            </w:r>
            <w:r>
              <w:rPr>
                <w:rFonts w:hint="eastAsia"/>
                <w:strike w:val="0"/>
                <w:color w:val="auto"/>
                <w:sz w:val="24"/>
                <w:szCs w:val="24"/>
                <w:highlight w:val="none"/>
              </w:rPr>
              <w:t xml:space="preserve">分。</w:t>
            </w:r>
            <w:r/>
          </w:p>
          <w:p>
            <w:pPr>
              <w:rPr>
                <w:strike w:val="0"/>
                <w:color w:val="auto"/>
                <w:sz w:val="24"/>
                <w:szCs w:val="24"/>
                <w:highlight w:val="none"/>
              </w:rPr>
            </w:pPr>
            <w:r>
              <w:rPr>
                <w:rFonts w:hint="eastAsia"/>
                <w:strike w:val="0"/>
                <w:color w:val="auto"/>
                <w:sz w:val="24"/>
                <w:szCs w:val="24"/>
                <w:highlight w:val="none"/>
              </w:rPr>
              <w:t xml:space="preserve">每一项内容出现一处存在缺陷的扣0.5分，缺项不得分。(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c>
          <w:tcPr>
            <w:tcW w:w="872" w:type="dxa"/>
            <w:vAlign w:val="center"/>
            <w:textDirection w:val="lrTb"/>
            <w:noWrap w:val="false"/>
          </w:tcPr>
          <w:p>
            <w:pPr>
              <w:pStyle w:val="1003"/>
              <w:rPr>
                <w:rFonts w:hint="eastAsia" w:eastAsia="宋体"/>
                <w:strike/>
                <w:highlight w:val="none"/>
                <w:lang w:eastAsia="zh-CN"/>
              </w:rPr>
            </w:pPr>
            <w:r>
              <w:rPr>
                <w:rFonts w:hint="eastAsia"/>
                <w:strike w:val="0"/>
                <w:highlight w:val="none"/>
                <w:lang w:val="en-US" w:eastAsia="zh-CN"/>
              </w:rPr>
              <w:t xml:space="preserve">3</w:t>
            </w:r>
            <w:r/>
          </w:p>
        </w:tc>
      </w:tr>
      <w:tr>
        <w:trPr/>
        <w:tc>
          <w:tcPr>
            <w:tcW w:w="1346" w:type="dxa"/>
            <w:vAlign w:val="center"/>
            <w:vMerge w:val="continue"/>
            <w:textDirection w:val="lrTb"/>
            <w:noWrap w:val="false"/>
          </w:tcPr>
          <w:p>
            <w:pPr>
              <w:pStyle w:val="1003"/>
              <w:rPr>
                <w:highlight w:val="none"/>
              </w:rPr>
            </w:pPr>
            <w:r>
              <w:rPr>
                <w:highlight w:val="none"/>
              </w:rPr>
            </w:r>
            <w:r/>
          </w:p>
        </w:tc>
        <w:tc>
          <w:tcPr>
            <w:tcW w:w="1218" w:type="dxa"/>
            <w:vAlign w:val="center"/>
            <w:textDirection w:val="lrTb"/>
            <w:noWrap w:val="false"/>
          </w:tcPr>
          <w:p>
            <w:pPr>
              <w:pStyle w:val="1003"/>
              <w:jc w:val="center"/>
              <w:rPr>
                <w:highlight w:val="none"/>
              </w:rPr>
            </w:pPr>
            <w:r>
              <w:rPr>
                <w:rFonts w:hint="eastAsia"/>
                <w:highlight w:val="none"/>
              </w:rPr>
              <w:t xml:space="preserve">综合</w:t>
            </w:r>
            <w:r/>
          </w:p>
          <w:p>
            <w:pPr>
              <w:pStyle w:val="1003"/>
              <w:jc w:val="center"/>
              <w:rPr>
                <w:highlight w:val="none"/>
              </w:rPr>
            </w:pPr>
            <w:r>
              <w:rPr>
                <w:rFonts w:hint="eastAsia"/>
                <w:highlight w:val="none"/>
              </w:rPr>
              <w:t xml:space="preserve">实力</w:t>
            </w:r>
            <w:r/>
          </w:p>
        </w:tc>
        <w:tc>
          <w:tcPr>
            <w:tcW w:w="5716" w:type="dxa"/>
            <w:vAlign w:val="center"/>
            <w:textDirection w:val="lrTb"/>
            <w:noWrap w:val="false"/>
          </w:tcPr>
          <w:p>
            <w:pPr>
              <w:rPr>
                <w:sz w:val="24"/>
                <w:szCs w:val="24"/>
                <w:highlight w:val="none"/>
              </w:rPr>
            </w:pPr>
            <w:r>
              <w:rPr>
                <w:rFonts w:hint="eastAsia" w:ascii="宋体" w:hAnsi="宋体"/>
                <w:color w:val="000000" w:themeColor="text1"/>
                <w:highlight w:val="none"/>
                <w14:textFill>
                  <w14:solidFill>
                    <w14:schemeClr w14:val="tx1"/>
                  </w14:solidFill>
                </w14:textFill>
              </w:rPr>
              <w:t xml:space="preserve">1</w:t>
            </w:r>
            <w:r>
              <w:rPr>
                <w:rFonts w:hint="eastAsia"/>
                <w:sz w:val="24"/>
                <w:szCs w:val="24"/>
                <w:highlight w:val="none"/>
              </w:rPr>
              <w:t xml:space="preserve">、投标人具有电子与智能化工程专业承包一级资质证书且在有效期以内的得</w:t>
            </w:r>
            <w:r>
              <w:rPr>
                <w:rFonts w:hint="eastAsia"/>
                <w:sz w:val="24"/>
                <w:szCs w:val="24"/>
                <w:highlight w:val="none"/>
                <w:lang w:val="en-US" w:eastAsia="zh-CN"/>
              </w:rPr>
              <w:t xml:space="preserve">4</w:t>
            </w:r>
            <w:r>
              <w:rPr>
                <w:rFonts w:hint="eastAsia"/>
                <w:sz w:val="24"/>
                <w:szCs w:val="24"/>
                <w:highlight w:val="none"/>
              </w:rPr>
              <w:t xml:space="preserve">分；具有电子与智能化工程专业承包二级资质证书且在有效期以内的得</w:t>
            </w:r>
            <w:r>
              <w:rPr>
                <w:rFonts w:hint="eastAsia"/>
                <w:sz w:val="24"/>
                <w:szCs w:val="24"/>
                <w:highlight w:val="none"/>
                <w:lang w:val="en-US" w:eastAsia="zh-CN"/>
              </w:rPr>
              <w:t xml:space="preserve">2</w:t>
            </w:r>
            <w:r>
              <w:rPr>
                <w:rFonts w:hint="eastAsia"/>
                <w:sz w:val="24"/>
                <w:szCs w:val="24"/>
                <w:highlight w:val="none"/>
              </w:rPr>
              <w:t xml:space="preserve">分。</w:t>
            </w:r>
            <w:r/>
          </w:p>
          <w:p>
            <w:pPr>
              <w:rPr>
                <w:sz w:val="24"/>
                <w:szCs w:val="24"/>
                <w:highlight w:val="none"/>
              </w:rPr>
            </w:pPr>
            <w:r>
              <w:rPr>
                <w:rFonts w:hint="eastAsia"/>
                <w:sz w:val="24"/>
                <w:szCs w:val="24"/>
                <w:highlight w:val="none"/>
              </w:rPr>
              <w:t xml:space="preserve">2、投标人具有信息系统服务交付能力（CCID）等级一级证书且在有效期以内的得</w:t>
            </w:r>
            <w:r>
              <w:rPr>
                <w:rFonts w:hint="eastAsia"/>
                <w:sz w:val="24"/>
                <w:szCs w:val="24"/>
                <w:highlight w:val="none"/>
                <w:lang w:val="en-US" w:eastAsia="zh-CN"/>
              </w:rPr>
              <w:t xml:space="preserve">3</w:t>
            </w:r>
            <w:r>
              <w:rPr>
                <w:rFonts w:hint="eastAsia"/>
                <w:sz w:val="24"/>
                <w:szCs w:val="24"/>
                <w:highlight w:val="none"/>
              </w:rPr>
              <w:t xml:space="preserve">分，具有信息系统服务交付能力（CCID）等级二级证书且在有效期以内的得</w:t>
            </w:r>
            <w:r>
              <w:rPr>
                <w:rFonts w:hint="eastAsia"/>
                <w:sz w:val="24"/>
                <w:szCs w:val="24"/>
                <w:highlight w:val="none"/>
                <w:lang w:val="en-US" w:eastAsia="zh-CN"/>
              </w:rPr>
              <w:t xml:space="preserve">2</w:t>
            </w:r>
            <w:r>
              <w:rPr>
                <w:rFonts w:hint="eastAsia"/>
                <w:sz w:val="24"/>
                <w:szCs w:val="24"/>
                <w:highlight w:val="none"/>
              </w:rPr>
              <w:t xml:space="preserve">分。</w:t>
            </w:r>
            <w:r/>
          </w:p>
          <w:p>
            <w:pPr>
              <w:rPr>
                <w:sz w:val="24"/>
                <w:szCs w:val="24"/>
                <w:highlight w:val="none"/>
              </w:rPr>
            </w:pPr>
            <w:r>
              <w:rPr>
                <w:rFonts w:hint="eastAsia"/>
                <w:sz w:val="24"/>
                <w:szCs w:val="24"/>
                <w:highlight w:val="none"/>
              </w:rPr>
              <w:t xml:space="preserve">3、投标人具有信息系统建设和服务能力(CS5)证书在有效期以内得2分,具有信息系统建设和服务能力(CS4)证书在有效期以内得1分。</w:t>
            </w:r>
            <w:r/>
          </w:p>
          <w:p>
            <w:pPr>
              <w:rPr>
                <w:sz w:val="24"/>
                <w:szCs w:val="24"/>
                <w:highlight w:val="none"/>
              </w:rPr>
            </w:pPr>
            <w:r>
              <w:rPr>
                <w:rFonts w:hint="eastAsia"/>
                <w:sz w:val="24"/>
                <w:szCs w:val="24"/>
                <w:highlight w:val="none"/>
              </w:rPr>
              <w:t xml:space="preserve">4、投标人具有信息安全服务资质认证证书(CCRC)且在有效期以内的，一级得</w:t>
            </w:r>
            <w:r>
              <w:rPr>
                <w:rFonts w:hint="eastAsia"/>
                <w:sz w:val="24"/>
                <w:szCs w:val="24"/>
                <w:highlight w:val="none"/>
                <w:lang w:val="en-US" w:eastAsia="zh-CN"/>
              </w:rPr>
              <w:t xml:space="preserve">3</w:t>
            </w:r>
            <w:r>
              <w:rPr>
                <w:rFonts w:hint="eastAsia"/>
                <w:sz w:val="24"/>
                <w:szCs w:val="24"/>
                <w:highlight w:val="none"/>
              </w:rPr>
              <w:t xml:space="preserve">分，二级得</w:t>
            </w:r>
            <w:r>
              <w:rPr>
                <w:rFonts w:hint="eastAsia"/>
                <w:sz w:val="24"/>
                <w:szCs w:val="24"/>
                <w:highlight w:val="none"/>
                <w:lang w:val="en-US" w:eastAsia="zh-CN"/>
              </w:rPr>
              <w:t xml:space="preserve">2</w:t>
            </w:r>
            <w:r>
              <w:rPr>
                <w:rFonts w:hint="eastAsia"/>
                <w:sz w:val="24"/>
                <w:szCs w:val="24"/>
                <w:highlight w:val="none"/>
              </w:rPr>
              <w:t xml:space="preserve">分。</w:t>
            </w:r>
            <w:r/>
          </w:p>
          <w:p>
            <w:pPr>
              <w:rPr>
                <w:sz w:val="24"/>
                <w:szCs w:val="24"/>
                <w:highlight w:val="none"/>
              </w:rPr>
            </w:pPr>
            <w:r>
              <w:rPr>
                <w:rFonts w:hint="eastAsia"/>
                <w:sz w:val="24"/>
                <w:szCs w:val="24"/>
                <w:highlight w:val="none"/>
              </w:rPr>
              <w:t xml:space="preserve">（提供以上1-</w:t>
            </w:r>
            <w:r>
              <w:rPr>
                <w:rFonts w:hint="eastAsia"/>
                <w:sz w:val="24"/>
                <w:szCs w:val="24"/>
                <w:highlight w:val="none"/>
                <w:lang w:val="en-US" w:eastAsia="zh-CN"/>
              </w:rPr>
              <w:t xml:space="preserve">4</w:t>
            </w:r>
            <w:r>
              <w:rPr>
                <w:rFonts w:hint="eastAsia"/>
                <w:sz w:val="24"/>
                <w:szCs w:val="24"/>
                <w:highlight w:val="none"/>
              </w:rPr>
              <w:t xml:space="preserve">项证书，原件扫描上传）</w:t>
            </w:r>
            <w:r/>
          </w:p>
        </w:tc>
        <w:tc>
          <w:tcPr>
            <w:tcW w:w="872" w:type="dxa"/>
            <w:vAlign w:val="center"/>
            <w:textDirection w:val="lrTb"/>
            <w:noWrap w:val="false"/>
          </w:tcPr>
          <w:p>
            <w:pPr>
              <w:pStyle w:val="1003"/>
              <w:rPr>
                <w:highlight w:val="none"/>
              </w:rPr>
            </w:pPr>
            <w:r>
              <w:rPr>
                <w:rFonts w:hint="eastAsia"/>
                <w:highlight w:val="none"/>
              </w:rPr>
              <w:t xml:space="preserve">1</w:t>
            </w:r>
            <w:r>
              <w:rPr>
                <w:highlight w:val="none"/>
              </w:rPr>
              <w:t xml:space="preserve">2</w:t>
            </w:r>
            <w:r/>
          </w:p>
        </w:tc>
      </w:tr>
      <w:tr>
        <w:trPr/>
        <w:tc>
          <w:tcPr>
            <w:tcW w:w="1346" w:type="dxa"/>
            <w:vAlign w:val="center"/>
            <w:vMerge w:val="continue"/>
            <w:textDirection w:val="lrTb"/>
            <w:noWrap w:val="false"/>
          </w:tcPr>
          <w:p>
            <w:pPr>
              <w:pStyle w:val="1003"/>
              <w:rPr>
                <w:highlight w:val="none"/>
              </w:rPr>
            </w:pPr>
            <w:r>
              <w:rPr>
                <w:highlight w:val="none"/>
              </w:rPr>
            </w:r>
            <w:r/>
          </w:p>
        </w:tc>
        <w:tc>
          <w:tcPr>
            <w:tcW w:w="1218" w:type="dxa"/>
            <w:vAlign w:val="center"/>
            <w:textDirection w:val="lrTb"/>
            <w:noWrap w:val="false"/>
          </w:tcPr>
          <w:p>
            <w:pPr>
              <w:pStyle w:val="1003"/>
              <w:jc w:val="center"/>
              <w:rPr>
                <w:highlight w:val="none"/>
              </w:rPr>
            </w:pPr>
            <w:r>
              <w:rPr>
                <w:rFonts w:hint="eastAsia"/>
                <w:highlight w:val="none"/>
              </w:rPr>
              <w:t xml:space="preserve">类似</w:t>
            </w:r>
            <w:r/>
          </w:p>
          <w:p>
            <w:pPr>
              <w:pStyle w:val="1003"/>
              <w:jc w:val="center"/>
              <w:rPr>
                <w:highlight w:val="none"/>
              </w:rPr>
            </w:pPr>
            <w:r>
              <w:rPr>
                <w:rFonts w:hint="eastAsia"/>
                <w:highlight w:val="none"/>
              </w:rPr>
              <w:t xml:space="preserve">业绩</w:t>
            </w:r>
            <w:r/>
          </w:p>
        </w:tc>
        <w:tc>
          <w:tcPr>
            <w:tcW w:w="5716" w:type="dxa"/>
            <w:vAlign w:val="center"/>
            <w:textDirection w:val="lrTb"/>
            <w:noWrap w:val="false"/>
          </w:tcPr>
          <w:p>
            <w:pPr>
              <w:rPr>
                <w:sz w:val="24"/>
                <w:szCs w:val="24"/>
                <w:highlight w:val="none"/>
              </w:rPr>
            </w:pPr>
            <w:r>
              <w:rPr>
                <w:rFonts w:hint="eastAsia"/>
                <w:sz w:val="24"/>
                <w:szCs w:val="24"/>
                <w:highlight w:val="none"/>
              </w:rPr>
              <w:t xml:space="preserve">业绩合同签订时间应自2023年1月1日（以合同签订时间为准）以来，签订类似项目业绩的，每提供一个合同得1分，满分3分。（需附合同扫描件，扫描件内容须包括但不限于合同名称、签订双方名称、签订时间、主要服务内容、双方盖章页。）</w:t>
            </w:r>
            <w:r/>
          </w:p>
        </w:tc>
        <w:tc>
          <w:tcPr>
            <w:tcW w:w="872" w:type="dxa"/>
            <w:vAlign w:val="center"/>
            <w:textDirection w:val="lrTb"/>
            <w:noWrap w:val="false"/>
          </w:tcPr>
          <w:p>
            <w:pPr>
              <w:pStyle w:val="1003"/>
              <w:rPr>
                <w:highlight w:val="none"/>
              </w:rPr>
            </w:pPr>
            <w:r>
              <w:rPr>
                <w:highlight w:val="none"/>
              </w:rPr>
              <w:t xml:space="preserve">3</w:t>
            </w:r>
            <w:r/>
          </w:p>
        </w:tc>
      </w:tr>
      <w:tr>
        <w:trPr/>
        <w:tc>
          <w:tcPr>
            <w:tcW w:w="1346" w:type="dxa"/>
            <w:vAlign w:val="center"/>
            <w:vMerge w:val="continue"/>
            <w:textDirection w:val="lrTb"/>
            <w:noWrap w:val="false"/>
          </w:tcPr>
          <w:p>
            <w:pPr>
              <w:pStyle w:val="1003"/>
              <w:rPr>
                <w:highlight w:val="none"/>
              </w:rPr>
            </w:pPr>
            <w:r>
              <w:rPr>
                <w:highlight w:val="none"/>
              </w:rPr>
            </w:r>
            <w:r/>
          </w:p>
        </w:tc>
        <w:tc>
          <w:tcPr>
            <w:tcW w:w="1218" w:type="dxa"/>
            <w:vAlign w:val="center"/>
            <w:textDirection w:val="lrTb"/>
            <w:noWrap w:val="false"/>
          </w:tcPr>
          <w:p>
            <w:pPr>
              <w:jc w:val="center"/>
              <w:rPr>
                <w:sz w:val="24"/>
                <w:szCs w:val="24"/>
                <w:highlight w:val="none"/>
              </w:rPr>
            </w:pPr>
            <w:r>
              <w:rPr>
                <w:rFonts w:hint="eastAsia"/>
                <w:sz w:val="24"/>
                <w:szCs w:val="24"/>
                <w:highlight w:val="none"/>
              </w:rPr>
              <w:t xml:space="preserve">项目</w:t>
            </w:r>
            <w:r/>
          </w:p>
          <w:p>
            <w:pPr>
              <w:jc w:val="center"/>
              <w:rPr>
                <w:sz w:val="24"/>
                <w:szCs w:val="24"/>
                <w:highlight w:val="none"/>
              </w:rPr>
            </w:pPr>
            <w:r>
              <w:rPr>
                <w:rFonts w:hint="eastAsia"/>
                <w:sz w:val="24"/>
                <w:szCs w:val="24"/>
                <w:highlight w:val="none"/>
              </w:rPr>
              <w:t xml:space="preserve">成员</w:t>
            </w:r>
            <w:r/>
          </w:p>
          <w:p>
            <w:pPr>
              <w:jc w:val="center"/>
              <w:rPr>
                <w:highlight w:val="none"/>
              </w:rPr>
            </w:pPr>
            <w:r>
              <w:rPr>
                <w:rFonts w:hint="eastAsia"/>
                <w:sz w:val="24"/>
                <w:szCs w:val="24"/>
                <w:highlight w:val="none"/>
              </w:rPr>
              <w:t xml:space="preserve">实力</w:t>
            </w:r>
            <w:r/>
          </w:p>
        </w:tc>
        <w:tc>
          <w:tcPr>
            <w:tcW w:w="5716" w:type="dxa"/>
            <w:vAlign w:val="center"/>
            <w:textDirection w:val="lrTb"/>
            <w:noWrap w:val="false"/>
          </w:tcPr>
          <w:p>
            <w:pPr>
              <w:rPr>
                <w:sz w:val="24"/>
                <w:szCs w:val="24"/>
                <w:highlight w:val="none"/>
              </w:rPr>
            </w:pPr>
            <w:r>
              <w:rPr>
                <w:rFonts w:hint="eastAsia"/>
                <w:sz w:val="24"/>
                <w:szCs w:val="24"/>
                <w:highlight w:val="none"/>
              </w:rPr>
              <w:t xml:space="preserve">投标人投入本项目的项目团队成员具有如下能力：</w:t>
            </w:r>
            <w:r/>
          </w:p>
          <w:p>
            <w:pPr>
              <w:rPr>
                <w:sz w:val="24"/>
                <w:szCs w:val="24"/>
                <w:highlight w:val="none"/>
              </w:rPr>
            </w:pPr>
            <w:r>
              <w:rPr>
                <w:sz w:val="24"/>
                <w:szCs w:val="24"/>
                <w:highlight w:val="none"/>
              </w:rPr>
              <w:t xml:space="preserve">1</w:t>
            </w:r>
            <w:r>
              <w:rPr>
                <w:rFonts w:hint="eastAsia"/>
                <w:sz w:val="24"/>
                <w:szCs w:val="24"/>
                <w:highlight w:val="none"/>
              </w:rPr>
              <w:t xml:space="preserve">、项目经理，具有信息系统项目管理师证书、ITSS信息技术应用创新服务经理证书、信息系统业务安全服务工程师证书；每提供一个得</w:t>
            </w:r>
            <w:r>
              <w:rPr>
                <w:rFonts w:hint="eastAsia"/>
                <w:sz w:val="24"/>
                <w:szCs w:val="24"/>
                <w:highlight w:val="none"/>
                <w:lang w:val="en-US" w:eastAsia="zh-CN"/>
              </w:rPr>
              <w:t xml:space="preserve">1</w:t>
            </w:r>
            <w:r>
              <w:rPr>
                <w:rFonts w:hint="eastAsia"/>
                <w:sz w:val="24"/>
                <w:szCs w:val="24"/>
                <w:highlight w:val="none"/>
              </w:rPr>
              <w:t xml:space="preserve">分，满分</w:t>
            </w:r>
            <w:r>
              <w:rPr>
                <w:rFonts w:hint="eastAsia"/>
                <w:sz w:val="24"/>
                <w:szCs w:val="24"/>
                <w:highlight w:val="none"/>
                <w:lang w:val="en-US" w:eastAsia="zh-CN"/>
              </w:rPr>
              <w:t xml:space="preserve">3</w:t>
            </w:r>
            <w:r>
              <w:rPr>
                <w:rFonts w:hint="eastAsia"/>
                <w:sz w:val="24"/>
                <w:szCs w:val="24"/>
                <w:highlight w:val="none"/>
              </w:rPr>
              <w:t xml:space="preserve">分。</w:t>
            </w:r>
            <w:r/>
          </w:p>
          <w:p>
            <w:pPr>
              <w:rPr>
                <w:sz w:val="24"/>
                <w:szCs w:val="24"/>
                <w:highlight w:val="none"/>
              </w:rPr>
            </w:pPr>
            <w:r>
              <w:rPr>
                <w:rFonts w:hint="eastAsia"/>
                <w:sz w:val="24"/>
                <w:szCs w:val="24"/>
                <w:highlight w:val="none"/>
              </w:rPr>
              <w:t xml:space="preserve">2、项目技术负责人，具有IT服务项目经理证书、注册信息安全工程师 （CISP）证书；每提供一个得1分，满分</w:t>
            </w:r>
            <w:r>
              <w:rPr>
                <w:rFonts w:hint="eastAsia"/>
                <w:sz w:val="24"/>
                <w:szCs w:val="24"/>
                <w:highlight w:val="none"/>
                <w:lang w:val="en-US" w:eastAsia="zh-CN"/>
              </w:rPr>
              <w:t xml:space="preserve">2</w:t>
            </w:r>
            <w:r>
              <w:rPr>
                <w:rFonts w:hint="eastAsia"/>
                <w:sz w:val="24"/>
                <w:szCs w:val="24"/>
                <w:highlight w:val="none"/>
              </w:rPr>
              <w:t xml:space="preserve">分。</w:t>
            </w:r>
            <w:r/>
          </w:p>
          <w:p>
            <w:pPr>
              <w:rPr>
                <w:sz w:val="24"/>
                <w:szCs w:val="24"/>
                <w:highlight w:val="none"/>
              </w:rPr>
            </w:pPr>
            <w:r>
              <w:rPr>
                <w:rFonts w:hint="eastAsia"/>
                <w:sz w:val="24"/>
                <w:szCs w:val="24"/>
                <w:highlight w:val="none"/>
              </w:rPr>
              <w:t xml:space="preserve">3、项目组成员（不含项目经理、项目技术负责人），具有用户研究工程师证书、系统架构设计师证书、软件设计师证书、具有软件测试工程师证书；每提供一个得1分，满分4分。</w:t>
            </w:r>
            <w:r/>
          </w:p>
          <w:p>
            <w:pPr>
              <w:rPr>
                <w:sz w:val="24"/>
                <w:szCs w:val="24"/>
                <w:highlight w:val="none"/>
              </w:rPr>
            </w:pPr>
            <w:r>
              <w:rPr>
                <w:rFonts w:hint="eastAsia"/>
                <w:sz w:val="24"/>
                <w:szCs w:val="24"/>
                <w:highlight w:val="none"/>
              </w:rPr>
              <w:t xml:space="preserve">（提供以上1-3项证书和投标人为其缴纳近三个月内任意一个月的社保证明，原件扫描上传，一人多证不重复计分）</w:t>
            </w:r>
            <w:r/>
          </w:p>
        </w:tc>
        <w:tc>
          <w:tcPr>
            <w:tcW w:w="872" w:type="dxa"/>
            <w:vAlign w:val="center"/>
            <w:textDirection w:val="lrTb"/>
            <w:noWrap w:val="false"/>
          </w:tcPr>
          <w:p>
            <w:pPr>
              <w:pStyle w:val="1003"/>
              <w:rPr>
                <w:rFonts w:ascii="Times New Roman" w:hAnsi="Times New Roman" w:cs="Times New Roman"/>
                <w:iCs w:val="0"/>
                <w:szCs w:val="24"/>
                <w:highlight w:val="none"/>
                <w:shd w:val="clear" w:color="auto" w:fill="auto"/>
                <w:lang w:val="en-US"/>
              </w:rPr>
            </w:pPr>
            <w:r>
              <w:rPr>
                <w:rFonts w:ascii="Times New Roman" w:hAnsi="Times New Roman" w:cs="Times New Roman"/>
                <w:iCs w:val="0"/>
                <w:szCs w:val="24"/>
                <w:highlight w:val="none"/>
                <w:shd w:val="clear" w:color="auto" w:fill="auto"/>
                <w:lang w:val="en-US"/>
              </w:rPr>
              <w:t xml:space="preserve">9</w:t>
            </w:r>
            <w:r/>
          </w:p>
        </w:tc>
      </w:tr>
    </w:tbl>
    <w:p>
      <w:pPr>
        <w:pStyle w:val="679"/>
        <w:rPr>
          <w:highlight w:val="none"/>
        </w:rPr>
      </w:pPr>
      <w:r>
        <w:rPr>
          <w:highlight w:val="none"/>
        </w:rPr>
      </w:r>
      <w:r/>
    </w:p>
    <w:p>
      <w:pPr>
        <w:pStyle w:val="679"/>
        <w:rPr>
          <w:highlight w:val="none"/>
        </w:rPr>
      </w:pPr>
      <w:r>
        <w:rPr>
          <w:rFonts w:hint="eastAsia"/>
          <w:highlight w:val="none"/>
        </w:rPr>
        <w:t xml:space="preserve">注：.评审过程中出现下列情形之一的，评审委员会应当启动异常低价投标（响应）审查程序：（1）投标（响应）报价低于采购项目预算50%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w:t>
      </w:r>
      <w:r/>
    </w:p>
    <w:p>
      <w:pPr>
        <w:pStyle w:val="679"/>
        <w:ind w:firstLine="0"/>
        <w:rPr>
          <w:highlight w:val="none"/>
        </w:rPr>
      </w:pPr>
      <w:r>
        <w:rPr>
          <w:rFonts w:hint="eastAsia"/>
          <w:highlight w:val="none"/>
        </w:rPr>
        <w:t xml:space="preserve">（3）评审委员会认定的供应商报价过低、有可能影响产品质量或者不能诚信履约的其他情形。</w:t>
      </w:r>
      <w:r/>
    </w:p>
    <w:p>
      <w:pPr>
        <w:pStyle w:val="679"/>
        <w:ind w:firstLine="0"/>
        <w:rPr>
          <w:highlight w:val="none"/>
        </w:rPr>
      </w:pPr>
      <w:r>
        <w:rPr>
          <w:rFonts w:hint="eastAsia"/>
          <w:highlight w:val="none"/>
        </w:rPr>
        <w:t xml:space="preserve">（4）启动异常低价投标（响应）审查后，评审委员会应当现场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79"/>
        <w:rPr>
          <w:highlight w:val="none"/>
        </w:rPr>
      </w:pPr>
      <w:r>
        <w:rPr>
          <w:highlight w:val="none"/>
        </w:rPr>
      </w:r>
      <w:r/>
    </w:p>
    <w:p>
      <w:pPr>
        <w:pStyle w:val="679"/>
        <w:rPr>
          <w:highlight w:val="none"/>
        </w:rPr>
      </w:pPr>
      <w:r>
        <w:rPr>
          <w:highlight w:val="none"/>
        </w:rPr>
      </w:r>
      <w:r/>
    </w:p>
    <w:p>
      <w:pPr>
        <w:pStyle w:val="679"/>
        <w:rPr>
          <w:highlight w:val="none"/>
        </w:rPr>
      </w:pPr>
      <w:r>
        <w:rPr>
          <w:highlight w:val="none"/>
        </w:rPr>
      </w:r>
      <w:r/>
    </w:p>
    <w:p>
      <w:pPr>
        <w:rPr>
          <w:rFonts w:ascii="宋体" w:hAnsi="宋体" w:cs="宋体"/>
          <w:highlight w:val="none"/>
        </w:rPr>
      </w:pPr>
      <w:r>
        <w:rPr>
          <w:rFonts w:ascii="宋体" w:hAnsi="宋体" w:cs="宋体"/>
          <w:highlight w:val="none"/>
        </w:rPr>
      </w:r>
      <w:r/>
    </w:p>
    <w:p>
      <w:pPr>
        <w:pStyle w:val="971"/>
        <w:spacing w:line="400" w:lineRule="exact"/>
        <w:rPr>
          <w:rFonts w:ascii="宋体" w:hAnsi="宋体"/>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highlight w:val="none"/>
        </w:rPr>
      </w:r>
      <w:r/>
    </w:p>
    <w:p>
      <w:pPr>
        <w:rPr>
          <w:highlight w:val="none"/>
        </w:rPr>
      </w:pPr>
      <w:r>
        <w:rPr>
          <w:highlight w:val="none"/>
        </w:rPr>
      </w:r>
      <w:r/>
    </w:p>
    <w:p>
      <w:pPr>
        <w:pStyle w:val="710"/>
        <w:rPr>
          <w:rFonts w:ascii="黑体" w:eastAsia="黑体"/>
          <w:bCs/>
          <w:sz w:val="44"/>
          <w:highlight w:val="none"/>
        </w:rPr>
      </w:pPr>
      <w:r>
        <w:rPr>
          <w:rFonts w:hint="eastAsia" w:ascii="黑体" w:eastAsia="黑体"/>
          <w:bCs/>
          <w:sz w:val="44"/>
          <w:highlight w:val="none"/>
        </w:rPr>
        <w:t xml:space="preserve">第六章  投标</w:t>
      </w:r>
      <w:bookmarkEnd w:id="61"/>
      <w:r/>
      <w:bookmarkEnd w:id="62"/>
      <w:r/>
      <w:bookmarkEnd w:id="63"/>
      <w:r>
        <w:rPr>
          <w:rFonts w:hint="eastAsia" w:ascii="黑体" w:eastAsia="黑体"/>
          <w:bCs/>
          <w:sz w:val="44"/>
          <w:highlight w:val="none"/>
        </w:rPr>
        <w:t xml:space="preserve">文件格式 </w:t>
      </w:r>
      <w:r/>
    </w:p>
    <w:p>
      <w:pPr>
        <w:jc w:val="center"/>
        <w:rPr>
          <w:rFonts w:ascii="宋体" w:hAnsi="宋体"/>
          <w:b/>
          <w:sz w:val="72"/>
          <w:highlight w:val="none"/>
        </w:rPr>
      </w:pPr>
      <w:r/>
      <w:bookmarkStart w:id="65" w:name="_Hlt26955039"/>
      <w:r/>
      <w:bookmarkEnd w:id="65"/>
      <w:r/>
      <w:bookmarkStart w:id="66" w:name="_Hlt26671244"/>
      <w:r/>
      <w:bookmarkEnd w:id="66"/>
      <w:r/>
      <w:bookmarkStart w:id="67" w:name="_Toc120614282"/>
      <w:r/>
      <w:bookmarkStart w:id="68" w:name="_Toc49090576"/>
      <w:r/>
      <w:bookmarkStart w:id="69" w:name="_Toc26554094"/>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rPr>
      </w:pPr>
      <w:r>
        <w:rPr>
          <w:rFonts w:ascii="宋体" w:hAnsi="宋体"/>
          <w:b/>
          <w:sz w:val="36"/>
          <w:highlight w:val="none"/>
        </w:rPr>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w:t>
      </w:r>
      <w:r/>
    </w:p>
    <w:p>
      <w:pPr>
        <w:ind w:firstLine="1084"/>
        <w:rPr>
          <w:rFonts w:ascii="宋体" w:hAnsi="宋体"/>
          <w:b/>
          <w:sz w:val="36"/>
          <w:highlight w:val="non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rPr>
      </w:pPr>
      <w:r>
        <w:rPr>
          <w:rFonts w:hint="eastAsia" w:ascii="宋体" w:hAnsi="宋体"/>
          <w:b/>
          <w:sz w:val="36"/>
          <w:highlight w:val="none"/>
        </w:rPr>
        <w:t xml:space="preserve">      </w:t>
      </w:r>
      <w:r/>
    </w:p>
    <w:p>
      <w:pPr>
        <w:ind w:firstLine="1084"/>
        <w:rPr>
          <w:rFonts w:ascii="宋体" w:hAnsi="宋体"/>
          <w:b/>
          <w:sz w:val="36"/>
          <w:highlight w:val="non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ind w:firstLine="1084"/>
        <w:rPr>
          <w:rFonts w:ascii="宋体" w:hAnsi="宋体"/>
          <w:b/>
          <w:sz w:val="36"/>
          <w:highlight w:val="none"/>
        </w:rPr>
      </w:pPr>
      <w:r>
        <w:rPr>
          <w:rFonts w:ascii="宋体" w:hAnsi="宋体"/>
          <w:b/>
          <w:sz w:val="36"/>
          <w:highlight w:val="none"/>
        </w:rPr>
      </w:r>
      <w:r/>
    </w:p>
    <w:p>
      <w:pPr>
        <w:pStyle w:val="678"/>
        <w:rPr>
          <w:color w:val="auto"/>
          <w:highlight w:val="none"/>
        </w:rPr>
      </w:pPr>
      <w:r>
        <w:rPr>
          <w:color w:val="auto"/>
          <w:highlight w:val="none"/>
        </w:rPr>
      </w:r>
      <w:r/>
    </w:p>
    <w:p>
      <w:pPr>
        <w:rPr>
          <w:highlight w:val="none"/>
        </w:rPr>
      </w:pPr>
      <w:r>
        <w:rPr>
          <w:highlight w:val="none"/>
        </w:rPr>
        <w:br w:type="page" w:clear="all"/>
      </w:r>
      <w:r/>
    </w:p>
    <w:p>
      <w:pPr>
        <w:rPr>
          <w:highlight w:val="none"/>
        </w:rPr>
      </w:pPr>
      <w:r>
        <w:rPr>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left="480"/>
        <w:spacing w:line="360" w:lineRule="auto"/>
        <w:rPr>
          <w:rFonts w:ascii="宋体" w:hAnsi="宋体"/>
          <w:i/>
          <w:sz w:val="24"/>
          <w:highlight w:val="none"/>
          <w:u w:val="single"/>
        </w:rPr>
      </w:pPr>
      <w:r>
        <w:rPr>
          <w:rFonts w:hint="eastAsia" w:ascii="宋体" w:hAnsi="宋体"/>
          <w:i/>
          <w:sz w:val="24"/>
          <w:highlight w:val="none"/>
          <w:u w:val="single"/>
        </w:rPr>
        <w:t xml:space="preserve">一、法人或者其他组织的营业执照等证明文件，自然人的身份证明</w:t>
      </w:r>
      <w:r/>
    </w:p>
    <w:p>
      <w:pPr>
        <w:ind w:left="480"/>
        <w:spacing w:line="360" w:lineRule="auto"/>
        <w:rPr>
          <w:rFonts w:ascii="宋体" w:hAnsi="宋体"/>
          <w:i/>
          <w:sz w:val="24"/>
          <w:highlight w:val="none"/>
          <w:u w:val="single"/>
        </w:rPr>
      </w:pPr>
      <w:r>
        <w:rPr>
          <w:rFonts w:hint="eastAsia" w:ascii="宋体" w:hAnsi="宋体"/>
          <w:i/>
          <w:sz w:val="24"/>
          <w:highlight w:val="none"/>
          <w:u w:val="single"/>
        </w:rPr>
        <w:t xml:space="preserve">二、上一年度的财务状况报告（投标人成立不满一年无需提供）</w:t>
      </w:r>
      <w:r/>
    </w:p>
    <w:p>
      <w:pPr>
        <w:ind w:left="480"/>
        <w:spacing w:line="360" w:lineRule="auto"/>
        <w:rPr>
          <w:rFonts w:ascii="宋体" w:hAnsi="宋体"/>
          <w:i/>
          <w:sz w:val="24"/>
          <w:highlight w:val="none"/>
          <w:u w:val="single"/>
        </w:rPr>
      </w:pPr>
      <w:r>
        <w:rPr>
          <w:rFonts w:hint="eastAsia" w:ascii="宋体" w:hAnsi="宋体"/>
          <w:i/>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360" w:lineRule="auto"/>
        <w:rPr>
          <w:rFonts w:ascii="宋体" w:hAnsi="宋体"/>
          <w:i/>
          <w:sz w:val="24"/>
          <w:highlight w:val="none"/>
          <w:u w:val="single"/>
        </w:rPr>
      </w:pPr>
      <w:r>
        <w:rPr>
          <w:rFonts w:hint="eastAsia" w:ascii="宋体" w:hAnsi="宋体"/>
          <w:i/>
          <w:sz w:val="24"/>
          <w:highlight w:val="none"/>
          <w:u w:val="single"/>
        </w:rPr>
        <w:t xml:space="preserve">四、具备履行合同所必需的设备和专业技术能力的书面声明</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五、参加政府采购活动前 3 年内在经营活动中没有重大违法记录的书面声明</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六、供应商信用承诺函</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七、特定资格要求的证明文件（如果本项目设置特定资格要求，则需要提供）</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八、法人授权书</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九、投标函</w:t>
      </w:r>
      <w:r/>
    </w:p>
    <w:p>
      <w:pPr>
        <w:ind w:firstLine="480"/>
        <w:spacing w:line="360" w:lineRule="auto"/>
        <w:rPr>
          <w:rFonts w:ascii="宋体" w:hAnsi="宋体"/>
          <w:sz w:val="24"/>
          <w:highlight w:val="none"/>
        </w:rPr>
      </w:pPr>
      <w:r>
        <w:rPr>
          <w:rFonts w:hint="eastAsia" w:ascii="宋体" w:hAnsi="宋体"/>
          <w:sz w:val="24"/>
          <w:highlight w:val="none"/>
        </w:rPr>
        <w:t xml:space="preserve">十、企业报价折扣证明（如适用）（中小企业声明函、残疾人福利性单位声明函）</w:t>
      </w:r>
      <w:r/>
    </w:p>
    <w:p>
      <w:pPr>
        <w:ind w:firstLine="480"/>
        <w:spacing w:line="360" w:lineRule="auto"/>
        <w:rPr>
          <w:rFonts w:ascii="宋体" w:hAnsi="宋体"/>
          <w:sz w:val="24"/>
          <w:highlight w:val="none"/>
        </w:rPr>
      </w:pPr>
      <w:r>
        <w:rPr>
          <w:rFonts w:hint="eastAsia" w:ascii="宋体" w:hAnsi="宋体"/>
          <w:sz w:val="24"/>
          <w:highlight w:val="none"/>
        </w:rPr>
        <w:t xml:space="preserve">十一、联合体协议（不适用）</w:t>
      </w:r>
      <w:r/>
    </w:p>
    <w:p>
      <w:pPr>
        <w:ind w:firstLine="480"/>
        <w:spacing w:line="360" w:lineRule="auto"/>
        <w:rPr>
          <w:rFonts w:ascii="宋体" w:hAnsi="宋体"/>
          <w:i/>
          <w:iCs/>
          <w:sz w:val="24"/>
          <w:highlight w:val="none"/>
          <w:u w:val="single"/>
        </w:rPr>
      </w:pPr>
      <w:r>
        <w:rPr>
          <w:rFonts w:hint="eastAsia" w:ascii="宋体" w:hAnsi="宋体"/>
          <w:i/>
          <w:iCs/>
          <w:sz w:val="24"/>
          <w:highlight w:val="none"/>
          <w:u w:val="single"/>
        </w:rPr>
        <w:t xml:space="preserve">十二、投标分项报价表</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十三、技术要求响应及偏离表</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十四、商务合同响应及偏离表</w:t>
      </w:r>
      <w:r/>
    </w:p>
    <w:p>
      <w:pPr>
        <w:ind w:firstLine="480"/>
        <w:spacing w:line="360" w:lineRule="auto"/>
        <w:rPr>
          <w:rFonts w:ascii="宋体" w:hAnsi="宋体"/>
          <w:i/>
          <w:sz w:val="24"/>
          <w:highlight w:val="none"/>
          <w:u w:val="single"/>
        </w:rPr>
      </w:pPr>
      <w:r>
        <w:rPr>
          <w:rFonts w:hint="eastAsia" w:ascii="宋体" w:hAnsi="宋体"/>
          <w:i/>
          <w:sz w:val="24"/>
          <w:highlight w:val="none"/>
          <w:u w:val="single"/>
        </w:rPr>
        <w:t xml:space="preserve">十五、开标一览表</w:t>
      </w:r>
      <w:r/>
    </w:p>
    <w:p>
      <w:pPr>
        <w:ind w:firstLine="480"/>
        <w:spacing w:line="360" w:lineRule="auto"/>
        <w:rPr>
          <w:rFonts w:ascii="宋体" w:hAnsi="宋体"/>
          <w:i/>
          <w:iCs w:val="0"/>
          <w:sz w:val="24"/>
          <w:highlight w:val="none"/>
          <w:u w:val="single"/>
        </w:rPr>
      </w:pPr>
      <w:r>
        <w:rPr>
          <w:rFonts w:hint="eastAsia" w:ascii="宋体" w:hAnsi="宋体"/>
          <w:i/>
          <w:iCs w:val="0"/>
          <w:sz w:val="24"/>
          <w:highlight w:val="none"/>
          <w:u w:val="single"/>
        </w:rPr>
        <w:t xml:space="preserve">十六、主要标的信息</w:t>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bookmarkEnd w:id="59"/>
      <w:bookmarkEnd w:id="60"/>
      <w:bookmarkEnd w:id="67"/>
      <w:bookmarkEnd w:id="68"/>
      <w:bookmarkEnd w:id="69"/>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一、法人或者其他组织的营业执照等证明文件，自然人的身份证明</w:t>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二、上一年度的财务状况报告</w:t>
      </w:r>
      <w:r/>
    </w:p>
    <w:p>
      <w:pPr>
        <w:ind w:firstLine="480"/>
        <w:spacing w:line="440" w:lineRule="exact"/>
        <w:rPr>
          <w:rFonts w:ascii="宋体" w:hAnsi="宋体"/>
          <w:bCs/>
          <w:sz w:val="24"/>
          <w:highlight w:val="none"/>
        </w:rPr>
      </w:pPr>
      <w:r>
        <w:rPr>
          <w:rFonts w:hint="eastAsia" w:ascii="宋体" w:hAnsi="宋体"/>
          <w:bCs/>
          <w:sz w:val="24"/>
          <w:highlight w:val="none"/>
        </w:rPr>
        <w:t xml:space="preserve">投标人成立不满一年不需提供</w:t>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三、依法缴纳税收和社会保障资金的相关材料</w:t>
      </w:r>
      <w:r/>
    </w:p>
    <w:p>
      <w:pPr>
        <w:ind w:firstLine="480"/>
        <w:rPr>
          <w:rFonts w:ascii="宋体" w:hAnsi="宋体" w:cs="宋体"/>
          <w:i/>
          <w:sz w:val="32"/>
          <w:szCs w:val="32"/>
          <w:highlight w:val="none"/>
          <w:u w:val="single"/>
        </w:rPr>
      </w:pPr>
      <w:r>
        <w:rPr>
          <w:rFonts w:hint="eastAsia" w:ascii="宋体" w:hAnsi="宋体"/>
          <w:bCs/>
          <w:sz w:val="24"/>
          <w:highlight w:val="none"/>
        </w:rPr>
        <w:t xml:space="preserve">提供提交投标文件截止时间前一年内至少一个月依法缴纳税收及缴纳社会保障资金的证明材料。投标人依法享受缓缴、免缴税收、社会保障资金的提供证明材料。</w:t>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四、具备履行合同所必需的设备和专业技术能力的书面声明</w:t>
      </w:r>
      <w:r/>
    </w:p>
    <w:p>
      <w:pPr>
        <w:ind w:firstLine="492"/>
        <w:spacing w:line="460" w:lineRule="exact"/>
        <w:rPr>
          <w:rFonts w:ascii="宋体" w:hAnsi="宋体" w:cs="宋体"/>
          <w:bCs/>
          <w:sz w:val="24"/>
          <w:highlight w:val="none"/>
        </w:rPr>
      </w:pPr>
      <w:r>
        <w:rPr>
          <w:rFonts w:hint="eastAsia" w:ascii="宋体" w:hAnsi="宋体" w:cs="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sz w:val="24"/>
          <w:highlight w:val="none"/>
        </w:rPr>
      </w:pPr>
      <w:r>
        <w:rPr>
          <w:rFonts w:hint="eastAsia" w:ascii="宋体" w:hAnsi="宋体" w:cs="宋体"/>
          <w:bCs/>
          <w:sz w:val="24"/>
          <w:highlight w:val="none"/>
        </w:rPr>
        <w:t xml:space="preserve">主要设备有：</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92"/>
        <w:spacing w:line="460" w:lineRule="exact"/>
        <w:rPr>
          <w:rFonts w:ascii="宋体" w:hAnsi="宋体" w:cs="宋体"/>
          <w:bCs/>
          <w:sz w:val="24"/>
          <w:highlight w:val="none"/>
        </w:rPr>
      </w:pPr>
      <w:r>
        <w:rPr>
          <w:rFonts w:hint="eastAsia" w:ascii="宋体" w:hAnsi="宋体" w:cs="宋体"/>
          <w:bCs/>
          <w:sz w:val="24"/>
          <w:highlight w:val="none"/>
        </w:rPr>
        <w:t xml:space="preserve">主要专业技术能力有：</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spacing w:line="460" w:lineRule="exact"/>
        <w:rPr>
          <w:rFonts w:ascii="宋体" w:hAnsi="宋体" w:cs="宋体"/>
          <w:bCs/>
          <w:sz w:val="24"/>
          <w:highlight w:val="none"/>
        </w:rPr>
      </w:pPr>
      <w:r>
        <w:rPr>
          <w:rFonts w:hint="eastAsia" w:ascii="宋体" w:hAnsi="宋体" w:cs="宋体"/>
          <w:bCs/>
          <w:sz w:val="24"/>
          <w:highlight w:val="none"/>
        </w:rPr>
        <w:t xml:space="preserve">                                     </w:t>
      </w:r>
      <w:r/>
    </w:p>
    <w:p>
      <w:pPr>
        <w:rPr>
          <w:rFonts w:ascii="宋体" w:hAnsi="宋体" w:cs="宋体"/>
          <w:highlight w:val="none"/>
        </w:rPr>
      </w:pPr>
      <w:r>
        <w:rPr>
          <w:rFonts w:ascii="宋体" w:hAnsi="宋体" w:cs="宋体"/>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五、参加政府采购活动前 3 年内在经营活动中没有重大违法记录的书面声明</w:t>
      </w:r>
      <w:r/>
    </w:p>
    <w:p>
      <w:pPr>
        <w:spacing w:line="460" w:lineRule="exact"/>
        <w:rPr>
          <w:rFonts w:ascii="宋体" w:hAnsi="宋体" w:cs="宋体"/>
          <w:b/>
          <w:bCs/>
          <w:sz w:val="44"/>
          <w:szCs w:val="44"/>
          <w:highlight w:val="none"/>
        </w:rPr>
      </w:pPr>
      <w:r>
        <w:rPr>
          <w:rFonts w:hint="eastAsia" w:ascii="宋体" w:hAnsi="宋体" w:cs="宋体"/>
          <w:b/>
          <w:bCs/>
          <w:sz w:val="44"/>
          <w:szCs w:val="44"/>
          <w:highlight w:val="none"/>
        </w:rPr>
        <w:t xml:space="preserve">                 声  明</w:t>
      </w:r>
      <w:r/>
    </w:p>
    <w:p>
      <w:pPr>
        <w:spacing w:line="460" w:lineRule="exact"/>
        <w:rPr>
          <w:rFonts w:ascii="宋体" w:hAnsi="宋体" w:cs="宋体"/>
          <w:bCs/>
          <w:sz w:val="24"/>
          <w:highlight w:val="none"/>
        </w:rPr>
      </w:pPr>
      <w:r>
        <w:rPr>
          <w:rFonts w:hint="eastAsia" w:ascii="宋体" w:hAnsi="宋体" w:cs="宋体"/>
          <w:b/>
          <w:bCs/>
          <w:sz w:val="24"/>
          <w:highlight w:val="none"/>
        </w:rPr>
        <w:t xml:space="preserve">    </w:t>
      </w:r>
      <w:r>
        <w:rPr>
          <w:rFonts w:hint="eastAsia" w:ascii="宋体" w:hAnsi="宋体" w:cs="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i/>
          <w:sz w:val="32"/>
          <w:szCs w:val="32"/>
          <w:highlight w:val="none"/>
          <w:u w:val="single"/>
        </w:rPr>
      </w:pPr>
      <w:r>
        <w:rPr>
          <w:rFonts w:ascii="宋体" w:hAnsi="宋体" w:cs="宋体"/>
          <w:i/>
          <w:sz w:val="32"/>
          <w:szCs w:val="32"/>
          <w:highlight w:val="none"/>
          <w:u w:val="single"/>
        </w:rPr>
      </w:r>
      <w:r/>
    </w:p>
    <w:p>
      <w:pPr>
        <w:rPr>
          <w:rFonts w:hint="eastAsia" w:ascii="宋体" w:hAnsi="宋体" w:cs="宋体"/>
          <w:i/>
          <w:sz w:val="32"/>
          <w:szCs w:val="32"/>
          <w:highlight w:val="none"/>
          <w:u w:val="single"/>
        </w:rPr>
      </w:pPr>
      <w:r>
        <w:rPr>
          <w:rFonts w:hint="eastAsia" w:ascii="宋体" w:hAnsi="宋体" w:cs="宋体"/>
          <w:i/>
          <w:sz w:val="32"/>
          <w:szCs w:val="32"/>
          <w:highlight w:val="none"/>
          <w:u w:val="single"/>
        </w:rPr>
        <w:br w:type="page" w:clear="all"/>
      </w:r>
      <w:r/>
    </w:p>
    <w:p>
      <w:pPr>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六、供应商信用承诺函</w:t>
      </w:r>
      <w:r/>
    </w:p>
    <w:p>
      <w:pPr>
        <w:spacing w:line="360" w:lineRule="auto"/>
        <w:rPr>
          <w:rFonts w:ascii="宋体" w:hAnsi="宋体" w:cs="宋体"/>
          <w:highlight w:val="none"/>
        </w:rPr>
      </w:pPr>
      <w:r>
        <w:rPr>
          <w:rFonts w:hint="eastAsia" w:ascii="宋体" w:hAnsi="宋体" w:cs="宋体"/>
          <w:highlight w:val="none"/>
        </w:rPr>
        <w:t xml:space="preserve">承诺主体名称：</w:t>
      </w:r>
      <w:r/>
    </w:p>
    <w:p>
      <w:pPr>
        <w:spacing w:line="360" w:lineRule="auto"/>
        <w:rPr>
          <w:rFonts w:ascii="宋体" w:hAnsi="宋体" w:cs="宋体"/>
          <w:highlight w:val="none"/>
        </w:rPr>
      </w:pPr>
      <w:r>
        <w:rPr>
          <w:rFonts w:hint="eastAsia" w:ascii="宋体" w:hAnsi="宋体" w:cs="宋体"/>
          <w:highlight w:val="none"/>
        </w:rPr>
        <w:t xml:space="preserve">统一社会信用代码：</w:t>
      </w:r>
      <w:r/>
    </w:p>
    <w:p>
      <w:pPr>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highlight w:val="none"/>
        </w:rPr>
      </w:pPr>
      <w:r>
        <w:rPr>
          <w:rFonts w:hint="eastAsia" w:ascii="宋体" w:hAnsi="宋体" w:cs="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highlight w:val="none"/>
        </w:rPr>
      </w:pPr>
      <w:r>
        <w:rPr>
          <w:rFonts w:hint="eastAsia" w:ascii="宋体" w:hAnsi="宋体" w:cs="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highlight w:val="none"/>
        </w:rPr>
      </w:pPr>
      <w:r>
        <w:rPr>
          <w:rFonts w:hint="eastAsia" w:ascii="宋体" w:hAnsi="宋体" w:cs="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highlight w:val="none"/>
        </w:rPr>
      </w:pPr>
      <w:r>
        <w:rPr>
          <w:rFonts w:hint="eastAsia" w:ascii="宋体" w:hAnsi="宋体" w:cs="宋体"/>
          <w:highlight w:val="none"/>
        </w:rPr>
        <w:t xml:space="preserve">四、自觉接受行政管理部门、行业组织、社会公众、新闻舆论的监督；</w:t>
      </w:r>
      <w:r/>
    </w:p>
    <w:p>
      <w:pPr>
        <w:ind w:firstLine="420"/>
        <w:spacing w:line="360" w:lineRule="auto"/>
        <w:rPr>
          <w:rFonts w:ascii="宋体" w:hAnsi="宋体" w:cs="宋体"/>
          <w:highlight w:val="none"/>
        </w:rPr>
      </w:pPr>
      <w:r>
        <w:rPr>
          <w:rFonts w:hint="eastAsia" w:ascii="宋体" w:hAnsi="宋体" w:cs="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highlight w:val="none"/>
        </w:rPr>
      </w:pPr>
      <w:r>
        <w:rPr>
          <w:rFonts w:hint="eastAsia" w:ascii="宋体" w:hAnsi="宋体" w:cs="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highlight w:val="none"/>
        </w:rPr>
      </w:pPr>
      <w:r>
        <w:rPr>
          <w:rFonts w:hint="eastAsia" w:ascii="宋体" w:hAnsi="宋体" w:cs="宋体"/>
          <w:highlight w:val="none"/>
        </w:rPr>
        <w:t xml:space="preserve">七、严格遵守信用信息公示相关规定，向社会公示信用信息；</w:t>
      </w:r>
      <w:r/>
    </w:p>
    <w:p>
      <w:pPr>
        <w:ind w:firstLine="420"/>
        <w:spacing w:line="360" w:lineRule="auto"/>
        <w:rPr>
          <w:rFonts w:ascii="宋体" w:hAnsi="宋体" w:cs="宋体"/>
          <w:highlight w:val="none"/>
        </w:rPr>
      </w:pPr>
      <w:r>
        <w:rPr>
          <w:rFonts w:hint="eastAsia" w:ascii="宋体" w:hAnsi="宋体" w:cs="宋体"/>
          <w:highlight w:val="none"/>
        </w:rPr>
        <w:t xml:space="preserve">八、在“信用中国”和“中国政府采购网”网站中无违法违规、较重或严重失信记录；</w:t>
      </w:r>
      <w:r/>
    </w:p>
    <w:p>
      <w:pPr>
        <w:ind w:firstLine="420"/>
        <w:spacing w:line="360" w:lineRule="auto"/>
        <w:rPr>
          <w:rFonts w:ascii="宋体" w:hAnsi="宋体" w:cs="宋体"/>
          <w:highlight w:val="none"/>
        </w:rPr>
      </w:pPr>
      <w:r>
        <w:rPr>
          <w:rFonts w:hint="eastAsia" w:ascii="宋体" w:hAnsi="宋体" w:cs="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highlight w:val="none"/>
        </w:rPr>
      </w:pPr>
      <w:r>
        <w:rPr>
          <w:rFonts w:hint="eastAsia" w:ascii="宋体" w:hAnsi="宋体" w:cs="宋体"/>
          <w:highlight w:val="none"/>
        </w:rPr>
        <w:t xml:space="preserve">十、本承诺书自签订之日起生效。</w:t>
      </w:r>
      <w:r/>
    </w:p>
    <w:p>
      <w:pPr>
        <w:ind w:firstLine="420"/>
        <w:spacing w:line="360" w:lineRule="auto"/>
        <w:rPr>
          <w:rFonts w:ascii="宋体" w:hAnsi="宋体" w:cs="宋体"/>
          <w:highlight w:val="none"/>
        </w:rPr>
      </w:pPr>
      <w:r>
        <w:rPr>
          <w:rFonts w:hint="eastAsia" w:ascii="宋体" w:hAnsi="宋体" w:cs="宋体"/>
          <w:highlight w:val="none"/>
        </w:rPr>
        <w:t xml:space="preserve"> （注：法定代表人或负责人、主体名称发生变更的应当重新做出承诺。）</w:t>
      </w:r>
      <w:r/>
    </w:p>
    <w:p>
      <w:pPr>
        <w:jc w:val="center"/>
        <w:spacing w:line="360" w:lineRule="auto"/>
        <w:rPr>
          <w:rFonts w:ascii="宋体" w:hAnsi="宋体" w:cs="宋体"/>
          <w:highlight w:val="none"/>
        </w:rPr>
      </w:pPr>
      <w:r>
        <w:rPr>
          <w:rFonts w:hint="eastAsia" w:ascii="宋体" w:hAnsi="宋体" w:cs="宋体"/>
          <w:highlight w:val="none"/>
        </w:rPr>
        <w:t xml:space="preserve">                     承诺单位（签章）：           </w:t>
      </w:r>
      <w:r/>
    </w:p>
    <w:p>
      <w:pPr>
        <w:jc w:val="center"/>
        <w:spacing w:line="360" w:lineRule="auto"/>
        <w:rPr>
          <w:rFonts w:ascii="宋体" w:hAnsi="宋体" w:cs="宋体"/>
          <w:highlight w:val="none"/>
        </w:rPr>
      </w:pPr>
      <w:r>
        <w:rPr>
          <w:rFonts w:hint="eastAsia" w:ascii="宋体" w:hAnsi="宋体" w:cs="宋体"/>
          <w:highlight w:val="none"/>
        </w:rPr>
        <w:t xml:space="preserve">     法定代表人（负责人）：</w:t>
      </w:r>
      <w:r/>
    </w:p>
    <w:p>
      <w:pPr>
        <w:jc w:val="center"/>
        <w:spacing w:line="360" w:lineRule="auto"/>
        <w:rPr>
          <w:rFonts w:ascii="宋体" w:hAnsi="宋体" w:cs="宋体"/>
          <w:highlight w:val="none"/>
        </w:rPr>
      </w:pPr>
      <w:r>
        <w:rPr>
          <w:rFonts w:hint="eastAsia" w:ascii="宋体" w:hAnsi="宋体" w:cs="宋体"/>
          <w:highlight w:val="none"/>
        </w:rPr>
        <w:t xml:space="preserve">      年    月    日</w:t>
      </w:r>
      <w:r/>
    </w:p>
    <w:p>
      <w:pPr>
        <w:rPr>
          <w:rFonts w:ascii="宋体" w:hAnsi="宋体" w:cs="宋体"/>
          <w:i/>
          <w:sz w:val="32"/>
          <w:szCs w:val="32"/>
          <w:highlight w:val="none"/>
          <w:u w:val="single"/>
        </w:rPr>
      </w:pPr>
      <w:r>
        <w:rPr>
          <w:rFonts w:hint="eastAsia" w:ascii="宋体" w:hAnsi="宋体" w:cs="宋体"/>
          <w:b/>
          <w:bCs/>
          <w:sz w:val="32"/>
          <w:szCs w:val="32"/>
          <w:highlight w:val="none"/>
        </w:rPr>
        <w:br w:type="page" w:clear="all"/>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七、特定资格要求的证明文件</w:t>
      </w:r>
      <w:r/>
    </w:p>
    <w:p>
      <w:pPr>
        <w:keepLines/>
        <w:keepNext/>
        <w:spacing w:before="260" w:line="415" w:lineRule="auto"/>
        <w:rPr>
          <w:rFonts w:ascii="宋体" w:hAnsi="宋体" w:cs="宋体"/>
          <w:i/>
          <w:sz w:val="32"/>
          <w:szCs w:val="32"/>
          <w:highlight w:val="none"/>
          <w:u w:val="single"/>
        </w:rPr>
        <w:outlineLvl w:val="1"/>
      </w:pPr>
      <w:r/>
      <w:bookmarkStart w:id="70" w:name="_Toc120614284"/>
      <w:r>
        <w:rPr>
          <w:rFonts w:hint="eastAsia" w:ascii="宋体" w:hAnsi="宋体" w:cs="宋体"/>
          <w:bCs/>
          <w:sz w:val="24"/>
          <w:highlight w:val="none"/>
          <w:lang w:val="en-US" w:eastAsia="zh-CN"/>
        </w:rPr>
        <w:t xml:space="preserve">无</w:t>
      </w:r>
      <w:r>
        <w:rPr>
          <w:rFonts w:ascii="宋体" w:hAnsi="宋体" w:cs="宋体"/>
          <w:bCs/>
          <w:sz w:val="24"/>
          <w:highlight w:val="none"/>
        </w:rPr>
        <w:br w:type="page" w:clear="all"/>
      </w:r>
      <w:r>
        <w:rPr>
          <w:rFonts w:hint="eastAsia" w:ascii="宋体" w:hAnsi="宋体" w:cs="宋体"/>
          <w:i/>
          <w:sz w:val="32"/>
          <w:szCs w:val="32"/>
          <w:highlight w:val="none"/>
          <w:u w:val="single"/>
        </w:rPr>
        <w:t xml:space="preserve">八、法人授权书</w:t>
      </w:r>
      <w:r/>
    </w:p>
    <w:p>
      <w:pPr>
        <w:ind w:firstLine="48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p>
    <w:p>
      <w:pPr>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p>
    <w:p>
      <w:pPr>
        <w:ind w:firstLine="120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p>
    <w:p>
      <w:pPr>
        <w:ind w:firstLine="480"/>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p>
    <w:p>
      <w:pPr>
        <w:ind w:firstLine="480"/>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71" w:name="_格式3__银行出具的资信证明"/>
      <w:r/>
      <w:bookmarkEnd w:id="71"/>
      <w:r/>
      <w:bookmarkStart w:id="72" w:name="_Hlt26955070"/>
      <w:r/>
      <w:bookmarkEnd w:id="72"/>
      <w:r/>
      <w:bookmarkStart w:id="73" w:name="_Hlt26671380"/>
      <w:r/>
      <w:bookmarkEnd w:id="73"/>
      <w:r>
        <w:rPr>
          <w:rFonts w:hint="eastAsia" w:ascii="宋体" w:hAnsi="宋体" w:cs="宋体"/>
          <w:sz w:val="24"/>
          <w:szCs w:val="24"/>
          <w:highlight w:val="none"/>
          <w:u w:val="single"/>
        </w:rPr>
        <w:t xml:space="preserve">                                         </w:t>
      </w:r>
      <w:r/>
    </w:p>
    <w:p>
      <w:pPr>
        <w:ind w:firstLine="480"/>
        <w:tabs>
          <w:tab w:val="left" w:pos="360" w:leader="none"/>
        </w:tabs>
        <w:rPr>
          <w:rFonts w:ascii="宋体" w:hAnsi="宋体" w:cs="宋体"/>
          <w:i/>
          <w:sz w:val="24"/>
          <w:szCs w:val="24"/>
          <w:highlight w:val="none"/>
        </w:rPr>
      </w:pPr>
      <w:r>
        <w:rPr>
          <w:rFonts w:hint="eastAsia" w:ascii="宋体" w:hAnsi="宋体" w:cs="宋体"/>
          <w:i/>
          <w:sz w:val="24"/>
          <w:szCs w:val="24"/>
          <w:highlight w:val="none"/>
          <w:u w:val="single"/>
        </w:rPr>
        <w:t xml:space="preserve">附：法人代表及被授权人的身份证正反面</w:t>
      </w:r>
      <w:r/>
    </w:p>
    <w:p>
      <w:pPr>
        <w:ind w:firstLine="420"/>
        <w:rPr>
          <w:rFonts w:ascii="宋体" w:hAnsi="宋体" w:cs="宋体"/>
          <w:i/>
          <w:sz w:val="24"/>
          <w:szCs w:val="24"/>
          <w:highlight w:val="none"/>
          <w:u w:val="single"/>
        </w:rPr>
        <w:sectPr>
          <w:headerReference w:type="default" r:id="rId10"/>
          <w:footerReference w:type="defaul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i/>
          <w:sz w:val="24"/>
          <w:szCs w:val="24"/>
          <w:highlight w:val="none"/>
          <w:u w:val="single"/>
        </w:rPr>
      </w:r>
      <w:r/>
    </w:p>
    <w:p>
      <w:pPr>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（九）投标函</w:t>
      </w:r>
      <w:r/>
    </w:p>
    <w:p>
      <w:pPr>
        <w:jc w:val="left"/>
        <w:spacing w:line="420" w:lineRule="exact"/>
        <w:rPr>
          <w:rFonts w:ascii="宋体" w:hAnsi="宋体" w:cs="宋体"/>
          <w:sz w:val="24"/>
          <w:highlight w:val="none"/>
        </w:rPr>
      </w:pPr>
      <w:r>
        <w:rPr>
          <w:rFonts w:hint="eastAsia" w:ascii="宋体" w:hAnsi="宋体" w:cs="宋体"/>
          <w:sz w:val="24"/>
          <w:highlight w:val="none"/>
        </w:rPr>
        <w:t xml:space="preserve">致：江苏苏豪创新科技集团高科有限公司</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根据贵方的项目编号为</w:t>
      </w:r>
      <w:r>
        <w:rPr>
          <w:rFonts w:hint="eastAsia" w:ascii="宋体" w:hAnsi="宋体" w:cs="宋体"/>
          <w:b/>
          <w:bCs/>
          <w:sz w:val="24"/>
          <w:highlight w:val="none"/>
          <w:lang w:eastAsia="zh-CN"/>
        </w:rPr>
        <w:t xml:space="preserve">JSZC-321023-SHGK-G2025-0163</w:t>
      </w:r>
      <w:r>
        <w:rPr>
          <w:rFonts w:hint="eastAsia" w:ascii="宋体" w:hAnsi="宋体" w:cs="宋体"/>
          <w:b/>
          <w:bCs/>
          <w:sz w:val="24"/>
          <w:highlight w:val="none"/>
        </w:rPr>
        <w:t xml:space="preserve">（</w:t>
      </w:r>
      <w:r>
        <w:rPr>
          <w:rFonts w:hint="eastAsia" w:ascii="宋体" w:hAnsi="宋体" w:cs="宋体"/>
          <w:b/>
          <w:bCs/>
          <w:sz w:val="24"/>
          <w:highlight w:val="none"/>
          <w:lang w:eastAsia="zh-CN"/>
        </w:rPr>
        <w:t xml:space="preserve">代理机构编号：1214-254111530WDX</w:t>
      </w:r>
      <w:r>
        <w:rPr>
          <w:rFonts w:hint="eastAsia" w:ascii="宋体" w:hAnsi="宋体" w:cs="宋体"/>
          <w:b/>
          <w:bCs/>
          <w:sz w:val="24"/>
          <w:highlight w:val="none"/>
        </w:rPr>
        <w:t xml:space="preserve">）</w:t>
      </w:r>
      <w:r>
        <w:rPr>
          <w:rFonts w:hint="eastAsia" w:ascii="宋体" w:hAnsi="宋体" w:cs="宋体"/>
          <w:sz w:val="24"/>
          <w:highlight w:val="none"/>
        </w:rPr>
        <w:t xml:space="preserve">的招标文件，正式授权下述签字人_________________(姓名)代表我方______________（投标人的名称），全权处理本次项目投标的有关事宜。</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据此函，__________签字人兹宣布同意如下：</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1.按招标文件规定的各项要求，向买方提供所需货物（包含与货物相关的服务）。</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2.我们完全理解贵方不一定将合同授予最低报价的投标人。</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sz w:val="24"/>
          <w:highlight w:val="none"/>
        </w:rPr>
      </w:pPr>
      <w:r>
        <w:rPr>
          <w:rFonts w:hint="eastAsia" w:ascii="宋体" w:hAnsi="宋体" w:cs="宋体"/>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s="宋体"/>
          <w:sz w:val="24"/>
          <w:highlight w:val="none"/>
        </w:rPr>
      </w:pPr>
      <w:r>
        <w:rPr>
          <w:rFonts w:hint="eastAsia" w:ascii="宋体" w:hAnsi="宋体" w:cs="宋体"/>
          <w:sz w:val="24"/>
          <w:highlight w:val="none"/>
        </w:rPr>
        <w:t xml:space="preserve">7.与本投标有关的正式通讯地址为：</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地          址：</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邮          编：</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电          话：</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传          真：</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投标人开户行：</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账          号： </w:t>
      </w:r>
      <w:r/>
    </w:p>
    <w:p>
      <w:pPr>
        <w:ind w:left="420" w:firstLine="480"/>
        <w:jc w:val="left"/>
        <w:spacing w:line="420" w:lineRule="exact"/>
        <w:rPr>
          <w:rFonts w:ascii="宋体" w:hAnsi="宋体" w:cs="宋体"/>
          <w:sz w:val="24"/>
          <w:highlight w:val="none"/>
        </w:rPr>
      </w:pPr>
      <w:r>
        <w:rPr>
          <w:rFonts w:hint="eastAsia" w:ascii="宋体" w:hAnsi="宋体" w:cs="宋体"/>
          <w:sz w:val="24"/>
          <w:highlight w:val="none"/>
        </w:rPr>
        <w:t xml:space="preserve">日           期：________年____月____日</w:t>
      </w:r>
      <w:r/>
    </w:p>
    <w:p>
      <w:pPr>
        <w:ind w:firstLine="240"/>
        <w:jc w:val="center"/>
        <w:spacing w:line="560" w:lineRule="exact"/>
        <w:rPr>
          <w:rFonts w:ascii="宋体" w:hAnsi="宋体" w:cs="宋体"/>
          <w:bCs/>
          <w:sz w:val="24"/>
          <w:highlight w:val="none"/>
        </w:rPr>
      </w:pPr>
      <w:r>
        <w:rPr>
          <w:rFonts w:ascii="宋体" w:hAnsi="宋体" w:cs="宋体"/>
          <w:bCs/>
          <w:sz w:val="24"/>
          <w:highlight w:val="none"/>
        </w:rPr>
      </w:r>
      <w:r/>
    </w:p>
    <w:p>
      <w:pPr>
        <w:ind w:firstLine="240"/>
        <w:jc w:val="center"/>
        <w:spacing w:line="560" w:lineRule="exact"/>
        <w:rPr>
          <w:rFonts w:ascii="宋体" w:hAnsi="宋体" w:cs="宋体"/>
          <w:bCs/>
          <w:sz w:val="24"/>
          <w:highlight w:val="none"/>
        </w:rPr>
      </w:pPr>
      <w:r>
        <w:rPr>
          <w:rFonts w:ascii="宋体" w:hAnsi="宋体" w:cs="宋体"/>
          <w:bCs/>
          <w:sz w:val="24"/>
          <w:highlight w:val="none"/>
        </w:rPr>
      </w:r>
      <w:r/>
    </w:p>
    <w:p>
      <w:pPr>
        <w:ind w:firstLine="240"/>
        <w:jc w:val="center"/>
        <w:spacing w:line="560" w:lineRule="exact"/>
        <w:rPr>
          <w:rFonts w:ascii="宋体" w:hAnsi="宋体" w:cs="宋体"/>
          <w:bCs/>
          <w:sz w:val="24"/>
          <w:highlight w:val="none"/>
        </w:rPr>
      </w:pPr>
      <w:r>
        <w:rPr>
          <w:rFonts w:ascii="宋体" w:hAnsi="宋体" w:cs="宋体"/>
          <w:bCs/>
          <w:sz w:val="24"/>
          <w:highlight w:val="none"/>
        </w:rPr>
      </w:r>
      <w:r/>
    </w:p>
    <w:p>
      <w:pPr>
        <w:pStyle w:val="678"/>
        <w:rPr>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highlight w:val="none"/>
        </w:rPr>
      </w:r>
      <w:r/>
    </w:p>
    <w:p>
      <w:pPr>
        <w:ind w:firstLine="240"/>
        <w:jc w:val="center"/>
        <w:spacing w:line="560" w:lineRule="exact"/>
        <w:rPr>
          <w:rFonts w:ascii="宋体" w:hAnsi="宋体" w:cs="宋体"/>
          <w:bCs/>
          <w:sz w:val="24"/>
          <w:highlight w:val="none"/>
        </w:rPr>
      </w:pPr>
      <w:r>
        <w:rPr>
          <w:rFonts w:ascii="宋体" w:hAnsi="宋体" w:cs="宋体"/>
          <w:bCs/>
          <w:sz w:val="24"/>
          <w:highlight w:val="none"/>
        </w:rPr>
      </w:r>
      <w:r/>
    </w:p>
    <w:p>
      <w:pPr>
        <w:jc w:val="center"/>
        <w:spacing w:line="460" w:lineRule="exact"/>
        <w:rPr>
          <w:rFonts w:ascii="黑体" w:hAnsi="黑体" w:eastAsia="黑体"/>
          <w:b/>
          <w:i/>
          <w:iCs/>
          <w:sz w:val="32"/>
          <w:szCs w:val="32"/>
          <w:highlight w:val="none"/>
          <w:u w:val="single"/>
        </w:rPr>
      </w:pPr>
      <w:r>
        <w:rPr>
          <w:rFonts w:hint="eastAsia" w:ascii="黑体" w:hAnsi="黑体" w:eastAsia="黑体"/>
          <w:b/>
          <w:sz w:val="32"/>
          <w:szCs w:val="32"/>
          <w:highlight w:val="none"/>
        </w:rPr>
        <w:t xml:space="preserve">十、中小企业声明函（货物）</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p>
    <w:p>
      <w:pPr>
        <w:ind w:firstLine="360"/>
        <w:spacing w:line="560" w:lineRule="exact"/>
        <w:rPr>
          <w:rFonts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180" w:firstLine="360"/>
        <w:jc w:val="right"/>
        <w:spacing w:line="560" w:lineRule="exact"/>
        <w:rPr>
          <w:rFonts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right="480" w:firstLine="5400"/>
        <w:spacing w:line="560" w:lineRule="exact"/>
        <w:rPr>
          <w:rFonts w:ascii="宋体" w:hAnsi="宋体" w:cs="宋体"/>
          <w:sz w:val="24"/>
          <w:szCs w:val="24"/>
          <w:highlight w:val="none"/>
        </w:rPr>
      </w:pPr>
      <w:r>
        <w:rPr>
          <w:rFonts w:hint="eastAsia" w:ascii="宋体" w:hAnsi="宋体" w:cs="宋体"/>
          <w:sz w:val="24"/>
          <w:szCs w:val="24"/>
          <w:highlight w:val="none"/>
        </w:rPr>
        <w:t xml:space="preserve">日  期：</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备注2：供应商如不提供此声明函，价格将不做相应扣除。</w:t>
      </w:r>
      <w:r/>
    </w:p>
    <w:p>
      <w:pPr>
        <w:rPr>
          <w:rFonts w:ascii="宋体" w:hAnsi="宋体" w:cs="宋体"/>
          <w:sz w:val="24"/>
          <w:szCs w:val="24"/>
          <w:highlight w:val="none"/>
        </w:rPr>
      </w:pPr>
      <w:r>
        <w:rPr>
          <w:rFonts w:hint="eastAsia" w:ascii="宋体" w:hAnsi="宋体" w:cs="宋体"/>
          <w:sz w:val="24"/>
          <w:szCs w:val="24"/>
          <w:highlight w:val="none"/>
        </w:rPr>
        <w:br w:type="page" w:clear="all"/>
      </w:r>
      <w:r/>
    </w:p>
    <w:p>
      <w:pPr>
        <w:jc w:val="center"/>
        <w:keepLines/>
        <w:keepNext/>
        <w:spacing w:before="300" w:after="300" w:line="360" w:lineRule="auto"/>
        <w:widowControl/>
        <w:rPr>
          <w:rFonts w:ascii="Arial" w:hAnsi="Arial" w:eastAsia="幼圆" w:cs="Arial"/>
          <w:b/>
          <w:bCs/>
          <w:color w:val="666666"/>
          <w:highlight w:val="none"/>
        </w:rPr>
      </w:pPr>
      <w:r/>
      <w:bookmarkStart w:id="74" w:name="_Toc150519795"/>
      <w:r>
        <w:rPr>
          <w:rFonts w:hint="eastAsia" w:ascii="Arial" w:hAnsi="Arial" w:eastAsia="幼圆" w:cs="微软雅黑"/>
          <w:b/>
          <w:bCs/>
          <w:color w:val="333333"/>
          <w:highlight w:val="none"/>
        </w:rPr>
        <w:t xml:space="preserve">中小微企业划型标准</w:t>
      </w:r>
      <w:bookmarkEnd w:id="74"/>
      <w:r>
        <w:rPr>
          <w:rFonts w:hint="eastAsia" w:ascii="Arial" w:hAnsi="Arial" w:eastAsia="幼圆" w:cs="微软雅黑"/>
          <w:b/>
          <w:bCs/>
          <w:color w:val="666666"/>
          <w:highlight w:val="none"/>
        </w:rPr>
        <w:t xml:space="preserve"> </w:t>
      </w:r>
      <w:r/>
    </w:p>
    <w:tbl>
      <w:tblPr>
        <w:tblStyle w:val="677"/>
        <w:tblpPr w:horzAnchor="page" w:tblpX="1225" w:vertAnchor="text" w:tblpY="878" w:leftFromText="180" w:topFromText="0" w:rightFromText="180" w:bottomFromText="0"/>
        <w:tblW w:w="9177"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中小微企业划型标准如下：</w:t>
      </w:r>
      <w:r/>
    </w:p>
    <w:p>
      <w:pPr>
        <w:ind w:firstLine="810"/>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78"/>
        <w:rPr>
          <w:highlight w:val="none"/>
        </w:rPr>
      </w:pPr>
      <w:r>
        <w:rPr>
          <w:highlight w:val="none"/>
        </w:rPr>
      </w:r>
      <w:r/>
    </w:p>
    <w:p>
      <w:pPr>
        <w:jc w:val="center"/>
        <w:keepLines/>
        <w:keepNext/>
        <w:spacing w:before="260" w:line="415" w:lineRule="auto"/>
        <w:rPr>
          <w:rFonts w:ascii="宋体" w:hAnsi="宋体" w:cs="宋体"/>
          <w:b/>
          <w:sz w:val="32"/>
          <w:szCs w:val="32"/>
          <w:highlight w:val="none"/>
        </w:rPr>
        <w:outlineLvl w:val="1"/>
      </w:pPr>
      <w:r>
        <w:rPr>
          <w:rFonts w:hint="eastAsia" w:ascii="宋体" w:hAnsi="宋体" w:cs="宋体"/>
          <w:b/>
          <w:sz w:val="32"/>
          <w:szCs w:val="32"/>
          <w:highlight w:val="none"/>
        </w:rPr>
        <w:br w:type="page" w:clear="all"/>
      </w:r>
      <w:r>
        <w:rPr>
          <w:rFonts w:hint="eastAsia" w:ascii="宋体" w:hAnsi="宋体" w:cs="宋体"/>
          <w:sz w:val="32"/>
          <w:szCs w:val="32"/>
          <w:highlight w:val="none"/>
        </w:rPr>
        <w:t xml:space="preserve">残疾人福利性单位声明函（如适用）</w:t>
      </w:r>
      <w:r/>
    </w:p>
    <w:p>
      <w:pPr>
        <w:ind w:firstLine="480"/>
        <w:spacing w:line="588" w:lineRule="exact"/>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rPr>
        <w:t xml:space="preserve">       </w:t>
      </w:r>
      <w:r>
        <w:rPr>
          <w:rFonts w:hint="eastAsia" w:ascii="宋体" w:hAnsi="宋体" w:cs="宋体"/>
          <w:sz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588" w:lineRule="exact"/>
        <w:rPr>
          <w:rFonts w:ascii="宋体" w:hAnsi="宋体" w:cs="宋体"/>
          <w:sz w:val="24"/>
          <w:highlight w:val="none"/>
        </w:rPr>
      </w:pPr>
      <w:r>
        <w:rPr>
          <w:rFonts w:ascii="宋体" w:hAnsi="宋体" w:cs="宋体"/>
          <w:sz w:val="24"/>
          <w:highlight w:val="none"/>
        </w:rPr>
      </w:r>
      <w:r/>
    </w:p>
    <w:p>
      <w:pPr>
        <w:ind w:firstLine="480"/>
        <w:spacing w:line="588" w:lineRule="exact"/>
        <w:rPr>
          <w:rFonts w:ascii="宋体" w:hAnsi="宋体" w:cs="宋体"/>
          <w:sz w:val="24"/>
          <w:highlight w:val="none"/>
        </w:rPr>
      </w:pPr>
      <w:r>
        <w:rPr>
          <w:rFonts w:hint="eastAsia" w:ascii="宋体" w:hAnsi="宋体" w:cs="宋体"/>
          <w:sz w:val="24"/>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cs="宋体"/>
          <w:spacing w:val="6"/>
          <w:sz w:val="30"/>
          <w:szCs w:val="30"/>
          <w:highlight w:val="none"/>
        </w:rPr>
      </w:pPr>
      <w:r>
        <w:rPr>
          <w:rFonts w:ascii="宋体" w:hAnsi="宋体" w:cs="宋体"/>
          <w:spacing w:val="6"/>
          <w:sz w:val="30"/>
          <w:szCs w:val="30"/>
          <w:highlight w:val="none"/>
        </w:rPr>
      </w:r>
      <w:r/>
    </w:p>
    <w:p>
      <w:pPr>
        <w:ind w:right="589" w:firstLine="624"/>
        <w:jc w:val="center"/>
        <w:spacing w:line="588" w:lineRule="exact"/>
        <w:tabs>
          <w:tab w:val="left" w:pos="4860" w:leader="none"/>
        </w:tabs>
        <w:rPr>
          <w:rFonts w:ascii="宋体" w:hAnsi="宋体" w:cs="宋体"/>
          <w:sz w:val="24"/>
          <w:highlight w:val="none"/>
        </w:rPr>
      </w:pPr>
      <w:r>
        <w:rPr>
          <w:rFonts w:hint="eastAsia" w:ascii="宋体" w:hAnsi="宋体" w:cs="宋体"/>
          <w:spacing w:val="6"/>
          <w:sz w:val="30"/>
          <w:szCs w:val="30"/>
          <w:highlight w:val="none"/>
        </w:rPr>
        <w:t xml:space="preserve">             </w:t>
      </w:r>
      <w:r>
        <w:rPr>
          <w:rFonts w:hint="eastAsia" w:ascii="宋体" w:hAnsi="宋体" w:cs="宋体"/>
          <w:sz w:val="24"/>
          <w:highlight w:val="none"/>
        </w:rPr>
        <w:t xml:space="preserve">          供应商全称（加盖CA电子公章）：</w:t>
      </w:r>
      <w:r/>
    </w:p>
    <w:p>
      <w:pPr>
        <w:ind w:right="1560" w:firstLine="480"/>
        <w:jc w:val="center"/>
        <w:spacing w:line="588" w:lineRule="exact"/>
        <w:tabs>
          <w:tab w:val="left" w:pos="4860"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日  期：</w:t>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br w:type="page" w:clear="all"/>
      </w:r>
      <w:r/>
    </w:p>
    <w:p>
      <w:pPr>
        <w:jc w:val="left"/>
        <w:keepLines/>
        <w:keepNext/>
        <w:spacing w:before="260" w:line="415" w:lineRule="auto"/>
        <w:rPr>
          <w:rFonts w:ascii="宋体" w:hAnsi="宋体" w:cs="宋体"/>
          <w:sz w:val="32"/>
          <w:szCs w:val="32"/>
          <w:highlight w:val="none"/>
        </w:rPr>
        <w:outlineLvl w:val="1"/>
      </w:pPr>
      <w:r>
        <w:rPr>
          <w:rFonts w:hint="eastAsia" w:ascii="宋体" w:hAnsi="宋体" w:cs="宋体"/>
          <w:sz w:val="32"/>
          <w:szCs w:val="32"/>
          <w:highlight w:val="none"/>
        </w:rPr>
        <w:t xml:space="preserve">十一、联合体协议（本项目不适用）</w:t>
      </w:r>
      <w:r/>
    </w:p>
    <w:p>
      <w:pPr>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自愿组成联合体，参加江苏苏豪创新科技集团高科有限公司组织的采购编号为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项目（分包号：**）的政府采购活动，我联合体指定</w:t>
      </w:r>
      <w:r>
        <w:rPr>
          <w:rFonts w:hint="eastAsia" w:ascii="宋体" w:hAnsi="宋体"/>
          <w:sz w:val="24"/>
          <w:highlight w:val="none"/>
          <w:u w:val="single"/>
        </w:rPr>
        <w:t xml:space="preserve">（供应商*）</w:t>
      </w:r>
      <w:r>
        <w:rPr>
          <w:rFonts w:hint="eastAsia" w:ascii="宋体" w:hAnsi="宋体"/>
          <w:sz w:val="24"/>
          <w:highlight w:val="none"/>
        </w:rPr>
        <w:t xml:space="preserve">为牵头单位（牵头单位必须为联合体成员）。</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、若我们联合中标、成交，（供应商单位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全称）实施项目中（工作内容）部分工作，并承担相应的责任。（供应商单位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p>
    <w:p>
      <w:pPr>
        <w:ind w:firstLine="645"/>
        <w:spacing w:line="360" w:lineRule="auto"/>
        <w:rPr>
          <w:rFonts w:ascii="宋体" w:hAnsi="宋体"/>
          <w:sz w:val="24"/>
          <w:highlight w:val="none"/>
        </w:rPr>
      </w:pPr>
      <w:r>
        <w:rPr>
          <w:rFonts w:ascii="宋体" w:hAnsi="宋体"/>
          <w:sz w:val="24"/>
          <w:highlight w:val="none"/>
        </w:rPr>
      </w:r>
      <w:r/>
    </w:p>
    <w:p>
      <w:pPr>
        <w:ind w:firstLine="645"/>
        <w:spacing w:line="360" w:lineRule="auto"/>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p>
    <w:p>
      <w:pPr>
        <w:ind w:firstLine="645"/>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360" w:lineRule="auto"/>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p>
    <w:p>
      <w:pPr>
        <w:ind w:firstLine="645"/>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日期：</w:t>
      </w:r>
      <w:r/>
    </w:p>
    <w:p>
      <w:pPr>
        <w:pStyle w:val="678"/>
        <w:rPr>
          <w:highlight w:val="none"/>
        </w:rPr>
      </w:pPr>
      <w:r>
        <w:rPr>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jc w:val="center"/>
        <w:spacing w:line="560" w:lineRule="exact"/>
        <w:rPr>
          <w:rFonts w:ascii="宋体" w:hAnsi="宋体" w:cs="宋体"/>
          <w:b/>
          <w:sz w:val="32"/>
          <w:szCs w:val="32"/>
          <w:highlight w:val="none"/>
        </w:rPr>
      </w:pPr>
      <w:r>
        <w:rPr>
          <w:rFonts w:ascii="宋体" w:hAnsi="宋体" w:cs="宋体"/>
          <w:b/>
          <w:sz w:val="32"/>
          <w:szCs w:val="32"/>
          <w:highlight w:val="none"/>
        </w:rPr>
      </w:r>
      <w:r/>
    </w:p>
    <w:p>
      <w:pPr>
        <w:spacing w:line="560" w:lineRule="exact"/>
        <w:rPr>
          <w:rFonts w:ascii="宋体" w:hAnsi="宋体" w:cs="宋体"/>
          <w:b/>
          <w:sz w:val="32"/>
          <w:szCs w:val="32"/>
          <w:highlight w:val="none"/>
        </w:rPr>
      </w:pPr>
      <w:r>
        <w:rPr>
          <w:rFonts w:ascii="宋体" w:hAnsi="宋体" w:cs="宋体"/>
          <w:b/>
          <w:sz w:val="32"/>
          <w:szCs w:val="32"/>
          <w:highlight w:val="none"/>
        </w:rPr>
      </w:r>
      <w:r/>
    </w:p>
    <w:p>
      <w:pPr>
        <w:rPr>
          <w:rFonts w:ascii="宋体" w:hAnsi="宋体" w:cs="宋体"/>
          <w:highlight w:val="none"/>
        </w:rPr>
      </w:pPr>
      <w:r>
        <w:rPr>
          <w:rFonts w:ascii="宋体" w:hAnsi="宋体" w:cs="宋体"/>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十二、投标分项报价表</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宝应县人民医院院前急救信息平台</w:t>
      </w:r>
      <w:r>
        <w:rPr>
          <w:rFonts w:hint="eastAsia" w:ascii="宋体" w:hAnsi="宋体" w:cs="宋体"/>
          <w:sz w:val="28"/>
          <w:szCs w:val="28"/>
          <w:highlight w:val="none"/>
        </w:rPr>
        <w:t xml:space="preserve">采购项目</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JSZC-321023-SHGK-G2025-0163</w:t>
      </w:r>
      <w:r/>
    </w:p>
    <w:p>
      <w:pPr>
        <w:jc w:val="lef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bookmarkStart w:id="75" w:name="OLE_LINK5"/>
      <w:r>
        <w:rPr>
          <w:rFonts w:hint="eastAsia" w:ascii="宋体" w:hAnsi="宋体" w:cs="宋体"/>
          <w:sz w:val="28"/>
          <w:szCs w:val="28"/>
          <w:highlight w:val="none"/>
          <w:lang w:eastAsia="zh-CN"/>
        </w:rPr>
        <w:t xml:space="preserve">代理机构编号：1214-254111530WDX</w:t>
      </w:r>
      <w:bookmarkEnd w:id="75"/>
      <w:r/>
    </w:p>
    <w:tbl>
      <w:tblPr>
        <w:tblStyle w:val="67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020"/>
        <w:gridCol w:w="1020"/>
        <w:gridCol w:w="1259"/>
        <w:gridCol w:w="784"/>
        <w:gridCol w:w="980"/>
        <w:gridCol w:w="727"/>
        <w:gridCol w:w="1372"/>
        <w:gridCol w:w="1246"/>
      </w:tblGrid>
      <w:tr>
        <w:trPr>
          <w:cantSplit/>
          <w:trHeight w:val="544"/>
        </w:trPr>
        <w:tc>
          <w:tcPr>
            <w:tcW w:w="673" w:type="dxa"/>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序号</w:t>
            </w:r>
            <w:r/>
          </w:p>
        </w:tc>
        <w:tc>
          <w:tcPr>
            <w:tcW w:w="102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02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2</w:t>
            </w:r>
            <w:r/>
          </w:p>
        </w:tc>
        <w:tc>
          <w:tcPr>
            <w:tcW w:w="1259"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3</w:t>
            </w:r>
            <w:r/>
          </w:p>
        </w:tc>
        <w:tc>
          <w:tcPr>
            <w:tcW w:w="78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98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5</w:t>
            </w:r>
            <w:r/>
          </w:p>
        </w:tc>
        <w:tc>
          <w:tcPr>
            <w:tcW w:w="727"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6</w:t>
            </w:r>
            <w:r/>
          </w:p>
        </w:tc>
        <w:tc>
          <w:tcPr>
            <w:tcW w:w="1372"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7</w:t>
            </w:r>
            <w:r/>
          </w:p>
        </w:tc>
        <w:tc>
          <w:tcPr>
            <w:tcW w:w="124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8</w:t>
            </w:r>
            <w:r/>
          </w:p>
        </w:tc>
      </w:tr>
      <w:tr>
        <w:trPr>
          <w:cantSplit/>
          <w:trHeight w:val="294"/>
        </w:trPr>
        <w:tc>
          <w:tcPr>
            <w:tcW w:w="67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02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设备名称</w:t>
            </w:r>
            <w:r/>
          </w:p>
        </w:tc>
        <w:tc>
          <w:tcPr>
            <w:tcW w:w="102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品牌</w:t>
            </w:r>
            <w:r/>
          </w:p>
        </w:tc>
        <w:tc>
          <w:tcPr>
            <w:tcW w:w="1259"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规格</w:t>
            </w:r>
            <w:r/>
          </w:p>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型号</w:t>
            </w:r>
            <w:r/>
          </w:p>
        </w:tc>
        <w:tc>
          <w:tcPr>
            <w:tcW w:w="78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产地</w:t>
            </w:r>
            <w:r/>
          </w:p>
        </w:tc>
        <w:tc>
          <w:tcPr>
            <w:tcW w:w="98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交付期/交货期</w:t>
            </w:r>
            <w:r/>
          </w:p>
        </w:tc>
        <w:tc>
          <w:tcPr>
            <w:tcW w:w="727"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数量</w:t>
            </w:r>
            <w:r/>
          </w:p>
        </w:tc>
        <w:tc>
          <w:tcPr>
            <w:tcW w:w="1372"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分项单价</w:t>
            </w:r>
            <w:r/>
          </w:p>
        </w:tc>
        <w:tc>
          <w:tcPr>
            <w:tcW w:w="124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分项总价</w:t>
            </w:r>
            <w:r/>
          </w:p>
        </w:tc>
      </w:tr>
      <w:tr>
        <w:trPr>
          <w:cantSplit/>
          <w:trHeight w:val="696"/>
        </w:trPr>
        <w:tc>
          <w:tcPr>
            <w:tcW w:w="67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2</w:t>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59"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84"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98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27"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372"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46"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724"/>
        </w:trPr>
        <w:tc>
          <w:tcPr>
            <w:tcW w:w="67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3</w:t>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59"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84"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98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27"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372"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46"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67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59"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84"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98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27"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372"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46"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580"/>
        </w:trPr>
        <w:tc>
          <w:tcPr>
            <w:tcW w:w="67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w:t>
            </w:r>
            <w:r/>
          </w:p>
        </w:tc>
        <w:tc>
          <w:tcPr>
            <w:tcW w:w="1020" w:type="dxa"/>
            <w:vAlign w:val="center"/>
            <w:textDirection w:val="lrTb"/>
            <w:noWrap w:val="false"/>
          </w:tcPr>
          <w:p>
            <w:pPr>
              <w:spacing w:line="0" w:lineRule="atLeast"/>
              <w:rPr>
                <w:rFonts w:ascii="宋体" w:hAnsi="宋体" w:cs="宋体"/>
                <w:sz w:val="24"/>
                <w:szCs w:val="24"/>
                <w:highlight w:val="none"/>
              </w:rPr>
            </w:pPr>
            <w:r>
              <w:rPr>
                <w:rFonts w:hint="eastAsia" w:ascii="宋体" w:hAnsi="宋体" w:cs="宋体"/>
                <w:sz w:val="24"/>
                <w:szCs w:val="24"/>
                <w:highlight w:val="none"/>
              </w:rPr>
              <w:t xml:space="preserve">……</w:t>
            </w:r>
            <w:r/>
          </w:p>
        </w:tc>
        <w:tc>
          <w:tcPr>
            <w:tcW w:w="102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59"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84"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980"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727"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372"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c>
          <w:tcPr>
            <w:tcW w:w="1246" w:type="dxa"/>
            <w:vAlign w:val="center"/>
            <w:textDirection w:val="lrTb"/>
            <w:noWrap w:val="false"/>
          </w:tcPr>
          <w:p>
            <w:pP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1030"/>
        </w:trPr>
        <w:tc>
          <w:tcPr>
            <w:gridSpan w:val="8"/>
            <w:tcW w:w="783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投标总报价（人民币：元）</w:t>
            </w:r>
            <w:r/>
          </w:p>
        </w:tc>
        <w:tc>
          <w:tcPr>
            <w:tcW w:w="1246" w:type="dxa"/>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sz w:val="24"/>
          <w:szCs w:val="24"/>
          <w:highlight w:val="none"/>
        </w:rPr>
      </w:pPr>
      <w:r>
        <w:rPr>
          <w:rFonts w:hint="eastAsia" w:ascii="宋体" w:hAnsi="宋体" w:cs="宋体"/>
          <w:sz w:val="24"/>
          <w:szCs w:val="24"/>
          <w:highlight w:val="none"/>
        </w:rPr>
        <w:t xml:space="preserve">注：</w:t>
      </w:r>
      <w:r/>
    </w:p>
    <w:p>
      <w:pPr>
        <w:rPr>
          <w:rFonts w:ascii="宋体" w:hAnsi="宋体" w:cs="宋体"/>
          <w:sz w:val="24"/>
          <w:highlight w:val="none"/>
        </w:rPr>
      </w:pPr>
      <w:r>
        <w:rPr>
          <w:rFonts w:hint="eastAsia" w:ascii="宋体" w:hAnsi="宋体" w:cs="宋体"/>
          <w:sz w:val="24"/>
          <w:szCs w:val="24"/>
          <w:highlight w:val="none"/>
        </w:rPr>
        <w:t xml:space="preserve">1.投标报价</w:t>
      </w:r>
      <w:r>
        <w:rPr>
          <w:rFonts w:hint="eastAsia" w:ascii="宋体" w:hAnsi="宋体" w:cs="宋体"/>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highlight w:val="none"/>
        </w:rPr>
        <w:t xml:space="preserve"> “</w:t>
      </w:r>
      <w:r>
        <w:rPr>
          <w:rFonts w:hint="eastAsia" w:ascii="宋体" w:hAnsi="宋体" w:cs="宋体"/>
          <w:sz w:val="24"/>
          <w:highlight w:val="none"/>
        </w:rPr>
        <w:t xml:space="preserve">投标分项报价表</w:t>
      </w:r>
      <w:r>
        <w:rPr>
          <w:rFonts w:hint="eastAsia" w:ascii="宋体" w:hAnsi="宋体" w:cs="宋体"/>
          <w:highlight w:val="none"/>
        </w:rPr>
        <w:t xml:space="preserve">”</w:t>
      </w:r>
      <w:r>
        <w:rPr>
          <w:rFonts w:hint="eastAsia" w:ascii="宋体" w:hAnsi="宋体" w:cs="宋体"/>
          <w:sz w:val="24"/>
          <w:highlight w:val="none"/>
        </w:rPr>
        <w:t xml:space="preserve">中“投标总报价”数额应当与“开标一览表”中“投标总报价”数额一致。</w:t>
      </w:r>
      <w:r/>
    </w:p>
    <w:p>
      <w:pPr>
        <w:pStyle w:val="678"/>
        <w:rPr>
          <w:i/>
          <w:iCs/>
          <w:highlight w:val="none"/>
          <w:u w:val="single"/>
        </w:rPr>
      </w:pPr>
      <w:r>
        <w:rPr>
          <w:rFonts w:hint="eastAsia"/>
          <w:i/>
          <w:iCs/>
          <w:highlight w:val="none"/>
          <w:u w:val="single"/>
        </w:rPr>
        <w:t xml:space="preserve">3</w:t>
      </w:r>
      <w:r>
        <w:rPr>
          <w:i/>
          <w:iCs/>
          <w:highlight w:val="none"/>
          <w:u w:val="single"/>
        </w:rPr>
        <w:t xml:space="preserve">.</w:t>
      </w:r>
      <w:r>
        <w:rPr>
          <w:rFonts w:hint="eastAsia"/>
          <w:i/>
          <w:iCs/>
          <w:highlight w:val="none"/>
          <w:u w:val="single"/>
        </w:rPr>
        <w:t xml:space="preserve">该表格须按照招标文件《第四章 采购需求》之</w:t>
      </w:r>
      <w:r>
        <w:rPr>
          <w:rFonts w:hint="eastAsia"/>
          <w:i/>
          <w:iCs/>
          <w:highlight w:val="none"/>
          <w:u w:val="single"/>
          <w:lang w:val="en-US" w:eastAsia="zh-CN"/>
        </w:rPr>
        <w:t xml:space="preserve">2：软件建设技术要求、3：配套设备技术要求</w:t>
      </w:r>
      <w:r>
        <w:rPr>
          <w:rFonts w:hint="eastAsia"/>
          <w:i/>
          <w:iCs/>
          <w:highlight w:val="none"/>
          <w:u w:val="single"/>
        </w:rPr>
        <w:t xml:space="preserve">的全部内容进行填写</w:t>
      </w:r>
      <w:r>
        <w:rPr>
          <w:rFonts w:hint="eastAsia"/>
          <w:i/>
          <w:iCs/>
          <w:highlight w:val="none"/>
          <w:u w:val="single"/>
          <w:lang w:eastAsia="zh-CN"/>
        </w:rPr>
        <w:t xml:space="preserve">，</w:t>
      </w:r>
      <w:r>
        <w:rPr>
          <w:rFonts w:hint="eastAsia"/>
          <w:i/>
          <w:iCs/>
          <w:highlight w:val="none"/>
          <w:u w:val="single"/>
          <w:lang w:val="en-US" w:eastAsia="zh-CN"/>
        </w:rPr>
        <w:t xml:space="preserve">本表格未填写或存在缺项的，视为无效投标</w:t>
      </w:r>
      <w:r>
        <w:rPr>
          <w:rFonts w:hint="eastAsia"/>
          <w:i/>
          <w:iCs/>
          <w:highlight w:val="none"/>
          <w:u w:val="single"/>
        </w:rPr>
        <w:t xml:space="preserve">。</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jc w:val="left"/>
        <w:widowControl/>
        <w:rPr>
          <w:rFonts w:ascii="宋体" w:hAnsi="宋体" w:cs="宋体"/>
          <w:sz w:val="24"/>
          <w:szCs w:val="24"/>
          <w:highlight w:val="none"/>
        </w:rPr>
      </w:pPr>
      <w:r>
        <w:rPr>
          <w:rFonts w:ascii="宋体" w:hAnsi="宋体" w:cs="宋体"/>
          <w:sz w:val="24"/>
          <w:szCs w:val="24"/>
          <w:highlight w:val="none"/>
        </w:rPr>
        <w:br w:type="page" w:clear="all"/>
      </w:r>
      <w:r/>
    </w:p>
    <w:p>
      <w:pPr>
        <w:rPr>
          <w:rFonts w:ascii="宋体" w:hAnsi="宋体" w:cs="宋体"/>
          <w:sz w:val="24"/>
          <w:szCs w:val="24"/>
          <w:highlight w:val="none"/>
        </w:rPr>
      </w:pPr>
      <w:r>
        <w:rPr>
          <w:rFonts w:ascii="宋体" w:hAnsi="宋体" w:cs="宋体"/>
          <w:sz w:val="24"/>
          <w:szCs w:val="24"/>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十三、技术要求响应及偏离表</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宝应县人民医院院前急救信息平台</w:t>
      </w:r>
      <w:r>
        <w:rPr>
          <w:rFonts w:hint="eastAsia" w:ascii="宋体" w:hAnsi="宋体" w:cs="宋体"/>
          <w:sz w:val="28"/>
          <w:szCs w:val="28"/>
          <w:highlight w:val="none"/>
        </w:rPr>
        <w:t xml:space="preserve">采购项目</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JSZC-321023-SHGK-G2025-0163</w:t>
      </w:r>
      <w:r>
        <w:rPr>
          <w:rFonts w:hint="eastAsia" w:ascii="宋体" w:hAnsi="宋体" w:cs="宋体"/>
          <w:sz w:val="28"/>
          <w:szCs w:val="28"/>
          <w:highlight w:val="none"/>
        </w:rPr>
        <w:t xml:space="preserve"> </w:t>
      </w:r>
      <w:r/>
    </w:p>
    <w:p>
      <w:pPr>
        <w:pStyle w:val="678"/>
        <w:rPr>
          <w:rFonts w:hint="eastAsia" w:eastAsia="宋体"/>
          <w:color w:val="auto"/>
          <w:highlight w:val="none"/>
          <w:lang w:eastAsia="zh-CN"/>
        </w:rPr>
      </w:pPr>
      <w:r>
        <w:rPr>
          <w:rFonts w:hint="eastAsia" w:hAnsi="宋体"/>
          <w:color w:val="auto"/>
          <w:sz w:val="28"/>
          <w:szCs w:val="28"/>
          <w:highlight w:val="none"/>
          <w:lang w:eastAsia="zh-CN"/>
        </w:rPr>
        <w:t xml:space="preserve">代理机构编号：1214-254111530WDX</w:t>
      </w:r>
      <w:r/>
    </w:p>
    <w:tbl>
      <w:tblPr>
        <w:tblStyle w:val="677"/>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852"/>
        <w:gridCol w:w="1308"/>
        <w:gridCol w:w="1173"/>
      </w:tblGrid>
      <w:tr>
        <w:trPr>
          <w:cantSplit/>
        </w:trPr>
        <w:tc>
          <w:tcPr>
            <w:tcW w:w="70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300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招标文件要求</w:t>
            </w:r>
            <w:r/>
          </w:p>
        </w:tc>
        <w:tc>
          <w:tcPr>
            <w:tcW w:w="285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投标响应情况</w:t>
            </w:r>
            <w:r/>
          </w:p>
        </w:tc>
        <w:tc>
          <w:tcPr>
            <w:tcW w:w="130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超出、符合或偏离</w:t>
            </w:r>
            <w:r/>
          </w:p>
        </w:tc>
        <w:tc>
          <w:tcPr>
            <w:tcW w:w="11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证明</w:t>
            </w:r>
            <w:r/>
          </w:p>
          <w:p>
            <w:pPr>
              <w:jc w:val="center"/>
              <w:rPr>
                <w:rFonts w:ascii="宋体" w:hAnsi="宋体" w:cs="宋体"/>
                <w:sz w:val="24"/>
                <w:szCs w:val="24"/>
                <w:highlight w:val="none"/>
              </w:rPr>
            </w:pPr>
            <w:r>
              <w:rPr>
                <w:rFonts w:hint="eastAsia" w:ascii="宋体" w:hAnsi="宋体" w:cs="宋体"/>
                <w:sz w:val="24"/>
                <w:szCs w:val="24"/>
                <w:highlight w:val="none"/>
              </w:rPr>
              <w:t xml:space="preserve">材料</w:t>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70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007"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w:t>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sz w:val="24"/>
          <w:szCs w:val="24"/>
          <w:highlight w:val="none"/>
        </w:rPr>
      </w:pPr>
      <w:r>
        <w:rPr>
          <w:rFonts w:hint="eastAsia" w:ascii="宋体" w:hAnsi="宋体" w:cs="宋体"/>
          <w:sz w:val="24"/>
          <w:szCs w:val="24"/>
          <w:highlight w:val="none"/>
        </w:rPr>
        <w:t xml:space="preserve">注： </w:t>
      </w:r>
      <w:r/>
    </w:p>
    <w:p>
      <w:pPr>
        <w:rPr>
          <w:rFonts w:ascii="宋体" w:hAnsi="宋体" w:cs="宋体"/>
          <w:sz w:val="24"/>
          <w:szCs w:val="24"/>
          <w:highlight w:val="none"/>
        </w:rPr>
      </w:pPr>
      <w:r>
        <w:rPr>
          <w:rFonts w:hint="eastAsia" w:ascii="宋体" w:hAnsi="宋体" w:cs="宋体"/>
          <w:sz w:val="24"/>
          <w:szCs w:val="24"/>
          <w:highlight w:val="none"/>
        </w:rPr>
        <w:t xml:space="preserve">1.行数不够，可自行添加。;</w:t>
      </w:r>
      <w:r/>
    </w:p>
    <w:p>
      <w:pPr>
        <w:rPr>
          <w:rFonts w:ascii="宋体" w:hAnsi="宋体" w:cs="宋体"/>
          <w:sz w:val="24"/>
          <w:szCs w:val="24"/>
          <w:highlight w:val="none"/>
        </w:rPr>
      </w:pPr>
      <w:r>
        <w:rPr>
          <w:rFonts w:hint="eastAsia" w:ascii="宋体" w:hAnsi="宋体" w:cs="宋体"/>
          <w:sz w:val="24"/>
          <w:szCs w:val="24"/>
          <w:highlight w:val="none"/>
        </w:rPr>
        <w:t xml:space="preserve">2.本表格须按照招标文件《第四章 采购需求》的</w:t>
      </w:r>
      <w:r>
        <w:rPr>
          <w:rFonts w:hint="eastAsia" w:ascii="宋体" w:hAnsi="宋体" w:cs="宋体"/>
          <w:b/>
          <w:sz w:val="24"/>
          <w:szCs w:val="24"/>
          <w:highlight w:val="none"/>
          <w:u w:val="single"/>
        </w:rPr>
        <w:t xml:space="preserve">技术要求及商务要求</w:t>
      </w:r>
      <w:r>
        <w:rPr>
          <w:rFonts w:hint="eastAsia" w:ascii="宋体" w:hAnsi="宋体" w:cs="宋体"/>
          <w:sz w:val="24"/>
          <w:szCs w:val="24"/>
          <w:highlight w:val="none"/>
        </w:rPr>
        <w:t xml:space="preserve">的全部内容逐项响应，按照投标情况填写超出、符合或偏离；</w:t>
      </w:r>
      <w:r/>
    </w:p>
    <w:p>
      <w:pPr>
        <w:pStyle w:val="678"/>
        <w:rPr>
          <w:highlight w:val="none"/>
        </w:rPr>
      </w:pPr>
      <w:r>
        <w:rPr>
          <w:highlight w:val="none"/>
        </w:rPr>
        <w:t xml:space="preserve">3.</w:t>
      </w:r>
      <w:r>
        <w:rPr>
          <w:rFonts w:hint="eastAsia"/>
          <w:highlight w:val="none"/>
        </w:rPr>
        <w:t xml:space="preserve"> ▲参数须在本表格后附对应的证明材料。</w:t>
      </w:r>
      <w:r/>
    </w:p>
    <w:p>
      <w:pPr>
        <w:jc w:val="center"/>
        <w:rPr>
          <w:rFonts w:ascii="宋体" w:hAnsi="宋体" w:cs="宋体"/>
          <w:b/>
          <w:sz w:val="36"/>
          <w:highlight w:val="none"/>
        </w:rPr>
      </w:pPr>
      <w:r>
        <w:rPr>
          <w:rFonts w:ascii="宋体" w:hAnsi="宋体" w:cs="宋体"/>
          <w:b/>
          <w:sz w:val="36"/>
          <w:highlight w:val="none"/>
        </w:rPr>
      </w:r>
      <w:r/>
    </w:p>
    <w:p>
      <w:pPr>
        <w:jc w:val="left"/>
        <w:widowControl/>
        <w:rPr>
          <w:rFonts w:ascii="宋体" w:hAnsi="宋体" w:cs="宋体"/>
          <w:sz w:val="32"/>
          <w:highlight w:val="none"/>
        </w:rPr>
      </w:pPr>
      <w:r>
        <w:rPr>
          <w:rFonts w:ascii="宋体" w:hAnsi="宋体" w:cs="宋体"/>
          <w:sz w:val="32"/>
          <w:highlight w:val="none"/>
        </w:rPr>
        <w:br w:type="page" w:clear="all"/>
      </w:r>
      <w:r/>
    </w:p>
    <w:p>
      <w:pPr>
        <w:rPr>
          <w:rFonts w:ascii="宋体" w:hAnsi="宋体" w:cs="宋体"/>
          <w:sz w:val="32"/>
          <w:highlight w:val="none"/>
        </w:rPr>
      </w:pPr>
      <w:r>
        <w:rPr>
          <w:rFonts w:ascii="宋体" w:hAnsi="宋体" w:cs="宋体"/>
          <w:sz w:val="32"/>
          <w:highlight w:val="none"/>
        </w:rPr>
      </w:r>
      <w:bookmarkEnd w:id="70"/>
      <w:r/>
    </w:p>
    <w:p>
      <w:pPr>
        <w:jc w:val="left"/>
        <w:keepLines/>
        <w:keepNext/>
        <w:spacing w:before="260" w:line="415" w:lineRule="auto"/>
        <w:rPr>
          <w:rFonts w:ascii="宋体" w:hAnsi="宋体" w:cs="宋体"/>
          <w:i/>
          <w:sz w:val="32"/>
          <w:szCs w:val="32"/>
          <w:highlight w:val="none"/>
          <w:u w:val="single"/>
        </w:rPr>
        <w:outlineLvl w:val="1"/>
      </w:pPr>
      <w:r/>
      <w:bookmarkStart w:id="76" w:name="_Hlt26955054"/>
      <w:r/>
      <w:bookmarkEnd w:id="76"/>
      <w:r>
        <w:rPr>
          <w:rFonts w:hint="eastAsia" w:ascii="宋体" w:hAnsi="宋体" w:cs="宋体"/>
          <w:i/>
          <w:sz w:val="32"/>
          <w:szCs w:val="32"/>
          <w:highlight w:val="none"/>
          <w:u w:val="single"/>
        </w:rPr>
        <w:t xml:space="preserve">十四、商务合同响应及偏离表</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宝应县人民医院院前急救信息平台</w:t>
      </w:r>
      <w:r>
        <w:rPr>
          <w:rFonts w:hint="eastAsia" w:ascii="宋体" w:hAnsi="宋体" w:cs="宋体"/>
          <w:sz w:val="28"/>
          <w:szCs w:val="28"/>
          <w:highlight w:val="none"/>
        </w:rPr>
        <w:t xml:space="preserve">采购项目</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JSZC-321023-SHGK-G2025-0163</w:t>
      </w:r>
      <w:r/>
    </w:p>
    <w:p>
      <w:pPr>
        <w:pStyle w:val="678"/>
        <w:rPr>
          <w:rFonts w:hint="eastAsia" w:eastAsia="宋体"/>
          <w:color w:val="auto"/>
          <w:highlight w:val="none"/>
          <w:lang w:eastAsia="zh-CN"/>
        </w:rPr>
      </w:pPr>
      <w:r>
        <w:rPr>
          <w:rFonts w:hint="eastAsia" w:hAnsi="宋体"/>
          <w:color w:val="auto"/>
          <w:sz w:val="28"/>
          <w:szCs w:val="28"/>
          <w:highlight w:val="none"/>
          <w:lang w:eastAsia="zh-CN"/>
        </w:rPr>
        <w:t xml:space="preserve">代理机构编号：1214-254111530WDX</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640"/>
        </w:trPr>
        <w:tc>
          <w:tcPr>
            <w:tcW w:w="545" w:type="dxa"/>
            <w:vAlign w:val="center"/>
            <w:textDirection w:val="lrTb"/>
            <w:noWrap w:val="false"/>
          </w:tcPr>
          <w:p>
            <w:pPr>
              <w:jc w:val="center"/>
              <w:rPr>
                <w:rFonts w:ascii="宋体" w:hAnsi="宋体" w:cs="宋体"/>
                <w:sz w:val="24"/>
                <w:szCs w:val="24"/>
                <w:highlight w:val="none"/>
              </w:rPr>
            </w:pPr>
            <w:r/>
            <w:bookmarkStart w:id="77" w:name="_Hlt26671372"/>
            <w:r/>
            <w:bookmarkEnd w:id="77"/>
            <w:r/>
            <w:bookmarkStart w:id="78" w:name="_Hlt24879081"/>
            <w:r/>
            <w:bookmarkEnd w:id="78"/>
            <w:r/>
            <w:bookmarkStart w:id="79" w:name="_Hlt26782999"/>
            <w:r/>
            <w:bookmarkEnd w:id="79"/>
            <w:r/>
            <w:bookmarkStart w:id="80" w:name="_Hlt26580838"/>
            <w:r/>
            <w:bookmarkEnd w:id="80"/>
            <w:r/>
            <w:bookmarkStart w:id="81" w:name="_Hlt26609391"/>
            <w:r/>
            <w:bookmarkEnd w:id="81"/>
            <w:r/>
            <w:bookmarkStart w:id="82" w:name="_Hlt26671343"/>
            <w:r/>
            <w:bookmarkEnd w:id="82"/>
            <w:r/>
            <w:bookmarkStart w:id="83" w:name="_Hlt26955064"/>
            <w:r/>
            <w:bookmarkEnd w:id="83"/>
            <w:r/>
            <w:bookmarkStart w:id="84" w:name="_Hlt26955056"/>
            <w:r/>
            <w:bookmarkEnd w:id="84"/>
            <w:r>
              <w:rPr>
                <w:rFonts w:hint="eastAsia" w:ascii="宋体" w:hAnsi="宋体" w:cs="宋体"/>
                <w:sz w:val="24"/>
                <w:szCs w:val="24"/>
                <w:highlight w:val="none"/>
              </w:rPr>
              <w:t xml:space="preserve">序号</w:t>
            </w:r>
            <w:r/>
          </w:p>
        </w:tc>
        <w:tc>
          <w:tcPr>
            <w:tcW w:w="329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招标文件要求</w:t>
            </w:r>
            <w:r/>
          </w:p>
        </w:tc>
        <w:tc>
          <w:tcPr>
            <w:tcW w:w="285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投标响应情况</w:t>
            </w:r>
            <w:r/>
          </w:p>
        </w:tc>
        <w:tc>
          <w:tcPr>
            <w:tcW w:w="130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超出、符合或偏离</w:t>
            </w:r>
            <w:r/>
          </w:p>
        </w:tc>
        <w:tc>
          <w:tcPr>
            <w:tcW w:w="11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证明</w:t>
            </w:r>
            <w:r/>
          </w:p>
          <w:p>
            <w:pPr>
              <w:jc w:val="center"/>
              <w:rPr>
                <w:rFonts w:ascii="宋体" w:hAnsi="宋体" w:cs="宋体"/>
                <w:sz w:val="24"/>
                <w:szCs w:val="24"/>
                <w:highlight w:val="none"/>
              </w:rPr>
            </w:pPr>
            <w:r>
              <w:rPr>
                <w:rFonts w:hint="eastAsia" w:ascii="宋体" w:hAnsi="宋体" w:cs="宋体"/>
                <w:sz w:val="24"/>
                <w:szCs w:val="24"/>
                <w:highlight w:val="none"/>
              </w:rPr>
              <w:t xml:space="preserve">材料</w:t>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545"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29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w:t>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308"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173"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jc w:val="left"/>
        <w:rPr>
          <w:rFonts w:ascii="宋体" w:hAnsi="宋体" w:cs="宋体"/>
          <w:sz w:val="24"/>
          <w:szCs w:val="24"/>
          <w:highlight w:val="none"/>
        </w:rPr>
      </w:pPr>
      <w:r>
        <w:rPr>
          <w:rFonts w:hint="eastAsia" w:ascii="宋体" w:hAnsi="宋体" w:cs="宋体"/>
          <w:sz w:val="24"/>
          <w:szCs w:val="24"/>
          <w:highlight w:val="none"/>
        </w:rPr>
        <w:t xml:space="preserve">注：</w:t>
      </w:r>
      <w:r/>
    </w:p>
    <w:p>
      <w:pPr>
        <w:jc w:val="left"/>
        <w:rPr>
          <w:rFonts w:ascii="宋体" w:hAnsi="宋体" w:cs="宋体"/>
          <w:sz w:val="24"/>
          <w:szCs w:val="24"/>
          <w:highlight w:val="none"/>
        </w:rPr>
      </w:pPr>
      <w:r>
        <w:rPr>
          <w:rFonts w:hint="eastAsia" w:ascii="宋体" w:hAnsi="宋体" w:cs="宋体"/>
          <w:sz w:val="24"/>
          <w:szCs w:val="24"/>
          <w:highlight w:val="none"/>
        </w:rPr>
        <w:t xml:space="preserve">1.投标人须对招标文件《第三章 合同文本》进行填写此表，负偏离一条视为无效投标。</w:t>
      </w:r>
      <w:r/>
    </w:p>
    <w:p>
      <w:pPr>
        <w:jc w:val="lef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w:t>
      </w:r>
      <w:r>
        <w:rPr>
          <w:rFonts w:hint="eastAsia" w:ascii="宋体" w:hAnsi="宋体" w:cs="宋体"/>
          <w:sz w:val="24"/>
          <w:szCs w:val="24"/>
          <w:highlight w:val="none"/>
        </w:rPr>
        <w:t xml:space="preserve">若投标人对招标文件《第三章 合同文本》没有提出修改要求的，可以提供经签署、盖章的空白表格，采购人将视为投标人完全接受招标文件《第三章 合同文本》内容。</w:t>
      </w:r>
      <w:r/>
    </w:p>
    <w:p>
      <w:pPr>
        <w:jc w:val="cente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十五、开标一览表</w:t>
      </w:r>
      <w:r/>
    </w:p>
    <w:p>
      <w:pPr>
        <w:ind w:firstLine="480"/>
        <w:rPr>
          <w:rFonts w:ascii="宋体" w:hAnsi="宋体" w:cs="宋体"/>
          <w:sz w:val="24"/>
          <w:szCs w:val="24"/>
          <w:highlight w:val="none"/>
        </w:rPr>
      </w:pPr>
      <w:r>
        <w:rPr>
          <w:rFonts w:hint="eastAsia" w:ascii="宋体" w:hAnsi="宋体" w:cs="宋体"/>
          <w:sz w:val="24"/>
          <w:szCs w:val="24"/>
          <w:highlight w:val="none"/>
        </w:rPr>
        <w:t xml:space="preserve">投标人全称（加盖CA电子签章）：</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项目名称：</w:t>
      </w:r>
      <w:r/>
    </w:p>
    <w:p>
      <w:pPr>
        <w:ind w:firstLine="480"/>
        <w:rPr>
          <w:rFonts w:ascii="宋体" w:hAnsi="宋体" w:cs="宋体"/>
          <w:sz w:val="24"/>
          <w:szCs w:val="24"/>
          <w:highlight w:val="none"/>
        </w:rPr>
      </w:pPr>
      <w:r>
        <w:rPr>
          <w:rFonts w:hint="eastAsia" w:ascii="宋体" w:hAnsi="宋体" w:cs="宋体"/>
          <w:sz w:val="24"/>
          <w:szCs w:val="24"/>
          <w:highlight w:val="none"/>
        </w:rPr>
        <w:t xml:space="preserve">招标编号：                                   </w:t>
      </w:r>
      <w:r/>
    </w:p>
    <w:p>
      <w:pPr>
        <w:ind w:firstLine="480"/>
        <w:rPr>
          <w:rFonts w:ascii="宋体" w:hAnsi="宋体" w:cs="宋体"/>
          <w:sz w:val="24"/>
          <w:szCs w:val="24"/>
          <w:highlight w:val="none"/>
        </w:rPr>
      </w:pPr>
      <w:r>
        <w:rPr>
          <w:rFonts w:ascii="宋体" w:hAnsi="宋体" w:cs="宋体"/>
          <w:sz w:val="24"/>
          <w:szCs w:val="24"/>
          <w:highlight w:val="none"/>
        </w:rPr>
      </w:r>
      <w:r/>
    </w:p>
    <w:tbl>
      <w:tblPr>
        <w:tblStyle w:val="6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500" w:lineRule="exact"/>
              <w:rPr>
                <w:rFonts w:ascii="宋体" w:hAnsi="宋体" w:cs="宋体"/>
                <w:sz w:val="24"/>
                <w:highlight w:val="none"/>
              </w:rPr>
            </w:pPr>
            <w:r>
              <w:rPr>
                <w:rFonts w:hint="eastAsia" w:ascii="宋体" w:hAnsi="宋体" w:cs="宋体"/>
                <w:sz w:val="24"/>
                <w:szCs w:val="24"/>
                <w:highlight w:val="none"/>
              </w:rPr>
              <w:t xml:space="preserve">小写：                             （人民币：元）</w:t>
            </w:r>
            <w:r/>
          </w:p>
        </w:tc>
      </w:tr>
      <w:tr>
        <w:trPr>
          <w:cantSplit/>
          <w:trHeight w:val="612"/>
        </w:trPr>
        <w:tc>
          <w:tcPr>
            <w:tcW w:w="8886" w:type="dxa"/>
            <w:vAlign w:val="center"/>
            <w:textDirection w:val="lrTb"/>
            <w:noWrap w:val="false"/>
          </w:tcPr>
          <w:p>
            <w:pPr>
              <w:jc w:val="left"/>
              <w:spacing w:line="500" w:lineRule="exact"/>
              <w:rPr>
                <w:rFonts w:ascii="宋体" w:hAnsi="宋体" w:cs="宋体"/>
                <w:sz w:val="24"/>
                <w:szCs w:val="24"/>
                <w:highlight w:val="none"/>
              </w:rPr>
            </w:pPr>
            <w:r>
              <w:rPr>
                <w:rFonts w:hint="eastAsia" w:ascii="宋体" w:hAnsi="宋体" w:cs="宋体"/>
                <w:highlight w:val="none"/>
              </w:rPr>
              <w:t xml:space="preserve">是否小微企业制造：□是         </w:t>
            </w:r>
            <w:r>
              <w:rPr>
                <w:rFonts w:ascii="宋体" w:hAnsi="宋体" w:cs="宋体"/>
                <w:highlight w:val="none"/>
              </w:rPr>
              <w:t xml:space="preserve">                     </w:t>
            </w:r>
            <w:r>
              <w:rPr>
                <w:rFonts w:hint="eastAsia" w:ascii="宋体" w:hAnsi="宋体" w:cs="宋体"/>
                <w:highlight w:val="none"/>
              </w:rPr>
              <w:t xml:space="preserve">    □否</w:t>
            </w:r>
            <w:r/>
          </w:p>
        </w:tc>
      </w:tr>
    </w:tbl>
    <w:p>
      <w:pPr>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                                             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rPr>
          <w:rFonts w:ascii="宋体" w:hAnsi="宋体" w:cs="宋体"/>
          <w:sz w:val="24"/>
          <w:szCs w:val="24"/>
          <w:highlight w:val="none"/>
        </w:rPr>
      </w:pPr>
      <w:r>
        <w:rPr>
          <w:rFonts w:hint="eastAsia" w:ascii="宋体" w:hAnsi="宋体" w:cs="宋体"/>
          <w:sz w:val="24"/>
          <w:szCs w:val="24"/>
          <w:highlight w:val="none"/>
        </w:rPr>
        <w:br w:type="page" w:clear="all"/>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十六、主要标的信息</w:t>
      </w:r>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677"/>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1"/>
        <w:gridCol w:w="4253"/>
      </w:tblGrid>
      <w:tr>
        <w:trPr/>
        <w:tc>
          <w:tcPr>
            <w:tcW w:w="453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4253"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trHeight w:val="3810"/>
        </w:trPr>
        <w:tc>
          <w:tcPr>
            <w:tcW w:w="4531"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4253"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center"/>
        <w:spacing w:line="360" w:lineRule="auto"/>
        <w:rPr>
          <w:rFonts w:ascii="宋体" w:hAnsi="宋体" w:cs="仿宋"/>
          <w:b/>
          <w:bCs/>
          <w:sz w:val="32"/>
          <w:szCs w:val="32"/>
          <w:highlight w:val="none"/>
        </w:rPr>
      </w:pPr>
      <w:r>
        <w:rPr>
          <w:rFonts w:ascii="宋体" w:hAnsi="宋体" w:cs="仿宋"/>
          <w:b/>
          <w:bCs/>
          <w:sz w:val="32"/>
          <w:szCs w:val="32"/>
          <w:highlight w:val="none"/>
        </w:rPr>
      </w:r>
      <w:r/>
    </w:p>
    <w:p>
      <w:pPr>
        <w:pStyle w:val="678"/>
        <w:rPr>
          <w:highlight w:val="none"/>
        </w:rPr>
      </w:pPr>
      <w:r>
        <w:rPr>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br w:type="page" w:clear="all"/>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十七、投标人认为有必要提供的其他资料</w:t>
      </w:r>
      <w:r/>
    </w:p>
    <w:p>
      <w:pPr>
        <w:pStyle w:val="678"/>
        <w:rPr>
          <w:highlight w:val="none"/>
        </w:rPr>
      </w:pPr>
      <w:r>
        <w:rPr>
          <w:highlight w:val="none"/>
        </w:rPr>
      </w:r>
      <w:r/>
    </w:p>
    <w:p>
      <w:pPr>
        <w:rPr>
          <w:highlight w:val="none"/>
        </w:rPr>
      </w:pPr>
      <w:r>
        <w:rPr>
          <w:highlight w:val="none"/>
        </w:rPr>
      </w:r>
      <w:r/>
    </w:p>
    <w:p>
      <w:pPr>
        <w:pStyle w:val="678"/>
        <w:rPr>
          <w:highlight w:val="none"/>
        </w:rPr>
      </w:pPr>
      <w:r>
        <w:rPr>
          <w:highlight w:val="none"/>
        </w:rPr>
      </w:r>
      <w:r/>
    </w:p>
    <w:p>
      <w:pPr>
        <w:rPr>
          <w:highlight w:val="none"/>
        </w:rPr>
      </w:pPr>
      <w:r>
        <w:rPr>
          <w:highlight w:val="none"/>
        </w:rPr>
      </w:r>
      <w:r/>
    </w:p>
    <w:p>
      <w:pPr>
        <w:jc w:val="left"/>
        <w:widowControl/>
        <w:rPr>
          <w:rFonts w:ascii="宋体" w:cs="宋体"/>
          <w:color w:val="000000"/>
          <w:sz w:val="24"/>
          <w:szCs w:val="24"/>
          <w:highlight w:val="none"/>
        </w:rPr>
      </w:pPr>
      <w:r>
        <w:rPr>
          <w:highlight w:val="none"/>
        </w:rPr>
        <w:br w:type="page" w:clear="all"/>
      </w:r>
      <w:r/>
    </w:p>
    <w:p>
      <w:pPr>
        <w:pStyle w:val="678"/>
        <w:rPr>
          <w:highlight w:val="none"/>
        </w:rPr>
      </w:pPr>
      <w:r>
        <w:rPr>
          <w:highlight w:val="none"/>
        </w:rPr>
      </w:r>
      <w:r/>
    </w:p>
    <w:p>
      <w:pPr>
        <w:jc w:val="center"/>
        <w:keepLines/>
        <w:keepNext/>
        <w:spacing w:before="260" w:line="415" w:lineRule="auto"/>
        <w:rPr>
          <w:rFonts w:ascii="宋体" w:hAnsi="宋体" w:cs="宋体"/>
          <w:b/>
          <w:bCs/>
          <w:szCs w:val="22"/>
          <w:highlight w:val="none"/>
        </w:rPr>
        <w:outlineLvl w:val="1"/>
      </w:pPr>
      <w:r>
        <w:rPr>
          <w:rFonts w:hint="eastAsia" w:ascii="宋体" w:hAnsi="宋体" w:cs="宋体"/>
          <w:b/>
          <w:bCs/>
          <w:sz w:val="32"/>
          <w:szCs w:val="32"/>
          <w:highlight w:val="none"/>
        </w:rPr>
        <w:t xml:space="preserve">质疑函范本</w:t>
      </w:r>
      <w:r/>
    </w:p>
    <w:p>
      <w:pPr>
        <w:spacing w:before="240" w:line="360" w:lineRule="auto"/>
        <w:rPr>
          <w:rFonts w:ascii="宋体" w:hAnsi="宋体" w:cs="宋体"/>
          <w:bCs/>
          <w:sz w:val="24"/>
          <w:szCs w:val="24"/>
          <w:highlight w:val="none"/>
        </w:rPr>
      </w:pPr>
      <w:r>
        <w:rPr>
          <w:rFonts w:hint="eastAsia" w:ascii="宋体" w:hAnsi="宋体" w:cs="宋体"/>
          <w:bCs/>
          <w:sz w:val="24"/>
          <w:szCs w:val="24"/>
          <w:highlight w:val="none"/>
        </w:rPr>
        <w:t xml:space="preserve">一、质疑供应商基本信息</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质疑供应商：</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授权代表：</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二、质疑项目基本情况</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质疑项目的名称：</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质疑项目的编号：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包号：</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采购人名称：</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采购文件获取日期：</w:t>
      </w:r>
      <w:r>
        <w:rPr>
          <w:rFonts w:hint="eastAsia" w:ascii="宋体" w:hAnsi="宋体" w:cs="宋体"/>
          <w:sz w:val="24"/>
          <w:szCs w:val="24"/>
          <w:highlight w:val="none"/>
          <w:u w:val="single"/>
        </w:rPr>
        <w:t xml:space="preserve">                                                        </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三、质疑事项具体内容</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质疑事项1：</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事实依据：</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法律依据：</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质疑事项2</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四、与质疑事项相关的质疑请求</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请求：</w:t>
      </w:r>
      <w:r>
        <w:rPr>
          <w:rFonts w:hint="eastAsia" w:ascii="宋体" w:hAnsi="宋体" w:cs="宋体"/>
          <w:sz w:val="24"/>
          <w:szCs w:val="24"/>
          <w:highlight w:val="none"/>
          <w:u w:val="singl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签字(签章)：                   公章：                      </w:t>
      </w:r>
      <w:r/>
    </w:p>
    <w:p>
      <w:pPr>
        <w:rPr>
          <w:rFonts w:ascii="宋体" w:hAnsi="宋体" w:cs="宋体"/>
          <w:sz w:val="24"/>
          <w:szCs w:val="24"/>
          <w:highlight w:val="none"/>
        </w:rPr>
      </w:pPr>
      <w:r>
        <w:rPr>
          <w:rFonts w:hint="eastAsia" w:ascii="宋体" w:hAnsi="宋体" w:cs="宋体"/>
          <w:sz w:val="24"/>
          <w:szCs w:val="24"/>
          <w:highlight w:val="none"/>
        </w:rPr>
        <w:t xml:space="preserve">日期：    </w:t>
      </w:r>
      <w:r/>
    </w:p>
    <w:p>
      <w:pPr>
        <w:spacing w:line="400" w:lineRule="exact"/>
        <w:rPr>
          <w:rFonts w:ascii="宋体" w:hAnsi="宋体" w:cs="宋体"/>
          <w:b/>
          <w:sz w:val="24"/>
          <w:szCs w:val="24"/>
          <w:highlight w:val="none"/>
        </w:rPr>
      </w:pPr>
      <w:r>
        <w:rPr>
          <w:rFonts w:hint="eastAsia" w:ascii="宋体" w:hAnsi="宋体" w:cs="宋体"/>
          <w:b/>
          <w:sz w:val="24"/>
          <w:szCs w:val="24"/>
          <w:highlight w:val="none"/>
        </w:rPr>
        <w:t xml:space="preserve">质疑函制作说明：</w:t>
      </w:r>
      <w:r/>
    </w:p>
    <w:p>
      <w:pPr>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p>
    <w:p>
      <w:pPr>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highlight w:val="none"/>
        </w:rPr>
      </w:pPr>
      <w:r>
        <w:rPr>
          <w:rFonts w:ascii="宋体" w:hAnsi="宋体" w:cs="宋体"/>
          <w:sz w:val="24"/>
          <w:szCs w:val="24"/>
          <w:highlight w:val="none"/>
        </w:rPr>
      </w:r>
      <w:r/>
    </w:p>
    <w:p>
      <w:pPr>
        <w:ind w:firstLine="420"/>
        <w:rPr>
          <w:rFonts w:ascii="宋体" w:hAnsi="宋体" w:cs="宋体"/>
          <w:sz w:val="24"/>
          <w:szCs w:val="24"/>
          <w:highlight w:val="none"/>
        </w:rPr>
      </w:pPr>
      <w:r>
        <w:rPr>
          <w:rFonts w:ascii="宋体" w:hAnsi="宋体" w:cs="宋体"/>
          <w:sz w:val="24"/>
          <w:szCs w:val="24"/>
          <w:highlight w:val="none"/>
        </w:rPr>
      </w:r>
      <w:r/>
    </w:p>
    <w:p>
      <w:pPr>
        <w:rPr>
          <w:rFonts w:ascii="宋体" w:hAnsi="宋体" w:cs="宋体"/>
          <w:szCs w:val="22"/>
          <w:highlight w:val="none"/>
        </w:rPr>
      </w:pPr>
      <w:r>
        <w:rPr>
          <w:rFonts w:ascii="宋体" w:hAnsi="宋体" w:cs="宋体"/>
          <w:szCs w:val="22"/>
          <w:highlight w:val="none"/>
        </w:rPr>
      </w:r>
      <w:r/>
    </w:p>
    <w:p>
      <w:pPr>
        <w:jc w:val="left"/>
        <w:widowControl/>
        <w:rPr>
          <w:sz w:val="24"/>
          <w:szCs w:val="24"/>
          <w:highlight w:val="none"/>
        </w:rPr>
      </w:pPr>
      <w:r>
        <w:rPr>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45</w:t>
    </w:r>
    <w:r>
      <w:rPr>
        <w:rFonts w:ascii="宋体" w:hAnsi="宋体"/>
      </w:rPr>
      <w:fldChar w:fldCharType="end"/>
    </w:r>
    <w:r/>
  </w:p>
  <w:p>
    <w:pPr>
      <w:pStyle w:val="91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59</w:t>
    </w:r>
    <w:r>
      <w:rPr>
        <w:rFonts w:ascii="宋体" w:hAnsi="宋体"/>
      </w:rPr>
      <w:fldChar w:fldCharType="end"/>
    </w:r>
    <w:r/>
  </w:p>
  <w:p>
    <w:pPr>
      <w:pStyle w:val="919"/>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abstractNum w:abstractNumId="3">
    <w:multiLevelType w:val="hybridMultilevel"/>
    <w:lvl w:ilvl="0">
      <w:start w:val="1"/>
      <w:numFmt w:val="bullet"/>
      <w:pStyle w:val="68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668"/>
      <w:isLgl w:val="false"/>
      <w:suff w:val="tab"/>
      <w:lvlText w:val="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6" w:default="1">
    <w:name w:val="Normal"/>
    <w:next w:val="678"/>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link w:val="748"/>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79"/>
    <w:link w:val="749"/>
    <w:uiPriority w:val="9"/>
    <w:unhideWhenUsed/>
    <w:qFormat/>
    <w:pPr>
      <w:numPr>
        <w:ilvl w:val="0"/>
        <w:numId w:val="1"/>
      </w:numPr>
      <w:keepLines/>
      <w:keepNext/>
      <w:outlineLvl w:val="1"/>
    </w:pPr>
    <w:rPr>
      <w:rFonts w:ascii="Arial" w:hAnsi="Arial" w:cs="Arial" w:eastAsiaTheme="minorEastAsia"/>
      <w:sz w:val="28"/>
    </w:rPr>
  </w:style>
  <w:style w:type="paragraph" w:styleId="669">
    <w:name w:val="Heading 3"/>
    <w:basedOn w:val="666"/>
    <w:next w:val="666"/>
    <w:link w:val="750"/>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51"/>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52"/>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53"/>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55"/>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56"/>
    <w:uiPriority w:val="9"/>
    <w:unhideWhenUsed/>
    <w:qFormat/>
    <w:pPr>
      <w:keepLines/>
      <w:keepNext/>
      <w:spacing w:before="320" w:after="200"/>
      <w:outlineLvl w:val="8"/>
    </w:pPr>
    <w:rPr>
      <w:rFonts w:ascii="Arial" w:hAnsi="Arial" w:eastAsia="Arial" w:cs="Arial"/>
      <w:i/>
      <w:iCs/>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Default"/>
    <w:next w:val="666"/>
    <w:uiPriority w:val="0"/>
    <w:qFormat/>
    <w:pPr>
      <w:widowControl w:val="off"/>
    </w:pPr>
    <w:rPr>
      <w:rFonts w:ascii="宋体" w:hAnsi="Times New Roman" w:eastAsia="宋体" w:cs="宋体"/>
      <w:color w:val="000000"/>
      <w:sz w:val="24"/>
      <w:szCs w:val="24"/>
      <w:lang w:val="en-US" w:eastAsia="zh-CN" w:bidi="ar-SA"/>
    </w:rPr>
  </w:style>
  <w:style w:type="paragraph" w:styleId="679">
    <w:name w:val="Normal Indent"/>
    <w:basedOn w:val="666"/>
    <w:next w:val="666"/>
    <w:link w:val="996"/>
    <w:uiPriority w:val="0"/>
    <w:unhideWhenUsed/>
    <w:qFormat/>
    <w:pPr>
      <w:ind w:firstLine="420"/>
    </w:pPr>
  </w:style>
  <w:style w:type="paragraph" w:styleId="680">
    <w:name w:val="toc 7"/>
    <w:basedOn w:val="666"/>
    <w:next w:val="666"/>
    <w:uiPriority w:val="39"/>
    <w:unhideWhenUsed/>
    <w:qFormat/>
    <w:pPr>
      <w:ind w:left="1701"/>
      <w:spacing w:after="57"/>
    </w:pPr>
  </w:style>
  <w:style w:type="paragraph" w:styleId="681">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6"/>
    <w:uiPriority w:val="99"/>
    <w:semiHidden/>
    <w:unhideWhenUsed/>
    <w:qFormat/>
    <w:pPr>
      <w:jc w:val="left"/>
    </w:pPr>
  </w:style>
  <w:style w:type="paragraph" w:styleId="683">
    <w:name w:val="Body Text"/>
    <w:basedOn w:val="666"/>
    <w:uiPriority w:val="0"/>
    <w:qFormat/>
    <w:rPr>
      <w:rFonts w:ascii="楷体_GB2312" w:hAnsi="Arial" w:eastAsia="楷体_GB2312"/>
      <w:sz w:val="28"/>
      <w:szCs w:val="28"/>
    </w:rPr>
  </w:style>
  <w:style w:type="paragraph" w:styleId="684">
    <w:name w:val="List Bullet 2"/>
    <w:basedOn w:val="666"/>
    <w:uiPriority w:val="99"/>
    <w:semiHidden/>
    <w:unhideWhenUsed/>
    <w:qFormat/>
    <w:pPr>
      <w:numPr>
        <w:ilvl w:val="0"/>
        <w:numId w:val="2"/>
      </w:numPr>
    </w:pPr>
  </w:style>
  <w:style w:type="paragraph" w:styleId="685">
    <w:name w:val="index 4"/>
    <w:basedOn w:val="666"/>
    <w:next w:val="666"/>
    <w:uiPriority w:val="0"/>
    <w:qFormat/>
    <w:pPr>
      <w:ind w:left="600" w:firstLine="200"/>
      <w:spacing w:line="360" w:lineRule="auto"/>
    </w:pPr>
    <w:rPr>
      <w:rFonts w:ascii="等线" w:hAnsi="等线" w:eastAsia="等线"/>
      <w:sz w:val="24"/>
      <w:szCs w:val="24"/>
    </w:rPr>
  </w:style>
  <w:style w:type="paragraph" w:styleId="686">
    <w:name w:val="toc 5"/>
    <w:basedOn w:val="666"/>
    <w:next w:val="666"/>
    <w:uiPriority w:val="39"/>
    <w:unhideWhenUsed/>
    <w:qFormat/>
    <w:pPr>
      <w:ind w:left="1134"/>
      <w:spacing w:after="57"/>
    </w:pPr>
  </w:style>
  <w:style w:type="paragraph" w:styleId="687">
    <w:name w:val="toc 3"/>
    <w:basedOn w:val="666"/>
    <w:next w:val="666"/>
    <w:uiPriority w:val="39"/>
    <w:unhideWhenUsed/>
    <w:qFormat/>
    <w:pPr>
      <w:ind w:left="567"/>
      <w:spacing w:after="57"/>
    </w:pPr>
  </w:style>
  <w:style w:type="paragraph" w:styleId="688">
    <w:name w:val="toc 8"/>
    <w:basedOn w:val="666"/>
    <w:next w:val="666"/>
    <w:uiPriority w:val="39"/>
    <w:unhideWhenUsed/>
    <w:qFormat/>
    <w:pPr>
      <w:ind w:left="1984"/>
      <w:spacing w:after="57"/>
    </w:pPr>
  </w:style>
  <w:style w:type="paragraph" w:styleId="689">
    <w:name w:val="Date"/>
    <w:basedOn w:val="666"/>
    <w:next w:val="666"/>
    <w:link w:val="1004"/>
    <w:uiPriority w:val="99"/>
    <w:semiHidden/>
    <w:unhideWhenUsed/>
    <w:qFormat/>
    <w:pPr>
      <w:ind w:left="100"/>
    </w:pPr>
  </w:style>
  <w:style w:type="paragraph" w:styleId="690">
    <w:name w:val="endnote text"/>
    <w:basedOn w:val="666"/>
    <w:link w:val="875"/>
    <w:uiPriority w:val="99"/>
    <w:semiHidden/>
    <w:unhideWhenUsed/>
    <w:qFormat/>
    <w:rPr>
      <w:sz w:val="20"/>
    </w:rPr>
  </w:style>
  <w:style w:type="paragraph" w:styleId="691">
    <w:name w:val="Balloon Text"/>
    <w:basedOn w:val="666"/>
    <w:link w:val="1002"/>
    <w:uiPriority w:val="99"/>
    <w:semiHidden/>
    <w:unhideWhenUsed/>
    <w:qFormat/>
    <w:rPr>
      <w:sz w:val="18"/>
      <w:szCs w:val="18"/>
    </w:rPr>
  </w:style>
  <w:style w:type="paragraph" w:styleId="692">
    <w:name w:val="Footer"/>
    <w:basedOn w:val="666"/>
    <w:link w:val="767"/>
    <w:uiPriority w:val="99"/>
    <w:unhideWhenUsed/>
    <w:qFormat/>
    <w:pPr>
      <w:tabs>
        <w:tab w:val="center" w:pos="7143" w:leader="none"/>
        <w:tab w:val="right" w:pos="14287" w:leader="none"/>
      </w:tabs>
    </w:pPr>
  </w:style>
  <w:style w:type="paragraph" w:styleId="693">
    <w:name w:val="Header"/>
    <w:basedOn w:val="666"/>
    <w:link w:val="765"/>
    <w:uiPriority w:val="99"/>
    <w:unhideWhenUsed/>
    <w:qFormat/>
    <w:pPr>
      <w:tabs>
        <w:tab w:val="center" w:pos="7143" w:leader="none"/>
        <w:tab w:val="right" w:pos="14287" w:leader="none"/>
      </w:tabs>
    </w:pPr>
  </w:style>
  <w:style w:type="paragraph" w:styleId="694">
    <w:name w:val="toc 1"/>
    <w:basedOn w:val="666"/>
    <w:next w:val="666"/>
    <w:uiPriority w:val="39"/>
    <w:unhideWhenUsed/>
    <w:qFormat/>
    <w:pPr>
      <w:spacing w:after="57"/>
    </w:pPr>
  </w:style>
  <w:style w:type="paragraph" w:styleId="695">
    <w:name w:val="toc 4"/>
    <w:basedOn w:val="666"/>
    <w:next w:val="666"/>
    <w:uiPriority w:val="39"/>
    <w:unhideWhenUsed/>
    <w:qFormat/>
    <w:pPr>
      <w:ind w:left="850"/>
      <w:spacing w:after="57"/>
    </w:pPr>
  </w:style>
  <w:style w:type="paragraph" w:styleId="696">
    <w:name w:val="Subtitle"/>
    <w:basedOn w:val="666"/>
    <w:next w:val="666"/>
    <w:link w:val="760"/>
    <w:uiPriority w:val="11"/>
    <w:qFormat/>
    <w:pPr>
      <w:spacing w:before="200" w:after="200"/>
    </w:pPr>
    <w:rPr>
      <w:sz w:val="24"/>
      <w:szCs w:val="24"/>
    </w:rPr>
  </w:style>
  <w:style w:type="paragraph" w:styleId="697">
    <w:name w:val="footnote text"/>
    <w:basedOn w:val="666"/>
    <w:link w:val="874"/>
    <w:uiPriority w:val="99"/>
    <w:semiHidden/>
    <w:unhideWhenUsed/>
    <w:qFormat/>
    <w:pPr>
      <w:spacing w:after="40"/>
    </w:pPr>
    <w:rPr>
      <w:sz w:val="18"/>
    </w:rPr>
  </w:style>
  <w:style w:type="paragraph" w:styleId="698">
    <w:name w:val="toc 6"/>
    <w:basedOn w:val="666"/>
    <w:next w:val="666"/>
    <w:uiPriority w:val="39"/>
    <w:unhideWhenUsed/>
    <w:qFormat/>
    <w:pPr>
      <w:ind w:left="1417"/>
      <w:spacing w:after="57"/>
    </w:pPr>
  </w:style>
  <w:style w:type="paragraph" w:styleId="699">
    <w:name w:val="table of figures"/>
    <w:basedOn w:val="666"/>
    <w:next w:val="666"/>
    <w:uiPriority w:val="99"/>
    <w:unhideWhenUsed/>
    <w:qFormat/>
  </w:style>
  <w:style w:type="paragraph" w:styleId="700">
    <w:name w:val="toc 2"/>
    <w:basedOn w:val="666"/>
    <w:next w:val="666"/>
    <w:uiPriority w:val="39"/>
    <w:unhideWhenUsed/>
    <w:qFormat/>
    <w:pPr>
      <w:ind w:left="283"/>
      <w:spacing w:after="57"/>
    </w:pPr>
  </w:style>
  <w:style w:type="paragraph" w:styleId="701">
    <w:name w:val="toc 9"/>
    <w:basedOn w:val="666"/>
    <w:next w:val="666"/>
    <w:uiPriority w:val="39"/>
    <w:unhideWhenUsed/>
    <w:qFormat/>
    <w:pPr>
      <w:ind w:left="2268"/>
      <w:spacing w:after="57"/>
    </w:pPr>
  </w:style>
  <w:style w:type="paragraph" w:styleId="702">
    <w:name w:val="Normal (Web)"/>
    <w:basedOn w:val="666"/>
    <w:uiPriority w:val="0"/>
    <w:qFormat/>
    <w:rPr>
      <w:sz w:val="24"/>
    </w:rPr>
  </w:style>
  <w:style w:type="paragraph" w:styleId="703">
    <w:name w:val="Title"/>
    <w:basedOn w:val="666"/>
    <w:next w:val="666"/>
    <w:link w:val="759"/>
    <w:uiPriority w:val="10"/>
    <w:qFormat/>
    <w:pPr>
      <w:contextualSpacing/>
      <w:spacing w:before="300" w:after="200"/>
    </w:pPr>
    <w:rPr>
      <w:sz w:val="48"/>
      <w:szCs w:val="48"/>
    </w:rPr>
  </w:style>
  <w:style w:type="table" w:styleId="7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annotation reference"/>
    <w:basedOn w:val="676"/>
    <w:uiPriority w:val="99"/>
    <w:semiHidden/>
    <w:unhideWhenUsed/>
    <w:qFormat/>
    <w:rPr>
      <w:sz w:val="21"/>
      <w:szCs w:val="21"/>
    </w:rPr>
  </w:style>
  <w:style w:type="character" w:styleId="708">
    <w:name w:val="footnote reference"/>
    <w:uiPriority w:val="99"/>
    <w:unhideWhenUsed/>
    <w:qFormat/>
    <w:rPr>
      <w:vertAlign w:val="superscript"/>
    </w:rPr>
  </w:style>
  <w:style w:type="character" w:styleId="709" w:customStyle="1">
    <w:name w:val="标题 1 Char"/>
    <w:link w:val="710"/>
    <w:uiPriority w:val="0"/>
    <w:qFormat/>
    <w:rPr>
      <w:rFonts w:ascii="楷体_GB2312" w:hAnsi="Times New Roman" w:eastAsia="楷体_GB2312" w:cs="Times New Roman"/>
      <w:sz w:val="28"/>
      <w:szCs w:val="28"/>
    </w:rPr>
  </w:style>
  <w:style w:type="paragraph" w:styleId="710" w:customStyle="1">
    <w:name w:val="标题 11"/>
    <w:basedOn w:val="666"/>
    <w:next w:val="666"/>
    <w:link w:val="709"/>
    <w:uiPriority w:val="0"/>
    <w:qFormat/>
    <w:pPr>
      <w:jc w:val="center"/>
      <w:keepNext/>
      <w:outlineLvl w:val="0"/>
    </w:pPr>
    <w:rPr>
      <w:rFonts w:ascii="楷体_GB2312" w:eastAsia="楷体_GB2312"/>
      <w:sz w:val="28"/>
      <w:szCs w:val="28"/>
    </w:rPr>
  </w:style>
  <w:style w:type="character" w:styleId="711" w:customStyle="1">
    <w:name w:val="Heading 1 Char"/>
    <w:basedOn w:val="676"/>
    <w:uiPriority w:val="9"/>
    <w:qFormat/>
    <w:rPr>
      <w:rFonts w:ascii="Arial" w:hAnsi="Arial" w:eastAsia="Arial" w:cs="Arial"/>
      <w:sz w:val="40"/>
      <w:szCs w:val="40"/>
    </w:rPr>
  </w:style>
  <w:style w:type="character" w:styleId="712" w:customStyle="1">
    <w:name w:val="Heading 2 Char"/>
    <w:basedOn w:val="676"/>
    <w:uiPriority w:val="9"/>
    <w:qFormat/>
    <w:rPr>
      <w:rFonts w:ascii="Arial" w:hAnsi="Arial" w:eastAsia="Arial" w:cs="Arial"/>
      <w:sz w:val="34"/>
    </w:rPr>
  </w:style>
  <w:style w:type="character" w:styleId="713" w:customStyle="1">
    <w:name w:val="Heading 3 Char"/>
    <w:basedOn w:val="676"/>
    <w:uiPriority w:val="9"/>
    <w:qFormat/>
    <w:rPr>
      <w:rFonts w:ascii="Arial" w:hAnsi="Arial" w:eastAsia="Arial" w:cs="Arial"/>
      <w:sz w:val="30"/>
      <w:szCs w:val="30"/>
    </w:rPr>
  </w:style>
  <w:style w:type="character" w:styleId="714" w:customStyle="1">
    <w:name w:val="Heading 4 Char"/>
    <w:basedOn w:val="676"/>
    <w:uiPriority w:val="9"/>
    <w:qFormat/>
    <w:rPr>
      <w:rFonts w:ascii="Arial" w:hAnsi="Arial" w:eastAsia="Arial" w:cs="Arial"/>
      <w:b/>
      <w:bCs/>
      <w:sz w:val="26"/>
      <w:szCs w:val="26"/>
    </w:rPr>
  </w:style>
  <w:style w:type="character" w:styleId="715" w:customStyle="1">
    <w:name w:val="Heading 5 Char"/>
    <w:basedOn w:val="676"/>
    <w:uiPriority w:val="9"/>
    <w:qFormat/>
    <w:rPr>
      <w:rFonts w:ascii="Arial" w:hAnsi="Arial" w:eastAsia="Arial" w:cs="Arial"/>
      <w:b/>
      <w:bCs/>
      <w:sz w:val="24"/>
      <w:szCs w:val="24"/>
    </w:rPr>
  </w:style>
  <w:style w:type="character" w:styleId="716" w:customStyle="1">
    <w:name w:val="Heading 6 Char"/>
    <w:basedOn w:val="676"/>
    <w:uiPriority w:val="9"/>
    <w:qFormat/>
    <w:rPr>
      <w:rFonts w:ascii="Arial" w:hAnsi="Arial" w:eastAsia="Arial" w:cs="Arial"/>
      <w:b/>
      <w:bCs/>
      <w:sz w:val="22"/>
      <w:szCs w:val="22"/>
    </w:rPr>
  </w:style>
  <w:style w:type="character" w:styleId="717" w:customStyle="1">
    <w:name w:val="Heading 7 Char"/>
    <w:basedOn w:val="676"/>
    <w:uiPriority w:val="9"/>
    <w:qFormat/>
    <w:rPr>
      <w:rFonts w:ascii="Arial" w:hAnsi="Arial" w:eastAsia="Arial" w:cs="Arial"/>
      <w:b/>
      <w:bCs/>
      <w:i/>
      <w:iCs/>
      <w:sz w:val="22"/>
      <w:szCs w:val="22"/>
    </w:rPr>
  </w:style>
  <w:style w:type="character" w:styleId="718" w:customStyle="1">
    <w:name w:val="Heading 8 Char"/>
    <w:basedOn w:val="676"/>
    <w:uiPriority w:val="9"/>
    <w:qFormat/>
    <w:rPr>
      <w:rFonts w:ascii="Arial" w:hAnsi="Arial" w:eastAsia="Arial" w:cs="Arial"/>
      <w:i/>
      <w:iCs/>
      <w:sz w:val="22"/>
      <w:szCs w:val="22"/>
    </w:rPr>
  </w:style>
  <w:style w:type="character" w:styleId="719" w:customStyle="1">
    <w:name w:val="Heading 9 Char"/>
    <w:basedOn w:val="676"/>
    <w:uiPriority w:val="9"/>
    <w:qFormat/>
    <w:rPr>
      <w:rFonts w:ascii="Arial" w:hAnsi="Arial" w:eastAsia="Arial" w:cs="Arial"/>
      <w:i/>
      <w:iCs/>
      <w:sz w:val="21"/>
      <w:szCs w:val="21"/>
    </w:rPr>
  </w:style>
  <w:style w:type="character" w:styleId="720" w:customStyle="1">
    <w:name w:val="Title Char"/>
    <w:basedOn w:val="676"/>
    <w:uiPriority w:val="10"/>
    <w:qFormat/>
    <w:rPr>
      <w:sz w:val="48"/>
      <w:szCs w:val="48"/>
    </w:rPr>
  </w:style>
  <w:style w:type="character" w:styleId="721" w:customStyle="1">
    <w:name w:val="Subtitle Char"/>
    <w:basedOn w:val="676"/>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Header Char"/>
    <w:basedOn w:val="676"/>
    <w:uiPriority w:val="99"/>
    <w:qFormat/>
  </w:style>
  <w:style w:type="character" w:styleId="725" w:customStyle="1">
    <w:name w:val="Caption Char"/>
    <w:uiPriority w:val="99"/>
    <w:qFormat/>
  </w:style>
  <w:style w:type="table" w:styleId="726" w:customStyle="1">
    <w:name w:val="无格式表格 1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7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7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7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网格表 2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网格表 3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网格表 5 深色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网格表 6 彩色1"/>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网格表 7 彩色1"/>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清单表 1 浅色1"/>
    <w:basedOn w:val="67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清单表 21"/>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清单表 3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清单表 4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清单表 5 深色1"/>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清单表 6 彩色1"/>
    <w:basedOn w:val="67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清单表 7 彩色1"/>
    <w:basedOn w:val="67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5" w:customStyle="1">
    <w:name w:val="Footnote Text Char"/>
    <w:uiPriority w:val="99"/>
    <w:qFormat/>
    <w:rPr>
      <w:sz w:val="18"/>
    </w:rPr>
  </w:style>
  <w:style w:type="character" w:styleId="746" w:customStyle="1">
    <w:name w:val="Endnote Text Char"/>
    <w:uiPriority w:val="99"/>
    <w:qFormat/>
    <w:rPr>
      <w:sz w:val="20"/>
    </w:rPr>
  </w:style>
  <w:style w:type="paragraph" w:styleId="747" w:customStyle="1">
    <w:name w:val="TOC 标题1"/>
    <w:uiPriority w:val="39"/>
    <w:unhideWhenUsed/>
    <w:qFormat/>
    <w:rPr>
      <w:rFonts w:ascii="Times New Roman" w:hAnsi="Times New Roman" w:eastAsia="宋体" w:cs="Times New Roman"/>
      <w:lang w:val="en-US" w:eastAsia="zh-CN" w:bidi="ar-SA"/>
    </w:rPr>
  </w:style>
  <w:style w:type="character" w:styleId="748" w:customStyle="1">
    <w:name w:val="标题 1 字符"/>
    <w:link w:val="667"/>
    <w:uiPriority w:val="9"/>
    <w:qFormat/>
    <w:rPr>
      <w:rFonts w:ascii="Arial" w:hAnsi="Arial" w:eastAsia="Arial" w:cs="Arial"/>
      <w:sz w:val="40"/>
      <w:szCs w:val="40"/>
    </w:rPr>
  </w:style>
  <w:style w:type="character" w:styleId="749" w:customStyle="1">
    <w:name w:val="标题 2 字符"/>
    <w:link w:val="668"/>
    <w:uiPriority w:val="9"/>
    <w:qFormat/>
    <w:rPr>
      <w:rFonts w:ascii="Arial" w:hAnsi="Arial" w:cs="Arial" w:eastAsiaTheme="minorEastAsia"/>
      <w:sz w:val="28"/>
      <w:szCs w:val="21"/>
    </w:rPr>
  </w:style>
  <w:style w:type="character" w:styleId="750" w:customStyle="1">
    <w:name w:val="标题 3 字符"/>
    <w:link w:val="669"/>
    <w:uiPriority w:val="9"/>
    <w:qFormat/>
    <w:rPr>
      <w:rFonts w:ascii="Arial" w:hAnsi="Arial" w:eastAsia="Arial" w:cs="Arial"/>
      <w:sz w:val="30"/>
      <w:szCs w:val="30"/>
    </w:rPr>
  </w:style>
  <w:style w:type="character" w:styleId="751" w:customStyle="1">
    <w:name w:val="标题 4 字符"/>
    <w:link w:val="670"/>
    <w:uiPriority w:val="9"/>
    <w:qFormat/>
    <w:rPr>
      <w:rFonts w:ascii="Arial" w:hAnsi="Arial" w:eastAsia="Arial" w:cs="Arial"/>
      <w:b/>
      <w:bCs/>
      <w:sz w:val="26"/>
      <w:szCs w:val="26"/>
    </w:rPr>
  </w:style>
  <w:style w:type="character" w:styleId="752" w:customStyle="1">
    <w:name w:val="标题 5 字符"/>
    <w:link w:val="671"/>
    <w:uiPriority w:val="9"/>
    <w:qFormat/>
    <w:rPr>
      <w:rFonts w:ascii="Arial" w:hAnsi="Arial" w:eastAsia="Arial" w:cs="Arial"/>
      <w:b/>
      <w:bCs/>
      <w:sz w:val="24"/>
      <w:szCs w:val="24"/>
    </w:rPr>
  </w:style>
  <w:style w:type="character" w:styleId="753" w:customStyle="1">
    <w:name w:val="标题 6 字符"/>
    <w:link w:val="672"/>
    <w:uiPriority w:val="9"/>
    <w:qFormat/>
    <w:rPr>
      <w:rFonts w:ascii="Arial" w:hAnsi="Arial" w:eastAsia="Arial" w:cs="Arial"/>
      <w:b/>
      <w:bCs/>
      <w:sz w:val="22"/>
      <w:szCs w:val="22"/>
    </w:rPr>
  </w:style>
  <w:style w:type="character" w:styleId="754" w:customStyle="1">
    <w:name w:val="标题 7 字符"/>
    <w:link w:val="673"/>
    <w:uiPriority w:val="9"/>
    <w:qFormat/>
    <w:rPr>
      <w:rFonts w:ascii="Arial" w:hAnsi="Arial" w:eastAsia="Arial" w:cs="Arial"/>
      <w:b/>
      <w:bCs/>
      <w:i/>
      <w:iCs/>
      <w:sz w:val="22"/>
      <w:szCs w:val="22"/>
    </w:rPr>
  </w:style>
  <w:style w:type="character" w:styleId="755" w:customStyle="1">
    <w:name w:val="标题 8 字符"/>
    <w:link w:val="674"/>
    <w:uiPriority w:val="9"/>
    <w:qFormat/>
    <w:rPr>
      <w:rFonts w:ascii="Arial" w:hAnsi="Arial" w:eastAsia="Arial" w:cs="Arial"/>
      <w:i/>
      <w:iCs/>
      <w:sz w:val="22"/>
      <w:szCs w:val="22"/>
    </w:rPr>
  </w:style>
  <w:style w:type="character" w:styleId="756" w:customStyle="1">
    <w:name w:val="标题 9 字符"/>
    <w:link w:val="675"/>
    <w:uiPriority w:val="9"/>
    <w:qFormat/>
    <w:rPr>
      <w:rFonts w:ascii="Arial" w:hAnsi="Arial" w:eastAsia="Arial" w:cs="Arial"/>
      <w:i/>
      <w:iCs/>
      <w:sz w:val="21"/>
      <w:szCs w:val="21"/>
    </w:rPr>
  </w:style>
  <w:style w:type="paragraph" w:styleId="757">
    <w:name w:val="List Paragraph"/>
    <w:basedOn w:val="666"/>
    <w:uiPriority w:val="34"/>
    <w:qFormat/>
    <w:pPr>
      <w:contextualSpacing/>
      <w:ind w:left="720"/>
    </w:pPr>
  </w:style>
  <w:style w:type="paragraph" w:styleId="758">
    <w:name w:val="No Spacing"/>
    <w:uiPriority w:val="1"/>
    <w:qFormat/>
    <w:rPr>
      <w:rFonts w:ascii="Calibri" w:hAnsi="Calibri" w:eastAsia="宋体" w:cs="Times New Roman"/>
      <w:lang w:val="en-US" w:eastAsia="zh-CN" w:bidi="ar-SA"/>
    </w:rPr>
  </w:style>
  <w:style w:type="character" w:styleId="759" w:customStyle="1">
    <w:name w:val="标题 字符"/>
    <w:link w:val="703"/>
    <w:uiPriority w:val="10"/>
    <w:qFormat/>
    <w:rPr>
      <w:sz w:val="48"/>
      <w:szCs w:val="48"/>
    </w:rPr>
  </w:style>
  <w:style w:type="character" w:styleId="760" w:customStyle="1">
    <w:name w:val="副标题 字符"/>
    <w:link w:val="696"/>
    <w:uiPriority w:val="11"/>
    <w:qFormat/>
    <w:rPr>
      <w:sz w:val="24"/>
      <w:szCs w:val="24"/>
    </w:rPr>
  </w:style>
  <w:style w:type="paragraph" w:styleId="761">
    <w:name w:val="Quote"/>
    <w:basedOn w:val="666"/>
    <w:next w:val="666"/>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66"/>
    <w:next w:val="666"/>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页眉 字符"/>
    <w:link w:val="693"/>
    <w:uiPriority w:val="99"/>
    <w:qFormat/>
  </w:style>
  <w:style w:type="character" w:styleId="766" w:customStyle="1">
    <w:name w:val="Footer Char"/>
    <w:uiPriority w:val="99"/>
    <w:qFormat/>
  </w:style>
  <w:style w:type="character" w:styleId="767" w:customStyle="1">
    <w:name w:val="页脚 字符"/>
    <w:link w:val="692"/>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697"/>
    <w:uiPriority w:val="99"/>
    <w:qFormat/>
    <w:rPr>
      <w:sz w:val="18"/>
    </w:rPr>
  </w:style>
  <w:style w:type="character" w:styleId="875" w:customStyle="1">
    <w:name w:val="尾注文本 字符"/>
    <w:link w:val="690"/>
    <w:uiPriority w:val="99"/>
    <w:qFormat/>
    <w:rPr>
      <w:sz w:val="20"/>
    </w:rPr>
  </w:style>
  <w:style w:type="paragraph" w:styleId="876" w:customStyle="1">
    <w:name w:val="TOC 标题11"/>
    <w:uiPriority w:val="39"/>
    <w:unhideWhenUsed/>
    <w:qFormat/>
    <w:rPr>
      <w:rFonts w:ascii="Calibri" w:hAnsi="Calibri" w:eastAsia="宋体" w:cs="Times New Roman"/>
      <w:lang w:val="en-US" w:eastAsia="zh-CN" w:bidi="ar-SA"/>
    </w:rPr>
  </w:style>
  <w:style w:type="paragraph" w:styleId="877" w:customStyle="1">
    <w:name w:val="标题 21"/>
    <w:basedOn w:val="666"/>
    <w:next w:val="666"/>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8" w:customStyle="1">
    <w:name w:val="标题 31"/>
    <w:basedOn w:val="666"/>
    <w:next w:val="666"/>
    <w:link w:val="911"/>
    <w:uiPriority w:val="0"/>
    <w:qFormat/>
    <w:pPr>
      <w:keepLines/>
      <w:keepNext/>
      <w:spacing w:before="260" w:after="260" w:line="416" w:lineRule="auto"/>
      <w:outlineLvl w:val="2"/>
    </w:pPr>
    <w:rPr>
      <w:b/>
      <w:bCs/>
      <w:sz w:val="32"/>
      <w:szCs w:val="32"/>
    </w:rPr>
  </w:style>
  <w:style w:type="paragraph" w:styleId="879" w:customStyle="1">
    <w:name w:val="标题 41"/>
    <w:basedOn w:val="666"/>
    <w:next w:val="880"/>
    <w:link w:val="902"/>
    <w:uiPriority w:val="0"/>
    <w:qFormat/>
    <w:pPr>
      <w:keepLines/>
      <w:keepNext/>
      <w:spacing w:before="280" w:after="290" w:line="376" w:lineRule="auto"/>
      <w:outlineLvl w:val="3"/>
    </w:pPr>
    <w:rPr>
      <w:rFonts w:ascii="Arial" w:hAnsi="Arial" w:eastAsia="黑体" w:cs="Arial"/>
      <w:b/>
      <w:bCs/>
      <w:sz w:val="28"/>
      <w:szCs w:val="28"/>
    </w:rPr>
  </w:style>
  <w:style w:type="paragraph" w:styleId="880" w:customStyle="1">
    <w:name w:val="正文缩进1"/>
    <w:basedOn w:val="666"/>
    <w:link w:val="914"/>
    <w:uiPriority w:val="0"/>
    <w:qFormat/>
    <w:pPr>
      <w:ind w:firstLine="420"/>
    </w:pPr>
  </w:style>
  <w:style w:type="paragraph" w:styleId="881" w:customStyle="1">
    <w:name w:val="标题 51"/>
    <w:basedOn w:val="666"/>
    <w:next w:val="880"/>
    <w:link w:val="921"/>
    <w:uiPriority w:val="0"/>
    <w:qFormat/>
    <w:pPr>
      <w:keepNext/>
      <w:outlineLvl w:val="4"/>
    </w:pPr>
    <w:rPr>
      <w:rFonts w:ascii="宋体"/>
      <w:color w:val="000000"/>
      <w:sz w:val="28"/>
      <w:szCs w:val="28"/>
    </w:rPr>
  </w:style>
  <w:style w:type="paragraph" w:styleId="882" w:customStyle="1">
    <w:name w:val="标题 61"/>
    <w:basedOn w:val="666"/>
    <w:next w:val="666"/>
    <w:link w:val="900"/>
    <w:uiPriority w:val="0"/>
    <w:qFormat/>
    <w:pPr>
      <w:numPr>
        <w:ilvl w:val="5"/>
        <w:numId w:val="3"/>
      </w:numPr>
      <w:keepLines/>
      <w:keepNext/>
      <w:spacing w:before="240" w:after="64" w:line="320" w:lineRule="auto"/>
      <w:outlineLvl w:val="5"/>
    </w:pPr>
    <w:rPr>
      <w:rFonts w:ascii="Arial" w:hAnsi="Arial" w:eastAsia="黑体"/>
      <w:b/>
      <w:bCs/>
      <w:sz w:val="24"/>
      <w:szCs w:val="24"/>
    </w:rPr>
  </w:style>
  <w:style w:type="paragraph" w:styleId="883" w:customStyle="1">
    <w:name w:val="标题 71"/>
    <w:basedOn w:val="666"/>
    <w:next w:val="666"/>
    <w:link w:val="895"/>
    <w:uiPriority w:val="0"/>
    <w:qFormat/>
    <w:pPr>
      <w:numPr>
        <w:ilvl w:val="6"/>
        <w:numId w:val="3"/>
      </w:numPr>
      <w:keepLines/>
      <w:keepNext/>
      <w:spacing w:before="240" w:after="64" w:line="320" w:lineRule="auto"/>
      <w:outlineLvl w:val="6"/>
    </w:pPr>
    <w:rPr>
      <w:b/>
      <w:bCs/>
      <w:sz w:val="24"/>
      <w:szCs w:val="24"/>
    </w:rPr>
  </w:style>
  <w:style w:type="paragraph" w:styleId="884" w:customStyle="1">
    <w:name w:val="标题 81"/>
    <w:basedOn w:val="666"/>
    <w:next w:val="666"/>
    <w:link w:val="894"/>
    <w:uiPriority w:val="0"/>
    <w:qFormat/>
    <w:pPr>
      <w:numPr>
        <w:ilvl w:val="7"/>
        <w:numId w:val="3"/>
      </w:numPr>
      <w:keepLines/>
      <w:keepNext/>
      <w:spacing w:before="240" w:after="64" w:line="320" w:lineRule="auto"/>
      <w:outlineLvl w:val="7"/>
    </w:pPr>
    <w:rPr>
      <w:rFonts w:ascii="Arial" w:hAnsi="Arial" w:eastAsia="黑体"/>
      <w:sz w:val="24"/>
      <w:szCs w:val="24"/>
    </w:rPr>
  </w:style>
  <w:style w:type="paragraph" w:styleId="885" w:customStyle="1">
    <w:name w:val="标题 91"/>
    <w:basedOn w:val="666"/>
    <w:next w:val="666"/>
    <w:link w:val="930"/>
    <w:uiPriority w:val="0"/>
    <w:qFormat/>
    <w:pPr>
      <w:numPr>
        <w:ilvl w:val="8"/>
        <w:numId w:val="3"/>
      </w:numPr>
      <w:keepLines/>
      <w:keepNext/>
      <w:spacing w:before="240" w:after="64" w:line="320" w:lineRule="auto"/>
      <w:outlineLvl w:val="8"/>
    </w:pPr>
    <w:rPr>
      <w:rFonts w:ascii="Arial" w:hAnsi="Arial" w:eastAsia="黑体"/>
    </w:rPr>
  </w:style>
  <w:style w:type="character" w:styleId="886" w:customStyle="1">
    <w:name w:val="默认段落字体1"/>
    <w:uiPriority w:val="1"/>
    <w:unhideWhenUsed/>
    <w:qFormat/>
  </w:style>
  <w:style w:type="table" w:styleId="887" w:customStyle="1">
    <w:name w:val="普通表格1"/>
    <w:uiPriority w:val="99"/>
    <w:unhideWhenUsed/>
    <w:qFormat/>
    <w:tblPr>
      <w:tblCellMar>
        <w:left w:w="0" w:type="dxa"/>
        <w:top w:w="0" w:type="dxa"/>
        <w:right w:w="0" w:type="dxa"/>
        <w:bottom w:w="0" w:type="dxa"/>
      </w:tblCellMar>
    </w:tblPr>
  </w:style>
  <w:style w:type="character" w:styleId="888" w:customStyle="1">
    <w:name w:val="批注框文本 Char"/>
    <w:link w:val="889"/>
    <w:uiPriority w:val="0"/>
    <w:semiHidden/>
    <w:qFormat/>
    <w:rPr>
      <w:rFonts w:ascii="Times New Roman" w:hAnsi="Times New Roman" w:eastAsia="宋体" w:cs="Times New Roman"/>
      <w:sz w:val="18"/>
      <w:szCs w:val="18"/>
    </w:rPr>
  </w:style>
  <w:style w:type="paragraph" w:styleId="889" w:customStyle="1">
    <w:name w:val="批注框文本1"/>
    <w:basedOn w:val="666"/>
    <w:link w:val="888"/>
    <w:uiPriority w:val="0"/>
    <w:semiHidden/>
    <w:qFormat/>
    <w:rPr>
      <w:sz w:val="18"/>
      <w:szCs w:val="18"/>
    </w:rPr>
  </w:style>
  <w:style w:type="character" w:styleId="890" w:customStyle="1">
    <w:name w:val="列出段落 Char"/>
    <w:link w:val="891"/>
    <w:uiPriority w:val="0"/>
    <w:qFormat/>
    <w:rPr>
      <w:rFonts w:ascii="Calibri" w:hAnsi="Calibri"/>
      <w:sz w:val="24"/>
      <w:szCs w:val="24"/>
      <w:lang w:eastAsia="en-US" w:bidi="en-US"/>
    </w:rPr>
  </w:style>
  <w:style w:type="paragraph" w:styleId="891" w:customStyle="1">
    <w:name w:val="列出段落1"/>
    <w:basedOn w:val="666"/>
    <w:link w:val="890"/>
    <w:uiPriority w:val="0"/>
    <w:qFormat/>
    <w:pPr>
      <w:contextualSpacing/>
      <w:ind w:left="720"/>
      <w:jc w:val="left"/>
      <w:widowControl/>
    </w:pPr>
    <w:rPr>
      <w:rFonts w:ascii="Calibri" w:hAnsi="Calibri"/>
      <w:sz w:val="24"/>
      <w:szCs w:val="24"/>
      <w:lang w:eastAsia="en-US" w:bidi="en-US"/>
    </w:rPr>
  </w:style>
  <w:style w:type="character" w:styleId="892" w:customStyle="1">
    <w:name w:val="正文文本 Char"/>
    <w:link w:val="893"/>
    <w:uiPriority w:val="0"/>
    <w:qFormat/>
    <w:rPr>
      <w:rFonts w:ascii="楷体_GB2312" w:hAnsi="Arial" w:eastAsia="楷体_GB2312" w:cs="Times New Roman"/>
      <w:sz w:val="28"/>
      <w:szCs w:val="28"/>
    </w:rPr>
  </w:style>
  <w:style w:type="paragraph" w:styleId="893" w:customStyle="1">
    <w:name w:val="正文文本1"/>
    <w:basedOn w:val="666"/>
    <w:link w:val="892"/>
    <w:uiPriority w:val="0"/>
    <w:qFormat/>
    <w:rPr>
      <w:rFonts w:ascii="楷体_GB2312" w:hAnsi="Arial" w:eastAsia="楷体_GB2312"/>
      <w:sz w:val="28"/>
      <w:szCs w:val="28"/>
    </w:rPr>
  </w:style>
  <w:style w:type="character" w:styleId="894" w:customStyle="1">
    <w:name w:val="标题 8 Char"/>
    <w:link w:val="884"/>
    <w:uiPriority w:val="0"/>
    <w:qFormat/>
    <w:rPr>
      <w:rFonts w:ascii="Arial" w:hAnsi="Arial" w:eastAsia="黑体" w:cs="Times New Roman"/>
      <w:sz w:val="24"/>
      <w:szCs w:val="24"/>
    </w:rPr>
  </w:style>
  <w:style w:type="character" w:styleId="895" w:customStyle="1">
    <w:name w:val="标题 7 Char"/>
    <w:link w:val="883"/>
    <w:uiPriority w:val="0"/>
    <w:qFormat/>
    <w:rPr>
      <w:rFonts w:ascii="Times New Roman" w:hAnsi="Times New Roman" w:eastAsia="宋体" w:cs="Times New Roman"/>
      <w:b/>
      <w:bCs/>
      <w:sz w:val="24"/>
      <w:szCs w:val="24"/>
    </w:rPr>
  </w:style>
  <w:style w:type="character" w:styleId="896" w:customStyle="1">
    <w:name w:val="超链接1"/>
    <w:uiPriority w:val="0"/>
    <w:qFormat/>
    <w:rPr>
      <w:color w:val="0000ff"/>
      <w:u w:val="single"/>
    </w:rPr>
  </w:style>
  <w:style w:type="character" w:styleId="897" w:customStyle="1">
    <w:name w:val="正文文本 3 Char"/>
    <w:link w:val="898"/>
    <w:uiPriority w:val="0"/>
    <w:qFormat/>
    <w:rPr>
      <w:rFonts w:ascii="仿宋_GB2312" w:hAnsi="Arial" w:eastAsia="仿宋_GB2312" w:cs="Times New Roman"/>
      <w:sz w:val="32"/>
      <w:szCs w:val="32"/>
    </w:rPr>
  </w:style>
  <w:style w:type="paragraph" w:styleId="898" w:customStyle="1">
    <w:name w:val="正文文本 31"/>
    <w:basedOn w:val="666"/>
    <w:link w:val="897"/>
    <w:uiPriority w:val="0"/>
    <w:qFormat/>
    <w:rPr>
      <w:rFonts w:ascii="仿宋_GB2312" w:hAnsi="Arial" w:eastAsia="仿宋_GB2312"/>
      <w:sz w:val="32"/>
      <w:szCs w:val="32"/>
    </w:rPr>
  </w:style>
  <w:style w:type="character" w:styleId="899" w:customStyle="1">
    <w:name w:val="font5 Char"/>
    <w:uiPriority w:val="0"/>
    <w:qFormat/>
    <w:rPr>
      <w:rFonts w:ascii="宋体" w:hAnsi="宋体" w:eastAsia="宋体"/>
      <w:sz w:val="28"/>
      <w:szCs w:val="28"/>
      <w:lang w:val="en-US" w:eastAsia="zh-CN" w:bidi="ar-SA"/>
    </w:rPr>
  </w:style>
  <w:style w:type="character" w:styleId="900" w:customStyle="1">
    <w:name w:val="标题 6 Char"/>
    <w:link w:val="882"/>
    <w:uiPriority w:val="0"/>
    <w:qFormat/>
    <w:rPr>
      <w:rFonts w:ascii="Arial" w:hAnsi="Arial" w:eastAsia="黑体" w:cs="Times New Roman"/>
      <w:b/>
      <w:bCs/>
      <w:sz w:val="24"/>
      <w:szCs w:val="24"/>
    </w:rPr>
  </w:style>
  <w:style w:type="character" w:styleId="901" w:customStyle="1">
    <w:name w:val="已访问的超链接1"/>
    <w:uiPriority w:val="0"/>
    <w:qFormat/>
    <w:rPr>
      <w:color w:val="800080"/>
      <w:u w:val="single"/>
    </w:rPr>
  </w:style>
  <w:style w:type="character" w:styleId="902" w:customStyle="1">
    <w:name w:val="标题 4 Char"/>
    <w:link w:val="879"/>
    <w:uiPriority w:val="0"/>
    <w:qFormat/>
    <w:rPr>
      <w:rFonts w:ascii="Arial" w:hAnsi="Arial" w:eastAsia="黑体" w:cs="Arial"/>
      <w:b/>
      <w:bCs/>
      <w:sz w:val="28"/>
      <w:szCs w:val="28"/>
    </w:rPr>
  </w:style>
  <w:style w:type="character" w:styleId="903" w:customStyle="1">
    <w:name w:val="二级目录 Char"/>
    <w:link w:val="904"/>
    <w:uiPriority w:val="0"/>
    <w:qFormat/>
    <w:rPr>
      <w:b/>
      <w:sz w:val="30"/>
      <w:szCs w:val="28"/>
    </w:rPr>
  </w:style>
  <w:style w:type="paragraph" w:styleId="904" w:customStyle="1">
    <w:name w:val="二级目录"/>
    <w:next w:val="666"/>
    <w:link w:val="90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05" w:customStyle="1">
    <w:name w:val="页眉 Char"/>
    <w:link w:val="906"/>
    <w:uiPriority w:val="0"/>
    <w:qFormat/>
    <w:rPr>
      <w:rFonts w:ascii="Times New Roman" w:hAnsi="Times New Roman" w:eastAsia="宋体" w:cs="Times New Roman"/>
      <w:sz w:val="18"/>
      <w:szCs w:val="18"/>
    </w:rPr>
  </w:style>
  <w:style w:type="paragraph" w:styleId="906" w:customStyle="1">
    <w:name w:val="页眉1"/>
    <w:basedOn w:val="666"/>
    <w:link w:val="905"/>
    <w:uiPriority w:val="0"/>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码1"/>
    <w:uiPriority w:val="0"/>
    <w:qFormat/>
  </w:style>
  <w:style w:type="character" w:styleId="908" w:customStyle="1">
    <w:name w:val="正文首行缩进 2 Char"/>
    <w:link w:val="909"/>
    <w:uiPriority w:val="0"/>
    <w:qFormat/>
    <w:rPr>
      <w:rFonts w:ascii="宋体" w:hAnsi="宋体" w:eastAsia="宋体" w:cs="Times New Roman"/>
      <w:sz w:val="32"/>
      <w:szCs w:val="20"/>
    </w:rPr>
  </w:style>
  <w:style w:type="paragraph" w:styleId="909" w:customStyle="1">
    <w:name w:val="正文首行缩进 21"/>
    <w:basedOn w:val="910"/>
    <w:link w:val="908"/>
    <w:uiPriority w:val="0"/>
    <w:qFormat/>
    <w:pPr>
      <w:ind w:firstLine="420"/>
      <w:spacing w:line="360" w:lineRule="auto"/>
    </w:pPr>
    <w:rPr>
      <w:rFonts w:ascii="宋体" w:hAnsi="宋体" w:eastAsia="宋体"/>
      <w:sz w:val="21"/>
      <w:szCs w:val="20"/>
    </w:rPr>
  </w:style>
  <w:style w:type="paragraph" w:styleId="910" w:customStyle="1">
    <w:name w:val="正文文本缩进1"/>
    <w:basedOn w:val="666"/>
    <w:link w:val="926"/>
    <w:uiPriority w:val="0"/>
    <w:qFormat/>
    <w:pPr>
      <w:ind w:firstLine="645"/>
    </w:pPr>
    <w:rPr>
      <w:rFonts w:ascii="楷体_GB2312" w:eastAsia="楷体_GB2312"/>
      <w:sz w:val="32"/>
      <w:szCs w:val="32"/>
    </w:rPr>
  </w:style>
  <w:style w:type="character" w:styleId="911" w:customStyle="1">
    <w:name w:val="标题 3 Char"/>
    <w:link w:val="878"/>
    <w:uiPriority w:val="0"/>
    <w:qFormat/>
    <w:rPr>
      <w:rFonts w:ascii="Times New Roman" w:hAnsi="Times New Roman" w:eastAsia="宋体" w:cs="Times New Roman"/>
      <w:b/>
      <w:bCs/>
      <w:sz w:val="32"/>
      <w:szCs w:val="32"/>
    </w:rPr>
  </w:style>
  <w:style w:type="character" w:styleId="912" w:customStyle="1">
    <w:name w:val="批注文字 Char"/>
    <w:link w:val="913"/>
    <w:uiPriority w:val="0"/>
    <w:semiHidden/>
    <w:qFormat/>
    <w:rPr>
      <w:rFonts w:ascii="Times New Roman" w:hAnsi="Times New Roman" w:eastAsia="宋体" w:cs="Times New Roman"/>
      <w:szCs w:val="21"/>
    </w:rPr>
  </w:style>
  <w:style w:type="paragraph" w:styleId="913" w:customStyle="1">
    <w:name w:val="批注文字1"/>
    <w:basedOn w:val="666"/>
    <w:link w:val="912"/>
    <w:uiPriority w:val="0"/>
    <w:semiHidden/>
    <w:qFormat/>
    <w:pPr>
      <w:jc w:val="left"/>
    </w:pPr>
  </w:style>
  <w:style w:type="character" w:styleId="914" w:customStyle="1">
    <w:name w:val="正文缩进 Char"/>
    <w:link w:val="880"/>
    <w:uiPriority w:val="0"/>
    <w:qFormat/>
    <w:rPr>
      <w:rFonts w:ascii="Times New Roman" w:hAnsi="Times New Roman" w:eastAsia="宋体" w:cs="Times New Roman"/>
      <w:szCs w:val="21"/>
    </w:rPr>
  </w:style>
  <w:style w:type="character" w:styleId="915" w:customStyle="1">
    <w:name w:val="日期 Char"/>
    <w:link w:val="916"/>
    <w:uiPriority w:val="0"/>
    <w:qFormat/>
    <w:rPr>
      <w:rFonts w:ascii="Times New Roman" w:hAnsi="Times New Roman" w:eastAsia="宋体" w:cs="Times New Roman"/>
      <w:sz w:val="24"/>
      <w:szCs w:val="24"/>
    </w:rPr>
  </w:style>
  <w:style w:type="paragraph" w:styleId="916" w:customStyle="1">
    <w:name w:val="日期1"/>
    <w:basedOn w:val="666"/>
    <w:next w:val="666"/>
    <w:link w:val="915"/>
    <w:uiPriority w:val="0"/>
    <w:qFormat/>
    <w:rPr>
      <w:sz w:val="24"/>
      <w:szCs w:val="24"/>
    </w:rPr>
  </w:style>
  <w:style w:type="character" w:styleId="917" w:customStyle="1">
    <w:name w:val="要点1"/>
    <w:uiPriority w:val="0"/>
    <w:qFormat/>
    <w:rPr>
      <w:b/>
      <w:bCs/>
    </w:rPr>
  </w:style>
  <w:style w:type="character" w:styleId="918" w:customStyle="1">
    <w:name w:val="页脚 Char"/>
    <w:link w:val="919"/>
    <w:uiPriority w:val="0"/>
    <w:qFormat/>
    <w:rPr>
      <w:rFonts w:ascii="Times New Roman" w:hAnsi="Times New Roman" w:eastAsia="宋体" w:cs="Times New Roman"/>
      <w:sz w:val="18"/>
      <w:szCs w:val="18"/>
    </w:rPr>
  </w:style>
  <w:style w:type="paragraph" w:styleId="919" w:customStyle="1">
    <w:name w:val="页脚1"/>
    <w:basedOn w:val="666"/>
    <w:link w:val="918"/>
    <w:uiPriority w:val="0"/>
    <w:qFormat/>
    <w:pPr>
      <w:jc w:val="left"/>
      <w:tabs>
        <w:tab w:val="center" w:pos="4153" w:leader="none"/>
        <w:tab w:val="right" w:pos="8306" w:leader="none"/>
      </w:tabs>
    </w:pPr>
    <w:rPr>
      <w:sz w:val="18"/>
      <w:szCs w:val="18"/>
    </w:rPr>
  </w:style>
  <w:style w:type="character" w:styleId="920" w:customStyle="1">
    <w:name w:val="批注引用1"/>
    <w:uiPriority w:val="0"/>
    <w:semiHidden/>
    <w:qFormat/>
    <w:rPr>
      <w:sz w:val="21"/>
      <w:szCs w:val="21"/>
    </w:rPr>
  </w:style>
  <w:style w:type="character" w:styleId="921" w:customStyle="1">
    <w:name w:val="标题 5 Char"/>
    <w:link w:val="881"/>
    <w:uiPriority w:val="0"/>
    <w:qFormat/>
    <w:rPr>
      <w:rFonts w:ascii="宋体" w:hAnsi="Times New Roman" w:eastAsia="宋体" w:cs="Times New Roman"/>
      <w:color w:val="000000"/>
      <w:sz w:val="28"/>
      <w:szCs w:val="28"/>
    </w:rPr>
  </w:style>
  <w:style w:type="character" w:styleId="922" w:customStyle="1">
    <w:name w:val="文档结构图 Char"/>
    <w:link w:val="923"/>
    <w:uiPriority w:val="0"/>
    <w:semiHidden/>
    <w:qFormat/>
    <w:rPr>
      <w:rFonts w:ascii="Times New Roman" w:hAnsi="Times New Roman" w:eastAsia="宋体" w:cs="Times New Roman"/>
      <w:szCs w:val="21"/>
      <w:shd w:val="clear" w:color="auto" w:fill="000080"/>
    </w:rPr>
  </w:style>
  <w:style w:type="paragraph" w:styleId="923" w:customStyle="1">
    <w:name w:val="文档结构图1"/>
    <w:basedOn w:val="666"/>
    <w:link w:val="922"/>
    <w:uiPriority w:val="0"/>
    <w:semiHidden/>
    <w:qFormat/>
    <w:pPr>
      <w:shd w:val="clear" w:color="auto" w:fill="000080"/>
    </w:pPr>
  </w:style>
  <w:style w:type="character" w:styleId="924" w:customStyle="1">
    <w:name w:val="正文文本缩进 3 Char"/>
    <w:link w:val="925"/>
    <w:uiPriority w:val="0"/>
    <w:qFormat/>
    <w:rPr>
      <w:rFonts w:ascii="Arial" w:hAnsi="Arial" w:eastAsia="仿宋_GB2312" w:cs="Arial"/>
      <w:color w:val="ffff00"/>
      <w:sz w:val="32"/>
      <w:szCs w:val="32"/>
    </w:rPr>
  </w:style>
  <w:style w:type="paragraph" w:styleId="925" w:customStyle="1">
    <w:name w:val="正文文本缩进 31"/>
    <w:basedOn w:val="666"/>
    <w:link w:val="924"/>
    <w:uiPriority w:val="0"/>
    <w:qFormat/>
    <w:pPr>
      <w:ind w:left="645" w:firstLine="645"/>
    </w:pPr>
    <w:rPr>
      <w:rFonts w:ascii="Arial" w:hAnsi="Arial" w:eastAsia="仿宋_GB2312" w:cs="Arial"/>
      <w:color w:val="ffff00"/>
      <w:sz w:val="32"/>
      <w:szCs w:val="32"/>
    </w:rPr>
  </w:style>
  <w:style w:type="character" w:styleId="926" w:customStyle="1">
    <w:name w:val="正文文本缩进 Char"/>
    <w:link w:val="910"/>
    <w:uiPriority w:val="0"/>
    <w:qFormat/>
    <w:rPr>
      <w:rFonts w:ascii="楷体_GB2312" w:hAnsi="Times New Roman" w:eastAsia="楷体_GB2312" w:cs="Times New Roman"/>
      <w:sz w:val="32"/>
      <w:szCs w:val="32"/>
    </w:rPr>
  </w:style>
  <w:style w:type="character" w:styleId="927" w:customStyle="1">
    <w:name w:val="纯文本 Char"/>
    <w:link w:val="928"/>
    <w:uiPriority w:val="0"/>
    <w:qFormat/>
    <w:rPr>
      <w:rFonts w:ascii="宋体" w:hAnsi="Courier New" w:eastAsia="宋体" w:cs="Courier New"/>
      <w:szCs w:val="21"/>
    </w:rPr>
  </w:style>
  <w:style w:type="paragraph" w:styleId="928" w:customStyle="1">
    <w:name w:val="纯文本1"/>
    <w:basedOn w:val="666"/>
    <w:link w:val="927"/>
    <w:uiPriority w:val="0"/>
    <w:qFormat/>
    <w:rPr>
      <w:rFonts w:ascii="宋体" w:hAnsi="Courier New" w:cs="Courier New"/>
    </w:rPr>
  </w:style>
  <w:style w:type="character" w:styleId="929" w:customStyle="1">
    <w:name w:val="标题 2 Char"/>
    <w:link w:val="877"/>
    <w:uiPriority w:val="0"/>
    <w:qFormat/>
    <w:rPr>
      <w:rFonts w:ascii="Arial" w:hAnsi="Arial" w:eastAsia="幼圆" w:cs="Arial"/>
      <w:b/>
      <w:bCs/>
      <w:sz w:val="44"/>
      <w:szCs w:val="44"/>
    </w:rPr>
  </w:style>
  <w:style w:type="character" w:styleId="930" w:customStyle="1">
    <w:name w:val="标题 9 Char"/>
    <w:link w:val="885"/>
    <w:uiPriority w:val="0"/>
    <w:qFormat/>
    <w:rPr>
      <w:rFonts w:ascii="Arial" w:hAnsi="Arial" w:eastAsia="黑体" w:cs="Times New Roman"/>
      <w:szCs w:val="21"/>
    </w:rPr>
  </w:style>
  <w:style w:type="character" w:styleId="931" w:customStyle="1">
    <w:name w:val="正文文本缩进 2 Char"/>
    <w:link w:val="932"/>
    <w:uiPriority w:val="0"/>
    <w:qFormat/>
    <w:rPr>
      <w:rFonts w:ascii="Arial" w:hAnsi="Arial" w:eastAsia="仿宋_GB2312" w:cs="Arial"/>
      <w:sz w:val="32"/>
      <w:szCs w:val="32"/>
    </w:rPr>
  </w:style>
  <w:style w:type="paragraph" w:styleId="932" w:customStyle="1">
    <w:name w:val="正文文本缩进 21"/>
    <w:basedOn w:val="666"/>
    <w:link w:val="931"/>
    <w:uiPriority w:val="0"/>
    <w:qFormat/>
    <w:pPr>
      <w:ind w:left="630" w:firstLine="645"/>
    </w:pPr>
    <w:rPr>
      <w:rFonts w:ascii="Arial" w:hAnsi="Arial" w:eastAsia="仿宋_GB2312" w:cs="Arial"/>
      <w:sz w:val="32"/>
      <w:szCs w:val="32"/>
    </w:rPr>
  </w:style>
  <w:style w:type="character" w:styleId="933" w:customStyle="1">
    <w:name w:val="正文文本 2 Char"/>
    <w:link w:val="934"/>
    <w:uiPriority w:val="0"/>
    <w:qFormat/>
    <w:rPr>
      <w:rFonts w:ascii="楷体_GB2312" w:hAnsi="Times New Roman" w:eastAsia="楷体_GB2312" w:cs="Times New Roman"/>
      <w:sz w:val="28"/>
      <w:szCs w:val="28"/>
    </w:rPr>
  </w:style>
  <w:style w:type="paragraph" w:styleId="934" w:customStyle="1">
    <w:name w:val="正文文本 21"/>
    <w:basedOn w:val="666"/>
    <w:link w:val="933"/>
    <w:uiPriority w:val="0"/>
    <w:qFormat/>
    <w:pPr>
      <w:jc w:val="center"/>
      <w:widowControl/>
    </w:pPr>
    <w:rPr>
      <w:rFonts w:ascii="楷体_GB2312" w:eastAsia="楷体_GB2312"/>
      <w:sz w:val="28"/>
      <w:szCs w:val="28"/>
    </w:rPr>
  </w:style>
  <w:style w:type="character" w:styleId="935" w:customStyle="1">
    <w:name w:val="批注主题 Char"/>
    <w:link w:val="936"/>
    <w:uiPriority w:val="0"/>
    <w:semiHidden/>
    <w:qFormat/>
    <w:rPr>
      <w:rFonts w:ascii="Times New Roman" w:hAnsi="Times New Roman" w:eastAsia="宋体" w:cs="Times New Roman"/>
      <w:b/>
      <w:bCs/>
      <w:szCs w:val="21"/>
    </w:rPr>
  </w:style>
  <w:style w:type="paragraph" w:styleId="936" w:customStyle="1">
    <w:name w:val="批注主题1"/>
    <w:basedOn w:val="913"/>
    <w:next w:val="913"/>
    <w:link w:val="935"/>
    <w:uiPriority w:val="0"/>
    <w:semiHidden/>
    <w:qFormat/>
    <w:rPr>
      <w:b/>
      <w:bCs/>
    </w:rPr>
  </w:style>
  <w:style w:type="character" w:styleId="937" w:customStyle="1">
    <w:name w:val="正文首行缩进 Char"/>
    <w:link w:val="938"/>
    <w:uiPriority w:val="0"/>
    <w:qFormat/>
    <w:rPr>
      <w:rFonts w:ascii="仿宋_GB2312" w:hAnsi="Times New Roman" w:eastAsia="仿宋_GB2312" w:cs="Times New Roman"/>
      <w:sz w:val="30"/>
      <w:szCs w:val="30"/>
    </w:rPr>
  </w:style>
  <w:style w:type="paragraph" w:styleId="938" w:customStyle="1">
    <w:name w:val="正文首行缩进1"/>
    <w:basedOn w:val="666"/>
    <w:link w:val="937"/>
    <w:uiPriority w:val="0"/>
    <w:qFormat/>
    <w:pPr>
      <w:ind w:firstLine="200"/>
      <w:spacing w:line="360" w:lineRule="auto"/>
    </w:pPr>
    <w:rPr>
      <w:rFonts w:ascii="仿宋_GB2312" w:eastAsia="仿宋_GB2312"/>
      <w:sz w:val="30"/>
      <w:szCs w:val="30"/>
    </w:rPr>
  </w:style>
  <w:style w:type="paragraph" w:styleId="939" w:customStyle="1">
    <w:name w:val="table_lines"/>
    <w:basedOn w:val="666"/>
    <w:uiPriority w:val="0"/>
    <w:qFormat/>
    <w:pPr>
      <w:jc w:val="left"/>
      <w:widowControl/>
    </w:pPr>
    <w:rPr>
      <w:sz w:val="20"/>
      <w:szCs w:val="20"/>
      <w:lang w:val="de-DE" w:eastAsia="de-DE"/>
    </w:rPr>
  </w:style>
  <w:style w:type="paragraph" w:styleId="940" w:customStyle="1">
    <w:name w:val="Char"/>
    <w:basedOn w:val="923"/>
    <w:uiPriority w:val="0"/>
    <w:qFormat/>
    <w:rPr>
      <w:rFonts w:ascii="Tahoma" w:hAnsi="Tahoma"/>
      <w:sz w:val="24"/>
      <w:szCs w:val="24"/>
    </w:rPr>
  </w:style>
  <w:style w:type="paragraph" w:styleId="941" w:customStyle="1">
    <w:name w:val="索引 11"/>
    <w:basedOn w:val="666"/>
    <w:next w:val="666"/>
    <w:uiPriority w:val="0"/>
    <w:semiHidden/>
    <w:qFormat/>
    <w:pPr>
      <w:spacing w:line="240" w:lineRule="atLeast"/>
    </w:pPr>
    <w:rPr>
      <w:b/>
      <w:bCs/>
    </w:rPr>
  </w:style>
  <w:style w:type="paragraph" w:styleId="942" w:customStyle="1">
    <w:name w:val="目录 51"/>
    <w:basedOn w:val="666"/>
    <w:next w:val="666"/>
    <w:uiPriority w:val="0"/>
    <w:semiHidden/>
    <w:qFormat/>
    <w:pPr>
      <w:ind w:left="840"/>
      <w:jc w:val="left"/>
    </w:pPr>
  </w:style>
  <w:style w:type="paragraph" w:styleId="943" w:customStyle="1">
    <w:name w:val="Char Char Char Char"/>
    <w:basedOn w:val="923"/>
    <w:uiPriority w:val="0"/>
    <w:qFormat/>
    <w:pPr>
      <w:spacing w:line="360" w:lineRule="auto"/>
    </w:pPr>
    <w:rPr>
      <w:rFonts w:ascii="Tahoma" w:hAnsi="Tahoma"/>
      <w:sz w:val="24"/>
      <w:szCs w:val="24"/>
    </w:rPr>
  </w:style>
  <w:style w:type="paragraph" w:styleId="944" w:customStyle="1">
    <w:name w:val="列出段落2"/>
    <w:basedOn w:val="666"/>
    <w:uiPriority w:val="0"/>
    <w:qFormat/>
    <w:pPr>
      <w:contextualSpacing/>
      <w:ind w:left="720"/>
      <w:jc w:val="left"/>
      <w:widowControl/>
    </w:pPr>
    <w:rPr>
      <w:rFonts w:ascii="Calibri" w:hAnsi="Calibri"/>
      <w:sz w:val="24"/>
      <w:szCs w:val="24"/>
      <w:lang w:eastAsia="en-US" w:bidi="en-US"/>
    </w:rPr>
  </w:style>
  <w:style w:type="paragraph" w:styleId="945" w:customStyle="1">
    <w:name w:val="普通(网站)1"/>
    <w:basedOn w:val="666"/>
    <w:uiPriority w:val="99"/>
    <w:qFormat/>
    <w:pPr>
      <w:jc w:val="left"/>
      <w:spacing w:before="100" w:beforeAutospacing="1" w:after="100" w:afterAutospacing="1"/>
      <w:widowControl/>
    </w:pPr>
    <w:rPr>
      <w:rFonts w:ascii="宋体" w:hAnsi="宋体" w:cs="宋体"/>
      <w:sz w:val="24"/>
      <w:szCs w:val="24"/>
    </w:rPr>
  </w:style>
  <w:style w:type="paragraph" w:styleId="94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47"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48" w:customStyle="1">
    <w:name w:val="xl2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目录 81"/>
    <w:basedOn w:val="666"/>
    <w:next w:val="666"/>
    <w:uiPriority w:val="0"/>
    <w:semiHidden/>
    <w:qFormat/>
    <w:pPr>
      <w:ind w:left="1470"/>
      <w:jc w:val="left"/>
    </w:pPr>
  </w:style>
  <w:style w:type="paragraph" w:styleId="950" w:customStyle="1">
    <w:name w:val="目录 91"/>
    <w:basedOn w:val="666"/>
    <w:next w:val="666"/>
    <w:uiPriority w:val="0"/>
    <w:semiHidden/>
    <w:qFormat/>
    <w:pPr>
      <w:ind w:left="1680"/>
      <w:jc w:val="left"/>
    </w:pPr>
  </w:style>
  <w:style w:type="paragraph" w:styleId="951" w:customStyle="1">
    <w:name w:val="Char1"/>
    <w:basedOn w:val="666"/>
    <w:uiPriority w:val="0"/>
    <w:qFormat/>
    <w:pPr>
      <w:ind w:firstLine="200"/>
      <w:tabs>
        <w:tab w:val="left" w:pos="360" w:leader="none"/>
      </w:tabs>
    </w:pPr>
    <w:rPr>
      <w:sz w:val="28"/>
      <w:szCs w:val="30"/>
    </w:rPr>
  </w:style>
  <w:style w:type="paragraph" w:styleId="952"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53"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Char Char Char Char Char Char"/>
    <w:basedOn w:val="666"/>
    <w:uiPriority w:val="0"/>
    <w:qFormat/>
    <w:pPr>
      <w:spacing w:line="360" w:lineRule="auto"/>
    </w:pPr>
    <w:rPr>
      <w:sz w:val="24"/>
      <w:szCs w:val="20"/>
    </w:rPr>
  </w:style>
  <w:style w:type="paragraph" w:styleId="955" w:customStyle="1">
    <w:name w:val="xl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table_1stline"/>
    <w:basedOn w:val="666"/>
    <w:uiPriority w:val="0"/>
    <w:qFormat/>
    <w:pPr>
      <w:jc w:val="left"/>
      <w:spacing w:before="120"/>
      <w:widowControl/>
    </w:pPr>
    <w:rPr>
      <w:bCs/>
      <w:sz w:val="20"/>
      <w:szCs w:val="20"/>
      <w:lang w:val="de-DE" w:eastAsia="de-DE"/>
    </w:rPr>
  </w:style>
  <w:style w:type="paragraph" w:styleId="957"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目录 31"/>
    <w:basedOn w:val="666"/>
    <w:next w:val="666"/>
    <w:uiPriority w:val="0"/>
    <w:semiHidden/>
    <w:qFormat/>
    <w:pPr>
      <w:ind w:left="420"/>
      <w:jc w:val="left"/>
    </w:pPr>
    <w:rPr>
      <w:i/>
      <w:iCs/>
      <w:szCs w:val="24"/>
    </w:rPr>
  </w:style>
  <w:style w:type="paragraph" w:styleId="959" w:customStyle="1">
    <w:name w:val="目录 61"/>
    <w:basedOn w:val="666"/>
    <w:next w:val="666"/>
    <w:uiPriority w:val="0"/>
    <w:semiHidden/>
    <w:qFormat/>
    <w:pPr>
      <w:ind w:left="1050"/>
      <w:jc w:val="left"/>
    </w:pPr>
  </w:style>
  <w:style w:type="paragraph" w:styleId="960" w:customStyle="1">
    <w:name w:val="目录 71"/>
    <w:basedOn w:val="666"/>
    <w:next w:val="666"/>
    <w:uiPriority w:val="0"/>
    <w:semiHidden/>
    <w:qFormat/>
    <w:pPr>
      <w:ind w:left="1260"/>
      <w:jc w:val="left"/>
    </w:pPr>
  </w:style>
  <w:style w:type="paragraph" w:styleId="961"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962"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63" w:customStyle="1">
    <w:name w:val="列表 31"/>
    <w:basedOn w:val="666"/>
    <w:uiPriority w:val="0"/>
    <w:qFormat/>
    <w:pPr>
      <w:ind w:left="100" w:hanging="200"/>
    </w:pPr>
  </w:style>
  <w:style w:type="paragraph" w:styleId="964"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965"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66" w:customStyle="1">
    <w:name w:val="目录 41"/>
    <w:basedOn w:val="666"/>
    <w:next w:val="666"/>
    <w:uiPriority w:val="0"/>
    <w:semiHidden/>
    <w:qFormat/>
    <w:pPr>
      <w:ind w:left="630"/>
      <w:jc w:val="left"/>
    </w:pPr>
  </w:style>
  <w:style w:type="paragraph" w:styleId="967" w:customStyle="1">
    <w:name w:val="4"/>
    <w:basedOn w:val="666"/>
    <w:next w:val="925"/>
    <w:uiPriority w:val="0"/>
    <w:qFormat/>
    <w:pPr>
      <w:ind w:firstLine="420"/>
      <w:spacing w:line="360" w:lineRule="auto"/>
    </w:pPr>
    <w:rPr>
      <w:color w:val="ff0000"/>
      <w:sz w:val="24"/>
      <w:szCs w:val="24"/>
    </w:rPr>
  </w:style>
  <w:style w:type="paragraph" w:styleId="968" w:customStyle="1">
    <w:name w:val="列表 21"/>
    <w:basedOn w:val="666"/>
    <w:uiPriority w:val="0"/>
    <w:qFormat/>
    <w:pPr>
      <w:ind w:left="100" w:hanging="200"/>
    </w:pPr>
  </w:style>
  <w:style w:type="paragraph" w:styleId="969" w:customStyle="1">
    <w:name w:val="目录 21"/>
    <w:basedOn w:val="666"/>
    <w:next w:val="666"/>
    <w:uiPriority w:val="0"/>
    <w:semiHidden/>
    <w:qFormat/>
    <w:pPr>
      <w:ind w:left="210"/>
      <w:jc w:val="left"/>
    </w:pPr>
    <w:rPr>
      <w:smallCaps/>
      <w:szCs w:val="24"/>
    </w:rPr>
  </w:style>
  <w:style w:type="paragraph" w:styleId="970" w:customStyle="1">
    <w:name w:val="Char Char Char Char1"/>
    <w:basedOn w:val="923"/>
    <w:uiPriority w:val="0"/>
    <w:qFormat/>
    <w:pPr>
      <w:spacing w:line="360" w:lineRule="auto"/>
    </w:pPr>
    <w:rPr>
      <w:rFonts w:ascii="Tahoma" w:hAnsi="Tahoma"/>
      <w:sz w:val="24"/>
      <w:szCs w:val="24"/>
    </w:rPr>
  </w:style>
  <w:style w:type="paragraph" w:styleId="971"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72" w:customStyle="1">
    <w:name w:val="Body Text(ch)"/>
    <w:basedOn w:val="666"/>
    <w:next w:val="893"/>
    <w:uiPriority w:val="0"/>
    <w:qFormat/>
    <w:pPr>
      <w:spacing w:after="120"/>
    </w:pPr>
    <w:rPr>
      <w:rFonts w:ascii="宋体" w:hAnsi="Arial"/>
      <w:bCs/>
      <w:iCs/>
      <w:szCs w:val="24"/>
    </w:rPr>
  </w:style>
  <w:style w:type="paragraph" w:styleId="973" w:customStyle="1">
    <w:name w:val="列表1"/>
    <w:basedOn w:val="666"/>
    <w:uiPriority w:val="0"/>
    <w:qFormat/>
    <w:pPr>
      <w:ind w:left="200" w:hanging="200"/>
    </w:pPr>
  </w:style>
  <w:style w:type="paragraph" w:styleId="974" w:customStyle="1">
    <w:name w:val="样式1"/>
    <w:basedOn w:val="666"/>
    <w:uiPriority w:val="0"/>
    <w:qFormat/>
    <w:pPr>
      <w:numPr>
        <w:ilvl w:val="0"/>
        <w:numId w:val="5"/>
      </w:numPr>
    </w:pPr>
    <w:rPr>
      <w:rFonts w:ascii="宋体" w:hAnsi="宋体"/>
    </w:rPr>
  </w:style>
  <w:style w:type="paragraph" w:styleId="975" w:customStyle="1">
    <w:name w:val="xl29"/>
    <w:basedOn w:val="6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77" w:customStyle="1">
    <w:name w:val="图表目录1"/>
    <w:basedOn w:val="666"/>
    <w:next w:val="666"/>
    <w:uiPriority w:val="0"/>
    <w:semiHidden/>
    <w:qFormat/>
    <w:pPr>
      <w:ind w:left="840" w:hanging="420"/>
    </w:pPr>
  </w:style>
  <w:style w:type="paragraph" w:styleId="978"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80"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xl24"/>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paragraph" w:styleId="983"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修订1"/>
    <w:uiPriority w:val="99"/>
    <w:semiHidden/>
    <w:qFormat/>
    <w:rPr>
      <w:rFonts w:ascii="Times New Roman" w:hAnsi="Times New Roman" w:eastAsia="宋体" w:cs="Times New Roman"/>
      <w:sz w:val="21"/>
      <w:szCs w:val="21"/>
      <w:lang w:val="en-US" w:eastAsia="zh-CN" w:bidi="ar-SA"/>
    </w:rPr>
  </w:style>
  <w:style w:type="paragraph" w:styleId="985" w:customStyle="1">
    <w:name w:val="正文1"/>
    <w:basedOn w:val="666"/>
    <w:next w:val="666"/>
    <w:uiPriority w:val="99"/>
    <w:qFormat/>
    <w:pPr>
      <w:ind w:firstLine="480"/>
      <w:spacing w:line="440" w:lineRule="exact"/>
    </w:pPr>
    <w:rPr>
      <w:rFonts w:ascii="微软雅黑" w:hAnsi="微软雅黑" w:eastAsia="微软雅黑"/>
      <w:sz w:val="24"/>
      <w:szCs w:val="20"/>
    </w:rPr>
  </w:style>
  <w:style w:type="table" w:styleId="986" w:customStyle="1">
    <w:name w:val="网格型1"/>
    <w:basedOn w:val="887"/>
    <w:uiPriority w:val="0"/>
    <w:qFormat/>
    <w:pPr>
      <w:jc w:val="both"/>
      <w:widowControl w:val="off"/>
    </w:pPr>
    <w:rPr>
      <w:rFonts w:ascii="Times New Roman" w:hAnsi="Times New Roman"/>
    </w:rPr>
    <w:tblPr/>
  </w:style>
  <w:style w:type="character" w:styleId="987" w:customStyle="1">
    <w:name w:val="正文文本 Char1"/>
    <w:basedOn w:val="676"/>
    <w:uiPriority w:val="99"/>
    <w:semiHidden/>
    <w:qFormat/>
    <w:rPr>
      <w:rFonts w:ascii="Times New Roman" w:hAnsi="Times New Roman"/>
      <w:sz w:val="21"/>
      <w:szCs w:val="21"/>
    </w:rPr>
  </w:style>
  <w:style w:type="paragraph" w:styleId="988" w:customStyle="1">
    <w:name w:val="正文2"/>
    <w:basedOn w:val="666"/>
    <w:uiPriority w:val="0"/>
    <w:qFormat/>
    <w:pPr>
      <w:spacing w:line="360" w:lineRule="auto"/>
      <w:tabs>
        <w:tab w:val="left" w:pos="6480" w:leader="none"/>
      </w:tabs>
    </w:pPr>
    <w:rPr>
      <w:sz w:val="24"/>
      <w:szCs w:val="24"/>
    </w:rPr>
  </w:style>
  <w:style w:type="paragraph" w:styleId="989" w:customStyle="1">
    <w:name w:val="1 正文"/>
    <w:basedOn w:val="666"/>
    <w:uiPriority w:val="0"/>
    <w:qFormat/>
    <w:pPr>
      <w:ind w:firstLine="420"/>
      <w:spacing w:line="360" w:lineRule="auto"/>
    </w:pPr>
    <w:rPr>
      <w:rFonts w:ascii="宋体" w:hAnsi="宋体"/>
      <w:sz w:val="24"/>
      <w:szCs w:val="24"/>
    </w:rPr>
  </w:style>
  <w:style w:type="paragraph" w:styleId="990" w:customStyle="1">
    <w:name w:val="A正文"/>
    <w:basedOn w:val="666"/>
    <w:uiPriority w:val="0"/>
    <w:qFormat/>
    <w:pPr>
      <w:ind w:firstLine="200"/>
      <w:spacing w:line="360" w:lineRule="auto"/>
    </w:pPr>
    <w:rPr>
      <w:rFonts w:cs="宋体"/>
      <w:sz w:val="24"/>
      <w:szCs w:val="28"/>
      <w:lang w:eastAsia="zh-Hans"/>
    </w:rPr>
  </w:style>
  <w:style w:type="paragraph" w:styleId="991"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992"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993"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994" w:customStyle="1">
    <w:name w:val="UserStyle_11"/>
    <w:uiPriority w:val="0"/>
    <w:qFormat/>
    <w:rPr>
      <w:sz w:val="21"/>
      <w:szCs w:val="21"/>
      <w:lang w:val="en-US" w:eastAsia="zh-CN" w:bidi="ar-SA"/>
    </w:rPr>
  </w:style>
  <w:style w:type="character" w:styleId="995" w:customStyle="1">
    <w:name w:val="NormalCharacter"/>
    <w:uiPriority w:val="0"/>
    <w:qFormat/>
  </w:style>
  <w:style w:type="character" w:styleId="996" w:customStyle="1">
    <w:name w:val="正文缩进 字符"/>
    <w:link w:val="679"/>
    <w:uiPriority w:val="0"/>
    <w:qFormat/>
    <w:rPr>
      <w:rFonts w:ascii="Times New Roman" w:hAnsi="Times New Roman"/>
      <w:sz w:val="21"/>
      <w:szCs w:val="21"/>
    </w:rPr>
  </w:style>
  <w:style w:type="character" w:styleId="997" w:customStyle="1">
    <w:name w:val="font31"/>
    <w:uiPriority w:val="0"/>
    <w:qFormat/>
    <w:rPr>
      <w:rFonts w:hint="eastAsia" w:ascii="宋体" w:hAnsi="宋体" w:eastAsia="宋体" w:cs="宋体"/>
      <w:color w:val="000000"/>
      <w:sz w:val="24"/>
      <w:szCs w:val="24"/>
      <w:u w:val="none"/>
    </w:rPr>
  </w:style>
  <w:style w:type="character" w:styleId="998" w:customStyle="1">
    <w:name w:val="bot_zi"/>
    <w:uiPriority w:val="0"/>
    <w:qFormat/>
  </w:style>
  <w:style w:type="paragraph" w:styleId="999" w:customStyle="1">
    <w:name w:val="B2"/>
    <w:basedOn w:val="666"/>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000" w:customStyle="1">
    <w:name w:val="B3"/>
    <w:basedOn w:val="999"/>
    <w:uiPriority w:val="0"/>
    <w:qFormat/>
    <w:pPr>
      <w:outlineLvl w:val="2"/>
    </w:pPr>
    <w:rPr>
      <w:b w:val="0"/>
    </w:rPr>
  </w:style>
  <w:style w:type="paragraph" w:styleId="1001" w:customStyle="1">
    <w:name w:val="B4"/>
    <w:basedOn w:val="1000"/>
    <w:uiPriority w:val="0"/>
    <w:qFormat/>
    <w:pPr>
      <w:outlineLvl w:val="3"/>
    </w:pPr>
  </w:style>
  <w:style w:type="character" w:styleId="1002" w:customStyle="1">
    <w:name w:val="批注框文本 字符"/>
    <w:basedOn w:val="676"/>
    <w:link w:val="691"/>
    <w:uiPriority w:val="99"/>
    <w:semiHidden/>
    <w:qFormat/>
    <w:rPr>
      <w:rFonts w:ascii="Times New Roman" w:hAnsi="Times New Roman"/>
      <w:sz w:val="18"/>
      <w:szCs w:val="18"/>
    </w:rPr>
  </w:style>
  <w:style w:type="paragraph" w:styleId="1003" w:customStyle="1">
    <w:name w:val="正文缩进2"/>
    <w:basedOn w:val="666"/>
    <w:uiPriority w:val="0"/>
    <w:qFormat/>
    <w:pPr>
      <w:jc w:val="left"/>
    </w:pPr>
    <w:rPr>
      <w:rFonts w:ascii="宋体" w:hAnsi="宋体" w:cstheme="minorBidi"/>
      <w:iCs/>
      <w:sz w:val="24"/>
      <w:szCs w:val="22"/>
      <w:shd w:val="clear" w:color="auto" w:fill="ffffff" w:themeFill="background1"/>
      <w:lang w:val="zh-CN"/>
    </w:rPr>
  </w:style>
  <w:style w:type="character" w:styleId="1004" w:customStyle="1">
    <w:name w:val="日期 字符"/>
    <w:basedOn w:val="676"/>
    <w:link w:val="689"/>
    <w:uiPriority w:val="99"/>
    <w:semiHidden/>
    <w:qFormat/>
    <w:rPr>
      <w:rFonts w:ascii="Times New Roman" w:hAnsi="Times New Roman"/>
      <w:sz w:val="21"/>
      <w:szCs w:val="21"/>
    </w:rPr>
  </w:style>
  <w:style w:type="character" w:styleId="1005" w:customStyle="1">
    <w:name w:val="font11"/>
    <w:basedOn w:val="676"/>
    <w:uiPriority w:val="0"/>
    <w:qFormat/>
    <w:rPr>
      <w:rFonts w:hint="eastAsia" w:ascii="仿宋" w:hAnsi="仿宋" w:eastAsia="仿宋" w:cs="仿宋"/>
      <w:color w:val="000000"/>
      <w:sz w:val="22"/>
      <w:szCs w:val="22"/>
      <w:u w:val="none"/>
    </w:rPr>
  </w:style>
  <w:style w:type="character" w:styleId="1006" w:customStyle="1">
    <w:name w:val="font161"/>
    <w:basedOn w:val="676"/>
    <w:uiPriority w:val="0"/>
    <w:qFormat/>
    <w:rPr>
      <w:rFonts w:hint="eastAsia" w:ascii="宋体" w:hAnsi="宋体" w:eastAsia="宋体" w:cs="宋体"/>
      <w:color w:val="ff0000"/>
      <w:sz w:val="20"/>
      <w:szCs w:val="20"/>
      <w:u w:val="none"/>
    </w:rPr>
  </w:style>
  <w:style w:type="character" w:styleId="1007" w:customStyle="1">
    <w:name w:val="font81"/>
    <w:basedOn w:val="676"/>
    <w:uiPriority w:val="0"/>
    <w:qFormat/>
    <w:rPr>
      <w:rFonts w:hint="default" w:ascii="Times New Roman" w:hAnsi="Times New Roman" w:cs="Times New Roman"/>
      <w:color w:val="000000"/>
      <w:sz w:val="20"/>
      <w:szCs w:val="20"/>
      <w:u w:val="none"/>
    </w:rPr>
  </w:style>
  <w:style w:type="numbering" w:styleId="10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51C12-86C9-43E2-824A-2952801CF33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61</cp:revision>
  <dcterms:created xsi:type="dcterms:W3CDTF">2025-09-08T08:16:00Z</dcterms:created>
  <dcterms:modified xsi:type="dcterms:W3CDTF">2025-12-22T07:41:38Z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06AC3BFE444048F1AA01A57F11C0FDD2_13</vt:lpwstr>
  </property>
  <property fmtid="{D5CDD505-2E9C-101B-9397-08002B2CF9AE}" pid="4" name="KSOTemplateDocerSaveRecord">
    <vt:lpwstr>eyJoZGlkIjoiNmFkNDlkY2Q5ODlhNWFkZjUxNWZkMzIyNzhhMDdkYzAiLCJ1c2VySWQiOiI2ODQyMDAzODQifQ==</vt:lpwstr>
  </property>
</Properties>
</file>