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D7437">
      <w:pPr>
        <w:spacing w:line="500" w:lineRule="exact"/>
        <w:jc w:val="center"/>
        <w:rPr>
          <w:b/>
          <w:sz w:val="36"/>
          <w:szCs w:val="36"/>
        </w:rPr>
      </w:pPr>
      <w:r>
        <w:rPr>
          <w:rFonts w:hint="eastAsia"/>
          <w:b/>
          <w:sz w:val="36"/>
          <w:szCs w:val="36"/>
        </w:rPr>
        <w:t>编制说明</w:t>
      </w:r>
    </w:p>
    <w:p w14:paraId="1E62B15F">
      <w:pPr>
        <w:spacing w:line="500" w:lineRule="exact"/>
        <w:jc w:val="left"/>
        <w:rPr>
          <w:rFonts w:hint="eastAsia"/>
          <w:b/>
          <w:sz w:val="28"/>
          <w:szCs w:val="28"/>
        </w:rPr>
      </w:pPr>
      <w:r>
        <w:rPr>
          <w:rFonts w:hint="eastAsia"/>
          <w:b/>
          <w:sz w:val="28"/>
          <w:szCs w:val="28"/>
        </w:rPr>
        <w:t>工程名称：</w:t>
      </w:r>
      <w:r>
        <w:rPr>
          <w:rFonts w:hint="eastAsia"/>
          <w:b/>
          <w:sz w:val="28"/>
          <w:szCs w:val="28"/>
          <w:lang w:eastAsia="zh-CN"/>
        </w:rPr>
        <w:t>202</w:t>
      </w:r>
      <w:r>
        <w:rPr>
          <w:rFonts w:hint="eastAsia"/>
          <w:b/>
          <w:sz w:val="28"/>
          <w:szCs w:val="28"/>
          <w:lang w:val="en-US" w:eastAsia="zh-CN"/>
        </w:rPr>
        <w:t>5</w:t>
      </w:r>
      <w:r>
        <w:rPr>
          <w:rFonts w:hint="eastAsia"/>
          <w:b/>
          <w:sz w:val="28"/>
          <w:szCs w:val="28"/>
          <w:lang w:eastAsia="zh-CN"/>
        </w:rPr>
        <w:t>年梁溪区区管桥梁维修工程</w:t>
      </w:r>
    </w:p>
    <w:tbl>
      <w:tblPr>
        <w:tblStyle w:val="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3"/>
      </w:tblGrid>
      <w:tr w14:paraId="76A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10173" w:type="dxa"/>
          </w:tcPr>
          <w:p w14:paraId="6321708B">
            <w:pPr>
              <w:snapToGrid w:val="0"/>
              <w:spacing w:line="420" w:lineRule="exact"/>
              <w:rPr>
                <w:rFonts w:ascii="宋体" w:hAnsi="宋体" w:cs="宋体"/>
                <w:b/>
                <w:szCs w:val="21"/>
              </w:rPr>
            </w:pPr>
            <w:r>
              <w:rPr>
                <w:rFonts w:hint="eastAsia" w:ascii="宋体" w:hAnsi="宋体" w:cs="宋体"/>
                <w:b/>
                <w:szCs w:val="21"/>
              </w:rPr>
              <w:t>一、工程概况</w:t>
            </w:r>
          </w:p>
          <w:p w14:paraId="6B106F65">
            <w:pPr>
              <w:autoSpaceDE w:val="0"/>
              <w:autoSpaceDN w:val="0"/>
              <w:adjustRightInd w:val="0"/>
              <w:snapToGrid w:val="0"/>
              <w:spacing w:line="420" w:lineRule="exact"/>
              <w:ind w:left="-19" w:leftChars="-9" w:firstLine="420" w:firstLineChars="200"/>
              <w:rPr>
                <w:rFonts w:hint="eastAsia"/>
                <w:szCs w:val="21"/>
              </w:rPr>
            </w:pPr>
            <w:r>
              <w:rPr>
                <w:rFonts w:hint="eastAsia"/>
              </w:rPr>
              <w:t>本次维修改造工程沿线涉及现状桥涵共</w:t>
            </w:r>
            <w:r>
              <w:rPr>
                <w:rFonts w:hint="eastAsia"/>
                <w:lang w:val="en-US" w:eastAsia="zh-CN"/>
              </w:rPr>
              <w:t>18</w:t>
            </w:r>
            <w:r>
              <w:rPr>
                <w:rFonts w:hint="eastAsia"/>
              </w:rPr>
              <w:t>座，分别为：申新桥、长广桥、尤岸里桥、融景桥、新惠桥、天星桥、广运立交桥、新锡澄运河桥、田禾桥、解放路人行天桥、华新桥、通汇桥、金钩桥、新虹桥、蓉湖庄桥、妙光桥、蓉湖桥、前进桥。其中板梁桥12座、钢桁架2座、箱涵2座、箱梁桥1座、斜腿刚构桥1座。</w:t>
            </w:r>
          </w:p>
          <w:p w14:paraId="5EA1F241">
            <w:pPr>
              <w:autoSpaceDE w:val="0"/>
              <w:autoSpaceDN w:val="0"/>
              <w:adjustRightInd w:val="0"/>
              <w:snapToGrid w:val="0"/>
              <w:spacing w:line="420" w:lineRule="exact"/>
              <w:ind w:left="-18" w:firstLine="420" w:firstLineChars="200"/>
              <w:jc w:val="left"/>
              <w:rPr>
                <w:rFonts w:hint="eastAsia"/>
                <w:szCs w:val="21"/>
              </w:rPr>
            </w:pPr>
            <w:r>
              <w:rPr>
                <w:rFonts w:hint="eastAsia"/>
                <w:szCs w:val="21"/>
              </w:rPr>
              <w:t>本次招标包含</w:t>
            </w:r>
            <w:r>
              <w:rPr>
                <w:rFonts w:hint="eastAsia"/>
                <w:szCs w:val="21"/>
                <w:lang w:val="en-US" w:eastAsia="zh-CN"/>
              </w:rPr>
              <w:t>裂缝封闭、铰缝维修、桥面铺装、桥面沥青裂缝处理、混凝土缺陷修复、伸缩缝维修、支座更换、台身修复、人行道面层恢复、钢结构涂装、桥梁栏杆维修更换、桥梁维修加固特殊修复</w:t>
            </w:r>
            <w:r>
              <w:rPr>
                <w:rFonts w:hint="eastAsia"/>
                <w:szCs w:val="21"/>
              </w:rPr>
              <w:t>等。</w:t>
            </w:r>
          </w:p>
          <w:p w14:paraId="642E1A66">
            <w:pPr>
              <w:autoSpaceDE w:val="0"/>
              <w:autoSpaceDN w:val="0"/>
              <w:adjustRightInd w:val="0"/>
              <w:snapToGrid w:val="0"/>
              <w:spacing w:line="420" w:lineRule="exact"/>
              <w:ind w:left="-18"/>
              <w:jc w:val="left"/>
              <w:rPr>
                <w:rFonts w:ascii="宋体" w:hAnsi="宋体" w:cs="宋体"/>
                <w:b/>
                <w:kern w:val="0"/>
                <w:szCs w:val="21"/>
              </w:rPr>
            </w:pPr>
            <w:r>
              <w:rPr>
                <w:rFonts w:hint="eastAsia" w:ascii="宋体" w:hAnsi="宋体" w:cs="宋体"/>
                <w:b/>
                <w:kern w:val="0"/>
                <w:szCs w:val="21"/>
              </w:rPr>
              <w:t>二、工程招标范围：</w:t>
            </w:r>
          </w:p>
          <w:p w14:paraId="4513ADEC">
            <w:pPr>
              <w:autoSpaceDE w:val="0"/>
              <w:autoSpaceDN w:val="0"/>
              <w:adjustRightInd w:val="0"/>
              <w:snapToGrid w:val="0"/>
              <w:spacing w:line="420" w:lineRule="exact"/>
              <w:ind w:left="-18" w:firstLine="420" w:firstLineChars="200"/>
              <w:jc w:val="left"/>
              <w:rPr>
                <w:rFonts w:asciiTheme="minorEastAsia" w:hAnsiTheme="minorEastAsia" w:eastAsiaTheme="minorEastAsia"/>
                <w:szCs w:val="21"/>
              </w:rPr>
            </w:pP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asciiTheme="minorEastAsia" w:hAnsiTheme="minorEastAsia" w:eastAsiaTheme="minorEastAsia"/>
                <w:szCs w:val="21"/>
              </w:rPr>
              <w:t>包括：</w:t>
            </w:r>
            <w:r>
              <w:rPr>
                <w:rFonts w:hint="eastAsia"/>
                <w:szCs w:val="21"/>
                <w:lang w:val="en-US" w:eastAsia="zh-CN"/>
              </w:rPr>
              <w:t>裂缝封闭、铰缝维修、桥面铺装、桥面沥青裂缝处理、混凝土缺陷修复、伸缩缝维修、支座更换、人行道面层恢复、钢结构涂装、桥梁栏杆维修更换、桥梁维修加固特殊修复</w:t>
            </w:r>
            <w:r>
              <w:rPr>
                <w:rFonts w:hint="eastAsia"/>
                <w:szCs w:val="21"/>
              </w:rPr>
              <w:t>等。</w:t>
            </w:r>
            <w:r>
              <w:rPr>
                <w:rFonts w:hint="eastAsia" w:asciiTheme="minorEastAsia" w:hAnsiTheme="minorEastAsia" w:eastAsiaTheme="minorEastAsia"/>
                <w:szCs w:val="21"/>
              </w:rPr>
              <w:t>具体详见招标清单。</w:t>
            </w:r>
          </w:p>
          <w:p w14:paraId="425346C9">
            <w:pPr>
              <w:autoSpaceDE w:val="0"/>
              <w:autoSpaceDN w:val="0"/>
              <w:adjustRightInd w:val="0"/>
              <w:snapToGrid w:val="0"/>
              <w:spacing w:line="420" w:lineRule="exact"/>
              <w:jc w:val="left"/>
              <w:rPr>
                <w:rFonts w:ascii="宋体" w:hAnsi="宋体" w:cs="宋体"/>
                <w:b/>
                <w:kern w:val="0"/>
                <w:szCs w:val="21"/>
              </w:rPr>
            </w:pPr>
            <w:r>
              <w:rPr>
                <w:rFonts w:hint="eastAsia" w:ascii="宋体" w:hAnsi="宋体" w:cs="宋体"/>
                <w:b/>
                <w:kern w:val="0"/>
                <w:szCs w:val="21"/>
              </w:rPr>
              <w:t>三、工程量清单编制依据：</w:t>
            </w:r>
          </w:p>
          <w:p w14:paraId="4D879396">
            <w:pPr>
              <w:spacing w:line="500" w:lineRule="exact"/>
              <w:ind w:firstLine="420" w:firstLineChars="200"/>
              <w:jc w:val="left"/>
              <w:rPr>
                <w:szCs w:val="21"/>
              </w:rPr>
            </w:pPr>
            <w:r>
              <w:rPr>
                <w:szCs w:val="21"/>
              </w:rPr>
              <w:t>1)</w:t>
            </w:r>
            <w:r>
              <w:rPr>
                <w:rFonts w:hint="eastAsia"/>
                <w:szCs w:val="21"/>
              </w:rPr>
              <w:t>设计单位编制的《</w:t>
            </w: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szCs w:val="21"/>
              </w:rPr>
              <w:t>施工图设计》。</w:t>
            </w:r>
          </w:p>
          <w:p w14:paraId="4B499CA3">
            <w:pPr>
              <w:spacing w:line="400" w:lineRule="exact"/>
              <w:ind w:firstLine="465"/>
              <w:rPr>
                <w:szCs w:val="21"/>
              </w:rPr>
            </w:pPr>
            <w:r>
              <w:rPr>
                <w:szCs w:val="21"/>
              </w:rPr>
              <w:t>2)</w:t>
            </w:r>
            <w:r>
              <w:rPr>
                <w:rFonts w:hint="eastAsia"/>
                <w:szCs w:val="21"/>
              </w:rPr>
              <w:t>中华人民共和国国家标准</w:t>
            </w:r>
            <w:r>
              <w:rPr>
                <w:szCs w:val="21"/>
              </w:rPr>
              <w:t>《</w:t>
            </w:r>
            <w:r>
              <w:rPr>
                <w:rFonts w:hint="eastAsia"/>
                <w:szCs w:val="21"/>
              </w:rPr>
              <w:t>建设</w:t>
            </w:r>
            <w:r>
              <w:rPr>
                <w:szCs w:val="21"/>
              </w:rPr>
              <w:t>工程</w:t>
            </w:r>
            <w:r>
              <w:rPr>
                <w:rFonts w:hint="eastAsia"/>
                <w:szCs w:val="21"/>
              </w:rPr>
              <w:t>工程</w:t>
            </w:r>
            <w:r>
              <w:rPr>
                <w:szCs w:val="21"/>
              </w:rPr>
              <w:t>量清单计价规范》</w:t>
            </w:r>
            <w:r>
              <w:rPr>
                <w:rFonts w:hint="eastAsia"/>
                <w:szCs w:val="21"/>
              </w:rPr>
              <w:t>(</w:t>
            </w:r>
            <w:r>
              <w:rPr>
                <w:szCs w:val="21"/>
              </w:rPr>
              <w:t>GB50500-2013</w:t>
            </w:r>
            <w:r>
              <w:rPr>
                <w:rFonts w:hint="eastAsia"/>
                <w:szCs w:val="21"/>
              </w:rPr>
              <w:t>)、《市政工程工程量计算规范》（GB50857-2013）。</w:t>
            </w:r>
          </w:p>
          <w:p w14:paraId="0C6F6B4C">
            <w:pPr>
              <w:spacing w:line="400" w:lineRule="exact"/>
              <w:ind w:firstLine="465"/>
              <w:rPr>
                <w:szCs w:val="21"/>
              </w:rPr>
            </w:pPr>
            <w:r>
              <w:rPr>
                <w:rFonts w:hint="eastAsia"/>
                <w:szCs w:val="21"/>
              </w:rPr>
              <w:t>3)2014年6月江苏省住房和城乡建设厅颁发的《江苏省建设工程费用定额》、江苏省住房和城乡建设厅颁发的2014《江苏省市政工程造价定额》</w:t>
            </w:r>
            <w:r>
              <w:rPr>
                <w:rFonts w:hint="eastAsia"/>
                <w:szCs w:val="21"/>
                <w:lang w:eastAsia="zh-CN"/>
              </w:rPr>
              <w:t>、</w:t>
            </w:r>
            <w:r>
              <w:rPr>
                <w:rFonts w:hint="eastAsia"/>
                <w:szCs w:val="21"/>
                <w:lang w:val="en-US" w:eastAsia="zh-CN"/>
              </w:rPr>
              <w:t>2009</w:t>
            </w:r>
            <w:r>
              <w:rPr>
                <w:rFonts w:hint="eastAsia"/>
                <w:szCs w:val="21"/>
              </w:rPr>
              <w:t>《江苏省</w:t>
            </w:r>
            <w:r>
              <w:rPr>
                <w:rFonts w:hint="eastAsia"/>
                <w:szCs w:val="21"/>
                <w:lang w:val="en-US" w:eastAsia="zh-CN"/>
              </w:rPr>
              <w:t>抗震加固工程</w:t>
            </w:r>
            <w:r>
              <w:rPr>
                <w:rFonts w:hint="eastAsia"/>
                <w:szCs w:val="21"/>
              </w:rPr>
              <w:t>计价表》</w:t>
            </w:r>
            <w:r>
              <w:rPr>
                <w:rFonts w:hint="eastAsia"/>
                <w:szCs w:val="21"/>
                <w:lang w:eastAsia="zh-CN"/>
              </w:rPr>
              <w:t>、</w:t>
            </w:r>
            <w:r>
              <w:rPr>
                <w:rFonts w:hint="eastAsia"/>
                <w:szCs w:val="21"/>
                <w:lang w:val="en-US" w:eastAsia="zh-CN"/>
              </w:rPr>
              <w:t>2013</w:t>
            </w:r>
            <w:r>
              <w:rPr>
                <w:rFonts w:hint="eastAsia"/>
                <w:szCs w:val="21"/>
              </w:rPr>
              <w:t>《江苏省</w:t>
            </w:r>
            <w:r>
              <w:rPr>
                <w:rFonts w:hint="eastAsia"/>
                <w:szCs w:val="21"/>
                <w:lang w:val="en-US" w:eastAsia="zh-CN"/>
              </w:rPr>
              <w:t>市政设施养护维修定额</w:t>
            </w:r>
            <w:r>
              <w:rPr>
                <w:rFonts w:hint="eastAsia"/>
                <w:szCs w:val="21"/>
              </w:rPr>
              <w:t>》。</w:t>
            </w:r>
          </w:p>
          <w:p w14:paraId="578FD414">
            <w:pPr>
              <w:spacing w:line="400" w:lineRule="exact"/>
              <w:ind w:firstLine="465"/>
              <w:rPr>
                <w:szCs w:val="21"/>
              </w:rPr>
            </w:pPr>
            <w:r>
              <w:rPr>
                <w:szCs w:val="21"/>
              </w:rPr>
              <w:t>4)</w:t>
            </w:r>
            <w:r>
              <w:rPr>
                <w:rFonts w:hint="eastAsia"/>
                <w:szCs w:val="21"/>
              </w:rPr>
              <w:t>苏建价〔2016〕154 号文《省住房城乡建设厅关于建筑业实施营改增后江苏省建设工程计价依据调整的通知》及《省住房城乡建设厅关于调整建设工程计价增值税税率的通知》（苏建函价【2019】178号）文。</w:t>
            </w:r>
          </w:p>
          <w:p w14:paraId="4F51D89E">
            <w:pPr>
              <w:spacing w:line="440" w:lineRule="atLeast"/>
              <w:ind w:firstLine="465"/>
              <w:rPr>
                <w:szCs w:val="21"/>
              </w:rPr>
            </w:pPr>
            <w:r>
              <w:rPr>
                <w:szCs w:val="21"/>
              </w:rPr>
              <w:t>5)</w:t>
            </w:r>
            <w:r>
              <w:rPr>
                <w:rFonts w:hint="eastAsia"/>
                <w:szCs w:val="21"/>
              </w:rPr>
              <w:t>无锡市建设局有关文件。</w:t>
            </w:r>
          </w:p>
          <w:p w14:paraId="74AD439A">
            <w:pPr>
              <w:spacing w:line="440" w:lineRule="atLeast"/>
              <w:ind w:firstLine="420" w:firstLineChars="200"/>
              <w:rPr>
                <w:szCs w:val="21"/>
              </w:rPr>
            </w:pPr>
            <w:r>
              <w:rPr>
                <w:szCs w:val="21"/>
              </w:rPr>
              <w:t>6</w:t>
            </w:r>
            <w:r>
              <w:rPr>
                <w:rFonts w:hint="eastAsia"/>
                <w:szCs w:val="21"/>
              </w:rPr>
              <w:t>）标底主要材料价格按《无锡工程造价信息》202</w:t>
            </w:r>
            <w:r>
              <w:rPr>
                <w:rFonts w:hint="eastAsia"/>
                <w:szCs w:val="21"/>
                <w:lang w:val="en-US" w:eastAsia="zh-CN"/>
              </w:rPr>
              <w:t>5</w:t>
            </w:r>
            <w:r>
              <w:rPr>
                <w:rFonts w:hint="eastAsia"/>
                <w:szCs w:val="21"/>
              </w:rPr>
              <w:t>年第</w:t>
            </w:r>
            <w:r>
              <w:rPr>
                <w:rFonts w:hint="eastAsia"/>
                <w:szCs w:val="21"/>
                <w:lang w:val="en-US" w:eastAsia="zh-CN"/>
              </w:rPr>
              <w:t>7</w:t>
            </w:r>
            <w:r>
              <w:rPr>
                <w:rFonts w:hint="eastAsia"/>
                <w:szCs w:val="21"/>
              </w:rPr>
              <w:t>期造价信息指导价计算，无信息价材料为市场价。</w:t>
            </w:r>
          </w:p>
          <w:p w14:paraId="1E72FE6C">
            <w:pPr>
              <w:autoSpaceDE w:val="0"/>
              <w:autoSpaceDN w:val="0"/>
              <w:adjustRightInd w:val="0"/>
              <w:snapToGrid w:val="0"/>
              <w:spacing w:line="420" w:lineRule="exact"/>
              <w:ind w:left="-18"/>
              <w:rPr>
                <w:rFonts w:ascii="宋体" w:hAnsi="宋体" w:cs="宋体"/>
                <w:b/>
                <w:kern w:val="0"/>
                <w:szCs w:val="21"/>
              </w:rPr>
            </w:pPr>
            <w:r>
              <w:rPr>
                <w:rFonts w:hint="eastAsia" w:ascii="宋体" w:hAnsi="宋体" w:cs="宋体"/>
                <w:b/>
                <w:kern w:val="0"/>
                <w:szCs w:val="21"/>
              </w:rPr>
              <w:t>四、工程质量、材料、施工等特殊要求：</w:t>
            </w:r>
          </w:p>
          <w:p w14:paraId="4C4A2C9E">
            <w:pPr>
              <w:spacing w:line="420" w:lineRule="exact"/>
              <w:ind w:firstLine="465"/>
              <w:rPr>
                <w:rFonts w:ascii="宋体" w:hAnsi="宋体"/>
                <w:szCs w:val="21"/>
              </w:rPr>
            </w:pPr>
            <w:r>
              <w:rPr>
                <w:rFonts w:ascii="宋体" w:hAnsi="宋体"/>
                <w:szCs w:val="21"/>
              </w:rPr>
              <w:t>1)</w:t>
            </w:r>
            <w:r>
              <w:rPr>
                <w:rFonts w:hint="eastAsia" w:ascii="宋体" w:hAnsi="宋体"/>
                <w:szCs w:val="21"/>
              </w:rPr>
              <w:t xml:space="preserve"> 工程质量要求见招标文件及设计要求。</w:t>
            </w:r>
          </w:p>
          <w:p w14:paraId="313FD718">
            <w:pPr>
              <w:spacing w:line="420" w:lineRule="exact"/>
              <w:ind w:firstLine="465"/>
              <w:rPr>
                <w:rFonts w:ascii="宋体" w:hAnsi="宋体"/>
                <w:szCs w:val="21"/>
              </w:rPr>
            </w:pPr>
            <w:r>
              <w:rPr>
                <w:rFonts w:hint="eastAsia" w:ascii="宋体" w:hAnsi="宋体"/>
                <w:szCs w:val="21"/>
              </w:rPr>
              <w:t>2）施工的特殊要求：详见招标文件及技术要求、招标图中“施工说明”。</w:t>
            </w:r>
          </w:p>
          <w:p w14:paraId="47185DB1">
            <w:pPr>
              <w:spacing w:line="420" w:lineRule="exact"/>
              <w:ind w:firstLine="465"/>
              <w:rPr>
                <w:rFonts w:ascii="宋体" w:hAnsi="宋体"/>
                <w:szCs w:val="21"/>
              </w:rPr>
            </w:pPr>
            <w:r>
              <w:rPr>
                <w:rFonts w:hint="eastAsia" w:ascii="宋体" w:hAnsi="宋体"/>
                <w:szCs w:val="21"/>
              </w:rPr>
              <w:t>3）适用规范与技术标准详见本工程招标文件及施工图纸。</w:t>
            </w:r>
          </w:p>
          <w:p w14:paraId="69E6D50D">
            <w:pPr>
              <w:spacing w:line="420" w:lineRule="exact"/>
              <w:ind w:firstLine="465"/>
              <w:rPr>
                <w:rFonts w:ascii="宋体" w:hAnsi="宋体"/>
                <w:szCs w:val="21"/>
              </w:rPr>
            </w:pPr>
            <w:r>
              <w:rPr>
                <w:rFonts w:hint="eastAsia" w:ascii="宋体" w:hAnsi="宋体"/>
                <w:szCs w:val="21"/>
              </w:rPr>
              <w:t>4）质量检测按照国家相关规定和规范执行。</w:t>
            </w:r>
          </w:p>
          <w:p w14:paraId="0CE34270">
            <w:pPr>
              <w:spacing w:line="420" w:lineRule="exact"/>
              <w:ind w:firstLine="465"/>
              <w:rPr>
                <w:rFonts w:ascii="宋体" w:hAnsi="宋体"/>
                <w:szCs w:val="21"/>
              </w:rPr>
            </w:pPr>
            <w:r>
              <w:rPr>
                <w:rFonts w:hint="eastAsia" w:ascii="宋体" w:hAnsi="宋体"/>
                <w:szCs w:val="21"/>
              </w:rPr>
              <w:t>5）注意点：</w:t>
            </w:r>
          </w:p>
          <w:p w14:paraId="19119BFB">
            <w:pPr>
              <w:spacing w:line="420" w:lineRule="exact"/>
              <w:ind w:firstLine="465"/>
              <w:rPr>
                <w:rFonts w:ascii="宋体" w:hAnsi="宋体"/>
                <w:szCs w:val="21"/>
              </w:rPr>
            </w:pPr>
            <w:r>
              <w:rPr>
                <w:rFonts w:hint="eastAsia" w:ascii="宋体" w:hAnsi="宋体"/>
                <w:szCs w:val="21"/>
              </w:rPr>
              <w:t>①　工程用混凝土一般使用商品混凝土，商品混凝土使用泵送或非泵送由投标人自行考虑，结算时不调整。中标人所选择的商品砼厂家必须报请监理人和发包人（招标人）批复认可。本工程如有混凝土需掺加外加剂，投标单位应充分考虑该项费用并将其计入相应报价中。</w:t>
            </w:r>
          </w:p>
          <w:p w14:paraId="553DA250">
            <w:pPr>
              <w:spacing w:line="420" w:lineRule="exact"/>
              <w:ind w:firstLine="465"/>
              <w:rPr>
                <w:rFonts w:ascii="宋体" w:hAnsi="宋体"/>
                <w:szCs w:val="21"/>
              </w:rPr>
            </w:pPr>
            <w:r>
              <w:rPr>
                <w:rFonts w:hint="eastAsia" w:ascii="宋体" w:hAnsi="宋体"/>
                <w:szCs w:val="21"/>
              </w:rPr>
              <w:t>②</w:t>
            </w:r>
            <w:r>
              <w:rPr>
                <w:rFonts w:hint="eastAsia" w:ascii="宋体" w:hAnsi="宋体"/>
                <w:szCs w:val="21"/>
                <w:lang w:val="en-US" w:eastAsia="zh-CN"/>
              </w:rPr>
              <w:t>维修所用脚手架搭设、梯道安装、施工平台搭设，投标人自行考虑结算不予调整</w:t>
            </w:r>
            <w:r>
              <w:rPr>
                <w:rFonts w:hint="eastAsia" w:ascii="宋体" w:hAnsi="宋体"/>
                <w:szCs w:val="21"/>
              </w:rPr>
              <w:t>。</w:t>
            </w:r>
          </w:p>
          <w:p w14:paraId="32D82E09">
            <w:pPr>
              <w:spacing w:line="420" w:lineRule="exact"/>
              <w:ind w:firstLine="465"/>
              <w:rPr>
                <w:rFonts w:ascii="宋体" w:hAnsi="宋体"/>
                <w:szCs w:val="21"/>
              </w:rPr>
            </w:pPr>
            <w:r>
              <w:rPr>
                <w:rFonts w:hint="eastAsia" w:ascii="宋体" w:hAnsi="宋体"/>
                <w:szCs w:val="21"/>
              </w:rPr>
              <w:t>③　清运垃圾及沟槽挖除物的堆放场地、场内短驳及调运运距由投标人自定，费用综合考虑在报价中。</w:t>
            </w:r>
          </w:p>
          <w:p w14:paraId="12F058C7">
            <w:pPr>
              <w:spacing w:line="420" w:lineRule="exact"/>
              <w:ind w:firstLine="465"/>
              <w:rPr>
                <w:rFonts w:ascii="宋体" w:hAnsi="宋体"/>
                <w:szCs w:val="21"/>
              </w:rPr>
            </w:pPr>
            <w:r>
              <w:rPr>
                <w:rFonts w:hint="eastAsia" w:ascii="宋体" w:hAnsi="宋体"/>
                <w:szCs w:val="21"/>
              </w:rPr>
              <w:t>④　板梁顶升</w:t>
            </w:r>
            <w:r>
              <w:rPr>
                <w:rFonts w:hint="eastAsia" w:ascii="宋体" w:hAnsi="宋体"/>
                <w:szCs w:val="21"/>
                <w:lang w:val="en-US" w:eastAsia="zh-CN"/>
              </w:rPr>
              <w:t>报价包干顶升的全部工作内容</w:t>
            </w:r>
            <w:r>
              <w:rPr>
                <w:rFonts w:hint="eastAsia" w:ascii="宋体" w:hAnsi="宋体"/>
                <w:szCs w:val="21"/>
              </w:rPr>
              <w:t>。</w:t>
            </w:r>
          </w:p>
          <w:p w14:paraId="1492D8BF">
            <w:pPr>
              <w:spacing w:line="420" w:lineRule="exact"/>
              <w:ind w:firstLine="465"/>
              <w:rPr>
                <w:szCs w:val="21"/>
              </w:rPr>
            </w:pPr>
            <w:r>
              <w:rPr>
                <w:rFonts w:hint="eastAsia" w:ascii="宋体" w:hAnsi="宋体"/>
                <w:szCs w:val="21"/>
              </w:rPr>
              <w:t>⑤  施工围挡</w:t>
            </w:r>
            <w:r>
              <w:rPr>
                <w:rFonts w:hint="eastAsia" w:ascii="宋体" w:hAnsi="宋体"/>
                <w:szCs w:val="21"/>
                <w:lang w:val="en-US" w:eastAsia="zh-CN"/>
              </w:rPr>
              <w:t>符合甲方及梁溪区建设局要求，围挡加高、加固费用综合考虑</w:t>
            </w:r>
            <w:r>
              <w:rPr>
                <w:rFonts w:hint="eastAsia" w:ascii="宋体" w:hAnsi="宋体"/>
                <w:szCs w:val="21"/>
              </w:rPr>
              <w:t>。</w:t>
            </w:r>
          </w:p>
          <w:p w14:paraId="1A26B784">
            <w:pPr>
              <w:spacing w:line="420" w:lineRule="exact"/>
              <w:ind w:firstLine="465"/>
              <w:rPr>
                <w:rFonts w:ascii="宋体" w:hAnsi="宋体"/>
                <w:szCs w:val="21"/>
              </w:rPr>
            </w:pPr>
            <w:r>
              <w:rPr>
                <w:rFonts w:hint="eastAsia" w:ascii="宋体" w:hAnsi="宋体"/>
                <w:szCs w:val="21"/>
              </w:rPr>
              <w:t>⑥　施工单位自行勘察现场情况，涉及二次搬运、垂直运输费、重复搬运等措施，都列入投标报价内,结算不再调整。</w:t>
            </w:r>
          </w:p>
          <w:p w14:paraId="29782733">
            <w:pPr>
              <w:spacing w:line="420" w:lineRule="exact"/>
              <w:ind w:firstLine="465"/>
              <w:rPr>
                <w:szCs w:val="21"/>
              </w:rPr>
            </w:pPr>
            <w:r>
              <w:rPr>
                <w:rFonts w:hint="eastAsia" w:ascii="宋体" w:hAnsi="宋体"/>
                <w:szCs w:val="21"/>
              </w:rPr>
              <w:t>⑦工程不得采用粘土砖，砌砖采用非粘土砖，因选择不同的非粘土砖而产生的价差，报价后不再调整。</w:t>
            </w:r>
          </w:p>
          <w:p w14:paraId="068DCABE">
            <w:pPr>
              <w:spacing w:line="420" w:lineRule="exact"/>
              <w:ind w:firstLine="465"/>
              <w:rPr>
                <w:rFonts w:ascii="宋体" w:hAnsi="宋体"/>
                <w:szCs w:val="21"/>
              </w:rPr>
            </w:pPr>
            <w:r>
              <w:rPr>
                <w:rFonts w:hint="eastAsia" w:ascii="宋体" w:hAnsi="宋体"/>
                <w:szCs w:val="21"/>
              </w:rPr>
              <w:t>6）施工时满足环境保护要求，安全文明施工符合相关部门要求。充分考虑扬尘、淤泥、建筑垃圾、生活垃圾、杂填土弃运方式、交通路线及堆放场地等。</w:t>
            </w:r>
          </w:p>
          <w:p w14:paraId="6B3737D4">
            <w:pPr>
              <w:autoSpaceDE w:val="0"/>
              <w:autoSpaceDN w:val="0"/>
              <w:adjustRightInd w:val="0"/>
              <w:spacing w:line="420" w:lineRule="exact"/>
              <w:ind w:firstLine="420"/>
              <w:jc w:val="left"/>
              <w:rPr>
                <w:rFonts w:ascii="宋体" w:hAnsi="宋体"/>
                <w:szCs w:val="21"/>
              </w:rPr>
            </w:pPr>
            <w:r>
              <w:rPr>
                <w:rFonts w:hint="eastAsia" w:ascii="宋体" w:hAnsi="宋体"/>
                <w:szCs w:val="21"/>
              </w:rPr>
              <w:t>7）充分考虑汛期前后施工的各种因素。包含汛期前的临时河道施工、排水、围堰、机械进退场及汛期后的排水、围堰、机械进退场等费用。</w:t>
            </w:r>
          </w:p>
          <w:p w14:paraId="67A3AA1F">
            <w:pPr>
              <w:autoSpaceDE w:val="0"/>
              <w:autoSpaceDN w:val="0"/>
              <w:adjustRightInd w:val="0"/>
              <w:spacing w:line="420" w:lineRule="exact"/>
              <w:jc w:val="left"/>
              <w:rPr>
                <w:rFonts w:ascii="宋体" w:hAnsi="宋体"/>
                <w:szCs w:val="21"/>
              </w:rPr>
            </w:pPr>
            <w:r>
              <w:rPr>
                <w:rFonts w:hint="eastAsia" w:ascii="宋体" w:hAnsi="宋体" w:cs="宋体"/>
                <w:b/>
                <w:kern w:val="0"/>
                <w:szCs w:val="21"/>
              </w:rPr>
              <w:t>五、招标人自行采购材料名称、规格、型号及招标人暂列金额</w:t>
            </w:r>
          </w:p>
          <w:p w14:paraId="3BB5A70C">
            <w:pPr>
              <w:autoSpaceDE w:val="0"/>
              <w:autoSpaceDN w:val="0"/>
              <w:adjustRightInd w:val="0"/>
              <w:snapToGrid w:val="0"/>
              <w:spacing w:line="420" w:lineRule="exact"/>
              <w:ind w:left="-19" w:leftChars="-9" w:firstLine="420" w:firstLineChars="200"/>
              <w:rPr>
                <w:szCs w:val="21"/>
              </w:rPr>
            </w:pPr>
            <w:r>
              <w:rPr>
                <w:szCs w:val="21"/>
              </w:rPr>
              <w:t>1)</w:t>
            </w:r>
            <w:r>
              <w:rPr>
                <w:rFonts w:hint="eastAsia"/>
                <w:szCs w:val="21"/>
              </w:rPr>
              <w:t>暂列金额：预留金：</w:t>
            </w:r>
            <w:r>
              <w:rPr>
                <w:rFonts w:hint="eastAsia"/>
                <w:szCs w:val="21"/>
                <w:lang w:val="en-US" w:eastAsia="zh-CN"/>
              </w:rPr>
              <w:t>0元（含税）</w:t>
            </w:r>
            <w:r>
              <w:rPr>
                <w:rFonts w:hint="eastAsia"/>
                <w:szCs w:val="21"/>
              </w:rPr>
              <w:t>。</w:t>
            </w:r>
          </w:p>
          <w:p w14:paraId="0425A9AE">
            <w:pPr>
              <w:spacing w:line="420" w:lineRule="exact"/>
              <w:rPr>
                <w:rFonts w:ascii="宋体" w:hAnsi="宋体" w:cs="宋体"/>
                <w:b/>
                <w:kern w:val="0"/>
                <w:szCs w:val="21"/>
              </w:rPr>
            </w:pPr>
            <w:r>
              <w:rPr>
                <w:rFonts w:hint="eastAsia" w:ascii="宋体" w:hAnsi="宋体" w:cs="宋体"/>
                <w:b/>
                <w:kern w:val="0"/>
                <w:szCs w:val="21"/>
              </w:rPr>
              <w:t>六、其他需说明的问题：</w:t>
            </w:r>
          </w:p>
          <w:p w14:paraId="15C29A98">
            <w:pPr>
              <w:spacing w:line="420" w:lineRule="exact"/>
              <w:ind w:firstLine="465"/>
              <w:rPr>
                <w:szCs w:val="21"/>
              </w:rPr>
            </w:pPr>
            <w:r>
              <w:rPr>
                <w:rFonts w:hint="eastAsia"/>
                <w:szCs w:val="21"/>
              </w:rPr>
              <w:t>1)投标人在编制报价文件时发现本清单说明部分内容与招标文件有矛盾时，投标人应提供书面答疑，要求书面澄清，若答疑阶段已过时发现，则以招标文件为准。清单项目特征只对工程项目的主要内容和工序做简要描述，不能详尽招标施工图中的每项说明与内容，如投标人未提供书面答疑，视为完成招标施工图中所有工作所需的费用均已包含在投标报价中。</w:t>
            </w:r>
          </w:p>
          <w:p w14:paraId="50657426">
            <w:pPr>
              <w:spacing w:line="420" w:lineRule="exact"/>
              <w:ind w:firstLine="465"/>
              <w:rPr>
                <w:szCs w:val="21"/>
              </w:rPr>
            </w:pPr>
            <w:r>
              <w:rPr>
                <w:rFonts w:hint="eastAsia"/>
                <w:szCs w:val="21"/>
              </w:rPr>
              <w:t>2)工程量清单及其计价格式中的任何内容不得随意删改。投标报价时，单位汇总表的格式应严格按照清单给出的格式进行报价。本工程量清单应与投标须知、合同条件、合同协议条款、工程范围一起使用，本工程量清单凡未能注明或表达不清的项目按设计图纸及相关规范施工并报价。</w:t>
            </w:r>
          </w:p>
          <w:p w14:paraId="556B3901">
            <w:pPr>
              <w:spacing w:line="420" w:lineRule="exact"/>
              <w:ind w:firstLine="465"/>
              <w:rPr>
                <w:szCs w:val="21"/>
              </w:rPr>
            </w:pPr>
            <w:r>
              <w:rPr>
                <w:rFonts w:hint="eastAsia"/>
                <w:szCs w:val="21"/>
              </w:rPr>
              <w:t>3)《建设工程工程量清单计价规范》中列举了各清单项目编码应有的工作内容，如无特殊说明，该工作内容即为工程量清单的工作内容，所有的工作内容所需费用均应包括在投标报价的综合单价内。</w:t>
            </w:r>
          </w:p>
          <w:p w14:paraId="1AE42D42">
            <w:pPr>
              <w:spacing w:line="420" w:lineRule="exact"/>
              <w:ind w:firstLine="465"/>
              <w:rPr>
                <w:szCs w:val="21"/>
              </w:rPr>
            </w:pPr>
            <w:r>
              <w:rPr>
                <w:rFonts w:hint="eastAsia"/>
                <w:szCs w:val="21"/>
              </w:rPr>
              <w:t>4</w:t>
            </w:r>
            <w:r>
              <w:rPr>
                <w:szCs w:val="21"/>
              </w:rPr>
              <w:t>)</w:t>
            </w:r>
            <w:r>
              <w:rPr>
                <w:rFonts w:hint="eastAsia"/>
                <w:szCs w:val="21"/>
              </w:rPr>
              <w:t>本清单所列工程数量是根据未经会审的图纸或现行情况估算和暂定的，仅作为投标的共同基础，不能作为最终结算与支付的依据。结算与支付应以工程量清单计价规范或监理工程师认可的尺寸断面或其他计量方法进行计量，经监理工程师确认，最终按工程量清单单价进行结算与支付。工程量清单所列工程量的变动，丝毫不会降低或影响合同条件的效力，也不免除承包商按规定的标准进行施工和修复缺陷的责任。</w:t>
            </w:r>
          </w:p>
          <w:p w14:paraId="26B02DC2">
            <w:pPr>
              <w:spacing w:line="420" w:lineRule="exact"/>
              <w:ind w:firstLine="465"/>
              <w:rPr>
                <w:szCs w:val="21"/>
              </w:rPr>
            </w:pPr>
            <w:r>
              <w:rPr>
                <w:rFonts w:hint="eastAsia"/>
                <w:szCs w:val="21"/>
              </w:rPr>
              <w:t>5）投标人的投标报价中，要充分考虑临时设施的费用，报价中必须考虑应满足实现“标准化施工现场和规范化施工作业”的现场管理、标准化施工现场的要求。本工程临时设施费</w:t>
            </w:r>
            <w:r>
              <w:rPr>
                <w:rFonts w:hint="eastAsia"/>
                <w:szCs w:val="21"/>
                <w:lang w:eastAsia="zh-CN"/>
              </w:rPr>
              <w:t>（</w:t>
            </w:r>
            <w:r>
              <w:rPr>
                <w:rFonts w:hint="eastAsia"/>
                <w:szCs w:val="21"/>
                <w:lang w:val="en-US" w:eastAsia="zh-CN"/>
              </w:rPr>
              <w:t>包括临时便道等</w:t>
            </w:r>
            <w:r>
              <w:rPr>
                <w:rFonts w:hint="eastAsia"/>
                <w:szCs w:val="21"/>
                <w:lang w:eastAsia="zh-CN"/>
              </w:rPr>
              <w:t>）</w:t>
            </w:r>
            <w:r>
              <w:rPr>
                <w:rFonts w:hint="eastAsia"/>
                <w:szCs w:val="21"/>
              </w:rPr>
              <w:t>在招标控制价中已充分考虑，投标人应当合理估算后进行计取费率报价，若中标后因该项费用不足则视为含在投标报价中不再进行调整。</w:t>
            </w:r>
          </w:p>
          <w:p w14:paraId="652DBAAE">
            <w:pPr>
              <w:spacing w:line="420" w:lineRule="exact"/>
              <w:ind w:firstLine="465"/>
              <w:rPr>
                <w:szCs w:val="21"/>
              </w:rPr>
            </w:pPr>
            <w:r>
              <w:rPr>
                <w:rFonts w:hint="eastAsia"/>
                <w:szCs w:val="21"/>
                <w:lang w:val="en-US" w:eastAsia="zh-CN"/>
              </w:rPr>
              <w:t>6</w:t>
            </w:r>
            <w:r>
              <w:rPr>
                <w:szCs w:val="21"/>
              </w:rPr>
              <w:t>)</w:t>
            </w:r>
            <w:r>
              <w:rPr>
                <w:rFonts w:hint="eastAsia"/>
                <w:szCs w:val="21"/>
              </w:rPr>
              <w:t>投标人可根据施工组织设计采取的方案相应增加措施项目。设计图纸提供的施工方案仅为参考方案，投标人在报价时应结合本单位的具体情况，充分考虑各自实际的施工组织设计、施工方案及技术措施，据实报价，一旦中标，除非设计图纸发生重大变更导致施工方案变化，投标报价的措施项目均不再调整，因现场实际方案与投标报价时方案不一致引起的措施项目改变，也不再另计。结算时本清单列出的措施项目按《建设工程工程量清单计价规范》GB50500-2013之规定执行；投标人投标时增加的措施项目按项计量，其费用包干使用，结算时不再另行调整。单价措施项目中按项计量的由投标单位综合考虑并将其费用报入该项费用中，其费用包干使用，结算时不再另行调整。</w:t>
            </w:r>
          </w:p>
          <w:p w14:paraId="54055D1E">
            <w:pPr>
              <w:spacing w:line="420" w:lineRule="exact"/>
              <w:ind w:firstLine="465"/>
              <w:rPr>
                <w:szCs w:val="21"/>
              </w:rPr>
            </w:pPr>
            <w:r>
              <w:rPr>
                <w:rFonts w:hint="eastAsia"/>
                <w:szCs w:val="21"/>
                <w:lang w:val="en-US" w:eastAsia="zh-CN"/>
              </w:rPr>
              <w:t>7</w:t>
            </w:r>
            <w:r>
              <w:rPr>
                <w:szCs w:val="21"/>
              </w:rPr>
              <w:t>)</w:t>
            </w:r>
            <w:r>
              <w:rPr>
                <w:rFonts w:hint="eastAsia"/>
                <w:szCs w:val="21"/>
              </w:rPr>
              <w:t>清单项目是施工工序的综合，招标人按规范编制的综合工序可能和设计图纸提供的“工程数量表”的计量单位及工序划分不一样，投标人应根据清单要求及《清单计价指引》规定的工程内容计算各项费用，计算施工工序数量应以设计图示（断面）尺寸为依据，设计图上所示的单位工程数量的含量只是参考。业主不承担由于设计图上提供的分项或分部工程量表缺陷而造成的各项索赔。</w:t>
            </w:r>
          </w:p>
          <w:p w14:paraId="0115B2BB">
            <w:pPr>
              <w:spacing w:line="420" w:lineRule="exact"/>
              <w:ind w:firstLine="465"/>
              <w:rPr>
                <w:szCs w:val="21"/>
              </w:rPr>
            </w:pPr>
            <w:r>
              <w:rPr>
                <w:rFonts w:hint="eastAsia"/>
                <w:szCs w:val="21"/>
                <w:lang w:val="en-US" w:eastAsia="zh-CN"/>
              </w:rPr>
              <w:t>8</w:t>
            </w:r>
            <w:r>
              <w:rPr>
                <w:rFonts w:hint="eastAsia"/>
                <w:szCs w:val="21"/>
              </w:rPr>
              <w:t>）招标文件所提供的工程量清单是按照 GB50500—2013《建设工程工程量清单计价规范》、《关于转发〈关于〈建设工程工程量清单计价规范〉（GB50500—2013）的贯彻意见〉及〈关于颁发〈江苏省建设工程费用定额〉的通知〉的通知》规定和施工图设计计算确定。对于工程量清单中未能提供齐全，而本招标文件中所确定的招标范围和提供的全套设计图中己明确包含的工程内容，投标人可以按统一的工程量计算规则计算后，在发标后3天内以书面形式提供给招标人，招标人在收到书面资料后2天内将可以增列的项目或修改的数量作为招标文件修改以书面形式通知投标人。但是不论工程量清单数量与设计图数量是否一致，投标人只能以招标人发放的工程量清单及修改文件进行投标报价。</w:t>
            </w:r>
          </w:p>
          <w:p w14:paraId="344BB2DB">
            <w:pPr>
              <w:spacing w:line="420" w:lineRule="exact"/>
              <w:ind w:firstLine="465"/>
              <w:rPr>
                <w:szCs w:val="21"/>
              </w:rPr>
            </w:pPr>
            <w:r>
              <w:rPr>
                <w:rFonts w:hint="eastAsia"/>
                <w:szCs w:val="21"/>
                <w:lang w:val="en-US" w:eastAsia="zh-CN"/>
              </w:rPr>
              <w:t>9</w:t>
            </w:r>
            <w:r>
              <w:rPr>
                <w:rFonts w:hint="eastAsia"/>
                <w:szCs w:val="21"/>
              </w:rPr>
              <w:t>）除非招标人对招标文件予以修改，投标人应按招标人提供的工程量清单及其计价格式，填报单价和合价。投标人未填单价或合价的工程项目，视为该项费用已包括在其他有价款的单价或合价内，在实施后，招标人将不另行支付。如设计图提供的工程量与招标人提供的工程量清单中的数量不一致时，量差部份的计价在合同中约定。每一项目只允许有一个报价。任何有选择的报价将不予接受。</w:t>
            </w:r>
          </w:p>
          <w:p w14:paraId="72816A33">
            <w:pPr>
              <w:spacing w:line="420" w:lineRule="exact"/>
              <w:ind w:firstLine="465"/>
              <w:rPr>
                <w:szCs w:val="21"/>
              </w:rPr>
            </w:pPr>
            <w:r>
              <w:rPr>
                <w:rFonts w:hint="eastAsia"/>
                <w:szCs w:val="21"/>
                <w:lang w:val="en-US" w:eastAsia="zh-CN"/>
              </w:rPr>
              <w:t>10</w:t>
            </w:r>
            <w:r>
              <w:rPr>
                <w:rFonts w:hint="eastAsia"/>
                <w:szCs w:val="21"/>
              </w:rPr>
              <w:t>）投标人可先到工地踏勘以充分了解工地位置、交通、情况、道路、储存空间、装卸限制及任何其他足以影响承包价的情况，任何因忽视或误解工地情况而导致的索赔或工期延长申请将不被批准。</w:t>
            </w:r>
          </w:p>
          <w:p w14:paraId="33B8CF5D">
            <w:pPr>
              <w:spacing w:line="420" w:lineRule="exact"/>
              <w:ind w:firstLine="465"/>
              <w:rPr>
                <w:szCs w:val="21"/>
              </w:rPr>
            </w:pPr>
            <w:r>
              <w:rPr>
                <w:rFonts w:hint="eastAsia"/>
                <w:szCs w:val="21"/>
                <w:lang w:val="en-US" w:eastAsia="zh-CN"/>
              </w:rPr>
              <w:t>11</w:t>
            </w:r>
            <w:r>
              <w:rPr>
                <w:rFonts w:hint="eastAsia"/>
                <w:szCs w:val="21"/>
              </w:rPr>
              <w:t>）投标人应结合本企业的技术水平，管理水平和拟定的施工方案自主报价，人工、材料、机械台班单价，管理费、利润、措施费都可以自主确定。消耗用量也可适当调整，但定额编号、子目工作内容、工程量计算规则、措施费划分以及规费、税金的计取应按规定执行。</w:t>
            </w:r>
          </w:p>
          <w:p w14:paraId="191ED30B">
            <w:pPr>
              <w:spacing w:line="420" w:lineRule="exact"/>
              <w:ind w:firstLine="465"/>
              <w:rPr>
                <w:szCs w:val="21"/>
              </w:rPr>
            </w:pPr>
            <w:r>
              <w:rPr>
                <w:rFonts w:hint="eastAsia"/>
                <w:szCs w:val="21"/>
                <w:lang w:val="en-US" w:eastAsia="zh-CN"/>
              </w:rPr>
              <w:t>12</w:t>
            </w:r>
            <w:r>
              <w:rPr>
                <w:rFonts w:hint="eastAsia"/>
                <w:szCs w:val="21"/>
              </w:rPr>
              <w:t>）各种材料的价格当招标人未提供市场价格或限定价格时，由投标人自行进行市场调查后决定报价，但各投标人应充分考虑在工程建设周期内工、料、机等市场价格的波动风险，并根据本招标文件合同条款的风险约定将认为合适的风险费用计列在内，凡未列的，将视为风险费用已包含在报价之中，中标后在约定的风险包干范围内，报价不作调整。</w:t>
            </w:r>
          </w:p>
          <w:p w14:paraId="58147C92">
            <w:pPr>
              <w:spacing w:line="420" w:lineRule="exact"/>
              <w:ind w:firstLine="465"/>
              <w:rPr>
                <w:szCs w:val="21"/>
              </w:rPr>
            </w:pPr>
            <w:r>
              <w:rPr>
                <w:rFonts w:hint="eastAsia"/>
                <w:szCs w:val="21"/>
                <w:lang w:val="en-US" w:eastAsia="zh-CN"/>
              </w:rPr>
              <w:t>13</w:t>
            </w:r>
            <w:r>
              <w:rPr>
                <w:rFonts w:hint="eastAsia"/>
                <w:szCs w:val="21"/>
              </w:rPr>
              <w:t>）设计单位在设计文件中所介绍的施工方案仅作参考，投标人应根据施工现场的实际情况、本招标文件中载明的施工组织要求、现场的交通管制条件、文明施工要求和各自的施工经验确定合理的施工组织方案，自主合理报价。各投标人应认真踏勘现场，充分考虑临时用地（发包人即招标人无偿提供定点线内土地可供临时使用）、临时通道、临时排水、临时路灯、居民、村民和沿线企事业单位出入临时通道、来自周围居民村民可能产生的干扰以及配合规划管线施工或因维护交通或因安排夜间施工使工效受到影响等因素，并对工程车辆行驶线路认真踏勘，预计可能发生的费用，以及借道村、镇道路须发生修复费用的，均可列入。凡未列的一旦发生，由中标人自理。</w:t>
            </w:r>
          </w:p>
          <w:p w14:paraId="3B00354E">
            <w:pPr>
              <w:adjustRightInd w:val="0"/>
              <w:snapToGrid w:val="0"/>
              <w:spacing w:line="420" w:lineRule="exact"/>
              <w:ind w:firstLine="420" w:firstLineChars="200"/>
              <w:rPr>
                <w:szCs w:val="21"/>
              </w:rPr>
            </w:pPr>
            <w:r>
              <w:rPr>
                <w:rFonts w:hint="eastAsia"/>
                <w:szCs w:val="21"/>
                <w:lang w:val="en-US" w:eastAsia="zh-CN"/>
              </w:rPr>
              <w:t>14</w:t>
            </w:r>
            <w:r>
              <w:rPr>
                <w:rFonts w:hint="eastAsia"/>
                <w:szCs w:val="21"/>
              </w:rPr>
              <w:t>）本工程在实施过程中必须保证原有道路的交通运行能力，为保证公共交通而实施的交通组织需向招标人提前提出申请并制定详细的交通组织实施方案，经招标人批准后方可实施。围挡与文明施工按照锡建质安（2020）24号《关于落实建筑工地围挡整治提升工作的通知》执行。本工程临时围挡形式受工程具体条件和交通方案限制，清单按项包干，围挡设置长度按设计图纸暂估。投标人要综合考虑交通围挡的安全性、稳定性、美观要求，版面需设安全指示、宣传标语或公益广告，且满足招标人全线围挡统一设置的要求等因素进行综合报价，报价后不得以任何理由变更围挡总价。</w:t>
            </w:r>
          </w:p>
          <w:p w14:paraId="24D1F9D5">
            <w:pPr>
              <w:adjustRightInd w:val="0"/>
              <w:snapToGrid w:val="0"/>
              <w:spacing w:line="420" w:lineRule="exact"/>
              <w:ind w:firstLine="420" w:firstLineChars="200"/>
              <w:rPr>
                <w:szCs w:val="21"/>
              </w:rPr>
            </w:pPr>
            <w:r>
              <w:rPr>
                <w:rFonts w:hint="eastAsia"/>
                <w:szCs w:val="21"/>
                <w:lang w:val="en-US" w:eastAsia="zh-CN"/>
              </w:rPr>
              <w:t>15</w:t>
            </w:r>
            <w:r>
              <w:rPr>
                <w:rFonts w:hint="eastAsia"/>
                <w:szCs w:val="21"/>
              </w:rPr>
              <w:t>）投标报价应考虑的其他事项：</w:t>
            </w:r>
          </w:p>
          <w:p w14:paraId="4DF97DEC">
            <w:pPr>
              <w:spacing w:line="420" w:lineRule="exact"/>
              <w:ind w:firstLine="465"/>
              <w:rPr>
                <w:szCs w:val="21"/>
              </w:rPr>
            </w:pPr>
            <w:r>
              <w:rPr>
                <w:rFonts w:hint="eastAsia"/>
                <w:szCs w:val="21"/>
              </w:rPr>
              <w:t>（1）</w:t>
            </w:r>
            <w:r>
              <w:rPr>
                <w:rFonts w:hint="eastAsia"/>
                <w:szCs w:val="21"/>
                <w:lang w:val="en-US" w:eastAsia="zh-CN"/>
              </w:rPr>
              <w:t>行车行人干扰费自行考虑</w:t>
            </w:r>
            <w:r>
              <w:rPr>
                <w:rFonts w:hint="eastAsia"/>
                <w:szCs w:val="21"/>
              </w:rPr>
              <w:t>。</w:t>
            </w:r>
          </w:p>
          <w:p w14:paraId="34366D71">
            <w:pPr>
              <w:spacing w:line="420" w:lineRule="exact"/>
              <w:ind w:firstLine="465"/>
              <w:rPr>
                <w:szCs w:val="21"/>
              </w:rPr>
            </w:pPr>
            <w:r>
              <w:rPr>
                <w:rFonts w:hint="eastAsia"/>
                <w:szCs w:val="21"/>
              </w:rPr>
              <w:t>（</w:t>
            </w:r>
            <w:r>
              <w:rPr>
                <w:szCs w:val="21"/>
              </w:rPr>
              <w:t>2</w:t>
            </w:r>
            <w:r>
              <w:rPr>
                <w:rFonts w:hint="eastAsia"/>
                <w:szCs w:val="21"/>
              </w:rPr>
              <w:t>）投标人在投标前应仔细阅读工程地质报告及根据现场条件，在投标费用中应考虑地下水位高、埋深较大引起的支护、止水、降水等相关施工费用，管道回填应按达到回填技术要求的回填材料进行报价。</w:t>
            </w:r>
          </w:p>
          <w:p w14:paraId="0FE9DFCE">
            <w:pPr>
              <w:spacing w:line="420" w:lineRule="exact"/>
              <w:ind w:firstLine="465"/>
              <w:rPr>
                <w:szCs w:val="21"/>
              </w:rPr>
            </w:pPr>
            <w:r>
              <w:rPr>
                <w:rFonts w:hint="eastAsia"/>
                <w:szCs w:val="21"/>
              </w:rPr>
              <w:t>（</w:t>
            </w:r>
            <w:r>
              <w:rPr>
                <w:szCs w:val="21"/>
              </w:rPr>
              <w:t>3</w:t>
            </w:r>
            <w:r>
              <w:rPr>
                <w:rFonts w:hint="eastAsia"/>
                <w:szCs w:val="21"/>
              </w:rPr>
              <w:t>）</w:t>
            </w:r>
            <w:r>
              <w:rPr>
                <w:rFonts w:hint="eastAsia"/>
                <w:szCs w:val="21"/>
                <w:lang w:val="en-US" w:eastAsia="zh-CN"/>
              </w:rPr>
              <w:t>交通组织维护费用自行考虑</w:t>
            </w:r>
            <w:r>
              <w:rPr>
                <w:rFonts w:hint="eastAsia"/>
                <w:szCs w:val="21"/>
              </w:rPr>
              <w:t>。</w:t>
            </w:r>
          </w:p>
          <w:p w14:paraId="08F2C584">
            <w:pPr>
              <w:spacing w:line="420" w:lineRule="exact"/>
              <w:ind w:firstLine="465"/>
              <w:rPr>
                <w:szCs w:val="21"/>
              </w:rPr>
            </w:pPr>
            <w:r>
              <w:rPr>
                <w:rFonts w:hint="eastAsia"/>
                <w:szCs w:val="21"/>
              </w:rPr>
              <w:t>（4）投标人自行充分考虑桥梁施工的措施方案（如围堰设置）的可行性，应将预计可能发生的所有费用（如水利部门有关河流通航等、河道不断流、雨季排水要求、桥位范围和围堰范围内的清淤）在措施项目中报价，在没有特殊情况下，结算时不得调整投标报价。</w:t>
            </w:r>
          </w:p>
          <w:p w14:paraId="22B32FD7">
            <w:pPr>
              <w:spacing w:line="420" w:lineRule="exact"/>
              <w:ind w:firstLine="465"/>
              <w:rPr>
                <w:szCs w:val="21"/>
              </w:rPr>
            </w:pPr>
            <w:r>
              <w:rPr>
                <w:rFonts w:hint="eastAsia"/>
                <w:szCs w:val="21"/>
              </w:rPr>
              <w:t>（</w:t>
            </w:r>
            <w:r>
              <w:rPr>
                <w:szCs w:val="21"/>
              </w:rPr>
              <w:t>5</w:t>
            </w:r>
            <w:r>
              <w:rPr>
                <w:rFonts w:hint="eastAsia"/>
                <w:szCs w:val="21"/>
              </w:rPr>
              <w:t>）依据建设工程工程量清单计价规范及江苏省相关资料，模板列入分部分项综合单价中。本清单现浇混凝土、预制混凝土构件工程的模板已包含在相应的混凝土的项目中，故不在“措施项目”中另列，无论清单项目的项目特征是否描述含模板费用该项费用均不再另行计量。预制构件由投标人考虑自行预制还是购买符合设计要求的成品，投标人应当将购买成品或预制所需的所有相关费用考虑在投标报价。</w:t>
            </w:r>
          </w:p>
          <w:p w14:paraId="448BDC31">
            <w:pPr>
              <w:spacing w:line="420" w:lineRule="exact"/>
              <w:ind w:firstLine="465"/>
              <w:rPr>
                <w:szCs w:val="21"/>
              </w:rPr>
            </w:pPr>
            <w:r>
              <w:rPr>
                <w:rFonts w:hint="eastAsia"/>
                <w:szCs w:val="21"/>
              </w:rPr>
              <w:t>（</w:t>
            </w:r>
            <w:r>
              <w:rPr>
                <w:szCs w:val="21"/>
              </w:rPr>
              <w:t>6</w:t>
            </w:r>
            <w:r>
              <w:rPr>
                <w:rFonts w:hint="eastAsia"/>
                <w:szCs w:val="21"/>
              </w:rPr>
              <w:t>）中标人应负责做好施工场地周围地下管线和邻近建筑物、构筑物（含文物保护建筑）、古树名木的保护工作，并将可能发生的费用列入投标报价。</w:t>
            </w:r>
          </w:p>
          <w:p w14:paraId="73289B69">
            <w:pPr>
              <w:spacing w:line="420" w:lineRule="exact"/>
              <w:ind w:firstLine="465"/>
              <w:rPr>
                <w:szCs w:val="21"/>
              </w:rPr>
            </w:pPr>
            <w:r>
              <w:rPr>
                <w:rFonts w:hint="eastAsia"/>
                <w:szCs w:val="21"/>
              </w:rPr>
              <w:t>（</w:t>
            </w:r>
            <w:r>
              <w:rPr>
                <w:szCs w:val="21"/>
              </w:rPr>
              <w:t>7</w:t>
            </w:r>
            <w:r>
              <w:rPr>
                <w:rFonts w:hint="eastAsia"/>
                <w:szCs w:val="21"/>
              </w:rPr>
              <w:t>）自进场之日起，中标人应全面负责照管、维护本工程和用于本工程的材料、设备以及工地范围内既有市政设施，直至工程竣工验收通过，移交手续完备。照管期间，如发生损失，应由中标人自理。为进一步落实工地的安全文明措施，避免遭受意外毁损或盗窃，造成不必要的人身伤害与财产损失，中标人应与工程所在地公安部门办理工地治安、管理手续并支付相应费用。</w:t>
            </w:r>
          </w:p>
          <w:p w14:paraId="4215E5D8">
            <w:pPr>
              <w:spacing w:line="420" w:lineRule="exact"/>
              <w:ind w:firstLine="465"/>
              <w:rPr>
                <w:szCs w:val="21"/>
              </w:rPr>
            </w:pPr>
            <w:r>
              <w:rPr>
                <w:rFonts w:hint="eastAsia"/>
                <w:szCs w:val="21"/>
              </w:rPr>
              <w:t>（</w:t>
            </w:r>
            <w:r>
              <w:rPr>
                <w:szCs w:val="21"/>
              </w:rPr>
              <w:t>8</w:t>
            </w:r>
            <w:r>
              <w:rPr>
                <w:rFonts w:hint="eastAsia"/>
                <w:szCs w:val="21"/>
              </w:rPr>
              <w:t>）发包人（招标人）不提供超出定点线外的临时用地。若另需租用土地，费用视为已纳入合适的报价项目中。</w:t>
            </w:r>
          </w:p>
          <w:p w14:paraId="026F9B21">
            <w:pPr>
              <w:spacing w:line="420" w:lineRule="exact"/>
              <w:ind w:firstLine="465"/>
              <w:rPr>
                <w:szCs w:val="21"/>
              </w:rPr>
            </w:pPr>
            <w:r>
              <w:rPr>
                <w:rFonts w:hint="eastAsia"/>
                <w:szCs w:val="21"/>
              </w:rPr>
              <w:t>（</w:t>
            </w:r>
            <w:r>
              <w:rPr>
                <w:szCs w:val="21"/>
              </w:rPr>
              <w:t>9</w:t>
            </w:r>
            <w:r>
              <w:rPr>
                <w:rFonts w:hint="eastAsia"/>
                <w:szCs w:val="21"/>
              </w:rPr>
              <w:t>）施工过程中涉及的陆上、水上与交通、路政、航道、海事、水利等部门的申请事项由中标人负责提出并落实，所需费用由发包人（招标人）承担，押金或保证金等临时性费用由中标人承担。</w:t>
            </w:r>
          </w:p>
          <w:p w14:paraId="4A7133CB">
            <w:pPr>
              <w:spacing w:line="420" w:lineRule="exact"/>
              <w:ind w:firstLine="465"/>
              <w:rPr>
                <w:szCs w:val="21"/>
              </w:rPr>
            </w:pPr>
            <w:r>
              <w:rPr>
                <w:rFonts w:hint="eastAsia"/>
                <w:szCs w:val="21"/>
              </w:rPr>
              <w:t>（</w:t>
            </w:r>
            <w:r>
              <w:rPr>
                <w:szCs w:val="21"/>
              </w:rPr>
              <w:t>10</w:t>
            </w:r>
            <w:r>
              <w:rPr>
                <w:rFonts w:hint="eastAsia"/>
                <w:szCs w:val="21"/>
              </w:rPr>
              <w:t>）投标人应将对施工影响范围内既有公用管线的防护费用纳入投标报价中，未将防护费纳入报价的，视为已包括在报价清单的其他子目和总价之中。中标人在进场后，应委派专人成立污水、自来水、燃气、强电、弱电等公用管线的保护小组，及时联系公用管线产权单位（管养单位）对全线范围内的各种管线、杆线进行现场交底，制定详细的保护方案，每日不间断现场巡视，确保各公用管线顺利迁移（需要时）和正常运行，直至工程交工。若工程施工期间有公用管线因保护不力导致损毁、影响常运行的，无论是否为中标人自身施工行为所致，管线恢复及停运损失费用概由中标人承担（中标人当场查获造成损坏的责任人，责任人确认无误的，可由责任人承担），并视情节轻重和有关规定对中标人罚款，该项罚款发包人（招标人）将直接从中标人出具的履约保函的担保额中一次性扣除。</w:t>
            </w:r>
          </w:p>
          <w:p w14:paraId="1D774EDD">
            <w:pPr>
              <w:spacing w:line="420" w:lineRule="exact"/>
              <w:ind w:firstLine="465"/>
              <w:rPr>
                <w:szCs w:val="21"/>
              </w:rPr>
            </w:pPr>
            <w:r>
              <w:rPr>
                <w:rFonts w:hint="eastAsia"/>
                <w:szCs w:val="21"/>
              </w:rPr>
              <w:t>（</w:t>
            </w:r>
            <w:r>
              <w:rPr>
                <w:szCs w:val="21"/>
              </w:rPr>
              <w:t>11</w:t>
            </w:r>
            <w:r>
              <w:rPr>
                <w:rFonts w:hint="eastAsia"/>
                <w:szCs w:val="21"/>
              </w:rPr>
              <w:t>）对于施工过程中出现的工程渣土、建筑、装修垃圾等，投标人应优先考虑采用湿化装卸，使用符合密闭条件的工具，按照核定载重量，在指定的时间、线路行驶，由此增加的费用投标人应考虑在报价中。</w:t>
            </w:r>
          </w:p>
          <w:p w14:paraId="16A648A5">
            <w:pPr>
              <w:spacing w:line="420" w:lineRule="exact"/>
              <w:ind w:firstLine="465"/>
              <w:rPr>
                <w:szCs w:val="21"/>
              </w:rPr>
            </w:pPr>
            <w:r>
              <w:rPr>
                <w:rFonts w:hint="eastAsia"/>
                <w:szCs w:val="21"/>
              </w:rPr>
              <w:t>（</w:t>
            </w:r>
            <w:r>
              <w:rPr>
                <w:szCs w:val="21"/>
              </w:rPr>
              <w:t>12</w:t>
            </w:r>
            <w:r>
              <w:rPr>
                <w:rFonts w:hint="eastAsia"/>
                <w:szCs w:val="21"/>
              </w:rPr>
              <w:t>）施工临时用电、用水由中标人自行解决，发生的申请和使用费用全部纳入投标报价。如有需要，发包人可协助中标人办理相关申请手续。</w:t>
            </w:r>
          </w:p>
          <w:p w14:paraId="7750C501">
            <w:pPr>
              <w:spacing w:line="420" w:lineRule="exact"/>
              <w:ind w:firstLine="465"/>
              <w:rPr>
                <w:b/>
                <w:szCs w:val="21"/>
              </w:rPr>
            </w:pPr>
            <w:r>
              <w:rPr>
                <w:rFonts w:hint="eastAsia"/>
                <w:szCs w:val="21"/>
              </w:rPr>
              <w:t>（</w:t>
            </w:r>
            <w:r>
              <w:rPr>
                <w:szCs w:val="21"/>
              </w:rPr>
              <w:t>13</w:t>
            </w:r>
            <w:r>
              <w:rPr>
                <w:rFonts w:hint="eastAsia"/>
                <w:szCs w:val="21"/>
              </w:rPr>
              <w:t>）中标人进场后开工前必须完成对本标段原地面地形的复测工作，并报监理人、发包人抽测确认，结果作为土石方工作量的计算依据。此后，中标人负责保管工地现场，外人倾倒的建筑、生活垃圾等均由中标人清运，费用自理。</w:t>
            </w:r>
          </w:p>
          <w:p w14:paraId="220E1635">
            <w:pPr>
              <w:spacing w:line="420" w:lineRule="exact"/>
              <w:ind w:firstLine="465"/>
              <w:rPr>
                <w:szCs w:val="21"/>
              </w:rPr>
            </w:pPr>
            <w:r>
              <w:rPr>
                <w:rFonts w:hint="eastAsia"/>
                <w:szCs w:val="21"/>
              </w:rPr>
              <w:t>（</w:t>
            </w:r>
            <w:r>
              <w:rPr>
                <w:szCs w:val="21"/>
              </w:rPr>
              <w:t>14</w:t>
            </w:r>
            <w:r>
              <w:rPr>
                <w:rFonts w:hint="eastAsia"/>
                <w:szCs w:val="21"/>
              </w:rPr>
              <w:t>）特殊路段灰土处理，需要相关检测单位出具含灰量及压实度检测报告，否则不予计量。</w:t>
            </w:r>
          </w:p>
          <w:p w14:paraId="13A8690D">
            <w:pPr>
              <w:spacing w:line="420" w:lineRule="exact"/>
              <w:ind w:firstLine="465"/>
              <w:rPr>
                <w:szCs w:val="21"/>
              </w:rPr>
            </w:pPr>
            <w:r>
              <w:rPr>
                <w:rFonts w:hint="eastAsia"/>
                <w:szCs w:val="21"/>
              </w:rPr>
              <w:t>（</w:t>
            </w:r>
            <w:r>
              <w:rPr>
                <w:szCs w:val="21"/>
              </w:rPr>
              <w:t>15</w:t>
            </w:r>
            <w:r>
              <w:rPr>
                <w:rFonts w:hint="eastAsia"/>
                <w:szCs w:val="21"/>
              </w:rPr>
              <w:t>）工程实施过程中，发生的挖除不适用土、建筑垃圾、抛石挤淤、回填碎石、清除淤泥、拆除老路面、余方弃置、片石回填、建筑圬工回填、拆除项目等工程量，须经监理和业主现场签证后按实结算。施工涉及的临时便道、临时交通设施等措施性费用投标时考虑在措施项目中，结算不另计。</w:t>
            </w:r>
          </w:p>
          <w:p w14:paraId="02D82859">
            <w:pPr>
              <w:spacing w:line="420" w:lineRule="exact"/>
              <w:ind w:firstLine="465"/>
              <w:rPr>
                <w:rFonts w:hint="eastAsia"/>
                <w:szCs w:val="21"/>
                <w:lang w:val="en-US" w:eastAsia="zh-CN"/>
              </w:rPr>
            </w:pPr>
            <w:r>
              <w:rPr>
                <w:rFonts w:hint="eastAsia"/>
                <w:szCs w:val="21"/>
              </w:rPr>
              <w:t>（</w:t>
            </w:r>
            <w:r>
              <w:rPr>
                <w:szCs w:val="21"/>
              </w:rPr>
              <w:t>16</w:t>
            </w:r>
            <w:r>
              <w:rPr>
                <w:rFonts w:hint="eastAsia"/>
                <w:szCs w:val="21"/>
              </w:rPr>
              <w:t>）投标人应按照住建部建办质〔2018〕31号文关于实施《危险性较大的分部分项工程安全管理规定》有关问题的通知、〔2018〕37号令《危险性较大的分部分项工程安全管理规定》和《大型工程技术风险控制要点》等相关文件要求，并严格遵照国家现行的《建设工程安全生产管理条例》（国务院令第393号），把应由投标人承担的危险较大的风险控制的费用综合考虑在投标报价中，并实施到位。</w:t>
            </w:r>
          </w:p>
          <w:p w14:paraId="32ACD3B3">
            <w:pPr>
              <w:spacing w:line="420" w:lineRule="exact"/>
              <w:ind w:firstLine="465"/>
              <w:rPr>
                <w:rFonts w:hint="eastAsia"/>
                <w:szCs w:val="21"/>
                <w:lang w:val="en-US" w:eastAsia="zh-CN"/>
              </w:rPr>
            </w:pPr>
            <w:r>
              <w:rPr>
                <w:rFonts w:hint="eastAsia"/>
                <w:szCs w:val="21"/>
                <w:lang w:val="en-US" w:eastAsia="zh-CN"/>
              </w:rPr>
              <w:t>（17）为保证工程的施工质量和效果，业主有权要求中标单位根据现场实际情况进行项目优化的工作，特别是石材的现场测量、放样排版、对施工图中规定的模数进行优化调整等。中标单位应无条件配合，并将该部分费用涵盖在投标报价中。</w:t>
            </w:r>
          </w:p>
          <w:p w14:paraId="6934F35C">
            <w:pPr>
              <w:spacing w:line="420" w:lineRule="exact"/>
              <w:ind w:firstLine="465"/>
              <w:rPr>
                <w:rFonts w:hint="default" w:eastAsia="宋体"/>
                <w:szCs w:val="21"/>
                <w:lang w:val="en-US" w:eastAsia="zh-CN"/>
              </w:rPr>
            </w:pPr>
            <w:r>
              <w:rPr>
                <w:rFonts w:hint="eastAsia"/>
                <w:szCs w:val="21"/>
                <w:lang w:val="en-US" w:eastAsia="zh-CN"/>
              </w:rPr>
              <w:t>（18）所有石材需要六面防护，防护处理必须在加工场完成，局部弧形及镶边处经甲方及监理同意后可以现场进行防护处理。石材铺装的留缝打胶及伸缩缝的处理必须按设计施工。石材的尺寸、厚度、平整度、对角线、色差、色斑等必须符合GB/T18601-2009</w:t>
            </w:r>
            <w:r>
              <w:rPr>
                <w:szCs w:val="21"/>
              </w:rPr>
              <w:t>《</w:t>
            </w:r>
            <w:r>
              <w:rPr>
                <w:rFonts w:hint="eastAsia"/>
                <w:szCs w:val="21"/>
                <w:lang w:val="en-US" w:eastAsia="zh-CN"/>
              </w:rPr>
              <w:t>天然花岗岩石建筑板材</w:t>
            </w:r>
            <w:r>
              <w:rPr>
                <w:szCs w:val="21"/>
              </w:rPr>
              <w:t>》</w:t>
            </w:r>
            <w:r>
              <w:rPr>
                <w:rFonts w:hint="eastAsia"/>
                <w:szCs w:val="21"/>
                <w:lang w:val="en-US" w:eastAsia="zh-CN"/>
              </w:rPr>
              <w:t>的规定。</w:t>
            </w:r>
          </w:p>
          <w:p w14:paraId="21F4AED6">
            <w:pPr>
              <w:autoSpaceDE w:val="0"/>
              <w:autoSpaceDN w:val="0"/>
              <w:adjustRightInd w:val="0"/>
              <w:snapToGrid w:val="0"/>
              <w:spacing w:line="420" w:lineRule="exact"/>
              <w:ind w:left="-18"/>
              <w:rPr>
                <w:rFonts w:hint="eastAsia" w:ascii="宋体" w:hAnsi="宋体" w:cs="宋体"/>
                <w:b/>
                <w:kern w:val="0"/>
                <w:szCs w:val="21"/>
              </w:rPr>
            </w:pPr>
            <w:r>
              <w:rPr>
                <w:rFonts w:hint="eastAsia" w:ascii="宋体" w:hAnsi="宋体" w:cs="宋体"/>
                <w:b/>
                <w:kern w:val="0"/>
                <w:szCs w:val="21"/>
              </w:rPr>
              <w:t>七：投标人不得将下列不可竞争费用降低标准计取：（结算时根据有关规定按照不同类别调整）</w:t>
            </w:r>
          </w:p>
          <w:tbl>
            <w:tblPr>
              <w:tblStyle w:val="8"/>
              <w:tblpPr w:leftFromText="180" w:rightFromText="180" w:vertAnchor="text" w:horzAnchor="margin" w:tblpXSpec="center" w:tblpY="378"/>
              <w:tblOverlap w:val="never"/>
              <w:tblW w:w="5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97"/>
              <w:gridCol w:w="1329"/>
              <w:gridCol w:w="1544"/>
              <w:gridCol w:w="1241"/>
            </w:tblGrid>
            <w:tr w14:paraId="3FAF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7771501A">
                  <w:pPr>
                    <w:spacing w:line="320" w:lineRule="exact"/>
                    <w:jc w:val="center"/>
                    <w:rPr>
                      <w:szCs w:val="21"/>
                    </w:rPr>
                  </w:pPr>
                  <w:r>
                    <w:rPr>
                      <w:rFonts w:hint="eastAsia"/>
                      <w:szCs w:val="21"/>
                    </w:rPr>
                    <w:t>序号</w:t>
                  </w:r>
                </w:p>
              </w:tc>
              <w:tc>
                <w:tcPr>
                  <w:tcW w:w="2226" w:type="dxa"/>
                  <w:gridSpan w:val="2"/>
                  <w:vAlign w:val="center"/>
                </w:tcPr>
                <w:p w14:paraId="4B73B870">
                  <w:pPr>
                    <w:spacing w:line="320" w:lineRule="exact"/>
                    <w:jc w:val="center"/>
                    <w:rPr>
                      <w:szCs w:val="21"/>
                    </w:rPr>
                  </w:pPr>
                  <w:r>
                    <w:rPr>
                      <w:rFonts w:hint="eastAsia"/>
                      <w:szCs w:val="21"/>
                    </w:rPr>
                    <w:t>费用类别</w:t>
                  </w:r>
                </w:p>
              </w:tc>
              <w:tc>
                <w:tcPr>
                  <w:tcW w:w="1544" w:type="dxa"/>
                  <w:vAlign w:val="center"/>
                </w:tcPr>
                <w:p w14:paraId="3FE47F51">
                  <w:pPr>
                    <w:spacing w:line="320" w:lineRule="exact"/>
                    <w:jc w:val="center"/>
                    <w:rPr>
                      <w:szCs w:val="21"/>
                    </w:rPr>
                  </w:pPr>
                  <w:r>
                    <w:rPr>
                      <w:rFonts w:hint="eastAsia"/>
                      <w:szCs w:val="21"/>
                    </w:rPr>
                    <w:t>计算基础</w:t>
                  </w:r>
                </w:p>
              </w:tc>
              <w:tc>
                <w:tcPr>
                  <w:tcW w:w="1241" w:type="dxa"/>
                  <w:vAlign w:val="center"/>
                </w:tcPr>
                <w:p w14:paraId="4DBFB0A8">
                  <w:pPr>
                    <w:jc w:val="center"/>
                    <w:rPr>
                      <w:szCs w:val="21"/>
                    </w:rPr>
                  </w:pPr>
                  <w:r>
                    <w:rPr>
                      <w:rFonts w:hint="eastAsia"/>
                      <w:szCs w:val="21"/>
                      <w:lang w:val="en-US" w:eastAsia="zh-CN"/>
                    </w:rPr>
                    <w:t>桥涵、隧道、水工构筑物</w:t>
                  </w:r>
                </w:p>
              </w:tc>
            </w:tr>
            <w:tr w14:paraId="1AD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7C6603C9">
                  <w:pPr>
                    <w:spacing w:line="320" w:lineRule="exact"/>
                    <w:jc w:val="center"/>
                    <w:rPr>
                      <w:szCs w:val="21"/>
                    </w:rPr>
                  </w:pPr>
                  <w:r>
                    <w:rPr>
                      <w:rFonts w:hint="eastAsia"/>
                      <w:szCs w:val="21"/>
                    </w:rPr>
                    <w:t>1</w:t>
                  </w:r>
                </w:p>
              </w:tc>
              <w:tc>
                <w:tcPr>
                  <w:tcW w:w="897" w:type="dxa"/>
                  <w:vMerge w:val="restart"/>
                  <w:vAlign w:val="center"/>
                </w:tcPr>
                <w:p w14:paraId="43DC3BFC">
                  <w:pPr>
                    <w:spacing w:line="320" w:lineRule="exact"/>
                    <w:jc w:val="center"/>
                    <w:rPr>
                      <w:szCs w:val="21"/>
                    </w:rPr>
                  </w:pPr>
                  <w:r>
                    <w:rPr>
                      <w:rFonts w:hint="eastAsia"/>
                      <w:szCs w:val="21"/>
                    </w:rPr>
                    <w:t>安全文明施工措施费费率（%）</w:t>
                  </w:r>
                </w:p>
              </w:tc>
              <w:tc>
                <w:tcPr>
                  <w:tcW w:w="1329" w:type="dxa"/>
                  <w:vAlign w:val="center"/>
                </w:tcPr>
                <w:p w14:paraId="743130D4">
                  <w:pPr>
                    <w:spacing w:line="320" w:lineRule="exact"/>
                    <w:jc w:val="center"/>
                    <w:rPr>
                      <w:szCs w:val="21"/>
                    </w:rPr>
                  </w:pPr>
                  <w:r>
                    <w:rPr>
                      <w:rFonts w:hint="eastAsia"/>
                      <w:szCs w:val="21"/>
                    </w:rPr>
                    <w:t>基本费</w:t>
                  </w:r>
                </w:p>
              </w:tc>
              <w:tc>
                <w:tcPr>
                  <w:tcW w:w="1544" w:type="dxa"/>
                  <w:vMerge w:val="restart"/>
                  <w:vAlign w:val="center"/>
                </w:tcPr>
                <w:p w14:paraId="4FC87174">
                  <w:pPr>
                    <w:spacing w:line="320" w:lineRule="exact"/>
                    <w:jc w:val="center"/>
                    <w:rPr>
                      <w:szCs w:val="21"/>
                    </w:rPr>
                  </w:pPr>
                  <w:r>
                    <w:rPr>
                      <w:rFonts w:hint="eastAsia"/>
                      <w:szCs w:val="21"/>
                    </w:rPr>
                    <w:t>分部分项合计+单价措施项目合计-除税工程设备费</w:t>
                  </w:r>
                </w:p>
              </w:tc>
              <w:tc>
                <w:tcPr>
                  <w:tcW w:w="1241" w:type="dxa"/>
                  <w:vAlign w:val="center"/>
                </w:tcPr>
                <w:p w14:paraId="601A6522">
                  <w:pPr>
                    <w:spacing w:line="320" w:lineRule="exact"/>
                    <w:jc w:val="center"/>
                    <w:rPr>
                      <w:szCs w:val="21"/>
                    </w:rPr>
                  </w:pPr>
                  <w:r>
                    <w:rPr>
                      <w:rFonts w:hint="eastAsia"/>
                      <w:szCs w:val="21"/>
                      <w:lang w:val="en-US" w:eastAsia="zh-CN"/>
                    </w:rPr>
                    <w:t>2.2</w:t>
                  </w:r>
                </w:p>
              </w:tc>
            </w:tr>
            <w:tr w14:paraId="08A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30290B6A">
                  <w:pPr>
                    <w:spacing w:line="320" w:lineRule="exact"/>
                    <w:jc w:val="center"/>
                    <w:rPr>
                      <w:szCs w:val="21"/>
                    </w:rPr>
                  </w:pPr>
                  <w:r>
                    <w:rPr>
                      <w:rFonts w:hint="eastAsia"/>
                      <w:szCs w:val="21"/>
                    </w:rPr>
                    <w:t>2</w:t>
                  </w:r>
                </w:p>
              </w:tc>
              <w:tc>
                <w:tcPr>
                  <w:tcW w:w="897" w:type="dxa"/>
                  <w:vMerge w:val="continue"/>
                  <w:vAlign w:val="center"/>
                </w:tcPr>
                <w:p w14:paraId="127869EE">
                  <w:pPr>
                    <w:spacing w:line="320" w:lineRule="exact"/>
                    <w:jc w:val="center"/>
                    <w:rPr>
                      <w:szCs w:val="21"/>
                    </w:rPr>
                  </w:pPr>
                </w:p>
              </w:tc>
              <w:tc>
                <w:tcPr>
                  <w:tcW w:w="1329" w:type="dxa"/>
                  <w:vAlign w:val="center"/>
                </w:tcPr>
                <w:p w14:paraId="42D5D810">
                  <w:pPr>
                    <w:spacing w:line="320" w:lineRule="exact"/>
                    <w:jc w:val="center"/>
                    <w:rPr>
                      <w:szCs w:val="21"/>
                    </w:rPr>
                  </w:pPr>
                  <w:r>
                    <w:rPr>
                      <w:rFonts w:hint="eastAsia"/>
                      <w:szCs w:val="21"/>
                    </w:rPr>
                    <w:t>省级标化增加费</w:t>
                  </w:r>
                </w:p>
              </w:tc>
              <w:tc>
                <w:tcPr>
                  <w:tcW w:w="1544" w:type="dxa"/>
                  <w:vMerge w:val="continue"/>
                  <w:vAlign w:val="center"/>
                </w:tcPr>
                <w:p w14:paraId="304EBB82">
                  <w:pPr>
                    <w:spacing w:line="320" w:lineRule="exact"/>
                    <w:jc w:val="center"/>
                    <w:rPr>
                      <w:szCs w:val="21"/>
                    </w:rPr>
                  </w:pPr>
                </w:p>
              </w:tc>
              <w:tc>
                <w:tcPr>
                  <w:tcW w:w="1241" w:type="dxa"/>
                  <w:vAlign w:val="center"/>
                </w:tcPr>
                <w:p w14:paraId="57C52063">
                  <w:pPr>
                    <w:spacing w:line="320" w:lineRule="exact"/>
                    <w:jc w:val="center"/>
                    <w:rPr>
                      <w:szCs w:val="21"/>
                    </w:rPr>
                  </w:pPr>
                  <w:r>
                    <w:rPr>
                      <w:rFonts w:hint="eastAsia"/>
                      <w:szCs w:val="21"/>
                    </w:rPr>
                    <w:t>0</w:t>
                  </w:r>
                </w:p>
              </w:tc>
            </w:tr>
            <w:tr w14:paraId="3885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087131D">
                  <w:pPr>
                    <w:spacing w:line="320" w:lineRule="exact"/>
                    <w:jc w:val="center"/>
                    <w:rPr>
                      <w:szCs w:val="21"/>
                    </w:rPr>
                  </w:pPr>
                  <w:r>
                    <w:rPr>
                      <w:rFonts w:hint="eastAsia"/>
                      <w:szCs w:val="21"/>
                    </w:rPr>
                    <w:t>3</w:t>
                  </w:r>
                </w:p>
              </w:tc>
              <w:tc>
                <w:tcPr>
                  <w:tcW w:w="897" w:type="dxa"/>
                  <w:vMerge w:val="continue"/>
                  <w:vAlign w:val="center"/>
                </w:tcPr>
                <w:p w14:paraId="019D9478">
                  <w:pPr>
                    <w:spacing w:line="320" w:lineRule="exact"/>
                    <w:jc w:val="center"/>
                    <w:rPr>
                      <w:szCs w:val="21"/>
                    </w:rPr>
                  </w:pPr>
                </w:p>
              </w:tc>
              <w:tc>
                <w:tcPr>
                  <w:tcW w:w="1329" w:type="dxa"/>
                  <w:vAlign w:val="center"/>
                </w:tcPr>
                <w:p w14:paraId="265C3740">
                  <w:pPr>
                    <w:spacing w:line="320" w:lineRule="exact"/>
                    <w:jc w:val="center"/>
                    <w:rPr>
                      <w:szCs w:val="21"/>
                    </w:rPr>
                  </w:pPr>
                  <w:r>
                    <w:rPr>
                      <w:rFonts w:hint="eastAsia"/>
                      <w:szCs w:val="21"/>
                    </w:rPr>
                    <w:t>扬尘污染防治增加费</w:t>
                  </w:r>
                </w:p>
              </w:tc>
              <w:tc>
                <w:tcPr>
                  <w:tcW w:w="1544" w:type="dxa"/>
                  <w:vMerge w:val="continue"/>
                  <w:vAlign w:val="center"/>
                </w:tcPr>
                <w:p w14:paraId="0601D801">
                  <w:pPr>
                    <w:spacing w:line="320" w:lineRule="exact"/>
                    <w:jc w:val="center"/>
                    <w:rPr>
                      <w:szCs w:val="21"/>
                    </w:rPr>
                  </w:pPr>
                </w:p>
              </w:tc>
              <w:tc>
                <w:tcPr>
                  <w:tcW w:w="1241" w:type="dxa"/>
                  <w:vAlign w:val="center"/>
                </w:tcPr>
                <w:p w14:paraId="3783FFB9">
                  <w:pPr>
                    <w:spacing w:line="320" w:lineRule="exact"/>
                    <w:jc w:val="center"/>
                    <w:rPr>
                      <w:szCs w:val="21"/>
                    </w:rPr>
                  </w:pPr>
                  <w:r>
                    <w:rPr>
                      <w:szCs w:val="21"/>
                    </w:rPr>
                    <w:t>0.</w:t>
                  </w:r>
                  <w:r>
                    <w:rPr>
                      <w:rFonts w:hint="eastAsia"/>
                      <w:szCs w:val="21"/>
                      <w:lang w:val="en-US" w:eastAsia="zh-CN"/>
                    </w:rPr>
                    <w:t>31</w:t>
                  </w:r>
                </w:p>
              </w:tc>
            </w:tr>
            <w:tr w14:paraId="33B5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DF566F7">
                  <w:pPr>
                    <w:spacing w:line="320" w:lineRule="exact"/>
                    <w:jc w:val="center"/>
                    <w:rPr>
                      <w:szCs w:val="21"/>
                    </w:rPr>
                  </w:pPr>
                  <w:r>
                    <w:rPr>
                      <w:rFonts w:hint="eastAsia"/>
                      <w:szCs w:val="21"/>
                    </w:rPr>
                    <w:t>4</w:t>
                  </w:r>
                </w:p>
              </w:tc>
              <w:tc>
                <w:tcPr>
                  <w:tcW w:w="897" w:type="dxa"/>
                  <w:vMerge w:val="restart"/>
                  <w:vAlign w:val="center"/>
                </w:tcPr>
                <w:p w14:paraId="4423A653">
                  <w:pPr>
                    <w:spacing w:line="320" w:lineRule="exact"/>
                    <w:jc w:val="center"/>
                    <w:rPr>
                      <w:szCs w:val="21"/>
                    </w:rPr>
                  </w:pPr>
                </w:p>
                <w:p w14:paraId="1134E59A">
                  <w:pPr>
                    <w:spacing w:line="320" w:lineRule="exact"/>
                    <w:jc w:val="center"/>
                    <w:rPr>
                      <w:szCs w:val="21"/>
                    </w:rPr>
                  </w:pPr>
                  <w:r>
                    <w:rPr>
                      <w:rFonts w:hint="eastAsia"/>
                      <w:szCs w:val="21"/>
                    </w:rPr>
                    <w:t>规费费率（%）</w:t>
                  </w:r>
                </w:p>
              </w:tc>
              <w:tc>
                <w:tcPr>
                  <w:tcW w:w="1329" w:type="dxa"/>
                  <w:vAlign w:val="center"/>
                </w:tcPr>
                <w:p w14:paraId="2DC30748">
                  <w:pPr>
                    <w:spacing w:line="320" w:lineRule="exact"/>
                    <w:jc w:val="center"/>
                    <w:rPr>
                      <w:szCs w:val="21"/>
                    </w:rPr>
                  </w:pPr>
                  <w:r>
                    <w:rPr>
                      <w:rFonts w:hint="eastAsia"/>
                      <w:szCs w:val="21"/>
                    </w:rPr>
                    <w:t>社会保险费</w:t>
                  </w:r>
                </w:p>
              </w:tc>
              <w:tc>
                <w:tcPr>
                  <w:tcW w:w="1544" w:type="dxa"/>
                  <w:vMerge w:val="restart"/>
                  <w:vAlign w:val="center"/>
                </w:tcPr>
                <w:p w14:paraId="68B74737">
                  <w:pPr>
                    <w:spacing w:line="320" w:lineRule="exact"/>
                    <w:jc w:val="center"/>
                    <w:rPr>
                      <w:b/>
                      <w:szCs w:val="21"/>
                    </w:rPr>
                  </w:pPr>
                  <w:r>
                    <w:rPr>
                      <w:rFonts w:hint="eastAsia"/>
                      <w:bCs/>
                      <w:szCs w:val="21"/>
                    </w:rPr>
                    <w:t>分部分项工程费+措施项目费+其他项目费-除税工程设备费</w:t>
                  </w:r>
                </w:p>
                <w:p w14:paraId="6FF93AE4">
                  <w:pPr>
                    <w:spacing w:line="320" w:lineRule="exact"/>
                    <w:jc w:val="center"/>
                    <w:rPr>
                      <w:szCs w:val="21"/>
                    </w:rPr>
                  </w:pPr>
                </w:p>
              </w:tc>
              <w:tc>
                <w:tcPr>
                  <w:tcW w:w="1241" w:type="dxa"/>
                  <w:vAlign w:val="center"/>
                </w:tcPr>
                <w:p w14:paraId="2DA55141">
                  <w:pPr>
                    <w:spacing w:line="320" w:lineRule="exact"/>
                    <w:jc w:val="center"/>
                    <w:rPr>
                      <w:szCs w:val="21"/>
                    </w:rPr>
                  </w:pPr>
                  <w:r>
                    <w:rPr>
                      <w:rFonts w:hint="eastAsia"/>
                      <w:szCs w:val="21"/>
                      <w:lang w:val="en-US" w:eastAsia="zh-CN"/>
                    </w:rPr>
                    <w:t>2.7</w:t>
                  </w:r>
                  <w:bookmarkStart w:id="0" w:name="_GoBack"/>
                  <w:bookmarkEnd w:id="0"/>
                </w:p>
              </w:tc>
            </w:tr>
            <w:tr w14:paraId="32F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2D4A45CE">
                  <w:pPr>
                    <w:spacing w:line="320" w:lineRule="exact"/>
                    <w:jc w:val="center"/>
                    <w:rPr>
                      <w:szCs w:val="21"/>
                    </w:rPr>
                  </w:pPr>
                  <w:r>
                    <w:rPr>
                      <w:rFonts w:hint="eastAsia"/>
                      <w:szCs w:val="21"/>
                    </w:rPr>
                    <w:t>5</w:t>
                  </w:r>
                </w:p>
              </w:tc>
              <w:tc>
                <w:tcPr>
                  <w:tcW w:w="897" w:type="dxa"/>
                  <w:vMerge w:val="continue"/>
                  <w:vAlign w:val="center"/>
                </w:tcPr>
                <w:p w14:paraId="3246126C">
                  <w:pPr>
                    <w:spacing w:line="320" w:lineRule="exact"/>
                    <w:jc w:val="center"/>
                    <w:rPr>
                      <w:szCs w:val="21"/>
                    </w:rPr>
                  </w:pPr>
                </w:p>
              </w:tc>
              <w:tc>
                <w:tcPr>
                  <w:tcW w:w="1329" w:type="dxa"/>
                  <w:vAlign w:val="center"/>
                </w:tcPr>
                <w:p w14:paraId="55AA9E8C">
                  <w:pPr>
                    <w:spacing w:line="320" w:lineRule="exact"/>
                    <w:jc w:val="center"/>
                    <w:rPr>
                      <w:szCs w:val="21"/>
                    </w:rPr>
                  </w:pPr>
                  <w:r>
                    <w:rPr>
                      <w:rFonts w:hint="eastAsia"/>
                      <w:szCs w:val="21"/>
                    </w:rPr>
                    <w:t>住房公积金</w:t>
                  </w:r>
                </w:p>
              </w:tc>
              <w:tc>
                <w:tcPr>
                  <w:tcW w:w="1544" w:type="dxa"/>
                  <w:vMerge w:val="continue"/>
                  <w:vAlign w:val="center"/>
                </w:tcPr>
                <w:p w14:paraId="411FE231">
                  <w:pPr>
                    <w:spacing w:line="320" w:lineRule="exact"/>
                    <w:jc w:val="center"/>
                    <w:rPr>
                      <w:szCs w:val="21"/>
                    </w:rPr>
                  </w:pPr>
                </w:p>
              </w:tc>
              <w:tc>
                <w:tcPr>
                  <w:tcW w:w="1241" w:type="dxa"/>
                  <w:vAlign w:val="center"/>
                </w:tcPr>
                <w:p w14:paraId="115F2155">
                  <w:pPr>
                    <w:spacing w:line="320" w:lineRule="exact"/>
                    <w:jc w:val="center"/>
                    <w:rPr>
                      <w:szCs w:val="21"/>
                    </w:rPr>
                  </w:pPr>
                  <w:r>
                    <w:rPr>
                      <w:szCs w:val="21"/>
                    </w:rPr>
                    <w:t>0.</w:t>
                  </w:r>
                  <w:r>
                    <w:rPr>
                      <w:rFonts w:hint="eastAsia"/>
                      <w:szCs w:val="21"/>
                      <w:lang w:val="en-US" w:eastAsia="zh-CN"/>
                    </w:rPr>
                    <w:t>47</w:t>
                  </w:r>
                </w:p>
              </w:tc>
            </w:tr>
            <w:tr w14:paraId="0DB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02C45AA7">
                  <w:pPr>
                    <w:spacing w:line="320" w:lineRule="exact"/>
                    <w:jc w:val="center"/>
                    <w:rPr>
                      <w:szCs w:val="21"/>
                    </w:rPr>
                  </w:pPr>
                  <w:r>
                    <w:rPr>
                      <w:rFonts w:hint="eastAsia"/>
                      <w:szCs w:val="21"/>
                    </w:rPr>
                    <w:t>6</w:t>
                  </w:r>
                </w:p>
              </w:tc>
              <w:tc>
                <w:tcPr>
                  <w:tcW w:w="897" w:type="dxa"/>
                  <w:vMerge w:val="continue"/>
                  <w:vAlign w:val="center"/>
                </w:tcPr>
                <w:p w14:paraId="29BBC6FF">
                  <w:pPr>
                    <w:spacing w:line="320" w:lineRule="exact"/>
                    <w:jc w:val="center"/>
                    <w:rPr>
                      <w:szCs w:val="21"/>
                    </w:rPr>
                  </w:pPr>
                </w:p>
              </w:tc>
              <w:tc>
                <w:tcPr>
                  <w:tcW w:w="1329" w:type="dxa"/>
                  <w:vAlign w:val="center"/>
                </w:tcPr>
                <w:p w14:paraId="6150825C">
                  <w:pPr>
                    <w:spacing w:line="320" w:lineRule="exact"/>
                    <w:jc w:val="center"/>
                    <w:rPr>
                      <w:szCs w:val="21"/>
                    </w:rPr>
                  </w:pPr>
                  <w:r>
                    <w:rPr>
                      <w:rFonts w:hint="eastAsia"/>
                      <w:szCs w:val="21"/>
                    </w:rPr>
                    <w:t>环境保护税</w:t>
                  </w:r>
                </w:p>
              </w:tc>
              <w:tc>
                <w:tcPr>
                  <w:tcW w:w="1544" w:type="dxa"/>
                  <w:vMerge w:val="continue"/>
                  <w:vAlign w:val="center"/>
                </w:tcPr>
                <w:p w14:paraId="5A200CB2">
                  <w:pPr>
                    <w:spacing w:line="320" w:lineRule="exact"/>
                    <w:jc w:val="center"/>
                    <w:rPr>
                      <w:szCs w:val="21"/>
                    </w:rPr>
                  </w:pPr>
                </w:p>
              </w:tc>
              <w:tc>
                <w:tcPr>
                  <w:tcW w:w="1241" w:type="dxa"/>
                  <w:vAlign w:val="center"/>
                </w:tcPr>
                <w:p w14:paraId="26354FEF">
                  <w:pPr>
                    <w:spacing w:line="320" w:lineRule="exact"/>
                    <w:jc w:val="center"/>
                    <w:rPr>
                      <w:szCs w:val="21"/>
                    </w:rPr>
                  </w:pPr>
                  <w:r>
                    <w:rPr>
                      <w:rFonts w:hint="eastAsia"/>
                      <w:szCs w:val="21"/>
                    </w:rPr>
                    <w:t>0</w:t>
                  </w:r>
                </w:p>
              </w:tc>
            </w:tr>
            <w:tr w14:paraId="300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07A5E1B3">
                  <w:pPr>
                    <w:spacing w:line="320" w:lineRule="exact"/>
                    <w:jc w:val="center"/>
                    <w:rPr>
                      <w:szCs w:val="21"/>
                    </w:rPr>
                  </w:pPr>
                  <w:r>
                    <w:rPr>
                      <w:rFonts w:hint="eastAsia"/>
                      <w:szCs w:val="21"/>
                    </w:rPr>
                    <w:t>7</w:t>
                  </w:r>
                </w:p>
              </w:tc>
              <w:tc>
                <w:tcPr>
                  <w:tcW w:w="897" w:type="dxa"/>
                  <w:vAlign w:val="center"/>
                </w:tcPr>
                <w:p w14:paraId="1F4BB844">
                  <w:pPr>
                    <w:spacing w:line="320" w:lineRule="exact"/>
                    <w:jc w:val="center"/>
                    <w:rPr>
                      <w:szCs w:val="21"/>
                    </w:rPr>
                  </w:pPr>
                  <w:r>
                    <w:rPr>
                      <w:rFonts w:hint="eastAsia"/>
                      <w:szCs w:val="21"/>
                    </w:rPr>
                    <w:t>税金费率（%）</w:t>
                  </w:r>
                </w:p>
              </w:tc>
              <w:tc>
                <w:tcPr>
                  <w:tcW w:w="1329" w:type="dxa"/>
                  <w:vAlign w:val="center"/>
                </w:tcPr>
                <w:p w14:paraId="1C5667A6">
                  <w:pPr>
                    <w:spacing w:line="320" w:lineRule="exact"/>
                    <w:jc w:val="center"/>
                    <w:rPr>
                      <w:szCs w:val="21"/>
                    </w:rPr>
                  </w:pPr>
                </w:p>
              </w:tc>
              <w:tc>
                <w:tcPr>
                  <w:tcW w:w="1544" w:type="dxa"/>
                  <w:vAlign w:val="center"/>
                </w:tcPr>
                <w:p w14:paraId="1C9F3E9B">
                  <w:pPr>
                    <w:spacing w:line="320" w:lineRule="exact"/>
                    <w:jc w:val="center"/>
                    <w:rPr>
                      <w:szCs w:val="21"/>
                    </w:rPr>
                  </w:pPr>
                  <w:r>
                    <w:rPr>
                      <w:rFonts w:hint="eastAsia"/>
                      <w:szCs w:val="21"/>
                    </w:rPr>
                    <w:t>分部分项工程费+措施项目费+其他项目费+规费</w:t>
                  </w:r>
                </w:p>
              </w:tc>
              <w:tc>
                <w:tcPr>
                  <w:tcW w:w="1241" w:type="dxa"/>
                  <w:vAlign w:val="center"/>
                </w:tcPr>
                <w:p w14:paraId="6D42DB67">
                  <w:pPr>
                    <w:spacing w:line="320" w:lineRule="exact"/>
                    <w:jc w:val="center"/>
                    <w:rPr>
                      <w:szCs w:val="21"/>
                    </w:rPr>
                  </w:pPr>
                  <w:r>
                    <w:rPr>
                      <w:rFonts w:hint="eastAsia"/>
                      <w:szCs w:val="21"/>
                    </w:rPr>
                    <w:t>9</w:t>
                  </w:r>
                </w:p>
              </w:tc>
            </w:tr>
          </w:tbl>
          <w:p w14:paraId="1E128375">
            <w:pPr>
              <w:autoSpaceDE w:val="0"/>
              <w:autoSpaceDN w:val="0"/>
              <w:adjustRightInd w:val="0"/>
              <w:snapToGrid w:val="0"/>
              <w:spacing w:line="420" w:lineRule="exact"/>
              <w:ind w:left="-18"/>
              <w:rPr>
                <w:rFonts w:hint="eastAsia" w:ascii="宋体" w:hAnsi="宋体" w:cs="宋体"/>
                <w:b/>
                <w:kern w:val="0"/>
                <w:szCs w:val="21"/>
              </w:rPr>
            </w:pPr>
          </w:p>
          <w:p w14:paraId="1F9D66AC">
            <w:pPr>
              <w:autoSpaceDE w:val="0"/>
              <w:autoSpaceDN w:val="0"/>
              <w:adjustRightInd w:val="0"/>
              <w:snapToGrid w:val="0"/>
              <w:spacing w:line="420" w:lineRule="exact"/>
              <w:ind w:left="-18"/>
              <w:rPr>
                <w:rFonts w:ascii="宋体" w:hAnsi="宋体" w:cs="宋体"/>
                <w:b/>
                <w:kern w:val="0"/>
                <w:szCs w:val="21"/>
              </w:rPr>
            </w:pPr>
          </w:p>
          <w:p w14:paraId="67893F46">
            <w:pPr>
              <w:spacing w:line="420" w:lineRule="exact"/>
              <w:rPr>
                <w:szCs w:val="21"/>
              </w:rPr>
            </w:pPr>
          </w:p>
        </w:tc>
      </w:tr>
    </w:tbl>
    <w:p w14:paraId="5B60610C">
      <w:pPr>
        <w:rPr>
          <w:sz w:val="24"/>
        </w:rPr>
        <w:sectPr>
          <w:pgSz w:w="11906" w:h="16838"/>
          <w:pgMar w:top="851" w:right="737" w:bottom="624" w:left="1021" w:header="851" w:footer="992" w:gutter="0"/>
          <w:pgNumType w:start="1"/>
          <w:cols w:space="425" w:num="1"/>
          <w:docGrid w:type="lines" w:linePitch="312" w:charSpace="0"/>
        </w:sectPr>
      </w:pPr>
    </w:p>
    <w:p w14:paraId="5EAE61F4">
      <w:pPr>
        <w:spacing w:line="360" w:lineRule="auto"/>
        <w:ind w:left="-619" w:leftChars="-295"/>
        <w:jc w:val="left"/>
        <w:rPr>
          <w:rFonts w:hint="eastAsia" w:ascii="宋体" w:hAnsi="宋体"/>
          <w:b/>
          <w:bCs/>
          <w:sz w:val="24"/>
        </w:rPr>
      </w:pPr>
    </w:p>
    <w:p w14:paraId="73425D15">
      <w:pPr>
        <w:spacing w:line="360" w:lineRule="auto"/>
        <w:ind w:left="-619" w:leftChars="-295"/>
        <w:jc w:val="left"/>
        <w:rPr>
          <w:rFonts w:hint="eastAsia" w:ascii="宋体" w:hAnsi="宋体"/>
          <w:b/>
          <w:bCs/>
          <w:sz w:val="24"/>
        </w:rPr>
      </w:pPr>
    </w:p>
    <w:p w14:paraId="324DAE87">
      <w:pPr>
        <w:spacing w:line="360" w:lineRule="auto"/>
        <w:ind w:left="-619" w:leftChars="-295"/>
        <w:jc w:val="left"/>
        <w:rPr>
          <w:rFonts w:hint="eastAsia" w:ascii="宋体" w:hAnsi="宋体"/>
          <w:b/>
          <w:bCs/>
          <w:sz w:val="24"/>
        </w:rPr>
      </w:pPr>
    </w:p>
    <w:p w14:paraId="7FE0D1CD">
      <w:pPr>
        <w:spacing w:line="360" w:lineRule="auto"/>
        <w:ind w:left="-619" w:leftChars="-295"/>
        <w:jc w:val="left"/>
        <w:rPr>
          <w:rFonts w:hint="eastAsia" w:ascii="宋体" w:hAnsi="宋体"/>
          <w:b/>
          <w:bCs/>
          <w:sz w:val="24"/>
        </w:rPr>
      </w:pPr>
    </w:p>
    <w:p w14:paraId="41D8A263">
      <w:pPr>
        <w:spacing w:line="360" w:lineRule="auto"/>
        <w:ind w:left="-619" w:leftChars="-295"/>
        <w:jc w:val="left"/>
        <w:rPr>
          <w:rFonts w:hint="eastAsia" w:ascii="宋体" w:hAnsi="宋体"/>
          <w:b/>
          <w:bCs/>
          <w:sz w:val="24"/>
        </w:rPr>
      </w:pPr>
    </w:p>
    <w:p w14:paraId="3F3D9A7E">
      <w:pPr>
        <w:rPr>
          <w:sz w:val="24"/>
        </w:rPr>
      </w:pPr>
    </w:p>
    <w:sectPr>
      <w:type w:val="continuous"/>
      <w:pgSz w:w="11906" w:h="16838"/>
      <w:pgMar w:top="851" w:right="737" w:bottom="62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ZTg5YmJjY2RlYzMzMTA3NjI0ZjZkMTJmMWUwYWIifQ=="/>
  </w:docVars>
  <w:rsids>
    <w:rsidRoot w:val="009A3D93"/>
    <w:rsid w:val="000009AD"/>
    <w:rsid w:val="00005A29"/>
    <w:rsid w:val="00006929"/>
    <w:rsid w:val="00011719"/>
    <w:rsid w:val="000126C2"/>
    <w:rsid w:val="00014BDE"/>
    <w:rsid w:val="00015170"/>
    <w:rsid w:val="000246D8"/>
    <w:rsid w:val="0002541F"/>
    <w:rsid w:val="0002644B"/>
    <w:rsid w:val="000276EC"/>
    <w:rsid w:val="00032059"/>
    <w:rsid w:val="00036441"/>
    <w:rsid w:val="00041764"/>
    <w:rsid w:val="00042DD7"/>
    <w:rsid w:val="0005146F"/>
    <w:rsid w:val="0005579C"/>
    <w:rsid w:val="000571EE"/>
    <w:rsid w:val="000635FA"/>
    <w:rsid w:val="00065AA0"/>
    <w:rsid w:val="00065FBC"/>
    <w:rsid w:val="00071E0F"/>
    <w:rsid w:val="000778D4"/>
    <w:rsid w:val="00080471"/>
    <w:rsid w:val="00083013"/>
    <w:rsid w:val="00083042"/>
    <w:rsid w:val="000A3FB7"/>
    <w:rsid w:val="000A59EF"/>
    <w:rsid w:val="000A6FB3"/>
    <w:rsid w:val="000B1CC3"/>
    <w:rsid w:val="000B6556"/>
    <w:rsid w:val="000B6A9F"/>
    <w:rsid w:val="000C6902"/>
    <w:rsid w:val="000C6F5E"/>
    <w:rsid w:val="000D26B5"/>
    <w:rsid w:val="000D2761"/>
    <w:rsid w:val="000D5EAD"/>
    <w:rsid w:val="000E012C"/>
    <w:rsid w:val="000E1528"/>
    <w:rsid w:val="000E502F"/>
    <w:rsid w:val="000E6FD0"/>
    <w:rsid w:val="000E72B1"/>
    <w:rsid w:val="000F0488"/>
    <w:rsid w:val="000F35CC"/>
    <w:rsid w:val="000F5876"/>
    <w:rsid w:val="000F7BEA"/>
    <w:rsid w:val="000F7E91"/>
    <w:rsid w:val="0010320B"/>
    <w:rsid w:val="0010722A"/>
    <w:rsid w:val="00107808"/>
    <w:rsid w:val="001108A9"/>
    <w:rsid w:val="00116534"/>
    <w:rsid w:val="001228B6"/>
    <w:rsid w:val="00126304"/>
    <w:rsid w:val="001315F0"/>
    <w:rsid w:val="00131D91"/>
    <w:rsid w:val="0013484C"/>
    <w:rsid w:val="00134EAB"/>
    <w:rsid w:val="001401DE"/>
    <w:rsid w:val="00143524"/>
    <w:rsid w:val="00143E70"/>
    <w:rsid w:val="00144F1E"/>
    <w:rsid w:val="001552CB"/>
    <w:rsid w:val="00155866"/>
    <w:rsid w:val="00163EC8"/>
    <w:rsid w:val="0017199C"/>
    <w:rsid w:val="00177784"/>
    <w:rsid w:val="00180B22"/>
    <w:rsid w:val="00181A1F"/>
    <w:rsid w:val="001906CC"/>
    <w:rsid w:val="00195260"/>
    <w:rsid w:val="00195FBF"/>
    <w:rsid w:val="001A0B31"/>
    <w:rsid w:val="001A3A95"/>
    <w:rsid w:val="001A4F15"/>
    <w:rsid w:val="001B1A7D"/>
    <w:rsid w:val="001B66B3"/>
    <w:rsid w:val="001B7609"/>
    <w:rsid w:val="001C0B67"/>
    <w:rsid w:val="001C4E48"/>
    <w:rsid w:val="001D17CB"/>
    <w:rsid w:val="001E1359"/>
    <w:rsid w:val="001E27DA"/>
    <w:rsid w:val="001E6F00"/>
    <w:rsid w:val="001F249F"/>
    <w:rsid w:val="001F2543"/>
    <w:rsid w:val="00200B2D"/>
    <w:rsid w:val="00200D99"/>
    <w:rsid w:val="002060E6"/>
    <w:rsid w:val="0020770A"/>
    <w:rsid w:val="00210838"/>
    <w:rsid w:val="002109C0"/>
    <w:rsid w:val="0021634A"/>
    <w:rsid w:val="00216936"/>
    <w:rsid w:val="00221C16"/>
    <w:rsid w:val="00222528"/>
    <w:rsid w:val="00222CB8"/>
    <w:rsid w:val="0022672A"/>
    <w:rsid w:val="00232E03"/>
    <w:rsid w:val="00234EDD"/>
    <w:rsid w:val="00236E40"/>
    <w:rsid w:val="0024642F"/>
    <w:rsid w:val="00247EF5"/>
    <w:rsid w:val="00250B82"/>
    <w:rsid w:val="00251032"/>
    <w:rsid w:val="00252B61"/>
    <w:rsid w:val="00253107"/>
    <w:rsid w:val="00254F91"/>
    <w:rsid w:val="0025597C"/>
    <w:rsid w:val="00264801"/>
    <w:rsid w:val="0026508B"/>
    <w:rsid w:val="00270978"/>
    <w:rsid w:val="0027129A"/>
    <w:rsid w:val="00277F30"/>
    <w:rsid w:val="00280698"/>
    <w:rsid w:val="00282876"/>
    <w:rsid w:val="002869B6"/>
    <w:rsid w:val="002874FD"/>
    <w:rsid w:val="002916DB"/>
    <w:rsid w:val="002959A9"/>
    <w:rsid w:val="00297B2A"/>
    <w:rsid w:val="002A3963"/>
    <w:rsid w:val="002A4164"/>
    <w:rsid w:val="002B7F84"/>
    <w:rsid w:val="002C007C"/>
    <w:rsid w:val="002C45C7"/>
    <w:rsid w:val="002C69DB"/>
    <w:rsid w:val="002C6E66"/>
    <w:rsid w:val="002C735C"/>
    <w:rsid w:val="002D2272"/>
    <w:rsid w:val="002E0145"/>
    <w:rsid w:val="002E156D"/>
    <w:rsid w:val="002E2881"/>
    <w:rsid w:val="002E5E2E"/>
    <w:rsid w:val="002E6147"/>
    <w:rsid w:val="002F052D"/>
    <w:rsid w:val="002F0F3E"/>
    <w:rsid w:val="002F381D"/>
    <w:rsid w:val="002F71DE"/>
    <w:rsid w:val="00300145"/>
    <w:rsid w:val="003010D4"/>
    <w:rsid w:val="00312185"/>
    <w:rsid w:val="00312436"/>
    <w:rsid w:val="00312BC8"/>
    <w:rsid w:val="003131FE"/>
    <w:rsid w:val="00313815"/>
    <w:rsid w:val="003162D0"/>
    <w:rsid w:val="003164D2"/>
    <w:rsid w:val="00322604"/>
    <w:rsid w:val="003255C8"/>
    <w:rsid w:val="0032686A"/>
    <w:rsid w:val="00330217"/>
    <w:rsid w:val="00330F87"/>
    <w:rsid w:val="0033172C"/>
    <w:rsid w:val="003321DB"/>
    <w:rsid w:val="00336FFD"/>
    <w:rsid w:val="003414C6"/>
    <w:rsid w:val="00347597"/>
    <w:rsid w:val="00350B11"/>
    <w:rsid w:val="00351591"/>
    <w:rsid w:val="00351980"/>
    <w:rsid w:val="00356258"/>
    <w:rsid w:val="00363B2A"/>
    <w:rsid w:val="0036640F"/>
    <w:rsid w:val="00372E67"/>
    <w:rsid w:val="003768A3"/>
    <w:rsid w:val="00376CF5"/>
    <w:rsid w:val="00377C88"/>
    <w:rsid w:val="003806A1"/>
    <w:rsid w:val="00384B13"/>
    <w:rsid w:val="00384B8B"/>
    <w:rsid w:val="00386ADC"/>
    <w:rsid w:val="00391CD3"/>
    <w:rsid w:val="00392863"/>
    <w:rsid w:val="00392F4A"/>
    <w:rsid w:val="00394E54"/>
    <w:rsid w:val="0039519C"/>
    <w:rsid w:val="00395443"/>
    <w:rsid w:val="00396C34"/>
    <w:rsid w:val="00396F33"/>
    <w:rsid w:val="003A596F"/>
    <w:rsid w:val="003B1451"/>
    <w:rsid w:val="003B2EAC"/>
    <w:rsid w:val="003B5115"/>
    <w:rsid w:val="003B78C8"/>
    <w:rsid w:val="003C1827"/>
    <w:rsid w:val="003C2B26"/>
    <w:rsid w:val="003C3BD8"/>
    <w:rsid w:val="003D2224"/>
    <w:rsid w:val="003D36E1"/>
    <w:rsid w:val="003D5C46"/>
    <w:rsid w:val="003D6BDE"/>
    <w:rsid w:val="003D77B0"/>
    <w:rsid w:val="003D7D3B"/>
    <w:rsid w:val="003E5C15"/>
    <w:rsid w:val="003F1A85"/>
    <w:rsid w:val="003F22F8"/>
    <w:rsid w:val="003F4D58"/>
    <w:rsid w:val="003F5032"/>
    <w:rsid w:val="00400D69"/>
    <w:rsid w:val="00404171"/>
    <w:rsid w:val="00415D4C"/>
    <w:rsid w:val="00415FE0"/>
    <w:rsid w:val="00420A59"/>
    <w:rsid w:val="00421C2F"/>
    <w:rsid w:val="004254AF"/>
    <w:rsid w:val="00425D98"/>
    <w:rsid w:val="004263A9"/>
    <w:rsid w:val="00427070"/>
    <w:rsid w:val="00430C08"/>
    <w:rsid w:val="00435C23"/>
    <w:rsid w:val="0044117D"/>
    <w:rsid w:val="0044214D"/>
    <w:rsid w:val="00450256"/>
    <w:rsid w:val="004511AD"/>
    <w:rsid w:val="004576F0"/>
    <w:rsid w:val="004628CB"/>
    <w:rsid w:val="004665FC"/>
    <w:rsid w:val="00467DC9"/>
    <w:rsid w:val="0047394D"/>
    <w:rsid w:val="0047450A"/>
    <w:rsid w:val="00474931"/>
    <w:rsid w:val="00476958"/>
    <w:rsid w:val="004776F3"/>
    <w:rsid w:val="00477D3C"/>
    <w:rsid w:val="00481312"/>
    <w:rsid w:val="00481BA6"/>
    <w:rsid w:val="00484188"/>
    <w:rsid w:val="0048619F"/>
    <w:rsid w:val="00496B46"/>
    <w:rsid w:val="004A52D8"/>
    <w:rsid w:val="004A57A2"/>
    <w:rsid w:val="004A774E"/>
    <w:rsid w:val="004B6F94"/>
    <w:rsid w:val="004C2F22"/>
    <w:rsid w:val="004D1F1D"/>
    <w:rsid w:val="004D7955"/>
    <w:rsid w:val="004E18EF"/>
    <w:rsid w:val="004E3BD6"/>
    <w:rsid w:val="004E770F"/>
    <w:rsid w:val="004E7EC5"/>
    <w:rsid w:val="004F2350"/>
    <w:rsid w:val="004F294E"/>
    <w:rsid w:val="004F612F"/>
    <w:rsid w:val="0050384C"/>
    <w:rsid w:val="00507222"/>
    <w:rsid w:val="005100B5"/>
    <w:rsid w:val="00510E71"/>
    <w:rsid w:val="005152CD"/>
    <w:rsid w:val="005161ED"/>
    <w:rsid w:val="00522231"/>
    <w:rsid w:val="0052270F"/>
    <w:rsid w:val="005308D2"/>
    <w:rsid w:val="0053211C"/>
    <w:rsid w:val="005444DD"/>
    <w:rsid w:val="005505BF"/>
    <w:rsid w:val="00550E91"/>
    <w:rsid w:val="00550F6B"/>
    <w:rsid w:val="00551810"/>
    <w:rsid w:val="00551C9E"/>
    <w:rsid w:val="00552FA4"/>
    <w:rsid w:val="00553170"/>
    <w:rsid w:val="00554B72"/>
    <w:rsid w:val="00556379"/>
    <w:rsid w:val="00556A93"/>
    <w:rsid w:val="005570F7"/>
    <w:rsid w:val="005653B9"/>
    <w:rsid w:val="00570609"/>
    <w:rsid w:val="00570986"/>
    <w:rsid w:val="00572952"/>
    <w:rsid w:val="00572C25"/>
    <w:rsid w:val="00573FBB"/>
    <w:rsid w:val="00574A4F"/>
    <w:rsid w:val="0057652B"/>
    <w:rsid w:val="00580C91"/>
    <w:rsid w:val="005826EC"/>
    <w:rsid w:val="005858A9"/>
    <w:rsid w:val="00586847"/>
    <w:rsid w:val="00586CA7"/>
    <w:rsid w:val="00597234"/>
    <w:rsid w:val="005A0898"/>
    <w:rsid w:val="005A626D"/>
    <w:rsid w:val="005A6CAA"/>
    <w:rsid w:val="005B373F"/>
    <w:rsid w:val="005C45D3"/>
    <w:rsid w:val="005C522E"/>
    <w:rsid w:val="005C57BA"/>
    <w:rsid w:val="005D1591"/>
    <w:rsid w:val="005D1E84"/>
    <w:rsid w:val="005D2DA3"/>
    <w:rsid w:val="005E417D"/>
    <w:rsid w:val="005E43E2"/>
    <w:rsid w:val="005F201B"/>
    <w:rsid w:val="005F5506"/>
    <w:rsid w:val="005F7450"/>
    <w:rsid w:val="00604042"/>
    <w:rsid w:val="0060407C"/>
    <w:rsid w:val="006079B8"/>
    <w:rsid w:val="00607C6A"/>
    <w:rsid w:val="00611741"/>
    <w:rsid w:val="0062137B"/>
    <w:rsid w:val="006241C8"/>
    <w:rsid w:val="00633C53"/>
    <w:rsid w:val="006368B1"/>
    <w:rsid w:val="00640116"/>
    <w:rsid w:val="006438F2"/>
    <w:rsid w:val="00650AC3"/>
    <w:rsid w:val="00652BDA"/>
    <w:rsid w:val="00657ECB"/>
    <w:rsid w:val="0066009B"/>
    <w:rsid w:val="0066161A"/>
    <w:rsid w:val="0066334C"/>
    <w:rsid w:val="006641E9"/>
    <w:rsid w:val="00666851"/>
    <w:rsid w:val="0066798F"/>
    <w:rsid w:val="00671079"/>
    <w:rsid w:val="00673191"/>
    <w:rsid w:val="00674794"/>
    <w:rsid w:val="00675739"/>
    <w:rsid w:val="006769A0"/>
    <w:rsid w:val="0068516C"/>
    <w:rsid w:val="006862B1"/>
    <w:rsid w:val="00686C14"/>
    <w:rsid w:val="006907C7"/>
    <w:rsid w:val="00697158"/>
    <w:rsid w:val="006A2C3B"/>
    <w:rsid w:val="006A2EA0"/>
    <w:rsid w:val="006B065E"/>
    <w:rsid w:val="006B36A8"/>
    <w:rsid w:val="006B5F6F"/>
    <w:rsid w:val="006B705C"/>
    <w:rsid w:val="006C6C9E"/>
    <w:rsid w:val="006C7786"/>
    <w:rsid w:val="006D4A01"/>
    <w:rsid w:val="006D55BC"/>
    <w:rsid w:val="006E02BF"/>
    <w:rsid w:val="006E18F7"/>
    <w:rsid w:val="006E3351"/>
    <w:rsid w:val="006E5962"/>
    <w:rsid w:val="006F0FC4"/>
    <w:rsid w:val="00700399"/>
    <w:rsid w:val="00706BE5"/>
    <w:rsid w:val="00710650"/>
    <w:rsid w:val="00710C2A"/>
    <w:rsid w:val="00712076"/>
    <w:rsid w:val="00714D50"/>
    <w:rsid w:val="00715286"/>
    <w:rsid w:val="00724031"/>
    <w:rsid w:val="0072426D"/>
    <w:rsid w:val="00727826"/>
    <w:rsid w:val="00741A96"/>
    <w:rsid w:val="00741B5C"/>
    <w:rsid w:val="00743500"/>
    <w:rsid w:val="00753406"/>
    <w:rsid w:val="007535BC"/>
    <w:rsid w:val="0075596A"/>
    <w:rsid w:val="00755F37"/>
    <w:rsid w:val="007640D9"/>
    <w:rsid w:val="00767273"/>
    <w:rsid w:val="00767AB1"/>
    <w:rsid w:val="0078224F"/>
    <w:rsid w:val="007A74B4"/>
    <w:rsid w:val="007B2854"/>
    <w:rsid w:val="007C07E5"/>
    <w:rsid w:val="007C2FD6"/>
    <w:rsid w:val="007C67CD"/>
    <w:rsid w:val="007D6F95"/>
    <w:rsid w:val="007E1258"/>
    <w:rsid w:val="007E1E39"/>
    <w:rsid w:val="007E3194"/>
    <w:rsid w:val="007E4714"/>
    <w:rsid w:val="007E4AB9"/>
    <w:rsid w:val="007E4F36"/>
    <w:rsid w:val="007E6580"/>
    <w:rsid w:val="007E6FF3"/>
    <w:rsid w:val="007F253A"/>
    <w:rsid w:val="007F4756"/>
    <w:rsid w:val="00803F33"/>
    <w:rsid w:val="008155F5"/>
    <w:rsid w:val="00815EB8"/>
    <w:rsid w:val="008305E2"/>
    <w:rsid w:val="00833F5F"/>
    <w:rsid w:val="0084095D"/>
    <w:rsid w:val="00841995"/>
    <w:rsid w:val="00843CD6"/>
    <w:rsid w:val="00847CD9"/>
    <w:rsid w:val="00851016"/>
    <w:rsid w:val="00851D15"/>
    <w:rsid w:val="00855EED"/>
    <w:rsid w:val="008622A9"/>
    <w:rsid w:val="008643CE"/>
    <w:rsid w:val="00872405"/>
    <w:rsid w:val="00873FCA"/>
    <w:rsid w:val="00874836"/>
    <w:rsid w:val="008768BA"/>
    <w:rsid w:val="0088019A"/>
    <w:rsid w:val="00882EC0"/>
    <w:rsid w:val="008835C0"/>
    <w:rsid w:val="00883D9E"/>
    <w:rsid w:val="008845A3"/>
    <w:rsid w:val="00884A8F"/>
    <w:rsid w:val="00884FF3"/>
    <w:rsid w:val="0088519E"/>
    <w:rsid w:val="00893E8C"/>
    <w:rsid w:val="00895F8D"/>
    <w:rsid w:val="008A2F58"/>
    <w:rsid w:val="008A5871"/>
    <w:rsid w:val="008A7C68"/>
    <w:rsid w:val="008B0ACA"/>
    <w:rsid w:val="008B618A"/>
    <w:rsid w:val="008C1BD4"/>
    <w:rsid w:val="008C777E"/>
    <w:rsid w:val="008D17A2"/>
    <w:rsid w:val="008D2E3D"/>
    <w:rsid w:val="008D327D"/>
    <w:rsid w:val="008D39BF"/>
    <w:rsid w:val="008D5C3C"/>
    <w:rsid w:val="008D7B21"/>
    <w:rsid w:val="008E005A"/>
    <w:rsid w:val="008E5E33"/>
    <w:rsid w:val="008E6AC7"/>
    <w:rsid w:val="008F2E5D"/>
    <w:rsid w:val="008F39A8"/>
    <w:rsid w:val="008F538C"/>
    <w:rsid w:val="008F622D"/>
    <w:rsid w:val="008F7AAB"/>
    <w:rsid w:val="00901614"/>
    <w:rsid w:val="00902F88"/>
    <w:rsid w:val="00906440"/>
    <w:rsid w:val="00913D65"/>
    <w:rsid w:val="0091729D"/>
    <w:rsid w:val="009173AF"/>
    <w:rsid w:val="00921CBF"/>
    <w:rsid w:val="00922818"/>
    <w:rsid w:val="009260C9"/>
    <w:rsid w:val="00931019"/>
    <w:rsid w:val="009336ED"/>
    <w:rsid w:val="009353EA"/>
    <w:rsid w:val="0093787E"/>
    <w:rsid w:val="00941ADC"/>
    <w:rsid w:val="00942FFF"/>
    <w:rsid w:val="0094393D"/>
    <w:rsid w:val="00943A52"/>
    <w:rsid w:val="00944BDD"/>
    <w:rsid w:val="009471DF"/>
    <w:rsid w:val="00947A15"/>
    <w:rsid w:val="00950B2B"/>
    <w:rsid w:val="00952BAF"/>
    <w:rsid w:val="00953BAD"/>
    <w:rsid w:val="00954273"/>
    <w:rsid w:val="00956D7A"/>
    <w:rsid w:val="00962F6B"/>
    <w:rsid w:val="00966381"/>
    <w:rsid w:val="009714E2"/>
    <w:rsid w:val="00976920"/>
    <w:rsid w:val="009800CE"/>
    <w:rsid w:val="00980EAA"/>
    <w:rsid w:val="009820F9"/>
    <w:rsid w:val="00983493"/>
    <w:rsid w:val="00983C88"/>
    <w:rsid w:val="00984DB1"/>
    <w:rsid w:val="00987C8C"/>
    <w:rsid w:val="009934E3"/>
    <w:rsid w:val="00994757"/>
    <w:rsid w:val="009968B3"/>
    <w:rsid w:val="009A3D93"/>
    <w:rsid w:val="009A3F8A"/>
    <w:rsid w:val="009A4533"/>
    <w:rsid w:val="009B1734"/>
    <w:rsid w:val="009B3EEE"/>
    <w:rsid w:val="009B4982"/>
    <w:rsid w:val="009B628F"/>
    <w:rsid w:val="009B6D1B"/>
    <w:rsid w:val="009B7757"/>
    <w:rsid w:val="009C547E"/>
    <w:rsid w:val="009C61DC"/>
    <w:rsid w:val="009D6BFC"/>
    <w:rsid w:val="009E0A38"/>
    <w:rsid w:val="009E74FF"/>
    <w:rsid w:val="009F02B9"/>
    <w:rsid w:val="009F54B7"/>
    <w:rsid w:val="00A002D9"/>
    <w:rsid w:val="00A01401"/>
    <w:rsid w:val="00A11262"/>
    <w:rsid w:val="00A12072"/>
    <w:rsid w:val="00A144B3"/>
    <w:rsid w:val="00A14BA5"/>
    <w:rsid w:val="00A17E24"/>
    <w:rsid w:val="00A23122"/>
    <w:rsid w:val="00A234EC"/>
    <w:rsid w:val="00A302CE"/>
    <w:rsid w:val="00A31513"/>
    <w:rsid w:val="00A31986"/>
    <w:rsid w:val="00A32A7D"/>
    <w:rsid w:val="00A33614"/>
    <w:rsid w:val="00A41BC2"/>
    <w:rsid w:val="00A50249"/>
    <w:rsid w:val="00A51156"/>
    <w:rsid w:val="00A54A5C"/>
    <w:rsid w:val="00A60562"/>
    <w:rsid w:val="00A611B8"/>
    <w:rsid w:val="00A61E90"/>
    <w:rsid w:val="00A621C9"/>
    <w:rsid w:val="00A62513"/>
    <w:rsid w:val="00A640B3"/>
    <w:rsid w:val="00A64473"/>
    <w:rsid w:val="00A64679"/>
    <w:rsid w:val="00A714D6"/>
    <w:rsid w:val="00A77FD7"/>
    <w:rsid w:val="00A81885"/>
    <w:rsid w:val="00A86CBB"/>
    <w:rsid w:val="00A90419"/>
    <w:rsid w:val="00A90B37"/>
    <w:rsid w:val="00A92520"/>
    <w:rsid w:val="00A945BF"/>
    <w:rsid w:val="00A949D1"/>
    <w:rsid w:val="00A95BE0"/>
    <w:rsid w:val="00AA29DA"/>
    <w:rsid w:val="00AA5B03"/>
    <w:rsid w:val="00AB33B3"/>
    <w:rsid w:val="00AB59AB"/>
    <w:rsid w:val="00AB770D"/>
    <w:rsid w:val="00AC0F09"/>
    <w:rsid w:val="00AC66AA"/>
    <w:rsid w:val="00AC69A4"/>
    <w:rsid w:val="00AD244E"/>
    <w:rsid w:val="00AD30EC"/>
    <w:rsid w:val="00AD56A4"/>
    <w:rsid w:val="00AE0AB5"/>
    <w:rsid w:val="00AF0A0E"/>
    <w:rsid w:val="00AF45AC"/>
    <w:rsid w:val="00AF5202"/>
    <w:rsid w:val="00AF747F"/>
    <w:rsid w:val="00AF7ABA"/>
    <w:rsid w:val="00B01883"/>
    <w:rsid w:val="00B05577"/>
    <w:rsid w:val="00B05F16"/>
    <w:rsid w:val="00B111F0"/>
    <w:rsid w:val="00B244DF"/>
    <w:rsid w:val="00B312FC"/>
    <w:rsid w:val="00B32BDA"/>
    <w:rsid w:val="00B34D28"/>
    <w:rsid w:val="00B40A9E"/>
    <w:rsid w:val="00B41DF3"/>
    <w:rsid w:val="00B43505"/>
    <w:rsid w:val="00B5045F"/>
    <w:rsid w:val="00B5089D"/>
    <w:rsid w:val="00B5154A"/>
    <w:rsid w:val="00B535D9"/>
    <w:rsid w:val="00B535E0"/>
    <w:rsid w:val="00B62D0E"/>
    <w:rsid w:val="00B64E8D"/>
    <w:rsid w:val="00B75452"/>
    <w:rsid w:val="00B91580"/>
    <w:rsid w:val="00B9340F"/>
    <w:rsid w:val="00B94E2B"/>
    <w:rsid w:val="00BA20C0"/>
    <w:rsid w:val="00BA475D"/>
    <w:rsid w:val="00BA67AF"/>
    <w:rsid w:val="00BB0FCB"/>
    <w:rsid w:val="00BB2B92"/>
    <w:rsid w:val="00BB7984"/>
    <w:rsid w:val="00BE0202"/>
    <w:rsid w:val="00BE2885"/>
    <w:rsid w:val="00BE59E6"/>
    <w:rsid w:val="00BE6174"/>
    <w:rsid w:val="00BE7CBE"/>
    <w:rsid w:val="00BF0082"/>
    <w:rsid w:val="00BF186F"/>
    <w:rsid w:val="00BF43F6"/>
    <w:rsid w:val="00BF4947"/>
    <w:rsid w:val="00C200CE"/>
    <w:rsid w:val="00C216CD"/>
    <w:rsid w:val="00C25C38"/>
    <w:rsid w:val="00C3353A"/>
    <w:rsid w:val="00C33EA5"/>
    <w:rsid w:val="00C3638C"/>
    <w:rsid w:val="00C40FC8"/>
    <w:rsid w:val="00C411B9"/>
    <w:rsid w:val="00C42597"/>
    <w:rsid w:val="00C45F98"/>
    <w:rsid w:val="00C461A4"/>
    <w:rsid w:val="00C47E08"/>
    <w:rsid w:val="00C5000E"/>
    <w:rsid w:val="00C51361"/>
    <w:rsid w:val="00C54C50"/>
    <w:rsid w:val="00C609B9"/>
    <w:rsid w:val="00C64C5D"/>
    <w:rsid w:val="00C65117"/>
    <w:rsid w:val="00C6590C"/>
    <w:rsid w:val="00C70BA5"/>
    <w:rsid w:val="00C71E6F"/>
    <w:rsid w:val="00C74A1A"/>
    <w:rsid w:val="00C76C73"/>
    <w:rsid w:val="00C834E4"/>
    <w:rsid w:val="00C83E7A"/>
    <w:rsid w:val="00C86B97"/>
    <w:rsid w:val="00C91AF3"/>
    <w:rsid w:val="00C94CDD"/>
    <w:rsid w:val="00C95298"/>
    <w:rsid w:val="00C97AD0"/>
    <w:rsid w:val="00CA0860"/>
    <w:rsid w:val="00CB1773"/>
    <w:rsid w:val="00CB1A3A"/>
    <w:rsid w:val="00CB4233"/>
    <w:rsid w:val="00CB47B7"/>
    <w:rsid w:val="00CB6188"/>
    <w:rsid w:val="00CB765F"/>
    <w:rsid w:val="00CC1695"/>
    <w:rsid w:val="00CC4018"/>
    <w:rsid w:val="00CC52BC"/>
    <w:rsid w:val="00CD50D8"/>
    <w:rsid w:val="00CE340D"/>
    <w:rsid w:val="00CE3619"/>
    <w:rsid w:val="00CE7DC3"/>
    <w:rsid w:val="00CF7D59"/>
    <w:rsid w:val="00D00F7C"/>
    <w:rsid w:val="00D05979"/>
    <w:rsid w:val="00D11CDB"/>
    <w:rsid w:val="00D16030"/>
    <w:rsid w:val="00D17324"/>
    <w:rsid w:val="00D21CBA"/>
    <w:rsid w:val="00D221A9"/>
    <w:rsid w:val="00D22E9D"/>
    <w:rsid w:val="00D2532B"/>
    <w:rsid w:val="00D3144E"/>
    <w:rsid w:val="00D42632"/>
    <w:rsid w:val="00D426CF"/>
    <w:rsid w:val="00D450D5"/>
    <w:rsid w:val="00D46BA2"/>
    <w:rsid w:val="00D531F7"/>
    <w:rsid w:val="00D53342"/>
    <w:rsid w:val="00D535D1"/>
    <w:rsid w:val="00D541DB"/>
    <w:rsid w:val="00D74425"/>
    <w:rsid w:val="00D745D0"/>
    <w:rsid w:val="00D8436B"/>
    <w:rsid w:val="00D86FB9"/>
    <w:rsid w:val="00D9038B"/>
    <w:rsid w:val="00D936D8"/>
    <w:rsid w:val="00D94B4C"/>
    <w:rsid w:val="00DA2F5E"/>
    <w:rsid w:val="00DA396D"/>
    <w:rsid w:val="00DB1204"/>
    <w:rsid w:val="00DB1BA3"/>
    <w:rsid w:val="00DB262F"/>
    <w:rsid w:val="00DC3374"/>
    <w:rsid w:val="00DC5727"/>
    <w:rsid w:val="00DD2C07"/>
    <w:rsid w:val="00DD594D"/>
    <w:rsid w:val="00DD6522"/>
    <w:rsid w:val="00DD6951"/>
    <w:rsid w:val="00DE06D2"/>
    <w:rsid w:val="00DE1263"/>
    <w:rsid w:val="00DE3136"/>
    <w:rsid w:val="00DE3BC9"/>
    <w:rsid w:val="00DE6033"/>
    <w:rsid w:val="00DF522E"/>
    <w:rsid w:val="00DF5379"/>
    <w:rsid w:val="00DF6CDA"/>
    <w:rsid w:val="00E03FF4"/>
    <w:rsid w:val="00E057E6"/>
    <w:rsid w:val="00E06D31"/>
    <w:rsid w:val="00E13A29"/>
    <w:rsid w:val="00E13A4B"/>
    <w:rsid w:val="00E160EA"/>
    <w:rsid w:val="00E2451F"/>
    <w:rsid w:val="00E3110C"/>
    <w:rsid w:val="00E41711"/>
    <w:rsid w:val="00E44770"/>
    <w:rsid w:val="00E54495"/>
    <w:rsid w:val="00E559D6"/>
    <w:rsid w:val="00E61537"/>
    <w:rsid w:val="00E62CCB"/>
    <w:rsid w:val="00E6316A"/>
    <w:rsid w:val="00E67763"/>
    <w:rsid w:val="00E71E0F"/>
    <w:rsid w:val="00E751E3"/>
    <w:rsid w:val="00E836DC"/>
    <w:rsid w:val="00E843F5"/>
    <w:rsid w:val="00E9090A"/>
    <w:rsid w:val="00E935D2"/>
    <w:rsid w:val="00E94B32"/>
    <w:rsid w:val="00EA08F4"/>
    <w:rsid w:val="00EB0009"/>
    <w:rsid w:val="00EB0877"/>
    <w:rsid w:val="00EB443B"/>
    <w:rsid w:val="00EB47BF"/>
    <w:rsid w:val="00EB5ADC"/>
    <w:rsid w:val="00EC2037"/>
    <w:rsid w:val="00EC297C"/>
    <w:rsid w:val="00ED10EC"/>
    <w:rsid w:val="00ED65DA"/>
    <w:rsid w:val="00ED69C4"/>
    <w:rsid w:val="00EE0362"/>
    <w:rsid w:val="00EE4F56"/>
    <w:rsid w:val="00EF2BC7"/>
    <w:rsid w:val="00F00552"/>
    <w:rsid w:val="00F01BE7"/>
    <w:rsid w:val="00F03303"/>
    <w:rsid w:val="00F043DB"/>
    <w:rsid w:val="00F05FBF"/>
    <w:rsid w:val="00F06DE9"/>
    <w:rsid w:val="00F204F2"/>
    <w:rsid w:val="00F20D08"/>
    <w:rsid w:val="00F21248"/>
    <w:rsid w:val="00F2436E"/>
    <w:rsid w:val="00F271F0"/>
    <w:rsid w:val="00F30B74"/>
    <w:rsid w:val="00F332C6"/>
    <w:rsid w:val="00F40839"/>
    <w:rsid w:val="00F40A3A"/>
    <w:rsid w:val="00F44DAA"/>
    <w:rsid w:val="00F50922"/>
    <w:rsid w:val="00F55D93"/>
    <w:rsid w:val="00F5644E"/>
    <w:rsid w:val="00F5769E"/>
    <w:rsid w:val="00F578A4"/>
    <w:rsid w:val="00F6041A"/>
    <w:rsid w:val="00F606E9"/>
    <w:rsid w:val="00F60988"/>
    <w:rsid w:val="00F62792"/>
    <w:rsid w:val="00F65AD3"/>
    <w:rsid w:val="00F66FCA"/>
    <w:rsid w:val="00F725E2"/>
    <w:rsid w:val="00F7412A"/>
    <w:rsid w:val="00F816DB"/>
    <w:rsid w:val="00F823F6"/>
    <w:rsid w:val="00F87AC2"/>
    <w:rsid w:val="00F92DEB"/>
    <w:rsid w:val="00F9649C"/>
    <w:rsid w:val="00F971CC"/>
    <w:rsid w:val="00FA4F22"/>
    <w:rsid w:val="00FA7EA8"/>
    <w:rsid w:val="00FB1115"/>
    <w:rsid w:val="00FB1A2E"/>
    <w:rsid w:val="00FB2276"/>
    <w:rsid w:val="00FB2D0D"/>
    <w:rsid w:val="00FB4DAF"/>
    <w:rsid w:val="00FB6606"/>
    <w:rsid w:val="00FC1679"/>
    <w:rsid w:val="00FC24AE"/>
    <w:rsid w:val="00FC5528"/>
    <w:rsid w:val="00FD2B57"/>
    <w:rsid w:val="00FD518F"/>
    <w:rsid w:val="00FD611A"/>
    <w:rsid w:val="00FE2369"/>
    <w:rsid w:val="00FE6D90"/>
    <w:rsid w:val="00FF1139"/>
    <w:rsid w:val="00FF1BEB"/>
    <w:rsid w:val="00FF26B4"/>
    <w:rsid w:val="00FF2CCC"/>
    <w:rsid w:val="00FF4F69"/>
    <w:rsid w:val="00FF72D9"/>
    <w:rsid w:val="03043845"/>
    <w:rsid w:val="04B40473"/>
    <w:rsid w:val="05992EC1"/>
    <w:rsid w:val="08C162EA"/>
    <w:rsid w:val="08CA11EE"/>
    <w:rsid w:val="105D38C8"/>
    <w:rsid w:val="111D6AFE"/>
    <w:rsid w:val="17DF1003"/>
    <w:rsid w:val="1C941AFC"/>
    <w:rsid w:val="20064FF3"/>
    <w:rsid w:val="23CF4C5E"/>
    <w:rsid w:val="25596395"/>
    <w:rsid w:val="35FF2B6E"/>
    <w:rsid w:val="36C15A4B"/>
    <w:rsid w:val="3D637580"/>
    <w:rsid w:val="404D3801"/>
    <w:rsid w:val="44413B95"/>
    <w:rsid w:val="446127CC"/>
    <w:rsid w:val="52FE5BA0"/>
    <w:rsid w:val="54CF60E2"/>
    <w:rsid w:val="56AC0D48"/>
    <w:rsid w:val="5E0A0A9B"/>
    <w:rsid w:val="602C35D6"/>
    <w:rsid w:val="606A5796"/>
    <w:rsid w:val="696F0645"/>
    <w:rsid w:val="6D21400C"/>
    <w:rsid w:val="6D852676"/>
    <w:rsid w:val="6EF27346"/>
    <w:rsid w:val="6FF57FD1"/>
    <w:rsid w:val="73297F1D"/>
    <w:rsid w:val="75DF0842"/>
    <w:rsid w:val="761C2C67"/>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9"/>
    <w:autoRedefine/>
    <w:semiHidden/>
    <w:unhideWhenUsed/>
    <w:qFormat/>
    <w:uiPriority w:val="0"/>
    <w:pPr>
      <w:spacing w:after="120"/>
      <w:ind w:left="420" w:leftChars="200"/>
    </w:pPr>
  </w:style>
  <w:style w:type="paragraph" w:styleId="3">
    <w:name w:val="Plain Text"/>
    <w:basedOn w:val="1"/>
    <w:link w:val="18"/>
    <w:autoRedefine/>
    <w:qFormat/>
    <w:uiPriority w:val="0"/>
    <w:rPr>
      <w:rFonts w:ascii="宋体" w:hAnsi="Courier New"/>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6"/>
    <w:autoRedefine/>
    <w:qFormat/>
    <w:uiPriority w:val="0"/>
    <w:pPr>
      <w:adjustRightInd w:val="0"/>
      <w:spacing w:after="120" w:line="360" w:lineRule="atLeast"/>
      <w:ind w:left="420" w:leftChars="200"/>
      <w:jc w:val="left"/>
      <w:textAlignment w:val="baseline"/>
    </w:pPr>
    <w:rPr>
      <w:kern w:val="0"/>
      <w:sz w:val="16"/>
      <w:szCs w:val="16"/>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0"/>
    <w:rPr>
      <w:color w:val="0000FF"/>
      <w:u w:val="single"/>
    </w:rPr>
  </w:style>
  <w:style w:type="character" w:customStyle="1" w:styleId="12">
    <w:name w:val="页眉 Char"/>
    <w:basedOn w:val="10"/>
    <w:link w:val="6"/>
    <w:autoRedefine/>
    <w:qFormat/>
    <w:uiPriority w:val="99"/>
    <w:rPr>
      <w:kern w:val="2"/>
      <w:sz w:val="18"/>
      <w:szCs w:val="18"/>
    </w:rPr>
  </w:style>
  <w:style w:type="character" w:customStyle="1" w:styleId="13">
    <w:name w:val="页脚 Char"/>
    <w:basedOn w:val="10"/>
    <w:link w:val="5"/>
    <w:autoRedefine/>
    <w:qFormat/>
    <w:uiPriority w:val="99"/>
    <w:rPr>
      <w:kern w:val="2"/>
      <w:sz w:val="18"/>
      <w:szCs w:val="18"/>
    </w:rPr>
  </w:style>
  <w:style w:type="character" w:customStyle="1" w:styleId="14">
    <w:name w:val="批注框文本 Char"/>
    <w:basedOn w:val="10"/>
    <w:link w:val="4"/>
    <w:autoRedefine/>
    <w:qFormat/>
    <w:uiPriority w:val="0"/>
    <w:rPr>
      <w:kern w:val="2"/>
      <w:sz w:val="18"/>
      <w:szCs w:val="18"/>
    </w:rPr>
  </w:style>
  <w:style w:type="paragraph" w:customStyle="1" w:styleId="15">
    <w:name w:val="样式 (西文) 宋体 四号 两端对齐 行距: 1.5 倍行距 首行缩进:  2.14 字符1"/>
    <w:basedOn w:val="1"/>
    <w:autoRedefine/>
    <w:qFormat/>
    <w:uiPriority w:val="0"/>
    <w:pPr>
      <w:autoSpaceDE w:val="0"/>
      <w:autoSpaceDN w:val="0"/>
      <w:adjustRightInd w:val="0"/>
      <w:spacing w:line="360" w:lineRule="auto"/>
      <w:ind w:left="200" w:leftChars="100" w:right="200" w:rightChars="100" w:firstLine="514" w:firstLineChars="214"/>
      <w:textAlignment w:val="baseline"/>
    </w:pPr>
    <w:rPr>
      <w:rFonts w:ascii="宋体" w:cs="宋体"/>
      <w:kern w:val="0"/>
      <w:sz w:val="24"/>
      <w:szCs w:val="20"/>
    </w:rPr>
  </w:style>
  <w:style w:type="character" w:customStyle="1" w:styleId="16">
    <w:name w:val="正文文本缩进 3 Char"/>
    <w:basedOn w:val="10"/>
    <w:link w:val="7"/>
    <w:autoRedefine/>
    <w:qFormat/>
    <w:uiPriority w:val="0"/>
    <w:rPr>
      <w:sz w:val="16"/>
      <w:szCs w:val="16"/>
    </w:rPr>
  </w:style>
  <w:style w:type="character" w:customStyle="1" w:styleId="17">
    <w:name w:val="纯文本 Char"/>
    <w:basedOn w:val="10"/>
    <w:autoRedefine/>
    <w:qFormat/>
    <w:uiPriority w:val="0"/>
    <w:rPr>
      <w:rFonts w:ascii="宋体" w:hAnsi="Courier New" w:cs="Courier New"/>
      <w:kern w:val="2"/>
      <w:sz w:val="21"/>
      <w:szCs w:val="21"/>
    </w:rPr>
  </w:style>
  <w:style w:type="character" w:customStyle="1" w:styleId="18">
    <w:name w:val="纯文本 Char1"/>
    <w:link w:val="3"/>
    <w:autoRedefine/>
    <w:qFormat/>
    <w:uiPriority w:val="0"/>
    <w:rPr>
      <w:rFonts w:ascii="宋体" w:hAnsi="Courier New"/>
      <w:kern w:val="2"/>
      <w:sz w:val="21"/>
      <w:szCs w:val="24"/>
    </w:rPr>
  </w:style>
  <w:style w:type="character" w:customStyle="1" w:styleId="19">
    <w:name w:val="正文文本缩进 Char"/>
    <w:basedOn w:val="10"/>
    <w:link w:val="2"/>
    <w:autoRedefine/>
    <w:semiHidden/>
    <w:qFormat/>
    <w:uiPriority w:val="0"/>
    <w:rPr>
      <w:kern w:val="2"/>
      <w:sz w:val="21"/>
      <w:szCs w:val="24"/>
    </w:rPr>
  </w:style>
  <w:style w:type="paragraph" w:customStyle="1" w:styleId="20">
    <w:name w:val="Other|1"/>
    <w:basedOn w:val="1"/>
    <w:autoRedefine/>
    <w:qFormat/>
    <w:uiPriority w:val="0"/>
    <w:pPr>
      <w:widowControl w:val="0"/>
      <w:shd w:val="clear" w:color="auto" w:fill="auto"/>
      <w:jc w:val="center"/>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22DF-7164-48B8-B078-97F974308396}">
  <ds:schemaRefs/>
</ds:datastoreItem>
</file>

<file path=docProps/app.xml><?xml version="1.0" encoding="utf-8"?>
<Properties xmlns="http://schemas.openxmlformats.org/officeDocument/2006/extended-properties" xmlns:vt="http://schemas.openxmlformats.org/officeDocument/2006/docPropsVTypes">
  <Template>Normal</Template>
  <Company>newtech</Company>
  <Pages>6</Pages>
  <Words>6095</Words>
  <Characters>6250</Characters>
  <Lines>46</Lines>
  <Paragraphs>13</Paragraphs>
  <TotalTime>5</TotalTime>
  <ScaleCrop>false</ScaleCrop>
  <LinksUpToDate>false</LinksUpToDate>
  <CharactersWithSpaces>6259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2022-06-25T08:44:00Z</dcterms:created>
  <dc:creator>系统管理员(admin)</dc:creator>
  <cp:lastModifiedBy>蒋军大人</cp:lastModifiedBy>
  <cp:lastPrinted>2010-08-12T07:26:00Z</cp:lastPrinted>
  <dcterms:modified xsi:type="dcterms:W3CDTF">2025-10-26T10:09:04Z</dcterms:modified>
  <dc:title>填 表 须 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0369C249374A4C4391E85B37B0371093_13</vt:lpwstr>
  </property>
  <property fmtid="{D5CDD505-2E9C-101B-9397-08002B2CF9AE}" pid="4" name="KSOTemplateDocerSaveRecord">
    <vt:lpwstr>eyJoZGlkIjoiZDA5ZGQ4M2ZjYmFhOTI4MThkMDJlZjRkMjEzNDNiZDYiLCJ1c2VySWQiOiIxNjI3NzY1NiJ9</vt:lpwstr>
  </property>
</Properties>
</file>