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JSZC-321000-SWGC-G2025-0215</w:t>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宋体" w:hAnsi="宋体"/>
          <w:b/>
          <w:bCs/>
          <w:color w:val="auto"/>
          <w:sz w:val="36"/>
          <w:highlight w:val="none"/>
          <w:lang w:eastAsia="zh-CN"/>
        </w:rPr>
      </w:pPr>
      <w:r>
        <w:rPr>
          <w:rFonts w:hint="eastAsia" w:ascii="宋体" w:hAnsi="宋体"/>
          <w:b/>
          <w:bCs/>
          <w:color w:val="auto"/>
          <w:sz w:val="36"/>
          <w:highlight w:val="none"/>
          <w:lang w:eastAsia="zh-CN"/>
        </w:rPr>
        <w:t xml:space="preserve">扬州市妇幼保健院便携式彩超采购项目（二次）</w:t>
      </w:r>
      <w:r/>
    </w:p>
    <w:p>
      <w:pPr>
        <w:jc w:val="center"/>
        <w:rPr>
          <w:rFonts w:ascii="宋体" w:hAnsi="宋体"/>
          <w:b/>
          <w:bCs/>
          <w:color w:val="auto"/>
          <w:sz w:val="36"/>
          <w:highlight w:val="none"/>
        </w:rPr>
      </w:pPr>
      <w:r>
        <w:rPr>
          <w:rFonts w:hint="eastAsia" w:ascii="宋体" w:hAnsi="宋体"/>
          <w:b/>
          <w:bCs/>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1"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3"/>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alse">
                <v:path textboxrect="0,0,0,0"/>
                <v:imagedata r:id="rId13"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rPr>
          <w:rFonts w:ascii="宋体" w:hAnsi="宋体"/>
          <w:b/>
          <w:bCs/>
          <w:color w:val="auto"/>
          <w:sz w:val="36"/>
          <w:highlight w:val="none"/>
        </w:rPr>
      </w:pPr>
      <w:r>
        <w:rPr>
          <w:rFonts w:hint="eastAsia" w:ascii="宋体" w:hAnsi="宋体"/>
          <w:b/>
          <w:bCs/>
          <w:color w:val="auto"/>
          <w:sz w:val="36"/>
          <w:highlight w:val="none"/>
        </w:rPr>
        <w:t xml:space="preserve">20</w:t>
      </w:r>
      <w:r>
        <w:rPr>
          <w:rFonts w:hint="default" w:ascii="宋体" w:hAnsi="宋体"/>
          <w:b/>
          <w:bCs/>
          <w:color w:val="auto"/>
          <w:sz w:val="36"/>
          <w:highlight w:val="none"/>
          <w:lang w:val="en-US"/>
        </w:rPr>
        <w:t xml:space="preserve">25</w:t>
      </w:r>
      <w:r>
        <w:rPr>
          <w:rFonts w:hint="eastAsia" w:ascii="宋体" w:hAnsi="宋体"/>
          <w:b/>
          <w:bCs/>
          <w:color w:val="auto"/>
          <w:sz w:val="36"/>
          <w:highlight w:val="none"/>
        </w:rPr>
        <w:t xml:space="preserve">年</w:t>
      </w:r>
      <w:r>
        <w:rPr>
          <w:rFonts w:hint="default" w:ascii="宋体" w:hAnsi="宋体"/>
          <w:b/>
          <w:bCs/>
          <w:color w:val="auto"/>
          <w:sz w:val="36"/>
          <w:highlight w:val="none"/>
          <w:lang w:val="en-US" w:eastAsia="zh-CN"/>
        </w:rPr>
        <w:t xml:space="preserve">10</w:t>
      </w:r>
      <w:r>
        <w:rPr>
          <w:rFonts w:hint="eastAsia" w:ascii="宋体" w:hAnsi="宋体"/>
          <w:b/>
          <w:bCs/>
          <w:color w:val="auto"/>
          <w:sz w:val="36"/>
          <w:highlight w:val="none"/>
        </w:rPr>
        <w:t xml:space="preserve">月</w:t>
      </w:r>
      <w:r>
        <w:rPr>
          <w:rFonts w:hint="default" w:ascii="宋体" w:hAnsi="宋体"/>
          <w:b/>
          <w:bCs/>
          <w:color w:val="auto"/>
          <w:sz w:val="36"/>
          <w:highlight w:val="none"/>
          <w:lang w:val="en-US" w:eastAsia="zh-CN"/>
        </w:rPr>
        <w:t xml:space="preserve">15</w:t>
      </w:r>
      <w:r>
        <w:rPr>
          <w:rFonts w:hint="eastAsia" w:ascii="宋体" w:hAnsi="宋体"/>
          <w:b/>
          <w:bCs/>
          <w:color w:val="auto"/>
          <w:sz w:val="36"/>
          <w:highlight w:val="none"/>
        </w:rPr>
        <w:t xml:space="preserve">日</w:t>
      </w:r>
      <w:r/>
    </w:p>
    <w:p>
      <w:pPr>
        <w:jc w:val="center"/>
        <w:rPr>
          <w:rFonts w:ascii="宋体" w:hAnsi="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2"/>
          <w:highlight w:val="none"/>
        </w:rPr>
      </w:r>
      <w:r/>
    </w:p>
    <w:p>
      <w:pPr>
        <w:pStyle w:val="714"/>
        <w:rPr>
          <w:color w:val="auto"/>
          <w:highlight w:val="none"/>
        </w:rPr>
      </w:pPr>
      <w:r>
        <w:rPr>
          <w:color w:val="auto"/>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717"/>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eastAsia="zh-CN"/>
        </w:rPr>
        <w:t xml:space="preserve">扬州市妇幼保健院便携式彩超采购项目（二次）</w:t>
      </w:r>
      <w:r>
        <w:rPr>
          <w:rFonts w:hint="eastAsia" w:ascii="宋体" w:hAnsi="宋体" w:eastAsia="宋体" w:cs="宋体"/>
          <w:color w:val="auto"/>
          <w:sz w:val="24"/>
          <w:szCs w:val="24"/>
          <w:highlight w:val="none"/>
        </w:rPr>
        <w:t xml:space="preserve">采购公告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_Toc26289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p>
    <w:p>
      <w:pPr>
        <w:pStyle w:val="717"/>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_Toc16662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p>
    <w:p>
      <w:pPr>
        <w:pStyle w:val="717"/>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_Toc11194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p>
    <w:p>
      <w:pPr>
        <w:pStyle w:val="717"/>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rPr>
        <w:t xml:space="preserve">第四章 </w:t>
      </w:r>
      <w:r>
        <w:rPr>
          <w:rFonts w:hint="eastAsia" w:ascii="宋体" w:hAnsi="宋体" w:eastAsia="宋体" w:cs="宋体"/>
          <w:color w:val="auto"/>
          <w:sz w:val="24"/>
          <w:szCs w:val="24"/>
          <w:highlight w:val="none"/>
        </w:rPr>
        <w:t xml:space="preserve">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_Toc27340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24</w:t>
      </w:r>
      <w:r>
        <w:rPr>
          <w:rFonts w:hint="eastAsia" w:ascii="宋体" w:hAnsi="宋体" w:eastAsia="宋体" w:cs="宋体"/>
          <w:sz w:val="24"/>
          <w:szCs w:val="24"/>
        </w:rPr>
        <w:fldChar w:fldCharType="end"/>
      </w:r>
      <w:r/>
    </w:p>
    <w:p>
      <w:pPr>
        <w:pStyle w:val="717"/>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第五章 评标方法及评标标准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_Toc11079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29</w:t>
      </w:r>
      <w:r>
        <w:rPr>
          <w:rFonts w:hint="eastAsia" w:ascii="宋体" w:hAnsi="宋体" w:eastAsia="宋体" w:cs="宋体"/>
          <w:sz w:val="24"/>
          <w:szCs w:val="24"/>
        </w:rPr>
        <w:fldChar w:fldCharType="end"/>
      </w:r>
      <w:r/>
    </w:p>
    <w:p>
      <w:pPr>
        <w:pStyle w:val="717"/>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_Toc16558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p>
    <w:p>
      <w:pPr>
        <w:keepLines w:val="0"/>
        <w:keepNext w:val="0"/>
        <w:pageBreakBefore w:val="0"/>
        <w:spacing w:line="360" w:lineRule="auto"/>
        <w:widowControl w:val="off"/>
        <w:rPr>
          <w:rFonts w:ascii="宋体" w:hAnsi="宋体"/>
          <w:color w:val="auto"/>
          <w:sz w:val="28"/>
          <w:highlight w:val="none"/>
        </w:rPr>
      </w:pPr>
      <w:r>
        <w:rPr>
          <w:rFonts w:hint="eastAsia" w:ascii="宋体" w:hAnsi="宋体" w:eastAsia="宋体" w:cs="宋体"/>
          <w:color w:val="auto"/>
          <w:sz w:val="24"/>
          <w:szCs w:val="24"/>
          <w:highlight w:val="none"/>
        </w:rPr>
        <w:fldChar w:fldCharType="end"/>
      </w:r>
      <w:r/>
    </w:p>
    <w:p>
      <w:pPr>
        <w:rPr>
          <w:color w:val="auto"/>
          <w:highlight w:val="none"/>
        </w:rPr>
      </w:pPr>
      <w:r>
        <w:rPr>
          <w:rFonts w:hint="eastAsia" w:ascii="宋体" w:hAnsi="宋体"/>
          <w:color w:val="auto"/>
          <w:sz w:val="28"/>
          <w:highlight w:val="none"/>
        </w:rPr>
        <w:br w:type="page" w:clear="all"/>
      </w:r>
      <w:bookmarkStart w:id="86" w:name="_GoBack"/>
      <w:r/>
      <w:bookmarkEnd w:id="86"/>
      <w:r/>
      <w:r/>
    </w:p>
    <w:p>
      <w:pPr>
        <w:pStyle w:val="686"/>
        <w:jc w:val="center"/>
        <w:rPr>
          <w:rFonts w:ascii="宋体" w:hAnsi="宋体"/>
          <w:color w:val="auto"/>
          <w:sz w:val="36"/>
          <w:szCs w:val="36"/>
          <w:highlight w:val="none"/>
        </w:rPr>
      </w:pPr>
      <w:r/>
      <w:bookmarkStart w:id="0" w:name="_Toc55204177"/>
      <w:r/>
      <w:bookmarkStart w:id="1" w:name="_Toc26289"/>
      <w:r>
        <w:rPr>
          <w:rFonts w:hint="eastAsia" w:ascii="宋体" w:hAnsi="宋体"/>
          <w:color w:val="auto"/>
          <w:sz w:val="36"/>
          <w:szCs w:val="36"/>
          <w:highlight w:val="none"/>
        </w:rPr>
        <w:t xml:space="preserve">第一章 </w:t>
      </w:r>
      <w:r>
        <w:rPr>
          <w:rFonts w:hint="eastAsia" w:ascii="宋体" w:hAnsi="宋体"/>
          <w:color w:val="auto"/>
          <w:sz w:val="36"/>
          <w:szCs w:val="36"/>
          <w:highlight w:val="none"/>
          <w:lang w:eastAsia="zh-CN"/>
        </w:rPr>
        <w:t xml:space="preserve">扬州市妇幼保健院便携式彩超采购项目（二次）</w:t>
      </w:r>
      <w:r>
        <w:rPr>
          <w:rFonts w:hint="eastAsia" w:ascii="宋体" w:hAnsi="宋体"/>
          <w:color w:val="auto"/>
          <w:sz w:val="36"/>
          <w:szCs w:val="36"/>
          <w:highlight w:val="none"/>
        </w:rPr>
        <w:t xml:space="preserve">采购公告</w:t>
      </w:r>
      <w:bookmarkEnd w:id="0"/>
      <w:r/>
      <w:bookmarkEnd w:id="1"/>
      <w:r/>
      <w:r/>
    </w:p>
    <w:p>
      <w:pPr>
        <w:ind w:firstLine="420"/>
        <w:jc w:val="left"/>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扬州市妇幼保健院</w:t>
      </w:r>
      <w:r>
        <w:rPr>
          <w:rFonts w:hint="eastAsia" w:ascii="宋体" w:hAnsi="宋体" w:cs="宋体"/>
          <w:color w:val="auto"/>
          <w:highlight w:val="none"/>
        </w:rPr>
        <w:t xml:space="preserve">的委托，江苏苏维工程管理有限公司就</w:t>
      </w:r>
      <w:r>
        <w:rPr>
          <w:rFonts w:hint="eastAsia" w:ascii="宋体" w:hAnsi="宋体"/>
          <w:color w:val="auto"/>
          <w:highlight w:val="none"/>
          <w:lang w:eastAsia="zh-CN"/>
        </w:rPr>
        <w:t xml:space="preserve">扬州市妇幼保健院便携式彩超采购项目（二次）</w:t>
      </w:r>
      <w:r>
        <w:rPr>
          <w:rFonts w:hint="eastAsia" w:ascii="宋体" w:hAnsi="宋体" w:cs="宋体"/>
          <w:color w:val="auto"/>
          <w:highlight w:val="none"/>
        </w:rPr>
        <w:t xml:space="preserve">(</w:t>
      </w:r>
      <w:r>
        <w:rPr>
          <w:rFonts w:hint="eastAsia" w:ascii="宋体" w:hAnsi="宋体"/>
          <w:color w:val="auto"/>
          <w:szCs w:val="21"/>
          <w:highlight w:val="none"/>
          <w:lang w:eastAsia="zh-CN"/>
        </w:rPr>
        <w:t xml:space="preserve">JSZC-321000-SWGC-G2025-0215</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u w:val="single"/>
          <w:lang w:eastAsia="zh-CN"/>
        </w:rPr>
        <w:t xml:space="preserve">扬州市妇幼保健院便携式彩超采购项目（二次）</w:t>
      </w:r>
      <w:r>
        <w:rPr>
          <w:rFonts w:hint="eastAsia" w:ascii="宋体" w:hAnsi="宋体" w:cs="宋体"/>
          <w:color w:val="auto"/>
          <w:highlight w:val="none"/>
        </w:rPr>
        <w:t xml:space="preserve">的潜在投标人可在</w:t>
      </w:r>
      <w:r>
        <w:rPr>
          <w:rFonts w:hint="eastAsia" w:ascii="宋体" w:hAnsi="宋体" w:cs="宋体"/>
          <w:color w:val="auto"/>
          <w:highlight w:val="none"/>
          <w:u w:val="single"/>
          <w:lang w:eastAsia="zh-CN"/>
        </w:rPr>
        <w:t xml:space="preserve">“扬州市政府采购网”、“江苏省政府采购网”和“中国政府采购网”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default" w:ascii="宋体" w:hAnsi="宋体" w:cs="宋体"/>
          <w:bCs/>
          <w:color w:val="auto"/>
          <w:highlight w:val="none"/>
          <w:u w:val="single"/>
          <w:lang w:val="en-US"/>
        </w:rPr>
        <w:t xml:space="preserve">2025</w:t>
      </w:r>
      <w:r>
        <w:rPr>
          <w:rFonts w:hint="eastAsia" w:ascii="宋体" w:hAnsi="宋体" w:cs="宋体"/>
          <w:bCs/>
          <w:color w:val="auto"/>
          <w:highlight w:val="none"/>
          <w:u w:val="single"/>
        </w:rPr>
        <w:t xml:space="preserve">年</w:t>
      </w:r>
      <w:r>
        <w:rPr>
          <w:rFonts w:hint="default" w:ascii="宋体" w:hAnsi="宋体" w:cs="宋体"/>
          <w:bCs/>
          <w:color w:val="auto"/>
          <w:highlight w:val="none"/>
          <w:u w:val="single"/>
          <w:lang w:val="en-US"/>
        </w:rPr>
        <w:t xml:space="preserve">11</w:t>
      </w:r>
      <w:r>
        <w:rPr>
          <w:rFonts w:hint="eastAsia" w:ascii="宋体" w:hAnsi="宋体" w:cs="宋体"/>
          <w:bCs/>
          <w:color w:val="auto"/>
          <w:highlight w:val="none"/>
          <w:u w:val="single"/>
        </w:rPr>
        <w:t xml:space="preserve">月</w:t>
      </w:r>
      <w:r>
        <w:rPr>
          <w:rFonts w:hint="default" w:ascii="宋体" w:hAnsi="宋体" w:cs="宋体"/>
          <w:bCs/>
          <w:color w:val="auto"/>
          <w:highlight w:val="none"/>
          <w:u w:val="single"/>
          <w:lang w:val="en-US"/>
        </w:rPr>
        <w:t xml:space="preserve">5</w:t>
      </w:r>
      <w:r>
        <w:rPr>
          <w:rFonts w:hint="eastAsia" w:ascii="宋体" w:hAnsi="宋体" w:cs="宋体"/>
          <w:bCs/>
          <w:color w:val="auto"/>
          <w:highlight w:val="none"/>
          <w:u w:val="single"/>
        </w:rPr>
        <w:t xml:space="preserve">日 上午9:30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5393621"/>
      <w:r/>
      <w:bookmarkStart w:id="3" w:name="_Toc35393790"/>
      <w:r/>
      <w:bookmarkStart w:id="4" w:name="_Toc28359079"/>
      <w:r/>
      <w:bookmarkStart w:id="5" w:name="_Toc38985263"/>
      <w:r/>
      <w:bookmarkStart w:id="6" w:name="_Toc28359002"/>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olor w:val="auto"/>
          <w:szCs w:val="21"/>
          <w:highlight w:val="none"/>
          <w:lang w:eastAsia="zh-CN"/>
        </w:rPr>
        <w:t xml:space="preserve">JSZC-321000-SWGC-G2025-0215</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bookmarkEnd w:id="7"/>
      <w:r>
        <w:rPr>
          <w:rFonts w:hint="eastAsia" w:ascii="宋体" w:hAnsi="宋体"/>
          <w:color w:val="auto"/>
          <w:highlight w:val="none"/>
          <w:lang w:eastAsia="zh-CN"/>
        </w:rPr>
        <w:t xml:space="preserve">扬州市妇幼保健院便携式彩超采购项目（二次）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3.预算金额：</w:t>
      </w:r>
      <w:r>
        <w:rPr>
          <w:rFonts w:hint="default" w:ascii="宋体" w:hAnsi="宋体" w:cs="宋体"/>
          <w:color w:val="auto"/>
          <w:highlight w:val="none"/>
          <w:lang w:val="en-US" w:eastAsia="zh-CN"/>
        </w:rPr>
        <w:t xml:space="preserve">80万元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4.本项目设置最高限价，最高限价同预算价，报价超过最高限价的为无效投标。</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7.本项目不接受联合体投标。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接受进口产品投标。</w:t>
      </w:r>
      <w:r/>
    </w:p>
    <w:p>
      <w:pPr>
        <w:spacing w:line="360" w:lineRule="auto"/>
        <w:tabs>
          <w:tab w:val="left" w:pos="266" w:leader="none"/>
        </w:tabs>
        <w:rPr>
          <w:rFonts w:ascii="宋体" w:hAnsi="宋体" w:cs="宋体"/>
          <w:b/>
          <w:bCs/>
          <w:color w:val="auto"/>
          <w:highlight w:val="none"/>
        </w:rPr>
      </w:pPr>
      <w:r/>
      <w:bookmarkStart w:id="8" w:name="_Toc35393791"/>
      <w:r/>
      <w:bookmarkStart w:id="9" w:name="_Toc28359080"/>
      <w:r/>
      <w:bookmarkStart w:id="10" w:name="_Toc38985264"/>
      <w:r/>
      <w:bookmarkStart w:id="11" w:name="_Toc35393622"/>
      <w:r/>
      <w:bookmarkStart w:id="12" w:name="_Toc28359003"/>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81"/>
      <w:r/>
      <w:bookmarkStart w:id="14" w:name="_Toc28359004"/>
      <w:r/>
      <w:bookmarkStart w:id="15" w:name="_Toc35393623"/>
      <w:r/>
      <w:bookmarkStart w:id="16" w:name="_Toc38985265"/>
      <w:r/>
      <w:bookmarkStart w:id="17" w:name="_Toc35393792"/>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b/>
          <w:bCs/>
          <w:i/>
          <w:iCs/>
          <w:color w:val="auto"/>
          <w:szCs w:val="21"/>
          <w:highlight w:val="none"/>
          <w:u w:val="single"/>
        </w:rPr>
        <w:t xml:space="preserve">新成立企业距投标截止日不足30日的，可不提供，以新办企业营业执照发放日期为准</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上一年度的财务状况报告</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color w:val="auto"/>
          <w:szCs w:val="21"/>
          <w:highlight w:val="none"/>
          <w:u w:val="single"/>
        </w:rPr>
        <w:t xml:space="preserve">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eastAsia="宋体" w:cs="宋体"/>
          <w:i/>
          <w:color w:val="auto"/>
          <w:szCs w:val="21"/>
          <w:highlight w:val="none"/>
          <w:u w:val="single"/>
          <w:lang w:eastAsia="zh-CN"/>
        </w:rPr>
      </w:pPr>
      <w:r>
        <w:rPr>
          <w:rFonts w:hint="eastAsia" w:ascii="宋体" w:hAnsi="宋体" w:cs="宋体"/>
          <w:i/>
          <w:color w:val="auto"/>
          <w:szCs w:val="21"/>
          <w:highlight w:val="none"/>
          <w:u w:val="single"/>
          <w:lang w:val="en-US" w:eastAsia="zh-CN"/>
        </w:rPr>
        <w:t xml:space="preserve">3.1</w:t>
      </w:r>
      <w:r>
        <w:rPr>
          <w:rFonts w:hint="eastAsia" w:ascii="宋体" w:hAnsi="宋体" w:cs="宋体"/>
          <w:i/>
          <w:color w:val="auto"/>
          <w:szCs w:val="21"/>
          <w:highlight w:val="none"/>
          <w:u w:val="single"/>
        </w:rPr>
        <w:t xml:space="preserve">所投产品按国家规定</w:t>
      </w:r>
      <w:r>
        <w:rPr>
          <w:rFonts w:hint="eastAsia" w:ascii="宋体" w:hAnsi="宋体" w:cs="宋体"/>
          <w:i/>
          <w:color w:val="auto"/>
          <w:szCs w:val="21"/>
          <w:highlight w:val="none"/>
          <w:u w:val="single"/>
          <w:lang w:val="en-US" w:eastAsia="zh-CN"/>
        </w:rPr>
        <w:t xml:space="preserve">须</w:t>
      </w:r>
      <w:r>
        <w:rPr>
          <w:rFonts w:hint="eastAsia" w:ascii="宋体" w:hAnsi="宋体" w:cs="宋体"/>
          <w:i/>
          <w:color w:val="auto"/>
          <w:szCs w:val="21"/>
          <w:highlight w:val="none"/>
          <w:u w:val="single"/>
        </w:rPr>
        <w:t xml:space="preserve">医疗器械注册证的，</w:t>
      </w:r>
      <w:r>
        <w:rPr>
          <w:rFonts w:hint="eastAsia" w:ascii="宋体" w:hAnsi="宋体" w:cs="宋体"/>
          <w:i/>
          <w:color w:val="auto"/>
          <w:szCs w:val="21"/>
          <w:highlight w:val="none"/>
          <w:u w:val="single"/>
          <w:lang w:val="en-US" w:eastAsia="zh-CN"/>
        </w:rPr>
        <w:t xml:space="preserve">应具有</w:t>
      </w:r>
      <w:r>
        <w:rPr>
          <w:rFonts w:hint="eastAsia" w:ascii="宋体" w:hAnsi="宋体" w:cs="宋体"/>
          <w:i/>
          <w:color w:val="auto"/>
          <w:szCs w:val="21"/>
          <w:highlight w:val="none"/>
          <w:u w:val="single"/>
        </w:rPr>
        <w:t xml:space="preserve">有效的医疗器械注册证</w:t>
      </w:r>
      <w:r>
        <w:rPr>
          <w:rFonts w:hint="eastAsia" w:ascii="宋体" w:hAnsi="宋体" w:cs="宋体"/>
          <w:i/>
          <w:color w:val="auto"/>
          <w:szCs w:val="21"/>
          <w:highlight w:val="none"/>
          <w:u w:val="singl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i/>
          <w:color w:val="auto"/>
          <w:szCs w:val="21"/>
          <w:highlight w:val="none"/>
          <w:u w:val="single"/>
          <w:lang w:val="en-US" w:eastAsia="zh-CN"/>
        </w:rPr>
        <w:t xml:space="preserve">3.2如</w:t>
      </w:r>
      <w:r>
        <w:rPr>
          <w:rFonts w:hint="eastAsia" w:ascii="宋体" w:hAnsi="宋体" w:cs="宋体"/>
          <w:i/>
          <w:color w:val="auto"/>
          <w:szCs w:val="21"/>
          <w:highlight w:val="none"/>
          <w:u w:val="single"/>
        </w:rPr>
        <w:t xml:space="preserve">投标人为</w:t>
      </w:r>
      <w:r>
        <w:rPr>
          <w:rFonts w:hint="eastAsia" w:ascii="宋体" w:hAnsi="宋体" w:cs="宋体"/>
          <w:i/>
          <w:color w:val="auto"/>
          <w:szCs w:val="21"/>
          <w:highlight w:val="none"/>
          <w:u w:val="single"/>
          <w:lang w:val="en-US" w:eastAsia="zh-CN"/>
        </w:rPr>
        <w:t xml:space="preserve">所投产品</w:t>
      </w:r>
      <w:r>
        <w:rPr>
          <w:rFonts w:hint="eastAsia" w:ascii="宋体" w:hAnsi="宋体" w:cs="宋体"/>
          <w:i/>
          <w:color w:val="auto"/>
          <w:szCs w:val="21"/>
          <w:highlight w:val="none"/>
          <w:u w:val="single"/>
        </w:rPr>
        <w:t xml:space="preserve">经营</w:t>
      </w:r>
      <w:r>
        <w:rPr>
          <w:rFonts w:hint="eastAsia" w:ascii="宋体" w:hAnsi="宋体" w:cs="宋体"/>
          <w:i/>
          <w:color w:val="auto"/>
          <w:szCs w:val="21"/>
          <w:highlight w:val="none"/>
          <w:u w:val="single"/>
          <w:lang w:val="en-US" w:eastAsia="zh-CN"/>
        </w:rPr>
        <w:t xml:space="preserve">者</w:t>
      </w:r>
      <w:r>
        <w:rPr>
          <w:rFonts w:hint="eastAsia" w:ascii="宋体" w:hAnsi="宋体" w:cs="宋体"/>
          <w:i/>
          <w:color w:val="auto"/>
          <w:szCs w:val="21"/>
          <w:highlight w:val="none"/>
          <w:u w:val="single"/>
        </w:rPr>
        <w:t xml:space="preserve">，须根据</w:t>
      </w:r>
      <w:r>
        <w:rPr>
          <w:rFonts w:hint="eastAsia" w:ascii="宋体" w:hAnsi="宋体" w:cs="宋体"/>
          <w:i/>
          <w:color w:val="auto"/>
          <w:szCs w:val="21"/>
          <w:highlight w:val="none"/>
          <w:u w:val="single"/>
          <w:lang w:val="en-US" w:eastAsia="zh-CN"/>
        </w:rPr>
        <w:t xml:space="preserve">所投产品</w:t>
      </w:r>
      <w:r>
        <w:rPr>
          <w:rFonts w:hint="eastAsia" w:ascii="宋体" w:hAnsi="宋体" w:cs="宋体"/>
          <w:i/>
          <w:color w:val="auto"/>
          <w:szCs w:val="21"/>
          <w:highlight w:val="none"/>
          <w:u w:val="single"/>
        </w:rPr>
        <w:t xml:space="preserve">的类别，提供投标人的医疗器械经营许可证或相应类别的医疗器械经营备案凭证</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lang w:val="en-US" w:eastAsia="zh-CN"/>
        </w:rPr>
        <w:t xml:space="preserve">如</w:t>
      </w:r>
      <w:r>
        <w:rPr>
          <w:rFonts w:hint="eastAsia" w:ascii="宋体" w:hAnsi="宋体" w:cs="宋体"/>
          <w:i/>
          <w:color w:val="auto"/>
          <w:szCs w:val="21"/>
          <w:highlight w:val="none"/>
          <w:u w:val="single"/>
        </w:rPr>
        <w:t xml:space="preserve">投标人为</w:t>
      </w:r>
      <w:r>
        <w:rPr>
          <w:rFonts w:hint="eastAsia" w:ascii="宋体" w:hAnsi="宋体" w:cs="宋体"/>
          <w:i/>
          <w:color w:val="auto"/>
          <w:szCs w:val="21"/>
          <w:highlight w:val="none"/>
          <w:u w:val="single"/>
          <w:lang w:val="en-US" w:eastAsia="zh-CN"/>
        </w:rPr>
        <w:t xml:space="preserve">所投产品生产者</w:t>
      </w:r>
      <w:r>
        <w:rPr>
          <w:rFonts w:hint="eastAsia" w:ascii="宋体" w:hAnsi="宋体" w:cs="宋体"/>
          <w:i/>
          <w:color w:val="auto"/>
          <w:szCs w:val="21"/>
          <w:highlight w:val="none"/>
          <w:u w:val="single"/>
        </w:rPr>
        <w:t xml:space="preserve">，须提供医疗器械生产许可证</w:t>
      </w:r>
      <w:r>
        <w:rPr>
          <w:rFonts w:hint="eastAsia" w:ascii="宋体" w:hAnsi="宋体" w:cs="宋体"/>
          <w:i/>
          <w:color w:val="auto"/>
          <w:szCs w:val="21"/>
          <w:highlight w:val="none"/>
          <w:u w:val="single"/>
          <w:lang w:eastAsia="zh-CN"/>
        </w:rPr>
        <w:t xml:space="preserve">。</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color w:val="auto"/>
          <w:highlight w:val="none"/>
        </w:rPr>
      </w:pPr>
      <w:r/>
      <w:bookmarkStart w:id="18" w:name="_Toc28359082"/>
      <w:r/>
      <w:bookmarkStart w:id="19" w:name="_Toc28359005"/>
      <w:r/>
      <w:bookmarkStart w:id="20" w:name="_Toc38985266"/>
      <w:r/>
      <w:bookmarkStart w:id="21" w:name="_Toc35393624"/>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2.获取方式：本项目采用网上注册登记方式。</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http://zfcg.yangzhou.gov.cn/xzzx/art/2023/art_4d7de1f7865f4a2894fc22bc452f94d8.html。</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2025年</w:t>
      </w:r>
      <w:r>
        <w:rPr>
          <w:rFonts w:hint="default" w:ascii="宋体" w:hAnsi="宋体" w:cs="宋体"/>
          <w:bCs/>
          <w:color w:val="auto"/>
          <w:highlight w:val="none"/>
          <w:u w:val="single"/>
          <w:lang w:val="en-US"/>
        </w:rPr>
        <w:t xml:space="preserve">11</w:t>
      </w:r>
      <w:r>
        <w:rPr>
          <w:rFonts w:hint="eastAsia" w:ascii="宋体" w:hAnsi="宋体" w:cs="宋体"/>
          <w:bCs/>
          <w:color w:val="auto"/>
          <w:highlight w:val="none"/>
          <w:u w:val="single"/>
        </w:rPr>
        <w:t xml:space="preserve">月</w:t>
      </w:r>
      <w:r>
        <w:rPr>
          <w:rFonts w:hint="default" w:ascii="宋体" w:hAnsi="宋体" w:cs="宋体"/>
          <w:bCs/>
          <w:color w:val="auto"/>
          <w:highlight w:val="none"/>
          <w:u w:val="single"/>
          <w:lang w:val="en-US"/>
        </w:rPr>
        <w:t xml:space="preserve">5</w:t>
      </w:r>
      <w:r>
        <w:rPr>
          <w:rFonts w:hint="eastAsia" w:ascii="宋体" w:hAnsi="宋体" w:cs="宋体"/>
          <w:bCs/>
          <w:color w:val="auto"/>
          <w:highlight w:val="none"/>
          <w:u w:val="single"/>
        </w:rPr>
        <w:t xml:space="preserve">日</w:t>
      </w:r>
      <w:r>
        <w:rPr>
          <w:rFonts w:hint="default" w:ascii="宋体" w:hAnsi="宋体" w:cs="宋体"/>
          <w:bCs/>
          <w:color w:val="auto"/>
          <w:highlight w:val="none"/>
          <w:u w:val="single"/>
          <w:lang w:val="en-US"/>
        </w:rPr>
        <w:t xml:space="preserve"> </w:t>
      </w:r>
      <w:r>
        <w:rPr>
          <w:rFonts w:hint="eastAsia" w:ascii="宋体" w:hAnsi="宋体" w:cs="宋体"/>
          <w:bCs/>
          <w:color w:val="auto"/>
          <w:highlight w:val="none"/>
          <w:u w:val="single"/>
          <w:lang w:val="en-US" w:eastAsia="zh-CN"/>
        </w:rPr>
        <w:t xml:space="preserve">上</w:t>
      </w:r>
      <w:r>
        <w:rPr>
          <w:rFonts w:hint="eastAsia" w:ascii="宋体" w:hAnsi="宋体" w:cs="宋体"/>
          <w:bCs/>
          <w:color w:val="auto"/>
          <w:highlight w:val="none"/>
          <w:u w:val="single"/>
        </w:rPr>
        <w:t xml:space="preserve">午</w:t>
      </w:r>
      <w:r>
        <w:rPr>
          <w:rFonts w:hint="default" w:ascii="宋体" w:hAnsi="宋体" w:cs="宋体"/>
          <w:bCs/>
          <w:color w:val="auto"/>
          <w:highlight w:val="none"/>
          <w:u w:val="single"/>
          <w:lang w:val="en-US"/>
        </w:rPr>
        <w:t xml:space="preserve">9</w:t>
      </w:r>
      <w:r>
        <w:rPr>
          <w:rFonts w:hint="eastAsia" w:ascii="宋体" w:hAnsi="宋体" w:cs="宋体"/>
          <w:bCs/>
          <w:color w:val="auto"/>
          <w:highlight w:val="none"/>
          <w:u w:val="single"/>
        </w:rPr>
        <w:t xml:space="preserve">:30</w:t>
      </w:r>
      <w:r>
        <w:rPr>
          <w:rFonts w:hint="eastAsia" w:ascii="宋体" w:hAnsi="宋体" w:cs="宋体"/>
          <w:bCs/>
          <w:color w:val="auto"/>
          <w:highlight w:val="none"/>
        </w:rPr>
        <w:t xml:space="preserve">（北京时间）</w:t>
      </w:r>
      <w:r/>
    </w:p>
    <w:p>
      <w:pPr>
        <w:ind w:firstLine="420"/>
        <w:spacing w:line="360" w:lineRule="auto"/>
        <w:rPr>
          <w:rFonts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spacing w:line="360" w:lineRule="auto"/>
        <w:tabs>
          <w:tab w:val="left" w:pos="266" w:leader="none"/>
        </w:tabs>
        <w:rPr>
          <w:rFonts w:ascii="宋体" w:hAnsi="宋体" w:cs="宋体"/>
          <w:b/>
          <w:bCs/>
          <w:color w:val="auto"/>
          <w:highlight w:val="none"/>
        </w:rPr>
      </w:pPr>
      <w:r/>
      <w:bookmarkStart w:id="23" w:name="_Toc35393794"/>
      <w:r/>
      <w:bookmarkStart w:id="24" w:name="_Toc28359084"/>
      <w:r/>
      <w:bookmarkStart w:id="25" w:name="_Toc35393625"/>
      <w:r/>
      <w:bookmarkStart w:id="26" w:name="_Toc38985267"/>
      <w:r/>
      <w:bookmarkStart w:id="27" w:name="_Toc2835900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宋体" w:hAnsi="宋体" w:cs="宋体"/>
          <w:color w:val="auto"/>
          <w:highlight w:val="none"/>
        </w:rPr>
      </w:pPr>
      <w:r/>
      <w:bookmarkStart w:id="28" w:name="_Toc38985268"/>
      <w:r/>
      <w:bookmarkStart w:id="29" w:name="_Toc35393795"/>
      <w:r/>
      <w:bookmarkStart w:id="30" w:name="_Toc35393626"/>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spacing w:line="360" w:lineRule="auto"/>
        <w:rPr>
          <w:rFonts w:ascii="宋体" w:hAnsi="宋体"/>
          <w:b/>
          <w:bCs/>
          <w:color w:val="auto"/>
          <w:highlight w:val="none"/>
        </w:rPr>
      </w:pPr>
      <w:r/>
      <w:bookmarkStart w:id="31" w:name="_Toc38985269"/>
      <w:r/>
      <w:bookmarkStart w:id="32" w:name="_Toc35393796"/>
      <w:r/>
      <w:bookmarkStart w:id="33" w:name="_Toc35393627"/>
      <w:r/>
      <w:bookmarkStart w:id="34" w:name="_Toc28359008"/>
      <w:r/>
      <w:bookmarkStart w:id="35" w:name="_Toc28359085"/>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b/>
          <w:bCs/>
          <w:color w:val="auto"/>
          <w:szCs w:val="21"/>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bCs/>
          <w:color w:val="auto"/>
          <w:szCs w:val="21"/>
          <w:highlight w:val="none"/>
          <w:lang w:eastAsia="zh-CN"/>
        </w:rPr>
        <w:t xml:space="preserve">“扬州市政府采购网”、“江苏省政府采购网”和“中国政府采购网”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
          <w:i/>
          <w:iCs/>
          <w:color w:val="auto"/>
          <w:highlight w:val="none"/>
          <w:u w:val="singl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auto"/>
          <w:szCs w:val="21"/>
          <w:highlight w:val="none"/>
        </w:rPr>
      </w:pPr>
      <w:r/>
      <w:bookmarkStart w:id="36" w:name="_Toc28359010"/>
      <w:r/>
      <w:bookmarkStart w:id="37" w:name="_Toc28359087"/>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名 称：</w:t>
      </w:r>
      <w:r>
        <w:rPr>
          <w:rFonts w:hint="eastAsia" w:ascii="宋体" w:hAnsi="宋体" w:cs="Times New Roman"/>
          <w:color w:val="auto"/>
          <w:szCs w:val="21"/>
          <w:highlight w:val="none"/>
          <w:lang w:eastAsia="zh-CN"/>
        </w:rPr>
        <w:t xml:space="preserve">扬州市妇幼保健院</w:t>
      </w:r>
      <w:r/>
    </w:p>
    <w:p>
      <w:pPr>
        <w:ind w:firstLine="420"/>
        <w:jc w:val="left"/>
        <w:spacing w:line="360" w:lineRule="auto"/>
        <w:rPr>
          <w:rFonts w:hint="eastAsia" w:ascii="宋体" w:hAnsi="宋体" w:eastAsia="宋体" w:cs="Times New Roman"/>
          <w:color w:val="auto"/>
          <w:szCs w:val="21"/>
          <w:highlight w:val="none"/>
          <w:lang w:eastAsia="zh-CN"/>
        </w:rPr>
      </w:pPr>
      <w:r/>
      <w:bookmarkStart w:id="38" w:name="_Toc28359086"/>
      <w:r/>
      <w:bookmarkStart w:id="39" w:name="_Toc28359009"/>
      <w:r>
        <w:rPr>
          <w:rFonts w:hint="eastAsia" w:ascii="宋体" w:hAnsi="宋体" w:eastAsia="宋体" w:cs="Times New Roman"/>
          <w:color w:val="auto"/>
          <w:szCs w:val="21"/>
          <w:highlight w:val="none"/>
          <w:lang w:eastAsia="zh-CN"/>
        </w:rPr>
        <w:t xml:space="preserve">地 址：扬州市京杭北路50号</w:t>
      </w:r>
      <w:r/>
    </w:p>
    <w:p>
      <w:pPr>
        <w:ind w:firstLine="420"/>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联系人：</w:t>
      </w:r>
      <w:r>
        <w:rPr>
          <w:rFonts w:hint="eastAsia"/>
          <w:color w:val="auto"/>
        </w:rPr>
        <w:t xml:space="preserve">高兰凤</w:t>
      </w:r>
      <w:r/>
    </w:p>
    <w:p>
      <w:pPr>
        <w:ind w:firstLine="420"/>
        <w:jc w:val="left"/>
        <w:spacing w:line="360" w:lineRule="auto"/>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eastAsia="zh-CN"/>
        </w:rPr>
        <w:t xml:space="preserve">联系方式：</w:t>
      </w:r>
      <w:r>
        <w:rPr>
          <w:rFonts w:hint="default"/>
          <w:color w:val="auto"/>
          <w:lang w:val="en-US"/>
        </w:rPr>
        <w:t xml:space="preserve">0514</w:t>
      </w:r>
      <w:r>
        <w:rPr>
          <w:rFonts w:hint="eastAsia"/>
          <w:color w:val="auto"/>
        </w:rPr>
        <w:t xml:space="preserve">-80828095</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名称：</w:t>
      </w:r>
      <w:r>
        <w:rPr>
          <w:rFonts w:hint="eastAsia" w:ascii="宋体" w:hAnsi="宋体"/>
          <w:color w:val="auto"/>
          <w:szCs w:val="21"/>
          <w:highlight w:val="none"/>
        </w:rPr>
        <w:t xml:space="preserve">江苏苏维工程管理有限公司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w:t>
      </w:r>
      <w:r>
        <w:rPr>
          <w:rFonts w:hint="eastAsia" w:ascii="宋体" w:hAnsi="宋体"/>
          <w:color w:val="auto"/>
          <w:szCs w:val="21"/>
          <w:highlight w:val="none"/>
          <w:lang w:val="en-US" w:eastAsia="zh-CN"/>
        </w:rPr>
        <w:t xml:space="preserve">邗江区</w:t>
      </w:r>
      <w:r>
        <w:rPr>
          <w:rFonts w:hint="eastAsia" w:ascii="宋体" w:hAnsi="宋体"/>
          <w:color w:val="auto"/>
          <w:szCs w:val="21"/>
          <w:highlight w:val="none"/>
        </w:rPr>
        <w:t xml:space="preserve">翠岗路48号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olor w:val="auto"/>
          <w:szCs w:val="21"/>
          <w:highlight w:val="none"/>
          <w:lang w:eastAsia="zh-CN"/>
        </w:rPr>
        <w:t xml:space="preserve">黄炎</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联系方式：</w:t>
      </w:r>
      <w:r>
        <w:rPr>
          <w:rFonts w:ascii="宋体" w:hAnsi="宋体"/>
          <w:color w:val="auto"/>
          <w:szCs w:val="21"/>
          <w:highlight w:val="none"/>
        </w:rPr>
        <w:t xml:space="preserve">0514-82129101</w:t>
      </w:r>
      <w:bookmarkEnd w:id="36"/>
      <w:r/>
      <w:bookmarkEnd w:id="37"/>
      <w:r/>
      <w:r/>
    </w:p>
    <w:p>
      <w:pPr>
        <w:jc w:val="right"/>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江苏苏维工程管理有限公司</w:t>
      </w:r>
      <w:r/>
    </w:p>
    <w:p>
      <w:pPr>
        <w:jc w:val="right"/>
        <w:rPr>
          <w:color w:val="auto"/>
          <w:highlight w:val="none"/>
        </w:rPr>
      </w:pPr>
      <w:r>
        <w:rPr>
          <w:rFonts w:hint="eastAsia" w:ascii="宋体" w:hAnsi="宋体"/>
          <w:color w:val="auto"/>
          <w:szCs w:val="21"/>
          <w:highlight w:val="none"/>
        </w:rPr>
        <w:t xml:space="preserve">2025年</w:t>
      </w:r>
      <w:r>
        <w:rPr>
          <w:rFonts w:hint="default" w:ascii="宋体" w:hAnsi="宋体"/>
          <w:color w:val="auto"/>
          <w:szCs w:val="21"/>
          <w:highlight w:val="none"/>
          <w:lang w:val="en-US"/>
        </w:rPr>
        <w:t xml:space="preserve">10</w:t>
      </w:r>
      <w:r>
        <w:rPr>
          <w:rFonts w:hint="eastAsia" w:ascii="宋体" w:hAnsi="宋体"/>
          <w:color w:val="auto"/>
          <w:szCs w:val="21"/>
          <w:highlight w:val="none"/>
        </w:rPr>
        <w:t xml:space="preserve">月</w:t>
      </w:r>
      <w:r>
        <w:rPr>
          <w:rFonts w:hint="default" w:ascii="宋体" w:hAnsi="宋体"/>
          <w:color w:val="auto"/>
          <w:szCs w:val="21"/>
          <w:highlight w:val="none"/>
          <w:lang w:val="en-US"/>
        </w:rPr>
        <w:t xml:space="preserve">15</w:t>
      </w:r>
      <w:r>
        <w:rPr>
          <w:rFonts w:hint="eastAsia" w:ascii="宋体" w:hAnsi="宋体"/>
          <w:color w:val="auto"/>
          <w:szCs w:val="21"/>
          <w:highlight w:val="none"/>
        </w:rPr>
        <w:t xml:space="preserve">日</w:t>
      </w:r>
      <w:r/>
    </w:p>
    <w:p>
      <w:pPr>
        <w:pStyle w:val="686"/>
        <w:jc w:val="center"/>
        <w:rPr>
          <w:rFonts w:ascii="宋体" w:hAnsi="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40" w:name="_Toc55204178"/>
      <w:r/>
      <w:r/>
    </w:p>
    <w:p>
      <w:pPr>
        <w:pStyle w:val="686"/>
        <w:jc w:val="center"/>
        <w:rPr>
          <w:rFonts w:ascii="宋体" w:hAnsi="宋体"/>
          <w:color w:val="auto"/>
          <w:sz w:val="36"/>
          <w:szCs w:val="36"/>
          <w:highlight w:val="none"/>
        </w:rPr>
      </w:pPr>
      <w:r/>
      <w:bookmarkStart w:id="41" w:name="_Toc16662"/>
      <w:r>
        <w:rPr>
          <w:rFonts w:hint="eastAsia" w:ascii="宋体" w:hAnsi="宋体"/>
          <w:color w:val="auto"/>
          <w:sz w:val="36"/>
          <w:szCs w:val="36"/>
          <w:highlight w:val="none"/>
        </w:rPr>
        <w:t xml:space="preserve">第二章 投标人须知</w:t>
      </w:r>
      <w:bookmarkEnd w:id="40"/>
      <w:r/>
      <w:bookmarkEnd w:id="41"/>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JSZC-321000-SWGC-G2025-0215</w:t>
      </w:r>
      <w:r>
        <w:rPr>
          <w:rFonts w:hint="eastAsia" w:ascii="宋体" w:hAnsi="宋体"/>
          <w:bCs/>
          <w:color w:val="auto"/>
          <w:szCs w:val="21"/>
          <w:highlight w:val="none"/>
        </w:rPr>
        <w:t xml:space="preserve">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b/>
          <w:bCs/>
          <w:color w:val="auto"/>
          <w:szCs w:val="21"/>
          <w:highlight w:val="none"/>
        </w:rPr>
      </w:pPr>
      <w:r>
        <w:rPr>
          <w:rFonts w:hint="eastAsia" w:ascii="宋体" w:hAnsi="宋体"/>
          <w:b/>
          <w:bCs/>
          <w:color w:val="auto"/>
          <w:szCs w:val="21"/>
          <w:highlight w:val="none"/>
        </w:rPr>
        <w:t xml:space="preserve">4.2本次采购由中标人在领取中标通知书前参照《招标代理服务收费管理暂行办法》(计价格【2002】1980 号文)标准</w:t>
      </w:r>
      <w:r>
        <w:rPr>
          <w:rFonts w:hint="eastAsia" w:ascii="宋体" w:hAnsi="宋体"/>
          <w:b/>
          <w:bCs/>
          <w:color w:val="auto"/>
          <w:szCs w:val="21"/>
          <w:highlight w:val="none"/>
          <w:lang w:val="en-US" w:eastAsia="zh-CN"/>
        </w:rPr>
        <w:t xml:space="preserve">的</w:t>
      </w:r>
      <w:r>
        <w:rPr>
          <w:rFonts w:hint="default" w:ascii="宋体" w:hAnsi="宋体"/>
          <w:b/>
          <w:bCs/>
          <w:color w:val="auto"/>
          <w:szCs w:val="21"/>
          <w:highlight w:val="none"/>
          <w:lang w:val="en-US" w:eastAsia="zh-CN"/>
        </w:rPr>
        <w:t xml:space="preserve">30%</w:t>
      </w:r>
      <w:r>
        <w:rPr>
          <w:rFonts w:hint="eastAsia" w:ascii="宋体" w:hAnsi="宋体"/>
          <w:b/>
          <w:bCs/>
          <w:color w:val="auto"/>
          <w:szCs w:val="21"/>
          <w:highlight w:val="none"/>
        </w:rPr>
        <w:t xml:space="preserve">一次性支付给代理机构代理服务费。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1265"/>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开户帐号：1108020819100000612</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“扬州市政府采购网”、“江苏省政府采购网”和“中国政府采购网”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auto"/>
          <w:szCs w:val="21"/>
          <w:highlight w:val="none"/>
        </w:rPr>
      </w:pPr>
      <w:r/>
      <w:bookmarkStart w:id="42" w:name="_Toc462564084"/>
      <w:r/>
      <w:bookmarkStart w:id="43" w:name="_Toc513029225"/>
      <w:r/>
      <w:bookmarkStart w:id="44" w:name="_Toc16938541"/>
      <w:r/>
      <w:bookmarkStart w:id="45" w:name="_Toc20823297"/>
      <w:r>
        <w:rPr>
          <w:rFonts w:hint="eastAsia" w:ascii="宋体" w:hAnsi="宋体"/>
          <w:b/>
          <w:color w:val="auto"/>
          <w:szCs w:val="21"/>
          <w:highlight w:val="none"/>
        </w:rPr>
        <w:t xml:space="preserve">17、投标文件</w:t>
      </w:r>
      <w:bookmarkEnd w:id="42"/>
      <w:r/>
      <w:bookmarkEnd w:id="43"/>
      <w:r/>
      <w:bookmarkEnd w:id="44"/>
      <w:r/>
      <w:bookmarkEnd w:id="45"/>
      <w:r>
        <w:rPr>
          <w:rFonts w:hint="eastAsia" w:ascii="宋体" w:hAnsi="宋体"/>
          <w:b/>
          <w:color w:val="auto"/>
          <w:szCs w:val="21"/>
          <w:highlight w:val="none"/>
        </w:rPr>
        <w:t xml:space="preserve">的递交</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6" w:name="_Toc513029226"/>
      <w:r/>
      <w:bookmarkStart w:id="47" w:name="_Toc16938542"/>
      <w:r/>
      <w:bookmarkStart w:id="48" w:name="_Toc20823298"/>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18、投标截止日期</w:t>
      </w:r>
      <w:bookmarkEnd w:id="46"/>
      <w:r/>
      <w:bookmarkEnd w:id="47"/>
      <w:r/>
      <w:bookmarkEnd w:id="48"/>
      <w:r/>
      <w:r/>
    </w:p>
    <w:p>
      <w:pPr>
        <w:ind w:firstLine="420"/>
        <w:spacing w:line="440" w:lineRule="exact"/>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auto"/>
          <w:szCs w:val="21"/>
          <w:highlight w:val="none"/>
        </w:rPr>
      </w:pPr>
      <w:r/>
      <w:bookmarkStart w:id="49" w:name="_Toc513029227"/>
      <w:r/>
      <w:bookmarkStart w:id="50" w:name="_Toc16938543"/>
      <w:r/>
      <w:bookmarkStart w:id="51" w:name="_Toc20823299"/>
      <w:r>
        <w:rPr>
          <w:rFonts w:hint="eastAsia" w:ascii="宋体" w:hAnsi="宋体"/>
          <w:b/>
          <w:color w:val="auto"/>
          <w:szCs w:val="21"/>
          <w:highlight w:val="none"/>
        </w:rPr>
        <w:t xml:space="preserve">19、投标文件</w:t>
      </w:r>
      <w:bookmarkEnd w:id="49"/>
      <w:r/>
      <w:bookmarkEnd w:id="50"/>
      <w:r/>
      <w:bookmarkEnd w:id="51"/>
      <w:r>
        <w:rPr>
          <w:rFonts w:hint="eastAsia" w:ascii="宋体" w:hAnsi="宋体"/>
          <w:b/>
          <w:color w:val="auto"/>
          <w:szCs w:val="21"/>
          <w:highlight w:val="none"/>
        </w:rPr>
        <w:t xml:space="preserve">的拒收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b/>
          <w:color w:val="auto"/>
          <w:szCs w:val="21"/>
          <w:highlight w:val="none"/>
        </w:rPr>
      </w:pPr>
      <w:r/>
      <w:bookmarkStart w:id="52" w:name="_Toc20823300"/>
      <w:r/>
      <w:bookmarkStart w:id="53" w:name="_Toc513029228"/>
      <w:r/>
      <w:bookmarkStart w:id="54" w:name="_Toc16938544"/>
      <w:r>
        <w:rPr>
          <w:rFonts w:hint="eastAsia" w:ascii="宋体" w:hAnsi="宋体"/>
          <w:b/>
          <w:color w:val="auto"/>
          <w:szCs w:val="21"/>
          <w:highlight w:val="none"/>
        </w:rPr>
        <w:t xml:space="preserve">20、投标文件的撤回和修改</w:t>
      </w:r>
      <w:bookmarkEnd w:id="52"/>
      <w:r/>
      <w:bookmarkEnd w:id="53"/>
      <w:r/>
      <w:bookmarkEnd w:id="54"/>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spacing w:line="440" w:lineRule="exact"/>
        <w:rPr>
          <w:rFonts w:ascii="宋体" w:hAnsi="宋体"/>
          <w:bCs/>
          <w:color w:val="auto"/>
          <w:szCs w:val="21"/>
          <w:highlight w:val="none"/>
        </w:rPr>
      </w:pPr>
      <w:r>
        <w:rPr>
          <w:rFonts w:hint="eastAsia" w:ascii="宋体" w:hAnsi="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“扬州市政府采购网”、“江苏省政府采购网”和“中国政府采购网”</w:t>
      </w:r>
      <w:r>
        <w:rPr>
          <w:rFonts w:hint="eastAsia" w:ascii="宋体" w:hAnsi="宋体"/>
          <w:bCs/>
          <w:color w:val="auto"/>
          <w:szCs w:val="21"/>
          <w:highlight w:val="none"/>
        </w:rPr>
        <w:t xml:space="preserve">发布中标公告，公告期限为1个工作日。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28.2.2对采购过程提出质疑的，为各采购程序环节结束之日起7个工作日内提出。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3"/>
        </w:num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0"/>
        <w:spacing w:line="440" w:lineRule="exact"/>
        <w:rPr>
          <w:rFonts w:ascii="宋体" w:hAnsi="宋体"/>
          <w:bCs/>
          <w:color w:val="auto"/>
          <w:szCs w:val="21"/>
          <w:highlight w:val="none"/>
        </w:rPr>
      </w:pPr>
      <w:r>
        <w:rPr>
          <w:rFonts w:hint="eastAsia" w:ascii="宋体" w:hAnsi="宋体" w:cs="宋体"/>
          <w:color w:val="auto"/>
          <w:highlight w:val="none"/>
        </w:rPr>
        <w:t xml:space="preserve">33、其他</w:t>
      </w:r>
      <w:r>
        <w:rPr>
          <w:rFonts w:hint="eastAsia" w:ascii="宋体" w:hAnsi="宋体" w:cs="宋体"/>
          <w:color w:val="auto"/>
          <w:highlight w:val="none"/>
        </w:rPr>
        <w:br/>
      </w:r>
      <w:r>
        <w:rPr>
          <w:rFonts w:hint="eastAsia" w:ascii="宋体" w:hAnsi="宋体" w:cs="宋体"/>
          <w:color w:val="auto"/>
          <w:highlight w:val="none"/>
        </w:rPr>
        <w:t xml:space="preserve">    33.1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686"/>
        <w:jc w:val="center"/>
        <w:rPr>
          <w:rFonts w:ascii="宋体" w:hAnsi="宋体"/>
          <w:color w:val="auto"/>
          <w:sz w:val="36"/>
          <w:szCs w:val="36"/>
          <w:highlight w:val="none"/>
        </w:rPr>
      </w:pPr>
      <w:r/>
      <w:bookmarkStart w:id="55" w:name="_Toc55204179"/>
      <w:r/>
      <w:bookmarkStart w:id="56" w:name="_Toc11194"/>
      <w:r/>
      <w:bookmarkStart w:id="57" w:name="_Hlk69392822"/>
      <w:r>
        <w:rPr>
          <w:rFonts w:hint="eastAsia" w:ascii="宋体" w:hAnsi="宋体"/>
          <w:color w:val="auto"/>
          <w:sz w:val="36"/>
          <w:szCs w:val="36"/>
          <w:highlight w:val="none"/>
        </w:rPr>
        <w:t xml:space="preserve">第三章 合同条款及格式</w:t>
      </w:r>
      <w:bookmarkEnd w:id="55"/>
      <w:r/>
      <w:bookmarkEnd w:id="56"/>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09"/>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扬州市政府采购合同（货物)（合同编号）</w:t>
      </w:r>
      <w:r/>
    </w:p>
    <w:p>
      <w:pPr>
        <w:pStyle w:val="709"/>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项目名称：</w:t>
      </w:r>
      <w:r>
        <w:rPr>
          <w:rFonts w:hint="eastAsia" w:hAnsi="宋体"/>
          <w:color w:val="auto"/>
          <w:highlight w:val="none"/>
          <w:lang w:eastAsia="zh-CN"/>
        </w:rPr>
        <w:t xml:space="preserve">扬州市妇幼保健院便携式彩超采购项目（二次）</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JSZC-321000-SWGC-G2025-0215</w:t>
      </w:r>
      <w:r/>
    </w:p>
    <w:p>
      <w:pPr>
        <w:pStyle w:val="709"/>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lang w:eastAsia="zh-CN"/>
        </w:rPr>
        <w:t xml:space="preserve">扬州市妇幼保健院</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见证方：江苏苏维工程管理有限公司</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甲、乙双方根据江苏苏维工程管理有限公司项目公开招标的结果，签署本合同。</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一、货物及伴随服务</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1.1 货物及服务名称：</w:t>
      </w:r>
      <w:r/>
    </w:p>
    <w:p>
      <w:pPr>
        <w:pStyle w:val="709"/>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709"/>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2.1 本合同金额为（大写）：____________________________________圆（_______________元）人民币。</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709"/>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0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w:t>
      </w:r>
      <w:r>
        <w:rPr>
          <w:rFonts w:hint="eastAsia" w:hAnsi="宋体"/>
          <w:color w:val="auto"/>
          <w:sz w:val="21"/>
          <w:highlight w:val="none"/>
          <w:u w:val="single"/>
        </w:rPr>
        <w:t xml:space="preserve">无</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八、质保期</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lang w:val="en-US" w:eastAsia="zh-CN"/>
        </w:rPr>
        <w:t xml:space="preserve">整机及附件原厂质保</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五</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709"/>
        <w:ind w:firstLine="420"/>
        <w:spacing w:before="120" w:after="120" w:line="360" w:lineRule="auto"/>
        <w:rPr>
          <w:rFonts w:hAnsi="宋体"/>
          <w:color w:val="auto"/>
          <w:sz w:val="21"/>
          <w:highlight w:val="none"/>
          <w:u w:val="single"/>
        </w:rPr>
      </w:pPr>
      <w:r>
        <w:rPr>
          <w:rFonts w:hint="eastAsia" w:hAnsi="宋体"/>
          <w:color w:val="auto"/>
          <w:sz w:val="21"/>
          <w:highlight w:val="none"/>
        </w:rPr>
        <w:t xml:space="preserve">9.1 交付期：</w:t>
      </w:r>
      <w:r>
        <w:rPr>
          <w:rFonts w:hint="eastAsia" w:hAnsi="宋体"/>
          <w:color w:val="auto"/>
          <w:sz w:val="21"/>
          <w:highlight w:val="none"/>
          <w:u w:val="single"/>
        </w:rPr>
        <w:t xml:space="preserve">          </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交付方式：甲方指定方式</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9.3 交付地点：甲方指定地点</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甲方付款方式：</w:t>
      </w:r>
      <w:r/>
    </w:p>
    <w:p>
      <w:pPr>
        <w:pStyle w:val="70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合同签订后，甲方收到乙方发票支付合同总价的30%；验收合格正常运行半年内支付合同总价的60%；验收合格一年后设备正常使用，并满足采购人要求的情况下付清剩余合同总价的10%。</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⑴更换：由乙方承担所发生的全部费用。</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⑵贬值处理：由甲乙双方合议定价。</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12.3 如在使用过程中发生质量问题，乙方在接到甲方通知后在</w:t>
      </w:r>
      <w:r>
        <w:rPr>
          <w:rFonts w:hint="eastAsia" w:hAnsi="宋体"/>
          <w:color w:val="auto"/>
          <w:sz w:val="21"/>
          <w:highlight w:val="none"/>
          <w:u w:val="single"/>
        </w:rPr>
        <w:t xml:space="preserve"> </w:t>
      </w:r>
      <w:r>
        <w:rPr>
          <w:rFonts w:hint="default" w:hAnsi="宋体"/>
          <w:color w:val="auto"/>
          <w:sz w:val="21"/>
          <w:highlight w:val="none"/>
          <w:u w:val="single"/>
          <w:lang w:val="en-US"/>
        </w:rPr>
        <w:t xml:space="preserve">48</w:t>
      </w:r>
      <w:r>
        <w:rPr>
          <w:rFonts w:hint="eastAsia" w:hAnsi="宋体"/>
          <w:color w:val="auto"/>
          <w:sz w:val="21"/>
          <w:highlight w:val="none"/>
          <w:u w:val="single"/>
        </w:rPr>
        <w:t xml:space="preserve">  </w:t>
      </w:r>
      <w:r>
        <w:rPr>
          <w:rFonts w:hint="eastAsia" w:hAnsi="宋体"/>
          <w:color w:val="auto"/>
          <w:sz w:val="21"/>
          <w:highlight w:val="none"/>
        </w:rPr>
        <w:t xml:space="preserve">小时内到达甲方现场。</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12.5上述的货物及服务免费保修期为</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五</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十三、调试和验收</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13.4 对技术复杂的货物及服务，甲方可请国家认可的专业检测机构参与初步验收及最终验收，并由其出具质量检测报告。</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十四、货物及服务包装、发运及运输</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14.4 货物在交付甲方前发生的风险均由乙方负责。</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w:t>
      </w:r>
      <w:r>
        <w:rPr>
          <w:rFonts w:hint="default" w:hAnsi="宋体"/>
          <w:color w:val="auto"/>
          <w:sz w:val="21"/>
          <w:highlight w:val="none"/>
          <w:lang w:val="en-US"/>
        </w:rPr>
        <w:t xml:space="preserve">20</w:t>
      </w:r>
      <w:r>
        <w:rPr>
          <w:rFonts w:hint="eastAsia" w:hAnsi="宋体"/>
          <w:color w:val="auto"/>
          <w:sz w:val="21"/>
          <w:highlight w:val="none"/>
        </w:rPr>
        <w:t xml:space="preserve">%的违约金，如造成甲方损失超过违约金的，超出部分由乙方继续承担赔偿责任。 </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rPr>
          <w:rFonts w:hint="eastAsia" w:ascii="宋体" w:hAnsi="宋体"/>
          <w:color w:val="auto"/>
          <w:szCs w:val="21"/>
          <w:highlight w:val="none"/>
        </w:rPr>
        <w:t xml:space="preserve">。</w:t>
      </w:r>
      <w:r/>
    </w:p>
    <w:p>
      <w:pPr>
        <w:pStyle w:val="70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合同经双方法定代表人签章并加盖单位公章，并经江苏苏维工程管理有限公司见证盖章后生效。</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709"/>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696"/>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9"/>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eastAsia="zh-CN"/>
              </w:rPr>
              <w:t xml:space="preserve">扬州市妇幼保健院</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9"/>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9"/>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9"/>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9"/>
              <w:spacing w:before="120" w:after="120" w:line="360" w:lineRule="auto"/>
              <w:rPr>
                <w:rFonts w:hAnsi="宋体"/>
                <w:color w:val="auto"/>
                <w:sz w:val="21"/>
                <w:highlight w:val="none"/>
              </w:rPr>
            </w:pPr>
            <w:r>
              <w:rPr>
                <w:rFonts w:hAnsi="宋体"/>
                <w:color w:val="auto"/>
                <w:sz w:val="21"/>
                <w:highlight w:val="none"/>
              </w:rPr>
            </w:r>
            <w:r/>
          </w:p>
        </w:tc>
      </w:tr>
    </w:tbl>
    <w:p>
      <w:pPr>
        <w:rPr>
          <w:color w:val="auto"/>
          <w:highlight w:val="none"/>
        </w:rPr>
      </w:pPr>
      <w:r>
        <w:rPr>
          <w:color w:val="auto"/>
          <w:highlight w:val="none"/>
        </w:rPr>
        <w:br w:type="page" w:clear="all"/>
      </w:r>
      <w:bookmarkEnd w:id="57"/>
      <w:r/>
      <w:r/>
    </w:p>
    <w:p>
      <w:pPr>
        <w:pStyle w:val="686"/>
        <w:numPr>
          <w:ilvl w:val="0"/>
          <w:numId w:val="4"/>
        </w:numPr>
        <w:jc w:val="center"/>
        <w:rPr>
          <w:rFonts w:ascii="宋体" w:hAnsi="宋体"/>
          <w:color w:val="auto"/>
          <w:highlight w:val="none"/>
        </w:rPr>
      </w:pPr>
      <w:r/>
      <w:bookmarkStart w:id="58" w:name="_Toc27340"/>
      <w:r>
        <w:rPr>
          <w:rFonts w:hint="eastAsia" w:ascii="宋体" w:hAnsi="宋体"/>
          <w:color w:val="auto"/>
          <w:highlight w:val="none"/>
        </w:rPr>
        <w:t xml:space="preserve">项目需求</w:t>
      </w:r>
      <w:bookmarkEnd w:id="58"/>
      <w:r/>
      <w:r/>
    </w:p>
    <w:p>
      <w:pPr>
        <w:spacing w:line="360" w:lineRule="auto"/>
        <w:rPr>
          <w:b/>
          <w:bCs/>
          <w:color w:val="auto"/>
          <w:szCs w:val="21"/>
          <w:highlight w:val="none"/>
        </w:rPr>
      </w:pPr>
      <w:r/>
      <w:bookmarkStart w:id="59" w:name="_Toc319408306"/>
      <w:r>
        <w:rPr>
          <w:rFonts w:hint="eastAsia"/>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szCs w:val="21"/>
          <w:highlight w:val="none"/>
        </w:rPr>
        <w:t xml:space="preserve">“</w:t>
      </w:r>
      <w:r>
        <w:rPr>
          <w:rFonts w:hint="eastAsia"/>
          <w:b/>
          <w:bCs/>
          <w:color w:val="auto"/>
          <w:szCs w:val="21"/>
          <w:highlight w:val="none"/>
        </w:rPr>
        <w:t xml:space="preserve">符合证明文件格式</w:t>
      </w:r>
      <w:r>
        <w:rPr>
          <w:b/>
          <w:bCs/>
          <w:color w:val="auto"/>
          <w:szCs w:val="21"/>
          <w:highlight w:val="none"/>
        </w:rPr>
        <w:t xml:space="preserve">”</w:t>
      </w:r>
      <w:r>
        <w:rPr>
          <w:rFonts w:hint="eastAsia"/>
          <w:b/>
          <w:bCs/>
          <w:color w:val="auto"/>
          <w:szCs w:val="21"/>
          <w:highlight w:val="none"/>
        </w:rPr>
        <w:t xml:space="preserve">中准确填写或上传。</w:t>
      </w:r>
      <w:bookmarkEnd w:id="59"/>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tbl>
      <w:tblPr>
        <w:tblStyle w:val="696"/>
        <w:tblpPr w:horzAnchor="page" w:tblpX="1855" w:vertAnchor="page" w:tblpY="4890" w:leftFromText="181" w:topFromText="0" w:rightFromText="181" w:bottomFromText="0"/>
        <w:tblW w:w="8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3069"/>
        <w:gridCol w:w="3652"/>
        <w:gridCol w:w="1062"/>
      </w:tblGrid>
      <w:tr>
        <w:trPr>
          <w:trHeight w:val="452"/>
        </w:trPr>
        <w:tc>
          <w:tcPr>
            <w:shd w:val="clear" w:color="auto" w:fill="auto"/>
            <w:tcW w:w="66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auto"/>
            <w:tcW w:w="3069"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产品名称</w:t>
            </w:r>
            <w:r/>
          </w:p>
        </w:tc>
        <w:tc>
          <w:tcPr>
            <w:shd w:val="clear" w:color="auto" w:fill="auto"/>
            <w:tcW w:w="365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主要技术指标</w:t>
            </w:r>
            <w:r/>
          </w:p>
        </w:tc>
        <w:tc>
          <w:tcPr>
            <w:shd w:val="clear" w:color="auto" w:fill="auto"/>
            <w:tcW w:w="106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r>
      <w:tr>
        <w:trPr>
          <w:trHeight w:val="419"/>
        </w:trPr>
        <w:tc>
          <w:tcPr>
            <w:shd w:val="clear" w:color="auto" w:fill="auto"/>
            <w:tcW w:w="668"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3069" w:type="dxa"/>
            <w:vAlign w:val="center"/>
            <w:textDirection w:val="lrTb"/>
            <w:noWrap/>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便携式彩超诊断仪</w:t>
            </w:r>
            <w:r/>
          </w:p>
        </w:tc>
        <w:tc>
          <w:tcPr>
            <w:shd w:val="clear" w:color="auto" w:fill="auto"/>
            <w:tcW w:w="3652"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见：详细技术要求</w:t>
            </w:r>
            <w:r/>
          </w:p>
        </w:tc>
        <w:tc>
          <w:tcPr>
            <w:shd w:val="clear" w:color="auto" w:fill="auto"/>
            <w:tcW w:w="1062"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default" w:ascii="宋体" w:hAnsi="宋体" w:cs="宋体"/>
                <w:color w:val="auto"/>
                <w:szCs w:val="21"/>
                <w:highlight w:val="none"/>
                <w:lang w:val="en-US"/>
              </w:rPr>
              <w:t xml:space="preserve">2</w:t>
            </w:r>
            <w:r>
              <w:rPr>
                <w:rFonts w:hint="eastAsia" w:ascii="宋体" w:hAnsi="宋体" w:cs="宋体"/>
                <w:color w:val="auto"/>
                <w:szCs w:val="21"/>
                <w:highlight w:val="none"/>
                <w:lang w:val="en-US" w:eastAsia="zh-CN"/>
              </w:rPr>
              <w:t xml:space="preserve">台</w:t>
            </w:r>
            <w:r/>
          </w:p>
        </w:tc>
      </w:tr>
    </w:tbl>
    <w:p>
      <w:pPr>
        <w:numPr>
          <w:ilvl w:val="0"/>
          <w:numId w:val="5"/>
        </w:num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采购清单</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keepLines w:val="0"/>
        <w:keepNext w:val="0"/>
        <w:pageBreakBefore w:val="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二、详细技术要求</w:t>
      </w:r>
      <w:r/>
    </w:p>
    <w:tbl>
      <w:tblPr>
        <w:tblStyle w:val="696"/>
        <w:tblW w:w="79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04"/>
        <w:gridCol w:w="6741"/>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设备名称：便携式彩超诊断仪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lang w:val="en-US"/>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数    量：2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设备使用软件系统：系统需为2024年（包含首次注册时间为2024年）后推出的全新系统，所配软件为该机型的最新版本。（提供承诺函，格式自拟）。</w:t>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设备用途说明：腹部、心脏、妇产科、泌尿科、肌骨、新生儿、 术中、介入、血管、浅表组织与小器官。</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lang w:val="en-US" w:eastAsia="zh-CN" w:bidi="ar"/>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lang w:val="en-US" w:eastAsia="zh-CN" w:bidi="ar"/>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主要规格及系统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便携式彩超诊断仪包括：</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≥15英寸高清晰度彩色液晶显示器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数字化二维灰阶成像单元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数字化彩色及能量多普勒单元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数字化频谱多普勒显示和分析单元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数字化波束形成器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多角度空间复合成像技术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智能化斑点噪声抑制技术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自动优化功能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5.1.8.1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二维图像自动优化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5.1.8.2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多普勒图像自动优化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5.1.8.3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彩色血流自动优化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实时宽景成像技术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实时同屏教学软件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智能追踪技术（实时扫查快速重现存储图像全部扫描参数）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血流量化评估技术（血流信号充盈比率曲线分析图表）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高灵敏度能量多普勒（慢速及细微血流能量多普勒成像模式）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自适应彩色增强技术(可自动滤除运动伪影)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5.1.15</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编码脉冲反相二次谐波成像（可用于所有探头）</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5.1.16</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原始数据处理能力（可对已存储的图像进行增益、动态范围、多普勒基线、多普勒角度、扫描速度、自动优化等调节以及测量和分析）</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5.1.17</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主机上实现实时及脱机状态M型扫描线可以以任意点为轴心360°旋转</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5.1.18</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整机重量≤5.2公斤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5.1.19</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数字化通道≥1024通道</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5.1.20</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可视可调系统动态范围≥96db</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超声系统最大探查深度≥33CM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实时三同步成像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方向性能量图（DCA）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线阵探头凸型扩展技术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5.1.25</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穿刺针增强显影技术，穿刺针增益可实时调节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5.1.26</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AUTO IMT颈动脉中内膜测量技术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5.1.27</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中文操作界面, 中文输入（包括报告、注释等）</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5.1.28</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内置锂电池操作（断电条件下工作时间≥0.5小时）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★5.1.29</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配备移动式台车，三探头转接口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★5.1.30</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支持造影成像技术：支持腹部造影成像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★5.1.31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支持弹性成像技术：支持线阵应变式弹性成像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测量和分析：(B型、M型、彩色M型、频谱多普勒、彩色模式)</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一般测量</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妇产科测量（包括孕期、预产期、胎重的分析及显示，胎儿生长曲线（单幅和多幅同时显示）、多数据对比图、子宫卵巢和卵泡的测量和计算以及全面的可编辑的报告功能）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多普勒血流测量与分析</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实时多普勒自动包络、测量和计算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心脏功能测量以及各瓣膜功能的测量、分析及报告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both"/>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外周血管测量与分析</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泌尿科测量与分析</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一体化图像存储与(电影)回放重现及病案管理单元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超声图像静态、动态存储原始数据回放重现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原始数据储存，可对回放的图像进行≥35种参数调节，2B及M型模式≥10个参数，CFM模式≥7个参数，PW模式≥18个参数</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一体化病案管理单元包括病人资料、报告、图像等的存储、修改、检索和打印等</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USB接口支持快速闪存卡，快速存储屏幕上的图像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输入/输出信号：DVI，HDMI，USB，</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图像管理与记录装置：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超声图像存档与病案管理系统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动态图像、静态图像以PC通用格式直接存储，无需特殊软件即能在普通  PC 机上直接观看图像</w:t>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一体化的剪贴板(在荧光屏上)可以存储和回放动态及静态图像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内置固态硬盘≥128GB</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lang w:val="en-US" w:eastAsia="zh-CN" w:bidi="ar"/>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lang w:val="en-US" w:eastAsia="zh-CN" w:bidi="ar"/>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技术要求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系统通用功能：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监 视 器：≥15英寸LCD显示器,扫描方式：逐行扫描，高分辨率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安全性能：符合国家药品监督管理局商品安全质量要求。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探头规格</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频率：宽频带或变频探头，变频探头二维显示频率（基波+谐波）可选择≥9种，彩色显示频率可选择≥4种, 多普勒显示频率可选择≥4种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类型：支持凸阵，线阵，相控阵, 微凸阵</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B/D兼用：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线    阵：B/PWD</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凸    阵：B/PWD</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相控阵：B/PWD/CWD</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二维灰阶显像主要参数：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扫描：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电子凸阵：超声频率2.0-5.0MHz</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电子线阵：超声频率6-12MHz，具备可自定义按键，按键数量≥</w:t>
            </w:r>
            <w:r>
              <w:rPr>
                <w:rFonts w:hint="default" w:asciiTheme="majorEastAsia" w:hAnsiTheme="majorEastAsia" w:eastAsiaTheme="majorEastAsia" w:cstheme="majorEastAsia"/>
                <w:b w:val="0"/>
                <w:bCs w:val="0"/>
                <w:i w:val="0"/>
                <w:iCs w:val="0"/>
                <w:color w:val="auto"/>
                <w:sz w:val="21"/>
                <w:szCs w:val="21"/>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电子相控阵（成人）：超声频率2.0-4.5MHz，扩展角度≥120°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扫描速率： B模式凸阵探头全视野，18cm深度时，帧速率≥50帧/秒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扫描速率:  B模式相控阵探头90度，18cm深度时，帧速率≥40 帧/秒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扫 描 线：每帧线密度≥230超声线</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线阵探头种类≥3种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腔内微凸探头扫描角度≥133度.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6.3.10</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发射声束聚焦：≥8段</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6.3.11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回放重现：灰阶图像回放≥1000幅、回放时间≥60秒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6.3.12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预设条件：针对不同的检查脏器，预置最佳化图像的检查条件， 减少操作时的调节，及常用所需的外部调节及组合调节。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6.3.13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增益调节：B/M/CF/D可独立调节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6.3.14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物理TGC调节≥6段</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频谱多普勒：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方式：脉冲波多普勒 PWD</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rPr>
                <w:rFonts w:hint="eastAsia" w:asciiTheme="majorEastAsia" w:hAnsiTheme="majorEastAsia" w:eastAsiaTheme="majorEastAsia" w:cstheme="majorEastAsia"/>
                <w:b w:val="0"/>
                <w:bCs w:val="0"/>
                <w:i w:val="0"/>
                <w:iCs w:val="0"/>
                <w:color w:val="auto"/>
                <w:sz w:val="21"/>
                <w:szCs w:val="21"/>
                <w:u w:val="none"/>
              </w:rPr>
            </w:pPr>
            <w:r>
              <w:rPr>
                <w:rFonts w:hint="eastAsia" w:asciiTheme="majorEastAsia" w:hAnsiTheme="majorEastAsia" w:eastAsiaTheme="majorEastAsia" w:cstheme="majorEastAsia"/>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高脉冲重复频率  HPFF</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rPr>
                <w:rFonts w:hint="eastAsia" w:asciiTheme="majorEastAsia" w:hAnsiTheme="majorEastAsia" w:eastAsiaTheme="majorEastAsia" w:cstheme="majorEastAsia"/>
                <w:b w:val="0"/>
                <w:bCs w:val="0"/>
                <w:i w:val="0"/>
                <w:iCs w:val="0"/>
                <w:color w:val="auto"/>
                <w:sz w:val="21"/>
                <w:szCs w:val="21"/>
                <w:u w:val="none"/>
              </w:rPr>
            </w:pPr>
            <w:r>
              <w:rPr>
                <w:rFonts w:hint="eastAsia" w:asciiTheme="majorEastAsia" w:hAnsiTheme="majorEastAsia" w:eastAsiaTheme="majorEastAsia" w:cstheme="majorEastAsia"/>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连续波多普勒 CWD</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rPr>
                <w:rFonts w:hint="eastAsia" w:asciiTheme="majorEastAsia" w:hAnsiTheme="majorEastAsia" w:eastAsiaTheme="majorEastAsia" w:cstheme="majorEastAsia"/>
                <w:b w:val="0"/>
                <w:bCs w:val="0"/>
                <w:i w:val="0"/>
                <w:iCs w:val="0"/>
                <w:color w:val="auto"/>
                <w:sz w:val="21"/>
                <w:szCs w:val="21"/>
                <w:u w:val="none"/>
              </w:rPr>
            </w:pPr>
            <w:r>
              <w:rPr>
                <w:rFonts w:hint="eastAsia" w:asciiTheme="majorEastAsia" w:hAnsiTheme="majorEastAsia" w:eastAsiaTheme="majorEastAsia" w:cstheme="majorEastAsia"/>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组织多普勒速度成像 TVI/TVD</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多普勒发射频率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rPr>
                <w:rFonts w:hint="eastAsia" w:asciiTheme="majorEastAsia" w:hAnsiTheme="majorEastAsia" w:eastAsiaTheme="majorEastAsia" w:cstheme="majorEastAsia"/>
                <w:b w:val="0"/>
                <w:bCs w:val="0"/>
                <w:i w:val="0"/>
                <w:iCs w:val="0"/>
                <w:color w:val="auto"/>
                <w:sz w:val="21"/>
                <w:szCs w:val="21"/>
                <w:u w:val="none"/>
              </w:rPr>
            </w:pPr>
            <w:r>
              <w:rPr>
                <w:rFonts w:hint="eastAsia" w:asciiTheme="majorEastAsia" w:hAnsiTheme="majorEastAsia" w:eastAsiaTheme="majorEastAsia" w:cstheme="majorEastAsia"/>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线    阵≥2段</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rPr>
                <w:rFonts w:hint="eastAsia" w:asciiTheme="majorEastAsia" w:hAnsiTheme="majorEastAsia" w:eastAsiaTheme="majorEastAsia" w:cstheme="majorEastAsia"/>
                <w:b w:val="0"/>
                <w:bCs w:val="0"/>
                <w:i w:val="0"/>
                <w:iCs w:val="0"/>
                <w:color w:val="auto"/>
                <w:sz w:val="21"/>
                <w:szCs w:val="21"/>
                <w:u w:val="none"/>
              </w:rPr>
            </w:pPr>
            <w:r>
              <w:rPr>
                <w:rFonts w:hint="eastAsia" w:asciiTheme="majorEastAsia" w:hAnsiTheme="majorEastAsia" w:eastAsiaTheme="majorEastAsia" w:cstheme="majorEastAsia"/>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凸    阵≥2段</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最大测量速度：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rPr>
                <w:rFonts w:hint="eastAsia" w:asciiTheme="majorEastAsia" w:hAnsiTheme="majorEastAsia" w:eastAsiaTheme="majorEastAsia" w:cstheme="majorEastAsia"/>
                <w:b w:val="0"/>
                <w:bCs w:val="0"/>
                <w:i w:val="0"/>
                <w:iCs w:val="0"/>
                <w:color w:val="auto"/>
                <w:sz w:val="21"/>
                <w:szCs w:val="21"/>
                <w:u w:val="none"/>
              </w:rPr>
            </w:pPr>
            <w:r>
              <w:rPr>
                <w:rFonts w:hint="eastAsia" w:asciiTheme="majorEastAsia" w:hAnsiTheme="majorEastAsia" w:eastAsiaTheme="majorEastAsia" w:cstheme="majorEastAsia"/>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PWD：血流速度≥8.0 m/s</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rPr>
                <w:rFonts w:hint="eastAsia" w:asciiTheme="majorEastAsia" w:hAnsiTheme="majorEastAsia" w:eastAsiaTheme="majorEastAsia" w:cstheme="majorEastAsia"/>
                <w:b w:val="0"/>
                <w:bCs w:val="0"/>
                <w:i w:val="0"/>
                <w:iCs w:val="0"/>
                <w:color w:val="auto"/>
                <w:sz w:val="21"/>
                <w:szCs w:val="21"/>
                <w:u w:val="none"/>
              </w:rPr>
            </w:pPr>
            <w:r>
              <w:rPr>
                <w:rFonts w:hint="eastAsia" w:asciiTheme="majorEastAsia" w:hAnsiTheme="majorEastAsia" w:eastAsiaTheme="majorEastAsia" w:cstheme="majorEastAsia"/>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CWD:   血流速度≥14.0 m/s</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最低测量速度：≤5.0mm/s(非噪声信号)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显示方式：B、M、B/M、B/M/CFI、B/D、D、B/CFI/D</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电影回放：≥60秒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取样宽度及位置范围：宽度1mm至16mm；分级</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彩色多普勒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显示方式：速度分散显示、能量显示、速度显示</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彩色显示帧频：凸阵探头全视野，最大彩色取样框，18cm深时， 彩色显示帧频≥8帧/秒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相控阵探头90度角全视野彩色取样框，18cm深度，彩色显示帧频≥7 帧/秒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显示控制：零位移动、黑白与彩色比较、彩色对比</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彩色增强功能：彩色多普勒能量图(CDE)（包括方向性能量图）</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双幅实时显示、包括双幅不同模式实时显示（B/B;B/CFM）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741"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val="0"/>
                <w:i w:val="0"/>
                <w:iCs w:val="0"/>
                <w:color w:val="auto"/>
                <w:sz w:val="21"/>
                <w:szCs w:val="21"/>
                <w:u w:val="none"/>
              </w:rPr>
              <w:suppressLineNumbers w:val="0"/>
            </w:pPr>
            <w:r>
              <w:rPr>
                <w:rFonts w:hint="eastAsia" w:asciiTheme="majorEastAsia" w:hAnsiTheme="majorEastAsia" w:eastAsiaTheme="majorEastAsia" w:cstheme="majorEastAsia"/>
                <w:b w:val="0"/>
                <w:bCs w:val="0"/>
                <w:i w:val="0"/>
                <w:iCs w:val="0"/>
                <w:color w:val="auto"/>
                <w:sz w:val="21"/>
                <w:szCs w:val="21"/>
                <w:u w:val="none"/>
                <w:lang w:val="en-US" w:eastAsia="zh-CN" w:bidi="ar"/>
              </w:rPr>
              <w:t xml:space="preserve">超声功率输出调节：B/M、PWD、Color Doppler输出功率可调</w:t>
            </w:r>
            <w:r/>
          </w:p>
        </w:tc>
      </w:tr>
    </w:tbl>
    <w:p>
      <w:pPr>
        <w:rPr>
          <w:color w:val="auto"/>
        </w:rPr>
      </w:pPr>
      <w:r>
        <w:rPr>
          <w:color w:val="auto"/>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三、相关要求</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i/>
          <w:iCs/>
          <w:color w:val="auto"/>
          <w:sz w:val="21"/>
          <w:szCs w:val="21"/>
          <w:highlight w:val="none"/>
          <w:u w:val="single"/>
        </w:rPr>
      </w:pPr>
      <w:r/>
      <w:bookmarkStart w:id="60" w:name="_Toc55204181"/>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i/>
          <w:iCs/>
          <w:color w:val="auto"/>
          <w:sz w:val="21"/>
          <w:szCs w:val="21"/>
          <w:highlight w:val="none"/>
          <w:u w:val="single"/>
          <w:lang w:val="en-US" w:eastAsia="zh-CN"/>
        </w:rPr>
        <w:t xml:space="preserve">所投产品</w:t>
      </w:r>
      <w:r>
        <w:rPr>
          <w:rFonts w:hint="eastAsia" w:ascii="宋体" w:hAnsi="宋体" w:eastAsia="宋体" w:cs="宋体"/>
          <w:b w:val="0"/>
          <w:bCs w:val="0"/>
          <w:i/>
          <w:iCs/>
          <w:color w:val="auto"/>
          <w:sz w:val="21"/>
          <w:szCs w:val="21"/>
          <w:highlight w:val="none"/>
          <w:u w:val="single"/>
        </w:rPr>
        <w:t xml:space="preserve">保修期需提供不少于</w:t>
      </w:r>
      <w:r>
        <w:rPr>
          <w:rFonts w:hint="eastAsia" w:ascii="宋体" w:hAnsi="宋体" w:eastAsia="宋体" w:cs="宋体"/>
          <w:b w:val="0"/>
          <w:bCs w:val="0"/>
          <w:i/>
          <w:iCs/>
          <w:color w:val="auto"/>
          <w:sz w:val="21"/>
          <w:szCs w:val="21"/>
          <w:highlight w:val="none"/>
          <w:u w:val="single"/>
          <w:lang w:val="en-US" w:eastAsia="zh-CN"/>
        </w:rPr>
        <w:t xml:space="preserve">五</w:t>
      </w:r>
      <w:r>
        <w:rPr>
          <w:rFonts w:hint="eastAsia" w:ascii="宋体" w:hAnsi="宋体" w:eastAsia="宋体" w:cs="宋体"/>
          <w:b w:val="0"/>
          <w:bCs w:val="0"/>
          <w:i/>
          <w:iCs/>
          <w:color w:val="auto"/>
          <w:sz w:val="21"/>
          <w:szCs w:val="21"/>
          <w:highlight w:val="none"/>
          <w:u w:val="single"/>
        </w:rPr>
        <w:t xml:space="preserve">年的整机免费</w:t>
      </w:r>
      <w:r>
        <w:rPr>
          <w:rFonts w:hint="eastAsia" w:ascii="宋体" w:hAnsi="宋体" w:eastAsia="宋体" w:cs="宋体"/>
          <w:b w:val="0"/>
          <w:bCs w:val="0"/>
          <w:i/>
          <w:iCs/>
          <w:color w:val="auto"/>
          <w:sz w:val="21"/>
          <w:szCs w:val="21"/>
          <w:highlight w:val="none"/>
          <w:u w:val="single"/>
          <w:lang w:val="en-US" w:eastAsia="zh-CN"/>
        </w:rPr>
        <w:t xml:space="preserve">原厂</w:t>
      </w:r>
      <w:r>
        <w:rPr>
          <w:rFonts w:hint="eastAsia" w:ascii="宋体" w:hAnsi="宋体" w:eastAsia="宋体" w:cs="宋体"/>
          <w:b w:val="0"/>
          <w:bCs w:val="0"/>
          <w:i/>
          <w:iCs/>
          <w:color w:val="auto"/>
          <w:sz w:val="21"/>
          <w:szCs w:val="21"/>
          <w:highlight w:val="none"/>
          <w:u w:val="single"/>
        </w:rPr>
        <w:t xml:space="preserve">质保。质量保修期间产生的所有保修相关费用（包括但不限于人工费、备品备件、耗材、服务费、税金以及保修期间涉及到的其他一切费用）全部由投标人承担。系统提供终身免费维护和升级服务（提供质保期内和质保期满后的售后服务承诺，格式自拟）。 所投产品与服务不得有知识产权争议（提供承诺函，格式自拟）。</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售后服务</w:t>
      </w:r>
      <w:r>
        <w:rPr>
          <w:rFonts w:hint="eastAsia" w:ascii="宋体" w:hAnsi="宋体" w:eastAsia="宋体" w:cs="宋体"/>
          <w:b w:val="0"/>
          <w:bCs w:val="0"/>
          <w:color w:val="auto"/>
          <w:sz w:val="21"/>
          <w:szCs w:val="21"/>
          <w:highlight w:val="none"/>
          <w:lang w:val="en-US" w:eastAsia="zh-CN"/>
        </w:rPr>
        <w:t xml:space="preserve">要求</w:t>
      </w:r>
      <w:r>
        <w:rPr>
          <w:rFonts w:hint="eastAsia" w:ascii="宋体" w:hAnsi="宋体" w:eastAsia="宋体" w:cs="宋体"/>
          <w:b w:val="0"/>
          <w:bCs w:val="0"/>
          <w:color w:val="auto"/>
          <w:sz w:val="21"/>
          <w:szCs w:val="21"/>
          <w:highlight w:val="none"/>
          <w:lang w:eastAsia="zh-CN"/>
        </w:rPr>
        <w:t xml:space="preserve">：</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（1）在保修期内，如有损坏或质量不合格者，</w:t>
      </w:r>
      <w:r>
        <w:rPr>
          <w:rFonts w:hint="eastAsia" w:ascii="宋体" w:hAnsi="宋体" w:eastAsia="宋体" w:cs="宋体"/>
          <w:b w:val="0"/>
          <w:bCs w:val="0"/>
          <w:color w:val="auto"/>
          <w:sz w:val="21"/>
          <w:szCs w:val="21"/>
          <w:highlight w:val="none"/>
          <w:lang w:val="en-US" w:eastAsia="zh-CN"/>
        </w:rPr>
        <w:t xml:space="preserve">中标供应商</w:t>
      </w:r>
      <w:r>
        <w:rPr>
          <w:rFonts w:hint="eastAsia" w:ascii="宋体" w:hAnsi="宋体" w:eastAsia="宋体" w:cs="宋体"/>
          <w:b w:val="0"/>
          <w:bCs w:val="0"/>
          <w:color w:val="auto"/>
          <w:sz w:val="21"/>
          <w:szCs w:val="21"/>
          <w:highlight w:val="none"/>
        </w:rPr>
        <w:t xml:space="preserve">应及时给予修复和更换，其修理和更换应免费。正常修理周期和修理期间需提供免费测试。</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（2）在保修期外，</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为</w:t>
      </w:r>
      <w:r>
        <w:rPr>
          <w:rFonts w:hint="eastAsia" w:ascii="宋体" w:hAnsi="宋体" w:eastAsia="宋体" w:cs="宋体"/>
          <w:color w:val="auto"/>
          <w:sz w:val="21"/>
          <w:szCs w:val="21"/>
          <w:highlight w:val="none"/>
          <w:lang w:val="en-US" w:eastAsia="zh-CN"/>
        </w:rPr>
        <w:t xml:space="preserve">货物</w:t>
      </w:r>
      <w:r>
        <w:rPr>
          <w:rFonts w:hint="eastAsia" w:ascii="宋体" w:hAnsi="宋体" w:eastAsia="宋体" w:cs="宋体"/>
          <w:b w:val="0"/>
          <w:bCs w:val="0"/>
          <w:color w:val="auto"/>
          <w:sz w:val="21"/>
          <w:szCs w:val="21"/>
          <w:highlight w:val="none"/>
        </w:rPr>
        <w:t xml:space="preserve">提供终身维修服务，维修问题出现时，按技术参数服务要求相应条款处理。</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（3）在保修期内，如果原厂方鉴定设备因为人为损坏，厂方须出具具有法定权威性第三方检测证明，否则一律视为保修范围内容处理。</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default" w:ascii="宋体" w:hAnsi="宋体" w:eastAsia="宋体" w:cs="宋体"/>
          <w:b w:val="0"/>
          <w:bCs w:val="0"/>
          <w:color w:val="auto"/>
          <w:sz w:val="21"/>
          <w:szCs w:val="21"/>
          <w:highlight w:val="none"/>
          <w:lang w:val="en-US"/>
        </w:rPr>
        <w:t xml:space="preserve">4</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必须有严格的售后服务保障体系，能提供正常的技术支持和备件供应服务，保证设备正常发挥效用。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培训</w:t>
      </w:r>
      <w:r>
        <w:rPr>
          <w:rFonts w:hint="eastAsia" w:ascii="宋体" w:hAnsi="宋体" w:eastAsia="宋体" w:cs="宋体"/>
          <w:b w:val="0"/>
          <w:bCs w:val="0"/>
          <w:color w:val="auto"/>
          <w:sz w:val="21"/>
          <w:szCs w:val="21"/>
          <w:highlight w:val="none"/>
          <w:lang w:val="en-US" w:eastAsia="zh-CN"/>
        </w:rPr>
        <w:t xml:space="preserve">要求：</w:t>
      </w:r>
      <w:r>
        <w:rPr>
          <w:rFonts w:hint="eastAsia" w:ascii="宋体" w:hAnsi="宋体" w:eastAsia="宋体" w:cs="宋体"/>
          <w:b w:val="0"/>
          <w:bCs w:val="0"/>
          <w:color w:val="auto"/>
          <w:sz w:val="21"/>
          <w:szCs w:val="21"/>
          <w:highlight w:val="none"/>
        </w:rPr>
        <w:t xml:space="preserve">投标人应根据采购方要求，对设备投放点相关人员上门进行产品及技术免费培训，并制定与投标内容相应的培训方案。培训对象、时间、地点、场次由采购方确定。</w:t>
      </w:r>
      <w:r>
        <w:rPr>
          <w:rFonts w:hint="default"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交货时间、地点</w:t>
      </w:r>
      <w:r>
        <w:rPr>
          <w:rFonts w:hint="eastAsia" w:ascii="宋体" w:hAnsi="宋体" w:eastAsia="宋体" w:cs="宋体"/>
          <w:b w:val="0"/>
          <w:bCs w:val="0"/>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default" w:ascii="宋体" w:hAnsi="宋体" w:eastAsia="宋体" w:cs="宋体"/>
          <w:b w:val="0"/>
          <w:bCs w:val="0"/>
          <w:color w:val="auto"/>
          <w:sz w:val="21"/>
          <w:szCs w:val="21"/>
          <w:highlight w:val="none"/>
          <w:lang w:val="en-US" w:eastAsia="zh-CN"/>
        </w:rPr>
        <w:t xml:space="preserve">4.1</w:t>
      </w:r>
      <w:r>
        <w:rPr>
          <w:rFonts w:hint="eastAsia" w:ascii="宋体" w:hAnsi="宋体" w:eastAsia="宋体" w:cs="宋体"/>
          <w:b w:val="0"/>
          <w:bCs w:val="0"/>
          <w:color w:val="auto"/>
          <w:sz w:val="21"/>
          <w:szCs w:val="21"/>
          <w:highlight w:val="none"/>
        </w:rPr>
        <w:t xml:space="preserve">交货期或交付使用期：</w:t>
      </w:r>
      <w:r>
        <w:rPr>
          <w:rFonts w:hint="eastAsia" w:ascii="宋体" w:hAnsi="宋体" w:eastAsia="宋体" w:cs="宋体"/>
          <w:i/>
          <w:iCs/>
          <w:color w:val="auto"/>
          <w:sz w:val="21"/>
          <w:szCs w:val="21"/>
          <w:highlight w:val="none"/>
          <w:u w:val="single"/>
        </w:rPr>
        <w:t xml:space="preserve">供货周期：供货总周期30天。本项目具体供货批次、供货时间、供货数量均以</w:t>
      </w:r>
      <w:r>
        <w:rPr>
          <w:rFonts w:hint="eastAsia" w:ascii="宋体" w:hAnsi="宋体" w:cs="宋体"/>
          <w:i/>
          <w:iCs/>
          <w:color w:val="auto"/>
          <w:sz w:val="21"/>
          <w:szCs w:val="21"/>
          <w:highlight w:val="none"/>
          <w:u w:val="single"/>
          <w:lang w:val="en-US" w:eastAsia="zh-CN"/>
        </w:rPr>
        <w:t xml:space="preserve">采购人</w:t>
      </w:r>
      <w:r>
        <w:rPr>
          <w:rFonts w:hint="eastAsia" w:ascii="宋体" w:hAnsi="宋体" w:eastAsia="宋体" w:cs="宋体"/>
          <w:i/>
          <w:iCs/>
          <w:color w:val="auto"/>
          <w:sz w:val="21"/>
          <w:szCs w:val="21"/>
          <w:highlight w:val="none"/>
          <w:u w:val="single"/>
        </w:rPr>
        <w:t xml:space="preserve">通知为准，收到招标人通知后5日内中标人需将全套设备运送至招标指定的各地点并由专业人员安装调试到位。验收交货前存放及保管概由</w:t>
      </w:r>
      <w:r>
        <w:rPr>
          <w:rFonts w:hint="eastAsia" w:ascii="宋体" w:hAnsi="宋体" w:eastAsia="宋体" w:cs="宋体"/>
          <w:i/>
          <w:iCs/>
          <w:color w:val="auto"/>
          <w:sz w:val="21"/>
          <w:szCs w:val="21"/>
          <w:highlight w:val="none"/>
          <w:u w:val="single"/>
          <w:lang w:eastAsia="zh-CN"/>
        </w:rPr>
        <w:t xml:space="preserve">投标人</w:t>
      </w:r>
      <w:r>
        <w:rPr>
          <w:rFonts w:hint="eastAsia" w:ascii="宋体" w:hAnsi="宋体" w:eastAsia="宋体" w:cs="宋体"/>
          <w:i/>
          <w:iCs/>
          <w:color w:val="auto"/>
          <w:sz w:val="21"/>
          <w:szCs w:val="21"/>
          <w:highlight w:val="none"/>
          <w:u w:val="single"/>
        </w:rPr>
        <w:t xml:space="preserve">负责。货物材料的包装均应有良好的防湿、防锈、防潮、防雨、防腐及防碰撞的措施。凡由于包装不良造成的损失和由此产生的费用均由</w:t>
      </w:r>
      <w:r>
        <w:rPr>
          <w:rFonts w:hint="eastAsia" w:ascii="宋体" w:hAnsi="宋体" w:eastAsia="宋体" w:cs="宋体"/>
          <w:i/>
          <w:iCs/>
          <w:color w:val="auto"/>
          <w:sz w:val="21"/>
          <w:szCs w:val="21"/>
          <w:highlight w:val="none"/>
          <w:u w:val="single"/>
          <w:lang w:eastAsia="zh-CN"/>
        </w:rPr>
        <w:t xml:space="preserve">投标人</w:t>
      </w:r>
      <w:r>
        <w:rPr>
          <w:rFonts w:hint="eastAsia" w:ascii="宋体" w:hAnsi="宋体" w:eastAsia="宋体" w:cs="宋体"/>
          <w:i/>
          <w:iCs/>
          <w:color w:val="auto"/>
          <w:sz w:val="21"/>
          <w:szCs w:val="21"/>
          <w:highlight w:val="none"/>
          <w:u w:val="single"/>
        </w:rPr>
        <w:t xml:space="preserve">承担。</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lang w:val="en-US" w:eastAsia="zh-CN"/>
        </w:rPr>
        <w:t xml:space="preserve">提供承诺函，格式自拟</w:t>
      </w:r>
      <w:r>
        <w:rPr>
          <w:rFonts w:hint="eastAsia" w:ascii="宋体" w:hAnsi="宋体" w:cs="宋体"/>
          <w:i/>
          <w:iCs/>
          <w:color w:val="auto"/>
          <w:sz w:val="21"/>
          <w:szCs w:val="21"/>
          <w:highlight w:val="none"/>
          <w:u w:val="single"/>
          <w:lang w:eastAsia="zh-CN"/>
        </w:rPr>
        <w:t xml:space="preserve">）</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default" w:ascii="宋体" w:hAnsi="宋体" w:eastAsia="宋体" w:cs="宋体"/>
          <w:b w:val="0"/>
          <w:bCs w:val="0"/>
          <w:color w:val="auto"/>
          <w:sz w:val="21"/>
          <w:szCs w:val="21"/>
          <w:highlight w:val="none"/>
          <w:lang w:val="en-US"/>
        </w:rPr>
        <w:t xml:space="preserve">4.</w:t>
      </w:r>
      <w:r>
        <w:rPr>
          <w:rFonts w:hint="eastAsia" w:ascii="宋体" w:hAnsi="宋体" w:eastAsia="宋体" w:cs="宋体"/>
          <w:b w:val="0"/>
          <w:bCs w:val="0"/>
          <w:color w:val="auto"/>
          <w:sz w:val="21"/>
          <w:szCs w:val="21"/>
          <w:highlight w:val="none"/>
        </w:rPr>
        <w:t xml:space="preserve">2、验收标准：应与产品原始样本技术数据及标书技术文件一致，符合国家有关安全技术规范和技术标准。</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default"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本项目为交钥匙项目，项目包含货物制作、安装、调试验收等相关的技术指导和售后服务、利润、保险、税金、以及所包含的风险、责任等所有费用均包含在报价内，请各</w:t>
      </w: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认真考虑其各种风险。除合同另有规定之外，伴随服务的费用均已含在合同价款中，采购人不再另行支付。</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default" w:ascii="宋体" w:hAnsi="宋体" w:eastAsia="宋体" w:cs="宋体"/>
          <w:b w:val="0"/>
          <w:bCs w:val="0"/>
          <w:color w:val="auto"/>
          <w:sz w:val="21"/>
          <w:szCs w:val="21"/>
          <w:highlight w:val="none"/>
          <w:lang w:val="en-US"/>
        </w:rPr>
        <w:t xml:space="preserve">6</w:t>
      </w:r>
      <w:r>
        <w:rPr>
          <w:rFonts w:hint="eastAsia" w:ascii="宋体" w:hAnsi="宋体" w:eastAsia="宋体" w:cs="宋体"/>
          <w:b w:val="0"/>
          <w:bCs w:val="0"/>
          <w:color w:val="auto"/>
          <w:sz w:val="21"/>
          <w:szCs w:val="21"/>
          <w:highlight w:val="none"/>
        </w:rPr>
        <w:t xml:space="preserve">、服务要求</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eastAsia="zh-CN"/>
        </w:rPr>
      </w:pPr>
      <w:r>
        <w:rPr>
          <w:rFonts w:hint="default" w:ascii="宋体" w:hAnsi="宋体" w:eastAsia="宋体" w:cs="宋体"/>
          <w:b w:val="0"/>
          <w:bCs w:val="0"/>
          <w:color w:val="auto"/>
          <w:sz w:val="21"/>
          <w:szCs w:val="21"/>
          <w:highlight w:val="none"/>
          <w:lang w:val="en-US"/>
        </w:rPr>
        <w:t xml:space="preserve">6</w:t>
      </w:r>
      <w:r>
        <w:rPr>
          <w:rFonts w:hint="eastAsia" w:ascii="宋体" w:hAnsi="宋体" w:eastAsia="宋体" w:cs="宋体"/>
          <w:b w:val="0"/>
          <w:bCs w:val="0"/>
          <w:color w:val="auto"/>
          <w:sz w:val="21"/>
          <w:szCs w:val="21"/>
          <w:highlight w:val="none"/>
        </w:rPr>
        <w:t xml:space="preserve">.1 中标方提供的设备，其品牌、型号和技术参数等必须符合招投标文件的相关要求和</w:t>
      </w:r>
      <w:r>
        <w:rPr>
          <w:rFonts w:hint="eastAsia" w:ascii="宋体" w:hAnsi="宋体" w:eastAsia="宋体" w:cs="宋体"/>
          <w:b w:val="0"/>
          <w:bCs w:val="0"/>
          <w:color w:val="auto"/>
          <w:sz w:val="21"/>
          <w:szCs w:val="21"/>
          <w:highlight w:val="none"/>
          <w:lang w:eastAsia="zh-CN"/>
        </w:rPr>
        <w:t xml:space="preserve">承诺事项。如有不符，采购方可无条件退货，由此所造成的损失由中标方承担。</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eastAsia="zh-CN"/>
        </w:rPr>
      </w:pPr>
      <w:r>
        <w:rPr>
          <w:rFonts w:hint="default"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.2 中标方和供货方的名称必须一致，否则视作违约处理。</w:t>
      </w:r>
      <w:r/>
    </w:p>
    <w:p>
      <w:pPr>
        <w:pStyle w:val="705"/>
        <w:ind w:left="0" w:firstLine="420"/>
        <w:keepLines w:val="0"/>
        <w:keepNext w:val="0"/>
        <w:pageBreakBefore w:val="0"/>
        <w:spacing w:after="0" w:line="360" w:lineRule="auto"/>
        <w:widowControl w:val="off"/>
        <w:rPr>
          <w:rFonts w:hint="eastAsia" w:ascii="宋体" w:hAnsi="宋体" w:cs="宋体"/>
          <w:i/>
          <w:iCs/>
          <w:color w:val="auto"/>
          <w:sz w:val="21"/>
          <w:szCs w:val="21"/>
          <w:highlight w:val="none"/>
          <w:u w:val="single"/>
          <w:lang w:eastAsia="zh-CN"/>
        </w:rPr>
      </w:pPr>
      <w:r>
        <w:rPr>
          <w:rFonts w:hint="eastAsia" w:ascii="宋体" w:hAnsi="宋体" w:eastAsia="宋体" w:cs="宋体"/>
          <w:b w:val="0"/>
          <w:bCs w:val="0"/>
          <w:i/>
          <w:iCs/>
          <w:color w:val="auto"/>
          <w:sz w:val="21"/>
          <w:szCs w:val="21"/>
          <w:highlight w:val="none"/>
          <w:u w:val="single"/>
          <w:lang w:val="en-US" w:eastAsia="zh-CN"/>
        </w:rPr>
        <w:t xml:space="preserve">7、设备对接采购人HIS/LIS/PACS等系统的接口费用（</w:t>
      </w:r>
      <w:r>
        <w:rPr>
          <w:rFonts w:hint="eastAsia" w:ascii="宋体" w:hAnsi="宋体" w:eastAsia="宋体" w:cs="宋体"/>
          <w:i/>
          <w:iCs/>
          <w:color w:val="auto"/>
          <w:szCs w:val="21"/>
          <w:highlight w:val="none"/>
          <w:u w:val="single"/>
        </w:rPr>
        <w:t xml:space="preserve">2万元内</w:t>
      </w:r>
      <w:r>
        <w:rPr>
          <w:rFonts w:hint="eastAsia" w:ascii="宋体" w:hAnsi="宋体" w:eastAsia="宋体" w:cs="宋体"/>
          <w:b w:val="0"/>
          <w:bCs w:val="0"/>
          <w:i/>
          <w:iCs/>
          <w:color w:val="auto"/>
          <w:sz w:val="21"/>
          <w:szCs w:val="21"/>
          <w:highlight w:val="none"/>
          <w:u w:val="single"/>
          <w:lang w:val="en-US" w:eastAsia="zh-CN"/>
        </w:rPr>
        <w:t xml:space="preserve">）由中标方承担</w:t>
      </w:r>
      <w:r>
        <w:rPr>
          <w:rFonts w:hint="eastAsia" w:ascii="宋体" w:hAnsi="宋体" w:cs="宋体"/>
          <w:b w:val="0"/>
          <w:bCs w:val="0"/>
          <w:i/>
          <w:iCs/>
          <w:color w:val="auto"/>
          <w:sz w:val="21"/>
          <w:szCs w:val="21"/>
          <w:highlight w:val="none"/>
          <w:u w:val="single"/>
          <w:lang w:eastAsia="zh-CN"/>
        </w:rPr>
        <w:t xml:space="preserve">（</w:t>
      </w:r>
      <w:r>
        <w:rPr>
          <w:rFonts w:hint="eastAsia" w:ascii="宋体" w:hAnsi="宋体" w:cs="宋体"/>
          <w:b w:val="0"/>
          <w:bCs w:val="0"/>
          <w:i/>
          <w:iCs/>
          <w:color w:val="auto"/>
          <w:sz w:val="21"/>
          <w:szCs w:val="21"/>
          <w:highlight w:val="none"/>
          <w:u w:val="single"/>
          <w:lang w:val="en-US" w:eastAsia="zh-CN"/>
        </w:rPr>
        <w:t xml:space="preserve">提供承诺函，格式自拟</w:t>
      </w:r>
      <w:r>
        <w:rPr>
          <w:rFonts w:hint="eastAsia" w:ascii="宋体" w:hAnsi="宋体" w:cs="宋体"/>
          <w:b w:val="0"/>
          <w:bCs w:val="0"/>
          <w:i/>
          <w:iCs/>
          <w:color w:val="auto"/>
          <w:sz w:val="21"/>
          <w:szCs w:val="21"/>
          <w:highlight w:val="none"/>
          <w:u w:val="single"/>
          <w:lang w:eastAsia="zh-CN"/>
        </w:rPr>
        <w:t xml:space="preserve">）</w:t>
      </w:r>
      <w:r/>
    </w:p>
    <w:p>
      <w:pPr>
        <w:pStyle w:val="705"/>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8、设备电池单价不超过合同价的6%。</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四、节能产品要求</w:t>
      </w:r>
      <w:r/>
    </w:p>
    <w:p>
      <w:pPr>
        <w:ind w:firstLine="420"/>
        <w:jc w:val="left"/>
        <w:spacing w:line="360" w:lineRule="auto"/>
        <w:rPr>
          <w:rFonts w:ascii="宋体" w:hAnsi="宋体" w:cs="宋体"/>
          <w:b/>
          <w:bCs/>
          <w:i/>
          <w:iCs/>
          <w:color w:val="auto"/>
          <w:szCs w:val="21"/>
          <w:highlight w:val="none"/>
          <w:u w:val="single"/>
        </w:rPr>
      </w:pPr>
      <w:r>
        <w:rPr>
          <w:rFonts w:hint="eastAsia" w:ascii="宋体" w:hAnsi="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cs="宋体"/>
          <w:b/>
          <w:bCs/>
          <w:i/>
          <w:iCs/>
          <w:color w:val="auto"/>
          <w:szCs w:val="21"/>
          <w:highlight w:val="none"/>
          <w:u w:val="single"/>
        </w:rPr>
        <w:t xml:space="preserve">（本项目涉及强制采购范围内产品有：无）</w:t>
      </w:r>
      <w:r/>
    </w:p>
    <w:p>
      <w:pPr>
        <w:pStyle w:val="686"/>
        <w:jc w:val="center"/>
        <w:spacing w:line="360" w:lineRule="auto"/>
        <w:rPr>
          <w:rFonts w:ascii="宋体" w:hAnsi="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6"/>
          <w:highlight w:val="none"/>
        </w:rPr>
      </w:r>
      <w:r/>
    </w:p>
    <w:p>
      <w:pPr>
        <w:pStyle w:val="686"/>
        <w:jc w:val="center"/>
        <w:rPr>
          <w:rFonts w:ascii="宋体" w:hAnsi="宋体"/>
          <w:color w:val="auto"/>
          <w:sz w:val="36"/>
          <w:highlight w:val="none"/>
        </w:rPr>
      </w:pPr>
      <w:r/>
      <w:bookmarkStart w:id="61" w:name="_Toc11079"/>
      <w:r>
        <w:rPr>
          <w:rFonts w:hint="eastAsia" w:ascii="宋体" w:hAnsi="宋体"/>
          <w:color w:val="auto"/>
          <w:sz w:val="36"/>
          <w:highlight w:val="none"/>
        </w:rPr>
        <w:t xml:space="preserve">第五章 评标方法及评标标准</w:t>
      </w:r>
      <w:bookmarkEnd w:id="60"/>
      <w:r/>
      <w:bookmarkEnd w:id="61"/>
      <w:r/>
      <w:r/>
    </w:p>
    <w:p>
      <w:pPr>
        <w:pStyle w:val="891"/>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91"/>
        <w:ind w:firstLine="420"/>
        <w:rPr>
          <w:rFonts w:ascii="宋体" w:hAnsi="宋体"/>
          <w:color w:val="auto"/>
          <w:sz w:val="21"/>
          <w:szCs w:val="21"/>
          <w:highlight w:val="none"/>
        </w:rPr>
      </w:pPr>
      <w:r/>
      <w:bookmarkStart w:id="62" w:name="_Toc449016388"/>
      <w:r/>
      <w:bookmarkStart w:id="63" w:name="_Toc449017024"/>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62"/>
      <w:r/>
      <w:bookmarkEnd w:id="63"/>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1"/>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891"/>
        <w:ind w:firstLine="420"/>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891"/>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w:t>
      </w:r>
      <w:r>
        <w:rPr>
          <w:rFonts w:hint="eastAsia" w:ascii="宋体" w:hAnsi="宋体"/>
          <w:color w:val="auto"/>
          <w:sz w:val="21"/>
          <w:szCs w:val="21"/>
          <w:highlight w:val="none"/>
        </w:rPr>
        <w:t xml:space="preserve">中小</w:t>
      </w:r>
      <w:r>
        <w:rPr>
          <w:rFonts w:ascii="宋体" w:hAnsi="宋体"/>
          <w:color w:val="auto"/>
          <w:sz w:val="21"/>
          <w:szCs w:val="21"/>
          <w:highlight w:val="none"/>
        </w:rPr>
        <w:t xml:space="preserve">企业声明函》。</w:t>
      </w:r>
      <w:r/>
    </w:p>
    <w:p>
      <w:pPr>
        <w:pStyle w:val="891"/>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891"/>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91"/>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891"/>
        <w:ind w:firstLine="42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891"/>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891"/>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91"/>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1"/>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891"/>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891"/>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891"/>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891"/>
        <w:ind w:firstLine="420"/>
        <w:rPr>
          <w:rFonts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891"/>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696"/>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5"/>
        <w:gridCol w:w="7474"/>
      </w:tblGrid>
      <w:tr>
        <w:trPr>
          <w:jc w:val="center"/>
          <w:trHeight w:val="579"/>
        </w:trPr>
        <w:tc>
          <w:tcPr>
            <w:tcMar>
              <w:left w:w="108" w:type="dxa"/>
              <w:top w:w="0" w:type="dxa"/>
              <w:right w:w="108" w:type="dxa"/>
              <w:bottom w:w="0" w:type="dxa"/>
            </w:tcMar>
            <w:tcW w:w="1465" w:type="dxa"/>
            <w:vAlign w:val="center"/>
            <w:textDirection w:val="lrTb"/>
            <w:noWrap w:val="false"/>
          </w:tcPr>
          <w:p>
            <w:pPr>
              <w:jc w:val="center"/>
              <w:rPr>
                <w:rFonts w:ascii="宋体"/>
                <w:color w:val="auto"/>
              </w:rPr>
            </w:pPr>
            <w:r>
              <w:rPr>
                <w:rFonts w:hint="eastAsia" w:ascii="宋体" w:hAnsi="宋体"/>
                <w:color w:val="auto"/>
              </w:rPr>
              <w:t xml:space="preserve">项目</w:t>
            </w:r>
            <w:r/>
          </w:p>
        </w:tc>
        <w:tc>
          <w:tcPr>
            <w:tcMar>
              <w:left w:w="108" w:type="dxa"/>
              <w:top w:w="0" w:type="dxa"/>
              <w:right w:w="108" w:type="dxa"/>
              <w:bottom w:w="0" w:type="dxa"/>
            </w:tcMar>
            <w:tcW w:w="7474" w:type="dxa"/>
            <w:vAlign w:val="center"/>
            <w:textDirection w:val="lrTb"/>
            <w:noWrap w:val="false"/>
          </w:tcPr>
          <w:p>
            <w:pPr>
              <w:jc w:val="center"/>
              <w:rPr>
                <w:rFonts w:ascii="宋体"/>
                <w:color w:val="auto"/>
              </w:rPr>
            </w:pPr>
            <w:r>
              <w:rPr>
                <w:rFonts w:hint="eastAsia" w:ascii="宋体" w:hAnsi="宋体"/>
                <w:color w:val="auto"/>
              </w:rPr>
              <w:t xml:space="preserve">评分标准</w:t>
            </w:r>
            <w:r/>
          </w:p>
        </w:tc>
      </w:tr>
      <w:tr>
        <w:trPr>
          <w:jc w:val="center"/>
          <w:trHeight w:val="840"/>
        </w:trPr>
        <w:tc>
          <w:tcPr>
            <w:tcMar>
              <w:left w:w="108" w:type="dxa"/>
              <w:top w:w="0" w:type="dxa"/>
              <w:right w:w="108" w:type="dxa"/>
              <w:bottom w:w="0" w:type="dxa"/>
            </w:tcMar>
            <w:tcW w:w="1465" w:type="dxa"/>
            <w:vAlign w:val="center"/>
            <w:textDirection w:val="lrTb"/>
            <w:noWrap w:val="false"/>
          </w:tcPr>
          <w:p>
            <w:pPr>
              <w:jc w:val="center"/>
              <w:widowControl/>
              <w:rPr>
                <w:rFonts w:ascii="宋体"/>
                <w:color w:val="auto"/>
              </w:rPr>
            </w:pPr>
            <w:r>
              <w:rPr>
                <w:rFonts w:hint="eastAsia" w:ascii="宋体" w:hAnsi="宋体"/>
                <w:color w:val="auto"/>
              </w:rPr>
              <w:t xml:space="preserve">价格</w:t>
            </w:r>
            <w:r/>
          </w:p>
          <w:p>
            <w:pPr>
              <w:jc w:val="center"/>
              <w:widowControl/>
              <w:rPr>
                <w:rFonts w:ascii="宋体"/>
                <w:color w:val="auto"/>
              </w:rPr>
            </w:pPr>
            <w:r>
              <w:rPr>
                <w:rFonts w:hint="eastAsia" w:ascii="宋体" w:hAnsi="宋体"/>
                <w:color w:val="auto"/>
              </w:rPr>
              <w:t xml:space="preserve">（30分）</w:t>
            </w:r>
            <w:r/>
          </w:p>
        </w:tc>
        <w:tc>
          <w:tcPr>
            <w:tcMar>
              <w:left w:w="108" w:type="dxa"/>
              <w:top w:w="0" w:type="dxa"/>
              <w:right w:w="108" w:type="dxa"/>
              <w:bottom w:w="0" w:type="dxa"/>
            </w:tcMar>
            <w:tcW w:w="7474" w:type="dxa"/>
            <w:vAlign w:val="center"/>
            <w:textDirection w:val="lrTb"/>
            <w:noWrap w:val="false"/>
          </w:tcPr>
          <w:p>
            <w:pPr>
              <w:spacing w:line="360" w:lineRule="auto"/>
              <w:rPr>
                <w:rFonts w:hint="eastAsia"/>
                <w:color w:val="auto"/>
              </w:rPr>
            </w:pPr>
            <w:r>
              <w:rPr>
                <w:rFonts w:hint="eastAsia"/>
                <w:color w:val="auto"/>
              </w:rPr>
              <w:t xml:space="preserve">以满足招标文件要求的最低报价为基准价，得30分，其他报价得分=（基准价/报价）×30×100%（小数保留2位）</w:t>
            </w:r>
            <w:r/>
          </w:p>
          <w:p>
            <w:pPr>
              <w:spacing w:line="360" w:lineRule="auto"/>
              <w:rPr>
                <w:rFonts w:hint="eastAsia"/>
                <w:color w:val="auto"/>
              </w:rPr>
            </w:pPr>
            <w:r>
              <w:rPr>
                <w:rFonts w:hint="eastAsia"/>
                <w:color w:val="auto"/>
              </w:rPr>
              <w:t xml:space="preserve">注：若投标人的报价明显低于其他通过资格性和符合性审查的投标报价的，投标人须现场提供相关证明材料证明其报价的合理性，否则视为无效报价。</w:t>
            </w:r>
            <w:r/>
          </w:p>
        </w:tc>
      </w:tr>
      <w:tr>
        <w:trPr>
          <w:cantSplit/>
          <w:jc w:val="center"/>
          <w:trHeight w:val="2000"/>
        </w:trPr>
        <w:tc>
          <w:tcPr>
            <w:tcMar>
              <w:left w:w="108" w:type="dxa"/>
              <w:top w:w="0" w:type="dxa"/>
              <w:right w:w="108" w:type="dxa"/>
              <w:bottom w:w="0" w:type="dxa"/>
            </w:tcMar>
            <w:tcW w:w="1465" w:type="dxa"/>
            <w:vAlign w:val="center"/>
            <w:textDirection w:val="lrTb"/>
            <w:noWrap w:val="false"/>
          </w:tcPr>
          <w:p>
            <w:pPr>
              <w:jc w:val="center"/>
              <w:widowControl/>
              <w:rPr>
                <w:rFonts w:ascii="宋体" w:hAnsi="宋体"/>
                <w:color w:val="auto"/>
              </w:rPr>
            </w:pPr>
            <w:r>
              <w:rPr>
                <w:rFonts w:hint="eastAsia" w:ascii="宋体" w:hAnsi="宋体"/>
                <w:color w:val="auto"/>
              </w:rPr>
              <w:t xml:space="preserve">性能</w:t>
            </w:r>
            <w:r/>
          </w:p>
          <w:p>
            <w:pPr>
              <w:jc w:val="center"/>
              <w:widowControl/>
              <w:rPr>
                <w:rFonts w:ascii="宋体"/>
                <w:color w:val="auto"/>
              </w:rPr>
            </w:pPr>
            <w:r>
              <w:rPr>
                <w:rFonts w:hint="eastAsia" w:ascii="宋体" w:hAnsi="宋体"/>
                <w:color w:val="auto"/>
              </w:rPr>
              <w:t xml:space="preserve">（</w:t>
            </w:r>
            <w:r>
              <w:rPr>
                <w:rFonts w:hint="default" w:ascii="宋体" w:hAnsi="宋体"/>
                <w:color w:val="auto"/>
                <w:lang w:val="en-US" w:eastAsia="zh-CN"/>
              </w:rPr>
              <w:t xml:space="preserve">30</w:t>
            </w:r>
            <w:r>
              <w:rPr>
                <w:rFonts w:hint="eastAsia" w:ascii="宋体" w:hAnsi="宋体"/>
                <w:color w:val="auto"/>
              </w:rPr>
              <w:t xml:space="preserve">分）</w:t>
            </w:r>
            <w:r/>
          </w:p>
        </w:tc>
        <w:tc>
          <w:tcPr>
            <w:tcMar>
              <w:left w:w="108" w:type="dxa"/>
              <w:top w:w="0" w:type="dxa"/>
              <w:right w:w="108" w:type="dxa"/>
              <w:bottom w:w="0" w:type="dxa"/>
            </w:tcMar>
            <w:tcW w:w="7474" w:type="dxa"/>
            <w:vAlign w:val="center"/>
            <w:textDirection w:val="lrTb"/>
            <w:noWrap w:val="false"/>
          </w:tcPr>
          <w:p>
            <w:pPr>
              <w:spacing w:line="360" w:lineRule="auto"/>
              <w:rPr>
                <w:rFonts w:hint="eastAsia" w:eastAsia="宋体"/>
                <w:color w:val="auto"/>
              </w:rPr>
            </w:pPr>
            <w:r>
              <w:rPr>
                <w:rFonts w:hint="eastAsia" w:eastAsia="宋体"/>
                <w:color w:val="auto"/>
              </w:rPr>
              <w:t xml:space="preserve">投标人所投产品技术参数完全满足或高于招标文件要求的得满分</w:t>
            </w:r>
            <w:r>
              <w:rPr>
                <w:rFonts w:hint="default"/>
                <w:color w:val="auto"/>
                <w:lang w:val="en-US"/>
              </w:rPr>
              <w:t xml:space="preserve">30</w:t>
            </w:r>
            <w:r>
              <w:rPr>
                <w:rFonts w:hint="eastAsia" w:eastAsia="宋体"/>
                <w:color w:val="auto"/>
              </w:rPr>
              <w:t xml:space="preserve">分；招标文件中技术参数打</w:t>
            </w:r>
            <w:r>
              <w:rPr>
                <w:rFonts w:hint="eastAsia" w:eastAsia="宋体"/>
                <w:color w:val="auto"/>
                <w:lang w:eastAsia="zh-CN"/>
              </w:rPr>
              <w:t xml:space="preserve">★</w:t>
            </w:r>
            <w:r>
              <w:rPr>
                <w:rFonts w:hint="eastAsia" w:eastAsia="宋体"/>
                <w:color w:val="auto"/>
              </w:rPr>
              <w:t xml:space="preserve">项的，每有一项不满足的扣</w:t>
            </w:r>
            <w:r>
              <w:rPr>
                <w:rFonts w:hint="default"/>
                <w:color w:val="auto"/>
                <w:lang w:val="en-US"/>
              </w:rPr>
              <w:t xml:space="preserve">2.5</w:t>
            </w:r>
            <w:r>
              <w:rPr>
                <w:rFonts w:hint="eastAsia" w:eastAsia="宋体"/>
                <w:color w:val="auto"/>
              </w:rPr>
              <w:t xml:space="preserve">分</w:t>
            </w:r>
            <w:r>
              <w:rPr>
                <w:rFonts w:hint="eastAsia" w:ascii="宋体" w:hAnsi="宋体" w:eastAsia="宋体" w:cs="宋体"/>
                <w:b w:val="0"/>
                <w:bCs w:val="0"/>
                <w:color w:val="auto"/>
                <w:sz w:val="21"/>
                <w:szCs w:val="21"/>
                <w:highlight w:val="none"/>
              </w:rPr>
              <w:t xml:space="preserve">，</w:t>
            </w:r>
            <w:r>
              <w:rPr>
                <w:rFonts w:hint="eastAsia" w:eastAsia="宋体"/>
                <w:color w:val="auto"/>
              </w:rPr>
              <w:t xml:space="preserve">招标文件中技术参数非</w:t>
            </w:r>
            <w:r>
              <w:rPr>
                <w:rFonts w:hint="eastAsia" w:eastAsia="宋体"/>
                <w:color w:val="auto"/>
                <w:lang w:eastAsia="zh-CN"/>
              </w:rPr>
              <w:t xml:space="preserve">★</w:t>
            </w:r>
            <w:r>
              <w:rPr>
                <w:rFonts w:hint="eastAsia" w:eastAsia="宋体"/>
                <w:color w:val="auto"/>
              </w:rPr>
              <w:t xml:space="preserve">项，每有一项不满足的扣1分，</w:t>
            </w:r>
            <w:r>
              <w:rPr>
                <w:rFonts w:hint="eastAsia" w:ascii="宋体" w:hAnsi="宋体" w:eastAsia="宋体" w:cs="宋体"/>
                <w:b w:val="0"/>
                <w:bCs w:val="0"/>
                <w:color w:val="auto"/>
                <w:sz w:val="21"/>
                <w:szCs w:val="21"/>
                <w:highlight w:val="none"/>
              </w:rPr>
              <w:t xml:space="preserve">扣完为止。</w:t>
            </w:r>
            <w:r>
              <w:rPr>
                <w:rFonts w:hint="eastAsia" w:eastAsia="宋体"/>
                <w:color w:val="auto"/>
              </w:rPr>
              <w:t xml:space="preserve">（提供</w:t>
            </w:r>
            <w:r>
              <w:rPr>
                <w:rFonts w:hint="eastAsia"/>
                <w:color w:val="auto"/>
                <w:lang w:val="en-US" w:eastAsia="zh-CN"/>
              </w:rPr>
              <w:t xml:space="preserve">相关证明材料</w:t>
            </w:r>
            <w:r>
              <w:rPr>
                <w:rFonts w:hint="eastAsia" w:eastAsia="宋体"/>
                <w:color w:val="auto"/>
              </w:rPr>
              <w:t xml:space="preserve">，原件扫描上传）</w:t>
            </w:r>
            <w:r/>
          </w:p>
          <w:p>
            <w:pPr>
              <w:spacing w:line="360" w:lineRule="auto"/>
              <w:rPr>
                <w:rFonts w:hint="eastAsia"/>
                <w:color w:val="auto"/>
              </w:rPr>
            </w:pPr>
            <w:r>
              <w:rPr>
                <w:rFonts w:hint="eastAsia" w:eastAsia="宋体"/>
                <w:color w:val="auto"/>
              </w:rPr>
              <w:t xml:space="preserve">注：投标人须在“技术参数响应及偏离表”中逐条进行应答，列明所投产品详细技术特性说明偏离情况，否则视为负偏离扣分；在“技术参数响应及偏离表”里列明无偏离，但未能提供相应的证明材料（如白皮书、产品彩页、技术资料书、检测报告等）进行佐证的，作为负偏离扣除相应技术得分。</w:t>
            </w:r>
            <w:r/>
          </w:p>
        </w:tc>
      </w:tr>
      <w:tr>
        <w:trPr>
          <w:cantSplit/>
          <w:jc w:val="center"/>
          <w:trHeight w:val="2000"/>
        </w:trPr>
        <w:tc>
          <w:tcPr>
            <w:tcMar>
              <w:left w:w="108" w:type="dxa"/>
              <w:top w:w="0" w:type="dxa"/>
              <w:right w:w="108" w:type="dxa"/>
              <w:bottom w:w="0" w:type="dxa"/>
            </w:tcMar>
            <w:tcW w:w="1465" w:type="dxa"/>
            <w:vAlign w:val="center"/>
            <w:textDirection w:val="lrTb"/>
            <w:noWrap w:val="false"/>
          </w:tcPr>
          <w:p>
            <w:pPr>
              <w:jc w:val="center"/>
              <w:spacing w:line="360" w:lineRule="auto"/>
              <w:rPr>
                <w:rFonts w:hint="default" w:eastAsia="宋体"/>
                <w:color w:val="auto"/>
                <w:lang w:val="en-US" w:eastAsia="zh-CN"/>
              </w:rPr>
            </w:pPr>
            <w:r>
              <w:rPr>
                <w:rFonts w:hint="eastAsia" w:eastAsia="宋体"/>
                <w:color w:val="auto"/>
                <w:lang w:val="en-US" w:eastAsia="zh-CN"/>
              </w:rPr>
              <w:t xml:space="preserve">项目实施方案（</w:t>
            </w:r>
            <w:r>
              <w:rPr>
                <w:rFonts w:hint="default" w:eastAsia="宋体"/>
                <w:color w:val="auto"/>
                <w:lang w:val="en-US" w:eastAsia="zh-CN"/>
              </w:rPr>
              <w:t xml:space="preserve">10</w:t>
            </w:r>
            <w:r>
              <w:rPr>
                <w:rFonts w:hint="eastAsia" w:eastAsia="宋体"/>
                <w:color w:val="auto"/>
                <w:lang w:val="en-US" w:eastAsia="zh-CN"/>
              </w:rPr>
              <w:t xml:space="preserve">分）</w:t>
            </w:r>
            <w:r/>
          </w:p>
        </w:tc>
        <w:tc>
          <w:tcPr>
            <w:tcMar>
              <w:left w:w="108" w:type="dxa"/>
              <w:top w:w="0" w:type="dxa"/>
              <w:right w:w="108" w:type="dxa"/>
              <w:bottom w:w="0" w:type="dxa"/>
            </w:tcMar>
            <w:tcW w:w="7474" w:type="dxa"/>
            <w:vAlign w:val="center"/>
            <w:textDirection w:val="lrTb"/>
            <w:noWrap w:val="false"/>
          </w:tcPr>
          <w:p>
            <w:pPr>
              <w:spacing w:line="360" w:lineRule="auto"/>
              <w:rPr>
                <w:rFonts w:hint="eastAsia" w:eastAsia="宋体"/>
                <w:color w:val="auto"/>
              </w:rPr>
            </w:pPr>
            <w:r>
              <w:rPr>
                <w:rFonts w:hint="eastAsia" w:eastAsia="宋体"/>
                <w:color w:val="auto"/>
              </w:rPr>
              <w:t xml:space="preserve">投标人根据项目具体的实施情况制定整体实施方案、安装方案、进度安排、设备使用维护、验收方案。方案完整全面，进度安排合理和可执行性高得10分；方案较完整，进度安排较合理得7分；方案简单，可执行性一般得4分；方案不完整得1分。其余或不提供不得分。</w:t>
            </w:r>
            <w:r/>
          </w:p>
        </w:tc>
      </w:tr>
      <w:tr>
        <w:trPr>
          <w:cantSplit/>
          <w:jc w:val="center"/>
          <w:trHeight w:val="2000"/>
        </w:trPr>
        <w:tc>
          <w:tcPr>
            <w:tcMar>
              <w:left w:w="108" w:type="dxa"/>
              <w:top w:w="0" w:type="dxa"/>
              <w:right w:w="108" w:type="dxa"/>
              <w:bottom w:w="0" w:type="dxa"/>
            </w:tcMar>
            <w:tcW w:w="1465" w:type="dxa"/>
            <w:vAlign w:val="center"/>
            <w:textDirection w:val="lrTb"/>
            <w:noWrap w:val="false"/>
          </w:tcPr>
          <w:p>
            <w:pPr>
              <w:jc w:val="center"/>
              <w:spacing w:line="360" w:lineRule="auto"/>
              <w:rPr>
                <w:rFonts w:hint="eastAsia" w:eastAsia="宋体"/>
                <w:color w:val="auto"/>
                <w:lang w:val="en-US" w:eastAsia="zh-CN"/>
              </w:rPr>
            </w:pPr>
            <w:r>
              <w:rPr>
                <w:rFonts w:hint="eastAsia" w:eastAsia="宋体"/>
                <w:color w:val="auto"/>
              </w:rPr>
              <w:t xml:space="preserve">售后服务</w:t>
            </w:r>
            <w:r>
              <w:rPr>
                <w:rFonts w:hint="eastAsia" w:eastAsia="宋体"/>
                <w:color w:val="auto"/>
                <w:lang w:val="en-US" w:eastAsia="zh-CN"/>
              </w:rPr>
              <w:t xml:space="preserve">方案（</w:t>
            </w:r>
            <w:r>
              <w:rPr>
                <w:rFonts w:hint="default" w:eastAsia="宋体"/>
                <w:color w:val="auto"/>
                <w:lang w:val="en-US" w:eastAsia="zh-CN"/>
              </w:rPr>
              <w:t xml:space="preserve">10</w:t>
            </w:r>
            <w:r>
              <w:rPr>
                <w:rFonts w:hint="eastAsia" w:eastAsia="宋体"/>
                <w:color w:val="auto"/>
                <w:lang w:val="en-US" w:eastAsia="zh-CN"/>
              </w:rPr>
              <w:t xml:space="preserve">分）</w:t>
            </w:r>
            <w:r/>
          </w:p>
        </w:tc>
        <w:tc>
          <w:tcPr>
            <w:tcMar>
              <w:left w:w="108" w:type="dxa"/>
              <w:top w:w="0" w:type="dxa"/>
              <w:right w:w="108" w:type="dxa"/>
              <w:bottom w:w="0" w:type="dxa"/>
            </w:tcMar>
            <w:tcW w:w="7474" w:type="dxa"/>
            <w:vAlign w:val="center"/>
            <w:textDirection w:val="lrTb"/>
            <w:noWrap w:val="false"/>
          </w:tcPr>
          <w:p>
            <w:pPr>
              <w:spacing w:line="360" w:lineRule="auto"/>
              <w:rPr>
                <w:rFonts w:hint="eastAsia" w:eastAsia="宋体"/>
                <w:color w:val="auto"/>
              </w:rPr>
            </w:pPr>
            <w:r>
              <w:rPr>
                <w:rFonts w:hint="eastAsia" w:eastAsia="宋体"/>
                <w:color w:val="auto"/>
              </w:rPr>
              <w:t xml:space="preserve">供应商根据项目需求提供售后服务方案，方案包括但不限于售后人员、响应时间及其他供应商可提供的优惠条件等。</w:t>
            </w:r>
            <w:r>
              <w:rPr>
                <w:rFonts w:hint="eastAsia"/>
                <w:color w:val="auto"/>
              </w:rPr>
              <w:t xml:space="preserve">方案科学、严密、合理，描述详细且具有针对性的得</w:t>
            </w:r>
            <w:r>
              <w:rPr>
                <w:rFonts w:hint="default"/>
                <w:color w:val="auto"/>
                <w:lang w:val="en-US" w:eastAsia="zh-CN"/>
              </w:rPr>
              <w:t xml:space="preserve">10</w:t>
            </w:r>
            <w:r>
              <w:rPr>
                <w:rFonts w:hint="eastAsia"/>
                <w:color w:val="auto"/>
              </w:rPr>
              <w:t xml:space="preserve">分；方案较合理、严密、描述较为详细，具有一定的针对性的得</w:t>
            </w:r>
            <w:r>
              <w:rPr>
                <w:rFonts w:hint="default"/>
                <w:color w:val="auto"/>
                <w:lang w:val="en-US" w:eastAsia="zh-CN"/>
              </w:rPr>
              <w:t xml:space="preserve">8</w:t>
            </w:r>
            <w:r>
              <w:rPr>
                <w:rFonts w:hint="eastAsia"/>
                <w:color w:val="auto"/>
              </w:rPr>
              <w:t xml:space="preserve">分；方案基本合理、描述一般、存在可操作性得</w:t>
            </w:r>
            <w:r>
              <w:rPr>
                <w:rFonts w:hint="default"/>
                <w:color w:val="auto"/>
                <w:lang w:val="en-US" w:eastAsia="zh-CN"/>
              </w:rPr>
              <w:t xml:space="preserve">6</w:t>
            </w:r>
            <w:r>
              <w:rPr>
                <w:rFonts w:hint="eastAsia"/>
                <w:color w:val="auto"/>
              </w:rPr>
              <w:t xml:space="preserve">分；方案具有不合理项、描述略欠缺的得</w:t>
            </w:r>
            <w:r>
              <w:rPr>
                <w:rFonts w:hint="default"/>
                <w:color w:val="auto"/>
                <w:lang w:val="en-US" w:eastAsia="zh-CN"/>
              </w:rPr>
              <w:t xml:space="preserve">4</w:t>
            </w:r>
            <w:r>
              <w:rPr>
                <w:rFonts w:hint="eastAsia"/>
                <w:color w:val="auto"/>
              </w:rPr>
              <w:t xml:space="preserve">分；方案较差的得</w:t>
            </w:r>
            <w:r>
              <w:rPr>
                <w:rFonts w:hint="default"/>
                <w:color w:val="auto"/>
                <w:lang w:val="en-US" w:eastAsia="zh-CN"/>
              </w:rPr>
              <w:t xml:space="preserve">2</w:t>
            </w:r>
            <w:r>
              <w:rPr>
                <w:rFonts w:hint="eastAsia"/>
                <w:color w:val="auto"/>
              </w:rPr>
              <w:t xml:space="preserve">分</w:t>
            </w:r>
            <w:r>
              <w:rPr>
                <w:rFonts w:hint="eastAsia"/>
                <w:color w:val="auto"/>
                <w:lang w:eastAsia="zh-CN"/>
              </w:rPr>
              <w:t xml:space="preserve">，</w:t>
            </w:r>
            <w:r>
              <w:rPr>
                <w:rFonts w:hint="eastAsia" w:eastAsia="宋体"/>
                <w:color w:val="auto"/>
              </w:rPr>
              <w:t xml:space="preserve">其余或不提供不得分</w:t>
            </w:r>
            <w:r>
              <w:rPr>
                <w:rFonts w:hint="eastAsia"/>
                <w:color w:val="auto"/>
              </w:rPr>
              <w:t xml:space="preserve">。</w:t>
            </w:r>
            <w:r/>
          </w:p>
        </w:tc>
      </w:tr>
      <w:tr>
        <w:trPr>
          <w:cantSplit/>
          <w:jc w:val="center"/>
          <w:trHeight w:val="2000"/>
        </w:trPr>
        <w:tc>
          <w:tcPr>
            <w:tcMar>
              <w:left w:w="108" w:type="dxa"/>
              <w:top w:w="0" w:type="dxa"/>
              <w:right w:w="108" w:type="dxa"/>
              <w:bottom w:w="0" w:type="dxa"/>
            </w:tcMar>
            <w:tcW w:w="1465" w:type="dxa"/>
            <w:vAlign w:val="center"/>
            <w:textDirection w:val="lrTb"/>
            <w:noWrap w:val="false"/>
          </w:tcPr>
          <w:p>
            <w:pPr>
              <w:jc w:val="center"/>
              <w:spacing w:line="360" w:lineRule="auto"/>
              <w:rPr>
                <w:rFonts w:hint="eastAsia" w:eastAsia="宋体"/>
                <w:color w:val="auto"/>
                <w:lang w:val="en-US"/>
              </w:rPr>
            </w:pPr>
            <w:r>
              <w:rPr>
                <w:rFonts w:hint="eastAsia" w:eastAsia="宋体"/>
                <w:color w:val="auto"/>
                <w:lang w:val="en-US"/>
              </w:rPr>
              <w:t xml:space="preserve">培训方案</w:t>
            </w:r>
            <w:r/>
          </w:p>
          <w:p>
            <w:pPr>
              <w:jc w:val="center"/>
              <w:spacing w:line="360" w:lineRule="auto"/>
              <w:rPr>
                <w:rFonts w:hint="eastAsia" w:eastAsia="宋体"/>
                <w:color w:val="auto"/>
                <w:lang w:val="en-US" w:eastAsia="zh-CN"/>
              </w:rPr>
            </w:pPr>
            <w:r>
              <w:rPr>
                <w:rFonts w:hint="eastAsia" w:eastAsia="宋体"/>
                <w:color w:val="auto"/>
                <w:lang w:val="en-US" w:eastAsia="zh-CN"/>
              </w:rPr>
              <w:t xml:space="preserve">（</w:t>
            </w:r>
            <w:r>
              <w:rPr>
                <w:rFonts w:hint="default" w:eastAsia="宋体"/>
                <w:color w:val="auto"/>
                <w:lang w:val="en-US" w:eastAsia="zh-CN"/>
              </w:rPr>
              <w:t xml:space="preserve">10</w:t>
            </w:r>
            <w:r>
              <w:rPr>
                <w:rFonts w:hint="eastAsia" w:eastAsia="宋体"/>
                <w:color w:val="auto"/>
                <w:lang w:val="en-US" w:eastAsia="zh-CN"/>
              </w:rPr>
              <w:t xml:space="preserve">分）</w:t>
            </w:r>
            <w:r/>
          </w:p>
        </w:tc>
        <w:tc>
          <w:tcPr>
            <w:tcMar>
              <w:left w:w="108" w:type="dxa"/>
              <w:top w:w="0" w:type="dxa"/>
              <w:right w:w="108" w:type="dxa"/>
              <w:bottom w:w="0" w:type="dxa"/>
            </w:tcMar>
            <w:tcW w:w="7474" w:type="dxa"/>
            <w:vAlign w:val="center"/>
            <w:textDirection w:val="lrTb"/>
            <w:noWrap w:val="false"/>
          </w:tcPr>
          <w:p>
            <w:pPr>
              <w:spacing w:line="360" w:lineRule="auto"/>
              <w:rPr>
                <w:rFonts w:hint="eastAsia" w:eastAsia="宋体"/>
                <w:color w:val="auto"/>
              </w:rPr>
            </w:pPr>
            <w:r>
              <w:rPr>
                <w:rFonts w:hint="eastAsia" w:eastAsia="宋体"/>
                <w:color w:val="auto"/>
              </w:rPr>
              <w:t xml:space="preserve">根据供应商针对本项目制定培训计划、培训方案的全面性、详尽性进行打分。</w:t>
            </w:r>
            <w:r/>
          </w:p>
          <w:p>
            <w:pPr>
              <w:spacing w:line="360" w:lineRule="auto"/>
              <w:rPr>
                <w:rFonts w:hint="eastAsia" w:eastAsia="宋体"/>
                <w:color w:val="auto"/>
              </w:rPr>
            </w:pPr>
            <w:r>
              <w:rPr>
                <w:rFonts w:hint="eastAsia"/>
                <w:color w:val="auto"/>
              </w:rPr>
              <w:t xml:space="preserve">方案科学、严密、合理，描述详细且具有针对性的得</w:t>
            </w:r>
            <w:r>
              <w:rPr>
                <w:rFonts w:hint="default"/>
                <w:color w:val="auto"/>
                <w:lang w:val="en-US" w:eastAsia="zh-CN"/>
              </w:rPr>
              <w:t xml:space="preserve">10</w:t>
            </w:r>
            <w:r>
              <w:rPr>
                <w:rFonts w:hint="eastAsia"/>
                <w:color w:val="auto"/>
              </w:rPr>
              <w:t xml:space="preserve">分；方案较合理、严密、描述较为详细，具有一定的针对性的得</w:t>
            </w:r>
            <w:r>
              <w:rPr>
                <w:rFonts w:hint="default"/>
                <w:color w:val="auto"/>
                <w:lang w:val="en-US" w:eastAsia="zh-CN"/>
              </w:rPr>
              <w:t xml:space="preserve">8</w:t>
            </w:r>
            <w:r>
              <w:rPr>
                <w:rFonts w:hint="eastAsia"/>
                <w:color w:val="auto"/>
              </w:rPr>
              <w:t xml:space="preserve">分；方案基本合理、描述一般、存在可操作性得</w:t>
            </w:r>
            <w:r>
              <w:rPr>
                <w:rFonts w:hint="default"/>
                <w:color w:val="auto"/>
                <w:lang w:val="en-US" w:eastAsia="zh-CN"/>
              </w:rPr>
              <w:t xml:space="preserve">6</w:t>
            </w:r>
            <w:r>
              <w:rPr>
                <w:rFonts w:hint="eastAsia"/>
                <w:color w:val="auto"/>
              </w:rPr>
              <w:t xml:space="preserve">分；方案具有不合理项、描述略欠缺的得</w:t>
            </w:r>
            <w:r>
              <w:rPr>
                <w:rFonts w:hint="default"/>
                <w:color w:val="auto"/>
                <w:lang w:val="en-US" w:eastAsia="zh-CN"/>
              </w:rPr>
              <w:t xml:space="preserve">4</w:t>
            </w:r>
            <w:r>
              <w:rPr>
                <w:rFonts w:hint="eastAsia"/>
                <w:color w:val="auto"/>
              </w:rPr>
              <w:t xml:space="preserve">分；方案较差的得</w:t>
            </w:r>
            <w:r>
              <w:rPr>
                <w:rFonts w:hint="default"/>
                <w:color w:val="auto"/>
                <w:lang w:val="en-US" w:eastAsia="zh-CN"/>
              </w:rPr>
              <w:t xml:space="preserve">2</w:t>
            </w:r>
            <w:r>
              <w:rPr>
                <w:rFonts w:hint="eastAsia"/>
                <w:color w:val="auto"/>
              </w:rPr>
              <w:t xml:space="preserve">分</w:t>
            </w:r>
            <w:r>
              <w:rPr>
                <w:rFonts w:hint="eastAsia"/>
                <w:color w:val="auto"/>
                <w:lang w:eastAsia="zh-CN"/>
              </w:rPr>
              <w:t xml:space="preserve">，</w:t>
            </w:r>
            <w:r>
              <w:rPr>
                <w:rFonts w:hint="eastAsia" w:eastAsia="宋体"/>
                <w:color w:val="auto"/>
              </w:rPr>
              <w:t xml:space="preserve">其余或不提供不得分</w:t>
            </w:r>
            <w:r>
              <w:rPr>
                <w:rFonts w:hint="eastAsia"/>
                <w:color w:val="auto"/>
              </w:rPr>
              <w:t xml:space="preserve">。</w:t>
            </w:r>
            <w:r/>
          </w:p>
        </w:tc>
      </w:tr>
      <w:tr>
        <w:trPr>
          <w:jc w:val="center"/>
          <w:trHeight w:val="1115"/>
        </w:trPr>
        <w:tc>
          <w:tcPr>
            <w:tcMar>
              <w:left w:w="108" w:type="dxa"/>
              <w:top w:w="0" w:type="dxa"/>
              <w:right w:w="108" w:type="dxa"/>
              <w:bottom w:w="0" w:type="dxa"/>
            </w:tcMar>
            <w:tcW w:w="1465" w:type="dxa"/>
            <w:vAlign w:val="center"/>
            <w:textDirection w:val="lrTb"/>
            <w:noWrap w:val="false"/>
          </w:tcPr>
          <w:p>
            <w:pPr>
              <w:pStyle w:val="702"/>
              <w:jc w:val="center"/>
              <w:spacing w:line="360" w:lineRule="auto"/>
              <w:rPr>
                <w:rFonts w:ascii="宋体" w:hAnsi="宋体"/>
                <w:color w:val="auto"/>
              </w:rPr>
            </w:pPr>
            <w:r>
              <w:rPr>
                <w:rFonts w:hint="eastAsia" w:ascii="宋体" w:hAnsi="宋体"/>
                <w:color w:val="auto"/>
              </w:rPr>
              <w:t xml:space="preserve">业绩</w:t>
            </w:r>
            <w:r/>
          </w:p>
          <w:p>
            <w:pPr>
              <w:pStyle w:val="702"/>
              <w:jc w:val="center"/>
              <w:spacing w:line="360" w:lineRule="auto"/>
              <w:rPr>
                <w:rFonts w:ascii="宋体" w:hAnsi="宋体"/>
                <w:color w:val="auto"/>
              </w:rPr>
            </w:pPr>
            <w:r>
              <w:rPr>
                <w:rFonts w:hint="eastAsia" w:ascii="宋体" w:hAnsi="宋体"/>
                <w:color w:val="auto"/>
              </w:rPr>
              <w:t xml:space="preserve">（</w:t>
            </w:r>
            <w:r>
              <w:rPr>
                <w:rFonts w:hint="default" w:ascii="宋体" w:hAnsi="宋体"/>
                <w:color w:val="auto"/>
                <w:lang w:val="en-US" w:eastAsia="zh-CN"/>
              </w:rPr>
              <w:t xml:space="preserve">10</w:t>
            </w:r>
            <w:r>
              <w:rPr>
                <w:rFonts w:hint="eastAsia" w:ascii="宋体" w:hAnsi="宋体"/>
                <w:color w:val="auto"/>
              </w:rPr>
              <w:t xml:space="preserve">分）</w:t>
            </w:r>
            <w:r/>
          </w:p>
        </w:tc>
        <w:tc>
          <w:tcPr>
            <w:tcMar>
              <w:left w:w="108" w:type="dxa"/>
              <w:top w:w="0" w:type="dxa"/>
              <w:right w:w="108" w:type="dxa"/>
              <w:bottom w:w="0" w:type="dxa"/>
            </w:tcMar>
            <w:tcW w:w="7474" w:type="dxa"/>
            <w:vAlign w:val="center"/>
            <w:textDirection w:val="lrTb"/>
            <w:noWrap w:val="false"/>
          </w:tcPr>
          <w:p>
            <w:pPr>
              <w:pStyle w:val="702"/>
              <w:spacing w:line="360" w:lineRule="auto"/>
              <w:rPr>
                <w:color w:val="auto"/>
              </w:rPr>
            </w:pPr>
            <w:r>
              <w:rPr>
                <w:rFonts w:hint="eastAsia" w:ascii="宋体" w:hAnsi="宋体"/>
                <w:color w:val="auto"/>
              </w:rPr>
              <w:t xml:space="preserve">投标人或</w:t>
            </w:r>
            <w:r>
              <w:rPr>
                <w:rFonts w:hint="eastAsia" w:ascii="宋体" w:hAnsi="宋体"/>
                <w:color w:val="auto"/>
              </w:rPr>
              <w:t xml:space="preserve">所投产品制造商</w:t>
            </w:r>
            <w:r>
              <w:rPr>
                <w:rFonts w:hint="eastAsia" w:ascii="宋体" w:hAnsi="宋体"/>
                <w:color w:val="auto"/>
              </w:rPr>
              <w:t xml:space="preserve">具有20</w:t>
            </w:r>
            <w:r>
              <w:rPr>
                <w:rFonts w:hint="default" w:ascii="宋体" w:hAnsi="宋体"/>
                <w:color w:val="auto"/>
                <w:lang w:val="en-US"/>
              </w:rPr>
              <w:t xml:space="preserve">22</w:t>
            </w:r>
            <w:r>
              <w:rPr>
                <w:rFonts w:hint="eastAsia" w:ascii="宋体" w:hAnsi="宋体"/>
                <w:color w:val="auto"/>
              </w:rPr>
              <w:t xml:space="preserve">年1月1日以来（以合同签订时间为准）完成的，与本项目类似的业绩，有一份得</w:t>
            </w:r>
            <w:r>
              <w:rPr>
                <w:rFonts w:hint="default" w:ascii="宋体" w:hAnsi="宋体"/>
                <w:color w:val="auto"/>
                <w:lang w:val="en-US" w:eastAsia="zh-CN"/>
              </w:rPr>
              <w:t xml:space="preserve">2</w:t>
            </w:r>
            <w:r>
              <w:rPr>
                <w:rFonts w:hint="eastAsia" w:ascii="宋体" w:hAnsi="宋体"/>
                <w:color w:val="auto"/>
              </w:rPr>
              <w:t xml:space="preserve">分；满分</w:t>
            </w:r>
            <w:r>
              <w:rPr>
                <w:rFonts w:hint="default" w:ascii="宋体" w:hAnsi="宋体"/>
                <w:color w:val="auto"/>
                <w:lang w:val="en-US" w:eastAsia="zh-CN"/>
              </w:rPr>
              <w:t xml:space="preserve">10</w:t>
            </w:r>
            <w:r>
              <w:rPr>
                <w:rFonts w:hint="eastAsia" w:ascii="宋体" w:hAnsi="宋体"/>
                <w:color w:val="auto"/>
              </w:rPr>
              <w:t xml:space="preserve">分（提供合同原件扫描上传）</w:t>
            </w:r>
            <w:r/>
          </w:p>
        </w:tc>
      </w:tr>
    </w:tbl>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注：1、评审过程中出现下列情形之一的，评审委员会应当启动异常低价投标（响应）审查程序：</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（1）投标（响应）报价低于采购项目预算50%的，即投标（响应）报价＜采购项目预算×50%；</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（2）投标（响应）报价低于采购项目最高限价45%的，即投标（响应）报价＜采购项目最高限价×45%；</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（3）评审委员会认定的供应商报价过低、有可能影响产品质量或者不能诚信履约的其他情形。</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91"/>
        <w:ind w:firstLine="422"/>
        <w:rPr>
          <w:rFonts w:hint="eastAsia" w:ascii="宋体" w:hAnsi="宋体"/>
          <w:b/>
          <w:color w:val="auto"/>
          <w:sz w:val="21"/>
          <w:szCs w:val="21"/>
          <w:highlight w:val="none"/>
        </w:rPr>
      </w:pPr>
      <w:r>
        <w:rPr>
          <w:rFonts w:hint="eastAsia" w:ascii="宋体" w:hAnsi="宋体"/>
          <w:b/>
          <w:color w:val="auto"/>
          <w:sz w:val="21"/>
          <w:szCs w:val="21"/>
          <w:highlight w:val="none"/>
        </w:rPr>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rPr>
          <w:rFonts w:ascii="黑体" w:eastAsia="黑体"/>
          <w:bCs/>
          <w:color w:val="auto"/>
          <w:sz w:val="44"/>
          <w:highlight w:val="none"/>
        </w:rPr>
      </w:pPr>
      <w:r>
        <w:rPr>
          <w:rFonts w:ascii="黑体" w:eastAsia="黑体"/>
          <w:bCs/>
          <w:color w:val="auto"/>
          <w:sz w:val="44"/>
          <w:highlight w:val="none"/>
        </w:rPr>
      </w:r>
      <w:r/>
    </w:p>
    <w:p>
      <w:pPr>
        <w:pStyle w:val="686"/>
        <w:jc w:val="center"/>
        <w:rPr>
          <w:rFonts w:ascii="宋体" w:hAnsi="宋体"/>
          <w:color w:val="auto"/>
          <w:sz w:val="36"/>
          <w:highlight w:val="none"/>
        </w:rPr>
      </w:pPr>
      <w:r/>
      <w:bookmarkStart w:id="64" w:name="_Toc16558"/>
      <w:r>
        <w:rPr>
          <w:rFonts w:hint="eastAsia" w:ascii="宋体" w:hAnsi="宋体"/>
          <w:color w:val="auto"/>
          <w:sz w:val="36"/>
          <w:highlight w:val="none"/>
        </w:rPr>
        <w:t xml:space="preserve">第六章 投标文件格式</w:t>
      </w:r>
      <w:bookmarkEnd w:id="64"/>
      <w:r>
        <w:rPr>
          <w:rFonts w:hint="eastAsia" w:ascii="宋体" w:hAnsi="宋体"/>
          <w:color w:val="auto"/>
          <w:sz w:val="36"/>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687"/>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65" w:name="_Toc19493"/>
      <w:r>
        <w:rPr>
          <w:rFonts w:hint="eastAsia" w:asciiTheme="minorEastAsia" w:hAnsiTheme="minorEastAsia" w:eastAsiaTheme="minorEastAsia"/>
          <w:color w:val="auto"/>
          <w:sz w:val="32"/>
          <w:highlight w:val="none"/>
        </w:rPr>
        <w:t xml:space="preserve">一、资格审查响应对照表</w:t>
      </w:r>
      <w:bookmarkEnd w:id="65"/>
      <w:r/>
      <w:r/>
    </w:p>
    <w:tbl>
      <w:tblPr>
        <w:tblStyle w:val="696"/>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shd w:val="clear" w:color="auto" w:fill="auto"/>
            <w:tcW w:w="5447"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shd w:val="clear" w:color="auto" w:fill="auto"/>
            <w:tcW w:w="5447"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shd w:val="clear" w:color="auto" w:fill="auto"/>
            <w:tcW w:w="5447"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上一年度的财务状况报告（成立不满一年不需提供）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shd w:val="clear" w:color="auto" w:fill="auto"/>
            <w:tcW w:w="5447"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shd w:val="clear" w:color="auto" w:fill="auto"/>
            <w:tcW w:w="5447"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shd w:val="clear" w:color="auto" w:fill="auto"/>
            <w:tcW w:w="5447"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shd w:val="clear" w:color="auto" w:fill="auto"/>
            <w:tcW w:w="5447"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544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8</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所投产品按国家规定</w:t>
            </w:r>
            <w:r>
              <w:rPr>
                <w:rFonts w:hint="eastAsia" w:ascii="宋体" w:hAnsi="宋体" w:eastAsia="宋体" w:cs="宋体"/>
                <w:color w:val="auto"/>
                <w:szCs w:val="21"/>
                <w:highlight w:val="none"/>
                <w:lang w:val="en-US" w:eastAsia="zh-CN"/>
              </w:rPr>
              <w:t xml:space="preserve">须</w:t>
            </w:r>
            <w:r>
              <w:rPr>
                <w:rFonts w:hint="eastAsia" w:ascii="宋体" w:hAnsi="宋体" w:eastAsia="宋体" w:cs="宋体"/>
                <w:color w:val="auto"/>
                <w:szCs w:val="21"/>
                <w:highlight w:val="none"/>
              </w:rPr>
              <w:t xml:space="preserve">医疗器械注册证的，</w:t>
            </w:r>
            <w:r>
              <w:rPr>
                <w:rFonts w:hint="eastAsia" w:ascii="宋体" w:hAnsi="宋体" w:eastAsia="宋体" w:cs="宋体"/>
                <w:color w:val="auto"/>
                <w:szCs w:val="21"/>
                <w:highlight w:val="none"/>
                <w:lang w:val="en-US" w:eastAsia="zh-CN"/>
              </w:rPr>
              <w:t xml:space="preserve">应具有</w:t>
            </w:r>
            <w:r>
              <w:rPr>
                <w:rFonts w:hint="eastAsia" w:ascii="宋体" w:hAnsi="宋体" w:eastAsia="宋体" w:cs="宋体"/>
                <w:color w:val="auto"/>
                <w:szCs w:val="21"/>
                <w:highlight w:val="none"/>
              </w:rPr>
              <w:t xml:space="preserve">有效的医疗器械注册证</w:t>
            </w:r>
            <w:r>
              <w:rPr>
                <w:rFonts w:hint="eastAsia" w:ascii="宋体" w:hAnsi="宋体" w:eastAsia="宋体" w:cs="宋体"/>
                <w:color w:val="auto"/>
                <w:szCs w:val="21"/>
                <w:highlight w:val="none"/>
                <w:lang w:eastAsia="zh-CN"/>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tcW w:w="64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9</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如投标人为所投产品经营者，须根据所投产品的类别，提供投标人的医疗器械经营许可证或相应类别的医疗器械经营备案凭证；如投标人为所投产品生产者，须提供医疗器械生产许可证。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891"/>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89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89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89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9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9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91"/>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91"/>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91"/>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91"/>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9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92"/>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89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9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892"/>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89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89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89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 </w:t>
      </w:r>
      <w:r/>
    </w:p>
    <w:p>
      <w:pPr>
        <w:pStyle w:val="892"/>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892"/>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687"/>
        <w:rPr>
          <w:rFonts w:asciiTheme="minorEastAsia" w:hAnsiTheme="minorEastAsia" w:eastAsiaTheme="minorEastAsia"/>
          <w:color w:val="auto"/>
          <w:sz w:val="32"/>
          <w:highlight w:val="none"/>
        </w:rPr>
      </w:pPr>
      <w:r/>
      <w:bookmarkStart w:id="66" w:name="_Toc5673"/>
      <w:r>
        <w:rPr>
          <w:rFonts w:hint="eastAsia" w:asciiTheme="minorEastAsia" w:hAnsiTheme="minorEastAsia" w:eastAsiaTheme="minorEastAsia"/>
          <w:color w:val="auto"/>
          <w:sz w:val="32"/>
          <w:highlight w:val="none"/>
        </w:rPr>
        <w:t xml:space="preserve">二、符合性审查响应对照表</w:t>
      </w:r>
      <w:bookmarkEnd w:id="66"/>
      <w:r/>
      <w:r/>
    </w:p>
    <w:p>
      <w:pPr>
        <w:rPr>
          <w:rFonts w:ascii="宋体" w:hAnsi="宋体"/>
          <w:b/>
          <w:color w:val="auto"/>
          <w:sz w:val="32"/>
          <w:szCs w:val="32"/>
          <w:highlight w:val="none"/>
        </w:rPr>
      </w:pPr>
      <w:r>
        <w:rPr>
          <w:rFonts w:ascii="宋体" w:hAnsi="宋体"/>
          <w:b/>
          <w:color w:val="auto"/>
          <w:sz w:val="32"/>
          <w:szCs w:val="32"/>
          <w:highlight w:val="none"/>
        </w:rPr>
      </w:r>
      <w:r/>
    </w:p>
    <w:tbl>
      <w:tblPr>
        <w:tblStyle w:val="69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687"/>
        <w:rPr>
          <w:rFonts w:asciiTheme="minorEastAsia" w:hAnsiTheme="minorEastAsia" w:eastAsiaTheme="minorEastAsia"/>
          <w:color w:val="auto"/>
          <w:sz w:val="32"/>
          <w:highlight w:val="none"/>
        </w:rPr>
      </w:pPr>
      <w:r/>
      <w:bookmarkStart w:id="67" w:name="_Toc17554"/>
      <w:r>
        <w:rPr>
          <w:rFonts w:hint="eastAsia" w:asciiTheme="minorEastAsia" w:hAnsiTheme="minorEastAsia" w:eastAsiaTheme="minorEastAsia"/>
          <w:color w:val="auto"/>
          <w:sz w:val="32"/>
          <w:highlight w:val="none"/>
        </w:rPr>
        <w:t xml:space="preserve">三、非实质性响应对照表</w:t>
      </w:r>
      <w:bookmarkEnd w:id="67"/>
      <w:r/>
      <w:r/>
    </w:p>
    <w:p>
      <w:pPr>
        <w:rPr>
          <w:rFonts w:ascii="宋体" w:hAnsi="宋体"/>
          <w:b/>
          <w:color w:val="auto"/>
          <w:sz w:val="32"/>
          <w:szCs w:val="32"/>
          <w:highlight w:val="none"/>
        </w:rPr>
      </w:pPr>
      <w:r>
        <w:rPr>
          <w:rFonts w:ascii="宋体" w:hAnsi="宋体"/>
          <w:b/>
          <w:color w:val="auto"/>
          <w:sz w:val="32"/>
          <w:szCs w:val="32"/>
          <w:highlight w:val="none"/>
        </w:rPr>
      </w:r>
      <w:r/>
    </w:p>
    <w:tbl>
      <w:tblPr>
        <w:tblStyle w:val="69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《中小企业声明函》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spacing w:before="312" w:after="312"/>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rPr>
        <w:t xml:space="preserve">工业</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rPr>
        <w:t xml:space="preserve">工业</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3、货物采购项目中，货物制造商应当为中小微企业。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4、企业声明函请完整填写，中标后将公示。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6、声明函请按照第四章项目需求中的采购清单并根据实际情况逐项填写，否则视为不符合要求。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7、</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687"/>
        <w:rPr>
          <w:color w:val="auto"/>
          <w:highlight w:val="none"/>
        </w:rPr>
      </w:pPr>
      <w:r>
        <w:rPr>
          <w:color w:val="auto"/>
          <w:highlight w:val="none"/>
        </w:rPr>
      </w:r>
      <w:r/>
    </w:p>
    <w:p>
      <w:pPr>
        <w:ind w:firstLine="5250"/>
        <w:spacing w:line="360" w:lineRule="auto"/>
        <w:rPr>
          <w:color w:val="auto"/>
          <w:highlight w:val="none"/>
        </w:rPr>
      </w:pPr>
      <w:r>
        <w:rPr>
          <w:rFonts w:hint="eastAsia"/>
          <w:color w:val="auto"/>
          <w:highlight w:val="none"/>
        </w:rPr>
        <w:t xml:space="preserve">企业名称（盖章）：</w:t>
      </w:r>
      <w:r/>
    </w:p>
    <w:p>
      <w:pPr>
        <w:jc w:val="center"/>
        <w:spacing w:line="360" w:lineRule="auto"/>
        <w:rPr>
          <w:color w:val="auto"/>
          <w:highlight w:val="none"/>
        </w:rPr>
      </w:pPr>
      <w:r>
        <w:rPr>
          <w:rFonts w:hint="eastAsia"/>
          <w:color w:val="auto"/>
          <w:highlight w:val="none"/>
        </w:rPr>
        <w:t xml:space="preserve">                             日 期：</w:t>
      </w:r>
      <w:r/>
    </w:p>
    <w:p>
      <w:pPr>
        <w:jc w:val="center"/>
        <w:rPr>
          <w:rStyle w:val="731"/>
          <w:rFonts w:ascii="宋体" w:hAnsi="宋体" w:cs="仿宋"/>
          <w:color w:val="auto"/>
          <w:szCs w:val="21"/>
          <w:highlight w:val="none"/>
        </w:rPr>
      </w:pPr>
      <w:r>
        <w:rPr>
          <w:rStyle w:val="731"/>
          <w:rFonts w:hint="eastAsia" w:ascii="宋体" w:hAnsi="宋体" w:cs="仿宋"/>
          <w:color w:val="auto"/>
          <w:szCs w:val="21"/>
          <w:highlight w:val="none"/>
        </w:rPr>
        <w:t xml:space="preserve">中小微企业划型标准</w:t>
      </w:r>
      <w:r/>
    </w:p>
    <w:p>
      <w:pPr>
        <w:pStyle w:val="726"/>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31"/>
          <w:rFonts w:hint="eastAsia" w:ascii="宋体" w:hAnsi="宋体" w:cs="仿宋"/>
          <w:color w:val="auto"/>
          <w:sz w:val="21"/>
          <w:szCs w:val="21"/>
          <w:highlight w:val="none"/>
        </w:rPr>
        <w:t xml:space="preserve">中小微企业划型标准如下：</w:t>
      </w:r>
      <w:r/>
    </w:p>
    <w:tbl>
      <w:tblPr>
        <w:tblStyle w:val="696"/>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26"/>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ind w:firstLine="420"/>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26"/>
              <w:jc w:val="center"/>
              <w:spacing w:after="150" w:line="360" w:lineRule="auto"/>
              <w:widowControl/>
              <w:rPr>
                <w:rFonts w:ascii="宋体" w:hAnsi="宋体"/>
                <w:color w:val="auto"/>
                <w:sz w:val="21"/>
                <w:szCs w:val="21"/>
                <w:highlight w:val="none"/>
              </w:rPr>
            </w:pPr>
            <w:r>
              <w:rPr>
                <w:rStyle w:val="731"/>
                <w:rFonts w:hint="eastAsia" w:ascii="宋体" w:hAnsi="宋体" w:cs="仿宋"/>
                <w:color w:val="auto"/>
                <w:sz w:val="21"/>
                <w:szCs w:val="21"/>
                <w:highlight w:val="none"/>
              </w:rPr>
              <w:t xml:space="preserve">X＜10</w:t>
            </w:r>
            <w:r/>
          </w:p>
        </w:tc>
      </w:tr>
    </w:tbl>
    <w:p>
      <w:pPr>
        <w:pStyle w:val="726"/>
        <w:ind w:firstLine="810"/>
        <w:spacing w:before="300" w:after="452" w:line="360" w:lineRule="auto"/>
        <w:widowControl/>
        <w:rPr>
          <w:rStyle w:val="731"/>
          <w:rFonts w:ascii="宋体" w:hAnsi="宋体" w:cs="仿宋"/>
          <w:color w:val="auto"/>
          <w:sz w:val="21"/>
          <w:szCs w:val="21"/>
          <w:highlight w:val="none"/>
        </w:rPr>
      </w:pPr>
      <w:r>
        <w:rPr>
          <w:rStyle w:val="731"/>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688"/>
        <w:rPr>
          <w:rStyle w:val="731"/>
          <w:rFonts w:cs="仿宋"/>
          <w:b w:val="0"/>
          <w:color w:val="auto"/>
          <w:sz w:val="21"/>
          <w:szCs w:val="21"/>
          <w:highlight w:val="none"/>
        </w:rPr>
      </w:pPr>
      <w:r>
        <w:rPr>
          <w:rStyle w:val="731"/>
          <w:rFonts w:ascii="宋体" w:hAnsi="宋体" w:cs="仿宋"/>
          <w:b w:val="0"/>
          <w:color w:val="auto"/>
          <w:sz w:val="21"/>
          <w:szCs w:val="21"/>
          <w:highlight w:val="none"/>
        </w:rPr>
        <w:br w:type="page" w:clear="all"/>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687"/>
        <w:rPr>
          <w:rFonts w:asciiTheme="minorEastAsia" w:hAnsiTheme="minorEastAsia" w:eastAsiaTheme="minorEastAsia"/>
          <w:color w:val="auto"/>
          <w:sz w:val="32"/>
          <w:highlight w:val="none"/>
        </w:rPr>
      </w:pPr>
      <w:r/>
      <w:bookmarkStart w:id="68" w:name="_Toc24293"/>
      <w:r>
        <w:rPr>
          <w:rFonts w:hint="eastAsia" w:asciiTheme="minorEastAsia" w:hAnsiTheme="minorEastAsia" w:eastAsiaTheme="minorEastAsia"/>
          <w:color w:val="auto"/>
          <w:sz w:val="32"/>
          <w:highlight w:val="none"/>
        </w:rPr>
        <w:t xml:space="preserve">四、开标一览表</w:t>
      </w:r>
      <w:bookmarkEnd w:id="68"/>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ascii="宋体" w:hAnsi="宋体"/>
          <w:color w:val="auto"/>
          <w:szCs w:val="21"/>
          <w:highlight w:val="none"/>
        </w:rPr>
      </w:r>
      <w:r/>
    </w:p>
    <w:tbl>
      <w:tblPr>
        <w:tblStyle w:val="69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03"/>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03"/>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891"/>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891"/>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891"/>
              <w:ind w:firstLine="0"/>
              <w:spacing w:before="0" w:after="0" w:line="5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32"/>
          <w:szCs w:val="32"/>
          <w:highlight w:val="none"/>
        </w:rPr>
      </w:pPr>
      <w:r>
        <w:rPr>
          <w:rFonts w:hint="eastAsia" w:ascii="宋体" w:hAnsi="宋体"/>
          <w:color w:val="auto"/>
          <w:szCs w:val="21"/>
          <w:highlight w:val="none"/>
        </w:rPr>
        <w:t xml:space="preserve">                                              日期：  年月日</w:t>
      </w:r>
      <w:r/>
    </w:p>
    <w:p>
      <w:pPr>
        <w:pStyle w:val="700"/>
        <w:ind w:firstLine="640"/>
        <w:rPr>
          <w:rFonts w:ascii="宋体" w:hAnsi="宋体"/>
          <w:color w:val="auto"/>
          <w:sz w:val="32"/>
          <w:szCs w:val="32"/>
          <w:highlight w:val="none"/>
        </w:rPr>
      </w:pPr>
      <w:r>
        <w:rPr>
          <w:rFonts w:ascii="宋体" w:hAnsi="宋体"/>
          <w:color w:val="auto"/>
          <w:sz w:val="32"/>
          <w:szCs w:val="32"/>
          <w:highlight w:val="none"/>
        </w:rPr>
      </w:r>
      <w:r/>
    </w:p>
    <w:p>
      <w:pPr>
        <w:pStyle w:val="700"/>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687"/>
        <w:rPr>
          <w:rFonts w:asciiTheme="minorEastAsia" w:hAnsiTheme="minorEastAsia" w:eastAsiaTheme="minorEastAsia"/>
          <w:color w:val="auto"/>
          <w:sz w:val="32"/>
          <w:highlight w:val="none"/>
        </w:rPr>
      </w:pPr>
      <w:r/>
      <w:bookmarkStart w:id="69" w:name="_Toc32371"/>
      <w:r>
        <w:rPr>
          <w:rFonts w:hint="eastAsia" w:asciiTheme="minorEastAsia" w:hAnsiTheme="minorEastAsia" w:eastAsiaTheme="minorEastAsia"/>
          <w:color w:val="auto"/>
          <w:sz w:val="32"/>
          <w:highlight w:val="none"/>
        </w:rPr>
        <w:t xml:space="preserve">五、投标产品配置及分项报价表</w:t>
      </w:r>
      <w:bookmarkEnd w:id="69"/>
      <w:r/>
      <w:r/>
    </w:p>
    <w:tbl>
      <w:tblPr>
        <w:tblStyle w:val="696"/>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jc w:val="center"/>
          <w:trHeight w:val="538"/>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24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7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2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3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99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4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r>
      <w:tr>
        <w:trPr>
          <w:cantSplit/>
          <w:jc w:val="center"/>
          <w:trHeight w:val="313"/>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124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7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产地</w:t>
            </w:r>
            <w:r/>
          </w:p>
        </w:tc>
        <w:tc>
          <w:tcPr>
            <w:tcW w:w="12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交付期</w:t>
            </w:r>
            <w:r/>
          </w:p>
        </w:tc>
        <w:tc>
          <w:tcPr>
            <w:tcW w:w="13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99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W w:w="14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jc w:val="center"/>
          <w:trHeight w:val="906"/>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906"/>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906"/>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573"/>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1019"/>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551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687"/>
        <w:rPr>
          <w:rFonts w:asciiTheme="minorEastAsia" w:hAnsiTheme="minorEastAsia" w:eastAsiaTheme="minorEastAsia"/>
          <w:color w:val="auto"/>
          <w:sz w:val="32"/>
          <w:highlight w:val="none"/>
        </w:rPr>
      </w:pPr>
      <w:r/>
      <w:bookmarkStart w:id="70" w:name="_Toc30377"/>
      <w:r>
        <w:rPr>
          <w:rFonts w:hint="eastAsia" w:asciiTheme="minorEastAsia" w:hAnsiTheme="minorEastAsia" w:eastAsiaTheme="minorEastAsia"/>
          <w:color w:val="auto"/>
          <w:sz w:val="32"/>
          <w:highlight w:val="none"/>
        </w:rPr>
        <w:t xml:space="preserve">六、技术参数响应及偏离表</w:t>
      </w:r>
      <w:bookmarkEnd w:id="70"/>
      <w:r/>
      <w:r/>
    </w:p>
    <w:tbl>
      <w:tblPr>
        <w:tblStyle w:val="696"/>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687"/>
        <w:rPr>
          <w:rFonts w:asciiTheme="minorEastAsia" w:hAnsiTheme="minorEastAsia" w:eastAsiaTheme="minorEastAsia"/>
          <w:color w:val="auto"/>
          <w:sz w:val="32"/>
          <w:highlight w:val="none"/>
        </w:rPr>
      </w:pPr>
      <w:r/>
      <w:bookmarkStart w:id="71" w:name="_Hlt26955054"/>
      <w:r/>
      <w:bookmarkEnd w:id="71"/>
      <w:r/>
      <w:bookmarkStart w:id="72" w:name="_Toc25115"/>
      <w:r>
        <w:rPr>
          <w:rFonts w:hint="eastAsia" w:asciiTheme="minorEastAsia" w:hAnsiTheme="minorEastAsia" w:eastAsiaTheme="minorEastAsia"/>
          <w:color w:val="auto"/>
          <w:sz w:val="32"/>
          <w:highlight w:val="none"/>
        </w:rPr>
        <w:t xml:space="preserve">七、商务条款响应及偏离表</w:t>
      </w:r>
      <w:bookmarkEnd w:id="72"/>
      <w:r/>
      <w:r/>
    </w:p>
    <w:tbl>
      <w:tblPr>
        <w:tblStyle w:val="696"/>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bookmarkStart w:id="73" w:name="_Hlt26955064"/>
            <w:r/>
            <w:bookmarkEnd w:id="73"/>
            <w:r/>
            <w:bookmarkStart w:id="74" w:name="_Hlt26782999"/>
            <w:r/>
            <w:bookmarkEnd w:id="74"/>
            <w:r/>
            <w:bookmarkStart w:id="75" w:name="_Hlt26671343"/>
            <w:r/>
            <w:bookmarkEnd w:id="75"/>
            <w:r/>
            <w:bookmarkStart w:id="76" w:name="_Hlt26609391"/>
            <w:r/>
            <w:bookmarkEnd w:id="76"/>
            <w:r/>
            <w:bookmarkStart w:id="77" w:name="_Hlt24879081"/>
            <w:r/>
            <w:bookmarkEnd w:id="77"/>
            <w:r/>
            <w:bookmarkStart w:id="78" w:name="_Hlt26671372"/>
            <w:r/>
            <w:bookmarkEnd w:id="78"/>
            <w:r/>
            <w:bookmarkStart w:id="79" w:name="_Hlt26580838"/>
            <w:r/>
            <w:bookmarkEnd w:id="79"/>
            <w:r/>
            <w:bookmarkStart w:id="80" w:name="_Hlt26955056"/>
            <w:r/>
            <w:bookmarkEnd w:id="80"/>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ascii="仿宋_GB2312" w:hAnsi="Arial"/>
          <w:color w:val="auto"/>
          <w:sz w:val="30"/>
          <w:highlight w:val="none"/>
        </w:rPr>
      </w:pPr>
      <w:r>
        <w:rPr>
          <w:rFonts w:ascii="仿宋_GB2312" w:hAnsi="Arial"/>
          <w:color w:val="auto"/>
          <w:sz w:val="30"/>
          <w:highlight w:val="none"/>
        </w:rPr>
      </w:r>
      <w:r/>
    </w:p>
    <w:p>
      <w:pPr>
        <w:pStyle w:val="700"/>
        <w:ind w:firstLine="480"/>
        <w:rPr>
          <w:rFonts w:ascii="宋体" w:hAnsi="宋体"/>
          <w:color w:val="auto"/>
          <w:sz w:val="24"/>
          <w:highlight w:val="none"/>
        </w:rPr>
      </w:pPr>
      <w:r/>
      <w:bookmarkStart w:id="81" w:name="_Hlt26609389"/>
      <w:r/>
      <w:bookmarkEnd w:id="81"/>
      <w:r/>
      <w:bookmarkStart w:id="82" w:name="_Hlt26671374"/>
      <w:r/>
      <w:bookmarkEnd w:id="82"/>
      <w:r/>
      <w:bookmarkStart w:id="83" w:name="_Hlt26955066"/>
      <w:r/>
      <w:bookmarkEnd w:id="83"/>
      <w:r/>
      <w:bookmarkStart w:id="84" w:name="_Toc462564146"/>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hint="eastAsia" w:ascii="宋体" w:hAnsi="宋体"/>
          <w:color w:val="auto"/>
          <w:sz w:val="24"/>
          <w:highlight w:val="none"/>
        </w:rPr>
        <w:t xml:space="preserve">.</w:t>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r/>
    </w:p>
    <w:p>
      <w:pPr>
        <w:pStyle w:val="700"/>
        <w:ind w:firstLine="480"/>
        <w:rPr>
          <w:rFonts w:ascii="宋体" w:hAnsi="宋体"/>
          <w:color w:val="auto"/>
          <w:sz w:val="24"/>
          <w:highlight w:val="none"/>
        </w:rPr>
      </w:pPr>
      <w:r>
        <w:rPr>
          <w:rFonts w:ascii="宋体" w:hAnsi="宋体"/>
          <w:color w:val="auto"/>
          <w:sz w:val="24"/>
          <w:highlight w:val="none"/>
        </w:rPr>
      </w:r>
      <w:bookmarkEnd w:id="84"/>
      <w:r/>
      <w:r/>
    </w:p>
    <w:p>
      <w:pPr>
        <w:pStyle w:val="700"/>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85" w:name="_格式2__法定代表人授权书"/>
      <w:r/>
      <w:bookmarkEnd w:id="85"/>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696"/>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ascii="宋体" w:hAnsi="宋体"/>
          <w:color w:val="auto"/>
          <w:highlight w:val="none"/>
        </w:rPr>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color w:val="auto"/>
          <w:highlight w:val="none"/>
        </w:rPr>
      </w:pPr>
      <w:r>
        <w:rPr>
          <w:rFonts w:hint="eastAsia" w:ascii="宋体" w:hAnsi="宋体"/>
          <w:color w:val="auto"/>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fldChar w:fldCharType="begin"/>
    </w:r>
    <w:r>
      <w:instrText xml:space="preserve">PAGE   \* MERGEFORMAT</w:instrText>
    </w:r>
    <w:r>
      <w:fldChar w:fldCharType="separate"/>
    </w:r>
    <w:r>
      <w:rPr>
        <w:lang w:val="zh-CN"/>
      </w:rPr>
      <w:t xml:space="preserve">28</w:t>
    </w:r>
    <w:r>
      <w:rPr>
        <w:lang w:val="zh-CN"/>
      </w:rPr>
      <w:fldChar w:fldCharType="end"/>
    </w:r>
    <w:r/>
  </w:p>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Pr>
        <w:rFonts w:hint="eastAsia"/>
        <w:lang w:eastAsia="zh-CN"/>
      </w:rPr>
      <w:t xml:space="preserve">JSZC-321000-SWGC-G2025-0215</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both"/>
    </w:pPr>
    <w:r>
      <w:rPr>
        <w:rFonts w:hint="eastAsia"/>
      </w:rPr>
      <w:t xml:space="preserve">JSZC-321000-SWGC-G2025-0215</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5"/>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
      <w:numFmt w:val="decimal"/>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689"/>
      <w:isLgl w:val="false"/>
      <w:suff w:val="space"/>
      <w:lvlText w:val="%1.%2.%3.%4"/>
      <w:lvlJc w:val="left"/>
      <w:pPr>
        <w:ind w:left="142"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uiPriority w:val="0"/>
    <w:qFormat/>
    <w:pPr>
      <w:jc w:val="both"/>
      <w:widowControl w:val="off"/>
    </w:pPr>
    <w:rPr>
      <w:rFonts w:hint="default" w:ascii="Calibri" w:hAnsi="Calibri" w:eastAsia="宋体" w:cs="Times New Roman"/>
      <w:sz w:val="21"/>
      <w:szCs w:val="22"/>
      <w:lang w:val="en-US" w:eastAsia="zh-CN" w:bidi="ar-SA"/>
    </w:rPr>
  </w:style>
  <w:style w:type="paragraph" w:styleId="686">
    <w:name w:val="Heading 1"/>
    <w:basedOn w:val="685"/>
    <w:next w:val="685"/>
    <w:uiPriority w:val="9"/>
    <w:qFormat/>
    <w:pPr>
      <w:keepLines/>
      <w:keepNext/>
      <w:spacing w:before="340" w:after="330" w:line="578" w:lineRule="auto"/>
      <w:outlineLvl w:val="0"/>
    </w:pPr>
    <w:rPr>
      <w:b/>
      <w:bCs/>
      <w:sz w:val="44"/>
      <w:szCs w:val="44"/>
    </w:rPr>
  </w:style>
  <w:style w:type="paragraph" w:styleId="687">
    <w:name w:val="Heading 2"/>
    <w:basedOn w:val="685"/>
    <w:next w:val="6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88">
    <w:name w:val="Heading 3"/>
    <w:basedOn w:val="685"/>
    <w:next w:val="685"/>
    <w:uiPriority w:val="0"/>
    <w:qFormat/>
    <w:pPr>
      <w:keepLines/>
      <w:keepNext/>
      <w:spacing w:before="260" w:after="260" w:line="416" w:lineRule="auto"/>
      <w:outlineLvl w:val="2"/>
    </w:pPr>
    <w:rPr>
      <w:b/>
      <w:bCs/>
      <w:sz w:val="32"/>
      <w:szCs w:val="32"/>
    </w:rPr>
  </w:style>
  <w:style w:type="paragraph" w:styleId="689">
    <w:name w:val="Heading 4"/>
    <w:basedOn w:val="690"/>
    <w:next w:val="685"/>
    <w:uiPriority w:val="9"/>
    <w:qFormat/>
    <w:pPr>
      <w:numPr>
        <w:ilvl w:val="3"/>
        <w:numId w:val="1"/>
      </w:numPr>
      <w:jc w:val="left"/>
      <w:outlineLvl w:val="3"/>
    </w:pPr>
    <w:rPr>
      <w:szCs w:val="24"/>
    </w:rPr>
  </w:style>
  <w:style w:type="paragraph" w:styleId="690">
    <w:name w:val="Heading 5"/>
    <w:basedOn w:val="685"/>
    <w:next w:val="685"/>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42"/>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44"/>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45"/>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customStyle="1">
    <w:name w:val="正文文本11"/>
    <w:basedOn w:val="685"/>
    <w:next w:val="685"/>
    <w:uiPriority w:val="0"/>
    <w:qFormat/>
    <w:rPr>
      <w:rFonts w:ascii="楷体_GB2312" w:hAnsi="Arial" w:eastAsia="楷体_GB2312"/>
      <w:sz w:val="28"/>
      <w:szCs w:val="28"/>
    </w:rPr>
  </w:style>
  <w:style w:type="paragraph" w:styleId="698">
    <w:name w:val="toc 7"/>
    <w:basedOn w:val="685"/>
    <w:next w:val="685"/>
    <w:uiPriority w:val="39"/>
    <w:unhideWhenUsed/>
    <w:pPr>
      <w:ind w:left="1701" w:right="0" w:firstLine="0"/>
      <w:spacing w:after="57"/>
    </w:pPr>
  </w:style>
  <w:style w:type="paragraph" w:styleId="699">
    <w:name w:val="table of authorities"/>
    <w:basedOn w:val="685"/>
    <w:next w:val="685"/>
    <w:uiPriority w:val="0"/>
    <w:qFormat/>
    <w:pPr>
      <w:ind w:left="420"/>
    </w:pPr>
  </w:style>
  <w:style w:type="paragraph" w:styleId="700">
    <w:name w:val="Normal Indent"/>
    <w:basedOn w:val="685"/>
    <w:uiPriority w:val="0"/>
    <w:unhideWhenUsed/>
    <w:qFormat/>
    <w:pPr>
      <w:ind w:firstLine="420"/>
    </w:pPr>
  </w:style>
  <w:style w:type="paragraph" w:styleId="701">
    <w:name w:val="Caption"/>
    <w:basedOn w:val="685"/>
    <w:next w:val="6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2">
    <w:name w:val="annotation text"/>
    <w:basedOn w:val="685"/>
    <w:link w:val="902"/>
    <w:uiPriority w:val="0"/>
    <w:qFormat/>
    <w:pPr>
      <w:jc w:val="left"/>
    </w:pPr>
  </w:style>
  <w:style w:type="paragraph" w:styleId="703">
    <w:name w:val="Body Text"/>
    <w:basedOn w:val="685"/>
    <w:next w:val="704"/>
    <w:uiPriority w:val="0"/>
    <w:qFormat/>
    <w:rPr>
      <w:rFonts w:ascii="楷体_GB2312" w:hAnsi="Arial" w:eastAsia="楷体_GB2312"/>
      <w:sz w:val="28"/>
      <w:szCs w:val="28"/>
    </w:rPr>
  </w:style>
  <w:style w:type="paragraph" w:styleId="704">
    <w:name w:val="Body Text 2"/>
    <w:basedOn w:val="685"/>
    <w:uiPriority w:val="0"/>
    <w:qFormat/>
    <w:pPr>
      <w:spacing w:after="120" w:line="480" w:lineRule="auto"/>
    </w:pPr>
  </w:style>
  <w:style w:type="paragraph" w:styleId="705">
    <w:name w:val="Body Text Indent"/>
    <w:basedOn w:val="685"/>
    <w:next w:val="685"/>
    <w:uiPriority w:val="0"/>
    <w:qFormat/>
    <w:pPr>
      <w:ind w:left="420"/>
      <w:spacing w:after="120"/>
    </w:pPr>
    <w:rPr>
      <w:rFonts w:ascii="等线" w:hAnsi="等线" w:eastAsia="等线"/>
    </w:rPr>
  </w:style>
  <w:style w:type="paragraph" w:styleId="706">
    <w:name w:val="index 4"/>
    <w:basedOn w:val="685"/>
    <w:next w:val="685"/>
    <w:uiPriority w:val="99"/>
    <w:unhideWhenUsed/>
    <w:qFormat/>
    <w:pPr>
      <w:ind w:left="600"/>
      <w:spacing w:before="100" w:beforeAutospacing="1" w:after="100" w:afterAutospacing="1"/>
    </w:pPr>
    <w:rPr>
      <w:rFonts w:ascii="Calibri" w:hAnsi="Calibri" w:cs="Calibri"/>
    </w:rPr>
  </w:style>
  <w:style w:type="paragraph" w:styleId="707">
    <w:name w:val="toc 5"/>
    <w:basedOn w:val="685"/>
    <w:next w:val="685"/>
    <w:uiPriority w:val="39"/>
    <w:unhideWhenUsed/>
    <w:pPr>
      <w:ind w:left="1134" w:right="0" w:firstLine="0"/>
      <w:spacing w:after="57"/>
    </w:pPr>
  </w:style>
  <w:style w:type="paragraph" w:styleId="708">
    <w:name w:val="toc 3"/>
    <w:basedOn w:val="685"/>
    <w:next w:val="685"/>
    <w:uiPriority w:val="39"/>
    <w:unhideWhenUsed/>
    <w:pPr>
      <w:ind w:left="567" w:right="0" w:firstLine="0"/>
      <w:spacing w:after="57"/>
    </w:pPr>
  </w:style>
  <w:style w:type="paragraph" w:styleId="709">
    <w:name w:val="Plain Text"/>
    <w:basedOn w:val="685"/>
    <w:uiPriority w:val="99"/>
    <w:qFormat/>
    <w:rPr>
      <w:rFonts w:ascii="宋体" w:hAnsi="Courier New"/>
      <w:sz w:val="20"/>
      <w:szCs w:val="21"/>
    </w:rPr>
  </w:style>
  <w:style w:type="paragraph" w:styleId="710">
    <w:name w:val="toc 8"/>
    <w:basedOn w:val="685"/>
    <w:next w:val="685"/>
    <w:uiPriority w:val="39"/>
    <w:unhideWhenUsed/>
    <w:pPr>
      <w:ind w:left="1984" w:right="0" w:firstLine="0"/>
      <w:spacing w:after="57"/>
    </w:pPr>
  </w:style>
  <w:style w:type="paragraph" w:styleId="711">
    <w:name w:val="Body Text Indent 2"/>
    <w:basedOn w:val="685"/>
    <w:uiPriority w:val="0"/>
    <w:qFormat/>
    <w:pPr>
      <w:ind w:left="640"/>
      <w:spacing w:after="120" w:line="480" w:lineRule="auto"/>
    </w:pPr>
    <w:rPr>
      <w:rFonts w:eastAsia="仿宋_GB2312"/>
      <w:sz w:val="32"/>
      <w:szCs w:val="28"/>
    </w:rPr>
  </w:style>
  <w:style w:type="paragraph" w:styleId="712">
    <w:name w:val="endnote text"/>
    <w:basedOn w:val="685"/>
    <w:link w:val="882"/>
    <w:uiPriority w:val="99"/>
    <w:semiHidden/>
    <w:unhideWhenUsed/>
    <w:pPr>
      <w:spacing w:after="0" w:line="240" w:lineRule="auto"/>
    </w:pPr>
    <w:rPr>
      <w:sz w:val="20"/>
    </w:rPr>
  </w:style>
  <w:style w:type="paragraph" w:styleId="713">
    <w:name w:val="Balloon Text"/>
    <w:basedOn w:val="685"/>
    <w:link w:val="893"/>
    <w:uiPriority w:val="0"/>
    <w:qFormat/>
    <w:rPr>
      <w:sz w:val="18"/>
      <w:szCs w:val="18"/>
    </w:rPr>
  </w:style>
  <w:style w:type="paragraph" w:styleId="714">
    <w:name w:val="Footer"/>
    <w:basedOn w:val="685"/>
    <w:uiPriority w:val="99"/>
    <w:unhideWhenUsed/>
    <w:qFormat/>
    <w:pPr>
      <w:jc w:val="left"/>
      <w:tabs>
        <w:tab w:val="center" w:pos="4153" w:leader="none"/>
        <w:tab w:val="right" w:pos="8306" w:leader="none"/>
      </w:tabs>
    </w:pPr>
    <w:rPr>
      <w:sz w:val="18"/>
      <w:szCs w:val="18"/>
    </w:rPr>
  </w:style>
  <w:style w:type="paragraph" w:styleId="715">
    <w:name w:val="envelope return"/>
    <w:basedOn w:val="685"/>
    <w:uiPriority w:val="99"/>
    <w:unhideWhenUsed/>
    <w:qFormat/>
    <w:rPr>
      <w:rFonts w:ascii="Arial" w:hAnsi="Arial"/>
    </w:rPr>
  </w:style>
  <w:style w:type="paragraph" w:styleId="716">
    <w:name w:val="Header"/>
    <w:basedOn w:val="6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5"/>
    <w:next w:val="685"/>
    <w:uiPriority w:val="39"/>
    <w:unhideWhenUsed/>
    <w:qFormat/>
  </w:style>
  <w:style w:type="paragraph" w:styleId="718">
    <w:name w:val="toc 4"/>
    <w:basedOn w:val="685"/>
    <w:next w:val="685"/>
    <w:uiPriority w:val="39"/>
    <w:unhideWhenUsed/>
    <w:pPr>
      <w:ind w:left="850" w:right="0" w:firstLine="0"/>
      <w:spacing w:after="57"/>
    </w:pPr>
  </w:style>
  <w:style w:type="paragraph" w:styleId="719">
    <w:name w:val="Subtitle"/>
    <w:basedOn w:val="685"/>
    <w:next w:val="685"/>
    <w:link w:val="748"/>
    <w:uiPriority w:val="11"/>
    <w:qFormat/>
    <w:pPr>
      <w:spacing w:before="200" w:after="200"/>
    </w:pPr>
    <w:rPr>
      <w:sz w:val="24"/>
      <w:szCs w:val="24"/>
    </w:rPr>
  </w:style>
  <w:style w:type="paragraph" w:styleId="720">
    <w:name w:val="footnote text"/>
    <w:basedOn w:val="685"/>
    <w:link w:val="881"/>
    <w:uiPriority w:val="99"/>
    <w:semiHidden/>
    <w:unhideWhenUsed/>
    <w:pPr>
      <w:spacing w:after="40" w:line="240" w:lineRule="auto"/>
    </w:pPr>
    <w:rPr>
      <w:sz w:val="18"/>
    </w:rPr>
  </w:style>
  <w:style w:type="paragraph" w:styleId="721">
    <w:name w:val="toc 6"/>
    <w:basedOn w:val="685"/>
    <w:next w:val="685"/>
    <w:uiPriority w:val="39"/>
    <w:unhideWhenUsed/>
    <w:pPr>
      <w:ind w:left="1417" w:right="0" w:firstLine="0"/>
      <w:spacing w:after="57"/>
    </w:pPr>
  </w:style>
  <w:style w:type="paragraph" w:styleId="722">
    <w:name w:val="table of figures"/>
    <w:basedOn w:val="685"/>
    <w:next w:val="685"/>
    <w:uiPriority w:val="99"/>
    <w:unhideWhenUsed/>
    <w:pPr>
      <w:spacing w:after="0" w:afterAutospacing="0"/>
    </w:pPr>
  </w:style>
  <w:style w:type="paragraph" w:styleId="723">
    <w:name w:val="toc 2"/>
    <w:basedOn w:val="685"/>
    <w:next w:val="685"/>
    <w:uiPriority w:val="39"/>
    <w:unhideWhenUsed/>
    <w:pPr>
      <w:ind w:left="283" w:right="0" w:firstLine="0"/>
      <w:spacing w:after="57"/>
    </w:pPr>
  </w:style>
  <w:style w:type="paragraph" w:styleId="724">
    <w:name w:val="toc 9"/>
    <w:basedOn w:val="685"/>
    <w:next w:val="685"/>
    <w:uiPriority w:val="39"/>
    <w:unhideWhenUsed/>
    <w:pPr>
      <w:ind w:left="2268" w:right="0" w:firstLine="0"/>
      <w:spacing w:after="57"/>
    </w:pPr>
  </w:style>
  <w:style w:type="paragraph" w:styleId="725">
    <w:name w:val="Message Header"/>
    <w:basedOn w:val="68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26">
    <w:name w:val="Normal (Web)"/>
    <w:basedOn w:val="685"/>
    <w:uiPriority w:val="0"/>
    <w:qFormat/>
    <w:rPr>
      <w:rFonts w:ascii="Times New Roman" w:hAnsi="Times New Roman"/>
      <w:sz w:val="24"/>
    </w:rPr>
  </w:style>
  <w:style w:type="paragraph" w:styleId="727">
    <w:name w:val="Title"/>
    <w:basedOn w:val="685"/>
    <w:next w:val="685"/>
    <w:link w:val="747"/>
    <w:uiPriority w:val="10"/>
    <w:qFormat/>
    <w:pPr>
      <w:contextualSpacing/>
      <w:spacing w:before="300" w:after="200"/>
    </w:pPr>
    <w:rPr>
      <w:sz w:val="48"/>
      <w:szCs w:val="48"/>
    </w:rPr>
  </w:style>
  <w:style w:type="paragraph" w:styleId="728">
    <w:name w:val="annotation subject"/>
    <w:basedOn w:val="702"/>
    <w:next w:val="702"/>
    <w:link w:val="903"/>
    <w:uiPriority w:val="0"/>
    <w:qFormat/>
    <w:rPr>
      <w:b/>
      <w:bCs/>
    </w:rPr>
  </w:style>
  <w:style w:type="paragraph" w:styleId="729">
    <w:name w:val="Body Text First Indent 2"/>
    <w:basedOn w:val="705"/>
    <w:uiPriority w:val="0"/>
    <w:qFormat/>
    <w:pPr>
      <w:ind w:firstLine="420"/>
      <w:spacing w:before="100" w:beforeAutospacing="1"/>
    </w:pPr>
    <w:rPr>
      <w:rFonts w:ascii="Times New Roman" w:hAnsi="Times New Roman" w:eastAsia="宋体"/>
      <w:sz w:val="20"/>
      <w:szCs w:val="21"/>
    </w:rPr>
  </w:style>
  <w:style w:type="table" w:styleId="730">
    <w:name w:val="Table Grid"/>
    <w:basedOn w:val="6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1">
    <w:name w:val="Strong"/>
    <w:uiPriority w:val="0"/>
    <w:qFormat/>
    <w:rPr>
      <w:b/>
    </w:rPr>
  </w:style>
  <w:style w:type="character" w:styleId="732">
    <w:name w:val="endnote reference"/>
    <w:basedOn w:val="695"/>
    <w:uiPriority w:val="99"/>
    <w:semiHidden/>
    <w:unhideWhenUsed/>
    <w:rPr>
      <w:vertAlign w:val="superscript"/>
    </w:rPr>
  </w:style>
  <w:style w:type="character" w:styleId="733">
    <w:name w:val="page number"/>
    <w:uiPriority w:val="0"/>
    <w:qFormat/>
  </w:style>
  <w:style w:type="character" w:styleId="734">
    <w:name w:val="Hyperlink"/>
    <w:basedOn w:val="695"/>
    <w:uiPriority w:val="0"/>
    <w:qFormat/>
    <w:rPr>
      <w:color w:val="0000ff"/>
      <w:u w:val="single"/>
    </w:rPr>
  </w:style>
  <w:style w:type="character" w:styleId="735">
    <w:name w:val="annotation reference"/>
    <w:basedOn w:val="695"/>
    <w:uiPriority w:val="0"/>
    <w:qFormat/>
    <w:rPr>
      <w:sz w:val="21"/>
      <w:szCs w:val="21"/>
    </w:rPr>
  </w:style>
  <w:style w:type="character" w:styleId="736">
    <w:name w:val="footnote reference"/>
    <w:basedOn w:val="695"/>
    <w:uiPriority w:val="99"/>
    <w:unhideWhenUsed/>
    <w:rPr>
      <w:vertAlign w:val="superscript"/>
    </w:rPr>
  </w:style>
  <w:style w:type="character" w:styleId="737" w:customStyle="1">
    <w:name w:val="Heading 1 Char"/>
    <w:basedOn w:val="695"/>
    <w:uiPriority w:val="9"/>
    <w:rPr>
      <w:rFonts w:ascii="Arial" w:hAnsi="Arial" w:eastAsia="Arial" w:cs="Arial"/>
      <w:sz w:val="40"/>
      <w:szCs w:val="40"/>
    </w:rPr>
  </w:style>
  <w:style w:type="character" w:styleId="738" w:customStyle="1">
    <w:name w:val="Heading 2 Char"/>
    <w:basedOn w:val="695"/>
    <w:uiPriority w:val="9"/>
    <w:rPr>
      <w:rFonts w:ascii="Arial" w:hAnsi="Arial" w:eastAsia="Arial" w:cs="Arial"/>
      <w:sz w:val="34"/>
    </w:rPr>
  </w:style>
  <w:style w:type="character" w:styleId="739" w:customStyle="1">
    <w:name w:val="Heading 3 Char"/>
    <w:basedOn w:val="695"/>
    <w:uiPriority w:val="9"/>
    <w:rPr>
      <w:rFonts w:ascii="Arial" w:hAnsi="Arial" w:eastAsia="Arial" w:cs="Arial"/>
      <w:sz w:val="30"/>
      <w:szCs w:val="30"/>
    </w:rPr>
  </w:style>
  <w:style w:type="character" w:styleId="740" w:customStyle="1">
    <w:name w:val="Heading 4 Char"/>
    <w:basedOn w:val="695"/>
    <w:uiPriority w:val="9"/>
    <w:rPr>
      <w:rFonts w:ascii="Arial" w:hAnsi="Arial" w:eastAsia="Arial" w:cs="Arial"/>
      <w:b/>
      <w:bCs/>
      <w:sz w:val="26"/>
      <w:szCs w:val="26"/>
    </w:rPr>
  </w:style>
  <w:style w:type="character" w:styleId="741" w:customStyle="1">
    <w:name w:val="Heading 5 Char"/>
    <w:basedOn w:val="695"/>
    <w:uiPriority w:val="9"/>
    <w:qFormat/>
    <w:rPr>
      <w:rFonts w:ascii="Arial" w:hAnsi="Arial" w:eastAsia="Arial" w:cs="Arial"/>
      <w:b/>
      <w:bCs/>
      <w:sz w:val="24"/>
      <w:szCs w:val="24"/>
    </w:rPr>
  </w:style>
  <w:style w:type="character" w:styleId="742" w:customStyle="1">
    <w:name w:val="Heading 6 Char"/>
    <w:basedOn w:val="695"/>
    <w:link w:val="691"/>
    <w:uiPriority w:val="9"/>
    <w:rPr>
      <w:rFonts w:ascii="Arial" w:hAnsi="Arial" w:eastAsia="Arial" w:cs="Arial"/>
      <w:b/>
      <w:bCs/>
      <w:sz w:val="22"/>
      <w:szCs w:val="22"/>
    </w:rPr>
  </w:style>
  <w:style w:type="character" w:styleId="743" w:customStyle="1">
    <w:name w:val="Heading 7 Char"/>
    <w:basedOn w:val="695"/>
    <w:link w:val="692"/>
    <w:uiPriority w:val="9"/>
    <w:rPr>
      <w:rFonts w:ascii="Arial" w:hAnsi="Arial" w:eastAsia="Arial" w:cs="Arial"/>
      <w:b/>
      <w:bCs/>
      <w:i/>
      <w:iCs/>
      <w:sz w:val="22"/>
      <w:szCs w:val="22"/>
    </w:rPr>
  </w:style>
  <w:style w:type="character" w:styleId="744" w:customStyle="1">
    <w:name w:val="Heading 8 Char"/>
    <w:basedOn w:val="695"/>
    <w:link w:val="693"/>
    <w:uiPriority w:val="9"/>
    <w:rPr>
      <w:rFonts w:ascii="Arial" w:hAnsi="Arial" w:eastAsia="Arial" w:cs="Arial"/>
      <w:i/>
      <w:iCs/>
      <w:sz w:val="22"/>
      <w:szCs w:val="22"/>
    </w:rPr>
  </w:style>
  <w:style w:type="character" w:styleId="745" w:customStyle="1">
    <w:name w:val="Heading 9 Char"/>
    <w:basedOn w:val="695"/>
    <w:link w:val="694"/>
    <w:uiPriority w:val="9"/>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basedOn w:val="695"/>
    <w:link w:val="727"/>
    <w:uiPriority w:val="10"/>
    <w:rPr>
      <w:sz w:val="48"/>
      <w:szCs w:val="48"/>
    </w:rPr>
  </w:style>
  <w:style w:type="character" w:styleId="748" w:customStyle="1">
    <w:name w:val="Subtitle Char"/>
    <w:basedOn w:val="695"/>
    <w:link w:val="719"/>
    <w:uiPriority w:val="11"/>
    <w:qFormat/>
    <w:rPr>
      <w:sz w:val="24"/>
      <w:szCs w:val="24"/>
    </w:rPr>
  </w:style>
  <w:style w:type="paragraph" w:styleId="749">
    <w:name w:val="Quote"/>
    <w:basedOn w:val="685"/>
    <w:next w:val="685"/>
    <w:link w:val="750"/>
    <w:uiPriority w:val="29"/>
    <w:qFormat/>
    <w:pPr>
      <w:ind w:left="720" w:right="720"/>
    </w:pPr>
    <w:rPr>
      <w:i/>
    </w:rPr>
  </w:style>
  <w:style w:type="character" w:styleId="750" w:customStyle="1">
    <w:name w:val="Quote Char"/>
    <w:link w:val="749"/>
    <w:uiPriority w:val="29"/>
    <w:rPr>
      <w:i/>
    </w:rPr>
  </w:style>
  <w:style w:type="paragraph" w:styleId="751">
    <w:name w:val="Intense Quote"/>
    <w:basedOn w:val="685"/>
    <w:next w:val="685"/>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rPr>
      <w:i/>
    </w:rPr>
  </w:style>
  <w:style w:type="character" w:styleId="753" w:customStyle="1">
    <w:name w:val="Header Char"/>
    <w:basedOn w:val="695"/>
    <w:uiPriority w:val="99"/>
  </w:style>
  <w:style w:type="character" w:styleId="754" w:customStyle="1">
    <w:name w:val="Footer Char"/>
    <w:basedOn w:val="695"/>
    <w:uiPriority w:val="99"/>
  </w:style>
  <w:style w:type="character" w:styleId="755" w:customStyle="1">
    <w:name w:val="Caption Char"/>
    <w:uiPriority w:val="99"/>
  </w:style>
  <w:style w:type="table" w:styleId="756" w:customStyle="1">
    <w:name w:val="Table Grid Light"/>
    <w:basedOn w:val="69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69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9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9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9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9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9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96"/>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96"/>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96"/>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96"/>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96"/>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96"/>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9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96"/>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96"/>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96"/>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96"/>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96"/>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96"/>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6" w:customStyle="1">
    <w:name w:val="Grid Table 3"/>
    <w:basedOn w:val="69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96"/>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96"/>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96"/>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96"/>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96"/>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96"/>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96"/>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96"/>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5" w:customStyle="1">
    <w:name w:val="Grid Table 4 - Accent 2"/>
    <w:basedOn w:val="696"/>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6" w:customStyle="1">
    <w:name w:val="Grid Table 4 - Accent 3"/>
    <w:basedOn w:val="696"/>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7" w:customStyle="1">
    <w:name w:val="Grid Table 4 - Accent 4"/>
    <w:basedOn w:val="696"/>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8" w:customStyle="1">
    <w:name w:val="Grid Table 4 - Accent 5"/>
    <w:basedOn w:val="696"/>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9" w:customStyle="1">
    <w:name w:val="Grid Table 4 - Accent 6"/>
    <w:basedOn w:val="696"/>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0" w:customStyle="1">
    <w:name w:val="Grid Table 5 Dark"/>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2" w:customStyle="1">
    <w:name w:val="Grid Table 5 Dark - Accent 2"/>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3" w:customStyle="1">
    <w:name w:val="Grid Table 5 Dark - Accent 3"/>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4" w:customStyle="1">
    <w:name w:val="Grid Table 5 Dark- Accent 4"/>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5" w:customStyle="1">
    <w:name w:val="Grid Table 5 Dark - Accent 5"/>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6" w:customStyle="1">
    <w:name w:val="Grid Table 5 Dark - Accent 6"/>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7" w:customStyle="1">
    <w:name w:val="Grid Table 6 Colorful"/>
    <w:basedOn w:val="69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696"/>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696"/>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696"/>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1" w:customStyle="1">
    <w:name w:val="Grid Table 6 Colorful - Accent 4"/>
    <w:basedOn w:val="696"/>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696"/>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3" w:customStyle="1">
    <w:name w:val="Grid Table 6 Colorful - Accent 6"/>
    <w:basedOn w:val="696"/>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4" w:customStyle="1">
    <w:name w:val="Grid Table 7 Colorful"/>
    <w:basedOn w:val="69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96"/>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96"/>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96"/>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96"/>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96"/>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96"/>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96"/>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96"/>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96"/>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96"/>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96"/>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96"/>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96"/>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List Table 2"/>
    <w:basedOn w:val="696"/>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96"/>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0" w:customStyle="1">
    <w:name w:val="List Table 2 - Accent 2"/>
    <w:basedOn w:val="696"/>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1" w:customStyle="1">
    <w:name w:val="List Table 2 - Accent 3"/>
    <w:basedOn w:val="696"/>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2" w:customStyle="1">
    <w:name w:val="List Table 2 - Accent 4"/>
    <w:basedOn w:val="696"/>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3" w:customStyle="1">
    <w:name w:val="List Table 2 - Accent 5"/>
    <w:basedOn w:val="696"/>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4" w:customStyle="1">
    <w:name w:val="List Table 2 - Accent 6"/>
    <w:basedOn w:val="696"/>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5" w:customStyle="1">
    <w:name w:val="List Table 3"/>
    <w:basedOn w:val="69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96"/>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3 - Accent 2"/>
    <w:basedOn w:val="696"/>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96"/>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96"/>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96"/>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96"/>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2" w:customStyle="1">
    <w:name w:val="List Table 4"/>
    <w:basedOn w:val="69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96"/>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4" w:customStyle="1">
    <w:name w:val="List Table 4 - Accent 2"/>
    <w:basedOn w:val="696"/>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5" w:customStyle="1">
    <w:name w:val="List Table 4 - Accent 3"/>
    <w:basedOn w:val="696"/>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6" w:customStyle="1">
    <w:name w:val="List Table 4 - Accent 4"/>
    <w:basedOn w:val="696"/>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7" w:customStyle="1">
    <w:name w:val="List Table 4 - Accent 5"/>
    <w:basedOn w:val="696"/>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8" w:customStyle="1">
    <w:name w:val="List Table 4 - Accent 6"/>
    <w:basedOn w:val="696"/>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9" w:customStyle="1">
    <w:name w:val="List Table 5 Dark"/>
    <w:basedOn w:val="696"/>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696"/>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696"/>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696"/>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696"/>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696"/>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696"/>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696"/>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696"/>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8" w:customStyle="1">
    <w:name w:val="List Table 6 Colorful - Accent 2"/>
    <w:basedOn w:val="696"/>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9" w:customStyle="1">
    <w:name w:val="List Table 6 Colorful - Accent 3"/>
    <w:basedOn w:val="696"/>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0" w:customStyle="1">
    <w:name w:val="List Table 6 Colorful - Accent 4"/>
    <w:basedOn w:val="696"/>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1" w:customStyle="1">
    <w:name w:val="List Table 6 Colorful - Accent 5"/>
    <w:basedOn w:val="696"/>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2" w:customStyle="1">
    <w:name w:val="List Table 6 Colorful - Accent 6"/>
    <w:basedOn w:val="696"/>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3" w:customStyle="1">
    <w:name w:val="List Table 7 Colorful"/>
    <w:basedOn w:val="696"/>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96"/>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96"/>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96"/>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96"/>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96"/>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96"/>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2" w:customStyle="1">
    <w:name w:val="Lined - Accent 2"/>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3" w:customStyle="1">
    <w:name w:val="Lined - Accent 3"/>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Lined - Accent 4"/>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5" w:customStyle="1">
    <w:name w:val="Lined - Accent 5"/>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Lined - Accent 6"/>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amp; Lined - Accent"/>
    <w:basedOn w:val="696"/>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96"/>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9" w:customStyle="1">
    <w:name w:val="Bordered &amp; Lined - Accent 2"/>
    <w:basedOn w:val="696"/>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0" w:customStyle="1">
    <w:name w:val="Bordered &amp; Lined - Accent 3"/>
    <w:basedOn w:val="696"/>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1" w:customStyle="1">
    <w:name w:val="Bordered &amp; Lined - Accent 4"/>
    <w:basedOn w:val="696"/>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2" w:customStyle="1">
    <w:name w:val="Bordered &amp; Lined - Accent 5"/>
    <w:basedOn w:val="696"/>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3" w:customStyle="1">
    <w:name w:val="Bordered &amp; Lined - Accent 6"/>
    <w:basedOn w:val="696"/>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4" w:customStyle="1">
    <w:name w:val="Bordered"/>
    <w:basedOn w:val="696"/>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96"/>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6" w:customStyle="1">
    <w:name w:val="Bordered - Accent 2"/>
    <w:basedOn w:val="696"/>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7" w:customStyle="1">
    <w:name w:val="Bordered - Accent 3"/>
    <w:basedOn w:val="696"/>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8" w:customStyle="1">
    <w:name w:val="Bordered - Accent 4"/>
    <w:basedOn w:val="696"/>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9" w:customStyle="1">
    <w:name w:val="Bordered - Accent 5"/>
    <w:basedOn w:val="696"/>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0" w:customStyle="1">
    <w:name w:val="Bordered - Accent 6"/>
    <w:basedOn w:val="696"/>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1" w:customStyle="1">
    <w:name w:val="Footnote Text Char"/>
    <w:link w:val="720"/>
    <w:uiPriority w:val="99"/>
    <w:rPr>
      <w:sz w:val="18"/>
    </w:rPr>
  </w:style>
  <w:style w:type="character" w:styleId="882" w:customStyle="1">
    <w:name w:val="Endnote Text Char"/>
    <w:link w:val="712"/>
    <w:uiPriority w:val="99"/>
    <w:rPr>
      <w:sz w:val="20"/>
    </w:rPr>
  </w:style>
  <w:style w:type="paragraph" w:styleId="883" w:customStyle="1">
    <w:name w:val="TOC Heading"/>
    <w:uiPriority w:val="39"/>
    <w:unhideWhenUsed/>
    <w:rPr>
      <w:rFonts w:hint="default" w:ascii="Times New Roman" w:hAnsi="Times New Roman" w:eastAsia="宋体" w:cs="Times New Roman"/>
    </w:rPr>
  </w:style>
  <w:style w:type="paragraph" w:styleId="884" w:customStyle="1">
    <w:name w:val="正文缩进1"/>
    <w:basedOn w:val="685"/>
    <w:uiPriority w:val="0"/>
    <w:qFormat/>
    <w:pPr>
      <w:ind w:firstLine="420"/>
    </w:pPr>
    <w:rPr>
      <w:rFonts w:ascii="宋体" w:hAnsi="Times New Roman" w:eastAsia="宋体"/>
      <w:sz w:val="20"/>
      <w:szCs w:val="21"/>
    </w:rPr>
  </w:style>
  <w:style w:type="paragraph" w:styleId="885" w:customStyle="1">
    <w:name w:val="正文（缩进）"/>
    <w:basedOn w:val="685"/>
    <w:uiPriority w:val="0"/>
    <w:qFormat/>
    <w:pPr>
      <w:ind w:firstLine="480"/>
      <w:spacing w:before="156" w:after="156"/>
    </w:pPr>
  </w:style>
  <w:style w:type="paragraph" w:styleId="886" w:customStyle="1">
    <w:name w:val="正文1"/>
    <w:basedOn w:val="685"/>
    <w:next w:val="887"/>
    <w:uiPriority w:val="0"/>
    <w:qFormat/>
    <w:pPr>
      <w:jc w:val="left"/>
      <w:spacing w:line="360" w:lineRule="atLeast"/>
    </w:pPr>
    <w:rPr>
      <w:rFonts w:ascii="宋体" w:hAnsiTheme="minorHAnsi" w:eastAsiaTheme="minorEastAsia" w:cstheme="minorBidi"/>
      <w:sz w:val="24"/>
      <w:szCs w:val="20"/>
    </w:rPr>
  </w:style>
  <w:style w:type="paragraph" w:styleId="887" w:customStyle="1">
    <w:name w:val="正文文本1"/>
    <w:basedOn w:val="886"/>
    <w:next w:val="888"/>
    <w:uiPriority w:val="0"/>
    <w:qFormat/>
    <w:pPr>
      <w:spacing w:after="120"/>
    </w:pPr>
    <w:rPr>
      <w:lang w:eastAsia="en-US"/>
    </w:rPr>
  </w:style>
  <w:style w:type="paragraph" w:styleId="888" w:customStyle="1">
    <w:name w:val="一级条标题"/>
    <w:basedOn w:val="889"/>
    <w:next w:val="8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9" w:customStyle="1">
    <w:name w:val="章标题"/>
    <w:next w:val="6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90" w:customStyle="1">
    <w:name w:val="段"/>
    <w:basedOn w:val="886"/>
    <w:next w:val="685"/>
    <w:uiPriority w:val="0"/>
    <w:qFormat/>
    <w:pPr>
      <w:ind w:firstLine="200"/>
      <w:widowControl/>
    </w:pPr>
    <w:rPr>
      <w:sz w:val="20"/>
    </w:rPr>
  </w:style>
  <w:style w:type="paragraph" w:styleId="891" w:customStyle="1">
    <w:name w:val="普通正文"/>
    <w:basedOn w:val="685"/>
    <w:uiPriority w:val="0"/>
    <w:qFormat/>
    <w:pPr>
      <w:ind w:firstLine="480"/>
      <w:jc w:val="left"/>
      <w:spacing w:before="120" w:after="120" w:line="360" w:lineRule="auto"/>
    </w:pPr>
    <w:rPr>
      <w:rFonts w:ascii="Arial" w:hAnsi="Arial"/>
      <w:sz w:val="24"/>
      <w:szCs w:val="24"/>
    </w:rPr>
  </w:style>
  <w:style w:type="paragraph" w:styleId="892" w:customStyle="1">
    <w:name w:val="Char"/>
    <w:basedOn w:val="685"/>
    <w:uiPriority w:val="0"/>
    <w:qFormat/>
    <w:pPr>
      <w:ind w:firstLine="200"/>
      <w:tabs>
        <w:tab w:val="left" w:pos="360" w:leader="none"/>
      </w:tabs>
    </w:pPr>
    <w:rPr>
      <w:rFonts w:ascii="Times New Roman" w:hAnsi="Times New Roman"/>
      <w:sz w:val="28"/>
      <w:szCs w:val="30"/>
    </w:rPr>
  </w:style>
  <w:style w:type="character" w:styleId="893" w:customStyle="1">
    <w:name w:val="批注框文本 字符"/>
    <w:basedOn w:val="695"/>
    <w:link w:val="713"/>
    <w:uiPriority w:val="0"/>
    <w:qFormat/>
    <w:rPr>
      <w:sz w:val="18"/>
      <w:szCs w:val="18"/>
    </w:rPr>
  </w:style>
  <w:style w:type="paragraph" w:styleId="894" w:customStyle="1">
    <w:name w:val="Table Paragraph"/>
    <w:basedOn w:val="685"/>
    <w:uiPriority w:val="1"/>
    <w:qFormat/>
    <w:rPr>
      <w:rFonts w:ascii="Noto Sans CJK JP Regular" w:hAnsi="Noto Sans CJK JP Regular" w:eastAsia="Noto Sans CJK JP Regular" w:cs="Noto Sans CJK JP Regular"/>
    </w:rPr>
  </w:style>
  <w:style w:type="paragraph" w:styleId="895" w:customStyle="1">
    <w:name w:val="正文（1）"/>
    <w:basedOn w:val="685"/>
    <w:uiPriority w:val="0"/>
    <w:qFormat/>
    <w:pPr>
      <w:numPr>
        <w:ilvl w:val="0"/>
        <w:numId w:val="2"/>
      </w:numPr>
      <w:ind w:firstLine="200"/>
    </w:pPr>
    <w:rPr>
      <w:szCs w:val="24"/>
    </w:rPr>
  </w:style>
  <w:style w:type="paragraph" w:styleId="896" w:customStyle="1">
    <w:name w:val="朱-正文"/>
    <w:basedOn w:val="685"/>
    <w:uiPriority w:val="0"/>
    <w:qFormat/>
    <w:pPr>
      <w:ind w:firstLine="200"/>
    </w:pPr>
    <w:rPr>
      <w:rFonts w:ascii="Times New Roman"/>
      <w:color w:val="000000"/>
      <w:szCs w:val="24"/>
      <w:lang w:val="en-GB"/>
    </w:rPr>
  </w:style>
  <w:style w:type="paragraph" w:styleId="897" w:customStyle="1">
    <w:name w:val="GP正文(首行缩进)"/>
    <w:basedOn w:val="685"/>
    <w:uiPriority w:val="0"/>
    <w:qFormat/>
    <w:pPr>
      <w:ind w:firstLine="480"/>
      <w:jc w:val="left"/>
    </w:pPr>
    <w:rPr>
      <w:rFonts w:ascii="Times New Roman" w:hAnsi="宋体"/>
      <w:sz w:val="24"/>
      <w:szCs w:val="24"/>
    </w:rPr>
  </w:style>
  <w:style w:type="character" w:styleId="898" w:customStyle="1">
    <w:name w:val="font71"/>
    <w:basedOn w:val="695"/>
    <w:uiPriority w:val="0"/>
    <w:qFormat/>
    <w:rPr>
      <w:rFonts w:hint="eastAsia" w:ascii="宋体" w:hAnsi="宋体" w:eastAsia="宋体" w:cs="宋体"/>
      <w:color w:val="ff0000"/>
      <w:sz w:val="21"/>
      <w:szCs w:val="21"/>
      <w:u w:val="none"/>
    </w:rPr>
  </w:style>
  <w:style w:type="character" w:styleId="899" w:customStyle="1">
    <w:name w:val="font41"/>
    <w:basedOn w:val="695"/>
    <w:uiPriority w:val="0"/>
    <w:qFormat/>
    <w:rPr>
      <w:rFonts w:hint="eastAsia" w:ascii="宋体" w:hAnsi="宋体" w:eastAsia="宋体" w:cs="宋体"/>
      <w:color w:val="000000"/>
      <w:sz w:val="21"/>
      <w:szCs w:val="21"/>
      <w:u w:val="none"/>
    </w:rPr>
  </w:style>
  <w:style w:type="paragraph" w:styleId="900">
    <w:name w:val="List Paragraph"/>
    <w:basedOn w:val="685"/>
    <w:uiPriority w:val="0"/>
    <w:qFormat/>
    <w:pPr>
      <w:ind w:firstLine="420"/>
    </w:pPr>
  </w:style>
  <w:style w:type="paragraph" w:styleId="901" w:customStyle="1">
    <w:name w:val="列出段落2"/>
    <w:basedOn w:val="685"/>
    <w:uiPriority w:val="34"/>
    <w:qFormat/>
    <w:pPr>
      <w:ind w:firstLine="420"/>
    </w:pPr>
    <w:rPr>
      <w:rFonts w:ascii="宋体"/>
      <w:color w:val="404040"/>
    </w:rPr>
  </w:style>
  <w:style w:type="character" w:styleId="902" w:customStyle="1">
    <w:name w:val="批注文字 字符"/>
    <w:basedOn w:val="695"/>
    <w:link w:val="702"/>
    <w:uiPriority w:val="0"/>
    <w:qFormat/>
    <w:rPr>
      <w:rFonts w:ascii="Calibri" w:hAnsi="Calibri"/>
      <w:sz w:val="21"/>
      <w:szCs w:val="22"/>
    </w:rPr>
  </w:style>
  <w:style w:type="character" w:styleId="903" w:customStyle="1">
    <w:name w:val="批注主题 字符"/>
    <w:basedOn w:val="902"/>
    <w:link w:val="728"/>
    <w:uiPriority w:val="0"/>
    <w:qFormat/>
    <w:rPr>
      <w:rFonts w:ascii="Calibri" w:hAnsi="Calibri"/>
      <w:b/>
      <w:bCs/>
      <w:sz w:val="21"/>
      <w:szCs w:val="22"/>
    </w:rPr>
  </w:style>
  <w:style w:type="paragraph" w:styleId="904" w:customStyle="1">
    <w:name w:val="列表段落1"/>
    <w:basedOn w:val="685"/>
    <w:uiPriority w:val="0"/>
    <w:qFormat/>
    <w:pPr>
      <w:ind w:firstLine="200"/>
    </w:pPr>
    <w:rPr>
      <w:rFonts w:cs="宋体"/>
    </w:rPr>
  </w:style>
  <w:style w:type="character" w:styleId="905" w:customStyle="1">
    <w:name w:val="font51"/>
    <w:basedOn w:val="695"/>
    <w:uiPriority w:val="0"/>
    <w:qFormat/>
    <w:rPr>
      <w:rFonts w:hint="eastAsia" w:ascii="宋体" w:hAnsi="宋体" w:eastAsia="宋体" w:cs="宋体"/>
      <w:color w:val="000000"/>
      <w:sz w:val="24"/>
      <w:szCs w:val="24"/>
      <w:u w:val="none"/>
      <w:vertAlign w:val="subscript"/>
    </w:rPr>
  </w:style>
  <w:style w:type="character" w:styleId="906" w:customStyle="1">
    <w:name w:val="font61"/>
    <w:basedOn w:val="695"/>
    <w:uiPriority w:val="0"/>
    <w:qFormat/>
    <w:rPr>
      <w:rFonts w:hint="eastAsia" w:ascii="宋体" w:hAnsi="宋体" w:eastAsia="宋体" w:cs="宋体"/>
      <w:color w:val="000000"/>
      <w:sz w:val="24"/>
      <w:szCs w:val="24"/>
      <w:u w:val="none"/>
    </w:rPr>
  </w:style>
  <w:style w:type="character" w:styleId="907" w:customStyle="1">
    <w:name w:val="font01"/>
    <w:basedOn w:val="695"/>
    <w:uiPriority w:val="0"/>
    <w:qFormat/>
    <w:rPr>
      <w:rFonts w:hint="eastAsia" w:ascii="宋体" w:hAnsi="宋体" w:eastAsia="宋体" w:cs="宋体"/>
      <w:color w:val="000000"/>
      <w:sz w:val="24"/>
      <w:szCs w:val="24"/>
      <w:u w:val="none"/>
    </w:rPr>
  </w:style>
  <w:style w:type="character" w:styleId="908" w:customStyle="1">
    <w:name w:val="font81"/>
    <w:basedOn w:val="695"/>
    <w:uiPriority w:val="0"/>
    <w:qFormat/>
    <w:rPr>
      <w:rFonts w:ascii="微软雅黑" w:hAnsi="微软雅黑" w:eastAsia="微软雅黑" w:cs="微软雅黑"/>
      <w:color w:val="000000"/>
      <w:sz w:val="24"/>
      <w:szCs w:val="24"/>
      <w:u w:val="none"/>
    </w:rPr>
  </w:style>
  <w:style w:type="character" w:styleId="909" w:customStyle="1">
    <w:name w:val="font91"/>
    <w:basedOn w:val="695"/>
    <w:uiPriority w:val="0"/>
    <w:qFormat/>
    <w:rPr>
      <w:rFonts w:ascii="Segoe UI Symbol" w:hAnsi="Segoe UI Symbol" w:eastAsia="Segoe UI Symbol" w:cs="Segoe UI Symbol"/>
      <w:color w:val="000000"/>
      <w:sz w:val="24"/>
      <w:szCs w:val="24"/>
      <w:u w:val="none"/>
    </w:rPr>
  </w:style>
  <w:style w:type="character" w:styleId="910" w:customStyle="1">
    <w:name w:val="font101"/>
    <w:basedOn w:val="695"/>
    <w:uiPriority w:val="0"/>
    <w:qFormat/>
    <w:rPr>
      <w:rFonts w:ascii="Calibri" w:hAnsi="Calibri" w:cs="Calibri"/>
      <w:color w:val="000000"/>
      <w:sz w:val="24"/>
      <w:szCs w:val="24"/>
      <w:u w:val="none"/>
    </w:rPr>
  </w:style>
  <w:style w:type="paragraph" w:styleId="911" w:customStyle="1">
    <w:name w:val="TableItem"/>
    <w:uiPriority w:val="0"/>
    <w:qFormat/>
    <w:rPr>
      <w:rFonts w:hint="default" w:ascii="Verdana" w:hAnsi="Verdana" w:cs="Verdana" w:eastAsiaTheme="minorEastAsia"/>
      <w:b/>
      <w:bCs/>
      <w:color w:val="548235" w:themeColor="accent6" w:themeShade="BF"/>
      <w:spacing w:val="-10"/>
      <w:sz w:val="16"/>
      <w:szCs w:val="28"/>
      <w:lang w:val="en-US" w:eastAsia="zh-CN" w:bidi="ar-SA"/>
    </w:rPr>
  </w:style>
  <w:style w:type="paragraph" w:styleId="912" w:customStyle="1">
    <w:name w:val="TableEmphasis"/>
    <w:basedOn w:val="685"/>
    <w:uiPriority w:val="0"/>
    <w:qFormat/>
    <w:rPr>
      <w:rFonts w:ascii="Times New Roman" w:hAnsi="Times New Roman" w:eastAsia="Times New Roman"/>
      <w:b/>
      <w:bCs/>
      <w:color w:val="3333ff"/>
      <w:sz w:val="16"/>
      <w:szCs w:val="18"/>
    </w:rPr>
  </w:style>
  <w:style w:type="paragraph" w:styleId="913" w:customStyle="1">
    <w:name w:val="修订1"/>
    <w:hidden/>
    <w:uiPriority w:val="99"/>
    <w:unhideWhenUsed/>
    <w:qFormat/>
    <w:rPr>
      <w:rFonts w:hint="default" w:ascii="Calibri" w:hAnsi="Calibri" w:eastAsia="宋体" w:cs="Times New Roman"/>
      <w:sz w:val="21"/>
      <w:szCs w:val="22"/>
      <w:lang w:val="en-US" w:eastAsia="zh-CN" w:bidi="ar-SA"/>
    </w:rPr>
  </w:style>
  <w:style w:type="paragraph" w:styleId="914" w:customStyle="1">
    <w:name w:val="修订2"/>
    <w:hidden/>
    <w:uiPriority w:val="99"/>
    <w:semiHidden/>
    <w:qFormat/>
    <w:rPr>
      <w:rFonts w:hint="default" w:ascii="Calibri" w:hAnsi="Calibri" w:eastAsia="宋体" w:cs="Times New Roman"/>
      <w:sz w:val="21"/>
      <w:szCs w:val="22"/>
      <w:lang w:val="en-US" w:eastAsia="zh-CN" w:bidi="ar-SA"/>
    </w:rPr>
  </w:style>
  <w:style w:type="character" w:styleId="915" w:customStyle="1">
    <w:name w:val="font31"/>
    <w:basedOn w:val="695"/>
    <w:uiPriority w:val="0"/>
    <w:qFormat/>
    <w:rPr>
      <w:rFonts w:hint="default" w:ascii="仿宋_GB2312" w:eastAsia="仿宋_GB2312" w:cs="仿宋_GB2312"/>
      <w:color w:val="000000"/>
      <w:sz w:val="24"/>
      <w:szCs w:val="24"/>
      <w:u w:val="none"/>
    </w:rPr>
  </w:style>
  <w:style w:type="paragraph" w:styleId="916" w:customStyle="1">
    <w:name w:val="修订3"/>
    <w:hidden/>
    <w:uiPriority w:val="99"/>
    <w:unhideWhenUsed/>
    <w:qFormat/>
    <w:rPr>
      <w:rFonts w:hint="default" w:ascii="Calibri" w:hAnsi="Calibri" w:eastAsia="宋体" w:cs="Times New Roman"/>
      <w:sz w:val="21"/>
      <w:szCs w:val="22"/>
      <w:lang w:val="en-US" w:eastAsia="zh-CN" w:bidi="ar-SA"/>
    </w:rPr>
  </w:style>
  <w:style w:type="character" w:styleId="917" w:customStyle="1">
    <w:name w:val="mark"/>
    <w:uiPriority w:val="0"/>
    <w:qFormat/>
  </w:style>
  <w:style w:type="paragraph" w:styleId="918" w:customStyle="1">
    <w:name w:val="Table Text"/>
    <w:basedOn w:val="685"/>
    <w:uiPriority w:val="0"/>
    <w:semiHidden/>
    <w:qFormat/>
    <w:rPr>
      <w:rFonts w:ascii="宋体" w:hAnsi="宋体" w:eastAsia="宋体" w:cs="宋体"/>
      <w:sz w:val="31"/>
      <w:szCs w:val="31"/>
      <w:lang w:val="en-US" w:eastAsia="en-US" w:bidi="ar-SA"/>
    </w:rPr>
  </w:style>
  <w:style w:type="paragraph" w:styleId="919" w:customStyle="1">
    <w:name w:val="索引 41"/>
    <w:basedOn w:val="685"/>
    <w:next w:val="685"/>
    <w:uiPriority w:val="99"/>
    <w:unhideWhenUsed/>
    <w:qFormat/>
    <w:pPr>
      <w:ind w:left="600"/>
      <w:spacing w:before="100" w:beforeAutospacing="1" w:after="100" w:afterAutospacing="1"/>
    </w:pPr>
    <w:rPr>
      <w:rFonts w:ascii="Calibri" w:hAnsi="Calibri" w:cs="Calibri"/>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12</cp:revision>
  <dcterms:created xsi:type="dcterms:W3CDTF">2024-03-25T02:21:00Z</dcterms:created>
  <dcterms:modified xsi:type="dcterms:W3CDTF">2025-10-13T08:33:50Z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8DA858BFE9BB480CB387E17759C88552_13</vt:lpwstr>
  </property>
  <property fmtid="{D5CDD505-2E9C-101B-9397-08002B2CF9AE}" pid="4" name="KSOTemplateDocerSaveRecord">
    <vt:lpwstr>eyJoZGlkIjoiZDNmZDhjNGY0NWQ3ZWI3MzBjMzk0MTI1N2Y2Y2NiMjUiLCJ1c2VySWQiOiIxNjY1NTU0NTM0In0=</vt:lpwstr>
  </property>
</Properties>
</file>