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0"/>
        <w:jc w:val="center"/>
        <w:rPr>
          <w:rFonts w:ascii="黑体" w:hAnsi="黑体" w:eastAsia="黑体" w:cs="黑体"/>
          <w:bCs/>
          <w:color w:val="auto"/>
          <w:sz w:val="48"/>
          <w:szCs w:val="48"/>
          <w:highlight w:val="none"/>
        </w:rPr>
      </w:pPr>
      <w:r>
        <w:rPr>
          <w:rFonts w:hint="eastAsia" w:ascii="黑体" w:hAnsi="黑体" w:eastAsia="黑体" w:cs="黑体"/>
          <w:bCs/>
          <w:color w:val="auto"/>
          <w:sz w:val="48"/>
          <w:szCs w:val="48"/>
          <w:highlight w:val="none"/>
        </w:rPr>
        <w:t xml:space="preserve">如皋市政府采购框架协议（封闭式）</w:t>
      </w:r>
      <w:r/>
    </w:p>
    <w:p>
      <w:pPr>
        <w:pStyle w:val="899"/>
        <w:ind w:firstLine="0"/>
        <w:jc w:val="center"/>
        <w:rPr>
          <w:rFonts w:ascii="仿宋" w:eastAsia="仿宋"/>
          <w:bCs/>
          <w:color w:val="auto"/>
          <w:sz w:val="52"/>
          <w:szCs w:val="52"/>
          <w:highlight w:val="none"/>
        </w:rPr>
      </w:pPr>
      <w:r>
        <w:rPr>
          <w:rFonts w:hint="eastAsia" w:ascii="仿宋" w:eastAsia="仿宋"/>
          <w:bCs/>
          <w:color w:val="auto"/>
          <w:sz w:val="62"/>
          <w:szCs w:val="62"/>
          <w:highlight w:val="none"/>
        </w:rPr>
        <w:t xml:space="preserve">征集文件</w:t>
      </w:r>
      <w:r/>
    </w:p>
    <w:p>
      <w:pPr>
        <w:pStyle w:val="899"/>
        <w:ind w:firstLine="0"/>
        <w:jc w:val="center"/>
        <w:rPr>
          <w:rFonts w:ascii="仿宋" w:eastAsia="仿宋"/>
          <w:bCs/>
          <w:color w:val="auto"/>
          <w:sz w:val="44"/>
          <w:szCs w:val="44"/>
          <w:highlight w:val="none"/>
        </w:rPr>
      </w:pPr>
      <w:r>
        <w:rPr>
          <w:rFonts w:ascii="仿宋" w:eastAsia="仿宋"/>
          <w:bCs/>
          <w:color w:val="auto"/>
          <w:sz w:val="44"/>
          <w:szCs w:val="44"/>
          <w:highlight w:val="none"/>
        </w:rPr>
      </w:r>
      <w:r/>
    </w:p>
    <w:p>
      <w:pPr>
        <w:pStyle w:val="899"/>
        <w:ind w:firstLine="0"/>
        <w:rPr>
          <w:b/>
          <w:bCs/>
          <w:color w:val="auto"/>
          <w:sz w:val="32"/>
          <w:highlight w:val="none"/>
        </w:rPr>
      </w:pPr>
      <w:r>
        <w:rPr>
          <w:b/>
          <w:bCs/>
          <w:color w:val="auto"/>
          <w:sz w:val="32"/>
          <w:highlight w:val="none"/>
        </w:rPr>
      </w:r>
      <w:r/>
    </w:p>
    <w:p>
      <w:pPr>
        <w:pStyle w:val="899"/>
        <w:ind w:firstLine="0"/>
        <w:rPr>
          <w:b/>
          <w:bCs/>
          <w:color w:val="auto"/>
          <w:sz w:val="32"/>
          <w:highlight w:val="none"/>
        </w:rPr>
      </w:pPr>
      <w:r>
        <w:rPr>
          <w:b/>
          <w:bCs/>
          <w:color w:val="auto"/>
          <w:sz w:val="32"/>
          <w:highlight w:val="none"/>
        </w:rPr>
      </w:r>
      <w:r/>
    </w:p>
    <w:p>
      <w:pPr>
        <w:pStyle w:val="899"/>
        <w:ind w:firstLine="0"/>
        <w:tabs>
          <w:tab w:val="left" w:pos="6036" w:leader="none"/>
        </w:tabs>
        <w:rPr>
          <w:b/>
          <w:bCs/>
          <w:color w:val="auto"/>
          <w:sz w:val="32"/>
          <w:highlight w:val="none"/>
        </w:rPr>
      </w:pPr>
      <w:r>
        <w:rPr>
          <w:rFonts w:hint="eastAsia"/>
          <w:b/>
          <w:bCs/>
          <w:color w:val="auto"/>
          <w:sz w:val="32"/>
          <w:highlight w:val="none"/>
        </w:rPr>
        <w:tab/>
      </w:r>
      <w:r/>
    </w:p>
    <w:tbl>
      <w:tblPr>
        <w:tblStyle w:val="712"/>
        <w:tblW w:w="0" w:type="auto"/>
        <w:jc w:val="center"/>
        <w:tblLayout w:type="fixed"/>
        <w:tblCellMar>
          <w:left w:w="108" w:type="dxa"/>
          <w:top w:w="0" w:type="dxa"/>
          <w:right w:w="108" w:type="dxa"/>
          <w:bottom w:w="0" w:type="dxa"/>
        </w:tblCellMar>
        <w:tblLook w:val="04A0" w:firstRow="1" w:lastRow="0" w:firstColumn="1" w:lastColumn="0" w:noHBand="0" w:noVBand="1"/>
      </w:tblPr>
      <w:tblGrid>
        <w:gridCol w:w="1735"/>
        <w:gridCol w:w="6439"/>
      </w:tblGrid>
      <w:tr>
        <w:trPr>
          <w:jc w:val="center"/>
          <w:trHeight w:val="1087"/>
        </w:trPr>
        <w:tc>
          <w:tcPr>
            <w:tcW w:w="1735" w:type="dxa"/>
            <w:textDirection w:val="lrTb"/>
            <w:noWrap w:val="false"/>
          </w:tcPr>
          <w:p>
            <w:pPr>
              <w:pStyle w:val="899"/>
              <w:ind w:right="-105" w:firstLine="0"/>
              <w:jc w:val="right"/>
              <w:rPr>
                <w:b/>
                <w:bCs/>
                <w:color w:val="auto"/>
                <w:sz w:val="32"/>
                <w:highlight w:val="none"/>
              </w:rPr>
            </w:pPr>
            <w:r>
              <w:rPr>
                <w:b/>
                <w:bCs/>
                <w:color w:val="auto"/>
                <w:sz w:val="32"/>
                <w:highlight w:val="none"/>
              </w:rPr>
              <w:t xml:space="preserve">项目名称：</w:t>
            </w:r>
            <w:r/>
          </w:p>
        </w:tc>
        <w:tc>
          <w:tcPr>
            <w:tcW w:w="6439" w:type="dxa"/>
            <w:textDirection w:val="lrTb"/>
            <w:noWrap w:val="false"/>
          </w:tcPr>
          <w:p>
            <w:pPr>
              <w:pStyle w:val="899"/>
              <w:ind w:firstLine="0"/>
              <w:jc w:val="center"/>
              <w:rPr>
                <w:rFonts w:eastAsia="宋体"/>
                <w:b/>
                <w:bCs/>
                <w:color w:val="auto"/>
                <w:sz w:val="32"/>
                <w:highlight w:val="none"/>
              </w:rPr>
            </w:pPr>
            <w:r>
              <w:rPr>
                <w:rFonts w:hint="eastAsia"/>
                <w:b/>
                <w:bCs/>
                <w:color w:val="auto"/>
                <w:sz w:val="32"/>
                <w:highlight w:val="none"/>
                <w:lang w:val="en-US" w:eastAsia="zh-CN"/>
              </w:rPr>
              <w:tab/>
            </w:r>
            <w:r>
              <w:rPr>
                <w:rFonts w:hint="eastAsia"/>
                <w:b/>
                <w:bCs/>
                <w:color w:val="auto"/>
                <w:sz w:val="32"/>
                <w:highlight w:val="none"/>
                <w:lang w:val="en-US" w:eastAsia="zh-CN"/>
              </w:rPr>
              <w:t xml:space="preserve">2025年食品、食用农产品抽检项目</w:t>
            </w:r>
            <w:r/>
          </w:p>
        </w:tc>
      </w:tr>
      <w:tr>
        <w:trPr>
          <w:jc w:val="center"/>
          <w:trHeight w:val="895"/>
        </w:trPr>
        <w:tc>
          <w:tcPr>
            <w:tcW w:w="1735" w:type="dxa"/>
            <w:vAlign w:val="center"/>
            <w:textDirection w:val="lrTb"/>
            <w:noWrap w:val="false"/>
          </w:tcPr>
          <w:p>
            <w:pPr>
              <w:pStyle w:val="899"/>
              <w:ind w:right="-105" w:firstLine="0"/>
              <w:jc w:val="center"/>
              <w:rPr>
                <w:b/>
                <w:bCs/>
                <w:color w:val="auto"/>
                <w:sz w:val="32"/>
                <w:highlight w:val="none"/>
              </w:rPr>
            </w:pPr>
            <w:r>
              <w:rPr>
                <w:rFonts w:hint="eastAsia"/>
                <w:b/>
                <w:bCs/>
                <w:color w:val="auto"/>
                <w:sz w:val="32"/>
                <w:highlight w:val="none"/>
              </w:rPr>
              <w:t xml:space="preserve">计划编号：</w:t>
            </w:r>
            <w:r/>
          </w:p>
        </w:tc>
        <w:tc>
          <w:tcPr>
            <w:tcW w:w="6439" w:type="dxa"/>
            <w:textDirection w:val="lrTb"/>
            <w:noWrap w:val="false"/>
          </w:tcPr>
          <w:p>
            <w:pPr>
              <w:pStyle w:val="899"/>
              <w:ind w:firstLine="0"/>
              <w:jc w:val="center"/>
              <w:rPr>
                <w:rFonts w:hint="default"/>
                <w:b/>
                <w:bCs/>
                <w:color w:val="auto"/>
                <w:sz w:val="32"/>
                <w:highlight w:val="none"/>
                <w:lang w:val="en-US"/>
              </w:rPr>
            </w:pPr>
            <w:r>
              <w:rPr>
                <w:rFonts w:hint="eastAsia"/>
                <w:b/>
                <w:bCs/>
                <w:color w:val="auto"/>
                <w:sz w:val="32"/>
                <w:highlight w:val="none"/>
              </w:rPr>
              <w:t xml:space="preserve">JSZC-320682-JSDZ-K2025-0015</w:t>
            </w:r>
            <w:r>
              <w:rPr>
                <w:b/>
                <w:bCs/>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23495</wp:posOffset>
                      </wp:positionH>
                      <wp:positionV relativeFrom="paragraph">
                        <wp:posOffset>474980</wp:posOffset>
                      </wp:positionV>
                      <wp:extent cx="3999230" cy="0"/>
                      <wp:effectExtent l="0" t="0" r="0" b="0"/>
                      <wp:wrapNone/>
                      <wp:docPr id="3" name="直接箭头连接符 3"/>
                      <wp:cNvGraphicFramePr/>
                      <a:graphic xmlns:a="http://schemas.openxmlformats.org/drawingml/2006/main">
                        <a:graphicData uri="http://schemas.microsoft.com/office/word/2010/wordprocessingShape">
                          <wps:wsp>
                            <wps:cNvPr id="0" name=""/>
                            <wps:cNvSpPr/>
                            <wps:spPr bwMode="auto">
                              <a:xfrm>
                                <a:off x="0" y="0"/>
                                <a:ext cx="3999230" cy="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8pt;mso-position-horizontal:absolute;mso-position-vertical-relative:text;margin-top:37.4pt;mso-position-vertical:absolute;width:314.9pt;height:0.0pt;mso-wrap-distance-left:9.0pt;mso-wrap-distance-top:0.0pt;mso-wrap-distance-right:9.0pt;mso-wrap-distance-bottom:0.0pt;visibility:visible;" filled="f" strokecolor="#000000" strokeweight="0.75pt">
                      <v:stroke dashstyle="solid"/>
                    </v:shape>
                  </w:pict>
                </mc:Fallback>
              </mc:AlternateContent>
            </w:r>
            <w:r/>
          </w:p>
        </w:tc>
      </w:tr>
    </w:tbl>
    <w:p>
      <w:pPr>
        <w:pStyle w:val="899"/>
        <w:ind w:firstLine="0"/>
        <w:jc w:val="both"/>
        <w:rPr>
          <w:b/>
          <w:bCs/>
          <w:color w:val="auto"/>
          <w:sz w:val="32"/>
          <w:highlight w:val="none"/>
        </w:rPr>
      </w:pPr>
      <w:r>
        <w:rPr>
          <w:b/>
          <w:bCs/>
          <w:color w:val="auto"/>
          <w:sz w:val="32"/>
          <w:highlight w:val="none"/>
        </w:rPr>
      </w:r>
      <w:r/>
    </w:p>
    <w:p>
      <w:pPr>
        <w:pStyle w:val="899"/>
        <w:ind w:firstLine="0"/>
        <w:jc w:val="center"/>
        <w:rPr>
          <w:b/>
          <w:bCs/>
          <w:color w:val="auto"/>
          <w:sz w:val="32"/>
          <w:highlight w:val="none"/>
        </w:rPr>
      </w:pPr>
      <w:r>
        <w:rPr>
          <w:b/>
          <w:bCs/>
          <w:color w:val="auto"/>
          <w:sz w:val="32"/>
          <w:highlight w:val="none"/>
        </w:rPr>
      </w:r>
      <w:r/>
    </w:p>
    <w:p>
      <w:pPr>
        <w:pStyle w:val="899"/>
        <w:ind w:firstLine="1263"/>
        <w:spacing w:line="240" w:lineRule="auto"/>
        <w:rPr>
          <w:rFonts w:eastAsia="宋体"/>
          <w:b/>
          <w:bCs/>
          <w:color w:val="auto"/>
          <w:sz w:val="32"/>
          <w:highlight w:val="none"/>
        </w:rPr>
      </w:pPr>
      <w:r>
        <w:rPr>
          <w:rFonts w:hint="eastAsia"/>
          <w:b/>
          <w:bCs/>
          <w:color w:val="auto"/>
          <w:sz w:val="32"/>
          <w:highlight w:val="none"/>
        </w:rPr>
        <w:t xml:space="preserve">采   购   人：</w:t>
      </w:r>
      <w:r>
        <w:rPr>
          <w:rFonts w:hint="eastAsia"/>
          <w:b/>
          <w:bCs/>
          <w:sz w:val="32"/>
          <w:highlight w:val="none"/>
          <w:u w:val="none"/>
          <w:lang w:val="en-US" w:eastAsia="zh-CN"/>
        </w:rPr>
        <w:t xml:space="preserve">如皋市市场监督管理局</w:t>
      </w:r>
      <w:r/>
    </w:p>
    <w:p>
      <w:pPr>
        <w:pStyle w:val="899"/>
        <w:spacing w:line="240" w:lineRule="auto"/>
        <w:rPr>
          <w:b/>
          <w:bCs/>
          <w:color w:val="auto"/>
          <w:sz w:val="32"/>
          <w:highlight w:val="none"/>
        </w:rPr>
      </w:pPr>
      <w:r>
        <w:rPr>
          <w:rFonts w:hint="eastAsia"/>
          <w:b/>
          <w:bCs/>
          <w:color w:val="auto"/>
          <w:sz w:val="32"/>
          <w:highlight w:val="none"/>
        </w:rPr>
        <w:t xml:space="preserve">采购代理机构：大洲设计咨询集团有限公司如皋分公司</w:t>
      </w:r>
      <w:r/>
    </w:p>
    <w:p>
      <w:pPr>
        <w:pStyle w:val="899"/>
        <w:ind w:firstLine="1263"/>
        <w:spacing w:line="240" w:lineRule="auto"/>
        <w:rPr>
          <w:b/>
          <w:bCs/>
          <w:color w:val="auto"/>
          <w:sz w:val="32"/>
          <w:highlight w:val="none"/>
        </w:rPr>
      </w:pPr>
      <w:r>
        <w:rPr>
          <w:rFonts w:hint="eastAsia"/>
          <w:b/>
          <w:bCs/>
          <w:color w:val="auto"/>
          <w:sz w:val="32"/>
          <w:highlight w:val="none"/>
        </w:rPr>
        <w:t xml:space="preserve">日        期：  202</w:t>
      </w:r>
      <w:r>
        <w:rPr>
          <w:rFonts w:hint="eastAsia"/>
          <w:b/>
          <w:bCs/>
          <w:color w:val="auto"/>
          <w:sz w:val="32"/>
          <w:highlight w:val="none"/>
          <w:lang w:val="en-US" w:eastAsia="zh-CN"/>
        </w:rPr>
        <w:t xml:space="preserve">5</w:t>
      </w:r>
      <w:r>
        <w:rPr>
          <w:rFonts w:hint="eastAsia"/>
          <w:b/>
          <w:bCs/>
          <w:color w:val="auto"/>
          <w:sz w:val="32"/>
          <w:highlight w:val="none"/>
        </w:rPr>
        <w:t xml:space="preserve">年 0</w:t>
      </w:r>
      <w:r>
        <w:rPr>
          <w:rFonts w:hint="eastAsia"/>
          <w:b/>
          <w:bCs/>
          <w:color w:val="auto"/>
          <w:sz w:val="32"/>
          <w:highlight w:val="none"/>
          <w:lang w:val="en-US" w:eastAsia="zh-CN"/>
        </w:rPr>
        <w:t xml:space="preserve">2</w:t>
      </w:r>
      <w:r>
        <w:rPr>
          <w:rFonts w:hint="eastAsia"/>
          <w:b/>
          <w:bCs/>
          <w:color w:val="auto"/>
          <w:sz w:val="32"/>
          <w:highlight w:val="none"/>
        </w:rPr>
        <w:t xml:space="preserve">月</w:t>
      </w:r>
      <w:r>
        <w:rPr>
          <w:rFonts w:hint="eastAsia"/>
          <w:b/>
          <w:bCs/>
          <w:color w:val="auto"/>
          <w:sz w:val="32"/>
          <w:highlight w:val="none"/>
          <w:lang w:val="en-US" w:eastAsia="zh-CN"/>
        </w:rPr>
        <w:t xml:space="preserve">27</w:t>
      </w:r>
      <w:r>
        <w:rPr>
          <w:rFonts w:hint="eastAsia"/>
          <w:b/>
          <w:bCs/>
          <w:color w:val="auto"/>
          <w:sz w:val="32"/>
          <w:highlight w:val="none"/>
        </w:rPr>
        <w:t xml:space="preserve">日</w:t>
      </w:r>
      <w:r/>
    </w:p>
    <w:p>
      <w:pPr>
        <w:pStyle w:val="899"/>
        <w:ind w:firstLine="1263"/>
        <w:spacing w:line="240" w:lineRule="auto"/>
        <w:rPr>
          <w:b/>
          <w:bCs/>
          <w:color w:val="auto"/>
          <w:sz w:val="32"/>
          <w:highlight w:val="none"/>
        </w:rPr>
      </w:pPr>
      <w:r>
        <w:rPr>
          <w:b/>
          <w:bCs/>
          <w:color w:val="auto"/>
          <w:sz w:val="32"/>
          <w:highlight w:val="none"/>
        </w:rPr>
      </w:r>
      <w:r/>
    </w:p>
    <w:p>
      <w:pPr>
        <w:jc w:val="center"/>
        <w:rPr>
          <w:rFonts w:ascii="宋体" w:hAnsi="宋体"/>
          <w:b/>
          <w:bCs/>
          <w:color w:val="auto"/>
          <w:sz w:val="28"/>
          <w:szCs w:val="36"/>
          <w:highlight w:val="none"/>
        </w:rPr>
        <w:sectPr>
          <w:headerReference w:type="default" r:id="rId9"/>
          <w:footerReference w:type="even" r:id="rId10"/>
          <w:footnotePr/>
          <w:endnotePr/>
          <w:type w:val="nextPage"/>
          <w:pgSz w:w="11906" w:h="16838" w:orient="portrait"/>
          <w:pgMar w:top="1984" w:right="1587" w:bottom="1440" w:left="1587" w:header="851" w:footer="992" w:gutter="0"/>
          <w:cols w:num="1" w:sep="0" w:space="720" w:equalWidth="1"/>
          <w:docGrid w:linePitch="360"/>
        </w:sectPr>
      </w:pPr>
      <w:r>
        <w:rPr>
          <w:rFonts w:ascii="宋体" w:hAnsi="宋体"/>
          <w:b/>
          <w:bCs/>
          <w:color w:val="auto"/>
          <w:sz w:val="28"/>
          <w:szCs w:val="36"/>
          <w:highlight w:val="none"/>
        </w:rPr>
      </w:r>
      <w:r/>
    </w:p>
    <w:sdt>
      <w:sdtPr>
        <w15:appearance w15:val="boundingBox"/>
        <w:id w:val="147461913"/>
        <w:docPartObj>
          <w:docPartGallery w:val="Table of Contents"/>
          <w:docPartUnique w:val="true"/>
        </w:docPartObj>
        <w:rPr>
          <w:rFonts w:ascii="宋体" w:hAnsi="宋体" w:eastAsia="宋体"/>
          <w:color w:val="auto"/>
          <w:highlight w:val="none"/>
        </w:rPr>
      </w:sdtPr>
      <w:sdtContent>
        <w:p>
          <w:pPr>
            <w:jc w:val="center"/>
            <w:rPr>
              <w:color w:val="auto"/>
              <w:highlight w:val="none"/>
            </w:rPr>
          </w:pPr>
          <w:r>
            <w:rPr>
              <w:rFonts w:hint="eastAsia" w:ascii="黑体" w:hAnsi="黑体" w:eastAsia="黑体" w:cs="黑体"/>
              <w:color w:val="auto"/>
              <w:sz w:val="32"/>
              <w:szCs w:val="32"/>
              <w:highlight w:val="none"/>
            </w:rPr>
            <w:t xml:space="preserve">目  录</w:t>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TOC \o "1-2" \h \u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"_Toc30158"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第一章  征集公告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_Toc30158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"_Toc2135"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_Toc2135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"_Toc1192"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二、申请人的资格要求：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_Toc1192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"_Toc11874"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四、响应文件提交</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_Toc11874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"_Toc26081"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第二章 征集文件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_Toc26081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"_Toc12116"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一、参加征集活动的邀请</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_Toc12116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"_Toc6490"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二、供应商应当提交的资格材料</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_Toc6490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"_Toc1430"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三、资格审查方法和标准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_Toc1430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"_Toc2471"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四、采购需求以及最高限制单价</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_Toc2471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"_Toc3091"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_Toc3091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"_Toc24097"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_Toc24097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"_Toc3189"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（三）服务要求：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_Toc3189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"_Toc17076"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（四）质量标准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_Toc17076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"_Toc4145"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（五）最高限价</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_Toc4145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"_Toc31544"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五、政府采购政策要求以及政策执行措施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_Toc31544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"_Toc4890"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六、框架协议的期限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_Toc4890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"_Toc1603"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七、报价要求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_Toc1603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"_Toc27468"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八、确定第一阶段入围供应商的评审方法、评审标准、确定入围供应商的淘汰率或者入围供应商数量上限和响应文件无效情形 </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_Toc27468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"_Toc29656"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九、响应文件的编制要求，提交方式、提交截止时间和地点，开启方式、时间和地点，以及响应文件有效期 </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_Toc29656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"_Toc6573"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十、拟签订的框架协议文本和采购合同文本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_Toc6573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"_Toc30317"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十一、确定第二阶段成交供应商的方式 </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_Toc30317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"_Toc3940"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十二、采购资金的支付方式、时间和条件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_Toc3940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"_Toc10506"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十三、入围产品升级换代规则 </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_Toc10506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"_Toc6117"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十四、用户反馈和评价机制 </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_Toc6117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"_Toc7071"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十五、入围供应商的清退和补充规则 </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_Toc7071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"_Toc32443"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十</w:t>
          </w:r>
          <w:r>
            <w:rPr>
              <w:rFonts w:hint="eastAsia" w:ascii="黑体" w:hAnsi="黑体" w:eastAsia="黑体" w:cs="黑体"/>
              <w:color w:val="auto"/>
              <w:sz w:val="24"/>
              <w:szCs w:val="24"/>
              <w:highlight w:val="none"/>
              <w:shd w:val="clear" w:color="auto" w:fill="ffffff"/>
              <w:lang w:eastAsia="zh-CN"/>
            </w:rPr>
            <w:t xml:space="preserve">六</w:t>
          </w:r>
          <w:r>
            <w:rPr>
              <w:rFonts w:hint="eastAsia" w:ascii="黑体" w:hAnsi="黑体" w:eastAsia="黑体" w:cs="黑体"/>
              <w:color w:val="auto"/>
              <w:sz w:val="24"/>
              <w:szCs w:val="24"/>
              <w:highlight w:val="none"/>
              <w:shd w:val="clear" w:color="auto" w:fill="ffffff"/>
            </w:rPr>
            <w:t xml:space="preserve">、采购代理机构代理费用的收取标准和方式 </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_Toc32443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2"/>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"_Toc24010"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shd w:val="clear" w:color="auto" w:fill="ffffff"/>
            </w:rPr>
            <w:t xml:space="preserve">十</w:t>
          </w:r>
          <w:r>
            <w:rPr>
              <w:rFonts w:hint="eastAsia" w:ascii="黑体" w:hAnsi="黑体" w:eastAsia="黑体" w:cs="黑体"/>
              <w:color w:val="auto"/>
              <w:sz w:val="24"/>
              <w:szCs w:val="24"/>
              <w:highlight w:val="none"/>
              <w:shd w:val="clear" w:color="auto" w:fill="ffffff"/>
              <w:lang w:eastAsia="zh-CN"/>
            </w:rPr>
            <w:t xml:space="preserve">七</w:t>
          </w:r>
          <w:r>
            <w:rPr>
              <w:rFonts w:hint="eastAsia" w:ascii="黑体" w:hAnsi="黑体" w:eastAsia="黑体" w:cs="黑体"/>
              <w:color w:val="auto"/>
              <w:sz w:val="24"/>
              <w:szCs w:val="24"/>
              <w:highlight w:val="none"/>
              <w:shd w:val="clear" w:color="auto" w:fill="ffffff"/>
            </w:rPr>
            <w:t xml:space="preserve">、省级以上财政部门规定的其他事项。 </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_Toc24010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"_Toc21066"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（一）征集费用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_Toc21066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"_Toc22286"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（三）征集评审</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_Toc22286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"_Toc29120"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 （四）成交和合同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_Toc29120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"_Toc16604"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（五）注意事项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lang w:val="en-US" w:eastAsia="zh-CN"/>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lang w:val="en-US" w:eastAsia="zh-CN"/>
            </w:rPr>
            <w:t xml:space="preserve">4</w:t>
          </w:r>
          <w:r/>
        </w:p>
        <w:p>
          <w:pPr>
            <w:pStyle w:val="738"/>
            <w:spacing w:line="360" w:lineRule="auto"/>
            <w:tabs>
              <w:tab w:val="right" w:pos="8306" w:leader="dot"/>
            </w:tabs>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"_Toc12513"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附件1  框架协议文本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_Toc12513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lang w:val="en-US" w:eastAsia="zh-CN"/>
            </w:rPr>
            <w:t xml:space="preserve">5</w:t>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"_Toc22518"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附件2  合同范本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_Toc22518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8"/>
            <w:spacing w:line="360" w:lineRule="auto"/>
            <w:tabs>
              <w:tab w:val="right" w:pos="8306"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"_Toc4033"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附件3  响应文件格式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_Toc4033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spacing w:line="360" w:lineRule="auto"/>
            <w:rPr>
              <w:rFonts w:ascii="黑体" w:hAnsi="黑体" w:eastAsia="黑体" w:cs="黑体"/>
              <w:color w:val="auto"/>
              <w:sz w:val="24"/>
              <w:highlight w:val="none"/>
            </w:rPr>
          </w:pPr>
          <w:r>
            <w:rPr>
              <w:rFonts w:hint="eastAsia" w:ascii="黑体" w:hAnsi="黑体" w:eastAsia="黑体" w:cs="黑体"/>
              <w:color w:val="auto"/>
              <w:sz w:val="24"/>
              <w:szCs w:val="24"/>
              <w:highlight w:val="none"/>
            </w:rPr>
            <w:fldChar w:fldCharType="end"/>
          </w:r>
          <w:r/>
        </w:p>
      </w:sdtContent>
    </w:sdt>
    <w:p>
      <w:pPr>
        <w:pStyle w:val="740"/>
        <w:ind w:firstLine="480"/>
        <w:jc w:val="both"/>
        <w:spacing w:beforeAutospacing="0" w:afterAutospacing="0" w:line="360" w:lineRule="auto"/>
        <w:widowControl/>
        <w:rPr>
          <w:rFonts w:ascii="黑体" w:hAnsi="黑体" w:eastAsia="黑体" w:cs="黑体"/>
          <w:color w:val="auto"/>
          <w:highlight w:val="none"/>
          <w:shd w:val="clear" w:color="auto" w:fill="ffffff"/>
        </w:rPr>
        <w:outlineLvl w:val="0"/>
      </w:pPr>
      <w:r>
        <w:rPr>
          <w:rFonts w:ascii="黑体" w:hAnsi="黑体" w:eastAsia="黑体" w:cs="黑体"/>
          <w:color w:val="auto"/>
          <w:highlight w:val="none"/>
          <w:shd w:val="clear" w:color="auto" w:fill="ffffff"/>
        </w:rPr>
      </w:r>
      <w:r/>
    </w:p>
    <w:p>
      <w:r/>
      <w:r/>
    </w:p>
    <w:p>
      <w:r/>
      <w:r/>
    </w:p>
    <w:p>
      <w:r/>
      <w:r/>
    </w:p>
    <w:p>
      <w:pPr>
        <w:jc w:val="left"/>
        <w:tabs>
          <w:tab w:val="left" w:pos="2256" w:leader="none"/>
        </w:tabs>
        <w:rPr>
          <w:rFonts w:hint="eastAsia" w:eastAsiaTheme="minorEastAsia"/>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lang w:eastAsia="zh-CN"/>
        </w:rPr>
        <w:tab/>
      </w:r>
      <w:r/>
    </w:p>
    <w:p>
      <w:pPr>
        <w:jc w:val="center"/>
        <w:rPr>
          <w:rFonts w:ascii="黑体" w:hAnsi="黑体" w:eastAsia="黑体" w:cs="黑体"/>
          <w:color w:val="auto"/>
          <w:sz w:val="52"/>
          <w:szCs w:val="52"/>
          <w:highlight w:val="none"/>
          <w:shd w:val="clear" w:color="auto" w:fill="ffffff"/>
        </w:rPr>
        <w:outlineLvl w:val="0"/>
      </w:pPr>
      <w:r/>
      <w:bookmarkStart w:id="0" w:name="_Toc30158"/>
      <w:r>
        <w:rPr>
          <w:rFonts w:hint="eastAsia" w:ascii="黑体" w:hAnsi="黑体" w:eastAsia="黑体" w:cs="黑体"/>
          <w:color w:val="auto"/>
          <w:sz w:val="52"/>
          <w:szCs w:val="52"/>
          <w:highlight w:val="none"/>
          <w:shd w:val="clear" w:color="auto" w:fill="ffffff"/>
        </w:rPr>
        <w:t xml:space="preserve">第一章  征集公告</w:t>
      </w:r>
      <w:bookmarkEnd w:id="0"/>
      <w:r/>
      <w:r/>
    </w:p>
    <w:p>
      <w:pPr>
        <w:tabs>
          <w:tab w:val="left" w:pos="2070" w:leader="none"/>
          <w:tab w:val="center" w:pos="4365"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pStyle w:val="725"/>
        <w:ind w:firstLine="560"/>
        <w:spacing w:after="0" w:line="500" w:lineRule="exact"/>
        <w:rPr>
          <w:rFonts w:ascii="黑体" w:hAnsi="黑体" w:eastAsia="黑体" w:cs="Times New Roman"/>
          <w:color w:val="auto"/>
          <w:sz w:val="28"/>
          <w:szCs w:val="28"/>
          <w:highlight w:val="none"/>
        </w:rPr>
        <w:outlineLvl w:val="1"/>
      </w:pPr>
      <w:r/>
      <w:bookmarkStart w:id="1" w:name="_Toc2135"/>
      <w:r>
        <w:rPr>
          <w:rFonts w:hint="eastAsia" w:ascii="黑体" w:hAnsi="黑体" w:eastAsia="黑体" w:cs="Times New Roman"/>
          <w:color w:val="auto"/>
          <w:sz w:val="28"/>
          <w:szCs w:val="28"/>
          <w:highlight w:val="none"/>
        </w:rPr>
        <w:t xml:space="preserve">一、项目基本情况</w:t>
      </w:r>
      <w:bookmarkEnd w:id="1"/>
      <w:r/>
      <w:r/>
    </w:p>
    <w:p>
      <w:pPr>
        <w:pStyle w:val="898"/>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rPr>
        <w:t xml:space="preserve">（一）项目名称：</w:t>
      </w:r>
      <w:r>
        <w:rPr>
          <w:rFonts w:hint="eastAsia" w:ascii="仿宋" w:hAnsi="仿宋" w:eastAsia="仿宋" w:cs="Times New Roman"/>
          <w:color w:val="auto"/>
          <w:sz w:val="28"/>
          <w:szCs w:val="28"/>
          <w:highlight w:val="none"/>
          <w:lang w:eastAsia="zh-CN"/>
        </w:rPr>
        <w:t xml:space="preserve">2025年食品、食用农产品抽检项目</w:t>
      </w:r>
      <w:r/>
    </w:p>
    <w:p>
      <w:pPr>
        <w:pStyle w:val="898"/>
        <w:ind w:firstLine="560"/>
        <w:keepLines w:val="0"/>
        <w:keepNext w:val="0"/>
        <w:pageBreakBefore w:val="0"/>
        <w:spacing w:line="480" w:lineRule="exact"/>
        <w:widowControl w:val="off"/>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rPr>
        <w:t xml:space="preserve">（二）项目编号：JSZC-320682-JSDZ-K2025-0015</w:t>
      </w:r>
      <w:r/>
    </w:p>
    <w:p>
      <w:pPr>
        <w:pStyle w:val="898"/>
        <w:ind w:firstLine="560"/>
        <w:keepLines w:val="0"/>
        <w:keepNext w:val="0"/>
        <w:pageBreakBefore w:val="0"/>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（三）预算金额：人民币</w:t>
      </w:r>
      <w:r>
        <w:rPr>
          <w:rFonts w:hint="eastAsia" w:ascii="仿宋" w:hAnsi="仿宋" w:eastAsia="仿宋" w:cs="Times New Roman"/>
          <w:color w:val="auto"/>
          <w:sz w:val="28"/>
          <w:szCs w:val="28"/>
          <w:highlight w:val="none"/>
          <w:lang w:val="en-US" w:eastAsia="zh-CN"/>
        </w:rPr>
        <w:t xml:space="preserve">180</w:t>
      </w:r>
      <w:r>
        <w:rPr>
          <w:rFonts w:hint="eastAsia" w:ascii="仿宋" w:hAnsi="仿宋" w:eastAsia="仿宋" w:cs="Times New Roman"/>
          <w:color w:val="auto"/>
          <w:sz w:val="28"/>
          <w:szCs w:val="28"/>
          <w:highlight w:val="none"/>
        </w:rPr>
        <w:t xml:space="preserve">万元</w:t>
      </w:r>
      <w:r/>
    </w:p>
    <w:p>
      <w:pPr>
        <w:pStyle w:val="720"/>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（四）最高限价：</w:t>
      </w:r>
      <w:r>
        <w:rPr>
          <w:rFonts w:hint="eastAsia" w:ascii="仿宋" w:hAnsi="仿宋" w:eastAsia="仿宋" w:cs="Times New Roman"/>
          <w:color w:val="auto"/>
          <w:sz w:val="28"/>
          <w:szCs w:val="28"/>
          <w:highlight w:val="none"/>
          <w:lang w:val="en-US" w:eastAsia="zh-CN"/>
        </w:rPr>
        <w:t xml:space="preserve">135万元，</w:t>
      </w:r>
      <w:r>
        <w:rPr>
          <w:rFonts w:hint="eastAsia" w:ascii="仿宋" w:hAnsi="仿宋" w:eastAsia="仿宋" w:cs="Times New Roman"/>
          <w:color w:val="auto"/>
          <w:sz w:val="28"/>
          <w:szCs w:val="28"/>
          <w:highlight w:val="none"/>
        </w:rPr>
        <w:t xml:space="preserve">本项目以单价报价，食品抽检最高单价限价为人民币450元/批次，报价超过最高单价限价的为无效响应。</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（五）</w:t>
      </w:r>
      <w:r>
        <w:rPr>
          <w:rFonts w:hint="eastAsia" w:ascii="仿宋" w:hAnsi="仿宋" w:eastAsia="仿宋" w:cs="仿宋"/>
          <w:color w:val="auto"/>
          <w:sz w:val="28"/>
          <w:szCs w:val="28"/>
          <w:highlight w:val="none"/>
        </w:rPr>
        <w:t xml:space="preserve">采购需求：</w:t>
      </w:r>
      <w:bookmarkStart w:id="2" w:name="_Toc28359003"/>
      <w:r/>
      <w:bookmarkStart w:id="3" w:name="_Toc35393791"/>
      <w:r/>
      <w:bookmarkStart w:id="4" w:name="_Toc28359080"/>
      <w:r/>
      <w:bookmarkStart w:id="5" w:name="_Toc35393622"/>
      <w:r>
        <w:rPr>
          <w:rFonts w:hint="eastAsia" w:ascii="仿宋" w:hAnsi="仿宋" w:eastAsia="仿宋" w:cs="仿宋"/>
          <w:color w:val="auto"/>
          <w:sz w:val="28"/>
          <w:szCs w:val="28"/>
          <w:highlight w:val="none"/>
        </w:rPr>
        <w:t xml:space="preserve">根据南通市市场监督管理局要求，为确保完成全年任务，本项目用于2025年食品、食用农产品抽检，共计</w:t>
      </w:r>
      <w:r>
        <w:rPr>
          <w:rFonts w:hint="eastAsia" w:ascii="仿宋" w:hAnsi="仿宋" w:eastAsia="仿宋" w:cs="仿宋"/>
          <w:color w:val="auto"/>
          <w:sz w:val="28"/>
          <w:szCs w:val="28"/>
          <w:highlight w:val="none"/>
          <w:lang w:val="en-US" w:eastAsia="zh-CN"/>
        </w:rPr>
        <w:t xml:space="preserve">3000</w:t>
      </w:r>
      <w:r>
        <w:rPr>
          <w:rFonts w:hint="eastAsia" w:ascii="仿宋" w:hAnsi="仿宋" w:eastAsia="仿宋" w:cs="仿宋"/>
          <w:color w:val="auto"/>
          <w:sz w:val="28"/>
          <w:szCs w:val="28"/>
          <w:highlight w:val="none"/>
        </w:rPr>
        <w:t xml:space="preserve">批次，现向社会公开征集5家供应商。</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（六）合同履行期限：自合同签订后至2025年11月30日止，具体时间应结合工作进展，时间以采购人通知为准。</w:t>
      </w:r>
      <w:r/>
    </w:p>
    <w:p>
      <w:pPr>
        <w:pStyle w:val="898"/>
        <w:ind w:firstLine="56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（七）服务地点：如皋市</w:t>
      </w:r>
      <w:r/>
    </w:p>
    <w:p>
      <w:pPr>
        <w:pStyle w:val="898"/>
        <w:ind w:firstLine="56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（八）本项目不接受联合体。 </w:t>
      </w:r>
      <w:r/>
    </w:p>
    <w:p>
      <w:pPr>
        <w:pStyle w:val="898"/>
        <w:ind w:firstLine="560"/>
        <w:spacing w:line="480" w:lineRule="exact"/>
        <w:rPr>
          <w:rFonts w:hint="eastAsia" w:ascii="仿宋" w:hAnsi="仿宋" w:eastAsia="仿宋"/>
          <w:color w:val="auto"/>
          <w:sz w:val="28"/>
          <w:szCs w:val="28"/>
          <w:highlight w:val="none"/>
        </w:rPr>
      </w:pPr>
      <w:r>
        <w:rPr>
          <w:rFonts w:hint="eastAsia" w:ascii="仿宋" w:hAnsi="仿宋" w:eastAsia="仿宋" w:cs="仿宋"/>
          <w:bCs/>
          <w:color w:val="auto"/>
          <w:sz w:val="28"/>
          <w:szCs w:val="28"/>
          <w:highlight w:val="none"/>
        </w:rPr>
        <w:t xml:space="preserve">（九）</w:t>
      </w:r>
      <w:r>
        <w:rPr>
          <w:rFonts w:hint="eastAsia" w:ascii="仿宋" w:hAnsi="仿宋" w:eastAsia="仿宋"/>
          <w:color w:val="auto"/>
          <w:sz w:val="28"/>
          <w:szCs w:val="28"/>
          <w:highlight w:val="none"/>
        </w:rPr>
        <w:t xml:space="preserve">本项目是否专门面向中小企业采购：</w:t>
      </w:r>
      <w:r>
        <w:rPr>
          <w:rFonts w:hint="eastAsia" w:ascii="仿宋" w:hAnsi="仿宋" w:eastAsia="仿宋"/>
          <w:b w:val="0"/>
          <w:bCs w:val="0"/>
          <w:i w:val="0"/>
          <w:iCs/>
          <w:color w:val="auto"/>
          <w:sz w:val="28"/>
          <w:szCs w:val="28"/>
          <w:highlight w:val="none"/>
        </w:rPr>
        <w:t xml:space="preserve">是</w:t>
      </w:r>
      <w:r>
        <w:rPr>
          <w:rFonts w:hint="eastAsia" w:ascii="仿宋" w:hAnsi="仿宋" w:eastAsia="仿宋"/>
          <w:color w:val="auto"/>
          <w:sz w:val="28"/>
          <w:szCs w:val="28"/>
          <w:highlight w:val="none"/>
        </w:rPr>
        <w:t xml:space="preserve">。</w:t>
      </w:r>
      <w:r/>
    </w:p>
    <w:p>
      <w:pPr>
        <w:pStyle w:val="898"/>
        <w:ind w:firstLine="56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十）项目类型：服务。</w:t>
      </w:r>
      <w:r/>
    </w:p>
    <w:p>
      <w:pPr>
        <w:pStyle w:val="898"/>
        <w:ind w:firstLine="560"/>
        <w:spacing w:line="480" w:lineRule="exact"/>
        <w:rPr>
          <w:rFonts w:hint="eastAsia" w:ascii="仿宋" w:hAnsi="仿宋" w:eastAsia="仿宋"/>
          <w:color w:val="auto"/>
          <w:sz w:val="28"/>
          <w:szCs w:val="28"/>
          <w:highlight w:val="none"/>
        </w:rPr>
      </w:pPr>
      <w:r>
        <w:rPr>
          <w:rFonts w:hint="eastAsia" w:ascii="仿宋" w:hAnsi="仿宋" w:eastAsia="仿宋" w:cs="仿宋"/>
          <w:bCs/>
          <w:color w:val="auto"/>
          <w:sz w:val="28"/>
          <w:szCs w:val="28"/>
          <w:highlight w:val="none"/>
          <w:lang w:val="en-US" w:eastAsia="zh-CN"/>
        </w:rPr>
        <w:t xml:space="preserve">（十一）项目所属行业：其他未列明行业</w:t>
      </w:r>
      <w:r>
        <w:rPr>
          <w:rFonts w:hint="eastAsia" w:ascii="仿宋" w:hAnsi="仿宋" w:eastAsia="仿宋" w:cs="仿宋"/>
          <w:bCs/>
          <w:color w:val="auto"/>
          <w:sz w:val="28"/>
          <w:szCs w:val="28"/>
          <w:highlight w:val="none"/>
          <w:lang w:eastAsia="zh-CN"/>
        </w:rPr>
        <w:t xml:space="preserve">。</w:t>
      </w:r>
      <w:bookmarkEnd w:id="2"/>
      <w:r/>
      <w:bookmarkEnd w:id="3"/>
      <w:r/>
      <w:bookmarkEnd w:id="4"/>
      <w:r/>
      <w:bookmarkEnd w:id="5"/>
      <w:r/>
      <w:r/>
    </w:p>
    <w:p>
      <w:pPr>
        <w:pStyle w:val="725"/>
        <w:ind w:firstLine="560"/>
        <w:spacing w:after="0" w:line="500" w:lineRule="exact"/>
        <w:rPr>
          <w:rFonts w:ascii="黑体" w:hAnsi="黑体" w:eastAsia="黑体"/>
          <w:color w:val="auto"/>
          <w:sz w:val="28"/>
          <w:szCs w:val="28"/>
          <w:highlight w:val="none"/>
        </w:rPr>
        <w:outlineLvl w:val="1"/>
      </w:pPr>
      <w:r/>
      <w:bookmarkStart w:id="6" w:name="_Toc1192"/>
      <w:r/>
      <w:bookmarkStart w:id="7" w:name="_Toc19772"/>
      <w:r/>
      <w:bookmarkStart w:id="8" w:name="_Toc28359004"/>
      <w:r/>
      <w:bookmarkStart w:id="9" w:name="_Toc28359081"/>
      <w:r>
        <w:rPr>
          <w:rFonts w:hint="eastAsia" w:ascii="黑体" w:hAnsi="黑体" w:eastAsia="黑体"/>
          <w:color w:val="auto"/>
          <w:sz w:val="28"/>
          <w:szCs w:val="28"/>
          <w:highlight w:val="none"/>
        </w:rPr>
        <w:t xml:space="preserve">二、供应商的资格要求：</w:t>
      </w:r>
      <w:bookmarkEnd w:id="6"/>
      <w:r/>
      <w:bookmarkEnd w:id="7"/>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（一）《中华人民共和国政府采购法》第二十二条规定的条件：</w:t>
      </w:r>
      <w:r/>
    </w:p>
    <w:p>
      <w:pPr>
        <w:pStyle w:val="740"/>
        <w:ind w:firstLine="560"/>
        <w:spacing w:beforeAutospacing="0" w:afterAutospacing="0" w:line="50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1.具有独立承担民事责任的能力;</w:t>
      </w:r>
      <w:r/>
    </w:p>
    <w:p>
      <w:pPr>
        <w:pStyle w:val="740"/>
        <w:ind w:firstLine="560"/>
        <w:spacing w:beforeAutospacing="0" w:afterAutospacing="0" w:line="50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2.具有良好的商业信誉和健全的财务会计制度;</w:t>
      </w:r>
      <w:r/>
    </w:p>
    <w:p>
      <w:pPr>
        <w:pStyle w:val="740"/>
        <w:ind w:firstLine="560"/>
        <w:spacing w:beforeAutospacing="0" w:afterAutospacing="0" w:line="50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3.具有履行合同所必需的设备和专业技术能力;</w:t>
      </w:r>
      <w:r/>
    </w:p>
    <w:p>
      <w:pPr>
        <w:pStyle w:val="740"/>
        <w:ind w:firstLine="560"/>
        <w:spacing w:beforeAutospacing="0" w:afterAutospacing="0" w:line="50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4.有依法缴纳税收和社会保障资金的良好记录;</w:t>
      </w:r>
      <w:r/>
    </w:p>
    <w:p>
      <w:pPr>
        <w:pStyle w:val="740"/>
        <w:ind w:firstLine="560"/>
        <w:spacing w:beforeAutospacing="0" w:afterAutospacing="0" w:line="50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5.参加政府采购活动前三年内，在经营活动中没有重大违法记录;</w:t>
      </w:r>
      <w:r/>
    </w:p>
    <w:p>
      <w:pPr>
        <w:pStyle w:val="740"/>
        <w:ind w:firstLine="560"/>
        <w:spacing w:beforeAutospacing="0" w:afterAutospacing="0" w:line="50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6.法律、行政法规规定的其他条件。</w:t>
      </w:r>
      <w:r/>
    </w:p>
    <w:p>
      <w:pPr>
        <w:ind w:firstLine="560"/>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pStyle w:val="740"/>
        <w:ind w:firstLine="482"/>
        <w:spacing w:before="0" w:beforeAutospacing="0" w:after="0" w:afterAutospacing="0" w:line="500" w:lineRule="exact"/>
        <w:shd w:val="clear" w:color="auto"/>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rPr>
        <w:t xml:space="preserve">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40"/>
        <w:ind w:firstLine="482"/>
        <w:spacing w:before="0" w:beforeAutospacing="0" w:after="0" w:afterAutospacing="0" w:line="500" w:lineRule="exact"/>
        <w:shd w:val="clear" w:color="auto"/>
        <w:rPr>
          <w:rFonts w:hint="eastAsia" w:ascii="仿宋" w:hAnsi="仿宋" w:eastAsia="仿宋"/>
          <w:iCs/>
          <w:sz w:val="28"/>
          <w:szCs w:val="28"/>
        </w:rPr>
      </w:pPr>
      <w:r>
        <w:rPr>
          <w:rFonts w:hint="eastAsia" w:ascii="仿宋" w:hAnsi="仿宋" w:eastAsia="仿宋" w:cs="Times New Roman"/>
          <w:sz w:val="28"/>
          <w:szCs w:val="28"/>
          <w:lang w:val="en-US" w:eastAsia="zh-CN"/>
        </w:rPr>
        <w:t xml:space="preserve">2.</w:t>
      </w:r>
      <w:r>
        <w:rPr>
          <w:rFonts w:hint="eastAsia" w:ascii="仿宋" w:hAnsi="仿宋" w:eastAsia="仿宋"/>
          <w:iCs/>
          <w:sz w:val="28"/>
          <w:szCs w:val="28"/>
        </w:rPr>
        <w:t xml:space="preserve">响应</w:t>
      </w:r>
      <w:r>
        <w:rPr>
          <w:rFonts w:hint="eastAsia" w:ascii="仿宋" w:hAnsi="仿宋" w:eastAsia="仿宋"/>
          <w:iCs/>
          <w:sz w:val="28"/>
          <w:szCs w:val="28"/>
        </w:rPr>
        <w:t xml:space="preserve">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740"/>
        <w:ind w:firstLine="560"/>
        <w:pageBreakBefore w:val="0"/>
        <w:spacing w:beforeAutospacing="0" w:afterAutospacing="0" w:line="520" w:lineRule="exact"/>
        <w:shd w:val="clear" w:color="auto"/>
        <w:rPr>
          <w:rFonts w:hint="eastAsia" w:ascii="仿宋" w:hAnsi="仿宋" w:eastAsia="仿宋" w:cs="仿宋"/>
          <w:color w:val="auto"/>
          <w:sz w:val="28"/>
          <w:szCs w:val="28"/>
          <w:highlight w:val="none"/>
        </w:rPr>
      </w:pPr>
      <w:r>
        <w:rPr>
          <w:rFonts w:hint="eastAsia" w:ascii="仿宋" w:hAnsi="仿宋" w:eastAsia="仿宋"/>
          <w:iCs/>
          <w:sz w:val="28"/>
          <w:szCs w:val="28"/>
          <w:lang w:val="en-US" w:eastAsia="zh-CN"/>
        </w:rPr>
        <w:t xml:space="preserve">3.</w:t>
      </w:r>
      <w:r>
        <w:rPr>
          <w:rFonts w:hint="eastAsia" w:ascii="仿宋" w:hAnsi="仿宋" w:eastAsia="仿宋" w:cs="Times New Roman"/>
          <w:iCs/>
          <w:sz w:val="28"/>
          <w:szCs w:val="28"/>
        </w:rPr>
        <w:t xml:space="preserve">响应</w:t>
      </w:r>
      <w:r>
        <w:rPr>
          <w:rFonts w:hint="eastAsia" w:ascii="仿宋" w:hAnsi="仿宋" w:eastAsia="仿宋" w:cs="Times New Roman"/>
          <w:iCs/>
          <w:sz w:val="28"/>
          <w:szCs w:val="28"/>
        </w:rPr>
        <w:t xml:space="preserve">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40"/>
        <w:ind w:firstLine="562"/>
        <w:spacing w:beforeAutospacing="0" w:afterAutospacing="0" w:line="500" w:lineRule="exact"/>
        <w:shd w:val="clear" w:color="auto"/>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（三）本项目的特定资格要求</w:t>
      </w:r>
      <w:r>
        <w:rPr>
          <w:rFonts w:hint="eastAsia" w:ascii="仿宋" w:hAnsi="仿宋" w:eastAsia="仿宋"/>
          <w:color w:val="auto"/>
          <w:sz w:val="28"/>
          <w:szCs w:val="28"/>
          <w:highlight w:val="none"/>
        </w:rPr>
        <w:t xml:space="preserve">：</w:t>
      </w:r>
      <w:r/>
    </w:p>
    <w:p>
      <w:pPr>
        <w:ind w:firstLine="560"/>
        <w:keepLines w:val="0"/>
        <w:keepNext w:val="0"/>
        <w:pageBreakBefore w:val="0"/>
        <w:spacing w:line="480" w:lineRule="exact"/>
        <w:shd w:val="clear" w:color="auto"/>
        <w:widowControl/>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rPr>
        <w:t xml:space="preserve">.响应供应商须提供中小企业声明函，根据《中小企业划型标准规定》（工信部联企业〔2011〕300 号）文件规定，本项目属于</w:t>
      </w:r>
      <w:r>
        <w:rPr>
          <w:rFonts w:hint="eastAsia" w:ascii="仿宋" w:hAnsi="仿宋" w:eastAsia="仿宋" w:cs="Times New Roman"/>
          <w:color w:val="auto"/>
          <w:sz w:val="28"/>
          <w:szCs w:val="28"/>
          <w:highlight w:val="none"/>
          <w:u w:val="single"/>
        </w:rPr>
        <w:t xml:space="preserve"> </w:t>
      </w:r>
      <w:r>
        <w:rPr>
          <w:rFonts w:hint="eastAsia" w:ascii="仿宋" w:hAnsi="仿宋" w:eastAsia="仿宋" w:cs="Times New Roman"/>
          <w:color w:val="auto"/>
          <w:sz w:val="28"/>
          <w:szCs w:val="28"/>
          <w:highlight w:val="none"/>
          <w:u w:val="single"/>
          <w:lang w:val="en-US" w:eastAsia="zh-CN"/>
        </w:rPr>
        <w:t xml:space="preserve">其他未列明行业</w:t>
      </w:r>
      <w:r>
        <w:rPr>
          <w:rFonts w:hint="eastAsia" w:ascii="仿宋" w:hAnsi="仿宋" w:eastAsia="仿宋" w:cs="Times New Roman"/>
          <w:color w:val="auto"/>
          <w:sz w:val="28"/>
          <w:szCs w:val="28"/>
          <w:highlight w:val="none"/>
        </w:rPr>
        <w:t xml:space="preserve">。</w:t>
      </w:r>
      <w:r/>
    </w:p>
    <w:p>
      <w:pPr>
        <w:pStyle w:val="740"/>
        <w:ind w:firstLine="567"/>
        <w:spacing w:before="0" w:beforeAutospacing="0" w:after="0" w:afterAutospacing="0" w:line="500" w:lineRule="exact"/>
        <w:shd w:val="clear" w:color="auto"/>
        <w:rPr>
          <w:rFonts w:hint="eastAsia" w:ascii="仿宋" w:hAnsi="仿宋" w:eastAsia="仿宋" w:cs="仿宋"/>
          <w:color w:val="auto"/>
          <w:sz w:val="28"/>
          <w:szCs w:val="28"/>
          <w:highlight w:val="none"/>
          <w:lang w:eastAsia="zh-CN"/>
        </w:rPr>
      </w:pPr>
      <w:r>
        <w:rPr>
          <w:rFonts w:hint="eastAsia" w:ascii="仿宋" w:hAnsi="仿宋" w:eastAsia="仿宋" w:cs="仿宋"/>
          <w:iCs/>
          <w:color w:val="auto"/>
          <w:sz w:val="28"/>
          <w:szCs w:val="28"/>
          <w:lang w:val="en-US" w:eastAsia="zh-CN"/>
        </w:rPr>
        <w:t xml:space="preserve">2.</w:t>
      </w:r>
      <w:r>
        <w:rPr>
          <w:rFonts w:hint="eastAsia" w:ascii="仿宋" w:hAnsi="仿宋" w:eastAsia="仿宋"/>
          <w:sz w:val="28"/>
          <w:szCs w:val="28"/>
        </w:rPr>
        <w:t xml:space="preserve">供应商的法定代表人参加框架协议采购活动的，须在响应文件中提供法定代表人身份证明和身份证复印件；委托代理人参加招标活动的，还须在响应文件中提供法定代表人的授权委托书。代理人须为响应供应商的正式员工并为本项目负责人，提供2024年11月1日-2025年1月31日（连续）供应商为其缴纳社保的证明；新成立企业距截止日期不足30日的，可不提供缴纳社保的证明（以新办企业营业执照发放日期为准）。</w:t>
      </w:r>
      <w:r/>
    </w:p>
    <w:p>
      <w:pPr>
        <w:pStyle w:val="740"/>
        <w:ind w:firstLine="567"/>
        <w:pageBreakBefore w:val="0"/>
        <w:spacing w:beforeAutospacing="0" w:afterAutospacing="0" w:line="520" w:lineRule="exact"/>
        <w:shd w:val="clear" w:color="auto"/>
      </w:pPr>
      <w:r/>
      <w:r/>
    </w:p>
    <w:p>
      <w:pPr>
        <w:ind w:firstLine="560"/>
        <w:jc w:val="left"/>
        <w:pageBreakBefore w:val="0"/>
        <w:spacing w:line="520" w:lineRule="exact"/>
        <w:shd w:val="clear" w:color="auto"/>
        <w:widowControl/>
        <w:rPr>
          <w:rFonts w:hint="eastAsia" w:ascii="仿宋" w:hAnsi="仿宋" w:eastAsia="仿宋" w:cs="Times New Roman"/>
          <w:sz w:val="28"/>
          <w:szCs w:val="28"/>
        </w:rPr>
      </w:pPr>
      <w:r/>
      <w:bookmarkStart w:id="10" w:name="_Toc35393792"/>
      <w:r/>
      <w:bookmarkStart w:id="11" w:name="_Toc35393623"/>
      <w:r>
        <w:rPr>
          <w:rFonts w:hint="eastAsia" w:ascii="仿宋" w:hAnsi="仿宋" w:eastAsia="仿宋" w:cs="仿宋"/>
          <w:color w:val="auto"/>
          <w:sz w:val="28"/>
          <w:szCs w:val="28"/>
          <w:highlight w:val="none"/>
        </w:rPr>
        <w:t xml:space="preserve">（四）</w:t>
      </w:r>
      <w:r>
        <w:rPr>
          <w:rFonts w:hint="eastAsia" w:ascii="仿宋" w:hAnsi="仿宋" w:eastAsia="仿宋" w:cs="Times New Roman"/>
          <w:sz w:val="28"/>
          <w:szCs w:val="28"/>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pStyle w:val="740"/>
        <w:ind w:firstLine="560"/>
        <w:pageBreakBefore w:val="0"/>
        <w:spacing w:beforeAutospacing="0" w:afterAutospacing="0" w:line="52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（五）未被“信用中国</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”、“中国政府采购网</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”网站列入失信被执行人或重大税收违法案件当事人名单或政府采购严重失信行为记录名单，查询结果以评审过程中现场网络截图为准。</w:t>
      </w:r>
      <w:r/>
    </w:p>
    <w:p>
      <w:pPr>
        <w:pStyle w:val="898"/>
        <w:ind w:firstLine="562"/>
        <w:spacing w:line="480" w:lineRule="exact"/>
        <w:shd w:val="clear" w:color="auto"/>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三、</w:t>
      </w:r>
      <w:bookmarkEnd w:id="8"/>
      <w:r/>
      <w:bookmarkEnd w:id="9"/>
      <w:r/>
      <w:bookmarkEnd w:id="10"/>
      <w:r/>
      <w:bookmarkEnd w:id="11"/>
      <w:r>
        <w:rPr>
          <w:rFonts w:hint="eastAsia" w:ascii="黑体" w:hAnsi="黑体" w:eastAsia="黑体" w:cs="黑体"/>
          <w:b/>
          <w:bCs/>
          <w:color w:val="auto"/>
          <w:sz w:val="28"/>
          <w:szCs w:val="28"/>
          <w:highlight w:val="none"/>
        </w:rPr>
        <w:t xml:space="preserve">获取征集文件的时间、地点、方式</w:t>
      </w:r>
      <w:r/>
    </w:p>
    <w:p>
      <w:pPr>
        <w:ind w:firstLine="560"/>
        <w:pageBreakBefore w:val="0"/>
        <w:spacing w:line="520" w:lineRule="exact"/>
        <w:shd w:val="clear" w:color="auto"/>
        <w:rPr>
          <w:rFonts w:hint="eastAsia" w:ascii="仿宋" w:hAnsi="仿宋" w:eastAsia="仿宋" w:cs="仿宋"/>
          <w:color w:val="auto"/>
          <w:sz w:val="28"/>
          <w:szCs w:val="28"/>
          <w:highlight w:val="none"/>
          <w:lang w:val="en-US" w:eastAsia="zh-CN"/>
        </w:rPr>
      </w:pPr>
      <w:r/>
      <w:bookmarkStart w:id="12" w:name="_Toc11874"/>
      <w:r/>
      <w:bookmarkStart w:id="13" w:name="_Toc9499"/>
      <w:r/>
      <w:bookmarkStart w:id="14" w:name="_Toc35393794"/>
      <w:r/>
      <w:bookmarkStart w:id="15" w:name="_Toc35393625"/>
      <w:r/>
      <w:bookmarkStart w:id="16" w:name="_Toc28359084"/>
      <w:r/>
      <w:bookmarkStart w:id="17" w:name="_Toc28359007"/>
      <w:r>
        <w:rPr>
          <w:rFonts w:hint="eastAsia" w:ascii="仿宋" w:hAnsi="仿宋" w:eastAsia="仿宋" w:cs="仿宋"/>
          <w:color w:val="auto"/>
          <w:sz w:val="28"/>
          <w:szCs w:val="28"/>
          <w:highlight w:val="none"/>
        </w:rPr>
        <w:t xml:space="preserve">（一）时间：</w:t>
      </w:r>
      <w:r>
        <w:rPr>
          <w:rFonts w:hint="eastAsia" w:ascii="仿宋" w:hAnsi="仿宋" w:eastAsia="仿宋" w:cs="仿宋"/>
          <w:color w:val="auto"/>
          <w:sz w:val="28"/>
          <w:szCs w:val="28"/>
          <w:highlight w:val="none"/>
          <w:lang w:val="en-US" w:eastAsia="zh-CN"/>
        </w:rPr>
        <w:t xml:space="preserve">自</w:t>
      </w:r>
      <w:r>
        <w:rPr>
          <w:rFonts w:hint="eastAsia" w:ascii="仿宋" w:hAnsi="仿宋" w:eastAsia="仿宋" w:cs="仿宋"/>
          <w:color w:val="auto"/>
          <w:sz w:val="28"/>
          <w:szCs w:val="28"/>
        </w:rPr>
        <w:t xml:space="preserve">本公告发布</w:t>
      </w:r>
      <w:r>
        <w:rPr>
          <w:rFonts w:hint="eastAsia" w:ascii="仿宋" w:hAnsi="仿宋" w:eastAsia="仿宋" w:cs="仿宋"/>
          <w:color w:val="auto"/>
          <w:sz w:val="28"/>
          <w:szCs w:val="28"/>
          <w:highlight w:val="none"/>
        </w:rPr>
        <w:t xml:space="preserve">之日起</w:t>
      </w:r>
      <w:r>
        <w:rPr>
          <w:rFonts w:hint="eastAsia" w:ascii="仿宋" w:hAnsi="仿宋" w:eastAsia="仿宋" w:cs="仿宋"/>
          <w:color w:val="auto"/>
          <w:sz w:val="28"/>
          <w:szCs w:val="28"/>
          <w:highlight w:val="none"/>
          <w:lang w:val="en-US" w:eastAsia="zh-CN"/>
        </w:rPr>
        <w:t xml:space="preserve">5个工作日。</w:t>
      </w:r>
      <w:r/>
    </w:p>
    <w:p>
      <w:pPr>
        <w:ind w:firstLine="560"/>
        <w:pageBreakBefore w:val="0"/>
        <w:spacing w:line="520" w:lineRule="exact"/>
        <w:shd w:val="clear" w:color="auto"/>
        <w:rPr>
          <w:rFonts w:hint="eastAsia" w:ascii="仿宋" w:hAnsi="仿宋" w:eastAsia="仿宋" w:cs="仿宋"/>
          <w:sz w:val="30"/>
        </w:rPr>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lang w:val="en-US" w:eastAsia="zh-CN"/>
        </w:rPr>
        <w:t xml:space="preserve">地点：江苏省政府采购网。</w:t>
      </w:r>
      <w:r/>
    </w:p>
    <w:p>
      <w:pPr>
        <w:ind w:firstLine="560"/>
        <w:pageBreakBefore w:val="0"/>
        <w:spacing w:line="520" w:lineRule="exact"/>
        <w:shd w:val="clear" w:color="auto"/>
        <w:rPr>
          <w:rFonts w:hint="eastAsia" w:ascii="仿宋" w:hAnsi="仿宋" w:eastAsia="仿宋" w:cs="仿宋"/>
          <w:color w:val="auto"/>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sz w:val="30"/>
        </w:rPr>
        <w:t xml:space="preserve">方式：</w:t>
      </w:r>
      <w:r>
        <w:rPr>
          <w:rFonts w:hint="eastAsia" w:ascii="仿宋" w:hAnsi="仿宋" w:eastAsia="仿宋" w:cs="仿宋"/>
          <w:color w:val="auto"/>
          <w:sz w:val="28"/>
          <w:szCs w:val="28"/>
          <w:highlight w:val="none"/>
        </w:rPr>
        <w:t xml:space="preserve">本项目采用“苏采云”系统网上注册登记方式，具体详见《江苏省政府采购管理交易系统（苏采云）投标人操作手册》。</w:t>
      </w:r>
      <w:r/>
    </w:p>
    <w:p>
      <w:pPr>
        <w:pStyle w:val="725"/>
        <w:ind w:firstLine="560"/>
        <w:spacing w:after="0" w:line="500" w:lineRule="exact"/>
        <w:shd w:val="clear" w:color="auto"/>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四、响应文件提交</w:t>
      </w:r>
      <w:bookmarkEnd w:id="12"/>
      <w:r/>
      <w:bookmarkEnd w:id="13"/>
      <w:r/>
      <w:r/>
    </w:p>
    <w:p>
      <w:pPr>
        <w:ind w:firstLine="560"/>
        <w:pageBreakBefore w:val="0"/>
        <w:spacing w:line="520" w:lineRule="exact"/>
        <w:shd w:val="clear" w:color="auto"/>
        <w:rPr>
          <w:rFonts w:hint="eastAsia" w:ascii="仿宋" w:hAnsi="仿宋" w:eastAsia="仿宋" w:cs="仿宋"/>
          <w:bCs/>
          <w:color w:val="auto"/>
          <w:sz w:val="28"/>
          <w:szCs w:val="28"/>
          <w:highlight w:val="none"/>
          <w:u w:val="single"/>
          <w:lang w:val="en-US" w:eastAsia="zh-CN"/>
        </w:rPr>
      </w:pPr>
      <w:r>
        <w:rPr>
          <w:rFonts w:hint="eastAsia" w:ascii="仿宋" w:hAnsi="仿宋" w:eastAsia="仿宋" w:cs="仿宋"/>
          <w:color w:val="auto"/>
          <w:sz w:val="28"/>
          <w:szCs w:val="28"/>
          <w:highlight w:val="none"/>
        </w:rPr>
        <w:t xml:space="preserve">（一）截止时间：202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lang w:val="en-US" w:eastAsia="zh-CN"/>
        </w:rPr>
        <w:t xml:space="preserve">20</w:t>
      </w:r>
      <w:r>
        <w:rPr>
          <w:rFonts w:hint="eastAsia" w:ascii="仿宋" w:hAnsi="仿宋" w:eastAsia="仿宋" w:cs="仿宋"/>
          <w:bCs/>
          <w:color w:val="auto"/>
          <w:sz w:val="28"/>
          <w:szCs w:val="28"/>
          <w:highlight w:val="none"/>
        </w:rPr>
        <w:t xml:space="preserve">日</w:t>
      </w:r>
      <w:r>
        <w:rPr>
          <w:rFonts w:hint="eastAsia" w:ascii="仿宋" w:hAnsi="仿宋" w:eastAsia="仿宋" w:cs="仿宋"/>
          <w:bCs/>
          <w:color w:val="auto"/>
          <w:sz w:val="28"/>
          <w:szCs w:val="28"/>
          <w:highlight w:val="none"/>
          <w:lang w:val="en-US" w:eastAsia="zh-CN"/>
        </w:rPr>
        <w:t xml:space="preserve">9</w:t>
      </w:r>
      <w:r>
        <w:rPr>
          <w:rFonts w:hint="eastAsia" w:ascii="仿宋" w:hAnsi="仿宋" w:eastAsia="仿宋" w:cs="仿宋"/>
          <w:bCs/>
          <w:color w:val="auto"/>
          <w:sz w:val="28"/>
          <w:szCs w:val="28"/>
          <w:highlight w:val="none"/>
        </w:rPr>
        <w:t xml:space="preserve">点</w:t>
      </w:r>
      <w:r>
        <w:rPr>
          <w:rFonts w:hint="eastAsia" w:ascii="仿宋" w:hAnsi="仿宋" w:eastAsia="仿宋" w:cs="仿宋"/>
          <w:bCs/>
          <w:color w:val="auto"/>
          <w:sz w:val="28"/>
          <w:szCs w:val="28"/>
          <w:highlight w:val="none"/>
          <w:lang w:val="en-US" w:eastAsia="zh-CN"/>
        </w:rPr>
        <w:t xml:space="preserve">00</w:t>
      </w:r>
      <w:r>
        <w:rPr>
          <w:rFonts w:hint="eastAsia" w:ascii="仿宋" w:hAnsi="仿宋" w:eastAsia="仿宋" w:cs="仿宋"/>
          <w:bCs/>
          <w:color w:val="auto"/>
          <w:sz w:val="28"/>
          <w:szCs w:val="28"/>
          <w:highlight w:val="none"/>
        </w:rPr>
        <w:t xml:space="preserve">分（北京时间）</w:t>
      </w:r>
      <w:r>
        <w:rPr>
          <w:rFonts w:hint="eastAsia" w:ascii="仿宋" w:hAnsi="仿宋" w:eastAsia="仿宋" w:cs="仿宋"/>
          <w:bCs/>
          <w:color w:val="auto"/>
          <w:sz w:val="28"/>
          <w:szCs w:val="28"/>
          <w:highlight w:val="none"/>
          <w:lang w:val="en-US" w:eastAsia="zh-CN"/>
        </w:rPr>
        <w:t xml:space="preserve">;</w:t>
      </w:r>
      <w:r/>
    </w:p>
    <w:p>
      <w:pPr>
        <w:ind w:firstLine="560"/>
        <w:pageBreakBefore w:val="0"/>
        <w:spacing w:line="520" w:lineRule="exact"/>
        <w:shd w:val="clear" w:color="auto"/>
        <w:rPr>
          <w:rFonts w:ascii="黑体" w:hAnsi="黑体" w:eastAsia="黑体" w:cs="黑体"/>
          <w:b/>
          <w:bCs/>
          <w:color w:val="auto"/>
          <w:sz w:val="28"/>
          <w:szCs w:val="28"/>
          <w:highlight w:val="none"/>
        </w:rPr>
      </w:pPr>
      <w:r>
        <w:rPr>
          <w:rFonts w:hint="eastAsia" w:ascii="仿宋" w:hAnsi="仿宋" w:eastAsia="仿宋" w:cs="仿宋"/>
          <w:color w:val="auto"/>
          <w:sz w:val="28"/>
          <w:szCs w:val="28"/>
          <w:highlight w:val="none"/>
        </w:rPr>
        <w:t xml:space="preserve">（二）地点：</w:t>
      </w:r>
      <w:r>
        <w:rPr>
          <w:rFonts w:hint="eastAsia" w:ascii="仿宋" w:hAnsi="仿宋" w:eastAsia="仿宋"/>
          <w:sz w:val="28"/>
          <w:szCs w:val="28"/>
          <w:highlight w:val="none"/>
        </w:rPr>
        <w:t xml:space="preserve">通过“苏采云”系统提交，具体详见《江苏省政府</w:t>
      </w:r>
      <w:r>
        <w:rPr>
          <w:rFonts w:hint="eastAsia" w:ascii="仿宋" w:hAnsi="仿宋" w:eastAsia="仿宋"/>
          <w:sz w:val="28"/>
          <w:szCs w:val="28"/>
        </w:rPr>
        <w:t xml:space="preserve">采购管理交易系统（苏采云）投标人操作手册》。</w:t>
      </w:r>
      <w:r/>
    </w:p>
    <w:p>
      <w:pPr>
        <w:ind w:firstLine="562"/>
        <w:jc w:val="left"/>
        <w:pageBreakBefore w:val="0"/>
        <w:spacing w:line="520" w:lineRule="exact"/>
        <w:shd w:val="clear" w:color="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五、开启</w:t>
      </w:r>
      <w:r/>
    </w:p>
    <w:p>
      <w:pPr>
        <w:ind w:firstLine="562"/>
        <w:jc w:val="left"/>
        <w:pageBreakBefore w:val="0"/>
        <w:spacing w:line="520" w:lineRule="exact"/>
        <w:shd w:val="clear" w:color="auto"/>
        <w:widowControl/>
        <w:rPr>
          <w:rFonts w:hint="eastAsia" w:ascii="仿宋" w:hAnsi="仿宋" w:eastAsia="仿宋" w:cs="仿宋"/>
          <w:bCs/>
          <w:color w:val="auto"/>
          <w:sz w:val="28"/>
          <w:szCs w:val="28"/>
          <w:highlight w:val="none"/>
          <w:lang w:eastAsia="zh-CN"/>
        </w:rPr>
      </w:pPr>
      <w:r>
        <w:rPr>
          <w:rFonts w:hint="eastAsia" w:ascii="仿宋" w:hAnsi="仿宋" w:eastAsia="仿宋" w:cs="仿宋"/>
          <w:b/>
          <w:bCs/>
          <w:color w:val="auto"/>
          <w:sz w:val="28"/>
          <w:szCs w:val="28"/>
          <w:highlight w:val="none"/>
        </w:rPr>
        <w:t xml:space="preserve">时间：</w:t>
      </w:r>
      <w:r>
        <w:rPr>
          <w:rFonts w:hint="eastAsia" w:ascii="仿宋" w:hAnsi="仿宋" w:eastAsia="仿宋" w:cs="仿宋"/>
          <w:color w:val="auto"/>
          <w:sz w:val="28"/>
          <w:szCs w:val="28"/>
          <w:highlight w:val="none"/>
        </w:rPr>
        <w:t xml:space="preserve">202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lang w:val="en-US" w:eastAsia="zh-CN"/>
        </w:rPr>
        <w:t xml:space="preserve">20 </w:t>
      </w:r>
      <w:r>
        <w:rPr>
          <w:rFonts w:hint="eastAsia" w:ascii="仿宋" w:hAnsi="仿宋" w:eastAsia="仿宋" w:cs="仿宋"/>
          <w:bCs/>
          <w:color w:val="auto"/>
          <w:sz w:val="28"/>
          <w:szCs w:val="28"/>
          <w:highlight w:val="none"/>
        </w:rPr>
        <w:t xml:space="preserve">日</w:t>
      </w:r>
      <w:r>
        <w:rPr>
          <w:rFonts w:hint="eastAsia" w:ascii="仿宋" w:hAnsi="仿宋" w:eastAsia="仿宋" w:cs="仿宋"/>
          <w:bCs/>
          <w:color w:val="auto"/>
          <w:sz w:val="28"/>
          <w:szCs w:val="28"/>
          <w:highlight w:val="none"/>
          <w:lang w:val="en-US" w:eastAsia="zh-CN"/>
        </w:rPr>
        <w:t xml:space="preserve">9</w:t>
      </w:r>
      <w:r>
        <w:rPr>
          <w:rFonts w:hint="eastAsia" w:ascii="仿宋" w:hAnsi="仿宋" w:eastAsia="仿宋" w:cs="仿宋"/>
          <w:bCs/>
          <w:color w:val="auto"/>
          <w:sz w:val="28"/>
          <w:szCs w:val="28"/>
          <w:highlight w:val="none"/>
        </w:rPr>
        <w:t xml:space="preserve">点</w:t>
      </w:r>
      <w:r>
        <w:rPr>
          <w:rFonts w:hint="eastAsia" w:ascii="仿宋" w:hAnsi="仿宋" w:eastAsia="仿宋" w:cs="仿宋"/>
          <w:bCs/>
          <w:color w:val="auto"/>
          <w:sz w:val="28"/>
          <w:szCs w:val="28"/>
          <w:highlight w:val="none"/>
          <w:lang w:val="en-US" w:eastAsia="zh-CN"/>
        </w:rPr>
        <w:t xml:space="preserve">00</w:t>
      </w:r>
      <w:r>
        <w:rPr>
          <w:rFonts w:hint="eastAsia" w:ascii="仿宋" w:hAnsi="仿宋" w:eastAsia="仿宋" w:cs="仿宋"/>
          <w:bCs/>
          <w:color w:val="auto"/>
          <w:sz w:val="28"/>
          <w:szCs w:val="28"/>
          <w:highlight w:val="none"/>
        </w:rPr>
        <w:t xml:space="preserve">分（北京时间）</w:t>
      </w:r>
      <w:r>
        <w:rPr>
          <w:rFonts w:hint="eastAsia" w:ascii="仿宋" w:hAnsi="仿宋" w:eastAsia="仿宋" w:cs="仿宋"/>
          <w:bCs/>
          <w:color w:val="auto"/>
          <w:sz w:val="28"/>
          <w:szCs w:val="28"/>
          <w:highlight w:val="none"/>
          <w:lang w:eastAsia="zh-CN"/>
        </w:rPr>
        <w:t xml:space="preserve">；</w:t>
      </w:r>
      <w:r/>
    </w:p>
    <w:p>
      <w:pPr>
        <w:ind w:firstLine="562"/>
        <w:pageBreakBefore w:val="0"/>
        <w:spacing w:line="520" w:lineRule="exact"/>
        <w:tabs>
          <w:tab w:val="left" w:pos="1800" w:leader="none"/>
        </w:tabs>
        <w:rPr>
          <w:rFonts w:hint="default" w:ascii="黑体" w:hAnsi="黑体" w:eastAsia="仿宋" w:cs="黑体"/>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地点：</w:t>
      </w:r>
      <w:r>
        <w:rPr>
          <w:rFonts w:hint="eastAsia" w:ascii="仿宋" w:hAnsi="仿宋" w:eastAsia="仿宋" w:cs="仿宋"/>
          <w:bCs/>
          <w:color w:val="auto"/>
          <w:sz w:val="28"/>
          <w:szCs w:val="28"/>
          <w:highlight w:val="none"/>
          <w:lang w:val="en-US" w:eastAsia="zh-CN"/>
        </w:rPr>
        <w:t xml:space="preserve">开标地点：</w:t>
      </w:r>
      <w:r>
        <w:rPr>
          <w:rFonts w:ascii="仿宋" w:hAnsi="仿宋" w:eastAsia="仿宋"/>
          <w:sz w:val="28"/>
          <w:szCs w:val="28"/>
        </w:rPr>
        <w:t xml:space="preserve">“苏采云”系统（网址：http://jszfcg.jsczt.cn/）“开标大厅”。</w:t>
      </w:r>
      <w:r/>
    </w:p>
    <w:p>
      <w:pPr>
        <w:pStyle w:val="898"/>
        <w:ind w:firstLine="562"/>
        <w:spacing w:line="48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五、公告期限</w:t>
      </w:r>
      <w:bookmarkEnd w:id="14"/>
      <w:r/>
      <w:bookmarkEnd w:id="15"/>
      <w:r/>
      <w:bookmarkEnd w:id="16"/>
      <w:r/>
      <w:bookmarkEnd w:id="17"/>
      <w:r/>
      <w:r/>
    </w:p>
    <w:p>
      <w:pPr>
        <w:pStyle w:val="898"/>
        <w:ind w:firstLine="56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自本公告发布之日起5个工作日。</w:t>
      </w:r>
      <w:r/>
    </w:p>
    <w:p>
      <w:pPr>
        <w:pStyle w:val="898"/>
        <w:ind w:firstLine="562"/>
        <w:spacing w:line="480" w:lineRule="exact"/>
        <w:rPr>
          <w:rFonts w:ascii="仿宋" w:hAnsi="仿宋" w:eastAsia="仿宋" w:cs="仿宋"/>
          <w:b/>
          <w:bCs/>
          <w:color w:val="auto"/>
          <w:sz w:val="28"/>
          <w:szCs w:val="28"/>
          <w:highlight w:val="none"/>
        </w:rPr>
      </w:pPr>
      <w:r/>
      <w:bookmarkStart w:id="18" w:name="_Toc35393795"/>
      <w:r/>
      <w:bookmarkStart w:id="19" w:name="_Toc35393626"/>
      <w:r>
        <w:rPr>
          <w:rFonts w:hint="eastAsia" w:ascii="仿宋" w:hAnsi="仿宋" w:eastAsia="仿宋" w:cs="仿宋"/>
          <w:b/>
          <w:bCs/>
          <w:color w:val="auto"/>
          <w:sz w:val="28"/>
          <w:szCs w:val="28"/>
          <w:highlight w:val="none"/>
        </w:rPr>
        <w:t xml:space="preserve">六、其他补充事宜</w:t>
      </w:r>
      <w:bookmarkEnd w:id="18"/>
      <w:r/>
      <w:bookmarkEnd w:id="19"/>
      <w:r/>
      <w:r/>
    </w:p>
    <w:p>
      <w:pPr>
        <w:ind w:firstLine="565"/>
        <w:spacing w:line="500" w:lineRule="exact"/>
        <w:rPr>
          <w:rFonts w:ascii="仿宋" w:hAnsi="仿宋" w:eastAsia="仿宋" w:cs="宋体"/>
          <w:bCs/>
          <w:sz w:val="28"/>
          <w:szCs w:val="28"/>
        </w:rPr>
      </w:pPr>
      <w:r/>
      <w:bookmarkStart w:id="20" w:name="_Toc28359008"/>
      <w:r/>
      <w:bookmarkStart w:id="21" w:name="_Toc28359085"/>
      <w:r/>
      <w:bookmarkStart w:id="22" w:name="_Toc35393627"/>
      <w:r/>
      <w:bookmarkStart w:id="23" w:name="_Toc35393796"/>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 xml:space="preserve">投标保证金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898"/>
        <w:ind w:firstLine="562"/>
        <w:spacing w:line="48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七、对本次招标提出询问，请按以下方式联系</w:t>
      </w:r>
      <w:bookmarkEnd w:id="20"/>
      <w:r/>
      <w:bookmarkEnd w:id="21"/>
      <w:r/>
      <w:bookmarkEnd w:id="22"/>
      <w:r/>
      <w:bookmarkEnd w:id="23"/>
      <w:r/>
      <w:r/>
    </w:p>
    <w:p>
      <w:pPr>
        <w:ind w:firstLine="540"/>
        <w:spacing w:line="500" w:lineRule="exact"/>
        <w:rPr>
          <w:rFonts w:ascii="仿宋" w:hAnsi="仿宋" w:eastAsia="仿宋" w:cs="宋体"/>
          <w:sz w:val="28"/>
          <w:szCs w:val="28"/>
          <w:highlight w:val="none"/>
        </w:rPr>
      </w:pPr>
      <w:r/>
      <w:bookmarkStart w:id="24" w:name="_Toc35393806"/>
      <w:r/>
      <w:bookmarkStart w:id="25" w:name="_Toc35393637"/>
      <w:r/>
      <w:bookmarkStart w:id="26" w:name="_Toc28359019"/>
      <w:r/>
      <w:bookmarkStart w:id="27" w:name="_Toc28359096"/>
      <w:r>
        <w:rPr>
          <w:rFonts w:hint="eastAsia" w:ascii="仿宋" w:hAnsi="仿宋" w:eastAsia="仿宋" w:cs="宋体"/>
          <w:sz w:val="28"/>
          <w:szCs w:val="28"/>
          <w:highlight w:val="none"/>
        </w:rPr>
        <w:t xml:space="preserve">1. 采购人信息</w:t>
      </w:r>
      <w:bookmarkEnd w:id="24"/>
      <w:r/>
      <w:bookmarkEnd w:id="25"/>
      <w:r/>
      <w:bookmarkEnd w:id="26"/>
      <w:r/>
      <w:bookmarkEnd w:id="27"/>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如皋市市场监督管理局</w:t>
      </w:r>
      <w:r>
        <w:rPr>
          <w:rFonts w:hint="eastAsia" w:ascii="仿宋" w:hAnsi="仿宋" w:eastAsia="仿宋" w:cs="仿宋"/>
          <w:sz w:val="28"/>
          <w:szCs w:val="28"/>
          <w:highlight w:val="none"/>
          <w:u w:val="single"/>
          <w:lang w:val="en-US" w:eastAsia="zh-CN"/>
        </w:rPr>
        <w:t xml:space="preserve">　</w:t>
      </w:r>
      <w:r/>
    </w:p>
    <w:p>
      <w:pPr>
        <w:ind w:left="1129" w:hanging="350"/>
        <w:jc w:val="left"/>
        <w:spacing w:line="50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w:t>
      </w:r>
      <w:r>
        <w:rPr>
          <w:rFonts w:hint="eastAsia" w:ascii="仿宋" w:hAnsi="仿宋" w:eastAsia="仿宋" w:cs="仿宋"/>
          <w:sz w:val="28"/>
          <w:szCs w:val="28"/>
          <w:highlight w:val="none"/>
          <w:u w:val="single"/>
        </w:rPr>
        <w:t xml:space="preserve">如皋市如城街道</w:t>
      </w:r>
      <w:r>
        <w:rPr>
          <w:rFonts w:hint="eastAsia" w:ascii="仿宋" w:hAnsi="仿宋" w:eastAsia="仿宋" w:cs="仿宋"/>
          <w:sz w:val="28"/>
          <w:szCs w:val="28"/>
          <w:highlight w:val="none"/>
          <w:u w:val="single"/>
          <w:lang w:val="en-US" w:eastAsia="zh-CN"/>
        </w:rPr>
        <w:t xml:space="preserve">解放西路</w:t>
      </w:r>
      <w:r>
        <w:rPr>
          <w:rFonts w:hint="eastAsia" w:ascii="仿宋" w:hAnsi="仿宋" w:eastAsia="仿宋"/>
          <w:sz w:val="28"/>
          <w:szCs w:val="28"/>
          <w:highlight w:val="none"/>
          <w:u w:val="single"/>
        </w:rPr>
        <w:t xml:space="preserve">　</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卢海学       </w:t>
      </w:r>
      <w:r>
        <w:rPr>
          <w:rFonts w:hint="eastAsia" w:ascii="仿宋" w:hAnsi="仿宋" w:eastAsia="仿宋"/>
          <w:sz w:val="28"/>
          <w:szCs w:val="28"/>
          <w:highlight w:val="none"/>
          <w:u w:val="single"/>
        </w:rPr>
        <w:t xml:space="preserve">     </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0513-89788920</w:t>
      </w:r>
      <w:r>
        <w:rPr>
          <w:rFonts w:hint="eastAsia" w:ascii="仿宋" w:hAnsi="仿宋" w:eastAsia="仿宋" w:cs="仿宋"/>
          <w:i w:val="0"/>
          <w:iCs w:val="0"/>
          <w:sz w:val="28"/>
          <w:szCs w:val="28"/>
          <w:highlight w:val="none"/>
          <w:u w:val="single"/>
          <w:lang w:val="en-US" w:eastAsia="zh-CN" w:bidi="ar-SA"/>
        </w:rPr>
        <w:t xml:space="preserve"> </w:t>
      </w:r>
      <w:r/>
    </w:p>
    <w:p>
      <w:pPr>
        <w:ind w:firstLine="540"/>
        <w:spacing w:line="500" w:lineRule="exact"/>
        <w:rPr>
          <w:rFonts w:ascii="仿宋" w:hAnsi="仿宋" w:eastAsia="仿宋" w:cs="宋体"/>
          <w:sz w:val="28"/>
          <w:szCs w:val="28"/>
          <w:highlight w:val="none"/>
        </w:rPr>
      </w:pPr>
      <w:r/>
      <w:bookmarkStart w:id="28" w:name="_Toc35393638"/>
      <w:r/>
      <w:bookmarkStart w:id="29" w:name="_Toc35393807"/>
      <w:r/>
      <w:bookmarkStart w:id="30" w:name="_Toc28359020"/>
      <w:r/>
      <w:bookmarkStart w:id="31" w:name="_Toc28359097"/>
      <w:r>
        <w:rPr>
          <w:rFonts w:hint="eastAsia" w:ascii="仿宋" w:hAnsi="仿宋" w:eastAsia="仿宋" w:cs="宋体"/>
          <w:sz w:val="28"/>
          <w:szCs w:val="28"/>
          <w:highlight w:val="none"/>
        </w:rPr>
        <w:t xml:space="preserve">2. 采购代理机构信息</w:t>
      </w:r>
      <w:bookmarkEnd w:id="28"/>
      <w:r/>
      <w:bookmarkEnd w:id="29"/>
      <w:r/>
      <w:bookmarkEnd w:id="30"/>
      <w:r/>
      <w:bookmarkEnd w:id="31"/>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w:t>
      </w:r>
      <w:r>
        <w:rPr>
          <w:rFonts w:hint="eastAsia" w:ascii="仿宋" w:hAnsi="仿宋" w:eastAsia="仿宋" w:cs="仿宋"/>
          <w:sz w:val="28"/>
          <w:szCs w:val="28"/>
          <w:highlight w:val="none"/>
          <w:u w:val="single"/>
        </w:rPr>
        <w:t xml:space="preserve">大洲设计咨询集团有限公司如皋分公司</w:t>
      </w:r>
      <w:r>
        <w:rPr>
          <w:rFonts w:hint="eastAsia" w:ascii="仿宋" w:hAnsi="仿宋" w:eastAsia="仿宋"/>
          <w:sz w:val="28"/>
          <w:szCs w:val="28"/>
          <w:highlight w:val="none"/>
          <w:u w:val="single"/>
        </w:rPr>
        <w:t xml:space="preserve">　</w:t>
      </w:r>
      <w:r/>
    </w:p>
    <w:p>
      <w:pPr>
        <w:ind w:firstLine="840"/>
        <w:pageBreakBefore w:val="0"/>
        <w:spacing w:line="520" w:lineRule="exact"/>
        <w:rPr>
          <w:rFonts w:hint="eastAsia" w:ascii="仿宋" w:hAnsi="仿宋" w:eastAsia="仿宋" w:cs="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w:t>
      </w:r>
      <w:r>
        <w:rPr>
          <w:rFonts w:hint="eastAsia" w:ascii="仿宋" w:hAnsi="仿宋" w:eastAsia="仿宋" w:cs="仿宋"/>
          <w:sz w:val="28"/>
          <w:szCs w:val="28"/>
          <w:highlight w:val="none"/>
          <w:u w:val="single"/>
        </w:rPr>
        <w:t xml:space="preserve">如皋市如城街道健康路1号紫竹园312幢（兴业银行）</w:t>
      </w:r>
      <w:r/>
    </w:p>
    <w:p>
      <w:pPr>
        <w:ind w:firstLine="2240"/>
        <w:pageBreakBefore w:val="0"/>
        <w:spacing w:line="520" w:lineRule="exact"/>
        <w:rPr>
          <w:rFonts w:ascii="仿宋" w:hAnsi="仿宋" w:eastAsia="仿宋"/>
          <w:sz w:val="28"/>
          <w:szCs w:val="28"/>
          <w:highlight w:val="none"/>
        </w:rPr>
      </w:pP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五层　</w:t>
      </w:r>
      <w:r>
        <w:rPr>
          <w:rFonts w:hint="eastAsia" w:ascii="仿宋" w:hAnsi="仿宋" w:eastAsia="仿宋"/>
          <w:sz w:val="28"/>
          <w:szCs w:val="28"/>
          <w:highlight w:val="none"/>
          <w:u w:val="single"/>
        </w:rPr>
        <w:t xml:space="preserve">　　　　　　　　　</w:t>
      </w:r>
      <w:r/>
    </w:p>
    <w:p>
      <w:pPr>
        <w:ind w:firstLine="840"/>
        <w:spacing w:line="50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张慧莉</w:t>
      </w:r>
      <w:r>
        <w:rPr>
          <w:rFonts w:hint="eastAsia" w:ascii="仿宋" w:hAnsi="仿宋" w:eastAsia="仿宋"/>
          <w:sz w:val="28"/>
          <w:szCs w:val="28"/>
          <w:highlight w:val="none"/>
          <w:u w:val="single"/>
        </w:rPr>
        <w:t xml:space="preserve">             </w:t>
      </w:r>
      <w:r/>
    </w:p>
    <w:p>
      <w:pPr>
        <w:ind w:firstLine="840"/>
        <w:spacing w:line="500" w:lineRule="exact"/>
        <w:rPr>
          <w:rFonts w:hint="default" w:ascii="仿宋" w:hAnsi="仿宋" w:eastAsia="仿宋"/>
          <w:sz w:val="28"/>
          <w:szCs w:val="28"/>
          <w:highlight w:val="none"/>
          <w:u w:val="single"/>
          <w:lang w:val="en-US"/>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0513-88555586   18951420193</w:t>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w:t>
      </w:r>
      <w:r>
        <w:rPr>
          <w:rFonts w:hint="eastAsia" w:ascii="仿宋" w:hAnsi="仿宋" w:eastAsia="仿宋"/>
          <w:b/>
          <w:sz w:val="28"/>
          <w:szCs w:val="28"/>
          <w:lang w:val="en-US" w:eastAsia="zh-CN"/>
        </w:rPr>
        <w:t xml:space="preserve">框架协议采购</w:t>
      </w:r>
      <w:r>
        <w:rPr>
          <w:rFonts w:ascii="仿宋" w:hAnsi="仿宋" w:eastAsia="仿宋"/>
          <w:b/>
          <w:sz w:val="28"/>
          <w:szCs w:val="28"/>
        </w:rPr>
        <w:t xml:space="preserve">文件</w:t>
      </w:r>
      <w:r/>
    </w:p>
    <w:p>
      <w:pPr>
        <w:pStyle w:val="899"/>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jc w:val="center"/>
        <w:rPr>
          <w:rFonts w:ascii="黑体" w:hAnsi="黑体" w:eastAsia="黑体" w:cs="黑体"/>
          <w:color w:val="auto"/>
          <w:sz w:val="52"/>
          <w:szCs w:val="52"/>
          <w:highlight w:val="none"/>
          <w:shd w:val="clear" w:color="auto" w:fill="ffffff"/>
        </w:rPr>
      </w:pPr>
      <w:r>
        <w:rPr>
          <w:b/>
          <w:bCs/>
          <w:color w:val="auto"/>
          <w:sz w:val="36"/>
          <w:szCs w:val="44"/>
          <w:highlight w:val="none"/>
        </w:rPr>
        <w:br w:type="page" w:clear="all"/>
      </w:r>
      <w:bookmarkStart w:id="32" w:name="_Toc26081"/>
      <w:r>
        <w:rPr>
          <w:rFonts w:hint="eastAsia" w:ascii="黑体" w:hAnsi="黑体" w:eastAsia="黑体" w:cs="黑体"/>
          <w:color w:val="auto"/>
          <w:sz w:val="52"/>
          <w:szCs w:val="52"/>
          <w:highlight w:val="none"/>
          <w:shd w:val="clear" w:color="auto" w:fill="ffffff"/>
        </w:rPr>
        <w:t xml:space="preserve">第二章 征集文件</w:t>
      </w:r>
      <w:bookmarkEnd w:id="32"/>
      <w:r/>
      <w:r/>
    </w:p>
    <w:p>
      <w:pPr>
        <w:pStyle w:val="735"/>
        <w:rPr>
          <w:color w:val="auto"/>
          <w:highlight w:val="none"/>
        </w:rPr>
      </w:pPr>
      <w:r>
        <w:rPr>
          <w:color w:val="auto"/>
          <w:highlight w:val="none"/>
        </w:rPr>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bookmarkStart w:id="33" w:name="_Toc12116"/>
      <w:r>
        <w:rPr>
          <w:rFonts w:hint="eastAsia" w:ascii="黑体" w:hAnsi="黑体" w:eastAsia="黑体" w:cs="黑体"/>
          <w:color w:val="auto"/>
          <w:sz w:val="30"/>
          <w:szCs w:val="30"/>
          <w:highlight w:val="none"/>
          <w:shd w:val="clear" w:color="auto" w:fill="ffffff"/>
        </w:rPr>
        <w:t xml:space="preserve">一、参加征集活动的邀请</w:t>
      </w:r>
      <w:bookmarkEnd w:id="33"/>
      <w:r/>
      <w:bookmarkStart w:id="34" w:name="_Toc30727"/>
      <w:r/>
      <w:bookmarkStart w:id="35" w:name="_Toc1212"/>
      <w:r/>
      <w:bookmarkStart w:id="36" w:name="_Toc8265"/>
      <w:r/>
      <w:bookmarkStart w:id="37" w:name="_Toc24455"/>
      <w:r/>
      <w:bookmarkStart w:id="38" w:name="_Toc4569"/>
      <w:r/>
      <w:bookmarkStart w:id="39" w:name="_Toc18866"/>
      <w:r/>
      <w:r/>
    </w:p>
    <w:p>
      <w:pPr>
        <w:pStyle w:val="740"/>
        <w:jc w:val="both"/>
        <w:spacing w:beforeAutospacing="0" w:afterAutospacing="0" w:line="500" w:lineRule="exact"/>
        <w:widowControl/>
        <w:rPr>
          <w:rFonts w:ascii="黑体" w:hAnsi="黑体" w:eastAsia="黑体" w:cs="黑体"/>
          <w:b/>
          <w:bCs/>
          <w:color w:val="auto"/>
          <w:sz w:val="44"/>
          <w:szCs w:val="44"/>
          <w:highlight w:val="none"/>
        </w:rPr>
      </w:pPr>
      <w:r>
        <w:rPr>
          <w:rFonts w:ascii="黑体" w:hAnsi="黑体" w:eastAsia="黑体" w:cs="黑体"/>
          <w:b/>
          <w:bCs/>
          <w:color w:val="auto"/>
          <w:sz w:val="44"/>
          <w:szCs w:val="44"/>
          <w:highlight w:val="none"/>
        </w:rPr>
      </w:r>
      <w:r/>
    </w:p>
    <w:p>
      <w:pPr>
        <w:pStyle w:val="740"/>
        <w:jc w:val="center"/>
        <w:spacing w:beforeAutospacing="0" w:afterAutospacing="0" w:line="500" w:lineRule="exact"/>
        <w:widowControl/>
        <w:rPr>
          <w:rFonts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rPr>
        <w:t xml:space="preserve">征 集</w:t>
      </w:r>
      <w:r>
        <w:rPr>
          <w:rFonts w:hint="eastAsia" w:ascii="黑体" w:hAnsi="黑体" w:eastAsia="黑体" w:cs="黑体"/>
          <w:b/>
          <w:bCs/>
          <w:color w:val="auto"/>
          <w:sz w:val="44"/>
          <w:szCs w:val="44"/>
          <w:highlight w:val="none"/>
        </w:rPr>
        <w:tab/>
      </w:r>
      <w:r>
        <w:rPr>
          <w:rFonts w:hint="eastAsia" w:ascii="黑体" w:hAnsi="黑体" w:eastAsia="黑体" w:cs="黑体"/>
          <w:b/>
          <w:bCs/>
          <w:color w:val="auto"/>
          <w:sz w:val="44"/>
          <w:szCs w:val="44"/>
          <w:highlight w:val="none"/>
        </w:rPr>
        <w:t xml:space="preserve">邀 请 函</w:t>
      </w:r>
      <w:bookmarkEnd w:id="34"/>
      <w:r/>
      <w:bookmarkEnd w:id="35"/>
      <w:r/>
      <w:bookmarkEnd w:id="36"/>
      <w:r/>
      <w:bookmarkEnd w:id="37"/>
      <w:r/>
      <w:bookmarkEnd w:id="38"/>
      <w:r/>
      <w:bookmarkEnd w:id="39"/>
      <w:r/>
      <w:r/>
    </w:p>
    <w:p>
      <w:pPr>
        <w:pStyle w:val="721"/>
        <w:spacing w:line="500" w:lineRule="exact"/>
        <w:rPr>
          <w:rFonts w:ascii="Arial Unicode MS"/>
          <w:color w:val="auto"/>
          <w:sz w:val="22"/>
          <w:highlight w:val="none"/>
        </w:rPr>
      </w:pPr>
      <w:r>
        <w:rPr>
          <w:rFonts w:ascii="Arial Unicode MS"/>
          <w:color w:val="auto"/>
          <w:sz w:val="22"/>
          <w:highlight w:val="none"/>
        </w:rPr>
      </w:r>
      <w:r/>
    </w:p>
    <w:p>
      <w:pPr>
        <w:pStyle w:val="721"/>
        <w:ind w:right="488" w:firstLine="548"/>
        <w:spacing w:line="500" w:lineRule="exact"/>
        <w:rPr>
          <w:rFonts w:ascii="仿宋" w:hAnsi="仿宋" w:eastAsia="仿宋" w:cs="仿宋"/>
          <w:color w:val="auto"/>
          <w:spacing w:val="-3"/>
          <w:szCs w:val="36"/>
          <w:highlight w:val="none"/>
        </w:rPr>
      </w:pPr>
      <w:r>
        <w:rPr>
          <w:rFonts w:ascii="仿宋" w:hAnsi="仿宋" w:eastAsia="仿宋" w:cs="仿宋"/>
          <w:color w:val="auto"/>
          <w:spacing w:val="-3"/>
          <w:szCs w:val="36"/>
          <w:highlight w:val="none"/>
        </w:rPr>
      </w:r>
      <w:r/>
    </w:p>
    <w:p>
      <w:pPr>
        <w:pStyle w:val="721"/>
        <w:ind w:right="-94" w:firstLine="560"/>
        <w:spacing w:line="500" w:lineRule="exact"/>
        <w:tabs>
          <w:tab w:val="left" w:pos="8400" w:leader="none"/>
        </w:tabs>
        <w:rPr>
          <w:rFonts w:ascii="仿宋" w:hAnsi="仿宋" w:eastAsia="仿宋" w:cs="仿宋"/>
          <w:color w:val="auto"/>
          <w:spacing w:val="-3"/>
          <w:szCs w:val="36"/>
          <w:highlight w:val="none"/>
        </w:rPr>
      </w:pPr>
      <w:r>
        <w:rPr>
          <w:rFonts w:hint="eastAsia" w:ascii="仿宋" w:hAnsi="仿宋" w:eastAsia="仿宋" w:cs="仿宋"/>
          <w:color w:val="auto"/>
          <w:szCs w:val="28"/>
          <w:highlight w:val="none"/>
          <w:u w:val="single"/>
          <w:lang w:eastAsia="zh-CN"/>
        </w:rPr>
        <w:t xml:space="preserve">2025年食品、食用农产品抽检项目</w:t>
      </w:r>
      <w:r>
        <w:rPr>
          <w:rFonts w:hint="eastAsia" w:ascii="仿宋" w:hAnsi="仿宋" w:eastAsia="仿宋" w:cs="仿宋"/>
          <w:color w:val="auto"/>
          <w:spacing w:val="-3"/>
          <w:szCs w:val="36"/>
          <w:highlight w:val="none"/>
        </w:rPr>
        <w:t xml:space="preserve"> 已经相关部门批准实施，项目地点位于</w:t>
      </w:r>
      <w:r>
        <w:rPr>
          <w:rFonts w:hint="eastAsia" w:ascii="仿宋" w:hAnsi="仿宋" w:eastAsia="仿宋" w:cs="仿宋"/>
          <w:color w:val="auto"/>
          <w:spacing w:val="-3"/>
          <w:szCs w:val="36"/>
          <w:highlight w:val="none"/>
          <w:u w:val="single"/>
        </w:rPr>
        <w:t xml:space="preserve">如皋市范围内，</w:t>
      </w:r>
      <w:r>
        <w:rPr>
          <w:rFonts w:hint="eastAsia" w:ascii="仿宋" w:hAnsi="仿宋" w:eastAsia="仿宋" w:cs="仿宋"/>
          <w:color w:val="auto"/>
          <w:spacing w:val="-3"/>
          <w:szCs w:val="36"/>
          <w:highlight w:val="none"/>
        </w:rPr>
        <w:t xml:space="preserve">现通过</w:t>
      </w:r>
      <w:r>
        <w:rPr>
          <w:rFonts w:hint="eastAsia" w:ascii="仿宋" w:hAnsi="仿宋" w:eastAsia="仿宋" w:cs="仿宋"/>
          <w:color w:val="auto"/>
          <w:spacing w:val="-3"/>
          <w:szCs w:val="36"/>
          <w:highlight w:val="none"/>
          <w:u w:val="single"/>
        </w:rPr>
        <w:t xml:space="preserve">征集</w:t>
      </w:r>
      <w:r>
        <w:rPr>
          <w:rFonts w:hint="eastAsia" w:ascii="仿宋" w:hAnsi="仿宋" w:eastAsia="仿宋" w:cs="仿宋"/>
          <w:color w:val="auto"/>
          <w:spacing w:val="-3"/>
          <w:szCs w:val="36"/>
          <w:highlight w:val="none"/>
        </w:rPr>
        <w:t xml:space="preserve">选定</w:t>
      </w:r>
      <w:r>
        <w:rPr>
          <w:rFonts w:hint="eastAsia" w:ascii="仿宋" w:hAnsi="仿宋" w:eastAsia="仿宋" w:cs="仿宋"/>
          <w:color w:val="auto"/>
          <w:spacing w:val="-3"/>
          <w:szCs w:val="36"/>
          <w:highlight w:val="none"/>
          <w:u w:val="single"/>
        </w:rPr>
        <w:t xml:space="preserve">符合要求5</w:t>
      </w:r>
      <w:r>
        <w:rPr>
          <w:rFonts w:hint="eastAsia" w:ascii="仿宋" w:hAnsi="仿宋" w:eastAsia="仿宋" w:cs="仿宋"/>
          <w:color w:val="auto"/>
          <w:spacing w:val="-3"/>
          <w:szCs w:val="36"/>
          <w:highlight w:val="none"/>
        </w:rPr>
        <w:t xml:space="preserve">家供应商。该项目由</w:t>
      </w:r>
      <w:r>
        <w:rPr>
          <w:rFonts w:hint="eastAsia" w:ascii="仿宋" w:hAnsi="仿宋" w:eastAsia="仿宋" w:cs="仿宋"/>
          <w:color w:val="auto"/>
          <w:spacing w:val="-3"/>
          <w:szCs w:val="36"/>
          <w:highlight w:val="none"/>
          <w:u w:val="single"/>
          <w:lang w:val="en-US" w:eastAsia="zh-CN"/>
        </w:rPr>
        <w:t xml:space="preserve">大洲设计咨询集团有限公司如皋分公司</w:t>
      </w:r>
      <w:r>
        <w:rPr>
          <w:rFonts w:hint="eastAsia" w:ascii="仿宋" w:hAnsi="仿宋" w:eastAsia="仿宋" w:cs="仿宋"/>
          <w:color w:val="auto"/>
          <w:spacing w:val="-3"/>
          <w:szCs w:val="36"/>
          <w:highlight w:val="none"/>
          <w:u w:val="single"/>
        </w:rPr>
        <w:t xml:space="preserve">（以下简称“采购代理机构”）</w:t>
      </w:r>
      <w:r>
        <w:rPr>
          <w:rFonts w:hint="eastAsia" w:ascii="仿宋" w:hAnsi="仿宋" w:eastAsia="仿宋" w:cs="仿宋"/>
          <w:color w:val="auto"/>
          <w:spacing w:val="-3"/>
          <w:szCs w:val="36"/>
          <w:highlight w:val="none"/>
        </w:rPr>
        <w:t xml:space="preserve">受采购人的委托，负责本项目的征集事宜，有关事项详见附后征集文件，现邀请符合条件的潜在供应商参加本项目征集活动。</w:t>
      </w:r>
      <w:r/>
    </w:p>
    <w:p>
      <w:pPr>
        <w:ind w:right="-92" w:firstLine="548"/>
        <w:spacing w:line="480" w:lineRule="exact"/>
        <w:rPr>
          <w:rFonts w:ascii="仿宋" w:hAnsi="仿宋" w:eastAsia="仿宋" w:cs="仿宋"/>
          <w:color w:val="auto"/>
          <w:sz w:val="28"/>
          <w:szCs w:val="36"/>
          <w:highlight w:val="none"/>
        </w:rPr>
      </w:pPr>
      <w:r>
        <w:rPr>
          <w:rFonts w:hint="eastAsia" w:ascii="仿宋" w:hAnsi="仿宋" w:eastAsia="仿宋" w:cs="仿宋"/>
          <w:color w:val="auto"/>
          <w:spacing w:val="-3"/>
          <w:sz w:val="28"/>
          <w:szCs w:val="36"/>
          <w:highlight w:val="none"/>
        </w:rPr>
        <w:t xml:space="preserve">现邀请符合条件供应商</w:t>
      </w:r>
      <w:r>
        <w:rPr>
          <w:rFonts w:hint="eastAsia" w:ascii="仿宋" w:hAnsi="仿宋" w:eastAsia="仿宋" w:cs="仿宋"/>
          <w:color w:val="auto"/>
          <w:spacing w:val="-1"/>
          <w:sz w:val="28"/>
          <w:szCs w:val="36"/>
          <w:highlight w:val="none"/>
        </w:rPr>
        <w:t xml:space="preserve">参与本项目的征集活动，如有意参与请于</w:t>
      </w:r>
      <w:r>
        <w:rPr>
          <w:rFonts w:hint="eastAsia" w:ascii="仿宋" w:hAnsi="仿宋" w:eastAsia="仿宋" w:cs="仿宋"/>
          <w:color w:val="auto"/>
          <w:spacing w:val="-1"/>
          <w:sz w:val="28"/>
          <w:szCs w:val="36"/>
          <w:highlight w:val="none"/>
          <w:u w:val="single"/>
        </w:rPr>
        <w:t xml:space="preserve"> </w:t>
      </w:r>
      <w:r>
        <w:rPr>
          <w:rFonts w:hint="eastAsia" w:ascii="仿宋" w:hAnsi="仿宋" w:eastAsia="仿宋" w:cs="仿宋"/>
          <w:color w:val="auto"/>
          <w:sz w:val="28"/>
          <w:szCs w:val="36"/>
          <w:highlight w:val="none"/>
          <w:u w:val="single"/>
        </w:rPr>
        <w:t xml:space="preserve">202</w:t>
      </w:r>
      <w:r>
        <w:rPr>
          <w:rFonts w:hint="eastAsia" w:ascii="仿宋" w:hAnsi="仿宋" w:eastAsia="仿宋" w:cs="仿宋"/>
          <w:color w:val="auto"/>
          <w:sz w:val="28"/>
          <w:szCs w:val="36"/>
          <w:highlight w:val="none"/>
          <w:u w:val="single"/>
          <w:lang w:val="en-US" w:eastAsia="zh-CN"/>
        </w:rPr>
        <w:t xml:space="preserve">5</w:t>
      </w:r>
      <w:r>
        <w:rPr>
          <w:rFonts w:hint="eastAsia" w:ascii="仿宋" w:hAnsi="仿宋" w:eastAsia="仿宋" w:cs="仿宋"/>
          <w:color w:val="auto"/>
          <w:sz w:val="28"/>
          <w:szCs w:val="36"/>
          <w:highlight w:val="none"/>
        </w:rPr>
        <w:t xml:space="preserve">年</w:t>
      </w:r>
      <w:r>
        <w:rPr>
          <w:rFonts w:hint="eastAsia" w:ascii="仿宋" w:hAnsi="仿宋" w:eastAsia="仿宋" w:cs="仿宋"/>
          <w:color w:val="auto"/>
          <w:sz w:val="28"/>
          <w:szCs w:val="36"/>
          <w:highlight w:val="none"/>
          <w:u w:val="single"/>
        </w:rPr>
        <w:t xml:space="preserve">0</w:t>
      </w:r>
      <w:r>
        <w:rPr>
          <w:rFonts w:hint="eastAsia" w:ascii="仿宋" w:hAnsi="仿宋" w:eastAsia="仿宋" w:cs="仿宋"/>
          <w:color w:val="auto"/>
          <w:sz w:val="28"/>
          <w:szCs w:val="36"/>
          <w:highlight w:val="none"/>
          <w:u w:val="single"/>
          <w:lang w:val="en-US" w:eastAsia="zh-CN"/>
        </w:rPr>
        <w:t xml:space="preserve">3</w:t>
      </w:r>
      <w:r>
        <w:rPr>
          <w:rFonts w:hint="eastAsia" w:ascii="仿宋" w:hAnsi="仿宋" w:eastAsia="仿宋" w:cs="仿宋"/>
          <w:color w:val="auto"/>
          <w:sz w:val="28"/>
          <w:szCs w:val="36"/>
          <w:highlight w:val="none"/>
        </w:rPr>
        <w:t xml:space="preserve">月</w:t>
      </w:r>
      <w:r>
        <w:rPr>
          <w:rFonts w:hint="eastAsia" w:ascii="仿宋" w:hAnsi="仿宋" w:eastAsia="仿宋" w:cs="仿宋"/>
          <w:color w:val="auto"/>
          <w:sz w:val="28"/>
          <w:szCs w:val="36"/>
          <w:highlight w:val="none"/>
          <w:u w:val="single"/>
          <w:lang w:val="en-US" w:eastAsia="zh-CN"/>
        </w:rPr>
        <w:t xml:space="preserve"> 20</w:t>
      </w:r>
      <w:r>
        <w:rPr>
          <w:rFonts w:hint="eastAsia" w:ascii="仿宋" w:hAnsi="仿宋" w:eastAsia="仿宋" w:cs="仿宋"/>
          <w:color w:val="auto"/>
          <w:spacing w:val="-1"/>
          <w:sz w:val="28"/>
          <w:szCs w:val="36"/>
          <w:highlight w:val="none"/>
        </w:rPr>
        <w:t xml:space="preserve">日</w:t>
      </w:r>
      <w:r>
        <w:rPr>
          <w:rFonts w:hint="eastAsia" w:ascii="仿宋" w:hAnsi="仿宋" w:eastAsia="仿宋" w:cs="仿宋"/>
          <w:color w:val="auto"/>
          <w:spacing w:val="-1"/>
          <w:sz w:val="28"/>
          <w:szCs w:val="36"/>
          <w:highlight w:val="none"/>
          <w:u w:val="single"/>
        </w:rPr>
        <w:t xml:space="preserve"> </w:t>
      </w:r>
      <w:r>
        <w:rPr>
          <w:rFonts w:hint="eastAsia" w:ascii="仿宋" w:hAnsi="仿宋" w:eastAsia="仿宋" w:cs="仿宋"/>
          <w:color w:val="auto"/>
          <w:spacing w:val="-1"/>
          <w:sz w:val="28"/>
          <w:szCs w:val="36"/>
          <w:highlight w:val="none"/>
          <w:u w:val="single"/>
          <w:lang w:val="en-US" w:eastAsia="zh-CN"/>
        </w:rPr>
        <w:t xml:space="preserve">9</w:t>
      </w:r>
      <w:r>
        <w:rPr>
          <w:rFonts w:hint="eastAsia" w:ascii="仿宋" w:hAnsi="仿宋" w:eastAsia="仿宋" w:cs="仿宋"/>
          <w:color w:val="auto"/>
          <w:sz w:val="28"/>
          <w:szCs w:val="36"/>
          <w:highlight w:val="none"/>
          <w:u w:val="single"/>
        </w:rPr>
        <w:t xml:space="preserve">:</w:t>
      </w:r>
      <w:r>
        <w:rPr>
          <w:rFonts w:hint="eastAsia" w:ascii="仿宋" w:hAnsi="仿宋" w:eastAsia="仿宋" w:cs="仿宋"/>
          <w:color w:val="auto"/>
          <w:sz w:val="28"/>
          <w:szCs w:val="36"/>
          <w:highlight w:val="none"/>
          <w:u w:val="single"/>
          <w:lang w:val="en-US" w:eastAsia="zh-CN"/>
        </w:rPr>
        <w:t xml:space="preserve">0</w:t>
      </w:r>
      <w:r>
        <w:rPr>
          <w:rFonts w:hint="eastAsia" w:ascii="仿宋" w:hAnsi="仿宋" w:eastAsia="仿宋" w:cs="仿宋"/>
          <w:color w:val="auto"/>
          <w:sz w:val="28"/>
          <w:szCs w:val="36"/>
          <w:highlight w:val="none"/>
          <w:u w:val="single"/>
        </w:rPr>
        <w:t xml:space="preserve">0</w:t>
      </w:r>
      <w:r>
        <w:rPr>
          <w:rFonts w:hint="eastAsia" w:ascii="仿宋" w:hAnsi="仿宋" w:eastAsia="仿宋" w:cs="仿宋"/>
          <w:color w:val="auto"/>
          <w:spacing w:val="-1"/>
          <w:sz w:val="28"/>
          <w:szCs w:val="36"/>
          <w:highlight w:val="none"/>
        </w:rPr>
        <w:t xml:space="preserve"> </w:t>
      </w:r>
      <w:r>
        <w:rPr>
          <w:rFonts w:hint="eastAsia" w:ascii="仿宋" w:hAnsi="仿宋" w:eastAsia="仿宋" w:cs="仿宋"/>
          <w:color w:val="auto"/>
          <w:spacing w:val="-1"/>
          <w:sz w:val="28"/>
          <w:szCs w:val="36"/>
          <w:highlight w:val="none"/>
        </w:rPr>
        <w:t xml:space="preserve">时前根据本征集文件要求提交</w:t>
      </w:r>
      <w:r>
        <w:rPr>
          <w:rFonts w:hint="eastAsia" w:ascii="仿宋" w:hAnsi="仿宋" w:eastAsia="仿宋" w:cs="仿宋"/>
          <w:color w:val="auto"/>
          <w:sz w:val="28"/>
          <w:szCs w:val="36"/>
          <w:highlight w:val="none"/>
        </w:rPr>
        <w:t xml:space="preserve">响应文件。</w:t>
      </w:r>
      <w:r/>
    </w:p>
    <w:p>
      <w:pPr>
        <w:pStyle w:val="721"/>
        <w:spacing w:line="500" w:lineRule="exact"/>
        <w:rPr>
          <w:color w:val="auto"/>
          <w:highlight w:val="none"/>
        </w:rPr>
      </w:pPr>
      <w:r>
        <w:rPr>
          <w:color w:val="auto"/>
          <w:highlight w:val="none"/>
        </w:rPr>
      </w:r>
      <w:r/>
    </w:p>
    <w:p>
      <w:pPr>
        <w:pStyle w:val="721"/>
        <w:spacing w:line="500" w:lineRule="exact"/>
        <w:rPr>
          <w:color w:val="auto"/>
          <w:highlight w:val="none"/>
        </w:rPr>
      </w:pPr>
      <w:r>
        <w:rPr>
          <w:color w:val="auto"/>
          <w:highlight w:val="none"/>
        </w:rPr>
      </w:r>
      <w:r/>
    </w:p>
    <w:p>
      <w:pPr>
        <w:pStyle w:val="721"/>
        <w:spacing w:line="500" w:lineRule="exact"/>
        <w:rPr>
          <w:color w:val="auto"/>
          <w:sz w:val="25"/>
          <w:highlight w:val="none"/>
        </w:rPr>
      </w:pPr>
      <w:r>
        <w:rPr>
          <w:color w:val="auto"/>
          <w:sz w:val="25"/>
          <w:highlight w:val="none"/>
        </w:rPr>
      </w:r>
      <w:r/>
    </w:p>
    <w:p>
      <w:pPr>
        <w:pStyle w:val="721"/>
        <w:ind w:right="488" w:firstLine="548"/>
        <w:jc w:val="right"/>
        <w:spacing w:line="500" w:lineRule="exact"/>
        <w:rPr>
          <w:rFonts w:ascii="仿宋" w:hAnsi="仿宋" w:eastAsia="仿宋" w:cs="仿宋"/>
          <w:color w:val="auto"/>
          <w:spacing w:val="-3"/>
          <w:szCs w:val="36"/>
          <w:highlight w:val="none"/>
          <w:u w:val="single"/>
        </w:rPr>
      </w:pPr>
      <w:r>
        <w:rPr>
          <w:rFonts w:hint="eastAsia" w:ascii="仿宋" w:hAnsi="仿宋" w:eastAsia="仿宋" w:cs="仿宋"/>
          <w:color w:val="auto"/>
          <w:spacing w:val="-3"/>
          <w:szCs w:val="36"/>
          <w:highlight w:val="none"/>
        </w:rPr>
        <w:t xml:space="preserve">征集人：</w:t>
      </w:r>
      <w:r>
        <w:rPr>
          <w:rFonts w:hint="eastAsia" w:ascii="仿宋" w:hAnsi="仿宋" w:eastAsia="仿宋" w:cs="仿宋"/>
          <w:color w:val="auto"/>
          <w:spacing w:val="-3"/>
          <w:szCs w:val="36"/>
          <w:highlight w:val="none"/>
          <w:u w:val="single"/>
        </w:rPr>
        <w:t xml:space="preserve">如皋市市场监督管理局</w:t>
      </w:r>
      <w:r/>
    </w:p>
    <w:p>
      <w:pPr>
        <w:pStyle w:val="721"/>
        <w:ind w:right="488" w:firstLine="548"/>
        <w:jc w:val="right"/>
        <w:spacing w:line="500" w:lineRule="exact"/>
        <w:rPr>
          <w:rFonts w:ascii="仿宋" w:hAnsi="仿宋" w:eastAsia="仿宋" w:cs="仿宋"/>
          <w:color w:val="auto"/>
          <w:spacing w:val="-3"/>
          <w:szCs w:val="36"/>
          <w:highlight w:val="none"/>
        </w:rPr>
      </w:pPr>
      <w:r>
        <w:rPr>
          <w:rFonts w:hint="eastAsia" w:ascii="仿宋" w:hAnsi="仿宋" w:eastAsia="仿宋" w:cs="仿宋"/>
          <w:color w:val="auto"/>
          <w:spacing w:val="-3"/>
          <w:szCs w:val="36"/>
          <w:highlight w:val="none"/>
        </w:rPr>
        <w:t xml:space="preserve">日</w:t>
      </w:r>
      <w:r>
        <w:rPr>
          <w:rFonts w:hint="eastAsia" w:ascii="仿宋" w:hAnsi="仿宋" w:eastAsia="仿宋" w:cs="仿宋"/>
          <w:color w:val="auto"/>
          <w:spacing w:val="-3"/>
          <w:szCs w:val="36"/>
          <w:highlight w:val="none"/>
        </w:rPr>
        <w:tab/>
      </w:r>
      <w:r>
        <w:rPr>
          <w:rFonts w:hint="eastAsia" w:ascii="仿宋" w:hAnsi="仿宋" w:eastAsia="仿宋" w:cs="仿宋"/>
          <w:color w:val="auto"/>
          <w:spacing w:val="-3"/>
          <w:szCs w:val="36"/>
          <w:highlight w:val="none"/>
        </w:rPr>
        <w:t xml:space="preserve">期：202</w:t>
      </w:r>
      <w:r>
        <w:rPr>
          <w:rFonts w:hint="eastAsia" w:ascii="仿宋" w:hAnsi="仿宋" w:eastAsia="仿宋" w:cs="仿宋"/>
          <w:color w:val="auto"/>
          <w:spacing w:val="-3"/>
          <w:szCs w:val="36"/>
          <w:highlight w:val="none"/>
          <w:lang w:val="en-US" w:eastAsia="zh-CN"/>
        </w:rPr>
        <w:t xml:space="preserve">5</w:t>
      </w:r>
      <w:r>
        <w:rPr>
          <w:rFonts w:hint="eastAsia" w:ascii="仿宋" w:hAnsi="仿宋" w:eastAsia="仿宋" w:cs="仿宋"/>
          <w:color w:val="auto"/>
          <w:spacing w:val="-3"/>
          <w:szCs w:val="36"/>
          <w:highlight w:val="none"/>
        </w:rPr>
        <w:t xml:space="preserve">年 0</w:t>
      </w:r>
      <w:r>
        <w:rPr>
          <w:rFonts w:hint="eastAsia" w:ascii="仿宋" w:hAnsi="仿宋" w:eastAsia="仿宋" w:cs="仿宋"/>
          <w:color w:val="auto"/>
          <w:spacing w:val="-3"/>
          <w:szCs w:val="36"/>
          <w:highlight w:val="none"/>
          <w:lang w:val="en-US" w:eastAsia="zh-CN"/>
        </w:rPr>
        <w:t xml:space="preserve">2</w:t>
      </w:r>
      <w:r>
        <w:rPr>
          <w:rFonts w:hint="eastAsia" w:ascii="仿宋" w:hAnsi="仿宋" w:eastAsia="仿宋" w:cs="仿宋"/>
          <w:color w:val="auto"/>
          <w:spacing w:val="-3"/>
          <w:szCs w:val="36"/>
          <w:highlight w:val="none"/>
        </w:rPr>
        <w:t xml:space="preserve">月</w:t>
      </w:r>
      <w:r>
        <w:rPr>
          <w:rFonts w:hint="eastAsia" w:ascii="仿宋" w:hAnsi="仿宋" w:eastAsia="仿宋" w:cs="仿宋"/>
          <w:color w:val="auto"/>
          <w:spacing w:val="-3"/>
          <w:szCs w:val="36"/>
          <w:highlight w:val="none"/>
          <w:lang w:val="en-US" w:eastAsia="zh-CN"/>
        </w:rPr>
        <w:t xml:space="preserve"> 27</w:t>
      </w:r>
      <w:r>
        <w:rPr>
          <w:rFonts w:hint="eastAsia" w:ascii="仿宋" w:hAnsi="仿宋" w:eastAsia="仿宋" w:cs="仿宋"/>
          <w:color w:val="auto"/>
          <w:spacing w:val="-3"/>
          <w:szCs w:val="36"/>
          <w:highlight w:val="none"/>
        </w:rPr>
        <w:t xml:space="preserve">日</w:t>
      </w:r>
      <w:r/>
    </w:p>
    <w:p>
      <w:pPr>
        <w:jc w:val="center"/>
        <w:spacing w:line="500" w:lineRule="exact"/>
        <w:tabs>
          <w:tab w:val="left" w:pos="1101" w:leader="none"/>
          <w:tab w:val="left" w:pos="2200" w:leader="none"/>
          <w:tab w:val="left" w:pos="3299" w:leader="none"/>
          <w:tab w:val="left" w:pos="4401" w:leader="none"/>
        </w:tabs>
        <w:rPr>
          <w:rFonts w:ascii="宋体" w:hAnsi="宋体" w:eastAsia="宋体" w:cs="宋体"/>
          <w:color w:val="auto"/>
          <w:sz w:val="24"/>
          <w:highlight w:val="none"/>
          <w:shd w:val="clear" w:color="auto" w:fill="ffffff"/>
        </w:rPr>
      </w:pPr>
      <w:r>
        <w:rPr>
          <w:rFonts w:hint="eastAsia" w:ascii="仿宋" w:hAnsi="仿宋" w:eastAsia="仿宋" w:cs="仿宋"/>
          <w:color w:val="auto"/>
          <w:spacing w:val="-3"/>
          <w:sz w:val="28"/>
          <w:szCs w:val="36"/>
          <w:highlight w:val="none"/>
        </w:rPr>
        <w:br w:type="page" w:clear="all"/>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bookmarkStart w:id="40" w:name="_Toc6490"/>
      <w:r>
        <w:rPr>
          <w:rFonts w:hint="eastAsia" w:ascii="黑体" w:hAnsi="黑体" w:eastAsia="黑体" w:cs="黑体"/>
          <w:color w:val="auto"/>
          <w:sz w:val="30"/>
          <w:szCs w:val="30"/>
          <w:highlight w:val="none"/>
          <w:shd w:val="clear" w:color="auto" w:fill="ffffff"/>
        </w:rPr>
        <w:t xml:space="preserve">二、供应商应当提交的资格材料</w:t>
      </w:r>
      <w:bookmarkEnd w:id="40"/>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资格证明文件包括以下内容：</w:t>
      </w:r>
      <w:r/>
    </w:p>
    <w:p>
      <w:pPr>
        <w:ind w:firstLine="560"/>
        <w:spacing w:line="500" w:lineRule="exact"/>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法人或者其他组织的营业执照，自然人的身份证明（复印件）。</w:t>
      </w:r>
      <w:r/>
    </w:p>
    <w:p>
      <w:pPr>
        <w:ind w:firstLine="560"/>
        <w:spacing w:line="500" w:lineRule="exact"/>
        <w:rPr>
          <w:rFonts w:ascii="仿宋" w:hAnsi="仿宋" w:eastAsia="仿宋" w:cs="Arial"/>
          <w:color w:val="auto"/>
          <w:sz w:val="28"/>
          <w:szCs w:val="28"/>
          <w:highlight w:val="none"/>
        </w:rPr>
      </w:pPr>
      <w:r>
        <w:rPr>
          <w:rFonts w:hint="eastAsia" w:ascii="仿宋" w:hAnsi="仿宋" w:eastAsia="仿宋" w:cs="Arial"/>
          <w:color w:val="auto"/>
          <w:sz w:val="28"/>
          <w:szCs w:val="28"/>
          <w:highlight w:val="none"/>
        </w:rPr>
        <w:t xml:space="preserve">（二）</w:t>
      </w:r>
      <w:r>
        <w:rPr>
          <w:rFonts w:hint="eastAsia" w:ascii="仿宋" w:hAnsi="仿宋" w:eastAsia="仿宋"/>
          <w:color w:val="auto"/>
          <w:sz w:val="28"/>
          <w:szCs w:val="28"/>
          <w:highlight w:val="none"/>
        </w:rPr>
        <w:t xml:space="preserve">参加本次采购活动前的会计报表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spacing w:line="500" w:lineRule="exact"/>
        <w:rPr>
          <w:rFonts w:ascii="仿宋" w:hAnsi="仿宋" w:eastAsia="仿宋" w:cs="Arial"/>
          <w:color w:val="auto"/>
          <w:sz w:val="28"/>
          <w:szCs w:val="28"/>
          <w:highlight w:val="none"/>
        </w:rPr>
      </w:pPr>
      <w:r>
        <w:rPr>
          <w:rFonts w:hint="eastAsia" w:ascii="仿宋" w:hAnsi="仿宋" w:eastAsia="仿宋" w:cs="Arial"/>
          <w:color w:val="auto"/>
          <w:sz w:val="28"/>
          <w:szCs w:val="28"/>
          <w:highlight w:val="none"/>
        </w:rPr>
        <w:t xml:space="preserve">（三）参加本次采购活动前一年内至少一个月缴纳增值税、营业税或者企业所得税的凭据（如属于免税单位的需出具税务部门免税证明材料复印件），以及缴纳社会保险的凭据（专用收据或者社会保险缴纳清单）（复印件）。</w:t>
      </w:r>
      <w:r/>
    </w:p>
    <w:p>
      <w:pPr>
        <w:ind w:firstLine="560"/>
        <w:jc w:val="left"/>
        <w:spacing w:line="500" w:lineRule="exact"/>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rPr>
          <w:rFonts w:ascii="仿宋" w:hAnsi="仿宋" w:eastAsia="仿宋" w:cs="Arial"/>
          <w:color w:val="auto"/>
          <w:sz w:val="28"/>
          <w:szCs w:val="28"/>
          <w:highlight w:val="none"/>
        </w:rPr>
        <w:t xml:space="preserve">原件</w:t>
      </w:r>
      <w:r>
        <w:rPr>
          <w:rFonts w:hint="eastAsia" w:ascii="仿宋" w:hAnsi="仿宋" w:eastAsia="仿宋" w:cs="Arial"/>
          <w:color w:val="auto"/>
          <w:sz w:val="28"/>
          <w:szCs w:val="28"/>
          <w:highlight w:val="none"/>
        </w:rPr>
        <w:t xml:space="preserve">）</w:t>
      </w:r>
      <w:r/>
    </w:p>
    <w:p>
      <w:pPr>
        <w:ind w:firstLine="560"/>
        <w:spacing w:line="500" w:lineRule="exact"/>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参加政府采购活动前 3 年内在经营活动中没有重大违法记录的书面声明（</w:t>
      </w:r>
      <w:r>
        <w:rPr>
          <w:rFonts w:ascii="仿宋" w:hAnsi="仿宋" w:eastAsia="仿宋"/>
          <w:color w:val="auto"/>
          <w:sz w:val="28"/>
          <w:szCs w:val="28"/>
          <w:highlight w:val="none"/>
        </w:rPr>
        <w:t xml:space="preserve">原件</w:t>
      </w:r>
      <w:r>
        <w:rPr>
          <w:rFonts w:hint="eastAsia" w:ascii="仿宋" w:hAnsi="仿宋" w:eastAsia="仿宋" w:cs="Arial"/>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书（原件）</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（七）</w:t>
      </w:r>
      <w:r>
        <w:rPr>
          <w:rFonts w:hint="eastAsia" w:ascii="仿宋" w:hAnsi="仿宋" w:eastAsia="仿宋" w:cs="Arial"/>
          <w:color w:val="auto"/>
          <w:sz w:val="28"/>
          <w:szCs w:val="28"/>
          <w:highlight w:val="none"/>
        </w:rPr>
        <w:t xml:space="preserve">参与征集确认函（原件）。</w:t>
      </w:r>
      <w:r/>
    </w:p>
    <w:p>
      <w:pPr>
        <w:jc w:val="left"/>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    （八）</w:t>
      </w:r>
      <w:r>
        <w:rPr>
          <w:rFonts w:hint="eastAsia" w:ascii="仿宋" w:hAnsi="仿宋" w:eastAsia="仿宋"/>
          <w:color w:val="auto"/>
          <w:sz w:val="28"/>
          <w:szCs w:val="28"/>
          <w:highlight w:val="none"/>
        </w:rPr>
        <w:t xml:space="preserve">其他资格证明材料（格式自拟），包括但不限于</w:t>
      </w:r>
      <w:r>
        <w:rPr>
          <w:rFonts w:hint="eastAsia" w:ascii="仿宋" w:hAnsi="仿宋" w:eastAsia="仿宋" w:cs="Arial"/>
          <w:color w:val="auto"/>
          <w:sz w:val="28"/>
          <w:szCs w:val="28"/>
          <w:highlight w:val="none"/>
        </w:rPr>
        <w:t xml:space="preserve">对应本项目征集公告中申请人的特定资格要求中的</w:t>
      </w:r>
      <w:r>
        <w:rPr>
          <w:rFonts w:hint="eastAsia" w:ascii="仿宋" w:hAnsi="仿宋" w:eastAsia="仿宋"/>
          <w:color w:val="auto"/>
          <w:sz w:val="28"/>
          <w:szCs w:val="28"/>
          <w:highlight w:val="none"/>
        </w:rPr>
        <w:t xml:space="preserve">相应其他证明材料。</w:t>
      </w:r>
      <w:r/>
    </w:p>
    <w:p>
      <w:pPr>
        <w:ind w:firstLine="562"/>
        <w:spacing w:line="50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注意：声明函、确认函、委托书格式文本见附件；</w:t>
      </w:r>
      <w:r>
        <w:rPr>
          <w:rFonts w:hint="eastAsia" w:ascii="仿宋" w:hAnsi="仿宋" w:eastAsia="仿宋"/>
          <w:b/>
          <w:bCs/>
          <w:color w:val="auto"/>
          <w:sz w:val="28"/>
          <w:szCs w:val="28"/>
          <w:highlight w:val="none"/>
        </w:rPr>
        <w:t xml:space="preserve">以上所有资格证明文件必须加盖公章</w:t>
      </w:r>
      <w:r>
        <w:rPr>
          <w:rFonts w:hint="eastAsia" w:ascii="仿宋" w:hAnsi="仿宋" w:eastAsia="仿宋"/>
          <w:b/>
          <w:color w:val="auto"/>
          <w:sz w:val="28"/>
          <w:szCs w:val="28"/>
          <w:highlight w:val="none"/>
        </w:rPr>
        <w:t xml:space="preserve">。</w:t>
      </w:r>
      <w:r/>
    </w:p>
    <w:p>
      <w:pPr>
        <w:rPr>
          <w:b/>
          <w:bCs/>
          <w:color w:val="auto"/>
          <w:sz w:val="36"/>
          <w:szCs w:val="44"/>
          <w:highlight w:val="none"/>
        </w:rPr>
      </w:pPr>
      <w:r>
        <w:rPr>
          <w:b/>
          <w:bCs/>
          <w:color w:val="auto"/>
          <w:sz w:val="36"/>
          <w:szCs w:val="44"/>
          <w:highlight w:val="none"/>
        </w:rPr>
        <w:br w:type="page" w:clear="all"/>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bookmarkStart w:id="41" w:name="_Toc1430"/>
      <w:r>
        <w:rPr>
          <w:rFonts w:hint="eastAsia" w:ascii="黑体" w:hAnsi="黑体" w:eastAsia="黑体" w:cs="黑体"/>
          <w:color w:val="auto"/>
          <w:sz w:val="30"/>
          <w:szCs w:val="30"/>
          <w:highlight w:val="none"/>
          <w:shd w:val="clear" w:color="auto" w:fill="ffffff"/>
        </w:rPr>
        <w:t xml:space="preserve">三、资格审查方法和标准</w:t>
      </w:r>
      <w:bookmarkEnd w:id="4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1.采购人依据法律法规和征集公告、征集文件的规定，对征集文件中的资格证明材料等进行符合性审查，以确定供应商是否具备参加征集的资格。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2.评审小组将在“信用中国”、“中国政府采购网  ”网站对供应商是否被列入失信被执行人或重大税收违法案件当事人名单或政府采购严重失信行为记录名单情况进行查询，以确定供应商是否具备投标的资格。</w:t>
      </w:r>
      <w:r/>
    </w:p>
    <w:p>
      <w:pPr>
        <w:pStyle w:val="740"/>
        <w:ind w:firstLine="560"/>
        <w:jc w:val="both"/>
        <w:spacing w:beforeAutospacing="0" w:afterAutospacing="0" w:line="500" w:lineRule="exact"/>
        <w:widowControl/>
        <w:rPr>
          <w:rFonts w:ascii="仿宋" w:hAnsi="仿宋" w:eastAsia="仿宋" w:cstheme="minorBidi"/>
          <w:color w:val="auto"/>
          <w:sz w:val="28"/>
          <w:szCs w:val="28"/>
          <w:highlight w:val="none"/>
        </w:rPr>
      </w:pPr>
      <w:r>
        <w:rPr>
          <w:rFonts w:hint="eastAsia" w:ascii="仿宋" w:hAnsi="仿宋" w:eastAsia="仿宋" w:cstheme="minorBidi"/>
          <w:color w:val="auto"/>
          <w:sz w:val="28"/>
          <w:szCs w:val="28"/>
          <w:highlight w:val="none"/>
        </w:rPr>
        <w:t xml:space="preserve">3.资格审查合格的供应商进入下一阶段的评审。</w:t>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bookmarkStart w:id="42" w:name="_Toc2471"/>
      <w:r>
        <w:rPr>
          <w:rFonts w:hint="eastAsia" w:ascii="黑体" w:hAnsi="黑体" w:eastAsia="黑体" w:cs="黑体"/>
          <w:color w:val="auto"/>
          <w:sz w:val="30"/>
          <w:szCs w:val="30"/>
          <w:highlight w:val="none"/>
          <w:shd w:val="clear" w:color="auto" w:fill="ffffff"/>
        </w:rPr>
        <w:t xml:space="preserve">四、采购需求以及最高限制单</w:t>
      </w:r>
      <w:bookmarkStart w:id="43" w:name="_Toc23207"/>
      <w:r>
        <w:rPr>
          <w:rFonts w:hint="eastAsia" w:ascii="黑体" w:hAnsi="黑体" w:eastAsia="黑体" w:cs="黑体"/>
          <w:color w:val="auto"/>
          <w:sz w:val="30"/>
          <w:szCs w:val="30"/>
          <w:highlight w:val="none"/>
          <w:shd w:val="clear" w:color="auto" w:fill="ffffff"/>
        </w:rPr>
        <w:t xml:space="preserve">价</w:t>
      </w:r>
      <w:bookmarkEnd w:id="42"/>
      <w:r/>
      <w:r/>
    </w:p>
    <w:p>
      <w:pPr>
        <w:ind w:firstLine="560"/>
        <w:spacing w:line="500" w:lineRule="exact"/>
        <w:rPr>
          <w:rFonts w:ascii="黑体" w:hAnsi="黑体" w:eastAsia="黑体"/>
          <w:color w:val="auto"/>
          <w:sz w:val="28"/>
          <w:szCs w:val="28"/>
          <w:highlight w:val="none"/>
        </w:rPr>
        <w:outlineLvl w:val="1"/>
      </w:pPr>
      <w:r/>
      <w:bookmarkStart w:id="44" w:name="_Toc3091"/>
      <w:r>
        <w:rPr>
          <w:rFonts w:hint="eastAsia" w:ascii="黑体" w:hAnsi="黑体" w:eastAsia="黑体"/>
          <w:color w:val="auto"/>
          <w:sz w:val="28"/>
          <w:szCs w:val="28"/>
          <w:highlight w:val="none"/>
        </w:rPr>
        <w:t xml:space="preserve">（一）项目简介</w:t>
      </w:r>
      <w:bookmarkEnd w:id="43"/>
      <w:r/>
      <w:bookmarkEnd w:id="44"/>
      <w:r/>
      <w:r/>
    </w:p>
    <w:p>
      <w:pPr>
        <w:pStyle w:val="898"/>
        <w:ind w:firstLine="560"/>
        <w:spacing w:line="480" w:lineRule="exact"/>
        <w:rPr>
          <w:rFonts w:hint="eastAsia"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rPr>
        <w:t xml:space="preserve">采购需求：</w:t>
      </w:r>
      <w:r>
        <w:rPr>
          <w:rFonts w:hint="eastAsia" w:ascii="仿宋" w:hAnsi="仿宋" w:eastAsia="仿宋"/>
          <w:sz w:val="28"/>
          <w:szCs w:val="28"/>
          <w:highlight w:val="none"/>
          <w:lang w:val="en-US" w:eastAsia="zh-CN"/>
        </w:rPr>
        <w:t xml:space="preserve">根据南通市市场监督管理局要求，为确保完成全年任务，本项目用于2025年食品、食用农产品抽检，共计3000批次，现向社会公开征集5家供应商。</w:t>
      </w:r>
      <w:r/>
    </w:p>
    <w:p>
      <w:pPr>
        <w:ind w:firstLine="560"/>
        <w:spacing w:line="500" w:lineRule="exact"/>
        <w:rPr>
          <w:rFonts w:ascii="黑体" w:hAnsi="黑体" w:eastAsia="黑体"/>
          <w:color w:val="auto"/>
          <w:sz w:val="28"/>
          <w:szCs w:val="28"/>
          <w:highlight w:val="none"/>
        </w:rPr>
        <w:outlineLvl w:val="1"/>
      </w:pPr>
      <w:r/>
      <w:bookmarkStart w:id="45" w:name="_Toc24097"/>
      <w:r/>
      <w:bookmarkStart w:id="46" w:name="_Toc4801"/>
      <w:r>
        <w:rPr>
          <w:rFonts w:hint="eastAsia" w:ascii="黑体" w:hAnsi="黑体" w:eastAsia="黑体"/>
          <w:color w:val="auto"/>
          <w:sz w:val="28"/>
          <w:szCs w:val="28"/>
          <w:highlight w:val="none"/>
        </w:rPr>
        <w:t xml:space="preserve">（二）采购内容</w:t>
      </w:r>
      <w:bookmarkEnd w:id="45"/>
      <w:r/>
      <w:bookmarkEnd w:id="46"/>
      <w:r/>
      <w:r/>
    </w:p>
    <w:p>
      <w:pPr>
        <w:ind w:firstLine="560"/>
        <w:spacing w:line="500" w:lineRule="exact"/>
        <w:rPr>
          <w:rFonts w:hint="eastAsia" w:ascii="仿宋" w:hAnsi="仿宋" w:eastAsia="仿宋" w:cs="Times New Roman"/>
          <w:color w:val="auto"/>
          <w:sz w:val="28"/>
          <w:szCs w:val="28"/>
          <w:highlight w:val="none"/>
          <w:lang w:eastAsia="zh-CN"/>
        </w:rPr>
      </w:pPr>
      <w:r/>
      <w:bookmarkStart w:id="47" w:name="_Toc6020"/>
      <w:r>
        <w:rPr>
          <w:rFonts w:hint="eastAsia" w:ascii="仿宋" w:hAnsi="仿宋" w:eastAsia="仿宋" w:cs="Times New Roman"/>
          <w:color w:val="auto"/>
          <w:sz w:val="28"/>
          <w:szCs w:val="28"/>
          <w:highlight w:val="none"/>
          <w:lang w:eastAsia="zh-CN"/>
        </w:rPr>
        <w:t xml:space="preserve">2025年食品、食用农产品抽检项目入围供应商5家。</w:t>
      </w:r>
      <w:r/>
    </w:p>
    <w:p>
      <w:pPr>
        <w:ind w:firstLine="560"/>
        <w:jc w:val="left"/>
        <w:spacing w:line="500" w:lineRule="exact"/>
        <w:rPr>
          <w:rFonts w:ascii="黑体" w:hAnsi="黑体" w:eastAsia="黑体"/>
          <w:color w:val="auto"/>
          <w:sz w:val="28"/>
          <w:szCs w:val="28"/>
          <w:highlight w:val="none"/>
        </w:rPr>
        <w:outlineLvl w:val="1"/>
      </w:pPr>
      <w:r/>
      <w:bookmarkStart w:id="48" w:name="_Toc3189"/>
      <w:r>
        <w:rPr>
          <w:rFonts w:hint="eastAsia" w:ascii="黑体" w:hAnsi="黑体" w:eastAsia="黑体"/>
          <w:color w:val="auto"/>
          <w:sz w:val="28"/>
          <w:szCs w:val="28"/>
          <w:highlight w:val="none"/>
        </w:rPr>
        <w:t xml:space="preserve">（三）服务要求：</w:t>
      </w:r>
      <w:bookmarkEnd w:id="47"/>
      <w:r/>
      <w:bookmarkEnd w:id="48"/>
      <w:r/>
      <w:r/>
    </w:p>
    <w:p>
      <w:pPr>
        <w:numPr>
          <w:ilvl w:val="0"/>
          <w:numId w:val="0"/>
        </w:numPr>
        <w:ind w:firstLine="560"/>
        <w:jc w:val="left"/>
        <w:keepLines w:val="0"/>
        <w:keepNext w:val="0"/>
        <w:pageBreakBefore w:val="0"/>
        <w:spacing w:line="520" w:lineRule="exact"/>
        <w:widowControl w:val="off"/>
        <w:rPr>
          <w:rFonts w:hint="default" w:ascii="仿宋" w:hAnsi="仿宋" w:eastAsia="仿宋"/>
          <w:sz w:val="28"/>
          <w:szCs w:val="28"/>
          <w:highlight w:val="none"/>
          <w:lang w:val="en-US" w:eastAsia="zh-CN"/>
        </w:rPr>
      </w:pPr>
      <w:r/>
      <w:bookmarkStart w:id="49" w:name="_Toc17076"/>
      <w:r/>
      <w:bookmarkStart w:id="50" w:name="_Toc2230"/>
      <w:r>
        <w:rPr>
          <w:rFonts w:hint="eastAsia" w:ascii="仿宋" w:hAnsi="仿宋" w:eastAsia="仿宋"/>
          <w:sz w:val="28"/>
          <w:szCs w:val="28"/>
          <w:highlight w:val="none"/>
        </w:rPr>
        <w:t xml:space="preserve">1. </w:t>
      </w:r>
      <w:r>
        <w:rPr>
          <w:rFonts w:hint="eastAsia" w:ascii="仿宋" w:hAnsi="仿宋" w:eastAsia="仿宋"/>
          <w:sz w:val="28"/>
          <w:szCs w:val="28"/>
          <w:highlight w:val="none"/>
          <w:lang w:val="en-US" w:eastAsia="zh-CN"/>
        </w:rPr>
        <w:t xml:space="preserve">具体安排</w:t>
      </w:r>
      <w:r/>
    </w:p>
    <w:p>
      <w:pPr>
        <w:numPr>
          <w:ilvl w:val="0"/>
          <w:numId w:val="0"/>
        </w:num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抽检品种和项目。食用农产品抽检品种包括蔬菜、水果、畜禽肉及副产品、水产品、鲜蛋等。抽检项目应包含所指定的项目，要突出农兽药残留、重金属等。抽检项目依据市场监管总局制定的《</w:t>
      </w:r>
      <w:r>
        <w:rPr>
          <w:rFonts w:hint="eastAsia" w:ascii="仿宋" w:hAnsi="仿宋" w:eastAsia="仿宋"/>
          <w:sz w:val="28"/>
          <w:szCs w:val="28"/>
          <w:highlight w:val="none"/>
          <w:lang w:val="en-US" w:eastAsia="zh-CN"/>
        </w:rPr>
        <w:t xml:space="preserve">国家食品安全监督抽检实施细则（2024年版）</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 </w:t>
      </w:r>
      <w:r/>
    </w:p>
    <w:p>
      <w:pPr>
        <w:ind w:firstLine="560"/>
        <w:jc w:val="left"/>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抽检对象。生产环节主要针对食品小作坊和上级部门未抽检到的企业开展抽检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实现生产环节全覆盖</w:t>
      </w:r>
      <w:r>
        <w:rPr>
          <w:rFonts w:hint="eastAsia" w:ascii="仿宋" w:hAnsi="仿宋" w:eastAsia="仿宋"/>
          <w:sz w:val="28"/>
          <w:szCs w:val="28"/>
          <w:highlight w:val="none"/>
        </w:rPr>
        <w:t xml:space="preserve">。流通环节采样应涵盖农副产品批发市场、农贸市场、商场、超市、小食杂店、食品摊贩等不同业态。餐饮环节采样重点为学校和托幼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养老</w:t>
      </w:r>
      <w:r>
        <w:rPr>
          <w:rFonts w:hint="eastAsia" w:ascii="仿宋" w:hAnsi="仿宋" w:eastAsia="仿宋"/>
          <w:sz w:val="28"/>
          <w:szCs w:val="28"/>
          <w:highlight w:val="none"/>
        </w:rPr>
        <w:t xml:space="preserve">机构食堂以及中央厨房、集体用餐配送单位、旅游景区餐饮服务单位、网络餐饮供餐单位、小餐饮等，加强对餐饮企业食品原材料、自制食品的抽检。对于粮食加工品、食用油、油脂及其制品、乳制品、饮料、葡萄酒、饼干、炒货食品及坚果制品等品种，可安排抽检一定量的网购食品和进口食品。</w:t>
      </w:r>
      <w:r/>
    </w:p>
    <w:p>
      <w:pPr>
        <w:ind w:firstLine="560"/>
        <w:jc w:val="left"/>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抽检时间和频次。要全年均衡完成抽检任务，原则上应每周抽检蔬菜、水果、畜禽肉、水产品、鲜蛋等食用农产品，承检进度按照每月完成任务数的</w:t>
      </w:r>
      <w:r>
        <w:rPr>
          <w:rFonts w:hint="eastAsia" w:ascii="仿宋" w:hAnsi="仿宋" w:eastAsia="仿宋"/>
          <w:sz w:val="28"/>
          <w:szCs w:val="28"/>
          <w:highlight w:val="none"/>
          <w:lang w:val="en-US" w:eastAsia="zh-CN"/>
        </w:rPr>
        <w:t xml:space="preserve">17</w:t>
      </w:r>
      <w:r>
        <w:rPr>
          <w:rFonts w:ascii="仿宋" w:hAnsi="仿宋" w:eastAsia="仿宋"/>
          <w:sz w:val="28"/>
          <w:szCs w:val="28"/>
          <w:highlight w:val="none"/>
        </w:rPr>
        <w:t xml:space="preserve">%</w:t>
      </w:r>
      <w:r>
        <w:rPr>
          <w:rFonts w:hint="eastAsia" w:ascii="仿宋" w:hAnsi="仿宋" w:eastAsia="仿宋"/>
          <w:sz w:val="28"/>
          <w:szCs w:val="28"/>
          <w:highlight w:val="none"/>
        </w:rPr>
        <w:t xml:space="preserve">推进。季节性生产销售的食品或存在季节性质量安全风险的食品在相应季节增加采样量。节令性食品要在节前开展抽检工作。结合舆情监测、日常监管等情况，对反映较突出的问题适时开展专项抽检。加大对高风险食品的抽检频次，高风险产品每月抽检一次，较高风险产品每季度抽检一次，一般风险产品每半年抽检一次。同时要增加对以往检出不合格产品企业的抽检频次。</w:t>
      </w:r>
      <w:r/>
    </w:p>
    <w:p>
      <w:pPr>
        <w:ind w:firstLine="420"/>
        <w:jc w:val="left"/>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服务项目明细及要求</w:t>
      </w:r>
      <w:r/>
    </w:p>
    <w:p>
      <w:pPr>
        <w:ind w:firstLine="560"/>
        <w:jc w:val="left"/>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服务要求</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sz w:val="28"/>
          <w:szCs w:val="28"/>
          <w:highlight w:val="none"/>
        </w:rPr>
        <w:t xml:space="preserve">按时报送数据。承检机构要在每月15日前将前期的不合格项目说明报</w:t>
      </w:r>
      <w:r>
        <w:rPr>
          <w:rFonts w:hint="eastAsia" w:ascii="仿宋" w:hAnsi="仿宋" w:eastAsia="仿宋" w:cs="仿宋"/>
          <w:sz w:val="28"/>
          <w:szCs w:val="28"/>
          <w:highlight w:val="none"/>
          <w:lang w:val="en-US" w:eastAsia="zh-CN"/>
        </w:rPr>
        <w:t xml:space="preserve">如皋</w:t>
      </w:r>
      <w:r>
        <w:rPr>
          <w:rFonts w:hint="eastAsia" w:ascii="仿宋" w:hAnsi="仿宋" w:eastAsia="仿宋" w:cs="仿宋"/>
          <w:sz w:val="28"/>
          <w:szCs w:val="28"/>
          <w:highlight w:val="none"/>
        </w:rPr>
        <w:t xml:space="preserve">市市场监督管理局，严格按照规定时限和规范要求在“国家食品安全抽样检验信息系统”完成食品和食用农产品的抽样、检验，并在每月25日前在“国家食品安全抽样检验信息系统”公示模块完成前期食品抽检结果的数据公示。</w:t>
      </w:r>
      <w:r>
        <w:rPr>
          <w:rFonts w:hint="eastAsia" w:ascii="仿宋" w:hAnsi="仿宋" w:eastAsia="仿宋" w:cs="仿宋"/>
          <w:color w:val="auto"/>
          <w:sz w:val="28"/>
          <w:szCs w:val="28"/>
          <w:highlight w:val="none"/>
          <w:lang w:val="en-US" w:eastAsia="zh-CN"/>
        </w:rPr>
        <w:t xml:space="preserve">纸质</w:t>
      </w:r>
      <w:r>
        <w:rPr>
          <w:rFonts w:hint="eastAsia" w:ascii="仿宋" w:hAnsi="仿宋" w:eastAsia="仿宋" w:cs="仿宋"/>
          <w:color w:val="auto"/>
          <w:sz w:val="28"/>
          <w:szCs w:val="28"/>
          <w:highlight w:val="none"/>
          <w:lang w:eastAsia="zh-CN"/>
        </w:rPr>
        <w:t xml:space="preserve">合格报告一式两份，不合格报告一式五份；供应商根据采购人需要安排抽检时间，采样过程全程摄像。</w:t>
      </w:r>
      <w:r/>
    </w:p>
    <w:p>
      <w:pPr>
        <w:ind w:firstLine="560"/>
        <w:jc w:val="left"/>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承检机构发现不合格样品中可能存在重大风险隐患或急性健康风险的，应当在确认检验结果后24小时之内报告相关监管部门，并抄送国家市场监督管理总局。若拖延抄送数据，影响采购人考核，采购人有权</w:t>
      </w:r>
      <w:r>
        <w:rPr>
          <w:rFonts w:hint="eastAsia" w:ascii="仿宋" w:hAnsi="仿宋" w:eastAsia="仿宋"/>
          <w:sz w:val="28"/>
          <w:szCs w:val="28"/>
          <w:highlight w:val="none"/>
          <w:lang w:val="en-US" w:eastAsia="zh-CN"/>
        </w:rPr>
        <w:t xml:space="preserve">解除</w:t>
      </w:r>
      <w:r>
        <w:rPr>
          <w:rFonts w:hint="eastAsia" w:ascii="仿宋" w:hAnsi="仿宋" w:eastAsia="仿宋"/>
          <w:sz w:val="28"/>
          <w:szCs w:val="28"/>
          <w:highlight w:val="none"/>
        </w:rPr>
        <w:t xml:space="preserve">合同，如造成经济损失及不良影响的，追究其经济赔偿责任和法律责任。</w:t>
      </w:r>
      <w:r/>
    </w:p>
    <w:p>
      <w:pPr>
        <w:ind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各有关承检机构及相关人员不得随意更改抽检信息，不得瞒报、谎报、漏报检验数据，不得擅自发布有关抽检的信息，不得在开展抽样工作前事先通知被抽检单位和接受被抽检单位的馈赠，不得利用抽检结果开展有偿活动、牟取不正当利益。对发现的违法违规抽检行为一律依法依规追究相关单位及人员责任。</w:t>
      </w:r>
      <w:r/>
    </w:p>
    <w:p>
      <w:pPr>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3.基本要求</w:t>
      </w:r>
      <w:r/>
    </w:p>
    <w:p>
      <w:pPr>
        <w:ind w:firstLine="562"/>
        <w:jc w:val="left"/>
        <w:keepLines w:val="0"/>
        <w:keepNext w:val="0"/>
        <w:pageBreakBefore w:val="0"/>
        <w:spacing w:line="520" w:lineRule="exact"/>
        <w:widowControl w:val="off"/>
        <w:rPr>
          <w:rFonts w:hint="eastAsia" w:ascii="仿宋" w:hAnsi="仿宋" w:eastAsia="仿宋" w:cs="仿宋"/>
          <w:b/>
          <w:bCs/>
          <w:color w:val="ff0000"/>
          <w:sz w:val="28"/>
          <w:szCs w:val="28"/>
          <w:highlight w:val="none"/>
        </w:rPr>
      </w:pP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lang w:val="en-US" w:eastAsia="zh-CN"/>
        </w:rPr>
        <w:t xml:space="preserve">1</w:t>
      </w:r>
      <w:r>
        <w:rPr>
          <w:rFonts w:hint="eastAsia" w:ascii="仿宋" w:hAnsi="仿宋" w:eastAsia="仿宋" w:cs="仿宋"/>
          <w:b/>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供应商必须具备承担项目任务涉及到的所有检验项目的CMA资质（有效期内）</w:t>
      </w:r>
      <w:r>
        <w:rPr>
          <w:rFonts w:hint="eastAsia" w:ascii="仿宋" w:hAnsi="仿宋" w:eastAsia="仿宋" w:cs="仿宋"/>
          <w:color w:val="auto"/>
          <w:sz w:val="28"/>
          <w:szCs w:val="28"/>
          <w:highlight w:val="none"/>
          <w:lang w:eastAsia="zh-CN"/>
        </w:rPr>
        <w:t xml:space="preserve">，检验项目的检验方法需与食品安全国家标准、食品安全江苏省地方标准或国家市场监督管理总局《食品安全监督抽检实施细则》（2024年版）要求一致，方有资格承担该任务。</w:t>
      </w:r>
      <w:r>
        <w:rPr>
          <w:rFonts w:hint="eastAsia" w:ascii="仿宋" w:hAnsi="仿宋" w:eastAsia="仿宋" w:cs="仿宋"/>
          <w:b/>
          <w:bCs/>
          <w:color w:val="auto"/>
          <w:sz w:val="28"/>
          <w:szCs w:val="28"/>
          <w:highlight w:val="none"/>
          <w:lang w:eastAsia="zh-CN"/>
        </w:rPr>
        <w:t xml:space="preserve">响应文件中须</w:t>
      </w:r>
      <w:r>
        <w:rPr>
          <w:rFonts w:hint="eastAsia" w:ascii="仿宋" w:hAnsi="仿宋" w:eastAsia="仿宋" w:cs="仿宋"/>
          <w:b/>
          <w:bCs/>
          <w:color w:val="auto"/>
          <w:sz w:val="28"/>
          <w:szCs w:val="28"/>
          <w:highlight w:val="none"/>
          <w:lang w:val="en-US" w:eastAsia="zh-CN"/>
        </w:rPr>
        <w:t xml:space="preserve">提供资质证书复印件加盖响应供应商公章</w:t>
      </w:r>
      <w:r>
        <w:rPr>
          <w:rFonts w:hint="eastAsia" w:ascii="仿宋" w:hAnsi="仿宋" w:eastAsia="仿宋" w:cs="仿宋"/>
          <w:b/>
          <w:bCs/>
          <w:color w:val="auto"/>
          <w:sz w:val="28"/>
          <w:szCs w:val="28"/>
          <w:highlight w:val="none"/>
          <w:lang w:eastAsia="zh-CN"/>
        </w:rPr>
        <w:t xml:space="preserve">。</w:t>
      </w:r>
      <w:r/>
    </w:p>
    <w:p>
      <w:pPr>
        <w:ind w:firstLine="562"/>
        <w:jc w:val="left"/>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lang w:val="en-US" w:eastAsia="zh-CN"/>
        </w:rPr>
        <w:t xml:space="preserve">2</w:t>
      </w:r>
      <w:r>
        <w:rPr>
          <w:rFonts w:hint="eastAsia" w:ascii="仿宋" w:hAnsi="仿宋" w:eastAsia="仿宋" w:cs="仿宋"/>
          <w:b/>
          <w:sz w:val="28"/>
          <w:szCs w:val="28"/>
          <w:highlight w:val="none"/>
          <w:lang w:eastAsia="zh-CN"/>
        </w:rPr>
        <w:t xml:space="preserve">）</w:t>
      </w:r>
      <w:r>
        <w:rPr>
          <w:rFonts w:hint="eastAsia" w:ascii="仿宋" w:hAnsi="仿宋" w:eastAsia="仿宋" w:cs="仿宋"/>
          <w:b/>
          <w:bCs/>
          <w:sz w:val="28"/>
          <w:szCs w:val="28"/>
          <w:highlight w:val="none"/>
        </w:rPr>
        <w:t xml:space="preserve">不合格食品发现率应高于上一年度全省平均水平。</w:t>
      </w:r>
      <w:r>
        <w:rPr>
          <w:rFonts w:hint="eastAsia" w:ascii="仿宋" w:hAnsi="仿宋" w:eastAsia="仿宋" w:cs="仿宋"/>
          <w:b/>
          <w:bCs/>
          <w:color w:val="auto"/>
          <w:sz w:val="28"/>
          <w:szCs w:val="28"/>
          <w:highlight w:val="none"/>
          <w:lang w:eastAsia="zh-CN"/>
        </w:rPr>
        <w:t xml:space="preserve">响应文件须</w:t>
      </w:r>
      <w:r>
        <w:rPr>
          <w:rFonts w:hint="eastAsia" w:ascii="仿宋" w:hAnsi="仿宋" w:eastAsia="仿宋" w:cs="仿宋"/>
          <w:b/>
          <w:bCs/>
          <w:color w:val="auto"/>
          <w:sz w:val="28"/>
          <w:szCs w:val="28"/>
          <w:highlight w:val="none"/>
          <w:lang w:val="en-US" w:eastAsia="zh-CN"/>
        </w:rPr>
        <w:t xml:space="preserve">提供承诺书加盖响应供应商公章，承诺书格式自拟</w:t>
      </w:r>
      <w:r>
        <w:rPr>
          <w:rFonts w:hint="eastAsia" w:ascii="仿宋" w:hAnsi="仿宋" w:eastAsia="仿宋" w:cs="仿宋"/>
          <w:b/>
          <w:bCs/>
          <w:color w:val="auto"/>
          <w:sz w:val="28"/>
          <w:szCs w:val="28"/>
          <w:highlight w:val="none"/>
          <w:lang w:eastAsia="zh-CN"/>
        </w:rPr>
        <w:t xml:space="preserve">。</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）抽样办法：根据检验项目及国家标准中规定的采样方法及采样数量抽取样品。</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）样品运输：由供应商负责，并确保样品贮存、运输符合国家相关规定和包装标示的要求，不发生影响检验结论的变化。</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）样品检验：由供应商负责，并对样品检验结果负责。</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）按照专业操守尽职尽责，根据国内的相关标准进行样品的抽样、检验及判定工作，并且按当次抽检方案约定日期出具检验报告；在采购方与第三方同等的条件下，应优先完成对采购方的抽检和监测任务。</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食品安全抽检工作遵照《食品安全抽样检验管理办法》（国家市场监督管理总局令第15号）、原国家食药监总局制定的《食品安全监督抽检和风险监测工作规范》和江苏省、南通市市场监督管理局相关要求执行。</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）供应商应在规定时间内完成采购人部署的抽检检验工作，依法出具检验报告，上报与检验报告对应的电子数据和PDF文件至指定的数据平台，汇总样品抽检结果信息，提交抽检工作分析总结报告。</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对抽检程序及检验结果的规范性、真实性负责，由于抽检程序操作违法违规或虚假、错误检验数据和结论而给被检人造成损失的，或者给社会带来不良影响的，取消其承检资格，并承担赔偿责任及相应法律责任。</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对涉及抽样的全部情况，包括计划制定、抽检过程及数据结果，进行信息保密，不得向除采购方外的任何单位与个人透露，否则取消其承检资格；如造成经济损失及不良影响的，追究其经济赔偿责任和法律责任。</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）供应商对其承担项目抽取的样品负责，检验结果反映送检样品的真实状况。</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）应针对每次任务提供承接项目的质量保障计划、措施和结果，保证原始记录规范完整，并接受采购人组织的专家检验及评估。</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）在本项目服务期内，采购人可根据市场实际需求，涉及标准更新、增加商品新品种、调整部分商品检测项目或机动抽检、临时专项抽检。</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）供应商在开展抽检监测过程中弄虚作假或不配合采购人开展工作的，取消其承检资格。</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）必须自觉接受采购人的考核、检查、比对。</w:t>
      </w:r>
      <w:r/>
    </w:p>
    <w:p>
      <w:pPr>
        <w:ind w:firstLine="560"/>
        <w:jc w:val="left"/>
        <w:keepLines w:val="0"/>
        <w:keepNext w:val="0"/>
        <w:pageBreakBefore w:val="0"/>
        <w:spacing w:line="520" w:lineRule="exact"/>
        <w:widowControl w:val="off"/>
        <w:tabs>
          <w:tab w:val="left" w:pos="4999"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）除采购方同意外，不得将检验任务外包或分包给其他检验机构检验，一经发现，立即取消承检资格。</w:t>
      </w:r>
      <w:r/>
    </w:p>
    <w:p>
      <w:pPr>
        <w:ind w:firstLine="56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4.后续技术服务要求</w:t>
      </w:r>
      <w:r/>
    </w:p>
    <w:p>
      <w:pPr>
        <w:ind w:firstLine="560"/>
        <w:pageBreakBefore w:val="0"/>
        <w:spacing w:line="520" w:lineRule="exact"/>
        <w:rPr>
          <w:rFonts w:hint="eastAsia" w:ascii="仿宋" w:hAnsi="仿宋" w:eastAsia="仿宋" w:cs="仿宋"/>
          <w:b/>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如成交供应商提供的服务成果在使用过程中发生质量问题，供应商接到采购人服务缺陷通知后应在3小时内到达采购方指定现场，按国家及行业标准对服务缺陷进行及时处理。</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w:t>
      </w:r>
      <w:r>
        <w:rPr>
          <w:rFonts w:hint="eastAsia" w:ascii="黑体" w:hAnsi="黑体" w:eastAsia="黑体"/>
          <w:color w:val="auto"/>
          <w:sz w:val="28"/>
          <w:szCs w:val="28"/>
          <w:highlight w:val="none"/>
          <w:lang w:val="en-US" w:eastAsia="zh-CN"/>
        </w:rPr>
        <w:t xml:space="preserve">服务</w:t>
      </w:r>
      <w:r>
        <w:rPr>
          <w:rFonts w:hint="eastAsia" w:ascii="黑体" w:hAnsi="黑体" w:eastAsia="黑体"/>
          <w:color w:val="auto"/>
          <w:sz w:val="28"/>
          <w:szCs w:val="28"/>
          <w:highlight w:val="none"/>
        </w:rPr>
        <w:t xml:space="preserve">标准</w:t>
      </w:r>
      <w:bookmarkEnd w:id="49"/>
      <w:r/>
      <w:bookmarkEnd w:id="50"/>
      <w:r/>
      <w:r/>
    </w:p>
    <w:p>
      <w:pPr>
        <w:ind w:firstLine="560"/>
        <w:keepLines w:val="0"/>
        <w:keepNext w:val="0"/>
        <w:pageBreakBefore w:val="0"/>
        <w:spacing w:line="480" w:lineRule="exact"/>
        <w:widowControl w:val="off"/>
        <w:rPr>
          <w:rFonts w:hint="eastAsia" w:ascii="仿宋" w:hAnsi="仿宋" w:eastAsia="仿宋" w:cs="仿宋"/>
          <w:bCs/>
          <w:sz w:val="28"/>
          <w:szCs w:val="28"/>
          <w:highlight w:val="none"/>
        </w:rPr>
      </w:pPr>
      <w:r/>
      <w:bookmarkStart w:id="51" w:name="_Toc25249"/>
      <w:r/>
      <w:bookmarkStart w:id="52" w:name="_Toc4145"/>
      <w:r>
        <w:rPr>
          <w:rFonts w:hint="eastAsia" w:ascii="仿宋" w:hAnsi="仿宋" w:eastAsia="仿宋" w:cs="仿宋"/>
          <w:bCs/>
          <w:sz w:val="28"/>
          <w:szCs w:val="28"/>
          <w:highlight w:val="none"/>
        </w:rPr>
        <w:t xml:space="preserve">（一）合格。符合中华人民共和国颁发的有关</w:t>
      </w:r>
      <w:r>
        <w:rPr>
          <w:rFonts w:hint="eastAsia" w:ascii="仿宋" w:hAnsi="仿宋" w:eastAsia="仿宋" w:cs="仿宋"/>
          <w:bCs/>
          <w:sz w:val="28"/>
          <w:szCs w:val="28"/>
          <w:highlight w:val="none"/>
          <w:lang w:val="en-US" w:eastAsia="zh-CN"/>
        </w:rPr>
        <w:t xml:space="preserve">行业</w:t>
      </w:r>
      <w:r>
        <w:rPr>
          <w:rFonts w:hint="eastAsia" w:ascii="仿宋" w:hAnsi="仿宋" w:eastAsia="仿宋" w:cs="仿宋"/>
          <w:bCs/>
          <w:sz w:val="28"/>
          <w:szCs w:val="28"/>
          <w:highlight w:val="none"/>
        </w:rPr>
        <w:t xml:space="preserve">标准、规范、强制性条款及省、市有关规定。</w:t>
      </w:r>
      <w:r/>
    </w:p>
    <w:p>
      <w:pPr>
        <w:pStyle w:val="748"/>
        <w:ind w:firstLine="560"/>
        <w:keepLines w:val="0"/>
        <w:keepNext w:val="0"/>
        <w:pageBreakBefore w:val="0"/>
        <w:spacing w:before="0" w:after="0"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（二）供应商须对采购单位提供的数据、材料、成果等具有保密义务，如发现有泄密行为，采购单位有权解除合同并追究其相关责任。</w:t>
      </w:r>
      <w:r/>
    </w:p>
    <w:p>
      <w:pPr>
        <w:pStyle w:val="748"/>
        <w:ind w:firstLine="560"/>
        <w:keepLines w:val="0"/>
        <w:keepNext w:val="0"/>
        <w:pageBreakBefore w:val="0"/>
        <w:spacing w:before="0" w:after="0"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（三）如发现成交供应商出现弄虚作假行为的，采购单位有权解除合同并追究其相关责任。</w:t>
      </w:r>
      <w:r/>
    </w:p>
    <w:p>
      <w:pPr>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四</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成交人应采取必要的安全措施保证</w:t>
      </w:r>
      <w:r>
        <w:rPr>
          <w:rFonts w:hint="eastAsia" w:ascii="仿宋" w:hAnsi="仿宋" w:eastAsia="仿宋" w:cs="仿宋"/>
          <w:bCs/>
          <w:color w:val="auto"/>
          <w:sz w:val="28"/>
          <w:szCs w:val="28"/>
          <w:highlight w:val="none"/>
          <w:lang w:val="en-US" w:eastAsia="zh-CN"/>
        </w:rPr>
        <w:t xml:space="preserve">抽检活动</w:t>
      </w:r>
      <w:r>
        <w:rPr>
          <w:rFonts w:hint="eastAsia" w:ascii="仿宋" w:hAnsi="仿宋" w:eastAsia="仿宋" w:cs="仿宋"/>
          <w:bCs/>
          <w:color w:val="auto"/>
          <w:sz w:val="28"/>
          <w:szCs w:val="28"/>
          <w:highlight w:val="none"/>
        </w:rPr>
        <w:t xml:space="preserve">的安全，并承担货</w:t>
      </w:r>
      <w:r>
        <w:rPr>
          <w:rFonts w:hint="eastAsia" w:ascii="仿宋" w:hAnsi="仿宋" w:eastAsia="仿宋" w:cs="仿宋"/>
          <w:bCs/>
          <w:color w:val="auto"/>
          <w:sz w:val="28"/>
          <w:szCs w:val="28"/>
          <w:highlight w:val="none"/>
          <w:lang w:val="en-US" w:eastAsia="zh-CN"/>
        </w:rPr>
        <w:t xml:space="preserve">物检测</w:t>
      </w:r>
      <w:r>
        <w:rPr>
          <w:rFonts w:hint="eastAsia" w:ascii="仿宋" w:hAnsi="仿宋" w:eastAsia="仿宋" w:cs="仿宋"/>
          <w:bCs/>
          <w:color w:val="auto"/>
          <w:sz w:val="28"/>
          <w:szCs w:val="28"/>
          <w:highlight w:val="none"/>
        </w:rPr>
        <w:t xml:space="preserve">过程中产生的</w:t>
      </w:r>
      <w:r>
        <w:rPr>
          <w:rFonts w:hint="eastAsia" w:ascii="仿宋" w:hAnsi="仿宋" w:eastAsia="仿宋" w:cs="仿宋"/>
          <w:bCs/>
          <w:color w:val="auto"/>
          <w:sz w:val="28"/>
          <w:szCs w:val="28"/>
          <w:highlight w:val="none"/>
          <w:lang w:val="en-US" w:eastAsia="zh-CN"/>
        </w:rPr>
        <w:t xml:space="preserve">安全</w:t>
      </w:r>
      <w:r>
        <w:rPr>
          <w:rFonts w:hint="eastAsia" w:ascii="仿宋" w:hAnsi="仿宋" w:eastAsia="仿宋" w:cs="仿宋"/>
          <w:bCs/>
          <w:color w:val="auto"/>
          <w:sz w:val="28"/>
          <w:szCs w:val="28"/>
          <w:highlight w:val="none"/>
        </w:rPr>
        <w:t xml:space="preserve">风险。</w:t>
      </w:r>
      <w:r/>
    </w:p>
    <w:p>
      <w:pPr>
        <w:ind w:firstLine="560"/>
        <w:keepLines w:val="0"/>
        <w:keepNext w:val="0"/>
        <w:pageBreakBefore w:val="0"/>
        <w:spacing w:line="480" w:lineRule="exact"/>
        <w:widowControl w:val="off"/>
        <w:rPr>
          <w:rFonts w:hint="eastAsia" w:ascii="仿宋" w:hAnsi="仿宋" w:eastAsia="仿宋" w:cs="仿宋"/>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五</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成交人</w:t>
      </w:r>
      <w:r>
        <w:rPr>
          <w:rFonts w:hint="eastAsia" w:ascii="仿宋" w:hAnsi="仿宋" w:eastAsia="仿宋" w:cs="仿宋"/>
          <w:bCs/>
          <w:color w:val="auto"/>
          <w:sz w:val="28"/>
          <w:szCs w:val="28"/>
          <w:highlight w:val="none"/>
          <w:lang w:val="en-US" w:eastAsia="zh-CN"/>
        </w:rPr>
        <w:t xml:space="preserve">对</w:t>
      </w:r>
      <w:r>
        <w:rPr>
          <w:rFonts w:hint="eastAsia" w:ascii="仿宋" w:hAnsi="仿宋" w:eastAsia="仿宋" w:cs="仿宋"/>
          <w:bCs/>
          <w:color w:val="auto"/>
          <w:sz w:val="28"/>
          <w:szCs w:val="28"/>
          <w:highlight w:val="none"/>
        </w:rPr>
        <w:t xml:space="preserve">所</w:t>
      </w:r>
      <w:r>
        <w:rPr>
          <w:rFonts w:hint="eastAsia" w:ascii="仿宋" w:hAnsi="仿宋" w:eastAsia="仿宋" w:cs="仿宋"/>
          <w:bCs/>
          <w:color w:val="auto"/>
          <w:sz w:val="28"/>
          <w:szCs w:val="28"/>
          <w:highlight w:val="none"/>
          <w:lang w:val="en-US" w:eastAsia="zh-CN"/>
        </w:rPr>
        <w:t xml:space="preserve">提交检测报告由于技术</w:t>
      </w:r>
      <w:r>
        <w:rPr>
          <w:rFonts w:hint="eastAsia" w:ascii="仿宋" w:hAnsi="仿宋" w:eastAsia="仿宋" w:cs="仿宋"/>
          <w:bCs/>
          <w:color w:val="auto"/>
          <w:sz w:val="28"/>
          <w:szCs w:val="28"/>
          <w:highlight w:val="none"/>
        </w:rPr>
        <w:t xml:space="preserve">缺陷而发生的任何不足或故障负责，并承担由此引起的一切后果。</w:t>
      </w:r>
      <w:r/>
    </w:p>
    <w:p>
      <w:pPr>
        <w:ind w:firstLine="560"/>
        <w:keepLines w:val="0"/>
        <w:keepNext w:val="0"/>
        <w:pageBreakBefore w:val="0"/>
        <w:spacing w:line="48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六</w:t>
      </w:r>
      <w:r>
        <w:rPr>
          <w:rFonts w:hint="eastAsia" w:ascii="仿宋" w:hAnsi="仿宋" w:eastAsia="仿宋" w:cs="仿宋"/>
          <w:bCs/>
          <w:sz w:val="28"/>
          <w:szCs w:val="28"/>
          <w:highlight w:val="none"/>
        </w:rPr>
        <w:t xml:space="preserve">）所有成交标准按国家标准执行，无国家标准的，按行业标准执行，无国家和行业标准的，按企业标准执行；但在采购文件中有特别要求的，按采购文件中规定的要求执行，并且符合相关法律、法规规定的要求。</w:t>
      </w:r>
      <w:r/>
    </w:p>
    <w:p>
      <w:pPr>
        <w:ind w:firstLine="560"/>
        <w:keepLines w:val="0"/>
        <w:keepNext w:val="0"/>
        <w:pageBreakBefore w:val="0"/>
        <w:spacing w:line="480" w:lineRule="exact"/>
        <w:widowControl w:val="off"/>
        <w:rPr>
          <w:rFonts w:hint="eastAsia" w:ascii="仿宋" w:hAnsi="仿宋" w:eastAsia="仿宋" w:cs="仿宋"/>
          <w:bCs/>
          <w:sz w:val="28"/>
          <w:szCs w:val="28"/>
          <w:highlight w:val="none"/>
        </w:rPr>
        <w:outlineLvl w:val="1"/>
      </w:pP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七</w:t>
      </w:r>
      <w:r>
        <w:rPr>
          <w:rFonts w:hint="eastAsia" w:ascii="仿宋" w:hAnsi="仿宋" w:eastAsia="仿宋" w:cs="仿宋"/>
          <w:bCs/>
          <w:sz w:val="28"/>
          <w:szCs w:val="28"/>
          <w:highlight w:val="none"/>
        </w:rPr>
        <w:t xml:space="preserve">）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p>
    <w:p>
      <w:pPr>
        <w:ind w:left="42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（五）最高限价</w:t>
      </w:r>
      <w:bookmarkEnd w:id="51"/>
      <w:r/>
      <w:bookmarkEnd w:id="52"/>
      <w:r/>
      <w:r/>
    </w:p>
    <w:p>
      <w:pPr>
        <w:pStyle w:val="740"/>
        <w:ind w:firstLine="560"/>
        <w:jc w:val="both"/>
        <w:spacing w:beforeAutospacing="0" w:afterAutospacing="0" w:line="500" w:lineRule="exact"/>
        <w:widowControl/>
        <w:rPr>
          <w:rFonts w:hint="eastAsia" w:ascii="仿宋" w:hAnsi="仿宋" w:eastAsia="仿宋" w:cs="Times New Roman"/>
          <w:color w:val="auto"/>
          <w:sz w:val="28"/>
          <w:szCs w:val="28"/>
          <w:highlight w:val="none"/>
        </w:rPr>
        <w:outlineLvl w:val="0"/>
      </w:pPr>
      <w:r/>
      <w:bookmarkStart w:id="53" w:name="_Toc31544"/>
      <w:r>
        <w:rPr>
          <w:rFonts w:hint="eastAsia" w:ascii="仿宋" w:hAnsi="仿宋" w:eastAsia="仿宋" w:cs="Times New Roman"/>
          <w:color w:val="auto"/>
          <w:sz w:val="28"/>
          <w:szCs w:val="28"/>
          <w:highlight w:val="none"/>
        </w:rPr>
        <w:t xml:space="preserve">本项目以单价报价，食品抽检最高单价限价为人民币450元/批次，报价超过最高单价限价的为无效响应。</w:t>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rPr>
          <w:rFonts w:hint="eastAsia" w:ascii="黑体" w:hAnsi="黑体" w:eastAsia="黑体" w:cs="黑体"/>
          <w:color w:val="auto"/>
          <w:sz w:val="30"/>
          <w:szCs w:val="30"/>
          <w:highlight w:val="none"/>
          <w:shd w:val="clear" w:color="auto" w:fill="ffffff"/>
        </w:rPr>
        <w:t xml:space="preserve">五、政府采购政策要求以及政策执行措施</w:t>
      </w:r>
      <w:bookmarkEnd w:id="53"/>
      <w:r/>
      <w:r/>
    </w:p>
    <w:p>
      <w:pPr>
        <w:ind w:firstLine="560"/>
        <w:spacing w:line="500" w:lineRule="exact"/>
        <w:rPr>
          <w:rFonts w:ascii="仿宋" w:hAnsi="仿宋" w:eastAsia="仿宋"/>
          <w:sz w:val="28"/>
          <w:szCs w:val="28"/>
        </w:rPr>
      </w:pPr>
      <w:r/>
      <w:bookmarkStart w:id="54" w:name="_Toc4890"/>
      <w:r>
        <w:rPr>
          <w:rFonts w:hint="eastAsia" w:ascii="仿宋" w:hAnsi="仿宋" w:eastAsia="仿宋"/>
          <w:sz w:val="28"/>
          <w:szCs w:val="28"/>
          <w:lang w:val="en-US" w:eastAsia="zh-CN"/>
        </w:rPr>
        <w:t xml:space="preserve">1.</w:t>
      </w:r>
      <w:r>
        <w:rPr>
          <w:rFonts w:hint="eastAsia" w:ascii="仿宋" w:hAnsi="仿宋" w:eastAsia="仿宋"/>
          <w:sz w:val="28"/>
          <w:szCs w:val="28"/>
        </w:rPr>
        <w:t xml:space="preserve"> 对于非专门面向中小企业采购的项目，小微型企业享受价格扣除优惠。</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 货物类或者服务类采购项目，采购人、采购代理机构应当对符合《政府采购促进中小企业发展管理办法》（财库〔2020〕46号）规定的小微企业报</w:t>
      </w:r>
      <w:r>
        <w:rPr>
          <w:rFonts w:hint="eastAsia" w:ascii="仿宋" w:hAnsi="仿宋" w:eastAsia="仿宋"/>
          <w:sz w:val="28"/>
          <w:szCs w:val="28"/>
          <w:highlight w:val="none"/>
        </w:rPr>
        <w:t xml:space="preserve">价给予10%的扣除；工程类采购项目，给予3%的扣除，给予用扣除后的价格参加评审。</w:t>
      </w:r>
      <w:r/>
    </w:p>
    <w:p>
      <w:pPr>
        <w:ind w:firstLine="560"/>
        <w:spacing w:line="500" w:lineRule="exact"/>
        <w:rPr>
          <w:rFonts w:hint="eastAsia" w:ascii="仿宋" w:hAnsi="仿宋" w:eastAsia="仿宋"/>
          <w:sz w:val="28"/>
          <w:szCs w:val="28"/>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w:t>
      </w:r>
      <w:r>
        <w:rPr>
          <w:rFonts w:hint="eastAsia" w:ascii="仿宋" w:hAnsi="仿宋" w:eastAsia="仿宋"/>
          <w:sz w:val="28"/>
          <w:szCs w:val="28"/>
        </w:rPr>
        <w:t xml:space="preserve">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①</w:t>
      </w:r>
      <w:r>
        <w:rPr>
          <w:rFonts w:hint="eastAsia" w:ascii="仿宋" w:hAnsi="仿宋" w:eastAsia="仿宋"/>
          <w:sz w:val="28"/>
          <w:szCs w:val="28"/>
        </w:rPr>
        <w:t xml:space="preserve">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②</w:t>
      </w:r>
      <w:r>
        <w:rPr>
          <w:rFonts w:hint="eastAsia" w:ascii="仿宋" w:hAnsi="仿宋" w:eastAsia="仿宋"/>
          <w:sz w:val="28"/>
          <w:szCs w:val="28"/>
        </w:rPr>
        <w:t xml:space="preserve">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③</w:t>
      </w:r>
      <w:r>
        <w:rPr>
          <w:rFonts w:hint="eastAsia" w:ascii="仿宋" w:hAnsi="仿宋" w:eastAsia="仿宋"/>
          <w:sz w:val="28"/>
          <w:szCs w:val="28"/>
        </w:rPr>
        <w:t xml:space="preserve">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④</w:t>
      </w:r>
      <w:r>
        <w:rPr>
          <w:rFonts w:hint="eastAsia" w:ascii="仿宋" w:hAnsi="仿宋" w:eastAsia="仿宋"/>
          <w:sz w:val="28"/>
          <w:szCs w:val="28"/>
        </w:rPr>
        <w:t xml:space="preserve">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①</w:t>
      </w:r>
      <w:r>
        <w:rPr>
          <w:rFonts w:hint="eastAsia" w:ascii="仿宋" w:hAnsi="仿宋" w:eastAsia="仿宋"/>
          <w:sz w:val="28"/>
          <w:szCs w:val="28"/>
        </w:rPr>
        <w:t xml:space="preserve">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②</w:t>
      </w:r>
      <w:r>
        <w:rPr>
          <w:rFonts w:hint="eastAsia" w:ascii="仿宋" w:hAnsi="仿宋" w:eastAsia="仿宋"/>
          <w:sz w:val="28"/>
          <w:szCs w:val="28"/>
        </w:rPr>
        <w:t xml:space="preserve">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《中小企业划型标准规定》（工信部联企业〔2011〕300号）</w:t>
      </w:r>
      <w:r/>
    </w:p>
    <w:tbl>
      <w:tblPr>
        <w:tblStyle w:val="7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4"/>
        <w:gridCol w:w="1447"/>
        <w:gridCol w:w="683"/>
        <w:gridCol w:w="1830"/>
        <w:gridCol w:w="1572"/>
        <w:gridCol w:w="1036"/>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ascii="仿宋" w:hAnsi="仿宋" w:eastAsia="仿宋"/>
          <w:sz w:val="28"/>
          <w:szCs w:val="28"/>
        </w:rPr>
        <w:t xml:space="preserve">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①</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②</w:t>
      </w:r>
      <w:r>
        <w:rPr>
          <w:rFonts w:hint="eastAsia" w:ascii="仿宋" w:hAnsi="仿宋" w:eastAsia="仿宋"/>
          <w:sz w:val="28"/>
          <w:szCs w:val="28"/>
        </w:rPr>
        <w:t xml:space="preserve">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③</w:t>
      </w:r>
      <w:r>
        <w:rPr>
          <w:rFonts w:hint="eastAsia" w:ascii="仿宋" w:hAnsi="仿宋" w:eastAsia="仿宋"/>
          <w:sz w:val="28"/>
          <w:szCs w:val="28"/>
        </w:rPr>
        <w:t xml:space="preserve">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④</w:t>
      </w:r>
      <w:r>
        <w:rPr>
          <w:rFonts w:hint="eastAsia" w:ascii="仿宋" w:hAnsi="仿宋" w:eastAsia="仿宋"/>
          <w:sz w:val="28"/>
          <w:szCs w:val="28"/>
        </w:rPr>
        <w:t xml:space="preserve">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⑤</w:t>
      </w:r>
      <w:r>
        <w:rPr>
          <w:rFonts w:hint="eastAsia" w:ascii="仿宋" w:hAnsi="仿宋" w:eastAsia="仿宋"/>
          <w:sz w:val="28"/>
          <w:szCs w:val="28"/>
        </w:rPr>
        <w:t xml:space="preserve">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 根据《江苏省政府采购供应商监督管理暂行办法》的规定，诚信记录分每减10分，给予本项目总分值2%的扣分，扣分最多不超过本项目总分值6%。</w:t>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rPr>
          <w:rFonts w:hint="eastAsia" w:ascii="黑体" w:hAnsi="黑体" w:eastAsia="黑体" w:cs="黑体"/>
          <w:color w:val="auto"/>
          <w:sz w:val="30"/>
          <w:szCs w:val="30"/>
          <w:highlight w:val="none"/>
          <w:shd w:val="clear" w:color="auto" w:fill="ffffff"/>
        </w:rPr>
        <w:t xml:space="preserve">六、框架协议的期限</w:t>
      </w:r>
      <w:bookmarkEnd w:id="54"/>
      <w:r/>
      <w:r/>
    </w:p>
    <w:p>
      <w:pPr>
        <w:pStyle w:val="74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w:t>
      </w:r>
      <w:r>
        <w:rPr>
          <w:rFonts w:hint="eastAsia" w:ascii="仿宋" w:hAnsi="仿宋" w:eastAsia="仿宋" w:cs="仿宋"/>
          <w:bCs/>
          <w:sz w:val="28"/>
          <w:szCs w:val="28"/>
          <w:highlight w:val="none"/>
        </w:rPr>
        <w:t xml:space="preserve">自合同签订后</w:t>
      </w:r>
      <w:r>
        <w:rPr>
          <w:rFonts w:hint="eastAsia" w:ascii="仿宋" w:hAnsi="仿宋" w:eastAsia="仿宋" w:cs="仿宋"/>
          <w:color w:val="auto"/>
          <w:sz w:val="28"/>
          <w:szCs w:val="28"/>
          <w:highlight w:val="none"/>
          <w:lang w:eastAsia="zh-CN"/>
        </w:rPr>
        <w:t xml:space="preserve">至202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lang w:eastAsia="zh-CN"/>
        </w:rPr>
        <w:t xml:space="preserve">日止</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rPr>
        <w:t xml:space="preserve">具体时间应结合工作进展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Cs/>
          <w:sz w:val="28"/>
          <w:szCs w:val="28"/>
          <w:highlight w:val="none"/>
        </w:rPr>
        <w:t xml:space="preserve">时间以采购人通知为准。</w:t>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bookmarkStart w:id="55" w:name="_Toc1603"/>
      <w:r>
        <w:rPr>
          <w:rFonts w:hint="eastAsia" w:ascii="黑体" w:hAnsi="黑体" w:eastAsia="黑体" w:cs="黑体"/>
          <w:color w:val="auto"/>
          <w:sz w:val="30"/>
          <w:szCs w:val="30"/>
          <w:highlight w:val="none"/>
          <w:shd w:val="clear" w:color="auto" w:fill="ffffff"/>
        </w:rPr>
        <w:t xml:space="preserve">七、报价要求</w:t>
      </w:r>
      <w:bookmarkEnd w:id="55"/>
      <w:r/>
      <w:r/>
    </w:p>
    <w:p>
      <w:pPr>
        <w:ind w:firstLine="560"/>
        <w:pageBreakBefore w:val="0"/>
        <w:spacing w:line="520" w:lineRule="exact"/>
        <w:rPr>
          <w:rFonts w:hint="eastAsia" w:ascii="仿宋" w:hAnsi="仿宋" w:eastAsia="仿宋" w:cs="仿宋"/>
          <w:bCs/>
          <w:color w:val="auto"/>
          <w:sz w:val="28"/>
          <w:szCs w:val="28"/>
          <w:highlight w:val="none"/>
        </w:rPr>
      </w:pPr>
      <w:r/>
      <w:bookmarkStart w:id="56" w:name="_Toc27468"/>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报价应包含服务期内</w:t>
      </w:r>
      <w:r>
        <w:rPr>
          <w:rFonts w:hint="eastAsia" w:ascii="仿宋" w:hAnsi="仿宋" w:eastAsia="仿宋" w:cs="仿宋"/>
          <w:color w:val="auto"/>
          <w:sz w:val="28"/>
          <w:szCs w:val="28"/>
          <w:highlight w:val="none"/>
          <w:lang w:val="en-US" w:eastAsia="zh-CN"/>
        </w:rPr>
        <w:t xml:space="preserve">所有</w:t>
      </w:r>
      <w:r>
        <w:rPr>
          <w:rFonts w:hint="eastAsia" w:ascii="仿宋" w:hAnsi="仿宋" w:eastAsia="仿宋" w:cs="仿宋"/>
          <w:color w:val="auto"/>
          <w:sz w:val="28"/>
          <w:szCs w:val="28"/>
          <w:highlight w:val="none"/>
        </w:rPr>
        <w:t xml:space="preserve">的</w:t>
      </w:r>
      <w:r>
        <w:rPr>
          <w:rFonts w:hint="eastAsia" w:ascii="仿宋" w:hAnsi="仿宋" w:eastAsia="仿宋" w:cs="仿宋"/>
          <w:sz w:val="28"/>
          <w:szCs w:val="28"/>
          <w:lang w:val="en-US" w:eastAsia="zh-CN"/>
        </w:rPr>
        <w:t xml:space="preserve">材料、检测、人工、机械、运输、税费、安全费、</w:t>
      </w:r>
      <w:r>
        <w:rPr>
          <w:rFonts w:hint="eastAsia" w:ascii="仿宋" w:hAnsi="仿宋" w:eastAsia="仿宋" w:cs="仿宋"/>
          <w:color w:val="auto"/>
          <w:sz w:val="28"/>
          <w:szCs w:val="28"/>
          <w:highlight w:val="none"/>
        </w:rPr>
        <w:t xml:space="preserve">采购代理服务等一切与本项目相关的费用。</w:t>
      </w:r>
      <w:r/>
    </w:p>
    <w:p>
      <w:pPr>
        <w:ind w:firstLine="560"/>
        <w:pageBreakBefore w:val="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二</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响应供应商应对采购文件内的全部内容进行响应，采购文件未列明，而供应商认为其他必需的费用也需列入单价中。在合同实施时，采购方将不予支付成交人没有填列的项目费用，并认为此项目的费用已包括在报价中。</w:t>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rPr>
          <w:rFonts w:hint="eastAsia" w:ascii="黑体" w:hAnsi="黑体" w:eastAsia="黑体" w:cs="黑体"/>
          <w:color w:val="auto"/>
          <w:sz w:val="30"/>
          <w:szCs w:val="30"/>
          <w:highlight w:val="none"/>
          <w:shd w:val="clear" w:color="auto" w:fill="ffffff"/>
        </w:rPr>
        <w:t xml:space="preserve">八、确定第一阶段入围供应商的评审方法、评审标准、确定入围供应商的淘汰率或者入围供应商数量上限和响应文件无效情形 </w:t>
      </w:r>
      <w:bookmarkEnd w:id="56"/>
      <w:r/>
      <w:r/>
    </w:p>
    <w:p>
      <w:pPr>
        <w:ind w:firstLine="560"/>
        <w:spacing w:line="480" w:lineRule="exact"/>
        <w:rPr>
          <w:rFonts w:ascii="仿宋" w:hAnsi="仿宋" w:eastAsia="仿宋"/>
          <w:color w:val="auto"/>
          <w:sz w:val="28"/>
          <w:szCs w:val="28"/>
          <w:highlight w:val="none"/>
          <w:lang w:bidi="ar"/>
        </w:rPr>
      </w:pPr>
      <w:r>
        <w:rPr>
          <w:rFonts w:hint="eastAsia" w:ascii="仿宋" w:hAnsi="仿宋" w:eastAsia="仿宋"/>
          <w:color w:val="auto"/>
          <w:sz w:val="28"/>
          <w:szCs w:val="28"/>
          <w:highlight w:val="none"/>
          <w:lang w:bidi="ar"/>
        </w:rPr>
        <w:t xml:space="preserve">（一）评审标准和方法：</w:t>
      </w:r>
      <w:r/>
    </w:p>
    <w:p>
      <w:pPr>
        <w:pStyle w:val="740"/>
        <w:ind w:firstLine="560"/>
        <w:jc w:val="both"/>
        <w:spacing w:beforeAutospacing="0" w:afterAutospacing="0" w:line="480" w:lineRule="exact"/>
        <w:widowControl/>
        <w:rPr>
          <w:rFonts w:ascii="仿宋" w:hAnsi="仿宋" w:eastAsia="仿宋"/>
          <w:color w:val="auto"/>
          <w:sz w:val="28"/>
          <w:szCs w:val="28"/>
          <w:highlight w:val="none"/>
        </w:rPr>
      </w:pPr>
      <w:r>
        <w:rPr>
          <w:rFonts w:hint="eastAsia" w:ascii="仿宋" w:hAnsi="仿宋" w:eastAsia="仿宋" w:cstheme="minorBidi"/>
          <w:color w:val="auto"/>
          <w:sz w:val="28"/>
          <w:szCs w:val="28"/>
          <w:highlight w:val="none"/>
          <w:lang w:bidi="ar"/>
        </w:rPr>
        <w:t xml:space="preserve">1.本项采用服务</w:t>
      </w:r>
      <w:r>
        <w:rPr>
          <w:rFonts w:hint="eastAsia" w:ascii="仿宋" w:hAnsi="仿宋" w:eastAsia="仿宋" w:cstheme="minorBidi"/>
          <w:bCs/>
          <w:color w:val="auto"/>
          <w:sz w:val="28"/>
          <w:szCs w:val="28"/>
          <w:highlight w:val="none"/>
        </w:rPr>
        <w:t xml:space="preserve">质量优先法</w:t>
      </w:r>
      <w:r>
        <w:rPr>
          <w:rFonts w:hint="eastAsia" w:ascii="仿宋" w:hAnsi="仿宋" w:eastAsia="仿宋"/>
          <w:color w:val="auto"/>
          <w:sz w:val="28"/>
          <w:szCs w:val="28"/>
          <w:highlight w:val="none"/>
        </w:rPr>
        <w:t xml:space="preserve">。</w:t>
      </w:r>
      <w:r/>
    </w:p>
    <w:p>
      <w:pPr>
        <w:pStyle w:val="740"/>
        <w:ind w:firstLine="560"/>
        <w:jc w:val="both"/>
        <w:spacing w:beforeAutospacing="0" w:afterAutospacing="0"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2.评审小组将对通过资格符合性检查的各合格供应商根据质量评分表进行量化打分，得分从高到</w:t>
      </w:r>
      <w:r>
        <w:rPr>
          <w:rFonts w:hint="eastAsia" w:ascii="仿宋" w:hAnsi="仿宋" w:eastAsia="仿宋"/>
          <w:color w:val="auto"/>
          <w:sz w:val="28"/>
          <w:szCs w:val="28"/>
          <w:highlight w:val="none"/>
          <w:lang w:val="en-US" w:eastAsia="zh-CN"/>
        </w:rPr>
        <w:t xml:space="preserve">低</w:t>
      </w:r>
      <w:r>
        <w:rPr>
          <w:rFonts w:hint="eastAsia" w:ascii="仿宋" w:hAnsi="仿宋" w:eastAsia="仿宋"/>
          <w:color w:val="auto"/>
          <w:sz w:val="28"/>
          <w:szCs w:val="28"/>
          <w:highlight w:val="none"/>
        </w:rPr>
        <w:t xml:space="preserve">排名，取1-5名为入围供应商。若总分得分相同，则依据技术力量得分、业绩得分、服务响应情况得分依次排名，若得分全部相同则抽签确定。</w:t>
      </w:r>
      <w:r/>
    </w:p>
    <w:p>
      <w:pPr>
        <w:pStyle w:val="740"/>
        <w:ind w:firstLine="560"/>
        <w:jc w:val="both"/>
        <w:spacing w:beforeAutospacing="0" w:afterAutospacing="0"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（二）本项目淘汰率设为</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0%且至少淘汰1家；入围供应商上限数设为5家；如报名家数不足，入围家数依据淘汰率淘汰后递减。</w:t>
      </w:r>
      <w:r/>
    </w:p>
    <w:p>
      <w:pPr>
        <w:pStyle w:val="740"/>
        <w:ind w:firstLine="560"/>
        <w:jc w:val="both"/>
        <w:spacing w:beforeAutospacing="0" w:afterAutospacing="0" w:line="480" w:lineRule="exact"/>
        <w:widowControl/>
        <w:rPr>
          <w:rFonts w:ascii="仿宋" w:hAnsi="仿宋" w:eastAsia="仿宋" w:cstheme="minorBidi"/>
          <w:color w:val="auto"/>
          <w:sz w:val="28"/>
          <w:szCs w:val="28"/>
          <w:highlight w:val="none"/>
          <w:lang w:bidi="ar"/>
        </w:rPr>
      </w:pPr>
      <w:r>
        <w:rPr>
          <w:rFonts w:hint="eastAsia" w:ascii="仿宋" w:hAnsi="仿宋" w:eastAsia="仿宋" w:cstheme="minorBidi"/>
          <w:color w:val="auto"/>
          <w:sz w:val="28"/>
          <w:szCs w:val="28"/>
          <w:highlight w:val="none"/>
          <w:lang w:bidi="ar"/>
        </w:rPr>
        <w:t xml:space="preserve">（三）质量评分表</w:t>
      </w:r>
      <w:r/>
    </w:p>
    <w:tbl>
      <w:tblPr>
        <w:tblStyle w:val="712"/>
        <w:tblpPr w:horzAnchor="page" w:tblpX="1680" w:vertAnchor="text" w:tblpY="792" w:leftFromText="180" w:topFromText="0" w:rightFromText="180" w:bottomFromText="0"/>
        <w:tblW w:w="9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225"/>
        <w:gridCol w:w="2400"/>
        <w:gridCol w:w="4900"/>
      </w:tblGrid>
      <w:tr>
        <w:trPr>
          <w:trHeight w:val="507"/>
        </w:trPr>
        <w:tc>
          <w:tcPr>
            <w:tcW w:w="663"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序号</w:t>
            </w:r>
            <w:r/>
          </w:p>
        </w:tc>
        <w:tc>
          <w:tcPr>
            <w:tcW w:w="122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评审因素</w:t>
            </w:r>
            <w:r/>
          </w:p>
        </w:tc>
        <w:tc>
          <w:tcPr>
            <w:tcW w:w="240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评审分值</w:t>
            </w:r>
            <w:r/>
          </w:p>
        </w:tc>
        <w:tc>
          <w:tcPr>
            <w:tcW w:w="490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评审要求或标准</w:t>
            </w:r>
            <w:r/>
          </w:p>
        </w:tc>
      </w:tr>
      <w:tr>
        <w:trPr>
          <w:trHeight w:val="5413"/>
        </w:trPr>
        <w:tc>
          <w:tcPr>
            <w:tcW w:w="663"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w:t>
            </w:r>
            <w:r/>
          </w:p>
        </w:tc>
        <w:tc>
          <w:tcPr>
            <w:tcW w:w="122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人员配备</w:t>
            </w:r>
            <w:r/>
          </w:p>
        </w:tc>
        <w:tc>
          <w:tcPr>
            <w:tcW w:w="240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14分</w:t>
            </w:r>
            <w:r/>
          </w:p>
        </w:tc>
        <w:tc>
          <w:tcPr>
            <w:tcW w:w="4900" w:type="dxa"/>
            <w:vAlign w:val="center"/>
            <w:textDirection w:val="lrTb"/>
            <w:noWrap w:val="false"/>
          </w:tcPr>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检验检测机构具有与食品抽检工作相匹配的专职抽样人员和检验人员。</w:t>
            </w:r>
            <w:r/>
          </w:p>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1.人员数量(10分)：</w:t>
            </w:r>
            <w:r/>
          </w:p>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（1）食品抽样人员12人以下不得分，达到12人得3分，12人以上每增加1人得0.5分，本项最高5分。</w:t>
            </w:r>
            <w:r/>
          </w:p>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（2）食品检验人员22人以下不得分，达到22人得3分，22人以上每增加1人得0.5分，本项最高5分。</w:t>
            </w:r>
            <w:r/>
          </w:p>
          <w:p>
            <w:pPr>
              <w:jc w:val="left"/>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抽样人员和检验人员不能同时申报。</w:t>
            </w:r>
            <w:r/>
          </w:p>
          <w:p>
            <w:pPr>
              <w:jc w:val="left"/>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2.人员实力(4分)：食品检验人员中具有食品相关专业（食品、生物、化学）正高级职称每有1人得1分，具有食品相关专业（食品、生物、化学）副高级职称的，每有1人得0.5分，本项最高4分。</w:t>
            </w:r>
            <w:r/>
          </w:p>
          <w:p>
            <w:pPr>
              <w:jc w:val="left"/>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注：以上人员须提供人员名册（含姓名、岗位、职称、从事抽检工作年限等）、学历证明、职称证明、2025年1月响应供应商单位为其缴纳社保证明等证明材料复印件并加盖响应供应商公章。</w:t>
            </w:r>
            <w:r/>
          </w:p>
        </w:tc>
      </w:tr>
      <w:tr>
        <w:trPr/>
        <w:tc>
          <w:tcPr>
            <w:tcW w:w="663"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w:t>
            </w:r>
            <w:r/>
          </w:p>
        </w:tc>
        <w:tc>
          <w:tcPr>
            <w:tcW w:w="122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设施投入</w:t>
            </w:r>
            <w:r/>
          </w:p>
        </w:tc>
        <w:tc>
          <w:tcPr>
            <w:tcW w:w="240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22分</w:t>
            </w:r>
            <w:r/>
          </w:p>
        </w:tc>
        <w:tc>
          <w:tcPr>
            <w:tcW w:w="4900" w:type="dxa"/>
            <w:vAlign w:val="center"/>
            <w:textDirection w:val="lrTb"/>
            <w:noWrap w:val="false"/>
          </w:tcPr>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1.实验室场地（6分）：具备与食品检测工作相适应的实验场所，布局合理符合检验检测要求。食品检测实验室建筑面积达到5000(含）平方以上，并设立微生物检验区和理化检验区的，得6分；</w:t>
            </w:r>
            <w:r>
              <w:rPr>
                <w:rFonts w:hint="eastAsia" w:ascii="仿宋" w:hAnsi="仿宋" w:eastAsia="仿宋" w:cs="仿宋"/>
                <w:b w:val="0"/>
                <w:bCs/>
                <w:color w:val="auto"/>
                <w:sz w:val="24"/>
                <w:szCs w:val="24"/>
                <w:highlight w:val="none"/>
                <w:lang w:val="en-US" w:eastAsia="zh-CN"/>
              </w:rPr>
              <w:t xml:space="preserve">实验室面积在4500（含）-5000平方的，得5分；实验室面积在4000（含）-4500平方的，得4分；实验室面积在3500（含）-4000平方的，得3分；实验室面积在3000（含）-3500平方的，得2分；</w:t>
            </w:r>
            <w:r>
              <w:rPr>
                <w:rFonts w:hint="eastAsia" w:ascii="仿宋" w:hAnsi="仿宋" w:eastAsia="仿宋" w:cs="仿宋"/>
                <w:b w:val="0"/>
                <w:bCs/>
                <w:sz w:val="24"/>
                <w:szCs w:val="24"/>
                <w:highlight w:val="none"/>
                <w:lang w:val="en-US" w:eastAsia="zh-CN"/>
              </w:rPr>
              <w:t xml:space="preserve">实验室面积在3000平方以下的，不得分。本项最高得6分。须提供实验室平面布局图，自有实验室须提供产权证明，租赁场地须提供租赁合同和产权证明复印件并加盖响应供应商公章。</w:t>
            </w:r>
            <w:r/>
          </w:p>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2.仪器设备（10分）：具有满足食品安全检测的设施及仪器设备。其中具有液质联用仪3台、气质联用仪3台、液相色谱仪4台、气相色谱仪3台、电感耦合等离子体质谱仪（ICP-MS）2 台、原子荧光光谱仪 1 台，原子吸收光谱仪1台，满足以上仪器台数要求得基础分 6 分。每增加 1 台加 1 分，本项最高得 10 分。须提供仪器设备清单、购置时间、台套数、发票复印件、仪器在实验室的照片等其他证明材料并加盖响应供应商公章，租赁不得分。</w:t>
            </w:r>
            <w:r/>
          </w:p>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3.运输工具（6分）：具备满足食品抽样要求的抽样工具和车辆（含特殊温度要求的冷冻、冷藏设备）。（1）普通采样运输车有1台得0.4分，最多2分；（2）冷藏车有1台得1分，最多1分。（3）车载冰箱有1台得1分，最多2分。（4）用于采样过程取证的采样记录仪达到5部得1分。本项最高得6分。</w:t>
            </w:r>
            <w:r>
              <w:rPr>
                <w:rFonts w:hint="eastAsia" w:ascii="仿宋" w:hAnsi="仿宋" w:eastAsia="仿宋" w:cs="仿宋"/>
                <w:b w:val="0"/>
                <w:bCs/>
                <w:color w:val="auto"/>
                <w:sz w:val="24"/>
                <w:szCs w:val="24"/>
                <w:highlight w:val="none"/>
                <w:lang w:val="en-US" w:eastAsia="zh-CN"/>
              </w:rPr>
              <w:t xml:space="preserve">须提供</w:t>
            </w:r>
            <w:r>
              <w:rPr>
                <w:rFonts w:hint="default" w:ascii="Calibri" w:hAnsi="Calibri" w:eastAsia="仿宋" w:cs="Calibri"/>
                <w:b w:val="0"/>
                <w:bCs/>
                <w:color w:val="auto"/>
                <w:sz w:val="24"/>
                <w:szCs w:val="24"/>
                <w:highlight w:val="none"/>
                <w:lang w:val="en-US" w:eastAsia="zh-CN"/>
              </w:rPr>
              <w:t xml:space="preserve">①</w:t>
            </w:r>
            <w:r>
              <w:rPr>
                <w:rFonts w:hint="eastAsia" w:ascii="仿宋" w:hAnsi="仿宋" w:eastAsia="仿宋" w:cs="仿宋"/>
                <w:b w:val="0"/>
                <w:bCs/>
                <w:color w:val="auto"/>
                <w:sz w:val="24"/>
                <w:szCs w:val="24"/>
                <w:highlight w:val="none"/>
                <w:lang w:val="en-US" w:eastAsia="zh-CN"/>
              </w:rPr>
              <w:t xml:space="preserve">车载冰箱、采样记录仪发票；</w:t>
            </w:r>
            <w:r>
              <w:rPr>
                <w:rFonts w:hint="default" w:ascii="Calibri" w:hAnsi="Calibri" w:eastAsia="仿宋" w:cs="Calibri"/>
                <w:b w:val="0"/>
                <w:bCs/>
                <w:color w:val="auto"/>
                <w:sz w:val="24"/>
                <w:szCs w:val="24"/>
                <w:highlight w:val="none"/>
                <w:lang w:val="en-US" w:eastAsia="zh-CN"/>
              </w:rPr>
              <w:t xml:space="preserve">②</w:t>
            </w:r>
            <w:r>
              <w:rPr>
                <w:rFonts w:hint="eastAsia" w:ascii="仿宋" w:hAnsi="仿宋" w:eastAsia="仿宋" w:cs="仿宋"/>
                <w:b w:val="0"/>
                <w:bCs/>
                <w:color w:val="auto"/>
                <w:sz w:val="24"/>
                <w:szCs w:val="24"/>
                <w:highlight w:val="none"/>
                <w:lang w:val="en-US" w:eastAsia="zh-CN"/>
              </w:rPr>
              <w:t xml:space="preserve">车辆行驶证、图片、购置发票；</w:t>
            </w:r>
            <w:r>
              <w:rPr>
                <w:rFonts w:hint="default" w:ascii="Calibri" w:hAnsi="Calibri" w:eastAsia="仿宋" w:cs="Calibri"/>
                <w:b w:val="0"/>
                <w:bCs/>
                <w:color w:val="auto"/>
                <w:sz w:val="24"/>
                <w:szCs w:val="24"/>
                <w:highlight w:val="none"/>
                <w:lang w:val="en-US" w:eastAsia="zh-CN"/>
              </w:rPr>
              <w:t xml:space="preserve">③</w:t>
            </w:r>
            <w:r>
              <w:rPr>
                <w:rFonts w:hint="eastAsia" w:ascii="仿宋" w:hAnsi="仿宋" w:eastAsia="仿宋" w:cs="仿宋"/>
                <w:b w:val="0"/>
                <w:bCs/>
                <w:color w:val="auto"/>
                <w:sz w:val="24"/>
                <w:szCs w:val="24"/>
                <w:highlight w:val="none"/>
                <w:lang w:val="en-US" w:eastAsia="zh-CN"/>
              </w:rPr>
              <w:t xml:space="preserve">车载冰箱及车辆如为租赁的要提供租赁合同等证明材料复印件并加盖公章。</w:t>
            </w:r>
            <w:r/>
          </w:p>
        </w:tc>
      </w:tr>
      <w:tr>
        <w:trPr/>
        <w:tc>
          <w:tcPr>
            <w:tcW w:w="663"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3</w:t>
            </w:r>
            <w:r/>
          </w:p>
        </w:tc>
        <w:tc>
          <w:tcPr>
            <w:tcW w:w="122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样品送达时限</w:t>
            </w:r>
            <w:r/>
          </w:p>
        </w:tc>
        <w:tc>
          <w:tcPr>
            <w:tcW w:w="240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5分</w:t>
            </w:r>
            <w:r/>
          </w:p>
        </w:tc>
        <w:tc>
          <w:tcPr>
            <w:tcW w:w="4900" w:type="dxa"/>
            <w:vAlign w:val="center"/>
            <w:textDirection w:val="lrTb"/>
            <w:noWrap w:val="false"/>
          </w:tcPr>
          <w:p>
            <w:pPr>
              <w:jc w:val="left"/>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服务时限（5分）：提供样品送达时限承诺函，同时提供单程服务时限以响应供应商实验室到如皋市市场监督管理局（地址：如皋市解放西路18号）的主流导航“驾车”模式截图为准（法定工作日间上午9:00到10:00之间为准，截图须显示具体日期、时间，否则，不予认可）。样品采集检测最优服务时限：抽检样品单程服务时限在1.5小时（含）之内送达的，得5分；3小时（含）之内送达的，得3分；5小时（含）之内送达的，得1分；5小时以上送达的，不得分。本项最高得5分。查询结果以评审过程中现场网络截图为准。</w:t>
            </w:r>
            <w:r/>
          </w:p>
        </w:tc>
      </w:tr>
      <w:tr>
        <w:trPr/>
        <w:tc>
          <w:tcPr>
            <w:tcW w:w="663"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4</w:t>
            </w:r>
            <w:r/>
          </w:p>
        </w:tc>
        <w:tc>
          <w:tcPr>
            <w:tcW w:w="122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应急响应及保障措施</w:t>
            </w:r>
            <w:r/>
          </w:p>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r>
            <w:r/>
          </w:p>
        </w:tc>
        <w:tc>
          <w:tcPr>
            <w:tcW w:w="2400"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12分</w:t>
            </w:r>
            <w:r/>
          </w:p>
        </w:tc>
        <w:tc>
          <w:tcPr>
            <w:tcW w:w="4900" w:type="dxa"/>
            <w:vAlign w:val="center"/>
            <w:textDirection w:val="lrTb"/>
            <w:noWrap w:val="false"/>
          </w:tcPr>
          <w:p>
            <w:pPr>
              <w:jc w:val="left"/>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1.应急方案(6分)：响应供应商须针对本项目提供合理、科学、全面、可行的应急方案，上述内容缺少扣6分。每有一处需求分析内容存在缺陷或不足的扣1分，扣完为止。本项最高得6分。</w:t>
            </w:r>
            <w:r/>
          </w:p>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2.质量保证措施(6分)：响应供应商须针对本项目提供能满足抽检要求的科学合理内容详细的质量保证措施，上述内容缺少扣6分。每有一处需求分析内容存在缺陷或不足的扣1分，扣完为止。本项最高得6分。</w:t>
            </w:r>
            <w:r/>
          </w:p>
          <w:p>
            <w:pPr>
              <w:jc w:val="left"/>
              <w:keepLines w:val="0"/>
              <w:keepNext w:val="0"/>
              <w:pageBreakBefore w:val="0"/>
              <w:spacing w:line="340" w:lineRule="exact"/>
              <w:widowControl w:val="off"/>
              <w:rPr>
                <w:rFonts w:hint="eastAsia"/>
                <w:lang w:val="en-US" w:eastAsia="zh-CN"/>
              </w:rPr>
            </w:pPr>
            <w:r>
              <w:rPr>
                <w:rFonts w:hint="eastAsia" w:ascii="仿宋" w:hAnsi="仿宋" w:eastAsia="仿宋" w:cs="仿宋"/>
                <w:b/>
                <w:sz w:val="24"/>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r>
      <w:tr>
        <w:trPr/>
        <w:tc>
          <w:tcPr>
            <w:tcW w:w="663"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5</w:t>
            </w:r>
            <w:r/>
          </w:p>
        </w:tc>
        <w:tc>
          <w:tcPr>
            <w:tcW w:w="1225"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企业实力</w:t>
            </w:r>
            <w:r/>
          </w:p>
        </w:tc>
        <w:tc>
          <w:tcPr>
            <w:tcW w:w="2400"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21分</w:t>
            </w:r>
            <w:r/>
          </w:p>
        </w:tc>
        <w:tc>
          <w:tcPr>
            <w:tcW w:w="4900" w:type="dxa"/>
            <w:vAlign w:val="center"/>
            <w:textDirection w:val="lrTb"/>
            <w:noWrap w:val="false"/>
          </w:tcPr>
          <w:p>
            <w:pPr>
              <w:jc w:val="left"/>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综合覆盖率（8分）：响应供应商CMA资质附表，对《国家食品安全监督抽检实施细则（2024）年版》中33类食品列出的各产品检验项目自行列举的《检验检测综合覆盖率表》进行资质核对评审：综合覆盖率95%得4分，每提高1%加0.8分，</w:t>
            </w:r>
            <w:r>
              <w:rPr>
                <w:rFonts w:hint="eastAsia" w:ascii="仿宋" w:hAnsi="仿宋" w:eastAsia="仿宋" w:cs="仿宋"/>
                <w:b w:val="0"/>
                <w:bCs/>
                <w:color w:val="auto"/>
                <w:sz w:val="24"/>
                <w:szCs w:val="24"/>
                <w:highlight w:val="none"/>
                <w:lang w:val="en-US" w:eastAsia="zh-CN"/>
              </w:rPr>
              <w:t xml:space="preserve">提高</w:t>
            </w:r>
            <w:r>
              <w:rPr>
                <w:rFonts w:hint="eastAsia" w:ascii="仿宋" w:hAnsi="仿宋" w:eastAsia="仿宋" w:cs="仿宋"/>
                <w:b w:val="0"/>
                <w:bCs/>
                <w:sz w:val="24"/>
                <w:szCs w:val="24"/>
                <w:highlight w:val="none"/>
                <w:lang w:val="en-US" w:eastAsia="zh-CN"/>
              </w:rPr>
              <w:t xml:space="preserve">不足1%的不得分，综合覆盖率95％以下不得分。本项最高得8分。</w:t>
            </w:r>
            <w:r/>
          </w:p>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2.能力验证（8分）：根据2024年参加的能力验证数量和结果进行评审：参加省级及以上食品检测能力验证且结果满意的总量≥15次，得5分，每多1次加1分，本项最高8分。</w:t>
            </w:r>
            <w:r/>
          </w:p>
          <w:p>
            <w:pPr>
              <w:jc w:val="left"/>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3.专利、科研项目（5分）：供应商参与过国家、行业、地方、团体等食品相关标准或者检验方法制定（提供正式标准文本）、承担过地市级及以上食品相关科研项目的（提供结题报告，相关单位盖章），具有食品检测专利的（须提供专利证书），每有一个得1分，本项最高得5分。</w:t>
            </w:r>
            <w:r/>
          </w:p>
        </w:tc>
      </w:tr>
      <w:tr>
        <w:trPr/>
        <w:tc>
          <w:tcPr>
            <w:tcW w:w="663"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6</w:t>
            </w:r>
            <w:r/>
          </w:p>
        </w:tc>
        <w:tc>
          <w:tcPr>
            <w:tcW w:w="122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工作业绩</w:t>
            </w:r>
            <w:r/>
          </w:p>
        </w:tc>
        <w:tc>
          <w:tcPr>
            <w:tcW w:w="240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26分</w:t>
            </w:r>
            <w:r/>
          </w:p>
        </w:tc>
        <w:tc>
          <w:tcPr>
            <w:tcW w:w="4900" w:type="dxa"/>
            <w:vAlign w:val="center"/>
            <w:textDirection w:val="lrTb"/>
            <w:noWrap w:val="false"/>
          </w:tcPr>
          <w:p>
            <w:pPr>
              <w:jc w:val="left"/>
              <w:keepLines w:val="0"/>
              <w:keepNext w:val="0"/>
              <w:pageBreakBefore w:val="0"/>
              <w:spacing w:line="340" w:lineRule="exact"/>
              <w:widowControl w:val="off"/>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sz w:val="24"/>
                <w:szCs w:val="24"/>
                <w:highlight w:val="none"/>
                <w:lang w:val="en-US" w:eastAsia="zh-CN"/>
              </w:rPr>
              <w:t xml:space="preserve">1.抽检业绩（10分）：2024年，具有县级及以上市场监管部门委托的食品安全监督抽检、风险监测等经历，需在同一委托单位一年内任务总批次大于500批次。承担省、自治区、直辖市及以上抽检任务的</w:t>
            </w:r>
            <w:r>
              <w:rPr>
                <w:rFonts w:hint="eastAsia" w:ascii="仿宋" w:hAnsi="仿宋" w:eastAsia="仿宋" w:cs="仿宋"/>
                <w:b w:val="0"/>
                <w:bCs/>
                <w:color w:val="auto"/>
                <w:sz w:val="24"/>
                <w:szCs w:val="24"/>
                <w:highlight w:val="none"/>
                <w:lang w:val="en-US" w:eastAsia="zh-CN"/>
              </w:rPr>
              <w:t xml:space="preserve">每有一个业绩得3分；承担设区的市、自治州、直辖市的区抽检任务的每有一个业绩得2分；承担县级抽检任务的每有一个业绩得1分，本项最高10分。（注：以监管部门委托文件、合同或验收报告为准。）</w:t>
            </w:r>
            <w:r/>
          </w:p>
          <w:p>
            <w:pPr>
              <w:jc w:val="left"/>
              <w:keepLines w:val="0"/>
              <w:keepNext w:val="0"/>
              <w:pageBreakBefore w:val="0"/>
              <w:spacing w:line="34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2.问题发现率（16分）：</w:t>
            </w:r>
            <w:r/>
          </w:p>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根据响应供应商2024年度承担县级及以上市场监管部门委托的食品安全监督抽检工作，提供监督抽检任务总批次（需在同一委托单位全年任务总批次大于500批次，餐具＜10%，单品种专项、餐饮、特殊食品抽检除外）的汇总表等相关材料和抽检不合格汇总表。供应商抽检不合</w:t>
            </w:r>
            <w:r>
              <w:rPr>
                <w:rFonts w:hint="eastAsia" w:ascii="仿宋" w:hAnsi="仿宋" w:eastAsia="仿宋" w:cs="仿宋"/>
                <w:b w:val="0"/>
                <w:bCs/>
                <w:sz w:val="24"/>
                <w:szCs w:val="24"/>
                <w:highlight w:val="none"/>
                <w:lang w:val="en-US" w:eastAsia="zh-CN"/>
              </w:rPr>
              <w:t xml:space="preserve">格率3%，得基本分4分，每高0.1%，增加0.1分；每低0.1%，减少0.1分，低于2.5%不得分，本项最高8分。</w:t>
            </w:r>
            <w:r>
              <w:rPr>
                <w:rFonts w:hint="eastAsia" w:ascii="仿宋" w:hAnsi="仿宋" w:eastAsia="仿宋" w:cs="仿宋"/>
                <w:b/>
                <w:bCs w:val="0"/>
                <w:sz w:val="24"/>
                <w:szCs w:val="24"/>
                <w:highlight w:val="none"/>
                <w:lang w:val="en-US" w:eastAsia="zh-CN"/>
              </w:rPr>
              <w:t xml:space="preserve">须提供委托抽检合同、委托书(能够体现本次抽检总批次数)、年度不合格抽检信息汇总表等相关证明材料复印件加盖响应供应商、被服务单位公章，不提供不得分。同时问题发现率须提供相关证据复印件并加盖响应供应商、被服务单位公章，不提供不得分。</w:t>
            </w:r>
            <w:r/>
          </w:p>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根据响应供应商2024年度在市场监管部门（省、市、县）农产品专项抽检中，总批次100批次以上，不合格率为8%的得基本分3分，批次每增加50（含50）或不合格率每高0.1%，增加0.1分，批次增加或不合格率增加只取其一，不重复计分，本项最高8分。（农产品专项，以国家食品安全抽样检验信息系统和委托的市场监管部门盖章为准。）</w:t>
            </w:r>
            <w:r/>
          </w:p>
        </w:tc>
      </w:tr>
    </w:tbl>
    <w:p>
      <w:pPr>
        <w:pStyle w:val="719"/>
        <w:ind w:left="0" w:firstLine="0"/>
        <w:rPr>
          <w:color w:val="auto"/>
          <w:highlight w:val="none"/>
        </w:rPr>
      </w:pPr>
      <w:r>
        <w:rPr>
          <w:color w:val="auto"/>
          <w:highlight w:val="none"/>
        </w:rPr>
      </w:r>
      <w:r/>
    </w:p>
    <w:p>
      <w:pPr>
        <w:pStyle w:val="740"/>
        <w:ind w:firstLine="560"/>
        <w:jc w:val="both"/>
        <w:pageBreakBefore w:val="0"/>
        <w:spacing w:beforeAutospacing="0" w:afterAutospacing="0" w:line="520" w:lineRule="exact"/>
        <w:widowControl/>
        <w:rPr>
          <w:rFonts w:hint="eastAsia" w:ascii="仿宋" w:hAnsi="仿宋" w:eastAsia="仿宋" w:cs="仿宋"/>
          <w:color w:val="auto"/>
          <w:sz w:val="28"/>
          <w:szCs w:val="28"/>
          <w:highlight w:val="none"/>
        </w:rPr>
      </w:pPr>
      <w:r/>
      <w:bookmarkStart w:id="57" w:name="_Toc29656"/>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w:t>
      </w:r>
      <w:r>
        <w:rPr>
          <w:rFonts w:hint="eastAsia" w:ascii="仿宋" w:hAnsi="仿宋" w:eastAsia="仿宋" w:cs="仿宋"/>
          <w:bCs/>
          <w:sz w:val="28"/>
          <w:szCs w:val="28"/>
        </w:rPr>
        <w:t xml:space="preserve">无效</w:t>
      </w:r>
      <w:r>
        <w:rPr>
          <w:rFonts w:hint="eastAsia" w:ascii="仿宋" w:hAnsi="仿宋" w:eastAsia="仿宋" w:cs="仿宋"/>
          <w:bCs/>
          <w:sz w:val="28"/>
          <w:szCs w:val="28"/>
          <w:lang w:val="en-US" w:eastAsia="zh-CN"/>
        </w:rPr>
        <w:t xml:space="preserve">响应</w:t>
      </w:r>
      <w:r>
        <w:rPr>
          <w:rFonts w:hint="eastAsia" w:ascii="仿宋" w:hAnsi="仿宋" w:eastAsia="仿宋" w:cs="仿宋"/>
          <w:bCs/>
          <w:sz w:val="28"/>
          <w:szCs w:val="28"/>
        </w:rPr>
        <w:t xml:space="preserve">和</w:t>
      </w:r>
      <w:r>
        <w:rPr>
          <w:rFonts w:hint="eastAsia" w:ascii="仿宋" w:hAnsi="仿宋" w:eastAsia="仿宋" w:cs="仿宋"/>
          <w:bCs/>
          <w:sz w:val="28"/>
          <w:szCs w:val="28"/>
          <w:lang w:val="en-US" w:eastAsia="zh-CN"/>
        </w:rPr>
        <w:t xml:space="preserve">框架协议采购</w:t>
      </w:r>
      <w:r>
        <w:rPr>
          <w:rFonts w:hint="eastAsia" w:ascii="仿宋" w:hAnsi="仿宋" w:eastAsia="仿宋" w:cs="仿宋"/>
          <w:bCs/>
          <w:sz w:val="28"/>
          <w:szCs w:val="28"/>
        </w:rPr>
        <w:t xml:space="preserve">活动终止</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 出现下列情形之一的，作无效</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处理。</w:t>
      </w:r>
      <w:r>
        <w:rPr>
          <w:rFonts w:hint="eastAsia" w:ascii="仿宋" w:hAnsi="仿宋" w:eastAsia="仿宋"/>
          <w:sz w:val="28"/>
          <w:szCs w:val="28"/>
        </w:rPr>
        <w:tab/>
      </w:r>
      <w:r>
        <w:rPr>
          <w:rFonts w:hint="eastAsia" w:ascii="仿宋" w:hAnsi="仿宋" w:eastAsia="仿宋"/>
          <w:sz w:val="28"/>
          <w:szCs w:val="28"/>
        </w:rPr>
        <w:tab/>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不具备</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文件中规定的资格要求的。</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 报价超过了采购预算或最高限价的。</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 未通过符合性审查的。</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 不符合法律、法规和</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文件中规定的其他实质性要求的。</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文件含有采购人不能接受的附加条件的。</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 本项目采购产品被财政部、国家发改委、生态环境部等列入“节能产品品目清单”、“环境标志产品品目清单”强制采购范围，而供应商</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产品不在强制采购范围内的。</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8</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文件未按照</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文件要求加盖电子签章。</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w:t>
      </w:r>
      <w:r>
        <w:rPr>
          <w:rFonts w:hint="eastAsia" w:ascii="仿宋" w:hAnsi="仿宋" w:eastAsia="仿宋"/>
          <w:sz w:val="28"/>
          <w:szCs w:val="28"/>
        </w:rPr>
        <w:t xml:space="preserve"> 供应商在系统规定的时间内未成功解密电子</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文件的。</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10</w:t>
      </w:r>
      <w:r>
        <w:rPr>
          <w:rFonts w:hint="eastAsia" w:ascii="仿宋" w:hAnsi="仿宋" w:eastAsia="仿宋"/>
          <w:sz w:val="28"/>
          <w:szCs w:val="28"/>
          <w:lang w:eastAsia="zh-CN"/>
        </w:rPr>
        <w:t xml:space="preserve">）</w:t>
      </w:r>
      <w:r>
        <w:rPr>
          <w:rFonts w:hint="eastAsia" w:ascii="仿宋" w:hAnsi="仿宋" w:eastAsia="仿宋"/>
          <w:sz w:val="28"/>
          <w:szCs w:val="28"/>
        </w:rPr>
        <w:t xml:space="preserve"> 未完整上传</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文件电子文档的,或上传的文件打不开的。</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11</w:t>
      </w:r>
      <w:r>
        <w:rPr>
          <w:rFonts w:hint="eastAsia" w:ascii="仿宋" w:hAnsi="仿宋" w:eastAsia="仿宋"/>
          <w:sz w:val="28"/>
          <w:szCs w:val="28"/>
          <w:lang w:eastAsia="zh-CN"/>
        </w:rPr>
        <w:t xml:space="preserve">）</w:t>
      </w:r>
      <w:r>
        <w:rPr>
          <w:rFonts w:hint="eastAsia" w:ascii="仿宋" w:hAnsi="仿宋" w:eastAsia="仿宋"/>
          <w:sz w:val="28"/>
          <w:szCs w:val="28"/>
        </w:rPr>
        <w:t xml:space="preserve"> 不同的供应商</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文件制作机器码、文件创建标识码一致的。</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12</w:t>
      </w:r>
      <w:r>
        <w:rPr>
          <w:rFonts w:hint="eastAsia" w:ascii="仿宋" w:hAnsi="仿宋" w:eastAsia="仿宋"/>
          <w:sz w:val="28"/>
          <w:szCs w:val="28"/>
          <w:lang w:eastAsia="zh-CN"/>
        </w:rPr>
        <w:t xml:space="preserve">）</w:t>
      </w:r>
      <w:r>
        <w:rPr>
          <w:rFonts w:hint="eastAsia" w:ascii="仿宋" w:hAnsi="仿宋" w:eastAsia="仿宋"/>
          <w:sz w:val="28"/>
          <w:szCs w:val="28"/>
        </w:rPr>
        <w:t xml:space="preserve">不同</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委托同一单位或者个人办理投标事宜。</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13</w:t>
      </w:r>
      <w:r>
        <w:rPr>
          <w:rFonts w:hint="eastAsia" w:ascii="仿宋" w:hAnsi="仿宋" w:eastAsia="仿宋"/>
          <w:sz w:val="28"/>
          <w:szCs w:val="28"/>
          <w:lang w:eastAsia="zh-CN"/>
        </w:rPr>
        <w:t xml:space="preserve">）</w:t>
      </w:r>
      <w:r>
        <w:rPr>
          <w:rFonts w:hint="eastAsia" w:ascii="仿宋" w:hAnsi="仿宋" w:eastAsia="仿宋"/>
          <w:sz w:val="28"/>
          <w:szCs w:val="28"/>
        </w:rPr>
        <w:t xml:space="preserve"> 同</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文件载明的项目管理成员或者联系人员为同一人。</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14</w:t>
      </w:r>
      <w:r>
        <w:rPr>
          <w:rFonts w:hint="eastAsia" w:ascii="仿宋" w:hAnsi="仿宋" w:eastAsia="仿宋"/>
          <w:sz w:val="28"/>
          <w:szCs w:val="28"/>
          <w:lang w:eastAsia="zh-CN"/>
        </w:rPr>
        <w:t xml:space="preserve">）</w:t>
      </w:r>
      <w:r>
        <w:rPr>
          <w:rFonts w:hint="eastAsia" w:ascii="仿宋" w:hAnsi="仿宋" w:eastAsia="仿宋"/>
          <w:sz w:val="28"/>
          <w:szCs w:val="28"/>
        </w:rPr>
        <w:t xml:space="preserve"> 不同</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文件异常一致或者投标报价呈规律性差异。</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15</w:t>
      </w:r>
      <w:r>
        <w:rPr>
          <w:rFonts w:hint="eastAsia" w:ascii="仿宋" w:hAnsi="仿宋" w:eastAsia="仿宋"/>
          <w:sz w:val="28"/>
          <w:szCs w:val="28"/>
          <w:lang w:eastAsia="zh-CN"/>
        </w:rPr>
        <w:t xml:space="preserve">）</w:t>
      </w:r>
      <w:r>
        <w:rPr>
          <w:rFonts w:hint="eastAsia" w:ascii="仿宋" w:hAnsi="仿宋" w:eastAsia="仿宋"/>
          <w:sz w:val="28"/>
          <w:szCs w:val="28"/>
        </w:rPr>
        <w:t xml:space="preserve">其他法律、法规及本</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文件规定的属无效投标的情形。</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出现下列情形之一的，本次</w:t>
      </w:r>
      <w:r>
        <w:rPr>
          <w:rFonts w:hint="eastAsia" w:ascii="仿宋" w:hAnsi="仿宋" w:eastAsia="仿宋"/>
          <w:sz w:val="28"/>
          <w:szCs w:val="28"/>
          <w:lang w:val="en-US" w:eastAsia="zh-CN"/>
        </w:rPr>
        <w:t xml:space="preserve">框架协议采购</w:t>
      </w:r>
      <w:r>
        <w:rPr>
          <w:rFonts w:hint="eastAsia" w:ascii="仿宋" w:hAnsi="仿宋" w:eastAsia="仿宋"/>
          <w:sz w:val="28"/>
          <w:szCs w:val="28"/>
        </w:rPr>
        <w:t xml:space="preserve">活动将被终止：</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响应供应商</w:t>
      </w:r>
      <w:r>
        <w:rPr>
          <w:rFonts w:ascii="仿宋" w:hAnsi="仿宋" w:eastAsia="仿宋"/>
          <w:sz w:val="28"/>
          <w:szCs w:val="28"/>
          <w:highlight w:val="none"/>
        </w:rPr>
        <w:t xml:space="preserve">不足</w:t>
      </w:r>
      <w:r>
        <w:rPr>
          <w:rFonts w:hint="eastAsia" w:ascii="仿宋" w:hAnsi="仿宋" w:eastAsia="仿宋"/>
          <w:sz w:val="28"/>
          <w:szCs w:val="28"/>
          <w:highlight w:val="none"/>
        </w:rPr>
        <w:t xml:space="preserve">3家</w:t>
      </w:r>
      <w:r>
        <w:rPr>
          <w:rFonts w:ascii="仿宋" w:hAnsi="仿宋" w:eastAsia="仿宋"/>
          <w:sz w:val="28"/>
          <w:szCs w:val="28"/>
          <w:highlight w:val="none"/>
        </w:rPr>
        <w:t xml:space="preserve">的；</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ascii="仿宋" w:hAnsi="仿宋" w:eastAsia="仿宋"/>
          <w:sz w:val="28"/>
          <w:szCs w:val="28"/>
        </w:rPr>
        <w:t xml:space="preserve">出现影响采购公正的违法、违规行为的；</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因重大变故，采购任务取消的。</w:t>
      </w:r>
      <w:r/>
    </w:p>
    <w:p>
      <w:pPr>
        <w:ind w:firstLine="600"/>
        <w:spacing w:line="500" w:lineRule="exact"/>
        <w:rPr>
          <w:rFonts w:ascii="宋体" w:hAnsi="宋体" w:eastAsia="宋体" w:cs="宋体"/>
          <w:color w:val="auto"/>
          <w:sz w:val="24"/>
          <w:highlight w:val="none"/>
        </w:rPr>
        <w:outlineLvl w:val="0"/>
      </w:pPr>
      <w:r>
        <w:rPr>
          <w:rFonts w:hint="eastAsia" w:ascii="黑体" w:hAnsi="黑体" w:eastAsia="黑体" w:cs="黑体"/>
          <w:color w:val="auto"/>
          <w:sz w:val="30"/>
          <w:szCs w:val="30"/>
          <w:highlight w:val="none"/>
          <w:shd w:val="clear" w:color="auto" w:fill="ffffff"/>
        </w:rPr>
        <w:t xml:space="preserve">九、响应文件的编制要求，提交方式、提交截止时间和地点，开启方式、时间和地点，以及响应文件有效期</w:t>
      </w:r>
      <w:r>
        <w:rPr>
          <w:rFonts w:hint="eastAsia" w:ascii="宋体" w:hAnsi="宋体" w:eastAsia="宋体" w:cs="宋体"/>
          <w:color w:val="auto"/>
          <w:sz w:val="24"/>
          <w:highlight w:val="none"/>
          <w:shd w:val="clear" w:color="auto" w:fill="ffffff"/>
        </w:rPr>
        <w:t xml:space="preserve"> </w:t>
      </w:r>
      <w:bookmarkEnd w:id="57"/>
      <w:r/>
      <w:r/>
    </w:p>
    <w:p>
      <w:pPr>
        <w:ind w:firstLine="560"/>
        <w:pageBreakBefore w:val="0"/>
        <w:spacing w:line="520" w:lineRule="exact"/>
        <w:rPr>
          <w:rFonts w:hint="eastAsia" w:ascii="仿宋" w:hAnsi="仿宋" w:eastAsia="仿宋" w:cs="仿宋"/>
          <w:color w:val="auto"/>
          <w:sz w:val="28"/>
          <w:szCs w:val="28"/>
          <w:highlight w:val="none"/>
        </w:rPr>
      </w:pPr>
      <w:r/>
      <w:bookmarkStart w:id="58" w:name="_Toc32664"/>
      <w:r/>
      <w:bookmarkStart w:id="59" w:name="_Toc6573"/>
      <w:r>
        <w:rPr>
          <w:rFonts w:hint="eastAsia" w:ascii="仿宋" w:hAnsi="仿宋" w:eastAsia="仿宋" w:cs="仿宋"/>
          <w:color w:val="auto"/>
          <w:sz w:val="28"/>
          <w:szCs w:val="28"/>
          <w:highlight w:val="none"/>
        </w:rPr>
        <w:t xml:space="preserve">（一）响应文件的编制</w:t>
      </w:r>
      <w:bookmarkEnd w:id="58"/>
      <w:r/>
      <w:r/>
    </w:p>
    <w:p>
      <w:pPr>
        <w:ind w:firstLine="560"/>
        <w:spacing w:line="500" w:lineRule="exact"/>
        <w:rPr>
          <w:rFonts w:ascii="仿宋" w:hAnsi="仿宋" w:eastAsia="仿宋"/>
          <w:sz w:val="28"/>
          <w:szCs w:val="28"/>
        </w:rPr>
      </w:pPr>
      <w:r>
        <w:rPr>
          <w:rFonts w:hint="eastAsia" w:ascii="仿宋" w:hAnsi="仿宋" w:eastAsia="仿宋" w:cs="仿宋"/>
          <w:color w:val="auto"/>
          <w:sz w:val="28"/>
          <w:szCs w:val="28"/>
          <w:highlight w:val="none"/>
        </w:rPr>
        <w:t xml:space="preserve">1.</w:t>
      </w:r>
      <w:r>
        <w:rPr>
          <w:rFonts w:hint="eastAsia" w:ascii="仿宋" w:hAnsi="仿宋" w:eastAsia="仿宋"/>
          <w:sz w:val="28"/>
          <w:szCs w:val="28"/>
        </w:rPr>
        <w:t xml:space="preserve">供应商应认真阅读</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文件中所有的事项、格式、条款和规范等要求。按</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文件要求和规定编制</w:t>
      </w:r>
      <w:r>
        <w:rPr>
          <w:rFonts w:hint="eastAsia" w:ascii="仿宋" w:hAnsi="仿宋" w:eastAsia="仿宋"/>
          <w:sz w:val="28"/>
          <w:szCs w:val="28"/>
          <w:lang w:val="en-US" w:eastAsia="zh-CN"/>
        </w:rPr>
        <w:t xml:space="preserve">征集响应</w:t>
      </w:r>
      <w:r>
        <w:rPr>
          <w:rFonts w:hint="eastAsia" w:ascii="仿宋" w:hAnsi="仿宋" w:eastAsia="仿宋"/>
          <w:sz w:val="28"/>
          <w:szCs w:val="28"/>
        </w:rPr>
        <w:t xml:space="preserve">文件，并保证所提供的全部资料的真实性，以使其</w:t>
      </w:r>
      <w:r>
        <w:rPr>
          <w:rFonts w:hint="eastAsia" w:ascii="仿宋" w:hAnsi="仿宋" w:eastAsia="仿宋"/>
          <w:sz w:val="28"/>
          <w:szCs w:val="28"/>
          <w:lang w:val="en-US" w:eastAsia="zh-CN"/>
        </w:rPr>
        <w:t xml:space="preserve">征集响应</w:t>
      </w:r>
      <w:r>
        <w:rPr>
          <w:rFonts w:hint="eastAsia" w:ascii="仿宋" w:hAnsi="仿宋" w:eastAsia="仿宋"/>
          <w:sz w:val="28"/>
          <w:szCs w:val="28"/>
        </w:rPr>
        <w:t xml:space="preserve">文件对</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文件作出实质性响应，否则其风险由供应商自行承担</w:t>
      </w:r>
      <w:r>
        <w:rPr>
          <w:rFonts w:ascii="仿宋" w:hAnsi="仿宋" w:eastAsia="仿宋"/>
          <w:sz w:val="28"/>
          <w:szCs w:val="28"/>
        </w:rPr>
        <w:t xml:space="preserve">。</w:t>
      </w:r>
      <w:r/>
    </w:p>
    <w:p>
      <w:pPr>
        <w:ind w:firstLine="56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2.征集文件由四部分组成，分别为：第一部分开标一览表、第二部资格证明文件、第三部分商务技术文件和第四部分报价文件，具体格式详见本文件附件。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征集响应</w:t>
      </w:r>
      <w:r>
        <w:rPr>
          <w:rFonts w:hint="eastAsia" w:ascii="仿宋" w:hAnsi="仿宋" w:eastAsia="仿宋"/>
          <w:sz w:val="28"/>
          <w:szCs w:val="28"/>
        </w:rPr>
        <w:t xml:space="preserve">文件由开标一览表、资格审查文件、商务技术文件和报价文件等四部分组成，</w:t>
      </w:r>
      <w:r>
        <w:rPr>
          <w:rFonts w:hint="eastAsia" w:ascii="仿宋" w:hAnsi="仿宋" w:eastAsia="仿宋"/>
          <w:bCs/>
          <w:sz w:val="28"/>
          <w:szCs w:val="28"/>
        </w:rPr>
        <w:t xml:space="preserve">具体按照“第6章 </w:t>
      </w:r>
      <w:r>
        <w:rPr>
          <w:rFonts w:hint="eastAsia" w:ascii="仿宋" w:hAnsi="仿宋" w:eastAsia="仿宋"/>
          <w:bCs/>
          <w:sz w:val="28"/>
          <w:szCs w:val="28"/>
          <w:lang w:val="en-US" w:eastAsia="zh-CN"/>
        </w:rPr>
        <w:t xml:space="preserve">框架协议响应</w:t>
      </w:r>
      <w:r>
        <w:rPr>
          <w:rFonts w:hint="eastAsia" w:ascii="仿宋" w:hAnsi="仿宋" w:eastAsia="仿宋"/>
          <w:bCs/>
          <w:sz w:val="28"/>
          <w:szCs w:val="28"/>
        </w:rPr>
        <w:t xml:space="preserve">文件组成”要求编写</w:t>
      </w:r>
      <w:r>
        <w:rPr>
          <w:rFonts w:ascii="仿宋" w:hAnsi="仿宋" w:eastAsia="仿宋"/>
          <w:sz w:val="28"/>
          <w:szCs w:val="28"/>
        </w:rPr>
        <w:t xml:space="preserve">。</w:t>
      </w:r>
      <w:r/>
    </w:p>
    <w:p>
      <w:pPr>
        <w:ind w:firstLine="560"/>
        <w:pageBreakBefore w:val="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征集文件规定的相关要求，如果供应商在征集文件中没有以书面方式提出不符合的说明，则视为供应商能够完全理解并满足征集文件要求。对有不符合征集文件技术、商务要求的，不管是多么微小，供应商都应在《技术部分正负偏离表》中如实详细说明，供应商在成交后才提出或被采购人发现供应商有不符合征集文件要求的均按虚假应标处理，拒绝其参与征集或取消成交结果，其虚假应标行为上报监督管理部门。</w:t>
      </w:r>
      <w:r/>
    </w:p>
    <w:p>
      <w:pPr>
        <w:pStyle w:val="740"/>
        <w:ind w:firstLine="560"/>
        <w:jc w:val="both"/>
        <w:pageBreakBefore w:val="0"/>
        <w:spacing w:beforeAutospacing="0" w:afterAutospacing="0" w:line="520" w:lineRule="exact"/>
        <w:widowControl/>
        <w:rPr>
          <w:rFonts w:hint="eastAsia" w:ascii="仿宋" w:hAnsi="仿宋" w:eastAsia="仿宋" w:cs="仿宋"/>
          <w:color w:val="auto"/>
          <w:sz w:val="28"/>
          <w:szCs w:val="28"/>
          <w:highlight w:val="none"/>
        </w:rPr>
      </w:pPr>
      <w:r/>
      <w:bookmarkStart w:id="60" w:name="_Toc9606"/>
      <w:r>
        <w:rPr>
          <w:rFonts w:hint="eastAsia" w:ascii="仿宋" w:hAnsi="仿宋" w:eastAsia="仿宋" w:cs="仿宋"/>
          <w:color w:val="auto"/>
          <w:sz w:val="28"/>
          <w:szCs w:val="28"/>
          <w:highlight w:val="none"/>
        </w:rPr>
        <w:t xml:space="preserve">（二）提交方式、提交截止时间和地点</w:t>
      </w:r>
      <w:bookmarkEnd w:id="60"/>
      <w:r/>
      <w:r/>
    </w:p>
    <w:p>
      <w:pPr>
        <w:ind w:firstLine="560"/>
        <w:spacing w:line="500" w:lineRule="exact"/>
        <w:rPr>
          <w:rFonts w:ascii="仿宋" w:hAnsi="仿宋" w:eastAsia="仿宋"/>
          <w:bCs/>
          <w:sz w:val="28"/>
          <w:szCs w:val="28"/>
        </w:rPr>
      </w:pPr>
      <w:r/>
      <w:bookmarkStart w:id="61" w:name="_Toc4060"/>
      <w:r>
        <w:rPr>
          <w:rFonts w:hint="eastAsia" w:ascii="仿宋" w:hAnsi="仿宋" w:eastAsia="仿宋"/>
          <w:sz w:val="28"/>
          <w:szCs w:val="28"/>
          <w:lang w:val="en-US" w:eastAsia="zh-CN"/>
        </w:rPr>
        <w:t xml:space="preserve">1.</w:t>
      </w:r>
      <w:r>
        <w:rPr>
          <w:rFonts w:hint="eastAsia" w:ascii="仿宋" w:hAnsi="仿宋" w:eastAsia="仿宋"/>
          <w:sz w:val="28"/>
          <w:szCs w:val="28"/>
        </w:rPr>
        <w:t xml:space="preserve">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 </w:t>
      </w:r>
      <w:r>
        <w:rPr>
          <w:rFonts w:hint="eastAsia" w:ascii="仿宋" w:hAnsi="仿宋" w:eastAsia="仿宋"/>
          <w:bCs/>
          <w:sz w:val="28"/>
          <w:szCs w:val="28"/>
        </w:rPr>
        <w:t xml:space="preserve">供应商应当按照采购文件和“苏采云”系统的要求编制并加密</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3.</w:t>
      </w:r>
      <w:r>
        <w:rPr>
          <w:rFonts w:hint="eastAsia" w:ascii="仿宋" w:hAnsi="仿宋" w:eastAsia="仿宋"/>
          <w:bCs/>
          <w:sz w:val="28"/>
          <w:szCs w:val="28"/>
        </w:rPr>
        <w:t xml:space="preserve">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lang w:val="en-US" w:eastAsia="zh-CN"/>
        </w:rPr>
        <w:t xml:space="preserve">5.</w:t>
      </w:r>
      <w:r>
        <w:rPr>
          <w:rFonts w:hint="eastAsia" w:ascii="仿宋" w:hAnsi="仿宋" w:eastAsia="仿宋"/>
          <w:bCs/>
          <w:sz w:val="28"/>
          <w:szCs w:val="28"/>
        </w:rPr>
        <w:t xml:space="preserve"> 供应商须通过“苏采云”系统提供的政府采购客户端工具（使用“CA数字证书”）加盖电子签章，并对电子</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文件加密。未按规定加密的</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6.</w:t>
      </w:r>
      <w:r>
        <w:rPr>
          <w:rFonts w:hint="eastAsia" w:ascii="仿宋" w:hAnsi="仿宋" w:eastAsia="仿宋"/>
          <w:bCs/>
          <w:sz w:val="28"/>
          <w:szCs w:val="28"/>
        </w:rPr>
        <w:t xml:space="preserve"> 供应商应当在</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文件提交截止时间前，通过“苏采云”系统提交电子</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文件。逾期提交的</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文件，“苏采云”系统将自动拒收。供应商应充分考虑到网络环境、网络带宽等风险因素，如因供应商自身原因造成的电子</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7.</w:t>
      </w:r>
      <w:r>
        <w:rPr>
          <w:rFonts w:hint="eastAsia" w:ascii="仿宋" w:hAnsi="仿宋" w:eastAsia="仿宋"/>
          <w:bCs/>
          <w:sz w:val="28"/>
          <w:szCs w:val="28"/>
        </w:rPr>
        <w:t xml:space="preserve"> 供应商可在</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文件提交截止时间前，撤回其电子</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文件，具体操作方法见《江苏省政府采购（供应商）国信CA数字证书及电子签章办理指南》。供应商撤回电子</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文件的，则认为其不再参与本项目</w:t>
      </w:r>
      <w:r>
        <w:rPr>
          <w:rFonts w:hint="eastAsia" w:ascii="仿宋" w:hAnsi="仿宋" w:eastAsia="仿宋"/>
          <w:bCs/>
          <w:sz w:val="28"/>
          <w:szCs w:val="28"/>
          <w:lang w:val="en-US" w:eastAsia="zh-CN"/>
        </w:rPr>
        <w:t xml:space="preserve">框架协议采购</w:t>
      </w:r>
      <w:r>
        <w:rPr>
          <w:rFonts w:hint="eastAsia" w:ascii="仿宋" w:hAnsi="仿宋" w:eastAsia="仿宋"/>
          <w:bCs/>
          <w:sz w:val="28"/>
          <w:szCs w:val="28"/>
        </w:rPr>
        <w:t xml:space="preserve">活动。</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8.</w:t>
      </w:r>
      <w:r>
        <w:rPr>
          <w:rFonts w:hint="eastAsia" w:ascii="仿宋" w:hAnsi="仿宋" w:eastAsia="仿宋"/>
          <w:bCs/>
          <w:sz w:val="28"/>
          <w:szCs w:val="28"/>
        </w:rPr>
        <w:t xml:space="preserve">供应商可在</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文件提交截止时间前，对其电子</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文件进行修改。在</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文件提交截止时间之后，供应商不得对其电子</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 采购代理机构可以通过修改</w:t>
      </w:r>
      <w:r>
        <w:rPr>
          <w:rFonts w:hint="eastAsia" w:ascii="仿宋" w:hAnsi="仿宋" w:eastAsia="仿宋"/>
          <w:bCs/>
          <w:sz w:val="28"/>
          <w:szCs w:val="28"/>
          <w:lang w:val="en-US" w:eastAsia="zh-CN"/>
        </w:rPr>
        <w:t xml:space="preserve">征集</w:t>
      </w:r>
      <w:r>
        <w:rPr>
          <w:rFonts w:hint="eastAsia" w:ascii="仿宋" w:hAnsi="仿宋" w:eastAsia="仿宋"/>
          <w:bCs/>
          <w:sz w:val="28"/>
          <w:szCs w:val="28"/>
        </w:rPr>
        <w:t xml:space="preserve">文件，酌情延长</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10.</w:t>
      </w:r>
      <w:r>
        <w:rPr>
          <w:rFonts w:hint="eastAsia" w:ascii="仿宋" w:hAnsi="仿宋" w:eastAsia="仿宋"/>
          <w:sz w:val="28"/>
          <w:szCs w:val="28"/>
        </w:rPr>
        <w:t xml:space="preserve"> </w:t>
      </w:r>
      <w:r>
        <w:rPr>
          <w:rFonts w:hint="eastAsia" w:ascii="仿宋" w:hAnsi="仿宋" w:eastAsia="仿宋" w:cs="仿宋"/>
          <w:color w:val="auto"/>
          <w:sz w:val="28"/>
          <w:szCs w:val="28"/>
          <w:highlight w:val="none"/>
        </w:rPr>
        <w:t xml:space="preserve">征集响应文件有效期</w:t>
      </w:r>
      <w:r>
        <w:rPr>
          <w:rFonts w:hint="eastAsia" w:ascii="仿宋" w:hAnsi="仿宋" w:eastAsia="仿宋"/>
          <w:sz w:val="28"/>
          <w:szCs w:val="28"/>
        </w:rPr>
        <w:t xml:space="preserve">：从提交</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文件截止日起90天。</w:t>
      </w:r>
      <w:bookmarkEnd w:id="61"/>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rPr>
          <w:rFonts w:hint="eastAsia" w:ascii="黑体" w:hAnsi="黑体" w:eastAsia="黑体" w:cs="黑体"/>
          <w:color w:val="auto"/>
          <w:sz w:val="30"/>
          <w:szCs w:val="30"/>
          <w:highlight w:val="none"/>
          <w:shd w:val="clear" w:color="auto" w:fill="ffffff"/>
        </w:rPr>
        <w:t xml:space="preserve">十、拟签订的框架协议文本和采购合同文本</w:t>
      </w:r>
      <w:bookmarkEnd w:id="59"/>
      <w:r/>
      <w:r/>
    </w:p>
    <w:p>
      <w:pPr>
        <w:pStyle w:val="740"/>
        <w:ind w:firstLine="560"/>
        <w:jc w:val="both"/>
        <w:spacing w:beforeAutospacing="0" w:afterAutospacing="0"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框架协议文本和采购合同文本见附件； </w:t>
      </w:r>
      <w:r/>
    </w:p>
    <w:p>
      <w:pPr>
        <w:pStyle w:val="740"/>
        <w:ind w:firstLine="600"/>
        <w:jc w:val="both"/>
        <w:spacing w:beforeAutospacing="0" w:afterAutospacing="0" w:line="500" w:lineRule="exact"/>
        <w:widowControl/>
        <w:rPr>
          <w:rFonts w:ascii="宋体" w:hAnsi="宋体" w:eastAsia="宋体" w:cs="宋体"/>
          <w:color w:val="auto"/>
          <w:highlight w:val="none"/>
          <w:shd w:val="clear" w:color="auto" w:fill="ffffff"/>
        </w:rPr>
        <w:outlineLvl w:val="0"/>
      </w:pPr>
      <w:r/>
      <w:bookmarkStart w:id="62" w:name="_Toc30317"/>
      <w:r>
        <w:rPr>
          <w:rFonts w:hint="eastAsia" w:ascii="黑体" w:hAnsi="黑体" w:eastAsia="黑体" w:cs="黑体"/>
          <w:color w:val="auto"/>
          <w:sz w:val="30"/>
          <w:szCs w:val="30"/>
          <w:highlight w:val="none"/>
          <w:shd w:val="clear" w:color="auto" w:fill="ffffff"/>
        </w:rPr>
        <w:t xml:space="preserve">十一、确定第二阶段成交供应商的方式</w:t>
      </w:r>
      <w:r>
        <w:rPr>
          <w:rFonts w:hint="eastAsia" w:ascii="宋体" w:hAnsi="宋体" w:eastAsia="宋体" w:cs="宋体"/>
          <w:color w:val="auto"/>
          <w:highlight w:val="none"/>
          <w:shd w:val="clear" w:color="auto" w:fill="ffffff"/>
        </w:rPr>
        <w:t xml:space="preserve"> </w:t>
      </w:r>
      <w:bookmarkEnd w:id="62"/>
      <w:r/>
      <w:r/>
    </w:p>
    <w:p>
      <w:pPr>
        <w:ind w:firstLine="561"/>
        <w:keepLines w:val="0"/>
        <w:keepNext w:val="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（一）本项目第二阶段成交供应商的确定采用“直接选定”方式进行。 </w:t>
      </w:r>
      <w:r/>
    </w:p>
    <w:p>
      <w:pPr>
        <w:pStyle w:val="735"/>
        <w:ind w:firstLine="561"/>
        <w:keepLines w:val="0"/>
        <w:keepNext w:val="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（二）采购人将</w:t>
      </w:r>
      <w:r>
        <w:rPr>
          <w:rFonts w:ascii="仿宋" w:hAnsi="仿宋" w:eastAsia="仿宋"/>
          <w:color w:val="auto"/>
          <w:sz w:val="28"/>
          <w:szCs w:val="28"/>
          <w:highlight w:val="none"/>
        </w:rPr>
        <w:t xml:space="preserve">建立用户反馈和评价机制，</w:t>
      </w:r>
      <w:r>
        <w:rPr>
          <w:rFonts w:hint="eastAsia" w:ascii="仿宋" w:hAnsi="仿宋" w:eastAsia="仿宋"/>
          <w:color w:val="auto"/>
          <w:sz w:val="28"/>
          <w:szCs w:val="28"/>
          <w:highlight w:val="none"/>
        </w:rPr>
        <w:t xml:space="preserve">入围供应商须</w:t>
      </w:r>
      <w:r>
        <w:rPr>
          <w:rFonts w:ascii="仿宋" w:hAnsi="仿宋" w:eastAsia="仿宋"/>
          <w:color w:val="auto"/>
          <w:sz w:val="28"/>
          <w:szCs w:val="28"/>
          <w:highlight w:val="none"/>
        </w:rPr>
        <w:t xml:space="preserve">接受采购人和服务对象对入围供应商履行框架协议和采购合同情况的反馈与评价，并将用户反馈和评价情况向采购人和服务对象公开，作为第二阶段直接选定成交供应商的参考</w:t>
      </w:r>
      <w:r>
        <w:rPr>
          <w:rFonts w:hint="eastAsia" w:ascii="仿宋" w:hAnsi="仿宋" w:eastAsia="仿宋"/>
          <w:color w:val="auto"/>
          <w:sz w:val="28"/>
          <w:szCs w:val="28"/>
          <w:highlight w:val="none"/>
        </w:rPr>
        <w:t xml:space="preserve">。</w:t>
      </w:r>
      <w:r/>
    </w:p>
    <w:p>
      <w:pPr>
        <w:ind w:firstLine="600"/>
        <w:spacing w:line="500" w:lineRule="exact"/>
        <w:rPr>
          <w:rFonts w:ascii="黑体" w:hAnsi="黑体" w:eastAsia="黑体" w:cs="黑体"/>
          <w:color w:val="auto"/>
          <w:sz w:val="30"/>
          <w:szCs w:val="30"/>
          <w:highlight w:val="none"/>
          <w:shd w:val="clear" w:color="auto"/>
        </w:rPr>
        <w:outlineLvl w:val="0"/>
      </w:pPr>
      <w:r/>
      <w:bookmarkStart w:id="63" w:name="_Toc3940"/>
      <w:r>
        <w:rPr>
          <w:rFonts w:hint="eastAsia" w:ascii="黑体" w:hAnsi="黑体" w:eastAsia="黑体" w:cs="黑体"/>
          <w:color w:val="auto"/>
          <w:sz w:val="30"/>
          <w:szCs w:val="30"/>
          <w:highlight w:val="none"/>
          <w:shd w:val="clear" w:color="auto" w:fill="ffffff"/>
        </w:rPr>
        <w:t xml:space="preserve">十二、采购资金的</w:t>
      </w:r>
      <w:r>
        <w:rPr>
          <w:rFonts w:hint="eastAsia" w:ascii="黑体" w:hAnsi="黑体" w:eastAsia="黑体" w:cs="黑体"/>
          <w:color w:val="auto"/>
          <w:sz w:val="30"/>
          <w:szCs w:val="30"/>
          <w:highlight w:val="none"/>
          <w:shd w:val="clear" w:color="auto"/>
        </w:rPr>
        <w:t xml:space="preserve">支付方式、时间和条件</w:t>
      </w:r>
      <w:bookmarkEnd w:id="63"/>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eastAsia="zh-CN"/>
        </w:rPr>
        <w:outlineLvl w:val="9"/>
      </w:pPr>
      <w:r/>
      <w:bookmarkStart w:id="64" w:name="_Toc10506"/>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lang w:eastAsia="zh-CN"/>
        </w:rPr>
        <w:t xml:space="preserve">）付款方式：</w:t>
      </w:r>
      <w:r/>
    </w:p>
    <w:p>
      <w:pPr>
        <w:pStyle w:val="740"/>
        <w:ind w:firstLine="560"/>
        <w:jc w:val="both"/>
        <w:spacing w:beforeAutospacing="0" w:afterAutospacing="0" w:line="500" w:lineRule="exact"/>
        <w:widowControl/>
        <w:rPr>
          <w:rFonts w:hint="eastAsia" w:ascii="仿宋" w:hAnsi="仿宋" w:eastAsia="仿宋" w:cs="仿宋"/>
          <w:color w:val="auto"/>
          <w:sz w:val="28"/>
          <w:szCs w:val="28"/>
          <w:highlight w:val="none"/>
          <w:lang w:eastAsia="zh-CN"/>
        </w:rPr>
        <w:outlineLvl w:val="0"/>
      </w:pPr>
      <w:r/>
      <w:bookmarkStart w:id="65" w:name="_Toc10843"/>
      <w:r/>
      <w:bookmarkStart w:id="66" w:name="_Toc20807"/>
      <w:r>
        <w:rPr>
          <w:rFonts w:hint="eastAsia" w:ascii="仿宋" w:hAnsi="仿宋" w:eastAsia="仿宋" w:cs="仿宋"/>
          <w:color w:val="auto"/>
          <w:sz w:val="28"/>
          <w:szCs w:val="28"/>
          <w:highlight w:val="none"/>
          <w:lang w:eastAsia="zh-CN"/>
        </w:rPr>
        <w:t xml:space="preserve">任务完成结算抽检费用，抽样检测费用为供应商成交单价*实际抽样检测批次数。</w:t>
      </w:r>
      <w:r/>
    </w:p>
    <w:p>
      <w:pPr>
        <w:pStyle w:val="740"/>
        <w:ind w:firstLine="560"/>
        <w:jc w:val="both"/>
        <w:spacing w:beforeAutospacing="0" w:afterAutospacing="0" w:line="500" w:lineRule="exact"/>
        <w:widowControl/>
        <w:rPr>
          <w:rFonts w:hint="eastAsia" w:ascii="仿宋" w:hAnsi="仿宋" w:eastAsia="仿宋" w:cs="仿宋"/>
          <w:b w:val="0"/>
          <w:bCs/>
          <w:color w:val="auto"/>
          <w:sz w:val="28"/>
          <w:szCs w:val="28"/>
          <w:highlight w:val="none"/>
          <w:lang w:val="zh-CN"/>
        </w:rPr>
        <w:outlineLvl w:val="0"/>
      </w:pPr>
      <w:r>
        <w:rPr>
          <w:rFonts w:hint="eastAsia" w:ascii="仿宋" w:hAnsi="仿宋" w:eastAsia="仿宋" w:cs="仿宋"/>
          <w:color w:val="auto"/>
          <w:sz w:val="28"/>
          <w:szCs w:val="28"/>
          <w:highlight w:val="none"/>
          <w:lang w:eastAsia="zh-CN"/>
        </w:rPr>
        <w:t xml:space="preserve">根据现行税法</w:t>
      </w:r>
      <w:r>
        <w:rPr>
          <w:rFonts w:hint="eastAsia" w:ascii="仿宋" w:hAnsi="仿宋" w:eastAsia="仿宋" w:cs="仿宋"/>
          <w:color w:val="auto"/>
          <w:sz w:val="28"/>
          <w:szCs w:val="28"/>
          <w:highlight w:val="none"/>
          <w:lang w:val="en-US" w:eastAsia="zh-CN"/>
        </w:rPr>
        <w:t xml:space="preserve">对采购人</w:t>
      </w:r>
      <w:r>
        <w:rPr>
          <w:rFonts w:hint="eastAsia" w:ascii="仿宋" w:hAnsi="仿宋" w:eastAsia="仿宋" w:cs="仿宋"/>
          <w:color w:val="auto"/>
          <w:sz w:val="28"/>
          <w:szCs w:val="28"/>
          <w:highlight w:val="none"/>
          <w:lang w:eastAsia="zh-CN"/>
        </w:rPr>
        <w:t xml:space="preserve">征收的与本合同有关的一切税费均由</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lang w:eastAsia="zh-CN"/>
        </w:rPr>
        <w:t xml:space="preserve">承担；根据现行税法对</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lang w:eastAsia="zh-CN"/>
        </w:rPr>
        <w:t xml:space="preserve">征收的与本合同有关的一切税费均由</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lang w:eastAsia="zh-CN"/>
        </w:rPr>
        <w:t xml:space="preserve">承担。</w:t>
      </w:r>
      <w:r>
        <w:rPr>
          <w:rFonts w:hint="eastAsia" w:ascii="仿宋" w:hAnsi="仿宋" w:eastAsia="仿宋" w:cs="仿宋"/>
          <w:b w:val="0"/>
          <w:bCs/>
          <w:color w:val="auto"/>
          <w:sz w:val="28"/>
          <w:szCs w:val="28"/>
          <w:highlight w:val="none"/>
          <w:lang w:val="zh-CN"/>
        </w:rPr>
        <w:t xml:space="preserve">每次支付前，成交人均应出具正式</w:t>
      </w:r>
      <w:r>
        <w:rPr>
          <w:rFonts w:hint="eastAsia" w:ascii="仿宋" w:hAnsi="仿宋" w:eastAsia="仿宋" w:cs="仿宋"/>
          <w:b w:val="0"/>
          <w:bCs/>
          <w:color w:val="auto"/>
          <w:sz w:val="28"/>
          <w:szCs w:val="28"/>
          <w:highlight w:val="none"/>
          <w:lang w:val="en-US" w:eastAsia="zh-CN"/>
        </w:rPr>
        <w:t xml:space="preserve">发</w:t>
      </w:r>
      <w:r>
        <w:rPr>
          <w:rFonts w:hint="eastAsia" w:ascii="仿宋" w:hAnsi="仿宋" w:eastAsia="仿宋" w:cs="仿宋"/>
          <w:b w:val="0"/>
          <w:bCs/>
          <w:color w:val="auto"/>
          <w:sz w:val="28"/>
          <w:szCs w:val="28"/>
          <w:highlight w:val="none"/>
          <w:lang w:val="zh-CN"/>
        </w:rPr>
        <w:t xml:space="preserve">票。</w:t>
      </w:r>
      <w:bookmarkEnd w:id="65"/>
      <w:r/>
      <w:bookmarkEnd w:id="66"/>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rPr>
          <w:rFonts w:hint="eastAsia" w:ascii="黑体" w:hAnsi="黑体" w:eastAsia="黑体" w:cs="黑体"/>
          <w:color w:val="auto"/>
          <w:sz w:val="30"/>
          <w:szCs w:val="30"/>
          <w:highlight w:val="none"/>
          <w:shd w:val="clear" w:color="auto" w:fill="ffffff"/>
        </w:rPr>
        <w:t xml:space="preserve">十三、入围产品升级换代规则 </w:t>
      </w:r>
      <w:bookmarkEnd w:id="64"/>
      <w:r/>
      <w:r/>
    </w:p>
    <w:p>
      <w:pPr>
        <w:pStyle w:val="71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本框架协议服务期一年，服务内容和要求原则不予升级换代。如遇国家政策调整相应服务需升级的，在服务质量与服务价格不变的前提下，入围供应商需提供国家最新标准的服务。</w:t>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bookmarkStart w:id="67" w:name="_Toc6117"/>
      <w:r>
        <w:rPr>
          <w:rFonts w:hint="eastAsia" w:ascii="黑体" w:hAnsi="黑体" w:eastAsia="黑体" w:cs="黑体"/>
          <w:color w:val="auto"/>
          <w:sz w:val="30"/>
          <w:szCs w:val="30"/>
          <w:highlight w:val="none"/>
          <w:shd w:val="clear" w:color="auto" w:fill="ffffff"/>
        </w:rPr>
        <w:t xml:space="preserve">十四、用户反馈和评价机制 </w:t>
      </w:r>
      <w:bookmarkEnd w:id="67"/>
      <w:r/>
      <w:r/>
    </w:p>
    <w:p>
      <w:pPr>
        <w:pStyle w:val="740"/>
        <w:jc w:val="both"/>
        <w:spacing w:beforeAutospacing="0" w:afterAutospacing="0" w:line="50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　　</w:t>
      </w:r>
      <w:r>
        <w:rPr>
          <w:rFonts w:hint="eastAsia" w:ascii="仿宋" w:hAnsi="仿宋" w:eastAsia="仿宋"/>
          <w:color w:val="auto"/>
          <w:sz w:val="28"/>
          <w:szCs w:val="28"/>
          <w:highlight w:val="none"/>
        </w:rPr>
        <w:t xml:space="preserve">征集人将定期组织服务对象测评，对入围供应商的服务态度、服务过程、检测质量进行全面评价。结果作为付款或清退入围供应商的依据。</w:t>
      </w:r>
      <w:r/>
    </w:p>
    <w:p>
      <w:pPr>
        <w:pStyle w:val="740"/>
        <w:ind w:firstLine="600"/>
        <w:jc w:val="both"/>
        <w:spacing w:beforeAutospacing="0" w:afterAutospacing="0" w:line="500" w:lineRule="exact"/>
        <w:widowControl/>
        <w:rPr>
          <w:rFonts w:ascii="宋体" w:hAnsi="宋体" w:eastAsia="宋体" w:cs="宋体"/>
          <w:color w:val="auto"/>
          <w:highlight w:val="none"/>
        </w:rPr>
        <w:outlineLvl w:val="0"/>
      </w:pPr>
      <w:r/>
      <w:bookmarkStart w:id="68" w:name="_Toc7071"/>
      <w:r>
        <w:rPr>
          <w:rFonts w:hint="eastAsia" w:ascii="黑体" w:hAnsi="黑体" w:eastAsia="黑体" w:cs="黑体"/>
          <w:color w:val="auto"/>
          <w:sz w:val="30"/>
          <w:szCs w:val="30"/>
          <w:highlight w:val="none"/>
          <w:shd w:val="clear" w:color="auto" w:fill="ffffff"/>
        </w:rPr>
        <w:t xml:space="preserve">十五、入围供应商的清退和补充规则</w:t>
      </w:r>
      <w:r>
        <w:rPr>
          <w:rFonts w:hint="eastAsia" w:ascii="宋体" w:hAnsi="宋体" w:eastAsia="宋体" w:cs="宋体"/>
          <w:color w:val="auto"/>
          <w:highlight w:val="none"/>
          <w:shd w:val="clear" w:color="auto" w:fill="ffffff"/>
        </w:rPr>
        <w:t xml:space="preserve"> </w:t>
      </w:r>
      <w:bookmarkEnd w:id="68"/>
      <w:r/>
      <w:r/>
    </w:p>
    <w:p>
      <w:pPr>
        <w:pStyle w:val="740"/>
        <w:ind w:firstLine="480"/>
        <w:jc w:val="both"/>
        <w:spacing w:beforeAutospacing="0" w:afterAutospacing="0" w:line="50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1.入围供应商的清退</w:t>
      </w:r>
      <w:r/>
    </w:p>
    <w:p>
      <w:pPr>
        <w:pStyle w:val="740"/>
        <w:ind w:firstLine="480"/>
        <w:jc w:val="both"/>
        <w:spacing w:beforeAutospacing="0" w:afterAutospacing="0" w:line="50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出现以下情形之一，征集人有权清退入围供应商。</w:t>
      </w:r>
      <w:r/>
    </w:p>
    <w:p>
      <w:pPr>
        <w:pStyle w:val="740"/>
        <w:ind w:firstLine="560"/>
        <w:jc w:val="both"/>
        <w:spacing w:beforeAutospacing="0" w:afterAutospacing="0"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（1）恶意串通谋取入围或者合同成交的； </w:t>
      </w:r>
      <w:r/>
    </w:p>
    <w:p>
      <w:pPr>
        <w:pStyle w:val="740"/>
        <w:jc w:val="both"/>
        <w:spacing w:beforeAutospacing="0" w:afterAutospacing="0"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（2）提供虚假材料谋取入围或者合同成交的； </w:t>
      </w:r>
      <w:r/>
    </w:p>
    <w:p>
      <w:pPr>
        <w:pStyle w:val="740"/>
        <w:jc w:val="both"/>
        <w:spacing w:beforeAutospacing="0" w:afterAutospacing="0"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（3）无正当理由拒不接受合同授予的； </w:t>
      </w:r>
      <w:r/>
    </w:p>
    <w:p>
      <w:pPr>
        <w:pStyle w:val="740"/>
        <w:jc w:val="both"/>
        <w:spacing w:beforeAutospacing="0" w:afterAutospacing="0"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（4）不履行合同义务或者履行合同义务不符合约定，经采购人请求履行后仍不履行或者仍未按约定履行的； </w:t>
      </w:r>
      <w:r/>
    </w:p>
    <w:p>
      <w:pPr>
        <w:pStyle w:val="740"/>
        <w:ind w:firstLine="563"/>
        <w:jc w:val="both"/>
        <w:spacing w:beforeAutospacing="0" w:afterAutospacing="0"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（5）框架协议有效期内，因违法行为被禁止或限制参加政府采购活动的； </w:t>
      </w:r>
      <w:r/>
    </w:p>
    <w:p>
      <w:pPr>
        <w:pStyle w:val="740"/>
        <w:ind w:firstLine="563"/>
        <w:jc w:val="both"/>
        <w:spacing w:beforeAutospacing="0" w:afterAutospacing="0"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（6）入围供应商不遵守保密规定，发生泄漏成果且造成后果的；</w:t>
      </w:r>
      <w:r/>
    </w:p>
    <w:p>
      <w:pPr>
        <w:pStyle w:val="740"/>
        <w:ind w:firstLine="563"/>
        <w:jc w:val="both"/>
        <w:spacing w:beforeAutospacing="0" w:afterAutospacing="0"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（7）入围供应商在履行合同过程中出现供货逾期、所供产品或安装质量问题采购人将直接予以清退，取消入围资格。</w:t>
      </w:r>
      <w:r/>
    </w:p>
    <w:p>
      <w:pPr>
        <w:pStyle w:val="740"/>
        <w:ind w:firstLine="560"/>
        <w:jc w:val="both"/>
        <w:spacing w:beforeAutospacing="0" w:afterAutospacing="0" w:line="50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2.入围供应商的补充规则</w:t>
      </w:r>
      <w:r/>
    </w:p>
    <w:p>
      <w:pPr>
        <w:pStyle w:val="740"/>
        <w:ind w:firstLine="480"/>
        <w:jc w:val="both"/>
        <w:spacing w:beforeAutospacing="0" w:afterAutospacing="0" w:line="500" w:lineRule="exact"/>
        <w:widowControl/>
        <w:rPr>
          <w:rFonts w:ascii="仿宋" w:hAnsi="仿宋" w:eastAsia="仿宋" w:cs="宋体"/>
          <w:color w:val="auto"/>
          <w:sz w:val="28"/>
          <w:szCs w:val="28"/>
          <w:highlight w:val="none"/>
        </w:rPr>
      </w:pPr>
      <w:r>
        <w:rPr>
          <w:rFonts w:hint="eastAsia" w:ascii="宋体" w:hAnsi="宋体" w:eastAsia="宋体" w:cs="宋体"/>
          <w:color w:val="auto"/>
          <w:highlight w:val="none"/>
          <w:shd w:val="clear" w:color="auto" w:fill="ffffff"/>
        </w:rPr>
        <w:t xml:space="preserve">（1）</w:t>
      </w:r>
      <w:r>
        <w:rPr>
          <w:rFonts w:hint="eastAsia" w:ascii="仿宋" w:hAnsi="仿宋" w:eastAsia="仿宋" w:cs="宋体"/>
          <w:color w:val="auto"/>
          <w:sz w:val="28"/>
          <w:szCs w:val="28"/>
          <w:highlight w:val="none"/>
        </w:rPr>
        <w:t xml:space="preserve">除剩余入围供应商不足入围供应商总数70%且影响框架协议执行的情形外，框架协议有效期内，征集人不补充征集供应商。 </w:t>
      </w:r>
      <w:r/>
    </w:p>
    <w:p>
      <w:pPr>
        <w:pStyle w:val="740"/>
        <w:ind w:firstLine="480"/>
        <w:jc w:val="both"/>
        <w:spacing w:beforeAutospacing="0" w:afterAutospacing="0" w:line="50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（2）如果出现征集人补充征集供应商情形的，补充征集的条件、程序、评审方法和淘汰比例应当与初次征集相同。补充征集应当遵守原框架协议的有效期。补充征集期间，原框架协议继续履行。</w:t>
      </w:r>
      <w:r/>
    </w:p>
    <w:p>
      <w:pPr>
        <w:pStyle w:val="740"/>
        <w:ind w:firstLine="480"/>
        <w:jc w:val="both"/>
        <w:spacing w:beforeAutospacing="0" w:afterAutospacing="0" w:line="50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w:t>
      </w:r>
      <w:r>
        <w:rPr>
          <w:rFonts w:hint="eastAsia" w:ascii="仿宋" w:hAnsi="仿宋" w:eastAsia="仿宋"/>
          <w:color w:val="auto"/>
          <w:sz w:val="28"/>
          <w:szCs w:val="28"/>
          <w:highlight w:val="none"/>
        </w:rPr>
        <w:t xml:space="preserve">被取消入围资格或者被解除框架协议的供应商不得参加同一封闭式框架协议补充征集。</w:t>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bookmarkStart w:id="69" w:name="_Toc32443"/>
      <w:r>
        <w:rPr>
          <w:rFonts w:hint="eastAsia" w:ascii="黑体" w:hAnsi="黑体" w:eastAsia="黑体" w:cs="黑体"/>
          <w:color w:val="auto"/>
          <w:sz w:val="30"/>
          <w:szCs w:val="30"/>
          <w:highlight w:val="none"/>
          <w:shd w:val="clear" w:color="auto" w:fill="ffffff"/>
        </w:rPr>
        <w:t xml:space="preserve">十</w:t>
      </w:r>
      <w:r>
        <w:rPr>
          <w:rFonts w:hint="eastAsia" w:ascii="黑体" w:hAnsi="黑体" w:eastAsia="黑体" w:cs="黑体"/>
          <w:color w:val="auto"/>
          <w:sz w:val="30"/>
          <w:szCs w:val="30"/>
          <w:highlight w:val="none"/>
          <w:shd w:val="clear" w:color="auto" w:fill="ffffff"/>
          <w:lang w:val="en-US" w:eastAsia="zh-CN"/>
        </w:rPr>
        <w:t xml:space="preserve">六</w:t>
      </w:r>
      <w:r>
        <w:rPr>
          <w:rFonts w:hint="eastAsia" w:ascii="黑体" w:hAnsi="黑体" w:eastAsia="黑体" w:cs="黑体"/>
          <w:color w:val="auto"/>
          <w:sz w:val="30"/>
          <w:szCs w:val="30"/>
          <w:highlight w:val="none"/>
          <w:shd w:val="clear" w:color="auto" w:fill="ffffff"/>
        </w:rPr>
        <w:t xml:space="preserve">、采购代理机构代理费用的收取标准和方式 </w:t>
      </w:r>
      <w:bookmarkEnd w:id="69"/>
      <w:r/>
      <w:r/>
    </w:p>
    <w:p>
      <w:pPr>
        <w:ind w:firstLine="560"/>
        <w:jc w:val="left"/>
        <w:spacing w:line="500" w:lineRule="exact"/>
        <w:rPr>
          <w:rFonts w:ascii="仿宋" w:hAnsi="仿宋" w:eastAsia="仿宋"/>
          <w:sz w:val="28"/>
          <w:szCs w:val="28"/>
          <w:highlight w:val="none"/>
        </w:rPr>
      </w:pPr>
      <w:r/>
      <w:bookmarkStart w:id="70" w:name="_Toc24010"/>
      <w:r>
        <w:rPr>
          <w:rFonts w:hint="eastAsia" w:ascii="仿宋" w:hAnsi="仿宋" w:eastAsia="仿宋" w:cs="仿宋"/>
          <w:color w:val="auto"/>
          <w:sz w:val="28"/>
          <w:szCs w:val="28"/>
          <w:highlight w:val="none"/>
        </w:rPr>
        <w:t xml:space="preserve">（一）</w:t>
      </w:r>
      <w:r>
        <w:rPr>
          <w:rFonts w:hint="eastAsia" w:ascii="仿宋" w:hAnsi="仿宋" w:eastAsia="仿宋" w:cs="仿宋"/>
          <w:sz w:val="28"/>
          <w:szCs w:val="28"/>
          <w:highlight w:val="none"/>
        </w:rPr>
        <w:t xml:space="preserve">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w:t>
      </w:r>
      <w:r>
        <w:rPr>
          <w:rFonts w:hint="eastAsia" w:ascii="仿宋" w:hAnsi="仿宋" w:eastAsia="仿宋" w:cs="仿宋"/>
          <w:sz w:val="28"/>
          <w:szCs w:val="28"/>
        </w:rPr>
        <w:t xml:space="preserve">本项目预算中包含此费用，响应供应商在报价中需考虑此费用的代付，采购人不再另行支付。</w:t>
      </w:r>
      <w:r/>
    </w:p>
    <w:p>
      <w:pPr>
        <w:ind w:firstLine="560"/>
        <w:jc w:val="left"/>
        <w:spacing w:line="500" w:lineRule="exact"/>
        <w:rPr>
          <w:rFonts w:hint="eastAsia" w:ascii="仿宋" w:hAnsi="仿宋" w:eastAsia="仿宋"/>
          <w:sz w:val="28"/>
          <w:szCs w:val="28"/>
        </w:rPr>
      </w:pPr>
      <w:r>
        <w:rPr>
          <w:rFonts w:hint="eastAsia" w:ascii="仿宋" w:hAnsi="仿宋" w:eastAsia="仿宋" w:cs="仿宋"/>
          <w:color w:val="auto"/>
          <w:sz w:val="28"/>
          <w:szCs w:val="28"/>
          <w:highlight w:val="none"/>
        </w:rPr>
        <w:t xml:space="preserve">（二）</w:t>
      </w:r>
      <w:r>
        <w:rPr>
          <w:rFonts w:hint="eastAsia" w:ascii="仿宋" w:hAnsi="仿宋" w:eastAsia="仿宋"/>
          <w:sz w:val="28"/>
          <w:szCs w:val="28"/>
          <w:lang w:val="en-US" w:eastAsia="zh-CN"/>
        </w:rPr>
        <w:t xml:space="preserve">成交</w:t>
      </w:r>
      <w:r>
        <w:rPr>
          <w:rFonts w:hint="eastAsia" w:ascii="仿宋" w:hAnsi="仿宋" w:eastAsia="仿宋"/>
          <w:sz w:val="28"/>
          <w:szCs w:val="28"/>
        </w:rPr>
        <w:t xml:space="preserve">供应商自</w:t>
      </w:r>
      <w:r>
        <w:rPr>
          <w:rFonts w:hint="eastAsia" w:ascii="仿宋" w:hAnsi="仿宋" w:eastAsia="仿宋"/>
          <w:sz w:val="28"/>
          <w:szCs w:val="28"/>
          <w:lang w:val="en-US" w:eastAsia="zh-CN"/>
        </w:rPr>
        <w:t xml:space="preserve">入围</w:t>
      </w:r>
      <w:r>
        <w:rPr>
          <w:rFonts w:hint="eastAsia" w:ascii="仿宋" w:hAnsi="仿宋" w:eastAsia="仿宋"/>
          <w:sz w:val="28"/>
          <w:szCs w:val="28"/>
        </w:rPr>
        <w:t xml:space="preserve">结果公告发布之日起五个工作日内，</w:t>
      </w:r>
      <w:r>
        <w:rPr>
          <w:rFonts w:hint="eastAsia" w:ascii="仿宋" w:hAnsi="仿宋" w:eastAsia="仿宋" w:cs="仿宋"/>
          <w:color w:val="auto"/>
          <w:sz w:val="28"/>
          <w:szCs w:val="28"/>
          <w:highlight w:val="none"/>
        </w:rPr>
        <w:t xml:space="preserve">须将采购代理服务费汇入采购代理机构公司账户。</w:t>
      </w:r>
      <w:r/>
    </w:p>
    <w:p>
      <w:pPr>
        <w:ind w:firstLine="56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1.收款单位名称为：大洲设计咨询集团有限公司如皋分公司；</w:t>
      </w:r>
      <w:r/>
    </w:p>
    <w:p>
      <w:pPr>
        <w:ind w:firstLine="56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2.账户号码：408890100100068270；</w:t>
      </w:r>
      <w:r/>
    </w:p>
    <w:p>
      <w:pPr>
        <w:pStyle w:val="740"/>
        <w:ind w:firstLine="560"/>
        <w:jc w:val="both"/>
        <w:pageBreakBefore w:val="0"/>
        <w:spacing w:beforeAutospacing="0" w:afterAutospacing="0" w:line="520" w:lineRule="exact"/>
        <w:widowControl/>
        <w:rPr>
          <w:rFonts w:hint="eastAsia" w:ascii="仿宋" w:hAnsi="仿宋" w:eastAsia="仿宋" w:cs="仿宋"/>
          <w:sz w:val="28"/>
          <w:szCs w:val="28"/>
        </w:rPr>
        <w:outlineLvl w:val="0"/>
      </w:pPr>
      <w:r/>
      <w:bookmarkStart w:id="71" w:name="_Toc5592"/>
      <w:r/>
      <w:bookmarkStart w:id="72" w:name="_Toc20100"/>
      <w:r>
        <w:rPr>
          <w:rFonts w:hint="eastAsia" w:ascii="仿宋" w:hAnsi="仿宋" w:eastAsia="仿宋" w:cs="仿宋"/>
          <w:sz w:val="28"/>
          <w:szCs w:val="28"/>
        </w:rPr>
        <w:t xml:space="preserve">3.开户行：兴业银行如皋支行。</w:t>
      </w:r>
      <w:bookmarkEnd w:id="71"/>
      <w:r/>
      <w:bookmarkEnd w:id="72"/>
      <w:r/>
      <w:r/>
    </w:p>
    <w:p>
      <w:pPr>
        <w:pStyle w:val="740"/>
        <w:ind w:firstLine="600"/>
        <w:jc w:val="both"/>
        <w:spacing w:beforeAutospacing="0" w:afterAutospacing="0" w:line="500" w:lineRule="exact"/>
        <w:widowControl/>
        <w:rPr>
          <w:rFonts w:ascii="黑体" w:hAnsi="黑体" w:eastAsia="黑体" w:cs="黑体"/>
          <w:color w:val="auto"/>
          <w:sz w:val="30"/>
          <w:szCs w:val="30"/>
          <w:highlight w:val="none"/>
          <w:shd w:val="clear" w:color="auto" w:fill="ffffff"/>
        </w:rPr>
        <w:outlineLvl w:val="0"/>
      </w:pPr>
      <w:r>
        <w:rPr>
          <w:rFonts w:hint="eastAsia" w:ascii="黑体" w:hAnsi="黑体" w:eastAsia="黑体" w:cs="黑体"/>
          <w:color w:val="auto"/>
          <w:sz w:val="30"/>
          <w:szCs w:val="30"/>
          <w:highlight w:val="none"/>
          <w:shd w:val="clear" w:color="auto" w:fill="ffffff"/>
        </w:rPr>
        <w:t xml:space="preserve">十</w:t>
      </w:r>
      <w:r>
        <w:rPr>
          <w:rFonts w:hint="eastAsia" w:ascii="黑体" w:hAnsi="黑体" w:eastAsia="黑体" w:cs="黑体"/>
          <w:color w:val="auto"/>
          <w:sz w:val="30"/>
          <w:szCs w:val="30"/>
          <w:highlight w:val="none"/>
          <w:shd w:val="clear" w:color="auto" w:fill="ffffff"/>
          <w:lang w:val="en-US" w:eastAsia="zh-CN"/>
        </w:rPr>
        <w:t xml:space="preserve">七</w:t>
      </w:r>
      <w:r>
        <w:rPr>
          <w:rFonts w:hint="eastAsia" w:ascii="黑体" w:hAnsi="黑体" w:eastAsia="黑体" w:cs="黑体"/>
          <w:color w:val="auto"/>
          <w:sz w:val="30"/>
          <w:szCs w:val="30"/>
          <w:highlight w:val="none"/>
          <w:shd w:val="clear" w:color="auto" w:fill="ffffff"/>
        </w:rPr>
        <w:t xml:space="preserve">、省级以上财政部门规定的其他事项。 </w:t>
      </w:r>
      <w:bookmarkEnd w:id="70"/>
      <w:r/>
      <w:r/>
    </w:p>
    <w:p>
      <w:pPr>
        <w:ind w:firstLine="548"/>
        <w:spacing w:line="500" w:lineRule="exact"/>
        <w:rPr>
          <w:rFonts w:ascii="黑体" w:hAnsi="黑体" w:eastAsia="黑体"/>
          <w:color w:val="auto"/>
          <w:sz w:val="28"/>
          <w:szCs w:val="28"/>
          <w:highlight w:val="none"/>
        </w:rPr>
        <w:outlineLvl w:val="1"/>
      </w:pPr>
      <w:r/>
      <w:bookmarkStart w:id="73" w:name="_Toc18292"/>
      <w:r/>
      <w:bookmarkStart w:id="74" w:name="_Toc21066"/>
      <w:r/>
      <w:bookmarkStart w:id="75" w:name="_Toc5584"/>
      <w:r/>
      <w:bookmarkStart w:id="76" w:name="_Toc2986"/>
      <w:r/>
      <w:bookmarkStart w:id="77" w:name="_Toc15571"/>
      <w:r>
        <w:rPr>
          <w:rFonts w:hint="eastAsia" w:ascii="黑体" w:hAnsi="黑体" w:eastAsia="黑体"/>
          <w:color w:val="auto"/>
          <w:sz w:val="28"/>
          <w:szCs w:val="28"/>
          <w:highlight w:val="none"/>
        </w:rPr>
        <w:t xml:space="preserve">（一）征集费用</w:t>
      </w:r>
      <w:bookmarkEnd w:id="73"/>
      <w:r/>
      <w:bookmarkEnd w:id="74"/>
      <w:r/>
      <w:bookmarkEnd w:id="75"/>
      <w:r/>
      <w:bookmarkEnd w:id="76"/>
      <w:r/>
      <w:bookmarkEnd w:id="77"/>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供应商应自行承担所有与征集有关的费用。不论最终的征集结果如何，采购人或者代理机构在任何情况下均无义务和责任承担这些费用。</w:t>
      </w:r>
      <w:r/>
    </w:p>
    <w:p>
      <w:pPr>
        <w:ind w:firstLine="560"/>
        <w:pageBreakBefore w:val="0"/>
        <w:spacing w:line="520" w:lineRule="exact"/>
        <w:tabs>
          <w:tab w:val="left" w:pos="900" w:leader="none"/>
        </w:tabs>
        <w:rPr>
          <w:rFonts w:hint="eastAsia" w:ascii="仿宋" w:hAnsi="仿宋" w:eastAsia="仿宋" w:cs="仿宋"/>
          <w:color w:val="auto"/>
          <w:sz w:val="28"/>
          <w:szCs w:val="28"/>
          <w:highlight w:val="none"/>
        </w:rPr>
        <w:outlineLvl w:val="1"/>
      </w:pPr>
      <w:r/>
      <w:bookmarkStart w:id="78" w:name="_Hlt26954830"/>
      <w:r/>
      <w:bookmarkEnd w:id="78"/>
      <w:r/>
      <w:bookmarkStart w:id="79" w:name="_Hlt26954864"/>
      <w:r/>
      <w:bookmarkEnd w:id="79"/>
      <w:r/>
      <w:bookmarkStart w:id="80" w:name="_Hlt26670523"/>
      <w:r/>
      <w:bookmarkEnd w:id="80"/>
      <w:r/>
      <w:bookmarkStart w:id="81" w:name="_Hlt26670345"/>
      <w:r/>
      <w:bookmarkEnd w:id="81"/>
      <w:r/>
      <w:bookmarkStart w:id="82" w:name="_Hlt26668969"/>
      <w:r/>
      <w:bookmarkEnd w:id="82"/>
      <w:r/>
      <w:bookmarkStart w:id="83" w:name="_Hlt26670354"/>
      <w:r/>
      <w:bookmarkEnd w:id="83"/>
      <w:r/>
      <w:bookmarkStart w:id="84" w:name="_Hlt26954828"/>
      <w:r/>
      <w:bookmarkEnd w:id="84"/>
      <w:r/>
      <w:bookmarkStart w:id="85" w:name="_Hlt26670348"/>
      <w:r/>
      <w:bookmarkEnd w:id="85"/>
      <w:r/>
      <w:bookmarkStart w:id="86" w:name="_Hlt26954832"/>
      <w:r/>
      <w:bookmarkEnd w:id="86"/>
      <w:r/>
      <w:bookmarkStart w:id="87" w:name="_Toc25521"/>
      <w:r/>
      <w:bookmarkStart w:id="88" w:name="_Toc25539"/>
      <w:r/>
      <w:bookmarkStart w:id="89" w:name="_Toc5180"/>
      <w:r/>
      <w:bookmarkStart w:id="90" w:name="_Toc19412"/>
      <w:r/>
      <w:bookmarkStart w:id="91" w:name="_Toc19069"/>
      <w:r/>
      <w:bookmarkStart w:id="92" w:name="_Toc2245"/>
      <w:r/>
      <w:bookmarkStart w:id="93" w:name="_Toc230"/>
      <w:r/>
      <w:bookmarkStart w:id="94" w:name="_Toc22286"/>
      <w:r/>
      <w:bookmarkStart w:id="95" w:name="_Toc30654"/>
      <w:r/>
      <w:bookmarkStart w:id="96" w:name="_Toc16729"/>
      <w:r/>
      <w:bookmarkStart w:id="97" w:name="_Toc21914"/>
      <w:r/>
      <w:bookmarkStart w:id="98" w:name="_Toc22351"/>
      <w:r/>
      <w:bookmarkStart w:id="99" w:name="_Toc26682"/>
      <w:r>
        <w:rPr>
          <w:rFonts w:hint="eastAsia" w:ascii="仿宋" w:hAnsi="仿宋" w:eastAsia="仿宋" w:cs="仿宋"/>
          <w:color w:val="auto"/>
          <w:sz w:val="28"/>
          <w:szCs w:val="28"/>
          <w:highlight w:val="none"/>
        </w:rPr>
        <w:t xml:space="preserve">（二）征集文件的约束力</w:t>
      </w:r>
      <w:bookmarkEnd w:id="87"/>
      <w:r/>
      <w:bookmarkEnd w:id="88"/>
      <w:r/>
      <w:bookmarkEnd w:id="89"/>
      <w:r/>
      <w:bookmarkEnd w:id="90"/>
      <w:r/>
      <w:bookmarkEnd w:id="91"/>
      <w:r/>
      <w:bookmarkEnd w:id="92"/>
      <w:r/>
      <w:bookmarkEnd w:id="93"/>
      <w:r/>
      <w:r/>
    </w:p>
    <w:p>
      <w:pPr>
        <w:ind w:left="120" w:firstLine="560"/>
        <w:pageBreakBefore w:val="0"/>
        <w:spacing w:line="520" w:lineRule="exact"/>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1.供应商一旦获取或下载了本征集文件并决定可参加征集活动，即被认为接受了本征集文件的规定和约束，并且视为已经知道或应当知道自身权益是否受到了损害。</w:t>
      </w:r>
      <w:r/>
    </w:p>
    <w:p>
      <w:pPr>
        <w:ind w:firstLine="560"/>
        <w:pageBreakBefore w:val="0"/>
        <w:spacing w:line="520" w:lineRule="exact"/>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任何要求对征集文件进行澄清的响应供应商，均应在提交首次征集文件截止时间10个工作日前按照征集公告中的通讯地址，以书面形式通知采购人或者代理机构。采购人或者代理机构可以对已发出的征集文件、征集邀请书进行必要的澄清或者修改，但不得改变采购标的和资格条件。澄清或者修改的内容作为征集文件、资格预审文件、征集邀请书的组成部分。</w:t>
      </w:r>
      <w:r/>
    </w:p>
    <w:p>
      <w:pPr>
        <w:ind w:firstLine="697"/>
        <w:spacing w:line="500" w:lineRule="exact"/>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sz w:val="28"/>
          <w:szCs w:val="28"/>
        </w:rPr>
        <w:t xml:space="preserve">采购人或者采购代理机构通过“苏采云”系统发布澄清公告或者修改的内容，并以所发布的本项目的“更正（澄清）公告”的形式通知所有获取</w:t>
      </w:r>
      <w:r>
        <w:rPr>
          <w:rFonts w:hint="eastAsia" w:ascii="仿宋" w:hAnsi="仿宋" w:eastAsia="仿宋"/>
          <w:sz w:val="28"/>
          <w:szCs w:val="28"/>
          <w:lang w:val="en-US" w:eastAsia="zh-CN"/>
        </w:rPr>
        <w:t xml:space="preserve">征集文件</w:t>
      </w:r>
      <w:r>
        <w:rPr>
          <w:rFonts w:hint="eastAsia" w:ascii="仿宋" w:hAnsi="仿宋" w:eastAsia="仿宋"/>
          <w:sz w:val="28"/>
          <w:szCs w:val="28"/>
        </w:rPr>
        <w:t xml:space="preserve">的潜在供应商。敬请各潜在供应商关注本项目的“更正（澄清）公告”，并通过“苏采云”系统重新下载更正（澄清）后的</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文件（后缀名为“.kedt”），离线编制投标文件，否则，将自行承担相应的风险。</w:t>
      </w:r>
      <w:r/>
    </w:p>
    <w:p>
      <w:pPr>
        <w:ind w:firstLine="560"/>
        <w:pageBreakBefore w:val="0"/>
        <w:spacing w:line="520" w:lineRule="exact"/>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4.澄清或者修改的内容可能影响征集文件编制的，采购人或者代理机构应当在征集截止时间至少15日前，在</w:t>
      </w:r>
      <w:r>
        <w:rPr>
          <w:rFonts w:hint="eastAsia" w:ascii="仿宋" w:hAnsi="仿宋" w:eastAsia="仿宋" w:cs="仿宋"/>
          <w:color w:val="auto"/>
          <w:sz w:val="28"/>
          <w:szCs w:val="28"/>
          <w:highlight w:val="none"/>
          <w:lang w:val="en-US" w:eastAsia="zh-CN"/>
        </w:rPr>
        <w:t xml:space="preserve">江苏政府采购网</w:t>
      </w:r>
      <w:r>
        <w:rPr>
          <w:rFonts w:hint="eastAsia" w:ascii="仿宋" w:hAnsi="仿宋" w:eastAsia="仿宋" w:cs="仿宋"/>
          <w:color w:val="auto"/>
          <w:sz w:val="28"/>
          <w:szCs w:val="28"/>
          <w:highlight w:val="none"/>
        </w:rPr>
        <w:t xml:space="preserve">发布书面更正公告形式通知所有获取征集文件的潜在供应商。不足15日的，采购人或者代理机构应当顺延提交征集文件的截止时间。</w:t>
      </w:r>
      <w:r/>
    </w:p>
    <w:p>
      <w:pPr>
        <w:ind w:firstLine="560"/>
        <w:pageBreakBefore w:val="0"/>
        <w:spacing w:line="520" w:lineRule="exact"/>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5.采购人或者采购代理机构在发布征集公告、资格预审公告或者发出征集邀请书后，除因重大变故采购任务取消情况外，不得擅自终止征集活动。</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（三）征集评审</w:t>
      </w:r>
      <w:bookmarkEnd w:id="94"/>
      <w:r/>
      <w:bookmarkEnd w:id="95"/>
      <w:r/>
      <w:bookmarkEnd w:id="96"/>
      <w:r/>
      <w:bookmarkEnd w:id="97"/>
      <w:r/>
      <w:bookmarkEnd w:id="98"/>
      <w:r/>
      <w:bookmarkEnd w:id="99"/>
      <w:r/>
      <w:r/>
    </w:p>
    <w:p>
      <w:pPr>
        <w:ind w:firstLine="560"/>
        <w:spacing w:line="500" w:lineRule="exact"/>
        <w:rPr>
          <w:rFonts w:ascii="仿宋" w:hAnsi="仿宋" w:eastAsia="仿宋"/>
          <w:sz w:val="28"/>
          <w:szCs w:val="28"/>
        </w:rPr>
      </w:pPr>
      <w:r/>
      <w:bookmarkStart w:id="100" w:name="_Toc21529"/>
      <w:r/>
      <w:bookmarkStart w:id="101" w:name="_Toc25937"/>
      <w:r/>
      <w:bookmarkStart w:id="102" w:name="_Toc20380"/>
      <w:r/>
      <w:bookmarkStart w:id="103" w:name="_Toc3665"/>
      <w:r/>
      <w:bookmarkStart w:id="104" w:name="_Toc23778"/>
      <w:r/>
      <w:bookmarkStart w:id="105" w:name="_Toc29120"/>
      <w:r/>
      <w:bookmarkStart w:id="106" w:name="_Toc16938551"/>
      <w:r/>
      <w:bookmarkStart w:id="107" w:name="_Toc16938553"/>
      <w:r/>
      <w:bookmarkStart w:id="108" w:name="_Toc513029235"/>
      <w:r/>
      <w:bookmarkStart w:id="109" w:name="_Toc20823307"/>
      <w:r/>
      <w:bookmarkStart w:id="110" w:name="_Toc20823309"/>
      <w:r/>
      <w:bookmarkStart w:id="111" w:name="_Toc513029237"/>
      <w:r>
        <w:rPr>
          <w:rFonts w:hint="eastAsia" w:ascii="仿宋" w:hAnsi="仿宋" w:eastAsia="仿宋" w:cs="仿宋"/>
          <w:color w:val="auto"/>
          <w:sz w:val="28"/>
          <w:szCs w:val="28"/>
          <w:highlight w:val="none"/>
        </w:rPr>
        <w:t xml:space="preserve">1.</w:t>
      </w:r>
      <w:r>
        <w:rPr>
          <w:rFonts w:hint="eastAsia" w:ascii="仿宋" w:hAnsi="仿宋" w:eastAsia="仿宋"/>
          <w:sz w:val="28"/>
          <w:szCs w:val="28"/>
        </w:rPr>
        <w:t xml:space="preserve"> 采购人或者采购代理机构将在</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公告中规定的时间和地点组织</w:t>
      </w:r>
      <w:r>
        <w:rPr>
          <w:rFonts w:hint="eastAsia" w:ascii="仿宋" w:hAnsi="仿宋" w:eastAsia="仿宋"/>
          <w:sz w:val="28"/>
          <w:szCs w:val="28"/>
          <w:lang w:val="en-US" w:eastAsia="zh-CN"/>
        </w:rPr>
        <w:t xml:space="preserve">框架协议采购</w:t>
      </w:r>
      <w:r>
        <w:rPr>
          <w:rFonts w:hint="eastAsia" w:ascii="仿宋" w:hAnsi="仿宋" w:eastAsia="仿宋"/>
          <w:sz w:val="28"/>
          <w:szCs w:val="28"/>
        </w:rPr>
        <w:t xml:space="preserve">活动。</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2.</w:t>
      </w:r>
      <w:r>
        <w:rPr>
          <w:rFonts w:hint="eastAsia" w:ascii="仿宋" w:hAnsi="仿宋" w:eastAsia="仿宋"/>
          <w:bCs/>
          <w:sz w:val="28"/>
          <w:szCs w:val="28"/>
        </w:rPr>
        <w:t xml:space="preserve">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3.响应</w:t>
      </w:r>
      <w:r>
        <w:rPr>
          <w:rFonts w:hint="eastAsia" w:ascii="仿宋" w:hAnsi="仿宋" w:eastAsia="仿宋"/>
          <w:bCs/>
          <w:sz w:val="28"/>
          <w:szCs w:val="28"/>
        </w:rPr>
        <w:t xml:space="preserve">供应商因网络与电源不稳定、未按操作手册要求配置软硬件、解密锁发生故障或用错、故意不在要求时限内完成解密等自身原因，导致</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文件在规定时间内未能解密、解密失败或解密超时，视为</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供应商撤销其</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文件，系统内</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文件将被退回。</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因采购人原因或网上招投标平台发生故障，导致无法按时完成</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文件解密或</w:t>
      </w:r>
      <w:r>
        <w:rPr>
          <w:rFonts w:hint="eastAsia" w:ascii="仿宋" w:hAnsi="仿宋" w:eastAsia="仿宋"/>
          <w:bCs/>
          <w:sz w:val="28"/>
          <w:szCs w:val="28"/>
          <w:lang w:val="en-US" w:eastAsia="zh-CN"/>
        </w:rPr>
        <w:t xml:space="preserve">评审</w:t>
      </w:r>
      <w:r>
        <w:rPr>
          <w:rFonts w:hint="eastAsia" w:ascii="仿宋" w:hAnsi="仿宋" w:eastAsia="仿宋"/>
          <w:bCs/>
          <w:sz w:val="28"/>
          <w:szCs w:val="28"/>
        </w:rPr>
        <w:t xml:space="preserve">工作无法进行的，可根据实际情况相应延迟解密时间或调整</w:t>
      </w:r>
      <w:r>
        <w:rPr>
          <w:rFonts w:hint="eastAsia" w:ascii="仿宋" w:hAnsi="仿宋" w:eastAsia="仿宋"/>
          <w:bCs/>
          <w:sz w:val="28"/>
          <w:szCs w:val="28"/>
          <w:lang w:val="en-US" w:eastAsia="zh-CN"/>
        </w:rPr>
        <w:t xml:space="preserve">评审</w:t>
      </w:r>
      <w:r>
        <w:rPr>
          <w:rFonts w:hint="eastAsia" w:ascii="仿宋" w:hAnsi="仿宋" w:eastAsia="仿宋"/>
          <w:bCs/>
          <w:sz w:val="28"/>
          <w:szCs w:val="28"/>
        </w:rPr>
        <w:t xml:space="preserve">时间。</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sz w:val="28"/>
          <w:szCs w:val="28"/>
          <w:lang w:val="en-US" w:eastAsia="zh-CN"/>
        </w:rPr>
        <w:t xml:space="preserve">5.</w:t>
      </w:r>
      <w:r>
        <w:rPr>
          <w:rFonts w:hint="eastAsia" w:ascii="仿宋" w:hAnsi="仿宋" w:eastAsia="仿宋"/>
          <w:bCs/>
          <w:sz w:val="28"/>
          <w:szCs w:val="28"/>
        </w:rPr>
        <w:t xml:space="preserve">供应商在</w:t>
      </w:r>
      <w:r>
        <w:rPr>
          <w:rFonts w:hint="eastAsia" w:ascii="仿宋" w:hAnsi="仿宋" w:eastAsia="仿宋"/>
          <w:bCs/>
          <w:sz w:val="28"/>
          <w:szCs w:val="28"/>
          <w:lang w:val="en-US" w:eastAsia="zh-CN"/>
        </w:rPr>
        <w:t xml:space="preserve">评审</w:t>
      </w:r>
      <w:r>
        <w:rPr>
          <w:rFonts w:hint="eastAsia" w:ascii="仿宋" w:hAnsi="仿宋" w:eastAsia="仿宋"/>
          <w:bCs/>
          <w:sz w:val="28"/>
          <w:szCs w:val="28"/>
        </w:rPr>
        <w:t xml:space="preserve">全过程中应保持通讯畅通，并安排专人与采购人或采购代理机构及</w:t>
      </w:r>
      <w:r>
        <w:rPr>
          <w:rFonts w:hint="eastAsia" w:ascii="仿宋" w:hAnsi="仿宋" w:eastAsia="仿宋"/>
          <w:bCs/>
          <w:sz w:val="28"/>
          <w:szCs w:val="28"/>
          <w:lang w:val="en-US" w:eastAsia="zh-CN"/>
        </w:rPr>
        <w:t xml:space="preserve">评审小组</w:t>
      </w:r>
      <w:r>
        <w:rPr>
          <w:rFonts w:hint="eastAsia" w:ascii="仿宋" w:hAnsi="仿宋" w:eastAsia="仿宋"/>
          <w:bCs/>
          <w:sz w:val="28"/>
          <w:szCs w:val="28"/>
        </w:rPr>
        <w:t xml:space="preserve">联系</w:t>
      </w:r>
      <w:r>
        <w:rPr>
          <w:rFonts w:ascii="仿宋" w:hAnsi="仿宋" w:eastAsia="仿宋"/>
          <w:sz w:val="28"/>
          <w:szCs w:val="28"/>
        </w:rPr>
        <w:t xml:space="preserve">。</w:t>
      </w:r>
      <w:r/>
    </w:p>
    <w:p>
      <w:pPr>
        <w:ind w:firstLine="560"/>
        <w:spacing w:line="500" w:lineRule="exact"/>
        <w:rPr>
          <w:rFonts w:ascii="仿宋" w:hAnsi="仿宋" w:eastAsia="仿宋"/>
          <w:bCs/>
          <w:sz w:val="28"/>
          <w:szCs w:val="28"/>
          <w:highlight w:val="none"/>
        </w:rPr>
      </w:pPr>
      <w:r/>
      <w:bookmarkStart w:id="112" w:name="_Toc20823303"/>
      <w:r/>
      <w:bookmarkStart w:id="113" w:name="_Toc513029231"/>
      <w:r/>
      <w:bookmarkStart w:id="114" w:name="_Toc16938547"/>
      <w:r>
        <w:rPr>
          <w:rFonts w:hint="eastAsia" w:ascii="仿宋" w:hAnsi="仿宋" w:eastAsia="仿宋"/>
          <w:bCs/>
          <w:sz w:val="28"/>
          <w:szCs w:val="28"/>
          <w:highlight w:val="none"/>
          <w:lang w:val="en-US" w:eastAsia="zh-CN"/>
        </w:rPr>
        <w:t xml:space="preserve">6.</w:t>
      </w:r>
      <w:r>
        <w:rPr>
          <w:rFonts w:hint="eastAsia" w:ascii="仿宋" w:hAnsi="仿宋" w:eastAsia="仿宋"/>
          <w:bCs/>
          <w:sz w:val="28"/>
          <w:szCs w:val="28"/>
          <w:highlight w:val="none"/>
        </w:rPr>
        <w:t xml:space="preserve"> 开标结束后，</w:t>
      </w:r>
      <w:r>
        <w:rPr>
          <w:rFonts w:ascii="仿宋" w:hAnsi="仿宋" w:eastAsia="仿宋"/>
          <w:bCs/>
          <w:sz w:val="28"/>
          <w:szCs w:val="28"/>
          <w:highlight w:val="none"/>
        </w:rPr>
        <w:t xml:space="preserve">采购人或者采购代理机构依法对</w:t>
      </w:r>
      <w:r>
        <w:rPr>
          <w:rFonts w:hint="eastAsia" w:ascii="仿宋" w:hAnsi="仿宋" w:eastAsia="仿宋"/>
          <w:bCs/>
          <w:sz w:val="28"/>
          <w:szCs w:val="28"/>
          <w:highlight w:val="none"/>
          <w:lang w:val="en-US" w:eastAsia="zh-CN"/>
        </w:rPr>
        <w:t xml:space="preserve">响应供应商</w:t>
      </w:r>
      <w:r>
        <w:rPr>
          <w:rFonts w:ascii="仿宋" w:hAnsi="仿宋" w:eastAsia="仿宋"/>
          <w:bCs/>
          <w:sz w:val="28"/>
          <w:szCs w:val="28"/>
          <w:highlight w:val="none"/>
        </w:rPr>
        <w:t xml:space="preserve">资格进行审查。合格</w:t>
      </w:r>
      <w:r>
        <w:rPr>
          <w:rFonts w:hint="eastAsia" w:ascii="仿宋" w:hAnsi="仿宋" w:eastAsia="仿宋"/>
          <w:bCs/>
          <w:sz w:val="28"/>
          <w:szCs w:val="28"/>
          <w:highlight w:val="none"/>
          <w:lang w:val="en-US" w:eastAsia="zh-CN"/>
        </w:rPr>
        <w:t xml:space="preserve">响应供应商</w:t>
      </w:r>
      <w:r>
        <w:rPr>
          <w:rFonts w:ascii="仿宋" w:hAnsi="仿宋" w:eastAsia="仿宋"/>
          <w:bCs/>
          <w:sz w:val="28"/>
          <w:szCs w:val="28"/>
          <w:highlight w:val="none"/>
        </w:rPr>
        <w:t xml:space="preserve">不足3家的，不得</w:t>
      </w:r>
      <w:r>
        <w:rPr>
          <w:rFonts w:hint="eastAsia" w:ascii="仿宋" w:hAnsi="仿宋" w:eastAsia="仿宋"/>
          <w:bCs/>
          <w:sz w:val="28"/>
          <w:szCs w:val="28"/>
          <w:highlight w:val="none"/>
          <w:lang w:val="en-US" w:eastAsia="zh-CN"/>
        </w:rPr>
        <w:t xml:space="preserve">评审</w:t>
      </w:r>
      <w:r>
        <w:rPr>
          <w:rFonts w:ascii="仿宋" w:hAnsi="仿宋" w:eastAsia="仿宋"/>
          <w:bCs/>
          <w:sz w:val="28"/>
          <w:szCs w:val="28"/>
          <w:highlight w:val="none"/>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7. </w:t>
      </w:r>
      <w:r>
        <w:rPr>
          <w:rFonts w:ascii="仿宋" w:hAnsi="仿宋" w:eastAsia="仿宋"/>
          <w:sz w:val="28"/>
          <w:szCs w:val="28"/>
        </w:rPr>
        <w:t xml:space="preserve">评标委员会由采购人代表和评审专家组成，成员人数应当为5人</w:t>
      </w:r>
      <w:r>
        <w:rPr>
          <w:rFonts w:hint="eastAsia" w:ascii="仿宋" w:hAnsi="仿宋" w:eastAsia="仿宋"/>
          <w:sz w:val="28"/>
          <w:szCs w:val="28"/>
          <w:lang w:eastAsia="zh-CN"/>
        </w:rPr>
        <w:t xml:space="preserve">及</w:t>
      </w:r>
      <w:r>
        <w:rPr>
          <w:rFonts w:ascii="仿宋" w:hAnsi="仿宋" w:eastAsia="仿宋"/>
          <w:sz w:val="28"/>
          <w:szCs w:val="28"/>
        </w:rPr>
        <w:t xml:space="preserve">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10.</w:t>
      </w:r>
      <w:r>
        <w:rPr>
          <w:rFonts w:hint="eastAsia" w:ascii="仿宋" w:hAnsi="仿宋" w:eastAsia="仿宋"/>
          <w:sz w:val="28"/>
          <w:szCs w:val="28"/>
        </w:rPr>
        <w:t xml:space="preserve"> 除了第9条规定的情形之外，</w:t>
      </w:r>
      <w:r>
        <w:rPr>
          <w:rFonts w:ascii="仿宋" w:hAnsi="仿宋" w:eastAsia="仿宋"/>
          <w:sz w:val="28"/>
          <w:szCs w:val="28"/>
        </w:rPr>
        <w:t xml:space="preserve">评审专家对本单位的采购项目只能作为采购人代表参与</w:t>
      </w:r>
      <w:r>
        <w:rPr>
          <w:rFonts w:hint="eastAsia" w:ascii="仿宋" w:hAnsi="仿宋" w:eastAsia="仿宋"/>
          <w:sz w:val="28"/>
          <w:szCs w:val="28"/>
          <w:lang w:val="en-US" w:eastAsia="zh-CN"/>
        </w:rPr>
        <w:t xml:space="preserve">评审</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11.</w:t>
      </w:r>
      <w:r>
        <w:rPr>
          <w:rFonts w:hint="eastAsia" w:ascii="仿宋" w:hAnsi="仿宋" w:eastAsia="仿宋"/>
          <w:sz w:val="28"/>
          <w:szCs w:val="28"/>
        </w:rPr>
        <w:t xml:space="preserve"> 评标委员会审查、评价</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文件是否符合</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文件的商务、技术等实质性要求；按照</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文件中规定的评标方法和标准，对符合性审查合格的</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文件进行商务和技术评估，综合比较与评价，确定</w:t>
      </w:r>
      <w:r>
        <w:rPr>
          <w:rFonts w:hint="eastAsia" w:ascii="仿宋" w:hAnsi="仿宋" w:eastAsia="仿宋"/>
          <w:sz w:val="28"/>
          <w:szCs w:val="28"/>
          <w:lang w:val="en-US" w:eastAsia="zh-CN"/>
        </w:rPr>
        <w:t xml:space="preserve">入围供应商</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12. </w:t>
      </w:r>
      <w:r>
        <w:rPr>
          <w:rFonts w:hint="eastAsia" w:ascii="仿宋" w:hAnsi="仿宋" w:eastAsia="仿宋"/>
          <w:sz w:val="28"/>
          <w:szCs w:val="28"/>
        </w:rPr>
        <w:t xml:space="preserve">评标委员会</w:t>
      </w:r>
      <w:r>
        <w:rPr>
          <w:rFonts w:hint="eastAsia" w:ascii="仿宋" w:hAnsi="仿宋" w:eastAsia="仿宋"/>
          <w:sz w:val="28"/>
          <w:szCs w:val="28"/>
          <w:lang w:val="en-US" w:eastAsia="zh-CN"/>
        </w:rPr>
        <w:t xml:space="preserve">评审</w:t>
      </w:r>
      <w:r>
        <w:rPr>
          <w:rFonts w:hint="eastAsia" w:ascii="仿宋" w:hAnsi="仿宋" w:eastAsia="仿宋"/>
          <w:sz w:val="28"/>
          <w:szCs w:val="28"/>
        </w:rPr>
        <w:t xml:space="preserve">时，可以通过视频会议，要求供应商对</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13.</w:t>
      </w:r>
      <w:r>
        <w:rPr>
          <w:rFonts w:hint="eastAsia" w:ascii="仿宋" w:hAnsi="仿宋" w:eastAsia="仿宋"/>
          <w:sz w:val="28"/>
          <w:szCs w:val="28"/>
        </w:rPr>
        <w:t xml:space="preserve"> </w:t>
      </w:r>
      <w:r>
        <w:rPr>
          <w:rFonts w:hint="eastAsia" w:ascii="仿宋" w:hAnsi="仿宋" w:eastAsia="仿宋"/>
          <w:bCs/>
          <w:sz w:val="28"/>
          <w:szCs w:val="28"/>
        </w:rPr>
        <w:t xml:space="preserve">接到澄清要求的供应商，应在评标委员会规定的时间内做出澄清，澄清的内容作为</w:t>
      </w:r>
      <w:r>
        <w:rPr>
          <w:rFonts w:hint="eastAsia" w:ascii="仿宋" w:hAnsi="仿宋" w:eastAsia="仿宋"/>
          <w:bCs/>
          <w:sz w:val="28"/>
          <w:szCs w:val="28"/>
          <w:lang w:val="en-US" w:eastAsia="zh-CN"/>
        </w:rPr>
        <w:t xml:space="preserve">响应</w:t>
      </w:r>
      <w:r>
        <w:rPr>
          <w:rFonts w:hint="eastAsia" w:ascii="仿宋" w:hAnsi="仿宋" w:eastAsia="仿宋"/>
          <w:bCs/>
          <w:sz w:val="28"/>
          <w:szCs w:val="28"/>
        </w:rPr>
        <w:t xml:space="preserve">文件的补充部分，</w:t>
      </w:r>
      <w:r>
        <w:rPr>
          <w:rFonts w:hint="eastAsia" w:ascii="仿宋" w:hAnsi="仿宋" w:eastAsia="仿宋"/>
          <w:sz w:val="28"/>
          <w:szCs w:val="28"/>
        </w:rPr>
        <w:t xml:space="preserve">但澄清、说明或者更正不得超出</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文件的范围或者改变</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14.</w:t>
      </w:r>
      <w:r>
        <w:rPr>
          <w:rFonts w:hint="eastAsia" w:ascii="仿宋" w:hAnsi="仿宋" w:eastAsia="仿宋"/>
          <w:sz w:val="28"/>
          <w:szCs w:val="28"/>
        </w:rPr>
        <w:t xml:space="preserve">评标委员会认为</w:t>
      </w:r>
      <w:r>
        <w:rPr>
          <w:rFonts w:hint="eastAsia" w:ascii="仿宋" w:hAnsi="仿宋" w:eastAsia="仿宋"/>
          <w:sz w:val="28"/>
          <w:szCs w:val="28"/>
          <w:lang w:val="en-US" w:eastAsia="zh-CN"/>
        </w:rPr>
        <w:t xml:space="preserve">响应供应商</w:t>
      </w:r>
      <w:r>
        <w:rPr>
          <w:rFonts w:hint="eastAsia" w:ascii="仿宋" w:hAnsi="仿宋" w:eastAsia="仿宋"/>
          <w:sz w:val="28"/>
          <w:szCs w:val="28"/>
        </w:rPr>
        <w:t xml:space="preserve">的报价明显低于其他通过符合性审查</w:t>
      </w:r>
      <w:r>
        <w:rPr>
          <w:rFonts w:hint="eastAsia" w:ascii="仿宋" w:hAnsi="仿宋" w:eastAsia="仿宋"/>
          <w:sz w:val="28"/>
          <w:szCs w:val="28"/>
          <w:lang w:val="en-US" w:eastAsia="zh-CN"/>
        </w:rPr>
        <w:t xml:space="preserve">响应供应商</w:t>
      </w:r>
      <w:r>
        <w:rPr>
          <w:rFonts w:hint="eastAsia" w:ascii="仿宋" w:hAnsi="仿宋" w:eastAsia="仿宋"/>
          <w:sz w:val="28"/>
          <w:szCs w:val="28"/>
        </w:rPr>
        <w:t xml:space="preserve">的报价，有可能影响产品质量或者不能诚信履约的，可以通过视频会议，要求供应商在合理的时间内提供说明，必要时提交相关证明材料。</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15.响应</w:t>
      </w:r>
      <w:r>
        <w:rPr>
          <w:rFonts w:hint="eastAsia" w:ascii="仿宋" w:hAnsi="仿宋" w:eastAsia="仿宋"/>
          <w:sz w:val="28"/>
          <w:szCs w:val="28"/>
        </w:rPr>
        <w:t xml:space="preserve">文件报价出现前后不一致的，除</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文件另有规定外，按照下列规定修正：</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文件中开标一览表（报价表）内容与</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文件中相应内容不一致的，以开标一览表（报价表）为准；</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大写金额和小写金额不一致的，以大写金额为准；</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单价金额小数点或者百分比有明显错位的，以开标一览表的总价为准，并修改单价；</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总价金额与按单价汇总金额不一致的，以单价金额计算结果为准。</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同时出现两种以上不一致的，按照前款规定的顺序修正。修正后的报价经</w:t>
      </w:r>
      <w:r>
        <w:rPr>
          <w:rFonts w:hint="eastAsia" w:ascii="仿宋" w:hAnsi="仿宋" w:eastAsia="仿宋"/>
          <w:sz w:val="28"/>
          <w:szCs w:val="28"/>
          <w:lang w:val="en-US" w:eastAsia="zh-CN"/>
        </w:rPr>
        <w:t xml:space="preserve">响应供应商</w:t>
      </w:r>
      <w:r>
        <w:rPr>
          <w:rFonts w:hint="eastAsia" w:ascii="仿宋" w:hAnsi="仿宋" w:eastAsia="仿宋"/>
          <w:sz w:val="28"/>
          <w:szCs w:val="28"/>
        </w:rPr>
        <w:t xml:space="preserve">确认后产生约束力，</w:t>
      </w:r>
      <w:r>
        <w:rPr>
          <w:rFonts w:hint="eastAsia" w:ascii="仿宋" w:hAnsi="仿宋" w:eastAsia="仿宋"/>
          <w:sz w:val="28"/>
          <w:szCs w:val="28"/>
          <w:lang w:val="en-US" w:eastAsia="zh-CN"/>
        </w:rPr>
        <w:t xml:space="preserve">响应供应商</w:t>
      </w:r>
      <w:r>
        <w:rPr>
          <w:rFonts w:hint="eastAsia" w:ascii="仿宋" w:hAnsi="仿宋" w:eastAsia="仿宋"/>
          <w:sz w:val="28"/>
          <w:szCs w:val="28"/>
        </w:rPr>
        <w:t xml:space="preserve">不确认的，其</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无效。</w:t>
      </w:r>
      <w:r/>
    </w:p>
    <w:p>
      <w:pPr>
        <w:ind w:firstLine="560"/>
        <w:spacing w:line="500" w:lineRule="exact"/>
        <w:shd w:val="clear" w:color="auto"/>
        <w:rPr>
          <w:rFonts w:ascii="仿宋" w:hAnsi="仿宋" w:eastAsia="仿宋"/>
          <w:sz w:val="28"/>
          <w:szCs w:val="28"/>
        </w:rPr>
      </w:pPr>
      <w:r>
        <w:rPr>
          <w:rFonts w:hint="eastAsia" w:ascii="仿宋" w:hAnsi="仿宋" w:eastAsia="仿宋"/>
          <w:sz w:val="28"/>
          <w:szCs w:val="28"/>
          <w:lang w:val="en-US" w:eastAsia="zh-CN"/>
        </w:rPr>
        <w:t xml:space="preserve">16.</w:t>
      </w:r>
      <w:r>
        <w:rPr>
          <w:rFonts w:hint="eastAsia" w:ascii="仿宋" w:hAnsi="仿宋" w:eastAsia="仿宋"/>
          <w:sz w:val="28"/>
          <w:szCs w:val="28"/>
        </w:rPr>
        <w:t xml:space="preserve">采用最低评标价法的采购项目，提供相同品牌产品的不同投标人参加同一合同项下投标的，以其通过资格审查、符合性审查且报价最低的参加</w:t>
      </w:r>
      <w:r>
        <w:rPr>
          <w:rFonts w:hint="eastAsia" w:ascii="仿宋" w:hAnsi="仿宋" w:eastAsia="仿宋"/>
          <w:sz w:val="28"/>
          <w:szCs w:val="28"/>
          <w:lang w:val="en-US" w:eastAsia="zh-CN"/>
        </w:rPr>
        <w:t xml:space="preserve">评审</w:t>
      </w:r>
      <w:r>
        <w:rPr>
          <w:rFonts w:hint="eastAsia" w:ascii="仿宋" w:hAnsi="仿宋" w:eastAsia="仿宋"/>
          <w:sz w:val="28"/>
          <w:szCs w:val="28"/>
        </w:rPr>
        <w:t xml:space="preserve">；报价相同的，由采购人或者采购人委托评标委员会按照</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文件规定的方式确定一个参加</w:t>
      </w:r>
      <w:r>
        <w:rPr>
          <w:rFonts w:hint="eastAsia" w:ascii="仿宋" w:hAnsi="仿宋" w:eastAsia="仿宋"/>
          <w:sz w:val="28"/>
          <w:szCs w:val="28"/>
          <w:lang w:val="en-US" w:eastAsia="zh-CN"/>
        </w:rPr>
        <w:t xml:space="preserve">评审</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响应供应商</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征集</w:t>
      </w:r>
      <w:r>
        <w:rPr>
          <w:rFonts w:hint="eastAsia" w:ascii="仿宋" w:hAnsi="仿宋" w:eastAsia="仿宋"/>
          <w:sz w:val="28"/>
          <w:szCs w:val="28"/>
        </w:rPr>
        <w:t xml:space="preserve">文件未规定的，采取随机抽取方式确定，其他</w:t>
      </w:r>
      <w:r>
        <w:rPr>
          <w:rFonts w:hint="eastAsia" w:ascii="仿宋" w:hAnsi="仿宋" w:eastAsia="仿宋"/>
          <w:sz w:val="28"/>
          <w:szCs w:val="28"/>
          <w:lang w:val="en-US" w:eastAsia="zh-CN"/>
        </w:rPr>
        <w:t xml:space="preserve">响应无效。</w:t>
      </w:r>
      <w:r/>
    </w:p>
    <w:p>
      <w:pPr>
        <w:ind w:firstLine="482"/>
        <w:jc w:val="left"/>
        <w:keepLines w:val="0"/>
        <w:keepNext w:val="0"/>
        <w:pageBreakBefore w:val="0"/>
        <w:spacing w:line="480" w:lineRule="exact"/>
        <w:shd w:val="clear" w:color="auto"/>
        <w:widowControl/>
        <w:rPr>
          <w:rFonts w:hint="eastAsia" w:ascii="仿宋" w:hAnsi="仿宋" w:eastAsia="仿宋" w:cs="仿宋"/>
          <w:color w:val="auto"/>
          <w:sz w:val="28"/>
          <w:szCs w:val="28"/>
          <w:highlight w:val="none"/>
        </w:rPr>
      </w:pPr>
      <w:r>
        <w:rPr>
          <w:rFonts w:hint="eastAsia" w:ascii="仿宋" w:hAnsi="仿宋" w:eastAsia="仿宋"/>
          <w:sz w:val="28"/>
          <w:szCs w:val="28"/>
          <w:lang w:val="en-US" w:eastAsia="zh-CN"/>
        </w:rPr>
        <w:t xml:space="preserve">17.</w:t>
      </w:r>
      <w:r>
        <w:rPr>
          <w:rFonts w:ascii="仿宋" w:hAnsi="仿宋" w:eastAsia="仿宋"/>
          <w:sz w:val="28"/>
          <w:szCs w:val="28"/>
        </w:rPr>
        <w:t xml:space="preserve"> </w:t>
      </w:r>
      <w:r>
        <w:rPr>
          <w:rFonts w:hint="eastAsia" w:ascii="仿宋" w:hAnsi="仿宋" w:eastAsia="仿宋"/>
          <w:sz w:val="28"/>
          <w:szCs w:val="28"/>
          <w:lang w:val="en-US" w:eastAsia="zh-CN"/>
        </w:rPr>
        <w:t xml:space="preserve">评审</w:t>
      </w:r>
      <w:r>
        <w:rPr>
          <w:rFonts w:ascii="仿宋" w:hAnsi="仿宋" w:eastAsia="仿宋"/>
          <w:sz w:val="28"/>
          <w:szCs w:val="28"/>
        </w:rPr>
        <w:t xml:space="preserve">结果汇总完成后，除</w:t>
      </w:r>
      <w:r>
        <w:rPr>
          <w:rFonts w:hint="eastAsia" w:ascii="仿宋" w:hAnsi="仿宋" w:eastAsia="仿宋"/>
          <w:sz w:val="28"/>
          <w:szCs w:val="28"/>
        </w:rPr>
        <w:t xml:space="preserve">了</w:t>
      </w:r>
      <w:r>
        <w:rPr>
          <w:rFonts w:ascii="仿宋" w:hAnsi="仿宋" w:eastAsia="仿宋"/>
          <w:sz w:val="28"/>
          <w:szCs w:val="28"/>
        </w:rPr>
        <w:t xml:space="preserve">分值汇总计算错误</w:t>
      </w:r>
      <w:r>
        <w:rPr>
          <w:rFonts w:hint="eastAsia" w:ascii="仿宋" w:hAnsi="仿宋" w:eastAsia="仿宋"/>
          <w:sz w:val="28"/>
          <w:szCs w:val="28"/>
        </w:rPr>
        <w:t xml:space="preserve">、</w:t>
      </w:r>
      <w:r>
        <w:rPr>
          <w:rFonts w:ascii="仿宋" w:hAnsi="仿宋" w:eastAsia="仿宋"/>
          <w:sz w:val="28"/>
          <w:szCs w:val="28"/>
        </w:rPr>
        <w:t xml:space="preserve">分项评分超出评分标准范围</w:t>
      </w:r>
      <w:r>
        <w:rPr>
          <w:rFonts w:hint="eastAsia" w:ascii="仿宋" w:hAnsi="仿宋" w:eastAsia="仿宋"/>
          <w:sz w:val="28"/>
          <w:szCs w:val="28"/>
        </w:rPr>
        <w:t xml:space="preserve">、</w:t>
      </w:r>
      <w:r>
        <w:rPr>
          <w:rFonts w:ascii="仿宋" w:hAnsi="仿宋" w:eastAsia="仿宋"/>
          <w:sz w:val="28"/>
          <w:szCs w:val="28"/>
        </w:rPr>
        <w:t xml:space="preserve">评标委员会成员对客观评审因素评分不一致</w:t>
      </w:r>
      <w:r>
        <w:rPr>
          <w:rFonts w:hint="eastAsia" w:ascii="仿宋" w:hAnsi="仿宋" w:eastAsia="仿宋"/>
          <w:sz w:val="28"/>
          <w:szCs w:val="28"/>
        </w:rPr>
        <w:t xml:space="preserve">、或者</w:t>
      </w:r>
      <w:r>
        <w:rPr>
          <w:rFonts w:ascii="仿宋" w:hAnsi="仿宋" w:eastAsia="仿宋"/>
          <w:sz w:val="28"/>
          <w:szCs w:val="28"/>
        </w:rPr>
        <w:t xml:space="preserve">经评标委员会认定评分畸高、畸低</w:t>
      </w:r>
      <w:r>
        <w:rPr>
          <w:rFonts w:hint="eastAsia" w:ascii="仿宋" w:hAnsi="仿宋" w:eastAsia="仿宋"/>
          <w:sz w:val="28"/>
          <w:szCs w:val="28"/>
        </w:rPr>
        <w:t xml:space="preserve">等</w:t>
      </w:r>
      <w:r>
        <w:rPr>
          <w:rFonts w:ascii="仿宋" w:hAnsi="仿宋" w:eastAsia="仿宋"/>
          <w:sz w:val="28"/>
          <w:szCs w:val="28"/>
        </w:rPr>
        <w:t xml:space="preserve">情形之外，任何人不得修改</w:t>
      </w:r>
      <w:r>
        <w:rPr>
          <w:rFonts w:hint="eastAsia" w:ascii="仿宋" w:hAnsi="仿宋" w:eastAsia="仿宋"/>
          <w:sz w:val="28"/>
          <w:szCs w:val="28"/>
          <w:lang w:val="en-US" w:eastAsia="zh-CN"/>
        </w:rPr>
        <w:t xml:space="preserve">评审</w:t>
      </w:r>
      <w:r>
        <w:rPr>
          <w:rFonts w:ascii="仿宋" w:hAnsi="仿宋" w:eastAsia="仿宋"/>
          <w:sz w:val="28"/>
          <w:szCs w:val="28"/>
        </w:rPr>
        <w:t xml:space="preserve">结果</w:t>
      </w:r>
      <w:r>
        <w:rPr>
          <w:rFonts w:hint="eastAsia" w:ascii="仿宋" w:hAnsi="仿宋" w:eastAsia="仿宋"/>
          <w:sz w:val="28"/>
          <w:szCs w:val="28"/>
        </w:rPr>
        <w:t xml:space="preserve">。</w:t>
      </w:r>
      <w:bookmarkEnd w:id="112"/>
      <w:r/>
      <w:bookmarkEnd w:id="113"/>
      <w:r/>
      <w:bookmarkEnd w:id="114"/>
      <w:r/>
      <w:r/>
    </w:p>
    <w:p>
      <w:pPr>
        <w:pStyle w:val="740"/>
        <w:jc w:val="both"/>
        <w:spacing w:beforeAutospacing="0" w:afterAutospacing="0" w:line="500" w:lineRule="exact"/>
        <w:shd w:val="clear" w:color="auto"/>
        <w:widowControl/>
        <w:rPr>
          <w:rFonts w:ascii="黑体" w:hAnsi="黑体" w:eastAsia="黑体"/>
          <w:color w:val="auto"/>
          <w:sz w:val="28"/>
          <w:szCs w:val="28"/>
          <w:highlight w:val="none"/>
        </w:rPr>
        <w:outlineLvl w:val="1"/>
      </w:pPr>
      <w:r>
        <w:rPr>
          <w:rFonts w:hint="eastAsia" w:ascii="仿宋" w:hAnsi="仿宋" w:eastAsia="仿宋"/>
          <w:color w:val="auto"/>
          <w:sz w:val="28"/>
          <w:szCs w:val="28"/>
          <w:highlight w:val="none"/>
        </w:rPr>
        <w:t xml:space="preserve"> </w:t>
      </w:r>
      <w:bookmarkStart w:id="115" w:name="_Toc3383"/>
      <w:r>
        <w:rPr>
          <w:rFonts w:hint="eastAsia" w:ascii="黑体" w:hAnsi="黑体" w:eastAsia="黑体" w:cstheme="minorBidi"/>
          <w:color w:val="auto"/>
          <w:sz w:val="28"/>
          <w:szCs w:val="28"/>
          <w:highlight w:val="none"/>
        </w:rPr>
        <w:t xml:space="preserve">（四）成交和合同</w:t>
      </w:r>
      <w:bookmarkEnd w:id="100"/>
      <w:r/>
      <w:bookmarkEnd w:id="101"/>
      <w:r/>
      <w:bookmarkEnd w:id="102"/>
      <w:r/>
      <w:bookmarkEnd w:id="103"/>
      <w:r/>
      <w:bookmarkEnd w:id="104"/>
      <w:r/>
      <w:bookmarkEnd w:id="105"/>
      <w:r/>
      <w:bookmarkEnd w:id="115"/>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1.确定第二阶段成交供应商的方式有：</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（1）直接选定方式：由采购人或者服务对象依据入围产品价格、质量以及服务便利性、用户评价等因素，从第一阶段入围供应商中直接选定。</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二次竞价方式：以框架协议约定的入围产品、采购合同文本等为依据，以协议价格为最高限价，采购人明确第二阶段竞价需求，从入围供应商中选择所有符合竞价需求的供应商参与二次竞价，确定报价最低的为成交供应商的方式。进行二次竞价应当给予供应商必要的响应时间。 </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（3）顺序轮候方式：则根据征集文件中确定的轮候顺序规则，对所有入围供应商依次授予采购合同。 每个入围供应商在一个顺序轮候期内，只有一次获得合同授予的机会。合同授予顺序确定后，应当书面告知所有入围供应商。除清退入围供应商和补充征集外，框架协议有效期内不得调整合同授予顺序。</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color w:val="auto"/>
          <w:highlight w:val="none"/>
        </w:rPr>
        <w:t xml:space="preserve"> </w:t>
      </w:r>
      <w:r>
        <w:rPr>
          <w:rFonts w:hint="eastAsia" w:ascii="仿宋" w:hAnsi="仿宋" w:eastAsia="仿宋"/>
          <w:b/>
          <w:bCs/>
          <w:color w:val="auto"/>
          <w:sz w:val="28"/>
          <w:szCs w:val="28"/>
          <w:highlight w:val="none"/>
        </w:rPr>
        <w:t xml:space="preserve">采购人根据征集文件的规定确定</w:t>
      </w:r>
      <w:r>
        <w:rPr>
          <w:rFonts w:hint="eastAsia" w:ascii="仿宋" w:hAnsi="仿宋" w:eastAsia="仿宋" w:cs="Times New Roman"/>
          <w:b/>
          <w:bCs/>
          <w:color w:val="auto"/>
          <w:sz w:val="28"/>
          <w:szCs w:val="28"/>
          <w:highlight w:val="none"/>
        </w:rPr>
        <w:t xml:space="preserve">第二阶段成交供应商</w:t>
      </w:r>
      <w:r>
        <w:rPr>
          <w:rFonts w:hint="eastAsia" w:ascii="仿宋" w:hAnsi="仿宋" w:eastAsia="仿宋"/>
          <w:b/>
          <w:bCs/>
          <w:color w:val="auto"/>
          <w:sz w:val="28"/>
          <w:szCs w:val="28"/>
          <w:highlight w:val="none"/>
        </w:rPr>
        <w:t xml:space="preserve">应当自</w:t>
      </w:r>
      <w:r>
        <w:rPr>
          <w:rFonts w:hint="eastAsia" w:ascii="仿宋" w:hAnsi="仿宋" w:eastAsia="仿宋"/>
          <w:b/>
          <w:bCs/>
          <w:color w:val="auto"/>
          <w:sz w:val="28"/>
          <w:szCs w:val="28"/>
          <w:highlight w:val="none"/>
          <w:lang w:val="en-US" w:eastAsia="zh-CN"/>
        </w:rPr>
        <w:t xml:space="preserve">入围</w:t>
      </w:r>
      <w:r>
        <w:rPr>
          <w:rFonts w:hint="eastAsia" w:ascii="仿宋" w:hAnsi="仿宋" w:eastAsia="仿宋"/>
          <w:b/>
          <w:bCs/>
          <w:color w:val="auto"/>
          <w:sz w:val="28"/>
          <w:szCs w:val="28"/>
          <w:highlight w:val="none"/>
        </w:rPr>
        <w:t xml:space="preserve">通知书发出之日起30日内，按照征集文件和成交人签订书面合同。所签订的合同不得对征集文件确定的事项和成交人征集文件作实质性修改。</w:t>
      </w:r>
      <w:r/>
    </w:p>
    <w:p>
      <w:pPr>
        <w:ind w:firstLine="560"/>
        <w:keepLines w:val="0"/>
        <w:keepNext w:val="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3.采购人不得向成交人提出任何不合理的要求作为签订合同的条件。</w:t>
      </w:r>
      <w:r/>
    </w:p>
    <w:p>
      <w:pPr>
        <w:pStyle w:val="735"/>
        <w:ind w:firstLine="560"/>
        <w:keepLines w:val="0"/>
        <w:keepNext w:val="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4.确定第二阶段成交供应商，授予的单个合同金额不得超过政府采购限额标准（货物、服务限额标准为</w:t>
      </w:r>
      <w:r>
        <w:rPr>
          <w:rFonts w:hint="eastAsia" w:ascii="仿宋" w:hAnsi="仿宋" w:eastAsia="仿宋"/>
          <w:color w:val="auto"/>
          <w:sz w:val="28"/>
          <w:szCs w:val="28"/>
          <w:highlight w:val="none"/>
          <w:lang w:val="en-US" w:eastAsia="zh-CN"/>
        </w:rPr>
        <w:t xml:space="preserve">50</w:t>
      </w:r>
      <w:r>
        <w:rPr>
          <w:rFonts w:hint="eastAsia" w:ascii="仿宋" w:hAnsi="仿宋" w:eastAsia="仿宋"/>
          <w:color w:val="auto"/>
          <w:sz w:val="28"/>
          <w:szCs w:val="28"/>
          <w:highlight w:val="none"/>
        </w:rPr>
        <w:t xml:space="preserve">万元以下），如单个合同金额超过限额，应单列计划，另行采购。</w:t>
      </w:r>
      <w:r/>
    </w:p>
    <w:p>
      <w:pPr>
        <w:pStyle w:val="719"/>
        <w:ind w:left="0"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5.采购人与成交人应当根据合同的约定依法履行合同义务。政府采购合同的履行、违约责任和解决争议的方法等适用《中华人民共和国民法典》。</w:t>
      </w:r>
      <w:r/>
    </w:p>
    <w:p>
      <w:pPr>
        <w:pStyle w:val="719"/>
        <w:ind w:left="0" w:firstLine="562"/>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lang w:eastAsia="zh-CN"/>
        </w:rPr>
        <w:t xml:space="preserve">）政府采购政策功能落实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 对于非专门面向中小企业采购的项目，小微型企业享受价格扣除优惠。</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 货物类或者服务类采购项目，采购人、采购代理机构应当对符合《政府采购促进中小企业发展管理办法》（财库〔2020〕46号）规定的小微企业报</w:t>
      </w:r>
      <w:r>
        <w:rPr>
          <w:rFonts w:hint="eastAsia" w:ascii="仿宋" w:hAnsi="仿宋" w:eastAsia="仿宋"/>
          <w:sz w:val="28"/>
          <w:szCs w:val="28"/>
          <w:highlight w:val="none"/>
        </w:rPr>
        <w:t xml:space="preserve">价给予10%的扣除；工程类采购项目，给予3%的扣除，给予用扣除后的价格参加评审。</w:t>
      </w:r>
      <w:r/>
    </w:p>
    <w:p>
      <w:pPr>
        <w:ind w:firstLine="560"/>
        <w:spacing w:line="500" w:lineRule="exact"/>
        <w:rPr>
          <w:rFonts w:hint="eastAsia" w:ascii="仿宋" w:hAnsi="仿宋" w:eastAsia="仿宋"/>
          <w:sz w:val="28"/>
          <w:szCs w:val="28"/>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w:t>
      </w:r>
      <w:r>
        <w:rPr>
          <w:rFonts w:hint="eastAsia" w:ascii="仿宋" w:hAnsi="仿宋" w:eastAsia="仿宋"/>
          <w:sz w:val="28"/>
          <w:szCs w:val="28"/>
        </w:rPr>
        <w:t xml:space="preserve">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①</w:t>
      </w:r>
      <w:r>
        <w:rPr>
          <w:rFonts w:hint="eastAsia" w:ascii="仿宋" w:hAnsi="仿宋" w:eastAsia="仿宋"/>
          <w:sz w:val="28"/>
          <w:szCs w:val="28"/>
        </w:rPr>
        <w:t xml:space="preserve">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②</w:t>
      </w:r>
      <w:r>
        <w:rPr>
          <w:rFonts w:hint="eastAsia" w:ascii="仿宋" w:hAnsi="仿宋" w:eastAsia="仿宋"/>
          <w:sz w:val="28"/>
          <w:szCs w:val="28"/>
        </w:rPr>
        <w:t xml:space="preserve">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③</w:t>
      </w:r>
      <w:r>
        <w:rPr>
          <w:rFonts w:hint="eastAsia" w:ascii="仿宋" w:hAnsi="仿宋" w:eastAsia="仿宋"/>
          <w:sz w:val="28"/>
          <w:szCs w:val="28"/>
        </w:rPr>
        <w:t xml:space="preserve">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④</w:t>
      </w:r>
      <w:r>
        <w:rPr>
          <w:rFonts w:hint="eastAsia" w:ascii="仿宋" w:hAnsi="仿宋" w:eastAsia="仿宋"/>
          <w:sz w:val="28"/>
          <w:szCs w:val="28"/>
        </w:rPr>
        <w:t xml:space="preserve">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①</w:t>
      </w:r>
      <w:r>
        <w:rPr>
          <w:rFonts w:hint="eastAsia" w:ascii="仿宋" w:hAnsi="仿宋" w:eastAsia="仿宋"/>
          <w:sz w:val="28"/>
          <w:szCs w:val="28"/>
        </w:rPr>
        <w:t xml:space="preserve">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②</w:t>
      </w:r>
      <w:r>
        <w:rPr>
          <w:rFonts w:hint="eastAsia" w:ascii="仿宋" w:hAnsi="仿宋" w:eastAsia="仿宋"/>
          <w:sz w:val="28"/>
          <w:szCs w:val="28"/>
        </w:rPr>
        <w:t xml:space="preserve">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《中小企业划型标准规定》（工信部联企业〔2011〕300号）</w:t>
      </w:r>
      <w:r/>
    </w:p>
    <w:tbl>
      <w:tblPr>
        <w:tblStyle w:val="7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0"/>
        <w:gridCol w:w="1671"/>
        <w:gridCol w:w="683"/>
        <w:gridCol w:w="1830"/>
        <w:gridCol w:w="1572"/>
        <w:gridCol w:w="1036"/>
      </w:tblGrid>
      <w:tr>
        <w:trPr>
          <w:cantSplit/>
          <w:jc w:val="center"/>
          <w:tblHeader/>
        </w:trPr>
        <w:tc>
          <w:tcPr>
            <w:tcW w:w="17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671"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730"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730"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730"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71"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730"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671"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ascii="仿宋" w:hAnsi="仿宋" w:eastAsia="仿宋"/>
          <w:sz w:val="28"/>
          <w:szCs w:val="28"/>
        </w:rPr>
        <w:t xml:space="preserve">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①</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②</w:t>
      </w:r>
      <w:r>
        <w:rPr>
          <w:rFonts w:hint="eastAsia" w:ascii="仿宋" w:hAnsi="仿宋" w:eastAsia="仿宋"/>
          <w:sz w:val="28"/>
          <w:szCs w:val="28"/>
        </w:rPr>
        <w:t xml:space="preserve">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③</w:t>
      </w:r>
      <w:r>
        <w:rPr>
          <w:rFonts w:hint="eastAsia" w:ascii="仿宋" w:hAnsi="仿宋" w:eastAsia="仿宋"/>
          <w:sz w:val="28"/>
          <w:szCs w:val="28"/>
        </w:rPr>
        <w:t xml:space="preserve">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④</w:t>
      </w:r>
      <w:r>
        <w:rPr>
          <w:rFonts w:hint="eastAsia" w:ascii="仿宋" w:hAnsi="仿宋" w:eastAsia="仿宋"/>
          <w:sz w:val="28"/>
          <w:szCs w:val="28"/>
        </w:rPr>
        <w:t xml:space="preserve">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⑤</w:t>
      </w:r>
      <w:r>
        <w:rPr>
          <w:rFonts w:hint="eastAsia" w:ascii="仿宋" w:hAnsi="仿宋" w:eastAsia="仿宋"/>
          <w:sz w:val="28"/>
          <w:szCs w:val="28"/>
        </w:rPr>
        <w:t xml:space="preserve">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 根据《江苏省政府采购供应商监督管理暂行办法》的规定，诚信记录分每减10分，给予本项目总分值2%的扣分，扣分最多不超过本项目总分值6%。</w:t>
      </w:r>
      <w:r/>
    </w:p>
    <w:p>
      <w:pPr>
        <w:ind w:firstLine="562"/>
        <w:spacing w:line="50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（六）</w:t>
      </w:r>
      <w:r>
        <w:rPr>
          <w:rFonts w:hint="eastAsia" w:ascii="仿宋" w:hAnsi="仿宋" w:eastAsia="仿宋" w:cs="仿宋"/>
          <w:b/>
          <w:bCs/>
          <w:sz w:val="28"/>
          <w:szCs w:val="28"/>
        </w:rPr>
        <w:t xml:space="preserve">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 </w:t>
      </w:r>
      <w:r>
        <w:rPr>
          <w:rFonts w:ascii="仿宋" w:hAnsi="仿宋" w:eastAsia="仿宋"/>
          <w:sz w:val="28"/>
          <w:szCs w:val="28"/>
        </w:rPr>
        <w:t xml:space="preserve">以下情形的质疑不予受理：</w:t>
      </w:r>
      <w:r/>
    </w:p>
    <w:p>
      <w:pPr>
        <w:numPr>
          <w:ilvl w:val="0"/>
          <w:numId w:val="1"/>
        </w:numPr>
        <w:ind w:left="0" w:firstLine="560"/>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t xml:space="preserve">内容不符合《政府采购质疑和投诉办法》第十二条规定的质疑。</w:t>
      </w:r>
      <w:r/>
    </w:p>
    <w:p>
      <w:pPr>
        <w:numPr>
          <w:ilvl w:val="0"/>
          <w:numId w:val="1"/>
        </w:numPr>
        <w:ind w:left="0" w:firstLine="560"/>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t xml:space="preserve">超出政府采购法定期限的质疑。</w:t>
      </w:r>
      <w:r/>
    </w:p>
    <w:p>
      <w:pPr>
        <w:numPr>
          <w:ilvl w:val="0"/>
          <w:numId w:val="1"/>
        </w:numPr>
        <w:ind w:left="0" w:firstLine="560"/>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t xml:space="preserve">未参加招标活动的供应商或在招标活动中自身权益未受到损害的供应商所提出的质疑。</w:t>
      </w:r>
      <w:r/>
    </w:p>
    <w:p>
      <w:pPr>
        <w:numPr>
          <w:ilvl w:val="0"/>
          <w:numId w:val="1"/>
        </w:numPr>
        <w:ind w:left="0" w:firstLine="560"/>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8.</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10.</w:t>
      </w:r>
      <w:r>
        <w:rPr>
          <w:rFonts w:hint="eastAsia" w:ascii="仿宋" w:hAnsi="仿宋" w:eastAsia="仿宋"/>
          <w:sz w:val="28"/>
          <w:szCs w:val="28"/>
        </w:rPr>
        <w:t xml:space="preserve">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11.</w:t>
      </w:r>
      <w:r>
        <w:rPr>
          <w:rFonts w:hint="eastAsia" w:ascii="仿宋" w:hAnsi="仿宋" w:eastAsia="仿宋"/>
          <w:sz w:val="28"/>
          <w:szCs w:val="28"/>
        </w:rPr>
        <w:t xml:space="preserve">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12.</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lang w:val="en-US" w:eastAsia="zh-CN"/>
        </w:rPr>
        <w:t xml:space="preserve">13.</w:t>
      </w:r>
      <w:r>
        <w:rPr>
          <w:rFonts w:hint="eastAsia" w:ascii="仿宋" w:hAnsi="仿宋" w:eastAsia="仿宋"/>
          <w:sz w:val="28"/>
          <w:szCs w:val="28"/>
        </w:rPr>
        <w:t xml:space="preserve">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A座814室，联系电话0513-87623860）。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14.</w:t>
      </w:r>
      <w:r>
        <w:rPr>
          <w:rFonts w:hint="eastAsia" w:ascii="仿宋" w:hAnsi="仿宋" w:eastAsia="仿宋"/>
          <w:sz w:val="28"/>
          <w:szCs w:val="28"/>
        </w:rPr>
        <w:t xml:space="preserve">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2"/>
        <w:jc w:val="left"/>
        <w:spacing w:line="500" w:lineRule="exact"/>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 政府采购</w:t>
      </w:r>
      <w:r>
        <w:rPr>
          <w:rFonts w:hint="eastAsia" w:ascii="仿宋" w:hAnsi="仿宋" w:eastAsia="仿宋"/>
          <w:sz w:val="28"/>
          <w:szCs w:val="28"/>
          <w:lang w:val="en-US" w:eastAsia="zh-CN"/>
        </w:rPr>
        <w:t xml:space="preserve">入围</w:t>
      </w:r>
      <w:r>
        <w:rPr>
          <w:rFonts w:hint="eastAsia" w:ascii="仿宋" w:hAnsi="仿宋" w:eastAsia="仿宋"/>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lang w:eastAsia="zh-CN"/>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入围</w:t>
      </w:r>
      <w:r>
        <w:rPr>
          <w:rFonts w:hint="eastAsia" w:ascii="仿宋" w:hAnsi="仿宋" w:eastAsia="仿宋"/>
          <w:sz w:val="28"/>
          <w:szCs w:val="28"/>
        </w:rPr>
        <w:t xml:space="preserve">供应商如需获得合同信用融资支持，可凭政府采购合同办理“政采贷”融资贷款，详情请见南通市政府采购网 “易企服”综合服务平台-金融产品全周期-贷款产品专栏。</w:t>
      </w:r>
      <w:r/>
    </w:p>
    <w:p>
      <w:pPr>
        <w:ind w:firstLine="562"/>
        <w:pageBreakBefore w:val="0"/>
        <w:spacing w:line="520" w:lineRule="exact"/>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rPr>
        <w:t xml:space="preserve">）注意事项</w:t>
      </w:r>
      <w:r/>
    </w:p>
    <w:p>
      <w:pPr>
        <w:pStyle w:val="735"/>
        <w:ind w:firstLine="560"/>
        <w:keepLines w:val="0"/>
        <w:keepNext w:val="0"/>
        <w:pageBreakBefore w:val="0"/>
        <w:spacing w:line="480" w:lineRule="exact"/>
        <w:widowControl w:val="off"/>
        <w:rPr>
          <w:rFonts w:hint="eastAsia" w:ascii="宋体" w:hAnsi="宋体" w:eastAsia="宋体" w:cs="宋体"/>
          <w:b/>
          <w:bCs/>
          <w:color w:val="auto"/>
          <w:sz w:val="30"/>
          <w:szCs w:val="30"/>
          <w:highlight w:val="none"/>
        </w:rPr>
      </w:pPr>
      <w:r>
        <w:rPr>
          <w:rFonts w:hint="eastAsia" w:ascii="仿宋" w:hAnsi="仿宋" w:eastAsia="仿宋" w:cs="仿宋"/>
          <w:color w:val="auto"/>
          <w:sz w:val="28"/>
          <w:szCs w:val="28"/>
          <w:highlight w:val="none"/>
        </w:rPr>
        <w:t xml:space="preserve">供应商应依照规定提交各类声明函、承诺函等，不要求提供原件备查或有关部门出具的相关证明文件，但中标或成交供应商应做好提交声明函、承诺函等响应原件的核查准备，</w:t>
      </w:r>
      <w:r>
        <w:rPr>
          <w:rFonts w:hint="eastAsia" w:ascii="仿宋" w:hAnsi="仿宋" w:eastAsia="仿宋" w:cs="宋体"/>
          <w:sz w:val="28"/>
          <w:szCs w:val="28"/>
        </w:rPr>
        <w:t xml:space="preserve">核查后发现虚假或违背承诺的，依照相关法律法规规定处理。</w:t>
      </w:r>
      <w:r>
        <w:rPr>
          <w:rFonts w:hint="eastAsia" w:ascii="仿宋" w:hAnsi="仿宋" w:eastAsia="仿宋" w:cs="仿宋"/>
          <w:bCs/>
          <w:color w:val="auto"/>
          <w:sz w:val="32"/>
          <w:szCs w:val="32"/>
          <w:highlight w:val="none"/>
        </w:rPr>
        <w:br w:type="page" w:clear="all"/>
      </w:r>
      <w:bookmarkEnd w:id="106"/>
      <w:r/>
      <w:bookmarkEnd w:id="107"/>
      <w:r/>
      <w:bookmarkEnd w:id="108"/>
      <w:r/>
      <w:bookmarkEnd w:id="109"/>
      <w:r/>
      <w:bookmarkEnd w:id="110"/>
      <w:r/>
      <w:bookmarkEnd w:id="111"/>
      <w:r/>
      <w:bookmarkStart w:id="116" w:name="_Toc12513"/>
      <w:r/>
      <w:r/>
    </w:p>
    <w:p>
      <w:pPr>
        <w:pStyle w:val="899"/>
        <w:ind w:firstLine="0"/>
        <w:jc w:val="both"/>
        <w:spacing w:before="0" w:after="0" w:line="500" w:lineRule="exact"/>
        <w:rPr>
          <w:rFonts w:ascii="宋体" w:hAnsi="宋体" w:eastAsia="宋体" w:cs="宋体"/>
          <w:b/>
          <w:bCs/>
          <w:color w:val="auto"/>
          <w:sz w:val="30"/>
          <w:szCs w:val="30"/>
          <w:highlight w:val="none"/>
        </w:rPr>
        <w:outlineLvl w:val="1"/>
      </w:pPr>
      <w:r>
        <w:rPr>
          <w:rFonts w:hint="eastAsia" w:ascii="宋体" w:hAnsi="宋体" w:eastAsia="宋体" w:cs="宋体"/>
          <w:b/>
          <w:bCs/>
          <w:color w:val="auto"/>
          <w:sz w:val="30"/>
          <w:szCs w:val="30"/>
          <w:highlight w:val="none"/>
        </w:rPr>
        <w:t xml:space="preserve">附件1  框架协议文本</w:t>
      </w:r>
      <w:bookmarkEnd w:id="116"/>
      <w:r/>
      <w:r/>
    </w:p>
    <w:p>
      <w:pPr>
        <w:pStyle w:val="899"/>
        <w:ind w:firstLine="0"/>
        <w:jc w:val="center"/>
        <w:spacing w:before="0" w:after="0" w:line="500" w:lineRule="exact"/>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框架协议</w:t>
      </w:r>
      <w:r/>
    </w:p>
    <w:p>
      <w:pPr>
        <w:ind w:firstLine="480"/>
        <w:spacing w:line="500" w:lineRule="exact"/>
        <w:rPr>
          <w:rFonts w:ascii="仿宋" w:hAnsi="仿宋" w:eastAsia="仿宋" w:cs="仿宋"/>
          <w:color w:val="auto"/>
          <w:sz w:val="24"/>
          <w:highlight w:val="none"/>
        </w:rPr>
      </w:pPr>
      <w:r>
        <w:rPr>
          <w:rFonts w:hint="eastAsia" w:ascii="宋体" w:hAnsi="宋体" w:eastAsia="宋体" w:cs="宋体"/>
          <w:color w:val="auto"/>
          <w:sz w:val="24"/>
          <w:highlight w:val="none"/>
        </w:rPr>
        <w:t xml:space="preserve">征</w:t>
      </w:r>
      <w:r>
        <w:rPr>
          <w:rFonts w:hint="eastAsia" w:ascii="仿宋" w:hAnsi="仿宋" w:eastAsia="仿宋" w:cs="仿宋"/>
          <w:color w:val="auto"/>
          <w:sz w:val="24"/>
          <w:highlight w:val="none"/>
        </w:rPr>
        <w:t xml:space="preserve">集人名称（甲方）：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如皋市市场监督管理局</w:t>
      </w:r>
      <w:r>
        <w:rPr>
          <w:rFonts w:hint="eastAsia" w:ascii="仿宋" w:hAnsi="仿宋" w:eastAsia="仿宋" w:cs="仿宋"/>
          <w:color w:val="auto"/>
          <w:sz w:val="24"/>
          <w:highlight w:val="none"/>
          <w:u w:val="single"/>
        </w:rPr>
        <w:t xml:space="preserve">     </w:t>
      </w:r>
      <w:r/>
    </w:p>
    <w:p>
      <w:pPr>
        <w:ind w:firstLine="480"/>
        <w:spacing w:line="5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征集人地址：</w:t>
      </w:r>
      <w:r>
        <w:rPr>
          <w:rFonts w:hint="eastAsia" w:ascii="仿宋" w:hAnsi="仿宋" w:eastAsia="仿宋" w:cs="仿宋"/>
          <w:color w:val="auto"/>
          <w:sz w:val="24"/>
          <w:highlight w:val="none"/>
          <w:u w:val="single"/>
        </w:rPr>
        <w:t xml:space="preserve">                                   </w:t>
      </w:r>
      <w:r/>
    </w:p>
    <w:p>
      <w:pPr>
        <w:pStyle w:val="721"/>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征集人联系方式：</w:t>
      </w:r>
      <w:r>
        <w:rPr>
          <w:rFonts w:hint="eastAsia" w:ascii="仿宋" w:hAnsi="仿宋" w:eastAsia="仿宋" w:cs="仿宋"/>
          <w:color w:val="auto"/>
          <w:sz w:val="24"/>
          <w:szCs w:val="24"/>
          <w:highlight w:val="none"/>
          <w:u w:val="single"/>
        </w:rPr>
        <w:t xml:space="preserve">                               </w:t>
      </w:r>
      <w:r/>
    </w:p>
    <w:p>
      <w:pPr>
        <w:ind w:firstLine="480"/>
        <w:spacing w:line="5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入围供应商名称（乙方）：</w:t>
      </w:r>
      <w:r>
        <w:rPr>
          <w:rFonts w:hint="eastAsia" w:ascii="仿宋" w:hAnsi="仿宋" w:eastAsia="仿宋" w:cs="仿宋"/>
          <w:color w:val="auto"/>
          <w:sz w:val="24"/>
          <w:highlight w:val="none"/>
          <w:u w:val="single"/>
        </w:rPr>
        <w:t xml:space="preserve">                        </w:t>
      </w:r>
      <w:r/>
    </w:p>
    <w:p>
      <w:pPr>
        <w:ind w:firstLine="480"/>
        <w:spacing w:line="5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入围供应商地址：</w:t>
      </w:r>
      <w:r>
        <w:rPr>
          <w:rFonts w:hint="eastAsia" w:ascii="仿宋" w:hAnsi="仿宋" w:eastAsia="仿宋" w:cs="仿宋"/>
          <w:color w:val="auto"/>
          <w:sz w:val="24"/>
          <w:highlight w:val="none"/>
          <w:u w:val="single"/>
        </w:rPr>
        <w:t xml:space="preserve">                               </w:t>
      </w:r>
      <w:r/>
    </w:p>
    <w:p>
      <w:pPr>
        <w:pStyle w:val="721"/>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供应商联系方式：</w:t>
      </w:r>
      <w:r>
        <w:rPr>
          <w:rFonts w:hint="eastAsia" w:ascii="仿宋" w:hAnsi="仿宋" w:eastAsia="仿宋" w:cs="仿宋"/>
          <w:color w:val="auto"/>
          <w:sz w:val="24"/>
          <w:szCs w:val="24"/>
          <w:highlight w:val="none"/>
          <w:u w:val="single"/>
        </w:rPr>
        <w:t xml:space="preserve">                               </w:t>
      </w:r>
      <w:r/>
    </w:p>
    <w:p>
      <w:pPr>
        <w:jc w:val="center"/>
        <w:spacing w:line="50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签订时间：      年    月    日</w:t>
      </w:r>
      <w:r/>
    </w:p>
    <w:p>
      <w:pPr>
        <w:ind w:firstLine="480"/>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w:t>
      </w:r>
      <w:r>
        <w:rPr>
          <w:rFonts w:hint="eastAsia" w:ascii="仿宋" w:hAnsi="仿宋" w:eastAsia="仿宋" w:cs="仿宋"/>
          <w:color w:val="auto"/>
          <w:sz w:val="24"/>
          <w:highlight w:val="none"/>
          <w:lang w:eastAsia="zh-CN"/>
        </w:rPr>
        <w:t xml:space="preserve">2025年食品、食用农产品抽检项目</w:t>
      </w:r>
      <w:r>
        <w:rPr>
          <w:rFonts w:hint="eastAsia" w:ascii="仿宋" w:hAnsi="仿宋" w:eastAsia="仿宋" w:cs="仿宋"/>
          <w:color w:val="auto"/>
          <w:sz w:val="24"/>
          <w:highlight w:val="none"/>
        </w:rPr>
        <w:t xml:space="preserve">）委托（</w:t>
      </w:r>
      <w:r>
        <w:rPr>
          <w:rFonts w:hint="eastAsia" w:ascii="仿宋" w:hAnsi="仿宋" w:eastAsia="仿宋" w:cs="仿宋"/>
          <w:color w:val="auto"/>
          <w:sz w:val="24"/>
          <w:highlight w:val="none"/>
          <w:lang w:val="en-US" w:eastAsia="zh-CN"/>
        </w:rPr>
        <w:t xml:space="preserve">大洲设计咨询集团有限公司如皋分公司</w:t>
      </w:r>
      <w:r>
        <w:rPr>
          <w:rFonts w:hint="eastAsia" w:ascii="仿宋" w:hAnsi="仿宋" w:eastAsia="仿宋" w:cs="仿宋"/>
          <w:color w:val="auto"/>
          <w:sz w:val="24"/>
          <w:highlight w:val="none"/>
        </w:rPr>
        <w:t xml:space="preserve">）公开征集供应商。按照评审小组评审推荐，甲方确定乙方为入围单位。现甲乙双方协商同意签订本协议。</w:t>
      </w:r>
      <w:r/>
    </w:p>
    <w:p>
      <w:pPr>
        <w:pStyle w:val="740"/>
        <w:jc w:val="both"/>
        <w:spacing w:beforeAutospacing="0" w:afterAutospacing="0" w:line="500" w:lineRule="exact"/>
        <w:widowControl/>
        <w:rPr>
          <w:rFonts w:ascii="仿宋" w:hAnsi="仿宋" w:eastAsia="仿宋" w:cs="仿宋"/>
          <w:color w:val="auto"/>
          <w:highlight w:val="none"/>
          <w:u w:val="single"/>
          <w:shd w:val="clear" w:color="auto" w:fill="ffffff"/>
        </w:rPr>
      </w:pPr>
      <w:r>
        <w:rPr>
          <w:rFonts w:hint="eastAsia" w:ascii="仿宋" w:hAnsi="仿宋" w:eastAsia="仿宋" w:cs="仿宋"/>
          <w:color w:val="auto"/>
          <w:highlight w:val="none"/>
          <w:shd w:val="clear" w:color="auto" w:fill="ffffff"/>
        </w:rPr>
        <w:t xml:space="preserve">（一）采购项目名称</w:t>
      </w:r>
      <w:r>
        <w:rPr>
          <w:rFonts w:hint="eastAsia" w:ascii="仿宋" w:hAnsi="仿宋" w:eastAsia="仿宋" w:cs="仿宋"/>
          <w:color w:val="auto"/>
          <w:highlight w:val="none"/>
          <w:u w:val="single"/>
          <w:shd w:val="clear" w:color="auto" w:fill="ffffff"/>
        </w:rPr>
        <w:t xml:space="preserve">  </w:t>
      </w:r>
      <w:r>
        <w:rPr>
          <w:rFonts w:hint="eastAsia" w:ascii="仿宋" w:hAnsi="仿宋" w:eastAsia="仿宋" w:cs="仿宋"/>
          <w:color w:val="auto"/>
          <w:highlight w:val="none"/>
          <w:u w:val="single"/>
          <w:shd w:val="clear" w:color="auto" w:fill="ffffff"/>
          <w:lang w:eastAsia="zh-CN"/>
        </w:rPr>
        <w:t xml:space="preserve">2025年食品、食用农产品抽检项目</w:t>
      </w:r>
      <w:r>
        <w:rPr>
          <w:rFonts w:hint="eastAsia" w:ascii="仿宋" w:hAnsi="仿宋" w:eastAsia="仿宋" w:cs="仿宋"/>
          <w:color w:val="auto"/>
          <w:highlight w:val="none"/>
          <w:u w:val="single"/>
          <w:shd w:val="clear" w:color="auto" w:fill="ffffff"/>
        </w:rPr>
        <w:t xml:space="preserve">                        </w:t>
      </w:r>
      <w:r/>
    </w:p>
    <w:p>
      <w:pPr>
        <w:pStyle w:val="740"/>
        <w:ind w:firstLine="720"/>
        <w:jc w:val="both"/>
        <w:spacing w:beforeAutospacing="0" w:afterAutospacing="0" w:line="500" w:lineRule="exact"/>
        <w:widowControl/>
        <w:rPr>
          <w:rFonts w:ascii="仿宋" w:hAnsi="仿宋" w:eastAsia="仿宋" w:cs="仿宋"/>
          <w:color w:val="auto"/>
          <w:sz w:val="18"/>
          <w:szCs w:val="18"/>
          <w:highlight w:val="none"/>
        </w:rPr>
      </w:pPr>
      <w:r>
        <w:rPr>
          <w:rFonts w:hint="eastAsia" w:ascii="仿宋" w:hAnsi="仿宋" w:eastAsia="仿宋" w:cs="仿宋"/>
          <w:color w:val="auto"/>
          <w:highlight w:val="none"/>
          <w:shd w:val="clear" w:color="auto" w:fill="ffffff"/>
        </w:rPr>
        <w:t xml:space="preserve">编        号 </w:t>
      </w:r>
      <w:r>
        <w:rPr>
          <w:rFonts w:hint="eastAsia" w:ascii="仿宋" w:hAnsi="仿宋" w:eastAsia="仿宋" w:cs="仿宋"/>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xml:space="preserve">； </w:t>
      </w:r>
      <w:r/>
    </w:p>
    <w:p>
      <w:pPr>
        <w:pStyle w:val="740"/>
        <w:jc w:val="both"/>
        <w:spacing w:beforeAutospacing="0" w:afterAutospacing="0" w:line="500" w:lineRule="exact"/>
        <w:widowControl/>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（二）采购需求以及最高限制单价；</w:t>
      </w:r>
      <w:r/>
    </w:p>
    <w:p>
      <w:pPr>
        <w:ind w:firstLine="480"/>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根据南通市市场监督管理局要求，为确保完成全年任务，本项目用于2025年食品、食用农产品抽检，共计</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000批次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最高单价限价为人民币450元/批次</w:t>
      </w:r>
      <w:r>
        <w:rPr>
          <w:rFonts w:hint="eastAsia" w:ascii="仿宋" w:hAnsi="仿宋" w:eastAsia="仿宋" w:cs="仿宋"/>
          <w:color w:val="auto"/>
          <w:sz w:val="24"/>
          <w:highlight w:val="none"/>
          <w:lang w:eastAsia="zh-CN"/>
        </w:rPr>
        <w:t xml:space="preserve">。</w:t>
      </w:r>
      <w:r/>
    </w:p>
    <w:p>
      <w:pPr>
        <w:spacing w:line="50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（三）框架协议第一阶段的入围服务内容、服务标准，协议价格；</w:t>
      </w:r>
      <w:r/>
    </w:p>
    <w:p>
      <w:pPr>
        <w:pStyle w:val="74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（四）入围产品升级换代规则：</w:t>
      </w:r>
      <w:r/>
    </w:p>
    <w:p>
      <w:pPr>
        <w:pStyle w:val="740"/>
        <w:numPr>
          <w:ilvl w:val="0"/>
          <w:numId w:val="2"/>
        </w:numPr>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确定第二阶段成交供应商的方式：</w:t>
      </w:r>
      <w:r/>
    </w:p>
    <w:p>
      <w:pPr>
        <w:pStyle w:val="740"/>
        <w:numPr>
          <w:ilvl w:val="0"/>
          <w:numId w:val="2"/>
        </w:numPr>
        <w:jc w:val="both"/>
        <w:spacing w:beforeAutospacing="0" w:afterAutospacing="0" w:line="400" w:lineRule="exact"/>
        <w:widowControl/>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适用框架协议的采购人或者服务对象范围，以及履行合同的地域范围：</w:t>
      </w:r>
      <w:r/>
    </w:p>
    <w:p>
      <w:pPr>
        <w:pStyle w:val="740"/>
        <w:numPr>
          <w:ilvl w:val="0"/>
          <w:numId w:val="2"/>
        </w:numPr>
        <w:jc w:val="both"/>
        <w:spacing w:beforeAutospacing="0" w:afterAutospacing="0" w:line="400" w:lineRule="exact"/>
        <w:widowControl/>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资金支付方式、时间和条件； </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任务完成结算抽检费用，抽样检测费用为供应商成交单价*实际抽样检测批次数。</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根据现行税法对采购人征收的与本合同有关的一切税费均由采购人承担；根据现行税法对成交人征收的与本合同有关的一切税费均由成交人承担。每次支付前，成交人均应出具正式发票。</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（八）下列与本次采购活动有关的文件及附件是本协议不可分割的组成部分，与本协议具有同等法律效力，这些文件包括但不限于：</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1.（××号）采购文件；</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2.征集响应文件；</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3.乙方在参加征集采购活动时的书面承诺；</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4.（××号）入围通知书；</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5.协议补充条款或说明；</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6.保密协议或条款；</w:t>
      </w:r>
      <w:r/>
    </w:p>
    <w:p>
      <w:pPr>
        <w:ind w:firstLine="480"/>
        <w:spacing w:line="40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rPr>
        <w:t xml:space="preserve">7.相关附件、图纸及电子版资料。</w:t>
      </w:r>
      <w:r/>
    </w:p>
    <w:p>
      <w:pPr>
        <w:pStyle w:val="74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（九）框架协议期限；</w:t>
      </w:r>
      <w:r>
        <w:rPr>
          <w:rFonts w:hint="eastAsia" w:ascii="仿宋" w:hAnsi="仿宋" w:eastAsia="仿宋" w:cs="仿宋"/>
          <w:bCs/>
          <w:color w:val="auto"/>
          <w:highlight w:val="none"/>
        </w:rPr>
        <w:t xml:space="preserve">自框架协议签订后</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年，具体以采购人通知为准。</w:t>
      </w:r>
      <w:r>
        <w:rPr>
          <w:rFonts w:hint="eastAsia" w:ascii="仿宋" w:hAnsi="仿宋" w:eastAsia="仿宋" w:cs="仿宋"/>
          <w:color w:val="auto"/>
          <w:highlight w:val="none"/>
          <w:shd w:val="clear" w:color="auto" w:fill="ffffff"/>
        </w:rPr>
        <w:t xml:space="preserve"> </w:t>
      </w:r>
      <w:r/>
    </w:p>
    <w:p>
      <w:pPr>
        <w:pStyle w:val="740"/>
        <w:ind w:firstLine="480"/>
        <w:jc w:val="both"/>
        <w:spacing w:beforeAutospacing="0" w:afterAutospacing="0" w:line="400" w:lineRule="exact"/>
        <w:widowControl/>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（十一）入围供应商清退和补充规则；</w:t>
      </w:r>
      <w:r/>
    </w:p>
    <w:p>
      <w:pPr>
        <w:pStyle w:val="740"/>
        <w:ind w:firstLine="48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w:t>
      </w:r>
      <w:r>
        <w:rPr>
          <w:rFonts w:hint="eastAsia" w:ascii="仿宋" w:hAnsi="仿宋" w:eastAsia="仿宋" w:cs="仿宋"/>
          <w:color w:val="auto"/>
          <w:highlight w:val="none"/>
        </w:rPr>
        <w:t xml:space="preserve">1.除剩余入围供应商不足入围供应商总数70%且影响框架协议执行的情形外，框架协议有效期内，征集人不补充征集供应商。 </w:t>
      </w:r>
      <w:r/>
    </w:p>
    <w:p>
      <w:pPr>
        <w:pStyle w:val="740"/>
        <w:ind w:firstLine="48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2.征集人补充征集供应商的，补充征集的条件、程序、评审方法和淘汰比例应当与初次征集相同。补充征集应当遵守原框架协议的有效期。补充征集期间，原框架协议继续履行。</w:t>
      </w:r>
      <w:r/>
    </w:p>
    <w:p>
      <w:pPr>
        <w:pStyle w:val="740"/>
        <w:ind w:firstLine="48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3.出现以下情形之一，征集人有权清退入围供应商。</w:t>
      </w:r>
      <w:r/>
    </w:p>
    <w:p>
      <w:pPr>
        <w:pStyle w:val="740"/>
        <w:ind w:left="48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（1）框架协议期间内，入围供应商被</w:t>
      </w:r>
      <w:r/>
    </w:p>
    <w:p>
      <w:pPr>
        <w:pStyle w:val="740"/>
        <w:ind w:left="48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“信用中国”、“中国政府采购网”、“信用江苏”网站列入失信被执行人或重大税收违法案件当事人名单或政府采购严重失信行为记录名单；</w:t>
      </w:r>
      <w:r/>
    </w:p>
    <w:p>
      <w:pPr>
        <w:pStyle w:val="740"/>
        <w:ind w:left="48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（2）框架协议期间内入围供应商因自身经营问题，发生倒闭、注销、歇业的；</w:t>
      </w:r>
      <w:r/>
    </w:p>
    <w:p>
      <w:pPr>
        <w:pStyle w:val="740"/>
        <w:ind w:left="48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（3）框架协议期间内入围供应商联系测评不合格且拒不整改的。</w:t>
      </w:r>
      <w:r/>
    </w:p>
    <w:p>
      <w:pPr>
        <w:pStyle w:val="740"/>
        <w:numPr>
          <w:ilvl w:val="0"/>
          <w:numId w:val="3"/>
        </w:numPr>
        <w:jc w:val="both"/>
        <w:spacing w:beforeAutospacing="0" w:afterAutospacing="0" w:line="400" w:lineRule="exact"/>
        <w:widowControl/>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协议方的权利和义务; </w:t>
      </w:r>
      <w:r/>
    </w:p>
    <w:p>
      <w:pPr>
        <w:pStyle w:val="725"/>
        <w:ind w:firstLine="480"/>
        <w:spacing w:after="0" w:line="400" w:lineRule="exact"/>
        <w:tabs>
          <w:tab w:val="left" w:pos="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保证服务期间，按照征集文件要求提供服务，并主动接受征集人对服务过程的监督与考核。严格执行收费标准，没有甲方事先同意，乙方不得将甲方资料提供给与履行本合同无关的任何其他人。即使向履行本合同有关的人员提供，也应注意保密并限于履行合同的必需范围内。</w:t>
      </w:r>
      <w:r/>
    </w:p>
    <w:p>
      <w:pPr>
        <w:pStyle w:val="740"/>
        <w:ind w:firstLine="48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pStyle w:val="740"/>
        <w:ind w:firstLine="48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3.甲方在征集文件规定的时间、条件下支付服务费用，并为乙方的服务提供必要资料及其技术指导。</w:t>
      </w:r>
      <w:r/>
    </w:p>
    <w:p>
      <w:pPr>
        <w:pStyle w:val="740"/>
        <w:ind w:firstLine="480"/>
        <w:jc w:val="both"/>
        <w:spacing w:beforeAutospacing="0" w:afterAutospacing="0" w:line="400" w:lineRule="exact"/>
        <w:widowControl/>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（十三）需要约定的其他事项。 </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本协议一式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份，甲、乙双方各执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w:t>
      </w:r>
      <w:r/>
    </w:p>
    <w:p>
      <w:pPr>
        <w:rPr>
          <w:rFonts w:ascii="仿宋" w:eastAsia="仿宋"/>
          <w:bCs/>
          <w:color w:val="auto"/>
          <w:sz w:val="32"/>
          <w:szCs w:val="32"/>
          <w:highlight w:val="none"/>
        </w:rPr>
      </w:pPr>
      <w:r>
        <w:rPr>
          <w:rFonts w:ascii="仿宋" w:eastAsia="仿宋"/>
          <w:bCs/>
          <w:color w:val="auto"/>
          <w:sz w:val="32"/>
          <w:szCs w:val="32"/>
          <w:highlight w:val="none"/>
        </w:rPr>
        <w:br w:type="page" w:clear="all"/>
      </w:r>
      <w:r/>
    </w:p>
    <w:p>
      <w:pPr>
        <w:pStyle w:val="899"/>
        <w:ind w:firstLine="0"/>
        <w:jc w:val="both"/>
        <w:spacing w:before="0" w:after="0" w:line="500" w:lineRule="exact"/>
        <w:rPr>
          <w:rFonts w:ascii="宋体" w:hAnsi="宋体" w:eastAsia="宋体" w:cs="宋体"/>
          <w:bCs/>
          <w:color w:val="auto"/>
          <w:sz w:val="32"/>
          <w:szCs w:val="32"/>
          <w:highlight w:val="none"/>
        </w:rPr>
        <w:outlineLvl w:val="1"/>
      </w:pPr>
      <w:r/>
      <w:bookmarkStart w:id="117" w:name="_Toc22518"/>
      <w:r>
        <w:rPr>
          <w:rFonts w:hint="eastAsia" w:ascii="宋体" w:hAnsi="宋体" w:eastAsia="宋体" w:cs="宋体"/>
          <w:bCs/>
          <w:color w:val="auto"/>
          <w:sz w:val="32"/>
          <w:szCs w:val="32"/>
          <w:highlight w:val="none"/>
        </w:rPr>
        <w:t xml:space="preserve">附件</w:t>
      </w:r>
      <w:bookmarkStart w:id="118" w:name="_Toc29053"/>
      <w:r/>
      <w:bookmarkStart w:id="119" w:name="_Toc23215"/>
      <w:r/>
      <w:bookmarkStart w:id="120" w:name="_Toc12908"/>
      <w:r/>
      <w:bookmarkStart w:id="121" w:name="_Toc1209"/>
      <w:r>
        <w:rPr>
          <w:rFonts w:hint="eastAsia" w:ascii="宋体" w:hAnsi="宋体" w:eastAsia="宋体" w:cs="宋体"/>
          <w:bCs/>
          <w:color w:val="auto"/>
          <w:sz w:val="32"/>
          <w:szCs w:val="32"/>
          <w:highlight w:val="none"/>
        </w:rPr>
        <w:t xml:space="preserve">2  合同范本</w:t>
      </w:r>
      <w:bookmarkEnd w:id="117"/>
      <w:r/>
      <w:bookmarkEnd w:id="118"/>
      <w:r/>
      <w:bookmarkEnd w:id="119"/>
      <w:r/>
      <w:bookmarkEnd w:id="120"/>
      <w:r/>
      <w:bookmarkEnd w:id="121"/>
      <w:r/>
      <w:r/>
    </w:p>
    <w:p>
      <w:pPr>
        <w:jc w:val="center"/>
        <w:spacing w:line="500" w:lineRule="exact"/>
        <w:widowControl/>
        <w:rPr>
          <w:rFonts w:ascii="宋体" w:hAnsi="宋体" w:eastAsia="宋体" w:cs="宋体"/>
          <w:b/>
          <w:bCs/>
          <w:color w:val="auto"/>
          <w:sz w:val="32"/>
          <w:szCs w:val="32"/>
          <w:highlight w:val="none"/>
        </w:rPr>
      </w:pPr>
      <w:r/>
      <w:bookmarkStart w:id="122" w:name="_Toc6085"/>
      <w:r/>
      <w:bookmarkStart w:id="123" w:name="_Toc32193"/>
      <w:r>
        <w:rPr>
          <w:rFonts w:hint="eastAsia" w:ascii="宋体" w:hAnsi="宋体" w:eastAsia="宋体" w:cs="宋体"/>
          <w:b/>
          <w:bCs/>
          <w:color w:val="auto"/>
          <w:sz w:val="32"/>
          <w:szCs w:val="32"/>
          <w:highlight w:val="none"/>
        </w:rPr>
        <w:t xml:space="preserve">如皋市政府采购合同</w:t>
      </w:r>
      <w:bookmarkEnd w:id="122"/>
      <w:r/>
      <w:bookmarkEnd w:id="123"/>
      <w:r/>
      <w:r/>
    </w:p>
    <w:p>
      <w:pPr>
        <w:ind w:firstLine="640"/>
        <w:spacing w:line="50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项目名称：</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u w:val="single"/>
          <w:lang w:eastAsia="zh-CN"/>
        </w:rPr>
        <w:t xml:space="preserve">202</w:t>
      </w:r>
      <w:r>
        <w:rPr>
          <w:rFonts w:hint="eastAsia" w:ascii="仿宋" w:hAnsi="仿宋" w:eastAsia="仿宋" w:cs="仿宋"/>
          <w:color w:val="auto"/>
          <w:sz w:val="32"/>
          <w:szCs w:val="32"/>
          <w:highlight w:val="none"/>
          <w:u w:val="single"/>
          <w:lang w:val="en-US" w:eastAsia="zh-CN"/>
        </w:rPr>
        <w:t xml:space="preserve">5</w:t>
      </w:r>
      <w:r>
        <w:rPr>
          <w:rFonts w:hint="eastAsia" w:ascii="仿宋" w:hAnsi="仿宋" w:eastAsia="仿宋" w:cs="仿宋"/>
          <w:color w:val="auto"/>
          <w:sz w:val="32"/>
          <w:szCs w:val="32"/>
          <w:highlight w:val="none"/>
          <w:u w:val="single"/>
          <w:lang w:eastAsia="zh-CN"/>
        </w:rPr>
        <w:t xml:space="preserve">年食品、食用农产品抽检项目</w:t>
      </w:r>
      <w:r>
        <w:rPr>
          <w:rFonts w:hint="eastAsia" w:ascii="仿宋" w:hAnsi="仿宋" w:eastAsia="仿宋" w:cs="仿宋"/>
          <w:color w:val="auto"/>
          <w:sz w:val="32"/>
          <w:szCs w:val="32"/>
          <w:highlight w:val="none"/>
          <w:u w:val="single"/>
        </w:rPr>
        <w:t xml:space="preserve">                                  </w:t>
      </w:r>
      <w:r/>
    </w:p>
    <w:p>
      <w:pPr>
        <w:ind w:firstLine="640"/>
        <w:spacing w:line="500" w:lineRule="exact"/>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计划编号：</w:t>
      </w:r>
      <w:r>
        <w:rPr>
          <w:rFonts w:hint="eastAsia" w:ascii="仿宋" w:hAnsi="仿宋" w:eastAsia="仿宋" w:cs="仿宋"/>
          <w:color w:val="auto"/>
          <w:sz w:val="32"/>
          <w:szCs w:val="32"/>
          <w:highlight w:val="none"/>
          <w:u w:val="single"/>
        </w:rPr>
        <w:t xml:space="preserve">                                   </w:t>
      </w:r>
      <w:r/>
    </w:p>
    <w:p>
      <w:pPr>
        <w:ind w:firstLine="640"/>
        <w:spacing w:line="500" w:lineRule="exact"/>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甲方：</w:t>
      </w:r>
      <w:r>
        <w:rPr>
          <w:rFonts w:hint="eastAsia" w:ascii="仿宋" w:hAnsi="仿宋" w:eastAsia="仿宋" w:cs="仿宋"/>
          <w:color w:val="auto"/>
          <w:sz w:val="32"/>
          <w:szCs w:val="32"/>
          <w:highlight w:val="none"/>
          <w:u w:val="single"/>
        </w:rPr>
        <w:t xml:space="preserve"> 如皋市市场监督管理局                                      </w:t>
      </w:r>
      <w:r/>
    </w:p>
    <w:p>
      <w:pPr>
        <w:ind w:firstLine="640"/>
        <w:spacing w:line="50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乙方：</w:t>
      </w:r>
      <w:r>
        <w:rPr>
          <w:rFonts w:hint="eastAsia" w:ascii="仿宋" w:hAnsi="仿宋" w:eastAsia="仿宋" w:cs="仿宋"/>
          <w:color w:val="auto"/>
          <w:sz w:val="32"/>
          <w:szCs w:val="32"/>
          <w:highlight w:val="none"/>
          <w:u w:val="single"/>
        </w:rPr>
        <w:t xml:space="preserve">                                       </w:t>
      </w:r>
      <w:r/>
    </w:p>
    <w:p>
      <w:pPr>
        <w:spacing w:line="50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280" w:lineRule="exact"/>
        <w:rPr>
          <w:rFonts w:ascii="仿宋" w:hAnsi="仿宋" w:eastAsia="仿宋" w:cs="仿宋"/>
          <w:color w:val="auto"/>
          <w:sz w:val="32"/>
          <w:szCs w:val="32"/>
          <w:highlight w:val="none"/>
        </w:rPr>
      </w:pPr>
      <w:r/>
      <w:bookmarkStart w:id="124" w:name="_Toc14299"/>
      <w:r/>
      <w:bookmarkStart w:id="125" w:name="_Toc13314"/>
      <w:r>
        <w:rPr>
          <w:rFonts w:hint="eastAsia" w:ascii="仿宋" w:hAnsi="仿宋" w:eastAsia="仿宋" w:cs="仿宋"/>
          <w:color w:val="auto"/>
          <w:sz w:val="32"/>
          <w:szCs w:val="32"/>
          <w:highlight w:val="none"/>
        </w:rPr>
        <w:t xml:space="preserve">签订时间：      年    月    日</w:t>
      </w:r>
      <w:bookmarkEnd w:id="124"/>
      <w:r/>
      <w:bookmarkEnd w:id="125"/>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（甲方）（××项目）委托（代理机构名称，如有）进行了政府采购。按照评委会评审推荐、甲方确定乙方为成交单位。现甲乙双方协商同意签订本合同。</w:t>
      </w:r>
      <w:r/>
    </w:p>
    <w:p>
      <w:pPr>
        <w:numPr>
          <w:ilvl w:val="0"/>
          <w:numId w:val="4"/>
        </w:numPr>
        <w:ind w:left="0" w:firstLine="482"/>
        <w:spacing w:line="280" w:lineRule="exact"/>
        <w:tabs>
          <w:tab w:val="left" w:pos="0" w:leader="none"/>
          <w:tab w:val="clear" w:pos="720" w:leader="none"/>
        </w:tabs>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 </w:t>
      </w:r>
      <w:bookmarkStart w:id="126" w:name="_Toc12135"/>
      <w:r/>
      <w:bookmarkStart w:id="127" w:name="_Toc7284"/>
      <w:r>
        <w:rPr>
          <w:rFonts w:hint="eastAsia" w:ascii="仿宋" w:hAnsi="仿宋" w:eastAsia="仿宋" w:cs="仿宋"/>
          <w:b/>
          <w:color w:val="auto"/>
          <w:sz w:val="24"/>
          <w:highlight w:val="none"/>
        </w:rPr>
        <w:t xml:space="preserve">合同文件</w:t>
      </w:r>
      <w:bookmarkEnd w:id="126"/>
      <w:r/>
      <w:bookmarkEnd w:id="127"/>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下列与本次采购活动有关的文件及附件是本合同不可分割的组成部分，与本合同具有同等法律效力，这些文件包括但不限于：</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1.（××号）采购文件；</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2.竞争性谈判响应文件；</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3.乙方在参加采购活动时的书面承诺；</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4.（××号）成交（成交）通知书；</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5.合同补充条款或说明；</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6.保密协议或条款；</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7.相关附件、图纸及电子版资料。</w:t>
      </w:r>
      <w:r/>
    </w:p>
    <w:p>
      <w:pPr>
        <w:ind w:left="482"/>
        <w:spacing w:line="280" w:lineRule="exact"/>
        <w:rPr>
          <w:rFonts w:ascii="仿宋" w:hAnsi="仿宋" w:eastAsia="仿宋" w:cs="仿宋"/>
          <w:b/>
          <w:color w:val="auto"/>
          <w:sz w:val="24"/>
          <w:highlight w:val="none"/>
        </w:rPr>
      </w:pPr>
      <w:r/>
      <w:bookmarkStart w:id="128" w:name="_Toc76"/>
      <w:r/>
      <w:bookmarkStart w:id="129" w:name="_Toc15408"/>
      <w:r>
        <w:rPr>
          <w:rFonts w:hint="eastAsia" w:ascii="仿宋" w:hAnsi="仿宋" w:eastAsia="仿宋" w:cs="仿宋"/>
          <w:b/>
          <w:color w:val="auto"/>
          <w:sz w:val="24"/>
          <w:highlight w:val="none"/>
        </w:rPr>
        <w:t xml:space="preserve">第二条  合同内容</w:t>
      </w:r>
      <w:bookmarkEnd w:id="128"/>
      <w:r/>
      <w:bookmarkEnd w:id="129"/>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服务名称：详见合同附件中《服务一览表》  </w:t>
      </w:r>
      <w:r/>
    </w:p>
    <w:p>
      <w:pPr>
        <w:ind w:left="482"/>
        <w:spacing w:line="280" w:lineRule="exact"/>
        <w:rPr>
          <w:rFonts w:ascii="仿宋" w:hAnsi="仿宋" w:eastAsia="仿宋" w:cs="仿宋"/>
          <w:b/>
          <w:color w:val="auto"/>
          <w:sz w:val="24"/>
          <w:highlight w:val="none"/>
        </w:rPr>
      </w:pPr>
      <w:r/>
      <w:bookmarkStart w:id="130" w:name="_Toc19608"/>
      <w:r/>
      <w:bookmarkStart w:id="131" w:name="_Toc16208"/>
      <w:r>
        <w:rPr>
          <w:rFonts w:hint="eastAsia" w:ascii="仿宋" w:hAnsi="仿宋" w:eastAsia="仿宋" w:cs="仿宋"/>
          <w:b/>
          <w:color w:val="auto"/>
          <w:sz w:val="24"/>
          <w:highlight w:val="none"/>
        </w:rPr>
        <w:t xml:space="preserve">第三条  合同总金额</w:t>
      </w:r>
      <w:bookmarkEnd w:id="130"/>
      <w:r/>
      <w:bookmarkEnd w:id="131"/>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本合同服务总金额：￥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分项价款在《服务一览表》中有明确规定。</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本合同总价款包括服务期间必须的日常易耗品、工具、调试费、培训费等相关费用。</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本合同执行期内因工作量变化而引起的服务费用的变动，在双方事先协商一致的前提下签订补充合同，但因此而增加的服务费用不得超过原成交金额的10%。</w:t>
      </w:r>
      <w:r/>
    </w:p>
    <w:p>
      <w:pPr>
        <w:ind w:left="482"/>
        <w:spacing w:line="280" w:lineRule="exact"/>
        <w:rPr>
          <w:rFonts w:ascii="仿宋" w:hAnsi="仿宋" w:eastAsia="仿宋" w:cs="仿宋"/>
          <w:b/>
          <w:color w:val="auto"/>
          <w:sz w:val="24"/>
          <w:highlight w:val="none"/>
        </w:rPr>
      </w:pPr>
      <w:r/>
      <w:bookmarkStart w:id="132" w:name="_Toc9292"/>
      <w:r/>
      <w:bookmarkStart w:id="133" w:name="_Toc7171"/>
      <w:r>
        <w:rPr>
          <w:rFonts w:hint="eastAsia" w:ascii="仿宋" w:hAnsi="仿宋" w:eastAsia="仿宋" w:cs="仿宋"/>
          <w:b/>
          <w:color w:val="auto"/>
          <w:sz w:val="24"/>
          <w:highlight w:val="none"/>
        </w:rPr>
        <w:t xml:space="preserve">第四条  权利义务和质量保证</w:t>
      </w:r>
      <w:bookmarkEnd w:id="132"/>
      <w:r/>
      <w:bookmarkEnd w:id="133"/>
      <w:r/>
      <w:r/>
    </w:p>
    <w:p>
      <w:pPr>
        <w:pStyle w:val="725"/>
        <w:ind w:firstLine="480"/>
        <w:spacing w:after="0" w:line="280" w:lineRule="exact"/>
        <w:tabs>
          <w:tab w:val="left" w:pos="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725"/>
        <w:ind w:firstLine="480"/>
        <w:spacing w:after="0" w:line="2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482"/>
        <w:spacing w:line="280" w:lineRule="exact"/>
        <w:rPr>
          <w:rFonts w:ascii="仿宋" w:hAnsi="仿宋" w:eastAsia="仿宋" w:cs="仿宋"/>
          <w:b/>
          <w:color w:val="auto"/>
          <w:sz w:val="24"/>
          <w:highlight w:val="none"/>
        </w:rPr>
      </w:pPr>
      <w:r/>
      <w:bookmarkStart w:id="134" w:name="_Toc10794"/>
      <w:r/>
      <w:bookmarkStart w:id="135" w:name="_Toc32010"/>
      <w:r>
        <w:rPr>
          <w:rFonts w:hint="eastAsia" w:ascii="仿宋" w:hAnsi="仿宋" w:eastAsia="仿宋" w:cs="仿宋"/>
          <w:b/>
          <w:color w:val="auto"/>
          <w:sz w:val="24"/>
          <w:highlight w:val="none"/>
        </w:rPr>
        <w:t xml:space="preserve">第五条  付款方式</w:t>
      </w:r>
      <w:bookmarkEnd w:id="134"/>
      <w:r/>
      <w:bookmarkEnd w:id="135"/>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1.本合同项下所有款项均以人民币支付。</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2.乙方向甲方提交下列文件材料，经甲方审核无误后支付采购资金：</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（1）经甲方确认的发票；</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（2）经甲乙双方确认签订的《验收报告》（或按项目进度阶段性《验收报告》）；</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（3）其他材料。</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3.款项的支付进度以采购文件的有关规定为准。</w:t>
      </w:r>
      <w:r/>
    </w:p>
    <w:p>
      <w:pPr>
        <w:ind w:left="482"/>
        <w:spacing w:line="280" w:lineRule="exact"/>
        <w:rPr>
          <w:rFonts w:ascii="仿宋" w:hAnsi="仿宋" w:eastAsia="仿宋" w:cs="仿宋"/>
          <w:b/>
          <w:color w:val="auto"/>
          <w:sz w:val="24"/>
          <w:highlight w:val="none"/>
        </w:rPr>
      </w:pPr>
      <w:r/>
      <w:bookmarkStart w:id="136" w:name="_Toc17650"/>
      <w:r/>
      <w:bookmarkStart w:id="137" w:name="_Toc11308"/>
      <w:r>
        <w:rPr>
          <w:rFonts w:hint="eastAsia" w:ascii="仿宋" w:hAnsi="仿宋" w:eastAsia="仿宋" w:cs="仿宋"/>
          <w:b/>
          <w:color w:val="auto"/>
          <w:sz w:val="24"/>
          <w:highlight w:val="none"/>
        </w:rPr>
        <w:t xml:space="preserve">第六条  验收</w:t>
      </w:r>
      <w:bookmarkEnd w:id="136"/>
      <w:r/>
      <w:bookmarkEnd w:id="137"/>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1.服务期限：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至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72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服务地点：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720"/>
        <w:spacing w:line="28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验收时间：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72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验收地点：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pStyle w:val="725"/>
        <w:ind w:firstLine="480"/>
        <w:spacing w:after="0" w:line="280" w:lineRule="exact"/>
        <w:tabs>
          <w:tab w:val="left" w:pos="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乙方应对提供的服务成果作出全面自查和整理，并列出清单，作为甲方验收和使用的服务条件依据，清单应随提供的服务成果交给甲方。</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firstLine="482"/>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4.甲方可以视项目规模或复杂情况聘请专业人员参与验收，大型或复杂项目，以及涉及专业服务内容的应当邀请国家认可的第三方质量检测机构参与验收。</w:t>
      </w:r>
      <w:r/>
    </w:p>
    <w:p>
      <w:pPr>
        <w:ind w:firstLine="482"/>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5.如项目实施情况需要分阶段验收，则根据实际情况分阶段出具《履约验收报告》。</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6.如果合同双方对《履约验收报告》有分歧，双方须于出现分歧后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天内给对方书面声明，以陈述己方的理由及要求，并附有关证据。分歧应通过协商解决。</w:t>
      </w:r>
      <w:r/>
    </w:p>
    <w:p>
      <w:pPr>
        <w:ind w:left="482"/>
        <w:spacing w:line="280" w:lineRule="exact"/>
        <w:rPr>
          <w:rFonts w:ascii="仿宋" w:hAnsi="仿宋" w:eastAsia="仿宋" w:cs="仿宋"/>
          <w:b/>
          <w:color w:val="auto"/>
          <w:sz w:val="24"/>
          <w:highlight w:val="none"/>
        </w:rPr>
      </w:pPr>
      <w:r/>
      <w:bookmarkStart w:id="138" w:name="_Toc19313"/>
      <w:r/>
      <w:bookmarkStart w:id="139" w:name="_Toc4847"/>
      <w:r>
        <w:rPr>
          <w:rFonts w:hint="eastAsia" w:ascii="仿宋" w:hAnsi="仿宋" w:eastAsia="仿宋" w:cs="仿宋"/>
          <w:b/>
          <w:color w:val="auto"/>
          <w:sz w:val="24"/>
          <w:highlight w:val="none"/>
        </w:rPr>
        <w:t xml:space="preserve">第七条  项目管理服务</w:t>
      </w:r>
      <w:bookmarkEnd w:id="138"/>
      <w:r/>
      <w:bookmarkEnd w:id="139"/>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乙方要指定不少于一人全权全程负责本项目服务的落实，包括服务的咨询、执行和后续工作。</w:t>
      </w:r>
      <w:r/>
    </w:p>
    <w:p>
      <w:pPr>
        <w:ind w:firstLine="481"/>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项目负责人姓名：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72"/>
        <w:spacing w:line="280" w:lineRule="exact"/>
        <w:rPr>
          <w:rFonts w:ascii="仿宋" w:hAnsi="仿宋" w:eastAsia="仿宋" w:cs="仿宋"/>
          <w:b/>
          <w:color w:val="auto"/>
          <w:sz w:val="24"/>
          <w:highlight w:val="none"/>
        </w:rPr>
      </w:pPr>
      <w:r/>
      <w:bookmarkStart w:id="140" w:name="_Toc32667"/>
      <w:r>
        <w:rPr>
          <w:rFonts w:hint="eastAsia" w:ascii="仿宋" w:hAnsi="仿宋" w:eastAsia="仿宋" w:cs="仿宋"/>
          <w:b/>
          <w:color w:val="auto"/>
          <w:sz w:val="24"/>
          <w:highlight w:val="none"/>
        </w:rPr>
        <w:t xml:space="preserve">第八条  售后服务</w:t>
      </w:r>
      <w:bookmarkEnd w:id="140"/>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1.乙方提供服务的质量保证期为自服务通过最终验收起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个月。若国家有明确规定的质量保证期高于此质量保证期的，执行国家规定。</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2.服务期内，乙方应提供相关服务支持。对甲方所反映的任何服务问题在</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日（小时）之内做出及时响应，在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日（小时）之内赶到现场实地解决问题。若问题在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工作日（小时）后仍无法解决，乙方应在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日（小时）内免费提供服务的补偿、替换方案，直至服务恢复正常。</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3.乙方必须遵守甲方的有关管理制度、操作规程。对于乙方违规操作造成甲方损失的，由乙方按照本合同第十二条的约定承担赔偿责任。</w:t>
      </w:r>
      <w:r/>
    </w:p>
    <w:p>
      <w:pPr>
        <w:ind w:left="482"/>
        <w:spacing w:line="280" w:lineRule="exact"/>
        <w:rPr>
          <w:rFonts w:ascii="仿宋" w:hAnsi="仿宋" w:eastAsia="仿宋" w:cs="仿宋"/>
          <w:b/>
          <w:color w:val="auto"/>
          <w:sz w:val="24"/>
          <w:highlight w:val="none"/>
        </w:rPr>
      </w:pPr>
      <w:r/>
      <w:bookmarkStart w:id="141" w:name="_Toc25881"/>
      <w:r/>
      <w:bookmarkStart w:id="142" w:name="_Toc11830"/>
      <w:r>
        <w:rPr>
          <w:rFonts w:hint="eastAsia" w:ascii="仿宋" w:hAnsi="仿宋" w:eastAsia="仿宋" w:cs="仿宋"/>
          <w:b/>
          <w:color w:val="auto"/>
          <w:sz w:val="24"/>
          <w:highlight w:val="none"/>
        </w:rPr>
        <w:t xml:space="preserve">第十条  分包</w:t>
      </w:r>
      <w:bookmarkEnd w:id="141"/>
      <w:r/>
      <w:bookmarkEnd w:id="142"/>
      <w:r/>
      <w:r/>
    </w:p>
    <w:p>
      <w:pPr>
        <w:ind w:firstLine="480"/>
        <w:spacing w:line="280" w:lineRule="exact"/>
        <w:rPr>
          <w:rFonts w:ascii="仿宋" w:hAnsi="仿宋" w:eastAsia="仿宋" w:cs="仿宋"/>
          <w:strike/>
          <w:color w:val="auto"/>
          <w:sz w:val="24"/>
          <w:highlight w:val="none"/>
        </w:rPr>
      </w:pPr>
      <w:r>
        <w:rPr>
          <w:rFonts w:hint="eastAsia" w:ascii="仿宋" w:hAnsi="仿宋" w:eastAsia="仿宋" w:cs="仿宋"/>
          <w:color w:val="auto"/>
          <w:sz w:val="24"/>
          <w:highlight w:val="none"/>
        </w:rPr>
        <w:t xml:space="preserve">除采购文件事先说明、且经甲方事先书面同意外，乙方不得分包、转包其应履行的合同义务。</w:t>
      </w:r>
      <w:r/>
    </w:p>
    <w:p>
      <w:pPr>
        <w:ind w:firstLine="482"/>
        <w:spacing w:line="280" w:lineRule="exact"/>
        <w:rPr>
          <w:rFonts w:ascii="仿宋" w:hAnsi="仿宋" w:eastAsia="仿宋" w:cs="仿宋"/>
          <w:b/>
          <w:color w:val="auto"/>
          <w:sz w:val="24"/>
          <w:highlight w:val="none"/>
        </w:rPr>
      </w:pPr>
      <w:r/>
      <w:bookmarkStart w:id="143" w:name="_Toc16859"/>
      <w:r/>
      <w:bookmarkStart w:id="144" w:name="_Toc25550"/>
      <w:r>
        <w:rPr>
          <w:rFonts w:hint="eastAsia" w:ascii="仿宋" w:hAnsi="仿宋" w:eastAsia="仿宋" w:cs="仿宋"/>
          <w:b/>
          <w:color w:val="auto"/>
          <w:sz w:val="24"/>
          <w:highlight w:val="none"/>
        </w:rPr>
        <w:t xml:space="preserve">第十一条  合同的生效</w:t>
      </w:r>
      <w:bookmarkEnd w:id="143"/>
      <w:r/>
      <w:bookmarkEnd w:id="144"/>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1.本合同经甲乙双方授权代表签字并加盖公章或合同专用章后生效。</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2.生效后，除《政府采购法》第49条、第50条第二款规定的情形外，甲乙双方不得擅自变更、中止或终止合同。</w:t>
      </w:r>
      <w:r/>
    </w:p>
    <w:p>
      <w:pPr>
        <w:ind w:left="482"/>
        <w:spacing w:line="280" w:lineRule="exact"/>
        <w:rPr>
          <w:rFonts w:ascii="仿宋" w:hAnsi="仿宋" w:eastAsia="仿宋" w:cs="仿宋"/>
          <w:b/>
          <w:color w:val="auto"/>
          <w:sz w:val="24"/>
          <w:highlight w:val="none"/>
        </w:rPr>
      </w:pPr>
      <w:r/>
      <w:bookmarkStart w:id="145" w:name="_Toc1301"/>
      <w:r/>
      <w:bookmarkStart w:id="146" w:name="_Toc26191"/>
      <w:r>
        <w:rPr>
          <w:rFonts w:hint="eastAsia" w:ascii="仿宋" w:hAnsi="仿宋" w:eastAsia="仿宋" w:cs="仿宋"/>
          <w:b/>
          <w:color w:val="auto"/>
          <w:sz w:val="24"/>
          <w:highlight w:val="none"/>
        </w:rPr>
        <w:t xml:space="preserve">第十二条  违约责任</w:t>
      </w:r>
      <w:bookmarkEnd w:id="145"/>
      <w:r/>
      <w:bookmarkEnd w:id="146"/>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1.乙方所提供的服务成果不符合本合同规定的，甲方有权拒收，乙方在得到甲方通知之日起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％的违约金。</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2.甲方无正当理由拒绝接收服务，甲方应向乙方偿付拒付服务费用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％的违约金。</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3.乙方无正当理由逾期提供服务的，每逾期1天，乙方向甲方偿付合同总额的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‰的违约金。如乙方逾期达</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4.甲方未按合同规定的期限向乙方支付合同款的，每逾期1天甲方向乙方偿付欠款总额的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‰违约金，但累计违约金总额不超过欠款总额的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5.其它未尽事宜，以《合同法》和《政府采购法》等有关法律法规规定为准，无相关规定的，双方协商解决。</w:t>
      </w:r>
      <w:r/>
    </w:p>
    <w:p>
      <w:pPr>
        <w:ind w:left="482"/>
        <w:spacing w:line="280" w:lineRule="exact"/>
        <w:rPr>
          <w:rFonts w:ascii="仿宋" w:hAnsi="仿宋" w:eastAsia="仿宋" w:cs="仿宋"/>
          <w:b/>
          <w:color w:val="auto"/>
          <w:sz w:val="24"/>
          <w:highlight w:val="none"/>
        </w:rPr>
      </w:pPr>
      <w:r/>
      <w:bookmarkStart w:id="147" w:name="_Toc15289"/>
      <w:r/>
      <w:bookmarkStart w:id="148" w:name="_Toc2111"/>
      <w:r>
        <w:rPr>
          <w:rFonts w:hint="eastAsia" w:ascii="仿宋" w:hAnsi="仿宋" w:eastAsia="仿宋" w:cs="仿宋"/>
          <w:b/>
          <w:color w:val="auto"/>
          <w:sz w:val="24"/>
          <w:highlight w:val="none"/>
        </w:rPr>
        <w:t xml:space="preserve">第十三条  不可抗力</w:t>
      </w:r>
      <w:bookmarkEnd w:id="147"/>
      <w:r/>
      <w:bookmarkEnd w:id="148"/>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甲、乙方中任何一方，因不可抗力不能按时或完全履行合同的，应及时通知对方，并在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left="482"/>
        <w:spacing w:line="280" w:lineRule="exact"/>
        <w:rPr>
          <w:rFonts w:ascii="仿宋" w:hAnsi="仿宋" w:eastAsia="仿宋" w:cs="仿宋"/>
          <w:b/>
          <w:color w:val="auto"/>
          <w:sz w:val="24"/>
          <w:highlight w:val="none"/>
        </w:rPr>
      </w:pPr>
      <w:r/>
      <w:bookmarkStart w:id="149" w:name="_Toc19511"/>
      <w:r/>
      <w:bookmarkStart w:id="150" w:name="_Toc4187"/>
      <w:r>
        <w:rPr>
          <w:rFonts w:hint="eastAsia" w:ascii="仿宋" w:hAnsi="仿宋" w:eastAsia="仿宋" w:cs="仿宋"/>
          <w:b/>
          <w:color w:val="auto"/>
          <w:sz w:val="24"/>
          <w:highlight w:val="none"/>
        </w:rPr>
        <w:t xml:space="preserve">第十四条  争议的解决方式</w:t>
      </w:r>
      <w:bookmarkEnd w:id="149"/>
      <w:r/>
      <w:bookmarkEnd w:id="150"/>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2.在解释或者执行本合同的过程中发生争议时，双方应通过协商方式解决。</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3.经协商不能解决的争议，双方可选择以下第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种方式解决：</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①向南通市有管辖权的法院提起诉讼；</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②向南通市仲裁委员会提出仲裁。</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4.在法院审理和仲裁期间，除有争议部分外，本合同其他部分可以履行的仍应按合同条款继续履行。</w:t>
      </w:r>
      <w:r/>
    </w:p>
    <w:p>
      <w:pPr>
        <w:ind w:left="482"/>
        <w:spacing w:line="280" w:lineRule="exact"/>
        <w:rPr>
          <w:rFonts w:ascii="仿宋" w:hAnsi="仿宋" w:eastAsia="仿宋" w:cs="仿宋"/>
          <w:b/>
          <w:color w:val="auto"/>
          <w:sz w:val="24"/>
          <w:highlight w:val="none"/>
        </w:rPr>
      </w:pPr>
      <w:r/>
      <w:bookmarkStart w:id="151" w:name="_Toc31813"/>
      <w:r/>
      <w:bookmarkStart w:id="152" w:name="_Toc20636"/>
      <w:r>
        <w:rPr>
          <w:rFonts w:hint="eastAsia" w:ascii="仿宋" w:hAnsi="仿宋" w:eastAsia="仿宋" w:cs="仿宋"/>
          <w:b/>
          <w:color w:val="auto"/>
          <w:sz w:val="24"/>
          <w:highlight w:val="none"/>
        </w:rPr>
        <w:t xml:space="preserve">第十五条  其他</w:t>
      </w:r>
      <w:bookmarkEnd w:id="151"/>
      <w:r/>
      <w:bookmarkEnd w:id="152"/>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符合《政府采购法》第49条规定的，经双方协商，办理政府采购手续后，可签订补充合同，所签订的补充合同与本合同具有同等法律效力。</w:t>
      </w:r>
      <w:r/>
    </w:p>
    <w:p>
      <w:pPr>
        <w:ind w:firstLine="48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份，甲、乙双方各执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w:t>
      </w:r>
      <w:r/>
    </w:p>
    <w:p>
      <w:pPr>
        <w:ind w:firstLine="480"/>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tbl>
      <w:tblPr>
        <w:tblStyle w:val="71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甲方（公章）：</w:t>
            </w:r>
            <w:r/>
          </w:p>
          <w:p>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w:t>
            </w:r>
            <w:r/>
          </w:p>
          <w:p>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法定代表人（授权人）：</w:t>
            </w:r>
            <w:r/>
          </w:p>
          <w:p>
            <w:pPr>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right"/>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年  月  日</w:t>
            </w:r>
            <w:r/>
          </w:p>
        </w:tc>
        <w:tc>
          <w:tcPr>
            <w:tcW w:w="4261" w:type="dxa"/>
            <w:textDirection w:val="lrTb"/>
            <w:noWrap w:val="false"/>
          </w:tcPr>
          <w:p>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乙方（公章）：</w:t>
            </w:r>
            <w:r/>
          </w:p>
          <w:p>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w:t>
            </w:r>
            <w:r/>
          </w:p>
          <w:p>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法定代表人（授权人）：</w:t>
            </w:r>
            <w:r/>
          </w:p>
          <w:p>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开户行：</w:t>
            </w:r>
            <w:r/>
          </w:p>
          <w:p>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银行账号：</w:t>
            </w:r>
            <w:r/>
          </w:p>
          <w:p>
            <w:pPr>
              <w:jc w:val="right"/>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tc>
      </w:tr>
    </w:tbl>
    <w:p>
      <w:pPr>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宋体" w:hAnsi="宋体" w:eastAsia="宋体" w:cs="宋体"/>
          <w:b/>
          <w:bCs/>
          <w:color w:val="auto"/>
          <w:sz w:val="30"/>
          <w:szCs w:val="30"/>
          <w:highlight w:val="none"/>
        </w:rPr>
        <w:outlineLvl w:val="1"/>
      </w:pPr>
      <w:r/>
      <w:bookmarkStart w:id="153" w:name="_Toc8863"/>
      <w:r/>
      <w:bookmarkStart w:id="154" w:name="_Toc17221"/>
      <w:r/>
      <w:bookmarkStart w:id="155" w:name="_Toc15978"/>
      <w:r/>
      <w:bookmarkStart w:id="156" w:name="_Toc27323"/>
      <w:r>
        <w:rPr>
          <w:rFonts w:hint="eastAsia" w:ascii="仿宋" w:hAnsi="仿宋" w:eastAsia="仿宋" w:cs="仿宋"/>
          <w:b/>
          <w:bCs/>
          <w:color w:val="auto"/>
          <w:sz w:val="30"/>
          <w:szCs w:val="30"/>
          <w:highlight w:val="none"/>
        </w:rPr>
        <w:br w:type="page" w:clear="all"/>
      </w:r>
      <w:bookmarkEnd w:id="153"/>
      <w:r/>
      <w:bookmarkEnd w:id="154"/>
      <w:r/>
      <w:bookmarkEnd w:id="155"/>
      <w:r/>
      <w:bookmarkEnd w:id="156"/>
      <w:r/>
      <w:bookmarkStart w:id="157" w:name="_Toc552"/>
      <w:r/>
      <w:bookmarkStart w:id="158" w:name="_Toc4033"/>
      <w:r>
        <w:rPr>
          <w:rFonts w:hint="eastAsia" w:ascii="宋体" w:hAnsi="宋体" w:eastAsia="宋体" w:cs="宋体"/>
          <w:b/>
          <w:bCs/>
          <w:color w:val="auto"/>
          <w:sz w:val="30"/>
          <w:szCs w:val="30"/>
          <w:highlight w:val="none"/>
        </w:rPr>
        <w:t xml:space="preserve">附件3  响应文件格式</w:t>
      </w:r>
      <w:bookmarkEnd w:id="157"/>
      <w:r/>
      <w:bookmarkEnd w:id="158"/>
      <w:r/>
      <w:r/>
    </w:p>
    <w:p>
      <w:pPr>
        <w:ind w:firstLine="880"/>
        <w:jc w:val="center"/>
        <w:spacing w:line="500" w:lineRule="exact"/>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框架协议响应文件</w:t>
      </w:r>
      <w:r/>
    </w:p>
    <w:p>
      <w:pPr>
        <w:ind w:firstLine="1434"/>
        <w:spacing w:line="500" w:lineRule="exact"/>
        <w:rPr>
          <w:rFonts w:ascii="宋体" w:hAnsi="宋体" w:eastAsia="宋体" w:cs="宋体"/>
          <w:b/>
          <w:color w:val="auto"/>
          <w:sz w:val="24"/>
          <w:highlight w:val="none"/>
        </w:rPr>
      </w:pPr>
      <w:r>
        <w:rPr>
          <w:rFonts w:ascii="宋体" w:hAnsi="宋体" w:eastAsia="宋体" w:cs="宋体"/>
          <w:b/>
          <w:color w:val="auto"/>
          <w:sz w:val="24"/>
          <w:highlight w:val="none"/>
        </w:rPr>
      </w:r>
      <w:r/>
    </w:p>
    <w:p>
      <w:pPr>
        <w:ind w:firstLine="2072"/>
        <w:spacing w:line="50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2072"/>
        <w:spacing w:line="50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2072"/>
        <w:spacing w:line="50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2072"/>
        <w:spacing w:line="50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2072"/>
        <w:spacing w:line="50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2072"/>
        <w:spacing w:line="500" w:lineRule="exact"/>
        <w:rPr>
          <w:rFonts w:ascii="宋体" w:hAnsi="宋体" w:eastAsia="宋体" w:cs="宋体"/>
          <w:b/>
          <w:color w:val="auto"/>
          <w:sz w:val="32"/>
          <w:szCs w:val="32"/>
          <w:highlight w:val="none"/>
        </w:rPr>
      </w:pPr>
      <w:r/>
      <w:bookmarkStart w:id="159" w:name="_Toc906"/>
      <w:r/>
      <w:bookmarkStart w:id="160" w:name="_Toc7462"/>
      <w:r/>
      <w:bookmarkStart w:id="161" w:name="_Toc14897"/>
      <w:r/>
      <w:bookmarkStart w:id="162" w:name="_Toc6928"/>
      <w:r/>
      <w:bookmarkStart w:id="163" w:name="_Toc10579"/>
      <w:r/>
      <w:bookmarkStart w:id="164" w:name="_Toc23405"/>
      <w:r/>
      <w:bookmarkStart w:id="165" w:name="_Toc6206"/>
      <w:r/>
      <w:bookmarkStart w:id="166" w:name="_Toc591"/>
      <w:r/>
      <w:bookmarkStart w:id="167" w:name="_Toc23923"/>
      <w:r/>
      <w:bookmarkStart w:id="168" w:name="_Toc14414"/>
      <w:r/>
      <w:bookmarkStart w:id="169" w:name="_Toc28121"/>
      <w:r/>
      <w:bookmarkStart w:id="170" w:name="_Toc13230"/>
      <w:r/>
      <w:bookmarkStart w:id="171" w:name="_Toc2653"/>
      <w:r/>
      <w:bookmarkStart w:id="172" w:name="_Toc4725"/>
      <w:r/>
      <w:bookmarkStart w:id="173" w:name="_Toc28356"/>
      <w:r>
        <w:rPr>
          <w:rFonts w:hint="eastAsia" w:ascii="宋体" w:hAnsi="宋体" w:eastAsia="宋体" w:cs="宋体"/>
          <w:b/>
          <w:color w:val="auto"/>
          <w:sz w:val="32"/>
          <w:szCs w:val="32"/>
          <w:highlight w:val="none"/>
        </w:rPr>
        <w:t xml:space="preserve">项目名称：</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宋体" w:hAnsi="宋体" w:eastAsia="宋体" w:cs="宋体"/>
          <w:b/>
          <w:color w:val="auto"/>
          <w:sz w:val="32"/>
          <w:szCs w:val="32"/>
          <w:highlight w:val="none"/>
          <w:u w:val="single"/>
        </w:rPr>
        <w:t xml:space="preserve">               </w:t>
      </w:r>
      <w:r/>
    </w:p>
    <w:p>
      <w:pPr>
        <w:spacing w:line="500" w:lineRule="exact"/>
        <w:rPr>
          <w:rFonts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             </w:t>
      </w:r>
      <w:bookmarkStart w:id="174" w:name="_Toc23529"/>
      <w:r/>
      <w:bookmarkStart w:id="175" w:name="_Toc30272"/>
      <w:r/>
      <w:bookmarkStart w:id="176" w:name="_Toc11762"/>
      <w:r/>
      <w:bookmarkStart w:id="177" w:name="_Toc13637"/>
      <w:r/>
      <w:bookmarkStart w:id="178" w:name="_Toc11299"/>
      <w:r/>
      <w:bookmarkStart w:id="179" w:name="_Toc10369"/>
      <w:r/>
      <w:bookmarkStart w:id="180" w:name="_Toc9022"/>
      <w:r/>
      <w:bookmarkStart w:id="181" w:name="_Toc29254"/>
      <w:r/>
      <w:bookmarkStart w:id="182" w:name="_Toc25246"/>
      <w:r/>
      <w:bookmarkStart w:id="183" w:name="_Toc25489"/>
      <w:r/>
      <w:bookmarkStart w:id="184" w:name="_Toc20912"/>
      <w:r/>
      <w:bookmarkStart w:id="185" w:name="_Toc14298"/>
      <w:r/>
      <w:bookmarkStart w:id="186" w:name="_Toc7743"/>
      <w:r/>
      <w:bookmarkStart w:id="187" w:name="_Toc26972"/>
      <w:r/>
      <w:bookmarkStart w:id="188" w:name="_Toc3687"/>
      <w:r>
        <w:rPr>
          <w:rFonts w:hint="eastAsia" w:ascii="宋体" w:hAnsi="宋体" w:eastAsia="宋体" w:cs="宋体"/>
          <w:b/>
          <w:color w:val="auto"/>
          <w:sz w:val="32"/>
          <w:szCs w:val="32"/>
          <w:highlight w:val="none"/>
        </w:rPr>
        <w:t xml:space="preserve">计划编号：</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rFonts w:hint="eastAsia" w:ascii="宋体" w:hAnsi="宋体" w:eastAsia="宋体" w:cs="宋体"/>
          <w:b/>
          <w:color w:val="auto"/>
          <w:sz w:val="32"/>
          <w:szCs w:val="32"/>
          <w:highlight w:val="none"/>
          <w:u w:val="single"/>
        </w:rPr>
        <w:t xml:space="preserve">               </w:t>
      </w:r>
      <w:r/>
    </w:p>
    <w:p>
      <w:pPr>
        <w:jc w:val="center"/>
        <w:spacing w:line="500" w:lineRule="exact"/>
        <w:rPr>
          <w:rFonts w:ascii="宋体" w:hAnsi="宋体" w:eastAsia="宋体" w:cs="宋体"/>
          <w:b/>
          <w:color w:val="auto"/>
          <w:sz w:val="32"/>
          <w:szCs w:val="32"/>
          <w:highlight w:val="none"/>
          <w:u w:val="single"/>
        </w:rPr>
      </w:pPr>
      <w:r>
        <w:rPr>
          <w:rFonts w:ascii="宋体" w:hAnsi="宋体" w:eastAsia="宋体" w:cs="宋体"/>
          <w:b/>
          <w:color w:val="auto"/>
          <w:sz w:val="32"/>
          <w:szCs w:val="32"/>
          <w:highlight w:val="none"/>
          <w:u w:val="single"/>
        </w:rPr>
      </w:r>
      <w:r/>
    </w:p>
    <w:p>
      <w:pPr>
        <w:jc w:val="center"/>
        <w:spacing w:line="500" w:lineRule="exact"/>
        <w:rPr>
          <w:rFonts w:ascii="宋体" w:hAnsi="宋体" w:eastAsia="宋体" w:cs="宋体"/>
          <w:b/>
          <w:color w:val="auto"/>
          <w:sz w:val="32"/>
          <w:szCs w:val="32"/>
          <w:highlight w:val="none"/>
          <w:u w:val="single"/>
        </w:rPr>
      </w:pPr>
      <w:r>
        <w:rPr>
          <w:rFonts w:ascii="宋体" w:hAnsi="宋体" w:eastAsia="宋体" w:cs="宋体"/>
          <w:b/>
          <w:color w:val="auto"/>
          <w:sz w:val="32"/>
          <w:szCs w:val="32"/>
          <w:highlight w:val="none"/>
          <w:u w:val="single"/>
        </w:rPr>
      </w:r>
      <w:r/>
    </w:p>
    <w:p>
      <w:pPr>
        <w:pStyle w:val="725"/>
        <w:spacing w:after="0" w:line="500" w:lineRule="exact"/>
        <w:rPr>
          <w:rFonts w:hAnsi="宋体" w:eastAsia="宋体" w:cs="宋体"/>
          <w:b/>
          <w:bCs/>
          <w:color w:val="auto"/>
          <w:sz w:val="32"/>
          <w:szCs w:val="32"/>
          <w:highlight w:val="none"/>
        </w:rPr>
      </w:pPr>
      <w:r>
        <w:rPr>
          <w:rFonts w:hAnsi="宋体" w:eastAsia="宋体" w:cs="宋体"/>
          <w:b/>
          <w:bCs/>
          <w:color w:val="auto"/>
          <w:sz w:val="32"/>
          <w:szCs w:val="32"/>
          <w:highlight w:val="none"/>
        </w:rPr>
      </w:r>
      <w:r/>
    </w:p>
    <w:p>
      <w:pPr>
        <w:pStyle w:val="725"/>
        <w:spacing w:after="0" w:line="500" w:lineRule="exact"/>
        <w:rPr>
          <w:rFonts w:hAnsi="宋体" w:eastAsia="宋体" w:cs="宋体"/>
          <w:b/>
          <w:bCs/>
          <w:color w:val="auto"/>
          <w:sz w:val="32"/>
          <w:szCs w:val="32"/>
          <w:highlight w:val="none"/>
        </w:rPr>
      </w:pPr>
      <w:r>
        <w:rPr>
          <w:rFonts w:hAnsi="宋体" w:eastAsia="宋体" w:cs="宋体"/>
          <w:b/>
          <w:bCs/>
          <w:color w:val="auto"/>
          <w:sz w:val="32"/>
          <w:szCs w:val="32"/>
          <w:highlight w:val="none"/>
        </w:rPr>
      </w:r>
      <w:r/>
    </w:p>
    <w:p>
      <w:pPr>
        <w:spacing w:line="500" w:lineRule="exact"/>
        <w:rPr>
          <w:rFonts w:ascii="宋体" w:hAnsi="宋体" w:eastAsia="宋体" w:cs="宋体"/>
          <w:b/>
          <w:color w:val="auto"/>
          <w:sz w:val="32"/>
          <w:szCs w:val="32"/>
          <w:highlight w:val="none"/>
        </w:rPr>
      </w:pPr>
      <w:r/>
      <w:bookmarkStart w:id="189" w:name="_Toc2002"/>
      <w:r/>
      <w:bookmarkStart w:id="190" w:name="_Toc10136"/>
      <w:r/>
      <w:bookmarkStart w:id="191" w:name="_Toc21610"/>
      <w:r/>
      <w:bookmarkStart w:id="192" w:name="_Toc7944"/>
      <w:r/>
      <w:bookmarkStart w:id="193" w:name="_Toc25619"/>
      <w:r/>
      <w:bookmarkStart w:id="194" w:name="_Toc9181"/>
      <w:r/>
      <w:bookmarkStart w:id="195" w:name="_Toc25279"/>
      <w:r/>
      <w:bookmarkStart w:id="196" w:name="_Toc14172"/>
      <w:r/>
      <w:bookmarkStart w:id="197" w:name="_Toc3655"/>
      <w:r/>
      <w:bookmarkStart w:id="198" w:name="_Toc470"/>
      <w:r/>
      <w:bookmarkStart w:id="199" w:name="_Toc24726"/>
      <w:r/>
      <w:bookmarkStart w:id="200" w:name="_Toc2419"/>
      <w:r/>
      <w:bookmarkStart w:id="201" w:name="_Toc26900"/>
      <w:r/>
      <w:bookmarkStart w:id="202" w:name="_Toc8050"/>
      <w:r/>
      <w:bookmarkStart w:id="203" w:name="_Toc26333"/>
      <w:r>
        <w:rPr>
          <w:rFonts w:hint="eastAsia" w:ascii="宋体" w:hAnsi="宋体" w:eastAsia="宋体" w:cs="宋体"/>
          <w:b/>
          <w:color w:val="auto"/>
          <w:sz w:val="32"/>
          <w:szCs w:val="32"/>
          <w:highlight w:val="none"/>
        </w:rPr>
        <w:t xml:space="preserve">供应商名称：</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spacing w:line="500" w:lineRule="exact"/>
        <w:rPr>
          <w:rFonts w:ascii="宋体" w:hAnsi="宋体" w:eastAsia="宋体" w:cs="宋体"/>
          <w:b/>
          <w:color w:val="auto"/>
          <w:sz w:val="32"/>
          <w:szCs w:val="32"/>
          <w:highlight w:val="none"/>
        </w:rPr>
      </w:pPr>
      <w:r/>
      <w:bookmarkStart w:id="204" w:name="_Toc27862"/>
      <w:r/>
      <w:bookmarkStart w:id="205" w:name="_Toc8905"/>
      <w:r/>
      <w:bookmarkStart w:id="206" w:name="_Toc5390"/>
      <w:r/>
      <w:bookmarkStart w:id="207" w:name="_Toc25271"/>
      <w:r/>
      <w:bookmarkStart w:id="208" w:name="_Toc20255"/>
      <w:r/>
      <w:bookmarkStart w:id="209" w:name="_Toc7613"/>
      <w:r/>
      <w:bookmarkStart w:id="210" w:name="_Toc32677"/>
      <w:r/>
      <w:bookmarkStart w:id="211" w:name="_Toc9463"/>
      <w:r/>
      <w:bookmarkStart w:id="212" w:name="_Toc15798"/>
      <w:r/>
      <w:bookmarkStart w:id="213" w:name="_Toc20205"/>
      <w:r/>
      <w:bookmarkStart w:id="214" w:name="_Toc17707"/>
      <w:r/>
      <w:bookmarkStart w:id="215" w:name="_Toc18442"/>
      <w:r/>
      <w:bookmarkStart w:id="216" w:name="_Toc29270"/>
      <w:r/>
      <w:bookmarkStart w:id="217" w:name="_Toc27764"/>
      <w:r/>
      <w:bookmarkStart w:id="218" w:name="_Toc10251"/>
      <w:r>
        <w:rPr>
          <w:rFonts w:hint="eastAsia" w:ascii="宋体" w:hAnsi="宋体" w:eastAsia="宋体" w:cs="宋体"/>
          <w:b/>
          <w:color w:val="auto"/>
          <w:sz w:val="32"/>
          <w:szCs w:val="32"/>
          <w:highlight w:val="none"/>
        </w:rPr>
        <w:t xml:space="preserve">法定代表人或授权代表签字：</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spacing w:line="500" w:lineRule="exact"/>
        <w:rPr>
          <w:rFonts w:ascii="宋体" w:hAnsi="宋体" w:eastAsia="宋体" w:cs="宋体"/>
          <w:b/>
          <w:color w:val="auto"/>
          <w:sz w:val="32"/>
          <w:szCs w:val="32"/>
          <w:highlight w:val="none"/>
        </w:rPr>
      </w:pPr>
      <w:r/>
      <w:bookmarkStart w:id="219" w:name="_Toc26278"/>
      <w:r/>
      <w:bookmarkStart w:id="220" w:name="_Toc27104"/>
      <w:r/>
      <w:bookmarkStart w:id="221" w:name="_Toc1577"/>
      <w:r/>
      <w:bookmarkStart w:id="222" w:name="_Toc11519"/>
      <w:r/>
      <w:bookmarkStart w:id="223" w:name="_Toc14279"/>
      <w:r/>
      <w:bookmarkStart w:id="224" w:name="_Toc19682"/>
      <w:r/>
      <w:bookmarkStart w:id="225" w:name="_Toc4298"/>
      <w:r/>
      <w:bookmarkStart w:id="226" w:name="_Toc15187"/>
      <w:r/>
      <w:bookmarkStart w:id="227" w:name="_Toc18264"/>
      <w:r/>
      <w:bookmarkStart w:id="228" w:name="_Toc5771"/>
      <w:r/>
      <w:bookmarkStart w:id="229" w:name="_Toc19940"/>
      <w:r/>
      <w:bookmarkStart w:id="230" w:name="_Toc28467"/>
      <w:r/>
      <w:bookmarkStart w:id="231" w:name="_Toc10613"/>
      <w:r/>
      <w:bookmarkStart w:id="232" w:name="_Toc7510"/>
      <w:r/>
      <w:bookmarkStart w:id="233" w:name="_Toc3951"/>
      <w:r>
        <w:rPr>
          <w:rFonts w:hint="eastAsia" w:ascii="宋体" w:hAnsi="宋体" w:eastAsia="宋体" w:cs="宋体"/>
          <w:b/>
          <w:color w:val="auto"/>
          <w:sz w:val="32"/>
          <w:szCs w:val="32"/>
          <w:highlight w:val="none"/>
        </w:rPr>
        <w:t xml:space="preserve">地址：</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b/>
          <w:color w:val="auto"/>
          <w:sz w:val="32"/>
          <w:szCs w:val="32"/>
          <w:highlight w:val="none"/>
        </w:rPr>
        <w:t xml:space="preserve"> </w:t>
      </w:r>
      <w:r/>
    </w:p>
    <w:p>
      <w:pPr>
        <w:spacing w:line="500" w:lineRule="exact"/>
        <w:rPr>
          <w:rFonts w:ascii="宋体" w:hAnsi="宋体" w:eastAsia="宋体" w:cs="宋体"/>
          <w:b/>
          <w:color w:val="auto"/>
          <w:sz w:val="32"/>
          <w:szCs w:val="32"/>
          <w:highlight w:val="none"/>
        </w:rPr>
      </w:pPr>
      <w:r/>
      <w:bookmarkStart w:id="234" w:name="_Toc23373"/>
      <w:r/>
      <w:bookmarkStart w:id="235" w:name="_Toc1658"/>
      <w:r/>
      <w:bookmarkStart w:id="236" w:name="_Toc16671"/>
      <w:r/>
      <w:bookmarkStart w:id="237" w:name="_Toc8438"/>
      <w:r/>
      <w:bookmarkStart w:id="238" w:name="_Toc13972"/>
      <w:r/>
      <w:bookmarkStart w:id="239" w:name="_Toc874"/>
      <w:r/>
      <w:bookmarkStart w:id="240" w:name="_Toc22736"/>
      <w:r/>
      <w:bookmarkStart w:id="241" w:name="_Toc6357"/>
      <w:r/>
      <w:bookmarkStart w:id="242" w:name="_Toc6452"/>
      <w:r/>
      <w:bookmarkStart w:id="243" w:name="_Toc11328"/>
      <w:r/>
      <w:bookmarkStart w:id="244" w:name="_Toc23497"/>
      <w:r/>
      <w:bookmarkStart w:id="245" w:name="_Toc15494"/>
      <w:r/>
      <w:bookmarkStart w:id="246" w:name="_Toc16412"/>
      <w:r/>
      <w:bookmarkStart w:id="247" w:name="_Toc1454"/>
      <w:r/>
      <w:bookmarkStart w:id="248" w:name="_Toc12454"/>
      <w:r>
        <w:rPr>
          <w:rFonts w:hint="eastAsia" w:ascii="宋体" w:hAnsi="宋体" w:eastAsia="宋体" w:cs="宋体"/>
          <w:b/>
          <w:color w:val="auto"/>
          <w:sz w:val="32"/>
          <w:szCs w:val="32"/>
          <w:highlight w:val="none"/>
        </w:rPr>
        <w:t xml:space="preserve">联系电话：</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ascii="宋体" w:hAnsi="宋体" w:eastAsia="宋体" w:cs="宋体"/>
          <w:b/>
          <w:color w:val="auto"/>
          <w:sz w:val="32"/>
          <w:szCs w:val="32"/>
          <w:highlight w:val="none"/>
        </w:rPr>
        <w:t xml:space="preserve"> </w:t>
      </w:r>
      <w:r/>
    </w:p>
    <w:p>
      <w:pPr>
        <w:jc w:val="center"/>
        <w:spacing w:line="500" w:lineRule="exac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u w:val="single"/>
        </w:rPr>
        <w:t xml:space="preserve">      </w:t>
      </w:r>
      <w:bookmarkStart w:id="249" w:name="_Toc8991"/>
      <w:r/>
      <w:bookmarkStart w:id="250" w:name="_Toc7089"/>
      <w:r/>
      <w:bookmarkStart w:id="251" w:name="_Toc6893"/>
      <w:r/>
      <w:bookmarkStart w:id="252" w:name="_Toc26274"/>
      <w:r/>
      <w:bookmarkStart w:id="253" w:name="_Toc25721"/>
      <w:r/>
      <w:bookmarkStart w:id="254" w:name="_Toc14283"/>
      <w:r/>
      <w:bookmarkStart w:id="255" w:name="_Toc11071"/>
      <w:r/>
      <w:bookmarkStart w:id="256" w:name="_Toc14201"/>
      <w:r/>
      <w:bookmarkStart w:id="257" w:name="_Toc2904"/>
      <w:r/>
      <w:bookmarkStart w:id="258" w:name="_Toc24985"/>
      <w:r/>
      <w:bookmarkStart w:id="259" w:name="_Toc32508"/>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日</w:t>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954"/>
        <w:spacing w:line="500" w:lineRule="exact"/>
        <w:rPr>
          <w:rFonts w:ascii="宋体" w:hAnsi="宋体" w:eastAsia="宋体" w:cs="宋体"/>
          <w:b/>
          <w:color w:val="auto"/>
          <w:sz w:val="24"/>
          <w:highlight w:val="none"/>
        </w:rPr>
      </w:pPr>
      <w:r>
        <w:rPr>
          <w:rFonts w:ascii="宋体" w:hAnsi="宋体" w:eastAsia="宋体" w:cs="宋体"/>
          <w:b/>
          <w:color w:val="auto"/>
          <w:sz w:val="24"/>
          <w:highlight w:val="none"/>
        </w:rPr>
      </w:r>
      <w:r/>
    </w:p>
    <w:p>
      <w:pPr>
        <w:ind w:firstLine="560"/>
        <w:spacing w:line="500" w:lineRule="exact"/>
        <w:rPr>
          <w:rFonts w:ascii="宋体" w:hAnsi="宋体" w:eastAsia="宋体" w:cs="宋体"/>
          <w:color w:val="auto"/>
          <w:sz w:val="28"/>
          <w:szCs w:val="28"/>
          <w:highlight w:val="none"/>
        </w:rPr>
      </w:pPr>
      <w:r/>
      <w:bookmarkStart w:id="260" w:name="_Toc21416"/>
      <w:r>
        <w:rPr>
          <w:rFonts w:hint="eastAsia" w:ascii="宋体" w:hAnsi="宋体" w:eastAsia="宋体" w:cs="宋体"/>
          <w:color w:val="auto"/>
          <w:sz w:val="28"/>
          <w:szCs w:val="28"/>
          <w:highlight w:val="none"/>
        </w:rPr>
        <w:br w:type="page" w:clear="all"/>
      </w:r>
      <w:bookmarkEnd w:id="260"/>
      <w:r/>
      <w:bookmarkStart w:id="261" w:name="_Toc13372"/>
      <w:r/>
      <w:bookmarkStart w:id="262" w:name="_Toc2224"/>
      <w:r/>
      <w:bookmarkStart w:id="263" w:name="_Toc9118"/>
      <w:r/>
      <w:bookmarkStart w:id="264" w:name="_Toc12434"/>
      <w:r/>
      <w:r/>
    </w:p>
    <w:p>
      <w:pPr>
        <w:ind w:firstLine="560"/>
        <w:spacing w:line="500" w:lineRule="exact"/>
        <w:rPr>
          <w:rFonts w:ascii="仿宋" w:hAnsi="仿宋" w:eastAsia="仿宋"/>
          <w:color w:val="auto"/>
          <w:sz w:val="28"/>
          <w:szCs w:val="28"/>
          <w:highlight w:val="none"/>
        </w:rPr>
        <w:outlineLvl w:val="1"/>
      </w:pPr>
      <w:r/>
      <w:bookmarkStart w:id="265" w:name="_Toc2853"/>
      <w:r/>
      <w:bookmarkStart w:id="266" w:name="_Toc18276"/>
      <w:r>
        <w:rPr>
          <w:rFonts w:hint="eastAsia" w:ascii="仿宋" w:hAnsi="仿宋" w:eastAsia="仿宋"/>
          <w:color w:val="auto"/>
          <w:sz w:val="28"/>
          <w:szCs w:val="28"/>
          <w:highlight w:val="none"/>
        </w:rPr>
        <w:t xml:space="preserve">一、开标一览表（唱标）</w:t>
      </w:r>
      <w:bookmarkEnd w:id="265"/>
      <w:r/>
      <w:bookmarkEnd w:id="266"/>
      <w:r/>
      <w:r/>
    </w:p>
    <w:p>
      <w:pPr>
        <w:jc w:val="center"/>
        <w:rPr>
          <w:rFonts w:ascii="仿宋" w:hAnsi="仿宋" w:eastAsia="仿宋"/>
          <w:color w:val="auto"/>
          <w:sz w:val="36"/>
          <w:szCs w:val="36"/>
          <w:highlight w:val="none"/>
        </w:rPr>
      </w:pPr>
      <w:r>
        <w:rPr>
          <w:rFonts w:ascii="仿宋" w:hAnsi="仿宋" w:eastAsia="仿宋"/>
          <w:color w:val="auto"/>
          <w:sz w:val="36"/>
          <w:szCs w:val="36"/>
          <w:highlight w:val="none"/>
        </w:rPr>
      </w:r>
      <w:r/>
    </w:p>
    <w:p>
      <w:pPr>
        <w:jc w:val="center"/>
        <w:rPr>
          <w:rFonts w:ascii="仿宋" w:hAnsi="仿宋" w:eastAsia="仿宋"/>
          <w:color w:val="auto"/>
          <w:sz w:val="36"/>
          <w:szCs w:val="36"/>
          <w:highlight w:val="none"/>
        </w:rPr>
      </w:pPr>
      <w:r>
        <w:rPr>
          <w:rFonts w:hint="eastAsia" w:ascii="仿宋" w:hAnsi="仿宋" w:eastAsia="仿宋"/>
          <w:color w:val="auto"/>
          <w:sz w:val="36"/>
          <w:szCs w:val="36"/>
          <w:highlight w:val="none"/>
        </w:rPr>
        <w:t xml:space="preserve">开标一览表</w:t>
      </w:r>
      <w:r/>
    </w:p>
    <w:p>
      <w:pPr>
        <w:ind w:left="1080" w:right="-867" w:hanging="540"/>
        <w:spacing w:line="240" w:lineRule="atLeast"/>
        <w:tabs>
          <w:tab w:val="left" w:pos="1800" w:leader="none"/>
          <w:tab w:val="left" w:pos="5580" w:leader="none"/>
        </w:tabs>
        <w:rPr>
          <w:rFonts w:ascii="仿宋" w:hAnsi="仿宋" w:eastAsia="仿宋"/>
          <w:color w:val="auto"/>
          <w:sz w:val="24"/>
          <w:highlight w:val="none"/>
        </w:rPr>
      </w:pPr>
      <w:r>
        <w:rPr>
          <w:rFonts w:ascii="仿宋" w:hAnsi="仿宋" w:eastAsia="仿宋"/>
          <w:color w:val="auto"/>
          <w:sz w:val="24"/>
          <w:highlight w:val="none"/>
        </w:rPr>
      </w:r>
      <w:r/>
    </w:p>
    <w:p>
      <w:pPr>
        <w:ind w:left="1080" w:right="-867" w:hanging="540"/>
        <w:spacing w:line="500" w:lineRule="exact"/>
        <w:tabs>
          <w:tab w:val="left" w:pos="1800" w:leader="none"/>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项目名称：　                  招标编号：                 包号：         </w:t>
      </w:r>
      <w:r/>
    </w:p>
    <w:p>
      <w:pPr>
        <w:ind w:left="1080" w:right="-867" w:hanging="540"/>
        <w:spacing w:line="500" w:lineRule="exact"/>
        <w:tabs>
          <w:tab w:val="left" w:pos="1800" w:leader="none"/>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报价单位：人民币 （</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rPr>
        <w:t xml:space="preserve">）</w:t>
      </w:r>
      <w:r/>
    </w:p>
    <w:tbl>
      <w:tblPr>
        <w:tblStyle w:val="712"/>
        <w:tblW w:w="9111"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20"/>
        <w:gridCol w:w="3211"/>
        <w:gridCol w:w="1160"/>
        <w:gridCol w:w="1886"/>
        <w:gridCol w:w="1434"/>
      </w:tblGrid>
      <w:tr>
        <w:trPr>
          <w:trHeight w:val="945"/>
        </w:trPr>
        <w:tc>
          <w:tcPr>
            <w:tcW w:w="1420" w:type="dxa"/>
            <w:vAlign w:val="center"/>
            <w:textDirection w:val="lrTb"/>
            <w:noWrap w:val="false"/>
          </w:tcPr>
          <w:p>
            <w:pPr>
              <w:ind w:right="-199"/>
              <w:jc w:val="center"/>
              <w:spacing w:line="500" w:lineRule="exact"/>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项目名称</w:t>
            </w:r>
            <w:r/>
          </w:p>
        </w:tc>
        <w:tc>
          <w:tcPr>
            <w:tcW w:w="3211" w:type="dxa"/>
            <w:vAlign w:val="center"/>
            <w:textDirection w:val="lrTb"/>
            <w:noWrap w:val="false"/>
          </w:tcPr>
          <w:p>
            <w:pPr>
              <w:jc w:val="center"/>
              <w:spacing w:line="500" w:lineRule="exact"/>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投标报价</w:t>
            </w:r>
            <w:r/>
          </w:p>
        </w:tc>
        <w:tc>
          <w:tcPr>
            <w:tcW w:w="1160" w:type="dxa"/>
            <w:vAlign w:val="center"/>
            <w:textDirection w:val="lrTb"/>
            <w:noWrap w:val="false"/>
          </w:tcPr>
          <w:p>
            <w:pPr>
              <w:jc w:val="center"/>
              <w:spacing w:line="500" w:lineRule="exact"/>
              <w:tabs>
                <w:tab w:val="left" w:pos="5580" w:leader="none"/>
              </w:tabs>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服务期限</w:t>
            </w:r>
            <w:r/>
          </w:p>
        </w:tc>
        <w:tc>
          <w:tcPr>
            <w:tcW w:w="1886" w:type="dxa"/>
            <w:vAlign w:val="center"/>
            <w:textDirection w:val="lrTb"/>
            <w:noWrap w:val="false"/>
          </w:tcPr>
          <w:p>
            <w:pPr>
              <w:jc w:val="center"/>
              <w:spacing w:line="500" w:lineRule="exact"/>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服务</w:t>
            </w:r>
            <w:r>
              <w:rPr>
                <w:rFonts w:hint="eastAsia" w:ascii="仿宋" w:hAnsi="仿宋" w:eastAsia="仿宋"/>
                <w:color w:val="auto"/>
                <w:sz w:val="24"/>
                <w:highlight w:val="none"/>
              </w:rPr>
              <w:t xml:space="preserve">地点</w:t>
            </w:r>
            <w:r/>
          </w:p>
        </w:tc>
        <w:tc>
          <w:tcPr>
            <w:tcW w:w="1434" w:type="dxa"/>
            <w:vAlign w:val="center"/>
            <w:textDirection w:val="lrTb"/>
            <w:noWrap w:val="false"/>
          </w:tcPr>
          <w:p>
            <w:pPr>
              <w:jc w:val="center"/>
              <w:spacing w:line="500" w:lineRule="exact"/>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Height w:val="2412"/>
        </w:trPr>
        <w:tc>
          <w:tcPr>
            <w:tcW w:w="1420" w:type="dxa"/>
            <w:vAlign w:val="center"/>
            <w:textDirection w:val="lrTb"/>
            <w:noWrap w:val="false"/>
          </w:tcPr>
          <w:p>
            <w:pPr>
              <w:jc w:val="both"/>
              <w:spacing w:line="240" w:lineRule="auto"/>
              <w:tabs>
                <w:tab w:val="left" w:pos="5580" w:leader="none"/>
              </w:tabs>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2025年食品、食用农产品抽检项目</w:t>
            </w:r>
            <w:r/>
          </w:p>
        </w:tc>
        <w:tc>
          <w:tcPr>
            <w:tcW w:w="3211" w:type="dxa"/>
            <w:vAlign w:val="center"/>
            <w:textDirection w:val="lrTb"/>
            <w:noWrap w:val="false"/>
          </w:tcPr>
          <w:p>
            <w:pPr>
              <w:jc w:val="left"/>
              <w:spacing w:line="500" w:lineRule="exact"/>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小写：</w:t>
            </w:r>
            <w:r/>
          </w:p>
          <w:p>
            <w:pPr>
              <w:jc w:val="left"/>
              <w:spacing w:line="500" w:lineRule="exact"/>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大写：</w:t>
            </w:r>
            <w:r/>
          </w:p>
        </w:tc>
        <w:tc>
          <w:tcPr>
            <w:tcW w:w="1160" w:type="dxa"/>
            <w:vAlign w:val="center"/>
            <w:textDirection w:val="lrTb"/>
            <w:noWrap w:val="false"/>
          </w:tcPr>
          <w:p>
            <w:pPr>
              <w:ind w:left="1080" w:hanging="540"/>
              <w:jc w:val="center"/>
              <w:spacing w:line="500" w:lineRule="exact"/>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886" w:type="dxa"/>
            <w:vAlign w:val="center"/>
            <w:textDirection w:val="lrTb"/>
            <w:noWrap w:val="false"/>
          </w:tcPr>
          <w:p>
            <w:pPr>
              <w:ind w:left="1080" w:hanging="540"/>
              <w:jc w:val="center"/>
              <w:spacing w:line="500" w:lineRule="exact"/>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434" w:type="dxa"/>
            <w:vAlign w:val="center"/>
            <w:textDirection w:val="lrTb"/>
            <w:noWrap w:val="false"/>
          </w:tcPr>
          <w:p>
            <w:pPr>
              <w:jc w:val="both"/>
              <w:spacing w:line="240" w:lineRule="auto"/>
              <w:tabs>
                <w:tab w:val="left" w:pos="5580" w:leader="none"/>
              </w:tabs>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单价报价，食品抽检最高单价限价为人民币450元/批次。</w:t>
            </w:r>
            <w:r/>
          </w:p>
        </w:tc>
      </w:tr>
    </w:tbl>
    <w:p>
      <w:pPr>
        <w:ind w:firstLine="30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法定代表人或授权代表签字：</w:t>
      </w:r>
      <w:r>
        <w:rPr>
          <w:rFonts w:hint="eastAsia" w:ascii="仿宋" w:hAnsi="仿宋" w:eastAsia="仿宋"/>
          <w:color w:val="auto"/>
          <w:sz w:val="28"/>
          <w:szCs w:val="28"/>
          <w:highlight w:val="none"/>
          <w:u w:val="single"/>
        </w:rPr>
        <w:t xml:space="preserve">            </w:t>
      </w:r>
      <w:r/>
    </w:p>
    <w:p>
      <w:pPr>
        <w:ind w:firstLine="560"/>
        <w:spacing w:line="500" w:lineRule="exact"/>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35"/>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注意：</w:t>
      </w:r>
      <w:r/>
    </w:p>
    <w:p>
      <w:pPr>
        <w:pStyle w:val="735"/>
        <w:numPr>
          <w:ilvl w:val="0"/>
          <w:numId w:val="5"/>
        </w:numPr>
        <w:ind w:firstLine="723"/>
        <w:spacing w:line="360" w:lineRule="auto"/>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本表投标人编写一份（不区分正副本），单独密封。</w:t>
      </w:r>
      <w:r/>
    </w:p>
    <w:p>
      <w:pPr>
        <w:pStyle w:val="735"/>
        <w:numPr>
          <w:ilvl w:val="0"/>
          <w:numId w:val="5"/>
        </w:numPr>
        <w:ind w:firstLine="72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投标文件中开标一览表内容与投标文件中相应内容不一致的，以开标一览表为准。</w:t>
      </w:r>
      <w:r/>
    </w:p>
    <w:p>
      <w:pPr>
        <w:spacing w:line="500" w:lineRule="exact"/>
        <w:rPr>
          <w:rFonts w:ascii="仿宋" w:hAnsi="仿宋" w:eastAsia="仿宋" w:cs="仿宋"/>
          <w:color w:val="auto"/>
          <w:sz w:val="28"/>
          <w:szCs w:val="28"/>
          <w:highlight w:val="none"/>
        </w:rPr>
      </w:pPr>
      <w:r>
        <w:rPr>
          <w:rFonts w:hint="eastAsia" w:ascii="黑体" w:hAnsi="黑体" w:eastAsia="黑体"/>
          <w:color w:val="auto"/>
          <w:sz w:val="28"/>
          <w:szCs w:val="28"/>
          <w:highlight w:val="none"/>
        </w:rPr>
        <w:br w:type="page" w:clear="all"/>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、资格证明文件</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（一）法人或者其他组织的营业执照，自然人的身份证明（复印件）。</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（二）参加本次采购活动前的会计报表（复印件，成立不满一年不需提供）。</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参加本次采购活动前一年内至少一个月缴纳增值税、营业税或者企业所得税的凭据（如属于免税单位的需出具税务部门免税证明材料复印件），以及缴纳社会保险的凭据（专用收据或者社会保险缴纳清单）（复印件）。</w:t>
      </w:r>
      <w:r/>
    </w:p>
    <w:p>
      <w:pP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560"/>
        <w:jc w:val="left"/>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）根据项目需求提供履行合同必需的设备和专业技术能力的声明及证明材料（原件）</w:t>
      </w:r>
      <w:r/>
    </w:p>
    <w:p>
      <w:pPr>
        <w:ind w:firstLine="720"/>
        <w:jc w:val="center"/>
        <w:spacing w:line="500" w:lineRule="exact"/>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声  明</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主要设备有：________。</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主要专业技术能力有：________。</w:t>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252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供应商名称（公章）：</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授权代表签字：_________________</w:t>
      </w:r>
      <w:r/>
    </w:p>
    <w:p>
      <w:pPr>
        <w:ind w:firstLine="560"/>
        <w:jc w:val="left"/>
        <w:spacing w:line="50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                           日期：______年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）参加政府采购活动前 3 年内在经营活动中没有重大违法记录的书面声明（原件）。</w:t>
      </w:r>
      <w:r/>
    </w:p>
    <w:p>
      <w:pPr>
        <w:jc w:val="center"/>
        <w:spacing w:line="500" w:lineRule="exact"/>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声  明</w:t>
      </w:r>
      <w:r/>
    </w:p>
    <w:p>
      <w:pPr>
        <w:ind w:firstLine="482"/>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在投标截止时间节点，没有被“信用中国”、“中国政府采购网”、“信用江苏”网站列入失信被执行人、重大税收违法案件当事人名单、政府采购严重违法失信行为记录名单。</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供应商名称（公章）：</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授权代表签字：_________________</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日期：______年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560"/>
        <w:jc w:val="left"/>
        <w:spacing w:line="500" w:lineRule="exact"/>
        <w:rPr>
          <w:rFonts w:ascii="宋体" w:hAnsi="宋体" w:eastAsia="宋体" w:cs="宋体"/>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）法定代表人授权委托书（原件）</w:t>
      </w:r>
      <w:r>
        <w:rPr>
          <w:rFonts w:hint="eastAsia" w:ascii="宋体" w:hAnsi="宋体" w:eastAsia="宋体" w:cs="宋体"/>
          <w:color w:val="auto"/>
          <w:sz w:val="28"/>
          <w:szCs w:val="28"/>
          <w:highlight w:val="none"/>
        </w:rPr>
        <w:t xml:space="preserve">。</w:t>
      </w:r>
      <w:r/>
    </w:p>
    <w:p>
      <w:pPr>
        <w:jc w:val="center"/>
        <w:spacing w:line="500" w:lineRule="exact"/>
        <w:rPr>
          <w:rFonts w:ascii="仿宋" w:hAnsi="仿宋" w:eastAsia="仿宋" w:cs="仿宋"/>
          <w:i/>
          <w:color w:val="auto"/>
          <w:sz w:val="28"/>
          <w:szCs w:val="28"/>
          <w:highlight w:val="none"/>
        </w:rPr>
      </w:pPr>
      <w:r>
        <w:rPr>
          <w:rFonts w:hint="eastAsia" w:ascii="仿宋" w:hAnsi="仿宋" w:eastAsia="仿宋" w:cs="仿宋"/>
          <w:color w:val="auto"/>
          <w:sz w:val="28"/>
          <w:szCs w:val="28"/>
          <w:highlight w:val="none"/>
        </w:rPr>
        <w:t xml:space="preserve">法定代表人授权委托书</w:t>
      </w:r>
      <w:r/>
    </w:p>
    <w:p>
      <w:pPr>
        <w:pStyle w:val="897"/>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本授权书声明：____________（供应商名称）授权________________（被授权人的姓名）为我方就项目名称：____________项目编号:____________采购活动的合法代理人，以本公司名义全权处理一切与该项目采购有关的事务。</w:t>
      </w:r>
      <w:r/>
    </w:p>
    <w:p>
      <w:pPr>
        <w:pStyle w:val="897"/>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本授权书于______年____月____日起生效，特此声明。</w:t>
      </w:r>
      <w:r/>
    </w:p>
    <w:p>
      <w:pPr>
        <w:pStyle w:val="897"/>
        <w:ind w:firstLine="48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97"/>
        <w:ind w:firstLine="480"/>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法定代表人（签字）： </w:t>
      </w:r>
      <w:r>
        <w:rPr>
          <w:rFonts w:hint="eastAsia" w:ascii="仿宋" w:hAnsi="仿宋" w:eastAsia="仿宋" w:cs="仿宋"/>
          <w:color w:val="auto"/>
          <w:sz w:val="28"/>
          <w:szCs w:val="28"/>
          <w:highlight w:val="none"/>
          <w:u w:val="single"/>
        </w:rPr>
        <w:t xml:space="preserve">               </w:t>
      </w:r>
      <w:r/>
    </w:p>
    <w:p>
      <w:pPr>
        <w:pStyle w:val="897"/>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身份证号码：</w:t>
      </w:r>
      <w:r>
        <w:rPr>
          <w:rFonts w:hint="eastAsia" w:ascii="仿宋" w:hAnsi="仿宋" w:eastAsia="仿宋" w:cs="仿宋"/>
          <w:color w:val="auto"/>
          <w:sz w:val="28"/>
          <w:szCs w:val="28"/>
          <w:highlight w:val="none"/>
          <w:u w:val="single"/>
        </w:rPr>
        <w:t xml:space="preserve">                        </w:t>
      </w:r>
      <w:r/>
    </w:p>
    <w:p>
      <w:pPr>
        <w:pStyle w:val="897"/>
        <w:ind w:firstLine="232"/>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联系电话（手机）：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897"/>
        <w:ind w:firstLine="48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97"/>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代理人（被授权人）姓名：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897"/>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897"/>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联系电话（手机）：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897"/>
        <w:ind w:firstLine="48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97"/>
        <w:ind w:firstLine="12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供应商名称（加盖公章）：</w:t>
      </w:r>
      <w:r/>
    </w:p>
    <w:p>
      <w:pPr>
        <w:pStyle w:val="897"/>
        <w:ind w:firstLine="602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年   月   日</w:t>
      </w:r>
      <w:r/>
    </w:p>
    <w:p>
      <w:pPr>
        <w:pStyle w:val="897"/>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71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法定代表人身份证复印件</w:t>
      </w:r>
      <w:r/>
    </w:p>
    <w:p>
      <w:pPr>
        <w:pStyle w:val="717"/>
        <w:ind w:firstLine="140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17"/>
        <w:ind w:firstLine="49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代理人（被授权人）身份证复印件</w:t>
      </w:r>
      <w:r/>
    </w:p>
    <w:p>
      <w:pPr>
        <w:pStyle w:val="717"/>
        <w:ind w:firstLine="49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ind w:firstLine="560"/>
        <w:jc w:val="left"/>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七</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rPr>
        <w:t xml:space="preserve">参与征集确认函（原件）。</w:t>
      </w:r>
      <w:r/>
    </w:p>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参与征集确认函</w:t>
      </w:r>
      <w:r/>
    </w:p>
    <w:p>
      <w:pPr>
        <w:pStyle w:val="8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致：采购人或者代理机构</w:t>
      </w:r>
      <w:r/>
    </w:p>
    <w:p>
      <w:pPr>
        <w:pStyle w:val="89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号征集文件，正式授权下述签字人_________ (姓名和职务)代表我方______________（供应商的名称），全权处理本次项目招标采购的有关事宜。</w:t>
      </w:r>
      <w:r/>
    </w:p>
    <w:p>
      <w:pPr>
        <w:pStyle w:val="89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据此函，__________（签字人）兹宣布同意如下：</w:t>
      </w:r>
      <w:r/>
    </w:p>
    <w:p>
      <w:pPr>
        <w:pStyle w:val="89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1.按征集文件规定的各项要求，向征集人提供所需货物、服务。</w:t>
      </w:r>
      <w:r/>
    </w:p>
    <w:p>
      <w:pPr>
        <w:pStyle w:val="89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2.我们已详细审核全部征集文件及其有效补充文件，我们知道必须放弃提出含糊不清或误解问题的权利。</w:t>
      </w:r>
      <w:r/>
    </w:p>
    <w:p>
      <w:pPr>
        <w:pStyle w:val="89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3.我们同意从规定的征集文件接收截止时间起遵循本征集文件，并在规定的参与征集有效期期满之前均具有约束力。</w:t>
      </w:r>
      <w:r/>
    </w:p>
    <w:p>
      <w:pPr>
        <w:pStyle w:val="89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4.如果在征集文件接收截止时间撤回征集响应文件或成交后拒绝签订合同，我们接受贵方相应处罚。</w:t>
      </w:r>
      <w:r/>
    </w:p>
    <w:p>
      <w:pPr>
        <w:pStyle w:val="89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5.同意向征集可能另外要求的与征集采购货物或服务有关的任何证据或资料，并保证我方已提供和将要提供的文件是真实的、准确的。</w:t>
      </w:r>
      <w:r/>
    </w:p>
    <w:p>
      <w:pPr>
        <w:pStyle w:val="89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6.一旦我方成交，我方将根据征集文件的规定，严格履行框架协议的责任和义务，并保证在征集文件规定的时间完成项目，交付买方验收、使用。</w:t>
      </w:r>
      <w:r/>
    </w:p>
    <w:p>
      <w:pPr>
        <w:pStyle w:val="89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7.遵守征集文件中要求的收费项目和标准。</w:t>
      </w:r>
      <w:r/>
    </w:p>
    <w:p>
      <w:pPr>
        <w:pStyle w:val="897"/>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8.与本征集采购活动有关的正式通讯地址为：</w:t>
      </w:r>
      <w:r/>
    </w:p>
    <w:p>
      <w:pPr>
        <w:pStyle w:val="8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                         邮 编：</w:t>
      </w:r>
      <w:r/>
    </w:p>
    <w:p>
      <w:pPr>
        <w:pStyle w:val="8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                         传 真：</w:t>
      </w:r>
      <w:r/>
    </w:p>
    <w:p>
      <w:pPr>
        <w:pStyle w:val="8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供应商开户行：                  账 户： </w:t>
      </w:r>
      <w:r/>
    </w:p>
    <w:p>
      <w:pPr>
        <w:pStyle w:val="8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供应商名称（公章）：            </w:t>
      </w:r>
      <w:r/>
    </w:p>
    <w:p>
      <w:pPr>
        <w:pStyle w:val="897"/>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期：________年____月____日</w:t>
      </w:r>
      <w:r/>
    </w:p>
    <w:p>
      <w:pPr>
        <w:jc w:val="left"/>
        <w:spacing w:line="500" w:lineRule="exact"/>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en-US" w:eastAsia="zh-CN"/>
        </w:rPr>
        <w:t xml:space="preserve">八</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rPr>
        <w:t xml:space="preserve">其他资格证明材料</w:t>
      </w:r>
      <w:bookmarkStart w:id="283" w:name="_GoBack"/>
      <w:r/>
      <w:bookmarkEnd w:id="283"/>
      <w:r/>
      <w:r/>
    </w:p>
    <w:p>
      <w:pPr>
        <w:ind w:firstLine="560"/>
        <w:jc w:val="left"/>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对应本项目征集公告“二、申请人的资格要求”中“特定资格要求”的相应其他证明材料。</w:t>
      </w:r>
      <w:r/>
    </w:p>
    <w:p>
      <w:pPr>
        <w:ind w:firstLine="560"/>
        <w:keepLines w:val="0"/>
        <w:keepNext w:val="0"/>
        <w:pageBreakBefore w:val="0"/>
        <w:spacing w:line="480" w:lineRule="exact"/>
        <w:shd w:val="clear" w:color="auto"/>
        <w:widowControl/>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rPr>
        <w:t xml:space="preserve">.响应供应商须提供中小企业声明函，根据《中小企业划型标准规定》（工信部联企业〔2011〕300 号）文件规定，本项目属于</w:t>
      </w:r>
      <w:r>
        <w:rPr>
          <w:rFonts w:hint="eastAsia" w:ascii="仿宋" w:hAnsi="仿宋" w:eastAsia="仿宋" w:cs="Times New Roman"/>
          <w:color w:val="auto"/>
          <w:sz w:val="28"/>
          <w:szCs w:val="28"/>
          <w:highlight w:val="none"/>
          <w:u w:val="single"/>
        </w:rPr>
        <w:t xml:space="preserve"> </w:t>
      </w:r>
      <w:r>
        <w:rPr>
          <w:rFonts w:hint="eastAsia" w:ascii="仿宋" w:hAnsi="仿宋" w:eastAsia="仿宋" w:cs="Times New Roman"/>
          <w:color w:val="auto"/>
          <w:sz w:val="28"/>
          <w:szCs w:val="28"/>
          <w:highlight w:val="none"/>
          <w:u w:val="single"/>
          <w:lang w:val="en-US" w:eastAsia="zh-CN"/>
        </w:rPr>
        <w:t xml:space="preserve">其他未列明行业</w:t>
      </w:r>
      <w:r>
        <w:rPr>
          <w:rFonts w:hint="eastAsia" w:ascii="仿宋" w:hAnsi="仿宋" w:eastAsia="仿宋" w:cs="Times New Roman"/>
          <w:color w:val="auto"/>
          <w:sz w:val="28"/>
          <w:szCs w:val="28"/>
          <w:highlight w:val="none"/>
        </w:rPr>
        <w:t xml:space="preserve">。</w:t>
      </w:r>
      <w:r/>
    </w:p>
    <w:p>
      <w:pPr>
        <w:ind w:firstLine="560"/>
        <w:jc w:val="left"/>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供应商的法定代表人参加框架协议采购活动的，须在响应文件中提供法定代表人身份证明和身份证复印件；委托代理人参加招标活动的，还须在响应文件中提供法定代表人的授权委托书。代理人须为响应供应商的正式员工并为本项目负责人，提供2024年11月1日-2025年1月31日（连续）供应商为其缴纳社保的证明；新成立企业距截止日期不足30日的，可不提供缴纳社保的证明（以新办企业营业执照发放日期为准）。</w:t>
      </w:r>
      <w:r/>
    </w:p>
    <w:p>
      <w:pPr>
        <w:pStyle w:val="748"/>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pStyle w:val="748"/>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pStyle w:val="748"/>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pStyle w:val="748"/>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pStyle w:val="748"/>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pStyle w:val="748"/>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pStyle w:val="748"/>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pStyle w:val="748"/>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pStyle w:val="748"/>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br w:type="page" w:clear="all"/>
      </w:r>
      <w:r/>
    </w:p>
    <w:p>
      <w:pPr>
        <w:ind w:firstLine="560"/>
        <w:rPr>
          <w:rFonts w:ascii="仿宋" w:hAnsi="仿宋" w:eastAsia="仿宋"/>
          <w:b w:val="0"/>
          <w:bCs/>
          <w:color w:val="auto"/>
          <w:sz w:val="28"/>
          <w:szCs w:val="28"/>
          <w:highlight w:val="none"/>
        </w:rPr>
        <w:outlineLvl w:val="2"/>
      </w:pPr>
      <w:r>
        <w:rPr>
          <w:rFonts w:hint="eastAsia" w:ascii="仿宋" w:hAnsi="仿宋" w:eastAsia="仿宋" w:cs="仿宋"/>
          <w:b w:val="0"/>
          <w:bCs/>
          <w:color w:val="auto"/>
          <w:sz w:val="28"/>
          <w:szCs w:val="28"/>
          <w:highlight w:val="none"/>
        </w:rPr>
        <w:t xml:space="preserve">（十）</w:t>
      </w:r>
      <w:r>
        <w:rPr>
          <w:rFonts w:hint="eastAsia" w:ascii="仿宋" w:hAnsi="仿宋" w:eastAsia="仿宋"/>
          <w:b w:val="0"/>
          <w:bCs/>
          <w:color w:val="auto"/>
          <w:sz w:val="28"/>
          <w:szCs w:val="28"/>
          <w:highlight w:val="none"/>
        </w:rPr>
        <w:t xml:space="preserve">小微企业声明函</w:t>
      </w:r>
      <w:r/>
    </w:p>
    <w:p>
      <w:pPr>
        <w:jc w:val="center"/>
        <w:rPr>
          <w:rFonts w:ascii="仿宋" w:eastAsia="仿宋"/>
          <w:color w:val="auto"/>
          <w:sz w:val="36"/>
          <w:szCs w:val="36"/>
          <w:highlight w:val="none"/>
        </w:rPr>
      </w:pPr>
      <w:r>
        <w:rPr>
          <w:rFonts w:hint="eastAsia" w:ascii="仿宋" w:eastAsia="仿宋"/>
          <w:color w:val="auto"/>
          <w:sz w:val="36"/>
          <w:szCs w:val="36"/>
          <w:highlight w:val="none"/>
        </w:rPr>
        <w:t xml:space="preserve">中小企业声明函（工程、服务）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28"/>
          <w:szCs w:val="28"/>
          <w:highlight w:val="none"/>
          <w:u w:val="single"/>
        </w:rPr>
        <w:t xml:space="preserve"> 如皋市市场监督管理局</w:t>
      </w:r>
      <w:r>
        <w:rPr>
          <w:rFonts w:hint="eastAsia" w:ascii="仿宋" w:hAnsi="仿宋" w:eastAsia="仿宋"/>
          <w:color w:val="auto"/>
          <w:sz w:val="28"/>
          <w:szCs w:val="28"/>
          <w:highlight w:val="none"/>
        </w:rPr>
        <w:t xml:space="preserve"> 的</w:t>
      </w:r>
      <w:r>
        <w:rPr>
          <w:rFonts w:hint="eastAsia" w:ascii="仿宋" w:hAnsi="仿宋" w:eastAsia="仿宋"/>
          <w:i/>
          <w:color w:val="auto"/>
          <w:sz w:val="28"/>
          <w:szCs w:val="28"/>
          <w:highlight w:val="none"/>
          <w:u w:val="single"/>
        </w:rPr>
        <w:t xml:space="preserve"> </w:t>
      </w:r>
      <w:r>
        <w:rPr>
          <w:rFonts w:hint="eastAsia" w:ascii="仿宋" w:hAnsi="仿宋" w:eastAsia="仿宋"/>
          <w:i/>
          <w:color w:val="auto"/>
          <w:sz w:val="28"/>
          <w:szCs w:val="28"/>
          <w:highlight w:val="none"/>
          <w:u w:val="single"/>
          <w:lang w:eastAsia="zh-CN"/>
        </w:rPr>
        <w:t xml:space="preserve">202</w:t>
      </w:r>
      <w:r>
        <w:rPr>
          <w:rFonts w:hint="eastAsia" w:ascii="仿宋" w:hAnsi="仿宋" w:eastAsia="仿宋"/>
          <w:i/>
          <w:color w:val="auto"/>
          <w:sz w:val="28"/>
          <w:szCs w:val="28"/>
          <w:highlight w:val="none"/>
          <w:u w:val="single"/>
          <w:lang w:val="en-US" w:eastAsia="zh-CN"/>
        </w:rPr>
        <w:t xml:space="preserve">5</w:t>
      </w:r>
      <w:r>
        <w:rPr>
          <w:rFonts w:hint="eastAsia" w:ascii="仿宋" w:hAnsi="仿宋" w:eastAsia="仿宋"/>
          <w:i/>
          <w:color w:val="auto"/>
          <w:sz w:val="28"/>
          <w:szCs w:val="28"/>
          <w:highlight w:val="none"/>
          <w:u w:val="single"/>
          <w:lang w:eastAsia="zh-CN"/>
        </w:rPr>
        <w:t xml:space="preserve">年食品、食用农产品抽检项目</w:t>
      </w:r>
      <w:r>
        <w:rPr>
          <w:rFonts w:hint="eastAsia" w:ascii="仿宋" w:hAnsi="仿宋" w:eastAsia="仿宋"/>
          <w:i/>
          <w:color w:val="auto"/>
          <w:sz w:val="28"/>
          <w:szCs w:val="28"/>
          <w:highlight w:val="none"/>
          <w:u w:val="single"/>
        </w:rPr>
        <w:t xml:space="preserve"> </w:t>
      </w:r>
      <w:r>
        <w:rPr>
          <w:rFonts w:hint="eastAsia" w:ascii="仿宋" w:hAnsi="仿宋" w:eastAsia="仿宋"/>
          <w:color w:val="auto"/>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i/>
          <w:color w:val="auto"/>
          <w:sz w:val="28"/>
          <w:szCs w:val="28"/>
          <w:highlight w:val="none"/>
          <w:u w:val="single"/>
        </w:rPr>
        <w:t xml:space="preserve"> </w:t>
      </w:r>
      <w:r>
        <w:rPr>
          <w:rFonts w:hint="eastAsia" w:ascii="仿宋" w:hAnsi="仿宋" w:eastAsia="仿宋"/>
          <w:i/>
          <w:color w:val="auto"/>
          <w:sz w:val="28"/>
          <w:szCs w:val="28"/>
          <w:highlight w:val="none"/>
          <w:u w:val="single"/>
          <w:lang w:eastAsia="zh-CN"/>
        </w:rPr>
        <w:t xml:space="preserve">202</w:t>
      </w:r>
      <w:r>
        <w:rPr>
          <w:rFonts w:hint="eastAsia" w:ascii="仿宋" w:hAnsi="仿宋" w:eastAsia="仿宋"/>
          <w:i/>
          <w:color w:val="auto"/>
          <w:sz w:val="28"/>
          <w:szCs w:val="28"/>
          <w:highlight w:val="none"/>
          <w:u w:val="single"/>
          <w:lang w:val="en-US" w:eastAsia="zh-CN"/>
        </w:rPr>
        <w:t xml:space="preserve">5</w:t>
      </w:r>
      <w:r>
        <w:rPr>
          <w:rFonts w:hint="eastAsia" w:ascii="仿宋" w:hAnsi="仿宋" w:eastAsia="仿宋"/>
          <w:i/>
          <w:color w:val="auto"/>
          <w:sz w:val="28"/>
          <w:szCs w:val="28"/>
          <w:highlight w:val="none"/>
          <w:u w:val="single"/>
          <w:lang w:eastAsia="zh-CN"/>
        </w:rPr>
        <w:t xml:space="preserve">年食品、食用农产品抽检项目</w:t>
      </w:r>
      <w:r>
        <w:rPr>
          <w:rFonts w:hint="eastAsia" w:ascii="仿宋" w:hAnsi="仿宋" w:eastAsia="仿宋"/>
          <w:i/>
          <w:color w:val="auto"/>
          <w:sz w:val="28"/>
          <w:szCs w:val="28"/>
          <w:highlight w:val="none"/>
          <w:u w:val="single"/>
        </w:rPr>
        <w:t xml:space="preserve"> </w:t>
      </w:r>
      <w:r>
        <w:rPr>
          <w:rFonts w:hint="eastAsia" w:ascii="仿宋" w:hAnsi="仿宋" w:eastAsia="仿宋"/>
          <w:color w:val="auto"/>
          <w:sz w:val="28"/>
          <w:szCs w:val="28"/>
          <w:highlight w:val="none"/>
        </w:rPr>
        <w:t xml:space="preserve">，属于</w:t>
      </w:r>
      <w:r>
        <w:rPr>
          <w:rFonts w:hint="eastAsia" w:ascii="仿宋" w:hAnsi="仿宋" w:eastAsia="仿宋"/>
          <w:i/>
          <w:color w:val="auto"/>
          <w:sz w:val="28"/>
          <w:szCs w:val="28"/>
          <w:highlight w:val="none"/>
          <w:u w:val="single"/>
        </w:rPr>
        <w:t xml:space="preserve"> </w:t>
      </w:r>
      <w:r>
        <w:rPr>
          <w:rFonts w:hint="eastAsia" w:ascii="仿宋" w:hAnsi="仿宋" w:eastAsia="仿宋"/>
          <w:i/>
          <w:color w:val="auto"/>
          <w:sz w:val="28"/>
          <w:szCs w:val="28"/>
          <w:highlight w:val="none"/>
          <w:u w:val="single"/>
          <w:lang w:val="en-US" w:eastAsia="zh-CN"/>
        </w:rPr>
        <w:t xml:space="preserve">其他未列明行业</w:t>
      </w:r>
      <w:r>
        <w:rPr>
          <w:rFonts w:hint="eastAsia" w:ascii="仿宋" w:hAnsi="仿宋" w:eastAsia="仿宋"/>
          <w:color w:val="auto"/>
          <w:sz w:val="28"/>
          <w:szCs w:val="28"/>
          <w:highlight w:val="none"/>
        </w:rPr>
        <w:t xml:space="preserve"> ；承建（承接）企业为 </w:t>
      </w:r>
      <w:r>
        <w:rPr>
          <w:rFonts w:hint="eastAsia" w:ascii="仿宋" w:hAnsi="仿宋" w:eastAsia="仿宋"/>
          <w:i/>
          <w:color w:val="auto"/>
          <w:sz w:val="28"/>
          <w:szCs w:val="28"/>
          <w:highlight w:val="none"/>
          <w:u w:val="single"/>
        </w:rPr>
        <w:t xml:space="preserve">（企业名称）</w:t>
      </w:r>
      <w:r>
        <w:rPr>
          <w:rFonts w:hint="eastAsia" w:ascii="仿宋" w:hAnsi="仿宋" w:eastAsia="仿宋"/>
          <w:color w:val="auto"/>
          <w:sz w:val="28"/>
          <w:szCs w:val="28"/>
          <w:highlight w:val="none"/>
        </w:rPr>
        <w:t xml:space="preserve"> ，从业人员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w:t>
      </w:r>
      <w:r>
        <w:rPr>
          <w:rFonts w:hint="eastAsia" w:ascii="仿宋" w:hAnsi="仿宋" w:eastAsia="仿宋"/>
          <w:color w:val="auto"/>
          <w:sz w:val="28"/>
          <w:szCs w:val="28"/>
          <w:highlight w:val="none"/>
          <w:vertAlign w:val="superscript"/>
        </w:rPr>
        <w:t xml:space="preserve">1</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 （中型企业、小型企业、微型企业） </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firstLine="560"/>
        <w:jc w:val="righ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企业名称（盖章）：          </w:t>
      </w:r>
      <w:r/>
    </w:p>
    <w:p>
      <w:pPr>
        <w:ind w:firstLine="560"/>
        <w:jc w:val="righ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             </w:t>
      </w:r>
      <w:r/>
    </w:p>
    <w:p>
      <w:pPr>
        <w:spacing w:line="50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注1. 从业人员、营业收入、资产总额填报上一年度数据，无上一年度数据的新成立企业可不填报。</w:t>
      </w:r>
      <w:r/>
    </w:p>
    <w:p>
      <w:pPr>
        <w:spacing w:line="500" w:lineRule="exact"/>
        <w:rPr>
          <w:rFonts w:ascii="仿宋" w:hAnsi="仿宋" w:eastAsia="仿宋"/>
          <w:color w:val="auto"/>
          <w:sz w:val="28"/>
          <w:szCs w:val="28"/>
          <w:highlight w:val="none"/>
        </w:rPr>
      </w:pPr>
      <w:r>
        <w:rPr>
          <w:rFonts w:hint="eastAsia" w:ascii="仿宋" w:hAnsi="仿宋" w:eastAsia="仿宋" w:cs="仿宋"/>
          <w:color w:val="auto"/>
          <w:sz w:val="24"/>
          <w:szCs w:val="28"/>
          <w:highlight w:val="none"/>
        </w:rPr>
        <w:t xml:space="preserve">2. 投标人应将此声明函放在报价文件中，如不提供此声明函，价格将不做相应扣除。</w:t>
      </w:r>
      <w:r/>
    </w:p>
    <w:p>
      <w:pPr>
        <w:spacing w:line="500" w:lineRule="exact"/>
        <w:rPr>
          <w:rFonts w:ascii="仿宋" w:hAnsi="仿宋" w:eastAsia="仿宋" w:cs="仿宋"/>
          <w:b/>
          <w:color w:val="auto"/>
          <w:sz w:val="28"/>
          <w:szCs w:val="28"/>
          <w:highlight w:val="none"/>
        </w:rPr>
      </w:pPr>
      <w:r>
        <w:rPr>
          <w:rFonts w:hint="eastAsia" w:ascii="仿宋" w:hAnsi="仿宋" w:eastAsia="仿宋"/>
          <w:b/>
          <w:bCs/>
          <w:color w:val="auto"/>
          <w:sz w:val="24"/>
          <w:szCs w:val="28"/>
          <w:highlight w:val="none"/>
        </w:rPr>
        <w:t xml:space="preserve">3.</w:t>
      </w:r>
      <w:r>
        <w:rPr>
          <w:rFonts w:hint="eastAsia" w:ascii="仿宋" w:hAnsi="仿宋" w:eastAsia="仿宋" w:cs="仿宋"/>
          <w:b/>
          <w:bCs/>
          <w:color w:val="auto"/>
          <w:sz w:val="24"/>
          <w:szCs w:val="28"/>
          <w:highlight w:val="none"/>
        </w:rPr>
        <w:t xml:space="preserve">根据《中小企业划型标准规定》（工信部联企业〔2011〕300号）文件规定，本项目属于</w:t>
      </w:r>
      <w:r>
        <w:rPr>
          <w:rFonts w:hint="eastAsia" w:ascii="仿宋" w:hAnsi="仿宋" w:eastAsia="仿宋"/>
          <w:b/>
          <w:bCs/>
          <w:color w:val="auto"/>
          <w:sz w:val="24"/>
          <w:szCs w:val="28"/>
          <w:highlight w:val="none"/>
          <w:u w:val="single"/>
          <w:lang w:val="en-US" w:eastAsia="zh-CN"/>
        </w:rPr>
        <w:t xml:space="preserve">其他未列明</w:t>
      </w:r>
      <w:r>
        <w:rPr>
          <w:rFonts w:hint="eastAsia" w:ascii="仿宋" w:hAnsi="仿宋" w:eastAsia="仿宋" w:cs="仿宋"/>
          <w:b/>
          <w:bCs/>
          <w:color w:val="auto"/>
          <w:sz w:val="24"/>
          <w:szCs w:val="28"/>
          <w:highlight w:val="none"/>
        </w:rPr>
        <w:t xml:space="preserve">行业。</w:t>
      </w:r>
      <w:r>
        <w:rPr>
          <w:rFonts w:ascii="Calibri" w:hAnsi="Calibri"/>
          <w:color w:val="auto"/>
          <w:szCs w:val="22"/>
          <w:highlight w:val="none"/>
        </w:rPr>
        <w:br w:type="page" w:clear="all"/>
      </w:r>
      <w:r/>
    </w:p>
    <w:p>
      <w:pPr>
        <w:ind w:firstLine="562"/>
        <w:spacing w:line="500" w:lineRule="exac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注意：</w:t>
      </w:r>
      <w:r>
        <w:rPr>
          <w:rFonts w:hint="eastAsia" w:ascii="仿宋" w:hAnsi="仿宋" w:eastAsia="仿宋" w:cs="仿宋"/>
          <w:b/>
          <w:bCs/>
          <w:color w:val="auto"/>
          <w:sz w:val="28"/>
          <w:szCs w:val="28"/>
          <w:highlight w:val="none"/>
        </w:rPr>
        <w:t xml:space="preserve">以上所有资格证明文件必须加盖公章</w:t>
      </w:r>
      <w:r>
        <w:rPr>
          <w:rFonts w:hint="eastAsia" w:ascii="仿宋" w:hAnsi="仿宋" w:eastAsia="仿宋" w:cs="仿宋"/>
          <w:b/>
          <w:color w:val="auto"/>
          <w:sz w:val="28"/>
          <w:szCs w:val="28"/>
          <w:highlight w:val="none"/>
        </w:rPr>
        <w:t xml:space="preserve">；如供应商组成联合体参加投标，则联合体各方均须加盖公章，否则视为无效征集文件。</w:t>
      </w:r>
      <w:r/>
    </w:p>
    <w:p>
      <w:pPr>
        <w:pStyle w:val="740"/>
        <w:ind w:firstLine="560"/>
        <w:jc w:val="both"/>
        <w:spacing w:beforeAutospacing="0" w:afterAutospacing="0" w:line="500" w:lineRule="exact"/>
        <w:widowControl/>
        <w:rPr>
          <w:rFonts w:ascii="仿宋" w:hAnsi="仿宋" w:eastAsia="仿宋" w:cs="仿宋"/>
          <w:color w:val="auto"/>
          <w:sz w:val="28"/>
          <w:szCs w:val="28"/>
          <w:highlight w:val="none"/>
          <w:shd w:val="clear" w:color="auto" w:fill="ffffff"/>
        </w:rPr>
      </w:pPr>
      <w:r>
        <w:rPr>
          <w:rFonts w:ascii="仿宋" w:hAnsi="仿宋" w:eastAsia="仿宋" w:cs="仿宋"/>
          <w:color w:val="auto"/>
          <w:sz w:val="28"/>
          <w:szCs w:val="28"/>
          <w:highlight w:val="none"/>
          <w:shd w:val="clear" w:color="auto" w:fill="ffffff"/>
        </w:rPr>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56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、商务技术文件</w:t>
      </w:r>
      <w:bookmarkEnd w:id="261"/>
      <w:r/>
      <w:bookmarkEnd w:id="262"/>
      <w:r/>
      <w:bookmarkEnd w:id="263"/>
      <w:r/>
      <w:bookmarkEnd w:id="264"/>
      <w:r/>
      <w:bookmarkStart w:id="267" w:name="_Toc6475"/>
      <w:r/>
      <w:bookmarkEnd w:id="267"/>
      <w:r/>
      <w:r/>
    </w:p>
    <w:p>
      <w:pPr>
        <w:ind w:firstLine="560"/>
        <w:spacing w:line="500" w:lineRule="exact"/>
        <w:rPr>
          <w:rFonts w:hint="eastAsia" w:ascii="仿宋" w:hAnsi="仿宋" w:eastAsia="仿宋" w:cs="仿宋"/>
          <w:color w:val="auto"/>
          <w:highlight w:val="none"/>
        </w:rPr>
      </w:pPr>
      <w:r>
        <w:rPr>
          <w:rFonts w:hint="eastAsia" w:ascii="仿宋" w:hAnsi="仿宋" w:eastAsia="仿宋" w:cs="仿宋"/>
          <w:bCs/>
          <w:color w:val="auto"/>
          <w:sz w:val="28"/>
          <w:szCs w:val="28"/>
          <w:highlight w:val="none"/>
        </w:rPr>
        <w:t xml:space="preserve">（一）</w:t>
      </w:r>
      <w:bookmarkStart w:id="268" w:name="_Toc891"/>
      <w:r/>
      <w:bookmarkStart w:id="269" w:name="_Toc3311"/>
      <w:r/>
      <w:bookmarkStart w:id="270" w:name="_Toc21728"/>
      <w:r/>
      <w:bookmarkStart w:id="271" w:name="_Toc20283"/>
      <w:r/>
      <w:bookmarkStart w:id="272" w:name="_Toc7110"/>
      <w:r/>
      <w:bookmarkStart w:id="273" w:name="_Toc32326"/>
      <w:r/>
      <w:bookmarkStart w:id="274" w:name="_Toc18345"/>
      <w:r/>
      <w:bookmarkStart w:id="275" w:name="_Toc4961"/>
      <w:r/>
      <w:bookmarkStart w:id="276" w:name="_Toc5099"/>
      <w:r/>
      <w:bookmarkStart w:id="277" w:name="_Toc20585"/>
      <w:r/>
      <w:bookmarkStart w:id="278" w:name="_Toc11065"/>
      <w:r>
        <w:rPr>
          <w:rFonts w:hint="eastAsia" w:ascii="仿宋" w:hAnsi="仿宋" w:eastAsia="仿宋" w:cs="仿宋"/>
          <w:bCs/>
          <w:color w:val="auto"/>
          <w:sz w:val="28"/>
          <w:szCs w:val="28"/>
          <w:highlight w:val="none"/>
        </w:rPr>
        <w:t xml:space="preserve">评分索引表</w:t>
      </w:r>
      <w:bookmarkEnd w:id="268"/>
      <w:r/>
      <w:bookmarkEnd w:id="269"/>
      <w:r/>
      <w:bookmarkEnd w:id="270"/>
      <w:r/>
      <w:bookmarkEnd w:id="271"/>
      <w:r/>
      <w:bookmarkEnd w:id="272"/>
      <w:r/>
      <w:bookmarkEnd w:id="273"/>
      <w:r/>
      <w:bookmarkEnd w:id="274"/>
      <w:r/>
      <w:bookmarkEnd w:id="275"/>
      <w:r/>
      <w:bookmarkEnd w:id="276"/>
      <w:r/>
      <w:bookmarkEnd w:id="277"/>
      <w:r/>
      <w:bookmarkEnd w:id="278"/>
      <w:r>
        <w:rPr>
          <w:rFonts w:hint="eastAsia" w:ascii="仿宋" w:hAnsi="仿宋" w:eastAsia="仿宋" w:cs="仿宋"/>
          <w:color w:val="auto"/>
          <w:sz w:val="28"/>
          <w:szCs w:val="28"/>
          <w:highlight w:val="none"/>
        </w:rPr>
        <w:t xml:space="preserve">（用于综合评分）</w:t>
      </w:r>
      <w:r/>
    </w:p>
    <w:p>
      <w:pPr>
        <w:ind w:firstLine="641"/>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32"/>
          <w:szCs w:val="32"/>
          <w:highlight w:val="none"/>
        </w:rPr>
        <w:t xml:space="preserve">评分索引表</w:t>
      </w:r>
      <w:r/>
    </w:p>
    <w:tbl>
      <w:tblPr>
        <w:tblStyle w:val="712"/>
        <w:tblW w:w="5999" w:type="pct"/>
        <w:tblInd w:w="-69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50"/>
        <w:gridCol w:w="1487"/>
        <w:gridCol w:w="788"/>
        <w:gridCol w:w="3798"/>
        <w:gridCol w:w="2564"/>
        <w:gridCol w:w="938"/>
      </w:tblGrid>
      <w:tr>
        <w:trPr>
          <w:trHeight w:val="420"/>
        </w:trPr>
        <w:tc>
          <w:tcPr>
            <w:tcBorders>
              <w:top w:val="single" w:color="auto" w:sz="12" w:space="0"/>
              <w:left w:val="single" w:color="auto" w:sz="12" w:space="0"/>
              <w:bottom w:val="single" w:color="auto" w:sz="6" w:space="0"/>
              <w:right w:val="single" w:color="auto" w:sz="6" w:space="0"/>
            </w:tcBorders>
            <w:tcW w:w="65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48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8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37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564"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93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09"/>
        </w:trPr>
        <w:tc>
          <w:tcPr>
            <w:tcBorders>
              <w:top w:val="single" w:color="auto" w:sz="6" w:space="0"/>
              <w:left w:val="single" w:color="auto" w:sz="12" w:space="0"/>
              <w:right w:val="single" w:color="auto" w:sz="6" w:space="0"/>
            </w:tcBorders>
            <w:tcW w:w="65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6" w:space="0"/>
              <w:left w:val="single" w:color="auto" w:sz="6" w:space="0"/>
              <w:right w:val="single" w:color="auto" w:sz="6" w:space="0"/>
            </w:tcBorders>
            <w:tcW w:w="1487"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人员配备</w:t>
            </w:r>
            <w:r/>
          </w:p>
        </w:tc>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14分</w:t>
            </w:r>
            <w:r/>
          </w:p>
        </w:tc>
        <w:tc>
          <w:tcPr>
            <w:tcBorders>
              <w:top w:val="single" w:color="auto" w:sz="6" w:space="0"/>
              <w:left w:val="single" w:color="auto" w:sz="6" w:space="0"/>
              <w:bottom w:val="single" w:color="auto" w:sz="6" w:space="0"/>
              <w:right w:val="single" w:color="auto" w:sz="6" w:space="0"/>
            </w:tcBorders>
            <w:tcW w:w="3798" w:type="dxa"/>
            <w:vAlign w:val="center"/>
            <w:textDirection w:val="lrTb"/>
            <w:noWrap w:val="false"/>
          </w:tcPr>
          <w:p>
            <w:pPr>
              <w:jc w:val="left"/>
              <w:keepLines w:val="0"/>
              <w:keepNext w:val="0"/>
              <w:pageBreakBefore w:val="0"/>
              <w:spacing w:line="340" w:lineRule="exact"/>
              <w:widowControl w:val="off"/>
              <w:rPr>
                <w:rFonts w:hint="eastAsia" w:ascii="仿宋" w:hAnsi="仿宋" w:eastAsia="仿宋" w:cs="仿宋"/>
                <w:b w:val="0"/>
                <w:bCs/>
                <w:sz w:val="22"/>
                <w:szCs w:val="22"/>
                <w:highlight w:val="none"/>
                <w:lang w:val="en-US" w:eastAsia="zh-CN" w:bidi="ar-SA"/>
              </w:rPr>
            </w:pPr>
            <w:r>
              <w:rPr>
                <w:rFonts w:hint="eastAsia" w:ascii="仿宋" w:hAnsi="仿宋" w:eastAsia="仿宋" w:cs="仿宋"/>
                <w:b w:val="0"/>
                <w:bCs/>
                <w:sz w:val="22"/>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564" w:type="dxa"/>
            <w:vAlign w:val="top"/>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938" w:type="dxa"/>
            <w:vAlign w:val="top"/>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right w:val="single" w:color="auto" w:sz="6" w:space="0"/>
            </w:tcBorders>
            <w:tcW w:w="65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6" w:space="0"/>
              <w:left w:val="single" w:color="auto" w:sz="6" w:space="0"/>
              <w:right w:val="single" w:color="auto" w:sz="6" w:space="0"/>
            </w:tcBorders>
            <w:tcW w:w="1487"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设施投入</w:t>
            </w:r>
            <w:r/>
          </w:p>
        </w:tc>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22分</w:t>
            </w:r>
            <w:r/>
          </w:p>
        </w:tc>
        <w:tc>
          <w:tcPr>
            <w:tcBorders>
              <w:top w:val="single" w:color="auto" w:sz="6" w:space="0"/>
              <w:left w:val="single" w:color="auto" w:sz="6" w:space="0"/>
              <w:bottom w:val="single" w:color="auto" w:sz="6" w:space="0"/>
              <w:right w:val="single" w:color="auto" w:sz="6" w:space="0"/>
            </w:tcBorders>
            <w:tcW w:w="3798" w:type="dxa"/>
            <w:vAlign w:val="center"/>
            <w:textDirection w:val="lrTb"/>
            <w:noWrap w:val="false"/>
          </w:tcPr>
          <w:p>
            <w:pPr>
              <w:jc w:val="left"/>
              <w:keepLines w:val="0"/>
              <w:keepNext w:val="0"/>
              <w:pageBreakBefore w:val="0"/>
              <w:spacing w:line="340" w:lineRule="exact"/>
              <w:widowControl w:val="off"/>
              <w:rPr>
                <w:rFonts w:hint="eastAsia" w:ascii="仿宋" w:hAnsi="仿宋" w:eastAsia="仿宋" w:cs="仿宋"/>
                <w:b w:val="0"/>
                <w:bCs/>
                <w:sz w:val="22"/>
                <w:szCs w:val="22"/>
                <w:highlight w:val="none"/>
                <w:lang w:val="en-US" w:eastAsia="zh-CN" w:bidi="ar-SA"/>
              </w:rPr>
            </w:pPr>
            <w:r>
              <w:rPr>
                <w:rFonts w:hint="eastAsia" w:ascii="仿宋" w:hAnsi="仿宋" w:eastAsia="仿宋" w:cs="仿宋"/>
                <w:b w:val="0"/>
                <w:bCs/>
                <w:sz w:val="22"/>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564"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938"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5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样品送达时限</w:t>
            </w:r>
            <w:r/>
          </w:p>
        </w:tc>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5分</w:t>
            </w:r>
            <w:r/>
          </w:p>
        </w:tc>
        <w:tc>
          <w:tcPr>
            <w:tcBorders>
              <w:top w:val="single" w:color="auto" w:sz="6" w:space="0"/>
              <w:left w:val="single" w:color="auto" w:sz="6" w:space="0"/>
              <w:bottom w:val="single" w:color="auto" w:sz="6" w:space="0"/>
              <w:right w:val="single" w:color="auto" w:sz="6" w:space="0"/>
            </w:tcBorders>
            <w:tcW w:w="3798" w:type="dxa"/>
            <w:vAlign w:val="center"/>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2564"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938"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right w:val="single" w:color="auto" w:sz="6" w:space="0"/>
            </w:tcBorders>
            <w:tcW w:w="65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top w:val="single" w:color="auto" w:sz="6" w:space="0"/>
              <w:left w:val="single" w:color="auto" w:sz="6" w:space="0"/>
              <w:right w:val="single" w:color="auto" w:sz="6" w:space="0"/>
            </w:tcBorders>
            <w:tcW w:w="1487"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应急响应及保障措施</w:t>
            </w:r>
            <w:r/>
          </w:p>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12分</w:t>
            </w:r>
            <w:r/>
          </w:p>
        </w:tc>
        <w:tc>
          <w:tcPr>
            <w:tcBorders>
              <w:top w:val="single" w:color="auto" w:sz="6" w:space="0"/>
              <w:left w:val="single" w:color="auto" w:sz="6" w:space="0"/>
              <w:bottom w:val="single" w:color="auto" w:sz="6" w:space="0"/>
              <w:right w:val="single" w:color="auto" w:sz="6" w:space="0"/>
            </w:tcBorders>
            <w:tcW w:w="3798" w:type="dxa"/>
            <w:vAlign w:val="center"/>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2564"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938"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left w:val="single" w:color="auto" w:sz="12" w:space="0"/>
              <w:right w:val="single" w:color="auto" w:sz="6" w:space="0"/>
            </w:tcBorders>
            <w:tcW w:w="65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left w:val="single" w:color="auto" w:sz="6" w:space="0"/>
              <w:right w:val="single" w:color="auto" w:sz="6" w:space="0"/>
            </w:tcBorders>
            <w:tcW w:w="1487"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企业实力</w:t>
            </w:r>
            <w:r/>
          </w:p>
        </w:tc>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21分</w:t>
            </w:r>
            <w:r/>
          </w:p>
        </w:tc>
        <w:tc>
          <w:tcPr>
            <w:tcBorders>
              <w:top w:val="single" w:color="auto" w:sz="6" w:space="0"/>
              <w:left w:val="single" w:color="auto" w:sz="6" w:space="0"/>
              <w:bottom w:val="single" w:color="auto" w:sz="6" w:space="0"/>
              <w:right w:val="single" w:color="auto" w:sz="6" w:space="0"/>
            </w:tcBorders>
            <w:tcW w:w="3798" w:type="dxa"/>
            <w:vAlign w:val="center"/>
            <w:textDirection w:val="lrTb"/>
            <w:noWrap w:val="false"/>
          </w:tcPr>
          <w:p>
            <w:pPr>
              <w:jc w:val="left"/>
              <w:keepLines w:val="0"/>
              <w:keepNext w:val="0"/>
              <w:pageBreakBefore w:val="0"/>
              <w:spacing w:line="340" w:lineRule="exact"/>
              <w:widowControl w:val="off"/>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2564"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938"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left w:val="single" w:color="auto" w:sz="12" w:space="0"/>
              <w:right w:val="single" w:color="auto" w:sz="6" w:space="0"/>
            </w:tcBorders>
            <w:tcW w:w="65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left w:val="single" w:color="auto" w:sz="6" w:space="0"/>
              <w:right w:val="single" w:color="auto" w:sz="6" w:space="0"/>
            </w:tcBorders>
            <w:tcW w:w="1487"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工作业绩</w:t>
            </w:r>
            <w:r/>
          </w:p>
        </w:tc>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rPr>
              <w:t xml:space="preserve">26分</w:t>
            </w:r>
            <w:r/>
          </w:p>
        </w:tc>
        <w:tc>
          <w:tcPr>
            <w:tcBorders>
              <w:top w:val="single" w:color="auto" w:sz="6" w:space="0"/>
              <w:left w:val="single" w:color="auto" w:sz="6" w:space="0"/>
              <w:bottom w:val="single" w:color="auto" w:sz="6" w:space="0"/>
              <w:right w:val="single" w:color="auto" w:sz="6" w:space="0"/>
            </w:tcBorders>
            <w:tcW w:w="3798" w:type="dxa"/>
            <w:vAlign w:val="center"/>
            <w:textDirection w:val="lrTb"/>
            <w:noWrap w:val="false"/>
          </w:tcPr>
          <w:p>
            <w:pPr>
              <w:jc w:val="left"/>
              <w:keepLines w:val="0"/>
              <w:keepNext w:val="0"/>
              <w:pageBreakBefore w:val="0"/>
              <w:spacing w:line="34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564"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938" w:type="dxa"/>
            <w:vAlign w:val="top"/>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spacing w:line="500" w:lineRule="exact"/>
        <w:rPr>
          <w:rFonts w:ascii="仿宋" w:hAnsi="仿宋" w:eastAsia="仿宋" w:cs="仿宋"/>
          <w:bCs/>
          <w:color w:val="auto"/>
          <w:sz w:val="28"/>
          <w:szCs w:val="28"/>
          <w:highlight w:val="none"/>
        </w:rPr>
      </w:pPr>
      <w:r>
        <w:rPr>
          <w:rFonts w:hint="eastAsia" w:ascii="仿宋" w:hAnsi="仿宋" w:eastAsia="仿宋" w:cs="仿宋"/>
          <w:color w:val="auto"/>
          <w:szCs w:val="21"/>
          <w:highlight w:val="none"/>
        </w:rPr>
        <w:t xml:space="preserve">注：按照征集文件要求详细填列，可增减行。</w:t>
      </w:r>
      <w:r/>
    </w:p>
    <w:p>
      <w:pPr>
        <w:ind w:firstLine="56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eastAsia="zh-CN"/>
        </w:rPr>
        <w:t xml:space="preserve">二</w:t>
      </w:r>
      <w:r>
        <w:rPr>
          <w:rFonts w:hint="eastAsia" w:ascii="仿宋" w:hAnsi="仿宋" w:eastAsia="仿宋" w:cs="仿宋"/>
          <w:bCs/>
          <w:color w:val="auto"/>
          <w:sz w:val="28"/>
          <w:szCs w:val="28"/>
          <w:highlight w:val="none"/>
        </w:rPr>
        <w:t xml:space="preserve">）商务部分正负偏离表</w:t>
      </w:r>
      <w:r/>
    </w:p>
    <w:p>
      <w:pPr>
        <w:jc w:val="center"/>
        <w:spacing w:line="5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商务部分正负偏离表</w:t>
      </w:r>
      <w:r/>
    </w:p>
    <w:p>
      <w:pPr>
        <w:spacing w:line="500" w:lineRule="exact"/>
        <w:rPr>
          <w:rFonts w:ascii="宋体" w:hAnsi="宋体" w:eastAsia="宋体" w:cs="宋体"/>
          <w:color w:val="auto"/>
          <w:sz w:val="24"/>
          <w:highlight w:val="none"/>
        </w:rPr>
      </w:pPr>
      <w:r>
        <w:rPr>
          <w:rFonts w:hint="eastAsia" w:ascii="仿宋" w:hAnsi="仿宋" w:eastAsia="仿宋" w:cs="仿宋"/>
          <w:color w:val="auto"/>
          <w:sz w:val="24"/>
          <w:highlight w:val="none"/>
        </w:rPr>
        <w:t xml:space="preserve">供应商全称（加盖公章）： </w:t>
      </w:r>
      <w:r>
        <w:rPr>
          <w:rFonts w:hint="eastAsia" w:ascii="宋体" w:hAnsi="宋体" w:eastAsia="宋体" w:cs="宋体"/>
          <w:color w:val="auto"/>
          <w:sz w:val="24"/>
          <w:highlight w:val="none"/>
        </w:rPr>
        <w:t xml:space="preserve"> </w:t>
      </w:r>
      <w:r/>
    </w:p>
    <w:tbl>
      <w:tblPr>
        <w:tblStyle w:val="71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4"/>
        <w:gridCol w:w="1680"/>
        <w:gridCol w:w="2775"/>
        <w:gridCol w:w="1276"/>
        <w:gridCol w:w="1276"/>
        <w:gridCol w:w="901"/>
      </w:tblGrid>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before="156"/>
              <w:rPr>
                <w:rFonts w:hint="eastAsia"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56"/>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spacing w:before="156"/>
              <w:rPr>
                <w:rFonts w:ascii="仿宋" w:hAnsi="仿宋" w:eastAsia="仿宋"/>
                <w:sz w:val="24"/>
                <w:highlight w:val="none"/>
              </w:rPr>
            </w:pPr>
            <w:r>
              <w:rPr>
                <w:rFonts w:hint="eastAsia" w:ascii="仿宋" w:hAnsi="仿宋" w:eastAsia="仿宋"/>
                <w:sz w:val="24"/>
                <w:highlight w:val="none"/>
                <w:lang w:val="en-US" w:eastAsia="zh-CN"/>
              </w:rPr>
              <w:t xml:space="preserve">征集</w:t>
            </w:r>
            <w:r>
              <w:rPr>
                <w:rFonts w:hint="eastAsia" w:ascii="仿宋" w:hAnsi="仿宋" w:eastAsia="仿宋"/>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156"/>
              <w:rPr>
                <w:rFonts w:ascii="仿宋" w:hAnsi="仿宋" w:eastAsia="仿宋"/>
                <w:sz w:val="24"/>
                <w:highlight w:val="none"/>
              </w:rPr>
            </w:pPr>
            <w:r>
              <w:rPr>
                <w:rFonts w:hint="eastAsia" w:ascii="仿宋" w:hAnsi="仿宋" w:eastAsia="仿宋"/>
                <w:color w:val="000000"/>
                <w:sz w:val="24"/>
                <w:highlight w:val="none"/>
                <w:lang w:val="en-US" w:eastAsia="zh-CN"/>
              </w:rPr>
              <w:t xml:space="preserve">投标文件</w:t>
            </w:r>
            <w:r>
              <w:rPr>
                <w:rFonts w:hint="eastAsia" w:ascii="仿宋" w:hAnsi="仿宋" w:eastAsia="仿宋"/>
                <w:color w:val="000000"/>
                <w:sz w:val="24"/>
                <w:highlight w:val="none"/>
              </w:rPr>
              <w:t xml:space="preserve">具体情况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before="156"/>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56"/>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服务期限</w:t>
            </w:r>
            <w:r/>
          </w:p>
        </w:tc>
        <w:tc>
          <w:tcPr>
            <w:tcBorders>
              <w:top w:val="single" w:color="auto" w:sz="4" w:space="0"/>
              <w:left w:val="single" w:color="auto" w:sz="4" w:space="0"/>
              <w:bottom w:val="single" w:color="auto" w:sz="4" w:space="0"/>
              <w:right w:val="single" w:color="auto" w:sz="4" w:space="0"/>
            </w:tcBorders>
            <w:tcW w:w="2775" w:type="dxa"/>
            <w:vAlign w:val="top"/>
            <w:textDirection w:val="lrTb"/>
            <w:noWrap w:val="false"/>
          </w:tcPr>
          <w:p>
            <w:pPr>
              <w:pStyle w:val="740"/>
              <w:jc w:val="both"/>
              <w:spacing w:beforeAutospacing="0" w:afterAutospacing="0" w:line="500" w:lineRule="exact"/>
              <w:widowControl/>
              <w:rPr>
                <w:rFonts w:ascii="仿宋" w:hAnsi="仿宋" w:eastAsia="仿宋"/>
                <w:sz w:val="24"/>
                <w:highlight w:val="none"/>
              </w:rPr>
            </w:pPr>
            <w:r>
              <w:rPr>
                <w:rFonts w:hint="eastAsia" w:ascii="仿宋" w:hAnsi="仿宋" w:eastAsia="仿宋" w:cs="仿宋"/>
                <w:color w:val="auto"/>
                <w:sz w:val="24"/>
                <w:szCs w:val="24"/>
                <w:highlight w:val="none"/>
                <w:lang w:val="en-US" w:eastAsia="zh-CN" w:bidi="ar-SA"/>
              </w:rPr>
              <w:t xml:space="preserve">自合同签订后至2025年11月30日止，具体时间应结合工作进展，时间以采购人通知为准。</w:t>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before="156"/>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56"/>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2775" w:type="dxa"/>
            <w:vAlign w:val="top"/>
            <w:textDirection w:val="lrTb"/>
            <w:noWrap w:val="false"/>
          </w:tcPr>
          <w:p>
            <w:pPr>
              <w:spacing w:before="156"/>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vAlign w:val="top"/>
            <w:textDirection w:val="lrTb"/>
            <w:noWrap w:val="false"/>
          </w:tcPr>
          <w:p>
            <w:pPr>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before="156"/>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56"/>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2775"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任务完成结算抽检费用，抽样检测费用为供应商成交单价*实际抽样检测批次数。</w:t>
            </w:r>
            <w:r/>
          </w:p>
          <w:p>
            <w:pPr>
              <w:spacing w:line="400" w:lineRule="exact"/>
              <w:rPr>
                <w:rFonts w:ascii="仿宋" w:hAnsi="仿宋" w:eastAsia="仿宋"/>
                <w:sz w:val="24"/>
                <w:highlight w:val="none"/>
              </w:rPr>
            </w:pPr>
            <w:r>
              <w:rPr>
                <w:rFonts w:hint="eastAsia" w:ascii="仿宋" w:hAnsi="仿宋" w:eastAsia="仿宋" w:cs="仿宋"/>
                <w:color w:val="auto"/>
                <w:sz w:val="24"/>
                <w:highlight w:val="none"/>
              </w:rPr>
              <w:t xml:space="preserve">根据现行税法对采购人征收的与本合同有关的一切税费均由采购人承担；根据现行税法对成交人征收的与本合同有关的一切税费均由成交人承担。每次支付前，成交人均应出具正式发票。</w:t>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right w:val="single" w:color="auto" w:sz="4" w:space="0"/>
            </w:tcBorders>
            <w:tcW w:w="614" w:type="dxa"/>
            <w:vAlign w:val="center"/>
            <w:vMerge w:val="restart"/>
            <w:textDirection w:val="lrTb"/>
            <w:noWrap w:val="false"/>
          </w:tcPr>
          <w:p>
            <w:pPr>
              <w:jc w:val="center"/>
              <w:spacing w:before="156"/>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top w:val="single" w:color="auto" w:sz="4" w:space="0"/>
              <w:left w:val="single" w:color="auto" w:sz="4" w:space="0"/>
              <w:right w:val="single" w:color="auto" w:sz="4" w:space="0"/>
            </w:tcBorders>
            <w:tcW w:w="1680" w:type="dxa"/>
            <w:vAlign w:val="center"/>
            <w:vMerge w:val="restart"/>
            <w:textDirection w:val="lrTb"/>
            <w:noWrap w:val="false"/>
          </w:tcPr>
          <w:p>
            <w:pPr>
              <w:jc w:val="center"/>
              <w:spacing w:before="156"/>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2775"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报价应包含服务期内</w:t>
            </w:r>
            <w:r>
              <w:rPr>
                <w:rFonts w:hint="eastAsia" w:ascii="仿宋" w:hAnsi="仿宋" w:eastAsia="仿宋" w:cs="仿宋"/>
                <w:color w:val="auto"/>
                <w:sz w:val="24"/>
                <w:highlight w:val="none"/>
                <w:lang w:val="en-US" w:eastAsia="zh-CN"/>
              </w:rPr>
              <w:t xml:space="preserve">所有</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lang w:val="en-US" w:eastAsia="zh-CN"/>
              </w:rPr>
              <w:t xml:space="preserve">材料、检测、人工、机械、运输、税费、安全费、</w:t>
            </w:r>
            <w:r>
              <w:rPr>
                <w:rFonts w:hint="eastAsia" w:ascii="仿宋" w:hAnsi="仿宋" w:eastAsia="仿宋" w:cs="仿宋"/>
                <w:color w:val="auto"/>
                <w:sz w:val="24"/>
                <w:highlight w:val="none"/>
              </w:rPr>
              <w:t xml:space="preserve">采购代理服务等一切与本项目相关的费用。</w:t>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r>
      <w:tr>
        <w:trPr/>
        <w:tc>
          <w:tcPr>
            <w:tcBorders>
              <w:left w:val="single" w:color="auto" w:sz="4" w:space="0"/>
              <w:bottom w:val="single" w:color="auto" w:sz="4" w:space="0"/>
              <w:right w:val="single" w:color="auto" w:sz="4" w:space="0"/>
            </w:tcBorders>
            <w:tcW w:w="614" w:type="dxa"/>
            <w:vAlign w:val="center"/>
            <w:vMerge w:val="continue"/>
            <w:textDirection w:val="lrTb"/>
            <w:noWrap w:val="false"/>
          </w:tcPr>
          <w:p>
            <w:pPr>
              <w:jc w:val="center"/>
              <w:spacing w:before="156"/>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tc>
        <w:tc>
          <w:tcPr>
            <w:tcBorders>
              <w:left w:val="single" w:color="auto" w:sz="4" w:space="0"/>
              <w:right w:val="single" w:color="auto" w:sz="4" w:space="0"/>
            </w:tcBorders>
            <w:tcW w:w="1680" w:type="dxa"/>
            <w:vAlign w:val="center"/>
            <w:vMerge w:val="continue"/>
            <w:textDirection w:val="lrTb"/>
            <w:noWrap w:val="false"/>
          </w:tcPr>
          <w:p>
            <w:pPr>
              <w:jc w:val="center"/>
              <w:spacing w:before="156"/>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775"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供应商应对采购文件内的全部内容进行响应，采购文件未列明，而供应商认为其他必需的费用也需列入单价中。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vAlign w:val="top"/>
            <w:textDirection w:val="lrTb"/>
            <w:noWrap w:val="false"/>
          </w:tcPr>
          <w:p>
            <w:pPr>
              <w:ind w:left="43"/>
              <w:spacing w:before="156"/>
              <w:rPr>
                <w:rFonts w:ascii="仿宋" w:hAnsi="仿宋" w:eastAsia="仿宋"/>
                <w:sz w:val="24"/>
                <w:highlight w:val="none"/>
              </w:rPr>
            </w:pPr>
            <w:r>
              <w:rPr>
                <w:rFonts w:ascii="仿宋" w:hAnsi="仿宋" w:eastAsia="仿宋"/>
                <w:sz w:val="24"/>
                <w:highlight w:val="none"/>
              </w:rPr>
            </w:r>
            <w:r/>
          </w:p>
        </w:tc>
      </w:tr>
    </w:tbl>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法定代表人或授权代表签字：</w:t>
      </w:r>
      <w:r/>
    </w:p>
    <w:p>
      <w:pPr>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注：1、按照征集文件要求详细填列，可增减行。</w:t>
      </w:r>
      <w:r/>
    </w:p>
    <w:p>
      <w:pPr>
        <w:ind w:right="561" w:firstLine="560"/>
        <w:jc w:val="left"/>
        <w:spacing w:line="500" w:lineRule="exact"/>
        <w:rPr>
          <w:rFonts w:ascii="仿宋" w:hAnsi="仿宋" w:eastAsia="仿宋" w:cs="仿宋"/>
          <w:color w:val="auto"/>
          <w:sz w:val="28"/>
          <w:szCs w:val="28"/>
          <w:highlight w:val="none"/>
        </w:rPr>
      </w:pPr>
      <w:r>
        <w:rPr>
          <w:rFonts w:hint="eastAsia" w:ascii="宋体" w:hAnsi="宋体" w:eastAsia="宋体" w:cs="宋体"/>
          <w:color w:val="auto"/>
          <w:sz w:val="28"/>
          <w:szCs w:val="28"/>
          <w:highlight w:val="none"/>
        </w:rPr>
        <w:br w:type="page" w:clear="all"/>
      </w:r>
      <w:r/>
    </w:p>
    <w:p>
      <w:pPr>
        <w:ind w:right="561" w:firstLine="560"/>
        <w:jc w:val="left"/>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四</w:t>
      </w:r>
      <w:r>
        <w:rPr>
          <w:rFonts w:hint="eastAsia" w:ascii="仿宋" w:hAnsi="仿宋" w:eastAsia="仿宋" w:cs="仿宋"/>
          <w:color w:val="auto"/>
          <w:sz w:val="28"/>
          <w:szCs w:val="28"/>
          <w:highlight w:val="none"/>
        </w:rPr>
        <w:t xml:space="preserve">）其它需要提交的商务技术征集文件材料（格式自拟）</w:t>
      </w:r>
      <w:r/>
    </w:p>
    <w:p>
      <w:pPr>
        <w:ind w:right="561" w:firstLine="560"/>
        <w:jc w:val="left"/>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1、供应商按“评分标准表（如有）”中的所有打分项按顺序逐一响应并提供的证明文件。</w:t>
      </w:r>
      <w:r/>
    </w:p>
    <w:p>
      <w:pPr>
        <w:ind w:firstLine="560"/>
        <w:jc w:val="left"/>
        <w:keepLines w:val="0"/>
        <w:keepNext w:val="0"/>
        <w:pageBreakBefore w:val="0"/>
        <w:spacing w:line="520" w:lineRule="exact"/>
        <w:widowControl w:val="off"/>
        <w:rPr>
          <w:rFonts w:hint="eastAsia" w:ascii="仿宋" w:hAnsi="仿宋" w:eastAsia="仿宋" w:cs="仿宋"/>
          <w:b/>
          <w:bCs/>
          <w:color w:val="ff0000"/>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b/>
          <w:bCs/>
          <w:color w:val="auto"/>
          <w:sz w:val="28"/>
          <w:szCs w:val="28"/>
          <w:highlight w:val="none"/>
          <w:lang w:eastAsia="zh-CN"/>
        </w:rPr>
        <w:t xml:space="preserve">供应商必须具备承担项目任务涉及到的所有检验项目的CMA资质（有效期内）</w:t>
      </w:r>
      <w:r>
        <w:rPr>
          <w:rFonts w:hint="eastAsia" w:ascii="仿宋" w:hAnsi="仿宋" w:eastAsia="仿宋" w:cs="仿宋"/>
          <w:color w:val="auto"/>
          <w:sz w:val="28"/>
          <w:szCs w:val="28"/>
          <w:highlight w:val="none"/>
          <w:lang w:eastAsia="zh-CN"/>
        </w:rPr>
        <w:t xml:space="preserve">，检验项目的检验方法需与食品安全国家标准、食品安全江苏省地方标准或国家市场监督管理总局《食品安全监督抽检实施细则》（2024年版）要求一致，方有资格承担该任务。</w:t>
      </w:r>
      <w:r>
        <w:rPr>
          <w:rFonts w:hint="eastAsia" w:ascii="仿宋" w:hAnsi="仿宋" w:eastAsia="仿宋" w:cs="仿宋"/>
          <w:b/>
          <w:bCs/>
          <w:color w:val="auto"/>
          <w:sz w:val="28"/>
          <w:szCs w:val="28"/>
          <w:highlight w:val="none"/>
          <w:lang w:eastAsia="zh-CN"/>
        </w:rPr>
        <w:t xml:space="preserve">响应文件中须</w:t>
      </w:r>
      <w:r>
        <w:rPr>
          <w:rFonts w:hint="eastAsia" w:ascii="仿宋" w:hAnsi="仿宋" w:eastAsia="仿宋" w:cs="仿宋"/>
          <w:b/>
          <w:bCs/>
          <w:color w:val="auto"/>
          <w:sz w:val="28"/>
          <w:szCs w:val="28"/>
          <w:highlight w:val="none"/>
          <w:lang w:val="en-US" w:eastAsia="zh-CN"/>
        </w:rPr>
        <w:t xml:space="preserve">提供资质证书复印件加盖响应供应商公章</w:t>
      </w:r>
      <w:r>
        <w:rPr>
          <w:rFonts w:hint="eastAsia" w:ascii="仿宋" w:hAnsi="仿宋" w:eastAsia="仿宋" w:cs="仿宋"/>
          <w:b/>
          <w:bCs/>
          <w:color w:val="auto"/>
          <w:sz w:val="28"/>
          <w:szCs w:val="28"/>
          <w:highlight w:val="none"/>
          <w:lang w:eastAsia="zh-CN"/>
        </w:rPr>
        <w:t xml:space="preserve">。</w:t>
      </w:r>
      <w:r/>
    </w:p>
    <w:p>
      <w:pPr>
        <w:ind w:firstLine="562"/>
        <w:jc w:val="left"/>
        <w:keepLines w:val="0"/>
        <w:keepNext w:val="0"/>
        <w:pageBreakBefore w:val="0"/>
        <w:spacing w:line="520" w:lineRule="exact"/>
        <w:widowControl w:val="off"/>
        <w:rPr>
          <w:rFonts w:hint="eastAsia" w:ascii="仿宋" w:hAnsi="仿宋" w:eastAsia="仿宋" w:cs="仿宋"/>
          <w:b/>
          <w:bCs/>
          <w:color w:val="ff0000"/>
          <w:sz w:val="28"/>
          <w:szCs w:val="28"/>
          <w:highlight w:val="none"/>
          <w:lang w:eastAsia="zh-CN"/>
        </w:rPr>
      </w:pPr>
      <w:r>
        <w:rPr>
          <w:rFonts w:hint="eastAsia" w:ascii="仿宋" w:hAnsi="仿宋" w:eastAsia="仿宋" w:cs="仿宋"/>
          <w:b/>
          <w:sz w:val="28"/>
          <w:szCs w:val="28"/>
          <w:highlight w:val="none"/>
          <w:lang w:val="en-US" w:eastAsia="zh-CN"/>
        </w:rPr>
        <w:t xml:space="preserve">3、</w:t>
      </w:r>
      <w:r>
        <w:rPr>
          <w:rFonts w:hint="eastAsia" w:ascii="仿宋" w:hAnsi="仿宋" w:eastAsia="仿宋" w:cs="仿宋"/>
          <w:b/>
          <w:bCs/>
          <w:sz w:val="28"/>
          <w:szCs w:val="28"/>
          <w:highlight w:val="none"/>
        </w:rPr>
        <w:t xml:space="preserve">不合格食品发现率应高于上一年度全省平均水平。</w:t>
      </w:r>
      <w:r>
        <w:rPr>
          <w:rFonts w:hint="eastAsia" w:ascii="仿宋" w:hAnsi="仿宋" w:eastAsia="仿宋" w:cs="仿宋"/>
          <w:b/>
          <w:bCs/>
          <w:color w:val="auto"/>
          <w:sz w:val="28"/>
          <w:szCs w:val="28"/>
          <w:highlight w:val="none"/>
          <w:lang w:eastAsia="zh-CN"/>
        </w:rPr>
        <w:t xml:space="preserve">响应文件须</w:t>
      </w:r>
      <w:r>
        <w:rPr>
          <w:rFonts w:hint="eastAsia" w:ascii="仿宋" w:hAnsi="仿宋" w:eastAsia="仿宋" w:cs="仿宋"/>
          <w:b/>
          <w:bCs/>
          <w:color w:val="auto"/>
          <w:sz w:val="28"/>
          <w:szCs w:val="28"/>
          <w:highlight w:val="none"/>
          <w:lang w:val="en-US" w:eastAsia="zh-CN"/>
        </w:rPr>
        <w:t xml:space="preserve">提供承诺书加盖响应供应商公章，承诺书格式自拟</w:t>
      </w:r>
      <w:r>
        <w:rPr>
          <w:rFonts w:hint="eastAsia" w:ascii="仿宋" w:hAnsi="仿宋" w:eastAsia="仿宋" w:cs="仿宋"/>
          <w:b/>
          <w:bCs/>
          <w:color w:val="auto"/>
          <w:sz w:val="28"/>
          <w:szCs w:val="28"/>
          <w:highlight w:val="none"/>
          <w:lang w:eastAsia="zh-CN"/>
        </w:rPr>
        <w:t xml:space="preserve">。</w:t>
      </w:r>
      <w:r/>
    </w:p>
    <w:p>
      <w:pPr>
        <w:pStyle w:val="742"/>
        <w:ind w:firstLine="480"/>
        <w:spacing w:line="500" w:lineRule="exact"/>
        <w:rPr>
          <w:rFonts w:ascii="仿宋" w:hAnsi="仿宋" w:eastAsia="仿宋" w:cs="仿宋"/>
          <w:color w:val="auto"/>
          <w:highlight w:val="none"/>
        </w:rPr>
      </w:pPr>
      <w:r>
        <w:rPr>
          <w:rFonts w:ascii="仿宋" w:hAnsi="仿宋" w:eastAsia="仿宋" w:cs="仿宋"/>
          <w:color w:val="auto"/>
          <w:highlight w:val="none"/>
        </w:rPr>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21"/>
        <w:spacing w:line="420" w:lineRule="exac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注意：以上商务及技术文件所有涉及证明文件复印件必须加盖公章；</w:t>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00" w:lineRule="exact"/>
        <w:rPr>
          <w:rFonts w:ascii="宋体" w:hAnsi="宋体" w:eastAsia="宋体" w:cs="宋体"/>
          <w:bCs/>
          <w:color w:val="auto"/>
          <w:sz w:val="28"/>
          <w:szCs w:val="28"/>
          <w:highlight w:val="none"/>
        </w:rPr>
      </w:pPr>
      <w:r>
        <w:rPr>
          <w:rFonts w:hint="eastAsia" w:ascii="仿宋" w:hAnsi="仿宋" w:eastAsia="仿宋" w:cs="仿宋"/>
          <w:bCs/>
          <w:color w:val="auto"/>
          <w:sz w:val="28"/>
          <w:szCs w:val="28"/>
          <w:highlight w:val="none"/>
        </w:rPr>
        <w:br w:type="page" w:clear="all"/>
      </w:r>
      <w:bookmarkStart w:id="279" w:name="_Toc25857"/>
      <w:r/>
      <w:bookmarkStart w:id="280" w:name="_Toc13152"/>
      <w:r/>
      <w:bookmarkStart w:id="281" w:name="_Toc24413"/>
      <w:r/>
      <w:bookmarkStart w:id="282" w:name="_Toc30229"/>
      <w:r>
        <w:rPr>
          <w:rFonts w:hint="eastAsia" w:ascii="仿宋" w:hAnsi="仿宋" w:eastAsia="仿宋" w:cs="仿宋"/>
          <w:bCs/>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、投标报价文件</w:t>
      </w:r>
      <w:bookmarkEnd w:id="279"/>
      <w:r/>
      <w:bookmarkEnd w:id="280"/>
      <w:r/>
      <w:bookmarkEnd w:id="281"/>
      <w:r/>
      <w:bookmarkEnd w:id="282"/>
      <w:r/>
      <w:r/>
    </w:p>
    <w:p>
      <w:pPr>
        <w:ind w:firstLine="560"/>
        <w:spacing w:line="500" w:lineRule="exact"/>
        <w:rPr>
          <w:rFonts w:ascii="仿宋" w:hAnsi="仿宋" w:eastAsia="仿宋" w:cs="仿宋"/>
          <w:bCs/>
          <w:color w:val="auto"/>
          <w:sz w:val="28"/>
          <w:szCs w:val="28"/>
          <w:highlight w:val="none"/>
        </w:rPr>
      </w:pPr>
      <w:r>
        <w:rPr>
          <w:rFonts w:hint="eastAsia" w:ascii="宋体" w:hAnsi="宋体" w:eastAsia="宋体" w:cs="宋体"/>
          <w:color w:val="auto"/>
          <w:sz w:val="28"/>
          <w:szCs w:val="28"/>
          <w:highlight w:val="none"/>
        </w:rPr>
        <w:t xml:space="preserve">（</w:t>
      </w:r>
      <w:r>
        <w:rPr>
          <w:rFonts w:hint="eastAsia" w:ascii="仿宋" w:hAnsi="仿宋" w:eastAsia="仿宋" w:cs="仿宋"/>
          <w:color w:val="auto"/>
          <w:sz w:val="28"/>
          <w:szCs w:val="28"/>
          <w:highlight w:val="none"/>
        </w:rPr>
        <w:t xml:space="preserve">一）</w:t>
      </w:r>
      <w:r>
        <w:rPr>
          <w:rFonts w:hint="eastAsia" w:ascii="仿宋" w:hAnsi="仿宋" w:eastAsia="仿宋" w:cs="仿宋"/>
          <w:bCs/>
          <w:color w:val="auto"/>
          <w:sz w:val="28"/>
          <w:szCs w:val="28"/>
          <w:highlight w:val="none"/>
        </w:rPr>
        <w:t xml:space="preserve">征集响应报价表</w:t>
      </w:r>
      <w:r/>
    </w:p>
    <w:p>
      <w:pPr>
        <w:ind w:firstLine="3040"/>
        <w:spacing w:line="50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征集响应报价表</w:t>
      </w:r>
      <w:r/>
    </w:p>
    <w:tbl>
      <w:tblPr>
        <w:tblStyle w:val="712"/>
        <w:tblpPr w:horzAnchor="page" w:tblpX="1692" w:vertAnchor="text" w:tblpY="555" w:leftFromText="180" w:topFromText="0" w:rightFromText="180" w:bottomFromText="0"/>
        <w:tblW w:w="8807" w:type="dxa"/>
        <w:tblInd w:w="0" w:type="dxa"/>
        <w:tblLayout w:type="fixed"/>
        <w:tblCellMar>
          <w:left w:w="108" w:type="dxa"/>
          <w:top w:w="0" w:type="dxa"/>
          <w:right w:w="108" w:type="dxa"/>
          <w:bottom w:w="0" w:type="dxa"/>
        </w:tblCellMar>
        <w:tblLook w:val="04A0" w:firstRow="1" w:lastRow="0" w:firstColumn="1" w:lastColumn="0" w:noHBand="0" w:noVBand="1"/>
      </w:tblPr>
      <w:tblGrid>
        <w:gridCol w:w="4582"/>
        <w:gridCol w:w="1725"/>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供应商（全称并加盖公章）：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计划编号：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分包号：</w:t>
            </w:r>
            <w:r/>
          </w:p>
        </w:tc>
      </w:tr>
      <w:tr>
        <w:trPr>
          <w:trHeight w:val="805"/>
        </w:trPr>
        <w:tc>
          <w:tcPr>
            <w:tcBorders>
              <w:top w:val="single" w:color="auto" w:sz="4" w:space="0"/>
              <w:left w:val="single" w:color="auto" w:sz="4" w:space="0"/>
              <w:bottom w:val="single" w:color="auto" w:sz="4" w:space="0"/>
              <w:right w:val="single" w:color="auto" w:sz="4" w:space="0"/>
            </w:tcBorders>
            <w:tcW w:w="4582" w:type="dxa"/>
            <w:vAlign w:val="center"/>
            <w:vMerge w:val="restart"/>
            <w:textDirection w:val="lrTb"/>
            <w:noWrap/>
          </w:tcPr>
          <w:p>
            <w:pPr>
              <w:jc w:val="center"/>
              <w:spacing w:line="500" w:lineRule="exact"/>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投标</w:t>
            </w:r>
            <w:r>
              <w:rPr>
                <w:rFonts w:hint="eastAsia" w:ascii="仿宋" w:hAnsi="仿宋" w:eastAsia="仿宋" w:cs="仿宋"/>
                <w:color w:val="auto"/>
                <w:sz w:val="24"/>
                <w:highlight w:val="none"/>
              </w:rPr>
              <w:t xml:space="preserve">报价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元/批次</w:t>
            </w:r>
            <w:r>
              <w:rPr>
                <w:rFonts w:hint="eastAsia" w:ascii="仿宋" w:hAnsi="仿宋" w:eastAsia="仿宋" w:cs="仿宋"/>
                <w:color w:val="auto"/>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225" w:type="dxa"/>
            <w:vAlign w:val="center"/>
            <w:textDirection w:val="lrTb"/>
            <w:noWrap/>
          </w:tcPr>
          <w:p>
            <w:pPr>
              <w:jc w:val="left"/>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小写：</w:t>
            </w:r>
            <w:r/>
          </w:p>
        </w:tc>
      </w:tr>
      <w:tr>
        <w:trPr>
          <w:trHeight w:val="790"/>
        </w:trPr>
        <w:tc>
          <w:tcPr>
            <w:tcBorders>
              <w:top w:val="single" w:color="auto" w:sz="4" w:space="0"/>
              <w:left w:val="single" w:color="auto" w:sz="4" w:space="0"/>
              <w:bottom w:val="single" w:color="auto" w:sz="4" w:space="0"/>
              <w:right w:val="single" w:color="auto" w:sz="4" w:space="0"/>
            </w:tcBorders>
            <w:tcW w:w="4582" w:type="dxa"/>
            <w:vAlign w:val="center"/>
            <w:vMerge w:val="continue"/>
            <w:textDirection w:val="lrTb"/>
            <w:noWrap w:val="false"/>
          </w:tcPr>
          <w:p>
            <w:pPr>
              <w:jc w:val="left"/>
              <w:spacing w:line="5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225" w:type="dxa"/>
            <w:vAlign w:val="center"/>
            <w:textDirection w:val="lrTb"/>
            <w:noWrap/>
          </w:tcPr>
          <w:p>
            <w:pPr>
              <w:jc w:val="left"/>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spacing w:line="500" w:lineRule="exact"/>
              <w:widowControl/>
              <w:rPr>
                <w:rFonts w:ascii="仿宋" w:hAnsi="仿宋" w:eastAsia="仿宋" w:cs="仿宋"/>
                <w:color w:val="auto"/>
                <w:szCs w:val="21"/>
                <w:highlight w:val="none"/>
              </w:rPr>
            </w:pPr>
            <w:r>
              <w:rPr>
                <w:rFonts w:ascii="仿宋" w:hAnsi="仿宋" w:eastAsia="仿宋" w:cs="仿宋"/>
                <w:color w:val="auto"/>
                <w:szCs w:val="21"/>
                <w:highlight w:val="none"/>
              </w:rPr>
            </w:r>
            <w:r/>
          </w:p>
        </w:tc>
      </w:tr>
    </w:tbl>
    <w:p>
      <w:pPr>
        <w:pStyle w:val="748"/>
        <w:ind w:firstLine="640"/>
        <w:spacing w:before="0" w:after="0" w:line="50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right"/>
        <w:spacing w:line="500" w:lineRule="exact"/>
        <w:rPr>
          <w:rFonts w:hint="eastAsia" w:ascii="仿宋" w:hAnsi="仿宋" w:eastAsia="仿宋" w:cs="仿宋"/>
          <w:color w:val="auto"/>
          <w:sz w:val="24"/>
          <w:highlight w:val="none"/>
        </w:rPr>
      </w:pPr>
      <w:r>
        <w:rPr>
          <w:rFonts w:hint="eastAsia" w:ascii="仿宋" w:hAnsi="仿宋" w:eastAsia="仿宋" w:cs="仿宋"/>
          <w:bCs/>
          <w:color w:val="auto"/>
          <w:sz w:val="28"/>
          <w:szCs w:val="28"/>
          <w:highlight w:val="none"/>
        </w:rPr>
        <w:br w:type="page" w:clear="all"/>
      </w:r>
      <w:r>
        <w:rPr>
          <w:rFonts w:hint="eastAsia" w:ascii="宋体" w:hAnsi="宋体" w:eastAsia="宋体" w:cs="宋体"/>
          <w:bCs/>
          <w:color w:val="auto"/>
          <w:sz w:val="28"/>
          <w:szCs w:val="28"/>
          <w:highlight w:val="none"/>
        </w:rPr>
        <w:t xml:space="preserve">  </w:t>
      </w:r>
      <w:r>
        <w:rPr>
          <w:rFonts w:hint="eastAsia" w:ascii="仿宋" w:hAnsi="仿宋" w:eastAsia="仿宋" w:cs="仿宋"/>
          <w:bCs/>
          <w:color w:val="auto"/>
          <w:sz w:val="28"/>
          <w:szCs w:val="28"/>
          <w:highlight w:val="none"/>
        </w:rPr>
        <w:t xml:space="preserve"> </w:t>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ascii="仿宋" w:hAnsi="仿宋" w:eastAsia="仿宋"/>
          <w:color w:val="auto"/>
          <w:szCs w:val="21"/>
          <w:highlight w:val="none"/>
        </w:rPr>
      </w:pPr>
      <w:r>
        <w:rPr>
          <w:rFonts w:ascii="仿宋" w:hAnsi="仿宋" w:eastAsia="仿宋"/>
          <w:color w:val="auto"/>
          <w:szCs w:val="21"/>
          <w:highlight w:val="none"/>
        </w:rPr>
      </w:r>
      <w:r/>
    </w:p>
    <w:p>
      <w:pPr>
        <w:spacing w:line="500" w:lineRule="exact"/>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eastAsia="zh-CN"/>
        </w:rPr>
        <w:t xml:space="preserve">二</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rPr>
        <w:t xml:space="preserve">残疾人福利性单位声明函</w:t>
      </w:r>
      <w:r/>
    </w:p>
    <w:p>
      <w:pPr>
        <w:jc w:val="center"/>
        <w:spacing w:line="500" w:lineRule="exact"/>
        <w:rPr>
          <w:rFonts w:ascii="仿宋" w:hAnsi="仿宋" w:eastAsia="仿宋" w:cs="仿宋"/>
          <w:i/>
          <w:color w:val="auto"/>
          <w:sz w:val="36"/>
          <w:szCs w:val="36"/>
          <w:highlight w:val="none"/>
        </w:rPr>
      </w:pPr>
      <w:r>
        <w:rPr>
          <w:rFonts w:hint="eastAsia" w:ascii="仿宋" w:hAnsi="仿宋" w:eastAsia="仿宋" w:cs="仿宋"/>
          <w:color w:val="auto"/>
          <w:sz w:val="36"/>
          <w:szCs w:val="36"/>
          <w:highlight w:val="none"/>
        </w:rPr>
        <w:t xml:space="preserve">残疾人福利性单位声明函</w:t>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单位的项目编号为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本单位在本次政府采购活动中提供的残疾人福利单位产品报价合计为人民币（大写）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right="1560" w:firstLine="560"/>
        <w:jc w:val="center"/>
        <w:spacing w:line="500" w:lineRule="exact"/>
        <w:tabs>
          <w:tab w:val="left" w:pos="486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56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注意：1.供应商如不提供此声明函，价格将不做相应扣除。</w:t>
      </w:r>
      <w:r/>
    </w:p>
    <w:p>
      <w:pPr>
        <w:ind w:firstLine="140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2.成交供应商为残疾人福利单位的，此声明函将随成交结果同时公告，接受社会监督。</w:t>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21"/>
        <w:rPr>
          <w:rFonts w:ascii="仿宋" w:hAnsi="仿宋" w:eastAsia="仿宋" w:cs="仿宋"/>
          <w:color w:val="auto"/>
          <w:highlight w:val="none"/>
        </w:rPr>
      </w:pPr>
      <w:r>
        <w:rPr>
          <w:rFonts w:ascii="仿宋" w:hAnsi="仿宋" w:eastAsia="仿宋" w:cs="仿宋"/>
          <w:color w:val="auto"/>
          <w:highlight w:val="none"/>
        </w:rPr>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微软雅黑">
    <w:panose1 w:val="020B0503020204020204"/>
  </w:font>
  <w:font w:name="Calibri">
    <w:panose1 w:val="020F0502020204030204"/>
  </w:font>
  <w:font w:name="Adobe 仿宋 Std R">
    <w:panose1 w:val="020B0503020202020204"/>
  </w:font>
  <w:font w:name="楷体_GB2312">
    <w:panose1 w:val="02010609060101010101"/>
  </w:font>
  <w:font w:name="Courier New">
    <w:panose1 w:val="020703090202050204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45"/>
      </w:rPr>
      <w:framePr w:wrap="around" w:vAnchor="text" w:hAnchor="margin" w:xAlign="center" w:y="1"/>
    </w:pPr>
    <w:r>
      <w:fldChar w:fldCharType="begin"/>
    </w:r>
    <w:r>
      <w:rPr>
        <w:rStyle w:val="745"/>
      </w:rPr>
      <w:instrText xml:space="preserve">PAGE  </w:instrText>
    </w:r>
    <w:r>
      <w:fldChar w:fldCharType="end"/>
    </w:r>
    <w:r/>
  </w:p>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auto" w:sz="0"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center</wp:align>
              </wp:positionH>
              <wp:positionV relativeFrom="margin">
                <wp:align>center</wp:align>
              </wp:positionV>
              <wp:extent cx="5622925" cy="183515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18900000">
                        <a:off x="0" y="0"/>
                        <a:ext cx="5622924" cy="1835150"/>
                      </a:xfrm>
                      <a:prstGeom prst="rect">
                        <a:avLst/>
                      </a:prstGeom>
                      <a:noFill/>
                      <a:ln>
                        <a:noFill/>
                      </a:ln>
                    </wps:spPr>
                    <wps:txbx>
                      <w:txbxContent>
                        <w:p>
                          <w:pPr>
                            <w:jc w:val="center"/>
                            <w:rPr>
                              <w:rFonts w:ascii="微软雅黑" w:hAnsi="微软雅黑"/>
                              <w:color w:val="c0c0c0"/>
                              <w:sz w:val="72"/>
                              <w:szCs w:val="72"/>
                              <w14:textFill>
                                <w14:solidFill>
                                  <w14:srgbClr w14:val="C0C0C0">
                                    <w14:alpha w14:val="49803"/>
                                  </w14:srgbClr>
                                </w14:solidFill>
                              </w14:textFill>
                            </w:rPr>
                          </w:pPr>
                          <w:r>
                            <w:rPr>
                              <w:rFonts w:ascii="微软雅黑" w:hAnsi="微软雅黑"/>
                              <w:color w:val="c0c0c0"/>
                              <w:sz w:val="72"/>
                              <w:szCs w:val="72"/>
                              <w14:textFill>
                                <w14:solidFill>
                                  <w14:srgbClr w14:val="C0C0C0">
                                    <w14:alpha w14:val="49803"/>
                                  </w14:srgbClr>
                                </w14:solidFill>
                              </w14:textFill>
                            </w:rPr>
                            <w:t xml:space="preserve">大洲集团</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margin;mso-position-vertical:center;width:442.8pt;height:144.5pt;mso-wrap-distance-left:9.0pt;mso-wrap-distance-top:0.0pt;mso-wrap-distance-right:9.0pt;mso-wrap-distance-bottom:0.0pt;rotation:315;visibility:visible;" filled="f" stroked="f">
              <v:textbox inset="0,0,0,0">
                <w:txbxContent>
                  <w:p>
                    <w:pPr>
                      <w:jc w:val="center"/>
                      <w:rPr>
                        <w:rFonts w:ascii="微软雅黑" w:hAnsi="微软雅黑"/>
                        <w:color w:val="c0c0c0"/>
                        <w:sz w:val="72"/>
                        <w:szCs w:val="72"/>
                        <w14:textFill>
                          <w14:solidFill>
                            <w14:srgbClr w14:val="C0C0C0">
                              <w14:alpha w14:val="49803"/>
                            </w14:srgbClr>
                          </w14:solidFill>
                        </w14:textFill>
                      </w:rPr>
                    </w:pPr>
                    <w:r>
                      <w:rPr>
                        <w:rFonts w:ascii="微软雅黑" w:hAnsi="微软雅黑"/>
                        <w:color w:val="c0c0c0"/>
                        <w:sz w:val="72"/>
                        <w:szCs w:val="72"/>
                        <w14:textFill>
                          <w14:solidFill>
                            <w14:srgbClr w14:val="C0C0C0">
                              <w14:alpha w14:val="49803"/>
                            </w14:srgbClr>
                          </w14:solidFill>
                        </w14:textFill>
                      </w:rPr>
                      <w:t xml:space="preserve">大洲集团</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2"/>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next w:val="713"/>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02">
    <w:name w:val="Heading 1"/>
    <w:basedOn w:val="701"/>
    <w:next w:val="701"/>
    <w:link w:val="749"/>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17"/>
    <w:uiPriority w:val="0"/>
    <w:qFormat/>
    <w:pPr>
      <w:keepLines/>
      <w:keepNext/>
      <w:spacing w:before="260" w:after="260" w:line="416" w:lineRule="auto"/>
      <w:outlineLvl w:val="1"/>
    </w:pPr>
    <w:rPr>
      <w:rFonts w:ascii="Arial" w:hAnsi="Arial" w:eastAsia="黑体"/>
      <w:b/>
      <w:bCs/>
      <w:sz w:val="32"/>
      <w:szCs w:val="32"/>
    </w:rPr>
  </w:style>
  <w:style w:type="paragraph" w:styleId="704">
    <w:name w:val="Heading 3"/>
    <w:basedOn w:val="701"/>
    <w:next w:val="701"/>
    <w:link w:val="751"/>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52"/>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53"/>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54"/>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56"/>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57"/>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Body Text First Indent 2"/>
    <w:basedOn w:val="714"/>
    <w:next w:val="701"/>
    <w:uiPriority w:val="0"/>
    <w:qFormat/>
    <w:pPr>
      <w:spacing w:line="360" w:lineRule="auto"/>
    </w:pPr>
    <w:rPr>
      <w:rFonts w:eastAsia="宋体" w:cs="Times New Roman"/>
      <w:szCs w:val="22"/>
    </w:rPr>
  </w:style>
  <w:style w:type="paragraph" w:styleId="714">
    <w:name w:val="Body Text Indent"/>
    <w:basedOn w:val="701"/>
    <w:next w:val="715"/>
    <w:uiPriority w:val="0"/>
    <w:unhideWhenUsed/>
    <w:qFormat/>
    <w:pPr>
      <w:ind w:firstLine="420"/>
    </w:pPr>
    <w:rPr>
      <w:rFonts w:ascii="宋体" w:hAnsi="宋体"/>
    </w:rPr>
  </w:style>
  <w:style w:type="paragraph" w:styleId="715">
    <w:name w:val="envelope return"/>
    <w:basedOn w:val="701"/>
    <w:next w:val="716"/>
    <w:uiPriority w:val="99"/>
    <w:unhideWhenUsed/>
    <w:qFormat/>
    <w:rPr>
      <w:rFonts w:ascii="Arial" w:hAnsi="Arial"/>
    </w:rPr>
  </w:style>
  <w:style w:type="paragraph" w:styleId="716">
    <w:name w:val="toc 7"/>
    <w:basedOn w:val="701"/>
    <w:next w:val="701"/>
    <w:uiPriority w:val="39"/>
    <w:unhideWhenUsed/>
    <w:qFormat/>
    <w:pPr>
      <w:ind w:left="1701" w:right="0" w:firstLine="0"/>
      <w:spacing w:after="57"/>
    </w:pPr>
  </w:style>
  <w:style w:type="paragraph" w:styleId="717">
    <w:name w:val="Normal Indent"/>
    <w:basedOn w:val="701"/>
    <w:uiPriority w:val="0"/>
    <w:qFormat/>
    <w:pPr>
      <w:ind w:firstLine="420"/>
    </w:pPr>
  </w:style>
  <w:style w:type="paragraph" w:styleId="718">
    <w:name w:val="Caption"/>
    <w:basedOn w:val="701"/>
    <w:next w:val="70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9">
    <w:name w:val="index 5"/>
    <w:basedOn w:val="701"/>
    <w:next w:val="701"/>
    <w:uiPriority w:val="0"/>
    <w:qFormat/>
    <w:pPr>
      <w:ind w:left="800"/>
    </w:pPr>
  </w:style>
  <w:style w:type="paragraph" w:styleId="720">
    <w:name w:val="annotation text"/>
    <w:basedOn w:val="701"/>
    <w:uiPriority w:val="0"/>
    <w:qFormat/>
    <w:pPr>
      <w:jc w:val="left"/>
    </w:pPr>
  </w:style>
  <w:style w:type="paragraph" w:styleId="721">
    <w:name w:val="Body Text"/>
    <w:basedOn w:val="701"/>
    <w:next w:val="701"/>
    <w:uiPriority w:val="0"/>
    <w:qFormat/>
    <w:rPr>
      <w:rFonts w:ascii="宋体"/>
      <w:sz w:val="28"/>
      <w:szCs w:val="20"/>
    </w:rPr>
  </w:style>
  <w:style w:type="paragraph" w:styleId="722">
    <w:name w:val="Block Text"/>
    <w:basedOn w:val="701"/>
    <w:uiPriority w:val="99"/>
    <w:unhideWhenUsed/>
    <w:qFormat/>
    <w:pPr>
      <w:ind w:left="1440" w:right="1440"/>
      <w:spacing w:after="120"/>
    </w:pPr>
    <w:rPr>
      <w:rFonts w:eastAsia="宋体"/>
    </w:rPr>
  </w:style>
  <w:style w:type="paragraph" w:styleId="723">
    <w:name w:val="toc 5"/>
    <w:basedOn w:val="701"/>
    <w:next w:val="701"/>
    <w:uiPriority w:val="39"/>
    <w:unhideWhenUsed/>
    <w:qFormat/>
    <w:pPr>
      <w:ind w:left="1134" w:right="0" w:firstLine="0"/>
      <w:spacing w:after="57"/>
    </w:pPr>
  </w:style>
  <w:style w:type="paragraph" w:styleId="724">
    <w:name w:val="toc 3"/>
    <w:basedOn w:val="701"/>
    <w:next w:val="701"/>
    <w:uiPriority w:val="39"/>
    <w:unhideWhenUsed/>
    <w:qFormat/>
    <w:pPr>
      <w:ind w:left="567" w:right="0" w:firstLine="0"/>
      <w:spacing w:after="57"/>
    </w:pPr>
  </w:style>
  <w:style w:type="paragraph" w:styleId="725">
    <w:name w:val="Plain Text"/>
    <w:basedOn w:val="701"/>
    <w:uiPriority w:val="99"/>
    <w:qFormat/>
    <w:pPr>
      <w:jc w:val="left"/>
      <w:spacing w:after="200" w:line="252" w:lineRule="auto"/>
      <w:widowControl/>
    </w:pPr>
    <w:rPr>
      <w:rFonts w:ascii="宋体" w:hAnsi="Courier New"/>
      <w:szCs w:val="20"/>
    </w:rPr>
  </w:style>
  <w:style w:type="paragraph" w:styleId="726">
    <w:name w:val="toc 8"/>
    <w:basedOn w:val="701"/>
    <w:next w:val="701"/>
    <w:uiPriority w:val="39"/>
    <w:unhideWhenUsed/>
    <w:qFormat/>
    <w:pPr>
      <w:ind w:left="1984" w:right="0" w:firstLine="0"/>
      <w:spacing w:after="57"/>
    </w:pPr>
  </w:style>
  <w:style w:type="paragraph" w:styleId="727">
    <w:name w:val="Date"/>
    <w:basedOn w:val="701"/>
    <w:next w:val="701"/>
    <w:uiPriority w:val="0"/>
    <w:qFormat/>
    <w:rPr>
      <w:sz w:val="24"/>
      <w:szCs w:val="20"/>
    </w:rPr>
  </w:style>
  <w:style w:type="paragraph" w:styleId="728">
    <w:name w:val="endnote text"/>
    <w:basedOn w:val="701"/>
    <w:link w:val="895"/>
    <w:uiPriority w:val="99"/>
    <w:semiHidden/>
    <w:unhideWhenUsed/>
    <w:qFormat/>
    <w:pPr>
      <w:spacing w:after="0" w:line="240" w:lineRule="auto"/>
    </w:pPr>
    <w:rPr>
      <w:sz w:val="20"/>
    </w:rPr>
  </w:style>
  <w:style w:type="paragraph" w:styleId="729">
    <w:name w:val="Balloon Text"/>
    <w:basedOn w:val="701"/>
    <w:link w:val="907"/>
    <w:uiPriority w:val="0"/>
    <w:qFormat/>
    <w:rPr>
      <w:sz w:val="18"/>
      <w:szCs w:val="18"/>
    </w:rPr>
  </w:style>
  <w:style w:type="paragraph" w:styleId="730">
    <w:name w:val="Footer"/>
    <w:basedOn w:val="701"/>
    <w:uiPriority w:val="0"/>
    <w:qFormat/>
    <w:pPr>
      <w:jc w:val="left"/>
      <w:tabs>
        <w:tab w:val="center" w:pos="4153" w:leader="none"/>
        <w:tab w:val="right" w:pos="8306" w:leader="none"/>
      </w:tabs>
    </w:pPr>
    <w:rPr>
      <w:sz w:val="18"/>
      <w:szCs w:val="18"/>
    </w:rPr>
  </w:style>
  <w:style w:type="paragraph" w:styleId="731">
    <w:name w:val="Header"/>
    <w:basedOn w:val="701"/>
    <w:uiPriority w:val="0"/>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1"/>
    <w:next w:val="701"/>
    <w:uiPriority w:val="0"/>
    <w:qFormat/>
  </w:style>
  <w:style w:type="paragraph" w:styleId="733">
    <w:name w:val="toc 4"/>
    <w:basedOn w:val="701"/>
    <w:next w:val="701"/>
    <w:uiPriority w:val="39"/>
    <w:unhideWhenUsed/>
    <w:qFormat/>
    <w:pPr>
      <w:ind w:left="850" w:right="0" w:firstLine="0"/>
      <w:spacing w:after="57"/>
    </w:pPr>
  </w:style>
  <w:style w:type="paragraph" w:styleId="734">
    <w:name w:val="Subtitle"/>
    <w:basedOn w:val="701"/>
    <w:next w:val="701"/>
    <w:link w:val="761"/>
    <w:uiPriority w:val="11"/>
    <w:qFormat/>
    <w:pPr>
      <w:spacing w:before="200" w:after="200"/>
    </w:pPr>
    <w:rPr>
      <w:sz w:val="24"/>
      <w:szCs w:val="24"/>
    </w:rPr>
  </w:style>
  <w:style w:type="paragraph" w:styleId="735">
    <w:name w:val="footnote text"/>
    <w:basedOn w:val="701"/>
    <w:next w:val="719"/>
    <w:uiPriority w:val="0"/>
    <w:qFormat/>
    <w:pPr>
      <w:jc w:val="left"/>
      <w:spacing w:line="312" w:lineRule="atLeast"/>
    </w:pPr>
    <w:rPr>
      <w:sz w:val="18"/>
      <w:szCs w:val="22"/>
    </w:rPr>
  </w:style>
  <w:style w:type="paragraph" w:styleId="736">
    <w:name w:val="toc 6"/>
    <w:basedOn w:val="701"/>
    <w:next w:val="701"/>
    <w:uiPriority w:val="39"/>
    <w:unhideWhenUsed/>
    <w:qFormat/>
    <w:pPr>
      <w:ind w:left="1417" w:right="0" w:firstLine="0"/>
      <w:spacing w:after="57"/>
    </w:pPr>
  </w:style>
  <w:style w:type="paragraph" w:styleId="737">
    <w:name w:val="table of figures"/>
    <w:basedOn w:val="701"/>
    <w:next w:val="701"/>
    <w:uiPriority w:val="99"/>
    <w:unhideWhenUsed/>
    <w:qFormat/>
    <w:pPr>
      <w:spacing w:after="0" w:afterAutospacing="0"/>
    </w:pPr>
  </w:style>
  <w:style w:type="paragraph" w:styleId="738">
    <w:name w:val="toc 2"/>
    <w:basedOn w:val="701"/>
    <w:next w:val="701"/>
    <w:uiPriority w:val="0"/>
    <w:qFormat/>
    <w:pPr>
      <w:ind w:left="420"/>
    </w:pPr>
  </w:style>
  <w:style w:type="paragraph" w:styleId="739">
    <w:name w:val="toc 9"/>
    <w:basedOn w:val="701"/>
    <w:next w:val="701"/>
    <w:uiPriority w:val="39"/>
    <w:unhideWhenUsed/>
    <w:qFormat/>
    <w:pPr>
      <w:ind w:left="2268" w:right="0" w:firstLine="0"/>
      <w:spacing w:after="57"/>
    </w:pPr>
  </w:style>
  <w:style w:type="paragraph" w:styleId="740">
    <w:name w:val="Normal (Web)"/>
    <w:basedOn w:val="701"/>
    <w:uiPriority w:val="0"/>
    <w:qFormat/>
    <w:pPr>
      <w:jc w:val="left"/>
      <w:spacing w:beforeAutospacing="1" w:afterAutospacing="1"/>
    </w:pPr>
    <w:rPr>
      <w:rFonts w:cs="Times New Roman"/>
      <w:sz w:val="24"/>
    </w:rPr>
  </w:style>
  <w:style w:type="paragraph" w:styleId="741">
    <w:name w:val="Title"/>
    <w:basedOn w:val="701"/>
    <w:next w:val="701"/>
    <w:link w:val="760"/>
    <w:uiPriority w:val="10"/>
    <w:qFormat/>
    <w:pPr>
      <w:contextualSpacing/>
      <w:spacing w:before="300" w:after="200"/>
    </w:pPr>
    <w:rPr>
      <w:sz w:val="48"/>
      <w:szCs w:val="48"/>
    </w:rPr>
  </w:style>
  <w:style w:type="paragraph" w:styleId="742">
    <w:name w:val="Body Text First Indent"/>
    <w:basedOn w:val="721"/>
    <w:uiPriority w:val="99"/>
    <w:qFormat/>
    <w:pPr>
      <w:ind w:firstLine="420"/>
      <w:spacing w:line="275" w:lineRule="atLeast"/>
    </w:pPr>
    <w:rPr>
      <w:rFonts w:eastAsia="楷体_GB2312"/>
      <w:sz w:val="24"/>
    </w:rPr>
  </w:style>
  <w:style w:type="table" w:styleId="743">
    <w:name w:val="Table Grid"/>
    <w:basedOn w:val="7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basedOn w:val="711"/>
    <w:uiPriority w:val="99"/>
    <w:semiHidden/>
    <w:unhideWhenUsed/>
    <w:qFormat/>
    <w:rPr>
      <w:vertAlign w:val="superscript"/>
    </w:rPr>
  </w:style>
  <w:style w:type="character" w:styleId="745">
    <w:name w:val="page number"/>
    <w:uiPriority w:val="0"/>
    <w:qFormat/>
  </w:style>
  <w:style w:type="character" w:styleId="746">
    <w:name w:val="Hyperlink"/>
    <w:uiPriority w:val="99"/>
    <w:unhideWhenUsed/>
    <w:qFormat/>
    <w:rPr>
      <w:color w:val="0563c1" w:themeColor="hyperlink"/>
      <w:u w:val="single"/>
      <w14:textFill>
        <w14:solidFill>
          <w14:schemeClr w14:val="hlink"/>
        </w14:solidFill>
      </w14:textFill>
    </w:rPr>
  </w:style>
  <w:style w:type="character" w:styleId="747">
    <w:name w:val="footnote reference"/>
    <w:basedOn w:val="711"/>
    <w:uiPriority w:val="99"/>
    <w:unhideWhenUsed/>
    <w:qFormat/>
    <w:rPr>
      <w:vertAlign w:val="superscript"/>
    </w:rPr>
  </w:style>
  <w:style w:type="paragraph" w:styleId="748"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749" w:customStyle="1">
    <w:name w:val="Heading 1 Char"/>
    <w:basedOn w:val="711"/>
    <w:link w:val="702"/>
    <w:uiPriority w:val="9"/>
    <w:qFormat/>
    <w:rPr>
      <w:rFonts w:ascii="Arial" w:hAnsi="Arial" w:eastAsia="Arial" w:cs="Arial"/>
      <w:sz w:val="40"/>
      <w:szCs w:val="40"/>
    </w:rPr>
  </w:style>
  <w:style w:type="character" w:styleId="750" w:customStyle="1">
    <w:name w:val="Heading 2 Char"/>
    <w:basedOn w:val="711"/>
    <w:uiPriority w:val="9"/>
    <w:qFormat/>
    <w:rPr>
      <w:rFonts w:ascii="Arial" w:hAnsi="Arial" w:eastAsia="Arial" w:cs="Arial"/>
      <w:sz w:val="34"/>
    </w:rPr>
  </w:style>
  <w:style w:type="character" w:styleId="751" w:customStyle="1">
    <w:name w:val="Heading 3 Char"/>
    <w:basedOn w:val="711"/>
    <w:link w:val="704"/>
    <w:uiPriority w:val="9"/>
    <w:qFormat/>
    <w:rPr>
      <w:rFonts w:ascii="Arial" w:hAnsi="Arial" w:eastAsia="Arial" w:cs="Arial"/>
      <w:sz w:val="30"/>
      <w:szCs w:val="30"/>
    </w:rPr>
  </w:style>
  <w:style w:type="character" w:styleId="752" w:customStyle="1">
    <w:name w:val="Heading 4 Char"/>
    <w:basedOn w:val="711"/>
    <w:link w:val="705"/>
    <w:uiPriority w:val="9"/>
    <w:qFormat/>
    <w:rPr>
      <w:rFonts w:ascii="Arial" w:hAnsi="Arial" w:eastAsia="Arial" w:cs="Arial"/>
      <w:b/>
      <w:bCs/>
      <w:sz w:val="26"/>
      <w:szCs w:val="26"/>
    </w:rPr>
  </w:style>
  <w:style w:type="character" w:styleId="753" w:customStyle="1">
    <w:name w:val="Heading 5 Char"/>
    <w:basedOn w:val="711"/>
    <w:link w:val="706"/>
    <w:uiPriority w:val="9"/>
    <w:qFormat/>
    <w:rPr>
      <w:rFonts w:ascii="Arial" w:hAnsi="Arial" w:eastAsia="Arial" w:cs="Arial"/>
      <w:b/>
      <w:bCs/>
      <w:sz w:val="24"/>
      <w:szCs w:val="24"/>
    </w:rPr>
  </w:style>
  <w:style w:type="character" w:styleId="754" w:customStyle="1">
    <w:name w:val="Heading 6 Char"/>
    <w:basedOn w:val="711"/>
    <w:link w:val="707"/>
    <w:uiPriority w:val="9"/>
    <w:qFormat/>
    <w:rPr>
      <w:rFonts w:ascii="Arial" w:hAnsi="Arial" w:eastAsia="Arial" w:cs="Arial"/>
      <w:b/>
      <w:bCs/>
      <w:sz w:val="22"/>
      <w:szCs w:val="22"/>
    </w:rPr>
  </w:style>
  <w:style w:type="character" w:styleId="755" w:customStyle="1">
    <w:name w:val="Heading 7 Char"/>
    <w:basedOn w:val="711"/>
    <w:link w:val="708"/>
    <w:uiPriority w:val="9"/>
    <w:qFormat/>
    <w:rPr>
      <w:rFonts w:ascii="Arial" w:hAnsi="Arial" w:eastAsia="Arial" w:cs="Arial"/>
      <w:b/>
      <w:bCs/>
      <w:i/>
      <w:iCs/>
      <w:sz w:val="22"/>
      <w:szCs w:val="22"/>
    </w:rPr>
  </w:style>
  <w:style w:type="character" w:styleId="756" w:customStyle="1">
    <w:name w:val="Heading 8 Char"/>
    <w:basedOn w:val="711"/>
    <w:link w:val="709"/>
    <w:uiPriority w:val="9"/>
    <w:qFormat/>
    <w:rPr>
      <w:rFonts w:ascii="Arial" w:hAnsi="Arial" w:eastAsia="Arial" w:cs="Arial"/>
      <w:i/>
      <w:iCs/>
      <w:sz w:val="22"/>
      <w:szCs w:val="22"/>
    </w:rPr>
  </w:style>
  <w:style w:type="character" w:styleId="757" w:customStyle="1">
    <w:name w:val="Heading 9 Char"/>
    <w:basedOn w:val="711"/>
    <w:link w:val="710"/>
    <w:uiPriority w:val="9"/>
    <w:qFormat/>
    <w:rPr>
      <w:rFonts w:ascii="Arial" w:hAnsi="Arial" w:eastAsia="Arial" w:cs="Arial"/>
      <w:i/>
      <w:iCs/>
      <w:sz w:val="21"/>
      <w:szCs w:val="21"/>
    </w:rPr>
  </w:style>
  <w:style w:type="paragraph" w:styleId="758">
    <w:name w:val="List Paragraph"/>
    <w:basedOn w:val="701"/>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basedOn w:val="711"/>
    <w:link w:val="741"/>
    <w:uiPriority w:val="10"/>
    <w:qFormat/>
    <w:rPr>
      <w:sz w:val="48"/>
      <w:szCs w:val="48"/>
    </w:rPr>
  </w:style>
  <w:style w:type="character" w:styleId="761" w:customStyle="1">
    <w:name w:val="Subtitle Char"/>
    <w:basedOn w:val="711"/>
    <w:link w:val="734"/>
    <w:uiPriority w:val="11"/>
    <w:qFormat/>
    <w:rPr>
      <w:sz w:val="24"/>
      <w:szCs w:val="24"/>
    </w:rPr>
  </w:style>
  <w:style w:type="paragraph" w:styleId="762">
    <w:name w:val="Quote"/>
    <w:basedOn w:val="701"/>
    <w:next w:val="701"/>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01"/>
    <w:next w:val="701"/>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basedOn w:val="711"/>
    <w:uiPriority w:val="99"/>
    <w:qFormat/>
  </w:style>
  <w:style w:type="character" w:styleId="767" w:customStyle="1">
    <w:name w:val="Footer Char"/>
    <w:basedOn w:val="711"/>
    <w:uiPriority w:val="99"/>
    <w:qFormat/>
  </w:style>
  <w:style w:type="character" w:styleId="768" w:customStyle="1">
    <w:name w:val="Caption Char"/>
    <w:uiPriority w:val="99"/>
    <w:qFormat/>
  </w:style>
  <w:style w:type="table" w:styleId="769"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71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7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7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7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71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7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71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7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7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7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71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7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9"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71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7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7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7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71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7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71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8" w:customStyle="1">
    <w:name w:val="Grid Table 4 - Accent 2"/>
    <w:basedOn w:val="71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9" w:customStyle="1">
    <w:name w:val="Grid Table 4 - Accent 3"/>
    <w:basedOn w:val="71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0" w:customStyle="1">
    <w:name w:val="Grid Table 4 - Accent 4"/>
    <w:basedOn w:val="71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1" w:customStyle="1">
    <w:name w:val="Grid Table 4 - Accent 5"/>
    <w:basedOn w:val="71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2" w:customStyle="1">
    <w:name w:val="Grid Table 4 - Accent 6"/>
    <w:basedOn w:val="71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3"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5"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6"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7"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8"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9"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0"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71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7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71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4" w:customStyle="1">
    <w:name w:val="Grid Table 6 Colorful - Accent 4"/>
    <w:basedOn w:val="7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71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6" w:customStyle="1">
    <w:name w:val="Grid Table 6 Colorful - Accent 6"/>
    <w:basedOn w:val="71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7"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71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71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71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71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71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71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71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71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71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71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71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71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71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3" w:customStyle="1">
    <w:name w:val="List Table 2 - Accent 2"/>
    <w:basedOn w:val="71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4" w:customStyle="1">
    <w:name w:val="List Table 2 - Accent 3"/>
    <w:basedOn w:val="71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5" w:customStyle="1">
    <w:name w:val="List Table 2 - Accent 4"/>
    <w:basedOn w:val="71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6" w:customStyle="1">
    <w:name w:val="List Table 2 - Accent 5"/>
    <w:basedOn w:val="71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7" w:customStyle="1">
    <w:name w:val="List Table 2 - Accent 6"/>
    <w:basedOn w:val="71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8"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71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0" w:customStyle="1">
    <w:name w:val="List Table 3 - Accent 2"/>
    <w:basedOn w:val="7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71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7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71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71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5"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71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7" w:customStyle="1">
    <w:name w:val="List Table 4 - Accent 2"/>
    <w:basedOn w:val="71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8" w:customStyle="1">
    <w:name w:val="List Table 4 - Accent 3"/>
    <w:basedOn w:val="71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9" w:customStyle="1">
    <w:name w:val="List Table 4 - Accent 4"/>
    <w:basedOn w:val="71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0" w:customStyle="1">
    <w:name w:val="List Table 4 - Accent 5"/>
    <w:basedOn w:val="71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1" w:customStyle="1">
    <w:name w:val="List Table 4 - Accent 6"/>
    <w:basedOn w:val="71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2"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71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71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71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71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71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71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71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1" w:customStyle="1">
    <w:name w:val="List Table 6 Colorful - Accent 2"/>
    <w:basedOn w:val="71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2" w:customStyle="1">
    <w:name w:val="List Table 6 Colorful - Accent 3"/>
    <w:basedOn w:val="71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3" w:customStyle="1">
    <w:name w:val="List Table 6 Colorful - Accent 4"/>
    <w:basedOn w:val="71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4" w:customStyle="1">
    <w:name w:val="List Table 6 Colorful - Accent 5"/>
    <w:basedOn w:val="71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5" w:customStyle="1">
    <w:name w:val="List Table 6 Colorful - Accent 6"/>
    <w:basedOn w:val="71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6"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71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71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71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71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71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71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5"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6"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7"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8"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9"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0"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71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2" w:customStyle="1">
    <w:name w:val="Bordered &amp; Lined - Accent 2"/>
    <w:basedOn w:val="71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3" w:customStyle="1">
    <w:name w:val="Bordered &amp; Lined - Accent 3"/>
    <w:basedOn w:val="71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4" w:customStyle="1">
    <w:name w:val="Bordered &amp; Lined - Accent 4"/>
    <w:basedOn w:val="71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5" w:customStyle="1">
    <w:name w:val="Bordered &amp; Lined - Accent 5"/>
    <w:basedOn w:val="71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6" w:customStyle="1">
    <w:name w:val="Bordered &amp; Lined - Accent 6"/>
    <w:basedOn w:val="71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7"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71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9" w:customStyle="1">
    <w:name w:val="Bordered - Accent 2"/>
    <w:basedOn w:val="7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0" w:customStyle="1">
    <w:name w:val="Bordered - Accent 3"/>
    <w:basedOn w:val="7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1" w:customStyle="1">
    <w:name w:val="Bordered - Accent 4"/>
    <w:basedOn w:val="7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2" w:customStyle="1">
    <w:name w:val="Bordered - Accent 5"/>
    <w:basedOn w:val="71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3" w:customStyle="1">
    <w:name w:val="Bordered - Accent 6"/>
    <w:basedOn w:val="7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4" w:customStyle="1">
    <w:name w:val="Footnote Text Char"/>
    <w:uiPriority w:val="99"/>
    <w:qFormat/>
    <w:rPr>
      <w:sz w:val="18"/>
    </w:rPr>
  </w:style>
  <w:style w:type="character" w:styleId="895" w:customStyle="1">
    <w:name w:val="Endnote Text Char"/>
    <w:link w:val="728"/>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Char"/>
    <w:basedOn w:val="701"/>
    <w:uiPriority w:val="0"/>
    <w:qFormat/>
    <w:pPr>
      <w:tabs>
        <w:tab w:val="left" w:pos="360" w:leader="none"/>
      </w:tabs>
    </w:pPr>
    <w:rPr>
      <w:color w:val="000000"/>
      <w:sz w:val="24"/>
    </w:rPr>
  </w:style>
  <w:style w:type="paragraph" w:styleId="898" w:customStyle="1">
    <w:name w:val="样式1"/>
    <w:basedOn w:val="701"/>
    <w:uiPriority w:val="0"/>
    <w:qFormat/>
    <w:rPr>
      <w:rFonts w:ascii="宋体" w:hAnsi="宋体"/>
      <w:szCs w:val="21"/>
    </w:rPr>
  </w:style>
  <w:style w:type="paragraph" w:styleId="899" w:customStyle="1">
    <w:name w:val="普通正文"/>
    <w:basedOn w:val="701"/>
    <w:uiPriority w:val="0"/>
    <w:qFormat/>
    <w:pPr>
      <w:ind w:firstLine="480"/>
      <w:jc w:val="left"/>
      <w:spacing w:before="120" w:after="120" w:line="360" w:lineRule="auto"/>
    </w:pPr>
    <w:rPr>
      <w:rFonts w:ascii="Arial" w:hAnsi="Arial"/>
      <w:sz w:val="24"/>
    </w:rPr>
  </w:style>
  <w:style w:type="paragraph" w:styleId="900" w:customStyle="1">
    <w:name w:val="WPSOffice手动目录 1"/>
    <w:uiPriority w:val="0"/>
    <w:qFormat/>
    <w:rPr>
      <w:rFonts w:hint="default" w:asciiTheme="minorHAnsi" w:hAnsiTheme="minorHAnsi" w:eastAsiaTheme="minorEastAsia" w:cstheme="minorBidi"/>
      <w:lang w:val="en-US" w:eastAsia="zh-CN" w:bidi="ar-SA"/>
    </w:rPr>
  </w:style>
  <w:style w:type="paragraph" w:styleId="901" w:customStyle="1">
    <w:name w:val="WPSOffice手动目录 2"/>
    <w:uiPriority w:val="0"/>
    <w:qFormat/>
    <w:pPr>
      <w:ind w:left="200"/>
    </w:pPr>
    <w:rPr>
      <w:rFonts w:hint="default" w:asciiTheme="minorHAnsi" w:hAnsiTheme="minorHAnsi" w:eastAsiaTheme="minorEastAsia" w:cstheme="minorBidi"/>
      <w:lang w:val="en-US" w:eastAsia="zh-CN" w:bidi="ar-SA"/>
    </w:rPr>
  </w:style>
  <w:style w:type="character" w:styleId="902" w:customStyle="1">
    <w:name w:val="无"/>
    <w:uiPriority w:val="0"/>
    <w:qFormat/>
  </w:style>
  <w:style w:type="character" w:styleId="903" w:customStyle="1">
    <w:name w:val="font31"/>
    <w:basedOn w:val="711"/>
    <w:uiPriority w:val="0"/>
    <w:qFormat/>
    <w:rPr>
      <w:rFonts w:ascii="Calibri" w:hAnsi="Calibri" w:cs="Calibri"/>
      <w:color w:val="000000"/>
      <w:sz w:val="21"/>
      <w:szCs w:val="21"/>
      <w:u w:val="none"/>
    </w:rPr>
  </w:style>
  <w:style w:type="character" w:styleId="904" w:customStyle="1">
    <w:name w:val="font21"/>
    <w:basedOn w:val="711"/>
    <w:uiPriority w:val="0"/>
    <w:qFormat/>
    <w:rPr>
      <w:rFonts w:hint="eastAsia" w:ascii="宋体" w:hAnsi="宋体" w:eastAsia="宋体" w:cs="宋体"/>
      <w:color w:val="000000"/>
      <w:sz w:val="21"/>
      <w:szCs w:val="21"/>
      <w:u w:val="none"/>
    </w:rPr>
  </w:style>
  <w:style w:type="character" w:styleId="905" w:customStyle="1">
    <w:name w:val="font01"/>
    <w:basedOn w:val="711"/>
    <w:uiPriority w:val="0"/>
    <w:qFormat/>
    <w:rPr>
      <w:rFonts w:hint="eastAsia" w:ascii="宋体" w:hAnsi="宋体" w:eastAsia="宋体" w:cs="宋体"/>
      <w:color w:val="000000"/>
      <w:sz w:val="24"/>
      <w:szCs w:val="24"/>
      <w:u w:val="none"/>
    </w:rPr>
  </w:style>
  <w:style w:type="paragraph" w:styleId="906" w:customStyle="1">
    <w:name w:val="Table Paragraph"/>
    <w:basedOn w:val="701"/>
    <w:uiPriority w:val="1"/>
    <w:qFormat/>
    <w:rPr>
      <w:rFonts w:ascii="仿宋" w:hAnsi="仿宋" w:eastAsia="仿宋" w:cs="仿宋"/>
      <w:lang w:val="zh-CN" w:bidi="zh-CN"/>
    </w:rPr>
  </w:style>
  <w:style w:type="character" w:styleId="907" w:customStyle="1">
    <w:name w:val="批注框文本 Char"/>
    <w:basedOn w:val="711"/>
    <w:link w:val="729"/>
    <w:uiPriority w:val="0"/>
    <w:qFormat/>
    <w:rPr>
      <w:rFonts w:asciiTheme="minorHAnsi" w:hAnsiTheme="minorHAnsi" w:eastAsiaTheme="minorEastAsia" w:cstheme="minorBidi"/>
      <w:sz w:val="18"/>
      <w:szCs w:val="18"/>
    </w:rPr>
  </w:style>
  <w:style w:type="paragraph" w:styleId="908" w:customStyle="1">
    <w:name w:val="标准正文"/>
    <w:basedOn w:val="714"/>
    <w:uiPriority w:val="0"/>
    <w:qFormat/>
    <w:pPr>
      <w:ind w:firstLine="560"/>
      <w:spacing w:line="360" w:lineRule="auto"/>
    </w:pPr>
    <w:rPr>
      <w:sz w:val="24"/>
    </w:rPr>
  </w:style>
  <w:style w:type="numbering" w:styleId="11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悠然</dc:creator>
  <cp:lastModifiedBy>钱云云</cp:lastModifiedBy>
  <cp:revision>7</cp:revision>
  <dcterms:created xsi:type="dcterms:W3CDTF">2022-06-24T03:07:00Z</dcterms:created>
  <dcterms:modified xsi:type="dcterms:W3CDTF">2025-02-27T08:27:50Z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DFA5969A7FD641E286B4F57160296394</vt:lpwstr>
  </property>
  <property fmtid="{D5CDD505-2E9C-101B-9397-08002B2CF9AE}" pid="4" name="KSOTemplateDocerSaveRecord">
    <vt:lpwstr>eyJoZGlkIjoiNzY5YjliMzE1OTk1ZGNlMGI1MzExZWVmYjc3YzFlOWQiLCJ1c2VySWQiOiI3MDk5NjYxMDgifQ==</vt:lpwstr>
  </property>
</Properties>
</file>