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5pt" to="-8.9pt,15.5pt" fillcolor="#FFFFF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08"/>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08"/>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cs="仿宋" w:asciiTheme="minorEastAsia" w:hAnsiTheme="minorEastAsia" w:eastAsiaTheme="minorEastAsia"/>
          <w:b/>
          <w:bCs/>
          <w:color w:val="000000" w:themeColor="text1"/>
          <w:sz w:val="28"/>
          <w:szCs w:val="28"/>
        </w:rPr>
        <w:t xml:space="preserve">JSZC-321283-HWZX-G2025-0063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采购代理编号：</w:t>
      </w:r>
      <w:r>
        <w:rPr>
          <w:rFonts w:hint="eastAsia" w:cs="仿宋" w:asciiTheme="minorEastAsia" w:hAnsiTheme="minorEastAsia" w:eastAsiaTheme="minorEastAsia"/>
          <w:b/>
          <w:bCs/>
          <w:color w:val="000000" w:themeColor="text1"/>
          <w:szCs w:val="28"/>
        </w:rPr>
        <w:t xml:space="preserve">0675-256JOC003030A</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数字化胃肠机</w:t>
      </w:r>
      <w:r/>
    </w:p>
    <w:p>
      <w:pPr>
        <w:ind w:firstLine="419"/>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泰兴市妇幼保健院</w:t>
      </w:r>
      <w:r/>
    </w:p>
    <w:p>
      <w:pPr>
        <w:pStyle w:val="850"/>
        <w:ind w:firstLine="0"/>
        <w:jc w:val="cente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w:t>
      </w:r>
      <w:r>
        <w:rPr>
          <w:rFonts w:cs="仿宋" w:asciiTheme="minorEastAsia" w:hAnsiTheme="minorEastAsia" w:eastAsiaTheme="minorEastAsia"/>
          <w:b/>
          <w:color w:val="000000" w:themeColor="text1"/>
          <w:sz w:val="28"/>
          <w:szCs w:val="28"/>
        </w:rPr>
        <w:t xml:space="preserve">5</w:t>
      </w:r>
      <w:r>
        <w:rPr>
          <w:rFonts w:hint="eastAsia" w:cs="仿宋" w:asciiTheme="minorEastAsia" w:hAnsiTheme="minorEastAsia" w:eastAsiaTheme="minorEastAsia"/>
          <w:b/>
          <w:color w:val="000000" w:themeColor="text1"/>
          <w:sz w:val="28"/>
          <w:szCs w:val="28"/>
        </w:rPr>
        <w:t xml:space="preserve">年</w:t>
      </w:r>
      <w:r>
        <w:rPr>
          <w:rFonts w:hint="eastAsia" w:cs="仿宋" w:asciiTheme="minorEastAsia" w:hAnsiTheme="minorEastAsia" w:eastAsiaTheme="minorEastAsia"/>
          <w:b/>
          <w:color w:val="000000" w:themeColor="text1"/>
          <w:sz w:val="28"/>
          <w:szCs w:val="28"/>
        </w:rPr>
        <w:t xml:space="preserve">2</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0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0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0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0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0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09"/>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409438817"/>
      <w:r/>
      <w:bookmarkStart w:id="1"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28679947"/>
      <w:r/>
      <w:bookmarkStart w:id="3" w:name="_Toc258329824"/>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数字化</w:t>
      </w:r>
      <w:r>
        <w:rPr>
          <w:rFonts w:hint="eastAsia" w:cs="仿宋" w:asciiTheme="minorEastAsia" w:hAnsiTheme="minorEastAsia" w:eastAsiaTheme="minorEastAsia"/>
          <w:color w:val="000000" w:themeColor="text1"/>
          <w:sz w:val="24"/>
          <w:szCs w:val="24"/>
          <w:u w:val="single"/>
        </w:rPr>
        <w:t xml:space="preserve">胃肠机</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5" w:tooltip="http://jszfcg.jsczt.cn/）获取招标文件，并于2023年11月" w:history="1">
        <w:r>
          <w:rPr>
            <w:rStyle w:val="854"/>
            <w:rFonts w:hint="eastAsia" w:cs="仿宋" w:asciiTheme="minorEastAsia" w:hAnsiTheme="minorEastAsia" w:eastAsiaTheme="minorEastAsia"/>
            <w:color w:val="000000" w:themeColor="text1"/>
            <w:sz w:val="24"/>
            <w:szCs w:val="24"/>
            <w:u w:val="none"/>
          </w:rPr>
          <w:t xml:space="preserve">，并于</w:t>
        </w:r>
        <w:r>
          <w:rPr>
            <w:rStyle w:val="854"/>
            <w:rFonts w:hint="eastAsia" w:cs="仿宋" w:asciiTheme="minorEastAsia" w:hAnsiTheme="minorEastAsia" w:eastAsiaTheme="minorEastAsia"/>
            <w:color w:val="000000" w:themeColor="text1"/>
            <w:sz w:val="24"/>
            <w:szCs w:val="24"/>
          </w:rPr>
          <w:t xml:space="preserve">202</w:t>
        </w:r>
        <w:r>
          <w:rPr>
            <w:rStyle w:val="854"/>
            <w:rFonts w:cs="仿宋" w:asciiTheme="minorEastAsia" w:hAnsiTheme="minorEastAsia" w:eastAsiaTheme="minorEastAsia"/>
            <w:color w:val="000000" w:themeColor="text1"/>
            <w:sz w:val="24"/>
            <w:szCs w:val="24"/>
          </w:rPr>
          <w:t xml:space="preserve">5</w:t>
        </w:r>
        <w:r>
          <w:rPr>
            <w:rStyle w:val="854"/>
            <w:rFonts w:hint="eastAsia" w:cs="仿宋" w:asciiTheme="minorEastAsia" w:hAnsiTheme="minorEastAsia" w:eastAsiaTheme="minorEastAsia"/>
            <w:color w:val="000000" w:themeColor="text1"/>
            <w:sz w:val="24"/>
            <w:szCs w:val="24"/>
          </w:rPr>
          <w:t xml:space="preserve">年</w:t>
        </w:r>
        <w:r>
          <w:rPr>
            <w:rStyle w:val="854"/>
            <w:rFonts w:hint="eastAsia" w:cs="仿宋" w:asciiTheme="minorEastAsia" w:hAnsiTheme="minorEastAsia" w:eastAsiaTheme="minorEastAsia"/>
            <w:color w:val="000000" w:themeColor="text1"/>
            <w:sz w:val="24"/>
            <w:szCs w:val="24"/>
          </w:rPr>
          <w:t xml:space="preserve">3</w:t>
        </w:r>
        <w:r>
          <w:rPr>
            <w:rStyle w:val="854"/>
            <w:rFonts w:hint="eastAsia" w:cs="仿宋" w:asciiTheme="minorEastAsia" w:hAnsiTheme="minorEastAsia" w:eastAsiaTheme="minorEastAsia"/>
            <w:color w:val="000000" w:themeColor="text1"/>
            <w:sz w:val="24"/>
            <w:szCs w:val="24"/>
          </w:rPr>
          <w:t xml:space="preserve">月</w:t>
        </w:r>
      </w:hyperlink>
      <w:r>
        <w:rPr>
          <w:rStyle w:val="854"/>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0"/>
        <w:spacing w:before="0" w:after="0" w:line="500" w:lineRule="exact"/>
        <w:rPr>
          <w:rFonts w:hint="eastAsia" w:cs="仿宋" w:asciiTheme="minorEastAsia" w:hAnsiTheme="minorEastAsia" w:eastAsiaTheme="minorEastAsia"/>
          <w:bCs w:val="0"/>
          <w:color w:val="000000" w:themeColor="text1"/>
          <w:sz w:val="24"/>
          <w:szCs w:val="24"/>
        </w:rPr>
      </w:pPr>
      <w:r/>
      <w:bookmarkStart w:id="5" w:name="_Toc28359002"/>
      <w:r/>
      <w:bookmarkStart w:id="6" w:name="_Toc35393621"/>
      <w:r/>
      <w:bookmarkStart w:id="7" w:name="_Toc35393790"/>
      <w:r/>
      <w:bookmarkStart w:id="8" w:name="_Toc28359079"/>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cs="仿宋" w:asciiTheme="minorEastAsia" w:hAnsiTheme="minorEastAsia" w:eastAsiaTheme="minorEastAsia"/>
          <w:color w:val="000000" w:themeColor="text1"/>
          <w:sz w:val="24"/>
          <w:szCs w:val="24"/>
        </w:rPr>
        <w:t xml:space="preserve">JSZC-321283-HWZX-G2025-0063</w:t>
      </w:r>
      <w:r>
        <w:rPr>
          <w:rFonts w:hint="eastAsia" w:cs="仿宋" w:asciiTheme="minorEastAsia" w:hAnsiTheme="minorEastAsia" w:eastAsiaTheme="minorEastAsia"/>
          <w:color w:val="000000" w:themeColor="text1"/>
          <w:sz w:val="24"/>
          <w:szCs w:val="24"/>
        </w:rPr>
        <w:t xml:space="preserve"> </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cs="仿宋" w:asciiTheme="minorEastAsia" w:hAnsiTheme="minorEastAsia" w:eastAsiaTheme="minorEastAsia"/>
          <w:color w:val="000000" w:themeColor="text1"/>
          <w:sz w:val="24"/>
          <w:szCs w:val="24"/>
        </w:rPr>
        <w:t xml:space="preserve">0675-256JOC003030A</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数字化胃肠机</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100</w:t>
      </w:r>
      <w:r>
        <w:rPr>
          <w:rFonts w:hint="eastAsia" w:cs="仿宋" w:asciiTheme="minorEastAsia" w:hAnsiTheme="minorEastAsia" w:eastAsiaTheme="minorEastAsia"/>
          <w:color w:val="000000" w:themeColor="text1"/>
          <w:sz w:val="24"/>
          <w:szCs w:val="24"/>
        </w:rPr>
        <w:t xml:space="preserve">万元</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100</w:t>
      </w:r>
      <w:r>
        <w:rPr>
          <w:rFonts w:hint="eastAsia" w:cs="仿宋" w:asciiTheme="minorEastAsia" w:hAnsiTheme="minorEastAsia" w:eastAsiaTheme="minorEastAsia"/>
          <w:color w:val="000000" w:themeColor="text1"/>
          <w:sz w:val="24"/>
          <w:szCs w:val="24"/>
        </w:rPr>
        <w:t xml:space="preserve">万元</w:t>
      </w:r>
      <w:r/>
    </w:p>
    <w:p>
      <w:pPr>
        <w:ind w:firstLine="480"/>
        <w:jc w:val="left"/>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37"/>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680" w:hRule="exact"/>
        </w:trPr>
        <w:tc>
          <w:tcPr>
            <w:shd w:val="clear" w:color="auto" w:fill="ffffff"/>
            <w:tcW w:w="4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440" w:lineRule="exact"/>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数字化</w:t>
            </w:r>
            <w:r>
              <w:rPr>
                <w:rFonts w:hint="eastAsia" w:cs="仿宋" w:asciiTheme="minorEastAsia" w:hAnsiTheme="minorEastAsia" w:eastAsiaTheme="minorEastAsia"/>
                <w:color w:val="000000" w:themeColor="text1"/>
                <w:sz w:val="24"/>
                <w:szCs w:val="24"/>
              </w:rPr>
              <w:t xml:space="preserve">胃肠机</w:t>
            </w:r>
            <w:r/>
          </w:p>
        </w:tc>
        <w:tc>
          <w:tcPr>
            <w:shd w:val="clear" w:color="auto" w:fill="ffffff"/>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1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c>
          <w:tcPr>
            <w:shd w:val="clear" w:color="auto" w:fill="ffffff"/>
            <w:tcW w:w="6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11"/>
        <w:ind w:firstLine="480"/>
        <w:spacing w:line="500" w:lineRule="exac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1"/>
        <w:ind w:firstLine="480"/>
        <w:spacing w:line="500" w:lineRule="exac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0"/>
        <w:spacing w:before="0" w:after="0" w:line="500" w:lineRule="exact"/>
        <w:rPr>
          <w:rFonts w:hint="eastAsia" w:cs="仿宋" w:asciiTheme="minorEastAsia" w:hAnsiTheme="minorEastAsia" w:eastAsiaTheme="minorEastAsia"/>
          <w:bCs w:val="0"/>
          <w:color w:val="000000" w:themeColor="text1"/>
          <w:sz w:val="24"/>
          <w:szCs w:val="24"/>
        </w:rPr>
      </w:pPr>
      <w:r/>
      <w:bookmarkStart w:id="10" w:name="_Toc28359003"/>
      <w:r/>
      <w:bookmarkStart w:id="11" w:name="_Toc35393622"/>
      <w:r/>
      <w:bookmarkStart w:id="12" w:name="_Toc28359080"/>
      <w:r/>
      <w:bookmarkStart w:id="13" w:name="_Toc35393791"/>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0"/>
        <w:spacing w:line="500" w:lineRule="exact"/>
        <w:rPr>
          <w:rFonts w:hint="eastAsia" w:cs="仿宋" w:asciiTheme="minorEastAsia" w:hAnsiTheme="minorEastAsia" w:eastAsiaTheme="minorEastAsia"/>
          <w:b/>
          <w:bCs/>
          <w:color w:val="000000" w:themeColor="text1"/>
          <w:sz w:val="24"/>
          <w:szCs w:val="24"/>
        </w:rPr>
      </w:pPr>
      <w:r/>
      <w:bookmarkStart w:id="14" w:name="_Toc28359081"/>
      <w:r/>
      <w:bookmarkStart w:id="15" w:name="_Toc28359004"/>
      <w:r>
        <w:rPr>
          <w:rFonts w:hint="eastAsia" w:cs="仿宋" w:asciiTheme="minorEastAsia" w:hAnsiTheme="minorEastAsia" w:eastAsiaTheme="minorEastAsia"/>
          <w:b/>
          <w:bCs/>
          <w:color w:val="000000" w:themeColor="text1"/>
          <w:sz w:val="24"/>
          <w:szCs w:val="24"/>
        </w:rPr>
        <w:t xml:space="preserve">1、满足《中华人民共和国政府采购法》第二十二条规定。</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（1）具有独立承担民事责任的能力【提供企事业法人（或其他组织）的营业执照（或相关部门的登记证明文件）】；</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（2）具有良好的商业信誉和健全的财务会计制度【近六个月中任意一个月份(不含投标文件递交当月)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（3）具有履行合同所必须的设备和专业技术能力【提供书面声明】；</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（4）有依法缴纳税收和社会保障资金的良好记录【近六个月中任意一个月</w:t>
      </w:r>
      <w:r>
        <w:rPr>
          <w:rFonts w:hint="eastAsia" w:cs="仿宋" w:asciiTheme="minorEastAsia" w:hAnsiTheme="minorEastAsia" w:eastAsiaTheme="minorEastAsia"/>
          <w:color w:val="000000" w:themeColor="text1"/>
          <w:sz w:val="24"/>
          <w:szCs w:val="24"/>
        </w:rPr>
        <w:t xml:space="preserve">份(不含投标文件递交当月) 的依法缴纳税收的相关材料（提供相关主管部门证明或银行代扣证明）；近六个月中任意一个月份(不含投标文件递交当月)的依法缴纳社会保障资金的相关材料（提供相关主管部门证明或银行代扣证明）】；</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（5）参加政府采购活动前三年内，在经营活动中没有重大违法记录【提供承诺函】；</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（6）法律、行政法规规定的其他条件。</w:t>
      </w:r>
      <w:r/>
    </w:p>
    <w:p>
      <w:pPr>
        <w:ind w:firstLine="480"/>
        <w:spacing w:line="500" w:lineRule="exact"/>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2、落实政府采购政策需满足的资格要求：</w:t>
      </w:r>
      <w:r/>
    </w:p>
    <w:p>
      <w:pPr>
        <w:ind w:firstLine="480"/>
        <w:spacing w:line="500" w:lineRule="exact"/>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2.1</w:t>
      </w:r>
      <w:r>
        <w:rPr>
          <w:rFonts w:cs="仿宋" w:asciiTheme="minorEastAsia" w:hAnsiTheme="minorEastAsia" w:eastAsiaTheme="minorEastAsia"/>
          <w:bCs/>
          <w:color w:val="000000" w:themeColor="text1"/>
          <w:sz w:val="24"/>
          <w:szCs w:val="24"/>
        </w:rPr>
        <w:t xml:space="preserve">本项目属于</w:t>
      </w:r>
      <w:r>
        <w:rPr>
          <w:rFonts w:cs="仿宋" w:asciiTheme="minorEastAsia" w:hAnsiTheme="minorEastAsia" w:eastAsiaTheme="minorEastAsia"/>
          <w:bCs/>
          <w:color w:val="000000" w:themeColor="text1"/>
          <w:sz w:val="24"/>
          <w:szCs w:val="24"/>
          <w:u w:val="single"/>
        </w:rPr>
        <w:t xml:space="preserve">货物类</w:t>
      </w:r>
      <w:r>
        <w:rPr>
          <w:rFonts w:cs="仿宋" w:asciiTheme="minorEastAsia" w:hAnsiTheme="minorEastAsia" w:eastAsiaTheme="minorEastAsia"/>
          <w:bCs/>
          <w:color w:val="000000" w:themeColor="text1"/>
          <w:sz w:val="24"/>
          <w:szCs w:val="24"/>
        </w:rPr>
        <w:t xml:space="preserve">采购。</w:t>
      </w:r>
      <w:r>
        <w:rPr>
          <w:rFonts w:hint="eastAsia" w:cs="仿宋" w:asciiTheme="minorEastAsia" w:hAnsiTheme="minorEastAsia" w:eastAsiaTheme="minorEastAsia"/>
          <w:bCs/>
          <w:color w:val="000000" w:themeColor="text1"/>
          <w:sz w:val="24"/>
          <w:szCs w:val="24"/>
        </w:rPr>
        <w:t xml:space="preserve">不</w:t>
      </w:r>
      <w:r>
        <w:rPr>
          <w:rFonts w:hint="eastAsia" w:cs="仿宋" w:asciiTheme="minorEastAsia" w:hAnsiTheme="minorEastAsia" w:eastAsiaTheme="minorEastAsia"/>
          <w:bCs/>
          <w:color w:val="000000" w:themeColor="text1"/>
          <w:sz w:val="24"/>
          <w:szCs w:val="24"/>
        </w:rPr>
        <w:t xml:space="preserve">专门面向中小企业采购。</w:t>
      </w:r>
      <w:r>
        <w:rPr>
          <w:rFonts w:cs="仿宋" w:asciiTheme="minorEastAsia" w:hAnsiTheme="minorEastAsia" w:eastAsiaTheme="minorEastAsia"/>
          <w:bCs/>
          <w:color w:val="000000" w:themeColor="text1"/>
          <w:sz w:val="24"/>
          <w:szCs w:val="24"/>
        </w:rPr>
        <w:t xml:space="preserve">根据《政府采购促进中小企业发展管理办法》（财库〔2020〕46号）、《关于做好政府采购支持企业发展有关事项的通知》(苏</w:t>
      </w:r>
      <w:r>
        <w:rPr>
          <w:rFonts w:cs="仿宋" w:asciiTheme="minorEastAsia" w:hAnsiTheme="minorEastAsia" w:eastAsiaTheme="minorEastAsia"/>
          <w:bCs/>
          <w:color w:val="000000" w:themeColor="text1"/>
          <w:sz w:val="24"/>
          <w:szCs w:val="24"/>
        </w:rPr>
        <w:t xml:space="preserve">财购(</w:t>
      </w:r>
      <w:r>
        <w:rPr>
          <w:rFonts w:cs="仿宋" w:asciiTheme="minorEastAsia" w:hAnsiTheme="minorEastAsia" w:eastAsiaTheme="minorEastAsia"/>
          <w:bCs/>
          <w:color w:val="000000" w:themeColor="text1"/>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cs="仿宋" w:asciiTheme="minorEastAsia" w:hAnsiTheme="minorEastAsia" w:eastAsiaTheme="minorEastAsia"/>
          <w:bCs/>
          <w:color w:val="000000" w:themeColor="text1"/>
          <w:sz w:val="24"/>
          <w:szCs w:val="24"/>
        </w:rPr>
        <w:t xml:space="preserve">投标人</w:t>
      </w:r>
      <w:r>
        <w:rPr>
          <w:rFonts w:cs="仿宋" w:asciiTheme="minorEastAsia" w:hAnsiTheme="minorEastAsia" w:eastAsiaTheme="minorEastAsia"/>
          <w:bCs/>
          <w:color w:val="000000" w:themeColor="text1"/>
          <w:sz w:val="24"/>
          <w:szCs w:val="24"/>
        </w:rPr>
        <w:t xml:space="preserve">企业规模。（</w:t>
      </w:r>
      <w:r>
        <w:rPr>
          <w:rFonts w:hint="eastAsia" w:cs="仿宋" w:asciiTheme="minorEastAsia" w:hAnsiTheme="minorEastAsia" w:eastAsiaTheme="minorEastAsia"/>
          <w:bCs/>
          <w:color w:val="000000" w:themeColor="text1"/>
          <w:sz w:val="24"/>
          <w:szCs w:val="24"/>
        </w:rPr>
        <w:t xml:space="preserve">投标人</w:t>
      </w:r>
      <w:r>
        <w:rPr>
          <w:rFonts w:cs="仿宋" w:asciiTheme="minorEastAsia" w:hAnsiTheme="minorEastAsia" w:eastAsiaTheme="minorEastAsia"/>
          <w:bCs/>
          <w:color w:val="000000" w:themeColor="text1"/>
          <w:sz w:val="24"/>
          <w:szCs w:val="24"/>
        </w:rPr>
        <w:t xml:space="preserve">必须提供</w:t>
      </w:r>
      <w:r>
        <w:rPr>
          <w:rFonts w:hint="eastAsia" w:cs="仿宋" w:asciiTheme="minorEastAsia" w:hAnsiTheme="minorEastAsia" w:eastAsiaTheme="minorEastAsia"/>
          <w:bCs/>
          <w:color w:val="000000" w:themeColor="text1"/>
          <w:sz w:val="24"/>
          <w:szCs w:val="24"/>
        </w:rPr>
        <w:t xml:space="preserve">中小企业声明函</w:t>
      </w:r>
      <w:r>
        <w:rPr>
          <w:rFonts w:cs="仿宋" w:asciiTheme="minorEastAsia" w:hAnsiTheme="minorEastAsia" w:eastAsiaTheme="minorEastAsia"/>
          <w:bCs/>
          <w:color w:val="000000" w:themeColor="text1"/>
          <w:sz w:val="24"/>
          <w:szCs w:val="24"/>
        </w:rPr>
        <w:t xml:space="preserve">（见格式））</w:t>
      </w:r>
      <w:r/>
    </w:p>
    <w:p>
      <w:pPr>
        <w:ind w:firstLine="480"/>
        <w:spacing w:line="500" w:lineRule="exact"/>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2</w:t>
      </w:r>
      <w:r>
        <w:rPr>
          <w:rFonts w:cs="仿宋" w:asciiTheme="minorEastAsia" w:hAnsiTheme="minorEastAsia" w:eastAsiaTheme="minorEastAsia"/>
          <w:bCs/>
          <w:color w:val="000000" w:themeColor="text1"/>
          <w:sz w:val="24"/>
          <w:szCs w:val="24"/>
        </w:rPr>
        <w:t xml:space="preserve">.2中小</w:t>
      </w:r>
      <w:r>
        <w:rPr>
          <w:rFonts w:cs="仿宋" w:asciiTheme="minorEastAsia" w:hAnsiTheme="minorEastAsia" w:eastAsiaTheme="minorEastAsia"/>
          <w:bCs/>
          <w:color w:val="000000" w:themeColor="text1"/>
          <w:sz w:val="24"/>
          <w:szCs w:val="24"/>
        </w:rPr>
        <w:t xml:space="preserve">微企业</w:t>
      </w:r>
      <w:r>
        <w:rPr>
          <w:rFonts w:cs="仿宋" w:asciiTheme="minorEastAsia" w:hAnsiTheme="minorEastAsia" w:eastAsiaTheme="minorEastAsia"/>
          <w:bCs/>
          <w:color w:val="000000" w:themeColor="text1"/>
          <w:sz w:val="24"/>
          <w:szCs w:val="24"/>
        </w:rPr>
        <w:t xml:space="preserve">划型标准请对照《关于印发中小企业划型标准规定的通知》（工信部联企业〔2011〕300号）（详见</w:t>
      </w:r>
      <w:r>
        <w:rPr>
          <w:rFonts w:hint="eastAsia" w:cs="仿宋" w:asciiTheme="minorEastAsia" w:hAnsiTheme="minorEastAsia" w:eastAsiaTheme="minorEastAsia"/>
          <w:bCs/>
          <w:color w:val="000000" w:themeColor="text1"/>
          <w:sz w:val="24"/>
          <w:szCs w:val="24"/>
        </w:rPr>
        <w:t xml:space="preserve">格式</w:t>
      </w:r>
      <w:r>
        <w:rPr>
          <w:rFonts w:cs="仿宋" w:asciiTheme="minorEastAsia" w:hAnsiTheme="minorEastAsia" w:eastAsiaTheme="minorEastAsia"/>
          <w:bCs/>
          <w:color w:val="000000" w:themeColor="text1"/>
          <w:sz w:val="24"/>
          <w:szCs w:val="24"/>
        </w:rPr>
        <w:t xml:space="preserve">）。本项目采购标的对应的行业主要为</w:t>
      </w:r>
      <w:r>
        <w:rPr>
          <w:rFonts w:cs="仿宋" w:asciiTheme="minorEastAsia" w:hAnsiTheme="minorEastAsia" w:eastAsiaTheme="minorEastAsia"/>
          <w:bCs/>
          <w:color w:val="000000" w:themeColor="text1"/>
          <w:sz w:val="24"/>
          <w:szCs w:val="24"/>
          <w:u w:val="single"/>
        </w:rPr>
        <w:t xml:space="preserve">工业</w:t>
      </w:r>
      <w:r>
        <w:rPr>
          <w:rFonts w:cs="仿宋" w:asciiTheme="minorEastAsia" w:hAnsiTheme="minorEastAsia" w:eastAsiaTheme="minorEastAsia"/>
          <w:bCs/>
          <w:color w:val="000000" w:themeColor="text1"/>
          <w:sz w:val="24"/>
          <w:szCs w:val="24"/>
        </w:rPr>
        <w:t xml:space="preserve">。</w:t>
      </w:r>
      <w:r/>
    </w:p>
    <w:p>
      <w:pPr>
        <w:ind w:firstLine="480"/>
        <w:spacing w:line="500" w:lineRule="exact"/>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3、本项目的特定资格要求：</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投标人需提供三类医疗器械经营企业许可证/二类医疗器械经营备案凭证、所投产</w:t>
      </w:r>
      <w:r>
        <w:rPr>
          <w:rFonts w:hint="eastAsia" w:cs="仿宋" w:asciiTheme="minorEastAsia" w:hAnsiTheme="minorEastAsia" w:eastAsiaTheme="minorEastAsia"/>
          <w:color w:val="000000" w:themeColor="text1"/>
          <w:sz w:val="24"/>
          <w:szCs w:val="24"/>
        </w:rPr>
        <w:t xml:space="preserve">品医疗</w:t>
      </w:r>
      <w:r>
        <w:rPr>
          <w:rFonts w:hint="eastAsia" w:cs="仿宋" w:asciiTheme="minorEastAsia" w:hAnsiTheme="minorEastAsia" w:eastAsiaTheme="minorEastAsia"/>
          <w:color w:val="000000" w:themeColor="text1"/>
          <w:sz w:val="24"/>
          <w:szCs w:val="24"/>
        </w:rPr>
        <w:t xml:space="preserve">器械注册证（包括附件）、医疗器械产品注册登记表/医疗器械备案凭证。（如适用）</w:t>
      </w:r>
      <w:r/>
    </w:p>
    <w:p>
      <w:pPr>
        <w:pStyle w:val="1010"/>
        <w:spacing w:before="0" w:after="0" w:line="500" w:lineRule="exact"/>
        <w:rPr>
          <w:rFonts w:hint="eastAsia" w:cs="仿宋" w:asciiTheme="minorEastAsia" w:hAnsiTheme="minorEastAsia" w:eastAsiaTheme="minorEastAsia"/>
          <w:bCs w:val="0"/>
          <w:color w:val="000000" w:themeColor="text1"/>
          <w:sz w:val="24"/>
          <w:szCs w:val="24"/>
        </w:rPr>
      </w:pPr>
      <w:r/>
      <w:bookmarkStart w:id="16" w:name="_Toc35393792"/>
      <w:r/>
      <w:bookmarkStart w:id="17" w:name="_Toc35393623"/>
      <w:r>
        <w:rPr>
          <w:rFonts w:hint="eastAsia" w:cs="仿宋" w:asciiTheme="minorEastAsia" w:hAnsiTheme="minorEastAsia" w:eastAsiaTheme="minorEastAsia"/>
          <w:bCs w:val="0"/>
          <w:color w:val="000000" w:themeColor="text1"/>
          <w:sz w:val="24"/>
          <w:szCs w:val="24"/>
        </w:rPr>
        <w:t xml:space="preserve">三、获取招标文件</w:t>
      </w:r>
      <w:bookmarkEnd w:id="14"/>
      <w:r/>
      <w:bookmarkEnd w:id="15"/>
      <w:r/>
      <w:bookmarkEnd w:id="16"/>
      <w:r/>
      <w:bookmarkEnd w:id="17"/>
      <w:r>
        <w:rPr>
          <w:rFonts w:hint="eastAsia" w:cs="仿宋" w:asciiTheme="minorEastAsia" w:hAnsiTheme="minorEastAsia" w:eastAsiaTheme="minorEastAsia"/>
          <w:bCs w:val="0"/>
          <w:color w:val="000000" w:themeColor="text1"/>
          <w:sz w:val="24"/>
          <w:szCs w:val="24"/>
        </w:rPr>
        <w:t xml:space="preserve">：</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’系统”下载本项目招标文件。</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”系统免费下载。</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”进入系统。</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10"/>
        <w:spacing w:before="0" w:after="0" w:line="500" w:lineRule="exact"/>
        <w:rPr>
          <w:rFonts w:hint="eastAsia" w:cs="仿宋" w:asciiTheme="minorEastAsia" w:hAnsiTheme="minorEastAsia" w:eastAsiaTheme="minorEastAsia"/>
          <w:bCs w:val="0"/>
          <w:color w:val="000000" w:themeColor="text1"/>
          <w:sz w:val="24"/>
          <w:szCs w:val="24"/>
        </w:rPr>
      </w:pPr>
      <w:r/>
      <w:bookmarkStart w:id="18" w:name="_Toc28359082"/>
      <w:r/>
      <w:bookmarkStart w:id="19" w:name="_Toc28359005"/>
      <w:r/>
      <w:bookmarkStart w:id="20" w:name="_Toc35393793"/>
      <w:r/>
      <w:bookmarkStart w:id="21" w:name="_Toc35393624"/>
      <w:r>
        <w:rPr>
          <w:rFonts w:hint="eastAsia" w:cs="仿宋" w:asciiTheme="minorEastAsia" w:hAnsiTheme="minorEastAsia" w:eastAsiaTheme="minorEastAsia"/>
          <w:bCs w:val="0"/>
          <w:color w:val="000000" w:themeColor="text1"/>
          <w:sz w:val="24"/>
          <w:szCs w:val="24"/>
        </w:rPr>
        <w:t xml:space="preserve">四、提交投标文件</w:t>
      </w:r>
      <w:bookmarkEnd w:id="18"/>
      <w:r/>
      <w:bookmarkEnd w:id="19"/>
      <w:r>
        <w:rPr>
          <w:rFonts w:hint="eastAsia" w:cs="仿宋" w:asciiTheme="minorEastAsia" w:hAnsiTheme="minorEastAsia" w:eastAsiaTheme="minorEastAsia"/>
          <w:bCs w:val="0"/>
          <w:color w:val="000000" w:themeColor="text1"/>
          <w:sz w:val="24"/>
          <w:szCs w:val="24"/>
        </w:rPr>
        <w:t xml:space="preserve">截止时间、开标时间和地点</w:t>
      </w:r>
      <w:bookmarkEnd w:id="20"/>
      <w:r/>
      <w:bookmarkEnd w:id="21"/>
      <w:r/>
      <w:r/>
    </w:p>
    <w:p>
      <w:pPr>
        <w:ind w:firstLine="488"/>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时00分（北京时间）</w:t>
      </w:r>
      <w:r/>
    </w:p>
    <w:p>
      <w:pPr>
        <w:ind w:firstLine="540"/>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p>
    <w:p>
      <w:pPr>
        <w:pStyle w:val="1010"/>
        <w:spacing w:before="0" w:after="0" w:line="500" w:lineRule="exact"/>
        <w:rPr>
          <w:rFonts w:hint="eastAsia" w:cs="仿宋" w:asciiTheme="minorEastAsia" w:hAnsiTheme="minorEastAsia" w:eastAsiaTheme="minorEastAsia"/>
          <w:bCs w:val="0"/>
          <w:color w:val="000000" w:themeColor="text1"/>
          <w:sz w:val="24"/>
          <w:szCs w:val="24"/>
        </w:rPr>
      </w:pPr>
      <w:r/>
      <w:bookmarkStart w:id="22" w:name="_Toc28359084"/>
      <w:r/>
      <w:bookmarkStart w:id="23" w:name="_Toc28359007"/>
      <w:r/>
      <w:bookmarkStart w:id="24" w:name="_Toc35393625"/>
      <w:r/>
      <w:bookmarkStart w:id="25" w:name="_Toc35393794"/>
      <w:r>
        <w:rPr>
          <w:rFonts w:hint="eastAsia" w:cs="仿宋" w:asciiTheme="minorEastAsia" w:hAnsiTheme="minorEastAsia" w:eastAsiaTheme="minorEastAsia"/>
          <w:bCs w:val="0"/>
          <w:color w:val="000000" w:themeColor="text1"/>
          <w:sz w:val="24"/>
          <w:szCs w:val="24"/>
        </w:rPr>
        <w:t xml:space="preserve">五、公告期限</w:t>
      </w:r>
      <w:bookmarkEnd w:id="22"/>
      <w:r/>
      <w:bookmarkEnd w:id="23"/>
      <w:r/>
      <w:bookmarkEnd w:id="24"/>
      <w:r/>
      <w:bookmarkEnd w:id="25"/>
      <w:r/>
      <w:r/>
    </w:p>
    <w:p>
      <w:pPr>
        <w:ind w:firstLine="488"/>
        <w:spacing w:line="500" w:lineRule="exac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0"/>
        <w:spacing w:before="0" w:after="0" w:line="500" w:lineRule="exact"/>
        <w:rPr>
          <w:rFonts w:hint="eastAsia" w:cs="仿宋" w:asciiTheme="minorEastAsia" w:hAnsiTheme="minorEastAsia" w:eastAsiaTheme="minorEastAsia"/>
          <w:bCs w:val="0"/>
          <w:color w:val="000000" w:themeColor="text1"/>
          <w:sz w:val="24"/>
          <w:szCs w:val="24"/>
        </w:rPr>
      </w:pPr>
      <w:r/>
      <w:bookmarkStart w:id="26" w:name="_Toc35393795"/>
      <w:r/>
      <w:bookmarkStart w:id="27" w:name="_Toc35393626"/>
      <w:r>
        <w:rPr>
          <w:rFonts w:hint="eastAsia" w:cs="仿宋" w:asciiTheme="minorEastAsia" w:hAnsiTheme="minorEastAsia" w:eastAsiaTheme="minorEastAsia"/>
          <w:bCs w:val="0"/>
          <w:color w:val="000000" w:themeColor="text1"/>
          <w:sz w:val="24"/>
          <w:szCs w:val="24"/>
        </w:rPr>
        <w:t xml:space="preserve">六、其他补充事宜</w:t>
      </w:r>
      <w:bookmarkEnd w:id="26"/>
      <w:r/>
      <w:bookmarkEnd w:id="27"/>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28" w:name="_Toc35393627"/>
      <w:r/>
      <w:bookmarkStart w:id="29" w:name="_Toc35393796"/>
      <w:r/>
      <w:bookmarkStart w:id="30" w:name="_Toc28359008"/>
      <w:r/>
      <w:bookmarkStart w:id="31"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2" w:name="_Hlk142317669"/>
      <w:r>
        <w:rPr>
          <w:rFonts w:hint="eastAsia" w:ascii="宋体" w:hAnsi="宋体" w:eastAsia="宋体" w:cs="宋体"/>
          <w:bCs/>
          <w:sz w:val="24"/>
          <w:szCs w:val="24"/>
        </w:rPr>
        <w:t xml:space="preserve">本项目支持</w:t>
      </w:r>
      <w:bookmarkEnd w:id="32"/>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3、本项目不属于专门面向中小企业采购的项目</w:t>
      </w:r>
      <w:r/>
    </w:p>
    <w:p>
      <w:pPr>
        <w:pStyle w:val="1010"/>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8"/>
      <w:r/>
      <w:bookmarkEnd w:id="29"/>
      <w:r/>
      <w:bookmarkEnd w:id="30"/>
      <w:r/>
      <w:bookmarkEnd w:id="31"/>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称：泰兴市妇幼保健院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地址：济川</w:t>
      </w:r>
      <w:r>
        <w:rPr>
          <w:rFonts w:hint="eastAsia" w:ascii="宋体" w:hAnsi="宋体" w:eastAsia="宋体"/>
          <w:bCs/>
          <w:sz w:val="24"/>
          <w:szCs w:val="24"/>
        </w:rPr>
        <w:t xml:space="preserve">街道龙</w:t>
      </w:r>
      <w:r>
        <w:rPr>
          <w:rFonts w:hint="eastAsia" w:ascii="宋体" w:hAnsi="宋体" w:eastAsia="宋体"/>
          <w:bCs/>
          <w:sz w:val="24"/>
          <w:szCs w:val="24"/>
        </w:rPr>
        <w:t xml:space="preserve">河路8号</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联系方式：翟科长  </w:t>
      </w:r>
      <w:r>
        <w:rPr>
          <w:rFonts w:ascii="宋体" w:hAnsi="宋体" w:eastAsia="宋体"/>
          <w:bCs/>
          <w:sz w:val="24"/>
          <w:szCs w:val="24"/>
        </w:rPr>
        <w:t xml:space="preserve">17768715208</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区云龙山路56号大唐科技大厦A座高区15楼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项目联系人：马先生、陆先生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w:t>
      </w:r>
      <w:r>
        <w:rPr>
          <w:rFonts w:hint="eastAsia" w:ascii="宋体" w:hAnsi="宋体" w:eastAsia="宋体"/>
          <w:bCs/>
          <w:sz w:val="24"/>
          <w:szCs w:val="24"/>
        </w:rPr>
        <w:t xml:space="preserve">、19850429971 </w:t>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数字化</w:t>
            </w:r>
            <w:r>
              <w:rPr>
                <w:rFonts w:hint="eastAsia" w:cs="仿宋" w:asciiTheme="minorEastAsia" w:hAnsiTheme="minorEastAsia" w:eastAsiaTheme="minorEastAsia"/>
                <w:color w:val="000000" w:themeColor="text1"/>
                <w:sz w:val="24"/>
                <w:szCs w:val="24"/>
              </w:rPr>
              <w:t xml:space="preserve">胃肠机</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100</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100</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67"/>
              <w:numPr>
                <w:ilvl w:val="0"/>
                <w:numId w:val="1"/>
              </w:num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67"/>
              <w:numPr>
                <w:ilvl w:val="0"/>
                <w:numId w:val="1"/>
              </w:num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时0</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时00分</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67"/>
              <w:ind w:firstLine="0"/>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13"/>
              <w:ind w:firstLine="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合同签订后货到安装验收合格后支付合同总金额的</w:t>
            </w:r>
            <w:r>
              <w:rPr>
                <w:rFonts w:hint="eastAsia" w:cs="仿宋" w:asciiTheme="minorEastAsia" w:hAnsiTheme="minorEastAsia" w:eastAsiaTheme="minorEastAsia"/>
                <w:color w:val="000000" w:themeColor="text1"/>
                <w:sz w:val="24"/>
                <w:szCs w:val="24"/>
              </w:rPr>
              <w:t xml:space="preserve">9</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，安装验收满一年后付清</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余款。</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1013"/>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1、该项目代理费用由中标人支付，中标服务费由中标单位在领取中标通知书时付清，以中标金额作为收费基数标准，按收费比例差额定率分档累进法计算，（具体</w:t>
            </w:r>
            <w:r>
              <w:rPr>
                <w:rFonts w:hint="eastAsia" w:cs="仿宋" w:asciiTheme="minorEastAsia" w:hAnsiTheme="minorEastAsia" w:eastAsiaTheme="minorEastAsia"/>
                <w:color w:val="000000" w:themeColor="text1"/>
                <w:szCs w:val="24"/>
              </w:rPr>
              <w:t xml:space="preserve">详见附件</w:t>
            </w:r>
            <w:r>
              <w:rPr>
                <w:rFonts w:hint="eastAsia" w:cs="仿宋" w:asciiTheme="minorEastAsia" w:hAnsiTheme="minorEastAsia" w:eastAsiaTheme="minorEastAsia"/>
                <w:color w:val="000000" w:themeColor="text1"/>
                <w:szCs w:val="24"/>
              </w:rPr>
              <w:t xml:space="preserve">）执行。</w:t>
            </w:r>
            <w:r/>
          </w:p>
          <w:p>
            <w:pPr>
              <w:pStyle w:val="1013"/>
              <w:ind w:firstLine="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备注</w:t>
            </w:r>
            <w:r>
              <w:rPr>
                <w:rFonts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5</w:t>
            </w:r>
            <w:r>
              <w:rPr>
                <w:rFonts w:cs="仿宋" w:asciiTheme="minorEastAsia" w:hAnsiTheme="minorEastAsia" w:eastAsiaTheme="minorEastAsia"/>
                <w:color w:val="000000" w:themeColor="text1"/>
                <w:szCs w:val="24"/>
              </w:rPr>
              <w:t xml:space="preserve">6-0</w:t>
            </w:r>
            <w:r>
              <w:rPr>
                <w:rFonts w:hint="eastAsia" w:cs="仿宋" w:asciiTheme="minorEastAsia" w:hAnsiTheme="minorEastAsia" w:eastAsiaTheme="minorEastAsia"/>
                <w:color w:val="000000" w:themeColor="text1"/>
                <w:szCs w:val="24"/>
              </w:rPr>
              <w:t xml:space="preserve">030</w:t>
            </w:r>
            <w:r>
              <w:rPr>
                <w:rFonts w:hint="eastAsia" w:cs="仿宋" w:asciiTheme="minorEastAsia" w:hAnsiTheme="minorEastAsia" w:eastAsiaTheme="minorEastAsia"/>
                <w:color w:val="000000" w:themeColor="text1"/>
                <w:szCs w:val="24"/>
              </w:rPr>
              <w:t xml:space="preserve">30</w:t>
            </w:r>
            <w:r>
              <w:rPr>
                <w:rFonts w:hint="eastAsia" w:cs="仿宋" w:asciiTheme="minorEastAsia" w:hAnsiTheme="minorEastAsia" w:eastAsiaTheme="minorEastAsia"/>
                <w:color w:val="000000" w:themeColor="text1"/>
                <w:szCs w:val="24"/>
              </w:rPr>
              <w:t xml:space="preserve">代理服务费。</w:t>
            </w:r>
            <w:r/>
          </w:p>
          <w:p>
            <w:pPr>
              <w:pStyle w:val="1013"/>
              <w:ind w:firstLine="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银行信息：</w:t>
            </w:r>
            <w:r/>
          </w:p>
          <w:p>
            <w:pPr>
              <w:pStyle w:val="1013"/>
              <w:ind w:firstLine="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户名：江苏海外集团国际工程咨询有限公司</w:t>
            </w:r>
            <w:r/>
          </w:p>
          <w:p>
            <w:pPr>
              <w:pStyle w:val="1013"/>
              <w:ind w:firstLine="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开户银行：交行江苏省分行营业部</w:t>
            </w:r>
            <w:r/>
          </w:p>
          <w:p>
            <w:pPr>
              <w:pStyle w:val="1013"/>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账号：</w:t>
            </w:r>
            <w:r>
              <w:rPr>
                <w:rFonts w:cs="仿宋" w:asciiTheme="minorEastAsia" w:hAnsiTheme="minorEastAsia" w:eastAsiaTheme="minorEastAsia"/>
                <w:color w:val="000000" w:themeColor="text1"/>
                <w:szCs w:val="24"/>
              </w:rPr>
              <w:t xml:space="preserve">320006607010141124109</w:t>
            </w:r>
            <w:r/>
          </w:p>
          <w:p>
            <w:pPr>
              <w:pStyle w:val="1013"/>
              <w:ind w:firstLine="0"/>
              <w:jc w:val="both"/>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object w:dxaOrig="9000" w:dyaOrig="81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5.2pt;height:26.2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13"/>
              <w:ind w:firstLine="0"/>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13"/>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1013"/>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w:t>
      </w:r>
      <w:r>
        <w:rPr>
          <w:rFonts w:hint="eastAsia" w:cs="仿宋" w:asciiTheme="minorEastAsia" w:hAnsiTheme="minorEastAsia" w:eastAsiaTheme="minorEastAsia"/>
          <w:bCs/>
          <w:color w:val="000000" w:themeColor="text1"/>
          <w:sz w:val="24"/>
          <w:szCs w:val="24"/>
        </w:rPr>
        <w:t xml:space="preserve">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3"/>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3"/>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13"/>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12"/>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3" w:name="_Toc217446047"/>
      <w:r>
        <w:rPr>
          <w:rFonts w:hint="eastAsia" w:cs="仿宋" w:asciiTheme="minorEastAsia" w:hAnsiTheme="minorEastAsia" w:eastAsiaTheme="minorEastAsia"/>
          <w:b/>
          <w:color w:val="000000" w:themeColor="text1"/>
          <w:sz w:val="24"/>
          <w:szCs w:val="24"/>
        </w:rPr>
        <w:t xml:space="preserve">2.知识产权</w:t>
      </w:r>
      <w:bookmarkEnd w:id="33"/>
      <w:r/>
      <w:r/>
    </w:p>
    <w:p>
      <w:pPr>
        <w:pStyle w:val="1013"/>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w:t>
      </w:r>
      <w:r>
        <w:rPr>
          <w:rFonts w:hint="eastAsia" w:cs="仿宋" w:asciiTheme="minorEastAsia" w:hAnsiTheme="minorEastAsia" w:eastAsiaTheme="minorEastAsia"/>
          <w:color w:val="000000" w:themeColor="text1"/>
          <w:szCs w:val="24"/>
        </w:rPr>
        <w:t xml:space="preserve">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67"/>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67"/>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13"/>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w:t>
      </w:r>
      <w:r>
        <w:rPr>
          <w:rFonts w:hint="eastAsia" w:cs="仿宋" w:asciiTheme="minorEastAsia" w:hAnsiTheme="minorEastAsia" w:eastAsiaTheme="minorEastAsia"/>
          <w:color w:val="000000" w:themeColor="text1"/>
          <w:szCs w:val="24"/>
        </w:rPr>
        <w:t xml:space="preserve">规</w:t>
      </w:r>
      <w:r>
        <w:rPr>
          <w:rFonts w:hint="eastAsia" w:cs="仿宋" w:asciiTheme="minorEastAsia" w:hAnsiTheme="minorEastAsia" w:eastAsiaTheme="minorEastAsia"/>
          <w:color w:val="000000" w:themeColor="text1"/>
          <w:szCs w:val="24"/>
        </w:rPr>
        <w:t xml:space="preserve">费、税金、有关文件规定的政策性调价等以及各种可能发生的风险费用以及招标文件约定的其他等各项费用。</w:t>
      </w:r>
      <w:r/>
    </w:p>
    <w:p>
      <w:pPr>
        <w:pStyle w:val="1013"/>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13"/>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1013"/>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w:t>
      </w:r>
      <w:r>
        <w:rPr>
          <w:rFonts w:hint="eastAsia" w:cs="仿宋" w:asciiTheme="minorEastAsia" w:hAnsiTheme="minorEastAsia" w:eastAsiaTheme="minorEastAsia"/>
          <w:color w:val="000000" w:themeColor="text1"/>
          <w:szCs w:val="24"/>
        </w:rPr>
        <w:t xml:space="preserve">投标报价。</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57"/>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13"/>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13"/>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13"/>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w:t>
      </w:r>
      <w:r>
        <w:rPr>
          <w:rFonts w:hint="eastAsia" w:cs="仿宋" w:asciiTheme="minorEastAsia" w:hAnsiTheme="minorEastAsia" w:eastAsiaTheme="minorEastAsia"/>
          <w:color w:val="000000" w:themeColor="text1"/>
          <w:sz w:val="24"/>
          <w:szCs w:val="24"/>
        </w:rPr>
        <w:t xml:space="preserve">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w:t>
      </w:r>
      <w:r>
        <w:rPr>
          <w:rFonts w:hint="eastAsia" w:cs="仿宋" w:asciiTheme="minorEastAsia" w:hAnsiTheme="minorEastAsia" w:eastAsiaTheme="minorEastAsia"/>
          <w:color w:val="000000" w:themeColor="text1"/>
          <w:sz w:val="24"/>
          <w:szCs w:val="24"/>
        </w:rPr>
        <w:t xml:space="preserve">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13"/>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13"/>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w:t>
      </w:r>
      <w:r>
        <w:rPr>
          <w:rFonts w:hint="eastAsia" w:cs="仿宋" w:asciiTheme="minorEastAsia" w:hAnsiTheme="minorEastAsia" w:eastAsiaTheme="minorEastAsia"/>
          <w:color w:val="000000" w:themeColor="text1"/>
          <w:sz w:val="24"/>
          <w:szCs w:val="24"/>
        </w:rPr>
        <w:t xml:space="preserve">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13"/>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w:t>
      </w:r>
      <w:r>
        <w:rPr>
          <w:rFonts w:hint="eastAsia" w:cs="仿宋" w:asciiTheme="minorEastAsia" w:hAnsiTheme="minorEastAsia" w:eastAsiaTheme="minorEastAsia"/>
          <w:color w:val="000000" w:themeColor="text1"/>
          <w:szCs w:val="24"/>
        </w:rPr>
        <w:t xml:space="preserve">中标人未按上述要求提交履约保证金的,采购人可取消其中标资格。</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3"/>
        <w:ind w:firstLine="431"/>
        <w:jc w:val="both"/>
        <w:spacing w:line="360" w:lineRule="auto"/>
        <w:rPr>
          <w:rFonts w:hint="eastAsia" w:cs="仿宋" w:asciiTheme="minorEastAsia" w:hAnsiTheme="minorEastAsia" w:eastAsiaTheme="minorEastAsia"/>
          <w:color w:val="000000" w:themeColor="text1"/>
          <w:szCs w:val="24"/>
        </w:rPr>
      </w:pPr>
      <w:r/>
      <w:bookmarkStart w:id="34"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13"/>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8"/>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8pt;height:119.5pt;mso-wrap-distance-left:0.0pt;mso-wrap-distance-top:0.0pt;mso-wrap-distance-right:0.0pt;mso-wrap-distance-bottom:0.0pt;" stroked="f">
                <v:path textboxrect="0,0,0,0"/>
                <v:imagedata r:id="rId18" o:title=""/>
              </v:shape>
            </w:pict>
          </mc:Fallback>
        </mc:AlternateConten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13"/>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5" w:name="_Toc388026586"/>
      <w:r/>
      <w:bookmarkEnd w:id="34"/>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3"/>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5"/>
      <w:r>
        <w:rPr>
          <w:rFonts w:hint="eastAsia" w:cs="仿宋" w:asciiTheme="minorEastAsia" w:hAnsiTheme="minorEastAsia" w:eastAsiaTheme="minorEastAsia"/>
          <w:b/>
          <w:color w:val="000000" w:themeColor="text1"/>
          <w:sz w:val="32"/>
          <w:szCs w:val="32"/>
        </w:rPr>
        <w:t xml:space="preserve">需求</w:t>
      </w:r>
      <w:r/>
    </w:p>
    <w:p>
      <w:pPr>
        <w:pStyle w:val="867"/>
        <w:ind w:left="720" w:firstLine="0"/>
        <w:jc w:val="left"/>
        <w:spacing w:line="360" w:lineRule="auto"/>
        <w:tabs>
          <w:tab w:val="left" w:pos="1260" w:leader="none"/>
        </w:tabs>
        <w:rPr>
          <w:rFonts w:hint="eastAsia" w:ascii="宋体" w:hAnsi="宋体" w:eastAsia="宋体"/>
          <w:b/>
          <w:sz w:val="28"/>
          <w:szCs w:val="28"/>
        </w:rPr>
      </w:pPr>
      <w:r/>
      <w:bookmarkStart w:id="36" w:name="_Toc409438821"/>
      <w:r/>
      <w:bookmarkStart w:id="37" w:name="_Toc388026588"/>
      <w:r>
        <w:rPr>
          <w:rFonts w:hint="eastAsia" w:ascii="宋体" w:hAnsi="宋体" w:eastAsia="宋体"/>
          <w:b/>
          <w:sz w:val="28"/>
          <w:szCs w:val="28"/>
        </w:rPr>
        <w:t xml:space="preserve">一、采购需求</w:t>
      </w:r>
      <w:r/>
    </w:p>
    <w:tbl>
      <w:tblPr>
        <w:tblStyle w:val="1037"/>
        <w:tblW w:w="4993"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1"/>
        <w:gridCol w:w="4014"/>
        <w:gridCol w:w="1038"/>
        <w:gridCol w:w="2341"/>
      </w:tblGrid>
      <w:tr>
        <w:trPr>
          <w:jc w:val="center"/>
          <w:trHeight w:val="707"/>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3" w:hRule="exact"/>
        </w:trPr>
        <w:tc>
          <w:tcPr>
            <w:shd w:val="clear" w:color="auto" w:fill="ffffff"/>
            <w:tcW w:w="543" w:type="pct"/>
            <w:vAlign w:val="center"/>
            <w:textDirection w:val="lrTb"/>
            <w:noWrap w:val="false"/>
          </w:tcPr>
          <w:p>
            <w:pPr>
              <w:jc w:val="center"/>
              <w:spacing w:line="440" w:lineRule="exact"/>
              <w:rPr>
                <w:rFonts w:hint="eastAsia" w:ascii="宋体" w:hAnsi="宋体" w:eastAsia="宋体" w:cs="宋体"/>
                <w:sz w:val="24"/>
                <w:szCs w:val="24"/>
              </w:rPr>
            </w:pPr>
            <w:r/>
            <w:bookmarkStart w:id="38"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数字化</w:t>
            </w:r>
            <w:r>
              <w:rPr>
                <w:rFonts w:hint="eastAsia" w:cs="仿宋" w:asciiTheme="minorEastAsia" w:hAnsiTheme="minorEastAsia" w:eastAsiaTheme="minorEastAsia"/>
                <w:color w:val="000000" w:themeColor="text1"/>
                <w:sz w:val="24"/>
                <w:szCs w:val="24"/>
              </w:rPr>
              <w:t xml:space="preserve">胃肠机</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4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泰兴市妇幼保健院指定地点</w:t>
            </w:r>
            <w:bookmarkEnd w:id="38"/>
            <w:r/>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867"/>
        <w:numPr>
          <w:ilvl w:val="0"/>
          <w:numId w:val="6"/>
        </w:numPr>
        <w:jc w:val="left"/>
        <w:spacing w:line="360" w:lineRule="auto"/>
        <w:tabs>
          <w:tab w:val="left" w:pos="1260" w:leader="none"/>
        </w:tabs>
      </w:pPr>
      <w:r>
        <w:rPr>
          <w:rFonts w:hint="eastAsia" w:ascii="宋体" w:hAnsi="宋体" w:eastAsia="宋体"/>
          <w:b/>
          <w:sz w:val="28"/>
          <w:szCs w:val="28"/>
        </w:rPr>
        <w:t xml:space="preserve">技术要求</w:t>
      </w:r>
      <w:r/>
    </w:p>
    <w:tbl>
      <w:tblPr>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3"/>
        <w:gridCol w:w="7557"/>
      </w:tblGrid>
      <w:tr>
        <w:trPr>
          <w:jc w:val="center"/>
          <w:trHeight w:val="577"/>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序号</w:t>
            </w:r>
            <w:r/>
          </w:p>
        </w:tc>
        <w:tc>
          <w:tcPr>
            <w:tcW w:w="7557"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技术指标要求</w:t>
            </w:r>
            <w:r/>
          </w:p>
        </w:tc>
      </w:tr>
      <w:tr>
        <w:trPr>
          <w:jc w:val="center"/>
          <w:trHeight w:val="1378"/>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1</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用途：具备数字透视、数字点片摄影和数字DR摄影功能，利用它可以进行胸部和腹部透视、消化道造影</w:t>
            </w:r>
            <w:r>
              <w:rPr>
                <w:rFonts w:hint="eastAsia" w:ascii="宋体" w:hAnsi="宋体" w:eastAsia="宋体"/>
                <w:color w:val="000000"/>
                <w:sz w:val="24"/>
                <w:szCs w:val="24"/>
              </w:rPr>
              <w:t xml:space="preserve">等</w:t>
            </w:r>
            <w:r>
              <w:rPr>
                <w:rFonts w:ascii="宋体" w:hAnsi="宋体" w:eastAsia="宋体"/>
                <w:color w:val="000000"/>
                <w:sz w:val="24"/>
                <w:szCs w:val="24"/>
              </w:rPr>
              <w:t xml:space="preserve">；</w:t>
            </w:r>
            <w:r>
              <w:rPr>
                <w:rFonts w:hint="eastAsia" w:ascii="宋体" w:hAnsi="宋体" w:eastAsia="宋体"/>
                <w:color w:val="000000"/>
                <w:sz w:val="24"/>
                <w:szCs w:val="24"/>
              </w:rPr>
              <w:t xml:space="preserve">也</w:t>
            </w:r>
            <w:r>
              <w:rPr>
                <w:rFonts w:ascii="宋体" w:hAnsi="宋体" w:eastAsia="宋体"/>
                <w:color w:val="000000"/>
                <w:sz w:val="24"/>
                <w:szCs w:val="24"/>
              </w:rPr>
              <w:t xml:space="preserve">可以进行头颅、胸部、腹部和四肢等部位的DR摄影；</w:t>
            </w:r>
            <w:r>
              <w:rPr>
                <w:rFonts w:hint="eastAsia" w:ascii="宋体" w:hAnsi="宋体" w:eastAsia="宋体"/>
                <w:color w:val="000000"/>
                <w:sz w:val="24"/>
                <w:szCs w:val="24"/>
              </w:rPr>
              <w:t xml:space="preserve">还</w:t>
            </w:r>
            <w:r>
              <w:rPr>
                <w:rFonts w:ascii="宋体" w:hAnsi="宋体" w:eastAsia="宋体"/>
                <w:color w:val="000000"/>
                <w:sz w:val="24"/>
                <w:szCs w:val="24"/>
              </w:rPr>
              <w:t xml:space="preserve">可用于在透视下进行骨折整复、取异物等</w:t>
            </w:r>
            <w:r>
              <w:rPr>
                <w:rFonts w:hint="eastAsia" w:ascii="宋体" w:hAnsi="宋体" w:eastAsia="宋体"/>
                <w:color w:val="000000"/>
                <w:sz w:val="24"/>
                <w:szCs w:val="24"/>
              </w:rPr>
              <w:t xml:space="preserve">。</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配置</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2.1</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遥控操作台1件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2.2</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X射线高频高压发生器 1件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2.3</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多功能诊断床1台</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4</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滤线</w:t>
            </w:r>
            <w:r>
              <w:rPr>
                <w:rFonts w:hint="eastAsia" w:ascii="宋体" w:hAnsi="宋体" w:eastAsia="宋体"/>
                <w:color w:val="000000"/>
                <w:sz w:val="24"/>
                <w:szCs w:val="24"/>
              </w:rPr>
              <w:t xml:space="preserve">栅</w:t>
            </w:r>
            <w:r>
              <w:rPr>
                <w:rFonts w:ascii="宋体" w:hAnsi="宋体" w:eastAsia="宋体"/>
                <w:color w:val="000000"/>
                <w:sz w:val="24"/>
                <w:szCs w:val="24"/>
              </w:rPr>
              <w:t xml:space="preserve"> 2件</w:t>
            </w:r>
            <w:r>
              <w:rPr>
                <w:rFonts w:hint="eastAsia" w:ascii="宋体" w:hAnsi="宋体" w:eastAsia="宋体"/>
                <w:color w:val="000000"/>
                <w:sz w:val="24"/>
                <w:szCs w:val="24"/>
              </w:rPr>
              <w:t xml:space="preserve"> </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5</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X射线管 1件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6</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电离室 1件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7</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动态平板探测器</w:t>
            </w:r>
            <w:r>
              <w:rPr>
                <w:rFonts w:hint="eastAsia" w:ascii="宋体" w:hAnsi="宋体" w:eastAsia="宋体"/>
                <w:color w:val="000000"/>
                <w:sz w:val="24"/>
                <w:szCs w:val="24"/>
              </w:rPr>
              <w:t xml:space="preserve">（碘化</w:t>
            </w:r>
            <w:r>
              <w:rPr>
                <w:rFonts w:hint="eastAsia" w:ascii="宋体" w:hAnsi="宋体" w:eastAsia="宋体"/>
                <w:color w:val="000000"/>
                <w:sz w:val="24"/>
                <w:szCs w:val="24"/>
              </w:rPr>
              <w:t xml:space="preserve">铯</w:t>
            </w:r>
            <w:r>
              <w:rPr>
                <w:rFonts w:hint="eastAsia" w:ascii="宋体" w:hAnsi="宋体" w:eastAsia="宋体"/>
                <w:color w:val="000000"/>
                <w:sz w:val="24"/>
                <w:szCs w:val="24"/>
              </w:rPr>
              <w:t xml:space="preserve">非晶硅结构）</w:t>
            </w:r>
            <w:r>
              <w:rPr>
                <w:rFonts w:ascii="宋体" w:hAnsi="宋体" w:eastAsia="宋体"/>
                <w:color w:val="000000"/>
                <w:sz w:val="24"/>
                <w:szCs w:val="24"/>
              </w:rPr>
              <w:t xml:space="preserve">1件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8</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采集工作站  1套</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高压发生器</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.1</w:t>
            </w:r>
            <w:r>
              <w:rPr>
                <w:rFonts w:hint="eastAsia" w:ascii="宋体" w:hAnsi="宋体" w:eastAsia="宋体"/>
                <w:color w:val="000000"/>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最大</w:t>
            </w:r>
            <w:r>
              <w:rPr>
                <w:rFonts w:ascii="宋体" w:hAnsi="宋体" w:eastAsia="宋体"/>
                <w:color w:val="000000"/>
                <w:sz w:val="24"/>
                <w:szCs w:val="24"/>
              </w:rPr>
              <w:t xml:space="preserve">功率</w:t>
            </w:r>
            <w:r>
              <w:rPr>
                <w:rFonts w:hint="eastAsia" w:ascii="宋体" w:hAnsi="宋体" w:eastAsia="宋体"/>
                <w:color w:val="000000"/>
                <w:sz w:val="24"/>
                <w:szCs w:val="24"/>
              </w:rPr>
              <w:t xml:space="preserve">≥65.5</w:t>
            </w:r>
            <w:r>
              <w:rPr>
                <w:rFonts w:ascii="宋体" w:hAnsi="宋体" w:eastAsia="宋体"/>
                <w:color w:val="000000"/>
                <w:sz w:val="24"/>
                <w:szCs w:val="24"/>
              </w:rPr>
              <w:t xml:space="preserve">KW 、</w:t>
            </w:r>
            <w:r>
              <w:rPr>
                <w:rFonts w:hint="eastAsia" w:ascii="宋体" w:hAnsi="宋体" w:eastAsia="宋体"/>
                <w:color w:val="000000"/>
                <w:sz w:val="24"/>
                <w:szCs w:val="24"/>
              </w:rPr>
              <w:t xml:space="preserve">主</w:t>
            </w:r>
            <w:r>
              <w:rPr>
                <w:rFonts w:ascii="宋体" w:hAnsi="宋体" w:eastAsia="宋体"/>
                <w:color w:val="000000"/>
                <w:sz w:val="24"/>
                <w:szCs w:val="24"/>
              </w:rPr>
              <w:t xml:space="preserve">逆变频率≥</w:t>
            </w:r>
            <w:r>
              <w:rPr>
                <w:rFonts w:hint="eastAsia" w:ascii="宋体" w:hAnsi="宋体" w:eastAsia="宋体"/>
                <w:color w:val="000000"/>
                <w:sz w:val="24"/>
                <w:szCs w:val="24"/>
              </w:rPr>
              <w:t xml:space="preserve">440</w:t>
            </w:r>
            <w:r>
              <w:rPr>
                <w:rFonts w:ascii="宋体" w:hAnsi="宋体" w:eastAsia="宋体"/>
                <w:color w:val="000000"/>
                <w:sz w:val="24"/>
                <w:szCs w:val="24"/>
              </w:rPr>
              <w:t xml:space="preserve">KHz </w:t>
            </w:r>
            <w:r>
              <w:rPr>
                <w:rFonts w:hint="eastAsia" w:ascii="宋体" w:hAnsi="宋体" w:eastAsia="宋体"/>
                <w:color w:val="000000"/>
                <w:sz w:val="24"/>
                <w:szCs w:val="24"/>
              </w:rPr>
              <w:t xml:space="preserve">（提供检测报告）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2</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摄影</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2</w:t>
            </w:r>
            <w:r>
              <w:rPr>
                <w:rFonts w:ascii="宋体" w:hAnsi="宋体" w:eastAsia="宋体"/>
                <w:color w:val="000000"/>
                <w:sz w:val="24"/>
                <w:szCs w:val="24"/>
              </w:rPr>
              <w:t xml:space="preserve">.1</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管电压：≥40kv—150kv 分档调节</w:t>
            </w:r>
            <w:r/>
          </w:p>
        </w:tc>
      </w:tr>
      <w:tr>
        <w:trPr>
          <w:jc w:val="center"/>
          <w:trHeight w:val="341"/>
        </w:trPr>
        <w:tc>
          <w:tcPr>
            <w:shd w:val="clear" w:color="auto" w:fill="auto"/>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2</w:t>
            </w:r>
            <w:r>
              <w:rPr>
                <w:rFonts w:ascii="宋体" w:hAnsi="宋体" w:eastAsia="宋体"/>
                <w:color w:val="000000"/>
                <w:sz w:val="24"/>
                <w:szCs w:val="24"/>
              </w:rPr>
              <w:t xml:space="preserve">.2</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管电流：≥</w:t>
            </w:r>
            <w:r>
              <w:rPr>
                <w:rFonts w:hint="eastAsia" w:ascii="宋体" w:hAnsi="宋体" w:eastAsia="宋体"/>
                <w:color w:val="000000"/>
                <w:sz w:val="24"/>
                <w:szCs w:val="24"/>
              </w:rPr>
              <w:t xml:space="preserve">8</w:t>
            </w:r>
            <w:r>
              <w:rPr>
                <w:rFonts w:ascii="宋体" w:hAnsi="宋体" w:eastAsia="宋体"/>
                <w:color w:val="000000"/>
                <w:sz w:val="24"/>
                <w:szCs w:val="24"/>
              </w:rPr>
              <w:t xml:space="preserve">00mA分档调节 </w:t>
            </w:r>
            <w:r>
              <w:rPr>
                <w:rFonts w:hint="eastAsia" w:ascii="宋体" w:hAnsi="宋体" w:eastAsia="宋体"/>
                <w:color w:val="000000"/>
                <w:sz w:val="24"/>
                <w:szCs w:val="24"/>
              </w:rPr>
              <w:t xml:space="preserve">（提供检测报告）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3.3</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透视</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3</w:t>
            </w:r>
            <w:r>
              <w:rPr>
                <w:rFonts w:ascii="宋体" w:hAnsi="宋体" w:eastAsia="宋体"/>
                <w:color w:val="000000"/>
                <w:sz w:val="24"/>
                <w:szCs w:val="24"/>
              </w:rPr>
              <w:t xml:space="preserve">.1</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管电压：≥40kv—125kv 连续可调</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3</w:t>
            </w:r>
            <w:r>
              <w:rPr>
                <w:rFonts w:ascii="宋体" w:hAnsi="宋体" w:eastAsia="宋体"/>
                <w:color w:val="000000"/>
                <w:sz w:val="24"/>
                <w:szCs w:val="24"/>
              </w:rPr>
              <w:t xml:space="preserve">.2</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具备连续透视功能，且</w:t>
            </w:r>
            <w:r>
              <w:rPr>
                <w:rFonts w:ascii="宋体" w:hAnsi="宋体" w:eastAsia="宋体"/>
                <w:color w:val="000000"/>
                <w:sz w:val="24"/>
                <w:szCs w:val="24"/>
              </w:rPr>
              <w:t xml:space="preserve">连续透视管电流</w:t>
            </w:r>
            <w:r>
              <w:rPr>
                <w:rFonts w:hint="eastAsia" w:ascii="宋体" w:hAnsi="宋体" w:eastAsia="宋体"/>
                <w:color w:val="000000"/>
                <w:sz w:val="24"/>
                <w:szCs w:val="24"/>
              </w:rPr>
              <w:t xml:space="preserve">最小</w:t>
            </w:r>
            <w:r>
              <w:rPr>
                <w:rFonts w:ascii="宋体" w:hAnsi="宋体" w:eastAsia="宋体"/>
                <w:color w:val="000000"/>
                <w:sz w:val="24"/>
                <w:szCs w:val="24"/>
              </w:rPr>
              <w:t xml:space="preserve">≤0.5mA</w:t>
            </w:r>
            <w:r>
              <w:rPr>
                <w:rFonts w:hint="eastAsia" w:ascii="宋体" w:hAnsi="宋体" w:eastAsia="宋体"/>
                <w:color w:val="000000"/>
                <w:sz w:val="24"/>
                <w:szCs w:val="24"/>
              </w:rPr>
              <w:t xml:space="preserve"> 最大</w:t>
            </w:r>
            <w:r>
              <w:rPr>
                <w:rFonts w:ascii="宋体" w:hAnsi="宋体" w:eastAsia="宋体"/>
                <w:color w:val="000000"/>
                <w:sz w:val="24"/>
                <w:szCs w:val="24"/>
              </w:rPr>
              <w:t xml:space="preserve">≥</w:t>
            </w:r>
            <w:r>
              <w:rPr>
                <w:rFonts w:hint="eastAsia" w:ascii="宋体" w:hAnsi="宋体" w:eastAsia="宋体"/>
                <w:color w:val="000000"/>
                <w:sz w:val="24"/>
                <w:szCs w:val="24"/>
              </w:rPr>
              <w:t xml:space="preserve">10</w:t>
            </w:r>
            <w:r>
              <w:rPr>
                <w:rFonts w:ascii="宋体" w:hAnsi="宋体" w:eastAsia="宋体"/>
                <w:color w:val="000000"/>
                <w:sz w:val="24"/>
                <w:szCs w:val="24"/>
              </w:rPr>
              <w:t xml:space="preserve">mA 脉冲透视管电流</w:t>
            </w:r>
            <w:r>
              <w:rPr>
                <w:rFonts w:hint="eastAsia" w:ascii="宋体" w:hAnsi="宋体" w:eastAsia="宋体"/>
                <w:color w:val="000000"/>
                <w:sz w:val="24"/>
                <w:szCs w:val="24"/>
              </w:rPr>
              <w:t xml:space="preserve">最小</w:t>
            </w:r>
            <w:r>
              <w:rPr>
                <w:rFonts w:ascii="宋体" w:hAnsi="宋体" w:eastAsia="宋体"/>
                <w:color w:val="000000"/>
                <w:sz w:val="24"/>
                <w:szCs w:val="24"/>
              </w:rPr>
              <w:t xml:space="preserve">≤5mA</w:t>
            </w:r>
            <w:r>
              <w:rPr>
                <w:rFonts w:hint="eastAsia" w:ascii="宋体" w:hAnsi="宋体" w:eastAsia="宋体"/>
                <w:color w:val="000000"/>
                <w:sz w:val="24"/>
                <w:szCs w:val="24"/>
              </w:rPr>
              <w:t xml:space="preserve">最大</w:t>
            </w:r>
            <w:r>
              <w:rPr>
                <w:rFonts w:ascii="宋体" w:hAnsi="宋体" w:eastAsia="宋体"/>
                <w:color w:val="000000"/>
                <w:sz w:val="24"/>
                <w:szCs w:val="24"/>
              </w:rPr>
              <w:t xml:space="preserve">≥</w:t>
            </w:r>
            <w:r>
              <w:rPr>
                <w:rFonts w:hint="eastAsia" w:ascii="宋体" w:hAnsi="宋体" w:eastAsia="宋体"/>
                <w:color w:val="000000"/>
                <w:sz w:val="24"/>
                <w:szCs w:val="24"/>
              </w:rPr>
              <w:t xml:space="preserve">20</w:t>
            </w:r>
            <w:r>
              <w:rPr>
                <w:rFonts w:ascii="宋体" w:hAnsi="宋体" w:eastAsia="宋体"/>
                <w:color w:val="000000"/>
                <w:sz w:val="24"/>
                <w:szCs w:val="24"/>
              </w:rPr>
              <w:t xml:space="preserve">mA</w:t>
            </w:r>
            <w:r>
              <w:rPr>
                <w:rFonts w:hint="eastAsia" w:ascii="宋体" w:hAnsi="宋体" w:eastAsia="宋体"/>
                <w:color w:val="000000"/>
                <w:sz w:val="24"/>
                <w:szCs w:val="24"/>
              </w:rPr>
              <w:t xml:space="preserve">；（提供检测报告）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4</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国际知名品牌</w:t>
            </w:r>
            <w:r>
              <w:rPr>
                <w:rFonts w:ascii="宋体" w:hAnsi="宋体" w:eastAsia="宋体"/>
                <w:color w:val="000000"/>
                <w:sz w:val="24"/>
                <w:szCs w:val="24"/>
              </w:rPr>
              <w:t xml:space="preserve">X</w:t>
            </w:r>
            <w:r>
              <w:rPr>
                <w:rFonts w:ascii="宋体" w:hAnsi="宋体" w:eastAsia="宋体"/>
                <w:color w:val="000000"/>
                <w:sz w:val="24"/>
                <w:szCs w:val="24"/>
              </w:rPr>
              <w:t xml:space="preserve">射线球管</w:t>
            </w:r>
            <w:r>
              <w:rPr>
                <w:rFonts w:hint="eastAsia" w:ascii="宋体" w:hAnsi="宋体" w:eastAsia="宋体"/>
                <w:color w:val="000000"/>
                <w:sz w:val="24"/>
                <w:szCs w:val="24"/>
              </w:rPr>
              <w:t xml:space="preserve">(需提供报关单)：           </w:t>
            </w:r>
            <w:r>
              <w:rPr>
                <w:rFonts w:hint="eastAsia" w:ascii="宋体" w:hAnsi="宋体" w:eastAsia="宋体"/>
                <w:sz w:val="24"/>
                <w:szCs w:val="24"/>
              </w:rPr>
              <w:t xml:space="preserve">               </w:t>
            </w:r>
            <w:r>
              <w:rPr>
                <w:rFonts w:ascii="宋体" w:hAnsi="宋体" w:eastAsia="宋体"/>
                <w:color w:val="000000"/>
                <w:sz w:val="24"/>
                <w:szCs w:val="24"/>
              </w:rPr>
              <w:t xml:space="preserve">输入功率：大焦点≥</w:t>
            </w:r>
            <w:r>
              <w:rPr>
                <w:rFonts w:hint="eastAsia" w:ascii="宋体" w:hAnsi="宋体" w:eastAsia="宋体"/>
                <w:color w:val="000000"/>
                <w:sz w:val="24"/>
                <w:szCs w:val="24"/>
              </w:rPr>
              <w:t xml:space="preserve">100</w:t>
            </w:r>
            <w:r>
              <w:rPr>
                <w:rFonts w:ascii="宋体" w:hAnsi="宋体" w:eastAsia="宋体"/>
                <w:color w:val="000000"/>
                <w:sz w:val="24"/>
                <w:szCs w:val="24"/>
              </w:rPr>
              <w:t xml:space="preserve">kW</w:t>
            </w:r>
            <w:r>
              <w:rPr>
                <w:rFonts w:hint="eastAsia" w:ascii="宋体" w:hAnsi="宋体" w:eastAsia="宋体"/>
                <w:color w:val="000000"/>
                <w:sz w:val="24"/>
                <w:szCs w:val="24"/>
              </w:rPr>
              <w:t xml:space="preserve">，</w:t>
            </w:r>
            <w:r>
              <w:rPr>
                <w:rFonts w:ascii="宋体" w:hAnsi="宋体" w:eastAsia="宋体"/>
                <w:color w:val="000000"/>
                <w:sz w:val="24"/>
                <w:szCs w:val="24"/>
              </w:rPr>
              <w:t xml:space="preserve">小焦点≥</w:t>
            </w:r>
            <w:r>
              <w:rPr>
                <w:rFonts w:hint="eastAsia" w:ascii="宋体" w:hAnsi="宋体" w:eastAsia="宋体"/>
                <w:color w:val="000000"/>
                <w:sz w:val="24"/>
                <w:szCs w:val="24"/>
              </w:rPr>
              <w:t xml:space="preserve">40</w:t>
            </w:r>
            <w:r>
              <w:rPr>
                <w:rFonts w:ascii="宋体" w:hAnsi="宋体" w:eastAsia="宋体"/>
                <w:color w:val="000000"/>
                <w:sz w:val="24"/>
                <w:szCs w:val="24"/>
              </w:rPr>
              <w:t xml:space="preserve">kW；</w:t>
            </w:r>
            <w:r>
              <w:rPr>
                <w:rFonts w:hint="eastAsia" w:ascii="宋体" w:hAnsi="宋体" w:eastAsia="宋体"/>
                <w:color w:val="000000"/>
                <w:sz w:val="24"/>
                <w:szCs w:val="24"/>
              </w:rPr>
              <w:t xml:space="preserve">              </w:t>
            </w:r>
            <w:r>
              <w:rPr>
                <w:rFonts w:hint="eastAsia" w:ascii="宋体" w:hAnsi="宋体" w:eastAsia="宋体"/>
                <w:sz w:val="24"/>
                <w:szCs w:val="24"/>
              </w:rPr>
              <w:t xml:space="preserve">                            </w:t>
            </w:r>
            <w:r>
              <w:rPr>
                <w:rFonts w:ascii="宋体" w:hAnsi="宋体" w:eastAsia="宋体"/>
                <w:color w:val="000000"/>
                <w:sz w:val="24"/>
                <w:szCs w:val="24"/>
              </w:rPr>
              <w:t xml:space="preserve">旋转阳极速度：≥</w:t>
            </w:r>
            <w:r>
              <w:rPr>
                <w:rFonts w:hint="eastAsia" w:ascii="宋体" w:hAnsi="宋体" w:eastAsia="宋体"/>
                <w:color w:val="000000"/>
                <w:sz w:val="24"/>
                <w:szCs w:val="24"/>
              </w:rPr>
              <w:t xml:space="preserve">9700</w:t>
            </w:r>
            <w:r>
              <w:rPr>
                <w:rFonts w:ascii="宋体" w:hAnsi="宋体" w:eastAsia="宋体"/>
                <w:color w:val="000000"/>
                <w:sz w:val="24"/>
                <w:szCs w:val="24"/>
              </w:rPr>
              <w:t xml:space="preserve">rpm</w:t>
            </w:r>
            <w:r>
              <w:rPr>
                <w:rFonts w:hint="eastAsia" w:ascii="宋体" w:hAnsi="宋体" w:eastAsia="宋体"/>
                <w:sz w:val="24"/>
                <w:szCs w:val="24"/>
              </w:rPr>
              <w:t xml:space="preserve"> 。</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4.1</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阳极热容量：≥</w:t>
            </w:r>
            <w:r>
              <w:rPr>
                <w:rFonts w:hint="eastAsia" w:ascii="宋体" w:hAnsi="宋体" w:eastAsia="宋体"/>
                <w:color w:val="000000"/>
                <w:sz w:val="24"/>
                <w:szCs w:val="24"/>
              </w:rPr>
              <w:t xml:space="preserve">550</w:t>
            </w:r>
            <w:r>
              <w:rPr>
                <w:rFonts w:ascii="宋体" w:hAnsi="宋体" w:eastAsia="宋体"/>
                <w:color w:val="000000"/>
                <w:sz w:val="24"/>
                <w:szCs w:val="24"/>
              </w:rPr>
              <w:t xml:space="preserve">KHU；</w:t>
            </w:r>
            <w:r>
              <w:rPr>
                <w:rFonts w:hint="eastAsia" w:ascii="宋体" w:hAnsi="宋体" w:eastAsia="宋体"/>
                <w:color w:val="000000"/>
                <w:sz w:val="24"/>
                <w:szCs w:val="24"/>
              </w:rPr>
              <w:t xml:space="preserve">（提供证明文件）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4.1</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color w:val="000000"/>
                <w:sz w:val="24"/>
                <w:szCs w:val="24"/>
              </w:rPr>
            </w:pPr>
            <w:r>
              <w:rPr>
                <w:rFonts w:ascii="宋体" w:hAnsi="宋体" w:eastAsia="宋体"/>
                <w:color w:val="000000"/>
                <w:sz w:val="24"/>
                <w:szCs w:val="24"/>
              </w:rPr>
              <w:t xml:space="preserve">阳极</w:t>
            </w:r>
            <w:r>
              <w:rPr>
                <w:rFonts w:hint="eastAsia" w:ascii="宋体" w:hAnsi="宋体" w:eastAsia="宋体"/>
                <w:color w:val="000000"/>
                <w:sz w:val="24"/>
                <w:szCs w:val="24"/>
              </w:rPr>
              <w:t xml:space="preserve">散热率</w:t>
            </w:r>
            <w:r>
              <w:rPr>
                <w:rFonts w:ascii="宋体" w:hAnsi="宋体" w:eastAsia="宋体"/>
                <w:color w:val="000000"/>
                <w:sz w:val="24"/>
                <w:szCs w:val="24"/>
              </w:rPr>
              <w:t xml:space="preserve">：≥</w:t>
            </w:r>
            <w:r>
              <w:rPr>
                <w:rFonts w:hint="eastAsia" w:ascii="宋体" w:hAnsi="宋体" w:eastAsia="宋体"/>
                <w:color w:val="000000"/>
                <w:sz w:val="24"/>
                <w:szCs w:val="24"/>
              </w:rPr>
              <w:t xml:space="preserve">1700W（提供证明文件）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多功能诊断床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5.1</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床体与整机同一品牌（提供检测报告）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w:t>
            </w:r>
            <w:r>
              <w:rPr>
                <w:rFonts w:ascii="宋体" w:hAnsi="宋体" w:eastAsia="宋体"/>
                <w:color w:val="000000"/>
                <w:sz w:val="24"/>
                <w:szCs w:val="24"/>
              </w:rPr>
              <w:t xml:space="preserve">.</w:t>
            </w:r>
            <w:r>
              <w:rPr>
                <w:rFonts w:hint="eastAsia" w:ascii="宋体" w:hAnsi="宋体" w:eastAsia="宋体"/>
                <w:color w:val="000000"/>
                <w:sz w:val="24"/>
                <w:szCs w:val="24"/>
              </w:rPr>
              <w:t xml:space="preserve">2</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s="宋体"/>
                <w:color w:val="000000"/>
                <w:sz w:val="24"/>
                <w:szCs w:val="24"/>
              </w:rPr>
              <w:t xml:space="preserve">床体</w:t>
            </w:r>
            <w:r>
              <w:rPr>
                <w:rFonts w:hint="eastAsia" w:ascii="宋体" w:hAnsi="宋体" w:eastAsia="宋体" w:cs="宋体"/>
                <w:color w:val="000000"/>
                <w:sz w:val="24"/>
                <w:szCs w:val="24"/>
              </w:rPr>
              <w:t xml:space="preserve">起倒范围</w:t>
            </w:r>
            <w:r>
              <w:rPr>
                <w:rFonts w:hint="eastAsia" w:ascii="宋体" w:hAnsi="宋体" w:eastAsia="宋体" w:cs="宋体"/>
                <w:color w:val="000000"/>
                <w:sz w:val="24"/>
                <w:szCs w:val="24"/>
              </w:rPr>
              <w:t xml:space="preserve"> </w:t>
            </w:r>
            <w:r>
              <w:rPr>
                <w:rFonts w:ascii="宋体" w:hAnsi="宋体" w:eastAsia="宋体"/>
                <w:color w:val="000000"/>
                <w:sz w:val="24"/>
                <w:szCs w:val="24"/>
              </w:rPr>
              <w:t xml:space="preserve">≥</w:t>
            </w:r>
            <w:r>
              <w:rPr>
                <w:rFonts w:hint="eastAsia" w:ascii="宋体" w:hAnsi="宋体" w:eastAsia="宋体"/>
                <w:color w:val="000000"/>
                <w:sz w:val="24"/>
                <w:szCs w:val="24"/>
              </w:rPr>
              <w:t xml:space="preserve">+90°～0°～ -23°（提供检测报告）</w:t>
            </w:r>
            <w:r/>
          </w:p>
        </w:tc>
      </w:tr>
      <w:tr>
        <w:trPr>
          <w:jc w:val="center"/>
          <w:trHeight w:val="341"/>
        </w:trPr>
        <w:tc>
          <w:tcPr>
            <w:shd w:val="clear" w:color="auto" w:fill="auto"/>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5.3★</w:t>
            </w:r>
            <w:r/>
          </w:p>
        </w:tc>
        <w:tc>
          <w:tcPr>
            <w:tcW w:w="7557" w:type="dxa"/>
            <w:vAlign w:val="bottom"/>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为了方便患者临床摆位要求：床体必须具备电动上下升降功能</w:t>
            </w:r>
            <w:r>
              <w:rPr>
                <w:rFonts w:hint="eastAsia" w:ascii="宋体" w:hAnsi="宋体" w:eastAsia="宋体"/>
                <w:color w:val="000000"/>
                <w:sz w:val="24"/>
                <w:szCs w:val="24"/>
              </w:rPr>
              <w:t xml:space="preserve">（提供检测报告证明）</w:t>
            </w:r>
            <w:r/>
          </w:p>
        </w:tc>
      </w:tr>
      <w:tr>
        <w:trPr>
          <w:jc w:val="center"/>
          <w:trHeight w:val="769" w:hRule="exact"/>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5.4</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床体电动上下升降有效行程： </w:t>
            </w:r>
            <w:r>
              <w:rPr>
                <w:rFonts w:ascii="宋体" w:hAnsi="宋体" w:eastAsia="宋体"/>
                <w:color w:val="000000"/>
                <w:sz w:val="24"/>
                <w:szCs w:val="24"/>
              </w:rPr>
              <w:t xml:space="preserve">≥</w:t>
            </w:r>
            <w:r>
              <w:rPr>
                <w:rFonts w:hint="eastAsia" w:ascii="宋体" w:hAnsi="宋体" w:eastAsia="宋体" w:cs="宋体"/>
                <w:color w:val="000000"/>
                <w:sz w:val="24"/>
                <w:szCs w:val="24"/>
              </w:rPr>
              <w:t xml:space="preserve">290mm，</w:t>
            </w:r>
            <w:r>
              <w:rPr>
                <w:rFonts w:hint="eastAsia" w:ascii="宋体" w:hAnsi="宋体" w:eastAsia="宋体"/>
                <w:color w:val="000000"/>
                <w:sz w:val="24"/>
                <w:szCs w:val="24"/>
              </w:rPr>
              <w:t xml:space="preserve">（提供检测报告）</w:t>
            </w:r>
            <w:r/>
          </w:p>
        </w:tc>
      </w:tr>
      <w:tr>
        <w:trPr>
          <w:jc w:val="center"/>
          <w:trHeight w:val="769" w:hRule="exact"/>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w:t>
            </w:r>
            <w:r>
              <w:rPr>
                <w:rFonts w:ascii="宋体" w:hAnsi="宋体" w:eastAsia="宋体"/>
                <w:color w:val="000000"/>
                <w:sz w:val="24"/>
                <w:szCs w:val="24"/>
              </w:rPr>
              <w:t xml:space="preserve">.</w:t>
            </w:r>
            <w:r>
              <w:rPr>
                <w:rFonts w:hint="eastAsia" w:ascii="宋体" w:hAnsi="宋体" w:eastAsia="宋体"/>
                <w:color w:val="000000"/>
                <w:sz w:val="24"/>
                <w:szCs w:val="24"/>
              </w:rPr>
              <w:t xml:space="preserve">5</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床面离地最低距离≤610mm</w:t>
            </w:r>
            <w:r>
              <w:rPr>
                <w:rFonts w:hint="eastAsia" w:ascii="宋体" w:hAnsi="宋体" w:eastAsia="宋体"/>
                <w:color w:val="000000"/>
                <w:sz w:val="24"/>
                <w:szCs w:val="24"/>
              </w:rPr>
              <w:t xml:space="preserve">（提供证明文件）</w:t>
            </w:r>
            <w:r/>
          </w:p>
        </w:tc>
      </w:tr>
      <w:tr>
        <w:trPr>
          <w:jc w:val="center"/>
          <w:trHeight w:val="769" w:hRule="exact"/>
        </w:trPr>
        <w:tc>
          <w:tcPr>
            <w:shd w:val="clear" w:color="auto" w:fill="auto"/>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5.6</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床面离地最高距离</w:t>
            </w:r>
            <w:r>
              <w:rPr>
                <w:rFonts w:ascii="宋体" w:hAnsi="宋体" w:eastAsia="宋体"/>
                <w:color w:val="000000"/>
                <w:sz w:val="24"/>
                <w:szCs w:val="24"/>
              </w:rPr>
              <w:t xml:space="preserve">≥</w:t>
            </w:r>
            <w:r>
              <w:rPr>
                <w:rFonts w:hint="eastAsia" w:ascii="宋体" w:hAnsi="宋体" w:eastAsia="宋体" w:cs="宋体"/>
                <w:color w:val="000000"/>
                <w:sz w:val="24"/>
                <w:szCs w:val="24"/>
              </w:rPr>
              <w:t xml:space="preserve">890mm</w:t>
            </w:r>
            <w:r>
              <w:rPr>
                <w:rFonts w:hint="eastAsia" w:ascii="宋体" w:hAnsi="宋体" w:eastAsia="宋体"/>
                <w:color w:val="000000"/>
                <w:sz w:val="24"/>
                <w:szCs w:val="24"/>
              </w:rPr>
              <w:t xml:space="preserve">（提供证明文件）</w:t>
            </w:r>
            <w:r/>
          </w:p>
        </w:tc>
      </w:tr>
      <w:tr>
        <w:trPr>
          <w:jc w:val="center"/>
          <w:trHeight w:val="771" w:hRule="exact"/>
        </w:trPr>
        <w:tc>
          <w:tcPr>
            <w:shd w:val="clear" w:color="auto" w:fill="auto"/>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5.7</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最小焦屏距</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t xml:space="preserve">810mm （提供证明材料，并装机时实际现场查验）</w:t>
            </w:r>
            <w:r/>
          </w:p>
        </w:tc>
      </w:tr>
      <w:tr>
        <w:trPr>
          <w:jc w:val="center"/>
          <w:trHeight w:val="455" w:hRule="exact"/>
        </w:trPr>
        <w:tc>
          <w:tcPr>
            <w:shd w:val="clear" w:color="auto" w:fill="auto"/>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5.8</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最大焦屏距</w:t>
            </w:r>
            <w:r>
              <w:rPr>
                <w:rFonts w:ascii="宋体" w:hAnsi="宋体" w:eastAsia="宋体"/>
                <w:color w:val="000000"/>
                <w:sz w:val="24"/>
                <w:szCs w:val="24"/>
              </w:rPr>
              <w:t xml:space="preserve">≥</w:t>
            </w:r>
            <w:r>
              <w:rPr>
                <w:rFonts w:hint="eastAsia" w:ascii="宋体" w:hAnsi="宋体" w:eastAsia="宋体" w:cs="宋体"/>
                <w:color w:val="000000"/>
                <w:sz w:val="24"/>
                <w:szCs w:val="24"/>
              </w:rPr>
              <w:t xml:space="preserve">1800mm</w:t>
            </w:r>
            <w:r/>
          </w:p>
        </w:tc>
      </w:tr>
      <w:tr>
        <w:trPr>
          <w:jc w:val="center"/>
          <w:trHeight w:val="427" w:hRule="exact"/>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5.9</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SID 最大行程</w:t>
            </w:r>
            <w:r>
              <w:rPr>
                <w:rFonts w:ascii="宋体" w:hAnsi="宋体" w:eastAsia="宋体"/>
                <w:color w:val="000000"/>
                <w:sz w:val="24"/>
                <w:szCs w:val="24"/>
              </w:rPr>
              <w:t xml:space="preserve">≥</w:t>
            </w:r>
            <w:r>
              <w:rPr>
                <w:rFonts w:hint="eastAsia" w:ascii="宋体" w:hAnsi="宋体" w:eastAsia="宋体" w:cs="宋体"/>
                <w:color w:val="000000"/>
                <w:sz w:val="24"/>
                <w:szCs w:val="24"/>
              </w:rPr>
              <w:t xml:space="preserve">980mm</w:t>
            </w:r>
            <w:r>
              <w:rPr>
                <w:rFonts w:hint="eastAsia" w:ascii="宋体" w:hAnsi="宋体" w:eastAsia="宋体"/>
                <w:color w:val="000000"/>
                <w:sz w:val="24"/>
                <w:szCs w:val="24"/>
              </w:rPr>
              <w:t xml:space="preserve">（提供证明文件）</w:t>
            </w:r>
            <w:r/>
          </w:p>
        </w:tc>
      </w:tr>
      <w:tr>
        <w:trPr>
          <w:jc w:val="center"/>
          <w:trHeight w:val="455" w:hRule="exact"/>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5.10</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点片装置纵向移动≥</w:t>
            </w:r>
            <w:r>
              <w:rPr>
                <w:rFonts w:hint="eastAsia" w:ascii="宋体" w:hAnsi="宋体" w:eastAsia="宋体"/>
                <w:color w:val="000000"/>
                <w:sz w:val="24"/>
                <w:szCs w:val="24"/>
              </w:rPr>
              <w:t xml:space="preserve">1000</w:t>
            </w:r>
            <w:r>
              <w:rPr>
                <w:rFonts w:ascii="宋体" w:hAnsi="宋体" w:eastAsia="宋体"/>
                <w:color w:val="000000"/>
                <w:sz w:val="24"/>
                <w:szCs w:val="24"/>
              </w:rPr>
              <w:t xml:space="preserve">mm</w:t>
            </w:r>
            <w:r>
              <w:rPr>
                <w:rFonts w:hint="eastAsia" w:ascii="宋体" w:hAnsi="宋体" w:eastAsia="宋体"/>
                <w:color w:val="000000"/>
                <w:sz w:val="24"/>
                <w:szCs w:val="24"/>
              </w:rPr>
              <w:t xml:space="preserve">（提供检测报告）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6</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滤线栅</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t xml:space="preserve">.</w:t>
            </w:r>
            <w:r>
              <w:rPr>
                <w:rFonts w:hint="eastAsia" w:ascii="宋体" w:hAnsi="宋体" w:eastAsia="宋体"/>
                <w:color w:val="000000"/>
                <w:sz w:val="24"/>
                <w:szCs w:val="24"/>
              </w:rPr>
              <w:t xml:space="preserve">1</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高密度进口</w:t>
            </w:r>
            <w:r>
              <w:rPr>
                <w:rFonts w:hint="eastAsia" w:ascii="宋体" w:hAnsi="宋体" w:eastAsia="宋体"/>
                <w:color w:val="000000"/>
                <w:sz w:val="24"/>
                <w:szCs w:val="24"/>
              </w:rPr>
              <w:t xml:space="preserve">滤线栅</w:t>
            </w:r>
            <w:r>
              <w:rPr>
                <w:rFonts w:hint="eastAsia" w:ascii="宋体" w:hAnsi="宋体" w:eastAsia="宋体"/>
                <w:color w:val="000000"/>
                <w:sz w:val="24"/>
                <w:szCs w:val="24"/>
              </w:rPr>
              <w:t xml:space="preserve">；两块</w:t>
            </w:r>
            <w:r>
              <w:rPr>
                <w:rFonts w:hint="eastAsia" w:ascii="宋体" w:hAnsi="宋体" w:eastAsia="宋体"/>
                <w:color w:val="000000"/>
                <w:sz w:val="24"/>
                <w:szCs w:val="24"/>
              </w:rPr>
              <w:t xml:space="preserve">滤线栅</w:t>
            </w:r>
            <w:r>
              <w:rPr>
                <w:rFonts w:hint="eastAsia" w:ascii="宋体" w:hAnsi="宋体" w:eastAsia="宋体"/>
                <w:color w:val="000000"/>
                <w:sz w:val="24"/>
                <w:szCs w:val="24"/>
              </w:rPr>
              <w:t xml:space="preserve">：</w:t>
            </w:r>
            <w:r>
              <w:rPr>
                <w:rFonts w:ascii="宋体" w:hAnsi="宋体" w:eastAsia="宋体"/>
                <w:sz w:val="24"/>
                <w:szCs w:val="24"/>
              </w:rPr>
              <w:t xml:space="preserve">会聚距离</w:t>
            </w:r>
            <w:r>
              <w:rPr>
                <w:rFonts w:hint="eastAsia" w:ascii="宋体" w:hAnsi="宋体" w:eastAsia="宋体"/>
                <w:sz w:val="24"/>
                <w:szCs w:val="24"/>
              </w:rPr>
              <w:t xml:space="preserve">分别为</w:t>
            </w:r>
            <w:r>
              <w:rPr>
                <w:rFonts w:ascii="宋体" w:hAnsi="宋体" w:eastAsia="宋体"/>
                <w:sz w:val="24"/>
                <w:szCs w:val="24"/>
              </w:rPr>
              <w:t xml:space="preserve"> 100cm/180cm</w:t>
            </w:r>
            <w:r>
              <w:rPr>
                <w:rFonts w:hint="eastAsia" w:ascii="宋体" w:hAnsi="宋体" w:eastAsia="宋体"/>
                <w:sz w:val="24"/>
                <w:szCs w:val="24"/>
              </w:rPr>
              <w:t xml:space="preserve">（</w:t>
            </w:r>
            <w:r>
              <w:rPr>
                <w:rFonts w:hint="eastAsia" w:ascii="宋体" w:hAnsi="宋体" w:eastAsia="宋体"/>
                <w:color w:val="000000"/>
                <w:sz w:val="24"/>
                <w:szCs w:val="24"/>
              </w:rPr>
              <w:t xml:space="preserve">专距专用</w:t>
            </w:r>
            <w:r>
              <w:rPr>
                <w:rFonts w:hint="eastAsia" w:ascii="宋体" w:hAnsi="宋体" w:eastAsia="宋体"/>
                <w:color w:val="000000"/>
                <w:sz w:val="24"/>
                <w:szCs w:val="24"/>
              </w:rPr>
              <w:t xml:space="preserve">，进一步提升图像质量)；       </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6.2</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栅比</w:t>
            </w:r>
            <w:r>
              <w:rPr>
                <w:rFonts w:ascii="宋体" w:hAnsi="宋体" w:eastAsia="宋体"/>
                <w:color w:val="000000"/>
                <w:sz w:val="24"/>
                <w:szCs w:val="24"/>
              </w:rPr>
              <w:t xml:space="preserve">≥</w:t>
            </w:r>
            <w:r>
              <w:rPr>
                <w:rFonts w:hint="eastAsia" w:ascii="宋体" w:hAnsi="宋体" w:eastAsia="宋体"/>
                <w:color w:val="000000"/>
                <w:sz w:val="24"/>
                <w:szCs w:val="24"/>
              </w:rPr>
              <w:t xml:space="preserve">10:1</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6.3</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栅密度</w:t>
            </w:r>
            <w:r>
              <w:rPr>
                <w:rFonts w:ascii="宋体" w:hAnsi="宋体" w:eastAsia="宋体"/>
                <w:color w:val="000000"/>
                <w:sz w:val="24"/>
                <w:szCs w:val="24"/>
              </w:rPr>
              <w:t xml:space="preserve">≥</w:t>
            </w:r>
            <w:r>
              <w:rPr>
                <w:rFonts w:hint="eastAsia" w:ascii="宋体" w:hAnsi="宋体" w:eastAsia="宋体"/>
                <w:color w:val="000000"/>
                <w:sz w:val="24"/>
                <w:szCs w:val="24"/>
              </w:rPr>
              <w:t xml:space="preserve">225L/INCH（提供证明文件）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动态平板探测器</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.1</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有效面积≥4</w:t>
            </w:r>
            <w:r>
              <w:rPr>
                <w:rFonts w:hint="eastAsia" w:ascii="宋体" w:hAnsi="宋体" w:eastAsia="宋体"/>
                <w:color w:val="000000"/>
                <w:sz w:val="24"/>
                <w:szCs w:val="24"/>
              </w:rPr>
              <w:t xml:space="preserve">27mm</w:t>
            </w:r>
            <w:r>
              <w:rPr>
                <w:rFonts w:ascii="宋体" w:hAnsi="宋体" w:eastAsia="宋体"/>
                <w:color w:val="000000"/>
                <w:sz w:val="24"/>
                <w:szCs w:val="24"/>
              </w:rPr>
              <w:t xml:space="preserve">(H)×4</w:t>
            </w:r>
            <w:r>
              <w:rPr>
                <w:rFonts w:hint="eastAsia" w:ascii="宋体" w:hAnsi="宋体" w:eastAsia="宋体"/>
                <w:color w:val="000000"/>
                <w:sz w:val="24"/>
                <w:szCs w:val="24"/>
              </w:rPr>
              <w:t xml:space="preserve">27mm</w:t>
            </w:r>
            <w:r>
              <w:rPr>
                <w:rFonts w:ascii="宋体" w:hAnsi="宋体" w:eastAsia="宋体"/>
                <w:color w:val="000000"/>
                <w:sz w:val="24"/>
                <w:szCs w:val="24"/>
              </w:rPr>
              <w:t xml:space="preserve">(V)</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.2</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相素矩阵≥</w:t>
            </w:r>
            <w:r>
              <w:rPr>
                <w:rFonts w:hint="eastAsia" w:ascii="宋体" w:hAnsi="宋体" w:eastAsia="宋体"/>
                <w:color w:val="000000"/>
                <w:sz w:val="24"/>
                <w:szCs w:val="24"/>
              </w:rPr>
              <w:t xml:space="preserve">3072</w:t>
            </w:r>
            <w:r>
              <w:rPr>
                <w:rFonts w:ascii="宋体" w:hAnsi="宋体" w:eastAsia="宋体"/>
                <w:color w:val="000000"/>
                <w:sz w:val="24"/>
                <w:szCs w:val="24"/>
              </w:rPr>
              <w:t xml:space="preserve">(H)×</w:t>
            </w:r>
            <w:r>
              <w:rPr>
                <w:rFonts w:hint="eastAsia" w:ascii="宋体" w:hAnsi="宋体" w:eastAsia="宋体"/>
                <w:color w:val="000000"/>
                <w:sz w:val="24"/>
                <w:szCs w:val="24"/>
              </w:rPr>
              <w:t xml:space="preserve">3072</w:t>
            </w:r>
            <w:r>
              <w:rPr>
                <w:rFonts w:ascii="宋体" w:hAnsi="宋体" w:eastAsia="宋体"/>
                <w:color w:val="000000"/>
                <w:sz w:val="24"/>
                <w:szCs w:val="24"/>
              </w:rPr>
              <w:t xml:space="preserve">(V)</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w:t>
            </w:r>
            <w:r>
              <w:rPr>
                <w:rFonts w:hint="eastAsia" w:ascii="宋体" w:hAnsi="宋体" w:eastAsia="宋体"/>
                <w:color w:val="000000"/>
                <w:sz w:val="24"/>
                <w:szCs w:val="24"/>
              </w:rPr>
              <w:t xml:space="preserve">3</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sz w:val="24"/>
                <w:szCs w:val="24"/>
              </w:rPr>
              <w:t xml:space="preserve">相素间距：</w:t>
            </w:r>
            <w:r>
              <w:rPr>
                <w:rFonts w:ascii="宋体" w:hAnsi="宋体" w:eastAsia="宋体"/>
                <w:color w:val="000000"/>
                <w:sz w:val="24"/>
                <w:szCs w:val="24"/>
              </w:rPr>
              <w:t xml:space="preserve">≤</w:t>
            </w:r>
            <w:r>
              <w:rPr>
                <w:rFonts w:hint="eastAsia" w:ascii="宋体" w:hAnsi="宋体" w:eastAsia="宋体"/>
                <w:sz w:val="24"/>
                <w:szCs w:val="24"/>
              </w:rPr>
              <w:t xml:space="preserve">139μm</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w:t>
            </w:r>
            <w:r>
              <w:rPr>
                <w:rFonts w:hint="eastAsia" w:ascii="宋体" w:hAnsi="宋体" w:eastAsia="宋体"/>
                <w:color w:val="000000"/>
                <w:sz w:val="24"/>
                <w:szCs w:val="24"/>
              </w:rPr>
              <w:t xml:space="preserve">4★</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连续透视最高帧频≥30fps；</w:t>
            </w:r>
            <w:r>
              <w:rPr>
                <w:rFonts w:hint="eastAsia" w:ascii="宋体" w:hAnsi="宋体" w:eastAsia="宋体"/>
                <w:color w:val="000000"/>
                <w:sz w:val="24"/>
                <w:szCs w:val="24"/>
              </w:rPr>
              <w:t xml:space="preserve">最高</w:t>
            </w:r>
            <w:r>
              <w:rPr>
                <w:rFonts w:ascii="宋体" w:hAnsi="宋体" w:eastAsia="宋体"/>
                <w:color w:val="000000"/>
                <w:sz w:val="24"/>
                <w:szCs w:val="24"/>
              </w:rPr>
              <w:t xml:space="preserve">脉冲透视≥</w:t>
            </w:r>
            <w:r>
              <w:rPr>
                <w:rFonts w:hint="eastAsia" w:ascii="宋体" w:hAnsi="宋体" w:eastAsia="宋体"/>
                <w:color w:val="000000"/>
                <w:sz w:val="24"/>
                <w:szCs w:val="24"/>
              </w:rPr>
              <w:t xml:space="preserve">22</w:t>
            </w:r>
            <w:r>
              <w:rPr>
                <w:rFonts w:ascii="宋体" w:hAnsi="宋体" w:eastAsia="宋体"/>
                <w:color w:val="000000"/>
                <w:sz w:val="24"/>
                <w:szCs w:val="24"/>
              </w:rPr>
              <w:t xml:space="preserve"> fps</w:t>
            </w:r>
            <w:r>
              <w:rPr>
                <w:rFonts w:hint="eastAsia" w:ascii="宋体" w:hAnsi="宋体" w:eastAsia="宋体"/>
                <w:color w:val="000000"/>
                <w:sz w:val="24"/>
                <w:szCs w:val="24"/>
              </w:rPr>
              <w:t xml:space="preserve"> ；（提供证明文件）</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w:t>
            </w:r>
            <w:r>
              <w:rPr>
                <w:rFonts w:hint="eastAsia" w:ascii="宋体" w:hAnsi="宋体" w:eastAsia="宋体"/>
                <w:color w:val="000000"/>
                <w:sz w:val="24"/>
                <w:szCs w:val="24"/>
              </w:rPr>
              <w:t xml:space="preserve">5</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空间分辨率 ≥</w:t>
            </w:r>
            <w:r>
              <w:rPr>
                <w:rFonts w:ascii="宋体" w:hAnsi="宋体" w:eastAsia="宋体"/>
                <w:sz w:val="24"/>
                <w:szCs w:val="24"/>
              </w:rPr>
              <w:t xml:space="preserve">3.</w:t>
            </w:r>
            <w:r>
              <w:rPr>
                <w:rFonts w:hint="eastAsia" w:ascii="宋体" w:hAnsi="宋体" w:eastAsia="宋体"/>
                <w:sz w:val="24"/>
                <w:szCs w:val="24"/>
              </w:rPr>
              <w:t xml:space="preserve">6</w:t>
            </w:r>
            <w:r>
              <w:rPr>
                <w:rFonts w:ascii="宋体" w:hAnsi="宋体" w:eastAsia="宋体"/>
                <w:sz w:val="24"/>
                <w:szCs w:val="24"/>
              </w:rPr>
              <w:t xml:space="preserve">lp/mm</w:t>
            </w:r>
            <w:r>
              <w:rPr>
                <w:rFonts w:hint="eastAsia" w:ascii="宋体" w:hAnsi="宋体" w:eastAsia="宋体"/>
                <w:color w:val="000000"/>
                <w:sz w:val="24"/>
                <w:szCs w:val="24"/>
              </w:rPr>
              <w:t xml:space="preserve">（提供检测报告）</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t xml:space="preserve">.</w:t>
            </w:r>
            <w:r>
              <w:rPr>
                <w:rFonts w:hint="eastAsia" w:ascii="宋体" w:hAnsi="宋体" w:eastAsia="宋体"/>
                <w:color w:val="000000"/>
                <w:sz w:val="24"/>
                <w:szCs w:val="24"/>
              </w:rPr>
              <w:t xml:space="preserve">5</w:t>
            </w:r>
            <w:r/>
          </w:p>
        </w:tc>
        <w:tc>
          <w:tcPr>
            <w:tcW w:w="7557" w:type="dxa"/>
            <w:vAlign w:val="bottom"/>
            <w:textDirection w:val="lrTb"/>
            <w:noWrap w:val="false"/>
          </w:tcPr>
          <w:p>
            <w:pPr>
              <w:rPr>
                <w:rFonts w:hint="eastAsia" w:ascii="宋体" w:hAnsi="宋体" w:eastAsia="宋体"/>
                <w:b/>
                <w:color w:val="000000"/>
                <w:sz w:val="24"/>
                <w:szCs w:val="24"/>
              </w:rPr>
            </w:pPr>
            <w:r>
              <w:rPr>
                <w:rFonts w:ascii="宋体" w:hAnsi="宋体" w:eastAsia="宋体"/>
                <w:color w:val="000000"/>
                <w:sz w:val="24"/>
                <w:szCs w:val="24"/>
              </w:rPr>
              <w:t xml:space="preserve">A / D转换 ≥16bit</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8</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数字化X线摄影透视操作系统</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t xml:space="preserve">.1</w:t>
            </w:r>
            <w:r/>
          </w:p>
        </w:tc>
        <w:tc>
          <w:tcPr>
            <w:tcW w:w="7557" w:type="dxa"/>
            <w:vAlign w:val="bottom"/>
            <w:textDirection w:val="lrTb"/>
            <w:noWrap w:val="false"/>
          </w:tcPr>
          <w:p>
            <w:pPr>
              <w:pStyle w:val="1047"/>
              <w:jc w:val="left"/>
              <w:spacing w:line="302" w:lineRule="exact"/>
              <w:tabs>
                <w:tab w:val="left" w:pos="367" w:leader="none"/>
              </w:tabs>
              <w:rPr>
                <w:rFonts w:hint="eastAsia"/>
                <w:b/>
                <w:bCs/>
                <w:color w:val="000000"/>
                <w:sz w:val="24"/>
                <w:szCs w:val="24"/>
                <w:lang w:val="en-US" w:eastAsia="zh-CN"/>
              </w:rPr>
            </w:pPr>
            <w:r>
              <w:rPr>
                <w:rFonts w:hint="eastAsia"/>
                <w:b/>
                <w:bCs/>
                <w:color w:val="000000"/>
                <w:sz w:val="24"/>
                <w:szCs w:val="24"/>
                <w:lang w:val="en-US" w:eastAsia="zh-CN"/>
              </w:rPr>
              <w:t xml:space="preserve">具备：</w:t>
            </w:r>
            <w:r/>
          </w:p>
          <w:p>
            <w:pPr>
              <w:pStyle w:val="1047"/>
              <w:jc w:val="left"/>
              <w:spacing w:line="302" w:lineRule="exact"/>
              <w:tabs>
                <w:tab w:val="left" w:pos="367" w:leader="none"/>
              </w:tabs>
              <w:rPr>
                <w:rFonts w:hint="eastAsia"/>
                <w:color w:val="000000"/>
                <w:sz w:val="24"/>
                <w:szCs w:val="24"/>
              </w:rPr>
            </w:pPr>
            <w:r>
              <w:rPr>
                <w:color w:val="000000"/>
                <w:sz w:val="24"/>
                <w:szCs w:val="24"/>
              </w:rPr>
              <w:t xml:space="preserve">常规登记、紧急登记、增加协议、增加项目、清空信息、开始检查；</w:t>
            </w:r>
            <w:r>
              <w:rPr>
                <w:rFonts w:hint="eastAsia"/>
                <w:color w:val="000000"/>
                <w:sz w:val="24"/>
                <w:szCs w:val="24"/>
                <w:lang w:eastAsia="zh-CN"/>
              </w:rPr>
              <w:t xml:space="preserve"> </w:t>
            </w:r>
            <w:r>
              <w:rPr>
                <w:color w:val="000000"/>
                <w:sz w:val="24"/>
                <w:szCs w:val="24"/>
              </w:rPr>
              <w:t xml:space="preserve">列表信息、待检查病人搜索、待检查列表刷新、删除检查、显示列设置。开始检查、紧急登记；</w:t>
            </w:r>
            <w:r/>
          </w:p>
          <w:p>
            <w:pPr>
              <w:pStyle w:val="1047"/>
              <w:jc w:val="left"/>
              <w:spacing w:line="302" w:lineRule="exact"/>
              <w:tabs>
                <w:tab w:val="left" w:pos="367" w:leader="none"/>
              </w:tabs>
              <w:rPr>
                <w:rFonts w:hint="eastAsia"/>
                <w:color w:val="000000"/>
                <w:sz w:val="24"/>
                <w:szCs w:val="24"/>
              </w:rPr>
            </w:pPr>
            <w:r>
              <w:rPr>
                <w:rFonts w:hint="eastAsia"/>
                <w:b/>
                <w:bCs/>
                <w:color w:val="000000"/>
                <w:sz w:val="24"/>
                <w:szCs w:val="24"/>
                <w:lang w:eastAsia="zh-CN"/>
              </w:rPr>
              <w:t xml:space="preserve">检查</w:t>
            </w:r>
            <w:r>
              <w:rPr>
                <w:b/>
                <w:bCs/>
                <w:color w:val="000000"/>
                <w:sz w:val="24"/>
                <w:szCs w:val="24"/>
              </w:rPr>
              <w:t xml:space="preserve">列表</w:t>
            </w:r>
            <w:r>
              <w:rPr>
                <w:rFonts w:hint="eastAsia"/>
                <w:b/>
                <w:bCs/>
                <w:color w:val="000000"/>
                <w:sz w:val="24"/>
                <w:szCs w:val="24"/>
                <w:lang w:eastAsia="zh-CN"/>
              </w:rPr>
              <w:t xml:space="preserve">：</w:t>
            </w:r>
            <w:r>
              <w:rPr>
                <w:color w:val="000000"/>
                <w:sz w:val="24"/>
                <w:szCs w:val="24"/>
              </w:rPr>
              <w:t xml:space="preserve">列表信息、已</w:t>
            </w:r>
            <w:r>
              <w:rPr>
                <w:rFonts w:hint="eastAsia"/>
                <w:color w:val="000000"/>
                <w:sz w:val="24"/>
                <w:szCs w:val="24"/>
                <w:lang w:eastAsia="zh-CN"/>
              </w:rPr>
              <w:t xml:space="preserve">检查</w:t>
            </w:r>
            <w:r>
              <w:rPr>
                <w:color w:val="000000"/>
                <w:sz w:val="24"/>
                <w:szCs w:val="24"/>
              </w:rPr>
              <w:t xml:space="preserve">病人显示与搜索、删除图像、图像存储、光盘刻录、增加项目、显示列设置 、修改检查信息；</w:t>
            </w:r>
            <w:r/>
          </w:p>
          <w:p>
            <w:pPr>
              <w:pStyle w:val="1047"/>
              <w:jc w:val="left"/>
              <w:spacing w:line="302" w:lineRule="exact"/>
              <w:tabs>
                <w:tab w:val="left" w:pos="367" w:leader="none"/>
              </w:tabs>
              <w:rPr>
                <w:rFonts w:hint="eastAsia"/>
                <w:color w:val="000000"/>
                <w:sz w:val="24"/>
                <w:szCs w:val="24"/>
              </w:rPr>
            </w:pPr>
            <w:r>
              <w:rPr>
                <w:b/>
                <w:bCs/>
                <w:color w:val="000000"/>
                <w:sz w:val="24"/>
                <w:szCs w:val="24"/>
              </w:rPr>
              <w:t xml:space="preserve">摄影参数设置：</w:t>
            </w:r>
            <w:r>
              <w:rPr>
                <w:color w:val="000000"/>
                <w:sz w:val="24"/>
                <w:szCs w:val="24"/>
              </w:rPr>
              <w:t xml:space="preserve">曝光模式、帧率设置、</w:t>
            </w:r>
            <w:r>
              <w:rPr>
                <w:color w:val="000000"/>
                <w:sz w:val="24"/>
                <w:szCs w:val="24"/>
                <w:lang w:val="en-US" w:eastAsia="zh-CN"/>
              </w:rPr>
              <w:t xml:space="preserve">kVp</w:t>
            </w:r>
            <w:r>
              <w:rPr>
                <w:color w:val="000000"/>
                <w:sz w:val="24"/>
                <w:szCs w:val="24"/>
                <w:lang w:val="en-US" w:eastAsia="zh-CN"/>
              </w:rPr>
              <w:t xml:space="preserve">、mA、</w:t>
            </w:r>
            <w:r>
              <w:rPr>
                <w:color w:val="000000"/>
                <w:sz w:val="24"/>
                <w:szCs w:val="24"/>
                <w:lang w:val="en-US" w:eastAsia="zh-CN"/>
              </w:rPr>
              <w:t xml:space="preserve">ms</w:t>
            </w:r>
            <w:r>
              <w:rPr>
                <w:color w:val="000000"/>
                <w:sz w:val="24"/>
                <w:szCs w:val="24"/>
              </w:rPr>
              <w:t xml:space="preserve">、</w:t>
            </w:r>
            <w:r>
              <w:rPr>
                <w:color w:val="000000"/>
                <w:sz w:val="24"/>
                <w:szCs w:val="24"/>
                <w:lang w:val="en-US" w:eastAsia="zh-CN"/>
              </w:rPr>
              <w:t xml:space="preserve">mAs</w:t>
            </w:r>
            <w:r>
              <w:rPr>
                <w:color w:val="000000"/>
                <w:sz w:val="24"/>
                <w:szCs w:val="24"/>
                <w:lang w:val="en-US" w:eastAsia="zh-CN"/>
              </w:rPr>
              <w:t xml:space="preserve">、AEC、</w:t>
            </w:r>
            <w:r>
              <w:rPr>
                <w:color w:val="000000"/>
                <w:sz w:val="24"/>
                <w:szCs w:val="24"/>
              </w:rPr>
              <w:t xml:space="preserve">焦点选择；</w:t>
            </w:r>
            <w:r/>
          </w:p>
          <w:p>
            <w:pPr>
              <w:pStyle w:val="1047"/>
              <w:jc w:val="left"/>
              <w:spacing w:line="302" w:lineRule="exact"/>
              <w:tabs>
                <w:tab w:val="left" w:pos="367" w:leader="none"/>
              </w:tabs>
              <w:rPr>
                <w:rFonts w:hint="eastAsia"/>
                <w:color w:val="000000"/>
                <w:sz w:val="24"/>
                <w:szCs w:val="24"/>
              </w:rPr>
            </w:pPr>
            <w:r>
              <w:rPr>
                <w:b/>
                <w:bCs/>
                <w:color w:val="000000"/>
                <w:sz w:val="24"/>
                <w:szCs w:val="24"/>
              </w:rPr>
              <w:t xml:space="preserve">透视参数设置：</w:t>
            </w:r>
            <w:r>
              <w:rPr>
                <w:color w:val="000000"/>
                <w:sz w:val="24"/>
                <w:szCs w:val="24"/>
              </w:rPr>
              <w:t xml:space="preserve">曝光模式、帧率设置、</w:t>
            </w:r>
            <w:r>
              <w:rPr>
                <w:color w:val="000000"/>
                <w:sz w:val="24"/>
                <w:szCs w:val="24"/>
                <w:lang w:val="en-US" w:eastAsia="zh-CN"/>
              </w:rPr>
              <w:t xml:space="preserve">kVp</w:t>
            </w:r>
            <w:r>
              <w:rPr>
                <w:color w:val="000000"/>
                <w:sz w:val="24"/>
                <w:szCs w:val="24"/>
                <w:lang w:val="en-US" w:eastAsia="zh-CN"/>
              </w:rPr>
              <w:t xml:space="preserve">、mA、ABS</w:t>
            </w:r>
            <w:r>
              <w:rPr>
                <w:color w:val="000000"/>
                <w:sz w:val="24"/>
                <w:szCs w:val="24"/>
              </w:rPr>
              <w:t xml:space="preserve">、时间清零；</w:t>
            </w:r>
            <w:r/>
          </w:p>
          <w:p>
            <w:pPr>
              <w:pStyle w:val="1047"/>
              <w:jc w:val="left"/>
              <w:spacing w:line="302" w:lineRule="exact"/>
              <w:tabs>
                <w:tab w:val="left" w:pos="367" w:leader="none"/>
              </w:tabs>
              <w:rPr>
                <w:rFonts w:hint="eastAsia"/>
                <w:color w:val="000000"/>
                <w:sz w:val="24"/>
                <w:szCs w:val="24"/>
              </w:rPr>
            </w:pPr>
            <w:r>
              <w:rPr>
                <w:b/>
                <w:bCs/>
                <w:color w:val="000000"/>
                <w:sz w:val="24"/>
                <w:szCs w:val="24"/>
              </w:rPr>
              <w:t xml:space="preserve">报告打印：</w:t>
            </w:r>
            <w:r>
              <w:rPr>
                <w:color w:val="000000"/>
                <w:sz w:val="24"/>
                <w:szCs w:val="24"/>
              </w:rPr>
              <w:t xml:space="preserve">快速打印、打印报告；</w:t>
            </w:r>
            <w:r/>
          </w:p>
          <w:p>
            <w:pPr>
              <w:pStyle w:val="1047"/>
              <w:jc w:val="left"/>
              <w:spacing w:line="302" w:lineRule="exact"/>
              <w:tabs>
                <w:tab w:val="left" w:pos="367" w:leader="none"/>
              </w:tabs>
              <w:rPr>
                <w:rFonts w:hint="eastAsia"/>
                <w:color w:val="000000"/>
                <w:sz w:val="24"/>
                <w:szCs w:val="24"/>
              </w:rPr>
            </w:pPr>
            <w:r>
              <w:rPr>
                <w:b/>
                <w:bCs/>
                <w:color w:val="000000"/>
                <w:sz w:val="24"/>
                <w:szCs w:val="24"/>
              </w:rPr>
              <w:t xml:space="preserve">硬件配置：</w:t>
            </w:r>
            <w:r>
              <w:rPr>
                <w:color w:val="000000"/>
                <w:sz w:val="24"/>
                <w:szCs w:val="24"/>
                <w:lang w:val="en-US"/>
              </w:rPr>
              <w:t xml:space="preserve">Syncbox</w:t>
            </w:r>
            <w:r>
              <w:rPr>
                <w:color w:val="000000"/>
                <w:sz w:val="24"/>
                <w:szCs w:val="24"/>
                <w:lang w:val="en-US"/>
              </w:rPr>
              <w:t xml:space="preserve">、</w:t>
            </w:r>
            <w:r>
              <w:rPr>
                <w:color w:val="000000"/>
                <w:sz w:val="24"/>
                <w:szCs w:val="24"/>
              </w:rPr>
              <w:t xml:space="preserve">高压、探测器、</w:t>
            </w:r>
            <w:r>
              <w:rPr>
                <w:color w:val="000000"/>
                <w:sz w:val="24"/>
                <w:szCs w:val="24"/>
                <w:lang w:val="en-US"/>
              </w:rPr>
              <w:t xml:space="preserve">Collimator、 DAP；</w:t>
            </w:r>
            <w:r/>
          </w:p>
          <w:p>
            <w:pPr>
              <w:pStyle w:val="1047"/>
              <w:jc w:val="left"/>
              <w:spacing w:line="302" w:lineRule="exact"/>
              <w:tabs>
                <w:tab w:val="left" w:pos="367" w:leader="none"/>
              </w:tabs>
              <w:rPr>
                <w:rFonts w:hint="eastAsia"/>
                <w:color w:val="000000"/>
                <w:sz w:val="24"/>
                <w:szCs w:val="24"/>
              </w:rPr>
            </w:pPr>
            <w:r>
              <w:rPr>
                <w:rFonts w:hint="eastAsia"/>
                <w:b/>
                <w:bCs/>
                <w:color w:val="000000"/>
                <w:sz w:val="24"/>
                <w:szCs w:val="24"/>
                <w:lang w:eastAsia="zh-CN"/>
              </w:rPr>
              <w:t xml:space="preserve">检查</w:t>
            </w:r>
            <w:r>
              <w:rPr>
                <w:b/>
                <w:bCs/>
                <w:color w:val="000000"/>
                <w:sz w:val="24"/>
                <w:szCs w:val="24"/>
              </w:rPr>
              <w:t xml:space="preserve">管理：</w:t>
            </w:r>
            <w:r>
              <w:rPr>
                <w:color w:val="000000"/>
                <w:sz w:val="24"/>
                <w:szCs w:val="24"/>
              </w:rPr>
              <w:t xml:space="preserve">基本信息、摆位信息、硬件参数、图像处 理、检查协议；</w:t>
            </w:r>
            <w:r/>
          </w:p>
          <w:p>
            <w:pPr>
              <w:rPr>
                <w:rFonts w:hint="eastAsia" w:ascii="宋体" w:hAnsi="宋体" w:eastAsia="宋体"/>
                <w:b/>
                <w:color w:val="000000"/>
                <w:sz w:val="24"/>
                <w:szCs w:val="24"/>
              </w:rPr>
            </w:pPr>
            <w:r>
              <w:rPr>
                <w:rFonts w:ascii="宋体" w:hAnsi="宋体" w:eastAsia="宋体"/>
                <w:bCs/>
                <w:color w:val="000000"/>
                <w:sz w:val="24"/>
                <w:szCs w:val="24"/>
              </w:rPr>
              <w:t xml:space="preserve">质量管理：</w:t>
            </w:r>
            <w:r>
              <w:rPr>
                <w:rFonts w:ascii="宋体" w:hAnsi="宋体" w:eastAsia="宋体"/>
                <w:color w:val="000000"/>
                <w:sz w:val="24"/>
                <w:szCs w:val="24"/>
              </w:rPr>
              <w:t xml:space="preserve">查找、系统管理；用户管理：增加、更新、删除、权限。</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t xml:space="preserve">.</w:t>
            </w:r>
            <w:r>
              <w:rPr>
                <w:rFonts w:hint="eastAsia" w:ascii="宋体" w:hAnsi="宋体" w:eastAsia="宋体"/>
                <w:color w:val="000000"/>
                <w:sz w:val="24"/>
                <w:szCs w:val="24"/>
              </w:rPr>
              <w:t xml:space="preserve">2</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具备全自动拼接功能、360°电动脚踏板、DAP辐射剂量监测功能、AEC电离室。</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8.3</w:t>
            </w:r>
            <w:r>
              <w:rPr>
                <w:rFonts w:ascii="宋体" w:hAnsi="宋体" w:eastAsia="宋体" w:cs="Arial"/>
                <w:sz w:val="24"/>
                <w:szCs w:val="24"/>
              </w:rPr>
              <w:t xml:space="preserve">▲</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机械运动操作方式：每个运动为独立遥控杆控制，不能为一个摇</w:t>
            </w:r>
            <w:r>
              <w:rPr>
                <w:rFonts w:hint="eastAsia" w:ascii="宋体" w:hAnsi="宋体" w:eastAsia="宋体"/>
                <w:color w:val="000000"/>
                <w:sz w:val="24"/>
                <w:szCs w:val="24"/>
              </w:rPr>
              <w:t xml:space="preserve">控杆控制</w:t>
            </w:r>
            <w:r>
              <w:rPr>
                <w:rFonts w:hint="eastAsia" w:ascii="宋体" w:hAnsi="宋体" w:eastAsia="宋体"/>
                <w:color w:val="000000"/>
                <w:sz w:val="24"/>
                <w:szCs w:val="24"/>
              </w:rPr>
              <w:t xml:space="preserve">所有的运动（提供实物操作台装机图片证明，实物现场装机查验） </w:t>
            </w:r>
            <w:r/>
          </w:p>
        </w:tc>
      </w:tr>
      <w:tr>
        <w:trPr>
          <w:jc w:val="center"/>
          <w:trHeight w:val="341"/>
        </w:trPr>
        <w:tc>
          <w:tcPr>
            <w:tcW w:w="1283" w:type="dxa"/>
            <w:vAlign w:val="center"/>
            <w:textDirection w:val="lrTb"/>
            <w:noWrap w:val="false"/>
          </w:tcPr>
          <w:p>
            <w:pPr>
              <w:jc w:val="center"/>
              <w:rPr>
                <w:rFonts w:hint="eastAsia" w:ascii="宋体" w:hAnsi="宋体" w:eastAsia="宋体"/>
                <w:b/>
                <w:color w:val="000000"/>
                <w:sz w:val="24"/>
                <w:szCs w:val="24"/>
              </w:rPr>
            </w:pPr>
            <w:r>
              <w:rPr>
                <w:rFonts w:hint="eastAsia" w:ascii="宋体" w:hAnsi="宋体" w:eastAsia="宋体"/>
                <w:color w:val="000000"/>
                <w:sz w:val="24"/>
                <w:szCs w:val="24"/>
              </w:rPr>
              <w:t xml:space="preserve">9</w:t>
            </w:r>
            <w:r/>
          </w:p>
        </w:tc>
        <w:tc>
          <w:tcPr>
            <w:tcW w:w="7557" w:type="dxa"/>
            <w:vAlign w:val="bottom"/>
            <w:textDirection w:val="lrTb"/>
            <w:noWrap w:val="false"/>
          </w:tcPr>
          <w:p>
            <w:pPr>
              <w:rPr>
                <w:rFonts w:hint="eastAsia" w:ascii="宋体" w:hAnsi="宋体" w:eastAsia="宋体"/>
                <w:b/>
                <w:color w:val="000000"/>
                <w:sz w:val="24"/>
                <w:szCs w:val="24"/>
              </w:rPr>
            </w:pPr>
            <w:r>
              <w:rPr>
                <w:rFonts w:hint="eastAsia" w:ascii="宋体" w:hAnsi="宋体" w:eastAsia="宋体"/>
                <w:color w:val="000000"/>
                <w:sz w:val="24"/>
                <w:szCs w:val="24"/>
              </w:rPr>
              <w:t xml:space="preserve">为保障整机良好的稳定性以及更优化的售后服务体验，要求核心部件：高压发生器、平板探测器和床体与整机为同一品牌。</w:t>
            </w:r>
            <w:r/>
          </w:p>
        </w:tc>
      </w:tr>
    </w:tbl>
    <w:p>
      <w:pPr>
        <w:pStyle w:val="821"/>
      </w:p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2158"/>
        <w:gridCol w:w="5732"/>
      </w:tblGrid>
      <w:tr>
        <w:trPr>
          <w:jc w:val="center"/>
          <w:trHeight w:val="750"/>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w:t>
            </w:r>
            <w:r>
              <w:rPr>
                <w:rFonts w:hint="eastAsia" w:ascii="宋体" w:hAnsi="宋体" w:eastAsia="宋体" w:cs="宋体"/>
                <w:bCs/>
                <w:sz w:val="24"/>
                <w:szCs w:val="24"/>
              </w:rPr>
              <w:t xml:space="preserve">交货期</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合同签订后一个月内</w:t>
            </w:r>
            <w:r/>
          </w:p>
        </w:tc>
      </w:tr>
      <w:tr>
        <w:trPr>
          <w:jc w:val="center"/>
          <w:trHeight w:val="867"/>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售后服务</w:t>
            </w:r>
            <w:r/>
          </w:p>
        </w:tc>
        <w:tc>
          <w:tcPr>
            <w:tcW w:w="3286" w:type="pct"/>
            <w:vAlign w:val="center"/>
            <w:textDirection w:val="lrTb"/>
            <w:noWrap w:val="false"/>
          </w:tcPr>
          <w:p>
            <w:pPr>
              <w:pStyle w:val="821"/>
              <w:spacing w:line="360" w:lineRule="auto"/>
              <w:rPr>
                <w:rFonts w:hint="eastAsia" w:asciiTheme="minorEastAsia" w:hAnsiTheme="minorEastAsia" w:eastAsiaTheme="minorEastAsia"/>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所有设备质</w:t>
            </w:r>
            <w:r>
              <w:rPr>
                <w:rFonts w:hint="eastAsia" w:ascii="宋体" w:hAnsi="宋体" w:eastAsia="宋体" w:cs="宋体"/>
                <w:bCs/>
                <w:sz w:val="24"/>
                <w:szCs w:val="24"/>
              </w:rPr>
              <w:t xml:space="preserve">保要求</w:t>
            </w:r>
            <w:r>
              <w:rPr>
                <w:rFonts w:hint="eastAsia" w:ascii="宋体" w:hAnsi="宋体" w:eastAsia="宋体" w:cs="宋体"/>
                <w:bCs/>
                <w:sz w:val="24"/>
                <w:szCs w:val="24"/>
              </w:rPr>
              <w:t xml:space="preserve">不少于</w:t>
            </w:r>
            <w:r>
              <w:rPr>
                <w:rFonts w:hint="eastAsia" w:ascii="宋体" w:hAnsi="宋体" w:eastAsia="宋体" w:cs="宋体"/>
                <w:bCs/>
                <w:sz w:val="24"/>
                <w:szCs w:val="24"/>
              </w:rPr>
              <w:t xml:space="preserve">一</w:t>
            </w:r>
            <w:r>
              <w:rPr>
                <w:rFonts w:hint="eastAsia" w:ascii="宋体" w:hAnsi="宋体" w:eastAsia="宋体" w:cs="宋体"/>
                <w:bCs/>
                <w:sz w:val="24"/>
                <w:szCs w:val="24"/>
              </w:rPr>
              <w:t xml:space="preserve">年。</w:t>
            </w:r>
            <w:r/>
          </w:p>
          <w:p>
            <w:pPr>
              <w:pStyle w:val="82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2、对医院技术人员进行应用培训，直至操作人员会使用为止。</w:t>
            </w:r>
            <w:r/>
          </w:p>
          <w:p>
            <w:pPr>
              <w:pStyle w:val="82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3、设备交付使用后，定期对设备进行维护保养，在保修期内提供免费维护保养服务两次。</w:t>
            </w:r>
            <w:r/>
          </w:p>
          <w:p>
            <w:pPr>
              <w:pStyle w:val="82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4、保证所提供设备的配件</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年供货期，承诺期内保证配件需求。</w:t>
            </w:r>
            <w:r/>
          </w:p>
          <w:p>
            <w:pPr>
              <w:pStyle w:val="82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5、定期对机器清洁、性能测试及校准、必要的机械或电气的检查。</w:t>
            </w:r>
            <w:r/>
          </w:p>
        </w:tc>
      </w:tr>
      <w:tr>
        <w:trPr>
          <w:jc w:val="center"/>
          <w:trHeight w:val="810"/>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3</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交货地点</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泰兴市妇幼保健院</w:t>
            </w:r>
            <w:r>
              <w:rPr>
                <w:rFonts w:hint="eastAsia" w:ascii="宋体" w:hAnsi="宋体" w:eastAsia="宋体" w:cs="宋体"/>
                <w:bCs/>
                <w:sz w:val="24"/>
                <w:szCs w:val="24"/>
              </w:rPr>
              <w:t xml:space="preserve">指定地点</w:t>
            </w:r>
            <w:r/>
          </w:p>
        </w:tc>
      </w:tr>
      <w:tr>
        <w:trPr>
          <w:jc w:val="center"/>
          <w:trHeight w:val="837"/>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包装运输</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由供应商承担</w:t>
            </w:r>
            <w:r/>
          </w:p>
        </w:tc>
      </w:tr>
      <w:tr>
        <w:trPr>
          <w:jc w:val="center"/>
          <w:trHeight w:val="692"/>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w:t>
            </w:r>
            <w:r>
              <w:rPr>
                <w:rFonts w:hint="eastAsia" w:ascii="宋体" w:hAnsi="宋体" w:eastAsia="宋体" w:cs="宋体"/>
                <w:bCs/>
                <w:sz w:val="24"/>
                <w:szCs w:val="24"/>
              </w:rPr>
              <w:t xml:space="preserve">付款方式</w:t>
            </w:r>
            <w:r/>
          </w:p>
        </w:tc>
        <w:tc>
          <w:tcPr>
            <w:shd w:val="clear" w:color="auto" w:fill="ffffff" w:themeFill="background1"/>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cs="仿宋" w:asciiTheme="minorEastAsia" w:hAnsiTheme="minorEastAsia" w:eastAsiaTheme="minorEastAsia"/>
                <w:color w:val="000000" w:themeColor="text1"/>
                <w:sz w:val="24"/>
                <w:szCs w:val="24"/>
              </w:rPr>
              <w:t xml:space="preserve">合同签订后货到安装验收合格后支付合同总金额的9</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，安装验收满一年后付清</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余款。</w:t>
            </w:r>
            <w:r/>
          </w:p>
        </w:tc>
      </w:tr>
    </w:tbl>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w:t>
      </w:r>
      <w:r>
        <w:rPr>
          <w:rFonts w:hint="eastAsia" w:cs="仿宋" w:asciiTheme="minorEastAsia" w:hAnsiTheme="minorEastAsia" w:eastAsiaTheme="minorEastAsia"/>
          <w:b/>
          <w:bCs/>
          <w:color w:val="000000" w:themeColor="text1"/>
          <w:sz w:val="24"/>
          <w:szCs w:val="24"/>
        </w:rPr>
        <w:t xml:space="preserve">的</w:t>
      </w:r>
      <w:r>
        <w:rPr>
          <w:rFonts w:hint="eastAsia" w:cs="仿宋" w:asciiTheme="minorEastAsia" w:hAnsiTheme="minorEastAsia" w:eastAsiaTheme="minorEastAsia"/>
          <w:b/>
          <w:bCs/>
          <w:color w:val="000000" w:themeColor="text1"/>
          <w:sz w:val="24"/>
          <w:szCs w:val="24"/>
        </w:rPr>
        <w:t xml:space="preserve">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hint="eastAsia"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1016"/>
        <w:numPr>
          <w:ilvl w:val="0"/>
          <w:numId w:val="7"/>
        </w:numPr>
        <w:jc w:val="center"/>
        <w:spacing w:before="0" w:after="0" w:line="24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36"/>
      <w:r/>
      <w:bookmarkEnd w:id="37"/>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000" w:firstRow="0" w:lastRow="0" w:firstColumn="0" w:lastColumn="0" w:noHBand="0" w:noVBand="0"/>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000" w:firstRow="0" w:lastRow="0" w:firstColumn="0" w:lastColumn="0" w:noHBand="0" w:noVBand="0"/>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w:t>
      </w:r>
      <w:r>
        <w:rPr>
          <w:rFonts w:hint="eastAsia" w:cs="仿宋" w:asciiTheme="minorEastAsia" w:hAnsiTheme="minorEastAsia" w:eastAsiaTheme="minorEastAsia"/>
          <w:b/>
          <w:color w:val="000000" w:themeColor="text1"/>
          <w:sz w:val="24"/>
          <w:szCs w:val="24"/>
        </w:rPr>
        <w:t xml:space="preserve">、评标办法：</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47"/>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spacing w:line="360" w:lineRule="auto"/>
        <w:rPr>
          <w:rFonts w:hint="eastAsia" w:cs="仿宋" w:asciiTheme="minorEastAsia" w:hAnsiTheme="minorEastAsia" w:eastAsiaTheme="minorEastAsia"/>
          <w:b/>
          <w:color w:val="000000" w:themeColor="text1"/>
          <w:sz w:val="24"/>
          <w:szCs w:val="24"/>
        </w:rPr>
      </w:pPr>
      <w:r/>
      <w:bookmarkStart w:id="39" w:name="_Hlk147842034"/>
      <w:r>
        <w:rPr>
          <w:rFonts w:hint="eastAsia" w:cs="仿宋" w:asciiTheme="minorEastAsia" w:hAnsiTheme="minorEastAsia" w:eastAsiaTheme="minorEastAsia"/>
          <w:b/>
          <w:color w:val="000000" w:themeColor="text1"/>
          <w:sz w:val="24"/>
          <w:szCs w:val="24"/>
        </w:rPr>
        <w:t xml:space="preserve">四、</w:t>
      </w: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Style w:val="85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05"/>
        <w:gridCol w:w="1194"/>
        <w:gridCol w:w="5561"/>
        <w:gridCol w:w="656"/>
      </w:tblGrid>
      <w:tr>
        <w:trPr>
          <w:jc w:val="center"/>
        </w:trPr>
        <w:tc>
          <w:tcPr>
            <w:tcBorders>
              <w:top w:val="single" w:color="000000" w:sz="8"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评标项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评标标准及细则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分值</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采用低价优先法计算，即满足招标文件要求且投标价格最低的投标报价为评标基准价，其价格分为满</w:t>
            </w:r>
            <w:r>
              <w:rPr>
                <w:rFonts w:hint="eastAsia" w:cs="宋体" w:asciiTheme="minorEastAsia" w:hAnsiTheme="minorEastAsia" w:eastAsiaTheme="minorEastAsia"/>
                <w:bCs/>
                <w:color w:val="000000"/>
                <w:sz w:val="24"/>
                <w:szCs w:val="24"/>
              </w:rPr>
              <w:t xml:space="preserve">分。其他供应商的价格</w:t>
            </w:r>
            <w:r>
              <w:rPr>
                <w:rFonts w:hint="eastAsia" w:cs="宋体" w:asciiTheme="minorEastAsia" w:hAnsiTheme="minorEastAsia" w:eastAsiaTheme="minorEastAsia"/>
                <w:bCs/>
                <w:color w:val="000000"/>
                <w:sz w:val="24"/>
                <w:szCs w:val="24"/>
              </w:rPr>
              <w:t xml:space="preserve">分统一</w:t>
            </w:r>
            <w:r>
              <w:rPr>
                <w:rFonts w:hint="eastAsia" w:cs="宋体" w:asciiTheme="minorEastAsia" w:hAnsiTheme="minorEastAsia" w:eastAsiaTheme="minorEastAsia"/>
                <w:bCs/>
                <w:color w:val="000000"/>
                <w:sz w:val="24"/>
                <w:szCs w:val="24"/>
              </w:rPr>
              <w:t xml:space="preserve">按照下列公式计算:投标报价得分=(评标基准价/投标报价)×30（小数点保留两位）评标过程中，不得去掉报价中的最高报价和最低报价。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30</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left="24"/>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left="91"/>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技术、性能、配置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评委根据采购文件中《招标技术规格及其他要求》，结合响应文件提供的佐证材料等进行评审：</w:t>
            </w:r>
            <w:r/>
          </w:p>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满足采购文件全部技术要求得标准分值25分；</w:t>
            </w:r>
            <w:r/>
          </w:p>
          <w:p>
            <w:pPr>
              <w:ind w:firstLine="480"/>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1、标★号参数为关键技术指标，如有负偏离，作无效投标处理；</w:t>
            </w:r>
            <w:r/>
          </w:p>
          <w:p>
            <w:pPr>
              <w:ind w:firstLine="480"/>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2、标▲号参数为重要技术指标，有一项负偏离扣3分，扣完为止；有一项正偏离加3分，正偏离加分最高不超过30分。</w:t>
            </w:r>
            <w:r/>
          </w:p>
          <w:p>
            <w:pPr>
              <w:ind w:firstLine="480"/>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除标</w:t>
            </w:r>
            <w:r>
              <w:rPr>
                <w:rFonts w:hint="eastAsia" w:cs="宋体" w:asciiTheme="minorEastAsia" w:hAnsiTheme="minorEastAsia" w:eastAsiaTheme="minorEastAsia"/>
                <w:bCs/>
                <w:color w:val="000000"/>
                <w:sz w:val="24"/>
                <w:szCs w:val="24"/>
              </w:rPr>
              <w:t xml:space="preserve">★、▲外，其他为全部一般技术指标，每有一项负偏离扣１分，扣完为止。其中技术部分负偏离超过半数的，或该项分值得0分或经评委会评议负偏离可能实质性影响使用的，将判定为实质性不符合招标要求，做无效投标处理。</w:t>
            </w:r>
            <w:r/>
          </w:p>
          <w:p>
            <w:pPr>
              <w:ind w:firstLine="480"/>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4、产品交付验收时，采购人将对技术规格要求中的关键技术指标进行逐一核实验收，如发现虚假应标，或无法实现关键技术指标功能，有权向采购主管部门进行举报，所有后果由成交供应商承担。</w:t>
            </w:r>
            <w:r/>
          </w:p>
          <w:p>
            <w:pPr>
              <w:rPr>
                <w:rFonts w:hint="eastAsia" w:asciiTheme="minorEastAsia" w:hAnsiTheme="minorEastAsia" w:eastAsiaTheme="minorEastAsia"/>
                <w:sz w:val="24"/>
                <w:szCs w:val="24"/>
              </w:rPr>
            </w:pPr>
            <w:r>
              <w:rPr>
                <w:rFonts w:hint="eastAsia" w:cs="宋体" w:asciiTheme="minorEastAsia" w:hAnsiTheme="minorEastAsia" w:eastAsiaTheme="minorEastAsia"/>
                <w:b/>
                <w:color w:val="000000"/>
                <w:sz w:val="24"/>
                <w:szCs w:val="24"/>
              </w:rPr>
              <w:t xml:space="preserve">注：</w:t>
            </w:r>
            <w:r>
              <w:rPr>
                <w:rFonts w:hint="eastAsia" w:cs="宋体" w:asciiTheme="minorEastAsia" w:hAnsiTheme="minorEastAsia" w:eastAsiaTheme="minorEastAsia"/>
                <w:bCs/>
                <w:color w:val="000000"/>
                <w:sz w:val="24"/>
                <w:szCs w:val="24"/>
              </w:rPr>
              <w:t xml:space="preserve">标注“★号、▲号”技术参数，须提供相关证明材料（包括制造商技术白皮书或Data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55</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hanging="8"/>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技术培训方案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投标人提供对用户的操作培训、业务功能培训等相关培训计划方案，除正常操作培训外，针对甲方是教学培训单位的特点，提出其他技术培训保障方案；</w:t>
            </w:r>
            <w:r/>
          </w:p>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1、技术培训保障方案内容详实、科学、合理，考虑周全，培训计划针对性强、内容详实，培训人员配备齐全、技术水平高、分工明确、岗位设置科学合理，培训</w:t>
            </w:r>
            <w:r>
              <w:rPr>
                <w:rFonts w:hint="eastAsia" w:cs="宋体" w:asciiTheme="minorEastAsia" w:hAnsiTheme="minorEastAsia" w:eastAsiaTheme="minorEastAsia"/>
                <w:bCs/>
                <w:color w:val="000000"/>
                <w:sz w:val="24"/>
                <w:szCs w:val="24"/>
              </w:rPr>
              <w:t xml:space="preserve">率承诺高</w:t>
            </w:r>
            <w:r>
              <w:rPr>
                <w:rFonts w:hint="eastAsia" w:cs="宋体" w:asciiTheme="minorEastAsia" w:hAnsiTheme="minorEastAsia" w:eastAsiaTheme="minorEastAsia"/>
                <w:bCs/>
                <w:color w:val="000000"/>
                <w:sz w:val="24"/>
                <w:szCs w:val="24"/>
              </w:rPr>
              <w:t xml:space="preserve">，得5分。</w:t>
            </w:r>
            <w:r/>
          </w:p>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2、技术培训保障方案内容详实、考虑较全，培训计划具体，培训人员齐全，培训</w:t>
            </w:r>
            <w:r>
              <w:rPr>
                <w:rFonts w:hint="eastAsia" w:cs="宋体" w:asciiTheme="minorEastAsia" w:hAnsiTheme="minorEastAsia" w:eastAsiaTheme="minorEastAsia"/>
                <w:bCs/>
                <w:color w:val="000000"/>
                <w:sz w:val="24"/>
                <w:szCs w:val="24"/>
              </w:rPr>
              <w:t xml:space="preserve">率承诺</w:t>
            </w:r>
            <w:r>
              <w:rPr>
                <w:rFonts w:hint="eastAsia" w:cs="宋体" w:asciiTheme="minorEastAsia" w:hAnsiTheme="minorEastAsia" w:eastAsiaTheme="minorEastAsia"/>
                <w:bCs/>
                <w:color w:val="000000"/>
                <w:sz w:val="24"/>
                <w:szCs w:val="24"/>
              </w:rPr>
              <w:t xml:space="preserve">较高，得3分。</w:t>
            </w:r>
            <w:r/>
          </w:p>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3、技术培训保障方案表述简单，培训计划简单、培训人员较少，培训</w:t>
            </w:r>
            <w:r>
              <w:rPr>
                <w:rFonts w:hint="eastAsia" w:cs="宋体" w:asciiTheme="minorEastAsia" w:hAnsiTheme="minorEastAsia" w:eastAsiaTheme="minorEastAsia"/>
                <w:bCs/>
                <w:color w:val="000000"/>
                <w:sz w:val="24"/>
                <w:szCs w:val="24"/>
              </w:rPr>
              <w:t xml:space="preserve">率承诺</w:t>
            </w:r>
            <w:r>
              <w:rPr>
                <w:rFonts w:hint="eastAsia" w:cs="宋体" w:asciiTheme="minorEastAsia" w:hAnsiTheme="minorEastAsia" w:eastAsiaTheme="minorEastAsia"/>
                <w:bCs/>
                <w:color w:val="000000"/>
                <w:sz w:val="24"/>
                <w:szCs w:val="24"/>
              </w:rPr>
              <w:t xml:space="preserve">一般，得1分。</w:t>
            </w:r>
            <w:r/>
          </w:p>
          <w:p>
            <w:pP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4、未提供方案或方案无可行性不得分。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5</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售后服务</w:t>
            </w:r>
            <w:r>
              <w:rPr>
                <w:rFonts w:hint="eastAsia" w:cs="宋体" w:asciiTheme="minorEastAsia" w:hAnsiTheme="minorEastAsia" w:eastAsiaTheme="minorEastAsia"/>
                <w:bCs/>
                <w:color w:val="000000"/>
                <w:sz w:val="24"/>
                <w:szCs w:val="24"/>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售后服务实施响应：根据投标人质保期内售后服务</w:t>
            </w:r>
            <w:r>
              <w:rPr>
                <w:rFonts w:hint="eastAsia" w:cs="宋体" w:asciiTheme="minorEastAsia" w:hAnsiTheme="minorEastAsia" w:eastAsiaTheme="minorEastAsia"/>
                <w:bCs/>
                <w:color w:val="000000"/>
                <w:sz w:val="24"/>
                <w:szCs w:val="24"/>
              </w:rPr>
              <w:t xml:space="preserve">（响应时间，回访巡检方案、故障解决措施、技术人员保障、备品配件价格等）、本地化服务方案（江苏省内各服务网点、维修网点设置情况以及技术人员安排情况）等服务内容</w:t>
            </w:r>
            <w:r/>
          </w:p>
          <w:p>
            <w:pPr>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1）售后方案内容详实、科学、合理，考虑周全，对产品质量管控措施要求全面到位，相关服务承诺内容详实，人员配备齐全，分工明确、岗位设置科学合理，人员配备齐全、设备配备齐全、先进者得5分；</w:t>
            </w:r>
            <w:r/>
          </w:p>
          <w:p>
            <w:pPr>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2）售后方案内容详实、考虑较全，对产品质量管控措施要求到位，相关服务承诺内容具体，人员配备齐全、设备配备齐全者得3分；</w:t>
            </w:r>
            <w:r/>
          </w:p>
          <w:p>
            <w:pPr>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3）技术培训保障方案表述简单，培训计划简单、培训人员较少，培训</w:t>
            </w:r>
            <w:r>
              <w:rPr>
                <w:rFonts w:hint="eastAsia" w:cs="宋体" w:asciiTheme="minorEastAsia" w:hAnsiTheme="minorEastAsia" w:eastAsiaTheme="minorEastAsia"/>
                <w:bCs/>
                <w:color w:val="000000"/>
                <w:sz w:val="24"/>
                <w:szCs w:val="24"/>
              </w:rPr>
              <w:t xml:space="preserve">率承诺</w:t>
            </w:r>
            <w:r>
              <w:rPr>
                <w:rFonts w:hint="eastAsia" w:cs="宋体" w:asciiTheme="minorEastAsia" w:hAnsiTheme="minorEastAsia" w:eastAsiaTheme="minorEastAsia"/>
                <w:bCs/>
                <w:color w:val="000000"/>
                <w:sz w:val="24"/>
                <w:szCs w:val="24"/>
              </w:rPr>
              <w:t xml:space="preserve">一般者得1分；</w:t>
            </w:r>
            <w:r/>
          </w:p>
          <w:p>
            <w:pPr>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5</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pStyle w:val="821"/>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投标人提供的售后服务</w:t>
            </w:r>
            <w:r>
              <w:rPr>
                <w:rFonts w:hint="eastAsia" w:cs="宋体" w:asciiTheme="minorEastAsia" w:hAnsiTheme="minorEastAsia" w:eastAsiaTheme="minorEastAsia"/>
                <w:bCs/>
                <w:color w:val="000000"/>
                <w:sz w:val="24"/>
                <w:szCs w:val="24"/>
              </w:rPr>
              <w:t xml:space="preserve">承诺书需响应</w:t>
            </w:r>
            <w:r>
              <w:rPr>
                <w:rFonts w:hint="eastAsia" w:cs="宋体" w:asciiTheme="minorEastAsia" w:hAnsiTheme="minorEastAsia" w:eastAsiaTheme="minorEastAsia"/>
                <w:bCs/>
                <w:color w:val="000000"/>
                <w:sz w:val="24"/>
                <w:szCs w:val="24"/>
              </w:rPr>
              <w:t xml:space="preserve">招标文件要求的免费质保期，满足不得分，超过1年加2.5分，最多得5分。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5</w:t>
            </w:r>
            <w:r/>
          </w:p>
        </w:tc>
      </w:tr>
      <w:tr>
        <w:trPr>
          <w:jc w:val="center"/>
        </w:trPr>
        <w:tc>
          <w:tcPr>
            <w:gridSpan w:val="3"/>
            <w:tcBorders>
              <w:top w:val="none" w:color="000000" w:sz="4" w:space="0"/>
              <w:left w:val="single" w:color="000000" w:sz="8" w:space="0"/>
              <w:bottom w:val="single" w:color="000000" w:sz="8" w:space="0"/>
              <w:right w:val="single" w:color="000000" w:sz="8" w:space="0"/>
            </w:tcBorders>
            <w:tcW w:w="4615" w:type="pct"/>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100</w:t>
            </w:r>
            <w:r/>
          </w:p>
        </w:tc>
      </w:tr>
    </w:tbl>
    <w:p>
      <w:pPr>
        <w:pStyle w:val="850"/>
        <w:ind w:firstLine="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39"/>
      <w:r/>
      <w:r/>
    </w:p>
    <w:p>
      <w:pP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r>
      <w:r/>
    </w:p>
    <w:p>
      <w:pPr>
        <w:jc w:val="cente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hint="eastAsia" w:ascii="宋体" w:hAnsi="宋体" w:eastAsia="宋体" w:cs="仿宋"/>
          <w:bCs/>
          <w:color w:val="000000" w:themeColor="text1"/>
          <w:sz w:val="24"/>
          <w:szCs w:val="24"/>
        </w:rPr>
      </w:pPr>
      <w:r>
        <w:rPr>
          <w:rFonts w:hint="eastAsia" w:ascii="宋体" w:hAnsi="宋体" w:eastAsia="宋体" w:cs="仿宋"/>
          <w:bCs/>
          <w:color w:val="000000" w:themeColor="text1"/>
          <w:sz w:val="24"/>
          <w:szCs w:val="24"/>
        </w:rPr>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hint="eastAsia" w:ascii="宋体" w:hAnsi="宋体" w:eastAsia="宋体" w:cs="宋体"/>
          <w:bCs/>
          <w:position w:val="-10"/>
          <w:sz w:val="24"/>
        </w:rPr>
      </w:pPr>
      <w:r/>
      <w:bookmarkStart w:id="40" w:name="_Toc16938559"/>
      <w:r/>
      <w:bookmarkStart w:id="41" w:name="_Toc20823315"/>
      <w:r/>
      <w:bookmarkStart w:id="42" w:name="_Toc513029243"/>
      <w:r>
        <w:rPr>
          <w:rFonts w:hint="eastAsia" w:ascii="宋体" w:hAnsi="宋体" w:eastAsia="宋体" w:cs="宋体"/>
          <w:bCs/>
          <w:position w:val="-10"/>
          <w:sz w:val="24"/>
        </w:rPr>
        <w:t xml:space="preserve">以下为中标后</w:t>
      </w:r>
      <w:r>
        <w:rPr>
          <w:rFonts w:hint="eastAsia" w:ascii="宋体" w:hAnsi="宋体" w:eastAsia="宋体" w:cs="宋体"/>
          <w:bCs/>
          <w:position w:val="-10"/>
          <w:sz w:val="24"/>
        </w:rPr>
        <w:t xml:space="preserve">签定</w:t>
      </w:r>
      <w:r>
        <w:rPr>
          <w:rFonts w:hint="eastAsia" w:ascii="宋体" w:hAnsi="宋体" w:eastAsia="宋体" w:cs="宋体"/>
          <w:bCs/>
          <w:position w:val="-10"/>
          <w:sz w:val="24"/>
        </w:rPr>
        <w:t xml:space="preserve">本项目合同的通用条款，采购人与中标人应按此签订采购合同。中标人不得提出实质性的修改，关于专用条款将由采购人与中标人结合本项目具体情况协商后签订。</w:t>
      </w:r>
      <w:bookmarkEnd w:id="40"/>
      <w:r/>
      <w:bookmarkEnd w:id="41"/>
      <w:r/>
      <w:bookmarkEnd w:id="42"/>
      <w:r/>
      <w:r/>
    </w:p>
    <w:p>
      <w:pPr>
        <w:jc w:val="center"/>
        <w:spacing w:line="360" w:lineRule="auto"/>
        <w:rPr>
          <w:rFonts w:hint="eastAsia"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甲方：</w:t>
      </w:r>
      <w:r>
        <w:rPr>
          <w:rFonts w:hint="eastAsia" w:ascii="宋体" w:hAnsi="宋体" w:eastAsia="宋体"/>
          <w:bCs/>
          <w:position w:val="-10"/>
          <w:sz w:val="28"/>
          <w:szCs w:val="28"/>
        </w:rPr>
        <w:t xml:space="preserve">泰兴市妇幼保健院</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总计(大写):</w:t>
            </w:r>
            <w:r/>
          </w:p>
        </w:tc>
        <w:tc>
          <w:tcPr>
            <w:gridSpan w:val="2"/>
            <w:tcW w:w="2880"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hint="eastAsia" w:ascii="宋体" w:hAnsi="宋体" w:eastAsia="宋体" w:cs="等线"/>
          <w:bCs/>
          <w:color w:val="000000"/>
          <w:position w:val="-10"/>
          <w:sz w:val="24"/>
        </w:rPr>
      </w:pPr>
      <w:r>
        <w:rPr>
          <w:rFonts w:hint="eastAsia" w:ascii="宋体" w:hAnsi="宋体" w:eastAsia="宋体"/>
          <w:bCs/>
          <w:color w:val="000000"/>
          <w:position w:val="-10"/>
          <w:sz w:val="24"/>
        </w:rPr>
        <w:t xml:space="preserve">1.上述价格含设备制造、包装、仓储、运输、退换货、安装、调试以及提供相应的培训，</w:t>
      </w:r>
      <w:r>
        <w:rPr>
          <w:rFonts w:hint="eastAsia" w:ascii="宋体" w:hAnsi="宋体" w:eastAsia="宋体" w:cs="等线"/>
          <w:bCs/>
          <w:color w:val="000000"/>
          <w:position w:val="-10"/>
          <w:sz w:val="24"/>
        </w:rPr>
        <w:t xml:space="preserve">验收合格之前和</w:t>
      </w:r>
      <w:r>
        <w:rPr>
          <w:rFonts w:hint="eastAsia" w:ascii="宋体" w:hAnsi="宋体" w:eastAsia="宋体" w:cs="等线"/>
          <w:bCs/>
          <w:color w:val="000000"/>
          <w:position w:val="-10"/>
          <w:sz w:val="24"/>
        </w:rPr>
        <w:t xml:space="preserve">质保期</w:t>
      </w:r>
      <w:r>
        <w:rPr>
          <w:rFonts w:hint="eastAsia" w:ascii="宋体" w:hAnsi="宋体" w:eastAsia="宋体" w:cs="等线"/>
          <w:bCs/>
          <w:color w:val="000000"/>
          <w:position w:val="-10"/>
          <w:sz w:val="24"/>
        </w:rPr>
        <w:t xml:space="preserve">内备品、备件发生的所有含税费用，以及包装拆除物的清理费用。</w:t>
      </w:r>
      <w:r/>
    </w:p>
    <w:p>
      <w:pPr>
        <w:ind w:firstLine="480"/>
        <w:spacing w:line="360" w:lineRule="auto"/>
        <w:rPr>
          <w:rFonts w:hint="eastAsia" w:ascii="宋体" w:hAnsi="宋体" w:eastAsia="宋体" w:cs="等线"/>
          <w:bCs/>
          <w:color w:val="000000"/>
          <w:position w:val="-10"/>
          <w:sz w:val="24"/>
        </w:rPr>
      </w:pPr>
      <w:r>
        <w:rPr>
          <w:rFonts w:hint="eastAsia" w:ascii="宋体" w:hAnsi="宋体" w:eastAsia="宋体" w:cs="等线"/>
          <w:bCs/>
          <w:color w:val="000000"/>
          <w:position w:val="-10"/>
          <w:sz w:val="24"/>
        </w:rPr>
        <w:t xml:space="preserve">2.质保期内的维护、保养（含设备所有部件）与技术支持等事项而发生的</w:t>
      </w:r>
      <w:r>
        <w:rPr>
          <w:rFonts w:hint="eastAsia" w:ascii="宋体" w:hAnsi="宋体" w:eastAsia="宋体" w:cs="等线"/>
          <w:bCs/>
          <w:color w:val="000000"/>
          <w:position w:val="-10"/>
          <w:sz w:val="24"/>
        </w:rPr>
        <w:t xml:space="preserve">一切费用，均已包含在合同总价中，由乙方自行承担。</w:t>
      </w:r>
      <w:r/>
    </w:p>
    <w:p>
      <w:pPr>
        <w:ind w:firstLine="480"/>
        <w:spacing w:line="360" w:lineRule="auto"/>
        <w:rPr>
          <w:rFonts w:hint="eastAsia" w:ascii="宋体" w:hAnsi="宋体" w:eastAsia="宋体" w:cs="等线"/>
          <w:bCs/>
          <w:color w:val="000000"/>
          <w:position w:val="-10"/>
          <w:sz w:val="24"/>
        </w:rPr>
      </w:pPr>
      <w:r>
        <w:rPr>
          <w:rFonts w:hint="eastAsia" w:ascii="宋体" w:hAnsi="宋体" w:eastAsia="宋体" w:cs="等线"/>
          <w:bCs/>
          <w:color w:val="000000"/>
          <w:position w:val="-10"/>
          <w:sz w:val="24"/>
        </w:rPr>
        <w:t xml:space="preserve">3.乙方未按本合同约定提交设备所产生的任何费用由乙方负责，甲方对由此所引起的任何价格变动不予承认。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三、付款方式：</w:t>
      </w:r>
      <w:r>
        <w:rPr>
          <w:rFonts w:hint="eastAsia" w:ascii="宋体" w:hAnsi="宋体" w:eastAsia="宋体"/>
          <w:bCs/>
          <w:color w:val="000000"/>
          <w:position w:val="-10"/>
          <w:sz w:val="24"/>
        </w:rPr>
        <w:t xml:space="preserve"> </w:t>
      </w:r>
      <w:r>
        <w:rPr>
          <w:rFonts w:hint="eastAsia" w:ascii="宋体" w:hAnsi="宋体" w:eastAsia="宋体"/>
          <w:bCs/>
          <w:color w:val="000000"/>
          <w:position w:val="-10"/>
          <w:sz w:val="24"/>
        </w:rPr>
        <w:t xml:space="preserve"> </w:t>
      </w:r>
      <w:r/>
    </w:p>
    <w:p>
      <w:pPr>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四、交货期：合同生效之日起 </w:t>
      </w:r>
      <w:r>
        <w:rPr>
          <w:rFonts w:hint="eastAsia"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w:t>
      </w:r>
      <w:r>
        <w:rPr>
          <w:rFonts w:hint="eastAsia" w:ascii="宋体" w:hAnsi="宋体" w:eastAsia="宋体"/>
          <w:bCs/>
          <w:color w:val="000000"/>
          <w:position w:val="-10"/>
          <w:sz w:val="24"/>
        </w:rPr>
        <w:t xml:space="preserve">院并安装完毕。</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五、交货地点：</w:t>
      </w:r>
      <w:r>
        <w:rPr>
          <w:rFonts w:hint="eastAsia" w:ascii="宋体" w:hAnsi="宋体" w:eastAsia="宋体"/>
          <w:bCs/>
          <w:position w:val="-10"/>
          <w:sz w:val="24"/>
        </w:rPr>
        <w:t xml:space="preserve">泰兴市妇幼保健院</w:t>
      </w:r>
      <w:r>
        <w:rPr>
          <w:rFonts w:hint="eastAsia" w:ascii="宋体" w:hAnsi="宋体" w:eastAsia="宋体"/>
          <w:bCs/>
          <w:position w:val="-10"/>
          <w:sz w:val="24"/>
        </w:rPr>
        <w:t xml:space="preserve">指定地点。</w:t>
      </w:r>
      <w:r/>
    </w:p>
    <w:p>
      <w:pPr>
        <w:spacing w:line="360" w:lineRule="auto"/>
        <w:rPr>
          <w:rFonts w:hint="eastAsia" w:ascii="宋体" w:hAnsi="宋体" w:eastAsia="宋体"/>
          <w:bCs/>
          <w:color w:val="ff0000"/>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年(全保)，所有维修配件均为原厂全新合格产品；质保期从设备安装调试验收合格并完成培训之日算起，保修期外乙方对</w:t>
      </w:r>
      <w:r>
        <w:rPr>
          <w:rFonts w:hint="eastAsia" w:ascii="宋体" w:hAnsi="宋体" w:eastAsia="宋体"/>
          <w:bCs/>
          <w:position w:val="-10"/>
          <w:sz w:val="24"/>
        </w:rPr>
        <w:t xml:space="preserve">本设备</w:t>
      </w:r>
      <w:r>
        <w:rPr>
          <w:rFonts w:hint="eastAsia" w:ascii="宋体" w:hAnsi="宋体" w:eastAsia="宋体"/>
          <w:bCs/>
          <w:position w:val="-10"/>
          <w:sz w:val="24"/>
        </w:rPr>
        <w:t xml:space="preserve">终身负责维修。</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1．特别提醒条款：a、所提供医疗器械产品注册证必须真实有效；b、所提供设备的投标文件、资料以及设备上的中文品名和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bCs/>
          <w:color w:val="0000ff"/>
          <w:position w:val="-10"/>
          <w:sz w:val="24"/>
        </w:rPr>
      </w:pPr>
      <w:r>
        <w:rPr>
          <w:rFonts w:hint="eastAsia" w:ascii="宋体" w:hAnsi="宋体" w:eastAsia="宋体"/>
          <w:bCs/>
          <w:color w:val="000000"/>
          <w:position w:val="-10"/>
          <w:sz w:val="24"/>
        </w:rPr>
        <w:t xml:space="preserve">2．</w:t>
      </w:r>
      <w:r>
        <w:rPr>
          <w:rFonts w:hint="eastAsia" w:ascii="宋体" w:hAnsi="宋体" w:eastAsia="宋体"/>
          <w:bCs/>
          <w:position w:val="-10"/>
          <w:sz w:val="24"/>
        </w:rPr>
        <w:t xml:space="preserve">乙方保证向甲方提供设备满足中国国家标准或相关行业标准。根据国家规定，如需要提供计量检定证书、3C认证证书和标记的设备及有关配置，必须提供上述证书和标记。</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3．乙</w:t>
      </w:r>
      <w:r>
        <w:rPr>
          <w:rFonts w:hint="eastAsia" w:ascii="宋体" w:hAnsi="宋体" w:eastAsia="宋体"/>
          <w:bCs/>
          <w:color w:val="000000"/>
          <w:position w:val="-10"/>
          <w:sz w:val="24"/>
        </w:rPr>
        <w:t xml:space="preserve">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10年正常运行所需的备品备件，否则造成的逾期交货等一切损失由乙方负全部责任。</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4．</w:t>
      </w:r>
      <w:r>
        <w:rPr>
          <w:rFonts w:hint="eastAsia" w:ascii="宋体" w:hAnsi="宋体" w:eastAsia="宋体"/>
          <w:bCs/>
          <w:color w:val="000000"/>
          <w:position w:val="-10"/>
          <w:sz w:val="24"/>
        </w:rPr>
        <w:t xml:space="preserve">乙方应保证其提供的货物在正确安装、正常使用和保养条件下，在其使用寿命内具有良好的性能。乙方所提供设备如验收不合格，根据甲方要求，乙方必须无条件换货或退货，货物验收后，在质量保证期内，乙方应对由于设计、工艺或材料的缺陷所发生的任何不足或故障负责，由此引起的一切损失由乙方承担。</w:t>
      </w:r>
      <w:r/>
    </w:p>
    <w:p>
      <w:pPr>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八、</w:t>
      </w:r>
      <w:r>
        <w:rPr>
          <w:rFonts w:hint="eastAsia" w:ascii="宋体" w:hAnsi="宋体" w:eastAsia="宋体"/>
          <w:bCs/>
          <w:color w:val="000000"/>
          <w:position w:val="-10"/>
          <w:sz w:val="24"/>
        </w:rPr>
        <w:t xml:space="preserve">设备包装、到货、安装和验收要求：</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1</w:t>
      </w:r>
      <w:r>
        <w:rPr>
          <w:rFonts w:hint="eastAsia" w:ascii="宋体" w:hAnsi="宋体" w:eastAsia="宋体"/>
          <w:bCs/>
          <w:color w:val="0000ff"/>
          <w:position w:val="-10"/>
          <w:sz w:val="24"/>
        </w:rPr>
        <w:t xml:space="preserve">.</w:t>
      </w:r>
      <w:r>
        <w:rPr>
          <w:rFonts w:hint="eastAsia" w:ascii="宋体" w:hAnsi="宋体" w:eastAsia="宋体"/>
          <w:bCs/>
          <w:color w:val="000000"/>
          <w:position w:val="-10"/>
          <w:sz w:val="24"/>
        </w:rPr>
        <w:t xml:space="preserve">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2.</w:t>
      </w:r>
      <w:r>
        <w:rPr>
          <w:rFonts w:hint="eastAsia" w:ascii="宋体" w:hAnsi="宋体" w:eastAsia="宋体"/>
          <w:bCs/>
          <w:color w:val="000000"/>
          <w:position w:val="-10"/>
          <w:sz w:val="24"/>
        </w:rPr>
        <w:t xml:space="preserve">乙方交付的货物应当完全符合本合同或者招投标文件所规定的货物、数量和规格要求，按照本合同或合同后附招标文件约定的时间、地点交货。乙方不得少交或多交货物。乙方提供的货物不符合</w:t>
      </w:r>
      <w:r>
        <w:rPr>
          <w:rFonts w:hint="eastAsia" w:ascii="宋体" w:hAnsi="宋体" w:eastAsia="宋体"/>
          <w:bCs/>
          <w:color w:val="000000"/>
          <w:position w:val="-10"/>
          <w:sz w:val="24"/>
        </w:rPr>
        <w:t xml:space="preserve">后附招投标</w:t>
      </w:r>
      <w:r>
        <w:rPr>
          <w:rFonts w:hint="eastAsia" w:ascii="宋体" w:hAnsi="宋体" w:eastAsia="宋体"/>
          <w:bCs/>
          <w:color w:val="000000"/>
          <w:position w:val="-10"/>
          <w:sz w:val="24"/>
        </w:rPr>
        <w:t xml:space="preserve">文件或本合同规定的，甲方有权拒收货物，由此引起的风险，由乙方承担。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3.货物的到货验收包括：品牌、型号、规格、数量、外观质量及货物包装是否完好。货物和系统调试验收的标准：按行业通行标准、厂方出厂标准和乙方投标文件的承诺。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5.设备安装、调试合格后交甲方验收，之前所有事宜由乙方承担</w:t>
      </w:r>
      <w:r>
        <w:rPr>
          <w:rFonts w:hint="eastAsia" w:ascii="宋体" w:hAnsi="宋体" w:eastAsia="宋体"/>
          <w:bCs/>
          <w:color w:val="0b5fd1"/>
          <w:position w:val="-10"/>
          <w:sz w:val="24"/>
        </w:rPr>
        <w:t xml:space="preserve">。</w:t>
      </w:r>
      <w:r>
        <w:rPr>
          <w:rFonts w:hint="eastAsia" w:ascii="宋体" w:hAnsi="宋体" w:eastAsia="宋体"/>
          <w:bCs/>
          <w:position w:val="-10"/>
          <w:sz w:val="24"/>
        </w:rPr>
        <w:t xml:space="preserve">设备安装时，乙方必须事先与甲方设备科联</w:t>
      </w:r>
      <w:r>
        <w:rPr>
          <w:rFonts w:hint="eastAsia" w:ascii="宋体" w:hAnsi="宋体" w:eastAsia="宋体"/>
          <w:bCs/>
          <w:color w:val="000000"/>
          <w:position w:val="-10"/>
          <w:sz w:val="24"/>
        </w:rPr>
        <w:t xml:space="preserve">系，设备到达甲方医院时，乙方代表必须同时到达，由乙方负责卸货并搬运至甲方指定的地点，双方需一起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6.乙方提供的设备必须能免费与我院现有的信息系统连接</w:t>
      </w:r>
      <w:r>
        <w:rPr>
          <w:rFonts w:hint="eastAsia" w:ascii="宋体" w:hAnsi="宋体" w:eastAsia="宋体"/>
          <w:bCs/>
          <w:color w:val="000000"/>
          <w:position w:val="-10"/>
          <w:sz w:val="24"/>
        </w:rPr>
        <w:t xml:space="preserve">，若该设备涉及网络问题，甲方只负责提供一个网络接口，设备内部的局域网建设由乙方负责提供。</w:t>
      </w:r>
      <w:r>
        <w:rPr>
          <w:rFonts w:hint="eastAsia" w:ascii="宋体" w:hAnsi="宋体" w:eastAsia="宋体"/>
          <w:bCs/>
          <w:position w:val="-10"/>
          <w:sz w:val="24"/>
        </w:rPr>
        <w:t xml:space="preserve">如设备设有维修软件密码，乙方应保证无条件地为甲方永久免费打开。</w:t>
      </w:r>
      <w:r>
        <w:rPr>
          <w:rFonts w:hint="eastAsia" w:ascii="宋体" w:hAnsi="宋体" w:eastAsia="宋体"/>
          <w:bCs/>
          <w:color w:val="000000"/>
          <w:position w:val="-10"/>
          <w:sz w:val="24"/>
        </w:rPr>
        <w:t xml:space="preserve">如设备软件升级，乙方负责免费软件升级，保证软件为在国内已取得注册证认证的最新、最高版本。</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7.设备安装、调试结束后，甲方对设备试用后进行验收（时间由甲、乙双</w:t>
      </w:r>
      <w:r>
        <w:rPr>
          <w:rFonts w:hint="eastAsia" w:ascii="宋体" w:hAnsi="宋体" w:eastAsia="宋体"/>
          <w:bCs/>
          <w:position w:val="-10"/>
          <w:sz w:val="24"/>
        </w:rPr>
        <w:t xml:space="preserve">方商定），乙方免费派工程师到达现场协助验收工作。</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8.工程类项目乙方必须定期向甲方汇报工程进度，涉及隐蔽工程，再对将被下一工序所封闭前，乙方须通知甲方现场进行查勘确认。</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9.如有设备具有远程维修诊断功能，乙方需在签订合同前告知甲方，并按甲方要求签订保密协议及承诺书后，乙方按照甲方要求负责免费为甲方安装，并在保证数据安全的前提下进行远程操作。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1．确保设备保修期内开机率为98%，如设备故障停机率超过2%（一年按365天计算，每年7天），每超过一天，保修期延长两周，</w:t>
      </w:r>
      <w:r>
        <w:rPr>
          <w:rFonts w:hint="eastAsia" w:ascii="宋体" w:hAnsi="宋体" w:eastAsia="宋体"/>
          <w:bCs/>
          <w:color w:val="000000"/>
          <w:position w:val="-10"/>
          <w:sz w:val="24"/>
        </w:rPr>
        <w:t xml:space="preserve">或扣除相应设备尾款。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设备发生故障，乙方在接到甲方报修电话后2小时内予以响应，24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保修期内乙方保证按照使用说明书要求提供上门保养服务，若使用说明书无特殊要求则提供每年2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4．乙方提供免费系统软件升级和全套技术资料（包括详细电路图、操作说明书、维修手册、操作流程卡及光盘），如技术资料不全，甲方有权不支付货款。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5.如乙方提供的设备设有维修软件密码，乙方保证无条件地为甲方免费打开，直至最底层维修模式。</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9"/>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   乙方应保证甲方在使用、接受本合同货物和服务或其任何一部分时不受</w:t>
      </w:r>
      <w:r>
        <w:rPr>
          <w:rFonts w:hint="eastAsia" w:ascii="宋体" w:hAnsi="宋体" w:eastAsia="宋体"/>
          <w:bCs/>
          <w:position w:val="-10"/>
          <w:sz w:val="24"/>
        </w:rPr>
        <w:t xml:space="preserve">第三方提出侵犯其专利权等知识产权的起诉。一旦出现侵权，由乙方负全部责任。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9"/>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1.甲方无正当理由拒收货物、拒付货物款的，由甲方向乙方偿付合同总价的20%违约金。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2.如乙方不能交付货物，视为根本违约，甲方有权解除合同，解除合同的通知自到达乙方时生效。乙方应向甲方支付合同总价20%的违约金。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3.乙方所交付的货物品种、型号、规格、数量不符合合同规定的，甲方有权拒收。甲方拒收的，视为乙方未完成交货义务，且应向甲方支付货款总额20%的违约金。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 如乙方逾期交货，则每日按货款总额0.1%扣除违约金，但该违约金总额不超过合同总金额的30%，违约金可以在每次应付款中直接扣除；如乙方逾期交货达两个月则视为乙方不能交付货物。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在乙方承诺的或国家规定的质量保证期内（取两者中最长的期限），如经乙方两次维修或更换，货物仍不能达到合同约定的质量标准，甲方有权退货，乙方应退回全部货款，同时，乙方应向甲方支付合同总价20%的违约金，并还须赔偿甲方因此遭受的损失。</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6.乙方未按本合同的规定提供伴随服务/售后服务的，应按合同总价款的10%向甲方承担违约责任。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8.乙方对本合同所约定的设备价格负责，如果产生与设备价值、成本相关的任何法律纠纷由乙方承担，甲方不承担任何相关法律责任。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hint="eastAsia" w:ascii="宋体" w:hAnsi="宋体" w:eastAsia="宋体" w:cs="宋体"/>
          <w:bCs/>
          <w:position w:val="-10"/>
          <w:sz w:val="24"/>
        </w:rPr>
      </w:pPr>
      <w:r>
        <w:rPr>
          <w:rFonts w:hint="eastAsia" w:ascii="宋体" w:hAnsi="宋体" w:eastAsia="宋体" w:cs="宋体"/>
          <w:bCs/>
          <w:position w:val="-10"/>
          <w:sz w:val="24"/>
          <w:szCs w:val="24"/>
        </w:rPr>
        <w:t xml:space="preserve">1.因货物的质量问题发生争议的，甲方可以邀请国家认可的质量检测机构</w:t>
      </w:r>
      <w:r>
        <w:rPr>
          <w:rFonts w:hint="eastAsia" w:ascii="宋体" w:hAnsi="宋体" w:eastAsia="宋体" w:cs="宋体"/>
          <w:bCs/>
          <w:position w:val="-10"/>
          <w:sz w:val="24"/>
          <w:szCs w:val="24"/>
        </w:rPr>
        <w:t xml:space="preserve">对货物质量进行鉴定。货物符合标准的，鉴定费由甲方承担；货物不符合质量标准的，鉴定费由乙方承担。</w:t>
      </w:r>
      <w:r/>
    </w:p>
    <w:p>
      <w:pPr>
        <w:ind w:firstLine="480"/>
        <w:spacing w:line="360" w:lineRule="auto"/>
        <w:rPr>
          <w:rFonts w:hint="eastAsia"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0%承担违约责任。</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不负责任。但受不可抗力影响的一方，应尽快地将所发生的事件通知对方，并应在事件发生后15天内将有关机构出具的不可抗力事件的证明寄交对方。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十六、合同签署地点：</w:t>
      </w:r>
      <w:r>
        <w:rPr>
          <w:rFonts w:hint="eastAsia" w:ascii="宋体" w:hAnsi="宋体" w:eastAsia="宋体"/>
          <w:bCs/>
          <w:position w:val="-10"/>
          <w:sz w:val="24"/>
        </w:rPr>
        <w:t xml:space="preserve">泰兴市妇幼保健院</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甲方：</w:t>
      </w:r>
      <w:r>
        <w:rPr>
          <w:rFonts w:hint="eastAsia" w:ascii="宋体" w:hAnsi="宋体" w:eastAsia="宋体"/>
          <w:bCs/>
          <w:position w:val="-10"/>
          <w:sz w:val="24"/>
        </w:rPr>
        <w:t xml:space="preserve">泰兴市妇幼保健院</w:t>
      </w:r>
      <w:r>
        <w:rPr>
          <w:rFonts w:hint="eastAsia" w:ascii="宋体" w:hAnsi="宋体" w:eastAsia="宋体"/>
          <w:bCs/>
          <w:position w:val="-10"/>
          <w:sz w:val="24"/>
        </w:rPr>
        <w:t xml:space="preserve">            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20" w:line="360" w:lineRule="auto"/>
        <w:rPr>
          <w:rFonts w:hint="eastAsia" w:ascii="宋体" w:hAnsi="宋体" w:eastAsia="宋体"/>
          <w:bCs/>
          <w:position w:val="-10"/>
          <w:sz w:val="24"/>
        </w:rPr>
      </w:pPr>
      <w:r>
        <w:rPr>
          <w:rFonts w:hint="eastAsia" w:ascii="宋体" w:hAnsi="宋体" w:eastAsia="宋体"/>
          <w:bCs/>
          <w:position w:val="-10"/>
          <w:sz w:val="24"/>
        </w:rPr>
        <w:t xml:space="preserve">甲方（签章）：                          乙方（签章）：</w:t>
      </w:r>
      <w:r/>
    </w:p>
    <w:p>
      <w:pPr>
        <w:spacing w:before="120" w:line="360" w:lineRule="auto"/>
        <w:rPr>
          <w:rFonts w:hint="eastAsia" w:ascii="宋体" w:hAnsi="宋体" w:eastAsia="宋体"/>
          <w:bCs/>
          <w:position w:val="-10"/>
          <w:sz w:val="24"/>
          <w:u w:val="single"/>
        </w:rPr>
      </w:pPr>
      <w:r>
        <w:rPr>
          <w:rFonts w:hint="eastAsia" w:ascii="宋体" w:hAnsi="宋体" w:eastAsia="宋体"/>
          <w:bCs/>
          <w:position w:val="-10"/>
          <w:sz w:val="24"/>
          <w:u w:val="single"/>
        </w:rPr>
      </w:r>
      <w:r/>
    </w:p>
    <w:p>
      <w:pPr>
        <w:ind w:firstLine="240"/>
        <w:spacing w:line="360" w:lineRule="auto"/>
        <w:rPr>
          <w:rFonts w:hint="eastAsia" w:ascii="宋体" w:hAnsi="宋体" w:eastAsia="宋体" w:cs="宋体"/>
          <w:bCs/>
          <w:sz w:val="21"/>
          <w:szCs w:val="24"/>
        </w:rPr>
      </w:pPr>
      <w:r>
        <w:rPr>
          <w:rFonts w:hint="eastAsia" w:ascii="宋体" w:hAnsi="宋体" w:eastAsia="宋体"/>
          <w:bCs/>
          <w:position w:val="-10"/>
          <w:sz w:val="24"/>
        </w:rPr>
        <w:t xml:space="preserve">年  月   日                             年   月    日</w:t>
      </w:r>
      <w:r/>
    </w:p>
    <w:p>
      <w:pPr>
        <w:rPr>
          <w:rFonts w:hint="eastAsia" w:ascii="宋体" w:hAnsi="宋体" w:eastAsia="宋体" w:cs="仿宋"/>
          <w:sz w:val="21"/>
          <w:szCs w:val="21"/>
        </w:rPr>
      </w:pPr>
      <w:r>
        <w:rPr>
          <w:rFonts w:hint="eastAsia" w:ascii="宋体" w:hAnsi="宋体" w:eastAsia="宋体" w:cs="仿宋"/>
          <w:sz w:val="21"/>
          <w:szCs w:val="21"/>
        </w:rPr>
      </w:r>
      <w:r/>
    </w:p>
    <w:p>
      <w:pPr>
        <w:pStyle w:val="850"/>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50"/>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3" w:name="_Hlt26955039"/>
      <w:r/>
      <w:bookmarkStart w:id="44" w:name="_Hlt26671244"/>
      <w:r/>
      <w:bookmarkStart w:id="45" w:name="_Toc49090576"/>
      <w:r/>
      <w:bookmarkStart w:id="46" w:name="_Toc26554094"/>
      <w:r/>
      <w:bookmarkStart w:id="47" w:name="_Toc120614282"/>
      <w:r/>
      <w:bookmarkEnd w:id="43"/>
      <w:r/>
      <w:bookmarkEnd w:id="44"/>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1"/>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imes New Roman"/>
          <w:sz w:val="24"/>
          <w:szCs w:val="24"/>
        </w:rPr>
      </w:pPr>
      <w:r/>
      <w:bookmarkStart w:id="48" w:name="_Toc23838"/>
      <w:r/>
      <w:r/>
    </w:p>
    <w:p>
      <w:pPr>
        <w:jc w:val="left"/>
        <w:widowControl/>
        <w:rPr>
          <w:rFonts w:eastAsia="Times New Roman"/>
          <w:sz w:val="24"/>
          <w:szCs w:val="24"/>
        </w:rPr>
      </w:pPr>
      <w:r>
        <w:rPr>
          <w:rFonts w:eastAsia="Times New Roman"/>
          <w:sz w:val="24"/>
          <w:szCs w:val="24"/>
        </w:rPr>
      </w:r>
      <w:r/>
    </w:p>
    <w:p>
      <w:pPr>
        <w:jc w:val="left"/>
        <w:widowControl/>
        <w:rPr>
          <w:rFonts w:eastAsia="Times New Roman"/>
          <w:sz w:val="24"/>
          <w:szCs w:val="24"/>
        </w:rPr>
      </w:pPr>
      <w:r>
        <w:rPr>
          <w:rFonts w:eastAsia="Times New Roman"/>
          <w:sz w:val="24"/>
          <w:szCs w:val="24"/>
        </w:rPr>
      </w:r>
      <w:r/>
    </w:p>
    <w:p>
      <w:pPr>
        <w:jc w:val="left"/>
        <w:widowControl/>
        <w:rPr>
          <w:rFonts w:eastAsia="Times New Roman"/>
          <w:sz w:val="24"/>
          <w:szCs w:val="24"/>
        </w:rPr>
      </w:pPr>
      <w:r>
        <w:rPr>
          <w:rFonts w:eastAsia="Times New Roman"/>
          <w:sz w:val="24"/>
          <w:szCs w:val="24"/>
        </w:rPr>
        <w:br w:type="page" w:clear="all"/>
      </w:r>
      <w:bookmarkEnd w:id="48"/>
      <w:r/>
      <w:r/>
    </w:p>
    <w:p>
      <w:pPr>
        <w:rPr>
          <w:rFonts w:hint="eastAsia" w:ascii="宋体" w:hAnsi="宋体" w:eastAsia="宋体"/>
          <w:b/>
          <w:sz w:val="32"/>
          <w:szCs w:val="32"/>
        </w:rPr>
      </w:pPr>
      <w:r>
        <w:rPr>
          <w:rFonts w:hint="eastAsia" w:ascii="宋体" w:hAnsi="宋体" w:eastAsia="宋体"/>
          <w:b/>
          <w:sz w:val="32"/>
          <w:szCs w:val="32"/>
        </w:rPr>
        <w:t xml:space="preserve">一、</w:t>
      </w:r>
      <w:bookmarkStart w:id="49" w:name="_Toc120614284"/>
      <w:r/>
      <w:bookmarkEnd w:id="45"/>
      <w:r/>
      <w:bookmarkEnd w:id="46"/>
      <w:r/>
      <w:bookmarkEnd w:id="47"/>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宋体" w:hAnsi="宋体" w:eastAsia="宋体"/>
        </w:rPr>
      </w:pPr>
      <w:r>
        <w:rPr>
          <w:rFonts w:hint="eastAsia" w:ascii="宋体" w:hAnsi="宋体" w:eastAsia="宋体"/>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0" w:name="_Hlt26955070"/>
      <w:r/>
      <w:bookmarkStart w:id="51" w:name="_格式3__银行出具的资信证明"/>
      <w:r/>
      <w:bookmarkStart w:id="52" w:name="_Hlt26671380"/>
      <w:r/>
      <w:bookmarkEnd w:id="50"/>
      <w:r/>
      <w:bookmarkEnd w:id="51"/>
      <w:r/>
      <w:bookmarkEnd w:id="52"/>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821"/>
      </w:pPr>
      <w:r/>
      <w:r/>
    </w:p>
    <w:p>
      <w:pPr>
        <w:pStyle w:val="821"/>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Theme="minorEastAsia" w:hAnsiTheme="minorEastAsia" w:eastAsiaTheme="minorEastAsia"/>
        </w:rPr>
      </w:pPr>
      <w:r>
        <w:rPr>
          <w:rFonts w:hint="eastAsia" w:asciiTheme="minorEastAsia" w:hAnsiTheme="minorEastAsia" w:eastAsiaTheme="minorEastAsia"/>
        </w:rPr>
      </w:r>
      <w:r/>
    </w:p>
    <w:p>
      <w:pPr>
        <w:pStyle w:val="821"/>
        <w:rPr>
          <w:rFonts w:hint="eastAsia" w:ascii="宋体" w:hAnsi="宋体" w:eastAsia="宋体"/>
        </w:rPr>
      </w:pPr>
      <w:r>
        <w:rPr>
          <w:rFonts w:hint="eastAsia" w:ascii="宋体" w:hAnsi="宋体" w:eastAsia="宋体"/>
        </w:rPr>
      </w:r>
      <w:r/>
    </w:p>
    <w:p>
      <w:r/>
      <w:r/>
    </w:p>
    <w:p>
      <w:pPr>
        <w:pStyle w:val="821"/>
      </w:p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2"/>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1"/>
        <w:jc w:val="center"/>
        <w:rPr>
          <w:rFonts w:hint="eastAsia" w:ascii="宋体" w:hAnsi="宋体"/>
          <w:b/>
          <w:sz w:val="36"/>
          <w:szCs w:val="36"/>
        </w:rPr>
      </w:pPr>
      <w:r>
        <w:rPr>
          <w:rFonts w:hint="eastAsia" w:ascii="宋体" w:hAnsi="宋体"/>
          <w:b/>
          <w:sz w:val="36"/>
          <w:szCs w:val="36"/>
        </w:rPr>
        <w:t xml:space="preserve">中小企业声明函（货物）</w:t>
      </w:r>
      <w:r/>
    </w:p>
    <w:p>
      <w:pPr>
        <w:pStyle w:val="1041"/>
        <w:jc w:val="left"/>
        <w:rPr>
          <w:rFonts w:hint="eastAsia" w:ascii="宋体" w:hAnsi="宋体"/>
          <w:b/>
          <w:sz w:val="32"/>
          <w:szCs w:val="32"/>
        </w:rPr>
      </w:pPr>
      <w:r>
        <w:rPr>
          <w:rFonts w:hint="eastAsia" w:ascii="宋体" w:hAnsi="宋体"/>
          <w:b/>
          <w:sz w:val="32"/>
          <w:szCs w:val="32"/>
        </w:rPr>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1"/>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1"/>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1"/>
        <w:ind w:firstLine="480"/>
        <w:jc w:val="left"/>
        <w:spacing w:line="500" w:lineRule="exact"/>
        <w:rPr>
          <w:rFonts w:hint="eastAsia" w:ascii="宋体" w:hAnsi="宋体"/>
          <w:sz w:val="24"/>
          <w:szCs w:val="24"/>
        </w:rPr>
      </w:pPr>
      <w:r>
        <w:rPr>
          <w:rFonts w:ascii="宋体" w:hAnsi="宋体"/>
          <w:sz w:val="24"/>
          <w:szCs w:val="24"/>
        </w:rPr>
        <w:t xml:space="preserve">……</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1"/>
        <w:ind w:firstLine="480"/>
        <w:jc w:val="center"/>
        <w:spacing w:line="500" w:lineRule="exact"/>
        <w:rPr>
          <w:rFonts w:hint="eastAsia" w:ascii="宋体" w:hAnsi="宋体"/>
          <w:sz w:val="24"/>
          <w:szCs w:val="24"/>
        </w:rPr>
      </w:pPr>
      <w:r>
        <w:rPr>
          <w:rFonts w:hint="eastAsia" w:ascii="宋体" w:hAnsi="宋体"/>
          <w:sz w:val="24"/>
          <w:szCs w:val="24"/>
        </w:rPr>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1"/>
        <w:ind w:firstLine="560"/>
        <w:spacing w:line="560" w:lineRule="exact"/>
        <w:rPr>
          <w:rFonts w:hint="eastAsia" w:ascii="宋体" w:hAnsi="宋体"/>
          <w:sz w:val="28"/>
          <w:szCs w:val="28"/>
        </w:rPr>
      </w:pPr>
      <w:r>
        <w:rPr>
          <w:rFonts w:hint="eastAsia" w:ascii="宋体" w:hAnsi="宋体"/>
          <w:sz w:val="28"/>
          <w:szCs w:val="28"/>
        </w:rPr>
      </w:r>
      <w:r/>
    </w:p>
    <w:p>
      <w:pPr>
        <w:pStyle w:val="1041"/>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1"/>
        <w:jc w:val="center"/>
        <w:rPr>
          <w:rFonts w:hint="eastAsia" w:ascii="宋体" w:hAnsi="宋体"/>
          <w:b/>
          <w:sz w:val="36"/>
          <w:szCs w:val="36"/>
        </w:rPr>
      </w:pPr>
      <w:r>
        <w:rPr>
          <w:rFonts w:hint="eastAsia" w:ascii="宋体" w:hAnsi="宋体"/>
          <w:b/>
          <w:sz w:val="36"/>
          <w:szCs w:val="36"/>
        </w:rPr>
      </w:r>
      <w:r/>
    </w:p>
    <w:p>
      <w:pPr>
        <w:pStyle w:val="1041"/>
        <w:rPr>
          <w:rFonts w:hint="eastAsia" w:ascii="宋体" w:hAnsi="宋体"/>
          <w:b/>
          <w:sz w:val="36"/>
          <w:szCs w:val="36"/>
        </w:rPr>
      </w:pPr>
      <w:r>
        <w:rPr>
          <w:rFonts w:hint="eastAsia" w:ascii="宋体" w:hAnsi="宋体"/>
          <w:b/>
          <w:sz w:val="36"/>
          <w:szCs w:val="36"/>
        </w:rPr>
      </w:r>
      <w:r/>
    </w:p>
    <w:p>
      <w:pPr>
        <w:pStyle w:val="1041"/>
        <w:jc w:val="center"/>
        <w:rPr>
          <w:rFonts w:hint="eastAsia" w:ascii="宋体" w:hAnsi="宋体"/>
          <w:b/>
          <w:sz w:val="36"/>
          <w:szCs w:val="36"/>
        </w:rPr>
      </w:pPr>
      <w:r>
        <w:rPr>
          <w:rFonts w:hint="eastAsia" w:ascii="宋体" w:hAnsi="宋体"/>
          <w:b/>
          <w:sz w:val="36"/>
          <w:szCs w:val="36"/>
        </w:rPr>
      </w:r>
      <w:r/>
    </w:p>
    <w:p>
      <w:pPr>
        <w:pStyle w:val="1041"/>
        <w:jc w:val="center"/>
        <w:rPr>
          <w:rFonts w:hint="eastAsia" w:ascii="宋体" w:hAnsi="宋体"/>
          <w:b/>
          <w:sz w:val="36"/>
          <w:szCs w:val="36"/>
        </w:rPr>
      </w:pPr>
      <w:r>
        <w:rPr>
          <w:rFonts w:hint="eastAsia" w:ascii="宋体" w:hAnsi="宋体"/>
          <w:b/>
          <w:sz w:val="36"/>
          <w:szCs w:val="36"/>
        </w:rPr>
      </w:r>
      <w:r/>
    </w:p>
    <w:p>
      <w:pPr>
        <w:pStyle w:val="1041"/>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1"/>
        <w:jc w:val="center"/>
        <w:rPr>
          <w:rFonts w:hint="eastAsia" w:ascii="宋体" w:hAnsi="宋体"/>
          <w:b/>
          <w:sz w:val="36"/>
          <w:szCs w:val="36"/>
        </w:rPr>
      </w:pPr>
      <w:r>
        <w:rPr>
          <w:rFonts w:hint="eastAsia" w:ascii="宋体" w:hAnsi="宋体"/>
          <w:b/>
          <w:sz w:val="36"/>
          <w:szCs w:val="36"/>
        </w:rPr>
      </w:r>
      <w:r/>
    </w:p>
    <w:p>
      <w:pPr>
        <w:pStyle w:val="1041"/>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41"/>
        <w:jc w:val="left"/>
        <w:rPr>
          <w:rFonts w:hint="eastAsia" w:ascii="宋体" w:hAnsi="宋体"/>
          <w:b/>
          <w:sz w:val="32"/>
          <w:szCs w:val="32"/>
        </w:rPr>
      </w:pPr>
      <w:r>
        <w:rPr>
          <w:rFonts w:hint="eastAsia" w:ascii="宋体" w:hAnsi="宋体"/>
          <w:b/>
          <w:sz w:val="32"/>
          <w:szCs w:val="32"/>
        </w:rPr>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1"/>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1"/>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1"/>
        <w:ind w:firstLine="480"/>
        <w:jc w:val="left"/>
        <w:spacing w:line="500" w:lineRule="exact"/>
        <w:rPr>
          <w:rFonts w:hint="eastAsia" w:ascii="宋体" w:hAnsi="宋体"/>
          <w:sz w:val="24"/>
          <w:szCs w:val="24"/>
        </w:rPr>
      </w:pPr>
      <w:r>
        <w:rPr>
          <w:rFonts w:ascii="宋体" w:hAnsi="宋体"/>
          <w:sz w:val="24"/>
          <w:szCs w:val="24"/>
        </w:rPr>
        <w:t xml:space="preserve">……</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1"/>
        <w:ind w:firstLine="480"/>
        <w:jc w:val="center"/>
        <w:spacing w:line="500" w:lineRule="exact"/>
        <w:rPr>
          <w:rFonts w:hint="eastAsia" w:ascii="宋体" w:hAnsi="宋体"/>
          <w:sz w:val="24"/>
          <w:szCs w:val="24"/>
        </w:rPr>
      </w:pPr>
      <w:r>
        <w:rPr>
          <w:rFonts w:hint="eastAsia" w:ascii="宋体" w:hAnsi="宋体"/>
          <w:sz w:val="24"/>
          <w:szCs w:val="24"/>
        </w:rPr>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41"/>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1"/>
        <w:ind w:firstLine="480"/>
        <w:spacing w:line="500" w:lineRule="exact"/>
        <w:rPr>
          <w:rFonts w:hint="eastAsia" w:ascii="宋体" w:hAnsi="宋体"/>
          <w:sz w:val="24"/>
          <w:szCs w:val="24"/>
        </w:rPr>
      </w:pPr>
      <w:r>
        <w:rPr>
          <w:rFonts w:hint="eastAsia" w:ascii="宋体" w:hAnsi="宋体"/>
          <w:sz w:val="24"/>
          <w:szCs w:val="24"/>
        </w:rPr>
      </w:r>
      <w:r/>
    </w:p>
    <w:p>
      <w:pPr>
        <w:pStyle w:val="1041"/>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1"/>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41"/>
        <w:spacing w:before="151" w:after="151" w:line="600" w:lineRule="exact"/>
        <w:rPr>
          <w:rFonts w:hint="eastAsia" w:ascii="宋体" w:hAnsi="宋体"/>
          <w:b/>
          <w:bCs/>
          <w:sz w:val="32"/>
          <w:szCs w:val="32"/>
        </w:rPr>
      </w:pPr>
      <w:r>
        <w:rPr>
          <w:rFonts w:hint="eastAsia" w:ascii="宋体" w:hAnsi="宋体"/>
          <w:b/>
          <w:bCs/>
          <w:sz w:val="32"/>
          <w:szCs w:val="32"/>
        </w:rPr>
      </w:r>
      <w:r/>
    </w:p>
    <w:p>
      <w:pPr>
        <w:pStyle w:val="1041"/>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1"/>
        <w:rPr>
          <w:rFonts w:hint="eastAsia" w:ascii="宋体" w:hAnsi="宋体"/>
          <w:b/>
          <w:sz w:val="36"/>
          <w:szCs w:val="36"/>
        </w:rPr>
      </w:pPr>
      <w:r>
        <w:rPr>
          <w:rFonts w:hint="eastAsia" w:ascii="宋体" w:hAnsi="宋体"/>
          <w:b/>
          <w:sz w:val="36"/>
          <w:szCs w:val="36"/>
        </w:rPr>
      </w:r>
      <w:r/>
    </w:p>
    <w:p>
      <w:pPr>
        <w:pStyle w:val="1043"/>
        <w:jc w:val="center"/>
        <w:spacing w:before="151" w:after="151" w:line="600" w:lineRule="exact"/>
        <w:rPr>
          <w:rFonts w:hint="eastAsia" w:ascii="宋体" w:hAnsi="宋体"/>
          <w:b/>
          <w:bCs/>
          <w:sz w:val="32"/>
          <w:szCs w:val="32"/>
        </w:rPr>
      </w:pPr>
      <w:r>
        <w:rPr>
          <w:rFonts w:hint="eastAsia" w:ascii="宋体" w:hAnsi="宋体"/>
          <w:b/>
          <w:bCs/>
          <w:sz w:val="32"/>
          <w:szCs w:val="32"/>
        </w:rPr>
        <w:t xml:space="preserve">残疾人福利性单位声明函</w:t>
      </w:r>
      <w:r/>
    </w:p>
    <w:p>
      <w:pPr>
        <w:pStyle w:val="1044"/>
        <w:spacing w:line="588" w:lineRule="exact"/>
        <w:rPr>
          <w:rFonts w:hint="eastAsia" w:ascii="宋体" w:hAnsi="宋体"/>
          <w:b/>
          <w:spacing w:val="6"/>
          <w:sz w:val="30"/>
          <w:szCs w:val="30"/>
        </w:rPr>
      </w:pPr>
      <w:r>
        <w:rPr>
          <w:rFonts w:hint="eastAsia" w:ascii="宋体" w:hAnsi="宋体"/>
          <w:b/>
          <w:spacing w:val="6"/>
          <w:sz w:val="30"/>
          <w:szCs w:val="30"/>
        </w:rPr>
      </w:r>
      <w:r/>
    </w:p>
    <w:p>
      <w:pPr>
        <w:pStyle w:val="1043"/>
        <w:ind w:firstLine="480"/>
        <w:spacing w:line="5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43"/>
        <w:ind w:firstLine="480"/>
        <w:spacing w:line="5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5"/>
        <w:ind w:firstLine="3810"/>
        <w:spacing w:line="500" w:lineRule="exact"/>
        <w:rPr>
          <w:rFonts w:hint="eastAsia" w:ascii="宋体" w:hAnsi="宋体"/>
          <w:spacing w:val="6"/>
          <w:sz w:val="24"/>
          <w:szCs w:val="24"/>
        </w:rPr>
      </w:pPr>
      <w:r>
        <w:rPr>
          <w:rFonts w:hint="eastAsia" w:ascii="宋体" w:hAnsi="宋体"/>
          <w:spacing w:val="6"/>
          <w:sz w:val="24"/>
          <w:szCs w:val="24"/>
        </w:rPr>
      </w:r>
      <w:r/>
    </w:p>
    <w:p>
      <w:pPr>
        <w:pStyle w:val="1045"/>
        <w:ind w:firstLine="3629"/>
        <w:jc w:val="left"/>
        <w:spacing w:line="500" w:lineRule="exact"/>
        <w:rPr>
          <w:rFonts w:hint="eastAsia" w:ascii="宋体" w:hAnsi="宋体"/>
          <w:sz w:val="24"/>
        </w:rPr>
      </w:pPr>
      <w:r>
        <w:rPr>
          <w:rFonts w:hint="eastAsia" w:ascii="宋体" w:hAnsi="宋体"/>
          <w:sz w:val="24"/>
        </w:rPr>
      </w:r>
      <w:r/>
    </w:p>
    <w:p>
      <w:pPr>
        <w:pStyle w:val="1045"/>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41"/>
        <w:ind w:firstLine="480"/>
        <w:jc w:val="left"/>
        <w:spacing w:line="500" w:lineRule="exact"/>
        <w:rPr>
          <w:rFonts w:hint="eastAsia" w:ascii="宋体" w:hAnsi="宋体"/>
          <w:sz w:val="24"/>
          <w:szCs w:val="20"/>
        </w:rPr>
      </w:pPr>
      <w:r>
        <w:rPr>
          <w:rFonts w:hint="eastAsia" w:ascii="宋体" w:hAnsi="宋体"/>
          <w:sz w:val="24"/>
          <w:szCs w:val="20"/>
        </w:rPr>
        <w:t xml:space="preserve">日期：  年  月  日</w:t>
      </w:r>
      <w:r/>
    </w:p>
    <w:p>
      <w:pPr>
        <w:pStyle w:val="1044"/>
        <w:ind w:right="1560" w:firstLine="480"/>
        <w:jc w:val="center"/>
        <w:spacing w:line="588" w:lineRule="exact"/>
        <w:tabs>
          <w:tab w:val="left" w:pos="4860" w:leader="none"/>
        </w:tabs>
        <w:rPr>
          <w:rFonts w:hint="eastAsia" w:ascii="宋体" w:hAnsi="宋体" w:cs="Arial"/>
          <w:sz w:val="24"/>
          <w:szCs w:val="24"/>
        </w:rPr>
      </w:pPr>
      <w:r>
        <w:rPr>
          <w:rFonts w:hint="eastAsia" w:ascii="宋体" w:hAnsi="宋体" w:cs="Arial"/>
          <w:sz w:val="24"/>
          <w:szCs w:val="24"/>
        </w:rPr>
      </w:r>
      <w:r/>
    </w:p>
    <w:p>
      <w:pPr>
        <w:pStyle w:val="1046"/>
        <w:ind w:left="357" w:firstLine="0"/>
        <w:spacing w:line="500" w:lineRule="exact"/>
        <w:rPr>
          <w:rFonts w:hint="eastAsia" w:ascii="宋体" w:hAnsi="宋体" w:cs="Arial"/>
          <w:sz w:val="24"/>
          <w:szCs w:val="24"/>
        </w:rPr>
      </w:pPr>
      <w:r>
        <w:rPr>
          <w:rFonts w:hint="eastAsia" w:ascii="宋体" w:hAnsi="宋体" w:cs="Arial"/>
          <w:sz w:val="24"/>
          <w:szCs w:val="24"/>
        </w:rPr>
      </w:r>
      <w:r/>
    </w:p>
    <w:p>
      <w:pPr>
        <w:pStyle w:val="1043"/>
        <w:ind w:firstLine="445"/>
        <w:spacing w:before="151" w:after="151" w:line="240" w:lineRule="atLeast"/>
        <w:rPr>
          <w:rFonts w:hint="eastAsia" w:ascii="宋体" w:hAnsi="宋体"/>
          <w:sz w:val="24"/>
        </w:rPr>
      </w:pPr>
      <w:r>
        <w:rPr>
          <w:rFonts w:hint="eastAsia" w:ascii="宋体" w:hAnsi="宋体"/>
          <w:sz w:val="24"/>
        </w:rPr>
        <w:t xml:space="preserve">注：非残疾人福利性单位不需提供此函。</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w:t>
      </w:r>
      <w:r>
        <w:rPr>
          <w:rFonts w:hint="eastAsia" w:eastAsia="黑体"/>
          <w:b/>
          <w:sz w:val="32"/>
          <w:szCs w:val="32"/>
        </w:rPr>
        <w:t xml:space="preserve">及商务</w:t>
      </w:r>
      <w:r>
        <w:rPr>
          <w:rFonts w:hint="eastAsia" w:eastAsia="黑体"/>
          <w:b/>
          <w:sz w:val="32"/>
          <w:szCs w:val="32"/>
        </w:rPr>
        <w:t xml:space="preserve">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keepLines/>
        <w:spacing w:before="120" w:after="120" w:line="416" w:lineRule="auto"/>
        <w:rPr>
          <w:rFonts w:eastAsia="宋体"/>
          <w:sz w:val="24"/>
          <w:szCs w:val="21"/>
        </w:rPr>
        <w:outlineLvl w:val="1"/>
      </w:pPr>
      <w:r>
        <w:rPr>
          <w:rFonts w:eastAsia="宋体"/>
          <w:sz w:val="24"/>
          <w:szCs w:val="21"/>
        </w:rPr>
        <w:t xml:space="preserve">1.</w:t>
      </w:r>
      <w:r>
        <w:rPr>
          <w:rFonts w:hint="eastAsia" w:eastAsia="宋体"/>
          <w:sz w:val="24"/>
          <w:szCs w:val="21"/>
        </w:rPr>
        <w:t xml:space="preserve">投标人</w:t>
      </w:r>
      <w:r>
        <w:rPr>
          <w:rFonts w:eastAsia="宋体"/>
          <w:sz w:val="24"/>
          <w:szCs w:val="21"/>
        </w:rPr>
        <w:t xml:space="preserve">必须对技术要求和商务要求中的实质性要求（加斜体下划线内容或打</w:t>
      </w:r>
      <w:r>
        <w:rPr>
          <w:rFonts w:eastAsia="宋体"/>
          <w:sz w:val="24"/>
          <w:szCs w:val="21"/>
        </w:rPr>
        <w:t xml:space="preserve">“</w:t>
      </w:r>
      <w:r>
        <w:rPr>
          <w:rFonts w:hint="eastAsia" w:ascii="宋体" w:hAnsi="宋体" w:eastAsia="宋体" w:cs="宋体"/>
          <w:sz w:val="24"/>
          <w:szCs w:val="21"/>
        </w:rPr>
        <w:t xml:space="preserve">★</w:t>
      </w:r>
      <w:r>
        <w:rPr>
          <w:rFonts w:eastAsia="宋体"/>
          <w:sz w:val="24"/>
          <w:szCs w:val="21"/>
        </w:rPr>
        <w:t xml:space="preserve">”</w:t>
      </w:r>
      <w:r>
        <w:rPr>
          <w:rFonts w:eastAsia="宋体"/>
          <w:sz w:val="24"/>
          <w:szCs w:val="21"/>
        </w:rPr>
        <w:t xml:space="preserve">内容）做出明确响应，否则作无效响应处理。</w:t>
      </w:r>
      <w:r/>
    </w:p>
    <w:p>
      <w:pPr>
        <w:spacing w:line="588" w:lineRule="exact"/>
        <w:rPr>
          <w:rFonts w:eastAsia="宋体"/>
          <w:sz w:val="24"/>
          <w:szCs w:val="21"/>
        </w:rPr>
      </w:pPr>
      <w:r>
        <w:rPr>
          <w:rFonts w:eastAsia="宋体"/>
          <w:sz w:val="24"/>
          <w:szCs w:val="21"/>
        </w:rPr>
        <w:t xml:space="preserve">2.</w:t>
      </w:r>
      <w:r>
        <w:rPr>
          <w:rFonts w:eastAsia="宋体"/>
          <w:sz w:val="24"/>
          <w:szCs w:val="21"/>
        </w:rPr>
        <w:t xml:space="preserve">如果采购文件要求提供证明材料，</w:t>
      </w:r>
      <w:r>
        <w:rPr>
          <w:rFonts w:hint="eastAsia" w:eastAsia="宋体"/>
          <w:sz w:val="24"/>
          <w:szCs w:val="21"/>
        </w:rPr>
        <w:t xml:space="preserve">投标人</w:t>
      </w:r>
      <w:r>
        <w:rPr>
          <w:rFonts w:eastAsia="宋体"/>
          <w:sz w:val="24"/>
          <w:szCs w:val="21"/>
        </w:rPr>
        <w:t xml:space="preserve">必须将证明材料列于该表之下。</w:t>
      </w:r>
      <w:r/>
    </w:p>
    <w:p>
      <w:pPr>
        <w:spacing w:line="588" w:lineRule="exact"/>
        <w:rPr>
          <w:rFonts w:eastAsia="宋体"/>
          <w:sz w:val="24"/>
          <w:szCs w:val="21"/>
        </w:rPr>
      </w:pPr>
      <w:r>
        <w:rPr>
          <w:rFonts w:eastAsia="宋体"/>
          <w:sz w:val="24"/>
          <w:szCs w:val="21"/>
        </w:rPr>
        <w:t xml:space="preserve">3.</w:t>
      </w:r>
      <w:r>
        <w:rPr>
          <w:rFonts w:hint="eastAsia" w:eastAsia="宋体"/>
          <w:sz w:val="24"/>
          <w:szCs w:val="21"/>
        </w:rPr>
        <w:t xml:space="preserve">投标人</w:t>
      </w:r>
      <w:r>
        <w:rPr>
          <w:rFonts w:eastAsia="宋体"/>
          <w:sz w:val="24"/>
          <w:szCs w:val="21"/>
        </w:rPr>
        <w:t xml:space="preserve">未对实质性要求作出明确响应的，或未按采购文件要求提供证明材料的，该分包作无效响应处理。</w:t>
      </w:r>
      <w:r/>
    </w:p>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821"/>
      </w:pPr>
      <w:r/>
      <w:r/>
    </w:p>
    <w:p>
      <w:r/>
      <w:r/>
    </w:p>
    <w:p>
      <w:pPr>
        <w:pStyle w:val="821"/>
      </w:pPr>
      <w:r/>
      <w:r/>
    </w:p>
    <w:p>
      <w:r/>
      <w:r/>
    </w:p>
    <w:p>
      <w:pPr>
        <w:pStyle w:val="821"/>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1"/>
        <w:gridCol w:w="3040"/>
        <w:gridCol w:w="2620"/>
        <w:gridCol w:w="1250"/>
        <w:gridCol w:w="1105"/>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21"/>
      </w:pPr>
      <w:r/>
      <w:r/>
    </w:p>
    <w:p>
      <w:r/>
      <w:r/>
    </w:p>
    <w:p>
      <w:pPr>
        <w:pStyle w:val="821"/>
      </w:pPr>
      <w:r/>
      <w:r/>
    </w:p>
    <w:p>
      <w:r/>
      <w:r/>
    </w:p>
    <w:p>
      <w:pPr>
        <w:pStyle w:val="821"/>
      </w:pPr>
      <w:r/>
      <w:r/>
    </w:p>
    <w:p>
      <w:r/>
      <w:r/>
    </w:p>
    <w:p>
      <w:pPr>
        <w:pStyle w:val="821"/>
      </w:pPr>
      <w:r/>
      <w:r/>
    </w:p>
    <w:p>
      <w:r/>
      <w:r/>
    </w:p>
    <w:p>
      <w:pPr>
        <w:pStyle w:val="821"/>
      </w:pPr>
      <w:r/>
      <w:r/>
    </w:p>
    <w:p>
      <w:r/>
      <w:r/>
    </w:p>
    <w:p>
      <w:pPr>
        <w:pStyle w:val="821"/>
      </w:pPr>
      <w:r/>
      <w:r/>
    </w:p>
    <w:p>
      <w:r/>
      <w:r/>
    </w:p>
    <w:p>
      <w:pPr>
        <w:pStyle w:val="821"/>
      </w:pPr>
      <w:r/>
      <w:r/>
    </w:p>
    <w:p>
      <w:r/>
      <w:r/>
    </w:p>
    <w:p>
      <w:pPr>
        <w:pStyle w:val="821"/>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3" w:name="_Toc11176"/>
      <w:r>
        <w:rPr>
          <w:rFonts w:hint="eastAsia" w:eastAsia="黑体" w:cs="黑体"/>
          <w:b/>
          <w:sz w:val="32"/>
          <w:szCs w:val="24"/>
        </w:rPr>
        <w:t xml:space="preserve">十、</w:t>
      </w:r>
      <w:bookmarkEnd w:id="53"/>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widowControl/>
        <w:rPr>
          <w:rFonts w:eastAsia="黑体" w:cs="黑体"/>
          <w:b/>
          <w:sz w:val="32"/>
          <w:szCs w:val="24"/>
        </w:rPr>
        <w:outlineLvl w:val="1"/>
      </w:pPr>
      <w:r>
        <w:rPr>
          <w:rFonts w:eastAsia="黑体" w:cs="黑体"/>
          <w:b/>
          <w:sz w:val="32"/>
          <w:szCs w:val="24"/>
        </w:rPr>
        <w:br w:type="page" w:clear="all"/>
      </w:r>
      <w:bookmarkStart w:id="54" w:name="_Toc28140"/>
      <w:r>
        <w:rPr>
          <w:rFonts w:hint="eastAsia" w:eastAsia="黑体" w:cs="黑体"/>
          <w:b/>
          <w:sz w:val="32"/>
          <w:szCs w:val="24"/>
        </w:rPr>
        <w:t xml:space="preserve">十一</w:t>
      </w:r>
      <w:r>
        <w:rPr>
          <w:rFonts w:eastAsia="黑体" w:cs="黑体"/>
          <w:b/>
          <w:sz w:val="32"/>
          <w:szCs w:val="24"/>
        </w:rPr>
        <w:t xml:space="preserve">、投标所需其他材料</w:t>
      </w:r>
      <w:bookmarkEnd w:id="54"/>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49"/>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5" w:name="_Hlt26955066"/>
      <w:r/>
      <w:bookmarkStart w:id="56" w:name="_Hlt26609389"/>
      <w:r/>
      <w:bookmarkStart w:id="57" w:name="_Hlt26671374"/>
      <w:r/>
      <w:bookmarkStart w:id="58" w:name="_Toc462564146"/>
      <w:r/>
      <w:bookmarkEnd w:id="55"/>
      <w:r/>
      <w:bookmarkEnd w:id="56"/>
      <w:r/>
      <w:bookmarkEnd w:id="57"/>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59" w:name="_格式2__法定代表人授权书"/>
      <w:r/>
      <w:bookmarkEnd w:id="58"/>
      <w:r/>
      <w:bookmarkEnd w:id="59"/>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pPr>
        <w:pStyle w:val="1013"/>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r/>
      <w:r/>
    </w:p>
    <w:p>
      <w:r/>
      <w:r/>
    </w:p>
    <w:p>
      <w:pPr>
        <w:pStyle w:val="1013"/>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4"/>
          <w:jc w:val="center"/>
        </w:pPr>
        <w:r>
          <w:fldChar w:fldCharType="begin"/>
        </w:r>
        <w:r>
          <w:instrText xml:space="preserve">PAGE   \* MERGEFORMAT</w:instrText>
        </w:r>
        <w:r>
          <w:fldChar w:fldCharType="separate"/>
        </w:r>
        <w:r>
          <w:rPr>
            <w:lang w:val="zh-CN"/>
          </w:rPr>
          <w:t xml:space="preserve">30</w:t>
        </w:r>
        <w:r>
          <w:rPr>
            <w:lang w:val="zh-CN"/>
          </w:rPr>
          <w:fldChar w:fldCharType="end"/>
        </w:r>
        <w:r/>
      </w:p>
    </w:sdtContent>
  </w:sdt>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866" w:hanging="360"/>
      </w:pPr>
      <w:rPr>
        <w:rFonts w:hint="default" w:ascii="Courier New" w:hAnsi="Courier New" w:eastAsia="Courier New" w:cs="Courier New"/>
      </w:rPr>
    </w:lvl>
    <w:lvl w:ilvl="2">
      <w:start w:val="1"/>
      <w:numFmt w:val="bullet"/>
      <w:isLgl w:val="false"/>
      <w:suff w:val="tab"/>
      <w:lvlText w:val="§"/>
      <w:lvlJc w:val="left"/>
      <w:pPr>
        <w:ind w:left="2586" w:hanging="360"/>
      </w:pPr>
      <w:rPr>
        <w:rFonts w:hint="default" w:ascii="Wingdings" w:hAnsi="Wingdings" w:eastAsia="Wingdings" w:cs="Wingdings"/>
      </w:rPr>
    </w:lvl>
    <w:lvl w:ilvl="3">
      <w:start w:val="1"/>
      <w:numFmt w:val="bullet"/>
      <w:isLgl w:val="false"/>
      <w:suff w:val="tab"/>
      <w:lvlText w:val="·"/>
      <w:lvlJc w:val="left"/>
      <w:pPr>
        <w:ind w:left="3306" w:hanging="360"/>
      </w:pPr>
      <w:rPr>
        <w:rFonts w:hint="default" w:ascii="Symbol" w:hAnsi="Symbol" w:eastAsia="Symbol" w:cs="Symbol"/>
      </w:rPr>
    </w:lvl>
    <w:lvl w:ilvl="4">
      <w:start w:val="1"/>
      <w:numFmt w:val="bullet"/>
      <w:isLgl w:val="false"/>
      <w:suff w:val="tab"/>
      <w:lvlText w:val="o"/>
      <w:lvlJc w:val="left"/>
      <w:pPr>
        <w:ind w:left="4026" w:hanging="360"/>
      </w:pPr>
      <w:rPr>
        <w:rFonts w:hint="default" w:ascii="Courier New" w:hAnsi="Courier New" w:eastAsia="Courier New" w:cs="Courier New"/>
      </w:rPr>
    </w:lvl>
    <w:lvl w:ilvl="5">
      <w:start w:val="1"/>
      <w:numFmt w:val="bullet"/>
      <w:isLgl w:val="false"/>
      <w:suff w:val="tab"/>
      <w:lvlText w:val="§"/>
      <w:lvlJc w:val="left"/>
      <w:pPr>
        <w:ind w:left="4746" w:hanging="360"/>
      </w:pPr>
      <w:rPr>
        <w:rFonts w:hint="default" w:ascii="Wingdings" w:hAnsi="Wingdings" w:eastAsia="Wingdings" w:cs="Wingdings"/>
      </w:rPr>
    </w:lvl>
    <w:lvl w:ilvl="6">
      <w:start w:val="1"/>
      <w:numFmt w:val="bullet"/>
      <w:isLgl w:val="false"/>
      <w:suff w:val="tab"/>
      <w:lvlText w:val="·"/>
      <w:lvlJc w:val="left"/>
      <w:pPr>
        <w:ind w:left="5466" w:hanging="360"/>
      </w:pPr>
      <w:rPr>
        <w:rFonts w:hint="default" w:ascii="Symbol" w:hAnsi="Symbol" w:eastAsia="Symbol" w:cs="Symbol"/>
      </w:rPr>
    </w:lvl>
    <w:lvl w:ilvl="7">
      <w:start w:val="1"/>
      <w:numFmt w:val="bullet"/>
      <w:isLgl w:val="false"/>
      <w:suff w:val="tab"/>
      <w:lvlText w:val="o"/>
      <w:lvlJc w:val="left"/>
      <w:pPr>
        <w:ind w:left="6186" w:hanging="360"/>
      </w:pPr>
      <w:rPr>
        <w:rFonts w:hint="default" w:ascii="Courier New" w:hAnsi="Courier New" w:eastAsia="Courier New" w:cs="Courier New"/>
      </w:rPr>
    </w:lvl>
    <w:lvl w:ilvl="8">
      <w:start w:val="1"/>
      <w:numFmt w:val="bullet"/>
      <w:isLgl w:val="false"/>
      <w:suff w:val="tab"/>
      <w:lvlText w:val="§"/>
      <w:lvlJc w:val="left"/>
      <w:pPr>
        <w:ind w:left="6906" w:hanging="360"/>
      </w:pPr>
      <w:rPr>
        <w:rFonts w:hint="default" w:ascii="Wingdings" w:hAnsi="Wingdings" w:eastAsia="Wingdings" w:cs="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num>
  <w:num w:numId="6">
    <w:abstractNumId w:val="3"/>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818"/>
    <w:link w:val="809"/>
    <w:uiPriority w:val="9"/>
    <w:rPr>
      <w:rFonts w:ascii="Arial" w:hAnsi="Arial" w:eastAsia="Arial" w:cs="Arial"/>
      <w:sz w:val="40"/>
      <w:szCs w:val="40"/>
    </w:rPr>
  </w:style>
  <w:style w:type="character" w:styleId="773">
    <w:name w:val="Heading 2 Char"/>
    <w:basedOn w:val="818"/>
    <w:link w:val="810"/>
    <w:uiPriority w:val="9"/>
    <w:rPr>
      <w:rFonts w:ascii="Arial" w:hAnsi="Arial" w:eastAsia="Arial" w:cs="Arial"/>
      <w:sz w:val="34"/>
    </w:rPr>
  </w:style>
  <w:style w:type="character" w:styleId="774">
    <w:name w:val="Heading 3 Char"/>
    <w:basedOn w:val="818"/>
    <w:link w:val="811"/>
    <w:uiPriority w:val="9"/>
    <w:rPr>
      <w:rFonts w:ascii="Arial" w:hAnsi="Arial" w:eastAsia="Arial" w:cs="Arial"/>
      <w:sz w:val="30"/>
      <w:szCs w:val="30"/>
    </w:rPr>
  </w:style>
  <w:style w:type="character" w:styleId="775">
    <w:name w:val="Heading 4 Char"/>
    <w:basedOn w:val="818"/>
    <w:link w:val="812"/>
    <w:uiPriority w:val="9"/>
    <w:rPr>
      <w:rFonts w:ascii="Arial" w:hAnsi="Arial" w:eastAsia="Arial" w:cs="Arial"/>
      <w:b/>
      <w:bCs/>
      <w:sz w:val="26"/>
      <w:szCs w:val="26"/>
    </w:rPr>
  </w:style>
  <w:style w:type="character" w:styleId="776">
    <w:name w:val="Heading 5 Char"/>
    <w:basedOn w:val="818"/>
    <w:link w:val="813"/>
    <w:uiPriority w:val="9"/>
    <w:rPr>
      <w:rFonts w:ascii="Arial" w:hAnsi="Arial" w:eastAsia="Arial" w:cs="Arial"/>
      <w:b/>
      <w:bCs/>
      <w:sz w:val="24"/>
      <w:szCs w:val="24"/>
    </w:rPr>
  </w:style>
  <w:style w:type="character" w:styleId="777">
    <w:name w:val="Heading 6 Char"/>
    <w:basedOn w:val="818"/>
    <w:link w:val="814"/>
    <w:uiPriority w:val="9"/>
    <w:rPr>
      <w:rFonts w:ascii="Arial" w:hAnsi="Arial" w:eastAsia="Arial" w:cs="Arial"/>
      <w:b/>
      <w:bCs/>
      <w:sz w:val="22"/>
      <w:szCs w:val="22"/>
    </w:rPr>
  </w:style>
  <w:style w:type="character" w:styleId="778">
    <w:name w:val="Heading 7 Char"/>
    <w:basedOn w:val="818"/>
    <w:link w:val="815"/>
    <w:uiPriority w:val="9"/>
    <w:rPr>
      <w:rFonts w:ascii="Arial" w:hAnsi="Arial" w:eastAsia="Arial" w:cs="Arial"/>
      <w:b/>
      <w:bCs/>
      <w:i/>
      <w:iCs/>
      <w:sz w:val="22"/>
      <w:szCs w:val="22"/>
    </w:rPr>
  </w:style>
  <w:style w:type="character" w:styleId="779">
    <w:name w:val="Heading 8 Char"/>
    <w:basedOn w:val="818"/>
    <w:link w:val="816"/>
    <w:uiPriority w:val="9"/>
    <w:rPr>
      <w:rFonts w:ascii="Arial" w:hAnsi="Arial" w:eastAsia="Arial" w:cs="Arial"/>
      <w:i/>
      <w:iCs/>
      <w:sz w:val="22"/>
      <w:szCs w:val="22"/>
    </w:rPr>
  </w:style>
  <w:style w:type="character" w:styleId="780">
    <w:name w:val="Heading 9 Char"/>
    <w:basedOn w:val="818"/>
    <w:link w:val="817"/>
    <w:uiPriority w:val="9"/>
    <w:rPr>
      <w:rFonts w:ascii="Arial" w:hAnsi="Arial" w:eastAsia="Arial" w:cs="Arial"/>
      <w:i/>
      <w:iCs/>
      <w:sz w:val="21"/>
      <w:szCs w:val="21"/>
    </w:rPr>
  </w:style>
  <w:style w:type="character" w:styleId="781">
    <w:name w:val="Title Char"/>
    <w:basedOn w:val="818"/>
    <w:link w:val="848"/>
    <w:uiPriority w:val="10"/>
    <w:rPr>
      <w:sz w:val="48"/>
      <w:szCs w:val="48"/>
    </w:rPr>
  </w:style>
  <w:style w:type="character" w:styleId="782">
    <w:name w:val="Subtitle Char"/>
    <w:basedOn w:val="818"/>
    <w:link w:val="841"/>
    <w:uiPriority w:val="11"/>
    <w:rPr>
      <w:sz w:val="24"/>
      <w:szCs w:val="24"/>
    </w:rPr>
  </w:style>
  <w:style w:type="character" w:styleId="783">
    <w:name w:val="Quote Char"/>
    <w:link w:val="871"/>
    <w:uiPriority w:val="29"/>
    <w:rPr>
      <w:i/>
    </w:rPr>
  </w:style>
  <w:style w:type="character" w:styleId="784">
    <w:name w:val="Intense Quote Char"/>
    <w:link w:val="873"/>
    <w:uiPriority w:val="30"/>
    <w:rPr>
      <w:i/>
    </w:rPr>
  </w:style>
  <w:style w:type="character" w:styleId="785">
    <w:name w:val="Caption Char"/>
    <w:basedOn w:val="824"/>
    <w:link w:val="834"/>
    <w:uiPriority w:val="99"/>
  </w:style>
  <w:style w:type="table" w:styleId="786">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5">
    <w:name w:val="Footnote Text Char"/>
    <w:link w:val="842"/>
    <w:uiPriority w:val="99"/>
    <w:rPr>
      <w:sz w:val="18"/>
    </w:rPr>
  </w:style>
  <w:style w:type="character" w:styleId="806">
    <w:name w:val="Endnote Text Char"/>
    <w:link w:val="832"/>
    <w:uiPriority w:val="99"/>
    <w:rPr>
      <w:sz w:val="20"/>
    </w:rPr>
  </w:style>
  <w:style w:type="paragraph" w:styleId="807">
    <w:name w:val="TOC Heading"/>
    <w:uiPriority w:val="39"/>
    <w:unhideWhenUsed/>
  </w:style>
  <w:style w:type="paragraph" w:styleId="808" w:default="1">
    <w:name w:val="Normal"/>
    <w:next w:val="821"/>
    <w:qFormat/>
    <w:pPr>
      <w:jc w:val="both"/>
      <w:widowControl w:val="off"/>
    </w:pPr>
    <w:rPr>
      <w:rFonts w:eastAsia="楷体_GB2312"/>
      <w:sz w:val="26"/>
    </w:rPr>
  </w:style>
  <w:style w:type="paragraph" w:styleId="809">
    <w:name w:val="Heading 1"/>
    <w:basedOn w:val="808"/>
    <w:next w:val="808"/>
    <w:link w:val="858"/>
    <w:qFormat/>
    <w:pPr>
      <w:jc w:val="center"/>
      <w:keepLines/>
      <w:keepNext/>
      <w:spacing w:line="360" w:lineRule="auto"/>
      <w:outlineLvl w:val="0"/>
    </w:pPr>
    <w:rPr>
      <w:rFonts w:eastAsia="宋体"/>
      <w:b/>
      <w:sz w:val="32"/>
    </w:rPr>
  </w:style>
  <w:style w:type="paragraph" w:styleId="810">
    <w:name w:val="Heading 2"/>
    <w:basedOn w:val="808"/>
    <w:next w:val="808"/>
    <w:link w:val="859"/>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60"/>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61"/>
    <w:uiPriority w:val="9"/>
    <w:unhideWhenUsed/>
    <w:qFormat/>
    <w:pPr>
      <w:keepLines/>
      <w:keepNext/>
      <w:spacing w:before="320" w:after="200"/>
      <w:outlineLvl w:val="3"/>
    </w:pPr>
    <w:rPr>
      <w:rFonts w:ascii="Arial" w:hAnsi="Arial" w:eastAsia="Arial" w:cs="Arial"/>
      <w:b/>
      <w:bCs/>
      <w:szCs w:val="26"/>
    </w:rPr>
  </w:style>
  <w:style w:type="paragraph" w:styleId="813">
    <w:name w:val="Heading 5"/>
    <w:basedOn w:val="808"/>
    <w:next w:val="808"/>
    <w:link w:val="862"/>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863"/>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65"/>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66"/>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Body Text"/>
    <w:basedOn w:val="808"/>
    <w:next w:val="808"/>
    <w:qFormat/>
    <w:rPr>
      <w:rFonts w:ascii="楷体_GB2312" w:hAnsi="Arial"/>
      <w:sz w:val="28"/>
    </w:rPr>
  </w:style>
  <w:style w:type="paragraph" w:styleId="822">
    <w:name w:val="toc 7"/>
    <w:basedOn w:val="808"/>
    <w:next w:val="808"/>
    <w:uiPriority w:val="39"/>
    <w:unhideWhenUsed/>
    <w:qFormat/>
    <w:pPr>
      <w:ind w:left="1701"/>
      <w:spacing w:after="57"/>
    </w:pPr>
  </w:style>
  <w:style w:type="paragraph" w:styleId="823">
    <w:name w:val="Normal Indent"/>
    <w:basedOn w:val="808"/>
    <w:next w:val="808"/>
    <w:qFormat/>
    <w:pPr>
      <w:ind w:firstLine="200"/>
    </w:pPr>
  </w:style>
  <w:style w:type="paragraph" w:styleId="824">
    <w:name w:val="Caption"/>
    <w:basedOn w:val="808"/>
    <w:next w:val="808"/>
    <w:uiPriority w:val="35"/>
    <w:semiHidden/>
    <w:unhideWhenUsed/>
    <w:qFormat/>
    <w:pPr>
      <w:spacing w:line="276" w:lineRule="auto"/>
    </w:pPr>
    <w:rPr>
      <w:b/>
      <w:bCs/>
      <w:color w:val="4f81bd"/>
      <w:sz w:val="18"/>
      <w:szCs w:val="18"/>
    </w:rPr>
  </w:style>
  <w:style w:type="paragraph" w:styleId="825">
    <w:name w:val="annotation text"/>
    <w:basedOn w:val="808"/>
    <w:link w:val="1040"/>
    <w:uiPriority w:val="99"/>
    <w:semiHidden/>
    <w:unhideWhenUsed/>
    <w:pPr>
      <w:jc w:val="left"/>
    </w:pPr>
  </w:style>
  <w:style w:type="paragraph" w:styleId="826">
    <w:name w:val="Body Text Indent"/>
    <w:basedOn w:val="808"/>
    <w:qFormat/>
    <w:pPr>
      <w:ind w:firstLine="645"/>
    </w:pPr>
    <w:rPr>
      <w:rFonts w:ascii="楷体_GB2312" w:hAnsi="Calibri"/>
      <w:sz w:val="32"/>
      <w:szCs w:val="22"/>
    </w:rPr>
  </w:style>
  <w:style w:type="paragraph" w:styleId="827">
    <w:name w:val="Block Text"/>
    <w:basedOn w:val="808"/>
    <w:qFormat/>
    <w:pPr>
      <w:ind w:left="525" w:right="-1" w:firstLine="525"/>
      <w:spacing w:line="312" w:lineRule="atLeast"/>
    </w:pPr>
    <w:rPr>
      <w:sz w:val="28"/>
      <w:szCs w:val="28"/>
    </w:rPr>
  </w:style>
  <w:style w:type="paragraph" w:styleId="828">
    <w:name w:val="toc 5"/>
    <w:basedOn w:val="808"/>
    <w:next w:val="808"/>
    <w:uiPriority w:val="39"/>
    <w:unhideWhenUsed/>
    <w:qFormat/>
    <w:pPr>
      <w:ind w:left="1134"/>
      <w:spacing w:after="57"/>
    </w:pPr>
  </w:style>
  <w:style w:type="paragraph" w:styleId="829">
    <w:name w:val="toc 3"/>
    <w:basedOn w:val="808"/>
    <w:next w:val="808"/>
    <w:uiPriority w:val="39"/>
    <w:unhideWhenUsed/>
    <w:qFormat/>
    <w:pPr>
      <w:ind w:left="567"/>
      <w:spacing w:after="57"/>
    </w:pPr>
  </w:style>
  <w:style w:type="paragraph" w:styleId="830">
    <w:name w:val="Plain Text"/>
    <w:basedOn w:val="808"/>
    <w:next w:val="823"/>
    <w:qFormat/>
    <w:rPr>
      <w:rFonts w:ascii="宋体"/>
    </w:rPr>
  </w:style>
  <w:style w:type="paragraph" w:styleId="831">
    <w:name w:val="toc 8"/>
    <w:basedOn w:val="808"/>
    <w:next w:val="808"/>
    <w:uiPriority w:val="39"/>
    <w:unhideWhenUsed/>
    <w:qFormat/>
    <w:pPr>
      <w:ind w:left="1984"/>
      <w:spacing w:after="57"/>
    </w:pPr>
  </w:style>
  <w:style w:type="paragraph" w:styleId="832">
    <w:name w:val="endnote text"/>
    <w:basedOn w:val="808"/>
    <w:link w:val="1004"/>
    <w:uiPriority w:val="99"/>
    <w:semiHidden/>
    <w:unhideWhenUsed/>
    <w:qFormat/>
    <w:rPr>
      <w:sz w:val="20"/>
    </w:rPr>
  </w:style>
  <w:style w:type="paragraph" w:styleId="833">
    <w:name w:val="Balloon Text"/>
    <w:basedOn w:val="808"/>
    <w:link w:val="1036"/>
    <w:uiPriority w:val="99"/>
    <w:semiHidden/>
    <w:unhideWhenUsed/>
    <w:qFormat/>
    <w:rPr>
      <w:sz w:val="18"/>
      <w:szCs w:val="18"/>
    </w:rPr>
  </w:style>
  <w:style w:type="paragraph" w:styleId="834">
    <w:name w:val="Footer"/>
    <w:basedOn w:val="808"/>
    <w:link w:val="877"/>
    <w:uiPriority w:val="99"/>
    <w:unhideWhenUsed/>
    <w:qFormat/>
    <w:pPr>
      <w:tabs>
        <w:tab w:val="center" w:pos="7143" w:leader="none"/>
        <w:tab w:val="right" w:pos="14287" w:leader="none"/>
      </w:tabs>
    </w:pPr>
  </w:style>
  <w:style w:type="paragraph" w:styleId="835">
    <w:name w:val="envelope return"/>
    <w:basedOn w:val="836"/>
    <w:uiPriority w:val="99"/>
    <w:unhideWhenUsed/>
    <w:qFormat/>
    <w:rPr>
      <w:rFonts w:ascii="Arial" w:hAnsi="Arial"/>
    </w:rPr>
  </w:style>
  <w:style w:type="paragraph" w:styleId="836" w:customStyle="1">
    <w:name w:val="Normal_19"/>
    <w:next w:val="837"/>
    <w:qFormat/>
    <w:pPr>
      <w:jc w:val="both"/>
      <w:widowControl w:val="off"/>
    </w:pPr>
    <w:rPr>
      <w:sz w:val="21"/>
      <w:szCs w:val="24"/>
    </w:rPr>
  </w:style>
  <w:style w:type="paragraph" w:styleId="837" w:customStyle="1">
    <w:name w:val="正文文本缩进1"/>
    <w:basedOn w:val="808"/>
    <w:next w:val="835"/>
    <w:unhideWhenUsed/>
    <w:qFormat/>
    <w:pPr>
      <w:ind w:firstLine="570"/>
    </w:pPr>
    <w:rPr>
      <w:rFonts w:ascii="宋体" w:eastAsia="宋体"/>
      <w:sz w:val="28"/>
    </w:rPr>
  </w:style>
  <w:style w:type="paragraph" w:styleId="838">
    <w:name w:val="Header"/>
    <w:basedOn w:val="808"/>
    <w:link w:val="1006"/>
    <w:qFormat/>
    <w:pPr>
      <w:jc w:val="center"/>
      <w:tabs>
        <w:tab w:val="center" w:pos="4153" w:leader="none"/>
        <w:tab w:val="right" w:pos="8306" w:leader="none"/>
      </w:tabs>
    </w:pPr>
    <w:rPr>
      <w:sz w:val="18"/>
      <w:szCs w:val="18"/>
    </w:rPr>
  </w:style>
  <w:style w:type="paragraph" w:styleId="839">
    <w:name w:val="toc 1"/>
    <w:basedOn w:val="808"/>
    <w:next w:val="808"/>
    <w:uiPriority w:val="39"/>
    <w:unhideWhenUsed/>
    <w:qFormat/>
    <w:pPr>
      <w:spacing w:after="57"/>
    </w:pPr>
  </w:style>
  <w:style w:type="paragraph" w:styleId="840">
    <w:name w:val="toc 4"/>
    <w:basedOn w:val="808"/>
    <w:next w:val="808"/>
    <w:uiPriority w:val="39"/>
    <w:unhideWhenUsed/>
    <w:qFormat/>
    <w:pPr>
      <w:ind w:left="850"/>
      <w:spacing w:after="57"/>
    </w:pPr>
  </w:style>
  <w:style w:type="paragraph" w:styleId="841">
    <w:name w:val="Subtitle"/>
    <w:basedOn w:val="808"/>
    <w:next w:val="808"/>
    <w:link w:val="870"/>
    <w:uiPriority w:val="11"/>
    <w:qFormat/>
    <w:pPr>
      <w:spacing w:before="200" w:after="200"/>
    </w:pPr>
    <w:rPr>
      <w:sz w:val="24"/>
      <w:szCs w:val="24"/>
    </w:rPr>
  </w:style>
  <w:style w:type="paragraph" w:styleId="842">
    <w:name w:val="footnote text"/>
    <w:basedOn w:val="808"/>
    <w:link w:val="1003"/>
    <w:uiPriority w:val="99"/>
    <w:semiHidden/>
    <w:unhideWhenUsed/>
    <w:qFormat/>
    <w:pPr>
      <w:spacing w:after="40"/>
    </w:pPr>
    <w:rPr>
      <w:sz w:val="18"/>
    </w:rPr>
  </w:style>
  <w:style w:type="paragraph" w:styleId="843">
    <w:name w:val="toc 6"/>
    <w:basedOn w:val="808"/>
    <w:next w:val="808"/>
    <w:uiPriority w:val="39"/>
    <w:unhideWhenUsed/>
    <w:qFormat/>
    <w:pPr>
      <w:ind w:left="1417"/>
      <w:spacing w:after="57"/>
    </w:pPr>
  </w:style>
  <w:style w:type="paragraph" w:styleId="844">
    <w:name w:val="table of figures"/>
    <w:basedOn w:val="808"/>
    <w:next w:val="808"/>
    <w:uiPriority w:val="99"/>
    <w:unhideWhenUsed/>
    <w:qFormat/>
  </w:style>
  <w:style w:type="paragraph" w:styleId="845">
    <w:name w:val="toc 2"/>
    <w:basedOn w:val="808"/>
    <w:next w:val="808"/>
    <w:uiPriority w:val="39"/>
    <w:unhideWhenUsed/>
    <w:qFormat/>
    <w:pPr>
      <w:ind w:left="283"/>
      <w:spacing w:after="57"/>
    </w:pPr>
  </w:style>
  <w:style w:type="paragraph" w:styleId="846">
    <w:name w:val="toc 9"/>
    <w:basedOn w:val="808"/>
    <w:next w:val="808"/>
    <w:uiPriority w:val="39"/>
    <w:unhideWhenUsed/>
    <w:qFormat/>
    <w:pPr>
      <w:ind w:left="2268"/>
      <w:spacing w:after="57"/>
    </w:pPr>
  </w:style>
  <w:style w:type="paragraph" w:styleId="847">
    <w:name w:val="Normal (Web)"/>
    <w:basedOn w:val="808"/>
    <w:uiPriority w:val="99"/>
    <w:qFormat/>
    <w:pPr>
      <w:jc w:val="left"/>
      <w:spacing w:before="100" w:beforeAutospacing="1" w:after="100" w:afterAutospacing="1"/>
      <w:widowControl/>
    </w:pPr>
    <w:rPr>
      <w:rFonts w:ascii="宋体" w:hAnsi="宋体"/>
      <w:color w:val="000000"/>
      <w:sz w:val="24"/>
      <w:szCs w:val="24"/>
    </w:rPr>
  </w:style>
  <w:style w:type="paragraph" w:styleId="848">
    <w:name w:val="Title"/>
    <w:basedOn w:val="808"/>
    <w:next w:val="808"/>
    <w:link w:val="869"/>
    <w:uiPriority w:val="10"/>
    <w:qFormat/>
    <w:pPr>
      <w:contextualSpacing/>
      <w:spacing w:before="300" w:after="200"/>
    </w:pPr>
    <w:rPr>
      <w:sz w:val="48"/>
      <w:szCs w:val="48"/>
    </w:rPr>
  </w:style>
  <w:style w:type="paragraph" w:styleId="849">
    <w:name w:val="Body Text First Indent"/>
    <w:basedOn w:val="821"/>
    <w:next w:val="850"/>
    <w:qFormat/>
    <w:pPr>
      <w:ind w:firstLine="420"/>
    </w:pPr>
  </w:style>
  <w:style w:type="paragraph" w:styleId="850">
    <w:name w:val="Body Text First Indent 2"/>
    <w:basedOn w:val="826"/>
    <w:uiPriority w:val="99"/>
    <w:unhideWhenUsed/>
    <w:qFormat/>
    <w:pPr>
      <w:ind w:firstLine="200"/>
    </w:pPr>
  </w:style>
  <w:style w:type="table" w:styleId="851">
    <w:name w:val="Table Grid"/>
    <w:basedOn w:val="8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endnote reference"/>
    <w:uiPriority w:val="99"/>
    <w:semiHidden/>
    <w:unhideWhenUsed/>
    <w:qFormat/>
    <w:rPr>
      <w:vertAlign w:val="superscript"/>
    </w:rPr>
  </w:style>
  <w:style w:type="character" w:styleId="853">
    <w:name w:val="Emphasis"/>
    <w:qFormat/>
    <w:rPr>
      <w:rFonts w:ascii="Times New Roman" w:hAnsi="Times New Roman" w:eastAsia="宋体" w:cs="Times New Roman"/>
      <w:i/>
    </w:rPr>
  </w:style>
  <w:style w:type="character" w:styleId="854">
    <w:name w:val="Hyperlink"/>
    <w:uiPriority w:val="99"/>
    <w:unhideWhenUsed/>
    <w:qFormat/>
    <w:rPr>
      <w:color w:val="0563c1"/>
      <w:u w:val="single"/>
    </w:rPr>
  </w:style>
  <w:style w:type="character" w:styleId="855">
    <w:name w:val="annotation reference"/>
    <w:basedOn w:val="818"/>
    <w:uiPriority w:val="99"/>
    <w:semiHidden/>
    <w:unhideWhenUsed/>
    <w:rPr>
      <w:sz w:val="21"/>
      <w:szCs w:val="21"/>
    </w:rPr>
  </w:style>
  <w:style w:type="character" w:styleId="856">
    <w:name w:val="footnote reference"/>
    <w:uiPriority w:val="99"/>
    <w:unhideWhenUsed/>
    <w:qFormat/>
    <w:rPr>
      <w:vertAlign w:val="superscript"/>
    </w:rPr>
  </w:style>
  <w:style w:type="paragraph" w:styleId="857" w:customStyle="1">
    <w:name w:val="标题 31"/>
    <w:basedOn w:val="808"/>
    <w:next w:val="808"/>
    <w:qFormat/>
    <w:pPr>
      <w:keepLines/>
      <w:keepNext/>
      <w:spacing w:before="260" w:after="260" w:line="416" w:lineRule="auto"/>
      <w:outlineLvl w:val="2"/>
    </w:pPr>
    <w:rPr>
      <w:b/>
      <w:bCs/>
      <w:sz w:val="32"/>
      <w:szCs w:val="32"/>
    </w:rPr>
  </w:style>
  <w:style w:type="character" w:styleId="858" w:customStyle="1">
    <w:name w:val="标题 1 字符"/>
    <w:link w:val="809"/>
    <w:qFormat/>
    <w:rPr>
      <w:rFonts w:ascii="Arial" w:hAnsi="Arial" w:eastAsia="Arial" w:cs="Arial"/>
      <w:sz w:val="40"/>
      <w:szCs w:val="40"/>
    </w:rPr>
  </w:style>
  <w:style w:type="character" w:styleId="859" w:customStyle="1">
    <w:name w:val="标题 2 字符"/>
    <w:link w:val="810"/>
    <w:uiPriority w:val="9"/>
    <w:qFormat/>
    <w:rPr>
      <w:rFonts w:ascii="Arial" w:hAnsi="Arial" w:eastAsia="Arial" w:cs="Arial"/>
      <w:sz w:val="34"/>
    </w:rPr>
  </w:style>
  <w:style w:type="character" w:styleId="860" w:customStyle="1">
    <w:name w:val="标题 3 字符"/>
    <w:link w:val="811"/>
    <w:uiPriority w:val="9"/>
    <w:qFormat/>
    <w:rPr>
      <w:rFonts w:ascii="Arial" w:hAnsi="Arial" w:eastAsia="Arial" w:cs="Arial"/>
      <w:sz w:val="30"/>
      <w:szCs w:val="30"/>
    </w:rPr>
  </w:style>
  <w:style w:type="character" w:styleId="861" w:customStyle="1">
    <w:name w:val="标题 4 字符"/>
    <w:link w:val="812"/>
    <w:uiPriority w:val="9"/>
    <w:qFormat/>
    <w:rPr>
      <w:rFonts w:ascii="Arial" w:hAnsi="Arial" w:eastAsia="Arial" w:cs="Arial"/>
      <w:b/>
      <w:bCs/>
      <w:sz w:val="26"/>
      <w:szCs w:val="26"/>
    </w:rPr>
  </w:style>
  <w:style w:type="character" w:styleId="862" w:customStyle="1">
    <w:name w:val="标题 5 字符"/>
    <w:link w:val="813"/>
    <w:uiPriority w:val="9"/>
    <w:qFormat/>
    <w:rPr>
      <w:rFonts w:ascii="Arial" w:hAnsi="Arial" w:eastAsia="Arial" w:cs="Arial"/>
      <w:b/>
      <w:bCs/>
      <w:sz w:val="24"/>
      <w:szCs w:val="24"/>
    </w:rPr>
  </w:style>
  <w:style w:type="character" w:styleId="863" w:customStyle="1">
    <w:name w:val="标题 6 字符"/>
    <w:link w:val="814"/>
    <w:uiPriority w:val="9"/>
    <w:qFormat/>
    <w:rPr>
      <w:rFonts w:ascii="Arial" w:hAnsi="Arial" w:eastAsia="Arial" w:cs="Arial"/>
      <w:b/>
      <w:bCs/>
      <w:sz w:val="22"/>
      <w:szCs w:val="22"/>
    </w:rPr>
  </w:style>
  <w:style w:type="character" w:styleId="864" w:customStyle="1">
    <w:name w:val="标题 7 字符"/>
    <w:link w:val="815"/>
    <w:uiPriority w:val="9"/>
    <w:qFormat/>
    <w:rPr>
      <w:rFonts w:ascii="Arial" w:hAnsi="Arial" w:eastAsia="Arial" w:cs="Arial"/>
      <w:b/>
      <w:bCs/>
      <w:i/>
      <w:iCs/>
      <w:sz w:val="22"/>
      <w:szCs w:val="22"/>
    </w:rPr>
  </w:style>
  <w:style w:type="character" w:styleId="865" w:customStyle="1">
    <w:name w:val="标题 8 字符"/>
    <w:link w:val="816"/>
    <w:uiPriority w:val="9"/>
    <w:qFormat/>
    <w:rPr>
      <w:rFonts w:ascii="Arial" w:hAnsi="Arial" w:eastAsia="Arial" w:cs="Arial"/>
      <w:i/>
      <w:iCs/>
      <w:sz w:val="22"/>
      <w:szCs w:val="22"/>
    </w:rPr>
  </w:style>
  <w:style w:type="character" w:styleId="866" w:customStyle="1">
    <w:name w:val="标题 9 字符"/>
    <w:link w:val="817"/>
    <w:uiPriority w:val="9"/>
    <w:qFormat/>
    <w:rPr>
      <w:rFonts w:ascii="Arial" w:hAnsi="Arial" w:eastAsia="Arial" w:cs="Arial"/>
      <w:i/>
      <w:iCs/>
      <w:sz w:val="21"/>
      <w:szCs w:val="21"/>
    </w:rPr>
  </w:style>
  <w:style w:type="paragraph" w:styleId="867">
    <w:name w:val="List Paragraph"/>
    <w:basedOn w:val="808"/>
    <w:qFormat/>
    <w:pPr>
      <w:ind w:firstLine="420"/>
    </w:pPr>
  </w:style>
  <w:style w:type="paragraph" w:styleId="868">
    <w:name w:val="No Spacing"/>
    <w:uiPriority w:val="1"/>
    <w:qFormat/>
  </w:style>
  <w:style w:type="character" w:styleId="869" w:customStyle="1">
    <w:name w:val="标题 字符"/>
    <w:link w:val="848"/>
    <w:uiPriority w:val="10"/>
    <w:qFormat/>
    <w:rPr>
      <w:sz w:val="48"/>
      <w:szCs w:val="48"/>
    </w:rPr>
  </w:style>
  <w:style w:type="character" w:styleId="870" w:customStyle="1">
    <w:name w:val="副标题 字符"/>
    <w:link w:val="841"/>
    <w:uiPriority w:val="11"/>
    <w:qFormat/>
    <w:rPr>
      <w:sz w:val="24"/>
      <w:szCs w:val="24"/>
    </w:rPr>
  </w:style>
  <w:style w:type="paragraph" w:styleId="871">
    <w:name w:val="Quote"/>
    <w:basedOn w:val="808"/>
    <w:next w:val="808"/>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08"/>
    <w:next w:val="808"/>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uiPriority w:val="99"/>
    <w:qFormat/>
  </w:style>
  <w:style w:type="character" w:styleId="876" w:customStyle="1">
    <w:name w:val="Footer Char"/>
    <w:uiPriority w:val="99"/>
    <w:qFormat/>
  </w:style>
  <w:style w:type="character" w:styleId="877" w:customStyle="1">
    <w:name w:val="页脚 字符"/>
    <w:link w:val="834"/>
    <w:uiPriority w:val="99"/>
    <w:qFormat/>
  </w:style>
  <w:style w:type="table" w:styleId="87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1" w:customStyle="1">
    <w:name w:val="无格式表格 31"/>
    <w:uiPriority w:val="99"/>
    <w:qFormat/>
    <w:tblPr>
      <w:tblCellMar>
        <w:left w:w="0" w:type="dxa"/>
        <w:top w:w="0" w:type="dxa"/>
        <w:right w:w="0" w:type="dxa"/>
        <w:bottom w:w="0" w:type="dxa"/>
      </w:tblCellMar>
    </w:tblPr>
  </w:style>
  <w:style w:type="table" w:styleId="882" w:customStyle="1">
    <w:name w:val="无格式表格 41"/>
    <w:uiPriority w:val="99"/>
    <w:qFormat/>
    <w:tblPr>
      <w:tblCellMar>
        <w:left w:w="0" w:type="dxa"/>
        <w:top w:w="0" w:type="dxa"/>
        <w:right w:w="0" w:type="dxa"/>
        <w:bottom w:w="0" w:type="dxa"/>
      </w:tblCellMar>
    </w:tblPr>
  </w:style>
  <w:style w:type="table" w:styleId="883" w:customStyle="1">
    <w:name w:val="无格式表格 51"/>
    <w:uiPriority w:val="99"/>
    <w:qFormat/>
    <w:tblPr>
      <w:tblCellMar>
        <w:left w:w="0" w:type="dxa"/>
        <w:top w:w="0" w:type="dxa"/>
        <w:right w:w="0" w:type="dxa"/>
        <w:bottom w:w="0" w:type="dxa"/>
      </w:tblCellMar>
    </w:tblPr>
  </w:style>
  <w:style w:type="table" w:styleId="88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3" w:customStyle="1">
    <w:name w:val="清单表 1 浅色1"/>
    <w:uiPriority w:val="99"/>
    <w:qFormat/>
    <w:tblPr>
      <w:tblCellMar>
        <w:left w:w="0" w:type="dxa"/>
        <w:top w:w="0" w:type="dxa"/>
        <w:right w:w="0" w:type="dxa"/>
        <w:bottom w:w="0" w:type="dxa"/>
      </w:tblCellMar>
    </w:tblPr>
  </w:style>
  <w:style w:type="table" w:styleId="934" w:customStyle="1">
    <w:name w:val="List Table 1 Light - Accent 1"/>
    <w:uiPriority w:val="99"/>
    <w:qFormat/>
    <w:tblPr>
      <w:tblCellMar>
        <w:left w:w="0" w:type="dxa"/>
        <w:top w:w="0" w:type="dxa"/>
        <w:right w:w="0" w:type="dxa"/>
        <w:bottom w:w="0" w:type="dxa"/>
      </w:tblCellMar>
    </w:tblPr>
  </w:style>
  <w:style w:type="table" w:styleId="935" w:customStyle="1">
    <w:name w:val="List Table 1 Light - Accent 2"/>
    <w:uiPriority w:val="99"/>
    <w:qFormat/>
    <w:tblPr>
      <w:tblCellMar>
        <w:left w:w="0" w:type="dxa"/>
        <w:top w:w="0" w:type="dxa"/>
        <w:right w:w="0" w:type="dxa"/>
        <w:bottom w:w="0" w:type="dxa"/>
      </w:tblCellMar>
    </w:tblPr>
  </w:style>
  <w:style w:type="table" w:styleId="936" w:customStyle="1">
    <w:name w:val="List Table 1 Light - Accent 3"/>
    <w:uiPriority w:val="99"/>
    <w:qFormat/>
    <w:tblPr>
      <w:tblCellMar>
        <w:left w:w="0" w:type="dxa"/>
        <w:top w:w="0" w:type="dxa"/>
        <w:right w:w="0" w:type="dxa"/>
        <w:bottom w:w="0" w:type="dxa"/>
      </w:tblCellMar>
    </w:tblPr>
  </w:style>
  <w:style w:type="table" w:styleId="937" w:customStyle="1">
    <w:name w:val="List Table 1 Light - Accent 4"/>
    <w:uiPriority w:val="99"/>
    <w:qFormat/>
    <w:tblPr>
      <w:tblCellMar>
        <w:left w:w="0" w:type="dxa"/>
        <w:top w:w="0" w:type="dxa"/>
        <w:right w:w="0" w:type="dxa"/>
        <w:bottom w:w="0" w:type="dxa"/>
      </w:tblCellMar>
    </w:tblPr>
  </w:style>
  <w:style w:type="table" w:styleId="938" w:customStyle="1">
    <w:name w:val="List Table 1 Light - Accent 5"/>
    <w:uiPriority w:val="99"/>
    <w:qFormat/>
    <w:tblPr>
      <w:tblCellMar>
        <w:left w:w="0" w:type="dxa"/>
        <w:top w:w="0" w:type="dxa"/>
        <w:right w:w="0" w:type="dxa"/>
        <w:bottom w:w="0" w:type="dxa"/>
      </w:tblCellMar>
    </w:tblPr>
  </w:style>
  <w:style w:type="table" w:styleId="939" w:customStyle="1">
    <w:name w:val="List Table 1 Light - Accent 6"/>
    <w:uiPriority w:val="99"/>
    <w:qFormat/>
    <w:tblPr>
      <w:tblCellMar>
        <w:left w:w="0" w:type="dxa"/>
        <w:top w:w="0" w:type="dxa"/>
        <w:right w:w="0" w:type="dxa"/>
        <w:bottom w:w="0" w:type="dxa"/>
      </w:tblCellMar>
    </w:tblPr>
  </w:style>
  <w:style w:type="table" w:styleId="94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2" w:customStyle="1">
    <w:name w:val="Lined - Accent"/>
    <w:uiPriority w:val="99"/>
    <w:qFormat/>
    <w:rPr>
      <w:color w:val="404040"/>
    </w:rPr>
    <w:tblPr>
      <w:tblCellMar>
        <w:left w:w="0" w:type="dxa"/>
        <w:top w:w="0" w:type="dxa"/>
        <w:right w:w="0" w:type="dxa"/>
        <w:bottom w:w="0" w:type="dxa"/>
      </w:tblCellMar>
    </w:tblPr>
  </w:style>
  <w:style w:type="table" w:styleId="983" w:customStyle="1">
    <w:name w:val="Lined - Accent 1"/>
    <w:uiPriority w:val="99"/>
    <w:qFormat/>
    <w:rPr>
      <w:color w:val="404040"/>
    </w:rPr>
    <w:tblPr>
      <w:tblCellMar>
        <w:left w:w="0" w:type="dxa"/>
        <w:top w:w="0" w:type="dxa"/>
        <w:right w:w="0" w:type="dxa"/>
        <w:bottom w:w="0" w:type="dxa"/>
      </w:tblCellMar>
    </w:tblPr>
  </w:style>
  <w:style w:type="table" w:styleId="984" w:customStyle="1">
    <w:name w:val="Lined - Accent 2"/>
    <w:uiPriority w:val="99"/>
    <w:qFormat/>
    <w:rPr>
      <w:color w:val="404040"/>
    </w:rPr>
    <w:tblPr>
      <w:tblCellMar>
        <w:left w:w="0" w:type="dxa"/>
        <w:top w:w="0" w:type="dxa"/>
        <w:right w:w="0" w:type="dxa"/>
        <w:bottom w:w="0" w:type="dxa"/>
      </w:tblCellMar>
    </w:tblPr>
  </w:style>
  <w:style w:type="table" w:styleId="985" w:customStyle="1">
    <w:name w:val="Lined - Accent 3"/>
    <w:uiPriority w:val="99"/>
    <w:qFormat/>
    <w:rPr>
      <w:color w:val="404040"/>
    </w:rPr>
    <w:tblPr>
      <w:tblCellMar>
        <w:left w:w="0" w:type="dxa"/>
        <w:top w:w="0" w:type="dxa"/>
        <w:right w:w="0" w:type="dxa"/>
        <w:bottom w:w="0" w:type="dxa"/>
      </w:tblCellMar>
    </w:tblPr>
  </w:style>
  <w:style w:type="table" w:styleId="986" w:customStyle="1">
    <w:name w:val="Lined - Accent 4"/>
    <w:uiPriority w:val="99"/>
    <w:qFormat/>
    <w:rPr>
      <w:color w:val="404040"/>
    </w:rPr>
    <w:tblPr>
      <w:tblCellMar>
        <w:left w:w="0" w:type="dxa"/>
        <w:top w:w="0" w:type="dxa"/>
        <w:right w:w="0" w:type="dxa"/>
        <w:bottom w:w="0" w:type="dxa"/>
      </w:tblCellMar>
    </w:tblPr>
  </w:style>
  <w:style w:type="table" w:styleId="987" w:customStyle="1">
    <w:name w:val="Lined - Accent 5"/>
    <w:uiPriority w:val="99"/>
    <w:qFormat/>
    <w:rPr>
      <w:color w:val="404040"/>
    </w:rPr>
    <w:tblPr>
      <w:tblCellMar>
        <w:left w:w="0" w:type="dxa"/>
        <w:top w:w="0" w:type="dxa"/>
        <w:right w:w="0" w:type="dxa"/>
        <w:bottom w:w="0" w:type="dxa"/>
      </w:tblCellMar>
    </w:tblPr>
  </w:style>
  <w:style w:type="table" w:styleId="988" w:customStyle="1">
    <w:name w:val="Lined - Accent 6"/>
    <w:uiPriority w:val="99"/>
    <w:qFormat/>
    <w:rPr>
      <w:color w:val="404040"/>
    </w:rPr>
    <w:tblPr>
      <w:tblCellMar>
        <w:left w:w="0" w:type="dxa"/>
        <w:top w:w="0" w:type="dxa"/>
        <w:right w:w="0" w:type="dxa"/>
        <w:bottom w:w="0" w:type="dxa"/>
      </w:tblCellMar>
    </w:tblPr>
  </w:style>
  <w:style w:type="table" w:styleId="98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3" w:customStyle="1">
    <w:name w:val="脚注文本 字符"/>
    <w:link w:val="842"/>
    <w:uiPriority w:val="99"/>
    <w:qFormat/>
    <w:rPr>
      <w:sz w:val="18"/>
    </w:rPr>
  </w:style>
  <w:style w:type="character" w:styleId="1004" w:customStyle="1">
    <w:name w:val="尾注文本 字符"/>
    <w:link w:val="832"/>
    <w:uiPriority w:val="99"/>
    <w:qFormat/>
    <w:rPr>
      <w:sz w:val="20"/>
    </w:rPr>
  </w:style>
  <w:style w:type="paragraph" w:styleId="1005" w:customStyle="1">
    <w:name w:val="TOC 标题1"/>
    <w:uiPriority w:val="39"/>
    <w:unhideWhenUsed/>
    <w:qFormat/>
  </w:style>
  <w:style w:type="character" w:styleId="1006" w:customStyle="1">
    <w:name w:val="页眉 字符"/>
    <w:link w:val="838"/>
    <w:qFormat/>
    <w:rPr>
      <w:rFonts w:ascii="Times New Roman" w:hAnsi="Times New Roman" w:eastAsia="楷体_GB2312"/>
      <w:sz w:val="18"/>
      <w:szCs w:val="18"/>
    </w:rPr>
  </w:style>
  <w:style w:type="paragraph" w:styleId="1007" w:customStyle="1">
    <w:name w:val="索引 41"/>
    <w:basedOn w:val="808"/>
    <w:next w:val="808"/>
    <w:qFormat/>
    <w:pPr>
      <w:ind w:left="600"/>
    </w:pPr>
    <w:rPr>
      <w:szCs w:val="21"/>
    </w:rPr>
  </w:style>
  <w:style w:type="paragraph" w:styleId="1008" w:customStyle="1">
    <w:name w:val="正文首行缩进 21"/>
    <w:basedOn w:val="837"/>
    <w:uiPriority w:val="99"/>
    <w:unhideWhenUsed/>
    <w:qFormat/>
    <w:pPr>
      <w:ind w:firstLine="420"/>
    </w:pPr>
  </w:style>
  <w:style w:type="paragraph" w:styleId="1009" w:customStyle="1">
    <w:name w:val="目录 11"/>
    <w:basedOn w:val="808"/>
    <w:next w:val="808"/>
    <w:unhideWhenUsed/>
    <w:qFormat/>
    <w:pPr>
      <w:jc w:val="left"/>
    </w:pPr>
    <w:rPr>
      <w:sz w:val="24"/>
    </w:rPr>
  </w:style>
  <w:style w:type="paragraph" w:styleId="1010" w:customStyle="1">
    <w:name w:val="标题 21"/>
    <w:basedOn w:val="808"/>
    <w:next w:val="808"/>
    <w:qFormat/>
    <w:pPr>
      <w:keepLines/>
      <w:keepNext/>
      <w:spacing w:before="260" w:after="260" w:line="416" w:lineRule="auto"/>
      <w:outlineLvl w:val="1"/>
    </w:pPr>
    <w:rPr>
      <w:rFonts w:ascii="Cambria" w:hAnsi="Cambria" w:eastAsia="宋体"/>
      <w:b/>
      <w:bCs/>
      <w:sz w:val="32"/>
      <w:szCs w:val="32"/>
    </w:rPr>
  </w:style>
  <w:style w:type="paragraph" w:styleId="1011" w:customStyle="1">
    <w:name w:val="Default"/>
    <w:qFormat/>
    <w:pPr>
      <w:widowControl w:val="off"/>
    </w:pPr>
    <w:rPr>
      <w:rFonts w:ascii="仿宋" w:eastAsia="仿宋" w:cs="仿宋"/>
      <w:color w:val="000000"/>
      <w:sz w:val="24"/>
      <w:szCs w:val="24"/>
    </w:rPr>
  </w:style>
  <w:style w:type="paragraph" w:styleId="1012" w:customStyle="1">
    <w:name w:val="纯文本1111"/>
    <w:basedOn w:val="808"/>
    <w:next w:val="1013"/>
    <w:unhideWhenUsed/>
    <w:qFormat/>
    <w:rPr>
      <w:rFonts w:ascii="宋体" w:hAnsi="Courier New"/>
    </w:rPr>
  </w:style>
  <w:style w:type="paragraph" w:styleId="1013" w:customStyle="1">
    <w:name w:val="正文缩进1"/>
    <w:basedOn w:val="808"/>
    <w:unhideWhenUsed/>
    <w:qFormat/>
    <w:pPr>
      <w:ind w:firstLine="420"/>
      <w:jc w:val="left"/>
    </w:pPr>
    <w:rPr>
      <w:sz w:val="24"/>
    </w:rPr>
  </w:style>
  <w:style w:type="paragraph" w:styleId="1014" w:customStyle="1">
    <w:name w:val="首行缩进"/>
    <w:basedOn w:val="808"/>
    <w:qFormat/>
    <w:pPr>
      <w:ind w:firstLine="480"/>
      <w:spacing w:line="360" w:lineRule="auto"/>
    </w:pPr>
    <w:rPr>
      <w:rFonts w:hAnsi="宋体" w:eastAsia="宋体" w:cs="宋体"/>
      <w:sz w:val="24"/>
      <w:szCs w:val="24"/>
    </w:rPr>
  </w:style>
  <w:style w:type="paragraph" w:styleId="1015" w:customStyle="1">
    <w:name w:val="Char"/>
    <w:basedOn w:val="808"/>
    <w:qFormat/>
  </w:style>
  <w:style w:type="paragraph" w:styleId="1016" w:customStyle="1">
    <w:name w:val="标题 11"/>
    <w:basedOn w:val="808"/>
    <w:next w:val="808"/>
    <w:qFormat/>
    <w:pPr>
      <w:keepLines/>
      <w:keepNext/>
      <w:spacing w:before="340" w:after="330" w:line="578" w:lineRule="auto"/>
      <w:outlineLvl w:val="0"/>
    </w:pPr>
    <w:rPr>
      <w:b/>
      <w:sz w:val="44"/>
    </w:rPr>
  </w:style>
  <w:style w:type="paragraph" w:styleId="1017" w:customStyle="1">
    <w:name w:val="纯文本1"/>
    <w:basedOn w:val="808"/>
    <w:qFormat/>
    <w:rPr>
      <w:rFonts w:ascii="宋体" w:hAnsi="Courier New"/>
    </w:rPr>
  </w:style>
  <w:style w:type="paragraph" w:styleId="1018" w:customStyle="1">
    <w:name w:val="正文2"/>
    <w:basedOn w:val="808"/>
    <w:qFormat/>
    <w:pPr>
      <w:ind w:firstLine="510"/>
      <w:spacing w:before="156" w:line="360" w:lineRule="auto"/>
    </w:pPr>
    <w:rPr>
      <w:sz w:val="24"/>
    </w:rPr>
  </w:style>
  <w:style w:type="character" w:styleId="1019" w:customStyle="1">
    <w:name w:val="要点1"/>
    <w:qFormat/>
    <w:rPr>
      <w:b/>
      <w:bCs/>
    </w:rPr>
  </w:style>
  <w:style w:type="paragraph" w:styleId="1020" w:customStyle="1">
    <w:name w:val="普通(网站)1"/>
    <w:basedOn w:val="808"/>
    <w:unhideWhenUsed/>
    <w:qFormat/>
    <w:pPr>
      <w:jc w:val="left"/>
      <w:spacing w:before="100" w:beforeAutospacing="1" w:after="100" w:afterAutospacing="1"/>
      <w:widowControl/>
    </w:pPr>
    <w:rPr>
      <w:rFonts w:ascii="宋体" w:hAnsi="宋体" w:cs="宋体"/>
      <w:sz w:val="24"/>
    </w:rPr>
  </w:style>
  <w:style w:type="paragraph" w:styleId="1021" w:customStyle="1">
    <w:name w:val="正文文本缩进 21"/>
    <w:basedOn w:val="808"/>
    <w:unhideWhenUsed/>
    <w:qFormat/>
    <w:pPr>
      <w:ind w:left="420"/>
      <w:spacing w:after="120" w:line="480" w:lineRule="auto"/>
    </w:pPr>
  </w:style>
  <w:style w:type="paragraph" w:styleId="1022" w:customStyle="1">
    <w:name w:val="纯文本11"/>
    <w:basedOn w:val="808"/>
    <w:uiPriority w:val="99"/>
    <w:qFormat/>
    <w:rPr>
      <w:rFonts w:ascii="宋体" w:hAnsi="Courier New"/>
    </w:rPr>
  </w:style>
  <w:style w:type="paragraph" w:styleId="1023" w:customStyle="1">
    <w:name w:val="索引 11"/>
    <w:basedOn w:val="808"/>
    <w:next w:val="808"/>
    <w:unhideWhenUsed/>
    <w:qFormat/>
    <w:pPr>
      <w:jc w:val="center"/>
      <w:spacing w:line="220" w:lineRule="exact"/>
    </w:pPr>
    <w:rPr>
      <w:rFonts w:ascii="仿宋_GB2312" w:eastAsia="仿宋_GB2312"/>
      <w:szCs w:val="21"/>
    </w:rPr>
  </w:style>
  <w:style w:type="paragraph" w:styleId="1024" w:customStyle="1">
    <w:name w:val="正文文本1"/>
    <w:basedOn w:val="808"/>
    <w:unhideWhenUsed/>
    <w:qFormat/>
    <w:rPr>
      <w:rFonts w:ascii="楷体_GB2312"/>
      <w:b/>
      <w:bCs/>
      <w:sz w:val="28"/>
    </w:rPr>
  </w:style>
  <w:style w:type="paragraph" w:styleId="1025" w:customStyle="1">
    <w:name w:val="页眉1"/>
    <w:basedOn w:val="808"/>
    <w:unhideWhenUsed/>
    <w:qFormat/>
    <w:pPr>
      <w:jc w:val="center"/>
      <w:tabs>
        <w:tab w:val="center" w:pos="4153" w:leader="none"/>
        <w:tab w:val="right" w:pos="8306" w:leader="none"/>
      </w:tabs>
      <w:pBdr>
        <w:bottom w:val="single" w:color="000000" w:sz="6" w:space="1"/>
      </w:pBdr>
    </w:pPr>
    <w:rPr>
      <w:sz w:val="18"/>
    </w:rPr>
  </w:style>
  <w:style w:type="paragraph" w:styleId="1026" w:customStyle="1">
    <w:name w:val="页脚1"/>
    <w:basedOn w:val="808"/>
    <w:unhideWhenUsed/>
    <w:qFormat/>
    <w:pPr>
      <w:jc w:val="left"/>
      <w:tabs>
        <w:tab w:val="center" w:pos="4153" w:leader="none"/>
        <w:tab w:val="right" w:pos="8306" w:leader="none"/>
      </w:tabs>
    </w:pPr>
    <w:rPr>
      <w:sz w:val="18"/>
    </w:rPr>
  </w:style>
  <w:style w:type="character" w:styleId="1027" w:customStyle="1">
    <w:name w:val="font81"/>
    <w:qFormat/>
    <w:rPr>
      <w:rFonts w:ascii="Times New Roman" w:hAnsi="Times New Roman" w:cs="Times New Roman"/>
      <w:color w:val="000000"/>
      <w:sz w:val="22"/>
      <w:szCs w:val="22"/>
      <w:u w:val="none"/>
    </w:rPr>
  </w:style>
  <w:style w:type="character" w:styleId="1028" w:customStyle="1">
    <w:name w:val="font11"/>
    <w:qFormat/>
    <w:rPr>
      <w:rFonts w:hint="eastAsia" w:ascii="仿宋" w:hAnsi="仿宋" w:eastAsia="仿宋" w:cs="仿宋"/>
      <w:color w:val="000000"/>
      <w:sz w:val="22"/>
      <w:szCs w:val="22"/>
      <w:u w:val="none"/>
    </w:rPr>
  </w:style>
  <w:style w:type="character" w:styleId="1029" w:customStyle="1">
    <w:name w:val="font101"/>
    <w:qFormat/>
    <w:rPr>
      <w:rFonts w:ascii="Arial" w:hAnsi="Arial" w:cs="Arial"/>
      <w:color w:val="000000"/>
      <w:sz w:val="22"/>
      <w:szCs w:val="22"/>
      <w:u w:val="none"/>
    </w:rPr>
  </w:style>
  <w:style w:type="paragraph" w:styleId="1030" w:customStyle="1">
    <w:name w:val="List Paragraph_f0420307-4c65-4cf4-ac34-e8950b7bacb1"/>
    <w:basedOn w:val="808"/>
    <w:qFormat/>
    <w:pPr>
      <w:ind w:firstLine="420"/>
    </w:pPr>
    <w:rPr>
      <w:rFonts w:eastAsia="宋体"/>
      <w:sz w:val="21"/>
      <w:szCs w:val="21"/>
    </w:rPr>
  </w:style>
  <w:style w:type="character" w:styleId="1031" w:customStyle="1">
    <w:name w:val="font51"/>
    <w:basedOn w:val="818"/>
    <w:qFormat/>
    <w:rPr>
      <w:rFonts w:hint="default" w:ascii="Times New Roman" w:hAnsi="Times New Roman" w:cs="Times New Roman"/>
      <w:color w:val="000000"/>
      <w:sz w:val="21"/>
      <w:szCs w:val="21"/>
      <w:u w:val="none"/>
    </w:rPr>
  </w:style>
  <w:style w:type="character" w:styleId="1032" w:customStyle="1">
    <w:name w:val="font31"/>
    <w:basedOn w:val="818"/>
    <w:qFormat/>
    <w:rPr>
      <w:rFonts w:hint="eastAsia" w:ascii="宋体" w:hAnsi="宋体" w:eastAsia="宋体" w:cs="宋体"/>
      <w:color w:val="000000"/>
      <w:sz w:val="21"/>
      <w:szCs w:val="21"/>
      <w:u w:val="none"/>
    </w:rPr>
  </w:style>
  <w:style w:type="character" w:styleId="1033" w:customStyle="1">
    <w:name w:val="font21"/>
    <w:basedOn w:val="818"/>
    <w:qFormat/>
    <w:rPr>
      <w:rFonts w:hint="default" w:ascii="Times New Roman" w:hAnsi="Times New Roman" w:cs="Times New Roman"/>
      <w:color w:val="000000"/>
      <w:sz w:val="21"/>
      <w:szCs w:val="21"/>
      <w:u w:val="none"/>
    </w:rPr>
  </w:style>
  <w:style w:type="character" w:styleId="1034" w:customStyle="1">
    <w:name w:val="font61"/>
    <w:basedOn w:val="818"/>
    <w:qFormat/>
    <w:rPr>
      <w:rFonts w:hint="eastAsia" w:ascii="宋体" w:hAnsi="宋体" w:eastAsia="宋体" w:cs="宋体"/>
      <w:color w:val="000000"/>
      <w:sz w:val="21"/>
      <w:szCs w:val="21"/>
      <w:u w:val="none"/>
    </w:rPr>
  </w:style>
  <w:style w:type="character" w:styleId="1035" w:customStyle="1">
    <w:name w:val="font41"/>
    <w:basedOn w:val="818"/>
    <w:qFormat/>
    <w:rPr>
      <w:rFonts w:hint="default" w:ascii="Times New Roman" w:hAnsi="Times New Roman" w:cs="Times New Roman"/>
      <w:color w:val="000000"/>
      <w:sz w:val="20"/>
      <w:szCs w:val="20"/>
      <w:u w:val="none"/>
    </w:rPr>
  </w:style>
  <w:style w:type="character" w:styleId="1036" w:customStyle="1">
    <w:name w:val="批注框文本 字符"/>
    <w:basedOn w:val="818"/>
    <w:link w:val="833"/>
    <w:uiPriority w:val="99"/>
    <w:semiHidden/>
    <w:qFormat/>
    <w:rPr>
      <w:rFonts w:eastAsia="楷体_GB2312"/>
      <w:sz w:val="18"/>
      <w:szCs w:val="18"/>
    </w:rPr>
  </w:style>
  <w:style w:type="table" w:styleId="1037" w:customStyle="1">
    <w:name w:val="Table Normal"/>
    <w:semiHidden/>
    <w:unhideWhenUsed/>
    <w:qFormat/>
    <w:tblPr>
      <w:tblCellMar>
        <w:left w:w="0" w:type="dxa"/>
        <w:top w:w="0" w:type="dxa"/>
        <w:right w:w="0" w:type="dxa"/>
        <w:bottom w:w="0" w:type="dxa"/>
      </w:tblCellMar>
    </w:tblPr>
  </w:style>
  <w:style w:type="paragraph" w:styleId="1038" w:customStyle="1">
    <w:name w:val="样式 首行缩进:  2 字符"/>
    <w:basedOn w:val="808"/>
    <w:link w:val="1039"/>
    <w:qFormat/>
    <w:pPr>
      <w:ind w:firstLine="480"/>
      <w:spacing w:line="360" w:lineRule="auto"/>
    </w:pPr>
    <w:rPr>
      <w:rFonts w:eastAsia="宋体"/>
      <w:sz w:val="24"/>
    </w:rPr>
  </w:style>
  <w:style w:type="character" w:styleId="1039" w:customStyle="1">
    <w:name w:val="样式 首行缩进:  2 字符 Char Char"/>
    <w:link w:val="1038"/>
    <w:qFormat/>
    <w:rPr>
      <w:sz w:val="24"/>
    </w:rPr>
  </w:style>
  <w:style w:type="character" w:styleId="1040" w:customStyle="1">
    <w:name w:val="批注文字 字符"/>
    <w:basedOn w:val="818"/>
    <w:link w:val="825"/>
    <w:uiPriority w:val="99"/>
    <w:semiHidden/>
    <w:rPr>
      <w:rFonts w:eastAsia="楷体_GB2312"/>
      <w:sz w:val="26"/>
    </w:rPr>
  </w:style>
  <w:style w:type="paragraph" w:styleId="1041" w:customStyle="1">
    <w:name w:val="Normal_17_1"/>
    <w:qFormat/>
    <w:pPr>
      <w:jc w:val="both"/>
      <w:widowControl w:val="off"/>
    </w:pPr>
    <w:rPr>
      <w:rFonts w:ascii="Calibri" w:hAnsi="Calibri"/>
      <w:sz w:val="21"/>
      <w:szCs w:val="22"/>
    </w:rPr>
  </w:style>
  <w:style w:type="paragraph" w:styleId="1042" w:customStyle="1">
    <w:name w:val="Normal_16_1"/>
    <w:qFormat/>
    <w:rPr>
      <w:rFonts w:ascii="宋体" w:hAnsi="宋体"/>
      <w:sz w:val="32"/>
      <w:szCs w:val="24"/>
    </w:rPr>
  </w:style>
  <w:style w:type="paragraph" w:styleId="1043" w:customStyle="1">
    <w:name w:val="正文_9_0_1"/>
    <w:qFormat/>
    <w:pPr>
      <w:jc w:val="both"/>
      <w:widowControl w:val="off"/>
    </w:pPr>
    <w:rPr>
      <w:rFonts w:ascii="Calibri" w:hAnsi="Calibri"/>
      <w:sz w:val="21"/>
      <w:szCs w:val="22"/>
    </w:rPr>
  </w:style>
  <w:style w:type="paragraph" w:styleId="1044" w:customStyle="1">
    <w:name w:val="正文_8_1_1"/>
    <w:qFormat/>
    <w:pPr>
      <w:jc w:val="both"/>
      <w:widowControl w:val="off"/>
    </w:pPr>
    <w:rPr>
      <w:rFonts w:ascii="Calibri" w:hAnsi="Calibri"/>
      <w:sz w:val="21"/>
      <w:szCs w:val="22"/>
    </w:rPr>
  </w:style>
  <w:style w:type="paragraph" w:styleId="1045" w:customStyle="1">
    <w:name w:val="正文_1_0_0_0_0_0"/>
    <w:qFormat/>
    <w:pPr>
      <w:jc w:val="both"/>
      <w:widowControl w:val="off"/>
    </w:pPr>
    <w:rPr>
      <w:sz w:val="21"/>
    </w:rPr>
  </w:style>
  <w:style w:type="paragraph" w:styleId="1046" w:customStyle="1">
    <w:name w:val="列出段落_2"/>
    <w:basedOn w:val="1044"/>
    <w:uiPriority w:val="34"/>
    <w:qFormat/>
    <w:pPr>
      <w:ind w:firstLine="420"/>
    </w:pPr>
  </w:style>
  <w:style w:type="paragraph" w:styleId="1047" w:customStyle="1">
    <w:name w:val="Other|1"/>
    <w:basedOn w:val="808"/>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emf"/><Relationship Id="rId17" Type="http://schemas.openxmlformats.org/officeDocument/2006/relationships/oleObject" Target="embeddings/oleObject1.bin"/><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56</cp:revision>
  <dcterms:created xsi:type="dcterms:W3CDTF">2024-11-12T10:22:00Z</dcterms:created>
  <dcterms:modified xsi:type="dcterms:W3CDTF">2025-02-11T07:42:19Z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7033B05C256F43C29A7C94C5A5B8F603_13</vt:lpwstr>
  </property>
</Properties>
</file>