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4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4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940"/>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val="en-US" w:eastAsia="zh-CN"/>
        </w:rPr>
        <w:t xml:space="preserve">招标</w:t>
      </w:r>
      <w:r>
        <w:rPr>
          <w:rFonts w:hint="eastAsia" w:ascii="宋体" w:hAnsi="宋体" w:cs="宋体"/>
          <w:b/>
          <w:color w:val="000000"/>
          <w:sz w:val="52"/>
          <w:szCs w:val="52"/>
          <w:highlight w:val="none"/>
          <w:lang w:eastAsia="zh-CN"/>
        </w:rPr>
        <w:t xml:space="preserve">文件</w:t>
      </w:r>
      <w:r>
        <w:rPr>
          <w:rFonts w:hint="eastAsia" w:ascii="宋体" w:hAnsi="宋体" w:eastAsia="宋体" w:cs="宋体"/>
          <w:b/>
          <w:color w:val="000000"/>
          <w:sz w:val="52"/>
          <w:szCs w:val="52"/>
          <w:highlight w:val="none"/>
          <w:lang w:eastAsia="zh-CN"/>
        </w:rPr>
      </w:r>
      <w:r/>
    </w:p>
    <w:p>
      <w:pPr>
        <w:pStyle w:val="940"/>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94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11"/>
        <w:rPr>
          <w:rFonts w:hint="eastAsia"/>
          <w:color w:val="000000"/>
          <w:highlight w:val="none"/>
        </w:rPr>
      </w:pPr>
      <w:r>
        <w:rPr>
          <w:rFonts w:hint="eastAsia"/>
          <w:color w:val="000000"/>
          <w:highlight w:val="none"/>
        </w:rPr>
      </w:r>
      <w:r/>
    </w:p>
    <w:p>
      <w:pPr>
        <w:pStyle w:val="94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ind w:left="264" w:firstLine="73"/>
        <w:jc w:val="left"/>
        <w:spacing w:before="90" w:after="90"/>
        <w:shd w:val="clear" w:color="auto" w:fill="auto"/>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w:t>
      </w:r>
      <w:r>
        <w:rPr>
          <w:rFonts w:hint="eastAsia" w:ascii="宋体" w:hAnsi="宋体" w:cs="宋体"/>
          <w:b/>
          <w:color w:val="000000"/>
          <w:sz w:val="32"/>
          <w:szCs w:val="32"/>
          <w:highlight w:val="none"/>
          <w:lang w:eastAsia="zh-CN"/>
        </w:rPr>
        <w:t xml:space="preserve">JSZC-320206-BJJZ-G2025-0023</w:t>
      </w:r>
      <w:r>
        <w:rPr>
          <w:rFonts w:hint="eastAsia" w:ascii="宋体" w:hAnsi="宋体" w:eastAsia="宋体" w:cs="宋体"/>
          <w:b/>
          <w:color w:val="000000"/>
          <w:sz w:val="32"/>
          <w:szCs w:val="32"/>
          <w:highlight w:val="none"/>
          <w:lang w:val="en-US" w:eastAsia="zh-CN"/>
        </w:rPr>
      </w:r>
      <w:r/>
    </w:p>
    <w:p>
      <w:pPr>
        <w:pStyle w:val="94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40"/>
        <w:ind w:firstLine="320"/>
        <w:spacing w:line="360" w:lineRule="auto"/>
        <w:rPr>
          <w:rFonts w:ascii="宋体" w:hAnsi="宋体" w:eastAsia="宋体" w:cs="宋体"/>
          <w:b/>
          <w:bCs/>
          <w:color w:val="000000"/>
          <w:sz w:val="32"/>
          <w:szCs w:val="32"/>
          <w:highlight w:val="none"/>
          <w:lang w:val="en-US" w:eastAsia="zh-CN"/>
        </w:rPr>
      </w:pPr>
      <w:r>
        <w:rPr>
          <w:rFonts w:hint="eastAsia" w:ascii="宋体" w:hAnsi="宋体" w:cs="宋体"/>
          <w:b/>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区政务网安全升级设备租赁项目</w:t>
      </w:r>
      <w:r>
        <w:rPr>
          <w:rFonts w:ascii="宋体" w:hAnsi="宋体" w:eastAsia="宋体" w:cs="宋体"/>
          <w:b/>
          <w:bCs/>
          <w:color w:val="000000"/>
          <w:sz w:val="32"/>
          <w:szCs w:val="32"/>
          <w:highlight w:val="none"/>
          <w:lang w:val="en-US" w:eastAsia="zh-CN"/>
        </w:rPr>
      </w:r>
      <w:r/>
    </w:p>
    <w:p>
      <w:pPr>
        <w:pStyle w:val="94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40"/>
        <w:ind w:firstLine="320"/>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无锡市惠山区人民政府办公室</w:t>
      </w:r>
      <w:r>
        <w:rPr>
          <w:rFonts w:hint="eastAsia" w:ascii="宋体" w:hAnsi="宋体" w:eastAsia="宋体" w:cs="宋体"/>
          <w:b/>
          <w:color w:val="000000"/>
          <w:sz w:val="32"/>
          <w:szCs w:val="32"/>
          <w:highlight w:val="none"/>
          <w:lang w:eastAsia="zh-CN"/>
        </w:rPr>
      </w:r>
      <w:r/>
    </w:p>
    <w:p>
      <w:pPr>
        <w:pStyle w:val="94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40"/>
        <w:ind w:firstLine="320"/>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北京建智达工程管理股份有限公司</w:t>
      </w:r>
      <w:r>
        <w:rPr>
          <w:rFonts w:hint="eastAsia" w:ascii="宋体" w:hAnsi="宋体" w:eastAsia="宋体" w:cs="宋体"/>
          <w:b/>
          <w:color w:val="000000"/>
          <w:sz w:val="32"/>
          <w:szCs w:val="32"/>
          <w:highlight w:val="none"/>
          <w:lang w:eastAsia="zh-CN"/>
        </w:rPr>
      </w:r>
      <w:r/>
    </w:p>
    <w:p>
      <w:pPr>
        <w:pStyle w:val="11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4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lang w:eastAsia="zh-CN"/>
        </w:rPr>
        <w:t xml:space="preserve">二〇</w:t>
      </w:r>
      <w:r>
        <w:rPr>
          <w:rFonts w:hint="eastAsia" w:ascii="宋体" w:hAnsi="宋体" w:cs="宋体"/>
          <w:b/>
          <w:color w:val="000000"/>
          <w:sz w:val="32"/>
          <w:szCs w:val="32"/>
          <w:highlight w:val="none"/>
        </w:rPr>
        <w:t xml:space="preserve">二</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940"/>
        <w:rPr>
          <w:rFonts w:hint="eastAsia"/>
          <w:color w:val="000000"/>
          <w:highlight w:val="none"/>
        </w:rPr>
      </w:pPr>
      <w:r>
        <w:rPr>
          <w:rFonts w:hint="eastAsia"/>
          <w:color w:val="000000"/>
          <w:highlight w:val="none"/>
        </w:rPr>
      </w:r>
      <w:r/>
    </w:p>
    <w:p>
      <w:pPr>
        <w:pStyle w:val="940"/>
        <w:jc w:val="center"/>
        <w:spacing w:line="360" w:lineRule="auto"/>
        <w:rPr>
          <w:rFonts w:hint="eastAsia" w:ascii="宋体" w:hAnsi="宋体" w:cs="宋体"/>
          <w:b/>
          <w:color w:val="000000"/>
          <w:sz w:val="44"/>
          <w:szCs w:val="44"/>
          <w:highlight w:val="none"/>
        </w:rPr>
        <w:sectPr>
          <w:footnotePr/>
          <w:endnotePr/>
          <w:type w:val="nextPage"/>
          <w:pgSz w:w="11906" w:h="16838" w:orient="portrait"/>
          <w:pgMar w:top="1440" w:right="1440" w:bottom="1440" w:left="1440" w:header="624" w:footer="907" w:gutter="0"/>
          <w:cols w:num="1" w:sep="0" w:space="1701" w:equalWidth="1"/>
          <w:docGrid w:linePitch="360"/>
          <w:titlePg/>
        </w:sectPr>
      </w:pPr>
      <w:r>
        <w:rPr>
          <w:rFonts w:hint="eastAsia" w:ascii="宋体" w:hAnsi="宋体" w:cs="宋体"/>
          <w:b/>
          <w:color w:val="000000"/>
          <w:sz w:val="44"/>
          <w:szCs w:val="44"/>
          <w:highlight w:val="none"/>
        </w:rPr>
      </w:r>
      <w:r/>
    </w:p>
    <w:p>
      <w:pPr>
        <w:pStyle w:val="940"/>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44"/>
          <w:szCs w:val="44"/>
          <w:highlight w:val="none"/>
        </w:rPr>
        <w:t xml:space="preserve">目</w:t>
      </w: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录</w:t>
      </w:r>
      <w:r>
        <w:rPr>
          <w:rFonts w:hint="eastAsia" w:ascii="宋体" w:hAnsi="宋体" w:cs="宋体"/>
          <w:b/>
          <w:color w:val="000000"/>
          <w:sz w:val="30"/>
          <w:szCs w:val="30"/>
          <w:highlight w:val="none"/>
        </w:rPr>
      </w:r>
      <w:r/>
    </w:p>
    <w:p>
      <w:pPr>
        <w:pStyle w:val="940"/>
        <w:spacing w:line="1000" w:lineRule="exact"/>
        <w:tabs>
          <w:tab w:val="left" w:pos="8000" w:leader="none"/>
        </w:tabs>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第一部分</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投标邀请</w:t>
      </w:r>
      <w:r>
        <w:rPr>
          <w:rFonts w:hint="eastAsia" w:ascii="宋体" w:hAnsi="宋体" w:eastAsia="宋体" w:cs="宋体"/>
          <w:b/>
          <w:color w:val="000000"/>
          <w:sz w:val="30"/>
          <w:szCs w:val="30"/>
          <w:highlight w:val="none"/>
          <w:lang w:eastAsia="zh-CN"/>
        </w:rPr>
      </w:r>
      <w:r/>
    </w:p>
    <w:p>
      <w:pPr>
        <w:pStyle w:val="940"/>
        <w:spacing w:line="10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第二部分</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w:t>
      </w:r>
      <w:r>
        <w:rPr>
          <w:rFonts w:hint="eastAsia" w:ascii="宋体" w:hAnsi="宋体" w:eastAsia="宋体" w:cs="宋体"/>
          <w:b/>
          <w:color w:val="000000"/>
          <w:sz w:val="30"/>
          <w:szCs w:val="30"/>
          <w:highlight w:val="none"/>
          <w:lang w:eastAsia="zh-CN"/>
        </w:rPr>
      </w:r>
      <w:r/>
    </w:p>
    <w:p>
      <w:pPr>
        <w:pStyle w:val="940"/>
        <w:spacing w:line="10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第三部分</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采购需求</w:t>
      </w:r>
      <w:r>
        <w:rPr>
          <w:rFonts w:hint="eastAsia" w:ascii="宋体" w:hAnsi="宋体" w:eastAsia="宋体" w:cs="宋体"/>
          <w:b/>
          <w:color w:val="000000"/>
          <w:sz w:val="30"/>
          <w:szCs w:val="30"/>
          <w:highlight w:val="none"/>
          <w:lang w:eastAsia="zh-CN"/>
        </w:rPr>
      </w:r>
      <w:r/>
    </w:p>
    <w:p>
      <w:pPr>
        <w:pStyle w:val="940"/>
        <w:spacing w:line="10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第四部分</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合同</w:t>
      </w:r>
      <w:r>
        <w:rPr>
          <w:rFonts w:hint="eastAsia" w:ascii="宋体" w:hAnsi="宋体" w:eastAsia="宋体" w:cs="宋体"/>
          <w:b/>
          <w:color w:val="000000"/>
          <w:sz w:val="30"/>
          <w:szCs w:val="30"/>
          <w:highlight w:val="none"/>
          <w:lang w:eastAsia="zh-CN"/>
        </w:rPr>
      </w:r>
      <w:r/>
    </w:p>
    <w:p>
      <w:pPr>
        <w:pStyle w:val="940"/>
        <w:spacing w:line="1000" w:lineRule="exact"/>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第五部分</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附件</w:t>
      </w:r>
      <w:r>
        <w:rPr>
          <w:rFonts w:hint="eastAsia" w:ascii="宋体" w:hAnsi="宋体" w:eastAsia="宋体" w:cs="宋体"/>
          <w:b/>
          <w:color w:val="000000"/>
          <w:sz w:val="30"/>
          <w:szCs w:val="30"/>
          <w:highlight w:val="none"/>
          <w:lang w:eastAsia="zh-CN"/>
        </w:rPr>
      </w:r>
      <w:r/>
    </w:p>
    <w:p>
      <w:pPr>
        <w:pStyle w:val="94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4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0"/>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40"/>
        <w:jc w:val="both"/>
        <w:spacing w:before="470" w:line="440" w:lineRule="exact"/>
        <w:widowControl/>
        <w:rPr>
          <w:rFonts w:hint="eastAsia" w:ascii="宋体" w:hAnsi="宋体" w:cs="宋体"/>
          <w:b/>
          <w:color w:val="000000"/>
          <w:sz w:val="44"/>
          <w:szCs w:val="44"/>
          <w:highlight w:val="none"/>
        </w:rPr>
        <w:sectPr>
          <w:footnotePr/>
          <w:endnotePr/>
          <w:type w:val="nextPage"/>
          <w:pgSz w:w="11906" w:h="16838" w:orient="portrait"/>
          <w:pgMar w:top="1440" w:right="1440" w:bottom="1440" w:left="1440" w:header="624" w:footer="907" w:gutter="0"/>
          <w:cols w:num="1" w:sep="0" w:space="1701" w:equalWidth="1"/>
          <w:docGrid w:linePitch="360"/>
          <w:titlePg/>
        </w:sectPr>
      </w:pPr>
      <w:r>
        <w:rPr>
          <w:rFonts w:hint="eastAsia" w:ascii="宋体" w:hAnsi="宋体" w:cs="宋体"/>
          <w:b/>
          <w:color w:val="000000"/>
          <w:sz w:val="44"/>
          <w:szCs w:val="44"/>
          <w:highlight w:val="none"/>
        </w:rPr>
      </w:r>
      <w:r/>
    </w:p>
    <w:p>
      <w:pPr>
        <w:pStyle w:val="940"/>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第一部分.投标邀请</w:t>
      </w:r>
      <w:r>
        <w:rPr>
          <w:rFonts w:hint="eastAsia" w:ascii="宋体" w:hAnsi="宋体" w:cs="宋体"/>
          <w:b/>
          <w:color w:val="000000"/>
          <w:sz w:val="44"/>
          <w:szCs w:val="44"/>
          <w:highlight w:val="none"/>
        </w:rPr>
      </w:r>
      <w:r/>
    </w:p>
    <w:p>
      <w:pPr>
        <w:pStyle w:val="940"/>
        <w:ind w:firstLine="480"/>
        <w:jc w:val="left"/>
        <w:spacing w:before="470" w:line="360" w:lineRule="auto"/>
        <w:widowControl/>
        <w:rPr>
          <w:rFonts w:hint="eastAsia" w:ascii="宋体" w:hAnsi="宋体" w:cs="宋体"/>
          <w:b w:val="0"/>
          <w:bCs w:val="0"/>
          <w:color w:val="000000"/>
          <w:sz w:val="44"/>
          <w:szCs w:val="44"/>
          <w:highlight w:val="none"/>
        </w:rPr>
      </w:pPr>
      <w:r>
        <w:rPr>
          <w:rFonts w:hint="eastAsia" w:ascii="宋体" w:hAnsi="宋体" w:cs="宋体"/>
          <w:b w:val="0"/>
          <w:bCs w:val="0"/>
          <w:color w:val="000000"/>
          <w:sz w:val="24"/>
          <w:highlight w:val="none"/>
          <w:lang w:eastAsia="zh-CN"/>
        </w:rPr>
        <w:t xml:space="preserve">北京建智达工程管理股份有限公司</w:t>
      </w:r>
      <w:r>
        <w:rPr>
          <w:rFonts w:hint="eastAsia" w:ascii="宋体" w:hAnsi="宋体" w:cs="宋体"/>
          <w:b w:val="0"/>
          <w:bCs w:val="0"/>
          <w:color w:val="000000"/>
          <w:sz w:val="24"/>
          <w:highlight w:val="none"/>
        </w:rPr>
        <w:t xml:space="preserve">受</w:t>
      </w:r>
      <w:r>
        <w:rPr>
          <w:rFonts w:hint="eastAsia" w:ascii="宋体" w:hAnsi="宋体" w:cs="宋体"/>
          <w:b w:val="0"/>
          <w:bCs w:val="0"/>
          <w:color w:val="000000"/>
          <w:sz w:val="24"/>
          <w:highlight w:val="none"/>
          <w:lang w:eastAsia="zh-CN"/>
        </w:rPr>
        <w:t xml:space="preserve">无锡市惠山区人民政府办公室</w:t>
      </w:r>
      <w:r>
        <w:rPr>
          <w:rFonts w:hint="eastAsia" w:ascii="宋体" w:hAnsi="宋体" w:cs="宋体"/>
          <w:b w:val="0"/>
          <w:bCs w:val="0"/>
          <w:color w:val="000000"/>
          <w:sz w:val="24"/>
          <w:highlight w:val="none"/>
        </w:rPr>
        <w:t xml:space="preserve">委托，就其</w:t>
      </w:r>
      <w:r>
        <w:rPr>
          <w:rFonts w:hint="eastAsia" w:ascii="宋体" w:hAnsi="宋体" w:cs="宋体"/>
          <w:b w:val="0"/>
          <w:bCs w:val="0"/>
          <w:color w:val="000000"/>
          <w:sz w:val="24"/>
          <w:highlight w:val="none"/>
          <w:lang w:eastAsia="zh-CN"/>
        </w:rPr>
        <w:t xml:space="preserve">区政务网安全升级设备租赁项目</w:t>
      </w:r>
      <w:r>
        <w:rPr>
          <w:rFonts w:hint="eastAsia" w:ascii="宋体" w:hAnsi="宋体" w:cs="宋体"/>
          <w:b w:val="0"/>
          <w:bCs w:val="0"/>
          <w:color w:val="000000"/>
          <w:sz w:val="24"/>
          <w:highlight w:val="none"/>
        </w:rPr>
        <w:t xml:space="preserve">进行公开招标。现欢迎符合相关条件的</w:t>
      </w:r>
      <w:r>
        <w:rPr>
          <w:rFonts w:hint="eastAsia" w:ascii="宋体" w:hAnsi="宋体" w:cs="宋体"/>
          <w:b w:val="0"/>
          <w:bCs w:val="0"/>
          <w:color w:val="000000"/>
          <w:sz w:val="24"/>
          <w:highlight w:val="none"/>
          <w:lang w:eastAsia="zh-CN"/>
        </w:rPr>
        <w:t xml:space="preserve">投标供应商</w:t>
      </w:r>
      <w:r>
        <w:rPr>
          <w:rFonts w:hint="eastAsia" w:ascii="宋体" w:hAnsi="宋体" w:cs="宋体"/>
          <w:b w:val="0"/>
          <w:bCs w:val="0"/>
          <w:color w:val="000000"/>
          <w:sz w:val="24"/>
          <w:highlight w:val="none"/>
        </w:rPr>
        <w:t xml:space="preserve">参加投标，投标邀请如下：</w:t>
      </w:r>
      <w:r>
        <w:rPr>
          <w:rFonts w:hint="eastAsia" w:ascii="宋体" w:hAnsi="宋体" w:cs="宋体"/>
          <w:b w:val="0"/>
          <w:bCs w:val="0"/>
          <w:color w:val="000000"/>
          <w:sz w:val="44"/>
          <w:szCs w:val="44"/>
          <w:highlight w:val="none"/>
        </w:rPr>
      </w:r>
      <w:r/>
    </w:p>
    <w:tbl>
      <w:tblPr>
        <w:tblW w:w="9155" w:type="dxa"/>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8445"/>
      </w:tblGrid>
      <w:tr>
        <w:trPr>
          <w:trHeight w:val="516"/>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445"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区政务网安全升级设备租赁项目</w:t>
            </w:r>
            <w:r>
              <w:rPr>
                <w:rFonts w:ascii="宋体" w:hAnsi="宋体" w:eastAsia="宋体" w:cs="宋体"/>
                <w:color w:val="000000"/>
                <w:sz w:val="24"/>
                <w:szCs w:val="24"/>
                <w:highlight w:val="none"/>
                <w:lang w:val="en-US"/>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采购编号：</w:t>
            </w:r>
            <w:r>
              <w:rPr>
                <w:rFonts w:hint="eastAsia" w:ascii="宋体" w:hAnsi="宋体" w:cs="宋体"/>
                <w:color w:val="000000"/>
                <w:sz w:val="24"/>
                <w:highlight w:val="none"/>
                <w:lang w:eastAsia="zh-CN"/>
              </w:rPr>
              <w:t xml:space="preserve">JSZC-320206-BJJZ-G2025-0023</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无锡市惠山区人民政府办公室</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采购人地址：</w:t>
            </w:r>
            <w:r>
              <w:rPr>
                <w:rFonts w:hint="eastAsia" w:ascii="宋体" w:hAnsi="宋体" w:eastAsia="宋体" w:cs="宋体"/>
                <w:color w:val="000000"/>
                <w:sz w:val="24"/>
                <w:szCs w:val="24"/>
                <w:highlight w:val="none"/>
                <w:lang w:val="en-US" w:eastAsia="zh-CN"/>
              </w:rPr>
              <w:t xml:space="preserve">无锡市惠山区堰桥街道文惠路8号</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北京建智达工程管理股份有限公司</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无锡市滨湖区绣溪道59号交大创意园21号楼3楼</w:t>
            </w:r>
            <w:r>
              <w:rPr>
                <w:rFonts w:hint="eastAsia" w:ascii="宋体" w:hAnsi="宋体" w:eastAsia="宋体" w:cs="宋体"/>
                <w:color w:val="000000"/>
                <w:sz w:val="24"/>
                <w:szCs w:val="24"/>
                <w:highlight w:val="none"/>
                <w:lang w:val="en-US" w:eastAsia="zh-CN"/>
              </w:rPr>
            </w:r>
            <w:r/>
          </w:p>
        </w:tc>
      </w:tr>
      <w:tr>
        <w:trPr>
          <w:trHeight w:val="378"/>
        </w:trPr>
        <w:tc>
          <w:tcPr>
            <w:tcW w:w="710" w:type="dxa"/>
            <w:vAlign w:val="center"/>
            <w:textDirection w:val="lrTb"/>
            <w:noWrap w:val="false"/>
          </w:tcPr>
          <w:p>
            <w:pPr>
              <w:pStyle w:val="940"/>
              <w:ind w:left="0" w:right="0" w:firstLine="0"/>
              <w:jc w:val="center"/>
              <w:keepLines w:val="0"/>
              <w:keepNext w:val="0"/>
              <w:pageBreakBefore w:val="0"/>
              <w:spacing w:line="31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8445" w:type="dxa"/>
            <w:vAlign w:val="center"/>
            <w:textDirection w:val="lrTb"/>
            <w:noWrap w:val="false"/>
          </w:tcPr>
          <w:p>
            <w:pPr>
              <w:pStyle w:val="940"/>
              <w:numPr>
                <w:ilvl w:val="0"/>
                <w:numId w:val="0"/>
              </w:numPr>
              <w:ind w:left="0" w:right="0" w:firstLine="0"/>
              <w:jc w:val="left"/>
              <w:keepLines w:val="0"/>
              <w:keepNext w:val="0"/>
              <w:pageBreakBefore w:val="0"/>
              <w:spacing w:line="312"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采购项目概况、要求：</w:t>
            </w:r>
            <w:r>
              <w:rPr>
                <w:rFonts w:hint="eastAsia" w:ascii="宋体" w:hAnsi="宋体" w:eastAsia="宋体" w:cs="宋体"/>
                <w:bCs/>
                <w:color w:val="000000"/>
                <w:sz w:val="24"/>
                <w:szCs w:val="24"/>
                <w:highlight w:val="none"/>
                <w:lang w:eastAsia="zh-CN"/>
              </w:rPr>
            </w:r>
            <w:r/>
          </w:p>
          <w:p>
            <w:pPr>
              <w:pStyle w:val="940"/>
              <w:jc w:val="left"/>
              <w:keepLines w:val="0"/>
              <w:keepNext w:val="0"/>
              <w:pageBreakBefore w:val="0"/>
              <w:spacing w:line="312" w:lineRule="auto"/>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（1）</w:t>
            </w:r>
            <w:r>
              <w:rPr>
                <w:rFonts w:hint="eastAsia" w:ascii="宋体" w:hAnsi="宋体" w:cs="宋体"/>
                <w:color w:val="000000"/>
                <w:sz w:val="24"/>
                <w:szCs w:val="24"/>
                <w:highlight w:val="none"/>
                <w:lang w:eastAsia="zh-CN"/>
              </w:rPr>
              <w:t xml:space="preserve">区政务网安全升级设备租赁项目</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szCs w:val="24"/>
                <w:highlight w:val="none"/>
              </w:rPr>
              <w:t xml:space="preserve">具体内容详见采购需求</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940"/>
              <w:jc w:val="left"/>
              <w:keepLines w:val="0"/>
              <w:keepNext w:val="0"/>
              <w:pageBreakBefore w:val="0"/>
              <w:spacing w:line="312" w:lineRule="auto"/>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（2）</w:t>
            </w:r>
            <w:r>
              <w:rPr>
                <w:rFonts w:hint="eastAsia" w:ascii="宋体" w:hAnsi="宋体"/>
                <w:bCs/>
                <w:color w:val="000000"/>
                <w:sz w:val="24"/>
                <w:szCs w:val="24"/>
                <w:highlight w:val="none"/>
              </w:rPr>
              <w:t xml:space="preserve">完工期：合同签订30天内完成服务部署、调试工作。服务期：一年服务期，自合同签订生效之日起计算</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940"/>
              <w:jc w:val="left"/>
              <w:keepLines w:val="0"/>
              <w:keepNext w:val="0"/>
              <w:pageBreakBefore w:val="0"/>
              <w:spacing w:line="312" w:lineRule="auto"/>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（3）服务质量要求：</w:t>
            </w:r>
            <w:r>
              <w:rPr>
                <w:rFonts w:hint="eastAsia" w:ascii="宋体" w:hAnsi="宋体" w:eastAsia="宋体" w:cs="宋体"/>
                <w:bCs w:val="0"/>
                <w:color w:val="000000"/>
                <w:sz w:val="24"/>
                <w:highlight w:val="none"/>
                <w:lang w:eastAsia="zh-CN"/>
              </w:rPr>
              <w:t xml:space="preserve">合格，符合采购人需求</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940"/>
              <w:jc w:val="left"/>
              <w:keepLines w:val="0"/>
              <w:keepNext w:val="0"/>
              <w:pageBreakBefore w:val="0"/>
              <w:spacing w:line="312" w:lineRule="auto"/>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lang w:val="en-US" w:eastAsia="zh-CN"/>
              </w:rPr>
              <w:t xml:space="preserve">4</w:t>
            </w:r>
            <w:r>
              <w:rPr>
                <w:rFonts w:hint="eastAsia" w:ascii="宋体" w:hAnsi="宋体" w:eastAsia="宋体" w:cs="宋体"/>
                <w:bCs w:val="0"/>
                <w:color w:val="000000"/>
                <w:sz w:val="24"/>
                <w:highlight w:val="none"/>
              </w:rPr>
              <w:t xml:space="preserve">）本项目采购预算价：</w:t>
            </w:r>
            <w:r>
              <w:rPr>
                <w:rFonts w:hint="eastAsia" w:ascii="宋体" w:hAnsi="宋体" w:cs="宋体"/>
                <w:bCs w:val="0"/>
                <w:color w:val="000000"/>
                <w:sz w:val="24"/>
                <w:highlight w:val="none"/>
                <w:lang w:val="en-US" w:eastAsia="zh-CN"/>
              </w:rPr>
              <w:t xml:space="preserve">57.4614</w:t>
            </w:r>
            <w:r>
              <w:rPr>
                <w:rFonts w:hint="eastAsia" w:ascii="宋体" w:hAnsi="宋体" w:eastAsia="宋体" w:cs="宋体"/>
                <w:bCs w:val="0"/>
                <w:color w:val="000000"/>
                <w:sz w:val="24"/>
                <w:highlight w:val="none"/>
              </w:rPr>
              <w:t xml:space="preserve">万元。</w:t>
            </w:r>
            <w:r>
              <w:rPr>
                <w:rFonts w:hint="eastAsia" w:ascii="宋体" w:hAnsi="宋体" w:eastAsia="宋体" w:cs="宋体"/>
                <w:bCs w:val="0"/>
                <w:color w:val="000000"/>
                <w:sz w:val="24"/>
                <w:highlight w:val="none"/>
              </w:rPr>
            </w:r>
            <w:r/>
          </w:p>
          <w:p>
            <w:pPr>
              <w:pStyle w:val="940"/>
              <w:numPr>
                <w:ilvl w:val="0"/>
                <w:numId w:val="0"/>
              </w:numPr>
              <w:ind w:firstLine="0"/>
              <w:jc w:val="left"/>
              <w:keepLines w:val="0"/>
              <w:keepNext w:val="0"/>
              <w:pageBreakBefore w:val="0"/>
              <w:spacing w:line="312" w:lineRule="auto"/>
              <w:widowControl/>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lang w:val="en-US" w:eastAsia="zh-CN"/>
              </w:rPr>
              <w:t xml:space="preserve">5</w:t>
            </w:r>
            <w:r>
              <w:rPr>
                <w:rFonts w:hint="eastAsia" w:ascii="宋体" w:hAnsi="宋体" w:eastAsia="宋体" w:cs="宋体"/>
                <w:bCs w:val="0"/>
                <w:color w:val="000000"/>
                <w:sz w:val="24"/>
                <w:highlight w:val="none"/>
              </w:rPr>
              <w:t xml:space="preserve">）本项目最高限价（人民币）：</w:t>
            </w:r>
            <w:r>
              <w:rPr>
                <w:rFonts w:hint="eastAsia" w:ascii="宋体" w:hAnsi="宋体" w:cs="宋体"/>
                <w:bCs w:val="0"/>
                <w:color w:val="000000"/>
                <w:sz w:val="24"/>
                <w:highlight w:val="none"/>
                <w:lang w:val="en-US" w:eastAsia="zh-CN"/>
              </w:rPr>
              <w:t xml:space="preserve">57.4614</w:t>
            </w:r>
            <w:r>
              <w:rPr>
                <w:rFonts w:hint="eastAsia" w:ascii="宋体" w:hAnsi="宋体" w:eastAsia="宋体" w:cs="宋体"/>
                <w:bCs w:val="0"/>
                <w:color w:val="000000"/>
                <w:sz w:val="24"/>
                <w:highlight w:val="none"/>
              </w:rPr>
              <w:t xml:space="preserve">万元；超过最高限价的按无效投标文件处理。</w:t>
            </w:r>
            <w:r>
              <w:rPr>
                <w:rFonts w:hint="eastAsia" w:ascii="宋体" w:hAnsi="宋体" w:eastAsia="宋体" w:cs="宋体"/>
                <w:bCs w:val="0"/>
                <w:color w:val="000000"/>
                <w:sz w:val="24"/>
                <w:highlight w:val="none"/>
              </w:rPr>
            </w:r>
            <w:r/>
          </w:p>
          <w:p>
            <w:pPr>
              <w:pStyle w:val="940"/>
              <w:numPr>
                <w:ilvl w:val="0"/>
                <w:numId w:val="0"/>
              </w:numPr>
              <w:ind w:firstLine="0"/>
              <w:jc w:val="left"/>
              <w:keepLines w:val="0"/>
              <w:keepNext w:val="0"/>
              <w:pageBreakBefore w:val="0"/>
              <w:spacing w:line="312" w:lineRule="auto"/>
              <w:widowControl/>
              <w:rPr>
                <w:rFonts w:hint="eastAsia" w:ascii="宋体" w:hAnsi="宋体" w:eastAsia="宋体" w:cs="宋体"/>
                <w:bCs w:val="0"/>
                <w:color w:val="000000"/>
                <w:sz w:val="24"/>
                <w:szCs w:val="24"/>
                <w:highlight w:val="none"/>
                <w:lang w:eastAsia="zh-CN"/>
              </w:rPr>
            </w:pP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rPr>
              <w:t xml:space="preserve">）本项目是否专门面向中小企业：</w:t>
            </w:r>
            <w:r>
              <w:rPr>
                <w:rFonts w:hint="eastAsia" w:ascii="宋体" w:hAnsi="宋体" w:eastAsia="宋体" w:cs="宋体"/>
                <w:bCs w:val="0"/>
                <w:color w:val="000000"/>
                <w:sz w:val="24"/>
                <w:szCs w:val="24"/>
                <w:highlight w:val="none"/>
                <w:lang w:val="en-US" w:eastAsia="zh-CN"/>
              </w:rPr>
              <w:t xml:space="preserve">否</w:t>
            </w:r>
            <w:r>
              <w:rPr>
                <w:rFonts w:hint="eastAsia" w:ascii="宋体" w:hAnsi="宋体" w:eastAsia="宋体" w:cs="宋体"/>
                <w:bCs w:val="0"/>
                <w:color w:val="000000"/>
                <w:sz w:val="24"/>
                <w:szCs w:val="24"/>
                <w:highlight w:val="none"/>
                <w:lang w:eastAsia="zh-CN"/>
              </w:rPr>
            </w:r>
            <w:r/>
          </w:p>
          <w:p>
            <w:pPr>
              <w:pStyle w:val="940"/>
              <w:ind w:left="0" w:right="0"/>
              <w:jc w:val="left"/>
              <w:keepLines w:val="0"/>
              <w:keepNext w:val="0"/>
              <w:pageBreakBefore w:val="0"/>
              <w:spacing w:line="312" w:lineRule="auto"/>
              <w:rPr>
                <w:rFonts w:hint="eastAsia"/>
                <w:color w:val="000000"/>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本项目标的所属行业：</w:t>
            </w:r>
            <w:r>
              <w:rPr>
                <w:rFonts w:hint="eastAsia" w:ascii="宋体" w:hAnsi="宋体" w:cs="宋体"/>
                <w:color w:val="000000"/>
                <w:sz w:val="24"/>
                <w:szCs w:val="24"/>
                <w:highlight w:val="none"/>
                <w:lang w:eastAsia="zh-CN"/>
              </w:rPr>
              <w:t xml:space="preserve">软件和信息技术服务业</w:t>
            </w:r>
            <w:r>
              <w:rPr>
                <w:rFonts w:hint="eastAsia" w:ascii="宋体" w:hAnsi="宋体" w:eastAsia="宋体" w:cs="宋体"/>
                <w:color w:val="000000"/>
                <w:sz w:val="24"/>
                <w:szCs w:val="24"/>
                <w:highlight w:val="none"/>
              </w:rPr>
              <w:t xml:space="preserve">。根据《中小企业划型标准规定》（工信部联企业〔2011〕300号）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highlight w:val="none"/>
                <w:lang w:eastAsia="zh-CN"/>
              </w:rPr>
            </w:r>
            <w:r/>
          </w:p>
        </w:tc>
      </w:tr>
      <w:tr>
        <w:trPr>
          <w:trHeight w:val="557"/>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资格条件：</w:t>
            </w:r>
            <w:r>
              <w:rPr>
                <w:rFonts w:hint="eastAsia" w:ascii="宋体" w:hAnsi="宋体" w:eastAsia="宋体" w:cs="宋体"/>
                <w:color w:val="000000"/>
                <w:sz w:val="24"/>
                <w:szCs w:val="24"/>
                <w:highlight w:val="none"/>
                <w:lang w:eastAsia="zh-CN"/>
              </w:rPr>
            </w:r>
            <w:r/>
          </w:p>
          <w:p>
            <w:pPr>
              <w:pStyle w:val="940"/>
              <w:numPr>
                <w:ilvl w:val="0"/>
                <w:numId w:val="0"/>
              </w:numPr>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满足《中华人民共和国政府采购法》第二十二条规定；</w:t>
            </w:r>
            <w:r>
              <w:rPr>
                <w:rFonts w:hint="eastAsia" w:ascii="宋体" w:hAnsi="宋体" w:eastAsia="宋体" w:cs="宋体"/>
                <w:bCs/>
                <w:color w:val="000000"/>
                <w:sz w:val="24"/>
                <w:szCs w:val="24"/>
                <w:highlight w:val="none"/>
              </w:rPr>
            </w:r>
            <w:r/>
          </w:p>
          <w:p>
            <w:pPr>
              <w:pStyle w:val="940"/>
              <w:numPr>
                <w:ilvl w:val="0"/>
                <w:numId w:val="0"/>
              </w:numPr>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①具有独立承担民事责任的能力；</w:t>
            </w:r>
            <w:r>
              <w:rPr>
                <w:rFonts w:hint="eastAsia" w:ascii="宋体" w:hAnsi="宋体" w:eastAsia="宋体" w:cs="宋体"/>
                <w:bCs/>
                <w:color w:val="000000"/>
                <w:sz w:val="24"/>
                <w:szCs w:val="24"/>
                <w:highlight w:val="none"/>
                <w:lang w:eastAsia="zh-CN"/>
              </w:rPr>
            </w:r>
            <w:r/>
          </w:p>
          <w:p>
            <w:pPr>
              <w:pStyle w:val="940"/>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②具有良好的商业信誉和健全的财务会计制度；</w:t>
            </w:r>
            <w:r>
              <w:rPr>
                <w:rFonts w:hint="eastAsia" w:ascii="宋体" w:hAnsi="宋体" w:eastAsia="宋体" w:cs="宋体"/>
                <w:bCs/>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③具有履行合同所必需的设备和专业技术能力；</w:t>
            </w:r>
            <w:r>
              <w:rPr>
                <w:rFonts w:hint="eastAsia" w:ascii="宋体" w:hAnsi="宋体" w:eastAsia="宋体" w:cs="宋体"/>
                <w:bCs/>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④有依法缴纳税收和社会保障资金的良好记录；</w:t>
            </w:r>
            <w:r>
              <w:rPr>
                <w:rFonts w:hint="eastAsia" w:ascii="宋体" w:hAnsi="宋体" w:eastAsia="宋体" w:cs="宋体"/>
                <w:bCs/>
                <w:color w:val="000000"/>
                <w:sz w:val="24"/>
                <w:szCs w:val="24"/>
                <w:highlight w:val="none"/>
                <w:lang w:eastAsia="zh-CN"/>
              </w:rPr>
            </w:r>
            <w:r/>
          </w:p>
          <w:p>
            <w:pPr>
              <w:pStyle w:val="940"/>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⑤参加政府采购活动前三年内，在经营活动中没有重大违法记录；</w:t>
            </w:r>
            <w:r>
              <w:rPr>
                <w:rFonts w:hint="eastAsia" w:ascii="宋体" w:hAnsi="宋体" w:eastAsia="宋体" w:cs="宋体"/>
                <w:bCs/>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⑥法律、行政法规规定的其他条件。</w:t>
            </w:r>
            <w:r>
              <w:rPr>
                <w:rFonts w:hint="eastAsia" w:ascii="宋体" w:hAnsi="宋体" w:eastAsia="宋体" w:cs="宋体"/>
                <w:bCs/>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“重大违法记录”</w:t>
            </w:r>
            <w:r>
              <w:rPr>
                <w:rFonts w:hint="eastAsia" w:ascii="宋体" w:hAnsi="宋体" w:eastAsia="宋体" w:cs="宋体"/>
                <w:color w:val="000000"/>
                <w:sz w:val="24"/>
                <w:szCs w:val="24"/>
                <w:highlight w:val="none"/>
              </w:rPr>
              <w:t xml:space="preserve">，是指供应商因违法经营受到刑事处罚或者责令停产停业、吊销许可证或者执照、较大数额罚款等行政处罚。其中，较大数额罚款按财库</w:t>
            </w:r>
            <w:r>
              <w:rPr>
                <w:rFonts w:hint="eastAsia" w:ascii="宋体" w:hAnsi="宋体" w:cs="宋体"/>
                <w:color w:val="000000"/>
                <w:sz w:val="24"/>
                <w:szCs w:val="24"/>
                <w:highlight w:val="none"/>
                <w:lang w:eastAsia="zh-CN"/>
              </w:rPr>
              <w:t xml:space="preserve">〔2022〕3号</w:t>
            </w:r>
            <w:r>
              <w:rPr>
                <w:rFonts w:hint="eastAsia" w:ascii="宋体" w:hAnsi="宋体" w:eastAsia="宋体" w:cs="宋体"/>
                <w:color w:val="000000"/>
                <w:sz w:val="24"/>
                <w:szCs w:val="24"/>
                <w:highlight w:val="none"/>
              </w:rPr>
              <w:t xml:space="preserve">文，认定为200万元以上的罚款，法律、行政法规以及国务院有关部门明确规定相关领域“较大数额罚款”标准高于200万元的，从其规定。</w:t>
            </w:r>
            <w:r>
              <w:rPr>
                <w:rFonts w:hint="eastAsia" w:ascii="宋体" w:hAnsi="宋体" w:eastAsia="宋体" w:cs="宋体"/>
                <w:bCs/>
                <w:color w:val="000000"/>
                <w:sz w:val="24"/>
                <w:szCs w:val="24"/>
                <w:highlight w:val="none"/>
              </w:rPr>
            </w:r>
            <w:r/>
          </w:p>
          <w:p>
            <w:pPr>
              <w:pStyle w:val="940"/>
              <w:numPr>
                <w:ilvl w:val="0"/>
                <w:numId w:val="0"/>
              </w:numPr>
              <w:ind w:left="0" w:right="0" w:firstLine="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bCs/>
                <w:color w:val="000000"/>
                <w:sz w:val="24"/>
                <w:szCs w:val="24"/>
                <w:highlight w:val="none"/>
              </w:rPr>
            </w:r>
            <w:r/>
          </w:p>
          <w:p>
            <w:pPr>
              <w:pStyle w:val="940"/>
              <w:numPr>
                <w:ilvl w:val="0"/>
                <w:numId w:val="0"/>
              </w:numPr>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color w:val="000000"/>
                <w:sz w:val="24"/>
                <w:szCs w:val="24"/>
                <w:highlight w:val="none"/>
              </w:rPr>
              <w:t xml:space="preserve">投标供应商如为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小微企业的，按照《政府采购促进中小企业发展管理办法》（财库〔2020〕46号）规定提供《中小企业声明函》；</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color w:val="000000"/>
                <w:sz w:val="24"/>
                <w:szCs w:val="24"/>
                <w:highlight w:val="none"/>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w:t>
            </w:r>
            <w:r>
              <w:rPr>
                <w:rFonts w:ascii="宋体" w:hAnsi="宋体" w:eastAsia="宋体" w:cs="宋体"/>
                <w:color w:val="000000"/>
                <w:sz w:val="24"/>
                <w:szCs w:val="24"/>
                <w:highlight w:val="none"/>
                <w:lang w:val="en-US"/>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③投标供应商如为残疾人福利性单位的提供《残疾人福利性单位声明函》；</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④中小企业划型标准详见《关于印发中小企业划型标准规定的通知》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3.本项目的特定资格要求：投标供应商具备基础电信业务经营许可证扫描件；</w:t>
            </w:r>
            <w:r>
              <w:rPr>
                <w:rFonts w:ascii="宋体" w:hAnsi="宋体" w:eastAsia="宋体" w:cs="宋体"/>
                <w:color w:val="000000"/>
                <w:sz w:val="24"/>
                <w:szCs w:val="24"/>
                <w:highlight w:val="none"/>
                <w:lang w:val="en-US"/>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4.投标供应商未被列入“信用中国”网站（www.creditchina.gov.cn）记录失信被执行人，同时，不处于中国政府采购网（www.ccgp.gov.cn）“政府采购严重违法失信行为信息记录”中的禁止参加政府采购活动期间的情形；</w:t>
            </w:r>
            <w:r>
              <w:rPr>
                <w:rFonts w:hint="eastAsia" w:ascii="宋体" w:hAnsi="宋体" w:eastAsia="宋体" w:cs="宋体"/>
                <w:color w:val="000000"/>
                <w:sz w:val="24"/>
                <w:szCs w:val="24"/>
                <w:highlight w:val="none"/>
                <w:lang w:val="en-US" w:eastAsia="zh-CN"/>
              </w:rPr>
            </w:r>
            <w:r/>
          </w:p>
          <w:p>
            <w:pPr>
              <w:pStyle w:val="940"/>
              <w:ind w:left="0" w:right="0" w:firstLine="0"/>
              <w:jc w:val="left"/>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接受联合体投标。</w:t>
            </w:r>
            <w:r>
              <w:rPr>
                <w:rFonts w:hint="eastAsia" w:ascii="宋体" w:hAnsi="宋体" w:eastAsia="宋体" w:cs="宋体"/>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相关事宜：</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20</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月21</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rPr>
              <w:t xml:space="preserve">至20</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zh-CN"/>
              </w:rPr>
              <w:t xml:space="preserve">23</w:t>
            </w:r>
            <w:r>
              <w:rPr>
                <w:rFonts w:hint="eastAsia" w:ascii="宋体" w:hAnsi="宋体" w:eastAsia="宋体" w:cs="宋体"/>
                <w:color w:val="000000"/>
                <w:sz w:val="24"/>
                <w:szCs w:val="24"/>
                <w:highlight w:val="none"/>
                <w:lang w:val="zh-CN"/>
              </w:rPr>
              <w:t xml:space="preserve">:59时止（法定假日除外）。</w:t>
            </w:r>
            <w:r>
              <w:rPr>
                <w:rFonts w:hint="eastAsia" w:ascii="宋体" w:hAnsi="宋体" w:eastAsia="宋体" w:cs="宋体"/>
                <w:b/>
                <w:bCs/>
                <w:color w:val="000000"/>
                <w:sz w:val="24"/>
                <w:szCs w:val="24"/>
                <w:highlight w:val="none"/>
                <w:lang w:val="zh-CN"/>
              </w:rPr>
              <w:t xml:space="preserve">五个工作日后仍可下载招标文件，但不作为供应商权益受到损害的证明材料和依据。</w:t>
            </w:r>
            <w:r>
              <w:rPr>
                <w:rFonts w:hint="eastAsia" w:ascii="宋体" w:hAnsi="宋体" w:eastAsia="宋体" w:cs="宋体"/>
                <w:color w:val="000000"/>
                <w:sz w:val="24"/>
                <w:szCs w:val="24"/>
                <w:highlight w:val="none"/>
                <w:lang w:val="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）售价：</w:t>
            </w:r>
            <w:r>
              <w:rPr>
                <w:rFonts w:hint="eastAsia" w:ascii="宋体" w:hAnsi="宋体" w:eastAsia="宋体" w:cs="宋体"/>
                <w:color w:val="000000"/>
                <w:sz w:val="24"/>
                <w:szCs w:val="24"/>
                <w:highlight w:val="none"/>
                <w:lang w:val="en-US" w:eastAsia="zh-CN"/>
              </w:rPr>
              <w:t xml:space="preserve">0元</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获取地点方式：</w:t>
            </w:r>
            <w:r>
              <w:rPr>
                <w:rFonts w:hint="eastAsia" w:ascii="宋体" w:hAnsi="宋体" w:eastAsia="宋体" w:cs="宋体"/>
                <w:color w:val="000000"/>
                <w:sz w:val="24"/>
                <w:szCs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“无锡政府采购网--江苏省政府采购（苏采云）平台</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或“政府采购客户端（苏采云）”中免费下载文件（“项目参与”——找到需要获取招标文件的项目，点击“我要参与”——“参与投标”——“下载文件”）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，完成项目</w:t>
            </w:r>
            <w:r>
              <w:rPr>
                <w:rFonts w:hint="eastAsia" w:ascii="宋体" w:hAnsi="宋体" w:eastAsia="宋体" w:cs="宋体"/>
                <w:color w:val="000000"/>
                <w:sz w:val="24"/>
                <w:szCs w:val="24"/>
                <w:highlight w:val="none"/>
                <w:lang w:val="en-US" w:eastAsia="zh-CN"/>
              </w:rPr>
              <w:t xml:space="preserve">获取</w:t>
            </w:r>
            <w:r>
              <w:rPr>
                <w:rFonts w:hint="eastAsia" w:ascii="宋体" w:hAnsi="宋体" w:eastAsia="宋体" w:cs="宋体"/>
                <w:color w:val="000000"/>
                <w:sz w:val="24"/>
                <w:szCs w:val="24"/>
                <w:highlight w:val="none"/>
                <w:lang w:val="zh-CN"/>
              </w:rPr>
              <w:t xml:space="preserve">，方可按要求制作、上传投标文件。</w:t>
            </w:r>
            <w:r>
              <w:rPr>
                <w:rFonts w:hint="eastAsia" w:ascii="宋体" w:hAnsi="宋体" w:eastAsia="宋体" w:cs="宋体"/>
                <w:color w:val="000000"/>
                <w:sz w:val="24"/>
                <w:szCs w:val="24"/>
                <w:highlight w:val="none"/>
                <w:lang w:val="en-US" w:eastAsia="zh-CN"/>
              </w:rPr>
              <w:t xml:space="preserve">供应商须</w:t>
            </w:r>
            <w:r>
              <w:rPr>
                <w:rFonts w:hint="eastAsia" w:ascii="宋体" w:hAnsi="宋体" w:eastAsia="宋体" w:cs="宋体"/>
                <w:color w:val="000000"/>
                <w:sz w:val="24"/>
                <w:szCs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ascii="宋体" w:hAnsi="宋体" w:eastAsia="宋体" w:cs="宋体"/>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要求澄清采购文件的截止</w:t>
            </w: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20</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月30</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00</w:t>
            </w:r>
            <w:r>
              <w:rPr>
                <w:rFonts w:hint="eastAsia" w:ascii="宋体" w:hAnsi="宋体" w:eastAsia="宋体" w:cs="宋体"/>
                <w:color w:val="000000" w:themeColor="text1"/>
                <w:sz w:val="24"/>
                <w:szCs w:val="24"/>
                <w:highlight w:val="none"/>
              </w:rPr>
              <w:t xml:space="preserve">前，以书面传真形式和电子邮件形式发送给采购代理机构。</w:t>
            </w:r>
            <w:r>
              <w:rPr>
                <w:color w:val="000000" w:themeColor="text1"/>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采购人对采购文件澄清、修改时间：</w:t>
            </w:r>
            <w:r>
              <w:rPr>
                <w:rFonts w:hint="eastAsia" w:ascii="宋体" w:hAnsi="宋体" w:eastAsia="宋体" w:cs="宋体"/>
                <w:color w:val="000000" w:themeColor="text1"/>
                <w:sz w:val="24"/>
                <w:szCs w:val="24"/>
                <w:highlight w:val="none"/>
              </w:rPr>
              <w:t xml:space="preserve">20</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00前，以书面（或电子稿）形式发送给各</w:t>
            </w:r>
            <w:r>
              <w:rPr>
                <w:rFonts w:hint="eastAsia" w:ascii="宋体" w:hAnsi="宋体" w:eastAsia="宋体" w:cs="宋体"/>
                <w:color w:val="000000" w:themeColor="text1"/>
                <w:sz w:val="24"/>
                <w:szCs w:val="24"/>
                <w:highlight w:val="none"/>
                <w:lang w:eastAsia="zh-CN"/>
              </w:rPr>
              <w:t xml:space="preserve">投标供应商</w:t>
            </w:r>
            <w:r>
              <w:rPr>
                <w:rFonts w:hint="eastAsia" w:ascii="宋体" w:hAnsi="宋体" w:eastAsia="宋体" w:cs="宋体"/>
                <w:color w:val="000000" w:themeColor="text1"/>
                <w:sz w:val="24"/>
                <w:szCs w:val="24"/>
                <w:highlight w:val="none"/>
              </w:rPr>
              <w:t xml:space="preserve">。</w:t>
            </w:r>
            <w:r>
              <w:rPr>
                <w:color w:val="000000" w:themeColor="text1"/>
              </w:rPr>
            </w:r>
            <w:r/>
          </w:p>
        </w:tc>
      </w:tr>
      <w:tr>
        <w:trPr>
          <w:trHeight w:val="543"/>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投标有效期：投标截止时间起90天。</w:t>
            </w:r>
            <w:r>
              <w:rPr>
                <w:rFonts w:hint="eastAsia" w:ascii="宋体" w:hAnsi="宋体" w:eastAsia="宋体" w:cs="宋体"/>
                <w:color w:val="000000"/>
                <w:sz w:val="24"/>
                <w:szCs w:val="24"/>
                <w:highlight w:val="none"/>
              </w:rPr>
            </w:r>
            <w:r/>
          </w:p>
        </w:tc>
      </w:tr>
      <w:tr>
        <w:trPr>
          <w:trHeight w:val="442"/>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1013"/>
              <w:ind w:firstLine="0"/>
              <w:jc w:val="left"/>
              <w:keepLines w:val="0"/>
              <w:keepNext w:val="0"/>
              <w:pageBreakBefore w:val="0"/>
              <w:spacing w:line="312" w:lineRule="auto"/>
              <w:rPr>
                <w:color w:val="000000"/>
                <w:highlight w:val="none"/>
                <w:lang w:val="en-US"/>
              </w:rPr>
            </w:pPr>
            <w:r/>
            <w:bookmarkStart w:id="0" w:name="OLE_LINK39"/>
            <w:r>
              <w:rPr>
                <w:rFonts w:hint="eastAsia" w:ascii="宋体" w:hAnsi="宋体" w:eastAsia="宋体" w:cs="宋体"/>
                <w:color w:val="000000"/>
                <w:sz w:val="24"/>
                <w:szCs w:val="24"/>
                <w:highlight w:val="none"/>
              </w:rPr>
              <w:t xml:space="preserve">本项目</w:t>
            </w:r>
            <w:bookmarkEnd w:id="0"/>
            <w:r>
              <w:rPr>
                <w:rFonts w:hint="eastAsia" w:ascii="宋体" w:hAnsi="宋体" w:eastAsia="宋体" w:cs="宋体"/>
                <w:color w:val="000000"/>
                <w:sz w:val="24"/>
                <w:szCs w:val="24"/>
                <w:highlight w:val="none"/>
              </w:rPr>
              <w:t xml:space="preserve">无需缴纳投标保证金</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cs="宋体"/>
                <w:color w:val="000000"/>
                <w:sz w:val="24"/>
                <w:szCs w:val="24"/>
                <w:highlight w:val="none"/>
                <w:lang w:val="en-US" w:eastAsia="zh-CN"/>
              </w:rPr>
              <w:t xml:space="preserve">。</w:t>
            </w:r>
            <w:r>
              <w:rPr>
                <w:color w:val="000000"/>
                <w:highlight w:val="none"/>
                <w:lang w:val="en-US"/>
              </w:rPr>
            </w:r>
            <w:r/>
          </w:p>
        </w:tc>
      </w:tr>
      <w:tr>
        <w:trPr>
          <w:trHeight w:val="1532"/>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940"/>
              <w:numPr>
                <w:ilvl w:val="0"/>
                <w:numId w:val="0"/>
              </w:numPr>
              <w:jc w:val="left"/>
              <w:keepLines w:val="0"/>
              <w:keepNext w:val="0"/>
              <w:pageBreakBefore w:val="0"/>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投标</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文件接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收</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截止时</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间：</w:t>
            </w:r>
            <w:r>
              <w:rPr>
                <w:rFonts w:hint="eastAsia" w:ascii="宋体" w:hAnsi="宋体" w:eastAsia="宋体" w:cs="宋体"/>
                <w:color w:val="000000" w:themeColor="text1"/>
                <w:sz w:val="24"/>
                <w:szCs w:val="24"/>
                <w:highlight w:val="none"/>
                <w:lang w:eastAsia="zh-CN"/>
              </w:rPr>
              <w:t xml:space="preserve">2025年</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时止。</w:t>
            </w:r>
            <w:r>
              <w:rPr>
                <w:color w:val="000000" w:themeColor="text1"/>
              </w:rPr>
            </w:r>
            <w:r/>
          </w:p>
          <w:p>
            <w:pPr>
              <w:pStyle w:val="940"/>
              <w:numPr>
                <w:ilvl w:val="0"/>
                <w:numId w:val="0"/>
              </w:numPr>
              <w:jc w:val="left"/>
              <w:keepLines w:val="0"/>
              <w:keepNext w:val="0"/>
              <w:pageBreakBefore w:val="0"/>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投标地点：</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江苏省政府采购（苏采云）平台投标，线上不见面开标</w:t>
            </w:r>
            <w:r>
              <w:rPr>
                <w:rFonts w:hint="eastAsia" w:ascii="宋体" w:hAnsi="宋体" w:eastAsia="宋体" w:cs="宋体"/>
                <w:color w:val="000000" w:themeColor="text1"/>
                <w:sz w:val="24"/>
                <w:szCs w:val="24"/>
                <w:highlight w:val="none"/>
              </w:rPr>
              <w:t xml:space="preserve">。</w:t>
            </w:r>
            <w:r>
              <w:rPr>
                <w:color w:val="000000" w:themeColor="text1"/>
              </w:rPr>
            </w:r>
            <w:r/>
          </w:p>
          <w:p>
            <w:pPr>
              <w:pStyle w:val="940"/>
              <w:ind w:left="0" w:right="0" w:firstLine="0"/>
              <w:jc w:val="left"/>
              <w:keepLines w:val="0"/>
              <w:keepNext w:val="0"/>
              <w:pageBreakBefore w:val="0"/>
              <w:spacing w:line="312"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注：</w:t>
            </w:r>
            <w:r>
              <w:rPr>
                <w:color w:val="000000" w:themeColor="text1"/>
              </w:rPr>
            </w:r>
            <w:r/>
          </w:p>
          <w:p>
            <w:pPr>
              <w:pStyle w:val="940"/>
              <w:numPr>
                <w:ilvl w:val="0"/>
                <w:numId w:val="0"/>
              </w:numPr>
              <w:ind w:firstLine="0"/>
              <w:jc w:val="left"/>
              <w:keepLines w:val="0"/>
              <w:keepNext w:val="0"/>
              <w:pageBreakBefore w:val="0"/>
              <w:spacing w:line="312"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1、投标截止时间后将无法上传或撤回、修改投标文件，请投标供应商谨慎处理。</w:t>
            </w:r>
            <w:r>
              <w:rPr>
                <w:rFonts w:hint="eastAsia" w:ascii="宋体" w:hAnsi="宋体" w:eastAsia="宋体" w:cs="宋体"/>
                <w:b w:val="0"/>
                <w:bCs/>
                <w:color w:val="000000"/>
                <w:sz w:val="24"/>
                <w:szCs w:val="24"/>
                <w:highlight w:val="none"/>
                <w:lang w:val="en-US" w:eastAsia="zh-CN"/>
              </w:rPr>
            </w:r>
            <w:r/>
          </w:p>
          <w:p>
            <w:pPr>
              <w:pStyle w:val="940"/>
              <w:numPr>
                <w:ilvl w:val="0"/>
                <w:numId w:val="0"/>
              </w:numPr>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请投标供应商关注开标大厅的提示进行解密，</w:t>
            </w:r>
            <w:r>
              <w:rPr>
                <w:rFonts w:hint="eastAsia" w:ascii="宋体" w:hAnsi="宋体" w:eastAsia="宋体" w:cs="宋体"/>
                <w:color w:val="000000"/>
                <w:sz w:val="24"/>
                <w:szCs w:val="24"/>
                <w:highlight w:val="none"/>
              </w:rPr>
              <w:t xml:space="preserve">解密时间为30分钟</w:t>
            </w:r>
            <w:r>
              <w:rPr>
                <w:rFonts w:hint="eastAsia" w:ascii="宋体" w:hAnsi="宋体" w:eastAsia="宋体" w:cs="宋体"/>
                <w:color w:val="000000"/>
                <w:sz w:val="24"/>
                <w:szCs w:val="24"/>
                <w:highlight w:val="none"/>
                <w:lang w:eastAsia="zh-CN"/>
              </w:rPr>
              <w:t xml:space="preserve">，供应商未解密但</w:t>
            </w:r>
            <w:r>
              <w:rPr>
                <w:rFonts w:hint="eastAsia" w:ascii="宋体" w:hAnsi="宋体" w:eastAsia="宋体" w:cs="宋体"/>
                <w:color w:val="000000"/>
                <w:sz w:val="24"/>
                <w:szCs w:val="24"/>
                <w:highlight w:val="none"/>
                <w:lang w:val="en-US" w:eastAsia="zh-CN"/>
              </w:rPr>
              <w:t xml:space="preserve">解密</w:t>
            </w:r>
            <w:r>
              <w:rPr>
                <w:rFonts w:hint="eastAsia" w:ascii="宋体" w:hAnsi="宋体" w:eastAsia="宋体" w:cs="宋体"/>
                <w:color w:val="000000"/>
                <w:sz w:val="24"/>
                <w:szCs w:val="24"/>
                <w:highlight w:val="none"/>
                <w:lang w:eastAsia="zh-CN"/>
              </w:rPr>
              <w:t xml:space="preserve">剩余时间为0</w:t>
            </w:r>
            <w:r>
              <w:rPr>
                <w:rFonts w:hint="eastAsia" w:ascii="宋体" w:hAnsi="宋体" w:eastAsia="宋体" w:cs="宋体"/>
                <w:color w:val="000000"/>
                <w:sz w:val="24"/>
                <w:szCs w:val="24"/>
                <w:highlight w:val="none"/>
                <w:lang w:val="en-US" w:eastAsia="zh-CN"/>
              </w:rPr>
              <w:t xml:space="preserve">秒</w:t>
            </w:r>
            <w:r>
              <w:rPr>
                <w:rFonts w:hint="eastAsia" w:ascii="宋体" w:hAnsi="宋体" w:eastAsia="宋体" w:cs="宋体"/>
                <w:color w:val="000000"/>
                <w:sz w:val="24"/>
                <w:szCs w:val="24"/>
                <w:highlight w:val="none"/>
                <w:lang w:eastAsia="zh-CN"/>
              </w:rPr>
              <w:t xml:space="preserve">后，</w:t>
            </w:r>
            <w:r>
              <w:rPr>
                <w:rFonts w:hint="eastAsia" w:ascii="宋体" w:hAnsi="宋体" w:eastAsia="宋体" w:cs="宋体"/>
                <w:color w:val="000000"/>
                <w:sz w:val="24"/>
                <w:szCs w:val="24"/>
                <w:highlight w:val="none"/>
                <w:lang w:val="en-US" w:eastAsia="zh-CN"/>
              </w:rPr>
              <w:t xml:space="preserve">视为投标供应商放弃投标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176"/>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rPr>
              <w:t xml:space="preserve">网上解密</w:t>
            </w: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lang w:eastAsia="zh-CN"/>
              </w:rPr>
              <w:t xml:space="preserve">2025年</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30</w:t>
            </w:r>
            <w:r>
              <w:rPr>
                <w:color w:val="000000" w:themeColor="text1"/>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投标地点：江苏省政府采购（苏采云）平台投标，线上不见面开标。</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本项目进行线上不见面采购活动，</w:t>
            </w:r>
            <w:r>
              <w:rPr>
                <w:rFonts w:hint="eastAsia" w:ascii="宋体" w:hAnsi="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无需到达开标现场。</w:t>
            </w:r>
            <w:r>
              <w:rPr>
                <w:rFonts w:hint="eastAsia" w:ascii="宋体" w:hAnsi="宋体" w:eastAsia="宋体" w:cs="宋体"/>
                <w:b w:val="0"/>
                <w:bCs w:val="0"/>
                <w:color w:val="000000"/>
                <w:sz w:val="24"/>
                <w:szCs w:val="24"/>
                <w:highlight w:val="none"/>
              </w:rPr>
              <w:t xml:space="preserve">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val="0"/>
                <w:bCs w:val="0"/>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rPr>
              <w:t xml:space="preserve">投标文件的授权委托书中需明确授权委托人的联系方式（手机），否则如由于无法及时联系相关授权委托人而造成的一切后果由各</w:t>
            </w:r>
            <w:r>
              <w:rPr>
                <w:rFonts w:hint="eastAsia" w:ascii="宋体" w:hAnsi="宋体" w:eastAsia="宋体" w:cs="宋体"/>
                <w:b w:val="0"/>
                <w:bCs/>
                <w:color w:val="000000"/>
                <w:sz w:val="24"/>
                <w:szCs w:val="24"/>
                <w:highlight w:val="none"/>
                <w:lang w:eastAsia="zh-CN"/>
              </w:rPr>
              <w:t xml:space="preserve">投标供应商</w:t>
            </w:r>
            <w:r>
              <w:rPr>
                <w:rFonts w:hint="eastAsia" w:ascii="宋体" w:hAnsi="宋体" w:eastAsia="宋体" w:cs="宋体"/>
                <w:b w:val="0"/>
                <w:bCs/>
                <w:color w:val="000000"/>
                <w:sz w:val="24"/>
                <w:szCs w:val="24"/>
                <w:highlight w:val="none"/>
              </w:rPr>
              <w:t xml:space="preserve">自行承担。</w:t>
            </w:r>
            <w:r>
              <w:rPr>
                <w:rFonts w:hint="eastAsia" w:ascii="宋体" w:hAnsi="宋体" w:eastAsia="宋体" w:cs="宋体"/>
                <w:b/>
                <w:bCs/>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2025年</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zh-CN"/>
              </w:rPr>
              <w:t xml:space="preserve">评审结束后</w:t>
            </w:r>
            <w:r>
              <w:rPr>
                <w:color w:val="000000" w:themeColor="text1"/>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确定中标单位地点：</w:t>
            </w:r>
            <w:r>
              <w:rPr>
                <w:rFonts w:hint="eastAsia" w:ascii="宋体" w:hAnsi="宋体" w:eastAsia="宋体" w:cs="宋体"/>
                <w:b w:val="0"/>
                <w:bCs w:val="0"/>
                <w:color w:val="000000"/>
                <w:sz w:val="24"/>
                <w:szCs w:val="24"/>
                <w:highlight w:val="none"/>
              </w:rPr>
              <w:t xml:space="preserve">江苏省政府采购（苏采云）平台投标，线上不见面开标。</w:t>
            </w:r>
            <w:r>
              <w:rPr>
                <w:rFonts w:hint="eastAsia" w:ascii="宋体" w:hAnsi="宋体" w:eastAsia="宋体" w:cs="宋体"/>
                <w:color w:val="000000"/>
                <w:sz w:val="24"/>
                <w:szCs w:val="24"/>
                <w:highlight w:val="none"/>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投标文件份数：</w:t>
            </w:r>
            <w:r>
              <w:rPr>
                <w:rFonts w:hint="eastAsia" w:ascii="宋体" w:hAnsi="宋体" w:eastAsia="宋体" w:cs="宋体"/>
                <w:b/>
                <w:bCs/>
                <w:color w:val="000000"/>
                <w:sz w:val="24"/>
                <w:szCs w:val="24"/>
                <w:highlight w:val="none"/>
                <w:lang w:val="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1、因供应商可能会存在操作不熟练、业务不熟悉等因素，为保证开评标流程顺利，供应商如有问题应及时反馈，供应商在</w:t>
            </w:r>
            <w:r>
              <w:rPr>
                <w:rFonts w:hint="eastAsia" w:ascii="宋体" w:hAnsi="宋体" w:eastAsia="宋体" w:cs="宋体"/>
                <w:color w:val="000000"/>
                <w:sz w:val="24"/>
                <w:szCs w:val="24"/>
                <w:highlight w:val="none"/>
                <w:lang w:val="en-US" w:eastAsia="zh-CN"/>
              </w:rPr>
              <w:t xml:space="preserve">投</w:t>
            </w:r>
            <w:r>
              <w:rPr>
                <w:rFonts w:hint="eastAsia" w:ascii="宋体" w:hAnsi="宋体" w:eastAsia="宋体" w:cs="宋体"/>
                <w:color w:val="000000"/>
                <w:sz w:val="24"/>
                <w:szCs w:val="24"/>
                <w:highlight w:val="none"/>
              </w:rPr>
              <w:t xml:space="preserve">标截止时间前网上上传电子投标文件。</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2、供应商在开标前务必确认电脑浏览器设置、CA证书软件下载等，确保和CA证书匹配</w:t>
            </w:r>
            <w:r>
              <w:rPr>
                <w:rFonts w:hint="eastAsia" w:ascii="宋体" w:hAnsi="宋体" w:eastAsia="宋体" w:cs="宋体"/>
                <w:color w:val="000000"/>
                <w:sz w:val="24"/>
                <w:szCs w:val="24"/>
                <w:highlight w:val="none"/>
                <w:lang w:eastAsia="zh-CN"/>
              </w:rPr>
              <w:t xml:space="preserve">可以正常登录苏采云</w:t>
            </w:r>
            <w:r>
              <w:rPr>
                <w:rFonts w:hint="eastAsia" w:ascii="宋体" w:hAnsi="宋体" w:eastAsia="宋体" w:cs="宋体"/>
                <w:color w:val="000000"/>
                <w:sz w:val="24"/>
                <w:szCs w:val="24"/>
                <w:highlight w:val="none"/>
              </w:rPr>
              <w:t xml:space="preserve">投标客户端。</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、本项目为不见面开标，</w:t>
            </w:r>
            <w:r>
              <w:rPr>
                <w:rFonts w:hint="eastAsia" w:ascii="宋体" w:hAnsi="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无需递交纸质投标文件至现场，仅中标供应商在中标公告结束后递交纸质版投标文件一正</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副至招标代理机构。若纸质投标文件与电子投标文件不符，则以电子投标文件为准。</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、本次采购采用江苏省政府采购（苏采云）平台进行采购活动，采购文件发布、报价、评审和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结果发布全程电子化。</w:t>
            </w:r>
            <w:r>
              <w:rPr>
                <w:rFonts w:hint="eastAsia" w:ascii="宋体" w:hAnsi="宋体" w:eastAsia="宋体" w:cs="宋体"/>
                <w:color w:val="000000"/>
                <w:sz w:val="24"/>
                <w:szCs w:val="24"/>
                <w:highlight w:val="none"/>
                <w:lang w:val="en-US" w:eastAsia="zh-CN"/>
              </w:rPr>
            </w:r>
            <w:r/>
          </w:p>
        </w:tc>
      </w:tr>
      <w:tr>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无锡市惠山区人民政府办公室</w:t>
            </w:r>
            <w:r>
              <w:rPr>
                <w:rFonts w:hint="eastAsia" w:ascii="宋体" w:hAnsi="宋体" w:eastAsia="宋体" w:cs="宋体"/>
                <w:color w:val="000000"/>
                <w:sz w:val="24"/>
                <w:szCs w:val="24"/>
                <w:highlight w:val="none"/>
                <w:lang w:eastAsia="zh-CN"/>
              </w:rPr>
            </w:r>
            <w:r/>
          </w:p>
          <w:p>
            <w:pPr>
              <w:pStyle w:val="940"/>
              <w:jc w:val="left"/>
              <w:keepLines w:val="0"/>
              <w:keepNext w:val="0"/>
              <w:pageBreakBefore w:val="0"/>
              <w:spacing w:line="312"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采购人地址：</w:t>
            </w:r>
            <w:r>
              <w:rPr>
                <w:rFonts w:hint="eastAsia" w:ascii="宋体" w:hAnsi="宋体" w:eastAsia="宋体" w:cs="宋体"/>
                <w:bCs/>
                <w:color w:val="000000"/>
                <w:sz w:val="24"/>
                <w:szCs w:val="24"/>
                <w:highlight w:val="none"/>
                <w:lang w:val="en-US" w:eastAsia="zh-CN"/>
              </w:rPr>
              <w:t xml:space="preserve">无锡市惠山区堰桥街道文惠路8号</w:t>
            </w:r>
            <w:r>
              <w:rPr>
                <w:rFonts w:hint="eastAsia" w:ascii="宋体" w:hAnsi="宋体" w:eastAsia="宋体" w:cs="宋体"/>
                <w:bCs/>
                <w:color w:val="000000"/>
                <w:sz w:val="24"/>
                <w:szCs w:val="24"/>
                <w:highlight w:val="none"/>
                <w:lang w:val="en-US" w:eastAsia="zh-CN"/>
              </w:rPr>
            </w:r>
            <w:r/>
          </w:p>
          <w:p>
            <w:pPr>
              <w:pStyle w:val="940"/>
              <w:jc w:val="left"/>
              <w:keepLines w:val="0"/>
              <w:keepNext w:val="0"/>
              <w:pageBreakBefore w:val="0"/>
              <w:spacing w:line="312"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联系人：</w:t>
            </w:r>
            <w:r>
              <w:rPr>
                <w:rFonts w:ascii="宋体" w:hAnsi="宋体" w:eastAsia="宋体" w:cs="宋体"/>
                <w:bCs/>
                <w:color w:val="000000"/>
                <w:sz w:val="24"/>
                <w:szCs w:val="24"/>
                <w:highlight w:val="none"/>
                <w:lang w:val="en-US" w:eastAsia="zh-CN"/>
              </w:rPr>
              <w:t xml:space="preserve">陆帅</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940"/>
              <w:jc w:val="left"/>
              <w:keepLines w:val="0"/>
              <w:keepNext w:val="0"/>
              <w:pageBreakBefore w:val="0"/>
              <w:spacing w:line="312"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联系电话：</w:t>
            </w:r>
            <w:r>
              <w:rPr>
                <w:rFonts w:hint="eastAsia" w:ascii="宋体" w:hAnsi="宋体" w:eastAsia="宋体" w:cs="宋体"/>
                <w:bCs/>
                <w:color w:val="000000"/>
                <w:sz w:val="24"/>
                <w:szCs w:val="24"/>
                <w:highlight w:val="none"/>
                <w:lang w:eastAsia="zh-CN"/>
              </w:rPr>
              <w:t xml:space="preserve">0510-83891140</w:t>
            </w:r>
            <w:r>
              <w:rPr>
                <w:rFonts w:hint="eastAsia" w:ascii="宋体" w:hAnsi="宋体" w:eastAsia="宋体" w:cs="宋体"/>
                <w:bCs/>
                <w:color w:val="000000"/>
                <w:sz w:val="24"/>
                <w:szCs w:val="24"/>
                <w:highlight w:val="none"/>
                <w:lang w:val="en-US" w:eastAsia="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北京建智达工程管理股份有限公司</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联系人：黎晓明、杨亚丁、</w:t>
            </w:r>
            <w:r>
              <w:rPr>
                <w:rFonts w:hint="eastAsia" w:ascii="宋体" w:hAnsi="宋体" w:eastAsia="宋体" w:cs="宋体"/>
                <w:color w:val="000000"/>
                <w:sz w:val="24"/>
                <w:szCs w:val="24"/>
                <w:highlight w:val="none"/>
                <w:lang w:eastAsia="zh-CN"/>
              </w:rPr>
              <w:t xml:space="preserve">袁沂</w:t>
            </w:r>
            <w:r>
              <w:rPr>
                <w:rFonts w:hint="eastAsia" w:ascii="宋体" w:hAnsi="宋体" w:eastAsia="宋体" w:cs="宋体"/>
                <w:color w:val="000000"/>
                <w:sz w:val="24"/>
                <w:szCs w:val="24"/>
                <w:highlight w:val="none"/>
                <w:lang w:val="en-US" w:eastAsia="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联系电话：0510-85013684</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联系地址：无锡市滨湖区绣溪道59号交大创意园21号楼3楼</w:t>
            </w:r>
            <w:r>
              <w:rPr>
                <w:rFonts w:hint="eastAsia" w:ascii="宋体" w:hAnsi="宋体" w:eastAsia="宋体" w:cs="宋体"/>
                <w:color w:val="000000"/>
                <w:sz w:val="24"/>
                <w:szCs w:val="24"/>
                <w:highlight w:val="none"/>
                <w:lang w:eastAsia="zh-CN"/>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电子邮件地址：</w:t>
            </w:r>
            <w:r>
              <w:rPr>
                <w:rStyle w:val="994"/>
                <w:rFonts w:hint="eastAsia" w:ascii="宋体" w:hAnsi="宋体" w:eastAsia="宋体" w:cs="宋体"/>
                <w:color w:val="000000"/>
                <w:sz w:val="24"/>
                <w:szCs w:val="24"/>
                <w:highlight w:val="none"/>
                <w:u w:val="none"/>
              </w:rPr>
              <w:t xml:space="preserve">bjjzdwx@163.com</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有关本次采购活动方面的问题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w:t>
            </w:r>
            <w:r>
              <w:rPr>
                <w:rFonts w:hint="eastAsia" w:ascii="宋体" w:hAnsi="宋体" w:eastAsia="宋体" w:cs="宋体"/>
                <w:color w:val="000000"/>
                <w:sz w:val="24"/>
                <w:szCs w:val="24"/>
                <w:highlight w:val="none"/>
                <w:lang w:eastAsia="zh-CN"/>
              </w:rPr>
              <w:t xml:space="preserve">来信</w:t>
            </w:r>
            <w:r>
              <w:rPr>
                <w:rFonts w:hint="eastAsia" w:ascii="宋体" w:hAnsi="宋体" w:eastAsia="宋体" w:cs="宋体"/>
                <w:color w:val="000000"/>
                <w:sz w:val="24"/>
                <w:szCs w:val="24"/>
                <w:highlight w:val="none"/>
              </w:rPr>
              <w:t xml:space="preserve">、来函（传真）或电话联系。</w:t>
            </w:r>
            <w:r>
              <w:rPr>
                <w:rFonts w:hint="eastAsia" w:ascii="宋体" w:hAnsi="宋体" w:eastAsia="宋体" w:cs="宋体"/>
                <w:color w:val="000000"/>
                <w:sz w:val="24"/>
                <w:szCs w:val="24"/>
                <w:highlight w:val="none"/>
              </w:rPr>
            </w:r>
            <w:r/>
          </w:p>
        </w:tc>
      </w:tr>
      <w:tr>
        <w:trPr>
          <w:trHeight w:val="414"/>
        </w:trPr>
        <w:tc>
          <w:tcPr>
            <w:tcW w:w="710" w:type="dxa"/>
            <w:vAlign w:val="center"/>
            <w:textDirection w:val="lrTb"/>
            <w:noWrap w:val="false"/>
          </w:tcPr>
          <w:p>
            <w:pPr>
              <w:pStyle w:val="940"/>
              <w:ind w:left="0" w:right="0" w:firstLine="0"/>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445" w:type="dxa"/>
            <w:vAlign w:val="center"/>
            <w:textDirection w:val="lrTb"/>
            <w:noWrap w:val="false"/>
          </w:tcPr>
          <w:p>
            <w:pPr>
              <w:pStyle w:val="940"/>
              <w:ind w:left="0" w:right="0" w:firstLine="0"/>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供应商主体信息库注册：</w:t>
            </w:r>
            <w:r>
              <w:rPr>
                <w:rFonts w:hint="eastAsia" w:ascii="宋体" w:hAnsi="宋体" w:eastAsia="宋体" w:cs="宋体"/>
                <w:b/>
                <w:bCs/>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在“江苏省政府采购（苏采云）平台”</w:t>
            </w:r>
            <w:r>
              <w:rPr>
                <w:rFonts w:hint="eastAsia" w:ascii="宋体" w:hAnsi="宋体" w:eastAsia="宋体" w:cs="宋体"/>
                <w:color w:val="000000"/>
                <w:sz w:val="24"/>
                <w:szCs w:val="24"/>
                <w:highlight w:val="none"/>
                <w:lang w:eastAsia="zh-CN"/>
              </w:rPr>
              <w:t xml:space="preserve">账号登录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技术服务电话：0510-81827781（服务时间：工作日9:00-11:30，13:00-17:00）</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eastAsia="宋体" w:cs="宋体"/>
                <w:color w:val="000000"/>
                <w:sz w:val="24"/>
                <w:szCs w:val="24"/>
                <w:highlight w:val="none"/>
              </w:rPr>
            </w:r>
            <w:r/>
          </w:p>
          <w:p>
            <w:pPr>
              <w:pStyle w:val="940"/>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技术支持QQ：田女士：3071474382；王先生：897651173。</w:t>
            </w:r>
            <w:r>
              <w:rPr>
                <w:rFonts w:hint="eastAsia" w:ascii="宋体" w:hAnsi="宋体" w:eastAsia="宋体" w:cs="宋体"/>
                <w:color w:val="000000"/>
                <w:sz w:val="24"/>
                <w:szCs w:val="24"/>
                <w:highlight w:val="none"/>
              </w:rPr>
            </w:r>
            <w:r/>
          </w:p>
        </w:tc>
      </w:tr>
    </w:tbl>
    <w:p>
      <w:pPr>
        <w:pStyle w:val="94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942"/>
        <w:jc w:val="left"/>
        <w:keepLines/>
        <w:spacing w:before="260" w:after="260" w:line="416"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（二）采购文件：</w:t>
      </w:r>
      <w:r>
        <w:rPr>
          <w:rFonts w:hint="eastAsia" w:ascii="宋体" w:hAnsi="宋体" w:eastAsia="宋体" w:cs="宋体"/>
          <w:b/>
          <w:bCs/>
          <w:color w:val="000000"/>
          <w:sz w:val="24"/>
          <w:highlight w:val="none"/>
        </w:rPr>
      </w:r>
      <w:r/>
    </w:p>
    <w:p>
      <w:pPr>
        <w:pStyle w:val="940"/>
        <w:ind w:firstLine="36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940"/>
        <w:ind w:firstLine="36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940"/>
        <w:ind w:firstLine="36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940"/>
        <w:ind w:firstLine="36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4．采购文件一经售出、一律不退，且仅作为本次采购投标使用。</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（三）采购文件的解释：</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如有需要对采购文件要求澄清的问题，请以书面提出，并按“投标邀请”第6项规定的时间将电子邮件或书面传真发送至</w:t>
      </w:r>
      <w:r>
        <w:rPr>
          <w:rFonts w:hint="eastAsia" w:ascii="宋体" w:hAnsi="宋体" w:cs="宋体"/>
          <w:color w:val="000000"/>
          <w:sz w:val="24"/>
          <w:highlight w:val="none"/>
          <w:lang w:eastAsia="zh-CN"/>
        </w:rPr>
        <w:t xml:space="preserve">北京建智达工程管理股份有限公司</w:t>
      </w:r>
      <w:r>
        <w:rPr>
          <w:rFonts w:hint="eastAsia" w:ascii="宋体" w:hAnsi="宋体" w:cs="宋体"/>
          <w:color w:val="000000"/>
          <w:sz w:val="24"/>
          <w:highlight w:val="none"/>
        </w:rPr>
        <w:t xml:space="preserve">，联系方式详见“投标邀请”第</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eastAsia="zh-CN"/>
        </w:rPr>
        <w:t xml:space="preserve">北京建智达工程管理股份有限公司</w:t>
      </w:r>
      <w:r>
        <w:rPr>
          <w:rFonts w:hint="eastAsia" w:ascii="宋体" w:hAnsi="宋体" w:cs="宋体"/>
          <w:color w:val="000000"/>
          <w:sz w:val="24"/>
          <w:highlight w:val="none"/>
        </w:rPr>
        <w:t xml:space="preserve">将</w:t>
      </w:r>
      <w:r>
        <w:rPr>
          <w:rFonts w:hint="eastAsia" w:ascii="宋体" w:hAnsi="宋体" w:cs="宋体"/>
          <w:color w:val="000000"/>
          <w:sz w:val="24"/>
          <w:highlight w:val="none"/>
          <w:lang w:eastAsia="zh-CN"/>
        </w:rPr>
        <w:t xml:space="preserve">按照</w:t>
      </w:r>
      <w:r>
        <w:rPr>
          <w:rFonts w:hint="eastAsia" w:ascii="宋体" w:hAnsi="宋体" w:cs="宋体"/>
          <w:color w:val="000000"/>
          <w:sz w:val="24"/>
          <w:highlight w:val="none"/>
        </w:rPr>
        <w:t xml:space="preserve">“投标邀请”第6项规定的时间对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针对采购文件书面提出的要求澄清的问题进行书面答疑。</w:t>
      </w:r>
      <w:r>
        <w:rPr>
          <w:rFonts w:hint="eastAsia" w:ascii="宋体" w:hAnsi="宋体" w:cs="宋体"/>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（四）采购文件的补充或修正：</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1．采购代理机构可以对已发出的招标文件进行必要的澄清或者修改，但不得改变采购标的和资格条件。澄清或者修改应该在</w:t>
      </w:r>
      <w:r>
        <w:rPr>
          <w:rFonts w:hint="eastAsia" w:ascii="宋体" w:hAnsi="宋体" w:cs="宋体"/>
          <w:color w:val="000000"/>
          <w:sz w:val="24"/>
          <w:highlight w:val="none"/>
          <w:lang w:val="en-US" w:eastAsia="zh-CN"/>
        </w:rPr>
        <w:t xml:space="preserve">中国政府采购网、</w:t>
      </w:r>
      <w:r>
        <w:rPr>
          <w:rFonts w:hint="eastAsia" w:ascii="宋体" w:hAnsi="宋体" w:cs="宋体"/>
          <w:color w:val="000000"/>
          <w:sz w:val="24"/>
          <w:highlight w:val="none"/>
        </w:rPr>
        <w:t xml:space="preserve">江苏政府采购网、无锡政府采购网上发布澄清公告。澄清或者修改的内容为招标文件的组成部分。</w:t>
      </w:r>
      <w:r>
        <w:rPr>
          <w:rFonts w:hint="eastAsia" w:ascii="宋体" w:hAnsi="宋体" w:cs="宋体"/>
          <w:color w:val="000000"/>
          <w:sz w:val="24"/>
          <w:highlight w:val="none"/>
        </w:rPr>
      </w:r>
      <w:r/>
    </w:p>
    <w:p>
      <w:pPr>
        <w:pStyle w:val="940"/>
        <w:ind w:firstLine="48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（五）投标文件的组成：</w:t>
      </w:r>
      <w:r>
        <w:rPr>
          <w:rFonts w:hint="eastAsia" w:ascii="宋体" w:hAnsi="宋体" w:eastAsia="宋体" w:cs="宋体"/>
          <w:b/>
          <w:bCs/>
          <w:color w:val="000000"/>
          <w:sz w:val="24"/>
          <w:highlight w:val="none"/>
        </w:rPr>
      </w:r>
      <w:r/>
    </w:p>
    <w:p>
      <w:pPr>
        <w:pStyle w:val="940"/>
        <w:ind w:firstLine="482"/>
        <w:jc w:val="both"/>
        <w:keepLines w:val="0"/>
        <w:pageBreakBefore w:val="0"/>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投标文件由</w:t>
      </w:r>
      <w:r>
        <w:rPr>
          <w:rFonts w:hint="eastAsia" w:ascii="宋体" w:hAnsi="宋体" w:cs="宋体"/>
          <w:b/>
          <w:color w:val="000000"/>
          <w:sz w:val="24"/>
          <w:highlight w:val="none"/>
          <w:lang w:val="en-US" w:eastAsia="zh-CN"/>
        </w:rPr>
        <w:t xml:space="preserve">商务文件</w:t>
      </w:r>
      <w:r>
        <w:rPr>
          <w:rFonts w:hint="eastAsia" w:ascii="宋体" w:hAnsi="宋体" w:cs="宋体"/>
          <w:b/>
          <w:color w:val="000000"/>
          <w:sz w:val="24"/>
          <w:highlight w:val="none"/>
        </w:rPr>
        <w:t xml:space="preserve">、技术</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rPr>
        <w:t xml:space="preserve">组成</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（相应内容上传至投标客户端）</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112"/>
        <w:numPr>
          <w:ilvl w:val="0"/>
          <w:numId w:val="0"/>
        </w:numPr>
        <w:ind w:firstLine="482"/>
        <w:jc w:val="both"/>
        <w:keepLines w:val="0"/>
        <w:pageBreakBefore w:val="0"/>
        <w:spacing w:line="360" w:lineRule="auto"/>
        <w:shd w:val="clear" w:color="auto" w:fill="auto"/>
        <w:tabs>
          <w:tab w:val="left" w:pos="1050" w:leader="none"/>
          <w:tab w:val="left" w:pos="1365" w:leader="none"/>
        </w:tabs>
        <w:rPr>
          <w:rFonts w:hint="eastAsia" w:hAnsi="宋体" w:cs="宋体"/>
          <w:b/>
          <w:color w:val="000000"/>
          <w:highlight w:val="none"/>
        </w:rPr>
      </w:pPr>
      <w:r>
        <w:rPr>
          <w:rFonts w:hint="eastAsia" w:cs="宋体"/>
          <w:b/>
          <w:color w:val="000000"/>
          <w:highlight w:val="none"/>
          <w:lang w:val="en-US" w:eastAsia="zh-CN"/>
        </w:rPr>
        <w:t xml:space="preserve">一）</w:t>
      </w:r>
      <w:r>
        <w:rPr>
          <w:rFonts w:hint="eastAsia" w:hAnsi="宋体" w:cs="宋体"/>
          <w:b/>
          <w:color w:val="000000"/>
          <w:highlight w:val="none"/>
        </w:rPr>
        <w:t xml:space="preserve">商务文件部分包括：</w:t>
      </w:r>
      <w:r>
        <w:rPr>
          <w:rFonts w:hint="eastAsia" w:hAnsi="宋体" w:cs="宋体"/>
          <w:b/>
          <w:color w:val="000000"/>
          <w:highlight w:val="none"/>
        </w:rPr>
      </w:r>
      <w:r/>
    </w:p>
    <w:p>
      <w:pPr>
        <w:pStyle w:val="1112"/>
        <w:numPr>
          <w:ilvl w:val="0"/>
          <w:numId w:val="0"/>
        </w:numPr>
        <w:ind w:firstLine="480"/>
        <w:jc w:val="both"/>
        <w:keepLines w:val="0"/>
        <w:pageBreakBefore w:val="0"/>
        <w:spacing w:line="360" w:lineRule="auto"/>
        <w:shd w:val="clear" w:color="auto" w:fill="auto"/>
        <w:tabs>
          <w:tab w:val="left" w:pos="1050" w:leader="none"/>
          <w:tab w:val="left" w:pos="1365" w:leader="none"/>
        </w:tabs>
        <w:rPr>
          <w:rFonts w:hint="eastAsia" w:ascii="宋体" w:hAnsi="宋体" w:eastAsia="宋体" w:cs="宋体"/>
          <w:b/>
          <w:color w:val="000000"/>
          <w:highlight w:val="none"/>
          <w:lang w:val="en-US" w:eastAsia="zh-CN"/>
        </w:rPr>
      </w:pPr>
      <w:r>
        <w:rPr>
          <w:rFonts w:hint="eastAsia" w:cs="宋体"/>
          <w:bCs/>
          <w:color w:val="000000"/>
          <w:sz w:val="24"/>
          <w:szCs w:val="20"/>
          <w:highlight w:val="none"/>
          <w:lang w:val="en-US" w:eastAsia="zh-CN" w:bidi="ar-SA"/>
        </w:rPr>
        <w:t xml:space="preserve">1、</w:t>
      </w:r>
      <w:r>
        <w:rPr>
          <w:rFonts w:hint="eastAsia" w:ascii="宋体" w:hAnsi="宋体" w:eastAsia="宋体" w:cs="宋体"/>
          <w:bCs/>
          <w:color w:val="000000"/>
          <w:sz w:val="24"/>
          <w:szCs w:val="20"/>
          <w:highlight w:val="none"/>
          <w:lang w:val="en-US" w:eastAsia="zh-CN" w:bidi="ar-SA"/>
        </w:rPr>
        <w:t xml:space="preserve">投标</w:t>
      </w:r>
      <w:r>
        <w:rPr>
          <w:rFonts w:hint="eastAsia" w:ascii="宋体" w:hAnsi="宋体" w:eastAsia="宋体" w:cs="宋体"/>
          <w:bCs/>
          <w:color w:val="000000"/>
          <w:sz w:val="24"/>
          <w:highlight w:val="none"/>
        </w:rPr>
        <w:t xml:space="preserve">函（格式见附件）</w:t>
      </w:r>
      <w:r>
        <w:rPr>
          <w:rFonts w:hint="eastAsia" w:ascii="宋体" w:hAnsi="宋体" w:eastAsia="宋体" w:cs="宋体"/>
          <w:b/>
          <w:color w:val="000000"/>
          <w:highlight w:val="none"/>
          <w:lang w:val="en-US" w:eastAsia="zh-CN"/>
        </w:rPr>
      </w:r>
      <w:r/>
    </w:p>
    <w:p>
      <w:pPr>
        <w:pStyle w:val="940"/>
        <w:ind w:firstLine="480"/>
        <w:jc w:val="both"/>
        <w:keepLines w:val="0"/>
        <w:pageBreakBefore w:val="0"/>
        <w:spacing w:line="360" w:lineRule="auto"/>
        <w:shd w:val="clear" w:color="auto" w:fill="auto"/>
        <w:tabs>
          <w:tab w:val="left" w:pos="525" w:leader="none"/>
          <w:tab w:val="left" w:pos="1050" w:leader="none"/>
        </w:tabs>
        <w:rPr>
          <w:rFonts w:hint="eastAsia"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证</w:t>
      </w:r>
      <w:r>
        <w:rPr>
          <w:rFonts w:hint="eastAsia" w:hAnsi="宋体" w:cs="宋体"/>
          <w:bCs/>
          <w:color w:val="000000"/>
          <w:sz w:val="24"/>
          <w:highlight w:val="none"/>
        </w:rPr>
        <w:t xml:space="preserve">明文件：</w:t>
      </w:r>
      <w:r>
        <w:rPr>
          <w:rFonts w:hint="eastAsia" w:hAnsi="宋体" w:cs="宋体"/>
          <w:bCs/>
          <w:color w:val="000000"/>
          <w:sz w:val="24"/>
          <w:highlight w:val="none"/>
        </w:rPr>
      </w:r>
      <w:r/>
    </w:p>
    <w:p>
      <w:pPr>
        <w:pStyle w:val="940"/>
        <w:ind w:firstLine="480"/>
        <w:jc w:val="both"/>
        <w:keepLines w:val="0"/>
        <w:pageBreakBefore w:val="0"/>
        <w:spacing w:line="360" w:lineRule="auto"/>
        <w:shd w:val="clear" w:color="auto" w:fill="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eastAsia="宋体" w:cs="宋体"/>
          <w:bCs/>
          <w:color w:val="000000"/>
          <w:sz w:val="24"/>
          <w:highlight w:val="none"/>
        </w:rPr>
        <w:t xml:space="preserve">（1）</w:t>
      </w:r>
      <w:r>
        <w:rPr>
          <w:rFonts w:hint="eastAsia" w:hAnsi="宋体" w:cs="宋体"/>
          <w:bCs/>
          <w:color w:val="000000"/>
          <w:sz w:val="24"/>
          <w:highlight w:val="none"/>
        </w:rPr>
        <w:t xml:space="preserve">资格、资信证明文件</w:t>
      </w:r>
      <w:r>
        <w:rPr>
          <w:rFonts w:hint="eastAsia" w:hAnsi="宋体" w:cs="宋体"/>
          <w:b/>
          <w:bCs w:val="0"/>
          <w:color w:val="000000"/>
          <w:sz w:val="24"/>
          <w:highlight w:val="none"/>
        </w:rPr>
        <w:t xml:space="preserve">（扫描后上传，身份证应为正、反面）</w:t>
      </w:r>
      <w:r>
        <w:rPr>
          <w:rFonts w:hint="eastAsia" w:hAnsi="宋体" w:cs="宋体"/>
          <w:bCs/>
          <w:color w:val="000000"/>
          <w:sz w:val="24"/>
          <w:highlight w:val="none"/>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关于资格的声明函；</w:t>
      </w:r>
      <w:r>
        <w:rPr>
          <w:rFonts w:hint="eastAsia" w:ascii="宋体" w:hAnsi="宋体" w:eastAsia="宋体" w:cs="宋体"/>
          <w:b w:val="0"/>
          <w:bCs w:val="0"/>
          <w:color w:val="000000"/>
          <w:sz w:val="24"/>
          <w:highlight w:val="none"/>
        </w:rPr>
        <w:t xml:space="preserve">（格式见附件）</w:t>
      </w:r>
      <w:r>
        <w:rPr>
          <w:rFonts w:hint="eastAsia" w:ascii="宋体" w:hAnsi="宋体" w:eastAsia="宋体" w:cs="宋体"/>
          <w:color w:val="000000"/>
          <w:sz w:val="24"/>
          <w:highlight w:val="none"/>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276"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投标供应商有效期内法人注册登记证明材料（如营业执照、事业单位法人证书等）；投标人如是允许以分支机构身份参加投标的，提供投标人分支机构的营业执照</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276" w:leader="none"/>
        </w:tabs>
        <w:rPr>
          <w:rFonts w:hint="eastAsia" w:ascii="宋体" w:hAnsi="宋体" w:eastAsia="宋体" w:cs="宋体"/>
          <w:b w:val="0"/>
          <w:bCs w:val="0"/>
          <w:color w:val="000000"/>
          <w:sz w:val="24"/>
          <w:highlight w:val="none"/>
          <w:lang w:eastAsia="zh-CN"/>
        </w:rPr>
      </w:pP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供应商法定代表人授权委托书；</w:t>
      </w:r>
      <w:r>
        <w:rPr>
          <w:rFonts w:hint="eastAsia" w:ascii="宋体" w:hAnsi="宋体" w:eastAsia="宋体" w:cs="宋体"/>
          <w:b w:val="0"/>
          <w:bCs w:val="0"/>
          <w:color w:val="000000"/>
          <w:sz w:val="24"/>
          <w:highlight w:val="none"/>
        </w:rPr>
        <w:t xml:space="preserve">（法定代表人亲自参与投标的除外，格式见附件）</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276" w:leader="none"/>
        </w:tabs>
        <w:rPr>
          <w:rFonts w:hint="eastAsia" w:ascii="宋体" w:hAnsi="宋体" w:eastAsia="宋体" w:cs="宋体"/>
          <w:b w:val="0"/>
          <w:bCs w:val="0"/>
          <w:color w:val="000000"/>
          <w:sz w:val="24"/>
          <w:highlight w:val="none"/>
          <w:lang w:eastAsia="zh-CN"/>
        </w:rPr>
      </w:pPr>
      <w:r>
        <w:rPr>
          <w:rFonts w:hint="eastAsia" w:ascii="宋体" w:hAnsi="宋体"/>
          <w:bCs/>
          <w:color w:val="000000"/>
          <w:sz w:val="24"/>
          <w:highlight w:val="none"/>
        </w:rPr>
        <w:t xml:space="preserve">法定代表人身份证明书</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（格式见附件）</w:t>
      </w:r>
      <w:r>
        <w:rPr>
          <w:rFonts w:hint="eastAsia" w:ascii="宋体" w:hAnsi="宋体" w:eastAsia="宋体" w:cs="宋体"/>
          <w:b w:val="0"/>
          <w:bCs w:val="0"/>
          <w:color w:val="000000"/>
          <w:sz w:val="24"/>
          <w:highlight w:val="none"/>
          <w:lang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050" w:leader="none"/>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投标供应商具备基础电信业务经营许可证原件扫描件；</w:t>
      </w:r>
      <w:r>
        <w:rPr>
          <w:rFonts w:hint="eastAsia" w:ascii="宋体" w:hAnsi="宋体" w:eastAsia="宋体" w:cs="宋体"/>
          <w:color w:val="000000"/>
          <w:sz w:val="24"/>
          <w:szCs w:val="24"/>
          <w:highlight w:val="none"/>
          <w:lang w:val="en-US"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050" w:leader="none"/>
          <w:tab w:val="left" w:pos="1200" w:leader="none"/>
        </w:tabs>
        <w:rPr>
          <w:rFonts w:hint="eastAsia" w:ascii="宋体" w:hAnsi="宋体" w:eastAsia="宋体" w:cs="宋体"/>
          <w:bCs/>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近</w:t>
      </w:r>
      <w:r>
        <w:rPr>
          <w:rFonts w:hint="eastAsia" w:ascii="宋体" w:hAnsi="宋体" w:cs="宋体"/>
          <w:b w:val="0"/>
          <w:bCs w:val="0"/>
          <w:color w:val="000000"/>
          <w:sz w:val="24"/>
          <w:highlight w:val="none"/>
          <w:lang w:val="en-US" w:eastAsia="zh-CN"/>
        </w:rPr>
        <w:t xml:space="preserve">三个月（</w:t>
      </w:r>
      <w:r>
        <w:rPr>
          <w:rFonts w:hint="eastAsia" w:ascii="宋体" w:hAnsi="宋体" w:cs="宋体"/>
          <w:color w:val="000000"/>
          <w:sz w:val="24"/>
          <w:highlight w:val="none"/>
          <w:lang w:val="en-US" w:eastAsia="zh-CN"/>
        </w:rPr>
        <w:t xml:space="preserve">2025年3月-2025年5月</w:t>
      </w:r>
      <w:r>
        <w:rPr>
          <w:rFonts w:hint="eastAsia" w:ascii="宋体" w:hAnsi="宋体" w:cs="宋体"/>
          <w:b w:val="0"/>
          <w:bCs w:val="0"/>
          <w:color w:val="000000"/>
          <w:sz w:val="24"/>
          <w:highlight w:val="none"/>
          <w:lang w:val="en-US" w:eastAsia="zh-CN"/>
        </w:rPr>
        <w:t xml:space="preserve">）中</w:t>
      </w:r>
      <w:r>
        <w:rPr>
          <w:rFonts w:hint="eastAsia" w:ascii="宋体" w:hAnsi="宋体" w:eastAsia="宋体" w:cs="宋体"/>
          <w:b w:val="0"/>
          <w:bCs w:val="0"/>
          <w:color w:val="000000"/>
          <w:sz w:val="24"/>
          <w:highlight w:val="none"/>
        </w:rPr>
        <w:t xml:space="preserve">任意一个月份的财务状况报</w:t>
      </w:r>
      <w:r>
        <w:rPr>
          <w:rFonts w:hint="eastAsia" w:ascii="宋体" w:hAnsi="宋体" w:cs="宋体"/>
          <w:b w:val="0"/>
          <w:bCs w:val="0"/>
          <w:color w:val="000000"/>
          <w:sz w:val="24"/>
          <w:highlight w:val="none"/>
          <w:lang w:val="en-US" w:eastAsia="zh-CN"/>
        </w:rPr>
        <w:t xml:space="preserve">表</w:t>
      </w:r>
      <w:r>
        <w:rPr>
          <w:rFonts w:hint="eastAsia" w:ascii="宋体" w:hAnsi="宋体" w:eastAsia="宋体" w:cs="宋体"/>
          <w:b w:val="0"/>
          <w:bCs w:val="0"/>
          <w:color w:val="000000"/>
          <w:sz w:val="24"/>
          <w:highlight w:val="none"/>
        </w:rPr>
        <w:t xml:space="preserve">（资产负债表、利润表）或由会计师事务所出</w:t>
      </w:r>
      <w:r>
        <w:rPr>
          <w:rFonts w:hint="eastAsia" w:ascii="宋体" w:hAnsi="宋体" w:eastAsia="宋体" w:cs="宋体"/>
          <w:bCs/>
          <w:color w:val="000000"/>
          <w:sz w:val="24"/>
          <w:highlight w:val="none"/>
        </w:rPr>
        <w:t xml:space="preserve">具的</w:t>
      </w:r>
      <w:r>
        <w:rPr>
          <w:rFonts w:hint="eastAsia" w:ascii="宋体" w:hAnsi="宋体" w:eastAsia="宋体" w:cs="宋体"/>
          <w:bCs/>
          <w:color w:val="000000"/>
          <w:sz w:val="24"/>
          <w:highlight w:val="none"/>
          <w:lang w:val="en-US" w:eastAsia="zh-CN"/>
        </w:rPr>
        <w:t xml:space="preserve">2023年度或2024年度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供应商</w:t>
      </w:r>
      <w:r>
        <w:rPr>
          <w:rFonts w:hint="eastAsia" w:ascii="宋体" w:hAnsi="宋体" w:cs="宋体"/>
          <w:color w:val="000000"/>
          <w:sz w:val="24"/>
          <w:highlight w:val="none"/>
          <w:lang w:eastAsia="zh-CN"/>
        </w:rPr>
        <w:t xml:space="preserve">近</w:t>
      </w:r>
      <w:r>
        <w:rPr>
          <w:rFonts w:hint="eastAsia" w:ascii="宋体" w:hAnsi="宋体" w:cs="宋体"/>
          <w:b w:val="0"/>
          <w:bCs w:val="0"/>
          <w:color w:val="000000"/>
          <w:sz w:val="24"/>
          <w:highlight w:val="none"/>
          <w:lang w:val="en-US" w:eastAsia="zh-CN"/>
        </w:rPr>
        <w:t xml:space="preserve">三</w:t>
      </w:r>
      <w:r>
        <w:rPr>
          <w:rFonts w:hint="eastAsia" w:ascii="宋体" w:hAnsi="宋体" w:cs="宋体"/>
          <w:color w:val="000000"/>
          <w:sz w:val="24"/>
          <w:highlight w:val="none"/>
          <w:lang w:val="en-US" w:eastAsia="zh-CN"/>
        </w:rPr>
        <w:t xml:space="preserve">个月（2025年3月-2025年5月）中</w:t>
      </w:r>
      <w:r>
        <w:rPr>
          <w:rFonts w:hint="eastAsia" w:ascii="宋体" w:hAnsi="宋体" w:eastAsia="宋体" w:cs="宋体"/>
          <w:bCs/>
          <w:color w:val="000000"/>
          <w:sz w:val="24"/>
          <w:highlight w:val="none"/>
        </w:rPr>
        <w:t xml:space="preserve">任意一个月份的依法缴纳税收的相关材料（</w:t>
      </w:r>
      <w:r>
        <w:rPr>
          <w:rFonts w:hint="eastAsia" w:ascii="宋体" w:hAnsi="宋体" w:cs="宋体"/>
          <w:bCs/>
          <w:color w:val="000000"/>
          <w:sz w:val="24"/>
          <w:highlight w:val="none"/>
        </w:rPr>
        <w:t xml:space="preserve">提供相关主管部门证明或银行代扣证明，或者提供依法免税的主管部门出具的相关证明材料</w:t>
      </w:r>
      <w:r>
        <w:rPr>
          <w:rFonts w:hint="eastAsia" w:ascii="宋体" w:hAnsi="宋体" w:eastAsia="宋体" w:cs="宋体"/>
          <w:bCs/>
          <w:color w:val="000000"/>
          <w:sz w:val="24"/>
          <w:highlight w:val="none"/>
        </w:rPr>
        <w:t xml:space="preserve">）</w:t>
      </w:r>
      <w:r>
        <w:rPr>
          <w:rFonts w:hint="eastAsia" w:ascii="宋体" w:hAnsi="宋体" w:cs="宋体"/>
          <w:color w:val="000000"/>
          <w:sz w:val="24"/>
          <w:szCs w:val="24"/>
          <w:highlight w:val="none"/>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0" w:leader="none"/>
        </w:tabs>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lang w:eastAsia="zh-CN"/>
        </w:rPr>
        <w:t xml:space="preserve">近</w:t>
      </w:r>
      <w:r>
        <w:rPr>
          <w:rFonts w:hint="eastAsia" w:ascii="宋体" w:hAnsi="宋体" w:cs="宋体"/>
          <w:b w:val="0"/>
          <w:bCs w:val="0"/>
          <w:color w:val="000000"/>
          <w:sz w:val="24"/>
          <w:highlight w:val="none"/>
          <w:lang w:val="en-US" w:eastAsia="zh-CN"/>
        </w:rPr>
        <w:t xml:space="preserve">三</w:t>
      </w:r>
      <w:r>
        <w:rPr>
          <w:rFonts w:hint="eastAsia" w:ascii="宋体" w:hAnsi="宋体" w:cs="宋体"/>
          <w:color w:val="000000"/>
          <w:sz w:val="24"/>
          <w:highlight w:val="none"/>
          <w:lang w:val="en-US" w:eastAsia="zh-CN"/>
        </w:rPr>
        <w:t xml:space="preserve">个月（2025年3月-2025年5月）中</w:t>
      </w:r>
      <w:r>
        <w:rPr>
          <w:rFonts w:hint="eastAsia" w:ascii="宋体" w:hAnsi="宋体" w:eastAsia="宋体" w:cs="宋体"/>
          <w:bCs/>
          <w:color w:val="000000"/>
          <w:sz w:val="24"/>
          <w:highlight w:val="none"/>
        </w:rPr>
        <w:t xml:space="preserve">任意一个月份的依法缴纳</w:t>
      </w:r>
      <w:r>
        <w:rPr>
          <w:rFonts w:hint="eastAsia" w:ascii="宋体" w:hAnsi="宋体" w:eastAsia="宋体" w:cs="宋体"/>
          <w:b w:val="0"/>
          <w:bCs/>
          <w:color w:val="000000"/>
          <w:sz w:val="24"/>
          <w:highlight w:val="none"/>
        </w:rPr>
        <w:t xml:space="preserve">社会保障资金的相关材料（</w:t>
      </w:r>
      <w:r>
        <w:rPr>
          <w:rFonts w:hint="eastAsia" w:ascii="宋体" w:hAnsi="宋体" w:cs="宋体"/>
          <w:color w:val="000000"/>
          <w:sz w:val="24"/>
          <w:highlight w:val="none"/>
        </w:rPr>
        <w:t xml:space="preserve">提供相关主管部门证明或银行代扣证明，或者提供依法不需要缴纳社会保障资金的主管部门出具的相关证明材料</w:t>
      </w:r>
      <w:r>
        <w:rPr>
          <w:rFonts w:hint="eastAsia" w:ascii="宋体" w:hAnsi="宋体" w:eastAsia="宋体" w:cs="宋体"/>
          <w:b w:val="0"/>
          <w:bCs/>
          <w:color w:val="000000"/>
          <w:sz w:val="24"/>
          <w:highlight w:val="none"/>
        </w:rPr>
        <w:t xml:space="preserve">）</w:t>
      </w:r>
      <w:r>
        <w:rPr>
          <w:rFonts w:hint="eastAsia" w:ascii="宋体" w:hAnsi="宋体" w:cs="宋体"/>
          <w:color w:val="000000"/>
          <w:sz w:val="24"/>
          <w:szCs w:val="24"/>
          <w:highlight w:val="none"/>
        </w:rPr>
        <w:t xml:space="preserve">原件扫描件</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360" w:leader="none"/>
          <w:tab w:val="left" w:pos="600" w:leader="none"/>
        </w:tabs>
        <w:rPr>
          <w:rFonts w:hint="eastAsia" w:ascii="宋体" w:hAnsi="宋体" w:eastAsia="宋体" w:cs="宋体"/>
          <w:b w:val="0"/>
          <w:bCs/>
          <w:color w:val="000000"/>
          <w:sz w:val="24"/>
          <w:highlight w:val="none"/>
          <w:lang w:eastAsia="zh-CN"/>
        </w:rPr>
      </w:pPr>
      <w:r>
        <w:rPr>
          <w:rFonts w:hint="eastAsia" w:ascii="宋体" w:hAnsi="宋体" w:eastAsia="宋体" w:cs="宋体"/>
          <w:b w:val="0"/>
          <w:bCs/>
          <w:color w:val="000000"/>
          <w:sz w:val="24"/>
          <w:highlight w:val="none"/>
        </w:rPr>
        <w:t xml:space="preserve">授权代</w:t>
      </w:r>
      <w:r>
        <w:rPr>
          <w:rFonts w:hint="eastAsia" w:ascii="宋体" w:hAnsi="宋体" w:cs="宋体"/>
          <w:b w:val="0"/>
          <w:bCs/>
          <w:color w:val="000000"/>
          <w:sz w:val="24"/>
          <w:highlight w:val="none"/>
          <w:lang w:eastAsia="zh-CN"/>
        </w:rPr>
        <w:t xml:space="preserve">表人</w:t>
      </w:r>
      <w:r>
        <w:rPr>
          <w:rFonts w:hint="eastAsia" w:ascii="宋体" w:hAnsi="宋体" w:cs="宋体"/>
          <w:b w:val="0"/>
          <w:bCs/>
          <w:color w:val="000000"/>
          <w:sz w:val="24"/>
          <w:highlight w:val="none"/>
          <w:lang w:val="en-US" w:eastAsia="zh-CN"/>
        </w:rPr>
        <w:t xml:space="preserve">提供</w:t>
      </w:r>
      <w:r>
        <w:rPr>
          <w:rFonts w:hint="eastAsia" w:ascii="宋体" w:hAnsi="宋体" w:eastAsia="宋体" w:cs="宋体"/>
          <w:b w:val="0"/>
          <w:bCs/>
          <w:color w:val="000000"/>
          <w:sz w:val="24"/>
          <w:szCs w:val="24"/>
          <w:highlight w:val="none"/>
          <w:lang w:val="en-US" w:eastAsia="zh-CN"/>
        </w:rPr>
        <w:t xml:space="preserve">法定的社保收缴部门出具的</w:t>
      </w:r>
      <w:r>
        <w:rPr>
          <w:rFonts w:hint="eastAsia" w:ascii="宋体" w:hAnsi="宋体" w:cs="宋体"/>
          <w:color w:val="000000"/>
          <w:sz w:val="24"/>
          <w:highlight w:val="none"/>
          <w:lang w:eastAsia="zh-CN"/>
        </w:rPr>
        <w:t xml:space="preserve">近</w:t>
      </w:r>
      <w:r>
        <w:rPr>
          <w:rFonts w:hint="eastAsia" w:ascii="宋体" w:hAnsi="宋体" w:cs="宋体"/>
          <w:b w:val="0"/>
          <w:bCs w:val="0"/>
          <w:color w:val="000000"/>
          <w:sz w:val="24"/>
          <w:highlight w:val="none"/>
          <w:lang w:val="en-US" w:eastAsia="zh-CN"/>
        </w:rPr>
        <w:t xml:space="preserve">三</w:t>
      </w:r>
      <w:r>
        <w:rPr>
          <w:rFonts w:hint="eastAsia" w:ascii="宋体" w:hAnsi="宋体" w:cs="宋体"/>
          <w:color w:val="000000"/>
          <w:sz w:val="24"/>
          <w:highlight w:val="none"/>
          <w:lang w:val="en-US" w:eastAsia="zh-CN"/>
        </w:rPr>
        <w:t xml:space="preserve">个月（2025年3月-2025年5月）</w:t>
      </w:r>
      <w:r>
        <w:rPr>
          <w:rFonts w:hint="eastAsia" w:ascii="宋体" w:hAnsi="宋体" w:cs="宋体"/>
          <w:b w:val="0"/>
          <w:bCs/>
          <w:color w:val="000000"/>
          <w:sz w:val="24"/>
          <w:highlight w:val="none"/>
          <w:lang w:val="en-US" w:eastAsia="zh-CN"/>
        </w:rPr>
        <w:t xml:space="preserve">中</w:t>
      </w:r>
      <w:r>
        <w:rPr>
          <w:rFonts w:hint="eastAsia" w:ascii="宋体" w:hAnsi="宋体" w:eastAsia="宋体" w:cs="宋体"/>
          <w:b w:val="0"/>
          <w:bCs/>
          <w:color w:val="000000"/>
          <w:sz w:val="24"/>
          <w:highlight w:val="none"/>
        </w:rPr>
        <w:t xml:space="preserve">任意一个月</w:t>
      </w:r>
      <w:r>
        <w:rPr>
          <w:rFonts w:hint="eastAsia" w:ascii="宋体" w:hAnsi="宋体" w:eastAsia="宋体" w:cs="宋体"/>
          <w:b w:val="0"/>
          <w:bCs/>
          <w:color w:val="000000"/>
          <w:sz w:val="24"/>
          <w:szCs w:val="24"/>
          <w:highlight w:val="none"/>
          <w:lang w:val="en-US" w:eastAsia="zh-CN"/>
        </w:rPr>
        <w:t xml:space="preserve">的投标供应商依法为其缴纳社会保险证明（由相关主管部门出具；法定代表人亲自参加投标的除外；社保缴费证明必须提交带有社保部门</w:t>
      </w:r>
      <w:r>
        <w:rPr>
          <w:rFonts w:hint="eastAsia" w:ascii="宋体" w:hAnsi="宋体" w:cs="宋体"/>
          <w:b w:val="0"/>
          <w:bCs/>
          <w:color w:val="000000"/>
          <w:sz w:val="24"/>
          <w:szCs w:val="24"/>
          <w:highlight w:val="none"/>
          <w:lang w:val="en-US" w:eastAsia="zh-CN"/>
        </w:rPr>
        <w:t xml:space="preserve">公</w:t>
      </w:r>
      <w:r>
        <w:rPr>
          <w:rFonts w:hint="eastAsia" w:ascii="宋体" w:hAnsi="宋体" w:eastAsia="宋体" w:cs="宋体"/>
          <w:b w:val="0"/>
          <w:bCs/>
          <w:color w:val="000000"/>
          <w:sz w:val="24"/>
          <w:szCs w:val="24"/>
          <w:highlight w:val="none"/>
          <w:lang w:val="en-US" w:eastAsia="zh-CN"/>
        </w:rPr>
        <w:t xml:space="preserve">章的或含有县</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区</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color w:val="000000"/>
          <w:sz w:val="24"/>
          <w:szCs w:val="24"/>
          <w:highlight w:val="none"/>
          <w:lang w:val="zh-CN"/>
        </w:rPr>
        <w:t xml:space="preserve">；</w:t>
      </w:r>
      <w:r>
        <w:rPr>
          <w:rFonts w:hint="eastAsia" w:ascii="宋体" w:hAnsi="宋体" w:eastAsia="宋体" w:cs="宋体"/>
          <w:b w:val="0"/>
          <w:bCs/>
          <w:color w:val="000000"/>
          <w:sz w:val="24"/>
          <w:highlight w:val="none"/>
          <w:lang w:eastAsia="zh-CN"/>
        </w:rPr>
      </w:r>
      <w:r/>
    </w:p>
    <w:p>
      <w:pPr>
        <w:pStyle w:val="940"/>
        <w:numPr>
          <w:ilvl w:val="0"/>
          <w:numId w:val="3"/>
        </w:numPr>
        <w:ind w:left="0" w:firstLine="480"/>
        <w:jc w:val="both"/>
        <w:keepLines w:val="0"/>
        <w:keepNext w:val="0"/>
        <w:pageBreakBefore w:val="0"/>
        <w:spacing w:line="360" w:lineRule="auto"/>
        <w:shd w:val="clear" w:color="auto" w:fill="auto"/>
        <w:widowControl w:val="off"/>
        <w:tabs>
          <w:tab w:val="left" w:pos="1050" w:leader="none"/>
          <w:tab w:val="left" w:pos="1200" w:leader="none"/>
          <w:tab w:val="left" w:pos="1365" w:leader="none"/>
        </w:tabs>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承诺书；（格式见附件）</w:t>
      </w:r>
      <w:r>
        <w:rPr>
          <w:rFonts w:hint="eastAsia" w:ascii="宋体" w:hAnsi="宋体" w:eastAsia="宋体" w:cs="宋体"/>
          <w:b w:val="0"/>
          <w:bCs/>
          <w:color w:val="000000"/>
          <w:sz w:val="24"/>
          <w:highlight w:val="none"/>
        </w:rPr>
      </w:r>
      <w:r/>
    </w:p>
    <w:p>
      <w:pPr>
        <w:ind w:firstLine="516"/>
        <w:jc w:val="both"/>
        <w:keepLines w:val="0"/>
        <w:pageBreakBefore w:val="0"/>
        <w:spacing w:line="360" w:lineRule="auto"/>
        <w:tabs>
          <w:tab w:val="left" w:pos="0" w:leader="none"/>
        </w:tabs>
        <w:rPr>
          <w:rFonts w:hint="eastAsia" w:ascii="宋体" w:hAnsi="宋体" w:cs="宋体"/>
          <w:b/>
          <w:bCs/>
          <w:color w:val="000000"/>
          <w:sz w:val="24"/>
          <w:szCs w:val="24"/>
          <w:highlight w:val="none"/>
          <w14:ligatures w14: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t xml:space="preserve">投标供应商须提供上述资料原件的扫描件加盖公章上传至</w:t>
      </w:r>
      <w:r>
        <w:rPr>
          <w:rFonts w:hint="eastAsia" w:ascii="宋体" w:hAnsi="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rPr>
        <w:t xml:space="preserve">系统中。</w:t>
      </w: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ind w:firstLine="516"/>
        <w:jc w:val="both"/>
        <w:keepLines w:val="0"/>
        <w:pageBreakBefore w:val="0"/>
        <w:spacing w:line="360" w:lineRule="auto"/>
        <w:tabs>
          <w:tab w:val="left" w:pos="0" w:leader="none"/>
        </w:tabs>
        <w:rPr>
          <w:rFonts w:hint="eastAsia" w:ascii="宋体" w:hAnsi="宋体" w:cs="宋体"/>
          <w:b/>
          <w:bCs/>
          <w:color w:val="000000"/>
          <w:sz w:val="24"/>
          <w:szCs w:val="24"/>
          <w:highlight w:val="none"/>
          <w:u w:val="singl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highlight w:val="none"/>
          <w:u w:val="single"/>
        </w:rPr>
        <w:t xml:space="preserve">银行、保险、石油石化、电力、电信等有行业特殊情况的，可以分支机构参加投标。本项目如为分支机构参与投标，其营业执照上“负责人”等同于投标时“法定代表人”，其总公司具备基础电信业务经营许可证等同于分支机构具备基础电信业务经营许可证。</w:t>
      </w:r>
      <w:r>
        <w:rPr>
          <w:rFonts w:hint="eastAsia" w:ascii="宋体" w:hAnsi="宋体" w:cs="宋体"/>
          <w:b/>
          <w:bCs/>
          <w:color w:val="000000"/>
          <w:sz w:val="24"/>
          <w:szCs w:val="24"/>
          <w:highlight w:val="none"/>
          <w:u w:val="single"/>
        </w:rPr>
      </w:r>
    </w:p>
    <w:p>
      <w:pPr>
        <w:pStyle w:val="940"/>
        <w:ind w:firstLine="482"/>
        <w:jc w:val="both"/>
        <w:keepLines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w:t>
      </w:r>
      <w:r>
        <w:rPr>
          <w:rFonts w:hint="eastAsia" w:ascii="宋体" w:hAnsi="宋体" w:cs="宋体"/>
          <w:b/>
          <w:color w:val="000000"/>
          <w:sz w:val="24"/>
          <w:highlight w:val="none"/>
          <w:u w:val="single"/>
        </w:rPr>
        <w:t xml:space="preserve">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rPr>
          <w:rFonts w:hint="eastAsia" w:ascii="宋体" w:hAnsi="宋体" w:cs="宋体"/>
          <w:b/>
          <w:color w:val="000000"/>
          <w:sz w:val="24"/>
          <w:highlight w:val="none"/>
        </w:rPr>
      </w:r>
      <w:r/>
    </w:p>
    <w:p>
      <w:pPr>
        <w:pStyle w:val="940"/>
        <w:numPr>
          <w:ilvl w:val="0"/>
          <w:numId w:val="4"/>
        </w:numPr>
        <w:ind w:firstLine="480"/>
        <w:jc w:val="both"/>
        <w:keepLines w:val="0"/>
        <w:pageBreakBefore w:val="0"/>
        <w:spacing w:line="360" w:lineRule="auto"/>
        <w:shd w:val="clear" w:color="auto" w:fill="auto"/>
        <w:rPr>
          <w:rFonts w:hint="eastAsia" w:ascii="宋体" w:hAnsi="宋体" w:cs="宋体"/>
          <w:bCs/>
          <w:color w:val="000000"/>
          <w:sz w:val="24"/>
          <w:highlight w:val="none"/>
          <w:lang w:eastAsia="zh-CN"/>
        </w:rPr>
      </w:pPr>
      <w:r>
        <w:rPr>
          <w:rFonts w:hint="eastAsia" w:ascii="宋体" w:hAnsi="宋体" w:eastAsia="宋体" w:cs="宋体"/>
          <w:bCs/>
          <w:color w:val="000000"/>
          <w:sz w:val="24"/>
          <w:highlight w:val="none"/>
        </w:rPr>
        <w:t xml:space="preserve">补充证明文件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投标供应商可按情况自行提供</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940"/>
        <w:numPr>
          <w:ilvl w:val="0"/>
          <w:numId w:val="4"/>
        </w:numPr>
        <w:ind w:firstLine="480"/>
        <w:jc w:val="both"/>
        <w:keepLines w:val="0"/>
        <w:pageBreakBefore w:val="0"/>
        <w:spacing w:line="360" w:lineRule="auto"/>
        <w:shd w:val="clear" w:color="auto" w:fill="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w:t>
      </w:r>
      <w:r>
        <w:rPr>
          <w:rFonts w:ascii="宋体" w:hAnsi="宋体" w:cs="宋体"/>
          <w:bCs/>
          <w:color w:val="000000"/>
          <w:sz w:val="24"/>
          <w:highlight w:val="none"/>
          <w:lang w:val="en-US" w:eastAsia="zh-CN"/>
        </w:rPr>
        <w:t xml:space="preserve">复印件</w:t>
      </w:r>
      <w:r>
        <w:rPr>
          <w:rFonts w:hint="eastAsia" w:ascii="宋体" w:hAnsi="宋体" w:cs="宋体"/>
          <w:bCs/>
          <w:color w:val="000000"/>
          <w:sz w:val="24"/>
          <w:highlight w:val="none"/>
          <w:lang w:eastAsia="zh-CN"/>
        </w:rPr>
        <w:t xml:space="preserve">；如为残疾人福利性单位的提供《残疾人福利性单位声明函》（格式见附件）；</w:t>
      </w:r>
      <w:r>
        <w:rPr>
          <w:rFonts w:hint="eastAsia" w:ascii="宋体" w:hAnsi="宋体" w:cs="宋体"/>
          <w:bCs/>
          <w:color w:val="000000"/>
          <w:sz w:val="24"/>
          <w:highlight w:val="none"/>
          <w:lang w:eastAsia="zh-CN"/>
        </w:rPr>
      </w:r>
      <w:r/>
    </w:p>
    <w:p>
      <w:pPr>
        <w:pStyle w:val="940"/>
        <w:ind w:firstLine="480"/>
        <w:jc w:val="both"/>
        <w:keepLines w:val="0"/>
        <w:pageBreakBefore w:val="0"/>
        <w:spacing w:line="360" w:lineRule="auto"/>
        <w:tabs>
          <w:tab w:val="left" w:pos="210" w:leader="none"/>
          <w:tab w:val="left" w:pos="1155" w:leader="none"/>
          <w:tab w:val="left" w:pos="1575" w:leader="none"/>
        </w:tabs>
        <w:rPr>
          <w:rFonts w:hint="eastAsia" w:ascii="宋体" w:hAnsi="宋体" w:eastAsia="宋体" w:cs="Times New Roman"/>
          <w:color w:val="000000"/>
          <w:sz w:val="24"/>
          <w:highlight w:val="none"/>
          <w:lang w:val="en-US" w:eastAsia="zh-CN"/>
        </w:rPr>
      </w:pPr>
      <w:r>
        <w:rPr>
          <w:rFonts w:hint="eastAsia" w:ascii="宋体" w:hAnsi="宋体"/>
          <w:bCs/>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投标供应商认为有必要提供</w:t>
      </w:r>
      <w:r>
        <w:rPr>
          <w:rFonts w:hint="eastAsia" w:ascii="宋体" w:hAnsi="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en-US" w:eastAsia="zh-CN"/>
        </w:rPr>
        <w:t xml:space="preserve">资料（参照评分标准要求）。</w:t>
      </w:r>
      <w:r>
        <w:rPr>
          <w:rFonts w:hint="eastAsia" w:ascii="宋体" w:hAnsi="宋体" w:eastAsia="宋体" w:cs="Times New Roman"/>
          <w:color w:val="000000"/>
          <w:sz w:val="24"/>
          <w:highlight w:val="none"/>
          <w:lang w:val="en-US" w:eastAsia="zh-CN"/>
        </w:rPr>
      </w:r>
      <w:r/>
    </w:p>
    <w:p>
      <w:pPr>
        <w:pStyle w:val="940"/>
        <w:ind w:firstLine="480"/>
        <w:jc w:val="both"/>
        <w:keepLines w:val="0"/>
        <w:pageBreakBefore w:val="0"/>
        <w:spacing w:line="360" w:lineRule="auto"/>
        <w:tabs>
          <w:tab w:val="left" w:pos="210" w:leader="none"/>
          <w:tab w:val="left" w:pos="1155" w:leader="none"/>
          <w:tab w:val="left" w:pos="1575" w:leader="none"/>
        </w:tabs>
        <w:rPr>
          <w:rFonts w:hint="eastAsia" w:ascii="宋体" w:hAnsi="宋体" w:eastAsia="宋体" w:cs="Times New Roman"/>
          <w:color w:val="000000"/>
          <w:sz w:val="24"/>
          <w:highlight w:val="none"/>
          <w:lang w:val="en-US" w:eastAsia="zh-CN"/>
        </w:rPr>
      </w:pP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en-US" w:eastAsia="zh-CN"/>
        </w:rPr>
        <w:t xml:space="preserve">投标偏离表（格式见附件）。</w:t>
      </w:r>
      <w:r>
        <w:rPr>
          <w:rFonts w:hint="eastAsia" w:ascii="宋体" w:hAnsi="宋体" w:eastAsia="宋体" w:cs="Times New Roman"/>
          <w:color w:val="000000"/>
          <w:sz w:val="24"/>
          <w:highlight w:val="none"/>
          <w:lang w:val="en-US" w:eastAsia="zh-CN"/>
        </w:rPr>
      </w:r>
      <w:r/>
    </w:p>
    <w:p>
      <w:pPr>
        <w:pStyle w:val="940"/>
        <w:ind w:firstLine="480"/>
        <w:jc w:val="both"/>
        <w:keepLines w:val="0"/>
        <w:pageBreakBefore w:val="0"/>
        <w:spacing w:line="360" w:lineRule="auto"/>
        <w:tabs>
          <w:tab w:val="left" w:pos="210" w:leader="none"/>
          <w:tab w:val="left" w:pos="1155" w:leader="none"/>
          <w:tab w:val="left" w:pos="1575" w:leader="none"/>
        </w:tabs>
        <w:rPr>
          <w:rFonts w:hint="eastAsia" w:ascii="宋体" w:hAnsi="宋体" w:eastAsia="宋体" w:cs="Times New Roman"/>
          <w:color w:val="000000"/>
          <w:sz w:val="24"/>
          <w:highlight w:val="none"/>
          <w:lang w:val="en-US" w:eastAsia="zh-CN"/>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报价部分</w:t>
      </w:r>
      <w:r>
        <w:rPr>
          <w:rFonts w:hint="eastAsia" w:ascii="宋体" w:hAnsi="宋体" w:eastAsia="宋体" w:cs="Times New Roman"/>
          <w:color w:val="000000"/>
          <w:sz w:val="24"/>
          <w:highlight w:val="none"/>
          <w:lang w:val="en-US" w:eastAsia="zh-CN"/>
        </w:rPr>
      </w:r>
      <w:r/>
    </w:p>
    <w:p>
      <w:pPr>
        <w:pStyle w:val="940"/>
        <w:ind w:firstLine="480"/>
        <w:jc w:val="both"/>
        <w:keepLines w:val="0"/>
        <w:pageBreakBefore w:val="0"/>
        <w:spacing w:line="360" w:lineRule="auto"/>
        <w:rPr>
          <w:rFonts w:ascii="宋体" w:hAnsi="宋体" w:cs="宋体"/>
          <w:color w:val="000000"/>
          <w:sz w:val="24"/>
          <w:highlight w:val="none"/>
        </w:rPr>
      </w:pPr>
      <w:r>
        <w:rPr>
          <w:rFonts w:hint="eastAsia" w:ascii="宋体" w:hAnsi="宋体" w:eastAsia="宋体" w:cs="Times New Roman"/>
          <w:b w:val="0"/>
          <w:bCs/>
          <w:color w:val="000000"/>
          <w:sz w:val="24"/>
          <w:szCs w:val="24"/>
          <w:highlight w:val="none"/>
          <w:lang w:val="en-US" w:eastAsia="zh-CN" w:bidi="ar-SA"/>
        </w:rPr>
        <w:t xml:space="preserve">（1）</w:t>
      </w:r>
      <w:r>
        <w:rPr>
          <w:rFonts w:hint="eastAsia" w:ascii="宋体" w:hAnsi="宋体" w:cs="宋体"/>
          <w:color w:val="000000"/>
          <w:sz w:val="24"/>
          <w:highlight w:val="none"/>
        </w:rPr>
        <w:t xml:space="preserve">开标一览表</w:t>
      </w:r>
      <w:r>
        <w:rPr>
          <w:rFonts w:ascii="宋体" w:hAnsi="宋体" w:cs="宋体"/>
          <w:color w:val="000000"/>
          <w:sz w:val="24"/>
          <w:highlight w:val="none"/>
        </w:rPr>
      </w:r>
      <w:r/>
    </w:p>
    <w:p>
      <w:pPr>
        <w:pStyle w:val="940"/>
        <w:ind w:firstLine="482"/>
        <w:jc w:val="both"/>
        <w:keepLines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w:t>
      </w:r>
      <w:r>
        <w:rPr>
          <w:rFonts w:hint="eastAsia" w:ascii="宋体" w:hAnsi="宋体" w:eastAsia="宋体" w:cs="宋体"/>
          <w:b/>
          <w:bCs/>
          <w:color w:val="000000"/>
          <w:sz w:val="24"/>
          <w:highlight w:val="none"/>
          <w:lang w:eastAsia="zh-CN"/>
        </w:rPr>
      </w:r>
      <w:r/>
    </w:p>
    <w:p>
      <w:pPr>
        <w:pStyle w:val="1113"/>
        <w:numPr>
          <w:ilvl w:val="0"/>
          <w:numId w:val="0"/>
        </w:numPr>
        <w:ind w:left="0" w:firstLine="480"/>
        <w:jc w:val="both"/>
        <w:keepLines w:val="0"/>
        <w:pageBreakBefore w:val="0"/>
        <w:spacing w:after="0" w:line="360" w:lineRule="auto"/>
        <w:rPr>
          <w:rFonts w:hint="eastAsia" w:ascii="宋体" w:hAnsi="宋体" w:cs="宋体"/>
          <w:b w:val="0"/>
          <w:bCs/>
          <w:color w:val="000000"/>
          <w:sz w:val="24"/>
          <w:szCs w:val="20"/>
          <w:highlight w:val="none"/>
        </w:rPr>
      </w:pPr>
      <w:r>
        <w:rPr>
          <w:rFonts w:hint="eastAsia" w:ascii="宋体" w:hAnsi="宋体" w:eastAsia="宋体" w:cs="宋体"/>
          <w:b w:val="0"/>
          <w:bCs w:val="0"/>
          <w:color w:val="000000"/>
          <w:sz w:val="24"/>
          <w:szCs w:val="24"/>
          <w:highlight w:val="none"/>
          <w:lang w:val="en-US" w:eastAsia="zh-CN" w:bidi="ar-SA"/>
        </w:rPr>
        <w:t xml:space="preserve">技术方案：（</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应按评分标准中的顺序编制完整的技术方案，以便评审</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color w:val="000000"/>
          <w:sz w:val="24"/>
          <w:szCs w:val="20"/>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（六）投标文件的要求：</w:t>
      </w:r>
      <w:r>
        <w:rPr>
          <w:rFonts w:hint="eastAsia" w:ascii="宋体" w:hAnsi="宋体" w:eastAsia="宋体" w:cs="宋体"/>
          <w:b/>
          <w:bCs/>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b/>
          <w:bCs/>
          <w:color w:val="000000"/>
          <w:sz w:val="24"/>
          <w:highlight w:val="none"/>
          <w:lang w:val="en-US" w:eastAsia="zh-CN"/>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中标单位在中标公告结束后递交纸质版投标文件一正</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副至招标代理机构，</w:t>
      </w:r>
      <w:r>
        <w:rPr>
          <w:rFonts w:hint="eastAsia" w:ascii="宋体" w:hAnsi="宋体" w:eastAsia="宋体" w:cs="宋体"/>
          <w:color w:val="000000"/>
          <w:sz w:val="24"/>
          <w:highlight w:val="none"/>
          <w:lang w:val="zh-CN"/>
        </w:rPr>
        <w:t xml:space="preserve">若纸质投标文件与电子投标文件不符，则以电子投标文件为准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供应商在开标前务必确认电脑浏览器设置、CA证书软件下载等，确保和CA证书匹配</w:t>
      </w:r>
      <w:r>
        <w:rPr>
          <w:rFonts w:hint="eastAsia" w:ascii="宋体" w:hAnsi="宋体" w:cs="宋体"/>
          <w:color w:val="000000"/>
          <w:sz w:val="24"/>
          <w:highlight w:val="none"/>
          <w:lang w:eastAsia="zh-CN"/>
        </w:rPr>
        <w:t xml:space="preserve">可以正常登录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940"/>
        <w:ind w:firstLine="36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本次采购采用“苏采云”系统进行采购活动，采购文件发布、报价、评审和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潜在投标供应商可在项目招标公告附件中查看公开招标文件，如确定投标，必须在苏采云平台（http://jszfcg.jscz.gov.cn/jszc/login）中免费下载公开招标文件[“无锡政府采购网--江苏省政府采购（苏采云）平台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应对CA数字证书妥善保管，如被他人盗用投标，后果自负。</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按招标文件规定的网上解密时间进行解密，如未按时解密后果自负。</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注：①在开标解密阶段，</w:t>
      </w:r>
      <w:r>
        <w:rPr>
          <w:rFonts w:hint="eastAsia" w:ascii="宋体" w:hAnsi="宋体" w:eastAsia="宋体" w:cs="宋体"/>
          <w:color w:val="000000"/>
          <w:sz w:val="24"/>
          <w:highlight w:val="none"/>
        </w:rPr>
        <w:t xml:space="preserve">因</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网络与电源不稳定、解密锁发生故障或用错、故意不在要求时限内完成解密等自身原因，导致投标文件在规定时间内未能解密、解密失败或解密超时，由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自行承担后果，视为放弃其投标。</w:t>
      </w:r>
      <w:r>
        <w:rPr>
          <w:rFonts w:hint="eastAsia" w:ascii="宋体" w:hAnsi="宋体" w:eastAsia="宋体" w:cs="宋体"/>
          <w:color w:val="000000"/>
          <w:sz w:val="24"/>
          <w:highlight w:val="none"/>
          <w:lang w:val="en-US" w:eastAsia="zh-CN"/>
        </w:rPr>
        <w:t xml:space="preserve">②如所有投标文件均无法正常解密视为系统问题，如任一投标文件正常解密，其他在规定时间内无法正常解密的投标文件视为放弃投标。③在解密时长倒计时结束前，供应商可进行解密操作，当剩余时间为0后，供应商则不可以进行解密操作；当所有供应商都解密或者仍有供应商未解密但剩余时间为0后，系统会自动进入下一节点【唱标】。</w:t>
      </w:r>
      <w:r>
        <w:rPr>
          <w:rFonts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应当对招标文件提出的要求和条件作出实质性响应，并在电子投标系统逐条应答。</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940"/>
        <w:ind w:firstLine="480"/>
        <w:jc w:val="both"/>
        <w:keepLines w:val="0"/>
        <w:pageBreakBefore w:val="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）无效投标文件的确认：</w:t>
      </w:r>
      <w:r>
        <w:rPr>
          <w:rFonts w:hint="eastAsia" w:ascii="宋体" w:hAnsi="宋体" w:eastAsia="宋体" w:cs="宋体"/>
          <w:b/>
          <w:bCs/>
          <w:color w:val="000000"/>
          <w:sz w:val="24"/>
          <w:highlight w:val="none"/>
        </w:rPr>
      </w:r>
      <w:r/>
    </w:p>
    <w:p>
      <w:pPr>
        <w:pStyle w:val="940"/>
        <w:ind w:firstLine="360"/>
        <w:jc w:val="both"/>
        <w:keepLines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bCs/>
          <w:color w:val="000000"/>
          <w:sz w:val="24"/>
          <w:szCs w:val="24"/>
          <w:highlight w:val="none"/>
        </w:rPr>
        <w:t xml:space="preserve">未按规定在</w:t>
      </w:r>
      <w:r>
        <w:rPr>
          <w:rFonts w:hint="eastAsia" w:ascii="宋体" w:hAnsi="宋体" w:cs="宋体"/>
          <w:color w:val="000000"/>
          <w:sz w:val="24"/>
          <w:szCs w:val="24"/>
          <w:highlight w:val="none"/>
        </w:rPr>
        <w:t xml:space="preserve">江苏省政府采购（苏采云）平台</w:t>
      </w:r>
      <w:r>
        <w:rPr>
          <w:rFonts w:hint="eastAsia" w:ascii="宋体" w:hAnsi="宋体"/>
          <w:bCs/>
          <w:color w:val="000000"/>
          <w:sz w:val="24"/>
          <w:szCs w:val="24"/>
          <w:highlight w:val="none"/>
        </w:rPr>
        <w:t xml:space="preserve">注册的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电子投标文件未按规定的期限投标的；</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电子投标文件未按要求密封、签署、盖章、</w:t>
      </w:r>
      <w:bookmarkStart w:id="1" w:name="_Hlk95937726"/>
      <w:r>
        <w:rPr>
          <w:rFonts w:hint="eastAsia" w:ascii="宋体" w:hAnsi="宋体" w:eastAsia="宋体" w:cs="宋体"/>
          <w:color w:val="000000"/>
          <w:sz w:val="24"/>
          <w:highlight w:val="none"/>
        </w:rPr>
        <w:t xml:space="preserve">上传至系统</w:t>
      </w:r>
      <w:bookmarkEnd w:id="1"/>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供应商未按采购文件要求解密投标文件的；</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投标供应商的法定代表人授权代表，无法定代表人授权委托书的；</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不具备招标文件中规定的资格要求及未按招标文件规定的要求提供资格证明文件的；</w:t>
      </w:r>
      <w:r>
        <w:rPr>
          <w:rFonts w:hint="eastAsia" w:ascii="宋体" w:hAnsi="宋体" w:eastAsia="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投标文件含有采购人不</w:t>
      </w:r>
      <w:r>
        <w:rPr>
          <w:rFonts w:hint="eastAsia" w:ascii="宋体" w:hAnsi="宋体" w:cs="宋体"/>
          <w:color w:val="000000"/>
          <w:sz w:val="24"/>
          <w:highlight w:val="none"/>
        </w:rPr>
        <w:t xml:space="preserve">能接受的附加条件的；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投标文件未按招标文件规定的格式、内容和要求填写、制作的；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投标文件书写潦草、字迹模糊不清、无法辨认的；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恶意串通其他投标供应商，故意哄抬价格或压价的；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提供虚假材料的（包括工商营业执照、财务报表、资格证明文件等）；</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不同投标供应商投标文件相互混装的；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不同投标供应商聘请同一人为其报价提供技术或经济咨询服务的；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不同投标供应商的单位负责人为同一人或者存在直接控股、管理关系的；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改变招标文件规定的暂定价格或不可竞争费用的；改变招标文件规定的工期、误期违约金、质量标准及质量违约金的；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改变招标文件提供的工程量清单中的清单编码、计量单位、工程数量、项目特征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投标文件报价出现前后不一致，投标供应商拒不确认修正后的报价的；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超过招标文件规定的最高限价的；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列入失信被执行人、重大税收违法案件当事人名单、政府采购严重违法失信行为记录名单及其他不符合《中华人民共和国政府采购法》第二十二条规</w:t>
      </w:r>
      <w:r>
        <w:rPr>
          <w:rFonts w:hint="eastAsia" w:ascii="宋体" w:hAnsi="宋体" w:cs="宋体"/>
          <w:color w:val="000000"/>
          <w:sz w:val="24"/>
          <w:highlight w:val="none"/>
          <w:lang w:eastAsia="zh-CN"/>
        </w:rPr>
        <w:t xml:space="preserve">定的</w:t>
      </w:r>
      <w:r>
        <w:rPr>
          <w:rFonts w:hint="eastAsia" w:ascii="宋体" w:hAnsi="宋体" w:cs="宋体"/>
          <w:color w:val="000000"/>
          <w:sz w:val="24"/>
          <w:highlight w:val="none"/>
        </w:rPr>
        <w:t xml:space="preserve">条件的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不同投标供应商的投标文件的装订形式、纸张情况、目录序号、排版格式、文字风格等存在明显的相似性或一致性，特征显示由同一单位或者同一个人编制的；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不同投标供应商投标文件内容存在非正常一致、项目组成员或者联系人员出现同一人、投标文件中错误（或异常）一致或雷同、</w:t>
      </w:r>
      <w:r>
        <w:rPr>
          <w:rStyle w:val="996"/>
          <w:rFonts w:hint="eastAsia" w:ascii="宋体" w:hAnsi="宋体" w:cs="宋体"/>
          <w:color w:val="000000"/>
          <w:sz w:val="24"/>
          <w:highlight w:val="none"/>
        </w:rPr>
        <w:t xml:space="preserve">上传系统的文档信息一致或雷同的</w:t>
      </w:r>
      <w:r>
        <w:rPr>
          <w:rStyle w:val="996"/>
          <w:rFonts w:hint="eastAsia" w:ascii="宋体" w:hAnsi="宋体" w:cs="宋体"/>
          <w:color w:val="000000"/>
          <w:sz w:val="24"/>
          <w:highlight w:val="none"/>
          <w:lang w:eastAsia="zh-CN"/>
        </w:rPr>
        <w:t xml:space="preserve">，或者</w:t>
      </w:r>
      <w:r>
        <w:rPr>
          <w:rFonts w:hint="eastAsia" w:ascii="宋体" w:hAnsi="宋体" w:cs="宋体"/>
          <w:color w:val="000000"/>
          <w:sz w:val="24"/>
          <w:highlight w:val="none"/>
        </w:rPr>
        <w:t xml:space="preserve">投标报价呈规律性差异；</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不同投标供应商的委托代理人、项目负责人以及其他相关人员有在同一个单位缴纳社会保险的；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投标供应商的投标文件上传使用的MAC地址、标书制作工具客户端标识码</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IP地址一致的，不同投标文件留有相同标记标识、存在两处以上一致性错误或雷同等情况，视为投标供应商相互围标、串标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其投标无效；</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电子投标文件与招标文件要求格式不一致而无法导入计算机评标系统；</w:t>
      </w:r>
      <w:r>
        <w:rPr>
          <w:rFonts w:hint="eastAsia" w:ascii="宋体" w:hAnsi="宋体" w:cs="宋体"/>
          <w:color w:val="000000"/>
          <w:sz w:val="24"/>
          <w:highlight w:val="none"/>
        </w:rPr>
      </w:r>
      <w:r/>
    </w:p>
    <w:p>
      <w:pPr>
        <w:pStyle w:val="940"/>
        <w:numPr>
          <w:ilvl w:val="0"/>
          <w:numId w:val="5"/>
        </w:numPr>
        <w:ind w:left="0" w:firstLine="480"/>
        <w:jc w:val="both"/>
        <w:keepLines w:val="0"/>
        <w:pageBreakBefore w:val="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）开标、评标：</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1.所有投标单位在</w:t>
      </w:r>
      <w:r>
        <w:rPr>
          <w:rFonts w:hint="eastAsia" w:ascii="宋体" w:hAnsi="宋体" w:cs="宋体"/>
          <w:color w:val="000000"/>
          <w:sz w:val="24"/>
          <w:szCs w:val="20"/>
          <w:highlight w:val="none"/>
          <w:lang w:val="en-US" w:eastAsia="zh-CN"/>
        </w:rPr>
        <w:t xml:space="preserve">采购文件</w:t>
      </w:r>
      <w:r>
        <w:rPr>
          <w:rFonts w:hint="eastAsia" w:ascii="宋体" w:hAnsi="宋体" w:cs="宋体"/>
          <w:color w:val="000000"/>
          <w:sz w:val="24"/>
          <w:szCs w:val="20"/>
          <w:highlight w:val="none"/>
        </w:rPr>
        <w:t xml:space="preserve">规定的时间内解密各自</w:t>
      </w:r>
      <w:r>
        <w:rPr>
          <w:rFonts w:hint="eastAsia" w:ascii="宋体" w:hAnsi="宋体" w:cs="宋体"/>
          <w:color w:val="000000"/>
          <w:sz w:val="24"/>
          <w:szCs w:val="20"/>
          <w:highlight w:val="none"/>
          <w:lang w:val="en-US" w:eastAsia="zh-CN"/>
        </w:rPr>
        <w:t xml:space="preserve">投标</w:t>
      </w:r>
      <w:r>
        <w:rPr>
          <w:rFonts w:hint="eastAsia" w:ascii="宋体" w:hAnsi="宋体" w:cs="宋体"/>
          <w:color w:val="000000"/>
          <w:sz w:val="24"/>
          <w:szCs w:val="20"/>
          <w:highlight w:val="none"/>
        </w:rPr>
        <w:t xml:space="preserve">文件</w:t>
      </w:r>
      <w:r>
        <w:rPr>
          <w:rFonts w:hint="eastAsia" w:ascii="宋体" w:hAnsi="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1115"/>
        <w:ind w:firstLine="480"/>
        <w:jc w:val="both"/>
        <w:keepLines w:val="0"/>
        <w:pageBreakBefore w:val="0"/>
        <w:spacing w:line="360" w:lineRule="auto"/>
        <w:rPr>
          <w:rStyle w:val="996"/>
          <w:rFonts w:ascii="宋体" w:hAnsi="宋体" w:cs="宋体"/>
          <w:color w:val="000000"/>
          <w:sz w:val="24"/>
          <w:highlight w:val="none"/>
        </w:rPr>
      </w:pPr>
      <w:r>
        <w:rPr>
          <w:rStyle w:val="996"/>
          <w:rFonts w:ascii="宋体" w:hAnsi="宋体" w:cs="宋体"/>
          <w:color w:val="000000"/>
          <w:sz w:val="24"/>
          <w:highlight w:val="none"/>
        </w:rPr>
        <w:t xml:space="preserve">解密后，供应商须自行准备设备（包括但不限于笔记本电脑、</w:t>
      </w:r>
      <w:r>
        <w:rPr>
          <w:rStyle w:val="996"/>
          <w:rFonts w:hint="eastAsia" w:ascii="宋体" w:hAnsi="宋体" w:cs="宋体"/>
          <w:color w:val="000000"/>
          <w:sz w:val="24"/>
          <w:highlight w:val="none"/>
        </w:rPr>
        <w:t xml:space="preserve">CA锁、</w:t>
      </w:r>
      <w:r>
        <w:rPr>
          <w:rStyle w:val="996"/>
          <w:rFonts w:ascii="宋体" w:hAnsi="宋体" w:cs="宋体"/>
          <w:color w:val="000000"/>
          <w:sz w:val="24"/>
          <w:highlight w:val="none"/>
        </w:rPr>
        <w:t xml:space="preserve">无线网络</w:t>
      </w:r>
      <w:r>
        <w:rPr>
          <w:rStyle w:val="996"/>
          <w:rFonts w:hint="eastAsia" w:ascii="宋体" w:hAnsi="宋体" w:cs="宋体"/>
          <w:color w:val="000000"/>
          <w:sz w:val="24"/>
          <w:highlight w:val="none"/>
        </w:rPr>
        <w:t xml:space="preserve">热点</w:t>
      </w:r>
      <w:r>
        <w:rPr>
          <w:rStyle w:val="996"/>
          <w:rFonts w:ascii="宋体" w:hAnsi="宋体" w:cs="宋体"/>
          <w:color w:val="000000"/>
          <w:sz w:val="24"/>
          <w:highlight w:val="none"/>
        </w:rPr>
        <w:t xml:space="preserve">）登录“</w:t>
      </w:r>
      <w:r>
        <w:rPr>
          <w:rStyle w:val="996"/>
          <w:rFonts w:hint="eastAsia" w:ascii="宋体" w:hAnsi="宋体" w:cs="宋体"/>
          <w:color w:val="000000"/>
          <w:sz w:val="24"/>
          <w:highlight w:val="none"/>
        </w:rPr>
        <w:t xml:space="preserve">江苏省政府采购（苏采云）平台</w:t>
      </w:r>
      <w:r>
        <w:rPr>
          <w:rStyle w:val="996"/>
          <w:rFonts w:ascii="宋体" w:hAnsi="宋体" w:cs="宋体"/>
          <w:color w:val="000000"/>
          <w:sz w:val="24"/>
          <w:highlight w:val="none"/>
        </w:rPr>
        <w:t xml:space="preserve">”，按采购文件规定时间解密后，在评审过程中保持在线，等待</w:t>
      </w:r>
      <w:r>
        <w:rPr>
          <w:rStyle w:val="996"/>
          <w:rFonts w:hint="eastAsia" w:ascii="宋体" w:hAnsi="宋体" w:cs="宋体"/>
          <w:color w:val="000000"/>
          <w:sz w:val="24"/>
          <w:highlight w:val="none"/>
        </w:rPr>
        <w:t xml:space="preserve">评审</w:t>
      </w:r>
      <w:r>
        <w:rPr>
          <w:rStyle w:val="996"/>
          <w:rFonts w:ascii="宋体" w:hAnsi="宋体" w:cs="宋体"/>
          <w:color w:val="000000"/>
          <w:sz w:val="24"/>
          <w:highlight w:val="none"/>
        </w:rPr>
        <w:t xml:space="preserve">小组的</w:t>
      </w:r>
      <w:r>
        <w:rPr>
          <w:rStyle w:val="996"/>
          <w:rFonts w:hint="eastAsia" w:ascii="宋体" w:hAnsi="宋体" w:cs="宋体"/>
          <w:color w:val="000000"/>
          <w:sz w:val="24"/>
          <w:highlight w:val="none"/>
        </w:rPr>
        <w:t xml:space="preserve">询标（如有）</w:t>
      </w:r>
      <w:r>
        <w:rPr>
          <w:rStyle w:val="996"/>
          <w:rFonts w:ascii="宋体" w:hAnsi="宋体" w:cs="宋体"/>
          <w:color w:val="000000"/>
          <w:sz w:val="24"/>
          <w:highlight w:val="none"/>
        </w:rPr>
        <w:t xml:space="preserve">、按要求报价，并等待评审结果，中途不得离开。如未按要求应答，由此所产生的损失及风险由供应商自行承担。</w:t>
      </w:r>
      <w:r>
        <w:rPr>
          <w:rStyle w:val="996"/>
          <w:rFonts w:ascii="宋体" w:hAnsi="宋体" w:cs="宋体"/>
          <w:color w:val="000000"/>
          <w:sz w:val="24"/>
          <w:highlight w:val="none"/>
        </w:rPr>
      </w:r>
      <w:r/>
    </w:p>
    <w:p>
      <w:pPr>
        <w:pStyle w:val="940"/>
        <w:ind w:firstLine="480"/>
        <w:jc w:val="both"/>
        <w:keepLines w:val="0"/>
        <w:pageBreakBefore w:val="0"/>
        <w:spacing w:line="360" w:lineRule="auto"/>
        <w:tabs>
          <w:tab w:val="left" w:pos="1050"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截止时间后参加投标的供应商或解密投标文件的供应商不足3家的，不进行评审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按开评标流程参与本次投标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开评标流程如下：开标等待----〉开标主持----〉供应商解密----〉唱标----〉评审----〉评审结束</w:t>
      </w:r>
      <w:r>
        <w:rPr>
          <w:rFonts w:hint="eastAsia" w:ascii="宋体" w:hAnsi="宋体"/>
          <w:bCs/>
          <w:color w:val="000000"/>
          <w:sz w:val="24"/>
          <w:szCs w:val="24"/>
          <w:highlight w:val="none"/>
        </w:rPr>
        <w:t xml:space="preserve">。说明：整个开评标环节，供应商只需要在【供应商解密】环节进行CA解密、【唱标】环节进行唱标确认、【评审】环节等待询标澄清或最终报价的准备，其余环节均为语音播报，供应商观看开标即可。</w:t>
      </w:r>
      <w:r>
        <w:rPr>
          <w:rFonts w:hint="eastAsia" w:ascii="宋体" w:hAnsi="宋体" w:eastAsia="宋体"/>
          <w:bCs/>
          <w:color w:val="000000"/>
          <w:sz w:val="24"/>
          <w:szCs w:val="24"/>
          <w:highlight w:val="none"/>
          <w:lang w:eastAsia="zh-CN"/>
        </w:rPr>
      </w:r>
      <w:r/>
    </w:p>
    <w:p>
      <w:pPr>
        <w:pStyle w:val="940"/>
        <w:ind w:firstLine="480"/>
        <w:jc w:val="both"/>
        <w:keepLines w:val="0"/>
        <w:pageBreakBefore w:val="0"/>
        <w:spacing w:line="360" w:lineRule="auto"/>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.资格性审查：</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.1.1</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资格性</w:t>
      </w:r>
      <w:r>
        <w:rPr>
          <w:rFonts w:hint="eastAsia" w:ascii="宋体" w:hAnsi="宋体"/>
          <w:bCs/>
          <w:color w:val="000000"/>
          <w:sz w:val="24"/>
          <w:szCs w:val="24"/>
          <w:highlight w:val="none"/>
          <w:lang w:val="en-US" w:eastAsia="zh-CN"/>
        </w:rPr>
        <w:t xml:space="preserve">审</w:t>
      </w:r>
      <w:r>
        <w:rPr>
          <w:rFonts w:hint="eastAsia" w:ascii="宋体" w:hAnsi="宋体"/>
          <w:bCs/>
          <w:color w:val="000000"/>
          <w:sz w:val="24"/>
          <w:szCs w:val="24"/>
          <w:highlight w:val="none"/>
        </w:rPr>
        <w:t xml:space="preserve">查由</w:t>
      </w:r>
      <w:bookmarkStart w:id="2" w:name="OLE_LINK22"/>
      <w:r>
        <w:rPr>
          <w:rFonts w:hint="eastAsia" w:ascii="宋体" w:hAnsi="宋体"/>
          <w:bCs/>
          <w:color w:val="000000"/>
          <w:sz w:val="24"/>
          <w:szCs w:val="24"/>
          <w:highlight w:val="none"/>
          <w:lang w:val="en-US" w:eastAsia="zh-CN"/>
        </w:rPr>
        <w:t xml:space="preserve">采购人</w:t>
      </w:r>
      <w:bookmarkEnd w:id="2"/>
      <w:r>
        <w:rPr>
          <w:rFonts w:hint="eastAsia" w:ascii="宋体" w:hAnsi="宋体"/>
          <w:bCs/>
          <w:color w:val="000000"/>
          <w:sz w:val="24"/>
          <w:szCs w:val="24"/>
          <w:highlight w:val="none"/>
          <w:lang w:val="en-US" w:eastAsia="zh-CN"/>
        </w:rPr>
        <w:t xml:space="preserve">及代理机构</w:t>
      </w:r>
      <w:r>
        <w:rPr>
          <w:rFonts w:hint="eastAsia" w:ascii="宋体" w:hAnsi="宋体"/>
          <w:bCs/>
          <w:color w:val="000000"/>
          <w:sz w:val="24"/>
          <w:szCs w:val="24"/>
          <w:highlight w:val="none"/>
        </w:rPr>
        <w:t xml:space="preserve">负责</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.1.2依据法律法规和采购文件的规定，对投标文件中的法定代</w:t>
      </w:r>
      <w:r>
        <w:rPr>
          <w:rFonts w:hint="eastAsia" w:ascii="宋体" w:hAnsi="宋体" w:cs="宋体"/>
          <w:color w:val="000000"/>
          <w:sz w:val="24"/>
          <w:szCs w:val="20"/>
          <w:highlight w:val="none"/>
          <w:lang w:eastAsia="zh-CN"/>
        </w:rPr>
        <w:t xml:space="preserve">表人</w:t>
      </w:r>
      <w:r>
        <w:rPr>
          <w:rFonts w:hint="eastAsia" w:ascii="宋体" w:hAnsi="宋体" w:cs="宋体"/>
          <w:color w:val="000000"/>
          <w:sz w:val="24"/>
          <w:szCs w:val="20"/>
          <w:highlight w:val="none"/>
        </w:rPr>
        <w:t xml:space="preserve">授权代表是否提供有效的身份证明和法定代表人授权委托书等资格、资信证明等进行审查，以确定</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提供资格证明的合法性、真实性，是否具备投标资格。</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.1.3信用信息查询</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采购代理机构在</w:t>
      </w:r>
      <w:r>
        <w:rPr>
          <w:rFonts w:hint="eastAsia" w:ascii="宋体" w:hAnsi="宋体" w:cs="宋体"/>
          <w:color w:val="000000"/>
          <w:sz w:val="24"/>
          <w:szCs w:val="20"/>
          <w:highlight w:val="none"/>
          <w:lang w:val="en-US" w:eastAsia="zh-CN"/>
        </w:rPr>
        <w:t xml:space="preserve">开标</w:t>
      </w:r>
      <w:r>
        <w:rPr>
          <w:rFonts w:hint="eastAsia" w:ascii="宋体" w:hAnsi="宋体" w:cs="宋体"/>
          <w:color w:val="000000"/>
          <w:sz w:val="24"/>
          <w:szCs w:val="20"/>
          <w:highlight w:val="none"/>
        </w:rPr>
        <w:t xml:space="preserve">后通过“信用中国”网站</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www.creditchina.gov.cn</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、中国政府采购网</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u w:val="none"/>
        </w:rPr>
        <w:t xml:space="preserve">www.ccgp.gov.cn</w:t>
      </w:r>
      <w:r>
        <w:rPr>
          <w:rFonts w:hint="eastAsia" w:ascii="宋体" w:hAnsi="宋体" w:cs="宋体"/>
          <w:color w:val="000000"/>
          <w:sz w:val="24"/>
          <w:szCs w:val="20"/>
          <w:highlight w:val="none"/>
          <w:u w:val="none"/>
          <w:lang w:eastAsia="zh-CN"/>
        </w:rPr>
        <w:t xml:space="preserve">）</w:t>
      </w:r>
      <w:r>
        <w:rPr>
          <w:rFonts w:hint="eastAsia" w:ascii="宋体" w:hAnsi="宋体" w:cs="宋体"/>
          <w:color w:val="000000"/>
          <w:sz w:val="24"/>
          <w:szCs w:val="20"/>
          <w:highlight w:val="none"/>
        </w:rPr>
        <w:t xml:space="preserve">、</w:t>
      </w:r>
      <w:r>
        <w:rPr>
          <w:rFonts w:hint="eastAsia" w:ascii="宋体" w:hAnsi="宋体" w:cs="宋体"/>
          <w:color w:val="000000"/>
          <w:sz w:val="24"/>
          <w:highlight w:val="none"/>
        </w:rPr>
        <w:t xml:space="preserve">“信用江苏”（http://credit.jiangsu.gov.cn/）</w:t>
      </w:r>
      <w:r>
        <w:rPr>
          <w:rFonts w:hint="eastAsia" w:ascii="宋体" w:hAnsi="宋体" w:cs="宋体"/>
          <w:color w:val="000000"/>
          <w:sz w:val="24"/>
          <w:szCs w:val="20"/>
          <w:highlight w:val="none"/>
        </w:rPr>
        <w:t xml:space="preserve">等渠道查询相关</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，拒绝其参与政府采购活动。采购人或采购代理机构通过相关渠道查询的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主体信用记录，与项目其他采购资料一并保存。</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940"/>
        <w:ind w:firstLine="480"/>
        <w:jc w:val="both"/>
        <w:keepLines w:val="0"/>
        <w:pageBreakBefore w:val="0"/>
        <w:spacing w:line="360" w:lineRule="auto"/>
        <w:tabs>
          <w:tab w:val="left" w:pos="945" w:leader="none"/>
        </w:tabs>
        <w:rPr>
          <w:rFonts w:hint="eastAsia" w:ascii="宋体" w:hAnsi="宋体" w:eastAsia="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.1</w:t>
      </w:r>
      <w:r>
        <w:rPr>
          <w:rFonts w:hint="eastAsia" w:ascii="宋体" w:hAnsi="宋体" w:cs="宋体"/>
          <w:b w:val="0"/>
          <w:bCs/>
          <w:color w:val="000000"/>
          <w:sz w:val="24"/>
          <w:szCs w:val="20"/>
          <w:highlight w:val="none"/>
          <w:lang w:val="en-US" w:eastAsia="zh-CN"/>
        </w:rPr>
        <w:t xml:space="preserve">采购人依法组建</w:t>
      </w:r>
      <w:r>
        <w:rPr>
          <w:rFonts w:hint="eastAsia" w:ascii="宋体" w:hAnsi="宋体" w:cs="宋体"/>
          <w:b w:val="0"/>
          <w:bCs/>
          <w:color w:val="000000"/>
          <w:sz w:val="24"/>
          <w:szCs w:val="20"/>
          <w:highlight w:val="none"/>
        </w:rPr>
        <w:t xml:space="preserve">评标委员会，并实行回避制度</w:t>
      </w:r>
      <w:r>
        <w:rPr>
          <w:rFonts w:hint="eastAsia"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lang w:val="en-US" w:eastAsia="zh-CN"/>
        </w:rPr>
        <w:t xml:space="preserve">开标</w:t>
      </w:r>
      <w:r>
        <w:rPr>
          <w:rFonts w:hint="eastAsia" w:ascii="宋体" w:hAnsi="宋体" w:eastAsia="宋体" w:cs="宋体"/>
          <w:b w:val="0"/>
          <w:bCs/>
          <w:color w:val="000000"/>
          <w:sz w:val="24"/>
          <w:szCs w:val="20"/>
          <w:highlight w:val="none"/>
        </w:rPr>
        <w:t xml:space="preserve">、评标工作由</w:t>
      </w:r>
      <w:r>
        <w:rPr>
          <w:rFonts w:hint="eastAsia" w:ascii="宋体" w:hAnsi="宋体" w:eastAsia="宋体" w:cs="宋体"/>
          <w:b w:val="0"/>
          <w:bCs/>
          <w:color w:val="000000"/>
          <w:sz w:val="24"/>
          <w:szCs w:val="20"/>
          <w:highlight w:val="none"/>
          <w:lang w:val="en-US" w:eastAsia="zh-CN"/>
        </w:rPr>
        <w:t xml:space="preserve">采购代理机构</w:t>
      </w:r>
      <w:r>
        <w:rPr>
          <w:rFonts w:hint="eastAsia" w:ascii="宋体" w:hAnsi="宋体" w:eastAsia="宋体" w:cs="宋体"/>
          <w:b w:val="0"/>
          <w:bCs/>
          <w:color w:val="000000"/>
          <w:sz w:val="24"/>
          <w:szCs w:val="20"/>
          <w:highlight w:val="none"/>
        </w:rPr>
        <w:t xml:space="preserve">负责组织。</w:t>
      </w:r>
      <w:r>
        <w:rPr>
          <w:rFonts w:hint="eastAsia" w:ascii="宋体" w:hAnsi="宋体" w:eastAsia="宋体" w:cs="宋体"/>
          <w:b w:val="0"/>
          <w:bCs/>
          <w:color w:val="000000"/>
          <w:sz w:val="24"/>
          <w:szCs w:val="20"/>
          <w:highlight w:val="none"/>
        </w:rPr>
      </w:r>
      <w:r/>
    </w:p>
    <w:p>
      <w:pPr>
        <w:pStyle w:val="940"/>
        <w:ind w:firstLine="480"/>
        <w:jc w:val="both"/>
        <w:keepLines w:val="0"/>
        <w:pageBreakBefore w:val="0"/>
        <w:spacing w:line="360" w:lineRule="auto"/>
        <w:tabs>
          <w:tab w:val="left" w:pos="1050"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具体</w:t>
      </w:r>
      <w:r>
        <w:rPr>
          <w:rFonts w:hint="eastAsia" w:ascii="宋体" w:hAnsi="宋体"/>
          <w:b w:val="0"/>
          <w:bCs/>
          <w:color w:val="000000"/>
          <w:sz w:val="24"/>
          <w:szCs w:val="24"/>
          <w:highlight w:val="none"/>
          <w:lang w:val="en-US" w:eastAsia="zh-CN"/>
        </w:rPr>
        <w:t xml:space="preserve">开标</w:t>
      </w:r>
      <w:r>
        <w:rPr>
          <w:rFonts w:hint="eastAsia" w:ascii="宋体" w:hAnsi="宋体"/>
          <w:b w:val="0"/>
          <w:bCs/>
          <w:color w:val="000000"/>
          <w:sz w:val="24"/>
          <w:szCs w:val="24"/>
          <w:highlight w:val="none"/>
        </w:rPr>
        <w:t xml:space="preserve">、评审事务由依法组建的</w:t>
      </w:r>
      <w:r>
        <w:rPr>
          <w:rFonts w:hint="eastAsia" w:ascii="宋体" w:hAnsi="宋体"/>
          <w:b w:val="0"/>
          <w:bCs/>
          <w:color w:val="000000"/>
          <w:sz w:val="24"/>
          <w:szCs w:val="24"/>
          <w:highlight w:val="none"/>
          <w:lang w:val="en-US" w:eastAsia="zh-CN"/>
        </w:rPr>
        <w:t xml:space="preserve">评标委员会</w:t>
      </w:r>
      <w:r>
        <w:rPr>
          <w:rFonts w:hint="eastAsia" w:ascii="宋体" w:hAnsi="宋体"/>
          <w:b w:val="0"/>
          <w:bCs/>
          <w:color w:val="000000"/>
          <w:sz w:val="24"/>
          <w:szCs w:val="24"/>
          <w:highlight w:val="none"/>
        </w:rPr>
        <w:t xml:space="preserve">负责。如有争议最终由</w:t>
      </w:r>
      <w:r>
        <w:rPr>
          <w:rFonts w:hint="eastAsia" w:ascii="宋体" w:hAnsi="宋体"/>
          <w:b w:val="0"/>
          <w:bCs/>
          <w:color w:val="000000"/>
          <w:sz w:val="24"/>
          <w:szCs w:val="24"/>
          <w:highlight w:val="none"/>
          <w:lang w:val="en-US" w:eastAsia="zh-CN"/>
        </w:rPr>
        <w:t xml:space="preserve">评标委员会</w:t>
      </w:r>
      <w:r>
        <w:rPr>
          <w:rFonts w:hint="eastAsia" w:ascii="宋体" w:hAnsi="宋体"/>
          <w:b w:val="0"/>
          <w:bCs/>
          <w:color w:val="000000"/>
          <w:sz w:val="24"/>
          <w:szCs w:val="24"/>
          <w:highlight w:val="none"/>
        </w:rPr>
        <w:t xml:space="preserve">认定。</w:t>
      </w:r>
      <w:r>
        <w:rPr>
          <w:rFonts w:hint="eastAsia" w:ascii="宋体" w:hAnsi="宋体"/>
          <w:b w:val="0"/>
          <w:bCs/>
          <w:color w:val="000000"/>
          <w:sz w:val="24"/>
          <w:szCs w:val="24"/>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.2投标文件报价出现前后不一致的，按照下列规定修正：</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（1）投标文件中</w:t>
      </w:r>
      <w:r>
        <w:rPr>
          <w:rFonts w:hint="eastAsia" w:ascii="宋体" w:hAnsi="宋体" w:cs="宋体"/>
          <w:b w:val="0"/>
          <w:bCs/>
          <w:color w:val="000000"/>
          <w:sz w:val="24"/>
          <w:szCs w:val="20"/>
          <w:highlight w:val="none"/>
          <w:lang w:val="en-US" w:eastAsia="zh-CN"/>
        </w:rPr>
        <w:t xml:space="preserve">开标一览表</w:t>
      </w:r>
      <w:r>
        <w:rPr>
          <w:rFonts w:hint="eastAsia" w:ascii="宋体" w:hAnsi="宋体" w:cs="宋体"/>
          <w:b w:val="0"/>
          <w:bCs/>
          <w:color w:val="000000"/>
          <w:sz w:val="24"/>
          <w:szCs w:val="20"/>
          <w:highlight w:val="none"/>
        </w:rPr>
        <w:t xml:space="preserve">内容与投标文件中相应内容不一致的，</w:t>
      </w:r>
      <w:r>
        <w:rPr>
          <w:rFonts w:hint="eastAsia" w:ascii="宋体" w:hAnsi="宋体" w:cs="宋体"/>
          <w:b w:val="0"/>
          <w:bCs/>
          <w:color w:val="000000"/>
          <w:sz w:val="24"/>
          <w:szCs w:val="20"/>
          <w:highlight w:val="none"/>
          <w:lang w:val="en-US" w:eastAsia="zh-CN"/>
        </w:rPr>
        <w:t xml:space="preserve">以开标一览表</w:t>
      </w:r>
      <w:r>
        <w:rPr>
          <w:rFonts w:hint="eastAsia" w:ascii="宋体" w:hAnsi="宋体" w:cs="宋体"/>
          <w:b w:val="0"/>
          <w:bCs/>
          <w:color w:val="000000"/>
          <w:sz w:val="24"/>
          <w:szCs w:val="20"/>
          <w:highlight w:val="none"/>
        </w:rPr>
        <w:t xml:space="preserve">为准；</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（2）大写金额和小写金额不一致的，以大写金额为准；</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（3）单价金额小数点或者百分比有明显错位的，以开标一览表的总价为准，并修改单价；</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（4）总价金额与按单价汇总金额不一致的，以单价金额计算结果为准。</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0"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（5）同时出现两种以上不一致的，按照上述（1）</w:t>
      </w:r>
      <w:r>
        <w:rPr>
          <w:rFonts w:hint="eastAsia" w:ascii="宋体" w:hAnsi="宋体" w:cs="宋体"/>
          <w:b w:val="0"/>
          <w:bCs/>
          <w:color w:val="000000"/>
          <w:sz w:val="24"/>
          <w:szCs w:val="20"/>
          <w:highlight w:val="none"/>
          <w:lang w:eastAsia="zh-CN"/>
        </w:rPr>
        <w:t xml:space="preserve">－</w:t>
      </w:r>
      <w:r>
        <w:rPr>
          <w:rFonts w:hint="eastAsia" w:ascii="宋体" w:hAnsi="宋体" w:cs="宋体"/>
          <w:b w:val="0"/>
          <w:bCs/>
          <w:color w:val="000000"/>
          <w:sz w:val="24"/>
          <w:szCs w:val="20"/>
          <w:highlight w:val="none"/>
        </w:rPr>
        <w:t xml:space="preserve">（4）款规定的顺序修正。修正后的报价经</w:t>
      </w:r>
      <w:r>
        <w:rPr>
          <w:rFonts w:hint="eastAsia" w:ascii="宋体" w:hAnsi="宋体" w:cs="宋体"/>
          <w:b w:val="0"/>
          <w:bCs/>
          <w:color w:val="000000"/>
          <w:sz w:val="24"/>
          <w:szCs w:val="20"/>
          <w:highlight w:val="none"/>
          <w:lang w:eastAsia="zh-CN"/>
        </w:rPr>
        <w:t xml:space="preserve">投标供应商</w:t>
      </w:r>
      <w:r>
        <w:rPr>
          <w:rFonts w:hint="eastAsia" w:ascii="宋体" w:hAnsi="宋体" w:cs="宋体"/>
          <w:b w:val="0"/>
          <w:bCs/>
          <w:color w:val="000000"/>
          <w:sz w:val="24"/>
          <w:szCs w:val="20"/>
          <w:highlight w:val="none"/>
        </w:rPr>
        <w:t xml:space="preserve">书面澄清、说明或者补正，并加盖公章，或者有法定代表人或其授权的代表签字作为确认后产生约束力，</w:t>
      </w:r>
      <w:r>
        <w:rPr>
          <w:rFonts w:hint="eastAsia" w:ascii="宋体" w:hAnsi="宋体" w:cs="宋体"/>
          <w:b w:val="0"/>
          <w:bCs/>
          <w:color w:val="000000"/>
          <w:sz w:val="24"/>
          <w:szCs w:val="20"/>
          <w:highlight w:val="none"/>
          <w:lang w:eastAsia="zh-CN"/>
        </w:rPr>
        <w:t xml:space="preserve">投标供应商</w:t>
      </w:r>
      <w:r>
        <w:rPr>
          <w:rFonts w:hint="eastAsia" w:ascii="宋体" w:hAnsi="宋体" w:cs="宋体"/>
          <w:b w:val="0"/>
          <w:bCs/>
          <w:color w:val="000000"/>
          <w:sz w:val="24"/>
          <w:szCs w:val="20"/>
          <w:highlight w:val="none"/>
        </w:rPr>
        <w:t xml:space="preserve">不确认的，其投标无效。</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1365"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.3投标文件符合性检查。</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.3.1评标委员会对符合资格要求的</w:t>
      </w:r>
      <w:r>
        <w:rPr>
          <w:rFonts w:hint="eastAsia" w:ascii="宋体" w:hAnsi="宋体" w:cs="宋体"/>
          <w:b w:val="0"/>
          <w:bCs/>
          <w:color w:val="000000"/>
          <w:sz w:val="24"/>
          <w:szCs w:val="20"/>
          <w:highlight w:val="none"/>
          <w:lang w:eastAsia="zh-CN"/>
        </w:rPr>
        <w:t xml:space="preserve">投标供应商</w:t>
      </w:r>
      <w:r>
        <w:rPr>
          <w:rFonts w:hint="eastAsia" w:ascii="宋体" w:hAnsi="宋体" w:cs="宋体"/>
          <w:b w:val="0"/>
          <w:bCs/>
          <w:color w:val="000000"/>
          <w:sz w:val="24"/>
          <w:szCs w:val="20"/>
          <w:highlight w:val="none"/>
        </w:rPr>
        <w:t xml:space="preserve">的投标文件进行符合性审查，以确定其是否满足</w:t>
      </w:r>
      <w:r>
        <w:rPr>
          <w:rFonts w:hint="eastAsia" w:ascii="宋体" w:hAnsi="宋体" w:cs="宋体"/>
          <w:b w:val="0"/>
          <w:bCs/>
          <w:color w:val="000000"/>
          <w:sz w:val="24"/>
          <w:szCs w:val="20"/>
          <w:highlight w:val="none"/>
          <w:lang w:eastAsia="zh-CN"/>
        </w:rPr>
        <w:t xml:space="preserve">采购文件</w:t>
      </w:r>
      <w:r>
        <w:rPr>
          <w:rFonts w:hint="eastAsia" w:ascii="宋体" w:hAnsi="宋体" w:cs="宋体"/>
          <w:b w:val="0"/>
          <w:bCs/>
          <w:color w:val="000000"/>
          <w:sz w:val="24"/>
          <w:szCs w:val="20"/>
          <w:highlight w:val="none"/>
        </w:rPr>
        <w:t xml:space="preserve">的实质性要求。</w:t>
      </w:r>
      <w:r>
        <w:rPr>
          <w:rFonts w:hint="eastAsia" w:ascii="宋体" w:hAnsi="宋体" w:cs="宋体"/>
          <w:b w:val="0"/>
          <w:bCs/>
          <w:color w:val="000000"/>
          <w:sz w:val="24"/>
          <w:szCs w:val="20"/>
          <w:highlight w:val="none"/>
        </w:rPr>
      </w:r>
      <w:r/>
    </w:p>
    <w:p>
      <w:pPr>
        <w:pStyle w:val="940"/>
        <w:ind w:firstLine="480"/>
        <w:jc w:val="both"/>
        <w:keepLines w:val="0"/>
        <w:pageBreakBefore w:val="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.3.2对于投标文件中含义不明确、同类问题表述不一致或者有明显文字和计算错误的内容，评标委员会应当要求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1365" w:leader="none"/>
        </w:tabs>
        <w:rPr>
          <w:rFonts w:hint="eastAsia"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对投标文件中含义不明确、同类问题表述不一致或者有明显文字和计算错误的内容，评标委员会可以通过政府采购交易管理一体化系统发起询标，要求</w:t>
      </w:r>
      <w:r>
        <w:rPr>
          <w:rFonts w:hint="eastAsia" w:ascii="宋体" w:hAnsi="宋体" w:cs="宋体"/>
          <w:b w:val="0"/>
          <w:bCs w:val="0"/>
          <w:color w:val="000000"/>
          <w:sz w:val="24"/>
          <w:szCs w:val="20"/>
          <w:highlight w:val="none"/>
          <w:lang w:eastAsia="zh-CN"/>
        </w:rPr>
        <w:t xml:space="preserve">投标供应商</w:t>
      </w:r>
      <w:r>
        <w:rPr>
          <w:rFonts w:hint="eastAsia" w:ascii="宋体" w:hAnsi="宋体" w:cs="宋体"/>
          <w:b w:val="0"/>
          <w:bCs w:val="0"/>
          <w:color w:val="000000"/>
          <w:sz w:val="24"/>
          <w:szCs w:val="20"/>
          <w:highlight w:val="none"/>
        </w:rPr>
        <w:t xml:space="preserve">作出必要的澄清、说明或者纠正。</w:t>
      </w:r>
      <w:r>
        <w:rPr>
          <w:rFonts w:hint="eastAsia" w:ascii="宋体" w:hAnsi="宋体" w:cs="宋体"/>
          <w:b w:val="0"/>
          <w:bCs w:val="0"/>
          <w:color w:val="000000"/>
          <w:sz w:val="24"/>
          <w:szCs w:val="20"/>
          <w:highlight w:val="none"/>
          <w:lang w:eastAsia="zh-CN"/>
        </w:rPr>
        <w:t xml:space="preserve">投标供应商</w:t>
      </w:r>
      <w:r>
        <w:rPr>
          <w:rFonts w:hint="eastAsia" w:ascii="宋体" w:hAnsi="宋体" w:cs="宋体"/>
          <w:b w:val="0"/>
          <w:bCs w:val="0"/>
          <w:color w:val="000000"/>
          <w:sz w:val="24"/>
          <w:szCs w:val="20"/>
          <w:highlight w:val="none"/>
        </w:rPr>
        <w:t xml:space="preserve">的澄清、说明或者补正应当通过政府采购交易管理一体化系统，由其授权的代表应答并加盖电子公章，且不得超出投标文件的范围或者改变投标文件的实质性内容。</w:t>
      </w:r>
      <w:r>
        <w:rPr>
          <w:rFonts w:hint="eastAsia" w:ascii="宋体" w:hAnsi="宋体" w:cs="宋体"/>
          <w:b w:val="0"/>
          <w:bCs w:val="0"/>
          <w:color w:val="000000"/>
          <w:sz w:val="24"/>
          <w:szCs w:val="24"/>
          <w:highlight w:val="none"/>
        </w:rPr>
        <w:t xml:space="preserve">若投标供应商被授权代表未在规定时间内按上述要求作出回复，则视为投标供应商默认资审结果或评审结果。</w:t>
      </w:r>
      <w:r>
        <w:rPr>
          <w:rFonts w:hint="eastAsia" w:ascii="宋体" w:hAnsi="宋体" w:cs="宋体"/>
          <w:b w:val="0"/>
          <w:bCs w:val="0"/>
          <w:color w:val="000000"/>
          <w:sz w:val="24"/>
          <w:szCs w:val="20"/>
          <w:highlight w:val="none"/>
        </w:rPr>
      </w:r>
      <w:r/>
    </w:p>
    <w:p>
      <w:pPr>
        <w:pStyle w:val="940"/>
        <w:ind w:firstLine="480"/>
        <w:jc w:val="both"/>
        <w:keepLines w:val="0"/>
        <w:pageBreakBefore w:val="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940"/>
        <w:ind w:firstLine="480"/>
        <w:jc w:val="both"/>
        <w:keepLines w:val="0"/>
        <w:pageBreakBefore w:val="0"/>
        <w:spacing w:line="360" w:lineRule="auto"/>
        <w:tabs>
          <w:tab w:val="left" w:pos="1365" w:leader="none"/>
        </w:tabs>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0"/>
          <w:highlight w:val="none"/>
          <w:lang w:val="en-US" w:eastAsia="zh-CN"/>
        </w:rPr>
        <w:t xml:space="preserve">4</w:t>
      </w:r>
      <w:r>
        <w:rPr>
          <w:rFonts w:hint="eastAsia" w:ascii="宋体" w:hAnsi="宋体" w:cs="宋体"/>
          <w:b w:val="0"/>
          <w:bCs w:val="0"/>
          <w:color w:val="000000"/>
          <w:sz w:val="24"/>
          <w:szCs w:val="20"/>
          <w:highlight w:val="none"/>
        </w:rPr>
        <w:t xml:space="preserve">.4</w:t>
      </w:r>
      <w:r>
        <w:rPr>
          <w:rFonts w:hint="eastAsia" w:ascii="宋体" w:hAnsi="宋体" w:cs="宋体"/>
          <w:b w:val="0"/>
          <w:bCs w:val="0"/>
          <w:color w:val="000000"/>
          <w:sz w:val="24"/>
          <w:szCs w:val="22"/>
          <w:highlight w:val="none"/>
        </w:rPr>
        <w:t xml:space="preserve">.1投标文件资格性检查和符合性检查结束后，凡属于“（八）无效投标文件的确认”的投标文件不进入比较与评价程序。</w:t>
      </w:r>
      <w:r>
        <w:rPr>
          <w:rFonts w:hint="eastAsia" w:ascii="宋体" w:hAnsi="宋体" w:cs="宋体"/>
          <w:b w:val="0"/>
          <w:bCs w:val="0"/>
          <w:color w:val="000000"/>
          <w:sz w:val="24"/>
          <w:szCs w:val="22"/>
          <w:highlight w:val="none"/>
        </w:rPr>
      </w:r>
      <w:r/>
    </w:p>
    <w:p>
      <w:pPr>
        <w:pStyle w:val="940"/>
        <w:ind w:firstLine="480"/>
        <w:jc w:val="both"/>
        <w:keepLines w:val="0"/>
        <w:pageBreakBefore w:val="0"/>
        <w:spacing w:line="360" w:lineRule="auto"/>
        <w:tabs>
          <w:tab w:val="left" w:pos="1365" w:leader="none"/>
        </w:tabs>
        <w:rPr>
          <w:rFonts w:hint="eastAsia" w:ascii="宋体" w:hAnsi="宋体" w:cs="宋体"/>
          <w:b w:val="0"/>
          <w:bCs w:val="0"/>
          <w:color w:val="000000"/>
          <w:sz w:val="24"/>
          <w:szCs w:val="20"/>
          <w:highlight w:val="none"/>
        </w:rPr>
      </w:pPr>
      <w:r>
        <w:rPr>
          <w:rFonts w:hint="eastAsia" w:ascii="宋体" w:hAnsi="宋体" w:cs="宋体"/>
          <w:b w:val="0"/>
          <w:bCs w:val="0"/>
          <w:color w:val="000000"/>
          <w:sz w:val="24"/>
          <w:szCs w:val="20"/>
          <w:highlight w:val="none"/>
          <w:lang w:val="en-US" w:eastAsia="zh-CN"/>
        </w:rPr>
        <w:t xml:space="preserve">4</w:t>
      </w:r>
      <w:r>
        <w:rPr>
          <w:rFonts w:hint="eastAsia" w:ascii="宋体" w:hAnsi="宋体" w:cs="宋体"/>
          <w:b w:val="0"/>
          <w:bCs w:val="0"/>
          <w:color w:val="000000"/>
          <w:sz w:val="24"/>
          <w:szCs w:val="20"/>
          <w:highlight w:val="none"/>
        </w:rPr>
        <w:t xml:space="preserve">.4</w:t>
      </w:r>
      <w:r>
        <w:rPr>
          <w:rFonts w:hint="eastAsia" w:ascii="宋体" w:hAnsi="宋体" w:cs="宋体"/>
          <w:b w:val="0"/>
          <w:bCs w:val="0"/>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val="0"/>
          <w:bCs w:val="0"/>
          <w:color w:val="000000"/>
          <w:sz w:val="24"/>
          <w:szCs w:val="20"/>
          <w:highlight w:val="none"/>
        </w:rPr>
      </w:r>
      <w:r/>
    </w:p>
    <w:p>
      <w:pPr>
        <w:pStyle w:val="940"/>
        <w:ind w:firstLine="480"/>
        <w:jc w:val="both"/>
        <w:keepLines w:val="0"/>
        <w:pageBreakBefore w:val="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940"/>
        <w:ind w:firstLine="480"/>
        <w:jc w:val="both"/>
        <w:keepLines w:val="0"/>
        <w:pageBreakBefore w:val="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.评标方法</w:t>
      </w:r>
      <w:r>
        <w:rPr>
          <w:rFonts w:hint="eastAsia" w:ascii="宋体" w:hAnsi="宋体" w:cs="宋体"/>
          <w:bCs/>
          <w:color w:val="000000"/>
          <w:sz w:val="24"/>
          <w:highlight w:val="none"/>
        </w:rPr>
      </w:r>
      <w:r/>
    </w:p>
    <w:p>
      <w:pPr>
        <w:pStyle w:val="940"/>
        <w:ind w:firstLine="480"/>
        <w:jc w:val="both"/>
        <w:keepLines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比较与评价采用综合评分法（计分均保留2位小数），</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val="0"/>
          <w:bCs/>
          <w:color w:val="000000"/>
          <w:sz w:val="24"/>
          <w:highlight w:val="none"/>
        </w:rPr>
        <w:t xml:space="preserve">评标结果按评审后得分由高到低顺序排列。得分相同的，按投标报价由低到高顺序排列。得分且投标报价相同的并列。</w:t>
      </w:r>
      <w:r>
        <w:rPr>
          <w:rFonts w:hint="eastAsia" w:ascii="宋体" w:hAnsi="宋体" w:cs="宋体"/>
          <w:b/>
          <w:color w:val="000000"/>
          <w:sz w:val="24"/>
          <w:highlight w:val="none"/>
        </w:rPr>
        <w:t xml:space="preserve">投标文件满足</w:t>
      </w:r>
      <w:r>
        <w:rPr>
          <w:rFonts w:hint="eastAsia" w:ascii="宋体" w:hAnsi="宋体" w:cs="宋体"/>
          <w:b/>
          <w:color w:val="000000"/>
          <w:sz w:val="24"/>
          <w:highlight w:val="none"/>
          <w:lang w:eastAsia="zh-CN"/>
        </w:rPr>
        <w:t xml:space="preserve">采购文件</w:t>
      </w:r>
      <w:r>
        <w:rPr>
          <w:rFonts w:hint="eastAsia" w:ascii="宋体" w:hAnsi="宋体" w:cs="宋体"/>
          <w:b/>
          <w:color w:val="000000"/>
          <w:sz w:val="24"/>
          <w:highlight w:val="none"/>
        </w:rPr>
        <w:t xml:space="preserve">全部实质性要求，且按照评审因素的量化指标评审得分最高的</w:t>
      </w:r>
      <w:r>
        <w:rPr>
          <w:rFonts w:hint="eastAsia" w:ascii="宋体" w:hAnsi="宋体" w:eastAsia="宋体" w:cs="宋体"/>
          <w:b/>
          <w:i w:val="0"/>
          <w:iCs w:val="0"/>
          <w:caps w:val="0"/>
          <w:color w:val="000000"/>
          <w:spacing w:val="0"/>
          <w:sz w:val="24"/>
          <w:szCs w:val="24"/>
          <w:highlight w:val="none"/>
          <w:shd w:val="clear" w:color="auto" w:fill="auto"/>
          <w:lang w:val="en-US" w:eastAsia="zh-CN"/>
        </w:rPr>
        <w:t xml:space="preserve">为中标</w:t>
      </w:r>
      <w:r>
        <w:rPr>
          <w:rFonts w:hint="eastAsia" w:ascii="宋体" w:hAnsi="宋体" w:cs="宋体"/>
          <w:b/>
          <w:i w:val="0"/>
          <w:iCs w:val="0"/>
          <w:caps w:val="0"/>
          <w:color w:val="000000"/>
          <w:spacing w:val="0"/>
          <w:sz w:val="24"/>
          <w:szCs w:val="24"/>
          <w:highlight w:val="none"/>
          <w:shd w:val="clear" w:color="auto" w:fill="auto"/>
          <w:lang w:val="en-US" w:eastAsia="zh-CN"/>
        </w:rPr>
        <w:t xml:space="preserve">供应商</w:t>
      </w:r>
      <w:r>
        <w:rPr>
          <w:rFonts w:hint="eastAsia" w:ascii="宋体" w:hAnsi="宋体" w:eastAsia="宋体" w:cs="宋体"/>
          <w:b/>
          <w:i w:val="0"/>
          <w:iCs w:val="0"/>
          <w:caps w:val="0"/>
          <w:color w:val="000000"/>
          <w:spacing w:val="0"/>
          <w:sz w:val="24"/>
          <w:szCs w:val="24"/>
          <w:highlight w:val="none"/>
          <w:shd w:val="clear" w:color="auto" w:fill="auto"/>
          <w:lang w:val="en-US" w:eastAsia="zh-CN"/>
        </w:rPr>
        <w:t xml:space="preserve">。</w:t>
      </w:r>
      <w:r>
        <w:rPr>
          <w:rFonts w:hint="eastAsia" w:ascii="宋体" w:hAnsi="宋体" w:cs="宋体"/>
          <w:b/>
          <w:color w:val="000000"/>
          <w:sz w:val="24"/>
          <w:highlight w:val="none"/>
        </w:rPr>
        <w:t xml:space="preserve">未列入本评分标准的其他条件不作为评分内容。</w:t>
      </w:r>
      <w:r>
        <w:rPr>
          <w:rFonts w:hint="eastAsia" w:ascii="宋体" w:hAnsi="宋体" w:cs="宋体"/>
          <w:b/>
          <w:color w:val="000000"/>
          <w:sz w:val="24"/>
          <w:highlight w:val="none"/>
        </w:rPr>
      </w:r>
      <w:r/>
    </w:p>
    <w:p>
      <w:pPr>
        <w:pStyle w:val="940"/>
        <w:ind w:firstLine="480"/>
        <w:jc w:val="both"/>
        <w:keepLines w:val="0"/>
        <w:pageBreakBefore w:val="0"/>
        <w:spacing w:line="360" w:lineRule="auto"/>
        <w:rPr>
          <w:color w:val="000000"/>
          <w:highlight w:val="none"/>
        </w:rPr>
        <w:outlineLvl w:val="9"/>
      </w:pPr>
      <w:r>
        <w:rPr>
          <w:rFonts w:hint="eastAsia" w:ascii="宋体" w:hAnsi="宋体"/>
          <w:bCs/>
          <w:color w:val="000000"/>
          <w:sz w:val="24"/>
          <w:highlight w:val="none"/>
          <w:lang w:val="en-US" w:eastAsia="zh-CN"/>
        </w:rPr>
        <w:t xml:space="preserve">6.</w:t>
      </w:r>
      <w:r>
        <w:rPr>
          <w:rFonts w:hint="eastAsia" w:ascii="宋体" w:hAnsi="宋体"/>
          <w:color w:val="000000"/>
          <w:sz w:val="24"/>
          <w:highlight w:val="none"/>
        </w:rPr>
        <w:t xml:space="preserve">评分标准</w:t>
      </w:r>
      <w:r>
        <w:rPr>
          <w:color w:val="000000"/>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（一）投标报价（30分）</w:t>
      </w:r>
      <w:r>
        <w:rPr>
          <w:rFonts w:hint="eastAsia" w:ascii="宋体" w:hAnsi="宋体" w:cs="宋体"/>
          <w:b/>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color w:val="000000"/>
          <w:sz w:val="24"/>
          <w:szCs w:val="24"/>
          <w:highlight w:val="none"/>
        </w:rPr>
      </w:r>
      <w:r/>
    </w:p>
    <w:p>
      <w:pPr>
        <w:pStyle w:val="940"/>
        <w:ind w:firstLine="480"/>
        <w:jc w:val="both"/>
        <w:spacing w:line="360" w:lineRule="auto"/>
        <w:tabs>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采购项目需要落实的政府采购政策及注意事项如下：</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A.对小型和微型企业产品、残疾人福利性单位产品、监狱和戒毒企业产品的价格给予10%的扣除，用扣除后的价格进行评审。</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以联合体形式参加政府采购活动的，联合体各方均为中小企业的，联合体视同中小企业。其中，联合体各方均为小微企业的，联合体视同小微企业。联合体投标协议约定小微企业的协议合同金额占到联合体协议合同总金额30%以上的，采购人、采购代理机构可以在招标文件中给予联合体3%的价格扣除。组成联合体或者接受分包的小微企业与联合体内其他企业、分包企业之间存在直接控股、管理关系的，不享受价格扣除优惠政策</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明细报价表（格式见附件）认真填写。</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D.参加投标（报价）的监狱和戒毒企业应当按照《财政部司法部关于政府采购支持监狱企业发展有关问题的通知》（财库〔2014〕68号）的规定，提供由省级以上监狱管理局、戒毒管理局（含新疆生产建设兵团）出具的属于监狱企业的证明文件。监狱和戒毒企业属于小微企业的，不重复享受政策支持。</w:t>
      </w:r>
      <w:r>
        <w:rPr>
          <w:rFonts w:hint="eastAsia" w:ascii="宋体" w:hAnsi="宋体" w:cs="宋体"/>
          <w:bCs/>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（二）商务资信分（30分）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1.企业业绩（2分）</w:t>
      </w:r>
      <w:r>
        <w:rPr>
          <w:rFonts w:hint="eastAsia" w:ascii="宋体" w:hAnsi="宋体" w:cs="宋体"/>
          <w:color w:val="000000"/>
          <w:sz w:val="24"/>
          <w:szCs w:val="24"/>
          <w:highlight w:val="none"/>
        </w:rPr>
        <w:t xml:space="preserve">：投标供应商自2022年1月1日起至今（以合同签订日期为准）承担过类似项目的，每个得1分，最高得2分（投标文件中提供合同扫描件，不提供或提供不全均不得分）。</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2.体系认证（2分）</w:t>
      </w:r>
      <w:r>
        <w:rPr>
          <w:rFonts w:hint="eastAsia" w:ascii="宋体" w:hAnsi="宋体" w:cs="宋体"/>
          <w:color w:val="000000"/>
          <w:sz w:val="24"/>
          <w:szCs w:val="24"/>
          <w:highlight w:val="none"/>
        </w:rPr>
        <w:t xml:space="preserve">：投标人具有信息技术服务管理体系认证证书、信息安全管理体系认证证书，每提供一个证书得1分，最高2分。投标时提供证书扫描件及</w:t>
      </w:r>
      <w:r>
        <w:rPr>
          <w:rFonts w:hint="eastAsia" w:ascii="宋体" w:hAnsi="宋体" w:cs="宋体"/>
          <w:color w:val="000000"/>
          <w:sz w:val="24"/>
          <w:szCs w:val="24"/>
          <w:highlight w:val="none"/>
          <w:lang w:bidi="ar"/>
        </w:rPr>
        <w:t xml:space="preserve">在国家市场监督管理总局-全国认证认可信息公告服务平台（http://cx.cnca.cn/）中查询到的证书信息截图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3.项目人员配备（9分）：</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拟派项目负责人（4分）：具备信息系统项目管理师、系统规划与管理师、网络工程师、IT服务项目经理证书，每提供一个证书得1分，最高得4分；（投标文件中提供证书扫描件，不提供不得分）。投标时须同时提供①相关证书扫描件；②由法定的社保收缴部门出具的近三个月（</w:t>
      </w:r>
      <w:r>
        <w:rPr>
          <w:rFonts w:hint="eastAsia" w:ascii="宋体" w:hAnsi="宋体" w:cs="宋体"/>
          <w:color w:val="000000"/>
          <w:sz w:val="24"/>
          <w:szCs w:val="24"/>
          <w:highlight w:val="none"/>
          <w:lang w:eastAsia="zh-CN"/>
        </w:rPr>
        <w:t xml:space="preserve">2025年3月-2025年5月</w:t>
      </w:r>
      <w:r>
        <w:rPr>
          <w:rFonts w:hint="eastAsia" w:ascii="宋体" w:hAnsi="宋体" w:cs="宋体"/>
          <w:color w:val="000000"/>
          <w:sz w:val="24"/>
          <w:szCs w:val="24"/>
          <w:highlight w:val="none"/>
        </w:rPr>
        <w:t xml:space="preserve">）中任意一个月的投标供应商为其依法缴纳社保缴费证明原件扫描上传系统，或含有县（区）级及以上社保部门电子签章或带二维码验证的扫描件，不提供或提供不全不得分。项目负责人、技术负责人和项目安全负责人之间不得兼任。</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派技术负责人（2分）：具备高级及以上工程师（通信工程专业）、网络工程师证书，每提供一个证书得1分，最高得2分；（投标文件中提供证书扫描件，不提供不得分）。投标时须同时提供①相关证书扫描件；②由法定的社保收缴部门出具的近三个月（</w:t>
      </w:r>
      <w:r>
        <w:rPr>
          <w:rFonts w:hint="eastAsia" w:ascii="宋体" w:hAnsi="宋体" w:cs="宋体"/>
          <w:color w:val="000000"/>
          <w:sz w:val="24"/>
          <w:szCs w:val="24"/>
          <w:highlight w:val="none"/>
          <w:lang w:eastAsia="zh-CN"/>
        </w:rPr>
        <w:t xml:space="preserve">2025年3月-2025年5月</w:t>
      </w:r>
      <w:r>
        <w:rPr>
          <w:rFonts w:hint="eastAsia" w:ascii="宋体" w:hAnsi="宋体" w:cs="宋体"/>
          <w:color w:val="000000"/>
          <w:sz w:val="24"/>
          <w:szCs w:val="24"/>
          <w:highlight w:val="none"/>
        </w:rPr>
        <w:t xml:space="preserve">）中任意一个月的投标供应商为其依法缴纳社保缴费证明原件扫描上传系统，或含有县（区）级及以上社保部门电子签章或带二维码验证的扫描件，不提供或提供不全不得分。技术负责人、项目负责人和项目安全负责人之间不得兼任。</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拟派项目安全负责人（3分）：具备注册信息安全工程师（CISP）、信息安全保障人员认证证书（CISAW）、网络安全管理员，每提供一个证书得1分，最高得3分；（投标文件中提供证书扫描件，不提供不得分）。投标时须同时提供①相关证书扫描件；②由法定的社保收缴部门出具的近三个月（</w:t>
      </w:r>
      <w:r>
        <w:rPr>
          <w:rFonts w:hint="eastAsia" w:ascii="宋体" w:hAnsi="宋体" w:cs="宋体"/>
          <w:color w:val="000000"/>
          <w:sz w:val="24"/>
          <w:szCs w:val="24"/>
          <w:highlight w:val="none"/>
          <w:lang w:eastAsia="zh-CN"/>
        </w:rPr>
        <w:t xml:space="preserve">2025年3月-2025年5月</w:t>
      </w:r>
      <w:r>
        <w:rPr>
          <w:rFonts w:hint="eastAsia" w:ascii="宋体" w:hAnsi="宋体" w:cs="宋体"/>
          <w:color w:val="000000"/>
          <w:sz w:val="24"/>
          <w:szCs w:val="24"/>
          <w:highlight w:val="none"/>
        </w:rPr>
        <w:t xml:space="preserve">）中任意一个月的投标供应商为其依法缴纳社保缴费证明原件扫描上传系统，或含有县（区）级及以上社保部门电子签章或带二维码验证的扫描件，不提供或提供不全不得分。项目安全负责人、技术负责人和项目负责人之间不得兼任。</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4.产品技术指标（17分）</w:t>
      </w:r>
      <w:r>
        <w:rPr>
          <w:rFonts w:hint="eastAsia" w:ascii="宋体" w:hAnsi="宋体" w:cs="宋体"/>
          <w:b/>
          <w:bCs/>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（1）互联网出口防火墙（4分）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①互联网出口防火墙采用厂商自主研发的国产化CPU芯片，推动自主可控，提供第三方测试报告截图证明并加盖投标人公章，得2分。</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②具有中国信息安全认证中心颁发的《中国国家信息安全产品认证证书》，提供证书复印件证明并加盖投标人公章，得2分。</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（2）互联网入侵防御产品（4分）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①互联网入侵防御产品应能够支持DGA域名检测，支持DGA本地、远程升级方式，通过启动 DGA 域名检测，可将DGA 检测到的DNS安全事件进行告警，须提供界面截图和具有CMA标志国家认可的检测机构出具的测试报告并加盖投标人公章，得2分。</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②互联网入侵防御产品具有国家信息安全测评信息技术产品安全测评证书-EAL4+，提供证书复印件并加盖投标人公章，得2分。</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（3）上网行为管理（4分）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①上网行为管理支持图形化查看当前内网IP使用情况，帮助管理员减少人工维护IP表的工作量，提供功能截图，加盖投标人公章，得2分。</w:t>
      </w:r>
      <w:r>
        <w:rPr>
          <w:rFonts w:hint="eastAsia" w:ascii="宋体" w:hAnsi="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②上网行为管理支持QQ白名单功能，并可配置用户、终端类型、位置信息，仅允许使用白名单列表中的QQ号，提供第三方检测机构出具的功能测试报告，加盖投标人公章，得2分。</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（4）认证网关（1分）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认证网关采用厂商自主研发的国产化CPU芯片，推动自主可控，提供第三方测试报告截图证明并加盖投标人公章，加1分。</w:t>
      </w:r>
      <w:r>
        <w:rPr>
          <w:rFonts w:hint="eastAsia" w:ascii="宋体" w:hAnsi="宋体" w:cs="宋体"/>
          <w:color w:val="000000"/>
          <w:sz w:val="24"/>
          <w:szCs w:val="24"/>
          <w:highlight w:val="none"/>
        </w:rPr>
      </w:r>
      <w:r/>
    </w:p>
    <w:p>
      <w:pPr>
        <w:pStyle w:val="940"/>
        <w:ind w:firstLine="480"/>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（5）广域/城域路由器（4分）</w:t>
      </w:r>
      <w:r>
        <w:rPr>
          <w:rFonts w:hint="eastAsia" w:ascii="宋体" w:hAnsi="宋体" w:cs="宋体"/>
          <w:b/>
          <w:bCs/>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①广域/城域路由器采用厂商自主研发的国产化CPU、NP转发芯片，推动自主可控</w:t>
      </w:r>
      <w:r>
        <w:rPr>
          <w:rFonts w:hint="eastAsia" w:ascii="宋体" w:hAnsi="宋体" w:eastAsia="宋体" w:cs="宋体"/>
          <w:color w:val="000000"/>
          <w:sz w:val="24"/>
          <w:szCs w:val="24"/>
          <w:highlight w:val="none"/>
        </w:rPr>
        <w:t xml:space="preserve">，提供第三方测试报告截图证明并加盖投标人公章，加2分。</w:t>
      </w:r>
      <w:r>
        <w:rPr>
          <w:rFonts w:hint="eastAsia" w:ascii="宋体" w:hAnsi="宋体" w:eastAsia="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②广域/城域路由器支持1G粒度的网络硬切片能力，支持硬切片在线带宽弹性扩容且业务不丢包，提供第三方测试报告截图证明并加盖投标人公章，加2分。</w:t>
      </w:r>
      <w:r>
        <w:rPr>
          <w:rFonts w:hint="eastAsia" w:ascii="宋体" w:hAnsi="宋体" w:eastAsia="宋体" w:cs="宋体"/>
          <w:color w:val="000000"/>
          <w:sz w:val="24"/>
          <w:szCs w:val="24"/>
          <w:highlight w:val="none"/>
        </w:rPr>
      </w:r>
      <w:r/>
    </w:p>
    <w:p>
      <w:pPr>
        <w:pStyle w:val="940"/>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（三）技术方案（40分）</w:t>
      </w:r>
      <w:r>
        <w:rPr>
          <w:rFonts w:hint="eastAsia" w:ascii="宋体" w:hAnsi="宋体" w:eastAsia="宋体" w:cs="宋体"/>
          <w:b/>
          <w:bCs/>
          <w:color w:val="000000"/>
          <w:sz w:val="24"/>
          <w:szCs w:val="24"/>
          <w:highlight w:val="none"/>
        </w:rPr>
      </w:r>
      <w:r/>
    </w:p>
    <w:p>
      <w:pPr>
        <w:pStyle w:val="940"/>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投标人对业务熟悉度，充分调研情况，集成方案完整，质量管理方案完善，功能与需求契合度高，满足应用需求性好；综合比较后酌情给分。</w:t>
      </w:r>
      <w:r>
        <w:rPr>
          <w:rFonts w:hint="eastAsia" w:ascii="宋体" w:hAnsi="宋体" w:eastAsia="宋体" w:cs="宋体"/>
          <w:color w:val="000000"/>
          <w:sz w:val="24"/>
          <w:highlight w:val="none"/>
        </w:rPr>
      </w:r>
      <w:r/>
    </w:p>
    <w:p>
      <w:pPr>
        <w:pStyle w:val="940"/>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（1）项目</w:t>
      </w:r>
      <w:r>
        <w:rPr>
          <w:rFonts w:hint="eastAsia" w:ascii="宋体" w:hAnsi="宋体" w:eastAsia="宋体" w:cs="宋体"/>
          <w:b/>
          <w:bCs/>
          <w:color w:val="000000"/>
          <w:sz w:val="24"/>
          <w:highlight w:val="none"/>
          <w:lang w:val="en-US" w:eastAsia="zh-CN"/>
        </w:rPr>
        <w:t xml:space="preserve">整体分析</w:t>
      </w:r>
      <w:r>
        <w:rPr>
          <w:rFonts w:hint="eastAsia" w:ascii="宋体" w:hAnsi="宋体" w:eastAsia="宋体" w:cs="宋体"/>
          <w:b/>
          <w:bCs/>
          <w:color w:val="000000"/>
          <w:sz w:val="24"/>
          <w:highlight w:val="none"/>
        </w:rPr>
        <w:t xml:space="preserve">（10分）。</w:t>
      </w:r>
      <w:r>
        <w:rPr>
          <w:rFonts w:hint="eastAsia" w:ascii="宋体" w:hAnsi="宋体" w:eastAsia="宋体" w:cs="宋体"/>
          <w:color w:val="000000"/>
          <w:sz w:val="24"/>
          <w:highlight w:val="none"/>
        </w:rPr>
        <w:t xml:space="preserve">根据投标人针对本项目提供的项目整体</w:t>
      </w:r>
      <w:r>
        <w:rPr>
          <w:rFonts w:hint="eastAsia" w:ascii="宋体" w:hAnsi="宋体" w:eastAsia="宋体" w:cs="宋体"/>
          <w:color w:val="000000"/>
          <w:sz w:val="24"/>
          <w:highlight w:val="none"/>
          <w:lang w:val="en-US" w:eastAsia="zh-CN"/>
        </w:rPr>
        <w:t xml:space="preserve">分析内容</w:t>
      </w:r>
      <w:r>
        <w:rPr>
          <w:rFonts w:hint="eastAsia" w:ascii="宋体" w:hAnsi="宋体" w:eastAsia="宋体" w:cs="宋体"/>
          <w:color w:val="000000"/>
          <w:sz w:val="24"/>
          <w:highlight w:val="none"/>
        </w:rPr>
        <w:t xml:space="preserve">，由评委根据投标人响应情况酌情打分，评审内容包含但不限于项目的现状分析、需求分析、项目建设意义、项目建设目标、系统总体架构、功能模块、系统建设技术路线等要点。</w:t>
      </w:r>
      <w:r>
        <w:rPr>
          <w:rFonts w:hint="eastAsia" w:ascii="宋体" w:hAnsi="宋体" w:eastAsia="宋体" w:cs="宋体"/>
          <w:color w:val="000000"/>
          <w:sz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以上内容不存在瑕疵：10分；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以上内容存在1处瑕疵：7分；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以上内容存在2处瑕疵：3分；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未提供方案或不满足项目需求书要求或内容存在3处及以上瑕疵：0分。</w:t>
      </w:r>
      <w:r>
        <w:rPr>
          <w:rFonts w:hint="eastAsia" w:ascii="宋体" w:hAnsi="宋体" w:eastAsia="宋体" w:cs="宋体"/>
          <w:color w:val="000000"/>
          <w:sz w:val="24"/>
          <w:highlight w:val="none"/>
        </w:rPr>
      </w:r>
      <w:r/>
    </w:p>
    <w:p>
      <w:pPr>
        <w:pStyle w:val="940"/>
        <w:numPr>
          <w:ilvl w:val="0"/>
          <w:numId w:val="6"/>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项目实施方案及保障措施（12分）。</w:t>
      </w:r>
      <w:r>
        <w:rPr>
          <w:rFonts w:hint="eastAsia" w:ascii="宋体" w:hAnsi="宋体" w:eastAsia="宋体" w:cs="宋体"/>
          <w:color w:val="000000"/>
          <w:sz w:val="24"/>
          <w:highlight w:val="none"/>
        </w:rPr>
        <w:t xml:space="preserve">根据投标人针对本项目提供的项目实施方案及保障措施的完整性、合理性，由评委根据投标人响应情况酌情打分。</w:t>
      </w:r>
      <w:r>
        <w:rPr>
          <w:rFonts w:hint="eastAsia" w:ascii="宋体" w:hAnsi="宋体" w:eastAsia="宋体" w:cs="宋体"/>
          <w:color w:val="000000"/>
          <w:sz w:val="24"/>
          <w:highlight w:val="none"/>
        </w:rPr>
      </w:r>
      <w:r/>
    </w:p>
    <w:p>
      <w:pPr>
        <w:pStyle w:val="940"/>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项目实施方案：评审内容包含但不限于项目实施方案中的施工方案、实施计划、实施组织架构等要点。</w:t>
      </w:r>
      <w:r>
        <w:rPr>
          <w:rFonts w:hint="eastAsia" w:ascii="宋体" w:hAnsi="宋体" w:eastAsia="宋体" w:cs="宋体"/>
          <w:color w:val="000000"/>
          <w:sz w:val="24"/>
          <w:highlight w:val="none"/>
        </w:rPr>
      </w:r>
      <w:r/>
    </w:p>
    <w:p>
      <w:pPr>
        <w:pStyle w:val="940"/>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保障措施：评审内容包含但不限于保障措施中的质量保障措施、进度保障措施、安全保障措施等要点。</w:t>
      </w:r>
      <w:r>
        <w:rPr>
          <w:rFonts w:hint="eastAsia" w:ascii="宋体" w:hAnsi="宋体" w:eastAsia="宋体" w:cs="宋体"/>
          <w:color w:val="000000"/>
          <w:sz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以上内容不存在瑕疵：12分；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以上内容存在1处瑕疵：8分；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以上内容存在2处瑕疵：4分；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未提供方案或不满足项目需求书要求或内容存在3处及以上瑕疵：0分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0"/>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（3）项目培训方案（9分）。</w:t>
      </w:r>
      <w:r>
        <w:rPr>
          <w:rFonts w:hint="eastAsia" w:ascii="宋体" w:hAnsi="宋体" w:eastAsia="宋体" w:cs="宋体"/>
          <w:color w:val="000000"/>
          <w:sz w:val="24"/>
          <w:highlight w:val="none"/>
        </w:rPr>
        <w:t xml:space="preserve">根据投标人针对本项目提供的培训方案的完整性、合理性，由评委根据投标人响应情况酌情打分：</w:t>
      </w:r>
      <w:r>
        <w:rPr>
          <w:rFonts w:hint="eastAsia" w:ascii="宋体" w:hAnsi="宋体" w:eastAsia="宋体" w:cs="宋体"/>
          <w:color w:val="000000"/>
          <w:sz w:val="24"/>
          <w:highlight w:val="none"/>
        </w:rPr>
      </w:r>
      <w:r/>
    </w:p>
    <w:p>
      <w:pPr>
        <w:pStyle w:val="959"/>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培训方案：评审内容包含但不限于培训方案中的培训课程设置、培训人员配置、培训计划等要点。</w:t>
      </w:r>
      <w:r>
        <w:rPr>
          <w:rFonts w:hint="eastAsia" w:ascii="宋体" w:hAnsi="宋体" w:eastAsia="宋体" w:cs="宋体"/>
          <w:color w:val="000000"/>
          <w:sz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以上内容不存在瑕疵：9分；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以上内容存在1处瑕疵：6分；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以上内容存在2处瑕疵：3分；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未提供方案或不满足项目需求书要求或内容存在3处及以上瑕疵：0分。</w:t>
      </w:r>
      <w:r>
        <w:rPr>
          <w:rFonts w:hint="eastAsia" w:ascii="宋体" w:hAnsi="宋体" w:eastAsia="宋体" w:cs="宋体"/>
          <w:color w:val="000000"/>
          <w:sz w:val="24"/>
          <w:szCs w:val="24"/>
          <w:highlight w:val="none"/>
        </w:rPr>
      </w:r>
      <w:r/>
    </w:p>
    <w:p>
      <w:pPr>
        <w:pStyle w:val="940"/>
        <w:ind w:firstLine="480"/>
        <w:jc w:val="both"/>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（4）项目售后服务（9分）。</w:t>
      </w:r>
      <w:r>
        <w:rPr>
          <w:rFonts w:hint="eastAsia" w:ascii="宋体" w:hAnsi="宋体" w:eastAsia="宋体" w:cs="宋体"/>
          <w:color w:val="000000"/>
          <w:sz w:val="24"/>
          <w:highlight w:val="none"/>
        </w:rPr>
        <w:t xml:space="preserve">根据投标人针对本项目提供的售后维护方案的完整性、合理性，由评委根据投标人响应情况酌情打分：评审内容包含但不限于项目售后服务中的售后服务保障体系、故障修复、维护应急方案、售后维护人员考核管理、备品备件、服务质量监控等要点。</w:t>
      </w:r>
      <w:r>
        <w:rPr>
          <w:rFonts w:hint="eastAsia" w:ascii="宋体" w:hAnsi="宋体" w:eastAsia="宋体" w:cs="宋体"/>
          <w:bCs/>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以上内容不存在瑕疵：9分；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以上内容存在1处瑕疵：6分；</w:t>
      </w:r>
      <w:r>
        <w:rPr>
          <w:rFonts w:hint="eastAsia" w:ascii="宋体" w:hAnsi="宋体" w:eastAsia="宋体" w:cs="宋体"/>
          <w:color w:val="000000"/>
          <w:sz w:val="24"/>
          <w:szCs w:val="24"/>
          <w:highlight w:val="none"/>
        </w:rPr>
      </w:r>
      <w:r/>
    </w:p>
    <w:p>
      <w:pPr>
        <w:pStyle w:val="1124"/>
        <w:ind w:firstLine="48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以上内容存在2处瑕疵：3分；</w:t>
      </w:r>
      <w:r>
        <w:rPr>
          <w:rFonts w:hint="eastAsia" w:ascii="宋体" w:hAnsi="宋体" w:eastAsia="宋体" w:cs="宋体"/>
          <w:color w:val="000000"/>
          <w:sz w:val="24"/>
          <w:szCs w:val="24"/>
          <w:highlight w:val="none"/>
        </w:rPr>
      </w:r>
      <w:r/>
    </w:p>
    <w:p>
      <w:pPr>
        <w:pStyle w:val="940"/>
        <w:numPr>
          <w:ilvl w:val="0"/>
          <w:numId w:val="0"/>
        </w:numPr>
        <w:ind w:firstLine="480"/>
        <w:jc w:val="left"/>
        <w:keepLines w:val="0"/>
        <w:keepNext w:val="0"/>
        <w:pageBreakBefore w:val="0"/>
        <w:spacing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rPr>
        <w:t xml:space="preserve">未提供方案或不满足项目需求书要求或内容存在3处及以上瑕疵：0分。</w:t>
      </w:r>
      <w:r>
        <w:rPr>
          <w:rFonts w:hint="eastAsia" w:ascii="宋体" w:hAnsi="宋体" w:eastAsia="宋体" w:cs="宋体"/>
          <w:bCs w:val="0"/>
          <w:color w:val="000000"/>
          <w:sz w:val="24"/>
          <w:szCs w:val="24"/>
          <w:highlight w:val="none"/>
        </w:rPr>
      </w:r>
      <w:r/>
    </w:p>
    <w:p>
      <w:pPr>
        <w:pStyle w:val="940"/>
        <w:numPr>
          <w:ilvl w:val="0"/>
          <w:numId w:val="0"/>
        </w:numPr>
        <w:ind w:firstLine="480"/>
        <w:jc w:val="both"/>
        <w:keepLines w:val="0"/>
        <w:pageBreakBefore w:val="0"/>
        <w:spacing w:line="360" w:lineRule="auto"/>
        <w:rPr>
          <w:rFonts w:hint="eastAsia"/>
          <w:color w:val="000000"/>
          <w:highlight w:val="none"/>
        </w:rPr>
      </w:pPr>
      <w:r>
        <w:rPr>
          <w:rFonts w:hint="eastAsia" w:ascii="宋体" w:hAnsi="宋体" w:eastAsia="宋体" w:cs="宋体"/>
          <w:b/>
          <w:bCs/>
          <w:color w:val="000000"/>
          <w:sz w:val="24"/>
          <w:szCs w:val="24"/>
          <w:highlight w:val="none"/>
        </w:rPr>
        <w:t xml:space="preserve">加分（本项目为服务类，不适用本条）：</w:t>
      </w:r>
      <w:r>
        <w:rPr>
          <w:rFonts w:hint="eastAsia" w:ascii="宋体" w:hAnsi="宋体" w:eastAsia="宋体" w:cs="宋体"/>
          <w:color w:val="000000"/>
          <w:sz w:val="24"/>
          <w:szCs w:val="24"/>
          <w:highlight w:val="none"/>
        </w:rPr>
        <w:t xml:space="preserve">所选用产品属于</w:t>
      </w:r>
      <w:r>
        <w:rPr>
          <w:rFonts w:hint="eastAsia" w:ascii="宋体" w:hAnsi="宋体" w:eastAsia="宋体" w:cs="宋体"/>
          <w:b w:val="0"/>
          <w:bCs w:val="0"/>
          <w:color w:val="000000"/>
          <w:sz w:val="24"/>
          <w:szCs w:val="24"/>
          <w:highlight w:val="none"/>
        </w:rPr>
        <w:t xml:space="preserve">节能产品、环境标志产品</w:t>
      </w:r>
      <w:r>
        <w:rPr>
          <w:rFonts w:hint="eastAsia" w:ascii="宋体" w:hAnsi="宋体" w:eastAsia="宋体" w:cs="宋体"/>
          <w:color w:val="000000"/>
          <w:sz w:val="24"/>
          <w:szCs w:val="24"/>
          <w:highlight w:val="none"/>
        </w:rPr>
        <w:t xml:space="preserve">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分（同一产品同时具有节能产品、环境标志产品认证证书的不重复加分）。</w:t>
      </w:r>
      <w:r>
        <w:rPr>
          <w:rFonts w:hint="eastAsia"/>
          <w:color w:val="000000"/>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）确定中标</w:t>
      </w:r>
      <w:r>
        <w:rPr>
          <w:rFonts w:hint="eastAsia" w:ascii="宋体" w:hAnsi="宋体" w:eastAsia="宋体" w:cs="宋体"/>
          <w:b/>
          <w:bCs/>
          <w:color w:val="000000"/>
          <w:sz w:val="24"/>
          <w:highlight w:val="none"/>
          <w:lang w:eastAsia="zh-CN"/>
        </w:rPr>
        <w:t xml:space="preserve">投标供应商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1．评标委员会根据招标文件规定的评标方法和评标标准进行评审，按招标文件的要求依法推荐中标供应商。评标结束后，投标供应商可进入江苏省政府采购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平台，进行评审结果查询。</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w:t>
      </w:r>
      <w:r>
        <w:rPr>
          <w:rFonts w:hint="eastAsia" w:ascii="宋体" w:hAnsi="宋体" w:cs="宋体"/>
          <w:color w:val="000000"/>
          <w:sz w:val="24"/>
          <w:highlight w:val="none"/>
          <w:lang w:val="en-US" w:eastAsia="zh-CN"/>
        </w:rPr>
        <w:t xml:space="preserve">中国政府采购网、</w:t>
      </w:r>
      <w:r>
        <w:rPr>
          <w:rFonts w:hint="eastAsia" w:ascii="宋体" w:hAnsi="宋体" w:cs="宋体"/>
          <w:color w:val="000000"/>
          <w:sz w:val="24"/>
          <w:highlight w:val="none"/>
        </w:rPr>
        <w:t xml:space="preserve">江苏政府采购网、无锡政府采购网）上发布中标公告。</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投标供应商如有质疑，应在中标结果公告发布之日起7个工作日内，以书面形式一次性向采购人提出质疑，并抄送采购代理机构，同时该质疑应由投标供应商法定代表人或参加投标的授权委托人签署和盖公章（原件）。</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提出质疑的供应商应当是参加所质疑项目采购活动的供应商。潜在供应商已依法获取其可质疑的采购文件的，可以对该文件提出质疑。对采购文件提出质疑的，应当在获取采购文件期限届满之日起7个工作日内提出。</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5．供应商提出质疑应当提交质疑函和必要的证明材料。质疑函应当包括下列内容：</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①供应商的姓名或者名称、地址、邮编、联系人及联系电话；</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②质疑项目的名称、编号；</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③具体、明确的质疑事项和与质疑事项相关的请求；</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④事实依据；</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⑤必要的法律依据；</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⑥提出质疑的日期。</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．采购人将在收到质疑后七个工作日内，对质疑内容</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答复。</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．采购人将在收到经投标供应商法定代表人或参加投标的授权委托人签署</w:t>
      </w:r>
      <w:r>
        <w:rPr>
          <w:rFonts w:hint="eastAsia" w:ascii="宋体" w:hAnsi="宋体" w:cs="宋体"/>
          <w:color w:val="000000"/>
          <w:sz w:val="24"/>
          <w:highlight w:val="none"/>
          <w:lang w:eastAsia="zh-CN"/>
        </w:rPr>
        <w:t xml:space="preserve">和加</w:t>
      </w:r>
      <w:r>
        <w:rPr>
          <w:rFonts w:hint="eastAsia" w:ascii="宋体" w:hAnsi="宋体" w:cs="宋体"/>
          <w:color w:val="000000"/>
          <w:sz w:val="24"/>
          <w:highlight w:val="none"/>
        </w:rPr>
        <w:t xml:space="preserve">盖公章（原件）的书面质疑后七个工作日内，对质疑内容</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答复。如投标供应商在成交结果公告发布之日起七个工作日后向采购人提出质疑或质疑未经投标供应商法定代表人或参加投标的授权委托人签署</w:t>
      </w:r>
      <w:r>
        <w:rPr>
          <w:rFonts w:hint="eastAsia" w:ascii="宋体" w:hAnsi="宋体" w:cs="宋体"/>
          <w:color w:val="000000"/>
          <w:sz w:val="24"/>
          <w:highlight w:val="none"/>
          <w:lang w:eastAsia="zh-CN"/>
        </w:rPr>
        <w:t xml:space="preserve">和加</w:t>
      </w:r>
      <w:r>
        <w:rPr>
          <w:rFonts w:hint="eastAsia" w:ascii="宋体" w:hAnsi="宋体" w:cs="宋体"/>
          <w:color w:val="000000"/>
          <w:sz w:val="24"/>
          <w:highlight w:val="none"/>
        </w:rPr>
        <w:t xml:space="preserve">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w:t>
      </w:r>
      <w:r>
        <w:rPr>
          <w:rFonts w:hint="eastAsia" w:ascii="宋体" w:hAnsi="宋体" w:cs="宋体"/>
          <w:color w:val="000000"/>
          <w:sz w:val="24"/>
          <w:highlight w:val="none"/>
          <w:lang w:eastAsia="zh-CN"/>
        </w:rPr>
        <w:t xml:space="preserve">或者</w:t>
      </w:r>
      <w:r>
        <w:rPr>
          <w:rFonts w:hint="eastAsia" w:ascii="宋体" w:hAnsi="宋体" w:cs="宋体"/>
          <w:color w:val="000000"/>
          <w:sz w:val="24"/>
          <w:highlight w:val="none"/>
        </w:rPr>
        <w:t xml:space="preserve">采用不正当手段干扰政府采购质疑的，将记入投标供应商在江苏省和无锡市的政府采购“供应商诚信记录”，并按相关规定处理。</w:t>
      </w:r>
      <w:r>
        <w:rPr>
          <w:rFonts w:hint="eastAsia" w:ascii="宋体" w:hAnsi="宋体" w:cs="宋体"/>
          <w:color w:val="000000"/>
          <w:sz w:val="24"/>
          <w:highlight w:val="none"/>
        </w:rPr>
      </w:r>
      <w:r/>
    </w:p>
    <w:p>
      <w:pPr>
        <w:pStyle w:val="940"/>
        <w:ind w:firstLine="480"/>
        <w:jc w:val="both"/>
        <w:keepLines w:val="0"/>
        <w:pageBreakBefore w:val="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．在发布中标公告的同时，采购人及代理机构将向中标供应商发出中标通知书。</w:t>
      </w:r>
      <w:r>
        <w:rPr>
          <w:rFonts w:hint="eastAsia" w:ascii="宋体" w:hAnsi="宋体" w:cs="宋体"/>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）废标的确认：</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940"/>
        <w:numPr>
          <w:ilvl w:val="0"/>
          <w:numId w:val="7"/>
        </w:numPr>
        <w:ind w:left="0" w:firstLine="480"/>
        <w:jc w:val="both"/>
        <w:keepLines w:val="0"/>
        <w:pageBreakBefore w:val="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采购文件做</w:t>
      </w:r>
      <w:r>
        <w:rPr>
          <w:rFonts w:hint="eastAsia" w:ascii="宋体" w:hAnsi="宋体" w:cs="宋体"/>
          <w:bCs/>
          <w:color w:val="000000"/>
          <w:sz w:val="24"/>
          <w:highlight w:val="none"/>
        </w:rPr>
        <w:t xml:space="preserve">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940"/>
        <w:numPr>
          <w:ilvl w:val="0"/>
          <w:numId w:val="7"/>
        </w:numPr>
        <w:ind w:left="0" w:firstLine="480"/>
        <w:jc w:val="both"/>
        <w:keepLines w:val="0"/>
        <w:pageBreakBefore w:val="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940"/>
        <w:numPr>
          <w:ilvl w:val="0"/>
          <w:numId w:val="7"/>
        </w:numPr>
        <w:ind w:left="0" w:firstLine="480"/>
        <w:jc w:val="both"/>
        <w:keepLines w:val="0"/>
        <w:pageBreakBefore w:val="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940"/>
        <w:numPr>
          <w:ilvl w:val="0"/>
          <w:numId w:val="7"/>
        </w:numPr>
        <w:ind w:left="0" w:firstLine="480"/>
        <w:jc w:val="both"/>
        <w:keepLines w:val="0"/>
        <w:pageBreakBefore w:val="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）中标无效的确认：</w:t>
      </w:r>
      <w:r>
        <w:rPr>
          <w:rFonts w:hint="eastAsia" w:ascii="宋体" w:hAnsi="宋体" w:eastAsia="宋体" w:cs="宋体"/>
          <w:b/>
          <w:bCs/>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940"/>
        <w:ind w:firstLine="48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）签订、履行合同：</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采购人应当自中标通知书发出之日起</w:t>
      </w:r>
      <w:r>
        <w:rPr>
          <w:rFonts w:hint="eastAsia" w:ascii="宋体" w:hAnsi="宋体" w:cs="宋体"/>
          <w:bCs/>
          <w:color w:val="000000"/>
          <w:sz w:val="24"/>
          <w:highlight w:val="none"/>
          <w:lang w:val="en-US" w:eastAsia="zh-CN"/>
        </w:rPr>
        <w:t xml:space="preserve">30日</w:t>
      </w:r>
      <w:r>
        <w:rPr>
          <w:rFonts w:hint="eastAsia" w:ascii="宋体" w:hAnsi="宋体" w:cs="宋体"/>
          <w:bCs/>
          <w:color w:val="000000"/>
          <w:sz w:val="24"/>
          <w:highlight w:val="none"/>
        </w:rPr>
        <w:t xml:space="preserve">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w:t>
      </w:r>
      <w:r>
        <w:rPr>
          <w:rFonts w:hint="eastAsia" w:ascii="宋体" w:hAnsi="宋体" w:eastAsia="宋体" w:cs="宋体"/>
          <w:bCs/>
          <w:color w:val="000000"/>
          <w:sz w:val="24"/>
          <w:highlight w:val="none"/>
          <w:lang w:eastAsia="zh-CN"/>
        </w:rPr>
        <w:t xml:space="preserve">作为签订合同的条件，不得与中标投标供应商私下订立背离合同实质性内容的协议。合同经</w:t>
      </w:r>
      <w:r>
        <w:rPr>
          <w:rFonts w:hint="eastAsia" w:ascii="宋体" w:hAnsi="宋体" w:cs="宋体"/>
          <w:bCs/>
          <w:color w:val="000000"/>
          <w:sz w:val="24"/>
          <w:highlight w:val="none"/>
          <w:lang w:eastAsia="zh-CN"/>
        </w:rPr>
        <w:t xml:space="preserve">北京建智达工程管理股份有限公司</w:t>
      </w:r>
      <w:r>
        <w:rPr>
          <w:rFonts w:hint="eastAsia" w:ascii="宋体" w:hAnsi="宋体" w:eastAsia="宋体" w:cs="宋体"/>
          <w:bCs/>
          <w:color w:val="000000"/>
          <w:sz w:val="24"/>
          <w:highlight w:val="none"/>
          <w:lang w:eastAsia="zh-CN"/>
        </w:rPr>
        <w:t xml:space="preserve">见证后生效。采购人因不可抗力原因迟延签订合同的，应当自不可抗力事由消除之日起7日内完成合同签订事宜。</w:t>
      </w:r>
      <w:r>
        <w:rPr>
          <w:rFonts w:hint="eastAsia" w:ascii="宋体" w:hAnsi="宋体" w:eastAsia="宋体" w:cs="宋体"/>
          <w:bCs/>
          <w:color w:val="000000"/>
          <w:sz w:val="24"/>
          <w:highlight w:val="none"/>
          <w:lang w:eastAsia="zh-CN"/>
        </w:rPr>
      </w:r>
      <w:r/>
    </w:p>
    <w:p>
      <w:pPr>
        <w:pStyle w:val="940"/>
        <w:ind w:firstLine="480"/>
        <w:jc w:val="both"/>
        <w:keepLines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highlight w:val="none"/>
          <w:lang w:eastAsia="zh-CN"/>
        </w:rPr>
      </w:r>
      <w:r/>
    </w:p>
    <w:p>
      <w:pPr>
        <w:pStyle w:val="940"/>
        <w:ind w:firstLine="480"/>
        <w:jc w:val="both"/>
        <w:keepLines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北京建智达工程管理股份有限公司</w:t>
      </w:r>
      <w:r>
        <w:rPr>
          <w:rFonts w:hint="eastAsia" w:ascii="宋体" w:hAnsi="宋体" w:eastAsia="宋体" w:cs="宋体"/>
          <w:bCs/>
          <w:color w:val="000000"/>
          <w:sz w:val="24"/>
          <w:highlight w:val="none"/>
          <w:lang w:eastAsia="zh-CN"/>
        </w:rPr>
        <w:t xml:space="preserve">监督合同的履行。中标方非因不可抗力未履行招、投标文件和合同规定的义</w:t>
      </w:r>
      <w:r>
        <w:rPr>
          <w:rFonts w:hint="eastAsia" w:ascii="宋体" w:hAnsi="宋体" w:cs="宋体"/>
          <w:bCs/>
          <w:color w:val="000000"/>
          <w:sz w:val="24"/>
          <w:highlight w:val="none"/>
        </w:rPr>
        <w:t xml:space="preserve">务，一经查实，招标代理机构将根据具体情况提请政府采购管理部门作出相应处理。</w:t>
      </w:r>
      <w:r>
        <w:rPr>
          <w:rFonts w:hint="eastAsia" w:ascii="宋体" w:hAnsi="宋体" w:cs="宋体"/>
          <w:bCs/>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）代理服务费：</w:t>
      </w:r>
      <w:r>
        <w:rPr>
          <w:rFonts w:hint="eastAsia" w:ascii="宋体" w:hAnsi="宋体" w:eastAsia="宋体" w:cs="宋体"/>
          <w:b/>
          <w:bCs/>
          <w:color w:val="000000"/>
          <w:sz w:val="24"/>
          <w:highlight w:val="none"/>
        </w:rPr>
      </w:r>
      <w:r/>
    </w:p>
    <w:p>
      <w:pPr>
        <w:pStyle w:val="940"/>
        <w:ind w:left="0" w:firstLine="480"/>
        <w:jc w:val="both"/>
        <w:keepLines w:val="0"/>
        <w:pageBreakBefore w:val="0"/>
        <w:spacing w:line="360" w:lineRule="auto"/>
        <w:tabs>
          <w:tab w:val="left" w:pos="220"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bCs/>
          <w:color w:val="000000"/>
          <w:sz w:val="24"/>
          <w:szCs w:val="24"/>
          <w:highlight w:val="none"/>
        </w:rPr>
        <w:t xml:space="preserve">本项</w:t>
      </w:r>
      <w:bookmarkStart w:id="3" w:name="OLE_LINK31"/>
      <w:r>
        <w:rPr>
          <w:rFonts w:hint="eastAsia" w:ascii="宋体" w:hAnsi="宋体"/>
          <w:bCs/>
          <w:color w:val="000000"/>
          <w:sz w:val="24"/>
          <w:szCs w:val="24"/>
          <w:highlight w:val="none"/>
        </w:rPr>
        <w:t xml:space="preserve">目招标代理费由中标供应</w:t>
      </w:r>
      <w:bookmarkEnd w:id="3"/>
      <w:r>
        <w:rPr>
          <w:rFonts w:hint="eastAsia" w:ascii="宋体" w:hAnsi="宋体"/>
          <w:bCs/>
          <w:color w:val="000000"/>
          <w:sz w:val="24"/>
          <w:szCs w:val="24"/>
          <w:highlight w:val="none"/>
        </w:rPr>
        <w:t xml:space="preserve">商支付，代理服务费按中标金额*</w:t>
      </w:r>
      <w:r>
        <w:rPr>
          <w:rFonts w:hint="eastAsia" w:ascii="宋体" w:hAnsi="宋体"/>
          <w:bCs/>
          <w:color w:val="000000"/>
          <w:sz w:val="24"/>
          <w:szCs w:val="24"/>
          <w:highlight w:val="none"/>
          <w:lang w:val="en-US" w:eastAsia="zh-CN"/>
        </w:rPr>
        <w:t xml:space="preserve">1.5%*0.8</w:t>
      </w:r>
      <w:r>
        <w:rPr>
          <w:rFonts w:hint="eastAsia" w:ascii="宋体" w:hAnsi="宋体"/>
          <w:bCs/>
          <w:color w:val="000000"/>
          <w:sz w:val="24"/>
          <w:szCs w:val="24"/>
          <w:highlight w:val="none"/>
        </w:rPr>
        <w:t xml:space="preserve">计取。中标供应商在领取中标通知书时一次性结清前述费用。</w:t>
      </w:r>
      <w:r>
        <w:rPr>
          <w:rFonts w:hint="eastAsia" w:ascii="宋体" w:hAnsi="宋体" w:cs="宋体"/>
          <w:bCs/>
          <w:color w:val="000000"/>
          <w:sz w:val="2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）政府采购信用担保</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900"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根据</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无锡市财政局关于在全市政府采购领域进一步推行电子履约保函的通知</w:t>
      </w:r>
      <w:r>
        <w:rPr>
          <w:rFonts w:hint="eastAsia" w:ascii="宋体" w:hAnsi="宋体" w:cs="宋体"/>
          <w:b/>
          <w:bCs w:val="0"/>
          <w:color w:val="000000"/>
          <w:sz w:val="24"/>
          <w:highlight w:val="none"/>
          <w:lang w:eastAsia="zh-CN"/>
        </w:rPr>
        <w:t xml:space="preserve">》（锡财购〔2024〕15号）</w:t>
      </w:r>
      <w:r>
        <w:rPr>
          <w:rFonts w:hint="eastAsia" w:ascii="宋体" w:hAnsi="宋体" w:cs="宋体"/>
          <w:b/>
          <w:bCs w:val="0"/>
          <w:color w:val="000000"/>
          <w:sz w:val="24"/>
          <w:highlight w:val="none"/>
          <w:lang w:val="en-US" w:eastAsia="zh-CN"/>
        </w:rPr>
        <w:t xml:space="preserve">文件内容，提升政府采购便利度，持续优化政府采购营商环境，进一步全面推广政府采购电子履约保函，具体流程中标供应商可通过江苏政府采购网下载“政府采购电子履约保函（保险）操作手册”，具体地址为：http://www.ccgp-jiangsu.gov.cn/jiangsu/zlxz/</w:t>
      </w:r>
      <w:r>
        <w:rPr>
          <w:rFonts w:ascii="宋体" w:hAnsi="宋体" w:cs="宋体"/>
          <w:b/>
          <w:bCs w:val="0"/>
          <w:color w:val="000000"/>
          <w:sz w:val="24"/>
          <w:highlight w:val="none"/>
          <w:lang w:val="en-US" w:eastAsia="zh-CN"/>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）政府采购合同融资</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940"/>
        <w:ind w:firstLine="480"/>
        <w:jc w:val="both"/>
        <w:keepLines w:val="0"/>
        <w:pageBreakBefore w:val="0"/>
        <w:spacing w:line="360" w:lineRule="auto"/>
        <w:tabs>
          <w:tab w:val="left" w:pos="900" w:leader="none"/>
        </w:tabs>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
          <w:color w:val="000000"/>
          <w:sz w:val="44"/>
          <w:szCs w:val="44"/>
          <w:highlight w:val="none"/>
        </w:rPr>
      </w:r>
      <w:r/>
    </w:p>
    <w:p>
      <w:pPr>
        <w:pStyle w:val="942"/>
        <w:jc w:val="left"/>
        <w:keepLines/>
        <w:spacing w:before="260" w:after="260" w:line="41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940"/>
        <w:ind w:firstLine="480"/>
        <w:jc w:val="both"/>
        <w:keepLines w:val="0"/>
        <w:pageBreakBefore w:val="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940"/>
        <w:ind w:firstLine="480"/>
        <w:jc w:val="both"/>
        <w:keepLines w:val="0"/>
        <w:pageBreakBefore w:val="0"/>
        <w:spacing w:line="360" w:lineRule="auto"/>
        <w:tabs>
          <w:tab w:val="left" w:pos="525" w:leader="none"/>
          <w:tab w:val="left" w:pos="1050"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rPr>
          <w:rFonts w:ascii="宋体" w:hAnsi="宋体" w:eastAsia="宋体"/>
          <w:bCs/>
          <w:color w:val="000000"/>
          <w:sz w:val="24"/>
          <w:szCs w:val="24"/>
          <w:highlight w:val="none"/>
          <w:lang w:val="en-US" w:eastAsia="zh-CN"/>
        </w:rPr>
      </w:r>
      <w:r/>
    </w:p>
    <w:p>
      <w:pPr>
        <w:pStyle w:val="940"/>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940"/>
        <w:numPr>
          <w:ilvl w:val="0"/>
          <w:numId w:val="0"/>
        </w:numPr>
        <w:ind w:firstLine="0"/>
        <w:jc w:val="left"/>
        <w:spacing w:line="24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40"/>
        <w:numPr>
          <w:ilvl w:val="0"/>
          <w:numId w:val="8"/>
        </w:numPr>
        <w:ind w:firstLine="883"/>
        <w:jc w:val="center"/>
        <w:spacing w:line="60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采购需求</w:t>
      </w:r>
      <w:bookmarkStart w:id="4" w:name="五．合同条款"/>
      <w:r/>
      <w:bookmarkEnd w:id="4"/>
      <w:r>
        <w:rPr>
          <w:rFonts w:hint="eastAsia" w:ascii="宋体" w:hAnsi="宋体" w:cs="宋体"/>
          <w:b/>
          <w:color w:val="000000"/>
          <w:sz w:val="44"/>
          <w:szCs w:val="44"/>
          <w:highlight w:val="none"/>
        </w:rPr>
      </w:r>
      <w:r/>
    </w:p>
    <w:p>
      <w:pPr>
        <w:pStyle w:val="1125"/>
        <w:ind w:firstLine="480"/>
        <w:rPr>
          <w:rFonts w:hint="eastAsia" w:ascii="宋体" w:hAnsi="宋体"/>
          <w:color w:val="000000"/>
          <w:szCs w:val="24"/>
          <w:highlight w:val="none"/>
        </w:rPr>
      </w:pPr>
      <w:r/>
      <w:bookmarkStart w:id="5" w:name="_Toc7672"/>
      <w:r/>
      <w:bookmarkStart w:id="6" w:name="_Toc61444674"/>
      <w:r>
        <w:rPr>
          <w:rFonts w:hint="eastAsia" w:ascii="宋体" w:hAnsi="宋体"/>
          <w:color w:val="000000"/>
          <w:szCs w:val="24"/>
          <w:highlight w:val="none"/>
        </w:rPr>
        <w:t xml:space="preserve">投标人所投内容必须满足以下要求，不得有负偏离。</w:t>
      </w:r>
      <w:bookmarkEnd w:id="5"/>
      <w:r>
        <w:rPr>
          <w:rFonts w:hint="eastAsia" w:ascii="宋体" w:hAnsi="宋体"/>
          <w:color w:val="000000"/>
          <w:szCs w:val="24"/>
          <w:highlight w:val="none"/>
        </w:rPr>
      </w:r>
      <w:r/>
    </w:p>
    <w:p>
      <w:pPr>
        <w:pStyle w:val="959"/>
        <w:spacing w:line="360" w:lineRule="auto"/>
        <w:rPr>
          <w:rFonts w:ascii="宋体" w:hAnsi="宋体" w:eastAsia="宋体" w:cs="Times New Roman"/>
          <w:color w:val="000000"/>
          <w:sz w:val="28"/>
          <w:szCs w:val="28"/>
          <w:highlight w:val="none"/>
          <w:lang w:val="en-US" w:eastAsia="zh-CN"/>
        </w:rPr>
        <w:outlineLvl w:val="1"/>
      </w:pPr>
      <w:r>
        <w:rPr>
          <w:rFonts w:hint="eastAsia" w:ascii="宋体" w:hAnsi="宋体" w:eastAsia="宋体" w:cs="Times New Roman"/>
          <w:color w:val="000000"/>
          <w:sz w:val="28"/>
          <w:szCs w:val="28"/>
          <w:highlight w:val="none"/>
          <w:lang w:val="en-US" w:eastAsia="zh-CN"/>
        </w:rPr>
        <w:t xml:space="preserve">一、需求</w:t>
      </w:r>
      <w:r>
        <w:rPr>
          <w:rFonts w:ascii="宋体" w:hAnsi="宋体" w:eastAsia="宋体" w:cs="Times New Roman"/>
          <w:color w:val="000000"/>
          <w:sz w:val="28"/>
          <w:szCs w:val="28"/>
          <w:highlight w:val="none"/>
          <w:lang w:val="en-US" w:eastAsia="zh-CN"/>
        </w:rPr>
      </w:r>
      <w:r/>
    </w:p>
    <w:p>
      <w:pPr>
        <w:pStyle w:val="95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随着无锡数字经济的不断发展，惠山区面临的网络安全风险和挑战也不断增大，网络攻击、网络窃密、网络诈骗、网络黑产、</w:t>
      </w:r>
      <w:r>
        <w:rPr>
          <w:rFonts w:hint="eastAsia" w:ascii="宋体" w:hAnsi="宋体" w:cs="宋体"/>
          <w:color w:val="000000"/>
          <w:sz w:val="24"/>
          <w:szCs w:val="24"/>
          <w:highlight w:val="none"/>
          <w:lang w:eastAsia="zh-CN"/>
        </w:rPr>
        <w:t xml:space="preserve">个人信息泄露</w:t>
      </w:r>
      <w:r>
        <w:rPr>
          <w:rFonts w:hint="eastAsia" w:ascii="宋体" w:hAnsi="宋体" w:cs="宋体"/>
          <w:color w:val="000000"/>
          <w:sz w:val="24"/>
          <w:szCs w:val="24"/>
          <w:highlight w:val="none"/>
        </w:rPr>
        <w:t xml:space="preserve">等现象频发，关键信息基础设施面临较大的安全风险，日益复杂的网络安全形势和不断发展的无锡数字经济之间的矛盾对惠山区网络安全综合治理和监管技术手段提出了更高的要求和挑战，对运维技术能力要求越来越高，设备租赁可有效缓解以上问题。</w:t>
      </w:r>
      <w:r>
        <w:rPr>
          <w:rFonts w:hint="eastAsia" w:ascii="宋体" w:hAnsi="宋体" w:cs="宋体"/>
          <w:color w:val="000000"/>
          <w:sz w:val="24"/>
          <w:szCs w:val="24"/>
          <w:highlight w:val="none"/>
        </w:rPr>
      </w:r>
      <w:r/>
    </w:p>
    <w:p>
      <w:pPr>
        <w:pStyle w:val="95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本项目旨在提升惠山区网络安全、系统安全能力，根据《江苏省电子政务外网建设规范》要求租赁交换机、路由器、网络安全设备等设备，并根据实际情况调整惠山区政务网络架构。</w:t>
      </w:r>
      <w:r>
        <w:rPr>
          <w:rFonts w:hint="eastAsia" w:ascii="宋体" w:hAnsi="宋体" w:cs="宋体"/>
          <w:color w:val="000000"/>
          <w:sz w:val="24"/>
          <w:szCs w:val="24"/>
          <w:highlight w:val="none"/>
        </w:rPr>
      </w:r>
      <w:r/>
    </w:p>
    <w:p>
      <w:pPr>
        <w:pStyle w:val="959"/>
        <w:spacing w:line="360" w:lineRule="auto"/>
        <w:rPr>
          <w:rFonts w:ascii="宋体" w:hAnsi="宋体"/>
          <w:color w:val="000000"/>
          <w:sz w:val="28"/>
          <w:szCs w:val="28"/>
          <w:highlight w:val="none"/>
        </w:rPr>
        <w:outlineLvl w:val="1"/>
      </w:pPr>
      <w:r>
        <w:rPr>
          <w:rFonts w:hint="eastAsia" w:ascii="宋体" w:hAnsi="宋体"/>
          <w:color w:val="000000"/>
          <w:sz w:val="28"/>
          <w:szCs w:val="28"/>
          <w:highlight w:val="none"/>
        </w:rPr>
        <w:t xml:space="preserve">二、服务内容</w:t>
      </w:r>
      <w:r>
        <w:rPr>
          <w:rFonts w:ascii="宋体" w:hAnsi="宋体"/>
          <w:color w:val="000000"/>
          <w:sz w:val="28"/>
          <w:szCs w:val="28"/>
          <w:highlight w:val="none"/>
        </w:rPr>
      </w:r>
      <w:r/>
    </w:p>
    <w:tbl>
      <w:tblPr>
        <w:tblW w:w="9639" w:type="dxa"/>
        <w:jc w:val="center"/>
        <w:tblInd w:w="1074" w:type="dxa"/>
        <w:tblLayout w:type="fixed"/>
        <w:tblCellMar>
          <w:left w:w="108" w:type="dxa"/>
          <w:top w:w="0" w:type="dxa"/>
          <w:right w:w="108" w:type="dxa"/>
          <w:bottom w:w="0" w:type="dxa"/>
        </w:tblCellMar>
        <w:tblLook w:val="04A0" w:firstRow="1" w:lastRow="0" w:firstColumn="1" w:lastColumn="0" w:noHBand="0" w:noVBand="1"/>
      </w:tblPr>
      <w:tblGrid>
        <w:gridCol w:w="804"/>
        <w:gridCol w:w="2955"/>
        <w:gridCol w:w="3975"/>
        <w:gridCol w:w="1200"/>
        <w:gridCol w:w="705"/>
      </w:tblGrid>
      <w:tr>
        <w:trPr>
          <w:trHeight w:val="285"/>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95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设备名称</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single" w:color="000000" w:sz="4" w:space="0"/>
              <w:bottom w:val="none" w:color="000000" w:sz="0" w:space="0"/>
              <w:right w:val="single" w:color="000000" w:sz="4" w:space="0"/>
            </w:tcBorders>
            <w:tcW w:w="2955" w:type="dxa"/>
            <w:vAlign w:val="center"/>
            <w:vMerge w:val="restart"/>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网络安全服务</w:t>
            </w: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互联网出口防火墙</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64"/>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互联网入侵防御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64"/>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上网行为管理</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955" w:type="dxa"/>
            <w:vAlign w:val="center"/>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系统安全服务</w:t>
            </w: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漏洞扫描</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single" w:color="000000" w:sz="4" w:space="0"/>
              <w:bottom w:val="none" w:color="000000" w:sz="0" w:space="0"/>
              <w:right w:val="single" w:color="000000" w:sz="4" w:space="0"/>
            </w:tcBorders>
            <w:tcW w:w="2955" w:type="dxa"/>
            <w:vAlign w:val="center"/>
            <w:vMerge w:val="restart"/>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网络通信设备服务</w:t>
            </w: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认证网关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64"/>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SDN控制器</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广域/城域路由器</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万兆单模10KM光模块</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万兆单模40KM光模块</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804" w:type="dxa"/>
            <w:vAlign w:val="center"/>
            <w:textDirection w:val="lrTb"/>
            <w:noWrap/>
          </w:tcPr>
          <w:p>
            <w:pPr>
              <w:pStyle w:val="959"/>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2955" w:type="dxa"/>
            <w:vAlign w:val="center"/>
            <w:vMerge w:val="continue"/>
            <w:textDirection w:val="lrTb"/>
            <w:noWrap w:val="false"/>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97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千兆单模10KM光模块</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tcPr>
          <w:p>
            <w:pPr>
              <w:pStyle w:val="95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r>
    </w:tbl>
    <w:p>
      <w:pPr>
        <w:pStyle w:val="940"/>
        <w:ind w:right="73" w:firstLine="480"/>
        <w:spacing w:before="78" w:line="33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租赁服务内容包含上述清单设备租赁、质保续保、设备运维、特征库升级、人工巡检等运维。</w:t>
      </w:r>
      <w:r>
        <w:rPr>
          <w:rFonts w:hint="eastAsia" w:ascii="宋体" w:hAnsi="宋体" w:cs="宋体"/>
          <w:color w:val="000000"/>
          <w:sz w:val="24"/>
          <w:szCs w:val="24"/>
          <w:highlight w:val="none"/>
        </w:rPr>
      </w:r>
      <w:r/>
    </w:p>
    <w:p>
      <w:pPr>
        <w:pStyle w:val="959"/>
        <w:numPr>
          <w:ilvl w:val="0"/>
          <w:numId w:val="9"/>
        </w:numP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设备参数指标要求</w:t>
      </w:r>
      <w:r>
        <w:rPr>
          <w:rFonts w:hint="eastAsia" w:ascii="宋体" w:hAnsi="宋体"/>
          <w:b/>
          <w:bCs/>
          <w:color w:val="000000"/>
          <w:sz w:val="28"/>
          <w:szCs w:val="28"/>
          <w:highlight w:val="none"/>
        </w:rPr>
      </w:r>
      <w:r/>
    </w:p>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互联网出口防火墙</w:t>
      </w:r>
      <w:r>
        <w:rPr>
          <w:rFonts w:hint="eastAsia" w:ascii="宋体" w:hAnsi="宋体"/>
          <w:b/>
          <w:bCs/>
          <w:color w:val="000000"/>
          <w:sz w:val="24"/>
          <w:szCs w:val="24"/>
          <w:highlight w:val="none"/>
        </w:rPr>
      </w:r>
      <w:r/>
    </w:p>
    <w:tbl>
      <w:tblPr>
        <w:tblW w:w="9308" w:type="dxa"/>
        <w:jc w:val="center"/>
        <w:tblInd w:w="7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4"/>
        <w:gridCol w:w="7774"/>
      </w:tblGrid>
      <w:tr>
        <w:trPr>
          <w:trHeight w:val="285"/>
        </w:trPr>
        <w:tc>
          <w:tcPr>
            <w:tcW w:w="1534" w:type="dxa"/>
            <w:vAlign w:val="center"/>
            <w:textDirection w:val="lrTb"/>
            <w:noWrap w:val="false"/>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W w:w="7774" w:type="dxa"/>
            <w:vAlign w:val="center"/>
            <w:textDirection w:val="lrTb"/>
            <w:noWrap w:val="false"/>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333"/>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硬件架构</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标准机架式1U设备，支持交流双电源，支持风扇3+1备份，支持热插拔，支持科学的前后风道。</w:t>
            </w:r>
            <w:r>
              <w:rPr>
                <w:rFonts w:hint="eastAsia" w:ascii="宋体" w:hAnsi="宋体" w:cs="宋体"/>
                <w:color w:val="000000"/>
                <w:sz w:val="24"/>
                <w:szCs w:val="24"/>
                <w:highlight w:val="none"/>
              </w:rPr>
            </w:r>
            <w:r/>
          </w:p>
        </w:tc>
      </w:tr>
      <w:tr>
        <w:trPr>
          <w:trHeight w:val="312"/>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接口要求</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千兆Combo接口≥8，千兆电口≥4，千兆光口≥4，万兆光口≥6；支持USB3.0接口。</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性能要求</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防火墙吞吐量≥25Gbps，IPS吞吐≥10Gbps，最大并发连接数≥1000万，每秒新建连接数≥25万，IPSec VPN吞吐量≥25Gbps</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策略管控</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支持基于源IP/目的IP，服务类型，应用类型，安全域，时间段等字段进行安全策略规则的配置</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路由功能</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支持静态路由、策略路由、RIP、OSPF、BGP、ISIS等路由协议</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IPV6</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支持IPv6协议栈、IPV6穿越技术和IPV6路由协议</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协议识别</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可识别应用层协议数量≥6000种。</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URL过滤</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支持URL识别能力和URL地址识别库，云端URL识别库≥1.2亿</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DDoS防护</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支持HTTP、HTTPS、DNS、SIP等应用层Flood攻击，支持流量自学习功能，可设置自学习时间，并自动生成DDoS防范策略</w:t>
            </w:r>
            <w:r>
              <w:rPr>
                <w:rFonts w:hint="eastAsia" w:ascii="宋体" w:hAnsi="宋体" w:cs="宋体"/>
                <w:color w:val="000000"/>
                <w:sz w:val="24"/>
                <w:szCs w:val="24"/>
                <w:highlight w:val="none"/>
              </w:rPr>
            </w:r>
            <w:r/>
          </w:p>
        </w:tc>
      </w:tr>
      <w:tr>
        <w:trPr>
          <w:trHeight w:val="684"/>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NAT</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支持全面NAT功能，对多种应用层协议支持ALG功能，包括DNS、FTP、H323、MSN、Netbios、PPTP、RSH、RTSP、SIP、SQLnet等</w:t>
            </w:r>
            <w:r>
              <w:rPr>
                <w:rFonts w:hint="eastAsia" w:ascii="宋体" w:hAnsi="宋体" w:cs="宋体"/>
                <w:color w:val="000000"/>
                <w:sz w:val="24"/>
                <w:szCs w:val="24"/>
                <w:highlight w:val="none"/>
              </w:rPr>
            </w:r>
            <w:r/>
          </w:p>
        </w:tc>
      </w:tr>
      <w:tr>
        <w:trPr>
          <w:trHeight w:val="313"/>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入侵防御</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系统预定义IPS签名数量≥20000，CVE或CNNVD编号的签名条目数不得少于11000。 </w:t>
            </w:r>
            <w:r>
              <w:rPr>
                <w:rFonts w:hint="eastAsia" w:ascii="宋体" w:hAnsi="宋体" w:cs="宋体"/>
                <w:color w:val="000000"/>
                <w:sz w:val="24"/>
                <w:szCs w:val="24"/>
                <w:highlight w:val="none"/>
              </w:rPr>
            </w:r>
            <w:r/>
          </w:p>
        </w:tc>
      </w:tr>
      <w:tr>
        <w:trPr>
          <w:trHeight w:val="261"/>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病毒防护</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可以支持HTTP、FTP、SMTP、POP3、IMAP、NFS等协议的病毒防护。</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APT攻击防御</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防火墙支持与沙箱联动，根据沙箱检测结果联动防火墙阻断未知APT攻击，且相同文件不用重复检测，防火墙可根据沙箱检测结果更新缓存中恶意文件和恶意URL列表</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多出口智能选路</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可根据目的地址智能优选运营商链路，支持主备接口配置以及按比例分配的负载分担方式。</w:t>
            </w:r>
            <w:r>
              <w:rPr>
                <w:rFonts w:hint="eastAsia" w:ascii="宋体" w:hAnsi="宋体" w:cs="宋体"/>
                <w:color w:val="000000"/>
                <w:sz w:val="24"/>
                <w:szCs w:val="24"/>
                <w:highlight w:val="none"/>
              </w:rPr>
            </w:r>
            <w:r/>
          </w:p>
        </w:tc>
      </w:tr>
      <w:tr>
        <w:trPr>
          <w:trHeight w:val="51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可靠性</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支持BFD链路检测，支持BFD与VRRP联动实现双机快速切换，支持BFD与OSPF联动实现双机快速切换。</w:t>
            </w:r>
            <w:r>
              <w:rPr>
                <w:rFonts w:hint="eastAsia" w:ascii="宋体" w:hAnsi="宋体" w:cs="宋体"/>
                <w:color w:val="000000"/>
                <w:sz w:val="24"/>
                <w:szCs w:val="24"/>
                <w:highlight w:val="none"/>
              </w:rPr>
            </w:r>
            <w:r/>
          </w:p>
        </w:tc>
      </w:tr>
      <w:tr>
        <w:trPr>
          <w:trHeight w:val="285"/>
        </w:trPr>
        <w:tc>
          <w:tcPr>
            <w:tcW w:w="1534"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配置要求</w:t>
            </w:r>
            <w:r>
              <w:rPr>
                <w:rFonts w:hint="eastAsia" w:ascii="宋体" w:hAnsi="宋体" w:cs="宋体"/>
                <w:color w:val="000000"/>
                <w:sz w:val="24"/>
                <w:szCs w:val="24"/>
                <w:highlight w:val="none"/>
              </w:rPr>
            </w:r>
            <w:r/>
          </w:p>
        </w:tc>
        <w:tc>
          <w:tcPr>
            <w:tcW w:w="7774"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千兆Combo接口≥8，千兆电口≥4，千兆光口≥4，万兆光口≥6；SSL VPN并发数≥99；配置一块SSD硬盘，硬盘容量≥960G；配置双电源，5年防病毒特征库升级服务。</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互联网入侵防御</w:t>
      </w:r>
      <w:r>
        <w:rPr>
          <w:rFonts w:hint="eastAsia" w:ascii="宋体" w:hAnsi="宋体"/>
          <w:b/>
          <w:bCs/>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830"/>
      </w:tblGrid>
      <w:tr>
        <w:trPr>
          <w:trHeight w:val="348"/>
        </w:trPr>
        <w:tc>
          <w:tcPr>
            <w:shd w:val="clear" w:color="000000" w:fill="ffffff"/>
            <w:tcW w:w="764"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shd w:val="clear" w:color="000000" w:fill="ffffff"/>
            <w:tcW w:w="4236" w:type="dxa"/>
            <w:vAlign w:val="top"/>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规格要求</w:t>
            </w:r>
            <w:r>
              <w:rPr>
                <w:rFonts w:hint="eastAsia" w:ascii="宋体" w:hAnsi="宋体" w:cs="宋体"/>
                <w:b/>
                <w:bCs/>
                <w:color w:val="000000"/>
                <w:sz w:val="24"/>
                <w:szCs w:val="24"/>
                <w:highlight w:val="none"/>
              </w:rPr>
            </w:r>
            <w:r/>
          </w:p>
        </w:tc>
      </w:tr>
      <w:tr>
        <w:trPr>
          <w:trHeight w:val="528"/>
        </w:trPr>
        <w:tc>
          <w:tcPr>
            <w:shd w:val="clear" w:color="000000" w:fill="ffffff"/>
            <w:tcW w:w="764"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性能规格</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2U标准机架式硬件,配置冗余电源。性能参数：网络层吞吐量≥10G，应用层吞吐量≥1G。4T硬盘,接口配置：千兆电口≥6,千兆光口≥4,扩展槽位≥2；硬盘配置≥4T。</w:t>
            </w:r>
            <w:r>
              <w:rPr>
                <w:rFonts w:hint="eastAsia" w:ascii="宋体" w:hAnsi="宋体" w:cs="宋体"/>
                <w:color w:val="000000"/>
                <w:sz w:val="24"/>
                <w:szCs w:val="24"/>
                <w:highlight w:val="none"/>
              </w:rPr>
            </w:r>
            <w:r/>
          </w:p>
        </w:tc>
      </w:tr>
      <w:tr>
        <w:trPr>
          <w:trHeight w:val="276"/>
        </w:trPr>
        <w:tc>
          <w:tcPr>
            <w:shd w:val="clear" w:color="000000" w:fill="ffffff"/>
            <w:tcW w:w="764"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入侵检测防护</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系统攻击特征库数量≥1.4万条； </w:t>
            </w:r>
            <w:r>
              <w:rPr>
                <w:rFonts w:hint="eastAsia" w:ascii="宋体" w:hAnsi="宋体" w:cs="宋体"/>
                <w:color w:val="000000"/>
                <w:sz w:val="24"/>
                <w:szCs w:val="24"/>
                <w:highlight w:val="none"/>
              </w:rPr>
            </w:r>
            <w:r/>
          </w:p>
        </w:tc>
      </w:tr>
      <w:tr>
        <w:trPr>
          <w:trHeight w:val="524"/>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系统需提供入侵规则分类，帮助更便捷</w:t>
            </w:r>
            <w:r>
              <w:rPr>
                <w:rFonts w:hint="eastAsia" w:ascii="宋体" w:hAnsi="宋体" w:cs="宋体"/>
                <w:color w:val="000000"/>
                <w:sz w:val="24"/>
                <w:szCs w:val="24"/>
                <w:highlight w:val="none"/>
                <w:lang w:eastAsia="zh-CN"/>
              </w:rPr>
              <w:t xml:space="preserve">地</w:t>
            </w:r>
            <w:r>
              <w:rPr>
                <w:rFonts w:hint="eastAsia" w:ascii="宋体" w:hAnsi="宋体" w:cs="宋体"/>
                <w:color w:val="000000"/>
                <w:sz w:val="24"/>
                <w:szCs w:val="24"/>
                <w:highlight w:val="none"/>
              </w:rPr>
              <w:t xml:space="preserve">制定防护策略。如代码执行、溢出攻击、目录遍历、上传漏洞、文件包含、文件删除、文件下载、SQL注入、跨站脚本注入、XML注入、webshell、跨站请求伪造、内存破坏、重定向漏洞、拒绝服务、木马、僵尸网络、蠕虫病毒、后门、勒索软件、攻击工具、权限提升、未授权访问、释放后重用、绕过漏洞、逻辑漏洞、暴力猜测、规避攻击、弱加密、弱密码、flood攻击、中间人攻击、欺骗攻击、劫持攻击、双重释放、DNS污染、钓鱼、系统服务扫描、端口扫描、配置不当、事件监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挖矿病毒、读写越界、空指针引用、类型混淆、反序列化、信息泄露等； </w:t>
            </w:r>
            <w:r>
              <w:rPr>
                <w:rFonts w:hint="eastAsia" w:ascii="宋体" w:hAnsi="宋体" w:cs="宋体"/>
                <w:color w:val="000000"/>
                <w:sz w:val="24"/>
                <w:szCs w:val="24"/>
                <w:highlight w:val="none"/>
              </w:rPr>
            </w:r>
            <w:r/>
          </w:p>
        </w:tc>
      </w:tr>
      <w:tr>
        <w:trPr>
          <w:trHeight w:val="528"/>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系统需提供至少10种以上内置规则模板，帮助用户快速上线。如DMZ区服务器、内网客户端、Web服务器、Windows服务器、UNIX服务器防护、工控系统、国产化、攻防演练高频高危等规则模板。</w:t>
            </w:r>
            <w:r>
              <w:rPr>
                <w:rFonts w:hint="eastAsia" w:ascii="宋体" w:hAnsi="宋体" w:cs="宋体"/>
                <w:color w:val="000000"/>
                <w:sz w:val="24"/>
                <w:szCs w:val="24"/>
                <w:highlight w:val="none"/>
              </w:rPr>
            </w:r>
            <w:r/>
          </w:p>
        </w:tc>
      </w:tr>
      <w:tr>
        <w:trPr>
          <w:trHeight w:val="276"/>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系统应提供丰富的响应方式，包括：告警、阻断、IP隔离、抓包等，满足用户各种响应需求。</w:t>
            </w:r>
            <w:r>
              <w:rPr>
                <w:rFonts w:hint="eastAsia" w:ascii="宋体" w:hAnsi="宋体" w:cs="宋体"/>
                <w:color w:val="000000"/>
                <w:sz w:val="24"/>
                <w:szCs w:val="24"/>
                <w:highlight w:val="none"/>
              </w:rPr>
            </w:r>
            <w:r/>
          </w:p>
        </w:tc>
      </w:tr>
      <w:tr>
        <w:trPr>
          <w:trHeight w:val="528"/>
        </w:trPr>
        <w:tc>
          <w:tcPr>
            <w:shd w:val="clear" w:color="000000" w:fill="ffffff"/>
            <w:tcW w:w="764" w:type="dxa"/>
            <w:vAlign w:val="center"/>
            <w:textDirection w:val="lrTb"/>
            <w:noWrap/>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挖矿防护</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支持对挖矿行为进行防护，并可将产生的挖矿行为生成日志，可通过源地址和目的地地址和信誉等级进行查询，可展示挖矿日志的威胁类型、挖矿值及协议等。</w:t>
            </w:r>
            <w:r>
              <w:rPr>
                <w:rFonts w:hint="eastAsia" w:ascii="宋体" w:hAnsi="宋体" w:cs="宋体"/>
                <w:color w:val="000000"/>
                <w:sz w:val="24"/>
                <w:szCs w:val="24"/>
                <w:highlight w:val="none"/>
              </w:rPr>
            </w:r>
            <w:r/>
          </w:p>
        </w:tc>
      </w:tr>
      <w:tr>
        <w:trPr>
          <w:trHeight w:val="276"/>
        </w:trPr>
        <w:tc>
          <w:tcPr>
            <w:shd w:val="clear" w:color="000000" w:fill="ffffff"/>
            <w:tcW w:w="764"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威胁情报检测</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系统应提供基于威胁情报的检测能力，能够离线导入情报库做本地检测</w:t>
            </w:r>
            <w:r>
              <w:rPr>
                <w:rFonts w:hint="eastAsia" w:ascii="宋体" w:hAnsi="宋体" w:cs="宋体"/>
                <w:color w:val="000000"/>
                <w:sz w:val="24"/>
                <w:szCs w:val="24"/>
                <w:highlight w:val="none"/>
                <w:lang w:eastAsia="zh-CN"/>
              </w:rPr>
              <w:t xml:space="preserve">，也</w:t>
            </w:r>
            <w:r>
              <w:rPr>
                <w:rFonts w:hint="eastAsia" w:ascii="宋体" w:hAnsi="宋体" w:cs="宋体"/>
                <w:color w:val="000000"/>
                <w:sz w:val="24"/>
                <w:szCs w:val="24"/>
                <w:highlight w:val="none"/>
              </w:rPr>
              <w:t xml:space="preserve">可</w:t>
            </w:r>
            <w:r>
              <w:rPr>
                <w:rFonts w:hint="eastAsia" w:ascii="宋体" w:hAnsi="宋体" w:cs="宋体"/>
                <w:color w:val="000000"/>
                <w:sz w:val="24"/>
                <w:szCs w:val="24"/>
                <w:highlight w:val="none"/>
                <w:lang w:eastAsia="zh-CN"/>
              </w:rPr>
              <w:t xml:space="preserve">联动</w:t>
            </w:r>
            <w:r>
              <w:rPr>
                <w:rFonts w:hint="eastAsia" w:ascii="宋体" w:hAnsi="宋体" w:cs="宋体"/>
                <w:color w:val="000000"/>
                <w:sz w:val="24"/>
                <w:szCs w:val="24"/>
                <w:highlight w:val="none"/>
              </w:rPr>
              <w:t xml:space="preserve">云端做在线检测。</w:t>
            </w:r>
            <w:r>
              <w:rPr>
                <w:rFonts w:hint="eastAsia" w:ascii="宋体" w:hAnsi="宋体" w:cs="宋体"/>
                <w:color w:val="000000"/>
                <w:sz w:val="24"/>
                <w:szCs w:val="24"/>
                <w:highlight w:val="none"/>
              </w:rPr>
            </w:r>
            <w:r/>
          </w:p>
        </w:tc>
      </w:tr>
      <w:tr>
        <w:trPr>
          <w:trHeight w:val="276"/>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支持僵尸网络C&amp;C检测，并且可导入或手工配置C&amp;C黑白名单。</w:t>
            </w:r>
            <w:r>
              <w:rPr>
                <w:rFonts w:hint="eastAsia" w:ascii="宋体" w:hAnsi="宋体" w:cs="宋体"/>
                <w:color w:val="000000"/>
                <w:sz w:val="24"/>
                <w:szCs w:val="24"/>
                <w:highlight w:val="none"/>
              </w:rPr>
            </w:r>
            <w:r/>
          </w:p>
        </w:tc>
      </w:tr>
      <w:tr>
        <w:trPr>
          <w:trHeight w:val="276"/>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支持Web信誉检测（DNS黑名单库），且可导入或手工配置URL黑白名单。</w:t>
            </w:r>
            <w:r>
              <w:rPr>
                <w:rFonts w:hint="eastAsia" w:ascii="宋体" w:hAnsi="宋体" w:cs="宋体"/>
                <w:color w:val="000000"/>
                <w:sz w:val="24"/>
                <w:szCs w:val="24"/>
                <w:highlight w:val="none"/>
              </w:rPr>
            </w:r>
            <w:r/>
          </w:p>
        </w:tc>
      </w:tr>
      <w:tr>
        <w:trPr>
          <w:trHeight w:val="528"/>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支持多种威胁情报场景包，可针对不同场景的威胁攻击进行检测，包括APT检测、挖矿检测、勒索检测、反诈检测、失陷检测、暗网节点检测。</w:t>
            </w:r>
            <w:r>
              <w:rPr>
                <w:rFonts w:hint="eastAsia" w:ascii="宋体" w:hAnsi="宋体" w:cs="宋体"/>
                <w:color w:val="000000"/>
                <w:sz w:val="24"/>
                <w:szCs w:val="24"/>
                <w:highlight w:val="none"/>
              </w:rPr>
            </w:r>
            <w:r/>
          </w:p>
        </w:tc>
      </w:tr>
      <w:tr>
        <w:trPr>
          <w:trHeight w:val="276"/>
        </w:trPr>
        <w:tc>
          <w:tcPr>
            <w:shd w:val="clear" w:color="000000" w:fill="ffffff"/>
            <w:tcW w:w="764"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安全策略</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支持对源安全区、目的安全区、IP地址、用户、时间段、动作维度等进行安全检测策略的配置；</w:t>
            </w:r>
            <w:r>
              <w:rPr>
                <w:rFonts w:hint="eastAsia" w:ascii="宋体" w:hAnsi="宋体" w:cs="宋体"/>
                <w:color w:val="000000"/>
                <w:sz w:val="24"/>
                <w:szCs w:val="24"/>
                <w:highlight w:val="none"/>
              </w:rPr>
            </w:r>
            <w:r/>
          </w:p>
        </w:tc>
      </w:tr>
      <w:tr>
        <w:trPr>
          <w:trHeight w:val="972"/>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通过X-Forwarded-For、X-Real-IP、Cdn-Src-IP来识别通过HTTP代理或负载均衡方式连接到Web服务的客户端最原始的IP地址，并可自定义X-Forwarded-For、X-Real-IP、Cdn-Src-IP三个字段的识别优先级顺序。</w:t>
            </w:r>
            <w:r>
              <w:rPr>
                <w:rFonts w:hint="eastAsia" w:ascii="宋体" w:hAnsi="宋体" w:cs="宋体"/>
                <w:color w:val="000000"/>
                <w:sz w:val="24"/>
                <w:szCs w:val="24"/>
                <w:highlight w:val="none"/>
              </w:rPr>
            </w:r>
            <w:r/>
          </w:p>
        </w:tc>
      </w:tr>
      <w:tr>
        <w:trPr>
          <w:trHeight w:val="528"/>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支持不少于1000条访问控制策略，可基于IP地址、端口（单个、多个和范围）、协议、动作（阻断、允许）进行访问策略配置，并可支持是否生成访问控制策略的会话日志生成。</w:t>
            </w:r>
            <w:r>
              <w:rPr>
                <w:rFonts w:hint="eastAsia" w:ascii="宋体" w:hAnsi="宋体" w:cs="宋体"/>
                <w:color w:val="000000"/>
                <w:sz w:val="24"/>
                <w:szCs w:val="24"/>
                <w:highlight w:val="none"/>
              </w:rPr>
            </w:r>
            <w:r/>
          </w:p>
        </w:tc>
      </w:tr>
      <w:tr>
        <w:trPr>
          <w:trHeight w:val="276"/>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支持访问控制策略的导入导出</w:t>
            </w:r>
            <w:r>
              <w:rPr>
                <w:rFonts w:hint="eastAsia" w:ascii="宋体" w:hAnsi="宋体" w:cs="宋体"/>
                <w:color w:val="000000"/>
                <w:sz w:val="24"/>
                <w:szCs w:val="24"/>
                <w:highlight w:val="none"/>
              </w:rPr>
            </w:r>
            <w:r/>
          </w:p>
        </w:tc>
      </w:tr>
      <w:tr>
        <w:trPr>
          <w:trHeight w:val="276"/>
        </w:trPr>
        <w:tc>
          <w:tcPr>
            <w:shd w:val="clear" w:color="000000" w:fill="ffffff"/>
            <w:tcW w:w="764"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管理</w:t>
            </w: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系统应支持WEB登录图像验证码功能，防止暴力破解。</w:t>
            </w:r>
            <w:r>
              <w:rPr>
                <w:rFonts w:hint="eastAsia" w:ascii="宋体" w:hAnsi="宋体" w:cs="宋体"/>
                <w:color w:val="000000"/>
                <w:sz w:val="24"/>
                <w:szCs w:val="24"/>
                <w:highlight w:val="none"/>
              </w:rPr>
            </w:r>
            <w:r/>
          </w:p>
        </w:tc>
      </w:tr>
      <w:tr>
        <w:trPr>
          <w:trHeight w:val="528"/>
        </w:trPr>
        <w:tc>
          <w:tcPr>
            <w:tcW w:w="764"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36" w:type="dxa"/>
            <w:vAlign w:val="center"/>
            <w:textDirection w:val="lrTb"/>
            <w:noWrap w:val="false"/>
          </w:tcPr>
          <w:p>
            <w:pPr>
              <w:pStyle w:val="94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支持设备云端托管服务，将设备上确认威胁告警事件风险上报到云端平台，通过APP即时查看告警，实现APP运维管理。</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上网行为管理</w:t>
      </w:r>
      <w:r>
        <w:rPr>
          <w:rFonts w:hint="eastAsia" w:ascii="宋体" w:hAnsi="宋体"/>
          <w:b/>
          <w:bCs/>
          <w:color w:val="000000"/>
          <w:sz w:val="24"/>
          <w:szCs w:val="24"/>
          <w:highlight w:val="none"/>
        </w:rPr>
      </w:r>
      <w:r/>
    </w:p>
    <w:tbl>
      <w:tblPr>
        <w:tblW w:w="9075"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7560"/>
      </w:tblGrid>
      <w:tr>
        <w:trPr>
          <w:trHeight w:val="90"/>
        </w:trPr>
        <w:tc>
          <w:tcPr>
            <w:tcW w:w="1515" w:type="dxa"/>
            <w:vAlign w:val="center"/>
            <w:textDirection w:val="lrTb"/>
            <w:noWrap w:val="false"/>
          </w:tcPr>
          <w:p>
            <w:pPr>
              <w:pStyle w:val="940"/>
              <w:jc w:val="center"/>
              <w:spacing w:line="264"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指标项</w:t>
            </w:r>
            <w:r>
              <w:rPr>
                <w:rFonts w:hint="eastAsia" w:ascii="宋体" w:hAnsi="宋体" w:cs="宋体"/>
                <w:b/>
                <w:bCs/>
                <w:color w:val="000000"/>
                <w:sz w:val="24"/>
                <w:szCs w:val="24"/>
                <w:highlight w:val="none"/>
              </w:rPr>
            </w:r>
            <w:r/>
          </w:p>
        </w:tc>
        <w:tc>
          <w:tcPr>
            <w:tcW w:w="7560" w:type="dxa"/>
            <w:vAlign w:val="center"/>
            <w:textDirection w:val="lrTb"/>
            <w:noWrap w:val="false"/>
          </w:tcPr>
          <w:p>
            <w:pPr>
              <w:pStyle w:val="940"/>
              <w:jc w:val="center"/>
              <w:spacing w:line="264"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具体指标要求</w:t>
            </w:r>
            <w:r>
              <w:rPr>
                <w:rFonts w:hint="eastAsia" w:ascii="宋体" w:hAnsi="宋体" w:cs="宋体"/>
                <w:b/>
                <w:bCs/>
                <w:color w:val="000000"/>
                <w:sz w:val="24"/>
                <w:szCs w:val="24"/>
                <w:highlight w:val="none"/>
              </w:rPr>
            </w:r>
            <w:r/>
          </w:p>
        </w:tc>
      </w:tr>
      <w:tr>
        <w:trPr>
          <w:trHeight w:val="906"/>
        </w:trPr>
        <w:tc>
          <w:tcPr>
            <w:tcW w:w="1515" w:type="dxa"/>
            <w:vAlign w:val="center"/>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性能</w:t>
            </w: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网络层吞吐量≥10G，应用层吞吐量≥1.5G，带宽性能≥1G，支持用户数≥6000，每秒新建连接数≥14000，最大并发连接数≥60万。</w:t>
            </w:r>
            <w:r>
              <w:rPr>
                <w:rFonts w:hint="eastAsia" w:ascii="宋体" w:hAnsi="宋体" w:cs="宋体"/>
                <w:color w:val="000000"/>
                <w:sz w:val="24"/>
                <w:szCs w:val="24"/>
                <w:highlight w:val="none"/>
                <w:lang w:bidi="ar"/>
              </w:rPr>
            </w:r>
            <w:r/>
          </w:p>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规格：1U，内存≥8G，硬盘容量≥128G SSD+960G SSD，电源：冗余电源，接口：千兆电口≥6个、万兆光口≥2个；</w:t>
            </w:r>
            <w:r>
              <w:rPr>
                <w:rFonts w:hint="eastAsia" w:ascii="宋体" w:hAnsi="宋体" w:cs="宋体"/>
                <w:color w:val="000000"/>
                <w:sz w:val="24"/>
                <w:szCs w:val="24"/>
                <w:highlight w:val="none"/>
                <w:lang w:bidi="ar"/>
              </w:rPr>
            </w:r>
            <w:r/>
          </w:p>
        </w:tc>
      </w:tr>
      <w:tr>
        <w:trPr>
          <w:trHeight w:val="90"/>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实时监控</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支持首页可视化展示，可显示接入用户人数、终端类型、流量分析、应用流量排名、泄密风险、共享接入、违规访问等信息</w:t>
            </w:r>
            <w:r>
              <w:rPr>
                <w:rFonts w:hint="eastAsia" w:ascii="宋体" w:hAnsi="宋体" w:cs="宋体"/>
                <w:color w:val="000000"/>
                <w:sz w:val="24"/>
                <w:szCs w:val="24"/>
                <w:highlight w:val="none"/>
              </w:rPr>
            </w:r>
            <w:r/>
          </w:p>
        </w:tc>
      </w:tr>
      <w:tr>
        <w:trPr>
          <w:trHeight w:val="9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支持对用户的web访问质量进行检测，可对整体网络质量评级、可通过列表形式展示访问质量差的用户名单、支持对单用户进行定向web访问质量检测，方便管理员及时进行处理修复，保障用户访问体验</w:t>
            </w:r>
            <w:r>
              <w:rPr>
                <w:rFonts w:hint="eastAsia" w:ascii="宋体" w:hAnsi="宋体" w:cs="宋体"/>
                <w:color w:val="000000"/>
                <w:sz w:val="24"/>
                <w:szCs w:val="24"/>
                <w:highlight w:val="none"/>
                <w:lang w:bidi="ar"/>
              </w:rPr>
            </w:r>
            <w:r/>
          </w:p>
        </w:tc>
      </w:tr>
      <w:tr>
        <w:trPr>
          <w:trHeight w:val="337"/>
        </w:trPr>
        <w:tc>
          <w:tcPr>
            <w:tcW w:w="1515" w:type="dxa"/>
            <w:vAlign w:val="center"/>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认证方式</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支持用户名密码认证、IP/MAC认证、短信认证、单点登录、第三方认证等方式；</w:t>
            </w:r>
            <w:r>
              <w:rPr>
                <w:rFonts w:hint="eastAsia" w:ascii="宋体" w:hAnsi="宋体" w:cs="宋体"/>
                <w:color w:val="000000"/>
                <w:sz w:val="24"/>
                <w:szCs w:val="24"/>
                <w:highlight w:val="none"/>
              </w:rPr>
            </w:r>
            <w:r/>
          </w:p>
        </w:tc>
      </w:tr>
      <w:tr>
        <w:trPr>
          <w:trHeight w:val="580"/>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终端资产管理</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支持对网络接入的终端进行可视化管理，展示终端详细信息（厂商，系统，开放端口等），支持查看终端类型</w:t>
            </w:r>
            <w:r>
              <w:rPr>
                <w:rFonts w:hint="eastAsia" w:ascii="宋体" w:hAnsi="宋体" w:cs="宋体"/>
                <w:color w:val="000000"/>
                <w:sz w:val="24"/>
                <w:szCs w:val="24"/>
                <w:highlight w:val="none"/>
              </w:rPr>
            </w:r>
            <w:r/>
          </w:p>
        </w:tc>
      </w:tr>
      <w:tr>
        <w:trPr>
          <w:trHeight w:val="9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支持能自动发现网络中通过无线上网的热点和移动终端的IP和终端类型，支持移动终端型号识别；</w:t>
            </w:r>
            <w:r>
              <w:rPr>
                <w:rFonts w:hint="eastAsia" w:ascii="宋体" w:hAnsi="宋体" w:cs="宋体"/>
                <w:color w:val="000000"/>
                <w:sz w:val="24"/>
                <w:szCs w:val="24"/>
                <w:highlight w:val="none"/>
                <w:lang w:bidi="ar"/>
              </w:rPr>
            </w:r>
            <w:r/>
          </w:p>
        </w:tc>
      </w:tr>
      <w:tr>
        <w:trPr>
          <w:trHeight w:val="90"/>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网页访问管理</w:t>
            </w: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内置海量预分类的URL地址库，能够针对各种URL类型做识别和分类，同时支持细分行为并分别做权限控制；</w:t>
            </w:r>
            <w:r>
              <w:rPr>
                <w:rFonts w:hint="eastAsia" w:ascii="宋体" w:hAnsi="宋体" w:cs="宋体"/>
                <w:color w:val="000000"/>
                <w:sz w:val="24"/>
                <w:szCs w:val="24"/>
                <w:highlight w:val="none"/>
              </w:rPr>
            </w:r>
            <w:r/>
          </w:p>
        </w:tc>
      </w:tr>
      <w:tr>
        <w:trPr>
          <w:trHeight w:val="9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支持客户端SSL解密，客户端会自动推送根证书安装</w:t>
            </w:r>
            <w:r>
              <w:rPr>
                <w:rFonts w:hint="eastAsia" w:ascii="宋体" w:hAnsi="宋体" w:cs="宋体"/>
                <w:color w:val="000000"/>
                <w:sz w:val="24"/>
                <w:szCs w:val="24"/>
                <w:highlight w:val="none"/>
                <w:lang w:bidi="ar"/>
              </w:rPr>
            </w:r>
            <w:r/>
          </w:p>
        </w:tc>
      </w:tr>
      <w:tr>
        <w:trPr>
          <w:trHeight w:val="90"/>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应用管理</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内置应用识别规则库，支持超过9000条应用规则数、支持超过6000种以上的应用</w:t>
            </w:r>
            <w:r>
              <w:rPr>
                <w:rFonts w:hint="eastAsia" w:ascii="宋体" w:hAnsi="宋体" w:cs="宋体"/>
                <w:color w:val="000000"/>
                <w:sz w:val="24"/>
                <w:szCs w:val="24"/>
                <w:highlight w:val="none"/>
              </w:rPr>
            </w:r>
            <w:r/>
          </w:p>
        </w:tc>
      </w:tr>
      <w:tr>
        <w:trPr>
          <w:trHeight w:val="9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支持根据文件类型限制http、FTP方式上传、下载行为；支持基于关键字过滤SSL加密的网页、论坛、BBS上的发帖行为；</w:t>
            </w:r>
            <w:r>
              <w:rPr>
                <w:rFonts w:hint="eastAsia" w:ascii="宋体" w:hAnsi="宋体" w:cs="宋体"/>
                <w:color w:val="000000"/>
                <w:sz w:val="24"/>
                <w:szCs w:val="24"/>
                <w:highlight w:val="none"/>
                <w:lang w:bidi="ar"/>
              </w:rPr>
            </w:r>
            <w:r/>
          </w:p>
        </w:tc>
      </w:tr>
      <w:tr>
        <w:trPr>
          <w:trHeight w:val="58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支持超过900种主流Saas应用，对Saas应用有默认分类标签，帮助客户统一配置策略</w:t>
            </w:r>
            <w:r>
              <w:rPr>
                <w:rFonts w:hint="eastAsia" w:ascii="宋体" w:hAnsi="宋体" w:cs="宋体"/>
                <w:color w:val="000000"/>
                <w:sz w:val="24"/>
                <w:szCs w:val="24"/>
                <w:highlight w:val="none"/>
              </w:rPr>
            </w:r>
            <w:r/>
          </w:p>
        </w:tc>
      </w:tr>
      <w:tr>
        <w:trPr>
          <w:trHeight w:val="524"/>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邮件管理</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支持根据源地址和目的地址过滤外发邮件，基于扩展名过滤含指定文件类型的邮件外发行为，根据附件大小、附件个数限制外发邮件，同时匹配三个以上关键字的邮件主题、正文和附件的邮件外发行为；</w:t>
            </w:r>
            <w:r>
              <w:rPr>
                <w:rFonts w:hint="eastAsia" w:ascii="宋体" w:hAnsi="宋体" w:cs="宋体"/>
                <w:color w:val="000000"/>
                <w:sz w:val="24"/>
                <w:szCs w:val="24"/>
                <w:highlight w:val="none"/>
                <w:lang w:bidi="ar"/>
              </w:rPr>
            </w:r>
            <w:r/>
          </w:p>
        </w:tc>
      </w:tr>
      <w:tr>
        <w:trPr>
          <w:trHeight w:val="524"/>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支持允许用户登录Webmail收邮件，而禁止发送Webmail邮件的功能</w:t>
            </w:r>
            <w:r>
              <w:rPr>
                <w:rFonts w:hint="eastAsia" w:ascii="宋体" w:hAnsi="宋体" w:cs="宋体"/>
                <w:color w:val="000000"/>
                <w:sz w:val="24"/>
                <w:szCs w:val="24"/>
                <w:highlight w:val="none"/>
              </w:rPr>
            </w:r>
            <w:r/>
          </w:p>
        </w:tc>
      </w:tr>
      <w:tr>
        <w:trPr>
          <w:trHeight w:val="90"/>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流量管理</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支持在不同线路上，根据不同的应用、目标IP、时间段、日期、用户/用户组、位置、终端类型来保证或者限制流量</w:t>
            </w:r>
            <w:r>
              <w:rPr>
                <w:rFonts w:hint="eastAsia" w:ascii="宋体" w:hAnsi="宋体" w:cs="宋体"/>
                <w:color w:val="000000"/>
                <w:sz w:val="24"/>
                <w:szCs w:val="24"/>
                <w:highlight w:val="none"/>
              </w:rPr>
            </w:r>
            <w:r/>
          </w:p>
        </w:tc>
      </w:tr>
      <w:tr>
        <w:trPr>
          <w:trHeight w:val="9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为保障主要业务带宽资源，防止员工使用无关应用抢占带宽导致主要业务卡顿的情况，要求设备支持对用户基于“流量”、“流速”、“时长”设置配额，当配额耗尽后，将用户</w:t>
            </w:r>
            <w:r>
              <w:rPr>
                <w:rFonts w:hint="eastAsia" w:ascii="宋体" w:hAnsi="宋体" w:cs="宋体"/>
                <w:color w:val="000000"/>
                <w:sz w:val="24"/>
                <w:szCs w:val="24"/>
                <w:highlight w:val="none"/>
                <w:lang w:eastAsia="zh-CN" w:bidi="ar"/>
              </w:rPr>
              <w:t xml:space="preserve">加入</w:t>
            </w:r>
            <w:r>
              <w:rPr>
                <w:rFonts w:hint="eastAsia" w:ascii="宋体" w:hAnsi="宋体" w:cs="宋体"/>
                <w:color w:val="000000"/>
                <w:sz w:val="24"/>
                <w:szCs w:val="24"/>
                <w:highlight w:val="none"/>
                <w:lang w:bidi="ar"/>
              </w:rPr>
              <w:t xml:space="preserve">指定的流控黑名单通道中以限制该用户的带宽资源</w:t>
            </w:r>
            <w:r>
              <w:rPr>
                <w:rFonts w:hint="eastAsia" w:ascii="宋体" w:hAnsi="宋体" w:cs="宋体"/>
                <w:color w:val="000000"/>
                <w:sz w:val="24"/>
                <w:szCs w:val="24"/>
                <w:highlight w:val="none"/>
                <w:lang w:bidi="ar"/>
              </w:rPr>
            </w:r>
            <w:r/>
          </w:p>
        </w:tc>
      </w:tr>
      <w:tr>
        <w:trPr>
          <w:trHeight w:val="95"/>
        </w:trPr>
        <w:tc>
          <w:tcPr>
            <w:tcW w:w="1515" w:type="dxa"/>
            <w:vAlign w:val="center"/>
            <w:vMerge w:val="restart"/>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行为审计</w:t>
            </w: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支持基于时间段/用户/用户组/终端类型/等维度的多种上网行为统计排行报表；</w:t>
            </w:r>
            <w:r>
              <w:rPr>
                <w:rFonts w:hint="eastAsia" w:ascii="宋体" w:hAnsi="宋体" w:cs="宋体"/>
                <w:color w:val="000000"/>
                <w:sz w:val="24"/>
                <w:szCs w:val="24"/>
                <w:highlight w:val="none"/>
              </w:rPr>
            </w:r>
            <w:r/>
          </w:p>
        </w:tc>
      </w:tr>
      <w:tr>
        <w:trPr>
          <w:trHeight w:val="58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支持查询基于指定时间段/用户/用户组/业务系统类型等维度的业务访问行为日志，包括请求内容、返回内容、文件内容；</w:t>
            </w:r>
            <w:r>
              <w:rPr>
                <w:rFonts w:hint="eastAsia" w:ascii="宋体" w:hAnsi="宋体" w:cs="宋体"/>
                <w:color w:val="000000"/>
                <w:sz w:val="24"/>
                <w:szCs w:val="24"/>
                <w:highlight w:val="none"/>
                <w:lang w:bidi="ar"/>
              </w:rPr>
            </w:r>
            <w:r/>
          </w:p>
        </w:tc>
      </w:tr>
      <w:tr>
        <w:trPr>
          <w:trHeight w:val="580"/>
        </w:trPr>
        <w:tc>
          <w:tcPr>
            <w:tcW w:w="1515" w:type="dxa"/>
            <w:vAlign w:val="center"/>
            <w:vMerge w:val="continue"/>
            <w:textDirection w:val="lrTb"/>
            <w:noWrap w:val="false"/>
          </w:tcPr>
          <w:p>
            <w:pPr>
              <w:pStyle w:val="940"/>
              <w:jc w:val="center"/>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560" w:type="dxa"/>
            <w:vAlign w:val="center"/>
            <w:textDirection w:val="lrTb"/>
            <w:noWrap w:val="false"/>
          </w:tcPr>
          <w:p>
            <w:pPr>
              <w:pStyle w:val="940"/>
              <w:jc w:val="left"/>
              <w:spacing w:line="26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支持针对单用户的整体行为分析，至少包括应用流速趋势、应用流量排行、域名流量排行、应用时长排行等；</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ascii="宋体" w:hAnsi="宋体"/>
          <w:b/>
          <w:bCs/>
          <w:color w:val="000000"/>
          <w:sz w:val="24"/>
          <w:szCs w:val="24"/>
          <w:highlight w:val="none"/>
        </w:rPr>
        <w:outlineLvl w:val="2"/>
      </w:pPr>
      <w:r>
        <w:rPr>
          <w:rFonts w:ascii="宋体" w:hAnsi="宋体"/>
          <w:b/>
          <w:bCs/>
          <w:color w:val="000000"/>
          <w:sz w:val="24"/>
          <w:szCs w:val="24"/>
          <w:highlight w:val="none"/>
        </w:rPr>
        <w:t xml:space="preserve">漏洞扫描</w:t>
      </w:r>
      <w:r>
        <w:rPr>
          <w:rFonts w:ascii="宋体" w:hAnsi="宋体"/>
          <w:b/>
          <w:bCs/>
          <w:color w:val="000000"/>
          <w:sz w:val="24"/>
          <w:szCs w:val="24"/>
          <w:highlight w:val="none"/>
        </w:rPr>
      </w:r>
      <w:r/>
    </w:p>
    <w:tbl>
      <w:tblPr>
        <w:tblW w:w="503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7853"/>
      </w:tblGrid>
      <w:tr>
        <w:trPr>
          <w:trHeight w:val="288"/>
        </w:trPr>
        <w:tc>
          <w:tcPr>
            <w:shd w:val="clear" w:color="d9d9d9" w:fill="ffffff"/>
            <w:tcW w:w="780"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shd w:val="clear" w:color="d9d9d9" w:fill="ffffff"/>
            <w:tcW w:w="4220" w:type="dxa"/>
            <w:vAlign w:val="top"/>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规格要求</w:t>
            </w:r>
            <w:r>
              <w:rPr>
                <w:rFonts w:hint="eastAsia" w:ascii="宋体" w:hAnsi="宋体" w:cs="宋体"/>
                <w:b/>
                <w:bCs/>
                <w:color w:val="000000"/>
                <w:sz w:val="24"/>
                <w:szCs w:val="24"/>
                <w:highlight w:val="none"/>
              </w:rPr>
            </w:r>
            <w:r/>
          </w:p>
        </w:tc>
      </w:tr>
      <w:tr>
        <w:trPr>
          <w:trHeight w:val="864"/>
        </w:trPr>
        <w:tc>
          <w:tcPr>
            <w:shd w:val="clear" w:color="000000" w:fill="ffffff"/>
            <w:tcW w:w="780"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性能规格</w:t>
            </w: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1U机架式设备，接口配置：千兆电口≥4，千兆光口≥4，接口扩展槽位≥1。最大并发主机数≥60,最大并发任务数≥10。授权可扫描总数量为无限的IP地址或域名，配置Web漏洞扫描模块。</w:t>
            </w:r>
            <w:r>
              <w:rPr>
                <w:rFonts w:hint="eastAsia" w:ascii="宋体" w:hAnsi="宋体" w:cs="宋体"/>
                <w:color w:val="000000"/>
                <w:sz w:val="24"/>
                <w:szCs w:val="24"/>
                <w:highlight w:val="none"/>
              </w:rPr>
            </w:r>
            <w:r/>
          </w:p>
        </w:tc>
      </w:tr>
      <w:tr>
        <w:trPr>
          <w:trHeight w:val="576"/>
        </w:trPr>
        <w:tc>
          <w:tcPr>
            <w:shd w:val="clear" w:color="000000" w:fill="ffffff"/>
            <w:tcW w:w="780"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漏洞管理和分析功能</w:t>
            </w: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支持扫描国产操作系统、应用及软件的安全漏洞，如华为欧拉、open欧拉、统信、麒麟、bclinux、达梦、南大通用、人大金仓、神通、金蝶、东方通等，要求能够扫描大于70000条相关漏洞。</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支持远程扫描和采用SMB、SSH、Telnet、RDP、HTTP、HTTPS、WinRM等协议对Windows、Linux等系统进行登录扫描。</w:t>
            </w:r>
            <w:r>
              <w:rPr>
                <w:rFonts w:hint="eastAsia" w:ascii="宋体" w:hAnsi="宋体" w:cs="宋体"/>
                <w:color w:val="000000"/>
                <w:sz w:val="24"/>
                <w:szCs w:val="24"/>
                <w:highlight w:val="none"/>
              </w:rPr>
            </w:r>
            <w:r/>
          </w:p>
        </w:tc>
      </w:tr>
      <w:tr>
        <w:trPr>
          <w:trHeight w:val="864"/>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支持系统漏洞库和Web漏洞库通过</w:t>
            </w:r>
            <w:r>
              <w:rPr>
                <w:rFonts w:hint="eastAsia" w:ascii="宋体" w:hAnsi="宋体" w:cs="宋体"/>
                <w:color w:val="000000"/>
                <w:sz w:val="24"/>
                <w:szCs w:val="24"/>
                <w:highlight w:val="none"/>
                <w:lang w:eastAsia="zh-CN"/>
              </w:rPr>
              <w:t xml:space="preserve">多重</w:t>
            </w:r>
            <w:r>
              <w:rPr>
                <w:rFonts w:hint="eastAsia" w:ascii="宋体" w:hAnsi="宋体" w:cs="宋体"/>
                <w:color w:val="000000"/>
                <w:sz w:val="24"/>
                <w:szCs w:val="24"/>
                <w:highlight w:val="none"/>
              </w:rPr>
              <w:t xml:space="preserve">维度对漏洞进行检索，包括：漏洞名称、漏洞ID，CVE ID、BUGTRAQ ID、CNCVE ID、CNVD ID、CNNVD ID、MS 编号、风险等级、是否使用危险插件、是否支持漏洞验证，漏洞发布日期、漏洞分类信息。</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提供高级漏洞检索模板，支持将符合筛选条件的漏洞自动</w:t>
            </w:r>
            <w:r>
              <w:rPr>
                <w:rFonts w:hint="eastAsia" w:ascii="宋体" w:hAnsi="宋体" w:cs="宋体"/>
                <w:color w:val="000000"/>
                <w:sz w:val="24"/>
                <w:szCs w:val="24"/>
                <w:highlight w:val="none"/>
                <w:lang w:eastAsia="zh-CN"/>
              </w:rPr>
              <w:t xml:space="preserve">加入</w:t>
            </w:r>
            <w:r>
              <w:rPr>
                <w:rFonts w:hint="eastAsia" w:ascii="宋体" w:hAnsi="宋体" w:cs="宋体"/>
                <w:color w:val="000000"/>
                <w:sz w:val="24"/>
                <w:szCs w:val="24"/>
                <w:highlight w:val="none"/>
              </w:rPr>
              <w:t xml:space="preserve">自定义漏洞模板中，及后续插件升级包中的漏洞也可以自动</w:t>
            </w:r>
            <w:r>
              <w:rPr>
                <w:rFonts w:hint="eastAsia" w:ascii="宋体" w:hAnsi="宋体" w:cs="宋体"/>
                <w:color w:val="000000"/>
                <w:sz w:val="24"/>
                <w:szCs w:val="24"/>
                <w:highlight w:val="none"/>
                <w:lang w:eastAsia="zh-CN"/>
              </w:rPr>
              <w:t xml:space="preserve">加入</w:t>
            </w:r>
            <w:r>
              <w:rPr>
                <w:rFonts w:hint="eastAsia" w:ascii="宋体" w:hAnsi="宋体" w:cs="宋体"/>
                <w:color w:val="000000"/>
                <w:sz w:val="24"/>
                <w:szCs w:val="24"/>
                <w:highlight w:val="none"/>
              </w:rPr>
              <w:t xml:space="preserve">模板中。</w:t>
            </w:r>
            <w:r>
              <w:rPr>
                <w:rFonts w:hint="eastAsia" w:ascii="宋体" w:hAnsi="宋体" w:cs="宋体"/>
                <w:color w:val="000000"/>
                <w:sz w:val="24"/>
                <w:szCs w:val="24"/>
                <w:highlight w:val="none"/>
              </w:rPr>
            </w:r>
            <w:r/>
          </w:p>
        </w:tc>
      </w:tr>
      <w:tr>
        <w:trPr>
          <w:trHeight w:val="864"/>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内置不同的漏洞模板针对Unix、Windows操作系统、网络设备和防火墙等模板，同时支持用户自定义扫描范围和扫描策略；支持自动模板匹配技术。</w:t>
            </w:r>
            <w:r>
              <w:rPr>
                <w:rFonts w:hint="eastAsia" w:ascii="宋体" w:hAnsi="宋体" w:cs="宋体"/>
                <w:color w:val="000000"/>
                <w:sz w:val="24"/>
                <w:szCs w:val="24"/>
                <w:highlight w:val="none"/>
              </w:rPr>
            </w:r>
            <w:r/>
          </w:p>
        </w:tc>
      </w:tr>
      <w:tr>
        <w:trPr>
          <w:trHeight w:val="1152"/>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支持扫描大数据组件框架的漏洞，需覆盖Ambari、Cassandra、Elasticsearch、Flume、Hadoop、Hbase、Hdfs、Hive、 Impala、Kafka、Mongodb、Oozie、Spark、Storm、Yarn、Zookeeper，要求能够扫描大于900条相关漏洞。</w:t>
            </w:r>
            <w:r>
              <w:rPr>
                <w:rFonts w:hint="eastAsia" w:ascii="宋体" w:hAnsi="宋体" w:cs="宋体"/>
                <w:color w:val="000000"/>
                <w:sz w:val="24"/>
                <w:szCs w:val="24"/>
                <w:highlight w:val="none"/>
              </w:rPr>
            </w:r>
            <w:r/>
          </w:p>
        </w:tc>
      </w:tr>
      <w:tr>
        <w:trPr>
          <w:trHeight w:val="864"/>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支持扫描主流云主机管理系统、云计算组件的安全漏洞，如：VMWareESX/ESXi、KVM、Xen，要求能够扫描大于9000条相关漏洞。</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支持识别多种物联网设备，覆盖常见品牌摄像头、打印机、路由器，能够扫描大于100条相关漏洞。</w:t>
            </w:r>
            <w:r>
              <w:rPr>
                <w:rFonts w:hint="eastAsia" w:ascii="宋体" w:hAnsi="宋体" w:cs="宋体"/>
                <w:color w:val="000000"/>
                <w:sz w:val="24"/>
                <w:szCs w:val="24"/>
                <w:highlight w:val="none"/>
              </w:rPr>
            </w:r>
            <w:r/>
          </w:p>
        </w:tc>
      </w:tr>
      <w:tr>
        <w:trPr>
          <w:trHeight w:val="291"/>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支持识别的物联网设备资产种类大于50条。</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支持扩展扫描容器镜像功能，支持扫描互联网上公开仓库中的镜像以及私有仓库中的镜像。</w:t>
            </w:r>
            <w:r>
              <w:rPr>
                <w:rFonts w:hint="eastAsia" w:ascii="宋体" w:hAnsi="宋体" w:cs="宋体"/>
                <w:color w:val="000000"/>
                <w:sz w:val="24"/>
                <w:szCs w:val="24"/>
                <w:highlight w:val="none"/>
              </w:rPr>
            </w:r>
            <w:r/>
          </w:p>
        </w:tc>
      </w:tr>
      <w:tr>
        <w:trPr>
          <w:trHeight w:val="864"/>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支持扩展漏洞验证功能，支持对扫描出的漏洞提供取证性质的验证并输出报告，直观展示漏洞利用过程和危害性。支持漏洞验证扫描任务，包括系统漏洞验证扫描、Web漏洞验证扫描。</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支持通过在目标资产部署终端代理agent方式，实时精准获取资产信息，进一步完成漏洞分析扫描。</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支持专门针对DNS服务的安全漏洞检测，包括DNS投毒等漏洞检测能力；支持“幽灵木马”检测。</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支持专门针对已有攻击利用代码的漏洞检测，检测用户资产是否存在可利用的漏洞</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支持数据库扫描模板，支持Oracle、MySQL、MS SQL、DB2、Sybase、MongoDB数据库漏洞检查。</w:t>
            </w:r>
            <w:r>
              <w:rPr>
                <w:rFonts w:hint="eastAsia" w:ascii="宋体" w:hAnsi="宋体" w:cs="宋体"/>
                <w:color w:val="000000"/>
                <w:sz w:val="24"/>
                <w:szCs w:val="24"/>
                <w:highlight w:val="none"/>
              </w:rPr>
            </w:r>
            <w:r/>
          </w:p>
        </w:tc>
      </w:tr>
      <w:tr>
        <w:trPr>
          <w:trHeight w:val="576"/>
        </w:trPr>
        <w:tc>
          <w:tcPr>
            <w:tcW w:w="780"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shd w:val="clear" w:color="000000" w:fill="ffffff"/>
            <w:tcW w:w="4220" w:type="dxa"/>
            <w:vAlign w:val="top"/>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支持智能端口挖掘，可以智能发现非默认端口启动的服务。</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ascii="宋体" w:hAnsi="宋体"/>
          <w:b/>
          <w:bCs/>
          <w:color w:val="000000"/>
          <w:sz w:val="24"/>
          <w:szCs w:val="24"/>
          <w:highlight w:val="none"/>
        </w:rPr>
        <w:outlineLvl w:val="2"/>
      </w:pPr>
      <w:r>
        <w:rPr>
          <w:rFonts w:ascii="宋体" w:hAnsi="宋体"/>
          <w:b/>
          <w:bCs/>
          <w:color w:val="000000"/>
          <w:sz w:val="24"/>
          <w:szCs w:val="24"/>
          <w:highlight w:val="none"/>
        </w:rPr>
        <w:t xml:space="preserve">认证网关</w:t>
      </w:r>
      <w:r>
        <w:rPr>
          <w:rFonts w:ascii="宋体" w:hAnsi="宋体"/>
          <w:b/>
          <w:bCs/>
          <w:color w:val="000000"/>
          <w:sz w:val="24"/>
          <w:szCs w:val="24"/>
          <w:highlight w:val="none"/>
        </w:rPr>
      </w:r>
      <w:r/>
    </w:p>
    <w:tbl>
      <w:tblPr>
        <w:tblW w:w="101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75"/>
      </w:tblGrid>
      <w:tr>
        <w:trPr>
          <w:trHeight w:val="405"/>
        </w:trPr>
        <w:tc>
          <w:tcPr>
            <w:tcW w:w="1661" w:type="dxa"/>
            <w:vAlign w:val="center"/>
            <w:textDirection w:val="lrTb"/>
            <w:noWrap w:val="false"/>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W w:w="8475" w:type="dxa"/>
            <w:vAlign w:val="center"/>
            <w:textDirection w:val="lrTb"/>
            <w:noWrap w:val="false"/>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405"/>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硬件要求</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支持双主控，整机业务扩展插槽≥4，电源和风扇框采用冗余设计；</w:t>
            </w:r>
            <w:r>
              <w:rPr>
                <w:rFonts w:hint="eastAsia" w:ascii="宋体" w:hAnsi="宋体" w:cs="宋体"/>
                <w:color w:val="000000"/>
                <w:sz w:val="24"/>
                <w:szCs w:val="24"/>
                <w:highlight w:val="none"/>
              </w:rPr>
            </w:r>
            <w:r/>
          </w:p>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主控板、接口板和业务板分离，电源、风扇、主控板、接口板、业务板均支持热插拔</w:t>
            </w:r>
            <w:r>
              <w:rPr>
                <w:rFonts w:hint="eastAsia" w:ascii="宋体" w:hAnsi="宋体" w:cs="宋体"/>
                <w:color w:val="000000"/>
                <w:sz w:val="24"/>
                <w:szCs w:val="24"/>
                <w:highlight w:val="none"/>
              </w:rPr>
            </w:r>
            <w:r/>
          </w:p>
        </w:tc>
      </w:tr>
      <w:tr>
        <w:trPr>
          <w:trHeight w:val="405"/>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采用前进后出的风道形式，提高设备散热效率</w:t>
            </w:r>
            <w:r>
              <w:rPr>
                <w:rFonts w:hint="eastAsia" w:ascii="宋体" w:hAnsi="宋体" w:cs="宋体"/>
                <w:color w:val="000000"/>
                <w:sz w:val="24"/>
                <w:szCs w:val="24"/>
                <w:highlight w:val="none"/>
              </w:rPr>
            </w:r>
            <w:r/>
          </w:p>
        </w:tc>
      </w:tr>
      <w:tr>
        <w:trPr>
          <w:trHeight w:val="536"/>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性能要求</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防火墙吞吐量≥240Gbps，每秒新建连接数≥480万，最大并发连接数≥1.6亿</w:t>
            </w:r>
            <w:r>
              <w:rPr>
                <w:rFonts w:hint="eastAsia" w:ascii="宋体" w:hAnsi="宋体" w:cs="宋体"/>
                <w:color w:val="000000"/>
                <w:sz w:val="24"/>
                <w:szCs w:val="24"/>
                <w:highlight w:val="none"/>
              </w:rPr>
            </w:r>
            <w:r/>
          </w:p>
        </w:tc>
      </w:tr>
      <w:tr>
        <w:trPr>
          <w:trHeight w:val="536"/>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接入性能要求</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提供≥12000个终端接入能力，安全代理每秒新建连接数 ≥24000，安全代理并发连接数≥24万</w:t>
            </w:r>
            <w:r>
              <w:rPr>
                <w:rFonts w:hint="eastAsia" w:ascii="宋体" w:hAnsi="宋体" w:cs="宋体"/>
                <w:color w:val="000000"/>
                <w:sz w:val="24"/>
                <w:szCs w:val="24"/>
                <w:highlight w:val="none"/>
              </w:rPr>
            </w:r>
            <w:r/>
          </w:p>
        </w:tc>
      </w:tr>
      <w:tr>
        <w:trPr>
          <w:trHeight w:val="250"/>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路由功能</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支持静态路由、策略路由、RIP、OSPF、BGP、ISIS等路由协议</w:t>
            </w:r>
            <w:r>
              <w:rPr>
                <w:rFonts w:hint="eastAsia" w:ascii="宋体" w:hAnsi="宋体" w:cs="宋体"/>
                <w:color w:val="000000"/>
                <w:sz w:val="24"/>
                <w:szCs w:val="24"/>
                <w:highlight w:val="none"/>
              </w:rPr>
            </w:r>
            <w:r/>
          </w:p>
        </w:tc>
      </w:tr>
      <w:tr>
        <w:trPr>
          <w:trHeight w:val="353"/>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策略路由支持的匹配条件：源IP/目的IP，服务类型，应用类型，入接口。 </w:t>
            </w:r>
            <w:r>
              <w:rPr>
                <w:rFonts w:hint="eastAsia" w:ascii="宋体" w:hAnsi="宋体" w:cs="宋体"/>
                <w:color w:val="000000"/>
                <w:sz w:val="24"/>
                <w:szCs w:val="24"/>
                <w:highlight w:val="none"/>
              </w:rPr>
            </w:r>
            <w:r/>
          </w:p>
        </w:tc>
      </w:tr>
      <w:tr>
        <w:trPr>
          <w:trHeight w:val="102"/>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IPV6</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支持IPv6协议栈、IPV6穿越技术、IPV6路由协议</w:t>
            </w:r>
            <w:r>
              <w:rPr>
                <w:rFonts w:hint="eastAsia" w:ascii="宋体" w:hAnsi="宋体" w:cs="宋体"/>
                <w:color w:val="000000"/>
                <w:sz w:val="24"/>
                <w:szCs w:val="24"/>
                <w:highlight w:val="none"/>
              </w:rPr>
            </w:r>
            <w:r/>
          </w:p>
        </w:tc>
      </w:tr>
      <w:tr>
        <w:trPr>
          <w:trHeight w:val="255"/>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支持IPv6 over IPv4 隧道，6RD隧道</w:t>
            </w:r>
            <w:r>
              <w:rPr>
                <w:rFonts w:hint="eastAsia" w:ascii="宋体" w:hAnsi="宋体" w:cs="宋体"/>
                <w:color w:val="000000"/>
                <w:sz w:val="24"/>
                <w:szCs w:val="24"/>
                <w:highlight w:val="none"/>
              </w:rPr>
            </w:r>
            <w:r/>
          </w:p>
        </w:tc>
      </w:tr>
      <w:tr>
        <w:trPr>
          <w:trHeight w:val="241"/>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NAT</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支持全面NAT功能，对多种应用层协议支持ALG功能 </w:t>
            </w:r>
            <w:r>
              <w:rPr>
                <w:rFonts w:hint="eastAsia" w:ascii="宋体" w:hAnsi="宋体" w:cs="宋体"/>
                <w:color w:val="000000"/>
                <w:sz w:val="24"/>
                <w:szCs w:val="24"/>
                <w:highlight w:val="none"/>
              </w:rPr>
            </w:r>
            <w:r/>
          </w:p>
        </w:tc>
      </w:tr>
      <w:tr>
        <w:trPr>
          <w:trHeight w:val="273"/>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VPN</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支持IPSec、GRE VPN，能够对相应VPN隧道报文进行监控统计</w:t>
            </w:r>
            <w:r>
              <w:rPr>
                <w:rFonts w:hint="eastAsia" w:ascii="宋体" w:hAnsi="宋体" w:cs="宋体"/>
                <w:color w:val="000000"/>
                <w:sz w:val="24"/>
                <w:szCs w:val="24"/>
                <w:highlight w:val="none"/>
              </w:rPr>
            </w:r>
            <w:r/>
          </w:p>
        </w:tc>
      </w:tr>
      <w:tr>
        <w:trPr>
          <w:trHeight w:val="235"/>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支持IPSEC双机热备，实现会话同步，设备切换VPN业务不中断</w:t>
            </w:r>
            <w:r>
              <w:rPr>
                <w:rFonts w:hint="eastAsia" w:ascii="宋体" w:hAnsi="宋体" w:cs="宋体"/>
                <w:color w:val="000000"/>
                <w:sz w:val="24"/>
                <w:szCs w:val="24"/>
                <w:highlight w:val="none"/>
              </w:rPr>
            </w:r>
            <w:r/>
          </w:p>
        </w:tc>
      </w:tr>
      <w:tr>
        <w:trPr>
          <w:trHeight w:val="299"/>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URL过滤</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支持URL识别能力和URL地址识别库，云端URL识别库≥1.2亿</w:t>
            </w:r>
            <w:r>
              <w:rPr>
                <w:rFonts w:hint="eastAsia" w:ascii="宋体" w:hAnsi="宋体" w:cs="宋体"/>
                <w:color w:val="000000"/>
                <w:sz w:val="24"/>
                <w:szCs w:val="24"/>
                <w:highlight w:val="none"/>
              </w:rPr>
            </w:r>
            <w:r/>
          </w:p>
        </w:tc>
      </w:tr>
      <w:tr>
        <w:trPr>
          <w:trHeight w:val="299"/>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可信入网</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提供针对终端的应用级访问控制，实现应用级的认证鉴权能力，根据检查结果阻断或放行，以实现终端可信入网及业务访问</w:t>
            </w:r>
            <w:r>
              <w:rPr>
                <w:rFonts w:hint="eastAsia" w:ascii="宋体" w:hAnsi="宋体" w:cs="宋体"/>
                <w:color w:val="000000"/>
                <w:sz w:val="24"/>
                <w:szCs w:val="24"/>
                <w:highlight w:val="none"/>
              </w:rPr>
            </w:r>
            <w:r/>
          </w:p>
        </w:tc>
      </w:tr>
      <w:tr>
        <w:trPr>
          <w:trHeight w:val="299"/>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针对可信资产下发前的流量支持例外白名单，如SPA、SDP的认证报文，基于目的IP、目的端口</w:t>
            </w:r>
            <w:r>
              <w:rPr>
                <w:rFonts w:hint="eastAsia" w:ascii="宋体" w:hAnsi="宋体" w:cs="宋体"/>
                <w:color w:val="000000"/>
                <w:sz w:val="24"/>
                <w:szCs w:val="24"/>
                <w:highlight w:val="none"/>
              </w:rPr>
            </w:r>
            <w:r/>
          </w:p>
        </w:tc>
      </w:tr>
      <w:tr>
        <w:trPr>
          <w:trHeight w:val="299"/>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VSYS（虚拟防火墙）系统下支持应用代理、应用准入控制、网络准入控制，以实现不同委办局或政务外网业务之间的流量隔离及代理能力，增量业务安全性；</w:t>
            </w:r>
            <w:r>
              <w:rPr>
                <w:rFonts w:hint="eastAsia" w:ascii="宋体" w:hAnsi="宋体" w:cs="宋体"/>
                <w:color w:val="000000"/>
                <w:sz w:val="24"/>
                <w:szCs w:val="24"/>
                <w:highlight w:val="none"/>
              </w:rPr>
            </w:r>
            <w:r/>
          </w:p>
        </w:tc>
      </w:tr>
      <w:tr>
        <w:trPr>
          <w:trHeight w:val="207"/>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策略管理</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支持策略的模糊查询，方便策略的管理及运维。</w:t>
            </w:r>
            <w:r>
              <w:rPr>
                <w:rFonts w:hint="eastAsia" w:ascii="宋体" w:hAnsi="宋体" w:cs="宋体"/>
                <w:color w:val="000000"/>
                <w:sz w:val="24"/>
                <w:szCs w:val="24"/>
                <w:highlight w:val="none"/>
              </w:rPr>
            </w:r>
            <w:r/>
          </w:p>
        </w:tc>
      </w:tr>
      <w:tr>
        <w:trPr>
          <w:trHeight w:val="271"/>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支持基于应用的安全策略。</w:t>
            </w:r>
            <w:r>
              <w:rPr>
                <w:rFonts w:hint="eastAsia" w:ascii="宋体" w:hAnsi="宋体" w:cs="宋体"/>
                <w:color w:val="000000"/>
                <w:sz w:val="24"/>
                <w:szCs w:val="24"/>
                <w:highlight w:val="none"/>
              </w:rPr>
            </w:r>
            <w:r/>
          </w:p>
        </w:tc>
      </w:tr>
      <w:tr>
        <w:trPr>
          <w:trHeight w:val="609"/>
        </w:trPr>
        <w:tc>
          <w:tcPr>
            <w:tcW w:w="1661" w:type="dxa"/>
            <w:vAlign w:val="center"/>
            <w:vMerge w:val="restart"/>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入侵防御及病毒防护</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为了确保开启IPS，防病毒功能后不影响防火墙的性能，需要使用独立的安全业务板（非防火墙业务板）处理IPS、防病毒</w:t>
            </w:r>
            <w:r>
              <w:rPr>
                <w:rFonts w:hint="eastAsia" w:ascii="宋体" w:hAnsi="宋体" w:cs="宋体"/>
                <w:color w:val="000000"/>
                <w:sz w:val="24"/>
                <w:szCs w:val="24"/>
                <w:highlight w:val="none"/>
              </w:rPr>
            </w:r>
            <w:r/>
          </w:p>
        </w:tc>
      </w:tr>
      <w:tr>
        <w:trPr>
          <w:trHeight w:val="405"/>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基于特征检测，支持超过20000种特征的攻击检测和防御</w:t>
            </w:r>
            <w:r>
              <w:rPr>
                <w:rFonts w:hint="eastAsia" w:ascii="宋体" w:hAnsi="宋体" w:cs="宋体"/>
                <w:color w:val="000000"/>
                <w:sz w:val="24"/>
                <w:szCs w:val="24"/>
                <w:highlight w:val="none"/>
              </w:rPr>
            </w:r>
            <w:r/>
          </w:p>
        </w:tc>
      </w:tr>
      <w:tr>
        <w:trPr>
          <w:trHeight w:val="612"/>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支持对常见应用服务（HTTP、FTP、SSH、SMTP、IMAP）和数据库软件（MySQL、Oracle、MSSQL）的口令暴力破解防护功能</w:t>
            </w:r>
            <w:r>
              <w:rPr>
                <w:rFonts w:hint="eastAsia" w:ascii="宋体" w:hAnsi="宋体" w:cs="宋体"/>
                <w:color w:val="000000"/>
                <w:sz w:val="24"/>
                <w:szCs w:val="24"/>
                <w:highlight w:val="none"/>
              </w:rPr>
            </w:r>
            <w:r/>
          </w:p>
        </w:tc>
      </w:tr>
      <w:tr>
        <w:trPr>
          <w:trHeight w:val="455"/>
        </w:trPr>
        <w:tc>
          <w:tcPr>
            <w:tcW w:w="1661"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支持最大100层的病毒压缩文件检测和阻断</w:t>
            </w:r>
            <w:r>
              <w:rPr>
                <w:rFonts w:hint="eastAsia" w:ascii="宋体" w:hAnsi="宋体" w:cs="宋体"/>
                <w:color w:val="000000"/>
                <w:sz w:val="24"/>
                <w:szCs w:val="24"/>
                <w:highlight w:val="none"/>
              </w:rPr>
            </w:r>
            <w:r/>
          </w:p>
        </w:tc>
      </w:tr>
      <w:tr>
        <w:trPr>
          <w:trHeight w:val="557"/>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DDoS防护</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支持HTTP、HTTPS、DNS、SIP等应用层Flood攻击，支持流量自学习功能，可设置自学习时间，并自动生成DDoS防范策略</w:t>
            </w:r>
            <w:r>
              <w:rPr>
                <w:rFonts w:hint="eastAsia" w:ascii="宋体" w:hAnsi="宋体" w:cs="宋体"/>
                <w:color w:val="000000"/>
                <w:sz w:val="24"/>
                <w:szCs w:val="24"/>
                <w:highlight w:val="none"/>
              </w:rPr>
            </w:r>
            <w:r/>
          </w:p>
        </w:tc>
      </w:tr>
      <w:tr>
        <w:trPr>
          <w:trHeight w:val="442"/>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APT攻击防御</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支持与本地沙箱联动，对未知恶意文件渗透的APT攻击进行防御</w:t>
            </w:r>
            <w:r>
              <w:rPr>
                <w:rFonts w:hint="eastAsia" w:ascii="宋体" w:hAnsi="宋体" w:cs="宋体"/>
                <w:color w:val="000000"/>
                <w:sz w:val="24"/>
                <w:szCs w:val="24"/>
                <w:highlight w:val="none"/>
              </w:rPr>
            </w:r>
            <w:r/>
          </w:p>
        </w:tc>
      </w:tr>
      <w:tr>
        <w:trPr>
          <w:trHeight w:val="558"/>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可靠性</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支持BFD链路检测，支持BFD与VRRP联动实现双机快速切换，支持BFD与OSPF联动实现双机快速切换</w:t>
            </w:r>
            <w:r>
              <w:rPr>
                <w:rFonts w:hint="eastAsia" w:ascii="宋体" w:hAnsi="宋体" w:cs="宋体"/>
                <w:color w:val="000000"/>
                <w:sz w:val="24"/>
                <w:szCs w:val="24"/>
                <w:highlight w:val="none"/>
              </w:rPr>
            </w:r>
            <w:r/>
          </w:p>
        </w:tc>
      </w:tr>
      <w:tr>
        <w:trPr>
          <w:trHeight w:val="558"/>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兼容性要求</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为保证兼容性，本产品需要与SDN控制器同一品牌。</w:t>
            </w:r>
            <w:r>
              <w:rPr>
                <w:rFonts w:hint="eastAsia" w:ascii="宋体" w:hAnsi="宋体" w:cs="宋体"/>
                <w:color w:val="000000"/>
                <w:sz w:val="24"/>
                <w:szCs w:val="24"/>
                <w:highlight w:val="none"/>
              </w:rPr>
            </w:r>
            <w:r/>
          </w:p>
        </w:tc>
      </w:tr>
      <w:tr>
        <w:trPr>
          <w:trHeight w:val="558"/>
        </w:trPr>
        <w:tc>
          <w:tcPr>
            <w:tcW w:w="1661" w:type="dxa"/>
            <w:vAlign w:val="center"/>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配置要求</w:t>
            </w:r>
            <w:r>
              <w:rPr>
                <w:rFonts w:hint="eastAsia" w:ascii="宋体" w:hAnsi="宋体" w:cs="宋体"/>
                <w:color w:val="000000"/>
                <w:sz w:val="24"/>
                <w:szCs w:val="24"/>
                <w:highlight w:val="none"/>
              </w:rPr>
            </w:r>
            <w:r/>
          </w:p>
        </w:tc>
        <w:tc>
          <w:tcPr>
            <w:tcW w:w="847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配置双主控，双电源，万兆光接口≥24。</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SDN控制器</w:t>
      </w:r>
      <w:r>
        <w:rPr>
          <w:rFonts w:hint="eastAsia" w:ascii="宋体" w:hAnsi="宋体"/>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8425"/>
      </w:tblGrid>
      <w:tr>
        <w:trPr>
          <w:trHeight w:val="70"/>
        </w:trPr>
        <w:tc>
          <w:tcPr>
            <w:tcW w:w="1676" w:type="dxa"/>
            <w:vAlign w:val="center"/>
            <w:textDirection w:val="lrTb"/>
            <w:noWrap/>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W w:w="8425" w:type="dxa"/>
            <w:vAlign w:val="center"/>
            <w:textDirection w:val="lrTb"/>
            <w:noWrap w:val="false"/>
          </w:tcPr>
          <w:p>
            <w:pPr>
              <w:pStyle w:val="94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70"/>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配置要求</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本次配置≥90个网络设备管理授权，≥200个终端即插即用授权，含硬件服务器，服务器要求：2*32Core@2.6GHz CPU,4*32GB内存,4*1920GB SSD,Raid卡(4G cache,带超级电容),2*4 GE电口,3*2 10GE/25GE光口,2*900W AC，支持对政务网络实现SRv6业务编排、网络切片下发。</w:t>
            </w:r>
            <w:r>
              <w:rPr>
                <w:rFonts w:hint="eastAsia" w:ascii="宋体" w:hAnsi="宋体" w:cs="宋体"/>
                <w:color w:val="000000"/>
                <w:sz w:val="24"/>
                <w:szCs w:val="24"/>
                <w:highlight w:val="none"/>
              </w:rPr>
            </w:r>
            <w:r/>
          </w:p>
        </w:tc>
      </w:tr>
      <w:tr>
        <w:trPr>
          <w:trHeight w:val="211"/>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平台架构</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系统利用云计算、SDN网络、大数据分析等技术，支持SDN协议（NetConf/YANG协议）实现大规模的网络设备配置自动化、支持Telemetry协议实现设备性能/告警数据/用户数据统计分析。</w:t>
            </w:r>
            <w:r>
              <w:rPr>
                <w:rFonts w:hint="eastAsia" w:ascii="宋体" w:hAnsi="宋体" w:cs="宋体"/>
                <w:color w:val="000000"/>
                <w:sz w:val="24"/>
                <w:szCs w:val="24"/>
                <w:highlight w:val="none"/>
              </w:rPr>
            </w:r>
            <w:r/>
          </w:p>
        </w:tc>
      </w:tr>
      <w:tr>
        <w:trPr>
          <w:trHeight w:val="334"/>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高可靠</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支持单机、最小集群、分布式集群等部署形态，满足不同场景按需部署，所有形态支持主备容灾方案</w:t>
            </w:r>
            <w:r>
              <w:rPr>
                <w:rFonts w:hint="eastAsia" w:ascii="宋体" w:hAnsi="宋体" w:cs="宋体"/>
                <w:color w:val="000000"/>
                <w:sz w:val="24"/>
                <w:szCs w:val="24"/>
                <w:highlight w:val="none"/>
              </w:rPr>
            </w:r>
            <w:r/>
          </w:p>
        </w:tc>
      </w:tr>
      <w:tr>
        <w:trPr>
          <w:trHeight w:val="237"/>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分权分域</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支持系统管理员及多租户分层管理。系统支持分权分域，可在租户管理员内自定义区域管理员，对网络的部署和运维分区域管理，减轻运维工作量</w:t>
            </w:r>
            <w:r>
              <w:rPr>
                <w:rFonts w:hint="eastAsia" w:ascii="宋体" w:hAnsi="宋体" w:cs="宋体"/>
                <w:color w:val="000000"/>
                <w:sz w:val="24"/>
                <w:szCs w:val="24"/>
                <w:highlight w:val="none"/>
              </w:rPr>
            </w:r>
            <w:r/>
          </w:p>
        </w:tc>
      </w:tr>
      <w:tr>
        <w:trPr>
          <w:trHeight w:val="237"/>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虚拟网络业务自动化发放</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支持业务可视化配置，基于GUI的规划、配置和发放功能；提供基于拓扑的虚拟网络配置和监控，实时查看业务下发状态；支持基于BGP-EVPN协议，自动建立 VXLAN 隧道；支持集中式/分布式VXLAN网关方案，弹性扩展，灵活高效</w:t>
            </w:r>
            <w:r>
              <w:rPr>
                <w:rFonts w:hint="eastAsia" w:ascii="宋体" w:hAnsi="宋体" w:cs="宋体"/>
                <w:color w:val="000000"/>
                <w:sz w:val="24"/>
                <w:szCs w:val="24"/>
                <w:highlight w:val="none"/>
              </w:rPr>
            </w:r>
            <w:r/>
          </w:p>
        </w:tc>
      </w:tr>
      <w:tr>
        <w:trPr>
          <w:trHeight w:val="816"/>
        </w:trPr>
        <w:tc>
          <w:tcPr>
            <w:tcW w:w="1676" w:type="dxa"/>
            <w:vAlign w:val="center"/>
            <w:vMerge w:val="restart"/>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用户管理</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支持本地账号密码认证，支持AD/LDAP服务器、CA服务器、第三方RADIUS服务器作为身份认证源进行联动认证</w:t>
            </w:r>
            <w:r>
              <w:rPr>
                <w:rFonts w:hint="eastAsia" w:ascii="宋体" w:hAnsi="宋体" w:cs="宋体"/>
                <w:color w:val="000000"/>
                <w:sz w:val="24"/>
                <w:szCs w:val="24"/>
                <w:highlight w:val="none"/>
              </w:rPr>
            </w:r>
            <w:r/>
          </w:p>
        </w:tc>
      </w:tr>
      <w:tr>
        <w:trPr>
          <w:trHeight w:val="305"/>
        </w:trPr>
        <w:tc>
          <w:tcPr>
            <w:tcW w:w="1676"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支持基于用户组和角色管理，单个账号支持绑定多个角色。管理员可基于用户角色进行网络准入授权管理</w:t>
            </w:r>
            <w:r>
              <w:rPr>
                <w:rFonts w:hint="eastAsia" w:ascii="宋体" w:hAnsi="宋体" w:cs="宋体"/>
                <w:color w:val="000000"/>
                <w:sz w:val="24"/>
                <w:szCs w:val="24"/>
                <w:highlight w:val="none"/>
              </w:rPr>
            </w:r>
            <w:r/>
          </w:p>
        </w:tc>
      </w:tr>
      <w:tr>
        <w:trPr>
          <w:trHeight w:val="300"/>
        </w:trPr>
        <w:tc>
          <w:tcPr>
            <w:tcW w:w="1676" w:type="dxa"/>
            <w:vAlign w:val="center"/>
            <w:vMerge w:val="restart"/>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准入认证</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系统支持多种认证方式混合认证，如802.1x、MAC、Portal认证、VPN认证等多种认证方式；也支持Passcode认证、短信认证、双因子认证、匿名认证、微信认证、社交媒体认证（Facebook、Twitter、QQ、新浪微博）；</w:t>
            </w:r>
            <w:r>
              <w:rPr>
                <w:rFonts w:hint="eastAsia" w:ascii="宋体" w:hAnsi="宋体" w:cs="宋体"/>
                <w:color w:val="000000"/>
                <w:sz w:val="24"/>
                <w:szCs w:val="24"/>
                <w:highlight w:val="none"/>
              </w:rPr>
            </w:r>
            <w:r/>
          </w:p>
        </w:tc>
      </w:tr>
      <w:tr>
        <w:trPr>
          <w:trHeight w:val="321"/>
        </w:trPr>
        <w:tc>
          <w:tcPr>
            <w:tcW w:w="1676" w:type="dxa"/>
            <w:vAlign w:val="center"/>
            <w:vMerge w:val="continue"/>
            <w:textDirection w:val="lrTb"/>
            <w:noWrap w:val="false"/>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系统支持双因子认证，包括AD+RSA，</w:t>
            </w:r>
            <w:r>
              <w:rPr>
                <w:rFonts w:hint="eastAsia" w:ascii="宋体" w:hAnsi="宋体" w:cs="宋体"/>
                <w:color w:val="000000"/>
                <w:sz w:val="24"/>
                <w:szCs w:val="24"/>
                <w:highlight w:val="none"/>
                <w:lang w:eastAsia="zh-CN"/>
              </w:rPr>
              <w:t xml:space="preserve">账号密码</w:t>
            </w:r>
            <w:r>
              <w:rPr>
                <w:rFonts w:hint="eastAsia" w:ascii="宋体" w:hAnsi="宋体" w:cs="宋体"/>
                <w:color w:val="000000"/>
                <w:sz w:val="24"/>
                <w:szCs w:val="24"/>
                <w:highlight w:val="none"/>
              </w:rPr>
              <w:t xml:space="preserve">+SMS，</w:t>
            </w:r>
            <w:r>
              <w:rPr>
                <w:rFonts w:hint="eastAsia" w:ascii="宋体" w:hAnsi="宋体" w:cs="宋体"/>
                <w:color w:val="000000"/>
                <w:sz w:val="24"/>
                <w:szCs w:val="24"/>
                <w:highlight w:val="none"/>
                <w:lang w:eastAsia="zh-CN"/>
              </w:rPr>
              <w:t xml:space="preserve">账号密码</w:t>
            </w:r>
            <w:r>
              <w:rPr>
                <w:rFonts w:hint="eastAsia" w:ascii="宋体" w:hAnsi="宋体" w:cs="宋体"/>
                <w:color w:val="000000"/>
                <w:sz w:val="24"/>
                <w:szCs w:val="24"/>
                <w:highlight w:val="none"/>
              </w:rPr>
              <w:t xml:space="preserve">+RSA，SSL VPN的双因子认证、TACACS的双因子认证。</w:t>
            </w:r>
            <w:r>
              <w:rPr>
                <w:rFonts w:hint="eastAsia" w:ascii="宋体" w:hAnsi="宋体" w:cs="宋体"/>
                <w:color w:val="000000"/>
                <w:sz w:val="24"/>
                <w:szCs w:val="24"/>
                <w:highlight w:val="none"/>
              </w:rPr>
            </w:r>
            <w:r/>
          </w:p>
        </w:tc>
      </w:tr>
      <w:tr>
        <w:trPr>
          <w:trHeight w:val="455"/>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业务随行</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支持用户业务随行，将用户和IP解耦，</w:t>
            </w:r>
            <w:r>
              <w:rPr>
                <w:rFonts w:hint="eastAsia" w:ascii="宋体" w:hAnsi="宋体" w:cs="宋体"/>
                <w:color w:val="000000"/>
                <w:sz w:val="24"/>
                <w:szCs w:val="24"/>
                <w:highlight w:val="none"/>
                <w:lang w:eastAsia="zh-CN"/>
              </w:rPr>
              <w:t xml:space="preserve">账号</w:t>
            </w:r>
            <w:r>
              <w:rPr>
                <w:rFonts w:hint="eastAsia" w:ascii="宋体" w:hAnsi="宋体" w:cs="宋体"/>
                <w:color w:val="000000"/>
                <w:sz w:val="24"/>
                <w:szCs w:val="24"/>
                <w:highlight w:val="none"/>
              </w:rPr>
              <w:t xml:space="preserve">即用户，根据用户登录条件（5W1H）授权安全组，基于UCL的策略矩阵，实现用户权限互访限制，满足随时随地接入网络业务权限一致。</w:t>
            </w:r>
            <w:r>
              <w:rPr>
                <w:rFonts w:hint="eastAsia" w:ascii="宋体" w:hAnsi="宋体" w:cs="宋体"/>
                <w:color w:val="000000"/>
                <w:sz w:val="24"/>
                <w:szCs w:val="24"/>
                <w:highlight w:val="none"/>
              </w:rPr>
            </w:r>
            <w:r/>
          </w:p>
        </w:tc>
      </w:tr>
      <w:tr>
        <w:trPr>
          <w:trHeight w:val="199"/>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VIP用户体验保障</w:t>
            </w:r>
            <w:r>
              <w:rPr>
                <w:rFonts w:hint="eastAsia" w:ascii="宋体" w:hAnsi="宋体" w:cs="宋体"/>
                <w:color w:val="000000"/>
                <w:sz w:val="24"/>
                <w:szCs w:val="24"/>
                <w:highlight w:val="none"/>
              </w:rPr>
            </w:r>
            <w:r/>
          </w:p>
        </w:tc>
        <w:tc>
          <w:tcPr>
            <w:tcW w:w="8425" w:type="dxa"/>
            <w:vAlign w:val="top"/>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支持通过空口调度，保障VIP用户优先接入网络。并可以通过保留带宽的方式，实现网络接入高优先级保障。</w:t>
            </w:r>
            <w:r>
              <w:rPr>
                <w:rFonts w:hint="eastAsia" w:ascii="宋体" w:hAnsi="宋体" w:cs="宋体"/>
                <w:color w:val="000000"/>
                <w:sz w:val="24"/>
                <w:szCs w:val="24"/>
                <w:highlight w:val="none"/>
              </w:rPr>
            </w:r>
            <w:r/>
          </w:p>
        </w:tc>
      </w:tr>
      <w:tr>
        <w:trPr>
          <w:trHeight w:val="325"/>
        </w:trPr>
        <w:tc>
          <w:tcPr>
            <w:tcW w:w="1676" w:type="dxa"/>
            <w:vAlign w:val="center"/>
            <w:vMerge w:val="restart"/>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终端识别</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支持终端识别，对终端信息：操作系统、</w:t>
            </w:r>
            <w:r>
              <w:rPr>
                <w:rFonts w:hint="eastAsia" w:ascii="宋体" w:hAnsi="宋体" w:cs="宋体"/>
                <w:color w:val="000000"/>
                <w:sz w:val="24"/>
                <w:szCs w:val="24"/>
                <w:highlight w:val="none"/>
                <w:lang w:val="en-US" w:eastAsia="zh-CN"/>
              </w:rPr>
              <w:t xml:space="preserve">生产厂商</w:t>
            </w:r>
            <w:r>
              <w:rPr>
                <w:rFonts w:hint="eastAsia" w:ascii="宋体" w:hAnsi="宋体" w:cs="宋体"/>
                <w:color w:val="000000"/>
                <w:sz w:val="24"/>
                <w:szCs w:val="24"/>
                <w:highlight w:val="none"/>
              </w:rPr>
              <w:t xml:space="preserve">、终端型号、终端类型进行识别</w:t>
            </w:r>
            <w:r>
              <w:rPr>
                <w:rFonts w:hint="eastAsia" w:ascii="宋体" w:hAnsi="宋体" w:cs="宋体"/>
                <w:color w:val="000000"/>
                <w:sz w:val="24"/>
                <w:szCs w:val="24"/>
                <w:highlight w:val="none"/>
              </w:rPr>
            </w:r>
            <w:r/>
          </w:p>
        </w:tc>
      </w:tr>
      <w:tr>
        <w:trPr>
          <w:trHeight w:val="325"/>
        </w:trPr>
        <w:tc>
          <w:tcPr>
            <w:tcW w:w="1676" w:type="dxa"/>
            <w:vAlign w:val="center"/>
            <w:vMerge w:val="continue"/>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支持根据终端类型分组，设定不同终端的接入权限。当终端接入网络后自动认证通过，自动绑定设备类型</w:t>
            </w:r>
            <w:r>
              <w:rPr>
                <w:rFonts w:hint="eastAsia" w:ascii="宋体" w:hAnsi="宋体" w:cs="宋体"/>
                <w:color w:val="000000"/>
                <w:sz w:val="24"/>
                <w:szCs w:val="24"/>
                <w:highlight w:val="none"/>
              </w:rPr>
            </w:r>
            <w:r/>
          </w:p>
        </w:tc>
      </w:tr>
      <w:tr>
        <w:trPr>
          <w:trHeight w:val="407"/>
        </w:trPr>
        <w:tc>
          <w:tcPr>
            <w:tcW w:w="1676" w:type="dxa"/>
            <w:vAlign w:val="center"/>
            <w:textDirection w:val="lrTb"/>
            <w:noWrap/>
          </w:tcPr>
          <w:p>
            <w:pPr>
              <w:pStyle w:val="9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智能运维</w:t>
            </w:r>
            <w:r>
              <w:rPr>
                <w:rFonts w:hint="eastAsia" w:ascii="宋体" w:hAnsi="宋体" w:cs="宋体"/>
                <w:color w:val="000000"/>
                <w:sz w:val="24"/>
                <w:szCs w:val="24"/>
                <w:highlight w:val="none"/>
              </w:rPr>
            </w:r>
            <w:r/>
          </w:p>
        </w:tc>
        <w:tc>
          <w:tcPr>
            <w:tcW w:w="8425" w:type="dxa"/>
            <w:vAlign w:val="center"/>
            <w:textDirection w:val="lrTb"/>
            <w:noWrap w:val="false"/>
          </w:tcPr>
          <w:p>
            <w:pPr>
              <w:pStyle w:val="9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支持多种用户侧统计监控，进行终端行为分析，包括路人/访客/接入用户的时间分布趋势图</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广域/城域路由器</w:t>
      </w:r>
      <w:r>
        <w:rPr>
          <w:rFonts w:hint="eastAsia" w:ascii="宋体" w:hAnsi="宋体"/>
          <w:b/>
          <w:bCs/>
          <w:color w:val="000000"/>
          <w:sz w:val="24"/>
          <w:szCs w:val="24"/>
          <w:highlight w:val="none"/>
        </w:rPr>
      </w:r>
      <w:r/>
    </w:p>
    <w:tbl>
      <w:tblPr>
        <w:tblW w:w="49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7603"/>
      </w:tblGrid>
      <w:tr>
        <w:trPr>
          <w:trHeight w:val="368"/>
        </w:trPr>
        <w:tc>
          <w:tcPr>
            <w:tcW w:w="861"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W w:w="4139"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418"/>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设备架构</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支持交换容量≥230Tbps，支持包转发率≥54000Mpps。</w:t>
            </w:r>
            <w:r>
              <w:rPr>
                <w:rFonts w:hint="eastAsia" w:ascii="宋体" w:hAnsi="宋体" w:cs="宋体"/>
                <w:color w:val="000000"/>
                <w:sz w:val="24"/>
                <w:szCs w:val="24"/>
                <w:highlight w:val="none"/>
              </w:rPr>
            </w:r>
            <w:r/>
          </w:p>
        </w:tc>
      </w:tr>
      <w:tr>
        <w:trPr>
          <w:trHeight w:val="500"/>
        </w:trPr>
        <w:tc>
          <w:tcPr>
            <w:tcW w:w="861" w:type="dxa"/>
            <w:vAlign w:val="center"/>
            <w:vMerge w:val="continue"/>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采用双主控架构，电源、风扇等部件冗余设计，支持主控交换板卡、电源、风扇、业务板卡热插拔；</w:t>
            </w:r>
            <w:r>
              <w:rPr>
                <w:rFonts w:hint="eastAsia" w:ascii="宋体" w:hAnsi="宋体" w:cs="宋体"/>
                <w:color w:val="000000"/>
                <w:sz w:val="24"/>
                <w:szCs w:val="24"/>
                <w:highlight w:val="none"/>
              </w:rPr>
            </w:r>
            <w:r/>
          </w:p>
        </w:tc>
      </w:tr>
      <w:tr>
        <w:trPr>
          <w:trHeight w:val="135"/>
        </w:trPr>
        <w:tc>
          <w:tcPr>
            <w:tcW w:w="861" w:type="dxa"/>
            <w:vAlign w:val="center"/>
            <w:vMerge w:val="continue"/>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整机线卡槽位数≥6个</w:t>
            </w:r>
            <w:r>
              <w:rPr>
                <w:rFonts w:hint="eastAsia" w:ascii="宋体" w:hAnsi="宋体" w:cs="宋体"/>
                <w:color w:val="000000"/>
                <w:sz w:val="24"/>
                <w:szCs w:val="24"/>
                <w:highlight w:val="none"/>
              </w:rPr>
            </w:r>
            <w:r/>
          </w:p>
        </w:tc>
      </w:tr>
      <w:tr>
        <w:trPr>
          <w:trHeight w:val="367"/>
        </w:trPr>
        <w:tc>
          <w:tcPr>
            <w:tcW w:w="861" w:type="dxa"/>
            <w:vAlign w:val="center"/>
            <w:vMerge w:val="continue"/>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单槽位最大支持200Gbps线速转发不丢包</w:t>
            </w:r>
            <w:r>
              <w:rPr>
                <w:rFonts w:hint="eastAsia" w:ascii="宋体" w:hAnsi="宋体" w:cs="宋体"/>
                <w:color w:val="000000"/>
                <w:sz w:val="24"/>
                <w:szCs w:val="24"/>
                <w:highlight w:val="none"/>
              </w:rPr>
            </w:r>
            <w:r/>
          </w:p>
        </w:tc>
      </w:tr>
      <w:tr>
        <w:trPr>
          <w:trHeight w:val="500"/>
        </w:trPr>
        <w:tc>
          <w:tcPr>
            <w:tcW w:w="861"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接口要求</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设备支持100GE、50GE、40GE、25GE、10GE、GE、FE、E1、POS、CPOS等接口类型</w:t>
            </w:r>
            <w:r>
              <w:rPr>
                <w:rFonts w:hint="eastAsia" w:ascii="宋体" w:hAnsi="宋体" w:cs="宋体"/>
                <w:color w:val="000000"/>
                <w:sz w:val="24"/>
                <w:szCs w:val="24"/>
                <w:highlight w:val="none"/>
              </w:rPr>
            </w:r>
            <w:r/>
          </w:p>
        </w:tc>
      </w:tr>
      <w:tr>
        <w:trPr>
          <w:trHeight w:val="792"/>
        </w:trPr>
        <w:tc>
          <w:tcPr>
            <w:tcW w:w="861"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基本功能</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支持RIP、RIPng、OSPF、OSPFV3、IS-IS、IS-ISV6、BGP、BGPv6、静态路由、IPv4组播、IPv6组播、组播静态等路由协议</w:t>
            </w:r>
            <w:r>
              <w:rPr>
                <w:rFonts w:hint="eastAsia" w:ascii="宋体" w:hAnsi="宋体" w:cs="宋体"/>
                <w:color w:val="000000"/>
                <w:sz w:val="24"/>
                <w:szCs w:val="24"/>
                <w:highlight w:val="none"/>
              </w:rPr>
            </w:r>
            <w:r/>
          </w:p>
        </w:tc>
      </w:tr>
      <w:tr>
        <w:trPr>
          <w:trHeight w:val="500"/>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IPV6功能</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支持动态下发EVPN IPv4 L3VPN over SRv6 TE policy功能，实现SRv6承载L3VPN业务场景</w:t>
            </w:r>
            <w:r>
              <w:rPr>
                <w:rFonts w:hint="eastAsia" w:ascii="宋体" w:hAnsi="宋体" w:cs="宋体"/>
                <w:color w:val="000000"/>
                <w:sz w:val="24"/>
                <w:szCs w:val="24"/>
                <w:highlight w:val="none"/>
              </w:rPr>
            </w:r>
            <w:r/>
          </w:p>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支持动态下发EVPN VPWS over SRv6 TE policy功能，实现SRv6承载L2VPN业务场景</w:t>
            </w:r>
            <w:r>
              <w:rPr>
                <w:rFonts w:hint="eastAsia" w:ascii="宋体" w:hAnsi="宋体" w:cs="宋体"/>
                <w:color w:val="000000"/>
                <w:sz w:val="24"/>
                <w:szCs w:val="24"/>
                <w:highlight w:val="none"/>
              </w:rPr>
            </w:r>
            <w:r/>
          </w:p>
        </w:tc>
      </w:tr>
      <w:tr>
        <w:trPr>
          <w:trHeight w:val="500"/>
        </w:trPr>
        <w:tc>
          <w:tcPr>
            <w:tcW w:w="861"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支持SRv6 Policy多SID-LIST负载分担功能，且分担路数不低于8。</w:t>
            </w:r>
            <w:r>
              <w:rPr>
                <w:rFonts w:hint="eastAsia" w:ascii="宋体" w:hAnsi="宋体" w:cs="宋体"/>
                <w:color w:val="000000"/>
                <w:sz w:val="24"/>
                <w:szCs w:val="24"/>
                <w:highlight w:val="none"/>
              </w:rPr>
            </w:r>
            <w:r/>
          </w:p>
        </w:tc>
      </w:tr>
      <w:tr>
        <w:trPr>
          <w:trHeight w:val="500"/>
        </w:trPr>
        <w:tc>
          <w:tcPr>
            <w:tcW w:w="861"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组播</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支持组播BIER、BIER6技术</w:t>
            </w:r>
            <w:r>
              <w:rPr>
                <w:rFonts w:hint="eastAsia" w:ascii="宋体" w:hAnsi="宋体" w:cs="宋体"/>
                <w:color w:val="000000"/>
                <w:sz w:val="24"/>
                <w:szCs w:val="24"/>
                <w:highlight w:val="none"/>
              </w:rPr>
            </w:r>
            <w:r/>
          </w:p>
        </w:tc>
      </w:tr>
      <w:tr>
        <w:trPr>
          <w:trHeight w:val="281"/>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可靠性</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支持基于硬件的BFD故障探测技术，支持最小发包间隔5ms</w:t>
            </w:r>
            <w:r>
              <w:rPr>
                <w:rFonts w:hint="eastAsia" w:ascii="宋体" w:hAnsi="宋体" w:cs="宋体"/>
                <w:color w:val="000000"/>
                <w:sz w:val="24"/>
                <w:szCs w:val="24"/>
                <w:highlight w:val="none"/>
              </w:rPr>
            </w:r>
            <w:r/>
          </w:p>
        </w:tc>
      </w:tr>
      <w:tr>
        <w:trPr>
          <w:trHeight w:val="527"/>
        </w:trPr>
        <w:tc>
          <w:tcPr>
            <w:tcW w:w="861"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支持全面的快速重路由FRR功能：IP/IPv6/LDP/TE/VPN/VPNv6 FRR，倒换时间均≤50ms</w:t>
            </w:r>
            <w:r>
              <w:rPr>
                <w:rFonts w:hint="eastAsia" w:ascii="宋体" w:hAnsi="宋体" w:cs="宋体"/>
                <w:color w:val="000000"/>
                <w:sz w:val="24"/>
                <w:szCs w:val="24"/>
                <w:highlight w:val="none"/>
              </w:rPr>
            </w:r>
            <w:r/>
          </w:p>
        </w:tc>
      </w:tr>
      <w:tr>
        <w:trPr>
          <w:trHeight w:val="323"/>
        </w:trPr>
        <w:tc>
          <w:tcPr>
            <w:tcW w:w="861"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支持VRRP、Eth-Trunk、E-Trunk等可靠性技术</w:t>
            </w:r>
            <w:r>
              <w:rPr>
                <w:rFonts w:hint="eastAsia" w:ascii="宋体" w:hAnsi="宋体" w:cs="宋体"/>
                <w:color w:val="000000"/>
                <w:sz w:val="24"/>
                <w:szCs w:val="24"/>
                <w:highlight w:val="none"/>
              </w:rPr>
            </w:r>
            <w:r/>
          </w:p>
        </w:tc>
      </w:tr>
      <w:tr>
        <w:trPr>
          <w:trHeight w:val="426"/>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可维护性</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支持Telemetry，可实现从设备高速采集数据</w:t>
            </w:r>
            <w:r>
              <w:rPr>
                <w:rFonts w:hint="eastAsia" w:ascii="宋体" w:hAnsi="宋体" w:cs="宋体"/>
                <w:color w:val="000000"/>
                <w:sz w:val="24"/>
                <w:szCs w:val="24"/>
                <w:highlight w:val="none"/>
              </w:rPr>
            </w:r>
            <w:r/>
          </w:p>
        </w:tc>
      </w:tr>
      <w:tr>
        <w:trPr>
          <w:trHeight w:val="419"/>
        </w:trPr>
        <w:tc>
          <w:tcPr>
            <w:tcW w:w="861"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支持对随流检测获取到的性能数据进行可视化的运维管理</w:t>
            </w:r>
            <w:r>
              <w:rPr>
                <w:rFonts w:hint="eastAsia" w:ascii="宋体" w:hAnsi="宋体" w:cs="宋体"/>
                <w:color w:val="000000"/>
                <w:sz w:val="24"/>
                <w:szCs w:val="24"/>
                <w:highlight w:val="none"/>
              </w:rPr>
            </w:r>
            <w:r/>
          </w:p>
        </w:tc>
      </w:tr>
      <w:tr>
        <w:trPr>
          <w:trHeight w:val="500"/>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业务保障</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支持5级H-QoS调度</w:t>
            </w:r>
            <w:r>
              <w:rPr>
                <w:rFonts w:hint="eastAsia" w:ascii="宋体" w:hAnsi="宋体" w:cs="宋体"/>
                <w:color w:val="000000"/>
                <w:sz w:val="24"/>
                <w:szCs w:val="24"/>
                <w:highlight w:val="none"/>
              </w:rPr>
            </w:r>
            <w:r/>
          </w:p>
        </w:tc>
      </w:tr>
      <w:tr>
        <w:trPr>
          <w:trHeight w:val="500"/>
        </w:trPr>
        <w:tc>
          <w:tcPr>
            <w:tcW w:w="861" w:type="dxa"/>
            <w:vAlign w:val="center"/>
            <w:vMerge w:val="continue"/>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持续</w:t>
            </w:r>
            <w:r>
              <w:rPr>
                <w:rFonts w:hint="eastAsia" w:ascii="宋体" w:hAnsi="宋体" w:cs="宋体"/>
                <w:color w:val="000000"/>
                <w:sz w:val="24"/>
                <w:szCs w:val="24"/>
                <w:highlight w:val="none"/>
              </w:rPr>
              <w:t xml:space="preserve">根据不同的网络服务要求如时延、带宽、安全性和可靠性等来划分切片网络，以灵活</w:t>
            </w:r>
            <w:r>
              <w:rPr>
                <w:rFonts w:hint="eastAsia" w:ascii="宋体" w:hAnsi="宋体" w:cs="宋体"/>
                <w:color w:val="000000"/>
                <w:sz w:val="24"/>
                <w:szCs w:val="24"/>
                <w:highlight w:val="none"/>
                <w:lang w:eastAsia="zh-CN"/>
              </w:rPr>
              <w:t xml:space="preserve">地</w:t>
            </w:r>
            <w:r>
              <w:rPr>
                <w:rFonts w:hint="eastAsia" w:ascii="宋体" w:hAnsi="宋体" w:cs="宋体"/>
                <w:color w:val="000000"/>
                <w:sz w:val="24"/>
                <w:szCs w:val="24"/>
                <w:highlight w:val="none"/>
              </w:rPr>
              <w:t xml:space="preserve">应对不同的网络应用场景</w:t>
            </w:r>
            <w:r>
              <w:rPr>
                <w:rFonts w:hint="eastAsia" w:ascii="宋体" w:hAnsi="宋体" w:cs="宋体"/>
                <w:color w:val="000000"/>
                <w:sz w:val="24"/>
                <w:szCs w:val="24"/>
                <w:highlight w:val="none"/>
              </w:rPr>
            </w:r>
            <w:r/>
          </w:p>
        </w:tc>
      </w:tr>
      <w:tr>
        <w:trPr>
          <w:trHeight w:val="352"/>
        </w:trPr>
        <w:tc>
          <w:tcPr>
            <w:tcW w:w="861" w:type="dxa"/>
            <w:vAlign w:val="center"/>
            <w:vMerge w:val="restart"/>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系统管理</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支持Console、Telnet、SSH、SNMP等管理方式</w:t>
            </w:r>
            <w:r>
              <w:rPr>
                <w:rFonts w:hint="eastAsia" w:ascii="宋体" w:hAnsi="宋体" w:cs="宋体"/>
                <w:color w:val="000000"/>
                <w:sz w:val="24"/>
                <w:szCs w:val="24"/>
                <w:highlight w:val="none"/>
              </w:rPr>
            </w:r>
            <w:r/>
          </w:p>
        </w:tc>
      </w:tr>
      <w:tr>
        <w:trPr>
          <w:trHeight w:val="273"/>
        </w:trPr>
        <w:tc>
          <w:tcPr>
            <w:tcW w:w="861" w:type="dxa"/>
            <w:vAlign w:val="center"/>
            <w:vMerge w:val="continue"/>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支持Netconf，可以提供配置API</w:t>
            </w:r>
            <w:r>
              <w:rPr>
                <w:rFonts w:hint="eastAsia" w:ascii="宋体" w:hAnsi="宋体" w:cs="宋体"/>
                <w:color w:val="000000"/>
                <w:sz w:val="24"/>
                <w:szCs w:val="24"/>
                <w:highlight w:val="none"/>
              </w:rPr>
            </w:r>
            <w:r/>
          </w:p>
        </w:tc>
      </w:tr>
      <w:tr>
        <w:trPr>
          <w:trHeight w:val="500"/>
        </w:trPr>
        <w:tc>
          <w:tcPr>
            <w:tcW w:w="861"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配置要求</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配置双主控，双电源，万兆接口≥12，实配L3VPN、VxLAN, HQoS、网络切片等功能。</w:t>
            </w:r>
            <w:r>
              <w:rPr>
                <w:rFonts w:hint="eastAsia" w:ascii="宋体" w:hAnsi="宋体" w:cs="宋体"/>
                <w:color w:val="000000"/>
                <w:sz w:val="24"/>
                <w:szCs w:val="24"/>
                <w:highlight w:val="none"/>
              </w:rPr>
            </w:r>
            <w:r/>
          </w:p>
        </w:tc>
      </w:tr>
      <w:tr>
        <w:trPr>
          <w:trHeight w:val="500"/>
        </w:trPr>
        <w:tc>
          <w:tcPr>
            <w:tcW w:w="861"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兼容性要求</w:t>
            </w:r>
            <w:r>
              <w:rPr>
                <w:rFonts w:hint="eastAsia" w:ascii="宋体" w:hAnsi="宋体" w:cs="宋体"/>
                <w:color w:val="000000"/>
                <w:sz w:val="24"/>
                <w:szCs w:val="24"/>
                <w:highlight w:val="none"/>
              </w:rPr>
            </w:r>
            <w:r/>
          </w:p>
        </w:tc>
        <w:tc>
          <w:tcPr>
            <w:tcW w:w="4139"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为保证兼容性，本产品需要与SDN控制器同一品牌。</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万兆单模10KM光模块</w:t>
      </w:r>
      <w:r>
        <w:rPr>
          <w:rFonts w:hint="eastAsia" w:ascii="宋体" w:hAnsi="宋体"/>
          <w:b/>
          <w:bCs/>
          <w:color w:val="000000"/>
          <w:sz w:val="24"/>
          <w:szCs w:val="24"/>
          <w:highlight w:val="none"/>
        </w:rPr>
      </w:r>
      <w:r/>
    </w:p>
    <w:tbl>
      <w:tblPr>
        <w:tblW w:w="5005" w:type="pct"/>
        <w:tblInd w:w="-108" w:type="dxa"/>
        <w:tblLayout w:type="autofit"/>
        <w:tblCellMar>
          <w:left w:w="108" w:type="dxa"/>
          <w:top w:w="0" w:type="dxa"/>
          <w:right w:w="108" w:type="dxa"/>
          <w:bottom w:w="0" w:type="dxa"/>
        </w:tblCellMar>
        <w:tblLook w:val="04A0" w:firstRow="1" w:lastRow="0" w:firstColumn="1" w:lastColumn="0" w:noHBand="0" w:noVBand="1"/>
      </w:tblPr>
      <w:tblGrid>
        <w:gridCol w:w="1765"/>
        <w:gridCol w:w="7486"/>
      </w:tblGrid>
      <w:tr>
        <w:trPr>
          <w:trHeight w:val="368"/>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046"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性能参数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046"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光模块-SFP+-10G-单模模块(1310nm,10km,LC)</w:t>
            </w:r>
            <w:r>
              <w:rPr>
                <w:rFonts w:hint="eastAsia" w:ascii="宋体" w:hAnsi="宋体" w:cs="宋体"/>
                <w:color w:val="000000"/>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兼容性要求</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046"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为保证兼容性，本产品需要与</w:t>
            </w:r>
            <w:r>
              <w:rPr>
                <w:rFonts w:hint="eastAsia" w:ascii="宋体" w:hAnsi="宋体" w:cs="宋体"/>
                <w:color w:val="000000"/>
                <w:sz w:val="24"/>
                <w:szCs w:val="24"/>
                <w:highlight w:val="none"/>
              </w:rPr>
              <w:t xml:space="preserve">广域/城域路由器</w:t>
            </w:r>
            <w:r>
              <w:rPr>
                <w:rFonts w:hint="eastAsia" w:ascii="宋体" w:hAnsi="宋体" w:cs="宋体"/>
                <w:color w:val="000000"/>
                <w:sz w:val="24"/>
                <w:szCs w:val="24"/>
                <w:highlight w:val="none"/>
              </w:rPr>
              <w:t xml:space="preserve">同一品牌。</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万兆单模40KM光模块</w:t>
      </w:r>
      <w:r>
        <w:rPr>
          <w:rFonts w:hint="eastAsia" w:ascii="宋体" w:hAnsi="宋体"/>
          <w:b/>
          <w:bCs/>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575"/>
        <w:gridCol w:w="7667"/>
      </w:tblGrid>
      <w:tr>
        <w:trPr>
          <w:trHeight w:val="36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性能参数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光模块-SFP+-10G-单模模块(1550nm,40km,LC)</w:t>
            </w:r>
            <w:r>
              <w:rPr>
                <w:rFonts w:hint="eastAsia" w:ascii="宋体" w:hAnsi="宋体" w:cs="宋体"/>
                <w:color w:val="000000"/>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兼容性要求</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为保证兼容性，本产品需要与</w:t>
            </w:r>
            <w:r>
              <w:rPr>
                <w:rFonts w:hint="eastAsia" w:ascii="宋体" w:hAnsi="宋体" w:cs="宋体"/>
                <w:color w:val="000000"/>
                <w:sz w:val="24"/>
                <w:szCs w:val="24"/>
                <w:highlight w:val="none"/>
              </w:rPr>
              <w:t xml:space="preserve">广域/城域路由器</w:t>
            </w:r>
            <w:r>
              <w:rPr>
                <w:rFonts w:hint="eastAsia" w:ascii="宋体" w:hAnsi="宋体" w:cs="宋体"/>
                <w:color w:val="000000"/>
                <w:sz w:val="24"/>
                <w:szCs w:val="24"/>
                <w:highlight w:val="none"/>
              </w:rPr>
              <w:t xml:space="preserve">同一品牌。</w:t>
            </w:r>
            <w:r>
              <w:rPr>
                <w:rFonts w:hint="eastAsia" w:ascii="宋体" w:hAnsi="宋体" w:cs="宋体"/>
                <w:color w:val="000000"/>
                <w:sz w:val="24"/>
                <w:szCs w:val="24"/>
                <w:highlight w:val="none"/>
              </w:rPr>
            </w:r>
            <w:r/>
          </w:p>
        </w:tc>
      </w:tr>
    </w:tbl>
    <w:p>
      <w:pPr>
        <w:pStyle w:val="940"/>
        <w:numPr>
          <w:ilvl w:val="0"/>
          <w:numId w:val="10"/>
        </w:numPr>
        <w:ind w:firstLine="0"/>
        <w:spacing w:line="360" w:lineRule="auto"/>
        <w:tabs>
          <w:tab w:val="left" w:pos="0" w:leader="none"/>
        </w:tabs>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千兆单模10KM光模块</w:t>
      </w:r>
      <w:r>
        <w:rPr>
          <w:rFonts w:hint="eastAsia" w:ascii="宋体" w:hAnsi="宋体"/>
          <w:b/>
          <w:bCs/>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575"/>
        <w:gridCol w:w="7667"/>
      </w:tblGrid>
      <w:tr>
        <w:trPr>
          <w:trHeight w:val="36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指标项</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指标要求</w:t>
            </w:r>
            <w:r>
              <w:rPr>
                <w:rFonts w:hint="eastAsia" w:ascii="宋体" w:hAnsi="宋体" w:cs="宋体"/>
                <w:b/>
                <w:bCs/>
                <w:color w:val="000000"/>
                <w:sz w:val="24"/>
                <w:szCs w:val="24"/>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性能参数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光模块SFP-GE-LX-SM1310单模模块(1310nm,10km,LC)</w:t>
            </w:r>
            <w:r>
              <w:rPr>
                <w:rFonts w:hint="eastAsia" w:ascii="宋体" w:hAnsi="宋体" w:cs="宋体"/>
                <w:color w:val="000000"/>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4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兼容性要求</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148" w:type="dxa"/>
            <w:vAlign w:val="center"/>
            <w:textDirection w:val="lrTb"/>
            <w:noWrap w:val="false"/>
          </w:tcPr>
          <w:p>
            <w:pPr>
              <w:pStyle w:val="94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为保证兼容性，本产品需要与</w:t>
            </w:r>
            <w:r>
              <w:rPr>
                <w:rFonts w:hint="eastAsia" w:ascii="宋体" w:hAnsi="宋体" w:cs="宋体"/>
                <w:color w:val="000000"/>
                <w:sz w:val="24"/>
                <w:szCs w:val="24"/>
                <w:highlight w:val="none"/>
              </w:rPr>
              <w:t xml:space="preserve">广域/城域路由器</w:t>
            </w:r>
            <w:r>
              <w:rPr>
                <w:rFonts w:hint="eastAsia" w:ascii="宋体" w:hAnsi="宋体" w:cs="宋体"/>
                <w:color w:val="000000"/>
                <w:sz w:val="24"/>
                <w:szCs w:val="24"/>
                <w:highlight w:val="none"/>
              </w:rPr>
              <w:t xml:space="preserve">同一品牌。</w:t>
            </w:r>
            <w:r>
              <w:rPr>
                <w:rFonts w:hint="eastAsia" w:ascii="宋体" w:hAnsi="宋体" w:cs="宋体"/>
                <w:color w:val="000000"/>
                <w:sz w:val="24"/>
                <w:szCs w:val="24"/>
                <w:highlight w:val="none"/>
              </w:rPr>
            </w:r>
            <w:r/>
          </w:p>
        </w:tc>
      </w:tr>
    </w:tbl>
    <w:p>
      <w:pPr>
        <w:pStyle w:val="959"/>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四、有关说明</w:t>
      </w:r>
      <w:r>
        <w:rPr>
          <w:rFonts w:ascii="宋体" w:hAnsi="宋体"/>
          <w:color w:val="000000"/>
          <w:sz w:val="28"/>
          <w:szCs w:val="28"/>
          <w:highlight w:val="none"/>
        </w:rPr>
      </w:r>
      <w:r/>
    </w:p>
    <w:p>
      <w:pPr>
        <w:pStyle w:val="94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bCs/>
          <w:color w:val="000000"/>
          <w:sz w:val="24"/>
          <w:szCs w:val="24"/>
          <w:highlight w:val="none"/>
        </w:rPr>
        <w:t xml:space="preserve">付款方式：按季度支付，每季度服务期满后一个月内进行付款，付款金额=合同金额×25%。</w:t>
      </w:r>
      <w:r>
        <w:rPr>
          <w:rFonts w:hint="eastAsia" w:ascii="宋体" w:hAnsi="宋体"/>
          <w:bCs/>
          <w:color w:val="000000"/>
          <w:sz w:val="24"/>
          <w:szCs w:val="24"/>
          <w:highlight w:val="none"/>
        </w:rPr>
      </w:r>
      <w:r/>
    </w:p>
    <w:p>
      <w:pPr>
        <w:pStyle w:val="94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2）完工期：合同签订30天内完成服务部署、调试工作。服务期：一年服务期，自合同签订生效之日起计算。履约地点：</w:t>
      </w:r>
      <w:r>
        <w:rPr>
          <w:rFonts w:hint="eastAsia" w:ascii="宋体" w:hAnsi="宋体"/>
          <w:color w:val="000000"/>
          <w:sz w:val="24"/>
          <w:szCs w:val="24"/>
          <w:highlight w:val="none"/>
        </w:rPr>
        <w:t xml:space="preserve">本项目合同履行地点为无锡市惠山区，具体地点以合同书约定为准。</w:t>
      </w:r>
      <w:r>
        <w:rPr>
          <w:rFonts w:ascii="宋体" w:hAnsi="宋体"/>
          <w:bCs/>
          <w:color w:val="000000"/>
          <w:sz w:val="24"/>
          <w:szCs w:val="24"/>
          <w:highlight w:val="none"/>
        </w:rPr>
      </w:r>
      <w:r/>
    </w:p>
    <w:p>
      <w:pPr>
        <w:pStyle w:val="94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bCs/>
          <w:color w:val="000000"/>
          <w:sz w:val="24"/>
          <w:szCs w:val="24"/>
          <w:highlight w:val="none"/>
        </w:rPr>
      </w:r>
      <w:r/>
    </w:p>
    <w:p>
      <w:pPr>
        <w:pStyle w:val="94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0"/>
        <w:rPr>
          <w:color w:val="000000"/>
          <w:highlight w:val="none"/>
        </w:rPr>
      </w:pPr>
      <w:r/>
      <w:bookmarkEnd w:id="6"/>
      <w:r>
        <w:rPr>
          <w:color w:val="000000"/>
          <w:highlight w:val="none"/>
        </w:rPr>
      </w:r>
      <w:r/>
    </w:p>
    <w:p>
      <w:pPr>
        <w:pStyle w:val="997"/>
        <w:ind w:left="0" w:right="0" w:firstLine="0"/>
        <w:keepLines w:val="0"/>
        <w:pageBreakBefore w:val="0"/>
        <w:spacing w:line="360" w:lineRule="auto"/>
        <w:rPr>
          <w:rFonts w:hint="eastAsia" w:ascii="宋体" w:hAnsi="宋体" w:eastAsia="宋体" w:cs="宋体"/>
          <w:color w:val="000000"/>
          <w:sz w:val="24"/>
          <w:szCs w:val="24"/>
          <w:highlight w:val="none"/>
        </w:rPr>
        <w:sectPr>
          <w:footerReference w:type="default" r:id="rId9"/>
          <w:footerReference w:type="even" r:id="rId10"/>
          <w:footerReference w:type="first" r:id="rId11"/>
          <w:footnotePr/>
          <w:endnotePr/>
          <w:type w:val="nextPage"/>
          <w:pgSz w:w="11906" w:h="16838" w:orient="portrait"/>
          <w:pgMar w:top="1440" w:right="1440" w:bottom="1440" w:left="1440" w:header="624" w:footer="748"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940"/>
        <w:jc w:val="center"/>
        <w:rPr>
          <w:rFonts w:ascii="黑体" w:hAnsi="黑体" w:eastAsia="黑体"/>
          <w:b w:val="0"/>
          <w:color w:val="000000"/>
          <w:sz w:val="32"/>
          <w:szCs w:val="32"/>
          <w:highlight w:val="none"/>
        </w:rPr>
      </w:pPr>
      <w:r>
        <w:rPr>
          <w:rFonts w:hint="eastAsia" w:ascii="宋体" w:hAnsi="宋体" w:cs="宋体"/>
          <w:b/>
          <w:color w:val="000000"/>
          <w:sz w:val="44"/>
          <w:szCs w:val="44"/>
          <w:highlight w:val="none"/>
        </w:rPr>
        <w:t xml:space="preserve">第</w:t>
      </w:r>
      <w:r>
        <w:rPr>
          <w:rFonts w:hint="eastAsia" w:ascii="宋体" w:hAnsi="宋体" w:cs="宋体"/>
          <w:b/>
          <w:color w:val="000000"/>
          <w:sz w:val="44"/>
          <w:szCs w:val="44"/>
          <w:highlight w:val="none"/>
          <w:lang w:val="en-US" w:eastAsia="zh-CN"/>
        </w:rPr>
        <w:t xml:space="preserve">四</w:t>
      </w:r>
      <w:r>
        <w:rPr>
          <w:rFonts w:hint="eastAsia" w:ascii="宋体" w:hAnsi="宋体" w:cs="宋体"/>
          <w:b/>
          <w:color w:val="000000"/>
          <w:sz w:val="44"/>
          <w:szCs w:val="44"/>
          <w:highlight w:val="none"/>
        </w:rPr>
        <w:t xml:space="preserve">部分．</w:t>
      </w:r>
      <w:r>
        <w:rPr>
          <w:rFonts w:hint="eastAsia" w:ascii="宋体" w:hAnsi="宋体" w:cs="宋体"/>
          <w:b/>
          <w:color w:val="000000"/>
          <w:sz w:val="44"/>
          <w:szCs w:val="44"/>
          <w:highlight w:val="none"/>
          <w:lang w:val="en-US" w:eastAsia="zh-CN"/>
        </w:rPr>
        <w:t xml:space="preserve">合同</w:t>
      </w:r>
      <w:r>
        <w:rPr>
          <w:rFonts w:hint="eastAsia" w:ascii="宋体" w:hAnsi="宋体" w:eastAsia="宋体" w:cs="宋体"/>
          <w:b/>
          <w:color w:val="000000"/>
          <w:sz w:val="44"/>
          <w:szCs w:val="44"/>
          <w:highlight w:val="none"/>
        </w:rPr>
        <w:t xml:space="preserve">（格式）</w:t>
      </w:r>
      <w:r>
        <w:rPr>
          <w:rFonts w:ascii="黑体" w:hAnsi="黑体" w:eastAsia="黑体"/>
          <w:b w:val="0"/>
          <w:color w:val="000000"/>
          <w:sz w:val="32"/>
          <w:szCs w:val="32"/>
          <w:highlight w:val="none"/>
        </w:rPr>
      </w:r>
      <w:r/>
    </w:p>
    <w:p>
      <w:pPr>
        <w:pStyle w:val="940"/>
        <w:jc w:val="center"/>
        <w:keepLines w:val="0"/>
        <w:keepNext w:val="0"/>
        <w:pageBreakBefore w:val="0"/>
        <w:spacing w:line="360" w:lineRule="auto"/>
        <w:widowControl w:val="off"/>
        <w:rPr>
          <w:rFonts w:ascii="黑体" w:hAnsi="宋体" w:eastAsia="黑体"/>
          <w:b/>
          <w:color w:val="000000"/>
          <w:sz w:val="28"/>
          <w:szCs w:val="28"/>
          <w:highlight w:val="none"/>
        </w:rPr>
      </w:pPr>
      <w:r>
        <w:rPr>
          <w:rFonts w:hint="eastAsia" w:ascii="黑体" w:hAnsi="宋体" w:eastAsia="黑体"/>
          <w:b/>
          <w:color w:val="000000"/>
          <w:sz w:val="28"/>
          <w:szCs w:val="28"/>
          <w:highlight w:val="none"/>
        </w:rPr>
        <w:t xml:space="preserve">合同书（服务）格式条款</w:t>
      </w:r>
      <w:r>
        <w:rPr>
          <w:rFonts w:ascii="黑体" w:hAnsi="宋体" w:eastAsia="黑体"/>
          <w:b/>
          <w:color w:val="000000"/>
          <w:sz w:val="28"/>
          <w:szCs w:val="28"/>
          <w:highlight w:val="none"/>
        </w:rPr>
      </w:r>
      <w:r/>
    </w:p>
    <w:p>
      <w:pPr>
        <w:pStyle w:val="940"/>
        <w:ind w:firstLine="480"/>
        <w:keepLines w:val="0"/>
        <w:keepNext w:val="0"/>
        <w:pageBreakBefore w:val="0"/>
        <w:spacing w:line="360" w:lineRule="auto"/>
        <w:widowControl w:val="off"/>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根据《中华人民共和国政府采购法》及相关法规、《中华人民共和国民法典》，遵循平等、自愿、公平和诚实信用的原则，甲乙双方就项目（项目编号： ）实施及有关事项协商一致，共同达成如下协议：</w:t>
      </w:r>
      <w:r>
        <w:rPr>
          <w:rFonts w:ascii="黑体" w:eastAsia="黑体"/>
          <w:b/>
          <w:color w:val="000000"/>
          <w:sz w:val="28"/>
          <w:szCs w:val="28"/>
          <w:highlight w:val="none"/>
        </w:rPr>
      </w:r>
      <w:r/>
    </w:p>
    <w:p>
      <w:pPr>
        <w:pStyle w:val="940"/>
        <w:keepLines w:val="0"/>
        <w:keepNext w:val="0"/>
        <w:pageBreakBefore w:val="0"/>
        <w:spacing w:line="360" w:lineRule="auto"/>
        <w:widowControl w:val="off"/>
        <w:rPr>
          <w:rFonts w:ascii="宋体"/>
          <w:bCs/>
          <w:color w:val="000000"/>
          <w:sz w:val="24"/>
          <w:szCs w:val="24"/>
          <w:highlight w:val="none"/>
          <w:u w:val="single"/>
        </w:rPr>
      </w:pPr>
      <w:r>
        <w:rPr>
          <w:rFonts w:hint="eastAsia" w:ascii="宋体" w:hAnsi="宋体"/>
          <w:bCs/>
          <w:color w:val="000000"/>
          <w:sz w:val="24"/>
          <w:szCs w:val="24"/>
          <w:highlight w:val="none"/>
        </w:rPr>
        <w:t xml:space="preserve">需方（采购人）：</w:t>
      </w:r>
      <w:r>
        <w:rPr>
          <w:rFonts w:ascii="宋体"/>
          <w:bCs/>
          <w:color w:val="000000"/>
          <w:sz w:val="24"/>
          <w:szCs w:val="24"/>
          <w:highlight w:val="none"/>
          <w:u w:val="single"/>
        </w:rPr>
      </w:r>
      <w:r/>
    </w:p>
    <w:p>
      <w:pPr>
        <w:pStyle w:val="940"/>
        <w:keepLines w:val="0"/>
        <w:keepNext w:val="0"/>
        <w:pageBreakBefore w:val="0"/>
        <w:spacing w:line="360" w:lineRule="auto"/>
        <w:widowControl w:val="off"/>
        <w:rPr>
          <w:rFonts w:ascii="宋体"/>
          <w:bCs/>
          <w:color w:val="000000"/>
          <w:sz w:val="24"/>
          <w:szCs w:val="24"/>
          <w:highlight w:val="none"/>
          <w:u w:val="single"/>
        </w:rPr>
      </w:pPr>
      <w:r>
        <w:rPr>
          <w:rFonts w:hint="eastAsia" w:ascii="宋体" w:hAnsi="宋体"/>
          <w:bCs/>
          <w:color w:val="000000"/>
          <w:sz w:val="24"/>
          <w:szCs w:val="24"/>
          <w:highlight w:val="none"/>
        </w:rPr>
        <w:t xml:space="preserve">供方（中标方）：</w:t>
      </w:r>
      <w:r>
        <w:rPr>
          <w:rFonts w:ascii="宋体"/>
          <w:bCs/>
          <w:color w:val="000000"/>
          <w:sz w:val="24"/>
          <w:szCs w:val="24"/>
          <w:highlight w:val="none"/>
          <w:u w:val="singl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一、采购项目编号：</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二、采购项目名称：</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三、中标（成交）总金额：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（大写）；</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（小写）</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四、项目服务期限：</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五、项目整体免费服务期：</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六、货款支付步骤和办法：</w:t>
      </w:r>
      <w:r>
        <w:rPr>
          <w:rFonts w:ascii="宋体"/>
          <w:bCs/>
          <w:color w:val="000000"/>
          <w:sz w:val="24"/>
          <w:szCs w:val="24"/>
          <w:highlight w:val="none"/>
        </w:rPr>
      </w:r>
      <w:r/>
    </w:p>
    <w:p>
      <w:pPr>
        <w:pStyle w:val="940"/>
        <w:ind w:left="523"/>
        <w:keepLines w:val="0"/>
        <w:keepNext w:val="0"/>
        <w:pageBreakBefore w:val="0"/>
        <w:spacing w:line="360" w:lineRule="auto"/>
        <w:widowControl w:val="off"/>
        <w:tabs>
          <w:tab w:val="left" w:pos="210" w:leader="none"/>
          <w:tab w:val="left" w:pos="45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七、合同书不可分割部分：</w:t>
      </w:r>
      <w:r>
        <w:rPr>
          <w:rFonts w:asci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42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招标（采购）文件、投标（报价）文件、合同条款及中标</w:t>
      </w:r>
      <w:r>
        <w:rPr>
          <w:rFonts w:hint="eastAsia" w:ascii="宋体" w:hAnsi="宋体"/>
          <w:color w:val="000000"/>
          <w:sz w:val="24"/>
          <w:szCs w:val="24"/>
          <w:highlight w:val="none"/>
        </w:rPr>
        <w:t xml:space="preserve">（成交）</w:t>
      </w:r>
      <w:r>
        <w:rPr>
          <w:rFonts w:hint="eastAsia" w:ascii="宋体" w:hAnsi="宋体"/>
          <w:bCs/>
          <w:color w:val="000000"/>
          <w:sz w:val="24"/>
          <w:szCs w:val="24"/>
          <w:highlight w:val="none"/>
        </w:rPr>
        <w:t xml:space="preserve">通知书，供方在投标（响应）、评标（评审）过程中所作</w:t>
      </w:r>
      <w:r>
        <w:rPr>
          <w:rFonts w:hint="eastAsia" w:ascii="宋体" w:hAnsi="宋体"/>
          <w:bCs/>
          <w:color w:val="000000"/>
          <w:sz w:val="24"/>
          <w:szCs w:val="24"/>
          <w:highlight w:val="none"/>
          <w:lang w:eastAsia="zh-CN"/>
        </w:rPr>
        <w:t xml:space="preserve">其他有关</w:t>
      </w:r>
      <w:r>
        <w:rPr>
          <w:rFonts w:hint="eastAsia" w:ascii="宋体" w:hAnsi="宋体"/>
          <w:bCs/>
          <w:color w:val="000000"/>
          <w:sz w:val="24"/>
          <w:szCs w:val="24"/>
          <w:highlight w:val="none"/>
        </w:rPr>
        <w:t xml:space="preserve">承诺、声明、书面澄清等均为合同不可分割的部分，与主合同具有同等法律效力。</w:t>
      </w:r>
      <w:r>
        <w:rPr>
          <w:rFonts w:asci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735" w:leader="none"/>
          <w:tab w:val="left" w:pos="1155" w:leader="none"/>
        </w:tabs>
        <w:rPr>
          <w:rFonts w:ascii="宋体" w:hAnsi="宋体"/>
          <w:color w:val="000000"/>
          <w:sz w:val="24"/>
          <w:szCs w:val="24"/>
          <w:highlight w:val="none"/>
        </w:rPr>
      </w:pPr>
      <w:r>
        <w:rPr>
          <w:rFonts w:hint="eastAsia" w:ascii="宋体" w:hAnsi="宋体"/>
          <w:color w:val="000000"/>
          <w:sz w:val="24"/>
          <w:szCs w:val="24"/>
          <w:highlight w:val="none"/>
        </w:rPr>
        <w:t xml:space="preserve">八、合同书组成：</w:t>
      </w:r>
      <w:r>
        <w:rPr>
          <w:rFonts w:ascii="宋体" w:hAnsi="宋体"/>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735" w:leader="none"/>
          <w:tab w:val="left" w:pos="1155" w:leader="none"/>
        </w:tabs>
        <w:rPr>
          <w:rFonts w:ascii="宋体" w:hAnsi="宋体"/>
          <w:bCs/>
          <w:color w:val="000000"/>
          <w:sz w:val="24"/>
          <w:szCs w:val="24"/>
          <w:highlight w:val="none"/>
        </w:rPr>
      </w:pPr>
      <w:r>
        <w:rPr>
          <w:rFonts w:hint="eastAsia" w:ascii="宋体" w:hAnsi="宋体"/>
          <w:color w:val="000000"/>
          <w:sz w:val="24"/>
          <w:szCs w:val="24"/>
          <w:highlight w:val="none"/>
        </w:rPr>
        <w:t xml:space="preserve">合同书由格式条款</w:t>
      </w:r>
      <w:r>
        <w:rPr>
          <w:rFonts w:hint="eastAsia" w:ascii="宋体" w:hAnsi="宋体"/>
          <w:bCs/>
          <w:color w:val="000000"/>
          <w:sz w:val="24"/>
          <w:szCs w:val="24"/>
          <w:highlight w:val="none"/>
        </w:rPr>
        <w:t xml:space="preserve">和合同条款</w:t>
      </w:r>
      <w:r>
        <w:rPr>
          <w:rFonts w:hint="eastAsia" w:ascii="宋体" w:hAnsi="宋体"/>
          <w:bCs/>
          <w:color w:val="000000"/>
          <w:sz w:val="24"/>
          <w:szCs w:val="24"/>
          <w:highlight w:val="none"/>
          <w:lang w:eastAsia="zh-CN"/>
        </w:rPr>
        <w:t xml:space="preserve">两</w:t>
      </w:r>
      <w:r>
        <w:rPr>
          <w:rFonts w:hint="eastAsia" w:ascii="宋体" w:hAnsi="宋体"/>
          <w:bCs/>
          <w:color w:val="000000"/>
          <w:sz w:val="24"/>
          <w:szCs w:val="24"/>
          <w:highlight w:val="none"/>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hint="eastAsia" w:ascii="宋体" w:hAnsi="宋体" w:cs="宋体"/>
          <w:color w:val="000000"/>
          <w:sz w:val="24"/>
          <w:szCs w:val="24"/>
          <w:highlight w:val="none"/>
        </w:rPr>
        <w:t xml:space="preserve">与履约验收挂钩的资金支付条件及时间</w:t>
      </w:r>
      <w:r>
        <w:rPr>
          <w:rFonts w:hint="eastAsia" w:ascii="宋体" w:hAnsi="宋体"/>
          <w:bCs/>
          <w:color w:val="000000"/>
          <w:sz w:val="24"/>
          <w:szCs w:val="24"/>
          <w:highlight w:val="none"/>
        </w:rPr>
        <w:t xml:space="preserve">，验收、交付标准和方法，质量保修范围和保修期，违约责任与解决争议的方法，甲乙双方权利与义务，合同分包要求，</w:t>
      </w:r>
      <w:r>
        <w:rPr>
          <w:rFonts w:hint="eastAsia" w:ascii="宋体" w:hAnsi="宋体"/>
          <w:color w:val="000000"/>
          <w:sz w:val="24"/>
          <w:szCs w:val="24"/>
          <w:highlight w:val="none"/>
        </w:rPr>
        <w:t xml:space="preserve">合同类型</w:t>
      </w:r>
      <w:r>
        <w:rPr>
          <w:rFonts w:hint="eastAsia" w:ascii="宋体" w:hAnsi="宋体"/>
          <w:bCs/>
          <w:color w:val="000000"/>
          <w:sz w:val="24"/>
          <w:szCs w:val="24"/>
          <w:highlight w:val="none"/>
        </w:rPr>
        <w:t xml:space="preserve">等。</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73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九、合同备案：</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735" w:leader="none"/>
          <w:tab w:val="left" w:pos="1155" w:leader="none"/>
        </w:tabs>
        <w:rPr>
          <w:rFonts w:ascii="宋体" w:hAnsi="宋体"/>
          <w:bCs/>
          <w:color w:val="000000"/>
          <w:sz w:val="24"/>
          <w:szCs w:val="24"/>
          <w:highlight w:val="none"/>
        </w:rPr>
      </w:pPr>
      <w:r>
        <w:rPr>
          <w:rFonts w:hint="eastAsia" w:ascii="宋体"/>
          <w:bCs/>
          <w:color w:val="000000"/>
          <w:sz w:val="24"/>
          <w:szCs w:val="24"/>
          <w:highlight w:val="none"/>
        </w:rPr>
        <w:t xml:space="preserve">本合同一式</w:t>
      </w:r>
      <w:r>
        <w:rPr>
          <w:rFonts w:hint="eastAsia" w:ascii="宋体"/>
          <w:bCs/>
          <w:color w:val="000000"/>
          <w:sz w:val="24"/>
          <w:szCs w:val="24"/>
          <w:highlight w:val="none"/>
          <w:lang w:val="en-US" w:eastAsia="zh-CN"/>
        </w:rPr>
        <w:t xml:space="preserve">陆</w:t>
      </w:r>
      <w:r>
        <w:rPr>
          <w:rFonts w:hint="eastAsia" w:ascii="宋体"/>
          <w:bCs/>
          <w:color w:val="000000"/>
          <w:sz w:val="24"/>
          <w:szCs w:val="24"/>
          <w:highlight w:val="none"/>
        </w:rPr>
        <w:t xml:space="preserve">份，甲方执</w:t>
      </w:r>
      <w:r>
        <w:rPr>
          <w:rFonts w:hint="eastAsia" w:ascii="宋体"/>
          <w:bCs/>
          <w:color w:val="000000"/>
          <w:sz w:val="24"/>
          <w:szCs w:val="24"/>
          <w:highlight w:val="none"/>
          <w:lang w:val="en-US" w:eastAsia="zh-CN"/>
        </w:rPr>
        <w:t xml:space="preserve">贰</w:t>
      </w:r>
      <w:r>
        <w:rPr>
          <w:rFonts w:hint="eastAsia" w:ascii="宋体"/>
          <w:bCs/>
          <w:color w:val="000000"/>
          <w:sz w:val="24"/>
          <w:szCs w:val="24"/>
          <w:highlight w:val="none"/>
        </w:rPr>
        <w:t xml:space="preserve">份、乙方执</w:t>
      </w:r>
      <w:r>
        <w:rPr>
          <w:rFonts w:hint="eastAsia" w:ascii="宋体"/>
          <w:bCs/>
          <w:color w:val="000000"/>
          <w:sz w:val="24"/>
          <w:szCs w:val="24"/>
          <w:highlight w:val="none"/>
          <w:lang w:val="en-US" w:eastAsia="zh-CN"/>
        </w:rPr>
        <w:t xml:space="preserve">贰</w:t>
      </w:r>
      <w:r>
        <w:rPr>
          <w:rFonts w:hint="eastAsia" w:ascii="宋体"/>
          <w:bCs/>
          <w:color w:val="000000"/>
          <w:sz w:val="24"/>
          <w:szCs w:val="24"/>
          <w:highlight w:val="none"/>
        </w:rPr>
        <w:t xml:space="preserve">份，政府采购监督管理部门备案一份，采购代理机构一份。</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十、合同书生效及注意事项：</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十一、供需双方如有</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rPr>
          <w:rFonts w:ascii="宋体" w:hAnsi="宋体"/>
          <w:bCs/>
          <w:color w:val="000000"/>
          <w:sz w:val="24"/>
          <w:szCs w:val="24"/>
          <w:highlight w:val="none"/>
        </w:rPr>
      </w:r>
      <w:r/>
    </w:p>
    <w:p>
      <w:pPr>
        <w:pStyle w:val="940"/>
        <w:ind w:firstLine="480"/>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十二、根据《</w:t>
      </w:r>
      <w:r>
        <w:rPr>
          <w:rFonts w:hint="eastAsia" w:ascii="宋体" w:hAnsi="宋体"/>
          <w:bCs/>
          <w:color w:val="000000"/>
          <w:sz w:val="24"/>
          <w:szCs w:val="24"/>
          <w:highlight w:val="none"/>
          <w:lang w:val="en-US" w:eastAsia="zh-CN"/>
        </w:rPr>
        <w:t xml:space="preserve">中华人民共和国</w:t>
      </w:r>
      <w:r>
        <w:rPr>
          <w:rFonts w:hint="eastAsia" w:ascii="宋体" w:hAnsi="宋体"/>
          <w:bCs/>
          <w:color w:val="000000"/>
          <w:sz w:val="24"/>
          <w:szCs w:val="24"/>
          <w:highlight w:val="none"/>
        </w:rPr>
        <w:t xml:space="preserve">政府采购法》第四十九、五十条规定，甲乙双方不得擅自变更、中止或终止合同。</w:t>
      </w: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1"/>
        <w:pageBreakBefore/>
        <w:rPr>
          <w:rFonts w:ascii="黑体" w:hAnsi="黑体" w:eastAsia="黑体"/>
          <w:b w:val="0"/>
          <w:color w:val="000000"/>
          <w:sz w:val="32"/>
          <w:szCs w:val="32"/>
          <w:highlight w:val="none"/>
        </w:rPr>
      </w:pPr>
      <w:r/>
      <w:bookmarkStart w:id="7" w:name="_Toc86134314"/>
      <w:r>
        <w:rPr>
          <w:rFonts w:hint="eastAsia" w:ascii="黑体" w:hAnsi="黑体" w:eastAsia="黑体"/>
          <w:b w:val="0"/>
          <w:color w:val="000000"/>
          <w:sz w:val="32"/>
          <w:szCs w:val="32"/>
          <w:highlight w:val="none"/>
        </w:rPr>
        <w:t xml:space="preserve">合同条款</w:t>
      </w:r>
      <w:bookmarkEnd w:id="7"/>
      <w:r>
        <w:rPr>
          <w:rFonts w:ascii="黑体" w:hAnsi="黑体" w:eastAsia="黑体"/>
          <w:b w:val="0"/>
          <w:color w:val="000000"/>
          <w:sz w:val="32"/>
          <w:szCs w:val="32"/>
          <w:highlight w:val="none"/>
        </w:rPr>
      </w:r>
      <w:r/>
    </w:p>
    <w:p>
      <w:pPr>
        <w:pStyle w:val="940"/>
        <w:ind w:firstLine="480"/>
        <w:jc w:val="center"/>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（根据相关法律规定以及招标文件确定事项订立）</w:t>
      </w: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ind w:firstLine="525"/>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（一）合同内容：需方向供方购买。</w:t>
      </w:r>
      <w:r>
        <w:rPr>
          <w:rFonts w:ascii="宋体"/>
          <w:bCs/>
          <w:color w:val="000000"/>
          <w:sz w:val="24"/>
          <w:szCs w:val="24"/>
          <w:highlight w:val="none"/>
        </w:rPr>
      </w:r>
      <w:r/>
    </w:p>
    <w:p>
      <w:pPr>
        <w:pStyle w:val="940"/>
        <w:ind w:firstLine="525"/>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（二）价格及支付：</w:t>
      </w:r>
      <w:r>
        <w:rPr>
          <w:rFonts w:ascii="宋体"/>
          <w:bCs/>
          <w:color w:val="000000"/>
          <w:sz w:val="24"/>
          <w:szCs w:val="24"/>
          <w:highlight w:val="none"/>
        </w:rPr>
      </w:r>
      <w:r/>
    </w:p>
    <w:p>
      <w:pPr>
        <w:pStyle w:val="940"/>
        <w:ind w:firstLine="523"/>
        <w:spacing w:line="360" w:lineRule="auto"/>
        <w:tabs>
          <w:tab w:val="left" w:pos="525" w:leader="none"/>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1. 按此次中标价格执行，合同总标的额为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bCs/>
          <w:color w:val="000000"/>
          <w:sz w:val="24"/>
          <w:szCs w:val="24"/>
          <w:highlight w:val="none"/>
        </w:rPr>
      </w:r>
      <w:r/>
    </w:p>
    <w:p>
      <w:pPr>
        <w:pStyle w:val="940"/>
        <w:numPr>
          <w:ilvl w:val="1"/>
          <w:numId w:val="11"/>
        </w:numPr>
        <w:ind w:left="0" w:firstLine="525"/>
        <w:spacing w:line="360" w:lineRule="auto"/>
        <w:tabs>
          <w:tab w:val="left" w:pos="945" w:leader="none"/>
          <w:tab w:val="left" w:pos="1770" w:leader="none"/>
          <w:tab w:val="left" w:pos="2100"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bCs/>
          <w:color w:val="000000"/>
          <w:sz w:val="24"/>
          <w:szCs w:val="24"/>
          <w:highlight w:val="none"/>
        </w:rPr>
        <w:t xml:space="preserve">按季度支付，每季度服务期满后一个月内进行付款，付款金额=合同金额×25%</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40"/>
        <w:numPr>
          <w:ilvl w:val="1"/>
          <w:numId w:val="11"/>
        </w:numPr>
        <w:ind w:left="0" w:firstLine="525"/>
        <w:spacing w:line="360" w:lineRule="auto"/>
        <w:tabs>
          <w:tab w:val="left" w:pos="945" w:leader="none"/>
          <w:tab w:val="left" w:pos="1770" w:leader="none"/>
          <w:tab w:val="left" w:pos="2100" w:leader="none"/>
        </w:tabs>
        <w:rPr>
          <w:rFonts w:ascii="宋体"/>
          <w:bCs/>
          <w:color w:val="000000"/>
          <w:sz w:val="24"/>
          <w:szCs w:val="24"/>
          <w:highlight w:val="none"/>
        </w:rPr>
      </w:pPr>
      <w:r>
        <w:rPr>
          <w:rFonts w:hint="eastAsia" w:ascii="宋体" w:hAnsi="宋体"/>
          <w:bCs/>
          <w:color w:val="000000"/>
          <w:sz w:val="24"/>
          <w:szCs w:val="24"/>
          <w:highlight w:val="none"/>
        </w:rPr>
        <w:t xml:space="preserve">履约保证金的缴纳和退付：</w:t>
      </w:r>
      <w:r>
        <w:rPr>
          <w:rFonts w:ascii="宋体"/>
          <w:bCs/>
          <w:color w:val="000000"/>
          <w:sz w:val="24"/>
          <w:szCs w:val="24"/>
          <w:highlight w:val="none"/>
        </w:rPr>
      </w:r>
      <w:r/>
    </w:p>
    <w:p>
      <w:pPr>
        <w:pStyle w:val="940"/>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40"/>
        <w:ind w:firstLine="480"/>
        <w:spacing w:line="360" w:lineRule="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940"/>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40"/>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40"/>
        <w:ind w:firstLine="480"/>
        <w:spacing w:line="360" w:lineRule="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40"/>
        <w:ind w:firstLine="480"/>
        <w:spacing w:line="360" w:lineRule="auto"/>
        <w:tabs>
          <w:tab w:val="left" w:pos="945" w:leader="none"/>
          <w:tab w:val="left" w:pos="2100" w:leader="none"/>
        </w:tabs>
        <w:rPr>
          <w:rFonts w:ascii="宋体"/>
          <w:bCs/>
          <w:color w:val="000000"/>
          <w:sz w:val="24"/>
          <w:szCs w:val="24"/>
          <w:highlight w:val="none"/>
        </w:rPr>
      </w:pPr>
      <w:r>
        <w:rPr>
          <w:rFonts w:hint="eastAsia" w:ascii="宋体" w:hAnsi="宋体"/>
          <w:bCs/>
          <w:color w:val="000000"/>
          <w:sz w:val="24"/>
          <w:highlight w:val="none"/>
        </w:rPr>
        <w:t xml:space="preserve">逾期退还履约保证金的违约责任：</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bCs/>
          <w:color w:val="000000"/>
          <w:sz w:val="24"/>
          <w:szCs w:val="24"/>
          <w:highlight w:val="none"/>
        </w:rPr>
      </w:r>
      <w:r/>
    </w:p>
    <w:p>
      <w:pPr>
        <w:pStyle w:val="940"/>
        <w:ind w:left="525"/>
        <w:spacing w:line="360" w:lineRule="auto"/>
        <w:tabs>
          <w:tab w:val="left" w:pos="0" w:leader="none"/>
          <w:tab w:val="left" w:pos="855" w:leader="none"/>
          <w:tab w:val="left" w:pos="1365" w:leader="none"/>
        </w:tabs>
        <w:rPr>
          <w:rFonts w:ascii="宋体"/>
          <w:bCs/>
          <w:color w:val="000000"/>
          <w:sz w:val="24"/>
          <w:szCs w:val="24"/>
          <w:highlight w:val="none"/>
        </w:rPr>
      </w:pPr>
      <w:r>
        <w:rPr>
          <w:rFonts w:hint="eastAsia" w:ascii="宋体" w:hAnsi="宋体"/>
          <w:bCs/>
          <w:color w:val="000000"/>
          <w:sz w:val="24"/>
          <w:szCs w:val="24"/>
          <w:highlight w:val="none"/>
        </w:rPr>
        <w:t xml:space="preserve">（三）知识产权</w:t>
      </w:r>
      <w:r>
        <w:rPr>
          <w:rFonts w:ascii="宋体"/>
          <w:bCs/>
          <w:color w:val="000000"/>
          <w:sz w:val="24"/>
          <w:szCs w:val="24"/>
          <w:highlight w:val="none"/>
        </w:rPr>
      </w:r>
      <w:r/>
    </w:p>
    <w:p>
      <w:pPr>
        <w:pStyle w:val="940"/>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color w:val="000000"/>
          <w:sz w:val="24"/>
          <w:szCs w:val="24"/>
          <w:highlight w:val="none"/>
        </w:rPr>
      </w:r>
      <w:r/>
    </w:p>
    <w:p>
      <w:pPr>
        <w:pStyle w:val="940"/>
        <w:ind w:left="521"/>
        <w:spacing w:line="360" w:lineRule="auto"/>
        <w:tabs>
          <w:tab w:val="left" w:pos="735" w:leader="none"/>
          <w:tab w:val="left" w:pos="855" w:leader="none"/>
        </w:tabs>
        <w:rPr>
          <w:rFonts w:ascii="宋体"/>
          <w:bCs/>
          <w:color w:val="000000"/>
          <w:sz w:val="24"/>
          <w:szCs w:val="24"/>
          <w:highlight w:val="none"/>
        </w:rPr>
      </w:pPr>
      <w:r>
        <w:rPr>
          <w:rFonts w:hint="eastAsia" w:ascii="宋体" w:hAnsi="宋体"/>
          <w:bCs/>
          <w:color w:val="000000"/>
          <w:sz w:val="24"/>
          <w:szCs w:val="24"/>
          <w:highlight w:val="none"/>
        </w:rPr>
        <w:t xml:space="preserve">（四）质量要求与检验：</w:t>
      </w:r>
      <w:r>
        <w:rPr>
          <w:rFonts w:ascii="宋体"/>
          <w:bCs/>
          <w:color w:val="000000"/>
          <w:sz w:val="24"/>
          <w:szCs w:val="24"/>
          <w:highlight w:val="none"/>
        </w:rPr>
      </w:r>
      <w:r/>
    </w:p>
    <w:p>
      <w:pPr>
        <w:pStyle w:val="940"/>
        <w:ind w:firstLine="520"/>
        <w:spacing w:line="360" w:lineRule="auto"/>
        <w:tabs>
          <w:tab w:val="left" w:pos="525" w:leader="none"/>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1.供方应严格按照招标文件的有关规定和供方投标文件提供合格的货物及服务。</w:t>
      </w:r>
      <w:r>
        <w:rPr>
          <w:rFonts w:ascii="宋体"/>
          <w:bCs/>
          <w:color w:val="000000"/>
          <w:sz w:val="24"/>
          <w:szCs w:val="24"/>
          <w:highlight w:val="none"/>
        </w:rPr>
      </w:r>
      <w:r/>
    </w:p>
    <w:p>
      <w:pPr>
        <w:pStyle w:val="940"/>
        <w:ind w:firstLine="520"/>
        <w:spacing w:line="360" w:lineRule="auto"/>
        <w:tabs>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color w:val="000000"/>
          <w:sz w:val="24"/>
          <w:szCs w:val="24"/>
          <w:highlight w:val="none"/>
        </w:rPr>
      </w:r>
      <w:r/>
    </w:p>
    <w:p>
      <w:pPr>
        <w:pStyle w:val="940"/>
        <w:ind w:firstLine="520"/>
        <w:spacing w:line="360" w:lineRule="auto"/>
        <w:tabs>
          <w:tab w:val="left" w:pos="420" w:leader="none"/>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3.货物的到货验收包括：数量、外观、质量、性能、随机备件、装箱单、质量证书等随机资料及包装完整无破损。</w:t>
      </w:r>
      <w:r>
        <w:rPr>
          <w:rFonts w:ascii="宋体"/>
          <w:bCs/>
          <w:color w:val="000000"/>
          <w:sz w:val="24"/>
          <w:szCs w:val="24"/>
          <w:highlight w:val="none"/>
        </w:rPr>
      </w:r>
      <w:r/>
    </w:p>
    <w:p>
      <w:pPr>
        <w:pStyle w:val="940"/>
        <w:ind w:firstLine="520"/>
        <w:spacing w:line="360" w:lineRule="auto"/>
        <w:tabs>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4.货物和系统调试验收标准：按行业通行标准、厂方出厂标准、招标文件要求和供方投标文件的承诺，并不低于国家相关标准。</w:t>
      </w:r>
      <w:r>
        <w:rPr>
          <w:rFonts w:ascii="宋体"/>
          <w:bCs/>
          <w:color w:val="000000"/>
          <w:sz w:val="24"/>
          <w:szCs w:val="24"/>
          <w:highlight w:val="none"/>
        </w:rPr>
      </w:r>
      <w:r/>
    </w:p>
    <w:p>
      <w:pPr>
        <w:pStyle w:val="940"/>
        <w:ind w:firstLine="520"/>
        <w:spacing w:line="360" w:lineRule="auto"/>
        <w:tabs>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5.货物运到需方指定地点并经需方验证签收后，由于需方保管不善造成的质量问题，供方应负责修理，但有关费用由需方承担。</w:t>
      </w:r>
      <w:r>
        <w:rPr>
          <w:rFonts w:ascii="宋体"/>
          <w:bCs/>
          <w:color w:val="000000"/>
          <w:sz w:val="24"/>
          <w:szCs w:val="24"/>
          <w:highlight w:val="none"/>
        </w:rPr>
      </w:r>
      <w:r/>
    </w:p>
    <w:p>
      <w:pPr>
        <w:pStyle w:val="940"/>
        <w:ind w:firstLine="520"/>
        <w:spacing w:line="360" w:lineRule="auto"/>
        <w:tabs>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ascii="宋体"/>
          <w:bCs/>
          <w:color w:val="000000"/>
          <w:sz w:val="24"/>
          <w:szCs w:val="24"/>
          <w:highlight w:val="none"/>
        </w:rPr>
      </w:r>
      <w:r/>
    </w:p>
    <w:p>
      <w:pPr>
        <w:pStyle w:val="940"/>
        <w:ind w:firstLine="520"/>
        <w:spacing w:line="360" w:lineRule="auto"/>
        <w:tabs>
          <w:tab w:val="left" w:pos="105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rPr>
          <w:rFonts w:ascii="宋体"/>
          <w:bCs/>
          <w:color w:val="000000"/>
          <w:sz w:val="24"/>
          <w:szCs w:val="24"/>
          <w:highlight w:val="none"/>
        </w:rPr>
      </w:r>
      <w:r/>
    </w:p>
    <w:p>
      <w:pPr>
        <w:pStyle w:val="940"/>
        <w:ind w:left="-2" w:firstLine="52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（五）交货条件：</w:t>
      </w:r>
      <w:r>
        <w:rPr>
          <w:rFonts w:ascii="宋体"/>
          <w:bCs/>
          <w:color w:val="000000"/>
          <w:sz w:val="24"/>
          <w:szCs w:val="24"/>
          <w:highlight w:val="none"/>
        </w:rPr>
      </w:r>
      <w:r/>
    </w:p>
    <w:p>
      <w:pPr>
        <w:pStyle w:val="940"/>
        <w:ind w:firstLine="520"/>
        <w:spacing w:line="360" w:lineRule="auto"/>
        <w:tabs>
          <w:tab w:val="left" w:pos="42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1.交货日期（或完工期）：</w:t>
      </w:r>
      <w:r>
        <w:rPr>
          <w:rFonts w:ascii="宋体"/>
          <w:bCs/>
          <w:color w:val="000000"/>
          <w:sz w:val="24"/>
          <w:szCs w:val="24"/>
          <w:highlight w:val="none"/>
        </w:rPr>
      </w:r>
      <w:r/>
    </w:p>
    <w:p>
      <w:pPr>
        <w:pStyle w:val="940"/>
        <w:ind w:firstLine="520"/>
        <w:spacing w:line="360" w:lineRule="auto"/>
        <w:tabs>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2.供方在验收时应先用信函、传真、电子邮件等书面方式通知需方。</w:t>
      </w:r>
      <w:r>
        <w:rPr>
          <w:rFonts w:ascii="宋体"/>
          <w:bCs/>
          <w:color w:val="000000"/>
          <w:sz w:val="24"/>
          <w:szCs w:val="24"/>
          <w:highlight w:val="none"/>
        </w:rPr>
      </w:r>
      <w:r/>
    </w:p>
    <w:p>
      <w:pPr>
        <w:pStyle w:val="940"/>
        <w:ind w:firstLine="520"/>
        <w:spacing w:line="360" w:lineRule="auto"/>
        <w:tabs>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color w:val="000000"/>
          <w:sz w:val="24"/>
          <w:szCs w:val="24"/>
          <w:highlight w:val="none"/>
        </w:rPr>
      </w:r>
      <w:r/>
    </w:p>
    <w:p>
      <w:pPr>
        <w:pStyle w:val="940"/>
        <w:ind w:firstLine="520"/>
        <w:spacing w:line="360" w:lineRule="auto"/>
        <w:tabs>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4.货物交货时，所有货物必须带有货物质量检验合格证书、中文质保单、装箱单、中文货物安装使用说明书。</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附件所有部件必须原包装。</w:t>
      </w:r>
      <w:r>
        <w:rPr>
          <w:rFonts w:ascii="宋体"/>
          <w:bCs/>
          <w:color w:val="000000"/>
          <w:sz w:val="24"/>
          <w:szCs w:val="24"/>
          <w:highlight w:val="none"/>
        </w:rPr>
      </w:r>
      <w:r/>
    </w:p>
    <w:p>
      <w:pPr>
        <w:pStyle w:val="940"/>
        <w:ind w:left="2" w:firstLine="52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5.运输及到货地点：由供方负责办理运输并承担所有费用，直接送到需方指定地点，即：以合同书上的地点为准。</w:t>
      </w:r>
      <w:r>
        <w:rPr>
          <w:rFonts w:ascii="宋体"/>
          <w:bCs/>
          <w:color w:val="000000"/>
          <w:sz w:val="24"/>
          <w:szCs w:val="24"/>
          <w:highlight w:val="none"/>
        </w:rPr>
      </w:r>
      <w:r/>
    </w:p>
    <w:p>
      <w:pPr>
        <w:pStyle w:val="940"/>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（六）安装调试及售后服务：</w:t>
      </w:r>
      <w:r>
        <w:rPr>
          <w:rFonts w:asci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965" w:leader="none"/>
        </w:tabs>
        <w:rPr>
          <w:rFonts w:ascii="宋体"/>
          <w:bCs/>
          <w:color w:val="000000"/>
          <w:sz w:val="24"/>
          <w:szCs w:val="24"/>
          <w:highlight w:val="none"/>
        </w:rPr>
      </w:pPr>
      <w:r>
        <w:rPr>
          <w:rFonts w:hint="eastAsia" w:ascii="宋体" w:hAnsi="宋体"/>
          <w:bCs/>
          <w:color w:val="000000"/>
          <w:sz w:val="24"/>
          <w:szCs w:val="24"/>
          <w:highlight w:val="none"/>
        </w:rPr>
        <w:t xml:space="preserve">1.供方负责本项目的安装和调试，并保证其提供的货物符合国家、行业、地方、招投标文件及合同规定的质量、性能和标准，并正确且安全地安装。</w:t>
      </w:r>
      <w:r>
        <w:rPr>
          <w:rFonts w:asci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none"/>
        </w:rPr>
      </w:pPr>
      <w:r>
        <w:rPr>
          <w:rFonts w:hint="eastAsia" w:ascii="宋体" w:hAnsi="宋体"/>
          <w:bCs/>
          <w:color w:val="000000"/>
          <w:sz w:val="24"/>
          <w:szCs w:val="24"/>
          <w:highlight w:val="none"/>
        </w:rPr>
        <w:t xml:space="preserve">2.供方提供的服务全部按照国家有关法律法规规章和“三包”规定以及按招标文件要求和供方投标文件中的承诺执行。</w:t>
      </w:r>
      <w:r>
        <w:rPr>
          <w:rFonts w:asci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none"/>
        </w:rPr>
      </w:pPr>
      <w:r>
        <w:rPr>
          <w:rFonts w:hint="eastAsia" w:ascii="宋体" w:hAnsi="宋体"/>
          <w:bCs/>
          <w:color w:val="000000"/>
          <w:sz w:val="24"/>
          <w:szCs w:val="24"/>
          <w:highlight w:val="none"/>
        </w:rPr>
        <w:t xml:space="preserve">3.质保期后的货物维护由双方协商再定。</w:t>
      </w:r>
      <w:r>
        <w:rPr>
          <w:rFonts w:asci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none"/>
        </w:rPr>
      </w:pPr>
      <w:r>
        <w:rPr>
          <w:rFonts w:hint="eastAsia" w:ascii="宋体" w:hAnsi="宋体"/>
          <w:bCs/>
          <w:color w:val="000000"/>
          <w:sz w:val="24"/>
          <w:szCs w:val="24"/>
          <w:highlight w:val="none"/>
        </w:rPr>
        <w:t xml:space="preserve">4.需方应向供方现场调试的技术人员及维修人员提供方便条件，有关费用由供方负责。</w:t>
      </w:r>
      <w:r>
        <w:rPr>
          <w:rFonts w:asci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5.需方如要求供方提供招标文件及供方投标文件以外的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服务，其费用另定。</w:t>
      </w:r>
      <w:r>
        <w:rPr>
          <w:rFonts w:hint="eastAsia" w:ascii="宋体" w:hAnsi="宋体"/>
          <w:bCs/>
          <w:color w:val="000000"/>
          <w:sz w:val="24"/>
          <w:szCs w:val="24"/>
          <w:highlight w:val="none"/>
        </w:rPr>
      </w:r>
      <w:r/>
    </w:p>
    <w:p>
      <w:pPr>
        <w:pStyle w:val="940"/>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none"/>
          <w:lang w:val="en-US"/>
        </w:rPr>
      </w:pPr>
      <w:r>
        <w:rPr>
          <w:rFonts w:hint="eastAsia" w:ascii="宋体" w:hAnsi="宋体"/>
          <w:bCs/>
          <w:color w:val="000000"/>
          <w:sz w:val="24"/>
          <w:szCs w:val="24"/>
          <w:highlight w:val="none"/>
          <w:lang w:val="en-US" w:eastAsia="zh-CN"/>
        </w:rPr>
        <w:t xml:space="preserve">6.履约验收按照《江苏省政府采购履约验收管理办法》（苏财规〔2024〕7号）相关规定执行。</w:t>
      </w:r>
      <w:r>
        <w:rPr>
          <w:rFonts w:ascii="宋体"/>
          <w:bCs/>
          <w:color w:val="000000"/>
          <w:sz w:val="24"/>
          <w:szCs w:val="24"/>
          <w:highlight w:val="none"/>
          <w:lang w:val="en-US"/>
        </w:rPr>
      </w:r>
      <w:r/>
    </w:p>
    <w:p>
      <w:pPr>
        <w:pStyle w:val="940"/>
        <w:ind w:firstLine="480"/>
        <w:jc w:val="left"/>
        <w:spacing w:line="360" w:lineRule="auto"/>
        <w:widowControl/>
        <w:rPr>
          <w:rFonts w:ascii="宋体" w:hAnsi="宋体"/>
          <w:color w:val="000000"/>
          <w:sz w:val="24"/>
          <w:highlight w:val="none"/>
          <w:lang w:bidi="ar"/>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七</w:t>
      </w:r>
      <w:r>
        <w:rPr>
          <w:rFonts w:hint="eastAsia" w:ascii="宋体" w:hAnsi="宋体"/>
          <w:color w:val="000000"/>
          <w:sz w:val="24"/>
          <w:highlight w:val="none"/>
          <w:lang w:eastAsia="zh-CN"/>
        </w:rPr>
        <w:t xml:space="preserve">）</w:t>
      </w:r>
      <w:r>
        <w:rPr>
          <w:rFonts w:ascii="宋体" w:hAnsi="宋体"/>
          <w:color w:val="000000"/>
          <w:sz w:val="24"/>
          <w:highlight w:val="none"/>
          <w:lang w:bidi="ar"/>
        </w:rPr>
        <w:t xml:space="preserve">履约验收</w:t>
      </w:r>
      <w:r>
        <w:rPr>
          <w:rFonts w:hint="eastAsia" w:ascii="宋体" w:hAnsi="宋体"/>
          <w:color w:val="000000"/>
          <w:sz w:val="24"/>
          <w:highlight w:val="none"/>
          <w:lang w:bidi="ar"/>
        </w:rPr>
        <w:t xml:space="preserve">：</w:t>
      </w:r>
      <w:r>
        <w:rPr>
          <w:rFonts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4.1验收组织方式：自行组织</w:t>
      </w:r>
      <w:r>
        <w:rPr>
          <w:rFonts w:hint="eastAsia"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4.2验收主体：</w:t>
      </w:r>
      <w:r>
        <w:rPr>
          <w:rFonts w:hint="eastAsia" w:ascii="宋体" w:hAnsi="宋体" w:eastAsia="宋体" w:cs="Times New Roman"/>
          <w:color w:val="000000"/>
          <w:sz w:val="24"/>
          <w:highlight w:val="none"/>
          <w:lang w:eastAsia="zh-CN" w:bidi="ar"/>
        </w:rPr>
        <w:t xml:space="preserve">无锡市惠山区人民政府办公室</w:t>
      </w:r>
      <w:r>
        <w:rPr>
          <w:rFonts w:hint="eastAsia"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4.3履约验收时间：202</w:t>
      </w:r>
      <w:r>
        <w:rPr>
          <w:rFonts w:hint="eastAsia" w:ascii="宋体" w:hAnsi="宋体"/>
          <w:color w:val="000000"/>
          <w:sz w:val="24"/>
          <w:highlight w:val="none"/>
          <w:lang w:val="en-US" w:eastAsia="zh-CN" w:bidi="ar"/>
        </w:rPr>
        <w:t xml:space="preserve">5</w:t>
      </w:r>
      <w:r>
        <w:rPr>
          <w:rFonts w:hint="eastAsia"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  </w:t>
      </w:r>
      <w:r>
        <w:rPr>
          <w:rFonts w:hint="eastAsia" w:ascii="宋体" w:hAnsi="宋体"/>
          <w:color w:val="000000"/>
          <w:sz w:val="24"/>
          <w:highlight w:val="none"/>
          <w:lang w:bidi="ar"/>
        </w:rPr>
        <w:t xml:space="preserve">月</w:t>
      </w:r>
      <w:r>
        <w:rPr>
          <w:rFonts w:hint="eastAsia"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4.4履约验收方式：一次性验收</w:t>
      </w:r>
      <w:r>
        <w:rPr>
          <w:rFonts w:hint="eastAsia"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4.5履约验收程序：依照《江苏省政府采购履约验收管理办法》（苏财规〔2024〕7号）相关规定执行。</w:t>
      </w:r>
      <w:r>
        <w:rPr>
          <w:rFonts w:hint="eastAsia" w:ascii="宋体" w:hAnsi="宋体"/>
          <w:color w:val="000000"/>
          <w:sz w:val="24"/>
          <w:highlight w:val="none"/>
          <w:lang w:bidi="ar"/>
        </w:rPr>
      </w:r>
      <w:r/>
    </w:p>
    <w:p>
      <w:pPr>
        <w:pStyle w:val="940"/>
        <w:ind w:firstLine="480"/>
        <w:jc w:val="left"/>
        <w:spacing w:line="360" w:lineRule="auto"/>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4.6履约验收内容：依照采购文件执行</w:t>
      </w:r>
      <w:r>
        <w:rPr>
          <w:rFonts w:hint="eastAsia" w:ascii="宋体" w:hAnsi="宋体"/>
          <w:color w:val="000000"/>
          <w:sz w:val="24"/>
          <w:highlight w:val="none"/>
          <w:lang w:bidi="ar"/>
        </w:rPr>
      </w:r>
      <w:r/>
    </w:p>
    <w:p>
      <w:pPr>
        <w:pStyle w:val="940"/>
        <w:ind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olor w:val="000000"/>
          <w:sz w:val="24"/>
          <w:highlight w:val="none"/>
          <w:lang w:bidi="ar"/>
        </w:rPr>
        <w:t xml:space="preserve">4.7履约验收标准：</w:t>
      </w:r>
      <w:r>
        <w:rPr>
          <w:rFonts w:hint="eastAsia" w:ascii="宋体" w:hAnsi="宋体" w:eastAsia="宋体" w:cs="宋体"/>
          <w:bCs w:val="0"/>
          <w:color w:val="000000"/>
          <w:sz w:val="24"/>
          <w:highlight w:val="none"/>
          <w:lang w:eastAsia="zh-CN"/>
        </w:rPr>
        <w:t xml:space="preserve">合格，符合采购人需求</w:t>
      </w:r>
      <w:r>
        <w:rPr>
          <w:rFonts w:hint="eastAsia" w:hAnsi="宋体"/>
          <w:bCs/>
          <w:color w:val="000000"/>
          <w:sz w:val="24"/>
          <w:highlight w:val="none"/>
        </w:rPr>
        <w:t xml:space="preserve">。</w:t>
      </w:r>
      <w:r>
        <w:rPr>
          <w:rFonts w:hint="eastAsia" w:ascii="宋体" w:hAnsi="宋体" w:eastAsia="宋体" w:cs="宋体"/>
          <w:color w:val="000000"/>
          <w:sz w:val="24"/>
          <w:highlight w:val="none"/>
        </w:rPr>
      </w:r>
      <w:r/>
    </w:p>
    <w:p>
      <w:pPr>
        <w:pStyle w:val="940"/>
        <w:ind w:firstLine="36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八</w:t>
      </w:r>
      <w:r>
        <w:rPr>
          <w:rFonts w:hint="eastAsia" w:ascii="宋体" w:hAnsi="宋体"/>
          <w:bCs/>
          <w:color w:val="000000"/>
          <w:sz w:val="24"/>
          <w:szCs w:val="24"/>
          <w:highlight w:val="none"/>
        </w:rPr>
        <w:t xml:space="preserve">）违约责任：</w:t>
      </w:r>
      <w:r>
        <w:rPr>
          <w:rFonts w:ascii="宋体"/>
          <w:bCs/>
          <w:color w:val="000000"/>
          <w:sz w:val="24"/>
          <w:szCs w:val="24"/>
          <w:highlight w:val="none"/>
        </w:rPr>
      </w:r>
      <w:r/>
    </w:p>
    <w:p>
      <w:pPr>
        <w:pStyle w:val="940"/>
        <w:ind w:firstLine="480"/>
        <w:spacing w:line="360" w:lineRule="auto"/>
        <w:tabs>
          <w:tab w:val="left" w:pos="0"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bCs/>
          <w:color w:val="000000"/>
          <w:sz w:val="24"/>
          <w:szCs w:val="24"/>
          <w:highlight w:val="none"/>
        </w:rPr>
      </w:r>
      <w:r/>
    </w:p>
    <w:p>
      <w:pPr>
        <w:pStyle w:val="940"/>
        <w:ind w:firstLine="480"/>
        <w:spacing w:line="360" w:lineRule="auto"/>
        <w:tabs>
          <w:tab w:val="left" w:pos="0"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3.需方无正当理由逾期付款时，每逾期一日，需方应按照逾期付款金额的万分之五的标准累计计算向供方支付违约金。</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4.由于需方的原因要求延期交货，需方应按规定承付货款，并承担供方提供的代为保管费。（有关仓储规定另议）</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bCs/>
          <w:color w:val="000000"/>
          <w:sz w:val="24"/>
          <w:szCs w:val="24"/>
          <w:highlight w:val="none"/>
        </w:rPr>
      </w:r>
      <w:r/>
    </w:p>
    <w:p>
      <w:pPr>
        <w:pStyle w:val="940"/>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8.招标文件及合同中所述之“不可抗力”系指不可预见、不可避免、不可克服的事件，包括但不限于：战争、洪水、台风、地震及其他法律、法规规定的事件。</w:t>
      </w:r>
      <w:r>
        <w:rPr>
          <w:rFonts w:ascii="宋体"/>
          <w:bCs/>
          <w:color w:val="000000"/>
          <w:sz w:val="24"/>
          <w:szCs w:val="24"/>
          <w:highlight w:val="none"/>
        </w:rPr>
      </w:r>
      <w:r/>
    </w:p>
    <w:p>
      <w:pPr>
        <w:pStyle w:val="940"/>
        <w:ind w:firstLine="36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九</w:t>
      </w:r>
      <w:r>
        <w:rPr>
          <w:rFonts w:hint="eastAsia" w:ascii="宋体" w:hAnsi="宋体"/>
          <w:bCs/>
          <w:color w:val="000000"/>
          <w:sz w:val="24"/>
          <w:szCs w:val="24"/>
          <w:highlight w:val="none"/>
        </w:rPr>
        <w:t xml:space="preserve">）合同生效</w:t>
      </w:r>
      <w:r>
        <w:rPr>
          <w:rFonts w:hint="eastAsia" w:ascii="宋体" w:hAnsi="宋体"/>
          <w:bCs/>
          <w:color w:val="000000"/>
          <w:sz w:val="24"/>
          <w:szCs w:val="24"/>
          <w:highlight w:val="none"/>
          <w:lang w:eastAsia="zh-CN"/>
        </w:rPr>
        <w:t xml:space="preserve">及其他</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40"/>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1.合同经供需双方代表签字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盖章并</w:t>
      </w:r>
      <w:r>
        <w:rPr>
          <w:rFonts w:ascii="宋体" w:hAnsi="宋体" w:eastAsia="宋体" w:cs="宋体"/>
          <w:color w:val="000000"/>
          <w:sz w:val="24"/>
          <w:szCs w:val="24"/>
          <w:highlight w:val="none"/>
          <w:lang w:val="en-US" w:eastAsia="zh-CN" w:bidi="ar"/>
        </w:rPr>
        <w:t xml:space="preserve">见证单位完成盖章</w:t>
      </w:r>
      <w:r>
        <w:rPr>
          <w:rFonts w:hint="eastAsia" w:hAnsi="宋体" w:cs="宋体"/>
          <w:color w:val="000000"/>
          <w:sz w:val="24"/>
          <w:highlight w:val="none"/>
        </w:rPr>
        <w:t xml:space="preserve">后生效</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40"/>
        <w:ind w:firstLine="480"/>
        <w:spacing w:line="360" w:lineRule="auto"/>
        <w:tabs>
          <w:tab w:val="left" w:pos="0" w:leader="none"/>
          <w:tab w:val="left" w:pos="525" w:leader="none"/>
          <w:tab w:val="left" w:pos="741" w:leader="none"/>
          <w:tab w:val="left" w:pos="945" w:leader="none"/>
        </w:tabs>
        <w:rPr>
          <w:rFonts w:ascii="宋体"/>
          <w:color w:val="000000"/>
          <w:sz w:val="24"/>
          <w:szCs w:val="24"/>
          <w:highlight w:val="none"/>
        </w:rPr>
      </w:pPr>
      <w:r>
        <w:rPr>
          <w:rFonts w:hint="eastAsia" w:ascii="宋体" w:hAnsi="宋体"/>
          <w:bCs/>
          <w:color w:val="000000"/>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由供需双方协商处理，若协商不成，</w:t>
      </w:r>
      <w:r>
        <w:rPr>
          <w:rFonts w:hint="eastAsia" w:ascii="宋体" w:hAnsi="宋体"/>
          <w:bCs/>
          <w:color w:val="000000"/>
          <w:sz w:val="24"/>
          <w:szCs w:val="24"/>
          <w:highlight w:val="none"/>
        </w:rPr>
        <w:t xml:space="preserve">可选择以下方式处理：</w:t>
      </w:r>
      <w:r>
        <w:rPr>
          <w:rFonts w:ascii="宋体"/>
          <w:color w:val="000000"/>
          <w:sz w:val="24"/>
          <w:szCs w:val="24"/>
          <w:highlight w:val="none"/>
        </w:rPr>
      </w:r>
      <w:r/>
    </w:p>
    <w:p>
      <w:pPr>
        <w:pStyle w:val="940"/>
        <w:ind w:firstLine="480"/>
        <w:spacing w:line="360" w:lineRule="auto"/>
        <w:tabs>
          <w:tab w:val="left" w:pos="525" w:leader="none"/>
          <w:tab w:val="left" w:pos="945" w:leader="none"/>
        </w:tabs>
        <w:rPr>
          <w:rFonts w:ascii="宋体"/>
          <w:color w:val="000000"/>
          <w:sz w:val="24"/>
          <w:szCs w:val="24"/>
          <w:highlight w:val="none"/>
        </w:rPr>
      </w:pPr>
      <w:r>
        <w:rPr>
          <w:rFonts w:hint="eastAsia" w:ascii="宋体" w:hAnsi="宋体"/>
          <w:color w:val="000000"/>
          <w:sz w:val="24"/>
          <w:szCs w:val="24"/>
          <w:highlight w:val="none"/>
        </w:rPr>
        <w:t xml:space="preserve">（1）向无锡仲裁委员会申请仲裁。</w:t>
      </w:r>
      <w:r>
        <w:rPr>
          <w:rFonts w:ascii="宋体"/>
          <w:color w:val="000000"/>
          <w:sz w:val="24"/>
          <w:szCs w:val="24"/>
          <w:highlight w:val="none"/>
        </w:rPr>
      </w:r>
      <w:r/>
    </w:p>
    <w:p>
      <w:pPr>
        <w:pStyle w:val="940"/>
        <w:ind w:firstLine="480"/>
        <w:spacing w:line="360" w:lineRule="auto"/>
        <w:tabs>
          <w:tab w:val="left" w:pos="525" w:leader="none"/>
          <w:tab w:val="left" w:pos="945" w:leader="none"/>
        </w:tabs>
        <w:rPr>
          <w:rFonts w:ascii="宋体"/>
          <w:color w:val="000000"/>
          <w:sz w:val="24"/>
          <w:szCs w:val="24"/>
          <w:highlight w:val="none"/>
        </w:rPr>
      </w:pPr>
      <w:r>
        <w:rPr>
          <w:rFonts w:hint="eastAsia" w:ascii="宋体" w:hAnsi="宋体"/>
          <w:color w:val="000000"/>
          <w:sz w:val="24"/>
          <w:szCs w:val="24"/>
          <w:highlight w:val="none"/>
        </w:rPr>
        <w:t xml:space="preserve">（2）向需方所在地法院提起诉讼。</w:t>
      </w:r>
      <w:r>
        <w:rPr>
          <w:rFonts w:ascii="宋体"/>
          <w:color w:val="000000"/>
          <w:sz w:val="24"/>
          <w:szCs w:val="24"/>
          <w:highlight w:val="none"/>
        </w:rPr>
      </w:r>
      <w:r/>
    </w:p>
    <w:p>
      <w:pPr>
        <w:pStyle w:val="940"/>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rPr>
          <w:rFonts w:ascii="宋体"/>
          <w:bCs/>
          <w:color w:val="000000"/>
          <w:sz w:val="24"/>
          <w:szCs w:val="24"/>
          <w:highlight w:val="none"/>
        </w:rPr>
      </w:r>
      <w:r/>
    </w:p>
    <w:p>
      <w:pPr>
        <w:pStyle w:val="940"/>
        <w:ind w:firstLine="480"/>
        <w:spacing w:line="360" w:lineRule="auto"/>
        <w:tabs>
          <w:tab w:val="left" w:pos="0" w:leader="none"/>
          <w:tab w:val="left" w:pos="525" w:leader="none"/>
          <w:tab w:val="left" w:pos="741" w:leader="none"/>
          <w:tab w:val="left" w:pos="945" w:leader="none"/>
        </w:tabs>
        <w:rPr>
          <w:rFonts w:ascii="宋体" w:hAnsi="宋体"/>
          <w:color w:val="000000"/>
          <w:sz w:val="24"/>
          <w:szCs w:val="24"/>
          <w:highlight w:val="none"/>
        </w:rPr>
      </w:pPr>
      <w:r>
        <w:rPr>
          <w:rFonts w:hint="eastAsia" w:ascii="宋体" w:hAnsi="宋体"/>
          <w:color w:val="000000"/>
          <w:sz w:val="24"/>
          <w:szCs w:val="24"/>
          <w:highlight w:val="none"/>
        </w:rPr>
        <w:t xml:space="preserve">4.合同中未有约定的按照有关的法律法规以及国家行业标准或技术文件规定予以解决。</w:t>
      </w:r>
      <w:r>
        <w:rPr>
          <w:rFonts w:ascii="宋体" w:hAnsi="宋体"/>
          <w:color w:val="000000"/>
          <w:sz w:val="24"/>
          <w:szCs w:val="24"/>
          <w:highlight w:val="none"/>
        </w:rPr>
      </w:r>
      <w:r/>
    </w:p>
    <w:p>
      <w:pPr>
        <w:pStyle w:val="940"/>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5.供需双方确认：对本合同条款及后果均已知悉，一致确认不存在欺诈、胁迫、乘人之危、重大误解、显失公平等任何可能导致合同无效或被撤销的情形。</w:t>
      </w:r>
      <w:r>
        <w:rPr>
          <w:rFonts w:asci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ind w:firstLine="480"/>
        <w:jc w:val="center"/>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940"/>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需方（采购人）：（签章）                   供方（中标方）：（签章）</w:t>
      </w:r>
      <w:r>
        <w:rPr>
          <w:rFonts w:ascii="宋体"/>
          <w:bCs/>
          <w:color w:val="000000"/>
          <w:sz w:val="24"/>
          <w:szCs w:val="24"/>
          <w:highlight w:val="none"/>
          <w:u w:val="single"/>
        </w:rPr>
      </w:r>
      <w:r/>
    </w:p>
    <w:p>
      <w:pPr>
        <w:pStyle w:val="94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法定（授权）代表人：                     法定（授权）代表人：</w:t>
      </w:r>
      <w:r>
        <w:rPr>
          <w:rFonts w:ascii="宋体" w:hAnsi="宋体"/>
          <w:bCs/>
          <w:color w:val="000000"/>
          <w:sz w:val="24"/>
          <w:szCs w:val="24"/>
          <w:highlight w:val="none"/>
        </w:rPr>
      </w:r>
      <w:r/>
    </w:p>
    <w:p>
      <w:pPr>
        <w:pStyle w:val="940"/>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地址：                                   地址：</w:t>
      </w:r>
      <w:r>
        <w:rPr>
          <w:rFonts w:ascii="宋体" w:hAnsi="宋体"/>
          <w:bCs/>
          <w:color w:val="000000"/>
          <w:sz w:val="24"/>
          <w:szCs w:val="24"/>
          <w:highlight w:val="none"/>
          <w:u w:val="single"/>
        </w:rPr>
      </w:r>
      <w:r/>
    </w:p>
    <w:p>
      <w:pPr>
        <w:pStyle w:val="940"/>
        <w:ind w:firstLine="480"/>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年    月    日                           年      月       日</w:t>
      </w:r>
      <w:r>
        <w:rPr>
          <w:rFonts w:ascii="宋体"/>
          <w:bCs/>
          <w:color w:val="000000"/>
          <w:sz w:val="24"/>
          <w:szCs w:val="24"/>
          <w:highlight w:val="none"/>
          <w:u w:val="single"/>
        </w:rPr>
      </w:r>
      <w:r/>
    </w:p>
    <w:p>
      <w:pPr>
        <w:pStyle w:val="940"/>
        <w:ind w:firstLine="480"/>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供方户名：</w:t>
      </w:r>
      <w:r>
        <w:rPr>
          <w:rFonts w:ascii="宋体" w:hAnsi="宋体"/>
          <w:bCs/>
          <w:color w:val="000000"/>
          <w:sz w:val="24"/>
          <w:szCs w:val="24"/>
          <w:highlight w:val="none"/>
          <w:u w:val="single"/>
        </w:rPr>
      </w:r>
      <w:r/>
    </w:p>
    <w:p>
      <w:pPr>
        <w:pStyle w:val="940"/>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供方开户银行：</w:t>
      </w:r>
      <w:r>
        <w:rPr>
          <w:rFonts w:ascii="宋体" w:hAnsi="宋体"/>
          <w:bCs/>
          <w:color w:val="000000"/>
          <w:sz w:val="24"/>
          <w:szCs w:val="24"/>
          <w:highlight w:val="none"/>
          <w:u w:val="single"/>
        </w:rPr>
      </w:r>
      <w:r/>
    </w:p>
    <w:p>
      <w:pPr>
        <w:pStyle w:val="940"/>
        <w:ind w:firstLine="480"/>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                                     供方</w:t>
      </w:r>
      <w:r>
        <w:rPr>
          <w:rFonts w:hint="eastAsia" w:ascii="宋体" w:hAnsi="宋体"/>
          <w:bCs/>
          <w:color w:val="000000"/>
          <w:sz w:val="24"/>
          <w:szCs w:val="24"/>
          <w:highlight w:val="none"/>
          <w:lang w:eastAsia="zh-CN"/>
        </w:rPr>
        <w:t xml:space="preserve">账号</w:t>
      </w:r>
      <w:r>
        <w:rPr>
          <w:rFonts w:hint="eastAsia" w:ascii="宋体" w:hAnsi="宋体"/>
          <w:bCs/>
          <w:color w:val="000000"/>
          <w:sz w:val="24"/>
          <w:szCs w:val="24"/>
          <w:highlight w:val="none"/>
        </w:rPr>
        <w:t xml:space="preserve">：</w:t>
      </w:r>
      <w:r>
        <w:rPr>
          <w:rFonts w:ascii="宋体"/>
          <w:bCs/>
          <w:color w:val="000000"/>
          <w:sz w:val="24"/>
          <w:szCs w:val="24"/>
          <w:highlight w:val="none"/>
          <w:u w:val="single"/>
        </w:rPr>
      </w:r>
      <w:r/>
    </w:p>
    <w:p>
      <w:pPr>
        <w:pStyle w:val="94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40"/>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见证方：</w:t>
      </w:r>
      <w:r>
        <w:rPr>
          <w:rFonts w:hint="eastAsia" w:ascii="宋体" w:hAnsi="宋体"/>
          <w:bCs/>
          <w:color w:val="000000"/>
          <w:sz w:val="24"/>
          <w:highlight w:val="none"/>
          <w:lang w:eastAsia="zh-CN"/>
        </w:rPr>
        <w:t xml:space="preserve">北京建智达工程管理股份有限公司</w:t>
      </w:r>
      <w:r>
        <w:rPr>
          <w:rFonts w:hint="eastAsia" w:ascii="宋体" w:hAnsi="宋体"/>
          <w:bCs/>
          <w:color w:val="000000"/>
          <w:sz w:val="24"/>
          <w:szCs w:val="24"/>
          <w:highlight w:val="none"/>
        </w:rPr>
        <w:t xml:space="preserve">（签章）</w:t>
      </w:r>
      <w:r>
        <w:rPr>
          <w:rFonts w:hint="eastAsia" w:ascii="宋体" w:hAnsi="宋体" w:eastAsia="宋体"/>
          <w:color w:val="000000"/>
          <w:sz w:val="24"/>
          <w:highlight w:val="none"/>
          <w:lang w:eastAsia="zh-CN"/>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97"/>
        <w:rPr>
          <w:rFonts w:ascii="宋体" w:hAnsi="宋体"/>
          <w:bCs/>
          <w:color w:val="000000"/>
          <w:sz w:val="24"/>
          <w:szCs w:val="24"/>
          <w:highlight w:val="none"/>
        </w:rPr>
      </w:pPr>
      <w:r>
        <w:rPr>
          <w:rFonts w:ascii="宋体" w:hAnsi="宋体"/>
          <w:bCs/>
          <w:color w:val="000000"/>
          <w:sz w:val="24"/>
          <w:szCs w:val="24"/>
          <w:highlight w:val="none"/>
        </w:rPr>
      </w:r>
      <w:r/>
    </w:p>
    <w:p>
      <w:pPr>
        <w:pStyle w:val="940"/>
        <w:jc w:val="center"/>
        <w:spacing w:line="360" w:lineRule="auto"/>
        <w:rPr>
          <w:rFonts w:hint="eastAsia" w:ascii="宋体" w:hAnsi="宋体" w:cs="宋体"/>
          <w:b/>
          <w:color w:val="000000"/>
          <w:sz w:val="44"/>
          <w:szCs w:val="44"/>
          <w:highlight w:val="none"/>
        </w:rPr>
        <w:sectPr>
          <w:footnotePr/>
          <w:endnotePr/>
          <w:type w:val="nextPage"/>
          <w:pgSz w:w="11906" w:h="16838" w:orient="portrait"/>
          <w:pgMar w:top="1440" w:right="1440" w:bottom="1440" w:left="1440" w:header="624" w:footer="907" w:gutter="0"/>
          <w:pgNumType w:start="1"/>
          <w:cols w:num="1" w:sep="0" w:space="1701" w:equalWidth="1"/>
          <w:docGrid w:linePitch="360"/>
          <w:titlePg/>
        </w:sectPr>
        <w:outlineLvl w:val="0"/>
      </w:pPr>
      <w:r>
        <w:rPr>
          <w:rFonts w:hint="eastAsia" w:ascii="宋体" w:hAnsi="宋体" w:cs="宋体"/>
          <w:b/>
          <w:color w:val="000000"/>
          <w:sz w:val="44"/>
          <w:szCs w:val="44"/>
          <w:highlight w:val="none"/>
        </w:rPr>
      </w:r>
      <w:r/>
    </w:p>
    <w:p>
      <w:pPr>
        <w:pStyle w:val="940"/>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w:t>
      </w:r>
      <w:r>
        <w:rPr>
          <w:rFonts w:hint="eastAsia" w:ascii="宋体" w:hAnsi="宋体" w:cs="宋体"/>
          <w:b/>
          <w:color w:val="000000"/>
          <w:sz w:val="44"/>
          <w:szCs w:val="44"/>
          <w:highlight w:val="none"/>
          <w:lang w:val="en-US" w:eastAsia="zh-CN"/>
        </w:rPr>
        <w:t xml:space="preserve">部分</w:t>
      </w:r>
      <w:r>
        <w:rPr>
          <w:rFonts w:hint="eastAsia" w:ascii="宋体" w:hAnsi="宋体" w:cs="宋体"/>
          <w:b/>
          <w:color w:val="000000"/>
          <w:sz w:val="44"/>
          <w:szCs w:val="44"/>
          <w:highlight w:val="none"/>
        </w:rPr>
        <w:t xml:space="preserve">格式）</w:t>
      </w:r>
      <w:r>
        <w:rPr>
          <w:rFonts w:hint="eastAsia" w:ascii="宋体" w:hAnsi="宋体" w:cs="宋体"/>
          <w:b/>
          <w:color w:val="000000"/>
          <w:sz w:val="44"/>
          <w:szCs w:val="44"/>
          <w:highlight w:val="none"/>
        </w:rPr>
      </w:r>
      <w:r/>
    </w:p>
    <w:p>
      <w:pPr>
        <w:pStyle w:val="940"/>
        <w:spacing w:line="360" w:lineRule="auto"/>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940"/>
        <w:jc w:val="center"/>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rPr>
          <w:rFonts w:hint="eastAsia" w:hAnsi="宋体"/>
          <w:color w:val="000000"/>
          <w:sz w:val="24"/>
          <w:highlight w:val="none"/>
        </w:rPr>
      </w:r>
      <w:r/>
    </w:p>
    <w:p>
      <w:pPr>
        <w:pStyle w:val="940"/>
        <w:spacing w:before="4" w:line="460" w:lineRule="exact"/>
        <w:widowControl/>
        <w:rPr>
          <w:rFonts w:hint="eastAsia" w:hAnsi="宋体"/>
          <w:color w:val="000000"/>
          <w:sz w:val="24"/>
          <w:highlight w:val="none"/>
        </w:rPr>
      </w:pPr>
      <w:r>
        <w:rPr>
          <w:rFonts w:hint="eastAsia" w:hAnsi="宋体"/>
          <w:color w:val="000000"/>
          <w:sz w:val="24"/>
          <w:highlight w:val="none"/>
        </w:rPr>
      </w:r>
      <w:r/>
    </w:p>
    <w:p>
      <w:pPr>
        <w:pStyle w:val="940"/>
        <w:spacing w:before="4" w:line="460" w:lineRule="exact"/>
        <w:widowControl/>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致：</w:t>
      </w:r>
      <w:r>
        <w:rPr>
          <w:rFonts w:hint="eastAsia" w:ascii="宋体" w:hAnsi="宋体" w:eastAsia="宋体" w:cs="宋体"/>
          <w:color w:val="000000"/>
          <w:sz w:val="24"/>
          <w:szCs w:val="22"/>
          <w:highlight w:val="none"/>
          <w:lang w:eastAsia="zh-CN"/>
        </w:rPr>
        <w:t xml:space="preserve">北京建智达工程管理股份有限公司</w:t>
      </w:r>
      <w:r>
        <w:rPr>
          <w:rFonts w:hint="eastAsia" w:ascii="宋体" w:hAnsi="宋体" w:eastAsia="宋体" w:cs="宋体"/>
          <w:color w:val="000000"/>
          <w:sz w:val="24"/>
          <w:szCs w:val="22"/>
          <w:highlight w:val="none"/>
          <w:lang w:eastAsia="zh-CN"/>
        </w:rPr>
      </w:r>
      <w:r/>
    </w:p>
    <w:p>
      <w:pPr>
        <w:pStyle w:val="940"/>
        <w:ind w:firstLine="480"/>
        <w:spacing w:before="4" w:line="46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一、我们收到贵方采购编号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lang w:val="en-US" w:eastAsia="zh-CN"/>
        </w:rPr>
        <w:t xml:space="preserve">采购</w:t>
      </w:r>
      <w:r>
        <w:rPr>
          <w:rFonts w:hint="eastAsia" w:ascii="宋体" w:hAnsi="宋体" w:eastAsia="宋体" w:cs="宋体"/>
          <w:color w:val="000000"/>
          <w:sz w:val="24"/>
          <w:szCs w:val="22"/>
          <w:highlight w:val="none"/>
        </w:rPr>
        <w:t xml:space="preserve">文件，经仔细阅读和研究，我们决定参加此次</w:t>
      </w:r>
      <w:r>
        <w:rPr>
          <w:rFonts w:hint="eastAsia" w:ascii="宋体" w:hAnsi="宋体" w:eastAsia="宋体" w:cs="宋体"/>
          <w:color w:val="000000"/>
          <w:sz w:val="24"/>
          <w:szCs w:val="22"/>
          <w:highlight w:val="none"/>
          <w:u w:val="single"/>
          <w:lang w:val="en-US" w:eastAsia="zh-CN"/>
        </w:rPr>
        <w:t xml:space="preserve">              （项目名称）              </w:t>
      </w:r>
      <w:r>
        <w:rPr>
          <w:rFonts w:hint="eastAsia" w:ascii="宋体" w:hAnsi="宋体" w:eastAsia="宋体" w:cs="宋体"/>
          <w:color w:val="000000"/>
          <w:sz w:val="24"/>
          <w:szCs w:val="22"/>
          <w:highlight w:val="none"/>
        </w:rPr>
        <w:t xml:space="preserve">的投标。</w:t>
      </w:r>
      <w:r>
        <w:rPr>
          <w:rFonts w:hint="eastAsia" w:ascii="宋体" w:hAnsi="宋体" w:eastAsia="宋体" w:cs="宋体"/>
          <w:color w:val="000000"/>
          <w:sz w:val="24"/>
          <w:szCs w:val="22"/>
          <w:highlight w:val="none"/>
        </w:rPr>
      </w:r>
      <w:r/>
    </w:p>
    <w:p>
      <w:pPr>
        <w:pStyle w:val="1113"/>
        <w:ind w:left="0" w:firstLine="720"/>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color w:val="000000"/>
          <w:sz w:val="24"/>
          <w:szCs w:val="22"/>
          <w:highlight w:val="none"/>
        </w:rPr>
        <w:t xml:space="preserve">二、我方愿意提供</w:t>
      </w:r>
      <w:r>
        <w:rPr>
          <w:rFonts w:hint="eastAsia" w:ascii="宋体" w:hAnsi="宋体" w:eastAsia="宋体" w:cs="宋体"/>
          <w:color w:val="000000"/>
          <w:sz w:val="24"/>
          <w:szCs w:val="22"/>
          <w:highlight w:val="none"/>
          <w:lang w:eastAsia="zh-CN"/>
        </w:rPr>
        <w:t xml:space="preserve">北京建智达工程管理股份有限公司</w:t>
      </w:r>
      <w:r>
        <w:rPr>
          <w:rFonts w:hint="eastAsia" w:ascii="宋体" w:hAnsi="宋体" w:eastAsia="宋体" w:cs="宋体"/>
          <w:color w:val="000000"/>
          <w:sz w:val="24"/>
          <w:szCs w:val="22"/>
          <w:highlight w:val="none"/>
        </w:rPr>
        <w:t xml:space="preserve">在</w:t>
      </w:r>
      <w:r>
        <w:rPr>
          <w:rFonts w:hint="eastAsia" w:ascii="宋体" w:hAnsi="宋体" w:eastAsia="宋体" w:cs="宋体"/>
          <w:color w:val="000000"/>
          <w:sz w:val="24"/>
          <w:szCs w:val="22"/>
          <w:highlight w:val="none"/>
          <w:lang w:val="en-US" w:eastAsia="zh-CN"/>
        </w:rPr>
        <w:t xml:space="preserve">采购</w:t>
      </w:r>
      <w:r>
        <w:rPr>
          <w:rFonts w:hint="eastAsia" w:ascii="宋体" w:hAnsi="宋体" w:eastAsia="宋体" w:cs="宋体"/>
          <w:color w:val="000000"/>
          <w:sz w:val="24"/>
          <w:szCs w:val="22"/>
          <w:highlight w:val="none"/>
        </w:rPr>
        <w:t xml:space="preserve">文件中要求的文件、资料</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940"/>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三、我们同意</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lang w:val="en-US" w:eastAsia="zh-CN"/>
        </w:rPr>
        <w:t xml:space="preserve">采购</w:t>
      </w:r>
      <w:r>
        <w:rPr>
          <w:rFonts w:hint="eastAsia" w:ascii="宋体" w:hAnsi="宋体" w:eastAsia="宋体" w:cs="宋体"/>
          <w:bCs/>
          <w:color w:val="000000"/>
          <w:sz w:val="24"/>
          <w:highlight w:val="none"/>
        </w:rPr>
        <w:t xml:space="preserve">文件中的规定，本</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文件报价的有效期限为</w:t>
      </w:r>
      <w:r>
        <w:rPr>
          <w:rFonts w:hint="eastAsia" w:ascii="宋体" w:hAnsi="宋体" w:eastAsia="宋体" w:cs="宋体"/>
          <w:bCs/>
          <w:color w:val="000000"/>
          <w:sz w:val="24"/>
          <w:highlight w:val="none"/>
          <w:lang w:val="en-US" w:eastAsia="zh-CN"/>
        </w:rPr>
        <w:t xml:space="preserve">投标截止</w:t>
      </w:r>
      <w:r>
        <w:rPr>
          <w:rFonts w:hint="eastAsia" w:ascii="宋体" w:hAnsi="宋体" w:eastAsia="宋体" w:cs="宋体"/>
          <w:bCs/>
          <w:color w:val="000000"/>
          <w:sz w:val="24"/>
          <w:highlight w:val="none"/>
        </w:rPr>
        <w:t xml:space="preserve">之日起90天。</w:t>
      </w:r>
      <w:r>
        <w:rPr>
          <w:rFonts w:hint="eastAsia" w:ascii="宋体" w:hAnsi="宋体" w:eastAsia="宋体" w:cs="宋体"/>
          <w:bCs/>
          <w:color w:val="000000"/>
          <w:sz w:val="24"/>
          <w:highlight w:val="none"/>
        </w:rPr>
      </w:r>
      <w:r/>
    </w:p>
    <w:p>
      <w:pPr>
        <w:pStyle w:val="940"/>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四、我方同意</w:t>
      </w:r>
      <w:r>
        <w:rPr>
          <w:rFonts w:hint="eastAsia" w:ascii="宋体" w:hAnsi="宋体" w:cs="宋体"/>
          <w:color w:val="000000"/>
          <w:sz w:val="24"/>
          <w:highlight w:val="none"/>
          <w:lang w:eastAsia="zh-CN"/>
        </w:rPr>
        <w:t xml:space="preserve">按照</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文件中的规定期限内完成全部工作。</w:t>
      </w:r>
      <w:r>
        <w:rPr>
          <w:rFonts w:hint="eastAsia" w:ascii="宋体" w:hAnsi="宋体" w:eastAsia="宋体" w:cs="宋体"/>
          <w:bCs/>
          <w:color w:val="000000"/>
          <w:sz w:val="24"/>
          <w:highlight w:val="none"/>
        </w:rPr>
      </w:r>
      <w:r/>
    </w:p>
    <w:p>
      <w:pPr>
        <w:pStyle w:val="940"/>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五、如果我们的</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文件被接受，我们将履</w:t>
      </w:r>
      <w:r>
        <w:rPr>
          <w:rFonts w:hint="eastAsia" w:ascii="宋体" w:hAnsi="宋体" w:eastAsia="宋体" w:cs="宋体"/>
          <w:bCs/>
          <w:color w:val="000000"/>
          <w:sz w:val="24"/>
          <w:highlight w:val="none"/>
          <w:lang w:val="en-US" w:eastAsia="zh-CN"/>
        </w:rPr>
        <w:t xml:space="preserve">行采购</w:t>
      </w:r>
      <w:r>
        <w:rPr>
          <w:rFonts w:hint="eastAsia" w:ascii="宋体" w:hAnsi="宋体" w:eastAsia="宋体" w:cs="宋体"/>
          <w:bCs/>
          <w:color w:val="000000"/>
          <w:sz w:val="24"/>
          <w:highlight w:val="none"/>
        </w:rPr>
        <w:t xml:space="preserve">文件中规定的每一项要求，按期、按质、按量，完成任务。</w:t>
      </w:r>
      <w:r>
        <w:rPr>
          <w:rFonts w:hint="eastAsia" w:ascii="宋体" w:hAnsi="宋体" w:eastAsia="宋体" w:cs="宋体"/>
          <w:bCs/>
          <w:color w:val="000000"/>
          <w:sz w:val="24"/>
          <w:highlight w:val="none"/>
          <w:lang w:val="en-US" w:eastAsia="zh-CN"/>
        </w:rPr>
      </w:r>
      <w:r/>
    </w:p>
    <w:p>
      <w:pPr>
        <w:pStyle w:val="940"/>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六、我</w:t>
      </w:r>
      <w:r>
        <w:rPr>
          <w:rFonts w:hint="eastAsia" w:ascii="宋体" w:hAnsi="宋体" w:eastAsia="宋体" w:cs="宋体"/>
          <w:bCs/>
          <w:color w:val="000000"/>
          <w:sz w:val="24"/>
          <w:highlight w:val="none"/>
          <w:lang w:val="en-US" w:eastAsia="zh-CN"/>
        </w:rPr>
        <w:t xml:space="preserve">方</w:t>
      </w:r>
      <w:r>
        <w:rPr>
          <w:rFonts w:hint="eastAsia" w:ascii="宋体" w:hAnsi="宋体" w:eastAsia="宋体" w:cs="宋体"/>
          <w:bCs/>
          <w:color w:val="000000"/>
          <w:sz w:val="24"/>
          <w:highlight w:val="none"/>
        </w:rPr>
        <w:t xml:space="preserve">认为</w:t>
      </w:r>
      <w:r>
        <w:rPr>
          <w:rFonts w:hint="eastAsia" w:ascii="宋体" w:hAnsi="宋体" w:eastAsia="宋体" w:cs="宋体"/>
          <w:bCs/>
          <w:color w:val="000000"/>
          <w:sz w:val="24"/>
          <w:highlight w:val="none"/>
          <w:lang w:val="en-US" w:eastAsia="zh-CN"/>
        </w:rPr>
        <w:t xml:space="preserve">贵单位</w:t>
      </w:r>
      <w:r>
        <w:rPr>
          <w:rFonts w:hint="eastAsia" w:ascii="宋体" w:hAnsi="宋体" w:eastAsia="宋体" w:cs="宋体"/>
          <w:bCs/>
          <w:color w:val="000000"/>
          <w:sz w:val="24"/>
          <w:highlight w:val="none"/>
        </w:rPr>
        <w:t xml:space="preserve">有权决定</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者。</w:t>
      </w:r>
      <w:r>
        <w:rPr>
          <w:rFonts w:hint="eastAsia" w:ascii="宋体" w:hAnsi="宋体" w:eastAsia="宋体" w:cs="宋体"/>
          <w:bCs/>
          <w:color w:val="000000"/>
          <w:sz w:val="24"/>
          <w:highlight w:val="none"/>
        </w:rPr>
      </w:r>
      <w:r/>
    </w:p>
    <w:p>
      <w:pPr>
        <w:pStyle w:val="940"/>
        <w:ind w:firstLine="480"/>
        <w:spacing w:line="360" w:lineRule="auto"/>
        <w:tabs>
          <w:tab w:val="left" w:pos="525"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七、我方愿意遵守《中华人民共和国政府采购法》，并</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中华人民共和国民法典</w:t>
      </w:r>
      <w:r>
        <w:rPr>
          <w:rFonts w:hint="eastAsia" w:ascii="宋体" w:hAnsi="宋体" w:eastAsia="宋体" w:cs="宋体"/>
          <w:bCs/>
          <w:color w:val="000000"/>
          <w:sz w:val="24"/>
          <w:highlight w:val="none"/>
        </w:rPr>
        <w:t xml:space="preserve">》和合同条款履行自己的全部责任。在合同履行过程中，双方如有争议，按相关法规和有关文件规定处理。</w:t>
      </w:r>
      <w:r>
        <w:rPr>
          <w:rFonts w:hint="eastAsia" w:ascii="宋体" w:hAnsi="宋体" w:eastAsia="宋体" w:cs="宋体"/>
          <w:bCs/>
          <w:color w:val="000000"/>
          <w:sz w:val="24"/>
          <w:highlight w:val="none"/>
        </w:rPr>
      </w:r>
      <w:r/>
    </w:p>
    <w:p>
      <w:pPr>
        <w:pStyle w:val="940"/>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八、如果我方被确定为中标供应商，我方如无不可抗力，又未履行</w:t>
      </w:r>
      <w:r>
        <w:rPr>
          <w:rFonts w:hint="eastAsia" w:ascii="宋体" w:hAnsi="宋体" w:eastAsia="宋体" w:cs="宋体"/>
          <w:bCs/>
          <w:color w:val="000000"/>
          <w:sz w:val="24"/>
          <w:highlight w:val="none"/>
          <w:lang w:val="en-US" w:eastAsia="zh-CN"/>
        </w:rPr>
        <w:t xml:space="preserve">采购</w:t>
      </w:r>
      <w:r>
        <w:rPr>
          <w:rFonts w:hint="eastAsia" w:ascii="宋体" w:hAnsi="宋体" w:eastAsia="宋体" w:cs="宋体"/>
          <w:bCs/>
          <w:color w:val="000000"/>
          <w:sz w:val="24"/>
          <w:highlight w:val="none"/>
        </w:rPr>
        <w:t xml:space="preserve">文件、</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文件和合同条款的，一经查实，我方愿意赔偿由此而造成的一切损失，并同意接受按</w:t>
      </w:r>
      <w:r>
        <w:rPr>
          <w:rFonts w:hint="eastAsia" w:ascii="宋体" w:hAnsi="宋体" w:eastAsia="宋体" w:cs="宋体"/>
          <w:bCs/>
          <w:color w:val="000000"/>
          <w:sz w:val="24"/>
          <w:highlight w:val="none"/>
          <w:lang w:val="en-US" w:eastAsia="zh-CN"/>
        </w:rPr>
        <w:t xml:space="preserve">采购</w:t>
      </w:r>
      <w:r>
        <w:rPr>
          <w:rFonts w:hint="eastAsia" w:ascii="宋体" w:hAnsi="宋体" w:eastAsia="宋体" w:cs="宋体"/>
          <w:bCs/>
          <w:color w:val="000000"/>
          <w:sz w:val="24"/>
          <w:highlight w:val="none"/>
        </w:rPr>
        <w:t xml:space="preserve">文件的相关要求对我方进行的处理。</w:t>
      </w:r>
      <w:r>
        <w:rPr>
          <w:rFonts w:hint="eastAsia" w:ascii="宋体" w:hAnsi="宋体" w:eastAsia="宋体" w:cs="宋体"/>
          <w:bCs/>
          <w:color w:val="000000"/>
          <w:sz w:val="24"/>
          <w:highlight w:val="none"/>
        </w:rPr>
      </w:r>
      <w:r/>
    </w:p>
    <w:p>
      <w:pPr>
        <w:pStyle w:val="940"/>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40"/>
        <w:ind w:firstLine="480"/>
        <w:spacing w:line="400" w:lineRule="exact"/>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lang w:val="en-US" w:eastAsia="zh-CN"/>
        </w:rPr>
        <w:t xml:space="preserve">投标</w:t>
      </w:r>
      <w:r>
        <w:rPr>
          <w:rFonts w:hint="eastAsia" w:ascii="宋体" w:hAnsi="宋体" w:eastAsia="宋体" w:cs="宋体"/>
          <w:bCs/>
          <w:color w:val="000000"/>
          <w:sz w:val="24"/>
          <w:szCs w:val="22"/>
          <w:highlight w:val="none"/>
        </w:rPr>
        <w:t xml:space="preserve">供应商（盖章）：     </w:t>
      </w:r>
      <w:r>
        <w:rPr>
          <w:rFonts w:hint="eastAsia" w:ascii="宋体" w:hAnsi="宋体" w:eastAsia="宋体" w:cs="宋体"/>
          <w:bCs/>
          <w:color w:val="000000"/>
          <w:sz w:val="24"/>
          <w:szCs w:val="22"/>
          <w:highlight w:val="none"/>
          <w:lang w:eastAsia="zh-CN"/>
        </w:rPr>
      </w:r>
      <w:r/>
    </w:p>
    <w:p>
      <w:pPr>
        <w:pStyle w:val="940"/>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法定代表人或法定代表人授权代表签字或盖章：</w:t>
      </w:r>
      <w:r>
        <w:rPr>
          <w:rFonts w:hint="eastAsia" w:ascii="宋体" w:hAnsi="宋体" w:eastAsia="宋体" w:cs="宋体"/>
          <w:bCs/>
          <w:color w:val="000000"/>
          <w:sz w:val="24"/>
          <w:szCs w:val="22"/>
          <w:highlight w:val="none"/>
        </w:rPr>
      </w:r>
      <w:r/>
    </w:p>
    <w:p>
      <w:pPr>
        <w:pStyle w:val="940"/>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电话：                              传真：</w:t>
      </w:r>
      <w:r>
        <w:rPr>
          <w:rFonts w:hint="eastAsia" w:ascii="宋体" w:hAnsi="宋体" w:eastAsia="宋体" w:cs="宋体"/>
          <w:bCs/>
          <w:color w:val="000000"/>
          <w:sz w:val="24"/>
          <w:szCs w:val="22"/>
          <w:highlight w:val="none"/>
        </w:rPr>
      </w:r>
      <w:r/>
    </w:p>
    <w:p>
      <w:pPr>
        <w:pStyle w:val="940"/>
        <w:ind w:firstLine="480"/>
        <w:spacing w:line="400" w:lineRule="exact"/>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地址：                              邮编：                             </w:t>
      </w:r>
      <w:r>
        <w:rPr>
          <w:rFonts w:hint="eastAsia" w:ascii="宋体" w:hAnsi="宋体" w:eastAsia="宋体" w:cs="宋体"/>
          <w:bCs/>
          <w:color w:val="000000"/>
          <w:sz w:val="24"/>
          <w:szCs w:val="22"/>
          <w:highlight w:val="none"/>
          <w:lang w:eastAsia="zh-CN"/>
        </w:rPr>
      </w:r>
      <w:r/>
    </w:p>
    <w:p>
      <w:pPr>
        <w:pStyle w:val="940"/>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开户名称：</w:t>
      </w:r>
      <w:r>
        <w:rPr>
          <w:rFonts w:hint="eastAsia" w:ascii="宋体" w:hAnsi="宋体" w:eastAsia="宋体" w:cs="宋体"/>
          <w:bCs/>
          <w:color w:val="000000"/>
          <w:sz w:val="24"/>
          <w:szCs w:val="22"/>
          <w:highlight w:val="none"/>
        </w:rPr>
      </w:r>
      <w:r/>
    </w:p>
    <w:p>
      <w:pPr>
        <w:pStyle w:val="940"/>
        <w:ind w:firstLine="480"/>
        <w:spacing w:line="400" w:lineRule="exact"/>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开户银行：                   </w:t>
      </w:r>
      <w:r>
        <w:rPr>
          <w:rFonts w:hint="eastAsia" w:ascii="宋体" w:hAnsi="宋体" w:eastAsia="宋体" w:cs="宋体"/>
          <w:bCs/>
          <w:color w:val="000000"/>
          <w:sz w:val="24"/>
          <w:szCs w:val="22"/>
          <w:highlight w:val="none"/>
          <w:lang w:eastAsia="zh-CN"/>
        </w:rPr>
      </w:r>
      <w:r/>
    </w:p>
    <w:p>
      <w:pPr>
        <w:pStyle w:val="940"/>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开户账号：</w:t>
      </w:r>
      <w:r>
        <w:rPr>
          <w:rFonts w:hint="eastAsia" w:ascii="宋体" w:hAnsi="宋体" w:eastAsia="宋体" w:cs="宋体"/>
          <w:bCs/>
          <w:color w:val="000000"/>
          <w:sz w:val="24"/>
          <w:szCs w:val="22"/>
          <w:highlight w:val="none"/>
        </w:rPr>
      </w:r>
      <w:r/>
    </w:p>
    <w:p>
      <w:pPr>
        <w:pStyle w:val="940"/>
        <w:rPr>
          <w:rFonts w:hint="eastAsia" w:ascii="黑体" w:hAnsi="宋体" w:eastAsia="黑体" w:cs="Times New Roman"/>
          <w:bCs/>
          <w:color w:val="000000"/>
          <w:sz w:val="24"/>
          <w:highlight w:val="none"/>
          <w:lang w:eastAsia="zh-CN"/>
        </w:rPr>
      </w:pPr>
      <w:r>
        <w:rPr>
          <w:rFonts w:hint="eastAsia" w:ascii="黑体" w:hAnsi="宋体" w:eastAsia="黑体" w:cs="Times New Roman"/>
          <w:bCs/>
          <w:color w:val="000000"/>
          <w:sz w:val="24"/>
          <w:highlight w:val="none"/>
          <w:lang w:eastAsia="zh-CN"/>
        </w:rPr>
      </w:r>
      <w:r/>
    </w:p>
    <w:p>
      <w:pPr>
        <w:pStyle w:val="940"/>
        <w:rPr>
          <w:rFonts w:hint="eastAsia" w:ascii="黑体" w:hAnsi="宋体" w:eastAsia="黑体"/>
          <w:bCs/>
          <w:color w:val="000000"/>
          <w:sz w:val="24"/>
          <w:szCs w:val="22"/>
          <w:highlight w:val="none"/>
        </w:rPr>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二</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940"/>
        <w:jc w:val="center"/>
        <w:spacing w:line="360" w:lineRule="auto"/>
        <w:rPr>
          <w:rFonts w:hint="eastAsia" w:hAnsi="宋体"/>
          <w:color w:val="000000"/>
          <w:sz w:val="24"/>
          <w:highlight w:val="none"/>
        </w:rPr>
      </w:pPr>
      <w:r>
        <w:rPr>
          <w:rFonts w:hint="eastAsia" w:hAnsi="宋体"/>
          <w:color w:val="000000"/>
          <w:sz w:val="24"/>
          <w:highlight w:val="none"/>
        </w:rPr>
      </w:r>
      <w:r/>
    </w:p>
    <w:p>
      <w:pPr>
        <w:pStyle w:val="940"/>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rPr>
          <w:rFonts w:hint="eastAsia" w:hAnsi="宋体" w:cs="宋体"/>
          <w:b/>
          <w:bCs/>
          <w:color w:val="000000"/>
          <w:sz w:val="30"/>
          <w:szCs w:val="30"/>
          <w:highlight w:val="none"/>
        </w:rPr>
      </w:r>
      <w:r/>
    </w:p>
    <w:p>
      <w:pPr>
        <w:pStyle w:val="940"/>
        <w:jc w:val="center"/>
        <w:spacing w:line="360" w:lineRule="auto"/>
        <w:rPr>
          <w:rFonts w:hint="eastAsia" w:hAnsi="宋体"/>
          <w:color w:val="000000"/>
          <w:sz w:val="24"/>
          <w:highlight w:val="none"/>
        </w:rPr>
      </w:pPr>
      <w:r>
        <w:rPr>
          <w:rFonts w:hint="eastAsia" w:hAnsi="宋体"/>
          <w:color w:val="000000"/>
          <w:sz w:val="24"/>
          <w:highlight w:val="none"/>
        </w:rPr>
      </w:r>
      <w:r/>
    </w:p>
    <w:p>
      <w:pPr>
        <w:pStyle w:val="94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40"/>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rPr>
          <w:rFonts w:hint="eastAsia" w:hAnsi="宋体"/>
          <w:color w:val="000000"/>
          <w:sz w:val="24"/>
          <w:highlight w:val="none"/>
        </w:rPr>
      </w:r>
      <w:r/>
    </w:p>
    <w:p>
      <w:pPr>
        <w:pStyle w:val="940"/>
        <w:jc w:val="center"/>
        <w:spacing w:line="360" w:lineRule="auto"/>
        <w:rPr>
          <w:rFonts w:hint="eastAsia" w:hAnsi="宋体"/>
          <w:color w:val="000000"/>
          <w:sz w:val="24"/>
          <w:highlight w:val="none"/>
        </w:rPr>
      </w:pPr>
      <w:r>
        <w:rPr>
          <w:rFonts w:hint="eastAsia" w:hAnsi="宋体"/>
          <w:color w:val="000000"/>
          <w:sz w:val="24"/>
          <w:highlight w:val="none"/>
        </w:rPr>
      </w:r>
      <w:r/>
    </w:p>
    <w:p>
      <w:pPr>
        <w:pStyle w:val="940"/>
        <w:jc w:val="center"/>
        <w:rPr>
          <w:rFonts w:hAnsi="宋体"/>
          <w:color w:val="000000"/>
          <w:highlight w:val="none"/>
        </w:rPr>
      </w:pPr>
      <w:r>
        <w:rPr>
          <w:rFonts w:hAnsi="宋体"/>
          <w:color w:val="000000"/>
          <w:highlight w:val="none"/>
        </w:rPr>
      </w:r>
      <w:r/>
    </w:p>
    <w:p>
      <w:pPr>
        <w:pStyle w:val="94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北京建智达工程管理股份有限公司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1117"/>
        <w:ind w:left="0" w:right="0"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1117"/>
        <w:ind w:left="0" w:right="0"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w:t>
      </w:r>
      <w:r>
        <w:rPr>
          <w:rFonts w:hint="eastAsia" w:hAnsi="宋体"/>
          <w:color w:val="000000"/>
          <w:szCs w:val="24"/>
          <w:highlight w:val="none"/>
          <w:u w:val="single"/>
        </w:rPr>
        <w:t xml:space="preserve">　　　　</w:t>
      </w:r>
      <w:r>
        <w:rPr>
          <w:rFonts w:hint="eastAsia" w:hAnsi="宋体"/>
          <w:color w:val="000000"/>
          <w:szCs w:val="24"/>
          <w:highlight w:val="none"/>
        </w:rPr>
        <w:t xml:space="preserve">）进行报价，响应文件中所有关于报价资格的文件、证明、陈述均是真实的、准确的。若有违背，我公司（单位） </w:t>
      </w:r>
      <w:r>
        <w:rPr>
          <w:rFonts w:hint="eastAsia" w:hAnsi="宋体"/>
          <w:color w:val="000000"/>
          <w:szCs w:val="24"/>
          <w:highlight w:val="none"/>
          <w:u w:val="single"/>
        </w:rPr>
        <w:t xml:space="preserve">      </w:t>
      </w:r>
      <w:r>
        <w:rPr>
          <w:rFonts w:hint="eastAsia" w:hAnsi="宋体"/>
          <w:color w:val="000000"/>
          <w:szCs w:val="24"/>
          <w:highlight w:val="none"/>
        </w:rPr>
        <w:t xml:space="preserve"> 愿意承担由此而产生的一切后果。</w:t>
      </w:r>
      <w:r>
        <w:rPr>
          <w:rFonts w:hAnsi="宋体"/>
          <w:color w:val="000000"/>
          <w:szCs w:val="24"/>
          <w:highlight w:val="none"/>
        </w:rPr>
      </w:r>
      <w:r/>
    </w:p>
    <w:p>
      <w:pPr>
        <w:pStyle w:val="1117"/>
        <w:ind w:left="0" w:right="34" w:firstLine="403"/>
        <w:rPr>
          <w:rFonts w:hAnsi="宋体"/>
          <w:color w:val="000000"/>
          <w:szCs w:val="24"/>
          <w:highlight w:val="none"/>
        </w:rPr>
      </w:pPr>
      <w:r>
        <w:rPr>
          <w:rFonts w:hAnsi="宋体"/>
          <w:color w:val="000000"/>
          <w:szCs w:val="24"/>
          <w:highlight w:val="none"/>
        </w:rPr>
      </w:r>
      <w:r/>
    </w:p>
    <w:p>
      <w:pPr>
        <w:pStyle w:val="1117"/>
        <w:ind w:left="0" w:right="34" w:firstLine="403"/>
        <w:rPr>
          <w:rFonts w:hAnsi="宋体"/>
          <w:color w:val="000000"/>
          <w:sz w:val="21"/>
          <w:highlight w:val="none"/>
        </w:rPr>
      </w:pPr>
      <w:r>
        <w:rPr>
          <w:rFonts w:hAnsi="宋体"/>
          <w:color w:val="000000"/>
          <w:sz w:val="21"/>
          <w:highlight w:val="none"/>
        </w:rPr>
      </w:r>
      <w:r/>
    </w:p>
    <w:p>
      <w:pPr>
        <w:pStyle w:val="1117"/>
        <w:ind w:left="0" w:right="34" w:firstLine="403"/>
        <w:rPr>
          <w:rFonts w:hAnsi="宋体"/>
          <w:color w:val="000000"/>
          <w:sz w:val="21"/>
          <w:highlight w:val="none"/>
        </w:rPr>
      </w:pPr>
      <w:r>
        <w:rPr>
          <w:rFonts w:hAnsi="宋体"/>
          <w:color w:val="000000"/>
          <w:sz w:val="21"/>
          <w:highlight w:val="none"/>
        </w:rPr>
      </w:r>
      <w:r/>
    </w:p>
    <w:p>
      <w:pPr>
        <w:pStyle w:val="940"/>
        <w:spacing w:line="360" w:lineRule="auto"/>
        <w:rPr>
          <w:rFonts w:hint="eastAsia"/>
          <w:b/>
          <w:bCs/>
          <w:color w:val="000000"/>
          <w:sz w:val="24"/>
          <w:highlight w:val="none"/>
        </w:rPr>
        <w:outlineLvl w:val="0"/>
      </w:pPr>
      <w:r>
        <w:rPr>
          <w:rFonts w:hint="eastAsia"/>
          <w:b/>
          <w:bCs/>
          <w:color w:val="000000"/>
          <w:sz w:val="24"/>
          <w:highlight w:val="none"/>
        </w:rPr>
      </w:r>
      <w:r/>
    </w:p>
    <w:p>
      <w:pPr>
        <w:pStyle w:val="940"/>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940"/>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940"/>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ind w:firstLine="480"/>
        <w:jc w:val="left"/>
        <w:spacing w:line="480" w:lineRule="auto"/>
        <w:tabs>
          <w:tab w:val="left" w:pos="6300" w:leader="none"/>
        </w:tabs>
        <w:rPr>
          <w:rFonts w:hint="eastAsia"/>
          <w:color w:val="000000"/>
          <w:sz w:val="28"/>
          <w:szCs w:val="28"/>
          <w:highlight w:val="none"/>
        </w:rPr>
      </w:pPr>
      <w:r>
        <w:rPr>
          <w:rFonts w:hint="eastAsia" w:ascii="宋体" w:hAnsi="宋体" w:cs="宋体"/>
          <w:color w:val="000000"/>
          <w:sz w:val="24"/>
          <w:szCs w:val="24"/>
          <w:highlight w:val="none"/>
        </w:rPr>
        <w:t xml:space="preserve">注：“重大违法记录”，是指供应商因违法经营受到刑事处罚或者责令停产停业、吊销许可证或者执照、较大数额罚款等行政处罚。其中，较大数额罚款按财库</w:t>
      </w:r>
      <w:r>
        <w:rPr>
          <w:rFonts w:hint="eastAsia" w:ascii="宋体" w:hAnsi="宋体" w:cs="宋体"/>
          <w:color w:val="000000"/>
          <w:sz w:val="24"/>
          <w:szCs w:val="24"/>
          <w:highlight w:val="none"/>
          <w:lang w:eastAsia="zh-CN"/>
        </w:rPr>
        <w:t xml:space="preserve">〔2022〕3号</w:t>
      </w:r>
      <w:r>
        <w:rPr>
          <w:rFonts w:hint="eastAsia" w:ascii="宋体" w:hAnsi="宋体" w:cs="宋体"/>
          <w:color w:val="000000"/>
          <w:sz w:val="24"/>
          <w:szCs w:val="24"/>
          <w:highlight w:val="none"/>
        </w:rPr>
        <w:t xml:space="preserve">文，认定为200万元以上的罚款，法律、行政法规以及国务院有关部门明确规定相关领域“较大数额罚款”标准高于200万元的，从其规定。</w:t>
      </w:r>
      <w:r>
        <w:rPr>
          <w:rFonts w:hint="eastAsia"/>
          <w:color w:val="000000"/>
          <w:sz w:val="28"/>
          <w:szCs w:val="28"/>
          <w:highlight w:val="none"/>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numPr>
          <w:ilvl w:val="0"/>
          <w:numId w:val="0"/>
        </w:numPr>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r>
      <w:r/>
    </w:p>
    <w:p>
      <w:pPr>
        <w:pStyle w:val="940"/>
        <w:numPr>
          <w:ilvl w:val="0"/>
          <w:numId w:val="0"/>
        </w:numPr>
        <w:jc w:val="left"/>
        <w:rPr>
          <w:rFonts w:hint="eastAsia" w:ascii="黑体" w:hAnsi="宋体" w:eastAsia="黑体"/>
          <w:bCs/>
          <w:color w:val="000000"/>
          <w:sz w:val="24"/>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法</w:t>
      </w:r>
      <w:r>
        <w:rPr>
          <w:rFonts w:hint="eastAsia" w:ascii="黑体" w:hAnsi="宋体" w:eastAsia="黑体"/>
          <w:bCs/>
          <w:color w:val="000000"/>
          <w:sz w:val="24"/>
          <w:highlight w:val="none"/>
        </w:rPr>
        <w:t xml:space="preserve">定代表人授权委托书（格式）</w:t>
      </w:r>
      <w:r>
        <w:rPr>
          <w:rFonts w:hint="eastAsia" w:ascii="黑体" w:hAnsi="宋体" w:eastAsia="黑体"/>
          <w:bCs/>
          <w:color w:val="000000"/>
          <w:sz w:val="24"/>
          <w:highlight w:val="none"/>
        </w:rPr>
      </w:r>
      <w:r/>
    </w:p>
    <w:p>
      <w:pPr>
        <w:pStyle w:val="940"/>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r>
      <w:r/>
    </w:p>
    <w:p>
      <w:pPr>
        <w:pStyle w:val="940"/>
        <w:jc w:val="center"/>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rPr>
          <w:rFonts w:hAnsi="宋体"/>
          <w:b/>
          <w:bCs/>
          <w:color w:val="000000"/>
          <w:sz w:val="30"/>
          <w:szCs w:val="30"/>
          <w:highlight w:val="none"/>
        </w:rPr>
      </w:r>
      <w:r/>
    </w:p>
    <w:p>
      <w:pPr>
        <w:pStyle w:val="940"/>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94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40"/>
        <w:jc w:val="center"/>
        <w:spacing w:line="360" w:lineRule="auto"/>
        <w:rPr>
          <w:rFonts w:hAnsi="宋体"/>
          <w:color w:val="000000"/>
          <w:sz w:val="24"/>
          <w:highlight w:val="none"/>
        </w:rPr>
      </w:pPr>
      <w:r>
        <w:rPr>
          <w:rFonts w:hint="eastAsia" w:hAnsi="宋体"/>
          <w:color w:val="000000"/>
          <w:sz w:val="24"/>
          <w:highlight w:val="none"/>
        </w:rPr>
        <w:t xml:space="preserve">    日期：</w:t>
      </w:r>
      <w:r>
        <w:rPr>
          <w:rFonts w:hAnsi="宋体"/>
          <w:color w:val="000000"/>
          <w:sz w:val="24"/>
          <w:highlight w:val="none"/>
        </w:rPr>
      </w:r>
      <w:r/>
    </w:p>
    <w:p>
      <w:pPr>
        <w:pStyle w:val="94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北京建智达工程管理股份有限公司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40"/>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int="eastAsia" w:hAnsi="宋体"/>
          <w:color w:val="000000"/>
          <w:sz w:val="24"/>
          <w:highlight w:val="none"/>
        </w:rPr>
      </w:r>
      <w:r/>
    </w:p>
    <w:p>
      <w:pPr>
        <w:pStyle w:val="940"/>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姓名：          性别：         年龄：          职务：</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身份证号码：                   电话：</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通讯地址：</w:t>
      </w:r>
      <w:r>
        <w:rPr>
          <w:rFonts w:hAnsi="宋体"/>
          <w:color w:val="000000"/>
          <w:sz w:val="24"/>
          <w:highlight w:val="none"/>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940"/>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940"/>
        <w:ind w:firstLine="4320"/>
        <w:spacing w:line="360" w:lineRule="auto"/>
        <w:rPr>
          <w:rFonts w:hint="eastAsia" w:hAnsi="宋体"/>
          <w:color w:val="000000"/>
          <w:sz w:val="24"/>
          <w:highlight w:val="none"/>
        </w:rPr>
      </w:pPr>
      <w:r>
        <w:rPr>
          <w:rFonts w:hint="eastAsia" w:hAnsi="宋体"/>
          <w:color w:val="000000"/>
          <w:sz w:val="24"/>
          <w:highlight w:val="none"/>
        </w:rPr>
        <w:t xml:space="preserve">年     月     日</w:t>
      </w:r>
      <w:r>
        <w:rPr>
          <w:rFonts w:hint="eastAsia" w:hAnsi="宋体"/>
          <w:color w:val="000000"/>
          <w:sz w:val="24"/>
          <w:highlight w:val="none"/>
        </w:rPr>
      </w:r>
      <w:r/>
    </w:p>
    <w:p>
      <w:pPr>
        <w:pStyle w:val="940"/>
        <w:ind w:firstLine="5760"/>
        <w:spacing w:line="360" w:lineRule="auto"/>
        <w:rPr>
          <w:rFonts w:hint="eastAsia" w:hAnsi="宋体"/>
          <w:color w:val="000000"/>
          <w:sz w:val="24"/>
          <w:highlight w:val="none"/>
        </w:rPr>
      </w:pPr>
      <w:r>
        <w:rPr>
          <w:rFonts w:hint="eastAsia" w:hAnsi="宋体"/>
          <w:color w:val="000000"/>
          <w:sz w:val="24"/>
          <w:highlight w:val="none"/>
        </w:rPr>
      </w:r>
      <w:r/>
    </w:p>
    <w:tbl>
      <w:tblPr>
        <w:tblW w:w="101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940"/>
              <w:spacing w:before="4" w:line="360" w:lineRule="auto"/>
              <w:widowControl/>
              <w:rPr>
                <w:rFonts w:hAnsi="宋体"/>
                <w:color w:val="000000"/>
                <w:sz w:val="24"/>
                <w:highlight w:val="none"/>
              </w:rPr>
            </w:pPr>
            <w:r>
              <w:rPr>
                <w:rFonts w:hAnsi="宋体"/>
                <w:color w:val="000000"/>
                <w:sz w:val="24"/>
                <w:highlight w:val="none"/>
              </w:rPr>
            </w:r>
            <w:r/>
          </w:p>
          <w:p>
            <w:pPr>
              <w:pStyle w:val="940"/>
              <w:spacing w:before="4" w:line="360" w:lineRule="auto"/>
              <w:widowControl/>
              <w:rPr>
                <w:rFonts w:hAnsi="宋体"/>
                <w:color w:val="000000"/>
                <w:sz w:val="24"/>
                <w:highlight w:val="none"/>
              </w:rPr>
            </w:pPr>
            <w:r>
              <w:rPr>
                <w:rFonts w:hAnsi="宋体"/>
                <w:color w:val="000000"/>
                <w:sz w:val="24"/>
                <w:highlight w:val="none"/>
              </w:rPr>
            </w:r>
            <w:r/>
          </w:p>
          <w:p>
            <w:pPr>
              <w:pStyle w:val="940"/>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法定代表人身份证复印件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c>
          <w:tcPr>
            <w:tcW w:w="720" w:type="dxa"/>
            <w:vAlign w:val="top"/>
            <w:textDirection w:val="lrTb"/>
            <w:noWrap w:val="false"/>
          </w:tcPr>
          <w:p>
            <w:pPr>
              <w:pStyle w:val="940"/>
              <w:jc w:val="left"/>
              <w:widowControl/>
              <w:rPr>
                <w:rFonts w:hAnsi="宋体"/>
                <w:color w:val="000000"/>
                <w:sz w:val="24"/>
                <w:highlight w:val="none"/>
              </w:rPr>
            </w:pPr>
            <w:r>
              <w:rPr>
                <w:rFonts w:hAnsi="宋体"/>
                <w:color w:val="000000"/>
                <w:sz w:val="24"/>
                <w:highlight w:val="none"/>
              </w:rPr>
            </w:r>
            <w:r/>
          </w:p>
        </w:tc>
        <w:tc>
          <w:tcPr>
            <w:tcW w:w="4792" w:type="dxa"/>
            <w:vAlign w:val="top"/>
            <w:textDirection w:val="lrTb"/>
            <w:noWrap w:val="false"/>
          </w:tcPr>
          <w:p>
            <w:pPr>
              <w:pStyle w:val="940"/>
              <w:spacing w:before="4" w:line="360" w:lineRule="auto"/>
              <w:widowControl/>
              <w:rPr>
                <w:rFonts w:hAnsi="宋体"/>
                <w:color w:val="000000"/>
                <w:sz w:val="24"/>
                <w:highlight w:val="none"/>
              </w:rPr>
            </w:pPr>
            <w:r>
              <w:rPr>
                <w:rFonts w:hAnsi="宋体"/>
                <w:color w:val="000000"/>
                <w:sz w:val="24"/>
                <w:highlight w:val="none"/>
              </w:rPr>
            </w:r>
            <w:r/>
          </w:p>
          <w:p>
            <w:pPr>
              <w:pStyle w:val="940"/>
              <w:spacing w:before="4" w:line="360" w:lineRule="auto"/>
              <w:widowControl/>
              <w:rPr>
                <w:rFonts w:hAnsi="宋体"/>
                <w:color w:val="000000"/>
                <w:sz w:val="24"/>
                <w:highlight w:val="none"/>
              </w:rPr>
            </w:pPr>
            <w:r>
              <w:rPr>
                <w:rFonts w:hAnsi="宋体"/>
                <w:color w:val="000000"/>
                <w:sz w:val="24"/>
                <w:highlight w:val="none"/>
              </w:rPr>
            </w:r>
            <w:r/>
          </w:p>
          <w:p>
            <w:pPr>
              <w:pStyle w:val="940"/>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授权代表身份证复印件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r>
    </w:tbl>
    <w:p>
      <w:pPr>
        <w:pStyle w:val="940"/>
        <w:numPr>
          <w:ilvl w:val="0"/>
          <w:numId w:val="0"/>
        </w:numPr>
        <w:jc w:val="left"/>
        <w:spacing w:line="240" w:lineRule="auto"/>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四</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法定代表人亲自参加投标的需提供</w:t>
      </w:r>
      <w:r>
        <w:rPr>
          <w:rFonts w:hint="eastAsia" w:ascii="黑体" w:hAnsi="宋体" w:eastAsia="黑体" w:cs="Times New Roman"/>
          <w:bCs/>
          <w:color w:val="000000"/>
          <w:sz w:val="24"/>
          <w:szCs w:val="24"/>
          <w:highlight w:val="none"/>
        </w:rPr>
      </w:r>
      <w:r/>
    </w:p>
    <w:p>
      <w:pPr>
        <w:pStyle w:val="940"/>
        <w:jc w:val="center"/>
        <w:spacing w:line="360" w:lineRule="auto"/>
        <w:rPr>
          <w:rStyle w:val="1119"/>
          <w:rFonts w:hint="eastAsia" w:ascii="黑体" w:hAnsi="黑体" w:eastAsia="黑体" w:cs="黑体"/>
          <w:color w:val="000000"/>
          <w:sz w:val="28"/>
          <w:szCs w:val="28"/>
          <w:highlight w:val="none"/>
        </w:rPr>
      </w:pPr>
      <w:r>
        <w:rPr>
          <w:rStyle w:val="1119"/>
          <w:rFonts w:hint="eastAsia" w:ascii="黑体" w:hAnsi="黑体" w:eastAsia="黑体" w:cs="黑体"/>
          <w:color w:val="000000"/>
          <w:sz w:val="28"/>
          <w:szCs w:val="28"/>
          <w:highlight w:val="none"/>
        </w:rPr>
      </w:r>
      <w:r/>
    </w:p>
    <w:p>
      <w:pPr>
        <w:pStyle w:val="940"/>
        <w:jc w:val="center"/>
        <w:spacing w:line="360" w:lineRule="auto"/>
        <w:rPr>
          <w:rStyle w:val="1119"/>
          <w:rFonts w:ascii="黑体" w:hAnsi="黑体" w:eastAsia="黑体"/>
          <w:color w:val="000000"/>
          <w:sz w:val="28"/>
          <w:szCs w:val="28"/>
          <w:highlight w:val="none"/>
        </w:rPr>
      </w:pPr>
      <w:r>
        <w:rPr>
          <w:rStyle w:val="1119"/>
          <w:rFonts w:hint="eastAsia" w:ascii="黑体" w:hAnsi="黑体" w:eastAsia="黑体" w:cs="黑体"/>
          <w:color w:val="000000"/>
          <w:sz w:val="28"/>
          <w:szCs w:val="28"/>
          <w:highlight w:val="none"/>
        </w:rPr>
        <w:t xml:space="preserve">法定代表人身份证明书（格式）</w:t>
      </w:r>
      <w:r>
        <w:rPr>
          <w:rStyle w:val="1119"/>
          <w:rFonts w:ascii="黑体" w:hAnsi="黑体" w:eastAsia="黑体"/>
          <w:color w:val="000000"/>
          <w:sz w:val="28"/>
          <w:szCs w:val="28"/>
          <w:highlight w:val="none"/>
        </w:rPr>
      </w:r>
      <w:r/>
    </w:p>
    <w:p>
      <w:pPr>
        <w:pStyle w:val="940"/>
        <w:ind w:firstLine="612"/>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单位名称：</w:t>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rPr>
      </w:r>
      <w:r/>
    </w:p>
    <w:p>
      <w:pPr>
        <w:pStyle w:val="940"/>
        <w:ind w:firstLine="612"/>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u w:val="single"/>
        </w:rPr>
      </w:pPr>
      <w:r>
        <w:rPr>
          <w:rStyle w:val="1119"/>
          <w:rFonts w:hint="eastAsia" w:ascii="宋体" w:hAnsi="宋体" w:cs="宋体"/>
          <w:color w:val="000000"/>
          <w:sz w:val="24"/>
          <w:szCs w:val="24"/>
          <w:highlight w:val="none"/>
        </w:rPr>
        <w:t xml:space="preserve">单位性质：</w:t>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r>
      <w:r/>
    </w:p>
    <w:p>
      <w:pPr>
        <w:pStyle w:val="940"/>
        <w:ind w:firstLine="61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u w:val="single"/>
        </w:rPr>
      </w:pPr>
      <w:r>
        <w:rPr>
          <w:rStyle w:val="1119"/>
          <w:rFonts w:hint="eastAsia" w:ascii="宋体" w:hAnsi="宋体" w:cs="宋体"/>
          <w:color w:val="000000"/>
          <w:sz w:val="24"/>
          <w:szCs w:val="24"/>
          <w:highlight w:val="none"/>
        </w:rPr>
        <w:t xml:space="preserve">地址：</w:t>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r>
      <w:r/>
    </w:p>
    <w:p>
      <w:pPr>
        <w:pStyle w:val="940"/>
        <w:ind w:firstLine="610"/>
        <w:spacing w:line="360" w:lineRule="auto"/>
        <w:rPr>
          <w:rStyle w:val="1119"/>
          <w:rFonts w:ascii="宋体" w:eastAsia="宋体"/>
          <w:color w:val="000000"/>
          <w:sz w:val="24"/>
          <w:szCs w:val="24"/>
          <w:highlight w:val="none"/>
          <w:lang w:val="en-US" w:eastAsia="zh-CN"/>
        </w:rPr>
      </w:pPr>
      <w:r>
        <w:rPr>
          <w:rStyle w:val="1119"/>
          <w:rFonts w:hint="eastAsia" w:ascii="宋体"/>
          <w:color w:val="000000"/>
          <w:sz w:val="24"/>
          <w:szCs w:val="24"/>
          <w:highlight w:val="none"/>
          <w:lang w:val="en-US" w:eastAsia="zh-CN"/>
        </w:rPr>
        <w:t xml:space="preserve">  </w:t>
      </w:r>
      <w:r>
        <w:rPr>
          <w:rStyle w:val="1119"/>
          <w:rFonts w:ascii="宋体" w:eastAsia="宋体"/>
          <w:color w:val="000000"/>
          <w:sz w:val="24"/>
          <w:szCs w:val="24"/>
          <w:highlight w:val="none"/>
          <w:lang w:val="en-US" w:eastAsia="zh-CN"/>
        </w:rPr>
      </w:r>
      <w:r/>
    </w:p>
    <w:p>
      <w:pPr>
        <w:pStyle w:val="940"/>
        <w:ind w:firstLine="610"/>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成立时间：</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rPr>
        <w:t xml:space="preserve">年</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rPr>
        <w:t xml:space="preserve">月</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rPr>
        <w:t xml:space="preserve">日</w:t>
      </w: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u w:val="single"/>
        </w:rPr>
      </w:pPr>
      <w:r>
        <w:rPr>
          <w:rStyle w:val="1119"/>
          <w:rFonts w:hint="eastAsia" w:ascii="宋体" w:hAnsi="宋体" w:cs="宋体"/>
          <w:color w:val="000000"/>
          <w:sz w:val="24"/>
          <w:szCs w:val="24"/>
          <w:highlight w:val="none"/>
        </w:rPr>
        <w:t xml:space="preserve">经营期限：</w:t>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r>
      <w:r/>
    </w:p>
    <w:p>
      <w:pPr>
        <w:pStyle w:val="940"/>
        <w:ind w:firstLine="61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u w:val="single"/>
        </w:rPr>
      </w:pPr>
      <w:r>
        <w:rPr>
          <w:rStyle w:val="1119"/>
          <w:rFonts w:hint="eastAsia" w:ascii="宋体" w:hAnsi="宋体" w:cs="宋体"/>
          <w:color w:val="000000"/>
          <w:sz w:val="24"/>
          <w:szCs w:val="24"/>
          <w:highlight w:val="none"/>
        </w:rPr>
        <w:t xml:space="preserve">姓名：</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u w:val="single"/>
        </w:rPr>
        <w:t xml:space="preserve"> </w:t>
      </w:r>
      <w:r>
        <w:rPr>
          <w:rStyle w:val="1119"/>
          <w:rFonts w:hint="eastAsia" w:ascii="宋体" w:hAnsi="宋体" w:cs="宋体"/>
          <w:color w:val="000000"/>
          <w:sz w:val="24"/>
          <w:szCs w:val="24"/>
          <w:highlight w:val="none"/>
        </w:rPr>
        <w:t xml:space="preserve"> 性别：</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u w:val="single"/>
        </w:rPr>
        <w:t xml:space="preserve"> </w:t>
      </w:r>
      <w:r>
        <w:rPr>
          <w:rStyle w:val="1119"/>
          <w:rFonts w:hint="eastAsia" w:ascii="宋体" w:hAnsi="宋体" w:cs="宋体"/>
          <w:color w:val="000000"/>
          <w:sz w:val="24"/>
          <w:szCs w:val="24"/>
          <w:highlight w:val="none"/>
        </w:rPr>
        <w:t xml:space="preserve"> 年龄：</w:t>
      </w:r>
      <w:r>
        <w:rPr>
          <w:rStyle w:val="1119"/>
          <w:rFonts w:hint="eastAsia" w:ascii="宋体" w:hAnsi="宋体" w:cs="宋体"/>
          <w:color w:val="000000"/>
          <w:sz w:val="24"/>
          <w:szCs w:val="24"/>
          <w:highlight w:val="none"/>
          <w:u w:val="single"/>
        </w:rPr>
        <w:t xml:space="preserve"> </w:t>
      </w:r>
      <w:r>
        <w:rPr>
          <w:rStyle w:val="1119"/>
          <w:rFonts w:hint="eastAsia" w:ascii="宋体" w:hAnsi="宋体" w:cs="宋体"/>
          <w:color w:val="000000"/>
          <w:sz w:val="24"/>
          <w:szCs w:val="24"/>
          <w:highlight w:val="none"/>
          <w:u w:val="single"/>
          <w:lang w:val="en-US" w:eastAsia="zh-CN"/>
        </w:rPr>
        <w:t xml:space="preserve">      </w:t>
      </w:r>
      <w:r>
        <w:rPr>
          <w:rStyle w:val="1119"/>
          <w:rFonts w:hint="eastAsia" w:ascii="宋体" w:hAnsi="宋体" w:cs="宋体"/>
          <w:color w:val="000000"/>
          <w:sz w:val="24"/>
          <w:szCs w:val="24"/>
          <w:highlight w:val="none"/>
        </w:rPr>
        <w:t xml:space="preserve">  职务：</w:t>
      </w:r>
      <w:r>
        <w:rPr>
          <w:rStyle w:val="1119"/>
          <w:rFonts w:ascii="宋体"/>
          <w:color w:val="000000"/>
          <w:sz w:val="24"/>
          <w:szCs w:val="24"/>
          <w:highlight w:val="none"/>
          <w:u w:val="single"/>
        </w:rPr>
        <w:tab/>
      </w:r>
      <w:r>
        <w:rPr>
          <w:rStyle w:val="1119"/>
          <w:rFonts w:ascii="宋体"/>
          <w:color w:val="000000"/>
          <w:sz w:val="24"/>
          <w:szCs w:val="24"/>
          <w:highlight w:val="none"/>
          <w:u w:val="single"/>
        </w:rPr>
        <w:tab/>
      </w:r>
      <w:r>
        <w:rPr>
          <w:rStyle w:val="1119"/>
          <w:rFonts w:ascii="宋体"/>
          <w:color w:val="000000"/>
          <w:sz w:val="24"/>
          <w:szCs w:val="24"/>
          <w:highlight w:val="none"/>
          <w:u w:val="single"/>
        </w:rPr>
      </w:r>
      <w:r/>
    </w:p>
    <w:p>
      <w:pPr>
        <w:pStyle w:val="940"/>
        <w:ind w:firstLine="61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系的法定代表人。</w:t>
      </w: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ind w:firstLine="610"/>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特此证明。</w:t>
      </w:r>
      <w:r>
        <w:rPr>
          <w:rStyle w:val="1119"/>
          <w:rFonts w:ascii="宋体"/>
          <w:color w:val="000000"/>
          <w:sz w:val="24"/>
          <w:szCs w:val="24"/>
          <w:highlight w:val="none"/>
        </w:rPr>
      </w:r>
      <w:r/>
    </w:p>
    <w:p>
      <w:pPr>
        <w:pStyle w:val="940"/>
        <w:ind w:firstLine="4560"/>
        <w:spacing w:line="360" w:lineRule="auto"/>
        <w:tabs>
          <w:tab w:val="left" w:pos="720" w:leader="none"/>
          <w:tab w:val="left" w:pos="900" w:leader="none"/>
        </w:tabs>
        <w:rPr>
          <w:rStyle w:val="1119"/>
          <w:rFonts w:ascii="宋体"/>
          <w:color w:val="000000"/>
          <w:sz w:val="24"/>
          <w:szCs w:val="24"/>
          <w:highlight w:val="none"/>
        </w:rPr>
      </w:pPr>
      <w:r>
        <w:rPr>
          <w:rStyle w:val="1119"/>
          <w:rFonts w:ascii="宋体"/>
          <w:color w:val="000000"/>
          <w:sz w:val="24"/>
          <w:szCs w:val="24"/>
          <w:highlight w:val="none"/>
        </w:rPr>
      </w:r>
      <w:r/>
    </w:p>
    <w:p>
      <w:pPr>
        <w:pStyle w:val="940"/>
        <w:ind w:firstLine="4800"/>
        <w:spacing w:line="600" w:lineRule="auto"/>
        <w:tabs>
          <w:tab w:val="left" w:pos="720" w:leader="none"/>
          <w:tab w:val="left" w:pos="900" w:leader="none"/>
        </w:tabs>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投标供应商：</w:t>
      </w:r>
      <w:r>
        <w:rPr>
          <w:rStyle w:val="1119"/>
          <w:rFonts w:hint="eastAsia" w:ascii="宋体" w:hAnsi="宋体" w:cs="宋体"/>
          <w:color w:val="000000"/>
          <w:sz w:val="24"/>
          <w:szCs w:val="24"/>
          <w:highlight w:val="none"/>
          <w:u w:val="single"/>
        </w:rPr>
        <w:t xml:space="preserve">（盖公章）</w:t>
      </w:r>
      <w:r>
        <w:rPr>
          <w:rStyle w:val="1119"/>
          <w:rFonts w:ascii="宋体"/>
          <w:color w:val="000000"/>
          <w:sz w:val="24"/>
          <w:szCs w:val="24"/>
          <w:highlight w:val="none"/>
        </w:rPr>
      </w:r>
      <w:r/>
    </w:p>
    <w:p>
      <w:pPr>
        <w:pStyle w:val="940"/>
        <w:ind w:right="480" w:firstLine="5280"/>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日期：  年  月  日</w:t>
      </w:r>
      <w:r>
        <w:rPr>
          <w:rStyle w:val="1119"/>
          <w:rFonts w:ascii="宋体"/>
          <w:color w:val="000000"/>
          <w:sz w:val="24"/>
          <w:szCs w:val="24"/>
          <w:highlight w:val="none"/>
        </w:rPr>
      </w:r>
      <w:r/>
    </w:p>
    <w:tbl>
      <w:tblPr>
        <w:tblW w:w="9104"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3798"/>
      </w:tblGrid>
      <w:tr>
        <w:trPr>
          <w:trHeight w:val="2735"/>
        </w:trPr>
        <w:tc>
          <w:tcPr>
            <w:tcW w:w="4599" w:type="dxa"/>
            <w:vAlign w:val="top"/>
            <w:textDirection w:val="lrTb"/>
            <w:noWrap w:val="false"/>
          </w:tcPr>
          <w:p>
            <w:pPr>
              <w:pStyle w:val="94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jc w:val="center"/>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法定代表人身份证复印件</w:t>
            </w:r>
            <w:r>
              <w:rPr>
                <w:rStyle w:val="1119"/>
                <w:rFonts w:ascii="宋体"/>
                <w:color w:val="000000"/>
                <w:sz w:val="24"/>
                <w:szCs w:val="24"/>
                <w:highlight w:val="none"/>
              </w:rPr>
            </w:r>
            <w:r/>
          </w:p>
          <w:p>
            <w:pPr>
              <w:pStyle w:val="940"/>
              <w:jc w:val="center"/>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（正面）</w:t>
            </w:r>
            <w:r>
              <w:rPr>
                <w:rStyle w:val="1119"/>
                <w:rFonts w:ascii="宋体"/>
                <w:color w:val="000000"/>
                <w:sz w:val="24"/>
                <w:szCs w:val="24"/>
                <w:highlight w:val="none"/>
              </w:rPr>
            </w:r>
            <w:r/>
          </w:p>
        </w:tc>
        <w:tc>
          <w:tcPr>
            <w:tcW w:w="707" w:type="dxa"/>
            <w:vAlign w:val="top"/>
            <w:textDirection w:val="lrTb"/>
            <w:noWrap w:val="false"/>
          </w:tcPr>
          <w:p>
            <w:pPr>
              <w:pStyle w:val="940"/>
              <w:jc w:val="left"/>
              <w:rPr>
                <w:rStyle w:val="1119"/>
                <w:rFonts w:ascii="宋体"/>
                <w:color w:val="000000"/>
                <w:sz w:val="24"/>
                <w:szCs w:val="24"/>
                <w:highlight w:val="none"/>
              </w:rPr>
            </w:pPr>
            <w:r>
              <w:rPr>
                <w:rStyle w:val="1119"/>
                <w:rFonts w:ascii="宋体"/>
                <w:color w:val="000000"/>
                <w:sz w:val="24"/>
                <w:szCs w:val="24"/>
                <w:highlight w:val="none"/>
              </w:rPr>
            </w:r>
            <w:r/>
          </w:p>
        </w:tc>
        <w:tc>
          <w:tcPr>
            <w:tcW w:w="3798" w:type="dxa"/>
            <w:vAlign w:val="top"/>
            <w:textDirection w:val="lrTb"/>
            <w:noWrap w:val="false"/>
          </w:tcPr>
          <w:p>
            <w:pPr>
              <w:pStyle w:val="94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spacing w:line="360" w:lineRule="auto"/>
              <w:rPr>
                <w:rStyle w:val="1119"/>
                <w:rFonts w:ascii="宋体"/>
                <w:color w:val="000000"/>
                <w:sz w:val="24"/>
                <w:szCs w:val="24"/>
                <w:highlight w:val="none"/>
              </w:rPr>
            </w:pPr>
            <w:r>
              <w:rPr>
                <w:rStyle w:val="1119"/>
                <w:rFonts w:ascii="宋体"/>
                <w:color w:val="000000"/>
                <w:sz w:val="24"/>
                <w:szCs w:val="24"/>
                <w:highlight w:val="none"/>
              </w:rPr>
            </w:r>
            <w:r/>
          </w:p>
          <w:p>
            <w:pPr>
              <w:pStyle w:val="940"/>
              <w:jc w:val="center"/>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法定代表人身份证复印件</w:t>
            </w:r>
            <w:r>
              <w:rPr>
                <w:rStyle w:val="1119"/>
                <w:rFonts w:ascii="宋体"/>
                <w:color w:val="000000"/>
                <w:sz w:val="24"/>
                <w:szCs w:val="24"/>
                <w:highlight w:val="none"/>
              </w:rPr>
            </w:r>
            <w:r/>
          </w:p>
          <w:p>
            <w:pPr>
              <w:pStyle w:val="940"/>
              <w:jc w:val="center"/>
              <w:spacing w:line="360" w:lineRule="auto"/>
              <w:rPr>
                <w:rStyle w:val="1119"/>
                <w:rFonts w:ascii="宋体"/>
                <w:color w:val="000000"/>
                <w:sz w:val="24"/>
                <w:szCs w:val="24"/>
                <w:highlight w:val="none"/>
              </w:rPr>
            </w:pPr>
            <w:r>
              <w:rPr>
                <w:rStyle w:val="1119"/>
                <w:rFonts w:hint="eastAsia" w:ascii="宋体" w:hAnsi="宋体" w:cs="宋体"/>
                <w:color w:val="000000"/>
                <w:sz w:val="24"/>
                <w:szCs w:val="24"/>
                <w:highlight w:val="none"/>
              </w:rPr>
              <w:t xml:space="preserve">（反面）</w:t>
            </w:r>
            <w:r>
              <w:rPr>
                <w:rStyle w:val="1119"/>
                <w:rFonts w:ascii="宋体"/>
                <w:color w:val="000000"/>
                <w:sz w:val="24"/>
                <w:szCs w:val="24"/>
                <w:highlight w:val="none"/>
              </w:rPr>
            </w:r>
            <w:r/>
          </w:p>
        </w:tc>
      </w:tr>
    </w:tbl>
    <w:p>
      <w:pPr>
        <w:pStyle w:val="940"/>
        <w:ind w:firstLine="0"/>
        <w:spacing w:line="360" w:lineRule="auto"/>
        <w:rPr>
          <w:rFonts w:hint="eastAsia" w:ascii="黑体" w:hAnsi="宋体" w:eastAsia="黑体"/>
          <w:bCs/>
          <w:color w:val="000000"/>
          <w:sz w:val="24"/>
          <w:highlight w:val="none"/>
        </w:rPr>
        <w:sectPr>
          <w:footnotePr/>
          <w:endnotePr/>
          <w:type w:val="nextPage"/>
          <w:pgSz w:w="11906" w:h="16838" w:orient="portrait"/>
          <w:pgMar w:top="1440" w:right="1440" w:bottom="1440" w:left="1440" w:header="624" w:footer="907" w:gutter="0"/>
          <w:pgNumType w:start="1"/>
          <w:cols w:num="1" w:sep="0" w:space="1701" w:equalWidth="1"/>
          <w:docGrid w:linePitch="360"/>
          <w:titlePg/>
        </w:sectPr>
      </w:pPr>
      <w:r>
        <w:rPr>
          <w:rFonts w:hint="eastAsia" w:ascii="黑体" w:hAnsi="宋体" w:eastAsia="黑体"/>
          <w:bCs/>
          <w:color w:val="000000"/>
          <w:sz w:val="24"/>
          <w:highlight w:val="none"/>
        </w:rPr>
      </w:r>
      <w:r/>
    </w:p>
    <w:p>
      <w:pPr>
        <w:pStyle w:val="940"/>
        <w:ind w:firstLine="0"/>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五</w:t>
      </w:r>
      <w:r>
        <w:rPr>
          <w:rFonts w:hint="eastAsia" w:ascii="黑体" w:hAnsi="宋体" w:eastAsia="黑体"/>
          <w:bCs/>
          <w:color w:val="000000"/>
          <w:sz w:val="24"/>
          <w:highlight w:val="none"/>
        </w:rPr>
        <w:t xml:space="preserve">）承诺书（格式）</w:t>
      </w:r>
      <w:r>
        <w:rPr>
          <w:rFonts w:hint="eastAsia" w:ascii="黑体" w:hAnsi="宋体" w:eastAsia="黑体"/>
          <w:bCs/>
          <w:color w:val="000000"/>
          <w:sz w:val="24"/>
          <w:highlight w:val="none"/>
        </w:rPr>
      </w:r>
      <w:r/>
    </w:p>
    <w:p>
      <w:pPr>
        <w:pStyle w:val="940"/>
        <w:ind w:left="420"/>
        <w:jc w:val="center"/>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940"/>
        <w:jc w:val="center"/>
        <w:keepNext/>
        <w:rPr>
          <w:rFonts w:hint="eastAsia" w:hAnsi="宋体"/>
          <w:b/>
          <w:color w:val="000000"/>
          <w:sz w:val="28"/>
          <w:szCs w:val="22"/>
          <w:highlight w:val="none"/>
        </w:rPr>
        <w:outlineLvl w:val="2"/>
      </w:pPr>
      <w:r/>
      <w:bookmarkStart w:id="8" w:name="OLE_LINK42"/>
      <w:r>
        <w:rPr>
          <w:rFonts w:hint="eastAsia" w:hAnsi="宋体"/>
          <w:b/>
          <w:color w:val="000000"/>
          <w:sz w:val="28"/>
          <w:szCs w:val="22"/>
          <w:highlight w:val="none"/>
        </w:rPr>
        <w:t xml:space="preserve">承诺书（</w:t>
      </w:r>
      <w:r>
        <w:rPr>
          <w:rFonts w:hint="eastAsia" w:hAnsi="宋体"/>
          <w:b/>
          <w:color w:val="000000"/>
          <w:sz w:val="28"/>
          <w:szCs w:val="22"/>
          <w:highlight w:val="none"/>
          <w:lang w:eastAsia="zh-CN"/>
        </w:rPr>
        <w:t xml:space="preserve">廉政</w:t>
      </w:r>
      <w:r>
        <w:rPr>
          <w:rFonts w:hint="eastAsia" w:hAnsi="宋体"/>
          <w:b/>
          <w:color w:val="000000"/>
          <w:sz w:val="28"/>
          <w:szCs w:val="22"/>
          <w:highlight w:val="none"/>
        </w:rPr>
        <w:t xml:space="preserve">承诺书格式）</w:t>
      </w:r>
      <w:r>
        <w:rPr>
          <w:rFonts w:hint="eastAsia" w:hAnsi="宋体"/>
          <w:b/>
          <w:color w:val="000000"/>
          <w:sz w:val="28"/>
          <w:szCs w:val="22"/>
          <w:highlight w:val="none"/>
        </w:rPr>
      </w:r>
      <w:r/>
    </w:p>
    <w:p>
      <w:pPr>
        <w:pStyle w:val="940"/>
        <w:ind w:firstLine="480"/>
        <w:spacing w:line="520" w:lineRule="exact"/>
        <w:rPr>
          <w:rFonts w:hAnsi="宋体"/>
          <w:color w:val="000000"/>
          <w:sz w:val="24"/>
          <w:highlight w:val="none"/>
        </w:rPr>
      </w:pPr>
      <w:r>
        <w:rPr>
          <w:rFonts w:hint="eastAsia" w:hAnsi="宋体"/>
          <w:color w:val="000000"/>
          <w:sz w:val="24"/>
          <w:highlight w:val="none"/>
        </w:rPr>
        <w:t xml:space="preserve">为了积极配合贵单位的招标工作，有效遏制不公平竞争和违规违纪问题的发生，确保招标工作的公平、公正、公开，我们保证认真贯彻《</w:t>
      </w:r>
      <w:r>
        <w:rPr>
          <w:rFonts w:hint="eastAsia" w:hAnsi="宋体"/>
          <w:color w:val="000000"/>
          <w:sz w:val="24"/>
          <w:highlight w:val="none"/>
          <w:lang w:val="en-US" w:eastAsia="zh-CN"/>
        </w:rPr>
        <w:t xml:space="preserve">中华人民共和国政府采购法</w:t>
      </w:r>
      <w:r>
        <w:rPr>
          <w:rFonts w:hint="eastAsia" w:hAnsi="宋体"/>
          <w:color w:val="000000"/>
          <w:sz w:val="24"/>
          <w:highlight w:val="none"/>
        </w:rPr>
        <w:t xml:space="preserve">》等相关规定以及相关</w:t>
      </w:r>
      <w:r>
        <w:rPr>
          <w:rFonts w:hint="eastAsia" w:hAnsi="宋体"/>
          <w:color w:val="000000"/>
          <w:sz w:val="24"/>
          <w:highlight w:val="none"/>
          <w:lang w:eastAsia="zh-CN"/>
        </w:rPr>
        <w:t xml:space="preserve">廉政</w:t>
      </w:r>
      <w:r>
        <w:rPr>
          <w:rFonts w:hint="eastAsia" w:hAnsi="宋体"/>
          <w:color w:val="000000"/>
          <w:sz w:val="24"/>
          <w:highlight w:val="none"/>
        </w:rPr>
        <w:t xml:space="preserve">要求，特向贵单位承诺如下事项：</w:t>
      </w:r>
      <w:r>
        <w:rPr>
          <w:rFonts w:hAnsi="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1、自觉遵守国家法律法规及有关廉政建设制度。</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2、主动了解贵</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招投标纪律，积极配合贵局执行招投标廉政建设的有关规定。</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3、不使用不正当手段妨碍、排挤其他投标单位或串通投标。</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4、按照招标文件规定的方式进行投标，不隐瞒本单位投标资质的真实情况，投标资质符合规定。</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6、不向</w:t>
      </w:r>
      <w:r>
        <w:rPr>
          <w:rFonts w:hint="eastAsia" w:ascii="宋体" w:hAnsi="宋体" w:cs="宋体"/>
          <w:color w:val="000000"/>
          <w:sz w:val="24"/>
          <w:highlight w:val="none"/>
          <w:lang w:val="en-US" w:eastAsia="zh-CN"/>
        </w:rPr>
        <w:t xml:space="preserve">涉及</w:t>
      </w:r>
      <w:r>
        <w:rPr>
          <w:rFonts w:hint="eastAsia" w:ascii="宋体" w:hAnsi="宋体" w:eastAsia="宋体" w:cs="宋体"/>
          <w:color w:val="000000"/>
          <w:sz w:val="24"/>
          <w:highlight w:val="none"/>
        </w:rPr>
        <w:t xml:space="preserve">招标的单位及个人购置或提供通讯工具、交通工具和高档办公用品等。</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7、不向涉及招标的单位及个人的配偶、子女、亲属分包此次招标项目。</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8、不向涉及招标的单位及个人支付好处费、介绍费。</w:t>
      </w:r>
      <w:r>
        <w:rPr>
          <w:rFonts w:hint="eastAsia" w:ascii="宋体" w:hAnsi="宋体" w:eastAsia="宋体" w:cs="宋体"/>
          <w:color w:val="000000"/>
          <w:sz w:val="24"/>
          <w:highlight w:val="none"/>
        </w:rPr>
      </w:r>
      <w:r/>
    </w:p>
    <w:p>
      <w:pPr>
        <w:pStyle w:val="940"/>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9、一旦发现相关人员在招标过程中有索要财物等不</w:t>
      </w:r>
      <w:r>
        <w:rPr>
          <w:rFonts w:hint="eastAsia" w:ascii="宋体" w:hAnsi="宋体" w:eastAsia="宋体" w:cs="宋体"/>
          <w:color w:val="000000"/>
          <w:sz w:val="24"/>
          <w:highlight w:val="none"/>
          <w:lang w:eastAsia="zh-CN"/>
        </w:rPr>
        <w:t xml:space="preserve">廉政</w:t>
      </w:r>
      <w:r>
        <w:rPr>
          <w:rFonts w:hint="eastAsia" w:ascii="宋体" w:hAnsi="宋体" w:eastAsia="宋体" w:cs="宋体"/>
          <w:color w:val="000000"/>
          <w:sz w:val="24"/>
          <w:highlight w:val="none"/>
        </w:rPr>
        <w:t xml:space="preserve">行为，坚决予以抵制，并及时向贵局纪检监察室举报。</w:t>
      </w:r>
      <w:r>
        <w:rPr>
          <w:rFonts w:hint="eastAsia" w:ascii="宋体" w:hAnsi="宋体" w:eastAsia="宋体" w:cs="宋体"/>
          <w:color w:val="000000"/>
          <w:sz w:val="24"/>
          <w:highlight w:val="none"/>
        </w:rPr>
      </w:r>
      <w:r/>
    </w:p>
    <w:p>
      <w:pPr>
        <w:pStyle w:val="940"/>
        <w:ind w:firstLine="480"/>
        <w:spacing w:line="520" w:lineRule="exact"/>
        <w:rPr>
          <w:rFonts w:hAnsi="宋体"/>
          <w:color w:val="000000"/>
          <w:sz w:val="24"/>
          <w:highlight w:val="none"/>
        </w:rPr>
      </w:pPr>
      <w:r>
        <w:rPr>
          <w:rFonts w:hint="eastAsia" w:ascii="宋体" w:hAnsi="宋体" w:eastAsia="宋体" w:cs="宋体"/>
          <w:color w:val="000000"/>
          <w:sz w:val="24"/>
          <w:highlight w:val="none"/>
        </w:rPr>
        <w:t xml:space="preserve">我们若违反上述承</w:t>
      </w:r>
      <w:r>
        <w:rPr>
          <w:rFonts w:hint="eastAsia" w:hAnsi="宋体"/>
          <w:color w:val="000000"/>
          <w:sz w:val="24"/>
          <w:highlight w:val="none"/>
        </w:rPr>
        <w:t xml:space="preserve">诺，愿接</w:t>
      </w:r>
      <w:r>
        <w:rPr>
          <w:rFonts w:hint="eastAsia" w:hAnsi="宋体"/>
          <w:color w:val="000000"/>
          <w:sz w:val="24"/>
          <w:highlight w:val="none"/>
          <w:lang w:val="en-US" w:eastAsia="zh-CN"/>
        </w:rPr>
        <w:t xml:space="preserve">受</w:t>
      </w:r>
      <w:r>
        <w:rPr>
          <w:rFonts w:hint="eastAsia" w:hAnsi="宋体"/>
          <w:color w:val="000000"/>
          <w:sz w:val="24"/>
          <w:highlight w:val="none"/>
        </w:rPr>
        <w:t xml:space="preserve">取消投标资格及其他任何形式的处理。</w:t>
      </w:r>
      <w:r>
        <w:rPr>
          <w:rFonts w:hAnsi="宋体"/>
          <w:color w:val="000000"/>
          <w:sz w:val="24"/>
          <w:highlight w:val="none"/>
        </w:rPr>
      </w:r>
      <w:r/>
    </w:p>
    <w:p>
      <w:pPr>
        <w:pStyle w:val="940"/>
        <w:ind w:firstLine="480"/>
        <w:spacing w:line="520" w:lineRule="exact"/>
        <w:rPr>
          <w:rFonts w:hAnsi="宋体"/>
          <w:color w:val="000000"/>
          <w:sz w:val="24"/>
          <w:highlight w:val="none"/>
        </w:rPr>
      </w:pPr>
      <w:r>
        <w:rPr>
          <w:rFonts w:hAnsi="宋体"/>
          <w:color w:val="000000"/>
          <w:sz w:val="24"/>
          <w:highlight w:val="none"/>
        </w:rPr>
      </w:r>
      <w:r/>
    </w:p>
    <w:p>
      <w:pPr>
        <w:pStyle w:val="940"/>
        <w:ind w:firstLine="480"/>
        <w:spacing w:line="360" w:lineRule="auto"/>
        <w:rPr>
          <w:rFonts w:hint="eastAsia" w:hAnsi="宋体" w:eastAsia="宋体"/>
          <w:color w:val="000000"/>
          <w:sz w:val="24"/>
          <w:highlight w:val="none"/>
          <w:lang w:eastAsia="zh-CN"/>
        </w:rPr>
      </w:pP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w:t>
      </w:r>
      <w:r>
        <w:rPr>
          <w:rFonts w:hint="eastAsia" w:hAnsi="宋体"/>
          <w:color w:val="000000"/>
          <w:sz w:val="24"/>
          <w:highlight w:val="none"/>
          <w:lang w:val="en-US" w:eastAsia="zh-CN"/>
        </w:rPr>
        <w:t xml:space="preserve">盖</w:t>
      </w:r>
      <w:r>
        <w:rPr>
          <w:rFonts w:hint="eastAsia" w:hAnsi="宋体"/>
          <w:color w:val="000000"/>
          <w:sz w:val="24"/>
          <w:highlight w:val="none"/>
        </w:rPr>
        <w:t xml:space="preserve">章）：             </w:t>
      </w:r>
      <w:r>
        <w:rPr>
          <w:rFonts w:hint="eastAsia" w:hAnsi="宋体" w:eastAsia="宋体"/>
          <w:color w:val="000000"/>
          <w:sz w:val="24"/>
          <w:highlight w:val="none"/>
          <w:lang w:eastAsia="zh-CN"/>
        </w:rPr>
      </w:r>
      <w:r/>
    </w:p>
    <w:p>
      <w:pPr>
        <w:pStyle w:val="940"/>
        <w:ind w:firstLine="480"/>
        <w:spacing w:line="360" w:lineRule="auto"/>
        <w:rPr>
          <w:rFonts w:hAnsi="宋体"/>
          <w:color w:val="000000"/>
          <w:sz w:val="24"/>
          <w:highlight w:val="none"/>
        </w:rPr>
      </w:pPr>
      <w:r>
        <w:rPr>
          <w:rFonts w:hint="eastAsia" w:hAnsi="宋体"/>
          <w:color w:val="000000"/>
          <w:sz w:val="24"/>
          <w:highlight w:val="none"/>
        </w:rPr>
        <w:t xml:space="preserve">法定代表人或授权代理人：          </w:t>
      </w:r>
      <w:r>
        <w:rPr>
          <w:rFonts w:hAnsi="宋体"/>
          <w:color w:val="000000"/>
          <w:sz w:val="24"/>
          <w:highlight w:val="none"/>
        </w:rPr>
        <w:t xml:space="preserve">（</w:t>
      </w:r>
      <w:r>
        <w:rPr>
          <w:rFonts w:hint="eastAsia" w:hAnsi="宋体"/>
          <w:color w:val="000000"/>
          <w:sz w:val="24"/>
          <w:highlight w:val="none"/>
        </w:rPr>
        <w:t xml:space="preserve">签字或盖章</w:t>
      </w:r>
      <w:r>
        <w:rPr>
          <w:rFonts w:hAnsi="宋体"/>
          <w:color w:val="000000"/>
          <w:sz w:val="24"/>
          <w:highlight w:val="none"/>
        </w:rPr>
        <w:t xml:space="preserve">）</w:t>
      </w:r>
      <w:r>
        <w:rPr>
          <w:rFonts w:hAnsi="宋体"/>
          <w:color w:val="000000"/>
          <w:sz w:val="24"/>
          <w:highlight w:val="none"/>
        </w:rPr>
      </w:r>
      <w:r/>
    </w:p>
    <w:p>
      <w:pPr>
        <w:pStyle w:val="940"/>
        <w:spacing w:line="360" w:lineRule="auto"/>
        <w:shd w:val="clear" w:color="auto" w:fill="auto"/>
        <w:widowControl/>
        <w:rPr>
          <w:rFonts w:hint="eastAsia" w:hAnsi="宋体" w:cs="宋体"/>
          <w:bCs/>
          <w:color w:val="000000"/>
          <w:sz w:val="24"/>
          <w:highlight w:val="none"/>
        </w:rPr>
      </w:pPr>
      <w:r>
        <w:rPr>
          <w:rFonts w:hint="eastAsia" w:hAnsi="宋体"/>
          <w:color w:val="000000"/>
          <w:sz w:val="24"/>
          <w:highlight w:val="none"/>
        </w:rPr>
        <w:t xml:space="preserve">   </w:t>
      </w:r>
      <w:r>
        <w:rPr>
          <w:rFonts w:hint="eastAsia" w:hAnsi="宋体"/>
          <w:color w:val="000000"/>
          <w:sz w:val="24"/>
          <w:szCs w:val="22"/>
          <w:highlight w:val="none"/>
        </w:rPr>
        <w:t xml:space="preserve">    年    月     日</w:t>
      </w:r>
      <w:r>
        <w:rPr>
          <w:rFonts w:hint="eastAsia" w:hAnsi="宋体" w:cs="宋体"/>
          <w:bCs/>
          <w:color w:val="000000"/>
          <w:sz w:val="24"/>
          <w:highlight w:val="none"/>
        </w:rPr>
      </w:r>
      <w:r/>
    </w:p>
    <w:p>
      <w:pPr>
        <w:pStyle w:val="111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940"/>
        <w:rPr>
          <w:rFonts w:hint="eastAsia" w:hAnsi="宋体" w:cs="宋体"/>
          <w:bCs/>
          <w:color w:val="000000"/>
          <w:sz w:val="24"/>
          <w:highlight w:val="none"/>
        </w:rPr>
      </w:pPr>
      <w:r/>
      <w:bookmarkEnd w:id="8"/>
      <w:r>
        <w:rPr>
          <w:rFonts w:hint="eastAsia" w:hAnsi="宋体" w:cs="宋体"/>
          <w:bCs/>
          <w:color w:val="000000"/>
          <w:sz w:val="24"/>
          <w:highlight w:val="none"/>
        </w:rPr>
      </w:r>
      <w:r/>
    </w:p>
    <w:p>
      <w:pPr>
        <w:pStyle w:val="94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六</w:t>
      </w:r>
      <w:r>
        <w:rPr>
          <w:rFonts w:hint="eastAsia" w:ascii="黑体" w:hAnsi="宋体" w:eastAsia="黑体" w:cs="Times New Roman"/>
          <w:bCs/>
          <w:color w:val="000000"/>
          <w:sz w:val="24"/>
          <w:szCs w:val="24"/>
          <w:highlight w:val="none"/>
        </w:rPr>
        <w:t xml:space="preserve">）（投标供应商）中小企业声明函（格式）</w:t>
      </w:r>
      <w:r>
        <w:rPr>
          <w:rFonts w:hint="eastAsia" w:ascii="黑体" w:hAnsi="宋体" w:eastAsia="黑体" w:cs="Times New Roman"/>
          <w:bCs/>
          <w:color w:val="000000"/>
          <w:sz w:val="24"/>
          <w:szCs w:val="24"/>
          <w:highlight w:val="none"/>
        </w:rPr>
      </w:r>
      <w:r/>
    </w:p>
    <w:p>
      <w:pPr>
        <w:pStyle w:val="963"/>
        <w:ind w:left="0" w:right="0"/>
        <w:spacing w:line="360" w:lineRule="auto"/>
        <w:rPr>
          <w:rFonts w:ascii="宋体" w:hAnsi="宋体"/>
          <w:color w:val="000000"/>
          <w:highlight w:val="none"/>
        </w:rPr>
      </w:pPr>
      <w:r>
        <w:rPr>
          <w:rFonts w:hint="eastAsia" w:ascii="宋体" w:hAnsi="宋体"/>
          <w:color w:val="000000"/>
          <w:highlight w:val="none"/>
        </w:rPr>
        <w:t xml:space="preserve">一、常规说明：</w:t>
      </w:r>
      <w:r>
        <w:rPr>
          <w:rFonts w:ascii="宋体" w:hAnsi="宋体"/>
          <w:color w:val="000000"/>
          <w:highlight w:val="none"/>
        </w:rPr>
      </w:r>
      <w:r/>
    </w:p>
    <w:p>
      <w:pPr>
        <w:pStyle w:val="963"/>
        <w:ind w:left="0" w:right="0" w:firstLine="403"/>
        <w:spacing w:line="360" w:lineRule="auto"/>
        <w:rPr>
          <w:rFonts w:ascii="宋体" w:hAnsi="宋体"/>
          <w:color w:val="000000"/>
          <w:highlight w:val="none"/>
        </w:rPr>
      </w:pPr>
      <w:r>
        <w:rPr>
          <w:rFonts w:hint="eastAsia" w:ascii="宋体" w:hAnsi="宋体"/>
          <w:color w:val="000000"/>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highlight w:val="none"/>
        </w:rPr>
        <w:t xml:space="preserve">参与政府采购活动的供应商对其企业规模实行承诺制</w:t>
      </w:r>
      <w:r>
        <w:rPr>
          <w:rFonts w:hint="eastAsia" w:ascii="宋体" w:hAnsi="宋体"/>
          <w:color w:val="000000"/>
          <w:highlight w:val="none"/>
        </w:rPr>
        <w:t xml:space="preserve">，</w:t>
      </w:r>
      <w:r>
        <w:rPr>
          <w:rFonts w:ascii="宋体" w:hAnsi="宋体"/>
          <w:color w:val="000000"/>
          <w:highlight w:val="none"/>
        </w:rPr>
        <w:t xml:space="preserve">并对其声明的真实性承担法律责任，在资格审查和评审过程中无需提供证明其企业规模的其他材料</w:t>
      </w:r>
      <w:r>
        <w:rPr>
          <w:rFonts w:hint="eastAsia" w:ascii="宋体" w:hAnsi="宋体"/>
          <w:color w:val="000000"/>
          <w:highlight w:val="none"/>
        </w:rPr>
        <w:t xml:space="preserve">。</w:t>
      </w:r>
      <w:r>
        <w:rPr>
          <w:rFonts w:ascii="宋体" w:hAnsi="宋体"/>
          <w:color w:val="000000"/>
          <w:highlight w:val="none"/>
        </w:rPr>
      </w:r>
      <w:r/>
    </w:p>
    <w:p>
      <w:pPr>
        <w:pStyle w:val="963"/>
        <w:ind w:left="0" w:right="0" w:firstLine="403"/>
        <w:spacing w:line="360" w:lineRule="auto"/>
        <w:rPr>
          <w:rFonts w:ascii="宋体" w:hAnsi="宋体"/>
          <w:color w:val="000000"/>
          <w:highlight w:val="none"/>
        </w:rPr>
      </w:pPr>
      <w:r>
        <w:rPr>
          <w:rFonts w:hint="eastAsia" w:ascii="宋体" w:hAnsi="宋体"/>
          <w:color w:val="000000"/>
          <w:highlight w:val="none"/>
        </w:rPr>
        <w:t xml:space="preserve">2、中小企业声明函</w:t>
      </w:r>
      <w:r>
        <w:rPr>
          <w:rFonts w:hint="eastAsia" w:ascii="宋体" w:hAnsi="宋体"/>
          <w:b/>
          <w:bCs/>
          <w:color w:val="000000"/>
          <w:highlight w:val="none"/>
        </w:rPr>
        <w:t xml:space="preserve">不可删除</w:t>
      </w:r>
      <w:r>
        <w:rPr>
          <w:rFonts w:hint="eastAsia" w:ascii="宋体" w:hAnsi="宋体"/>
          <w:color w:val="000000"/>
          <w:highlight w:val="none"/>
        </w:rPr>
        <w:t xml:space="preserve">，投标供应商非中小企业，请将空表列入</w:t>
      </w:r>
      <w:r>
        <w:rPr>
          <w:rFonts w:hint="eastAsia" w:ascii="宋体" w:hAnsi="宋体"/>
          <w:color w:val="000000"/>
          <w:highlight w:val="none"/>
          <w:lang w:eastAsia="zh-CN"/>
        </w:rPr>
        <w:t xml:space="preserve">投标文件</w:t>
      </w:r>
      <w:r>
        <w:rPr>
          <w:rFonts w:hint="eastAsia" w:ascii="宋体" w:hAnsi="宋体"/>
          <w:color w:val="000000"/>
          <w:highlight w:val="none"/>
        </w:rPr>
        <w:t xml:space="preserve">。</w:t>
      </w:r>
      <w:r>
        <w:rPr>
          <w:rFonts w:ascii="宋体" w:hAnsi="宋体"/>
          <w:color w:val="000000"/>
          <w:highlight w:val="none"/>
        </w:rPr>
      </w:r>
      <w:r/>
    </w:p>
    <w:p>
      <w:pPr>
        <w:pStyle w:val="963"/>
        <w:ind w:left="0" w:right="0" w:firstLine="403"/>
        <w:spacing w:line="360" w:lineRule="auto"/>
        <w:rPr>
          <w:rFonts w:ascii="宋体" w:hAnsi="宋体"/>
          <w:color w:val="000000"/>
          <w:highlight w:val="none"/>
        </w:rPr>
      </w:pPr>
      <w:r>
        <w:rPr>
          <w:rFonts w:hint="eastAsia" w:ascii="宋体" w:hAnsi="宋体"/>
          <w:color w:val="000000"/>
          <w:highlight w:val="none"/>
        </w:rPr>
        <w:t xml:space="preserve">3、从业人员、营业收入、资产总额填报上</w:t>
      </w:r>
      <w:r>
        <w:rPr>
          <w:rFonts w:hint="eastAsia" w:ascii="宋体" w:hAnsi="宋体" w:cs="宋体"/>
          <w:color w:val="000000"/>
          <w:highlight w:val="none"/>
        </w:rPr>
        <w:t xml:space="preserve">一年</w:t>
      </w:r>
      <w:r>
        <w:rPr>
          <w:rFonts w:hint="eastAsia" w:ascii="宋体" w:hAnsi="宋体"/>
          <w:color w:val="000000"/>
          <w:highlight w:val="none"/>
        </w:rPr>
        <w:t xml:space="preserve">度数据，无上</w:t>
      </w:r>
      <w:r>
        <w:rPr>
          <w:rFonts w:hint="eastAsia" w:ascii="宋体" w:hAnsi="宋体" w:cs="宋体"/>
          <w:color w:val="000000"/>
          <w:highlight w:val="none"/>
        </w:rPr>
        <w:t xml:space="preserve">一年</w:t>
      </w:r>
      <w:r>
        <w:rPr>
          <w:rFonts w:hint="eastAsia" w:ascii="宋体" w:hAnsi="宋体"/>
          <w:color w:val="000000"/>
          <w:highlight w:val="none"/>
        </w:rPr>
        <w:t xml:space="preserve">度数据的新成立企业可不填报。</w:t>
      </w:r>
      <w:r>
        <w:rPr>
          <w:rFonts w:ascii="宋体" w:hAnsi="宋体"/>
          <w:color w:val="000000"/>
          <w:highlight w:val="none"/>
        </w:rPr>
      </w:r>
      <w:r/>
    </w:p>
    <w:p>
      <w:pPr>
        <w:pStyle w:val="963"/>
        <w:ind w:left="0" w:right="0" w:firstLine="403"/>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4、投标供应商需提供《中小企业声明函》方可享受价格扣除。</w:t>
      </w:r>
      <w:r>
        <w:rPr>
          <w:rFonts w:hint="eastAsia" w:ascii="宋体" w:hAnsi="宋体" w:eastAsia="宋体"/>
          <w:color w:val="000000"/>
          <w:highlight w:val="none"/>
          <w:lang w:eastAsia="zh-CN"/>
        </w:rPr>
      </w:r>
      <w:r/>
    </w:p>
    <w:p>
      <w:pPr>
        <w:pStyle w:val="963"/>
        <w:ind w:left="0" w:right="0" w:firstLine="403"/>
        <w:spacing w:line="360" w:lineRule="auto"/>
        <w:rPr>
          <w:rFonts w:ascii="宋体" w:hAnsi="宋体"/>
          <w:color w:val="000000"/>
          <w:highlight w:val="none"/>
        </w:rPr>
      </w:pPr>
      <w:r>
        <w:rPr>
          <w:rFonts w:hint="eastAsia" w:ascii="宋体" w:hAnsi="宋体"/>
          <w:color w:val="000000"/>
          <w:highlight w:val="none"/>
        </w:rPr>
        <w:t xml:space="preserve">5、在货物采购项目中，供应商提供的货物既有中小企业制造的货物，也有大型企业制造的货物的，不享受本办法规定的中小企业扶持政策。</w:t>
      </w:r>
      <w:r>
        <w:rPr>
          <w:rFonts w:ascii="宋体" w:hAnsi="宋体"/>
          <w:color w:val="000000"/>
          <w:highlight w:val="none"/>
        </w:rPr>
      </w:r>
      <w:r/>
    </w:p>
    <w:p>
      <w:pPr>
        <w:pStyle w:val="963"/>
        <w:ind w:left="0" w:right="0" w:firstLine="403"/>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eastAsia="zh-CN"/>
        </w:rPr>
        <w:t xml:space="preserve">中标、成交供应商</w:t>
      </w:r>
      <w:r>
        <w:rPr>
          <w:rFonts w:hint="eastAsia" w:ascii="宋体" w:hAnsi="宋体"/>
          <w:color w:val="000000"/>
          <w:highlight w:val="none"/>
        </w:rPr>
        <w:t xml:space="preserve">的《中小企业声明函》将随中标、成交公告进行公示。供应商提供声明函内容不实的，属于提供虚假材料谋取中标、成交，依照《中华人民共和国政府采购法》等国家有关规定追究</w:t>
      </w:r>
      <w:r>
        <w:rPr>
          <w:rFonts w:hint="eastAsia" w:ascii="宋体" w:hAnsi="宋体"/>
          <w:color w:val="000000"/>
          <w:highlight w:val="none"/>
          <w:lang w:eastAsia="zh-CN"/>
        </w:rPr>
        <w:t xml:space="preserve">相</w:t>
      </w:r>
      <w:r>
        <w:rPr>
          <w:rFonts w:hint="eastAsia" w:ascii="宋体" w:hAnsi="宋体"/>
          <w:color w:val="000000"/>
          <w:highlight w:val="none"/>
        </w:rPr>
        <w:t xml:space="preserve">应责任。</w:t>
      </w:r>
      <w:r>
        <w:rPr>
          <w:rFonts w:ascii="宋体" w:hAnsi="宋体"/>
          <w:color w:val="000000"/>
          <w:highlight w:val="none"/>
        </w:rPr>
      </w:r>
      <w:r/>
    </w:p>
    <w:p>
      <w:pPr>
        <w:pStyle w:val="940"/>
        <w:jc w:val="center"/>
        <w:spacing w:line="480" w:lineRule="auto"/>
        <w:rPr>
          <w:rFonts w:ascii="宋体" w:hAnsi="宋体"/>
          <w:color w:val="000000"/>
          <w:sz w:val="24"/>
          <w:highlight w:val="none"/>
        </w:rPr>
      </w:pPr>
      <w:r>
        <w:rPr>
          <w:rFonts w:hint="eastAsia" w:ascii="宋体" w:hAnsi="宋体"/>
          <w:b/>
          <w:bCs/>
          <w:color w:val="000000"/>
          <w:highlight w:val="none"/>
        </w:rPr>
        <w:br w:type="column"/>
      </w:r>
      <w:r>
        <w:rPr>
          <w:rFonts w:hint="eastAsia" w:ascii="黑体" w:eastAsia="黑体"/>
          <w:bCs/>
          <w:color w:val="000000"/>
          <w:sz w:val="28"/>
          <w:szCs w:val="28"/>
          <w:highlight w:val="none"/>
        </w:rPr>
        <w:t xml:space="preserve">中小企业声明函</w:t>
      </w:r>
      <w:r>
        <w:rPr>
          <w:rFonts w:ascii="宋体" w:hAnsi="宋体"/>
          <w:color w:val="000000"/>
          <w:sz w:val="24"/>
          <w:highlight w:val="none"/>
        </w:rPr>
      </w:r>
      <w:r/>
    </w:p>
    <w:p>
      <w:pPr>
        <w:pStyle w:val="940"/>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w:t>
      </w:r>
      <w:r>
        <w:rPr>
          <w:rFonts w:hint="eastAsia" w:ascii="宋体" w:hAnsi="宋体" w:cs="宋体"/>
          <w:color w:val="000000"/>
          <w:sz w:val="24"/>
          <w:highlight w:val="none"/>
        </w:rPr>
      </w:r>
      <w:r/>
    </w:p>
    <w:p>
      <w:pPr>
        <w:pStyle w:val="940"/>
        <w:ind w:firstLine="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中小企业）的具体情况如下：</w:t>
      </w:r>
      <w:r>
        <w:rPr>
          <w:rFonts w:ascii="宋体" w:hAnsi="宋体" w:cs="宋体"/>
          <w:color w:val="000000"/>
          <w:sz w:val="24"/>
          <w:highlight w:val="none"/>
        </w:rPr>
      </w:r>
      <w:r/>
    </w:p>
    <w:p>
      <w:pPr>
        <w:pStyle w:val="9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 ，属于</w:t>
      </w:r>
      <w:r>
        <w:rPr>
          <w:rFonts w:hint="eastAsia" w:ascii="宋体" w:hAnsi="宋体" w:cs="宋体"/>
          <w:color w:val="000000"/>
          <w:sz w:val="24"/>
          <w:highlight w:val="none"/>
          <w:u w:val="single"/>
        </w:rPr>
        <w:t xml:space="preserve">（招标文件中明确的所属行业）</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940"/>
        <w:ind w:firstLine="480"/>
        <w:spacing w:line="360" w:lineRule="auto"/>
        <w:rPr>
          <w:rFonts w:hint="eastAsia" w:ascii="宋体" w:hAnsi="宋体" w:eastAsia="宋体"/>
          <w:bCs/>
          <w:color w:val="000000"/>
          <w:sz w:val="24"/>
          <w:highlight w:val="none"/>
          <w:lang w:eastAsia="zh-CN"/>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olor w:val="000000"/>
          <w:sz w:val="24"/>
          <w:highlight w:val="none"/>
        </w:rPr>
        <w:t xml:space="preserve"> </w:t>
      </w:r>
      <w:r>
        <w:rPr>
          <w:rFonts w:hint="eastAsia" w:ascii="宋体" w:hAnsi="宋体" w:eastAsia="宋体"/>
          <w:bCs/>
          <w:color w:val="000000"/>
          <w:sz w:val="24"/>
          <w:highlight w:val="none"/>
          <w:lang w:eastAsia="zh-CN"/>
        </w:rPr>
      </w:r>
      <w:r/>
    </w:p>
    <w:p>
      <w:pPr>
        <w:pStyle w:val="940"/>
        <w:ind w:firstLine="4800"/>
        <w:spacing w:line="360" w:lineRule="auto"/>
        <w:rPr>
          <w:rFonts w:ascii="宋体" w:hAnsi="宋体"/>
          <w:bCs/>
          <w:color w:val="000000"/>
          <w:sz w:val="24"/>
          <w:highlight w:val="none"/>
        </w:rPr>
      </w:pPr>
      <w:r>
        <w:rPr>
          <w:rFonts w:ascii="宋体" w:hAnsi="宋体"/>
          <w:bCs/>
          <w:color w:val="000000"/>
          <w:sz w:val="24"/>
          <w:highlight w:val="none"/>
        </w:rPr>
      </w:r>
      <w:r/>
    </w:p>
    <w:p>
      <w:pPr>
        <w:pStyle w:val="940"/>
        <w:ind w:firstLine="4800"/>
        <w:spacing w:line="360" w:lineRule="auto"/>
        <w:rPr>
          <w:rFonts w:ascii="宋体" w:hAnsi="宋体"/>
          <w:bCs/>
          <w:color w:val="000000"/>
          <w:sz w:val="24"/>
          <w:highlight w:val="none"/>
        </w:rPr>
      </w:pPr>
      <w:r>
        <w:rPr>
          <w:rFonts w:hint="eastAsia" w:ascii="宋体" w:hAnsi="宋体"/>
          <w:bCs/>
          <w:color w:val="000000"/>
          <w:sz w:val="24"/>
          <w:highlight w:val="none"/>
        </w:rPr>
        <w:t xml:space="preserve">投标供应商（公章）：</w:t>
      </w:r>
      <w:r>
        <w:rPr>
          <w:rFonts w:ascii="宋体" w:hAnsi="宋体"/>
          <w:bCs/>
          <w:color w:val="000000"/>
          <w:sz w:val="24"/>
          <w:highlight w:val="none"/>
        </w:rPr>
      </w:r>
      <w:r/>
    </w:p>
    <w:p>
      <w:pPr>
        <w:pStyle w:val="940"/>
        <w:ind w:firstLine="4800"/>
        <w:spacing w:line="360" w:lineRule="auto"/>
        <w:rPr>
          <w:rFonts w:ascii="宋体" w:hAnsi="宋体"/>
          <w:bCs/>
          <w:color w:val="000000"/>
          <w:sz w:val="24"/>
          <w:highlight w:val="none"/>
        </w:rPr>
      </w:pPr>
      <w:r>
        <w:rPr>
          <w:rFonts w:hint="eastAsia" w:ascii="宋体" w:hAnsi="宋体"/>
          <w:bCs/>
          <w:color w:val="000000"/>
          <w:sz w:val="24"/>
          <w:highlight w:val="none"/>
        </w:rPr>
        <w:t xml:space="preserve">日　　　　　　期：</w:t>
      </w:r>
      <w:r>
        <w:rPr>
          <w:rFonts w:ascii="宋体" w:hAnsi="宋体"/>
          <w:bCs/>
          <w:color w:val="000000"/>
          <w:sz w:val="24"/>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rPr>
          <w:color w:val="000000"/>
          <w:highlight w:val="none"/>
        </w:rPr>
      </w:pPr>
      <w:r>
        <w:rPr>
          <w:color w:val="000000"/>
          <w:highlight w:val="none"/>
        </w:rPr>
      </w:r>
      <w:r/>
    </w:p>
    <w:p>
      <w:pPr>
        <w:pStyle w:val="940"/>
        <w:spacing w:line="360" w:lineRule="auto"/>
        <w:rPr>
          <w:rFonts w:ascii="宋体" w:hAnsi="宋体" w:cs="宋体"/>
          <w:color w:val="000000"/>
          <w:sz w:val="24"/>
          <w:szCs w:val="24"/>
          <w:highlight w:val="none"/>
        </w:rPr>
      </w:pPr>
      <w:r>
        <w:rPr>
          <w:rFonts w:ascii="宋体" w:hAnsi="宋体" w:cs="宋体"/>
          <w:b/>
          <w:bCs/>
          <w:color w:val="000000"/>
          <w:spacing w:val="-2"/>
          <w:sz w:val="24"/>
          <w:szCs w:val="24"/>
          <w:highlight w:val="none"/>
        </w:rPr>
        <w:t xml:space="preserve">注：</w:t>
      </w:r>
      <w:r>
        <w:rPr>
          <w:rFonts w:hint="eastAsia" w:ascii="宋体" w:hAnsi="宋体" w:cs="宋体"/>
          <w:color w:val="000000"/>
          <w:sz w:val="24"/>
          <w:szCs w:val="24"/>
          <w:highlight w:val="none"/>
        </w:rPr>
        <w:t xml:space="preserve">1.从业人员、营业收入、资产总额填报上</w:t>
      </w:r>
      <w:r>
        <w:rPr>
          <w:rFonts w:hint="eastAsia" w:ascii="宋体" w:hAnsi="宋体" w:cs="宋体"/>
          <w:color w:val="000000"/>
          <w:sz w:val="24"/>
          <w:szCs w:val="24"/>
          <w:highlight w:val="none"/>
          <w:lang w:val="en-US" w:eastAsia="zh-CN"/>
        </w:rPr>
        <w:t xml:space="preserve">一年</w:t>
      </w:r>
      <w:r>
        <w:rPr>
          <w:rFonts w:hint="eastAsia" w:ascii="宋体" w:hAnsi="宋体" w:cs="宋体"/>
          <w:color w:val="000000"/>
          <w:sz w:val="24"/>
          <w:szCs w:val="24"/>
          <w:highlight w:val="none"/>
        </w:rPr>
        <w:t xml:space="preserve">度数据，无上</w:t>
      </w:r>
      <w:r>
        <w:rPr>
          <w:rFonts w:hint="eastAsia" w:ascii="宋体" w:hAnsi="宋体" w:cs="宋体"/>
          <w:color w:val="000000"/>
          <w:sz w:val="24"/>
          <w:szCs w:val="24"/>
          <w:highlight w:val="none"/>
          <w:lang w:val="en-US" w:eastAsia="zh-CN"/>
        </w:rPr>
        <w:t xml:space="preserve">一年</w:t>
      </w:r>
      <w:r>
        <w:rPr>
          <w:rFonts w:hint="eastAsia" w:ascii="宋体" w:hAnsi="宋体" w:cs="宋体"/>
          <w:color w:val="000000"/>
          <w:sz w:val="24"/>
          <w:szCs w:val="24"/>
          <w:highlight w:val="none"/>
        </w:rPr>
        <w:t xml:space="preserve">度数据的新成立企业可不填报。</w:t>
      </w:r>
      <w:r>
        <w:rPr>
          <w:rFonts w:ascii="宋体" w:hAnsi="宋体" w:cs="宋体"/>
          <w:color w:val="000000"/>
          <w:sz w:val="24"/>
          <w:szCs w:val="24"/>
          <w:highlight w:val="none"/>
        </w:rPr>
      </w:r>
      <w:r/>
    </w:p>
    <w:p>
      <w:pPr>
        <w:pStyle w:val="963"/>
        <w:numPr>
          <w:ilvl w:val="0"/>
          <w:numId w:val="0"/>
        </w:numPr>
        <w:ind w:left="0" w:right="34"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eastAsia="zh-CN"/>
        </w:rPr>
        <w:t xml:space="preserve">中标、成交供应商</w:t>
      </w:r>
      <w:r>
        <w:rPr>
          <w:rFonts w:hint="eastAsia" w:ascii="宋体" w:hAnsi="宋体" w:cs="宋体"/>
          <w:color w:val="000000"/>
          <w:sz w:val="24"/>
          <w:szCs w:val="24"/>
          <w:highlight w:val="none"/>
        </w:rPr>
        <w:t xml:space="preserve">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 w:val="24"/>
          <w:szCs w:val="24"/>
          <w:highlight w:val="none"/>
        </w:rPr>
      </w:r>
      <w:r/>
    </w:p>
    <w:p>
      <w:pPr>
        <w:pStyle w:val="940"/>
        <w:ind w:firstLine="482"/>
        <w:spacing w:line="5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9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0"/>
        <w:jc w:val="left"/>
        <w:shd w:val="clear" w:color="auto" w:fill="auto"/>
        <w:rPr>
          <w:rFonts w:hint="eastAsia" w:ascii="黑体" w:hAnsi="宋体" w:eastAsia="黑体"/>
          <w:color w:val="000000"/>
          <w:sz w:val="24"/>
          <w:szCs w:val="24"/>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color w:val="000000"/>
          <w:sz w:val="24"/>
          <w:szCs w:val="24"/>
          <w:highlight w:val="none"/>
        </w:rPr>
      </w:r>
      <w:r/>
    </w:p>
    <w:p>
      <w:pPr>
        <w:pStyle w:val="940"/>
        <w:shd w:val="clear" w:color="auto" w:fill="auto"/>
        <w:rPr>
          <w:rFonts w:hint="eastAsia"/>
          <w:color w:val="000000"/>
          <w:highlight w:val="none"/>
        </w:rPr>
      </w:pPr>
      <w:r>
        <w:rPr>
          <w:rFonts w:hint="eastAsia"/>
          <w:color w:val="000000"/>
          <w:highlight w:val="none"/>
        </w:rPr>
      </w:r>
      <w:r/>
    </w:p>
    <w:p>
      <w:pPr>
        <w:pStyle w:val="940"/>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40"/>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940"/>
        <w:jc w:val="center"/>
        <w:spacing w:line="360" w:lineRule="auto"/>
        <w:shd w:val="clear" w:color="auto" w:fill="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40"/>
        <w:ind w:firstLine="480"/>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940"/>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940"/>
        <w:ind w:firstLine="480"/>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940"/>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940"/>
        <w:spacing w:line="440" w:lineRule="exact"/>
        <w:shd w:val="clear" w:color="auto" w:fill="auto"/>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940"/>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940"/>
        <w:jc w:val="right"/>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940"/>
        <w:jc w:val="right"/>
        <w:spacing w:line="440" w:lineRule="exact"/>
        <w:shd w:val="clear" w:color="auto" w:fill="auto"/>
        <w:rPr>
          <w:rFonts w:hAnsi="宋体" w:cs="宋体"/>
          <w:color w:val="000000"/>
          <w:sz w:val="24"/>
          <w:highlight w:val="none"/>
        </w:rPr>
        <w:outlineLvl w:val="0"/>
      </w:pPr>
      <w:r>
        <w:rPr>
          <w:rFonts w:hAnsi="宋体" w:cs="宋体"/>
          <w:color w:val="000000"/>
          <w:sz w:val="24"/>
          <w:highlight w:val="none"/>
        </w:rPr>
      </w:r>
      <w:r/>
    </w:p>
    <w:p>
      <w:pPr>
        <w:pStyle w:val="940"/>
        <w:jc w:val="right"/>
        <w:spacing w:line="440" w:lineRule="exact"/>
        <w:shd w:val="clear" w:color="auto" w:fill="auto"/>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0"/>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111"/>
        <w:rPr>
          <w:rFonts w:hint="eastAsia"/>
          <w:color w:val="000000"/>
          <w:highlight w:val="none"/>
        </w:rPr>
      </w:pPr>
      <w:r>
        <w:rPr>
          <w:rFonts w:hint="eastAsia"/>
          <w:color w:val="000000"/>
          <w:highlight w:val="none"/>
        </w:rPr>
      </w:r>
      <w:r/>
    </w:p>
    <w:p>
      <w:pPr>
        <w:pStyle w:val="1111"/>
        <w:rPr>
          <w:rFonts w:hint="eastAsia"/>
          <w:color w:val="000000"/>
          <w:highlight w:val="none"/>
        </w:rPr>
      </w:pPr>
      <w:r>
        <w:rPr>
          <w:rFonts w:hint="eastAsia"/>
          <w:color w:val="000000"/>
          <w:highlight w:val="none"/>
        </w:rPr>
      </w:r>
      <w:r/>
    </w:p>
    <w:p>
      <w:pPr>
        <w:pStyle w:val="940"/>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940"/>
        <w:jc w:val="left"/>
        <w:shd w:val="clear" w:color="auto" w:fill="auto"/>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八</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940"/>
        <w:jc w:val="center"/>
        <w:spacing w:line="400" w:lineRule="exact"/>
        <w:shd w:val="clear" w:color="auto" w:fill="auto"/>
        <w:rPr>
          <w:rFonts w:hint="eastAsia" w:ascii="宋体" w:hAnsi="宋体" w:eastAsia="宋体" w:cs="宋体"/>
          <w:bCs/>
          <w:color w:val="000000"/>
          <w:sz w:val="28"/>
          <w:szCs w:val="28"/>
          <w:highlight w:val="none"/>
        </w:rPr>
        <w:outlineLvl w:val="0"/>
      </w:pPr>
      <w:r>
        <w:rPr>
          <w:rFonts w:hint="eastAsia" w:ascii="黑体" w:hAnsi="Times New Roman" w:eastAsia="黑体" w:cs="Times New Roman"/>
          <w:bCs/>
          <w:color w:val="000000"/>
          <w:sz w:val="28"/>
          <w:szCs w:val="28"/>
          <w:highlight w:val="none"/>
        </w:rPr>
        <w:t xml:space="preserve">投标偏离表</w:t>
      </w:r>
      <w:r>
        <w:rPr>
          <w:rFonts w:hint="eastAsia" w:ascii="宋体" w:hAnsi="宋体" w:eastAsia="宋体" w:cs="宋体"/>
          <w:bCs/>
          <w:color w:val="000000"/>
          <w:sz w:val="28"/>
          <w:szCs w:val="28"/>
          <w:highlight w:val="none"/>
        </w:rPr>
      </w:r>
      <w:r/>
    </w:p>
    <w:p>
      <w:pPr>
        <w:pStyle w:val="940"/>
        <w:spacing w:line="400" w:lineRule="exact"/>
        <w:shd w:val="clear" w:color="auto" w:fill="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名称（盖章）                  </w:t>
      </w:r>
      <w:r>
        <w:rPr>
          <w:rFonts w:hint="eastAsia"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政府采购编号：</w:t>
      </w:r>
      <w:r>
        <w:rPr>
          <w:rFonts w:hint="eastAsia" w:ascii="宋体" w:hAnsi="宋体" w:eastAsia="宋体" w:cs="宋体"/>
          <w:bCs/>
          <w:color w:val="000000"/>
          <w:sz w:val="24"/>
          <w:highlight w:val="none"/>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名称</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采购要求</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实报内容</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偏离说明</w:t>
            </w:r>
            <w:r>
              <w:rPr>
                <w:rFonts w:hint="eastAsia" w:ascii="宋体" w:hAnsi="宋体" w:eastAsia="宋体" w:cs="宋体"/>
                <w:b/>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940"/>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40"/>
        <w:shd w:val="clear" w:color="auto" w:fill="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color w:val="000000"/>
          <w:sz w:val="24"/>
          <w:highlight w:val="none"/>
        </w:rPr>
      </w:r>
      <w:r/>
    </w:p>
    <w:p>
      <w:pPr>
        <w:pStyle w:val="940"/>
        <w:spacing w:line="360" w:lineRule="auto"/>
        <w:rPr>
          <w:rFonts w:hint="eastAsia" w:ascii="宋体"/>
          <w:b/>
          <w:bCs/>
          <w:color w:val="000000"/>
          <w:sz w:val="24"/>
          <w:highlight w:val="none"/>
        </w:rPr>
      </w:pPr>
      <w:r>
        <w:rPr>
          <w:rFonts w:hint="eastAsia" w:ascii="宋体"/>
          <w:b/>
          <w:bCs/>
          <w:color w:val="000000"/>
          <w:sz w:val="24"/>
          <w:highlight w:val="none"/>
        </w:rPr>
      </w:r>
      <w:r/>
    </w:p>
    <w:p>
      <w:pPr>
        <w:pStyle w:val="940"/>
        <w:spacing w:line="360" w:lineRule="auto"/>
        <w:rPr>
          <w:rFonts w:hint="eastAsia" w:ascii="宋体"/>
          <w:b/>
          <w:bCs/>
          <w:color w:val="000000"/>
          <w:sz w:val="24"/>
          <w:highlight w:val="none"/>
        </w:rPr>
      </w:pPr>
      <w:r>
        <w:rPr>
          <w:rFonts w:hint="eastAsia" w:ascii="宋体"/>
          <w:b/>
          <w:bCs/>
          <w:color w:val="000000"/>
          <w:sz w:val="24"/>
          <w:highlight w:val="none"/>
        </w:rPr>
      </w:r>
      <w:r/>
    </w:p>
    <w:p>
      <w:pPr>
        <w:pStyle w:val="940"/>
        <w:spacing w:line="360" w:lineRule="auto"/>
        <w:rPr>
          <w:rFonts w:hint="eastAsia" w:ascii="宋体" w:hAnsi="宋体" w:eastAsia="宋体" w:cs="宋体"/>
          <w:bCs/>
          <w:color w:val="000000"/>
          <w:sz w:val="30"/>
          <w:highlight w:val="none"/>
        </w:rPr>
      </w:pPr>
      <w:r>
        <w:rPr>
          <w:rFonts w:hint="eastAsia" w:ascii="宋体"/>
          <w:b/>
          <w:bCs/>
          <w:color w:val="000000"/>
          <w:sz w:val="24"/>
          <w:highlight w:val="none"/>
        </w:rPr>
        <w:t xml:space="preserve">注：</w:t>
      </w:r>
      <w:r>
        <w:rPr>
          <w:rFonts w:hint="eastAsia" w:ascii="宋体" w:hAnsi="宋体" w:eastAsia="宋体" w:cs="宋体"/>
          <w:bCs/>
          <w:color w:val="000000"/>
          <w:sz w:val="30"/>
          <w:highlight w:val="none"/>
        </w:rPr>
      </w:r>
      <w:r/>
    </w:p>
    <w:p>
      <w:pPr>
        <w:pStyle w:val="940"/>
        <w:spacing w:line="360" w:lineRule="auto"/>
        <w:rPr>
          <w:rFonts w:ascii="宋体"/>
          <w:color w:val="000000"/>
          <w:sz w:val="24"/>
          <w:highlight w:val="none"/>
        </w:rPr>
      </w:pPr>
      <w:r>
        <w:rPr>
          <w:rFonts w:hint="eastAsia" w:ascii="宋体"/>
          <w:color w:val="000000"/>
          <w:sz w:val="24"/>
          <w:highlight w:val="none"/>
        </w:rPr>
        <w:t xml:space="preserve">（1）本表不得删除；</w:t>
      </w:r>
      <w:r>
        <w:rPr>
          <w:rFonts w:ascii="宋体"/>
          <w:color w:val="000000"/>
          <w:sz w:val="24"/>
          <w:highlight w:val="none"/>
        </w:rPr>
      </w:r>
      <w:r/>
    </w:p>
    <w:p>
      <w:pPr>
        <w:pStyle w:val="940"/>
        <w:spacing w:line="360" w:lineRule="auto"/>
        <w:rPr>
          <w:rFonts w:ascii="宋体"/>
          <w:color w:val="000000"/>
          <w:sz w:val="24"/>
          <w:highlight w:val="none"/>
        </w:rPr>
      </w:pPr>
      <w:r>
        <w:rPr>
          <w:rFonts w:hint="eastAsia" w:ascii="宋体"/>
          <w:color w:val="000000"/>
          <w:sz w:val="24"/>
          <w:highlight w:val="none"/>
        </w:rPr>
        <w:t xml:space="preserve">（2）投标供应商应根据采购文件要求认真填写，如无任何技术偏离，在“偏离说明”中注明“无偏离”；</w:t>
      </w:r>
      <w:r>
        <w:rPr>
          <w:rFonts w:ascii="宋体"/>
          <w:color w:val="000000"/>
          <w:sz w:val="24"/>
          <w:highlight w:val="none"/>
        </w:rPr>
      </w:r>
      <w:r/>
    </w:p>
    <w:p>
      <w:pPr>
        <w:pStyle w:val="940"/>
        <w:spacing w:line="360" w:lineRule="auto"/>
        <w:rPr>
          <w:rFonts w:hint="eastAsia" w:ascii="宋体"/>
          <w:color w:val="000000"/>
          <w:sz w:val="24"/>
          <w:highlight w:val="none"/>
        </w:rPr>
      </w:pPr>
      <w:r>
        <w:rPr>
          <w:rFonts w:hint="eastAsia" w:ascii="宋体"/>
          <w:color w:val="000000"/>
          <w:sz w:val="24"/>
          <w:highlight w:val="none"/>
        </w:rPr>
        <w:t xml:space="preserve">（3）如有技术偏离项，请于本表中列明偏离内容，如需要可自行延长，其余无偏离内容不须赘述；</w:t>
      </w:r>
      <w:r>
        <w:rPr>
          <w:rFonts w:hint="eastAsia" w:ascii="宋体"/>
          <w:color w:val="000000"/>
          <w:sz w:val="24"/>
          <w:highlight w:val="none"/>
        </w:rPr>
      </w:r>
      <w:r/>
    </w:p>
    <w:p>
      <w:pPr>
        <w:pStyle w:val="1111"/>
        <w:rPr>
          <w:rFonts w:hint="eastAsia"/>
          <w:color w:val="000000"/>
          <w:highlight w:val="none"/>
        </w:rPr>
      </w:pPr>
      <w:r>
        <w:rPr>
          <w:rFonts w:hint="eastAsia"/>
          <w:color w:val="000000"/>
          <w:highlight w:val="none"/>
        </w:rPr>
      </w:r>
      <w:r/>
    </w:p>
    <w:p>
      <w:pPr>
        <w:pStyle w:val="1111"/>
        <w:rPr>
          <w:rFonts w:hint="eastAsia"/>
          <w:color w:val="000000"/>
          <w:highlight w:val="none"/>
        </w:rPr>
      </w:pPr>
      <w:r>
        <w:rPr>
          <w:rFonts w:hint="eastAsia"/>
          <w:color w:val="000000"/>
          <w:highlight w:val="none"/>
        </w:rPr>
      </w:r>
      <w:r/>
    </w:p>
    <w:p>
      <w:pPr>
        <w:pStyle w:val="964"/>
        <w:rPr>
          <w:rFonts w:hint="eastAsia"/>
          <w:color w:val="000000"/>
          <w:highlight w:val="none"/>
        </w:rPr>
      </w:pPr>
      <w:r>
        <w:rPr>
          <w:rFonts w:hint="eastAsia"/>
          <w:color w:val="000000"/>
          <w:highlight w:val="none"/>
        </w:rPr>
      </w:r>
      <w:r/>
    </w:p>
    <w:p>
      <w:pPr>
        <w:pStyle w:val="94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40"/>
        <w:rPr>
          <w:rFonts w:hint="eastAsia" w:ascii="黑体" w:hAnsi="宋体" w:eastAsia="黑体"/>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九</w:t>
      </w:r>
      <w:r>
        <w:rPr>
          <w:rFonts w:hint="eastAsia" w:ascii="黑体" w:hAnsi="宋体" w:eastAsia="黑体"/>
          <w:bCs/>
          <w:color w:val="000000"/>
          <w:sz w:val="24"/>
          <w:szCs w:val="24"/>
          <w:highlight w:val="none"/>
        </w:rPr>
        <w:t xml:space="preserve">）开标一览表（格式）</w:t>
      </w:r>
      <w:r>
        <w:rPr>
          <w:rFonts w:hint="eastAsia" w:ascii="黑体" w:hAnsi="宋体" w:eastAsia="黑体"/>
          <w:color w:val="000000"/>
          <w:sz w:val="24"/>
          <w:szCs w:val="24"/>
          <w:highlight w:val="none"/>
        </w:rPr>
      </w:r>
      <w:r/>
    </w:p>
    <w:p>
      <w:pPr>
        <w:pStyle w:val="940"/>
        <w:ind w:firstLine="480"/>
        <w:spacing w:line="400" w:lineRule="exact"/>
        <w:rPr>
          <w:rFonts w:hint="eastAsia"/>
          <w:color w:val="000000"/>
          <w:sz w:val="24"/>
          <w:highlight w:val="none"/>
        </w:rPr>
      </w:pPr>
      <w:r>
        <w:rPr>
          <w:rFonts w:hint="eastAsia"/>
          <w:color w:val="000000"/>
          <w:sz w:val="24"/>
          <w:highlight w:val="none"/>
        </w:rPr>
      </w:r>
      <w:r/>
    </w:p>
    <w:p>
      <w:pPr>
        <w:pStyle w:val="940"/>
        <w:jc w:val="center"/>
        <w:rPr>
          <w:rFonts w:hint="eastAsia" w:hAnsi="宋体" w:eastAsia="黑体" w:cs="宋体"/>
          <w:bCs/>
          <w:color w:val="000000"/>
          <w:sz w:val="30"/>
          <w:szCs w:val="30"/>
          <w:highlight w:val="none"/>
          <w:lang w:eastAsia="zh-CN"/>
        </w:rPr>
        <w:outlineLvl w:val="0"/>
      </w:pPr>
      <w:r>
        <w:rPr>
          <w:rFonts w:hint="eastAsia" w:ascii="黑体" w:eastAsia="黑体"/>
          <w:bCs/>
          <w:color w:val="000000"/>
          <w:sz w:val="36"/>
          <w:szCs w:val="36"/>
          <w:highlight w:val="none"/>
        </w:rPr>
        <w:t xml:space="preserve">开标一览表</w:t>
      </w:r>
      <w:r>
        <w:rPr>
          <w:rFonts w:hint="eastAsia" w:hAnsi="宋体" w:eastAsia="黑体" w:cs="宋体"/>
          <w:bCs/>
          <w:color w:val="000000"/>
          <w:sz w:val="30"/>
          <w:szCs w:val="30"/>
          <w:highlight w:val="none"/>
          <w:lang w:eastAsia="zh-CN"/>
        </w:rPr>
      </w:r>
      <w:r/>
    </w:p>
    <w:p>
      <w:pPr>
        <w:pStyle w:val="940"/>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pStyle w:val="940"/>
        <w:spacing w:line="300" w:lineRule="auto"/>
        <w:shd w:val="clear" w:color="auto" w:fill="auto"/>
        <w:rPr>
          <w:rFonts w:hint="eastAsia" w:hAnsi="宋体" w:cs="宋体"/>
          <w:bCs/>
          <w:color w:val="000000"/>
          <w:sz w:val="24"/>
          <w:highlight w:val="none"/>
        </w:rPr>
      </w:pPr>
      <w:r>
        <w:rPr>
          <w:rFonts w:hint="eastAsia" w:hAnsi="宋体" w:cs="宋体"/>
          <w:color w:val="000000"/>
          <w:sz w:val="24"/>
          <w:highlight w:val="none"/>
          <w:lang w:val="en-US" w:eastAsia="zh-CN"/>
        </w:rPr>
        <w:t xml:space="preserve">投标</w:t>
      </w:r>
      <w:r>
        <w:rPr>
          <w:rFonts w:hint="eastAsia" w:hAnsi="宋体" w:cs="宋体"/>
          <w:color w:val="000000"/>
          <w:sz w:val="24"/>
          <w:highlight w:val="none"/>
        </w:rPr>
        <w:t xml:space="preserve">供应商全称（加盖公章）：  </w:t>
      </w:r>
      <w:r>
        <w:rPr>
          <w:rFonts w:hint="eastAsia" w:hAnsi="宋体" w:cs="宋体"/>
          <w:color w:val="000000"/>
          <w:sz w:val="24"/>
          <w:szCs w:val="28"/>
          <w:highlight w:val="none"/>
        </w:rPr>
        <w:t xml:space="preserve"> </w:t>
      </w:r>
      <w:r>
        <w:rPr>
          <w:rFonts w:hint="eastAsia" w:hAnsi="宋体" w:cs="宋体"/>
          <w:color w:val="000000"/>
          <w:sz w:val="24"/>
          <w:szCs w:val="28"/>
          <w:highlight w:val="none"/>
          <w:lang w:val="en-US" w:eastAsia="zh-CN"/>
        </w:rPr>
        <w:t xml:space="preserve">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rPr>
          <w:rFonts w:hint="eastAsia" w:hAnsi="宋体" w:cs="宋体"/>
          <w:bCs/>
          <w:color w:val="000000"/>
          <w:sz w:val="24"/>
          <w:highlight w:val="none"/>
        </w:rPr>
      </w:r>
      <w:r/>
    </w:p>
    <w:tbl>
      <w:tblPr>
        <w:tblW w:w="8912" w:type="dxa"/>
        <w:tblInd w:w="-120" w:type="dxa"/>
        <w:tblLayout w:type="fixed"/>
        <w:tblCellMar>
          <w:left w:w="108" w:type="dxa"/>
          <w:top w:w="0" w:type="dxa"/>
          <w:right w:w="108" w:type="dxa"/>
          <w:bottom w:w="0" w:type="dxa"/>
        </w:tblCellMar>
        <w:tblLook w:val="04A0" w:firstRow="1" w:lastRow="0" w:firstColumn="1" w:lastColumn="0" w:noHBand="0" w:noVBand="1"/>
      </w:tblPr>
      <w:tblGrid>
        <w:gridCol w:w="2597"/>
        <w:gridCol w:w="6315"/>
      </w:tblGrid>
      <w:tr>
        <w:trPr>
          <w:trHeight w:val="1244"/>
        </w:trPr>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940"/>
              <w:jc w:val="center"/>
              <w:shd w:val="clear" w:color="auto" w:fill="auto"/>
              <w:widowControl/>
              <w:rPr>
                <w:rFonts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项目名称</w:t>
            </w:r>
            <w:r>
              <w:rPr>
                <w:rFonts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315" w:type="dxa"/>
            <w:vAlign w:val="center"/>
            <w:textDirection w:val="lrTb"/>
            <w:noWrap w:val="false"/>
          </w:tcPr>
          <w:p>
            <w:pPr>
              <w:pStyle w:val="940"/>
              <w:jc w:val="left"/>
              <w:shd w:val="clear" w:color="auto" w:fill="auto"/>
              <w:widowControl/>
              <w:rPr>
                <w:rFonts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区政务网安全升级设备租赁项目</w:t>
            </w:r>
            <w:r>
              <w:rPr>
                <w:rFonts w:hAnsi="宋体" w:eastAsia="宋体" w:cs="宋体"/>
                <w:color w:val="000000"/>
                <w:sz w:val="24"/>
                <w:highlight w:val="none"/>
                <w:lang w:val="en-US" w:eastAsia="zh-CN"/>
              </w:rPr>
            </w:r>
            <w:r/>
          </w:p>
        </w:tc>
      </w:tr>
      <w:tr>
        <w:trPr>
          <w:trHeight w:val="1244"/>
        </w:trPr>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940"/>
              <w:jc w:val="center"/>
              <w:shd w:val="clear" w:color="auto" w:fill="auto"/>
              <w:widowControl/>
              <w:rPr>
                <w:rFonts w:hint="eastAsia" w:hAnsi="宋体" w:eastAsia="宋体" w:cs="宋体"/>
                <w:color w:val="000000"/>
                <w:sz w:val="24"/>
                <w:highlight w:val="none"/>
                <w:lang w:eastAsia="zh-CN"/>
              </w:rPr>
            </w:pPr>
            <w:r>
              <w:rPr>
                <w:rFonts w:hint="eastAsia" w:hAnsi="宋体" w:cs="宋体"/>
                <w:color w:val="000000"/>
                <w:sz w:val="24"/>
                <w:highlight w:val="none"/>
              </w:rPr>
              <w:t xml:space="preserve">项目总报价</w:t>
            </w:r>
            <w:r>
              <w:rPr>
                <w:rFonts w:hint="eastAsia" w:hAnsi="宋体" w:eastAsia="宋体" w:cs="宋体"/>
                <w:color w:val="000000"/>
                <w:sz w:val="24"/>
                <w:highlight w:val="none"/>
                <w:lang w:eastAsia="zh-CN"/>
              </w:rPr>
            </w:r>
            <w:r/>
          </w:p>
          <w:p>
            <w:pPr>
              <w:pStyle w:val="940"/>
              <w:jc w:val="center"/>
              <w:shd w:val="clear" w:color="auto" w:fill="auto"/>
              <w:widowControl/>
              <w:rPr>
                <w:rFonts w:hint="eastAsia" w:hAnsi="宋体" w:eastAsia="宋体" w:cs="宋体"/>
                <w:color w:val="000000"/>
                <w:sz w:val="24"/>
                <w:highlight w:val="none"/>
                <w:lang w:eastAsia="zh-CN"/>
              </w:rPr>
            </w:pPr>
            <w:r>
              <w:rPr>
                <w:rFonts w:hint="eastAsia"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315" w:type="dxa"/>
            <w:vAlign w:val="center"/>
            <w:textDirection w:val="lrTb"/>
            <w:noWrap w:val="false"/>
          </w:tcPr>
          <w:p>
            <w:pPr>
              <w:pStyle w:val="94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小写金额：         元</w:t>
            </w:r>
            <w:r>
              <w:rPr>
                <w:color w:val="000000"/>
                <w:highlight w:val="none"/>
              </w:rPr>
            </w:r>
            <w:r/>
          </w:p>
          <w:p>
            <w:pPr>
              <w:pStyle w:val="94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40"/>
              <w:jc w:val="left"/>
              <w:shd w:val="clear" w:color="auto" w:fill="auto"/>
              <w:widowControl/>
              <w:rPr>
                <w:rFonts w:hAnsi="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大写金额：         元</w:t>
            </w:r>
            <w:r>
              <w:rPr>
                <w:rFonts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940"/>
              <w:jc w:val="center"/>
              <w:shd w:val="clear" w:color="auto" w:fill="auto"/>
              <w:widowControl/>
              <w:rPr>
                <w:rFonts w:hint="eastAsia" w:ascii="宋体" w:hAnsi="宋体" w:cs="宋体"/>
                <w:color w:val="000000"/>
                <w:sz w:val="24"/>
                <w:szCs w:val="24"/>
                <w:highlight w:val="none"/>
              </w:rPr>
            </w:pPr>
            <w:r>
              <w:rPr>
                <w:rFonts w:hint="eastAsia" w:ascii="宋体" w:hAnsi="宋体" w:eastAsia="宋体" w:cs="宋体"/>
                <w:bCs w:val="0"/>
                <w:color w:val="000000"/>
                <w:sz w:val="24"/>
                <w:highlight w:val="none"/>
              </w:rPr>
              <w:t xml:space="preserve">服务期限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5" w:type="dxa"/>
            <w:vAlign w:val="center"/>
            <w:textDirection w:val="lrTb"/>
            <w:noWrap w:val="false"/>
          </w:tcPr>
          <w:p>
            <w:pPr>
              <w:pStyle w:val="940"/>
              <w:jc w:val="both"/>
              <w:shd w:val="clear" w:color="auto" w:fill="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完工期：</w:t>
            </w:r>
            <w:r>
              <w:rPr>
                <w:rFonts w:hint="eastAsia" w:ascii="宋体" w:hAnsi="宋体"/>
                <w:bCs/>
                <w:color w:val="000000"/>
                <w:sz w:val="24"/>
                <w:szCs w:val="24"/>
                <w:highlight w:val="none"/>
              </w:rPr>
            </w:r>
            <w:r/>
          </w:p>
          <w:p>
            <w:pPr>
              <w:pStyle w:val="940"/>
              <w:jc w:val="both"/>
              <w:shd w:val="clear" w:color="auto" w:fill="auto"/>
              <w:widowControl/>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服务期：</w:t>
            </w:r>
            <w:r>
              <w:rPr>
                <w:rFonts w:hint="eastAsia" w:ascii="宋体" w:hAnsi="宋体"/>
                <w:bCs/>
                <w:color w:val="000000"/>
                <w:sz w:val="24"/>
                <w:szCs w:val="24"/>
                <w:highlight w:val="none"/>
                <w:lang w:eastAsia="zh-CN"/>
              </w:rPr>
            </w:r>
            <w:r/>
          </w:p>
        </w:tc>
      </w:tr>
      <w:tr>
        <w:trPr>
          <w:trHeight w:val="935"/>
        </w:trPr>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940"/>
              <w:jc w:val="center"/>
              <w:shd w:val="clear" w:color="auto" w:fill="auto"/>
              <w:widowControl/>
              <w:rPr>
                <w:rFonts w:hint="eastAsia" w:ascii="宋体" w:hAnsi="宋体" w:eastAsia="宋体" w:cs="宋体"/>
                <w:color w:val="000000"/>
                <w:sz w:val="24"/>
                <w:highlight w:val="none"/>
                <w:lang w:val="en-US" w:eastAsia="zh-CN"/>
              </w:rPr>
            </w:pPr>
            <w:r>
              <w:rPr>
                <w:rFonts w:hint="eastAsia" w:ascii="宋体" w:hAnsi="宋体" w:eastAsia="宋体" w:cs="宋体"/>
                <w:bCs w:val="0"/>
                <w:color w:val="000000"/>
                <w:sz w:val="24"/>
                <w:highlight w:val="none"/>
              </w:rPr>
              <w:t xml:space="preserve">服务</w:t>
            </w:r>
            <w:r>
              <w:rPr>
                <w:rFonts w:hint="eastAsia" w:ascii="宋体" w:hAnsi="宋体" w:eastAsia="宋体" w:cs="宋体"/>
                <w:i w:val="0"/>
                <w:iCs w:val="0"/>
                <w:caps w:val="0"/>
                <w:color w:val="000000"/>
                <w:spacing w:val="0"/>
                <w:sz w:val="24"/>
                <w:szCs w:val="24"/>
                <w:highlight w:val="none"/>
                <w:shd w:val="clear" w:color="auto" w:fill="auto"/>
              </w:rPr>
              <w:t xml:space="preserve">质量标准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315" w:type="dxa"/>
            <w:vAlign w:val="center"/>
            <w:textDirection w:val="lrTb"/>
            <w:noWrap w:val="false"/>
          </w:tcPr>
          <w:p>
            <w:pPr>
              <w:pStyle w:val="940"/>
              <w:jc w:val="center"/>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lang w:eastAsia="zh-CN"/>
              </w:rPr>
              <w:t xml:space="preserve">合格，符合采购人需求</w:t>
            </w:r>
            <w:r>
              <w:rPr>
                <w:rFonts w:hint="eastAsia" w:ascii="宋体" w:hAnsi="宋体" w:eastAsia="宋体" w:cs="宋体"/>
                <w:color w:val="000000"/>
                <w:sz w:val="24"/>
                <w:szCs w:val="24"/>
                <w:highlight w:val="none"/>
                <w:lang w:val="en-US" w:eastAsia="zh-CN"/>
              </w:rPr>
            </w:r>
            <w:r/>
          </w:p>
        </w:tc>
      </w:tr>
    </w:tbl>
    <w:p>
      <w:pPr>
        <w:pStyle w:val="940"/>
        <w:spacing w:line="360" w:lineRule="auto"/>
        <w:shd w:val="clear" w:color="auto" w:fill="auto"/>
        <w:rPr>
          <w:rFonts w:hint="eastAsia" w:hAnsi="宋体"/>
          <w:color w:val="000000"/>
          <w:sz w:val="24"/>
          <w:highlight w:val="none"/>
        </w:rPr>
      </w:pPr>
      <w:r>
        <w:rPr>
          <w:rFonts w:hint="eastAsia" w:hAnsi="宋体"/>
          <w:color w:val="000000"/>
          <w:sz w:val="24"/>
          <w:highlight w:val="none"/>
        </w:rPr>
      </w:r>
      <w:r/>
    </w:p>
    <w:p>
      <w:pPr>
        <w:pStyle w:val="1121"/>
        <w:shd w:val="clear" w:color="auto" w:fill="auto"/>
        <w:rPr>
          <w:rFonts w:hint="eastAsia"/>
          <w:color w:val="000000"/>
          <w:highlight w:val="none"/>
        </w:rPr>
      </w:pPr>
      <w:r>
        <w:rPr>
          <w:rFonts w:hint="eastAsia"/>
          <w:color w:val="000000"/>
          <w:highlight w:val="none"/>
        </w:rPr>
      </w:r>
      <w:r/>
    </w:p>
    <w:p>
      <w:pPr>
        <w:pStyle w:val="940"/>
        <w:jc w:val="left"/>
        <w:spacing w:line="240" w:lineRule="auto"/>
        <w:shd w:val="clear" w:color="auto" w:fill="auto"/>
        <w:widowControl/>
        <w:rPr>
          <w:rFonts w:hAnsi="宋体"/>
          <w:color w:val="000000"/>
          <w:sz w:val="24"/>
          <w:highlight w:val="none"/>
        </w:rPr>
      </w:pPr>
      <w:r>
        <w:rPr>
          <w:rFonts w:hint="eastAsia" w:hAnsi="宋体"/>
          <w:color w:val="000000"/>
          <w:sz w:val="24"/>
          <w:highlight w:val="none"/>
        </w:rPr>
        <w:t xml:space="preserve">法定代表人或授权代表签字</w:t>
      </w:r>
      <w:r>
        <w:rPr>
          <w:rFonts w:hint="eastAsia" w:ascii="宋体" w:hAnsi="宋体" w:eastAsia="宋体" w:cs="宋体"/>
          <w:color w:val="000000"/>
          <w:sz w:val="24"/>
          <w:szCs w:val="24"/>
          <w:highlight w:val="none"/>
          <w:lang w:val="en-US" w:eastAsia="zh-CN" w:bidi="ar"/>
        </w:rPr>
        <w:t xml:space="preserve">或盖章</w:t>
      </w:r>
      <w:r>
        <w:rPr>
          <w:rFonts w:hint="eastAsia" w:hAnsi="宋体"/>
          <w:color w:val="000000"/>
          <w:sz w:val="24"/>
          <w:highlight w:val="none"/>
        </w:rPr>
        <w:t xml:space="preserve">：                    日期：   年   月   日</w:t>
      </w:r>
      <w:r>
        <w:rPr>
          <w:rFonts w:hAnsi="宋体"/>
          <w:color w:val="000000"/>
          <w:sz w:val="24"/>
          <w:highlight w:val="none"/>
        </w:rPr>
      </w:r>
      <w:r/>
    </w:p>
    <w:p>
      <w:pPr>
        <w:pStyle w:val="940"/>
        <w:spacing w:line="360" w:lineRule="auto"/>
        <w:rPr>
          <w:rFonts w:hAnsi="宋体"/>
          <w:color w:val="000000"/>
          <w:sz w:val="24"/>
          <w:highlight w:val="none"/>
        </w:rPr>
      </w:pPr>
      <w:r>
        <w:rPr>
          <w:rFonts w:hAnsi="宋体"/>
          <w:color w:val="000000"/>
          <w:sz w:val="24"/>
          <w:highlight w:val="none"/>
        </w:rPr>
      </w:r>
      <w:r/>
    </w:p>
    <w:p>
      <w:pPr>
        <w:pStyle w:val="940"/>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940"/>
        <w:numPr>
          <w:ilvl w:val="0"/>
          <w:numId w:val="0"/>
        </w:numPr>
        <w:ind w:left="0" w:firstLine="480"/>
        <w:spacing w:line="360" w:lineRule="auto"/>
        <w:rPr>
          <w:rFonts w:hint="eastAsia" w:hAnsi="宋体"/>
          <w:b w:val="0"/>
          <w:bCs/>
          <w:color w:val="000000"/>
          <w:sz w:val="24"/>
          <w:highlight w:val="none"/>
        </w:rPr>
      </w:pPr>
      <w:r>
        <w:rPr>
          <w:rFonts w:hint="eastAsia" w:ascii="Times New Roman" w:hAnsi="宋体" w:eastAsia="宋体" w:cs="Times New Roman"/>
          <w:b w:val="0"/>
          <w:bCs/>
          <w:color w:val="000000"/>
          <w:sz w:val="24"/>
          <w:szCs w:val="24"/>
          <w:highlight w:val="none"/>
          <w:lang w:val="en-US" w:eastAsia="zh-CN" w:bidi="ar-SA"/>
        </w:rPr>
        <w:t xml:space="preserve">1、</w:t>
      </w:r>
      <w:r>
        <w:rPr>
          <w:rFonts w:hint="eastAsia" w:hAnsi="宋体"/>
          <w:b w:val="0"/>
          <w:bCs/>
          <w:color w:val="000000"/>
          <w:sz w:val="24"/>
          <w:highlight w:val="none"/>
        </w:rPr>
        <w:t xml:space="preserve">开标一览表中的内容应与</w:t>
      </w:r>
      <w:r>
        <w:rPr>
          <w:rFonts w:hint="eastAsia" w:hAnsi="宋体"/>
          <w:b w:val="0"/>
          <w:bCs/>
          <w:color w:val="000000"/>
          <w:sz w:val="24"/>
          <w:highlight w:val="none"/>
          <w:lang w:val="en-US" w:eastAsia="zh-CN"/>
        </w:rPr>
        <w:t xml:space="preserve">投标</w:t>
      </w:r>
      <w:r>
        <w:rPr>
          <w:rFonts w:hint="eastAsia" w:hAnsi="宋体"/>
          <w:b w:val="0"/>
          <w:bCs/>
          <w:color w:val="000000"/>
          <w:sz w:val="24"/>
          <w:highlight w:val="none"/>
        </w:rPr>
        <w:t xml:space="preserve">函内容一致，否则评标时一律按开标一览表</w:t>
      </w:r>
      <w:r>
        <w:rPr>
          <w:rFonts w:hint="eastAsia" w:hAnsi="宋体"/>
          <w:b w:val="0"/>
          <w:bCs/>
          <w:color w:val="000000"/>
          <w:sz w:val="24"/>
          <w:highlight w:val="none"/>
          <w:lang w:eastAsia="zh-CN"/>
        </w:rPr>
        <w:t xml:space="preserve">中的</w:t>
      </w:r>
      <w:r>
        <w:rPr>
          <w:rFonts w:hint="eastAsia" w:hAnsi="宋体"/>
          <w:b w:val="0"/>
          <w:bCs/>
          <w:color w:val="000000"/>
          <w:sz w:val="24"/>
          <w:highlight w:val="none"/>
        </w:rPr>
        <w:t xml:space="preserve">内容为准，开标一览表中必须盖章</w:t>
      </w:r>
      <w:r>
        <w:rPr>
          <w:rFonts w:hint="eastAsia" w:hAnsi="宋体"/>
          <w:b w:val="0"/>
          <w:bCs/>
          <w:color w:val="000000"/>
          <w:sz w:val="24"/>
          <w:highlight w:val="none"/>
          <w:lang w:val="en-US" w:eastAsia="zh-CN"/>
        </w:rPr>
        <w:t xml:space="preserve">且</w:t>
      </w:r>
      <w:r>
        <w:rPr>
          <w:rFonts w:hint="eastAsia" w:hAnsi="宋体"/>
          <w:color w:val="000000"/>
          <w:sz w:val="24"/>
          <w:highlight w:val="none"/>
        </w:rPr>
        <w:t xml:space="preserve">法定代表人或授权代表签字</w:t>
      </w:r>
      <w:r>
        <w:rPr>
          <w:rFonts w:hint="eastAsia" w:ascii="宋体" w:hAnsi="宋体" w:eastAsia="宋体" w:cs="宋体"/>
          <w:color w:val="000000"/>
          <w:sz w:val="24"/>
          <w:szCs w:val="24"/>
          <w:highlight w:val="none"/>
          <w:lang w:val="en-US" w:eastAsia="zh-CN" w:bidi="ar"/>
        </w:rPr>
        <w:t xml:space="preserve">或盖章</w:t>
      </w:r>
      <w:r>
        <w:rPr>
          <w:rFonts w:hint="eastAsia" w:hAnsi="宋体"/>
          <w:b w:val="0"/>
          <w:bCs/>
          <w:color w:val="000000"/>
          <w:sz w:val="24"/>
          <w:highlight w:val="none"/>
        </w:rPr>
        <w:t xml:space="preserve">。</w:t>
      </w:r>
      <w:r>
        <w:rPr>
          <w:rFonts w:hint="eastAsia" w:hAnsi="宋体"/>
          <w:b w:val="0"/>
          <w:bCs/>
          <w:color w:val="000000"/>
          <w:sz w:val="24"/>
          <w:highlight w:val="none"/>
        </w:rPr>
      </w:r>
      <w:r/>
    </w:p>
    <w:p>
      <w:pPr>
        <w:pStyle w:val="940"/>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r>
      <w:r/>
    </w:p>
    <w:sectPr>
      <w:footnotePr/>
      <w:endnotePr/>
      <w:type w:val="nextPage"/>
      <w:pgSz w:w="11906" w:h="16838" w:orient="portrait"/>
      <w:pgMar w:top="1440" w:right="1440" w:bottom="1440" w:left="1440"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等线">
    <w:panose1 w:val="02010600030101010101"/>
  </w:font>
  <w:font w:name="Univers">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Book Antiqua">
    <w:panose1 w:val="02040602050305030304"/>
  </w:font>
  <w:font w:name="Tahoma">
    <w:panose1 w:val="020B0604030504040204"/>
  </w:font>
  <w:font w:name="Times">
    <w:panose1 w:val="02020603050405020304"/>
  </w:font>
  <w:font w:name="Calibri Light">
    <w:panose1 w:val="020F0302020204030204"/>
  </w:font>
  <w:font w:name="Calibri">
    <w:panose1 w:val="020F0502020204030204"/>
  </w:font>
  <w:font w:name="微软雅黑">
    <w:panose1 w:val="020B0503020204020204"/>
  </w:font>
  <w:font w:name="DFKai-SB">
    <w:panose1 w:val="03050502040202030202"/>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0"/>
                    </w:pPr>
                    <w:r/>
                    <w:r/>
                  </w:p>
                </w:txbxContent>
              </v:textbox>
            </v:shape>
          </w:pict>
        </mc:Fallback>
      </mc:AlternateContent>
    </w:r>
    <w:r/>
  </w:p>
  <w:p>
    <w:pPr>
      <w:pStyle w:val="971"/>
      <w:jc w:val="center"/>
      <w:tabs>
        <w:tab w:val="center" w:pos="4153" w:leader="none"/>
        <w:tab w:val="right" w:pos="8306" w:leader="none"/>
      </w:tabs>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71"/>
      <w:ind w:right="360"/>
      <w:tabs>
        <w:tab w:val="center" w:pos="4153" w:leader="none"/>
        <w:tab w:val="right" w:pos="8306" w:leader="none"/>
      </w:tabs>
    </w:pPr>
    <w:r/>
    <w:r/>
  </w:p>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0"/>
        <w:ind w:left="840" w:hanging="420"/>
      </w:pPr>
      <w:rPr>
        <w:rFonts w:hint="eastAsia"/>
      </w:rPr>
    </w:lvl>
    <w:lvl w:ilvl="1">
      <w:start w:val="1"/>
      <w:numFmt w:val="lowerLetter"/>
      <w:isLgl w:val="false"/>
      <w:suff w:val="tab"/>
      <w:lvlText w:val="%2)"/>
      <w:lvlJc w:val="left"/>
      <w:pPr>
        <w:pStyle w:val="940"/>
        <w:ind w:left="1110" w:hanging="420"/>
        <w:tabs>
          <w:tab w:val="num" w:pos="840" w:leader="none"/>
        </w:tabs>
      </w:pPr>
    </w:lvl>
    <w:lvl w:ilvl="2">
      <w:start w:val="1"/>
      <w:numFmt w:val="lowerRoman"/>
      <w:isLgl w:val="false"/>
      <w:suff w:val="tab"/>
      <w:lvlText w:val="%3."/>
      <w:lvlJc w:val="right"/>
      <w:pPr>
        <w:pStyle w:val="940"/>
        <w:ind w:left="1530" w:hanging="420"/>
        <w:tabs>
          <w:tab w:val="num" w:pos="1260" w:leader="none"/>
        </w:tabs>
      </w:pPr>
    </w:lvl>
    <w:lvl w:ilvl="3">
      <w:start w:val="1"/>
      <w:numFmt w:val="decimal"/>
      <w:isLgl w:val="false"/>
      <w:suff w:val="tab"/>
      <w:lvlText w:val="%4."/>
      <w:lvlJc w:val="left"/>
      <w:pPr>
        <w:pStyle w:val="940"/>
        <w:ind w:left="1950" w:hanging="420"/>
        <w:tabs>
          <w:tab w:val="num" w:pos="1680" w:leader="none"/>
        </w:tabs>
      </w:pPr>
    </w:lvl>
    <w:lvl w:ilvl="4">
      <w:start w:val="1"/>
      <w:numFmt w:val="lowerLetter"/>
      <w:isLgl w:val="false"/>
      <w:suff w:val="tab"/>
      <w:lvlText w:val="%5)"/>
      <w:lvlJc w:val="left"/>
      <w:pPr>
        <w:pStyle w:val="940"/>
        <w:ind w:left="2370" w:hanging="420"/>
        <w:tabs>
          <w:tab w:val="num" w:pos="2100" w:leader="none"/>
        </w:tabs>
      </w:pPr>
    </w:lvl>
    <w:lvl w:ilvl="5">
      <w:start w:val="1"/>
      <w:numFmt w:val="lowerRoman"/>
      <w:isLgl w:val="false"/>
      <w:suff w:val="tab"/>
      <w:lvlText w:val="%6."/>
      <w:lvlJc w:val="right"/>
      <w:pPr>
        <w:pStyle w:val="940"/>
        <w:ind w:left="2790" w:hanging="420"/>
        <w:tabs>
          <w:tab w:val="num" w:pos="2520" w:leader="none"/>
        </w:tabs>
      </w:pPr>
    </w:lvl>
    <w:lvl w:ilvl="6">
      <w:start w:val="1"/>
      <w:numFmt w:val="decimal"/>
      <w:isLgl w:val="false"/>
      <w:suff w:val="tab"/>
      <w:lvlText w:val="%7."/>
      <w:lvlJc w:val="left"/>
      <w:pPr>
        <w:pStyle w:val="940"/>
        <w:ind w:left="3210" w:hanging="420"/>
        <w:tabs>
          <w:tab w:val="num" w:pos="2940" w:leader="none"/>
        </w:tabs>
      </w:pPr>
    </w:lvl>
    <w:lvl w:ilvl="7">
      <w:start w:val="1"/>
      <w:numFmt w:val="lowerLetter"/>
      <w:isLgl w:val="false"/>
      <w:suff w:val="tab"/>
      <w:lvlText w:val="%8)"/>
      <w:lvlJc w:val="left"/>
      <w:pPr>
        <w:pStyle w:val="940"/>
        <w:ind w:left="3630" w:hanging="420"/>
        <w:tabs>
          <w:tab w:val="num" w:pos="3360" w:leader="none"/>
        </w:tabs>
      </w:pPr>
    </w:lvl>
    <w:lvl w:ilvl="8">
      <w:start w:val="1"/>
      <w:numFmt w:val="lowerRoman"/>
      <w:isLgl w:val="false"/>
      <w:suff w:val="tab"/>
      <w:lvlText w:val="%9."/>
      <w:lvlJc w:val="right"/>
      <w:pPr>
        <w:pStyle w:val="940"/>
        <w:ind w:left="4050" w:hanging="420"/>
        <w:tabs>
          <w:tab w:val="num" w:pos="3780" w:leader="none"/>
        </w:tabs>
      </w:pPr>
    </w:lvl>
  </w:abstractNum>
  <w:abstractNum w:abstractNumId="2">
    <w:multiLevelType w:val="hybridMultilevel"/>
    <w:lvl w:ilvl="0">
      <w:start w:val="3"/>
      <w:numFmt w:val="chineseCounting"/>
      <w:isLgl w:val="false"/>
      <w:suff w:val="nothing"/>
      <w:lvlText w:val="%1、"/>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0"/>
        <w:ind w:left="900" w:hanging="420"/>
        <w:tabs>
          <w:tab w:val="num" w:pos="900" w:leader="none"/>
        </w:tabs>
      </w:pPr>
      <w:rPr>
        <w:rFonts w:ascii="宋体" w:hAnsi="宋体" w:eastAsia="宋体" w:cs="宋体"/>
        <w:u w:val="none"/>
      </w:rPr>
    </w:lvl>
    <w:lvl w:ilvl="1">
      <w:start w:val="1"/>
      <w:numFmt w:val="lowerLetter"/>
      <w:isLgl w:val="false"/>
      <w:suff w:val="tab"/>
      <w:lvlText w:val="%2)"/>
      <w:lvlJc w:val="left"/>
      <w:pPr>
        <w:pStyle w:val="940"/>
        <w:ind w:left="1320" w:hanging="420"/>
        <w:tabs>
          <w:tab w:val="num" w:pos="1320" w:leader="none"/>
        </w:tabs>
      </w:pPr>
      <w:rPr>
        <w:rFonts w:ascii="Times New Roman"/>
        <w:u w:val="none"/>
      </w:rPr>
    </w:lvl>
    <w:lvl w:ilvl="2">
      <w:start w:val="1"/>
      <w:numFmt w:val="lowerRoman"/>
      <w:isLgl w:val="false"/>
      <w:suff w:val="tab"/>
      <w:lvlText w:val="%3."/>
      <w:lvlJc w:val="right"/>
      <w:pPr>
        <w:pStyle w:val="940"/>
        <w:ind w:left="1740" w:hanging="420"/>
        <w:tabs>
          <w:tab w:val="num" w:pos="1740" w:leader="none"/>
        </w:tabs>
      </w:pPr>
      <w:rPr>
        <w:rFonts w:ascii="Times New Roman"/>
        <w:u w:val="none"/>
      </w:rPr>
    </w:lvl>
    <w:lvl w:ilvl="3">
      <w:start w:val="1"/>
      <w:numFmt w:val="decimal"/>
      <w:isLgl w:val="false"/>
      <w:suff w:val="tab"/>
      <w:lvlText w:val="%4."/>
      <w:lvlJc w:val="left"/>
      <w:pPr>
        <w:pStyle w:val="940"/>
        <w:ind w:left="2160" w:hanging="420"/>
        <w:tabs>
          <w:tab w:val="num" w:pos="2160" w:leader="none"/>
        </w:tabs>
      </w:pPr>
      <w:rPr>
        <w:rFonts w:ascii="Times New Roman"/>
        <w:u w:val="none"/>
      </w:rPr>
    </w:lvl>
    <w:lvl w:ilvl="4">
      <w:start w:val="1"/>
      <w:numFmt w:val="lowerLetter"/>
      <w:isLgl w:val="false"/>
      <w:suff w:val="tab"/>
      <w:lvlText w:val="%5)"/>
      <w:lvlJc w:val="left"/>
      <w:pPr>
        <w:pStyle w:val="940"/>
        <w:ind w:left="2580" w:hanging="420"/>
        <w:tabs>
          <w:tab w:val="num" w:pos="2580" w:leader="none"/>
        </w:tabs>
      </w:pPr>
      <w:rPr>
        <w:rFonts w:ascii="Times New Roman"/>
        <w:u w:val="none"/>
      </w:rPr>
    </w:lvl>
    <w:lvl w:ilvl="5">
      <w:start w:val="1"/>
      <w:numFmt w:val="lowerRoman"/>
      <w:isLgl w:val="false"/>
      <w:suff w:val="tab"/>
      <w:lvlText w:val="%6."/>
      <w:lvlJc w:val="right"/>
      <w:pPr>
        <w:pStyle w:val="940"/>
        <w:ind w:left="3000" w:hanging="420"/>
        <w:tabs>
          <w:tab w:val="num" w:pos="3000" w:leader="none"/>
        </w:tabs>
      </w:pPr>
      <w:rPr>
        <w:rFonts w:ascii="Times New Roman"/>
        <w:u w:val="none"/>
      </w:rPr>
    </w:lvl>
    <w:lvl w:ilvl="6">
      <w:start w:val="1"/>
      <w:numFmt w:val="decimal"/>
      <w:isLgl w:val="false"/>
      <w:suff w:val="tab"/>
      <w:lvlText w:val="%7."/>
      <w:lvlJc w:val="left"/>
      <w:pPr>
        <w:pStyle w:val="940"/>
        <w:ind w:left="3420" w:hanging="420"/>
        <w:tabs>
          <w:tab w:val="num" w:pos="3420" w:leader="none"/>
        </w:tabs>
      </w:pPr>
      <w:rPr>
        <w:rFonts w:ascii="Times New Roman"/>
        <w:u w:val="none"/>
      </w:rPr>
    </w:lvl>
    <w:lvl w:ilvl="7">
      <w:start w:val="1"/>
      <w:numFmt w:val="lowerLetter"/>
      <w:isLgl w:val="false"/>
      <w:suff w:val="tab"/>
      <w:lvlText w:val="%8)"/>
      <w:lvlJc w:val="left"/>
      <w:pPr>
        <w:pStyle w:val="940"/>
        <w:ind w:left="3840" w:hanging="420"/>
        <w:tabs>
          <w:tab w:val="num" w:pos="3840" w:leader="none"/>
        </w:tabs>
      </w:pPr>
      <w:rPr>
        <w:rFonts w:ascii="Times New Roman"/>
        <w:u w:val="none"/>
      </w:rPr>
    </w:lvl>
    <w:lvl w:ilvl="8">
      <w:start w:val="1"/>
      <w:numFmt w:val="lowerRoman"/>
      <w:isLgl w:val="false"/>
      <w:suff w:val="tab"/>
      <w:lvlText w:val="%9."/>
      <w:lvlJc w:val="right"/>
      <w:pPr>
        <w:pStyle w:val="940"/>
        <w:ind w:left="4260" w:hanging="420"/>
        <w:tabs>
          <w:tab w:val="num" w:pos="4260" w:leader="none"/>
        </w:tabs>
      </w:pPr>
      <w:rPr>
        <w:rFonts w:ascii="Times New Roman"/>
        <w:u w:val="none"/>
      </w:rPr>
    </w:lvl>
  </w:abstractNum>
  <w:abstractNum w:abstractNumId="4">
    <w:multiLevelType w:val="hybridMultilevel"/>
    <w:lvl w:ilvl="0">
      <w:start w:val="1"/>
      <w:numFmt w:val="chineseCounting"/>
      <w:isLgl w:val="false"/>
      <w:suff w:val="nothing"/>
      <w:lvlText w:val="（%1）"/>
      <w:lvlJc w:val="left"/>
      <w:pPr>
        <w:pStyle w:val="94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第%1部分．"/>
      <w:lvlJc w:val="left"/>
      <w:pPr>
        <w:pStyle w:val="940"/>
      </w:pPr>
      <w:rPr>
        <w:rFonts w:hint="eastAsia"/>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4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40"/>
        <w:ind w:left="1710" w:hanging="720"/>
        <w:tabs>
          <w:tab w:val="num" w:pos="1710" w:leader="none"/>
        </w:tabs>
      </w:pPr>
      <w:rPr>
        <w:rFonts w:cs="Times New Roman"/>
      </w:rPr>
    </w:lvl>
    <w:lvl w:ilvl="1">
      <w:start w:val="2"/>
      <w:numFmt w:val="decimal"/>
      <w:isLgl w:val="false"/>
      <w:suff w:val="tab"/>
      <w:lvlText w:val="%2."/>
      <w:lvlJc w:val="left"/>
      <w:pPr>
        <w:pStyle w:val="940"/>
        <w:ind w:left="1770" w:hanging="360"/>
        <w:tabs>
          <w:tab w:val="num" w:pos="1770" w:leader="none"/>
        </w:tabs>
      </w:pPr>
      <w:rPr>
        <w:rFonts w:cs="Times New Roman"/>
      </w:rPr>
    </w:lvl>
    <w:lvl w:ilvl="2">
      <w:start w:val="1"/>
      <w:numFmt w:val="lowerRoman"/>
      <w:isLgl w:val="false"/>
      <w:suff w:val="tab"/>
      <w:lvlText w:val="%3."/>
      <w:lvlJc w:val="right"/>
      <w:pPr>
        <w:pStyle w:val="940"/>
        <w:ind w:left="2250" w:hanging="420"/>
        <w:tabs>
          <w:tab w:val="num" w:pos="2250" w:leader="none"/>
        </w:tabs>
      </w:pPr>
      <w:rPr>
        <w:rFonts w:cs="Times New Roman"/>
      </w:rPr>
    </w:lvl>
    <w:lvl w:ilvl="3">
      <w:start w:val="1"/>
      <w:numFmt w:val="decimal"/>
      <w:isLgl w:val="false"/>
      <w:suff w:val="tab"/>
      <w:lvlText w:val="%4."/>
      <w:lvlJc w:val="left"/>
      <w:pPr>
        <w:pStyle w:val="940"/>
        <w:ind w:left="2670" w:hanging="420"/>
        <w:tabs>
          <w:tab w:val="num" w:pos="2670" w:leader="none"/>
        </w:tabs>
      </w:pPr>
      <w:rPr>
        <w:rFonts w:cs="Times New Roman"/>
      </w:rPr>
    </w:lvl>
    <w:lvl w:ilvl="4">
      <w:start w:val="1"/>
      <w:numFmt w:val="lowerLetter"/>
      <w:isLgl w:val="false"/>
      <w:suff w:val="tab"/>
      <w:lvlText w:val="%5)"/>
      <w:lvlJc w:val="left"/>
      <w:pPr>
        <w:pStyle w:val="940"/>
        <w:ind w:left="3090" w:hanging="420"/>
        <w:tabs>
          <w:tab w:val="num" w:pos="3090" w:leader="none"/>
        </w:tabs>
      </w:pPr>
      <w:rPr>
        <w:rFonts w:cs="Times New Roman"/>
      </w:rPr>
    </w:lvl>
    <w:lvl w:ilvl="5">
      <w:start w:val="1"/>
      <w:numFmt w:val="lowerRoman"/>
      <w:isLgl w:val="false"/>
      <w:suff w:val="tab"/>
      <w:lvlText w:val="%6."/>
      <w:lvlJc w:val="right"/>
      <w:pPr>
        <w:pStyle w:val="940"/>
        <w:ind w:left="3510" w:hanging="420"/>
        <w:tabs>
          <w:tab w:val="num" w:pos="3510" w:leader="none"/>
        </w:tabs>
      </w:pPr>
      <w:rPr>
        <w:rFonts w:cs="Times New Roman"/>
      </w:rPr>
    </w:lvl>
    <w:lvl w:ilvl="6">
      <w:start w:val="1"/>
      <w:numFmt w:val="decimal"/>
      <w:isLgl w:val="false"/>
      <w:suff w:val="tab"/>
      <w:lvlText w:val="%7."/>
      <w:lvlJc w:val="left"/>
      <w:pPr>
        <w:pStyle w:val="940"/>
        <w:ind w:left="3930" w:hanging="420"/>
        <w:tabs>
          <w:tab w:val="num" w:pos="3930" w:leader="none"/>
        </w:tabs>
      </w:pPr>
      <w:rPr>
        <w:rFonts w:cs="Times New Roman"/>
      </w:rPr>
    </w:lvl>
    <w:lvl w:ilvl="7">
      <w:start w:val="1"/>
      <w:numFmt w:val="lowerLetter"/>
      <w:isLgl w:val="false"/>
      <w:suff w:val="tab"/>
      <w:lvlText w:val="%8)"/>
      <w:lvlJc w:val="left"/>
      <w:pPr>
        <w:pStyle w:val="940"/>
        <w:ind w:left="4350" w:hanging="420"/>
        <w:tabs>
          <w:tab w:val="num" w:pos="4350" w:leader="none"/>
        </w:tabs>
      </w:pPr>
      <w:rPr>
        <w:rFonts w:cs="Times New Roman"/>
      </w:rPr>
    </w:lvl>
    <w:lvl w:ilvl="8">
      <w:start w:val="1"/>
      <w:numFmt w:val="lowerRoman"/>
      <w:isLgl w:val="false"/>
      <w:suff w:val="tab"/>
      <w:lvlText w:val="%9."/>
      <w:lvlJc w:val="right"/>
      <w:pPr>
        <w:pStyle w:val="940"/>
        <w:ind w:left="4770" w:hanging="420"/>
        <w:tabs>
          <w:tab w:val="num" w:pos="4770" w:leader="none"/>
        </w:tabs>
      </w:pPr>
      <w:rPr>
        <w:rFonts w:cs="Times New Roman"/>
      </w:rPr>
    </w:lvl>
  </w:abstractNum>
  <w:abstractNum w:abstractNumId="9">
    <w:multiLevelType w:val="hybridMultilevel"/>
    <w:lvl w:ilvl="0">
      <w:start w:val="1"/>
      <w:numFmt w:val="decimal"/>
      <w:isLgl w:val="false"/>
      <w:suff w:val="tab"/>
      <w:lvlText w:val="第%1章"/>
      <w:lvlJc w:val="left"/>
      <w:pPr>
        <w:pStyle w:val="940"/>
        <w:ind w:left="465" w:hanging="465"/>
      </w:pPr>
    </w:lvl>
    <w:lvl w:ilvl="1">
      <w:start w:val="1"/>
      <w:numFmt w:val="decimal"/>
      <w:isLgl w:val="false"/>
      <w:suff w:val="tab"/>
      <w:lvlText w:val="%1.%2"/>
      <w:lvlJc w:val="left"/>
      <w:pPr>
        <w:pStyle w:val="940"/>
        <w:ind w:left="465" w:hanging="465"/>
      </w:pPr>
    </w:lvl>
    <w:lvl w:ilvl="2">
      <w:start w:val="1"/>
      <w:numFmt w:val="decimal"/>
      <w:isLgl w:val="false"/>
      <w:suff w:val="tab"/>
      <w:lvlText w:val="%1.%2.%3"/>
      <w:lvlJc w:val="left"/>
      <w:pPr>
        <w:pStyle w:val="940"/>
        <w:ind w:left="720" w:hanging="720"/>
      </w:pPr>
    </w:lvl>
    <w:lvl w:ilvl="3">
      <w:start w:val="1"/>
      <w:numFmt w:val="decimal"/>
      <w:isLgl w:val="false"/>
      <w:suff w:val="tab"/>
      <w:lvlText w:val="%1.%2.%3.%4"/>
      <w:lvlJc w:val="left"/>
      <w:pPr>
        <w:pStyle w:val="940"/>
        <w:ind w:left="720" w:hanging="720"/>
      </w:pPr>
    </w:lvl>
    <w:lvl w:ilvl="4">
      <w:start w:val="1"/>
      <w:numFmt w:val="decimal"/>
      <w:isLgl w:val="false"/>
      <w:suff w:val="tab"/>
      <w:lvlText w:val="%1.%2.%3.%4.%5"/>
      <w:lvlJc w:val="left"/>
      <w:pPr>
        <w:pStyle w:val="940"/>
        <w:ind w:left="1080" w:hanging="1080"/>
      </w:pPr>
    </w:lvl>
    <w:lvl w:ilvl="5">
      <w:start w:val="1"/>
      <w:numFmt w:val="decimal"/>
      <w:isLgl w:val="false"/>
      <w:suff w:val="tab"/>
      <w:lvlText w:val="%1.%2.%3.%4.%5.%6"/>
      <w:lvlJc w:val="left"/>
      <w:pPr>
        <w:pStyle w:val="940"/>
        <w:ind w:left="1080" w:hanging="1080"/>
      </w:pPr>
    </w:lvl>
    <w:lvl w:ilvl="6">
      <w:start w:val="1"/>
      <w:numFmt w:val="decimal"/>
      <w:isLgl w:val="false"/>
      <w:suff w:val="tab"/>
      <w:lvlText w:val="%1.%2.%3.%4.%5.%6.%7"/>
      <w:lvlJc w:val="left"/>
      <w:pPr>
        <w:pStyle w:val="940"/>
        <w:ind w:left="1080" w:hanging="1080"/>
      </w:pPr>
    </w:lvl>
    <w:lvl w:ilvl="7">
      <w:start w:val="1"/>
      <w:numFmt w:val="decimal"/>
      <w:isLgl w:val="false"/>
      <w:suff w:val="tab"/>
      <w:lvlText w:val="%1.%2.%3.%4.%5.%6.%7.%8"/>
      <w:lvlJc w:val="left"/>
      <w:pPr>
        <w:pStyle w:val="940"/>
        <w:ind w:left="1440" w:hanging="1440"/>
      </w:pPr>
    </w:lvl>
    <w:lvl w:ilvl="8">
      <w:start w:val="1"/>
      <w:numFmt w:val="decimal"/>
      <w:isLgl w:val="false"/>
      <w:suff w:val="tab"/>
      <w:lvlText w:val="%1.%2.%3.%4.%5.%6.%7.%8.%9"/>
      <w:lvlJc w:val="left"/>
      <w:pPr>
        <w:pStyle w:val="940"/>
        <w:ind w:left="1440" w:hanging="1440"/>
      </w:pPr>
    </w:lvl>
  </w:abstractNum>
  <w:abstractNum w:abstractNumId="10">
    <w:multiLevelType w:val="hybridMultilevel"/>
    <w:lvl w:ilvl="0">
      <w:start w:val="1"/>
      <w:numFmt w:val="upperLetter"/>
      <w:pStyle w:val="945"/>
      <w:isLgl w:val="false"/>
      <w:suff w:val="tab"/>
      <w:lvlText w:val="%1."/>
      <w:lvlJc w:val="left"/>
      <w:pPr>
        <w:pStyle w:val="940"/>
        <w:ind w:left="360" w:hanging="360"/>
        <w:tabs>
          <w:tab w:val="num" w:pos="360" w:leader="none"/>
        </w:tabs>
      </w:pPr>
      <w:rPr>
        <w:rFonts w:cs="Times New Roman"/>
      </w:rPr>
    </w:lvl>
    <w:lvl w:ilvl="1">
      <w:start w:val="1"/>
      <w:numFmt w:val="lowerLetter"/>
      <w:isLgl w:val="false"/>
      <w:suff w:val="tab"/>
      <w:lvlText w:val="%2)"/>
      <w:lvlJc w:val="left"/>
      <w:pPr>
        <w:pStyle w:val="940"/>
        <w:ind w:left="840" w:hanging="420"/>
        <w:tabs>
          <w:tab w:val="num" w:pos="840" w:leader="none"/>
        </w:tabs>
      </w:pPr>
      <w:rPr>
        <w:rFonts w:cs="Times New Roman"/>
      </w:rPr>
    </w:lvl>
    <w:lvl w:ilvl="2">
      <w:start w:val="1"/>
      <w:numFmt w:val="lowerRoman"/>
      <w:isLgl w:val="false"/>
      <w:suff w:val="tab"/>
      <w:lvlText w:val="%3."/>
      <w:lvlJc w:val="right"/>
      <w:pPr>
        <w:pStyle w:val="940"/>
        <w:ind w:left="1260" w:hanging="420"/>
        <w:tabs>
          <w:tab w:val="num" w:pos="1260" w:leader="none"/>
        </w:tabs>
      </w:pPr>
      <w:rPr>
        <w:rFonts w:cs="Times New Roman"/>
      </w:rPr>
    </w:lvl>
    <w:lvl w:ilvl="3">
      <w:start w:val="1"/>
      <w:numFmt w:val="decimal"/>
      <w:isLgl w:val="false"/>
      <w:suff w:val="tab"/>
      <w:lvlText w:val="%4."/>
      <w:lvlJc w:val="left"/>
      <w:pPr>
        <w:pStyle w:val="940"/>
        <w:ind w:left="1680" w:hanging="420"/>
        <w:tabs>
          <w:tab w:val="num" w:pos="1680" w:leader="none"/>
        </w:tabs>
      </w:pPr>
      <w:rPr>
        <w:rFonts w:cs="Times New Roman"/>
      </w:rPr>
    </w:lvl>
    <w:lvl w:ilvl="4">
      <w:start w:val="1"/>
      <w:numFmt w:val="lowerLetter"/>
      <w:isLgl w:val="false"/>
      <w:suff w:val="tab"/>
      <w:lvlText w:val="%5)"/>
      <w:lvlJc w:val="left"/>
      <w:pPr>
        <w:pStyle w:val="940"/>
        <w:ind w:left="2100" w:hanging="420"/>
        <w:tabs>
          <w:tab w:val="num" w:pos="2100" w:leader="none"/>
        </w:tabs>
      </w:pPr>
      <w:rPr>
        <w:rFonts w:cs="Times New Roman"/>
      </w:rPr>
    </w:lvl>
    <w:lvl w:ilvl="5">
      <w:start w:val="1"/>
      <w:numFmt w:val="lowerRoman"/>
      <w:isLgl w:val="false"/>
      <w:suff w:val="tab"/>
      <w:lvlText w:val="%6."/>
      <w:lvlJc w:val="right"/>
      <w:pPr>
        <w:pStyle w:val="940"/>
        <w:ind w:left="2520" w:hanging="420"/>
        <w:tabs>
          <w:tab w:val="num" w:pos="2520" w:leader="none"/>
        </w:tabs>
      </w:pPr>
      <w:rPr>
        <w:rFonts w:cs="Times New Roman"/>
      </w:rPr>
    </w:lvl>
    <w:lvl w:ilvl="6">
      <w:start w:val="1"/>
      <w:numFmt w:val="decimal"/>
      <w:isLgl w:val="false"/>
      <w:suff w:val="tab"/>
      <w:lvlText w:val="%7."/>
      <w:lvlJc w:val="left"/>
      <w:pPr>
        <w:pStyle w:val="940"/>
        <w:ind w:left="2940" w:hanging="420"/>
        <w:tabs>
          <w:tab w:val="num" w:pos="2940" w:leader="none"/>
        </w:tabs>
      </w:pPr>
      <w:rPr>
        <w:rFonts w:cs="Times New Roman"/>
      </w:rPr>
    </w:lvl>
    <w:lvl w:ilvl="7">
      <w:start w:val="1"/>
      <w:numFmt w:val="lowerLetter"/>
      <w:isLgl w:val="false"/>
      <w:suff w:val="tab"/>
      <w:lvlText w:val="%8)"/>
      <w:lvlJc w:val="left"/>
      <w:pPr>
        <w:pStyle w:val="940"/>
        <w:ind w:left="3360" w:hanging="420"/>
        <w:tabs>
          <w:tab w:val="num" w:pos="3360" w:leader="none"/>
        </w:tabs>
      </w:pPr>
      <w:rPr>
        <w:rFonts w:cs="Times New Roman"/>
      </w:rPr>
    </w:lvl>
    <w:lvl w:ilvl="8">
      <w:start w:val="1"/>
      <w:numFmt w:val="lowerRoman"/>
      <w:isLgl w:val="false"/>
      <w:suff w:val="tab"/>
      <w:lvlText w:val="%9."/>
      <w:lvlJc w:val="right"/>
      <w:pPr>
        <w:pStyle w:val="940"/>
        <w:ind w:left="3780" w:hanging="420"/>
        <w:tabs>
          <w:tab w:val="num" w:pos="3780" w:leader="none"/>
        </w:tabs>
      </w:pPr>
      <w:rPr>
        <w:rFonts w:cs="Times New Roman"/>
      </w:rPr>
    </w:lvl>
  </w:abstractNum>
  <w:num w:numId="1">
    <w:abstractNumId w:val="10"/>
  </w:num>
  <w:num w:numId="2">
    <w:abstractNumId w:val="9"/>
    <w:lvlOverride w:ilvl="0">
      <w:lvl w:ilvl="0">
        <w:start w:val="1"/>
        <w:numFmt w:val="decimal"/>
        <w:pStyle w:val="1095"/>
        <w:isLgl w:val="false"/>
        <w:suff w:val="tab"/>
        <w:lvlText w:val="第%1章"/>
        <w:lvlJc w:val="left"/>
        <w:pPr>
          <w:pStyle w:val="940"/>
          <w:ind w:left="465" w:hanging="465"/>
        </w:pPr>
      </w:lvl>
    </w:lvlOverride>
    <w:lvlOverride w:ilvl="1">
      <w:lvl w:ilvl="1">
        <w:start w:val="1"/>
        <w:numFmt w:val="decimal"/>
        <w:pStyle w:val="1058"/>
        <w:isLgl w:val="false"/>
        <w:suff w:val="tab"/>
        <w:lvlText w:val="%1.%2"/>
        <w:lvlJc w:val="left"/>
        <w:pPr>
          <w:pStyle w:val="940"/>
          <w:ind w:left="465" w:hanging="465"/>
        </w:pPr>
      </w:lvl>
    </w:lvlOverride>
    <w:lvlOverride w:ilvl="2">
      <w:lvl w:ilvl="2">
        <w:start w:val="1"/>
        <w:numFmt w:val="decimal"/>
        <w:pStyle w:val="1039"/>
        <w:isLgl w:val="false"/>
        <w:suff w:val="tab"/>
        <w:lvlText w:val="%1.%2.%3"/>
        <w:lvlJc w:val="left"/>
        <w:pPr>
          <w:pStyle w:val="940"/>
          <w:ind w:left="720" w:hanging="720"/>
        </w:pPr>
      </w:lvl>
    </w:lvlOverride>
    <w:lvlOverride w:ilvl="3">
      <w:lvl w:ilvl="3">
        <w:start w:val="1"/>
        <w:numFmt w:val="decimal"/>
        <w:pStyle w:val="1086"/>
        <w:isLgl w:val="false"/>
        <w:suff w:val="tab"/>
        <w:lvlText w:val="%1.%2.%3.%4"/>
        <w:lvlJc w:val="left"/>
        <w:pPr>
          <w:pStyle w:val="940"/>
          <w:ind w:left="720" w:hanging="720"/>
        </w:pPr>
      </w:lvl>
    </w:lvlOverride>
    <w:lvlOverride w:ilvl="4">
      <w:lvl w:ilvl="4">
        <w:start w:val="1"/>
        <w:numFmt w:val="decimal"/>
        <w:isLgl w:val="false"/>
        <w:suff w:val="tab"/>
        <w:lvlText w:val="%1.%2.%3.%4.%5"/>
        <w:lvlJc w:val="left"/>
        <w:pPr>
          <w:pStyle w:val="940"/>
          <w:ind w:left="1080" w:hanging="1080"/>
        </w:pPr>
      </w:lvl>
    </w:lvlOverride>
    <w:lvlOverride w:ilvl="5">
      <w:lvl w:ilvl="5">
        <w:start w:val="1"/>
        <w:numFmt w:val="decimal"/>
        <w:isLgl w:val="false"/>
        <w:suff w:val="tab"/>
        <w:lvlText w:val="%1.%2.%3.%4.%5.%6"/>
        <w:lvlJc w:val="left"/>
        <w:pPr>
          <w:pStyle w:val="940"/>
          <w:ind w:left="1080" w:hanging="1080"/>
        </w:pPr>
      </w:lvl>
    </w:lvlOverride>
    <w:lvlOverride w:ilvl="6">
      <w:lvl w:ilvl="6">
        <w:start w:val="1"/>
        <w:numFmt w:val="decimal"/>
        <w:isLgl w:val="false"/>
        <w:suff w:val="tab"/>
        <w:lvlText w:val="%1.%2.%3.%4.%5.%6.%7"/>
        <w:lvlJc w:val="left"/>
        <w:pPr>
          <w:pStyle w:val="940"/>
          <w:ind w:left="1080" w:hanging="1080"/>
        </w:pPr>
      </w:lvl>
    </w:lvlOverride>
    <w:lvlOverride w:ilvl="7">
      <w:lvl w:ilvl="7">
        <w:start w:val="1"/>
        <w:numFmt w:val="decimal"/>
        <w:isLgl w:val="false"/>
        <w:suff w:val="tab"/>
        <w:lvlText w:val="%1.%2.%3.%4.%5.%6.%7.%8"/>
        <w:lvlJc w:val="left"/>
        <w:pPr>
          <w:pStyle w:val="940"/>
          <w:ind w:left="1440" w:hanging="1440"/>
        </w:pPr>
      </w:lvl>
    </w:lvlOverride>
    <w:lvlOverride w:ilvl="8">
      <w:lvl w:ilvl="8">
        <w:start w:val="1"/>
        <w:numFmt w:val="decimal"/>
        <w:isLgl w:val="false"/>
        <w:suff w:val="tab"/>
        <w:lvlText w:val="%1.%2.%3.%4.%5.%6.%7.%8.%9"/>
        <w:lvlJc w:val="left"/>
        <w:pPr>
          <w:pStyle w:val="940"/>
          <w:ind w:left="1440" w:hanging="1440"/>
        </w:pPr>
      </w:lvl>
    </w:lvlOverride>
  </w:num>
  <w:num w:numId="3">
    <w:abstractNumId w:val="7"/>
  </w:num>
  <w:num w:numId="4">
    <w:abstractNumId w:val="5"/>
  </w:num>
  <w:num w:numId="5">
    <w:abstractNumId w:val="3"/>
  </w:num>
  <w:num w:numId="6">
    <w:abstractNumId w:val="0"/>
  </w:num>
  <w:num w:numId="7">
    <w:abstractNumId w:val="1"/>
  </w:num>
  <w:num w:numId="8">
    <w:abstractNumId w:val="6"/>
  </w:num>
  <w:num w:numId="9">
    <w:abstractNumId w:val="2"/>
  </w:num>
  <w:num w:numId="10">
    <w:abstractNumId w:val="4"/>
  </w:num>
  <w:num w:numId="11">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0"/>
    <w:next w:val="940"/>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0"/>
    <w:next w:val="940"/>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0"/>
    <w:next w:val="940"/>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0"/>
    <w:next w:val="94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0"/>
    <w:next w:val="940"/>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0"/>
    <w:next w:val="94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0"/>
    <w:next w:val="94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0"/>
    <w:next w:val="94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0"/>
    <w:next w:val="94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4"/>
    <w:link w:val="940"/>
    <w:qFormat/>
    <w:pPr>
      <w:jc w:val="both"/>
      <w:widowControl w:val="off"/>
    </w:pPr>
    <w:rPr>
      <w:sz w:val="21"/>
      <w:lang w:val="en-US" w:eastAsia="zh-CN" w:bidi="ar-SA"/>
    </w:rPr>
  </w:style>
  <w:style w:type="paragraph" w:styleId="941">
    <w:name w:val="标题 1"/>
    <w:basedOn w:val="940"/>
    <w:next w:val="940"/>
    <w:link w:val="949"/>
    <w:qFormat/>
    <w:pPr>
      <w:jc w:val="center"/>
      <w:keepNext/>
      <w:outlineLvl w:val="0"/>
    </w:pPr>
    <w:rPr>
      <w:b/>
      <w:bCs/>
      <w:sz w:val="44"/>
      <w:szCs w:val="44"/>
    </w:rPr>
  </w:style>
  <w:style w:type="paragraph" w:styleId="942">
    <w:name w:val="标题 2"/>
    <w:basedOn w:val="940"/>
    <w:next w:val="940"/>
    <w:link w:val="950"/>
    <w:qFormat/>
    <w:pPr>
      <w:jc w:val="center"/>
      <w:keepNext/>
      <w:outlineLvl w:val="1"/>
    </w:pPr>
    <w:rPr>
      <w:rFonts w:ascii="Cambria" w:hAnsi="Cambria"/>
      <w:b/>
      <w:bCs/>
      <w:sz w:val="32"/>
      <w:szCs w:val="32"/>
    </w:rPr>
  </w:style>
  <w:style w:type="paragraph" w:styleId="943">
    <w:name w:val="标题 3"/>
    <w:basedOn w:val="940"/>
    <w:next w:val="940"/>
    <w:link w:val="951"/>
    <w:qFormat/>
    <w:pPr>
      <w:jc w:val="center"/>
      <w:keepNext/>
      <w:outlineLvl w:val="2"/>
    </w:pPr>
    <w:rPr>
      <w:b/>
      <w:bCs/>
      <w:sz w:val="32"/>
      <w:szCs w:val="32"/>
    </w:rPr>
  </w:style>
  <w:style w:type="paragraph" w:styleId="944">
    <w:name w:val="标题 4"/>
    <w:basedOn w:val="940"/>
    <w:next w:val="940"/>
    <w:link w:val="948"/>
    <w:qFormat/>
    <w:pPr>
      <w:jc w:val="center"/>
      <w:keepNext/>
      <w:outlineLvl w:val="3"/>
    </w:pPr>
    <w:rPr>
      <w:rFonts w:ascii="Cambria" w:hAnsi="Cambria"/>
      <w:b/>
      <w:bCs/>
      <w:sz w:val="28"/>
      <w:szCs w:val="28"/>
    </w:rPr>
  </w:style>
  <w:style w:type="paragraph" w:styleId="945">
    <w:name w:val="标题 5"/>
    <w:basedOn w:val="940"/>
    <w:next w:val="940"/>
    <w:link w:val="952"/>
    <w:qFormat/>
    <w:pPr>
      <w:numPr>
        <w:ilvl w:val="0"/>
        <w:numId w:val="1"/>
      </w:numPr>
      <w:keepNext/>
      <w:tabs>
        <w:tab w:val="left" w:pos="360" w:leader="none"/>
      </w:tabs>
      <w:outlineLvl w:val="4"/>
    </w:pPr>
    <w:rPr>
      <w:rFonts w:ascii="楷体_GB2312" w:eastAsia="楷体_GB2312"/>
      <w:bCs/>
      <w:sz w:val="28"/>
    </w:rPr>
  </w:style>
  <w:style w:type="character" w:styleId="946">
    <w:name w:val="默认段落字体"/>
    <w:next w:val="946"/>
    <w:link w:val="940"/>
    <w:uiPriority w:val="1"/>
    <w:unhideWhenUsed/>
  </w:style>
  <w:style w:type="table" w:styleId="947">
    <w:name w:val="普通表格"/>
    <w:next w:val="947"/>
    <w:link w:val="940"/>
    <w:uiPriority w:val="99"/>
    <w:unhideWhenUsed/>
    <w:qFormat/>
    <w:tblPr/>
  </w:style>
  <w:style w:type="character" w:styleId="948">
    <w:name w:val="标题 4 字符1"/>
    <w:next w:val="948"/>
    <w:link w:val="944"/>
    <w:semiHidden/>
    <w:rPr>
      <w:rFonts w:ascii="Cambria" w:hAnsi="Cambria" w:eastAsia="宋体" w:cs="Times New Roman"/>
      <w:b/>
      <w:bCs/>
      <w:sz w:val="28"/>
      <w:szCs w:val="28"/>
    </w:rPr>
  </w:style>
  <w:style w:type="character" w:styleId="949">
    <w:name w:val="标题 1 字符1"/>
    <w:next w:val="949"/>
    <w:link w:val="941"/>
    <w:rPr>
      <w:rFonts w:cs="Times New Roman"/>
      <w:b/>
      <w:bCs/>
      <w:sz w:val="44"/>
      <w:szCs w:val="44"/>
    </w:rPr>
  </w:style>
  <w:style w:type="character" w:styleId="950">
    <w:name w:val="标题 2 字符1"/>
    <w:next w:val="950"/>
    <w:link w:val="942"/>
    <w:semiHidden/>
    <w:rPr>
      <w:rFonts w:ascii="Cambria" w:hAnsi="Cambria" w:eastAsia="宋体" w:cs="Times New Roman"/>
      <w:b/>
      <w:bCs/>
      <w:sz w:val="32"/>
      <w:szCs w:val="32"/>
    </w:rPr>
  </w:style>
  <w:style w:type="character" w:styleId="951">
    <w:name w:val="标题 3 字符1"/>
    <w:next w:val="951"/>
    <w:link w:val="943"/>
    <w:semiHidden/>
    <w:rPr>
      <w:rFonts w:cs="Times New Roman"/>
      <w:b/>
      <w:bCs/>
      <w:sz w:val="32"/>
      <w:szCs w:val="32"/>
    </w:rPr>
  </w:style>
  <w:style w:type="character" w:styleId="952">
    <w:name w:val="标题 5 字符1"/>
    <w:next w:val="952"/>
    <w:link w:val="945"/>
    <w:rPr>
      <w:rFonts w:ascii="楷体_GB2312" w:eastAsia="楷体_GB2312"/>
      <w:bCs/>
      <w:sz w:val="28"/>
    </w:rPr>
  </w:style>
  <w:style w:type="paragraph" w:styleId="953">
    <w:name w:val="正文缩进"/>
    <w:basedOn w:val="940"/>
    <w:next w:val="953"/>
    <w:link w:val="954"/>
    <w:qFormat/>
    <w:pPr>
      <w:ind w:firstLine="420"/>
    </w:pPr>
  </w:style>
  <w:style w:type="character" w:styleId="954">
    <w:name w:val="正文缩进 字符"/>
    <w:next w:val="954"/>
    <w:link w:val="953"/>
    <w:qFormat/>
    <w:rPr>
      <w:sz w:val="21"/>
    </w:rPr>
  </w:style>
  <w:style w:type="paragraph" w:styleId="955">
    <w:name w:val="文档结构图"/>
    <w:basedOn w:val="940"/>
    <w:next w:val="955"/>
    <w:link w:val="956"/>
    <w:semiHidden/>
    <w:pPr>
      <w:shd w:val="clear" w:color="auto" w:fill="000080"/>
    </w:pPr>
    <w:rPr>
      <w:sz w:val="2"/>
    </w:rPr>
  </w:style>
  <w:style w:type="character" w:styleId="956">
    <w:name w:val="文档结构图 字符1"/>
    <w:next w:val="956"/>
    <w:link w:val="955"/>
    <w:semiHidden/>
    <w:rPr>
      <w:rFonts w:cs="Times New Roman"/>
      <w:sz w:val="2"/>
    </w:rPr>
  </w:style>
  <w:style w:type="paragraph" w:styleId="957">
    <w:name w:val="批注文字"/>
    <w:basedOn w:val="940"/>
    <w:next w:val="957"/>
    <w:link w:val="958"/>
    <w:uiPriority w:val="99"/>
    <w:unhideWhenUsed/>
    <w:pPr>
      <w:jc w:val="left"/>
    </w:pPr>
  </w:style>
  <w:style w:type="character" w:styleId="958">
    <w:name w:val="批注文字 字符1"/>
    <w:next w:val="958"/>
    <w:link w:val="957"/>
    <w:uiPriority w:val="99"/>
    <w:semiHidden/>
    <w:rPr>
      <w:sz w:val="21"/>
    </w:rPr>
  </w:style>
  <w:style w:type="paragraph" w:styleId="959">
    <w:name w:val="正文文本"/>
    <w:basedOn w:val="940"/>
    <w:next w:val="940"/>
    <w:link w:val="960"/>
    <w:rPr>
      <w:sz w:val="20"/>
    </w:rPr>
  </w:style>
  <w:style w:type="character" w:styleId="960">
    <w:name w:val="正文文本 字符1"/>
    <w:next w:val="960"/>
    <w:link w:val="959"/>
    <w:semiHidden/>
    <w:rPr>
      <w:rFonts w:cs="Times New Roman"/>
      <w:sz w:val="20"/>
      <w:szCs w:val="20"/>
    </w:rPr>
  </w:style>
  <w:style w:type="paragraph" w:styleId="961">
    <w:name w:val="正文文本缩进"/>
    <w:basedOn w:val="940"/>
    <w:next w:val="961"/>
    <w:link w:val="962"/>
    <w:pPr>
      <w:ind w:firstLine="576"/>
    </w:pPr>
    <w:rPr>
      <w:sz w:val="20"/>
    </w:rPr>
  </w:style>
  <w:style w:type="character" w:styleId="962">
    <w:name w:val="正文文本缩进 字符1"/>
    <w:next w:val="962"/>
    <w:link w:val="961"/>
    <w:semiHidden/>
    <w:rPr>
      <w:rFonts w:cs="Times New Roman"/>
      <w:sz w:val="20"/>
      <w:szCs w:val="20"/>
    </w:rPr>
  </w:style>
  <w:style w:type="paragraph" w:styleId="963">
    <w:name w:val="文本块"/>
    <w:basedOn w:val="940"/>
    <w:next w:val="963"/>
    <w:link w:val="940"/>
    <w:qFormat/>
    <w:pPr>
      <w:ind w:left="420" w:right="33"/>
      <w:jc w:val="left"/>
    </w:pPr>
    <w:rPr>
      <w:sz w:val="24"/>
    </w:rPr>
  </w:style>
  <w:style w:type="paragraph" w:styleId="964">
    <w:name w:val="索引 4"/>
    <w:basedOn w:val="940"/>
    <w:next w:val="940"/>
    <w:link w:val="940"/>
    <w:qFormat/>
    <w:pPr>
      <w:ind w:left="600"/>
    </w:pPr>
    <w:rPr>
      <w:szCs w:val="20"/>
    </w:rPr>
  </w:style>
  <w:style w:type="paragraph" w:styleId="965">
    <w:name w:val="日期"/>
    <w:basedOn w:val="940"/>
    <w:next w:val="940"/>
    <w:link w:val="966"/>
    <w:rPr>
      <w:sz w:val="20"/>
    </w:rPr>
  </w:style>
  <w:style w:type="character" w:styleId="966">
    <w:name w:val="日期 字符1"/>
    <w:next w:val="966"/>
    <w:link w:val="965"/>
    <w:semiHidden/>
    <w:rPr>
      <w:rFonts w:cs="Times New Roman"/>
      <w:sz w:val="20"/>
      <w:szCs w:val="20"/>
    </w:rPr>
  </w:style>
  <w:style w:type="paragraph" w:styleId="967">
    <w:name w:val="正文文本缩进 2"/>
    <w:basedOn w:val="940"/>
    <w:next w:val="967"/>
    <w:link w:val="968"/>
    <w:pPr>
      <w:ind w:left="900"/>
    </w:pPr>
    <w:rPr>
      <w:sz w:val="20"/>
    </w:rPr>
  </w:style>
  <w:style w:type="character" w:styleId="968">
    <w:name w:val="正文文本缩进 2 字符1"/>
    <w:next w:val="968"/>
    <w:link w:val="967"/>
    <w:semiHidden/>
    <w:rPr>
      <w:rFonts w:cs="Times New Roman"/>
      <w:sz w:val="20"/>
      <w:szCs w:val="20"/>
    </w:rPr>
  </w:style>
  <w:style w:type="paragraph" w:styleId="969">
    <w:name w:val="批注框文本"/>
    <w:basedOn w:val="940"/>
    <w:next w:val="969"/>
    <w:link w:val="970"/>
    <w:unhideWhenUsed/>
    <w:rPr>
      <w:sz w:val="18"/>
      <w:szCs w:val="18"/>
    </w:rPr>
  </w:style>
  <w:style w:type="character" w:styleId="970">
    <w:name w:val="批注框文本 字符1"/>
    <w:next w:val="970"/>
    <w:link w:val="969"/>
    <w:rPr>
      <w:sz w:val="18"/>
      <w:szCs w:val="18"/>
    </w:rPr>
  </w:style>
  <w:style w:type="paragraph" w:styleId="971">
    <w:name w:val="页脚"/>
    <w:basedOn w:val="940"/>
    <w:next w:val="971"/>
    <w:link w:val="972"/>
    <w:uiPriority w:val="99"/>
    <w:pPr>
      <w:jc w:val="left"/>
      <w:tabs>
        <w:tab w:val="center" w:pos="4153" w:leader="none"/>
        <w:tab w:val="right" w:pos="8306" w:leader="none"/>
      </w:tabs>
    </w:pPr>
    <w:rPr>
      <w:sz w:val="18"/>
      <w:szCs w:val="18"/>
    </w:rPr>
  </w:style>
  <w:style w:type="character" w:styleId="972">
    <w:name w:val="页脚 字符1"/>
    <w:next w:val="972"/>
    <w:link w:val="971"/>
    <w:uiPriority w:val="99"/>
    <w:rPr>
      <w:rFonts w:cs="Times New Roman"/>
      <w:sz w:val="18"/>
      <w:szCs w:val="18"/>
    </w:rPr>
  </w:style>
  <w:style w:type="paragraph" w:styleId="973">
    <w:name w:val="寄信人地址"/>
    <w:basedOn w:val="940"/>
    <w:next w:val="973"/>
    <w:link w:val="940"/>
    <w:qFormat/>
    <w:pPr>
      <w:jc w:val="left"/>
      <w:tabs>
        <w:tab w:val="left" w:pos="1630" w:leader="none"/>
      </w:tabs>
    </w:pPr>
    <w:rPr>
      <w:rFonts w:ascii="Arial" w:hAnsi="Arial" w:eastAsia="DFKai-SB" w:cs="Arial"/>
      <w:sz w:val="28"/>
      <w:lang w:eastAsia="zh-TW"/>
    </w:rPr>
  </w:style>
  <w:style w:type="paragraph" w:styleId="974">
    <w:name w:val="页眉"/>
    <w:basedOn w:val="940"/>
    <w:next w:val="974"/>
    <w:link w:val="975"/>
    <w:uiPriority w:val="99"/>
    <w:pPr>
      <w:jc w:val="center"/>
      <w:tabs>
        <w:tab w:val="center" w:pos="4153" w:leader="none"/>
        <w:tab w:val="right" w:pos="8306" w:leader="none"/>
      </w:tabs>
      <w:pBdr>
        <w:bottom w:val="single" w:color="000000" w:sz="6" w:space="1"/>
      </w:pBdr>
    </w:pPr>
    <w:rPr>
      <w:sz w:val="18"/>
      <w:szCs w:val="18"/>
    </w:rPr>
  </w:style>
  <w:style w:type="character" w:styleId="975">
    <w:name w:val="页眉 字符1"/>
    <w:next w:val="975"/>
    <w:link w:val="974"/>
    <w:uiPriority w:val="99"/>
    <w:rPr>
      <w:rFonts w:cs="Times New Roman"/>
      <w:sz w:val="18"/>
      <w:szCs w:val="18"/>
    </w:rPr>
  </w:style>
  <w:style w:type="paragraph" w:styleId="976">
    <w:name w:val="目录 1"/>
    <w:basedOn w:val="940"/>
    <w:next w:val="940"/>
    <w:link w:val="940"/>
    <w:uiPriority w:val="39"/>
    <w:qFormat/>
    <w:rPr>
      <w:rFonts w:ascii="Calibri" w:hAnsi="Calibri" w:eastAsia="宋体" w:cs="Times New Roman"/>
      <w:szCs w:val="22"/>
    </w:rPr>
  </w:style>
  <w:style w:type="paragraph" w:styleId="977">
    <w:name w:val="副标题"/>
    <w:basedOn w:val="940"/>
    <w:next w:val="940"/>
    <w:link w:val="978"/>
    <w:uiPriority w:val="11"/>
    <w:qFormat/>
    <w:pPr>
      <w:jc w:val="center"/>
      <w:spacing w:before="240" w:after="60" w:line="312" w:lineRule="auto"/>
      <w:outlineLvl w:val="1"/>
    </w:pPr>
    <w:rPr>
      <w:rFonts w:ascii="Calibri Light" w:hAnsi="Calibri Light"/>
      <w:b/>
      <w:bCs/>
      <w:sz w:val="32"/>
      <w:szCs w:val="32"/>
    </w:rPr>
  </w:style>
  <w:style w:type="character" w:styleId="978">
    <w:name w:val="副标题 字符1"/>
    <w:next w:val="978"/>
    <w:link w:val="977"/>
    <w:uiPriority w:val="11"/>
    <w:rPr>
      <w:rFonts w:ascii="Calibri Light" w:hAnsi="Calibri Light"/>
      <w:b/>
      <w:bCs/>
      <w:sz w:val="32"/>
      <w:szCs w:val="32"/>
    </w:rPr>
  </w:style>
  <w:style w:type="paragraph" w:styleId="979">
    <w:name w:val="正文文本缩进 3"/>
    <w:basedOn w:val="940"/>
    <w:next w:val="979"/>
    <w:link w:val="980"/>
    <w:pPr>
      <w:ind w:left="359" w:firstLine="359"/>
    </w:pPr>
    <w:rPr>
      <w:sz w:val="16"/>
      <w:szCs w:val="16"/>
    </w:rPr>
  </w:style>
  <w:style w:type="character" w:styleId="980">
    <w:name w:val="正文文本缩进 3 字符1"/>
    <w:next w:val="980"/>
    <w:link w:val="979"/>
    <w:semiHidden/>
    <w:rPr>
      <w:rFonts w:cs="Times New Roman"/>
      <w:sz w:val="16"/>
      <w:szCs w:val="16"/>
    </w:rPr>
  </w:style>
  <w:style w:type="paragraph" w:styleId="981">
    <w:name w:val="正文文本 2"/>
    <w:basedOn w:val="940"/>
    <w:next w:val="981"/>
    <w:link w:val="982"/>
    <w:pPr>
      <w:spacing w:after="120" w:line="480" w:lineRule="auto"/>
    </w:pPr>
    <w:rPr>
      <w:sz w:val="20"/>
    </w:rPr>
  </w:style>
  <w:style w:type="character" w:styleId="982">
    <w:name w:val="正文文本 2 字符1"/>
    <w:next w:val="982"/>
    <w:link w:val="981"/>
    <w:semiHidden/>
    <w:rPr>
      <w:rFonts w:cs="Times New Roman"/>
      <w:sz w:val="20"/>
      <w:szCs w:val="20"/>
    </w:rPr>
  </w:style>
  <w:style w:type="paragraph" w:styleId="983">
    <w:name w:val="普通(网站)"/>
    <w:basedOn w:val="940"/>
    <w:next w:val="983"/>
    <w:link w:val="940"/>
    <w:uiPriority w:val="99"/>
    <w:unhideWhenUsed/>
    <w:pPr>
      <w:jc w:val="left"/>
      <w:spacing w:before="100" w:beforeAutospacing="1" w:after="100" w:afterAutospacing="1"/>
      <w:widowControl/>
    </w:pPr>
    <w:rPr>
      <w:rFonts w:ascii="宋体" w:hAnsi="宋体" w:cs="宋体"/>
      <w:sz w:val="24"/>
      <w:szCs w:val="24"/>
    </w:rPr>
  </w:style>
  <w:style w:type="paragraph" w:styleId="984">
    <w:name w:val="标题"/>
    <w:basedOn w:val="940"/>
    <w:next w:val="940"/>
    <w:link w:val="985"/>
    <w:uiPriority w:val="99"/>
    <w:qFormat/>
    <w:pPr>
      <w:ind w:firstLine="200"/>
      <w:jc w:val="center"/>
      <w:spacing w:before="240" w:after="60" w:line="336" w:lineRule="auto"/>
      <w:outlineLvl w:val="0"/>
    </w:pPr>
    <w:rPr>
      <w:rFonts w:ascii="Cambria" w:hAnsi="Cambria"/>
      <w:b/>
      <w:bCs/>
      <w:sz w:val="32"/>
      <w:szCs w:val="32"/>
    </w:rPr>
  </w:style>
  <w:style w:type="character" w:styleId="985">
    <w:name w:val="标题 字符1"/>
    <w:next w:val="985"/>
    <w:link w:val="984"/>
    <w:uiPriority w:val="99"/>
    <w:rPr>
      <w:rFonts w:ascii="Cambria" w:hAnsi="Cambria" w:cs="Cambria"/>
      <w:b/>
      <w:bCs/>
      <w:sz w:val="32"/>
      <w:szCs w:val="32"/>
    </w:rPr>
  </w:style>
  <w:style w:type="paragraph" w:styleId="986">
    <w:name w:val="批注主题"/>
    <w:basedOn w:val="957"/>
    <w:next w:val="957"/>
    <w:link w:val="987"/>
    <w:uiPriority w:val="99"/>
    <w:unhideWhenUsed/>
    <w:rPr>
      <w:b/>
      <w:bCs/>
    </w:rPr>
  </w:style>
  <w:style w:type="character" w:styleId="987">
    <w:name w:val="批注主题 字符1"/>
    <w:next w:val="987"/>
    <w:link w:val="986"/>
    <w:uiPriority w:val="99"/>
    <w:semiHidden/>
    <w:rPr>
      <w:b/>
      <w:bCs/>
      <w:sz w:val="21"/>
    </w:rPr>
  </w:style>
  <w:style w:type="paragraph" w:styleId="988">
    <w:name w:val="正文首行缩进 2"/>
    <w:basedOn w:val="961"/>
    <w:next w:val="988"/>
    <w:link w:val="940"/>
    <w:uiPriority w:val="99"/>
    <w:unhideWhenUsed/>
    <w:qFormat/>
    <w:pPr>
      <w:ind w:firstLine="420"/>
    </w:pPr>
  </w:style>
  <w:style w:type="table" w:styleId="989">
    <w:name w:val="网格型"/>
    <w:basedOn w:val="947"/>
    <w:next w:val="989"/>
    <w:link w:val="940"/>
    <w:uiPriority w:val="99"/>
    <w:qFormat/>
    <w:rPr>
      <w:rFonts w:ascii="Times" w:hAnsi="Times" w:cs="Times"/>
    </w:rPr>
    <w:tblPr/>
  </w:style>
  <w:style w:type="character" w:styleId="990">
    <w:name w:val="要点"/>
    <w:basedOn w:val="946"/>
    <w:next w:val="990"/>
    <w:link w:val="940"/>
    <w:qFormat/>
    <w:rPr>
      <w:rFonts w:cs="Times New Roman"/>
      <w:b/>
      <w:bCs/>
    </w:rPr>
  </w:style>
  <w:style w:type="character" w:styleId="991">
    <w:name w:val="页码"/>
    <w:next w:val="991"/>
    <w:link w:val="940"/>
    <w:rPr>
      <w:rFonts w:cs="Times New Roman"/>
    </w:rPr>
  </w:style>
  <w:style w:type="character" w:styleId="992">
    <w:name w:val="已访问的超链接"/>
    <w:next w:val="992"/>
    <w:link w:val="940"/>
    <w:uiPriority w:val="99"/>
    <w:rPr>
      <w:rFonts w:cs="Times New Roman"/>
      <w:color w:val="000000"/>
      <w:u w:val="none"/>
    </w:rPr>
  </w:style>
  <w:style w:type="character" w:styleId="993">
    <w:name w:val="HTML 打字机"/>
    <w:next w:val="993"/>
    <w:link w:val="940"/>
    <w:uiPriority w:val="99"/>
    <w:rPr>
      <w:rFonts w:ascii="宋体" w:hAnsi="宋体" w:eastAsia="宋体" w:cs="宋体"/>
      <w:sz w:val="24"/>
      <w:szCs w:val="24"/>
    </w:rPr>
  </w:style>
  <w:style w:type="character" w:styleId="994">
    <w:name w:val="超链接"/>
    <w:next w:val="994"/>
    <w:link w:val="940"/>
    <w:rPr>
      <w:rFonts w:cs="Times New Roman"/>
      <w:color w:val="000000"/>
      <w:u w:val="none"/>
    </w:rPr>
  </w:style>
  <w:style w:type="character" w:styleId="995">
    <w:name w:val="批注引用"/>
    <w:next w:val="995"/>
    <w:link w:val="940"/>
    <w:uiPriority w:val="99"/>
    <w:unhideWhenUsed/>
    <w:rPr>
      <w:sz w:val="21"/>
      <w:szCs w:val="21"/>
    </w:rPr>
  </w:style>
  <w:style w:type="character" w:styleId="996">
    <w:name w:val="NormalCharacter1"/>
    <w:next w:val="996"/>
    <w:link w:val="940"/>
    <w:qFormat/>
    <w:rPr>
      <w:sz w:val="21"/>
      <w:lang w:val="en-US" w:eastAsia="zh-CN" w:bidi="ar-SA"/>
    </w:rPr>
  </w:style>
  <w:style w:type="paragraph" w:styleId="997">
    <w:name w:val="列出段落1"/>
    <w:basedOn w:val="940"/>
    <w:next w:val="997"/>
    <w:link w:val="940"/>
    <w:uiPriority w:val="34"/>
    <w:qFormat/>
    <w:pPr>
      <w:ind w:firstLine="420"/>
    </w:pPr>
    <w:rPr>
      <w:sz w:val="20"/>
    </w:rPr>
  </w:style>
  <w:style w:type="character" w:styleId="998">
    <w:name w:val="页脚 字符"/>
    <w:next w:val="998"/>
    <w:link w:val="940"/>
    <w:uiPriority w:val="99"/>
    <w:rPr>
      <w:rFonts w:cs="Times New Roman"/>
      <w:sz w:val="18"/>
      <w:szCs w:val="18"/>
    </w:rPr>
  </w:style>
  <w:style w:type="character" w:styleId="999">
    <w:name w:val="正文文本缩进 2 字符"/>
    <w:next w:val="999"/>
    <w:link w:val="940"/>
    <w:semiHidden/>
    <w:rPr>
      <w:rFonts w:cs="Times New Roman"/>
      <w:sz w:val="20"/>
      <w:szCs w:val="20"/>
    </w:rPr>
  </w:style>
  <w:style w:type="character" w:styleId="1000">
    <w:name w:val="标题 1 字符"/>
    <w:next w:val="1000"/>
    <w:link w:val="940"/>
    <w:rPr>
      <w:rFonts w:cs="Times New Roman"/>
      <w:b/>
      <w:bCs/>
      <w:sz w:val="44"/>
      <w:szCs w:val="44"/>
    </w:rPr>
  </w:style>
  <w:style w:type="character" w:styleId="1001">
    <w:name w:val="标题 4 字符"/>
    <w:next w:val="1001"/>
    <w:link w:val="940"/>
    <w:semiHidden/>
    <w:rPr>
      <w:rFonts w:ascii="Cambria" w:hAnsi="Cambria" w:eastAsia="宋体" w:cs="Times New Roman"/>
      <w:b/>
      <w:bCs/>
      <w:sz w:val="28"/>
      <w:szCs w:val="28"/>
    </w:rPr>
  </w:style>
  <w:style w:type="character" w:styleId="1002">
    <w:name w:val="case31"/>
    <w:next w:val="1002"/>
    <w:link w:val="940"/>
    <w:rPr>
      <w:rFonts w:cs="Times New Roman"/>
      <w:spacing w:val="390"/>
      <w:sz w:val="21"/>
      <w:szCs w:val="21"/>
    </w:rPr>
  </w:style>
  <w:style w:type="character" w:styleId="1003">
    <w:name w:val="文档结构图 字符"/>
    <w:next w:val="1003"/>
    <w:link w:val="940"/>
    <w:semiHidden/>
    <w:rPr>
      <w:rFonts w:cs="Times New Roman"/>
      <w:sz w:val="2"/>
    </w:rPr>
  </w:style>
  <w:style w:type="character" w:styleId="1004">
    <w:name w:val="批注主题 字符"/>
    <w:next w:val="1004"/>
    <w:link w:val="940"/>
    <w:uiPriority w:val="99"/>
    <w:semiHidden/>
    <w:rPr>
      <w:b/>
      <w:bCs/>
      <w:sz w:val="21"/>
    </w:rPr>
  </w:style>
  <w:style w:type="character" w:styleId="1005">
    <w:name w:val="style21"/>
    <w:next w:val="1005"/>
    <w:link w:val="940"/>
    <w:uiPriority w:val="99"/>
    <w:rPr>
      <w:sz w:val="22"/>
      <w:szCs w:val="22"/>
    </w:rPr>
  </w:style>
  <w:style w:type="character" w:styleId="1006">
    <w:name w:val="_正文 Char"/>
    <w:next w:val="1006"/>
    <w:link w:val="1007"/>
    <w:rPr>
      <w:rFonts w:ascii="微软雅黑" w:hAnsi="微软雅黑"/>
    </w:rPr>
  </w:style>
  <w:style w:type="paragraph" w:styleId="1007">
    <w:name w:val="_正文"/>
    <w:basedOn w:val="940"/>
    <w:next w:val="1007"/>
    <w:link w:val="1006"/>
    <w:qFormat/>
    <w:pPr>
      <w:ind w:firstLine="200"/>
      <w:jc w:val="left"/>
      <w:spacing w:line="360" w:lineRule="auto"/>
      <w:widowControl/>
    </w:pPr>
    <w:rPr>
      <w:rFonts w:ascii="微软雅黑" w:hAnsi="微软雅黑"/>
      <w:sz w:val="20"/>
    </w:rPr>
  </w:style>
  <w:style w:type="character" w:styleId="1008">
    <w:name w:val="正文文本缩进 3 字符"/>
    <w:next w:val="1008"/>
    <w:link w:val="940"/>
    <w:semiHidden/>
    <w:rPr>
      <w:rFonts w:cs="Times New Roman"/>
      <w:sz w:val="16"/>
      <w:szCs w:val="16"/>
    </w:rPr>
  </w:style>
  <w:style w:type="character" w:styleId="1009">
    <w:name w:val="正文文本 2 字符"/>
    <w:next w:val="1009"/>
    <w:link w:val="940"/>
    <w:semiHidden/>
    <w:rPr>
      <w:rFonts w:cs="Times New Roman"/>
      <w:sz w:val="20"/>
      <w:szCs w:val="20"/>
    </w:rPr>
  </w:style>
  <w:style w:type="character" w:styleId="1010">
    <w:name w:val="访问过的超链接1"/>
    <w:next w:val="1010"/>
    <w:link w:val="940"/>
    <w:rPr>
      <w:color w:val="000000"/>
      <w:u w:val="none"/>
    </w:rPr>
  </w:style>
  <w:style w:type="character" w:styleId="1011">
    <w:name w:val="标题 3 字符"/>
    <w:next w:val="1011"/>
    <w:link w:val="940"/>
    <w:semiHidden/>
    <w:rPr>
      <w:rFonts w:cs="Times New Roman"/>
      <w:b/>
      <w:bCs/>
      <w:sz w:val="32"/>
      <w:szCs w:val="32"/>
    </w:rPr>
  </w:style>
  <w:style w:type="character" w:styleId="1012">
    <w:name w:val="列表段落 字符"/>
    <w:next w:val="1012"/>
    <w:link w:val="1013"/>
    <w:uiPriority w:val="34"/>
    <w:qFormat/>
    <w:rPr>
      <w:sz w:val="21"/>
    </w:rPr>
  </w:style>
  <w:style w:type="paragraph" w:styleId="1013">
    <w:name w:val="列表段落"/>
    <w:basedOn w:val="940"/>
    <w:next w:val="1013"/>
    <w:link w:val="1012"/>
    <w:uiPriority w:val="34"/>
    <w:qFormat/>
    <w:pPr>
      <w:ind w:firstLine="420"/>
    </w:pPr>
  </w:style>
  <w:style w:type="character" w:styleId="1014">
    <w:name w:val="日期 字符"/>
    <w:next w:val="1014"/>
    <w:link w:val="940"/>
    <w:semiHidden/>
    <w:rPr>
      <w:rFonts w:cs="Times New Roman"/>
      <w:sz w:val="20"/>
      <w:szCs w:val="20"/>
    </w:rPr>
  </w:style>
  <w:style w:type="character" w:styleId="1015">
    <w:name w:val="标题 字符"/>
    <w:next w:val="1015"/>
    <w:link w:val="940"/>
    <w:uiPriority w:val="99"/>
    <w:rPr>
      <w:rFonts w:ascii="Cambria" w:hAnsi="Cambria" w:cs="Cambria"/>
      <w:b/>
      <w:bCs/>
      <w:sz w:val="32"/>
      <w:szCs w:val="32"/>
    </w:rPr>
  </w:style>
  <w:style w:type="character" w:styleId="1016">
    <w:name w:val="列出段落 字符1"/>
    <w:next w:val="1016"/>
    <w:link w:val="940"/>
    <w:uiPriority w:val="34"/>
    <w:qFormat/>
    <w:rPr>
      <w:sz w:val="21"/>
    </w:rPr>
  </w:style>
  <w:style w:type="character" w:styleId="1017">
    <w:name w:val="标题 5 字符"/>
    <w:next w:val="1017"/>
    <w:link w:val="940"/>
    <w:rPr>
      <w:rFonts w:ascii="楷体_GB2312" w:eastAsia="楷体_GB2312"/>
      <w:bCs/>
      <w:sz w:val="28"/>
    </w:rPr>
  </w:style>
  <w:style w:type="character" w:styleId="1018">
    <w:name w:val="宋体&amp;Time5# Char"/>
    <w:next w:val="1018"/>
    <w:link w:val="1019"/>
    <w:rPr>
      <w:rFonts w:ascii="Calibri" w:hAnsi="Calibri" w:eastAsia="Times New Roman"/>
      <w:sz w:val="21"/>
      <w:szCs w:val="21"/>
    </w:rPr>
  </w:style>
  <w:style w:type="paragraph" w:styleId="1019">
    <w:name w:val="宋体&amp;Time5#"/>
    <w:basedOn w:val="940"/>
    <w:next w:val="1019"/>
    <w:link w:val="1018"/>
    <w:qFormat/>
    <w:pPr>
      <w:jc w:val="center"/>
    </w:pPr>
    <w:rPr>
      <w:rFonts w:ascii="Calibri" w:hAnsi="Calibri" w:eastAsia="Times New Roman"/>
      <w:szCs w:val="21"/>
    </w:rPr>
  </w:style>
  <w:style w:type="character" w:styleId="1020">
    <w:name w:val="页眉 字符"/>
    <w:next w:val="1020"/>
    <w:link w:val="940"/>
    <w:uiPriority w:val="99"/>
    <w:rPr>
      <w:rFonts w:cs="Times New Roman"/>
      <w:sz w:val="18"/>
      <w:szCs w:val="18"/>
    </w:rPr>
  </w:style>
  <w:style w:type="character" w:styleId="1021">
    <w:name w:val="标题 2 字符"/>
    <w:next w:val="1021"/>
    <w:link w:val="940"/>
    <w:semiHidden/>
    <w:rPr>
      <w:rFonts w:ascii="Cambria" w:hAnsi="Cambria" w:eastAsia="宋体" w:cs="Times New Roman"/>
      <w:b/>
      <w:bCs/>
      <w:sz w:val="32"/>
      <w:szCs w:val="32"/>
    </w:rPr>
  </w:style>
  <w:style w:type="character" w:styleId="1022">
    <w:name w:val="列出段落 字符"/>
    <w:next w:val="1022"/>
    <w:link w:val="940"/>
    <w:uiPriority w:val="34"/>
    <w:rPr>
      <w:sz w:val="21"/>
    </w:rPr>
  </w:style>
  <w:style w:type="character" w:styleId="1023">
    <w:name w:val="批注文字 字符"/>
    <w:next w:val="1023"/>
    <w:link w:val="940"/>
    <w:uiPriority w:val="99"/>
    <w:semiHidden/>
    <w:rPr>
      <w:sz w:val="21"/>
    </w:rPr>
  </w:style>
  <w:style w:type="character" w:styleId="1024">
    <w:name w:val="批注框文本 字符"/>
    <w:next w:val="1024"/>
    <w:link w:val="940"/>
    <w:rPr>
      <w:sz w:val="18"/>
      <w:szCs w:val="18"/>
    </w:rPr>
  </w:style>
  <w:style w:type="character" w:styleId="1025">
    <w:name w:val="正文文本缩进 字符"/>
    <w:next w:val="1025"/>
    <w:link w:val="940"/>
    <w:semiHidden/>
    <w:rPr>
      <w:rFonts w:cs="Times New Roman"/>
      <w:sz w:val="20"/>
      <w:szCs w:val="20"/>
    </w:rPr>
  </w:style>
  <w:style w:type="character" w:styleId="1026">
    <w:name w:val="副标题 字符"/>
    <w:next w:val="1026"/>
    <w:link w:val="940"/>
    <w:uiPriority w:val="11"/>
    <w:rPr>
      <w:rFonts w:ascii="Calibri Light" w:hAnsi="Calibri Light"/>
      <w:b/>
      <w:bCs/>
      <w:sz w:val="32"/>
      <w:szCs w:val="32"/>
    </w:rPr>
  </w:style>
  <w:style w:type="character" w:styleId="1027">
    <w:name w:val="正文文本 字符"/>
    <w:next w:val="1027"/>
    <w:link w:val="940"/>
    <w:semiHidden/>
    <w:rPr>
      <w:rFonts w:cs="Times New Roman"/>
      <w:sz w:val="20"/>
      <w:szCs w:val="20"/>
    </w:rPr>
  </w:style>
  <w:style w:type="paragraph" w:styleId="1028">
    <w:name w:val="xl32"/>
    <w:basedOn w:val="940"/>
    <w:next w:val="1028"/>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9">
    <w:name w:val="默认段落字体 Para Char"/>
    <w:basedOn w:val="940"/>
    <w:next w:val="1029"/>
    <w:link w:val="940"/>
    <w:pPr>
      <w:ind w:left="552" w:hanging="420"/>
      <w:tabs>
        <w:tab w:val="left" w:pos="552" w:leader="none"/>
      </w:tabs>
    </w:pPr>
    <w:rPr>
      <w:sz w:val="24"/>
      <w:szCs w:val="24"/>
    </w:rPr>
  </w:style>
  <w:style w:type="paragraph" w:styleId="1030">
    <w:name w:val="正文 A"/>
    <w:next w:val="1030"/>
    <w:link w:val="940"/>
    <w:qFormat/>
    <w:pPr>
      <w:jc w:val="both"/>
      <w:widowControl w:val="off"/>
    </w:pPr>
    <w:rPr>
      <w:rFonts w:eastAsia="Arial Unicode MS" w:cs="Arial Unicode MS"/>
      <w:color w:val="000000"/>
      <w:sz w:val="21"/>
      <w:szCs w:val="21"/>
      <w:lang w:val="en-US" w:eastAsia="zh-CN" w:bidi="ar-SA"/>
    </w:rPr>
  </w:style>
  <w:style w:type="paragraph" w:styleId="1031">
    <w:name w:val="xl52"/>
    <w:basedOn w:val="940"/>
    <w:next w:val="1031"/>
    <w:link w:val="94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2">
    <w:name w:val="文件标题"/>
    <w:basedOn w:val="940"/>
    <w:next w:val="1032"/>
    <w:link w:val="940"/>
    <w:uiPriority w:val="99"/>
    <w:pPr>
      <w:jc w:val="center"/>
      <w:spacing w:line="640" w:lineRule="exact"/>
    </w:pPr>
    <w:rPr>
      <w:rFonts w:ascii="宋体" w:hAnsi="宋体" w:eastAsia="方正小标宋_GBK" w:cs="宋体"/>
      <w:sz w:val="44"/>
      <w:szCs w:val="44"/>
    </w:rPr>
  </w:style>
  <w:style w:type="paragraph" w:styleId="1033">
    <w:name w:val="xl48"/>
    <w:basedOn w:val="940"/>
    <w:next w:val="1033"/>
    <w:link w:val="94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34">
    <w:name w:val="Char Char1 Char Char Char Char"/>
    <w:basedOn w:val="955"/>
    <w:next w:val="1034"/>
    <w:link w:val="940"/>
    <w:pPr>
      <w:ind w:left="357"/>
      <w:jc w:val="left"/>
      <w:spacing w:line="436" w:lineRule="exact"/>
      <w:outlineLvl w:val="3"/>
    </w:pPr>
    <w:rPr>
      <w:rFonts w:ascii="Tahoma" w:hAnsi="Tahoma"/>
      <w:b/>
      <w:sz w:val="24"/>
      <w:szCs w:val="24"/>
    </w:rPr>
  </w:style>
  <w:style w:type="paragraph" w:styleId="1035">
    <w:name w:val="font7"/>
    <w:basedOn w:val="940"/>
    <w:next w:val="1035"/>
    <w:link w:val="940"/>
    <w:pPr>
      <w:jc w:val="left"/>
      <w:spacing w:before="100" w:beforeAutospacing="1" w:after="100" w:afterAutospacing="1"/>
      <w:widowControl/>
    </w:pPr>
    <w:rPr>
      <w:b/>
      <w:bCs/>
      <w:i/>
      <w:iCs/>
      <w:sz w:val="20"/>
    </w:rPr>
  </w:style>
  <w:style w:type="paragraph" w:styleId="1036">
    <w:name w:val="文档正文"/>
    <w:basedOn w:val="940"/>
    <w:next w:val="1036"/>
    <w:link w:val="940"/>
    <w:pPr>
      <w:ind w:firstLine="567"/>
      <w:spacing w:line="312" w:lineRule="atLeast"/>
    </w:pPr>
    <w:rPr>
      <w:rFonts w:ascii="长城仿宋" w:eastAsia="长城仿宋"/>
      <w:sz w:val="28"/>
    </w:rPr>
  </w:style>
  <w:style w:type="paragraph" w:styleId="1037">
    <w:name w:val="xl45"/>
    <w:basedOn w:val="940"/>
    <w:next w:val="1037"/>
    <w:link w:val="94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8">
    <w:name w:val="xl60"/>
    <w:basedOn w:val="940"/>
    <w:next w:val="1038"/>
    <w:link w:val="94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9">
    <w:name w:val="_标题 3"/>
    <w:basedOn w:val="943"/>
    <w:next w:val="1007"/>
    <w:link w:val="940"/>
    <w:qFormat/>
    <w:pPr>
      <w:numPr>
        <w:ilvl w:val="2"/>
        <w:numId w:val="2"/>
      </w:numPr>
      <w:jc w:val="left"/>
      <w:keepLines/>
      <w:spacing w:before="260" w:after="260"/>
      <w:widowControl/>
    </w:pPr>
    <w:rPr>
      <w:rFonts w:ascii="微软雅黑" w:hAnsi="微软雅黑" w:eastAsia="宋体"/>
      <w:sz w:val="21"/>
      <w:szCs w:val="21"/>
    </w:rPr>
  </w:style>
  <w:style w:type="paragraph" w:styleId="1040">
    <w:name w:val="font6"/>
    <w:basedOn w:val="940"/>
    <w:next w:val="1040"/>
    <w:link w:val="940"/>
    <w:pPr>
      <w:jc w:val="left"/>
      <w:spacing w:before="100" w:beforeAutospacing="1" w:after="100" w:afterAutospacing="1"/>
      <w:widowControl/>
    </w:pPr>
    <w:rPr>
      <w:rFonts w:ascii="宋体" w:hAnsi="宋体"/>
      <w:b/>
      <w:bCs/>
      <w:sz w:val="20"/>
    </w:rPr>
  </w:style>
  <w:style w:type="paragraph" w:styleId="1041">
    <w:name w:val="xl25"/>
    <w:basedOn w:val="940"/>
    <w:next w:val="1041"/>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name w:val="样式 首行缩进:  2 字符"/>
    <w:basedOn w:val="940"/>
    <w:next w:val="1042"/>
    <w:link w:val="940"/>
    <w:uiPriority w:val="99"/>
    <w:pPr>
      <w:ind w:firstLine="200"/>
      <w:spacing w:line="288" w:lineRule="auto"/>
    </w:pPr>
    <w:rPr>
      <w:rFonts w:ascii="仿宋_GB2312" w:hAnsi="Times" w:eastAsia="仿宋_GB2312" w:cs="仿宋_GB2312"/>
      <w:sz w:val="32"/>
      <w:szCs w:val="32"/>
    </w:rPr>
  </w:style>
  <w:style w:type="paragraph" w:styleId="1043">
    <w:name w:val="Table Description"/>
    <w:basedOn w:val="940"/>
    <w:next w:val="940"/>
    <w:link w:val="940"/>
    <w:pPr>
      <w:ind w:left="1701"/>
      <w:jc w:val="left"/>
      <w:keepNext/>
      <w:spacing w:before="320" w:after="80" w:line="240" w:lineRule="atLeast"/>
      <w:widowControl/>
      <w:outlineLvl w:val="7"/>
    </w:pPr>
    <w:rPr>
      <w:rFonts w:hint="eastAsia" w:eastAsia="黑体" w:cs="Arial"/>
      <w:spacing w:val="-4"/>
      <w:szCs w:val="21"/>
    </w:rPr>
  </w:style>
  <w:style w:type="paragraph" w:styleId="1044">
    <w:name w:val="Item Step"/>
    <w:next w:val="1044"/>
    <w:link w:val="940"/>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paragraph" w:styleId="1045">
    <w:name w:val="xl29"/>
    <w:basedOn w:val="940"/>
    <w:next w:val="1045"/>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6">
    <w:name w:val="font12"/>
    <w:basedOn w:val="940"/>
    <w:next w:val="1046"/>
    <w:link w:val="940"/>
    <w:pPr>
      <w:jc w:val="left"/>
      <w:spacing w:before="100" w:beforeAutospacing="1" w:after="100" w:afterAutospacing="1"/>
      <w:widowControl/>
    </w:pPr>
    <w:rPr>
      <w:rFonts w:ascii="宋体" w:hAnsi="宋体"/>
      <w:sz w:val="36"/>
      <w:szCs w:val="36"/>
    </w:rPr>
  </w:style>
  <w:style w:type="paragraph" w:styleId="1047">
    <w:name w:val="Step"/>
    <w:basedOn w:val="940"/>
    <w:next w:val="1047"/>
    <w:link w:val="940"/>
    <w:pPr>
      <w:ind w:left="1701" w:hanging="159"/>
      <w:jc w:val="left"/>
      <w:spacing w:before="160" w:after="160" w:line="240" w:lineRule="atLeast"/>
      <w:widowControl/>
      <w:tabs>
        <w:tab w:val="left" w:pos="1701" w:leader="none"/>
      </w:tabs>
      <w:outlineLvl w:val="5"/>
    </w:pPr>
    <w:rPr>
      <w:rFonts w:hint="eastAsia" w:cs="Arial"/>
      <w:szCs w:val="21"/>
    </w:rPr>
  </w:style>
  <w:style w:type="paragraph" w:styleId="1048">
    <w:name w:val="Figure Description"/>
    <w:next w:val="940"/>
    <w:link w:val="940"/>
    <w:pPr>
      <w:ind w:left="1701"/>
      <w:keepNext/>
      <w:spacing w:before="320" w:after="80" w:line="240" w:lineRule="atLeast"/>
      <w:outlineLvl w:val="7"/>
    </w:pPr>
    <w:rPr>
      <w:rFonts w:eastAsia="黑体" w:cs="Arial"/>
      <w:spacing w:val="-4"/>
      <w:sz w:val="21"/>
      <w:szCs w:val="21"/>
      <w:lang w:val="en-US" w:eastAsia="zh-CN" w:bidi="ar-SA"/>
    </w:rPr>
  </w:style>
  <w:style w:type="paragraph" w:styleId="1049">
    <w:name w:val="Block Label"/>
    <w:basedOn w:val="940"/>
    <w:next w:val="940"/>
    <w:link w:val="940"/>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50">
    <w:name w:val="xl31"/>
    <w:basedOn w:val="940"/>
    <w:next w:val="1050"/>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51">
    <w:name w:val="xl43"/>
    <w:basedOn w:val="940"/>
    <w:next w:val="1051"/>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52">
    <w:name w:val="Char1 Char Char Char"/>
    <w:basedOn w:val="940"/>
    <w:next w:val="1052"/>
    <w:link w:val="940"/>
    <w:rPr>
      <w:rFonts w:ascii="Tahoma" w:hAnsi="Tahoma"/>
      <w:sz w:val="24"/>
    </w:rPr>
  </w:style>
  <w:style w:type="paragraph" w:styleId="1053">
    <w:name w:val="xl171"/>
    <w:basedOn w:val="940"/>
    <w:next w:val="105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4">
    <w:name w:val="xl63"/>
    <w:basedOn w:val="940"/>
    <w:next w:val="1054"/>
    <w:link w:val="94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55">
    <w:name w:val="xl44"/>
    <w:basedOn w:val="940"/>
    <w:next w:val="1055"/>
    <w:link w:val="9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56">
    <w:name w:val="xl24"/>
    <w:basedOn w:val="940"/>
    <w:next w:val="1056"/>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7">
    <w:name w:val="正文 New New New New"/>
    <w:next w:val="1057"/>
    <w:link w:val="940"/>
    <w:pPr>
      <w:jc w:val="both"/>
      <w:widowControl w:val="off"/>
    </w:pPr>
    <w:rPr>
      <w:szCs w:val="24"/>
      <w:lang w:val="en-US" w:eastAsia="zh-CN" w:bidi="ar-SA"/>
    </w:rPr>
  </w:style>
  <w:style w:type="paragraph" w:styleId="1058">
    <w:name w:val="_标题 2"/>
    <w:basedOn w:val="942"/>
    <w:next w:val="1007"/>
    <w:link w:val="940"/>
    <w:qFormat/>
    <w:pPr>
      <w:numPr>
        <w:ilvl w:val="1"/>
        <w:numId w:val="2"/>
      </w:numPr>
      <w:jc w:val="left"/>
      <w:keepLines/>
      <w:spacing w:before="260" w:after="260"/>
      <w:widowControl/>
    </w:pPr>
    <w:rPr>
      <w:rFonts w:ascii="微软雅黑" w:hAnsi="微软雅黑" w:eastAsia="宋体"/>
      <w:sz w:val="21"/>
      <w:szCs w:val="32"/>
    </w:rPr>
  </w:style>
  <w:style w:type="paragraph" w:styleId="1059">
    <w:name w:val="_Style 4"/>
    <w:next w:val="1059"/>
    <w:link w:val="940"/>
    <w:uiPriority w:val="99"/>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cs="Calibri"/>
      <w:sz w:val="21"/>
      <w:szCs w:val="21"/>
      <w:lang w:val="en-US" w:eastAsia="zh-CN" w:bidi="ar-SA"/>
    </w:rPr>
  </w:style>
  <w:style w:type="paragraph" w:styleId="1060">
    <w:name w:val="xl35"/>
    <w:basedOn w:val="940"/>
    <w:next w:val="1060"/>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61">
    <w:name w:val="xl33"/>
    <w:basedOn w:val="940"/>
    <w:next w:val="1061"/>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2">
    <w:name w:val="font14"/>
    <w:basedOn w:val="940"/>
    <w:next w:val="1062"/>
    <w:link w:val="940"/>
    <w:pPr>
      <w:jc w:val="left"/>
      <w:spacing w:before="100" w:beforeAutospacing="1" w:after="100" w:afterAutospacing="1"/>
      <w:widowControl/>
    </w:pPr>
    <w:rPr>
      <w:sz w:val="36"/>
      <w:szCs w:val="36"/>
    </w:rPr>
  </w:style>
  <w:style w:type="paragraph" w:styleId="1063">
    <w:name w:val="xl26"/>
    <w:basedOn w:val="940"/>
    <w:next w:val="106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4">
    <w:name w:val="font9"/>
    <w:basedOn w:val="940"/>
    <w:next w:val="1064"/>
    <w:link w:val="940"/>
    <w:pPr>
      <w:jc w:val="left"/>
      <w:spacing w:before="100" w:beforeAutospacing="1" w:after="100" w:afterAutospacing="1"/>
      <w:widowControl/>
    </w:pPr>
    <w:rPr>
      <w:b/>
      <w:bCs/>
      <w:sz w:val="20"/>
    </w:rPr>
  </w:style>
  <w:style w:type="paragraph" w:styleId="1065">
    <w:name w:val="文字"/>
    <w:basedOn w:val="940"/>
    <w:next w:val="1065"/>
    <w:link w:val="940"/>
    <w:qFormat/>
    <w:pPr>
      <w:ind w:right="-210" w:firstLine="556"/>
      <w:spacing w:line="312" w:lineRule="auto"/>
      <w:tabs>
        <w:tab w:val="left" w:pos="8520" w:leader="none"/>
      </w:tabs>
    </w:pPr>
    <w:rPr>
      <w:rFonts w:ascii="楷体_GB2312" w:eastAsia="楷体_GB2312"/>
      <w:sz w:val="28"/>
      <w:szCs w:val="22"/>
    </w:rPr>
  </w:style>
  <w:style w:type="paragraph" w:styleId="1066">
    <w:name w:val="样式 首行缩进:  2 字符1"/>
    <w:basedOn w:val="940"/>
    <w:next w:val="1066"/>
    <w:link w:val="940"/>
    <w:uiPriority w:val="99"/>
    <w:pPr>
      <w:ind w:firstLine="200"/>
      <w:spacing w:line="288" w:lineRule="auto"/>
    </w:pPr>
    <w:rPr>
      <w:rFonts w:ascii="仿宋_GB2312" w:hAnsi="Times" w:eastAsia="仿宋_GB2312" w:cs="仿宋_GB2312"/>
      <w:sz w:val="32"/>
      <w:szCs w:val="32"/>
    </w:rPr>
  </w:style>
  <w:style w:type="paragraph" w:styleId="1067">
    <w:name w:val="xl36"/>
    <w:basedOn w:val="940"/>
    <w:next w:val="106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8">
    <w:name w:val="_Style 1"/>
    <w:basedOn w:val="940"/>
    <w:next w:val="1068"/>
    <w:link w:val="940"/>
    <w:uiPriority w:val="99"/>
    <w:qFormat/>
    <w:pPr>
      <w:ind w:firstLine="420"/>
    </w:pPr>
    <w:rPr>
      <w:szCs w:val="22"/>
    </w:rPr>
  </w:style>
  <w:style w:type="paragraph" w:styleId="1069">
    <w:name w:val="xl49"/>
    <w:basedOn w:val="940"/>
    <w:next w:val="1069"/>
    <w:link w:val="940"/>
    <w:pPr>
      <w:jc w:val="center"/>
      <w:spacing w:before="100" w:beforeAutospacing="1" w:after="100" w:afterAutospacing="1"/>
      <w:widowControl/>
      <w:pBdr>
        <w:left w:val="single" w:color="000000" w:sz="4" w:space="0"/>
        <w:right w:val="single" w:color="000000" w:sz="4" w:space="0"/>
      </w:pBdr>
    </w:pPr>
    <w:rPr>
      <w:b/>
      <w:bCs/>
      <w:sz w:val="20"/>
    </w:rPr>
  </w:style>
  <w:style w:type="paragraph" w:styleId="1070">
    <w:name w:val="xl28"/>
    <w:basedOn w:val="940"/>
    <w:next w:val="1070"/>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71">
    <w:name w:val="font10"/>
    <w:basedOn w:val="940"/>
    <w:next w:val="1071"/>
    <w:link w:val="940"/>
    <w:pPr>
      <w:jc w:val="left"/>
      <w:spacing w:before="100" w:beforeAutospacing="1" w:after="100" w:afterAutospacing="1"/>
      <w:widowControl/>
    </w:pPr>
    <w:rPr>
      <w:rFonts w:ascii="楷体_GB2312" w:hAnsi="宋体" w:eastAsia="楷体_GB2312"/>
      <w:b/>
      <w:bCs/>
      <w:sz w:val="18"/>
      <w:szCs w:val="18"/>
    </w:rPr>
  </w:style>
  <w:style w:type="paragraph" w:styleId="1072">
    <w:name w:val="xl30"/>
    <w:basedOn w:val="940"/>
    <w:next w:val="1072"/>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3">
    <w:name w:val="Default"/>
    <w:next w:val="1073"/>
    <w:link w:val="940"/>
    <w:pPr>
      <w:widowControl w:val="off"/>
    </w:pPr>
    <w:rPr>
      <w:color w:val="000000"/>
      <w:sz w:val="24"/>
      <w:szCs w:val="24"/>
      <w:lang w:val="en-US" w:eastAsia="zh-CN" w:bidi="ar-SA"/>
    </w:rPr>
  </w:style>
  <w:style w:type="paragraph" w:styleId="1074">
    <w:name w:val="xl40"/>
    <w:basedOn w:val="940"/>
    <w:next w:val="1074"/>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5">
    <w:name w:val="xl57"/>
    <w:basedOn w:val="940"/>
    <w:next w:val="1075"/>
    <w:link w:val="94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6">
    <w:name w:val="font13"/>
    <w:basedOn w:val="940"/>
    <w:next w:val="1076"/>
    <w:link w:val="940"/>
    <w:pPr>
      <w:jc w:val="left"/>
      <w:spacing w:before="100" w:beforeAutospacing="1" w:after="100" w:afterAutospacing="1"/>
      <w:widowControl/>
    </w:pPr>
    <w:rPr>
      <w:i/>
      <w:iCs/>
      <w:sz w:val="36"/>
      <w:szCs w:val="36"/>
    </w:rPr>
  </w:style>
  <w:style w:type="paragraph" w:styleId="1077">
    <w:name w:val="xl39"/>
    <w:basedOn w:val="940"/>
    <w:next w:val="107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8">
    <w:name w:val="xl54"/>
    <w:basedOn w:val="940"/>
    <w:next w:val="1078"/>
    <w:link w:val="94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9">
    <w:name w:val="样式 小四 段前: 5 磅 段后: 5 磅 首行缩进:  2 字符"/>
    <w:basedOn w:val="940"/>
    <w:next w:val="1079"/>
    <w:link w:val="940"/>
    <w:pPr>
      <w:spacing w:line="360" w:lineRule="auto"/>
    </w:pPr>
    <w:rPr>
      <w:rFonts w:ascii="宋体" w:hAnsi="宋体"/>
      <w:szCs w:val="21"/>
    </w:rPr>
  </w:style>
  <w:style w:type="paragraph" w:styleId="1080">
    <w:name w:val="font5"/>
    <w:basedOn w:val="940"/>
    <w:next w:val="1080"/>
    <w:link w:val="940"/>
    <w:pPr>
      <w:jc w:val="left"/>
      <w:spacing w:before="100" w:beforeAutospacing="1" w:after="100" w:afterAutospacing="1"/>
      <w:widowControl/>
    </w:pPr>
    <w:rPr>
      <w:rFonts w:ascii="宋体" w:hAnsi="宋体"/>
      <w:sz w:val="18"/>
      <w:szCs w:val="18"/>
    </w:rPr>
  </w:style>
  <w:style w:type="paragraph" w:styleId="1081">
    <w:name w:val="List Paragraph"/>
    <w:basedOn w:val="940"/>
    <w:next w:val="1081"/>
    <w:link w:val="940"/>
    <w:pPr>
      <w:ind w:firstLine="420"/>
    </w:pPr>
  </w:style>
  <w:style w:type="paragraph" w:styleId="1082">
    <w:name w:val="xl55"/>
    <w:basedOn w:val="940"/>
    <w:next w:val="1082"/>
    <w:link w:val="94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83">
    <w:name w:val="xl38"/>
    <w:basedOn w:val="940"/>
    <w:next w:val="1083"/>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4">
    <w:name w:val=" Char1"/>
    <w:basedOn w:val="940"/>
    <w:next w:val="1084"/>
    <w:link w:val="940"/>
    <w:pPr>
      <w:jc w:val="left"/>
      <w:spacing w:after="160" w:line="240" w:lineRule="exact"/>
      <w:widowControl/>
    </w:pPr>
  </w:style>
  <w:style w:type="paragraph" w:styleId="1085">
    <w:name w:val="xl59"/>
    <w:basedOn w:val="940"/>
    <w:next w:val="1085"/>
    <w:link w:val="94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86">
    <w:name w:val="_标题 4"/>
    <w:basedOn w:val="944"/>
    <w:next w:val="1007"/>
    <w:link w:val="94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1087">
    <w:name w:val="xl51"/>
    <w:basedOn w:val="940"/>
    <w:next w:val="1087"/>
    <w:link w:val="94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88">
    <w:name w:val="xl27"/>
    <w:basedOn w:val="940"/>
    <w:next w:val="1088"/>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9">
    <w:name w:val="xl42"/>
    <w:basedOn w:val="940"/>
    <w:next w:val="1089"/>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0">
    <w:name w:val="普通文字"/>
    <w:basedOn w:val="940"/>
    <w:next w:val="940"/>
    <w:link w:val="940"/>
    <w:uiPriority w:val="99"/>
    <w:rPr>
      <w:rFonts w:ascii="宋体"/>
      <w:sz w:val="24"/>
    </w:rPr>
  </w:style>
  <w:style w:type="paragraph" w:styleId="1091">
    <w:name w:val="xl53"/>
    <w:basedOn w:val="940"/>
    <w:next w:val="1091"/>
    <w:link w:val="94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2">
    <w:name w:val="xl62"/>
    <w:basedOn w:val="940"/>
    <w:next w:val="1092"/>
    <w:link w:val="94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3">
    <w:name w:val="xl37"/>
    <w:basedOn w:val="940"/>
    <w:next w:val="1093"/>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94">
    <w:name w:val="xl61"/>
    <w:basedOn w:val="940"/>
    <w:next w:val="1094"/>
    <w:link w:val="94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5">
    <w:name w:val="_标题 1"/>
    <w:basedOn w:val="940"/>
    <w:next w:val="1007"/>
    <w:link w:val="94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1096">
    <w:name w:val="xl46"/>
    <w:basedOn w:val="940"/>
    <w:next w:val="1096"/>
    <w:link w:val="94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97">
    <w:name w:val="主送"/>
    <w:basedOn w:val="940"/>
    <w:next w:val="940"/>
    <w:link w:val="940"/>
    <w:uiPriority w:val="99"/>
    <w:pPr>
      <w:spacing w:line="336" w:lineRule="auto"/>
    </w:pPr>
    <w:rPr>
      <w:rFonts w:ascii="仿宋_GB2312" w:hAnsi="Times" w:eastAsia="仿宋_GB2312" w:cs="仿宋_GB2312"/>
      <w:sz w:val="32"/>
      <w:szCs w:val="32"/>
    </w:rPr>
  </w:style>
  <w:style w:type="paragraph" w:styleId="1098">
    <w:name w:val="彩色列表 - 着色 11"/>
    <w:basedOn w:val="940"/>
    <w:next w:val="1098"/>
    <w:link w:val="940"/>
    <w:uiPriority w:val="34"/>
    <w:qFormat/>
    <w:pPr>
      <w:ind w:firstLine="420"/>
    </w:pPr>
    <w:rPr>
      <w:szCs w:val="24"/>
    </w:rPr>
  </w:style>
  <w:style w:type="paragraph" w:styleId="1099">
    <w:name w:val="xl56"/>
    <w:basedOn w:val="940"/>
    <w:next w:val="1099"/>
    <w:link w:val="94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0">
    <w:name w:val="font11"/>
    <w:basedOn w:val="940"/>
    <w:next w:val="1100"/>
    <w:link w:val="940"/>
    <w:pPr>
      <w:jc w:val="left"/>
      <w:spacing w:before="100" w:beforeAutospacing="1" w:after="100" w:afterAutospacing="1"/>
      <w:widowControl/>
    </w:pPr>
    <w:rPr>
      <w:b/>
      <w:bCs/>
      <w:sz w:val="18"/>
      <w:szCs w:val="18"/>
    </w:rPr>
  </w:style>
  <w:style w:type="paragraph" w:styleId="1101">
    <w:name w:val="Plain Text"/>
    <w:basedOn w:val="940"/>
    <w:next w:val="1101"/>
    <w:link w:val="940"/>
    <w:rPr>
      <w:rFonts w:ascii="宋体" w:hAnsi="Courier New" w:eastAsia="楷体_GB2312"/>
      <w:sz w:val="26"/>
    </w:rPr>
  </w:style>
  <w:style w:type="paragraph" w:styleId="1102">
    <w:name w:val="font8"/>
    <w:basedOn w:val="940"/>
    <w:next w:val="1102"/>
    <w:link w:val="940"/>
    <w:pPr>
      <w:jc w:val="left"/>
      <w:spacing w:before="100" w:beforeAutospacing="1" w:after="100" w:afterAutospacing="1"/>
      <w:widowControl/>
    </w:pPr>
    <w:rPr>
      <w:rFonts w:ascii="宋体" w:hAnsi="宋体"/>
      <w:b/>
      <w:bCs/>
      <w:i/>
      <w:iCs/>
      <w:sz w:val="20"/>
    </w:rPr>
  </w:style>
  <w:style w:type="paragraph" w:styleId="1103">
    <w:name w:val="Char Char Char Char"/>
    <w:basedOn w:val="955"/>
    <w:next w:val="1103"/>
    <w:link w:val="940"/>
    <w:pPr>
      <w:spacing w:line="360" w:lineRule="auto"/>
    </w:pPr>
    <w:rPr>
      <w:rFonts w:ascii="Tahoma" w:hAnsi="Tahoma"/>
      <w:sz w:val="24"/>
      <w:szCs w:val="24"/>
    </w:rPr>
  </w:style>
  <w:style w:type="paragraph" w:styleId="1104">
    <w:name w:val="xl58"/>
    <w:basedOn w:val="940"/>
    <w:next w:val="1104"/>
    <w:link w:val="94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05">
    <w:name w:val="Body"/>
    <w:next w:val="1105"/>
    <w:link w:val="940"/>
    <w:pPr>
      <w:spacing w:before="130" w:after="130" w:line="260" w:lineRule="exact"/>
    </w:pPr>
    <w:rPr>
      <w:rFonts w:ascii="Univers" w:hAnsi="Univers"/>
      <w:color w:val="000000"/>
      <w:sz w:val="22"/>
      <w:lang w:val="en-US" w:eastAsia="en-US" w:bidi="ar-SA"/>
    </w:rPr>
  </w:style>
  <w:style w:type="paragraph" w:styleId="1106">
    <w:name w:val="xl41"/>
    <w:basedOn w:val="940"/>
    <w:next w:val="1106"/>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7">
    <w:name w:val="xl47"/>
    <w:basedOn w:val="940"/>
    <w:next w:val="1107"/>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8">
    <w:name w:val="_Style 22"/>
    <w:basedOn w:val="940"/>
    <w:next w:val="1108"/>
    <w:link w:val="940"/>
    <w:qFormat/>
    <w:pPr>
      <w:ind w:firstLine="200"/>
      <w:spacing w:line="300" w:lineRule="auto"/>
    </w:pPr>
    <w:rPr>
      <w:rFonts w:ascii="宋体" w:hAnsi="Calibri" w:eastAsia="等线"/>
      <w:sz w:val="24"/>
      <w:szCs w:val="22"/>
    </w:rPr>
  </w:style>
  <w:style w:type="paragraph" w:styleId="1109">
    <w:name w:val="xl34"/>
    <w:basedOn w:val="940"/>
    <w:next w:val="1109"/>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0">
    <w:name w:val="xl50"/>
    <w:basedOn w:val="940"/>
    <w:next w:val="1110"/>
    <w:link w:val="94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11">
    <w:name w:val="正文文本11"/>
    <w:basedOn w:val="940"/>
    <w:next w:val="940"/>
    <w:link w:val="940"/>
    <w:uiPriority w:val="99"/>
    <w:qFormat/>
    <w:rPr>
      <w:rFonts w:ascii="仿宋_GB2312" w:eastAsia="仿宋_GB2312"/>
      <w:sz w:val="28"/>
      <w:szCs w:val="20"/>
    </w:rPr>
  </w:style>
  <w:style w:type="paragraph" w:styleId="1112">
    <w:name w:val=" Char"/>
    <w:basedOn w:val="940"/>
    <w:next w:val="1112"/>
    <w:link w:val="940"/>
    <w:qFormat/>
    <w:pPr>
      <w:ind w:firstLine="200"/>
      <w:spacing w:line="360" w:lineRule="auto"/>
    </w:pPr>
    <w:rPr>
      <w:rFonts w:ascii="宋体" w:hAnsi="宋体" w:cs="宋体"/>
      <w:sz w:val="24"/>
    </w:rPr>
  </w:style>
  <w:style w:type="paragraph" w:styleId="1113">
    <w:name w:val="正文首行缩进 21"/>
    <w:basedOn w:val="1114"/>
    <w:next w:val="1113"/>
    <w:link w:val="940"/>
    <w:qFormat/>
    <w:pPr>
      <w:ind w:left="420" w:firstLine="420"/>
      <w:spacing w:after="120" w:line="240" w:lineRule="auto"/>
      <w:widowControl w:val="off"/>
    </w:pPr>
    <w:rPr>
      <w:rFonts w:ascii="Cambria" w:hAnsi="Cambria" w:eastAsia="华文细黑"/>
      <w:sz w:val="21"/>
    </w:rPr>
  </w:style>
  <w:style w:type="paragraph" w:styleId="1114">
    <w:name w:val="正文文本缩进1"/>
    <w:basedOn w:val="940"/>
    <w:next w:val="1114"/>
    <w:link w:val="940"/>
    <w:qFormat/>
    <w:pPr>
      <w:ind w:left="156"/>
      <w:spacing w:line="300" w:lineRule="auto"/>
      <w:widowControl/>
    </w:pPr>
    <w:rPr>
      <w:rFonts w:ascii="仿宋_GB2312" w:eastAsia="仿宋_GB2312"/>
      <w:sz w:val="28"/>
      <w:szCs w:val="20"/>
    </w:rPr>
  </w:style>
  <w:style w:type="paragraph" w:styleId="1115">
    <w:name w:val="正文缩进1"/>
    <w:basedOn w:val="940"/>
    <w:next w:val="1115"/>
    <w:link w:val="940"/>
    <w:qFormat/>
    <w:pPr>
      <w:ind w:firstLine="420"/>
      <w:jc w:val="left"/>
      <w:widowControl/>
    </w:pPr>
    <w:rPr>
      <w:sz w:val="20"/>
      <w:szCs w:val="20"/>
    </w:rPr>
  </w:style>
  <w:style w:type="character" w:styleId="1116">
    <w:name w:val="font01"/>
    <w:basedOn w:val="946"/>
    <w:next w:val="1116"/>
    <w:link w:val="940"/>
    <w:qFormat/>
    <w:rPr>
      <w:rFonts w:hint="eastAsia" w:ascii="宋体" w:hAnsi="宋体" w:eastAsia="宋体" w:cs="宋体"/>
      <w:color w:val="000000"/>
      <w:sz w:val="22"/>
      <w:szCs w:val="22"/>
      <w:u w:val="none"/>
    </w:rPr>
  </w:style>
  <w:style w:type="paragraph" w:styleId="1117">
    <w:name w:val="文本块1"/>
    <w:basedOn w:val="940"/>
    <w:next w:val="1117"/>
    <w:link w:val="940"/>
    <w:qFormat/>
    <w:pPr>
      <w:ind w:left="420" w:right="33"/>
      <w:jc w:val="left"/>
    </w:pPr>
    <w:rPr>
      <w:sz w:val="24"/>
      <w:szCs w:val="20"/>
    </w:rPr>
  </w:style>
  <w:style w:type="paragraph" w:styleId="1118">
    <w:name w:val="正文缩进11"/>
    <w:basedOn w:val="940"/>
    <w:next w:val="1118"/>
    <w:link w:val="940"/>
    <w:qFormat/>
    <w:pPr>
      <w:ind w:firstLine="420"/>
      <w:jc w:val="left"/>
      <w:widowControl/>
    </w:pPr>
    <w:rPr>
      <w:sz w:val="20"/>
      <w:szCs w:val="20"/>
    </w:rPr>
  </w:style>
  <w:style w:type="character" w:styleId="1119">
    <w:name w:val="NormalCharacter11"/>
    <w:next w:val="1119"/>
    <w:link w:val="1120"/>
    <w:uiPriority w:val="99"/>
    <w:qFormat/>
  </w:style>
  <w:style w:type="paragraph" w:styleId="1120">
    <w:name w:val="UserStyle_4"/>
    <w:basedOn w:val="940"/>
    <w:next w:val="1120"/>
    <w:link w:val="1119"/>
    <w:uiPriority w:val="99"/>
    <w:qFormat/>
  </w:style>
  <w:style w:type="paragraph" w:styleId="1121">
    <w:name w:val="索引 41"/>
    <w:basedOn w:val="940"/>
    <w:next w:val="940"/>
    <w:link w:val="940"/>
    <w:qFormat/>
    <w:pPr>
      <w:ind w:left="600"/>
    </w:pPr>
    <w:rPr>
      <w:szCs w:val="20"/>
    </w:rPr>
  </w:style>
  <w:style w:type="paragraph" w:styleId="1122">
    <w:name w:val="页脚1"/>
    <w:basedOn w:val="940"/>
    <w:next w:val="1123"/>
    <w:link w:val="940"/>
    <w:uiPriority w:val="99"/>
    <w:qFormat/>
    <w:pPr>
      <w:jc w:val="left"/>
      <w:tabs>
        <w:tab w:val="center" w:pos="4153" w:leader="none"/>
        <w:tab w:val="right" w:pos="8306" w:leader="none"/>
      </w:tabs>
    </w:pPr>
    <w:rPr>
      <w:sz w:val="18"/>
      <w:szCs w:val="18"/>
    </w:rPr>
  </w:style>
  <w:style w:type="paragraph" w:styleId="1123">
    <w:name w:val="TOC Heading1"/>
    <w:next w:val="940"/>
    <w:link w:val="940"/>
    <w:qFormat/>
    <w:rPr>
      <w:rFonts w:ascii="Times New Roman" w:hAnsi="Times New Roman" w:eastAsia="宋体" w:cs="Times New Roman"/>
      <w:sz w:val="32"/>
      <w:lang w:val="en-US" w:eastAsia="zh-CN" w:bidi="ar-SA"/>
    </w:rPr>
  </w:style>
  <w:style w:type="paragraph" w:styleId="1124">
    <w:name w:val="_Style 13"/>
    <w:next w:val="1124"/>
    <w:link w:val="940"/>
    <w:qFormat/>
    <w:pPr>
      <w:ind w:left="0"/>
      <w:jc w:val="left"/>
      <w:spacing w:before="120" w:after="120" w:line="288" w:lineRule="auto"/>
    </w:pPr>
    <w:rPr>
      <w:rFonts w:ascii="Arial" w:hAnsi="Arial" w:eastAsia="等线" w:cs="Arial"/>
      <w:sz w:val="22"/>
      <w:szCs w:val="22"/>
    </w:rPr>
  </w:style>
  <w:style w:type="paragraph" w:styleId="1125">
    <w:name w:val="正文格式"/>
    <w:basedOn w:val="940"/>
    <w:next w:val="1125"/>
    <w:link w:val="940"/>
    <w:qFormat/>
    <w:pPr>
      <w:ind w:firstLine="482"/>
      <w:spacing w:line="360" w:lineRule="auto"/>
      <w:widowControl/>
    </w:pPr>
    <w:rPr>
      <w:sz w:val="24"/>
    </w:rPr>
  </w:style>
  <w:style w:type="paragraph" w:styleId="1126">
    <w:name w:val="Table Text"/>
    <w:basedOn w:val="940"/>
    <w:next w:val="1126"/>
    <w:link w:val="940"/>
    <w:semiHidden/>
    <w:qFormat/>
    <w:rPr>
      <w:szCs w:val="21"/>
      <w:lang w:eastAsia="en-US"/>
    </w:rPr>
  </w:style>
  <w:style w:type="table" w:styleId="1127">
    <w:name w:val="Table Normal"/>
    <w:next w:val="1127"/>
    <w:link w:val="940"/>
    <w:unhideWhenUsed/>
    <w:qFormat/>
    <w:tbl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杨亚丁</cp:lastModifiedBy>
  <cp:revision>10</cp:revision>
  <dcterms:created xsi:type="dcterms:W3CDTF">2017-01-17T02:34:00Z</dcterms:created>
  <dcterms:modified xsi:type="dcterms:W3CDTF">2025-05-20T06:06:39Z</dcterms:modified>
</cp:coreProperties>
</file>